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C40D9">
      <w:pPr>
        <w:rPr>
          <w:color w:val="auto"/>
          <w:sz w:val="36"/>
          <w:szCs w:val="36"/>
        </w:rPr>
      </w:pPr>
    </w:p>
    <w:p w14:paraId="739E27AC">
      <w:pPr>
        <w:rPr>
          <w:color w:val="auto"/>
          <w:sz w:val="36"/>
          <w:szCs w:val="36"/>
        </w:rPr>
      </w:pPr>
    </w:p>
    <w:p w14:paraId="653EB770">
      <w:pPr>
        <w:rPr>
          <w:color w:val="auto"/>
          <w:sz w:val="36"/>
          <w:szCs w:val="36"/>
        </w:rPr>
      </w:pPr>
    </w:p>
    <w:p w14:paraId="216DF6AB">
      <w:pPr>
        <w:rPr>
          <w:color w:val="auto"/>
          <w:sz w:val="36"/>
          <w:szCs w:val="36"/>
        </w:rPr>
      </w:pPr>
    </w:p>
    <w:p w14:paraId="1A4420AA">
      <w:pPr>
        <w:adjustRightInd w:val="0"/>
        <w:snapToGrid w:val="0"/>
        <w:spacing w:before="192" w:beforeLines="80"/>
        <w:jc w:val="center"/>
        <w:rPr>
          <w:bCs/>
          <w:color w:val="auto"/>
          <w:sz w:val="72"/>
          <w:szCs w:val="72"/>
        </w:rPr>
      </w:pPr>
      <w:r>
        <w:rPr>
          <w:bCs/>
          <w:color w:val="auto"/>
          <w:sz w:val="72"/>
          <w:szCs w:val="72"/>
        </w:rPr>
        <w:t>建设项目环境影响报告表</w:t>
      </w:r>
    </w:p>
    <w:p w14:paraId="7CFBD944">
      <w:pPr>
        <w:adjustRightInd w:val="0"/>
        <w:snapToGrid w:val="0"/>
        <w:spacing w:before="192" w:beforeLines="80"/>
        <w:jc w:val="center"/>
        <w:rPr>
          <w:bCs/>
          <w:color w:val="auto"/>
          <w:sz w:val="48"/>
          <w:szCs w:val="48"/>
        </w:rPr>
      </w:pPr>
      <w:r>
        <w:rPr>
          <w:bCs/>
          <w:color w:val="auto"/>
          <w:sz w:val="48"/>
          <w:szCs w:val="48"/>
        </w:rPr>
        <w:t>（污染影响类）</w:t>
      </w:r>
    </w:p>
    <w:p w14:paraId="3887EE34">
      <w:pPr>
        <w:jc w:val="center"/>
        <w:rPr>
          <w:color w:val="auto"/>
          <w:kern w:val="44"/>
          <w:sz w:val="44"/>
          <w:szCs w:val="44"/>
        </w:rPr>
      </w:pPr>
    </w:p>
    <w:p w14:paraId="704FF279">
      <w:pPr>
        <w:jc w:val="center"/>
        <w:rPr>
          <w:color w:val="auto"/>
          <w:sz w:val="52"/>
          <w:szCs w:val="52"/>
        </w:rPr>
      </w:pPr>
    </w:p>
    <w:p w14:paraId="12081993">
      <w:pPr>
        <w:ind w:firstLine="1040"/>
        <w:rPr>
          <w:color w:val="auto"/>
          <w:sz w:val="44"/>
          <w:szCs w:val="44"/>
        </w:rPr>
      </w:pPr>
    </w:p>
    <w:p w14:paraId="60684CDD">
      <w:pPr>
        <w:ind w:firstLine="1040"/>
        <w:rPr>
          <w:color w:val="auto"/>
          <w:sz w:val="44"/>
          <w:szCs w:val="44"/>
        </w:rPr>
      </w:pPr>
    </w:p>
    <w:p w14:paraId="03A43696">
      <w:pPr>
        <w:ind w:firstLine="1040"/>
        <w:rPr>
          <w:color w:val="auto"/>
          <w:sz w:val="44"/>
          <w:szCs w:val="44"/>
        </w:rPr>
      </w:pPr>
    </w:p>
    <w:p w14:paraId="71AF985E">
      <w:pPr>
        <w:ind w:firstLine="1040"/>
        <w:rPr>
          <w:color w:val="auto"/>
          <w:sz w:val="44"/>
          <w:szCs w:val="44"/>
        </w:rPr>
      </w:pPr>
    </w:p>
    <w:p w14:paraId="3017B8A8">
      <w:pPr>
        <w:adjustRightInd w:val="0"/>
        <w:snapToGrid w:val="0"/>
        <w:spacing w:line="288" w:lineRule="auto"/>
        <w:jc w:val="center"/>
        <w:rPr>
          <w:color w:val="auto"/>
          <w:sz w:val="36"/>
          <w:szCs w:val="36"/>
          <w:u w:val="single"/>
        </w:rPr>
      </w:pPr>
      <w:r>
        <w:rPr>
          <w:color w:val="auto"/>
          <w:sz w:val="36"/>
          <w:szCs w:val="36"/>
        </w:rPr>
        <w:t>项目名称：</w:t>
      </w:r>
      <w:r>
        <w:rPr>
          <w:rFonts w:hint="eastAsia"/>
          <w:color w:val="auto"/>
          <w:sz w:val="36"/>
          <w:szCs w:val="36"/>
          <w:u w:val="single"/>
        </w:rPr>
        <w:t>江苏柯德展示道具有限公司年产10万套高端展示道具项目（二期）</w:t>
      </w:r>
    </w:p>
    <w:p w14:paraId="4410F68D">
      <w:pPr>
        <w:adjustRightInd w:val="0"/>
        <w:snapToGrid w:val="0"/>
        <w:spacing w:line="288" w:lineRule="auto"/>
        <w:jc w:val="center"/>
        <w:rPr>
          <w:color w:val="auto"/>
          <w:sz w:val="36"/>
          <w:szCs w:val="36"/>
          <w:u w:val="single"/>
        </w:rPr>
      </w:pPr>
      <w:r>
        <w:rPr>
          <w:color w:val="auto"/>
          <w:sz w:val="36"/>
          <w:szCs w:val="36"/>
        </w:rPr>
        <w:t>建设单位（盖章）：</w:t>
      </w:r>
      <w:r>
        <w:rPr>
          <w:rFonts w:hint="eastAsia"/>
          <w:color w:val="auto"/>
          <w:sz w:val="36"/>
          <w:szCs w:val="36"/>
          <w:u w:val="single"/>
        </w:rPr>
        <w:t>江苏柯德展示道具有限公司</w:t>
      </w:r>
    </w:p>
    <w:p w14:paraId="45DB425C">
      <w:pPr>
        <w:adjustRightInd w:val="0"/>
        <w:snapToGrid w:val="0"/>
        <w:spacing w:line="288" w:lineRule="auto"/>
        <w:jc w:val="center"/>
        <w:rPr>
          <w:color w:val="auto"/>
          <w:sz w:val="36"/>
          <w:szCs w:val="36"/>
          <w:u w:val="single"/>
        </w:rPr>
      </w:pPr>
      <w:r>
        <w:rPr>
          <w:color w:val="auto"/>
          <w:sz w:val="36"/>
          <w:szCs w:val="36"/>
        </w:rPr>
        <w:t>编制日期：</w:t>
      </w:r>
      <w:r>
        <w:rPr>
          <w:color w:val="auto"/>
          <w:sz w:val="36"/>
          <w:szCs w:val="36"/>
          <w:u w:val="single"/>
        </w:rPr>
        <w:t>202</w:t>
      </w:r>
      <w:r>
        <w:rPr>
          <w:rFonts w:hint="eastAsia"/>
          <w:color w:val="auto"/>
          <w:sz w:val="36"/>
          <w:szCs w:val="36"/>
          <w:u w:val="single"/>
        </w:rPr>
        <w:t>5</w:t>
      </w:r>
      <w:r>
        <w:rPr>
          <w:color w:val="auto"/>
          <w:sz w:val="36"/>
          <w:szCs w:val="36"/>
          <w:u w:val="single"/>
        </w:rPr>
        <w:t>年</w:t>
      </w:r>
      <w:r>
        <w:rPr>
          <w:rFonts w:hint="eastAsia"/>
          <w:color w:val="auto"/>
          <w:sz w:val="36"/>
          <w:szCs w:val="36"/>
          <w:u w:val="single"/>
          <w:lang w:val="en-US" w:eastAsia="zh-CN"/>
        </w:rPr>
        <w:t>4</w:t>
      </w:r>
      <w:r>
        <w:rPr>
          <w:color w:val="auto"/>
          <w:sz w:val="36"/>
          <w:szCs w:val="36"/>
          <w:u w:val="single"/>
        </w:rPr>
        <w:t>月</w:t>
      </w:r>
    </w:p>
    <w:p w14:paraId="22A1D37A">
      <w:pPr>
        <w:adjustRightInd w:val="0"/>
        <w:snapToGrid w:val="0"/>
        <w:spacing w:line="288" w:lineRule="auto"/>
        <w:ind w:firstLine="1040"/>
        <w:rPr>
          <w:color w:val="auto"/>
          <w:sz w:val="36"/>
          <w:szCs w:val="36"/>
          <w:u w:val="single"/>
        </w:rPr>
      </w:pPr>
      <w:bookmarkStart w:id="0" w:name="_Hlk57884087"/>
    </w:p>
    <w:p w14:paraId="782791BE">
      <w:pPr>
        <w:adjustRightInd w:val="0"/>
        <w:snapToGrid w:val="0"/>
        <w:spacing w:line="288" w:lineRule="auto"/>
        <w:ind w:firstLine="1040"/>
        <w:rPr>
          <w:color w:val="auto"/>
          <w:sz w:val="36"/>
          <w:szCs w:val="36"/>
        </w:rPr>
      </w:pPr>
    </w:p>
    <w:p w14:paraId="55DB34FA">
      <w:pPr>
        <w:adjustRightInd w:val="0"/>
        <w:snapToGrid w:val="0"/>
        <w:spacing w:line="288" w:lineRule="auto"/>
        <w:ind w:firstLine="1040"/>
        <w:rPr>
          <w:color w:val="auto"/>
          <w:sz w:val="36"/>
          <w:szCs w:val="36"/>
        </w:rPr>
      </w:pPr>
    </w:p>
    <w:p w14:paraId="209ECC8E">
      <w:pPr>
        <w:adjustRightInd w:val="0"/>
        <w:snapToGrid w:val="0"/>
        <w:spacing w:line="288" w:lineRule="auto"/>
        <w:ind w:firstLine="1040"/>
        <w:rPr>
          <w:color w:val="auto"/>
          <w:sz w:val="36"/>
          <w:szCs w:val="36"/>
        </w:rPr>
      </w:pPr>
    </w:p>
    <w:p w14:paraId="3CFDFA2A">
      <w:pPr>
        <w:adjustRightInd w:val="0"/>
        <w:snapToGrid w:val="0"/>
        <w:spacing w:line="288" w:lineRule="auto"/>
        <w:ind w:firstLine="1040"/>
        <w:rPr>
          <w:color w:val="auto"/>
          <w:sz w:val="36"/>
          <w:szCs w:val="36"/>
        </w:rPr>
      </w:pPr>
    </w:p>
    <w:bookmarkEnd w:id="0"/>
    <w:p w14:paraId="6A26DBFD">
      <w:pPr>
        <w:adjustRightInd w:val="0"/>
        <w:snapToGrid w:val="0"/>
        <w:spacing w:line="288" w:lineRule="auto"/>
        <w:jc w:val="center"/>
        <w:rPr>
          <w:color w:val="auto"/>
          <w:sz w:val="36"/>
          <w:szCs w:val="36"/>
        </w:rPr>
      </w:pPr>
      <w:r>
        <w:rPr>
          <w:color w:val="auto"/>
          <w:sz w:val="36"/>
          <w:szCs w:val="36"/>
        </w:rPr>
        <w:t>中华人民共和国生态环境部制</w:t>
      </w:r>
    </w:p>
    <w:p w14:paraId="29B38535">
      <w:pPr>
        <w:rPr>
          <w:color w:val="auto"/>
          <w:sz w:val="36"/>
          <w:szCs w:val="36"/>
        </w:rPr>
      </w:pPr>
    </w:p>
    <w:p w14:paraId="6B968FFC">
      <w:pPr>
        <w:rPr>
          <w:color w:val="auto"/>
          <w:sz w:val="36"/>
          <w:szCs w:val="36"/>
        </w:rPr>
      </w:pPr>
    </w:p>
    <w:p w14:paraId="3EE771CD">
      <w:pPr>
        <w:rPr>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116273B">
      <w:pPr>
        <w:rPr>
          <w:color w:val="auto"/>
          <w:sz w:val="36"/>
          <w:szCs w:val="36"/>
        </w:rPr>
      </w:pPr>
    </w:p>
    <w:p w14:paraId="5A6726B4">
      <w:pPr>
        <w:adjustRightInd w:val="0"/>
        <w:snapToGrid w:val="0"/>
        <w:spacing w:line="360" w:lineRule="auto"/>
        <w:jc w:val="center"/>
        <w:rPr>
          <w:color w:val="auto"/>
        </w:rPr>
      </w:pPr>
      <w:r>
        <w:rPr>
          <w:b/>
          <w:snapToGrid w:val="0"/>
          <w:color w:val="auto"/>
          <w:sz w:val="36"/>
          <w:szCs w:val="38"/>
        </w:rPr>
        <w:t>目录</w:t>
      </w:r>
      <w:r>
        <w:rPr>
          <w:b/>
          <w:snapToGrid w:val="0"/>
          <w:color w:val="auto"/>
          <w:sz w:val="36"/>
          <w:szCs w:val="38"/>
        </w:rPr>
        <w:fldChar w:fldCharType="begin"/>
      </w:r>
      <w:r>
        <w:rPr>
          <w:b/>
          <w:snapToGrid w:val="0"/>
          <w:color w:val="auto"/>
          <w:sz w:val="36"/>
          <w:szCs w:val="38"/>
        </w:rPr>
        <w:instrText xml:space="preserve"> TOC \o "1-1" \h \z \u </w:instrText>
      </w:r>
      <w:r>
        <w:rPr>
          <w:b/>
          <w:snapToGrid w:val="0"/>
          <w:color w:val="auto"/>
          <w:sz w:val="36"/>
          <w:szCs w:val="38"/>
        </w:rPr>
        <w:fldChar w:fldCharType="separate"/>
      </w:r>
    </w:p>
    <w:p w14:paraId="013622EC">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"_Toc116313302" </w:instrText>
      </w:r>
      <w:r>
        <w:rPr>
          <w:color w:val="auto"/>
        </w:rPr>
        <w:fldChar w:fldCharType="separate"/>
      </w:r>
      <w:r>
        <w:rPr>
          <w:rStyle w:val="145"/>
          <w:rFonts w:ascii="Times New Roman" w:hAnsi="Times New Roman" w:cs="Times New Roman"/>
          <w:snapToGrid w:val="0"/>
          <w:color w:val="auto"/>
        </w:rPr>
        <w:t>一、建设项目基本情况</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_Toc116313302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14:paraId="4FD83B24">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"_Toc116313303" </w:instrText>
      </w:r>
      <w:r>
        <w:rPr>
          <w:color w:val="auto"/>
        </w:rPr>
        <w:fldChar w:fldCharType="separate"/>
      </w:r>
      <w:r>
        <w:rPr>
          <w:rStyle w:val="145"/>
          <w:rFonts w:ascii="Times New Roman" w:hAnsi="Times New Roman" w:cs="Times New Roman"/>
          <w:snapToGrid w:val="0"/>
          <w:color w:val="auto"/>
        </w:rPr>
        <w:t>二、建设项目工程分析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_Toc116313303 \h </w:instrText>
      </w:r>
      <w:r>
        <w:rPr>
          <w:rFonts w:ascii="Times New Roman" w:hAnsi="Times New Roman" w:cs="Times New Roman"/>
          <w:color w:val="auto"/>
        </w:rPr>
        <w:fldChar w:fldCharType="separate"/>
      </w:r>
      <w:r>
        <w:rPr>
          <w:rFonts w:ascii="Times New Roman" w:hAnsi="Times New Roman" w:cs="Times New Roman"/>
          <w:color w:val="auto"/>
        </w:rPr>
        <w:t>30</w:t>
      </w:r>
      <w:r>
        <w:rPr>
          <w:rFonts w:ascii="Times New Roman" w:hAnsi="Times New Roman" w:cs="Times New Roman"/>
          <w:color w:val="auto"/>
        </w:rPr>
        <w:fldChar w:fldCharType="end"/>
      </w:r>
      <w:r>
        <w:rPr>
          <w:rFonts w:ascii="Times New Roman" w:hAnsi="Times New Roman" w:cs="Times New Roman"/>
          <w:color w:val="auto"/>
        </w:rPr>
        <w:fldChar w:fldCharType="end"/>
      </w:r>
    </w:p>
    <w:p w14:paraId="2A7ED472">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"_Toc116313304" </w:instrText>
      </w:r>
      <w:r>
        <w:rPr>
          <w:color w:val="auto"/>
        </w:rPr>
        <w:fldChar w:fldCharType="separate"/>
      </w:r>
      <w:r>
        <w:rPr>
          <w:rStyle w:val="145"/>
          <w:rFonts w:ascii="Times New Roman" w:hAnsi="Times New Roman" w:cs="Times New Roman"/>
          <w:snapToGrid w:val="0"/>
          <w:color w:val="auto"/>
        </w:rPr>
        <w:t>三、区域环境质量现状、环境保护目标及评价标准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_Toc116313304 \h </w:instrText>
      </w:r>
      <w:r>
        <w:rPr>
          <w:rFonts w:ascii="Times New Roman" w:hAnsi="Times New Roman" w:cs="Times New Roman"/>
          <w:color w:val="auto"/>
        </w:rPr>
        <w:fldChar w:fldCharType="separate"/>
      </w:r>
      <w:r>
        <w:rPr>
          <w:rFonts w:ascii="Times New Roman" w:hAnsi="Times New Roman" w:cs="Times New Roman"/>
          <w:color w:val="auto"/>
        </w:rPr>
        <w:t>103</w:t>
      </w:r>
      <w:r>
        <w:rPr>
          <w:rFonts w:ascii="Times New Roman" w:hAnsi="Times New Roman" w:cs="Times New Roman"/>
          <w:color w:val="auto"/>
        </w:rPr>
        <w:fldChar w:fldCharType="end"/>
      </w:r>
      <w:r>
        <w:rPr>
          <w:rFonts w:ascii="Times New Roman" w:hAnsi="Times New Roman" w:cs="Times New Roman"/>
          <w:color w:val="auto"/>
        </w:rPr>
        <w:fldChar w:fldCharType="end"/>
      </w:r>
    </w:p>
    <w:p w14:paraId="75A52AFC">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"_Toc116313305" </w:instrText>
      </w:r>
      <w:r>
        <w:rPr>
          <w:color w:val="auto"/>
        </w:rPr>
        <w:fldChar w:fldCharType="separate"/>
      </w:r>
      <w:r>
        <w:rPr>
          <w:rStyle w:val="145"/>
          <w:rFonts w:ascii="Times New Roman" w:hAnsi="Times New Roman" w:cs="Times New Roman"/>
          <w:snapToGrid w:val="0"/>
          <w:color w:val="auto"/>
        </w:rPr>
        <w:t>四、主要环境影响和保护措施</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_Toc116313305 \h </w:instrText>
      </w:r>
      <w:r>
        <w:rPr>
          <w:rFonts w:ascii="Times New Roman" w:hAnsi="Times New Roman" w:cs="Times New Roman"/>
          <w:color w:val="auto"/>
        </w:rPr>
        <w:fldChar w:fldCharType="separate"/>
      </w:r>
      <w:r>
        <w:rPr>
          <w:rFonts w:ascii="Times New Roman" w:hAnsi="Times New Roman" w:cs="Times New Roman"/>
          <w:color w:val="auto"/>
        </w:rPr>
        <w:t>112</w:t>
      </w:r>
      <w:r>
        <w:rPr>
          <w:rFonts w:ascii="Times New Roman" w:hAnsi="Times New Roman" w:cs="Times New Roman"/>
          <w:color w:val="auto"/>
        </w:rPr>
        <w:fldChar w:fldCharType="end"/>
      </w:r>
      <w:r>
        <w:rPr>
          <w:rFonts w:ascii="Times New Roman" w:hAnsi="Times New Roman" w:cs="Times New Roman"/>
          <w:color w:val="auto"/>
        </w:rPr>
        <w:fldChar w:fldCharType="end"/>
      </w:r>
    </w:p>
    <w:p w14:paraId="0F6753FB">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"_Toc116313306" </w:instrText>
      </w:r>
      <w:r>
        <w:rPr>
          <w:color w:val="auto"/>
        </w:rPr>
        <w:fldChar w:fldCharType="separate"/>
      </w:r>
      <w:r>
        <w:rPr>
          <w:rStyle w:val="145"/>
          <w:rFonts w:ascii="Times New Roman" w:hAnsi="Times New Roman" w:cs="Times New Roman"/>
          <w:snapToGrid w:val="0"/>
          <w:color w:val="auto"/>
        </w:rPr>
        <w:t>五、环境保护措施监督检查清单</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_Toc116313306 \h </w:instrText>
      </w:r>
      <w:r>
        <w:rPr>
          <w:rFonts w:ascii="Times New Roman" w:hAnsi="Times New Roman" w:cs="Times New Roman"/>
          <w:color w:val="auto"/>
        </w:rPr>
        <w:fldChar w:fldCharType="separate"/>
      </w:r>
      <w:r>
        <w:rPr>
          <w:rFonts w:ascii="Times New Roman" w:hAnsi="Times New Roman" w:cs="Times New Roman"/>
          <w:color w:val="auto"/>
        </w:rPr>
        <w:t>189</w:t>
      </w:r>
      <w:r>
        <w:rPr>
          <w:rFonts w:ascii="Times New Roman" w:hAnsi="Times New Roman" w:cs="Times New Roman"/>
          <w:color w:val="auto"/>
        </w:rPr>
        <w:fldChar w:fldCharType="end"/>
      </w:r>
      <w:r>
        <w:rPr>
          <w:rFonts w:ascii="Times New Roman" w:hAnsi="Times New Roman" w:cs="Times New Roman"/>
          <w:color w:val="auto"/>
        </w:rPr>
        <w:fldChar w:fldCharType="end"/>
      </w:r>
    </w:p>
    <w:p w14:paraId="38A58161">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"_Toc116313307" </w:instrText>
      </w:r>
      <w:r>
        <w:rPr>
          <w:color w:val="auto"/>
        </w:rPr>
        <w:fldChar w:fldCharType="separate"/>
      </w:r>
      <w:r>
        <w:rPr>
          <w:rStyle w:val="145"/>
          <w:rFonts w:ascii="Times New Roman" w:hAnsi="Times New Roman" w:cs="Times New Roman"/>
          <w:snapToGrid w:val="0"/>
          <w:color w:val="auto"/>
        </w:rPr>
        <w:t>六、结论</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_Toc116313307 \h </w:instrText>
      </w:r>
      <w:r>
        <w:rPr>
          <w:rFonts w:ascii="Times New Roman" w:hAnsi="Times New Roman" w:cs="Times New Roman"/>
          <w:color w:val="auto"/>
        </w:rPr>
        <w:fldChar w:fldCharType="separate"/>
      </w:r>
      <w:r>
        <w:rPr>
          <w:rFonts w:ascii="Times New Roman" w:hAnsi="Times New Roman" w:cs="Times New Roman"/>
          <w:color w:val="auto"/>
        </w:rPr>
        <w:t>192</w:t>
      </w:r>
      <w:r>
        <w:rPr>
          <w:rFonts w:ascii="Times New Roman" w:hAnsi="Times New Roman" w:cs="Times New Roman"/>
          <w:color w:val="auto"/>
        </w:rPr>
        <w:fldChar w:fldCharType="end"/>
      </w:r>
      <w:r>
        <w:rPr>
          <w:rFonts w:ascii="Times New Roman" w:hAnsi="Times New Roman" w:cs="Times New Roman"/>
          <w:color w:val="auto"/>
        </w:rPr>
        <w:fldChar w:fldCharType="end"/>
      </w:r>
    </w:p>
    <w:p w14:paraId="6541408A">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"_Toc116313308" </w:instrText>
      </w:r>
      <w:r>
        <w:rPr>
          <w:color w:val="auto"/>
        </w:rPr>
        <w:fldChar w:fldCharType="separate"/>
      </w:r>
      <w:r>
        <w:rPr>
          <w:rStyle w:val="145"/>
          <w:rFonts w:ascii="Times New Roman" w:hAnsi="Times New Roman" w:cs="Times New Roman"/>
          <w:snapToGrid w:val="0"/>
          <w:color w:val="auto"/>
        </w:rPr>
        <w:t>附表</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_Toc116313308 \h </w:instrText>
      </w:r>
      <w:r>
        <w:rPr>
          <w:rFonts w:ascii="Times New Roman" w:hAnsi="Times New Roman" w:cs="Times New Roman"/>
          <w:color w:val="auto"/>
        </w:rPr>
        <w:fldChar w:fldCharType="separate"/>
      </w:r>
      <w:r>
        <w:rPr>
          <w:rFonts w:ascii="Times New Roman" w:hAnsi="Times New Roman" w:cs="Times New Roman"/>
          <w:color w:val="auto"/>
        </w:rPr>
        <w:t>193</w:t>
      </w:r>
      <w:r>
        <w:rPr>
          <w:rFonts w:ascii="Times New Roman" w:hAnsi="Times New Roman" w:cs="Times New Roman"/>
          <w:color w:val="auto"/>
        </w:rPr>
        <w:fldChar w:fldCharType="end"/>
      </w:r>
      <w:r>
        <w:rPr>
          <w:rFonts w:ascii="Times New Roman" w:hAnsi="Times New Roman" w:cs="Times New Roman"/>
          <w:color w:val="auto"/>
        </w:rPr>
        <w:fldChar w:fldCharType="end"/>
      </w:r>
    </w:p>
    <w:p w14:paraId="68F93948">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"_Toc116313309" </w:instrText>
      </w:r>
      <w:r>
        <w:rPr>
          <w:color w:val="auto"/>
        </w:rPr>
        <w:fldChar w:fldCharType="separate"/>
      </w:r>
      <w:r>
        <w:rPr>
          <w:rStyle w:val="145"/>
          <w:rFonts w:ascii="Times New Roman" w:hAnsi="Times New Roman" w:cs="Times New Roman"/>
          <w:color w:val="auto"/>
        </w:rPr>
        <w:t>附图</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_Toc116313309 \h </w:instrText>
      </w:r>
      <w:r>
        <w:rPr>
          <w:rFonts w:ascii="Times New Roman" w:hAnsi="Times New Roman" w:cs="Times New Roman"/>
          <w:color w:val="auto"/>
        </w:rPr>
        <w:fldChar w:fldCharType="separate"/>
      </w:r>
      <w:r>
        <w:rPr>
          <w:rFonts w:ascii="Times New Roman" w:hAnsi="Times New Roman" w:cs="Times New Roman"/>
          <w:color w:val="auto"/>
        </w:rPr>
        <w:t>195</w:t>
      </w:r>
      <w:r>
        <w:rPr>
          <w:rFonts w:ascii="Times New Roman" w:hAnsi="Times New Roman" w:cs="Times New Roman"/>
          <w:color w:val="auto"/>
        </w:rPr>
        <w:fldChar w:fldCharType="end"/>
      </w:r>
      <w:r>
        <w:rPr>
          <w:rFonts w:ascii="Times New Roman" w:hAnsi="Times New Roman" w:cs="Times New Roman"/>
          <w:color w:val="auto"/>
        </w:rPr>
        <w:fldChar w:fldCharType="end"/>
      </w:r>
    </w:p>
    <w:p w14:paraId="017867CF">
      <w:pPr>
        <w:pStyle w:val="62"/>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"_Toc116313310" </w:instrText>
      </w:r>
      <w:r>
        <w:rPr>
          <w:color w:val="auto"/>
        </w:rPr>
        <w:fldChar w:fldCharType="separate"/>
      </w:r>
      <w:r>
        <w:rPr>
          <w:rStyle w:val="145"/>
          <w:rFonts w:ascii="Times New Roman" w:hAnsi="Times New Roman" w:cs="Times New Roman"/>
          <w:color w:val="auto"/>
        </w:rPr>
        <w:t>附件</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_Toc116313310 \h </w:instrText>
      </w:r>
      <w:r>
        <w:rPr>
          <w:rFonts w:ascii="Times New Roman" w:hAnsi="Times New Roman" w:cs="Times New Roman"/>
          <w:color w:val="auto"/>
        </w:rPr>
        <w:fldChar w:fldCharType="separate"/>
      </w:r>
      <w:r>
        <w:rPr>
          <w:rFonts w:ascii="Times New Roman" w:hAnsi="Times New Roman" w:cs="Times New Roman"/>
          <w:color w:val="auto"/>
        </w:rPr>
        <w:t>195</w:t>
      </w:r>
      <w:r>
        <w:rPr>
          <w:rFonts w:ascii="Times New Roman" w:hAnsi="Times New Roman" w:cs="Times New Roman"/>
          <w:color w:val="auto"/>
        </w:rPr>
        <w:fldChar w:fldCharType="end"/>
      </w:r>
      <w:r>
        <w:rPr>
          <w:rFonts w:ascii="Times New Roman" w:hAnsi="Times New Roman" w:cs="Times New Roman"/>
          <w:color w:val="auto"/>
        </w:rPr>
        <w:fldChar w:fldCharType="end"/>
      </w:r>
    </w:p>
    <w:p w14:paraId="1421E5A3">
      <w:pPr>
        <w:rPr>
          <w:color w:val="auto"/>
          <w:sz w:val="36"/>
          <w:szCs w:val="36"/>
        </w:rPr>
      </w:pPr>
      <w:r>
        <w:rPr>
          <w:b/>
          <w:color w:val="auto"/>
          <w:kern w:val="0"/>
          <w:sz w:val="36"/>
          <w:szCs w:val="36"/>
        </w:rPr>
        <w:fldChar w:fldCharType="end"/>
      </w:r>
    </w:p>
    <w:p w14:paraId="72812B63">
      <w:pPr>
        <w:rPr>
          <w:color w:val="auto"/>
          <w:sz w:val="36"/>
          <w:szCs w:val="36"/>
        </w:rPr>
      </w:pPr>
    </w:p>
    <w:p w14:paraId="36EFE00E">
      <w:pPr>
        <w:rPr>
          <w:color w:val="auto"/>
          <w:sz w:val="36"/>
          <w:szCs w:val="36"/>
        </w:rPr>
      </w:pPr>
    </w:p>
    <w:p w14:paraId="31CD3308">
      <w:pPr>
        <w:rPr>
          <w:color w:val="auto"/>
          <w:sz w:val="36"/>
          <w:szCs w:val="36"/>
        </w:rPr>
      </w:pPr>
    </w:p>
    <w:p w14:paraId="363D8C0F">
      <w:pPr>
        <w:ind w:firstLine="720" w:firstLineChars="200"/>
        <w:rPr>
          <w:color w:val="auto"/>
          <w:sz w:val="36"/>
          <w:szCs w:val="36"/>
        </w:rPr>
      </w:pPr>
    </w:p>
    <w:p w14:paraId="3977614E">
      <w:pPr>
        <w:rPr>
          <w:color w:val="auto"/>
          <w:sz w:val="36"/>
          <w:szCs w:val="36"/>
        </w:rPr>
      </w:pPr>
    </w:p>
    <w:p w14:paraId="7607000D">
      <w:pPr>
        <w:rPr>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EE5593A">
      <w:pPr>
        <w:pStyle w:val="84"/>
        <w:jc w:val="center"/>
        <w:outlineLvl w:val="0"/>
        <w:rPr>
          <w:rFonts w:ascii="Times New Roman" w:hAnsi="Times New Roman"/>
          <w:snapToGrid w:val="0"/>
          <w:color w:val="auto"/>
          <w:sz w:val="30"/>
          <w:szCs w:val="30"/>
        </w:rPr>
      </w:pPr>
      <w:bookmarkStart w:id="1" w:name="_Toc116313302"/>
      <w:r>
        <w:rPr>
          <w:rFonts w:ascii="Times New Roman" w:hAnsi="Times New Roman"/>
          <w:snapToGrid w:val="0"/>
          <w:color w:val="auto"/>
          <w:sz w:val="30"/>
          <w:szCs w:val="30"/>
        </w:rPr>
        <w:t>一、建设项目基本情况</w:t>
      </w:r>
      <w:bookmarkEnd w:id="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31"/>
        <w:gridCol w:w="2977"/>
        <w:gridCol w:w="1823"/>
        <w:gridCol w:w="2639"/>
      </w:tblGrid>
      <w:tr w14:paraId="4800D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614861DB">
            <w:pPr>
              <w:adjustRightInd w:val="0"/>
              <w:snapToGrid w:val="0"/>
              <w:jc w:val="center"/>
              <w:rPr>
                <w:color w:val="auto"/>
                <w:sz w:val="24"/>
              </w:rPr>
            </w:pPr>
            <w:r>
              <w:rPr>
                <w:color w:val="auto"/>
                <w:sz w:val="24"/>
              </w:rPr>
              <w:t>建设项目名称</w:t>
            </w:r>
          </w:p>
        </w:tc>
        <w:tc>
          <w:tcPr>
            <w:tcW w:w="7439" w:type="dxa"/>
            <w:gridSpan w:val="3"/>
            <w:vAlign w:val="center"/>
          </w:tcPr>
          <w:p w14:paraId="2D5F93CA">
            <w:pPr>
              <w:widowControl/>
              <w:jc w:val="center"/>
              <w:rPr>
                <w:color w:val="auto"/>
                <w:sz w:val="24"/>
              </w:rPr>
            </w:pPr>
            <w:r>
              <w:rPr>
                <w:color w:val="auto"/>
                <w:sz w:val="24"/>
              </w:rPr>
              <w:t>江苏柯德展示道具有限公司年产10万套高端展示道具项目（二期）</w:t>
            </w:r>
          </w:p>
        </w:tc>
      </w:tr>
      <w:tr w14:paraId="3BF6B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1757B62F">
            <w:pPr>
              <w:adjustRightInd w:val="0"/>
              <w:snapToGrid w:val="0"/>
              <w:jc w:val="center"/>
              <w:rPr>
                <w:color w:val="auto"/>
                <w:sz w:val="24"/>
              </w:rPr>
            </w:pPr>
            <w:r>
              <w:rPr>
                <w:color w:val="auto"/>
                <w:sz w:val="24"/>
              </w:rPr>
              <w:t>项目代码</w:t>
            </w:r>
          </w:p>
        </w:tc>
        <w:tc>
          <w:tcPr>
            <w:tcW w:w="7439" w:type="dxa"/>
            <w:gridSpan w:val="3"/>
            <w:vAlign w:val="center"/>
          </w:tcPr>
          <w:p w14:paraId="630770EB">
            <w:pPr>
              <w:widowControl/>
              <w:jc w:val="center"/>
              <w:rPr>
                <w:color w:val="auto"/>
                <w:sz w:val="24"/>
              </w:rPr>
            </w:pPr>
            <w:r>
              <w:rPr>
                <w:color w:val="auto"/>
                <w:sz w:val="24"/>
              </w:rPr>
              <w:t>2502-320826-04-01-541787</w:t>
            </w:r>
          </w:p>
        </w:tc>
      </w:tr>
      <w:tr w14:paraId="56358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5BE76AC">
            <w:pPr>
              <w:adjustRightInd w:val="0"/>
              <w:snapToGrid w:val="0"/>
              <w:jc w:val="center"/>
              <w:rPr>
                <w:color w:val="auto"/>
                <w:sz w:val="24"/>
              </w:rPr>
            </w:pPr>
            <w:r>
              <w:rPr>
                <w:color w:val="auto"/>
                <w:sz w:val="24"/>
              </w:rPr>
              <w:t>建设单位联系人</w:t>
            </w:r>
          </w:p>
        </w:tc>
        <w:tc>
          <w:tcPr>
            <w:tcW w:w="2977" w:type="dxa"/>
            <w:vAlign w:val="center"/>
          </w:tcPr>
          <w:p w14:paraId="19BF0AEB">
            <w:pPr>
              <w:adjustRightInd w:val="0"/>
              <w:snapToGrid w:val="0"/>
              <w:jc w:val="center"/>
              <w:rPr>
                <w:color w:val="auto"/>
                <w:sz w:val="24"/>
              </w:rPr>
            </w:pPr>
            <w:r>
              <w:rPr>
                <w:rFonts w:hint="eastAsia"/>
                <w:color w:val="auto"/>
                <w:sz w:val="24"/>
              </w:rPr>
              <w:t>周艳杰</w:t>
            </w:r>
          </w:p>
        </w:tc>
        <w:tc>
          <w:tcPr>
            <w:tcW w:w="1823" w:type="dxa"/>
            <w:vAlign w:val="center"/>
          </w:tcPr>
          <w:p w14:paraId="158FC596">
            <w:pPr>
              <w:adjustRightInd w:val="0"/>
              <w:snapToGrid w:val="0"/>
              <w:jc w:val="center"/>
              <w:rPr>
                <w:color w:val="auto"/>
                <w:sz w:val="24"/>
              </w:rPr>
            </w:pPr>
            <w:r>
              <w:rPr>
                <w:color w:val="auto"/>
                <w:sz w:val="24"/>
              </w:rPr>
              <w:t>联系方式</w:t>
            </w:r>
          </w:p>
        </w:tc>
        <w:tc>
          <w:tcPr>
            <w:tcW w:w="2639" w:type="dxa"/>
            <w:vAlign w:val="center"/>
          </w:tcPr>
          <w:p w14:paraId="1F0763B3">
            <w:pPr>
              <w:adjustRightInd w:val="0"/>
              <w:snapToGrid w:val="0"/>
              <w:jc w:val="center"/>
              <w:rPr>
                <w:color w:val="auto"/>
                <w:sz w:val="24"/>
              </w:rPr>
            </w:pPr>
            <w:r>
              <w:rPr>
                <w:color w:val="auto"/>
                <w:sz w:val="24"/>
              </w:rPr>
              <w:t>19952375175</w:t>
            </w:r>
          </w:p>
        </w:tc>
      </w:tr>
      <w:tr w14:paraId="4FD32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32FE776">
            <w:pPr>
              <w:adjustRightInd w:val="0"/>
              <w:snapToGrid w:val="0"/>
              <w:jc w:val="center"/>
              <w:rPr>
                <w:color w:val="auto"/>
                <w:sz w:val="24"/>
              </w:rPr>
            </w:pPr>
            <w:r>
              <w:rPr>
                <w:color w:val="auto"/>
                <w:sz w:val="24"/>
              </w:rPr>
              <w:t>建设地点</w:t>
            </w:r>
          </w:p>
        </w:tc>
        <w:tc>
          <w:tcPr>
            <w:tcW w:w="7439" w:type="dxa"/>
            <w:gridSpan w:val="3"/>
            <w:vAlign w:val="center"/>
          </w:tcPr>
          <w:p w14:paraId="57E969C5">
            <w:pPr>
              <w:widowControl/>
              <w:jc w:val="left"/>
              <w:rPr>
                <w:color w:val="auto"/>
                <w:sz w:val="24"/>
              </w:rPr>
            </w:pPr>
            <w:r>
              <w:rPr>
                <w:color w:val="auto"/>
                <w:sz w:val="24"/>
                <w:u w:val="single"/>
              </w:rPr>
              <w:t>江苏</w:t>
            </w:r>
            <w:r>
              <w:rPr>
                <w:color w:val="auto"/>
                <w:sz w:val="24"/>
              </w:rPr>
              <w:t>省（自治区）</w:t>
            </w:r>
            <w:r>
              <w:rPr>
                <w:color w:val="auto"/>
                <w:sz w:val="24"/>
                <w:u w:val="single"/>
              </w:rPr>
              <w:t>淮安</w:t>
            </w:r>
            <w:r>
              <w:rPr>
                <w:color w:val="auto"/>
                <w:sz w:val="24"/>
              </w:rPr>
              <w:t>市</w:t>
            </w:r>
            <w:r>
              <w:rPr>
                <w:color w:val="auto"/>
                <w:sz w:val="24"/>
                <w:u w:val="single"/>
              </w:rPr>
              <w:t>涟水</w:t>
            </w:r>
            <w:r>
              <w:rPr>
                <w:color w:val="auto"/>
                <w:sz w:val="24"/>
              </w:rPr>
              <w:t>县（区）</w:t>
            </w:r>
            <w:r>
              <w:rPr>
                <w:color w:val="auto"/>
                <w:sz w:val="24"/>
                <w:u w:val="single"/>
              </w:rPr>
              <w:t>/</w:t>
            </w:r>
            <w:r>
              <w:rPr>
                <w:color w:val="auto"/>
                <w:sz w:val="24"/>
              </w:rPr>
              <w:t>乡（街道）</w:t>
            </w:r>
            <w:r>
              <w:rPr>
                <w:bCs/>
                <w:color w:val="auto"/>
                <w:kern w:val="0"/>
                <w:sz w:val="24"/>
                <w:u w:val="single"/>
              </w:rPr>
              <w:t>经济开发区蒋庵东路东侧、清涟大道北侧</w:t>
            </w:r>
          </w:p>
        </w:tc>
      </w:tr>
      <w:tr w14:paraId="14278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5538C443">
            <w:pPr>
              <w:adjustRightInd w:val="0"/>
              <w:snapToGrid w:val="0"/>
              <w:jc w:val="center"/>
              <w:rPr>
                <w:color w:val="auto"/>
                <w:sz w:val="24"/>
              </w:rPr>
            </w:pPr>
            <w:r>
              <w:rPr>
                <w:color w:val="auto"/>
                <w:sz w:val="24"/>
              </w:rPr>
              <w:t>地理坐标</w:t>
            </w:r>
          </w:p>
        </w:tc>
        <w:tc>
          <w:tcPr>
            <w:tcW w:w="7439" w:type="dxa"/>
            <w:gridSpan w:val="3"/>
            <w:vAlign w:val="center"/>
          </w:tcPr>
          <w:p w14:paraId="4D4A0521">
            <w:pPr>
              <w:jc w:val="center"/>
              <w:rPr>
                <w:color w:val="auto"/>
                <w:sz w:val="24"/>
              </w:rPr>
            </w:pPr>
            <w:r>
              <w:rPr>
                <w:color w:val="auto"/>
                <w:sz w:val="24"/>
              </w:rPr>
              <w:t>（东经</w:t>
            </w:r>
            <w:r>
              <w:rPr>
                <w:color w:val="auto"/>
                <w:sz w:val="24"/>
                <w:u w:val="single"/>
              </w:rPr>
              <w:t>119</w:t>
            </w:r>
            <w:r>
              <w:rPr>
                <w:color w:val="auto"/>
                <w:sz w:val="24"/>
              </w:rPr>
              <w:t>度</w:t>
            </w:r>
            <w:r>
              <w:rPr>
                <w:color w:val="auto"/>
                <w:sz w:val="24"/>
                <w:u w:val="single"/>
              </w:rPr>
              <w:t>11</w:t>
            </w:r>
            <w:r>
              <w:rPr>
                <w:color w:val="auto"/>
                <w:sz w:val="24"/>
              </w:rPr>
              <w:t>分</w:t>
            </w:r>
            <w:r>
              <w:rPr>
                <w:color w:val="auto"/>
                <w:sz w:val="24"/>
                <w:u w:val="single"/>
              </w:rPr>
              <w:t>2.749</w:t>
            </w:r>
            <w:r>
              <w:rPr>
                <w:color w:val="auto"/>
                <w:sz w:val="24"/>
              </w:rPr>
              <w:t>秒，北纬</w:t>
            </w:r>
            <w:r>
              <w:rPr>
                <w:color w:val="auto"/>
                <w:sz w:val="24"/>
                <w:u w:val="single"/>
              </w:rPr>
              <w:t>33</w:t>
            </w:r>
            <w:r>
              <w:rPr>
                <w:color w:val="auto"/>
                <w:sz w:val="24"/>
              </w:rPr>
              <w:t>度</w:t>
            </w:r>
            <w:r>
              <w:rPr>
                <w:color w:val="auto"/>
                <w:sz w:val="24"/>
                <w:u w:val="single"/>
              </w:rPr>
              <w:t>47</w:t>
            </w:r>
            <w:r>
              <w:rPr>
                <w:color w:val="auto"/>
                <w:sz w:val="24"/>
              </w:rPr>
              <w:t>分</w:t>
            </w:r>
            <w:r>
              <w:rPr>
                <w:color w:val="auto"/>
                <w:sz w:val="24"/>
                <w:u w:val="single"/>
              </w:rPr>
              <w:t>22.457</w:t>
            </w:r>
            <w:r>
              <w:rPr>
                <w:color w:val="auto"/>
                <w:sz w:val="24"/>
              </w:rPr>
              <w:t>秒）</w:t>
            </w:r>
          </w:p>
        </w:tc>
      </w:tr>
      <w:tr w14:paraId="4EE2C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31" w:type="dxa"/>
            <w:tcMar>
              <w:top w:w="16" w:type="dxa"/>
              <w:left w:w="16" w:type="dxa"/>
              <w:right w:w="16" w:type="dxa"/>
            </w:tcMar>
            <w:vAlign w:val="center"/>
          </w:tcPr>
          <w:p w14:paraId="1319EFC4">
            <w:pPr>
              <w:adjustRightInd w:val="0"/>
              <w:snapToGrid w:val="0"/>
              <w:jc w:val="center"/>
              <w:rPr>
                <w:color w:val="auto"/>
                <w:sz w:val="24"/>
              </w:rPr>
            </w:pPr>
            <w:r>
              <w:rPr>
                <w:color w:val="auto"/>
                <w:sz w:val="24"/>
              </w:rPr>
              <w:t>国民经济</w:t>
            </w:r>
          </w:p>
          <w:p w14:paraId="5377E76A">
            <w:pPr>
              <w:adjustRightInd w:val="0"/>
              <w:snapToGrid w:val="0"/>
              <w:jc w:val="center"/>
              <w:rPr>
                <w:color w:val="auto"/>
                <w:sz w:val="24"/>
              </w:rPr>
            </w:pPr>
            <w:r>
              <w:rPr>
                <w:color w:val="auto"/>
                <w:sz w:val="24"/>
              </w:rPr>
              <w:t>行业类别</w:t>
            </w:r>
          </w:p>
        </w:tc>
        <w:tc>
          <w:tcPr>
            <w:tcW w:w="2977" w:type="dxa"/>
            <w:vAlign w:val="center"/>
          </w:tcPr>
          <w:p w14:paraId="519549D1">
            <w:pPr>
              <w:adjustRightInd w:val="0"/>
              <w:snapToGrid w:val="0"/>
              <w:jc w:val="center"/>
              <w:rPr>
                <w:color w:val="auto"/>
                <w:sz w:val="24"/>
              </w:rPr>
            </w:pPr>
            <w:bookmarkStart w:id="2" w:name="_Hlk132702726"/>
            <w:r>
              <w:rPr>
                <w:color w:val="auto"/>
                <w:sz w:val="24"/>
              </w:rPr>
              <w:t>C2439</w:t>
            </w:r>
            <w:bookmarkEnd w:id="2"/>
            <w:r>
              <w:rPr>
                <w:color w:val="auto"/>
                <w:sz w:val="24"/>
              </w:rPr>
              <w:t>其他工艺美术及礼仪用品制造</w:t>
            </w:r>
          </w:p>
        </w:tc>
        <w:tc>
          <w:tcPr>
            <w:tcW w:w="1823" w:type="dxa"/>
            <w:vAlign w:val="center"/>
          </w:tcPr>
          <w:p w14:paraId="485C81C2">
            <w:pPr>
              <w:adjustRightInd w:val="0"/>
              <w:snapToGrid w:val="0"/>
              <w:jc w:val="center"/>
              <w:rPr>
                <w:color w:val="auto"/>
                <w:sz w:val="24"/>
              </w:rPr>
            </w:pPr>
            <w:bookmarkStart w:id="3" w:name="_Hlk49843745"/>
            <w:r>
              <w:rPr>
                <w:color w:val="auto"/>
                <w:sz w:val="24"/>
              </w:rPr>
              <w:t>建设项目</w:t>
            </w:r>
          </w:p>
          <w:p w14:paraId="7A667EA4">
            <w:pPr>
              <w:adjustRightInd w:val="0"/>
              <w:snapToGrid w:val="0"/>
              <w:jc w:val="center"/>
              <w:rPr>
                <w:color w:val="auto"/>
                <w:sz w:val="24"/>
              </w:rPr>
            </w:pPr>
            <w:r>
              <w:rPr>
                <w:color w:val="auto"/>
                <w:sz w:val="24"/>
              </w:rPr>
              <w:t>行业类别</w:t>
            </w:r>
            <w:bookmarkEnd w:id="3"/>
          </w:p>
        </w:tc>
        <w:tc>
          <w:tcPr>
            <w:tcW w:w="2639" w:type="dxa"/>
            <w:vAlign w:val="center"/>
          </w:tcPr>
          <w:p w14:paraId="56818A17">
            <w:pPr>
              <w:adjustRightInd w:val="0"/>
              <w:snapToGrid w:val="0"/>
              <w:ind w:left="240" w:hanging="240" w:hangingChars="100"/>
              <w:rPr>
                <w:color w:val="auto"/>
                <w:sz w:val="24"/>
              </w:rPr>
            </w:pPr>
            <w:r>
              <w:rPr>
                <w:color w:val="auto"/>
                <w:sz w:val="24"/>
              </w:rPr>
              <w:t>二十一、文教、工美、体育和娱乐用品制造业24</w:t>
            </w:r>
            <w:r>
              <w:rPr>
                <w:rFonts w:hint="eastAsia"/>
                <w:color w:val="auto"/>
                <w:sz w:val="24"/>
                <w:lang w:eastAsia="zh-CN"/>
              </w:rPr>
              <w:t>:</w:t>
            </w:r>
            <w:r>
              <w:rPr>
                <w:color w:val="auto"/>
                <w:sz w:val="24"/>
              </w:rPr>
              <w:t>41、工艺美术及礼仪用品制造243</w:t>
            </w:r>
          </w:p>
        </w:tc>
      </w:tr>
      <w:tr w14:paraId="739B8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31" w:type="dxa"/>
            <w:tcMar>
              <w:top w:w="16" w:type="dxa"/>
              <w:left w:w="16" w:type="dxa"/>
              <w:right w:w="16" w:type="dxa"/>
            </w:tcMar>
            <w:vAlign w:val="center"/>
          </w:tcPr>
          <w:p w14:paraId="6FDCBAFF">
            <w:pPr>
              <w:adjustRightInd w:val="0"/>
              <w:snapToGrid w:val="0"/>
              <w:jc w:val="center"/>
              <w:rPr>
                <w:color w:val="auto"/>
                <w:sz w:val="24"/>
              </w:rPr>
            </w:pPr>
            <w:r>
              <w:rPr>
                <w:color w:val="auto"/>
                <w:sz w:val="24"/>
              </w:rPr>
              <w:t>建设性质</w:t>
            </w:r>
          </w:p>
        </w:tc>
        <w:tc>
          <w:tcPr>
            <w:tcW w:w="2977" w:type="dxa"/>
            <w:vAlign w:val="center"/>
          </w:tcPr>
          <w:p w14:paraId="49E1F0FC">
            <w:pPr>
              <w:jc w:val="left"/>
              <w:rPr>
                <w:color w:val="auto"/>
                <w:sz w:val="24"/>
              </w:rPr>
            </w:pPr>
            <w:r>
              <w:rPr>
                <w:color w:val="auto"/>
                <w:sz w:val="24"/>
              </w:rPr>
              <w:sym w:font="Wingdings 2" w:char="F052"/>
            </w:r>
            <w:r>
              <w:rPr>
                <w:color w:val="auto"/>
                <w:sz w:val="24"/>
              </w:rPr>
              <w:t>新建（迁建）</w:t>
            </w:r>
          </w:p>
          <w:p w14:paraId="27B2075B">
            <w:pPr>
              <w:jc w:val="left"/>
              <w:rPr>
                <w:color w:val="auto"/>
                <w:sz w:val="24"/>
              </w:rPr>
            </w:pPr>
            <w:r>
              <w:rPr>
                <w:color w:val="auto"/>
                <w:sz w:val="24"/>
              </w:rPr>
              <w:sym w:font="Wingdings 2" w:char="00A3"/>
            </w:r>
            <w:r>
              <w:rPr>
                <w:color w:val="auto"/>
                <w:sz w:val="24"/>
              </w:rPr>
              <w:t>改建</w:t>
            </w:r>
          </w:p>
          <w:p w14:paraId="1DB7BB48">
            <w:pPr>
              <w:jc w:val="left"/>
              <w:rPr>
                <w:color w:val="auto"/>
                <w:sz w:val="24"/>
              </w:rPr>
            </w:pPr>
            <w:r>
              <w:rPr>
                <w:color w:val="auto"/>
                <w:sz w:val="24"/>
              </w:rPr>
              <w:sym w:font="Wingdings 2" w:char="00A3"/>
            </w:r>
            <w:r>
              <w:rPr>
                <w:color w:val="auto"/>
                <w:sz w:val="24"/>
              </w:rPr>
              <w:t>扩建</w:t>
            </w:r>
          </w:p>
          <w:p w14:paraId="72A33D93">
            <w:pPr>
              <w:jc w:val="left"/>
              <w:rPr>
                <w:color w:val="auto"/>
                <w:sz w:val="24"/>
              </w:rPr>
            </w:pPr>
            <w:r>
              <w:rPr>
                <w:color w:val="auto"/>
                <w:sz w:val="24"/>
              </w:rPr>
              <w:sym w:font="Wingdings 2" w:char="00A3"/>
            </w:r>
            <w:r>
              <w:rPr>
                <w:color w:val="auto"/>
                <w:sz w:val="24"/>
              </w:rPr>
              <w:t>技术改造</w:t>
            </w:r>
          </w:p>
        </w:tc>
        <w:tc>
          <w:tcPr>
            <w:tcW w:w="1823" w:type="dxa"/>
            <w:vAlign w:val="center"/>
          </w:tcPr>
          <w:p w14:paraId="7D217664">
            <w:pPr>
              <w:adjustRightInd w:val="0"/>
              <w:snapToGrid w:val="0"/>
              <w:jc w:val="center"/>
              <w:rPr>
                <w:color w:val="auto"/>
                <w:sz w:val="24"/>
              </w:rPr>
            </w:pPr>
            <w:r>
              <w:rPr>
                <w:color w:val="auto"/>
                <w:sz w:val="24"/>
              </w:rPr>
              <w:t>建设项目</w:t>
            </w:r>
          </w:p>
          <w:p w14:paraId="1CB22541">
            <w:pPr>
              <w:adjustRightInd w:val="0"/>
              <w:snapToGrid w:val="0"/>
              <w:jc w:val="center"/>
              <w:rPr>
                <w:color w:val="auto"/>
                <w:sz w:val="24"/>
              </w:rPr>
            </w:pPr>
            <w:r>
              <w:rPr>
                <w:color w:val="auto"/>
                <w:sz w:val="24"/>
              </w:rPr>
              <w:t>申报情形</w:t>
            </w:r>
          </w:p>
        </w:tc>
        <w:tc>
          <w:tcPr>
            <w:tcW w:w="2639" w:type="dxa"/>
            <w:vAlign w:val="center"/>
          </w:tcPr>
          <w:p w14:paraId="60A019EE">
            <w:pPr>
              <w:jc w:val="left"/>
              <w:rPr>
                <w:color w:val="auto"/>
                <w:sz w:val="24"/>
              </w:rPr>
            </w:pPr>
            <w:r>
              <w:rPr>
                <w:color w:val="auto"/>
                <w:sz w:val="24"/>
              </w:rPr>
              <w:sym w:font="Wingdings 2" w:char="F052"/>
            </w:r>
            <w:r>
              <w:rPr>
                <w:color w:val="auto"/>
                <w:sz w:val="24"/>
              </w:rPr>
              <w:t xml:space="preserve">首次申报项目             </w:t>
            </w:r>
          </w:p>
          <w:p w14:paraId="3F136BB8">
            <w:pPr>
              <w:jc w:val="left"/>
              <w:rPr>
                <w:color w:val="auto"/>
                <w:sz w:val="24"/>
              </w:rPr>
            </w:pPr>
            <w:r>
              <w:rPr>
                <w:color w:val="auto"/>
                <w:sz w:val="24"/>
              </w:rPr>
              <w:sym w:font="Wingdings 2" w:char="00A3"/>
            </w:r>
            <w:r>
              <w:rPr>
                <w:color w:val="auto"/>
                <w:sz w:val="24"/>
              </w:rPr>
              <w:t>不予批准后再次申报项目</w:t>
            </w:r>
          </w:p>
          <w:p w14:paraId="3248A527">
            <w:pPr>
              <w:jc w:val="left"/>
              <w:rPr>
                <w:color w:val="auto"/>
                <w:sz w:val="24"/>
              </w:rPr>
            </w:pPr>
            <w:r>
              <w:rPr>
                <w:color w:val="auto"/>
                <w:sz w:val="24"/>
              </w:rPr>
              <w:sym w:font="Wingdings 2" w:char="00A3"/>
            </w:r>
            <w:r>
              <w:rPr>
                <w:color w:val="auto"/>
                <w:sz w:val="24"/>
              </w:rPr>
              <w:t xml:space="preserve">超五年重新审核项目     </w:t>
            </w:r>
          </w:p>
          <w:p w14:paraId="2CDC882D">
            <w:pPr>
              <w:jc w:val="left"/>
              <w:rPr>
                <w:color w:val="auto"/>
                <w:sz w:val="24"/>
              </w:rPr>
            </w:pPr>
            <w:r>
              <w:rPr>
                <w:color w:val="auto"/>
                <w:sz w:val="24"/>
              </w:rPr>
              <w:sym w:font="Wingdings 2" w:char="00A3"/>
            </w:r>
            <w:r>
              <w:rPr>
                <w:color w:val="auto"/>
                <w:sz w:val="24"/>
              </w:rPr>
              <w:t>重大变动重新报批项目</w:t>
            </w:r>
          </w:p>
        </w:tc>
      </w:tr>
      <w:tr w14:paraId="4BEFF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31" w:type="dxa"/>
            <w:tcMar>
              <w:top w:w="16" w:type="dxa"/>
              <w:left w:w="16" w:type="dxa"/>
              <w:right w:w="16" w:type="dxa"/>
            </w:tcMar>
            <w:vAlign w:val="center"/>
          </w:tcPr>
          <w:p w14:paraId="24C3760F">
            <w:pPr>
              <w:adjustRightInd w:val="0"/>
              <w:snapToGrid w:val="0"/>
              <w:jc w:val="center"/>
              <w:rPr>
                <w:color w:val="auto"/>
                <w:sz w:val="24"/>
              </w:rPr>
            </w:pPr>
            <w:r>
              <w:rPr>
                <w:color w:val="auto"/>
                <w:sz w:val="24"/>
              </w:rPr>
              <w:t>项目审批（核准/备案）部门（选填）</w:t>
            </w:r>
          </w:p>
        </w:tc>
        <w:tc>
          <w:tcPr>
            <w:tcW w:w="2977" w:type="dxa"/>
            <w:vAlign w:val="center"/>
          </w:tcPr>
          <w:p w14:paraId="489DF172">
            <w:pPr>
              <w:adjustRightInd w:val="0"/>
              <w:snapToGrid w:val="0"/>
              <w:jc w:val="center"/>
              <w:rPr>
                <w:color w:val="auto"/>
                <w:sz w:val="24"/>
              </w:rPr>
            </w:pPr>
            <w:r>
              <w:rPr>
                <w:color w:val="auto"/>
                <w:sz w:val="24"/>
              </w:rPr>
              <w:t>淮安涟水县发展改革委</w:t>
            </w:r>
          </w:p>
        </w:tc>
        <w:tc>
          <w:tcPr>
            <w:tcW w:w="1823" w:type="dxa"/>
            <w:vAlign w:val="center"/>
          </w:tcPr>
          <w:p w14:paraId="68D9CA76">
            <w:pPr>
              <w:adjustRightInd w:val="0"/>
              <w:snapToGrid w:val="0"/>
              <w:jc w:val="center"/>
              <w:rPr>
                <w:color w:val="auto"/>
                <w:sz w:val="24"/>
              </w:rPr>
            </w:pPr>
            <w:r>
              <w:rPr>
                <w:color w:val="auto"/>
                <w:sz w:val="24"/>
              </w:rPr>
              <w:t>项目审批（核准/</w:t>
            </w:r>
          </w:p>
          <w:p w14:paraId="2730018D">
            <w:pPr>
              <w:adjustRightInd w:val="0"/>
              <w:snapToGrid w:val="0"/>
              <w:jc w:val="center"/>
              <w:rPr>
                <w:color w:val="auto"/>
                <w:sz w:val="24"/>
              </w:rPr>
            </w:pPr>
            <w:r>
              <w:rPr>
                <w:color w:val="auto"/>
                <w:sz w:val="24"/>
              </w:rPr>
              <w:t>备案）文号（选填）</w:t>
            </w:r>
          </w:p>
        </w:tc>
        <w:tc>
          <w:tcPr>
            <w:tcW w:w="2639" w:type="dxa"/>
            <w:vAlign w:val="center"/>
          </w:tcPr>
          <w:p w14:paraId="61FDBA30">
            <w:pPr>
              <w:adjustRightInd w:val="0"/>
              <w:snapToGrid w:val="0"/>
              <w:jc w:val="center"/>
              <w:rPr>
                <w:color w:val="auto"/>
                <w:sz w:val="24"/>
              </w:rPr>
            </w:pPr>
            <w:r>
              <w:rPr>
                <w:color w:val="auto"/>
                <w:sz w:val="24"/>
              </w:rPr>
              <w:t>涟水发改备〔2025〕39号</w:t>
            </w:r>
          </w:p>
        </w:tc>
      </w:tr>
      <w:tr w14:paraId="07C82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65FC7CB6">
            <w:pPr>
              <w:adjustRightInd w:val="0"/>
              <w:snapToGrid w:val="0"/>
              <w:jc w:val="center"/>
              <w:rPr>
                <w:color w:val="auto"/>
                <w:sz w:val="24"/>
              </w:rPr>
            </w:pPr>
            <w:r>
              <w:rPr>
                <w:color w:val="auto"/>
                <w:sz w:val="24"/>
              </w:rPr>
              <w:t>总投资（万元）</w:t>
            </w:r>
          </w:p>
        </w:tc>
        <w:tc>
          <w:tcPr>
            <w:tcW w:w="2977" w:type="dxa"/>
            <w:vAlign w:val="center"/>
          </w:tcPr>
          <w:p w14:paraId="452E9DD4">
            <w:pPr>
              <w:adjustRightInd w:val="0"/>
              <w:snapToGrid w:val="0"/>
              <w:jc w:val="center"/>
              <w:rPr>
                <w:color w:val="auto"/>
                <w:sz w:val="24"/>
              </w:rPr>
            </w:pPr>
            <w:r>
              <w:rPr>
                <w:color w:val="auto"/>
                <w:sz w:val="24"/>
              </w:rPr>
              <w:t>42000</w:t>
            </w:r>
          </w:p>
        </w:tc>
        <w:tc>
          <w:tcPr>
            <w:tcW w:w="1823" w:type="dxa"/>
            <w:tcMar>
              <w:top w:w="16" w:type="dxa"/>
              <w:left w:w="16" w:type="dxa"/>
              <w:right w:w="16" w:type="dxa"/>
            </w:tcMar>
            <w:vAlign w:val="center"/>
          </w:tcPr>
          <w:p w14:paraId="7CB8364A">
            <w:pPr>
              <w:adjustRightInd w:val="0"/>
              <w:snapToGrid w:val="0"/>
              <w:jc w:val="center"/>
              <w:rPr>
                <w:color w:val="auto"/>
                <w:sz w:val="24"/>
              </w:rPr>
            </w:pPr>
            <w:r>
              <w:rPr>
                <w:color w:val="auto"/>
                <w:sz w:val="24"/>
              </w:rPr>
              <w:t>环保投资（万元）</w:t>
            </w:r>
          </w:p>
        </w:tc>
        <w:tc>
          <w:tcPr>
            <w:tcW w:w="2639" w:type="dxa"/>
            <w:vAlign w:val="center"/>
          </w:tcPr>
          <w:p w14:paraId="56A3D622">
            <w:pPr>
              <w:adjustRightInd w:val="0"/>
              <w:snapToGrid w:val="0"/>
              <w:jc w:val="center"/>
              <w:rPr>
                <w:color w:val="auto"/>
                <w:sz w:val="24"/>
              </w:rPr>
            </w:pPr>
            <w:r>
              <w:rPr>
                <w:rFonts w:hint="eastAsia"/>
                <w:color w:val="auto"/>
                <w:sz w:val="24"/>
              </w:rPr>
              <w:t>300</w:t>
            </w:r>
          </w:p>
        </w:tc>
      </w:tr>
      <w:tr w14:paraId="56596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38503E91">
            <w:pPr>
              <w:adjustRightInd w:val="0"/>
              <w:snapToGrid w:val="0"/>
              <w:jc w:val="center"/>
              <w:rPr>
                <w:color w:val="auto"/>
                <w:sz w:val="24"/>
              </w:rPr>
            </w:pPr>
            <w:r>
              <w:rPr>
                <w:color w:val="auto"/>
                <w:sz w:val="24"/>
              </w:rPr>
              <w:t>环保投资占比（%）</w:t>
            </w:r>
          </w:p>
        </w:tc>
        <w:tc>
          <w:tcPr>
            <w:tcW w:w="2977" w:type="dxa"/>
            <w:vAlign w:val="center"/>
          </w:tcPr>
          <w:p w14:paraId="3D632A51">
            <w:pPr>
              <w:adjustRightInd w:val="0"/>
              <w:snapToGrid w:val="0"/>
              <w:jc w:val="center"/>
              <w:rPr>
                <w:color w:val="auto"/>
                <w:sz w:val="24"/>
              </w:rPr>
            </w:pPr>
            <w:r>
              <w:rPr>
                <w:rFonts w:hint="eastAsia"/>
                <w:color w:val="auto"/>
                <w:sz w:val="24"/>
              </w:rPr>
              <w:t>0.71</w:t>
            </w:r>
          </w:p>
        </w:tc>
        <w:tc>
          <w:tcPr>
            <w:tcW w:w="1823" w:type="dxa"/>
            <w:tcMar>
              <w:top w:w="16" w:type="dxa"/>
              <w:left w:w="16" w:type="dxa"/>
              <w:right w:w="16" w:type="dxa"/>
            </w:tcMar>
            <w:vAlign w:val="center"/>
          </w:tcPr>
          <w:p w14:paraId="4FD56AAC">
            <w:pPr>
              <w:adjustRightInd w:val="0"/>
              <w:snapToGrid w:val="0"/>
              <w:jc w:val="center"/>
              <w:rPr>
                <w:color w:val="auto"/>
                <w:sz w:val="24"/>
              </w:rPr>
            </w:pPr>
            <w:r>
              <w:rPr>
                <w:color w:val="auto"/>
                <w:sz w:val="24"/>
              </w:rPr>
              <w:t>施工工期</w:t>
            </w:r>
          </w:p>
        </w:tc>
        <w:tc>
          <w:tcPr>
            <w:tcW w:w="2639" w:type="dxa"/>
            <w:vAlign w:val="center"/>
          </w:tcPr>
          <w:p w14:paraId="457C6779">
            <w:pPr>
              <w:adjustRightInd w:val="0"/>
              <w:snapToGrid w:val="0"/>
              <w:jc w:val="center"/>
              <w:rPr>
                <w:color w:val="auto"/>
                <w:sz w:val="24"/>
              </w:rPr>
            </w:pPr>
            <w:r>
              <w:rPr>
                <w:rFonts w:hint="eastAsia"/>
                <w:color w:val="auto"/>
                <w:sz w:val="24"/>
              </w:rPr>
              <w:t>1年</w:t>
            </w:r>
          </w:p>
        </w:tc>
      </w:tr>
      <w:tr w14:paraId="14D2F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D72640A">
            <w:pPr>
              <w:adjustRightInd w:val="0"/>
              <w:snapToGrid w:val="0"/>
              <w:jc w:val="center"/>
              <w:rPr>
                <w:color w:val="auto"/>
                <w:sz w:val="24"/>
              </w:rPr>
            </w:pPr>
            <w:r>
              <w:rPr>
                <w:color w:val="auto"/>
                <w:sz w:val="24"/>
              </w:rPr>
              <w:t>是否开工建设</w:t>
            </w:r>
          </w:p>
        </w:tc>
        <w:tc>
          <w:tcPr>
            <w:tcW w:w="2977" w:type="dxa"/>
            <w:vAlign w:val="center"/>
          </w:tcPr>
          <w:p w14:paraId="56D93AD3">
            <w:pPr>
              <w:adjustRightInd w:val="0"/>
              <w:snapToGrid w:val="0"/>
              <w:rPr>
                <w:color w:val="auto"/>
                <w:sz w:val="24"/>
              </w:rPr>
            </w:pPr>
            <w:r>
              <w:rPr>
                <w:color w:val="auto"/>
                <w:sz w:val="24"/>
              </w:rPr>
              <w:sym w:font="Wingdings 2" w:char="F052"/>
            </w:r>
            <w:r>
              <w:rPr>
                <w:color w:val="auto"/>
                <w:sz w:val="24"/>
              </w:rPr>
              <w:t>否</w:t>
            </w:r>
          </w:p>
          <w:p w14:paraId="38664E3D">
            <w:pPr>
              <w:adjustRightInd w:val="0"/>
              <w:snapToGrid w:val="0"/>
              <w:rPr>
                <w:color w:val="auto"/>
                <w:sz w:val="24"/>
              </w:rPr>
            </w:pPr>
            <w:r>
              <w:rPr>
                <w:color w:val="auto"/>
                <w:sz w:val="24"/>
              </w:rPr>
              <w:sym w:font="Wingdings 2" w:char="00A3"/>
            </w:r>
            <w:r>
              <w:rPr>
                <w:color w:val="auto"/>
                <w:sz w:val="24"/>
              </w:rPr>
              <w:t>是</w:t>
            </w:r>
          </w:p>
        </w:tc>
        <w:tc>
          <w:tcPr>
            <w:tcW w:w="1823" w:type="dxa"/>
            <w:tcMar>
              <w:top w:w="16" w:type="dxa"/>
              <w:left w:w="16" w:type="dxa"/>
              <w:right w:w="16" w:type="dxa"/>
            </w:tcMar>
            <w:vAlign w:val="center"/>
          </w:tcPr>
          <w:p w14:paraId="4C9EDBF3">
            <w:pPr>
              <w:adjustRightInd w:val="0"/>
              <w:snapToGrid w:val="0"/>
              <w:jc w:val="center"/>
              <w:rPr>
                <w:color w:val="auto"/>
                <w:spacing w:val="-6"/>
                <w:sz w:val="24"/>
              </w:rPr>
            </w:pPr>
            <w:r>
              <w:rPr>
                <w:color w:val="auto"/>
                <w:spacing w:val="-6"/>
                <w:sz w:val="24"/>
              </w:rPr>
              <w:t>用地（用海）</w:t>
            </w:r>
          </w:p>
          <w:p w14:paraId="0A392BC6">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vAlign w:val="center"/>
          </w:tcPr>
          <w:p w14:paraId="54247D46">
            <w:pPr>
              <w:adjustRightInd w:val="0"/>
              <w:snapToGrid w:val="0"/>
              <w:jc w:val="center"/>
              <w:rPr>
                <w:color w:val="auto"/>
                <w:sz w:val="24"/>
              </w:rPr>
            </w:pPr>
            <w:r>
              <w:rPr>
                <w:color w:val="auto"/>
                <w:sz w:val="24"/>
              </w:rPr>
              <w:t>86115</w:t>
            </w:r>
          </w:p>
        </w:tc>
      </w:tr>
      <w:tr w14:paraId="014CE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2DB50BB8">
            <w:pPr>
              <w:autoSpaceDE w:val="0"/>
              <w:autoSpaceDN w:val="0"/>
              <w:adjustRightInd w:val="0"/>
              <w:snapToGrid w:val="0"/>
              <w:jc w:val="center"/>
              <w:rPr>
                <w:color w:val="auto"/>
                <w:kern w:val="0"/>
                <w:sz w:val="24"/>
              </w:rPr>
            </w:pPr>
            <w:r>
              <w:rPr>
                <w:color w:val="auto"/>
                <w:kern w:val="0"/>
                <w:sz w:val="24"/>
              </w:rPr>
              <w:t>专项评价设置情况</w:t>
            </w:r>
          </w:p>
        </w:tc>
        <w:tc>
          <w:tcPr>
            <w:tcW w:w="7439" w:type="dxa"/>
            <w:gridSpan w:val="3"/>
            <w:vAlign w:val="center"/>
          </w:tcPr>
          <w:p w14:paraId="2956B03F">
            <w:pPr>
              <w:autoSpaceDE w:val="0"/>
              <w:autoSpaceDN w:val="0"/>
              <w:adjustRightInd w:val="0"/>
              <w:snapToGrid w:val="0"/>
              <w:rPr>
                <w:color w:val="auto"/>
                <w:kern w:val="0"/>
                <w:sz w:val="24"/>
              </w:rPr>
            </w:pPr>
            <w:r>
              <w:rPr>
                <w:color w:val="auto"/>
                <w:kern w:val="0"/>
                <w:sz w:val="24"/>
              </w:rPr>
              <w:t>无</w:t>
            </w:r>
          </w:p>
        </w:tc>
      </w:tr>
      <w:tr w14:paraId="139DF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5192C639">
            <w:pPr>
              <w:autoSpaceDE w:val="0"/>
              <w:autoSpaceDN w:val="0"/>
              <w:adjustRightInd w:val="0"/>
              <w:snapToGrid w:val="0"/>
              <w:jc w:val="center"/>
              <w:rPr>
                <w:color w:val="auto"/>
                <w:kern w:val="0"/>
                <w:sz w:val="24"/>
              </w:rPr>
            </w:pPr>
            <w:r>
              <w:rPr>
                <w:color w:val="auto"/>
                <w:sz w:val="24"/>
              </w:rPr>
              <w:t>规划情况</w:t>
            </w:r>
          </w:p>
        </w:tc>
        <w:tc>
          <w:tcPr>
            <w:tcW w:w="7439" w:type="dxa"/>
            <w:gridSpan w:val="3"/>
            <w:vAlign w:val="center"/>
          </w:tcPr>
          <w:p w14:paraId="444D77F6">
            <w:pPr>
              <w:autoSpaceDE w:val="0"/>
              <w:autoSpaceDN w:val="0"/>
              <w:adjustRightInd w:val="0"/>
              <w:snapToGrid w:val="0"/>
              <w:rPr>
                <w:color w:val="auto"/>
                <w:kern w:val="0"/>
                <w:sz w:val="24"/>
              </w:rPr>
            </w:pPr>
            <w:r>
              <w:rPr>
                <w:color w:val="auto"/>
                <w:kern w:val="0"/>
                <w:sz w:val="24"/>
              </w:rPr>
              <w:t>规划名称：《淮安</w:t>
            </w:r>
            <w:r>
              <w:rPr>
                <w:rFonts w:hint="eastAsia"/>
                <w:color w:val="auto"/>
                <w:kern w:val="0"/>
                <w:sz w:val="24"/>
                <w:lang w:eastAsia="zh-CN"/>
              </w:rPr>
              <w:t>（</w:t>
            </w:r>
            <w:r>
              <w:rPr>
                <w:color w:val="auto"/>
                <w:kern w:val="0"/>
                <w:sz w:val="24"/>
              </w:rPr>
              <w:t>涟水</w:t>
            </w:r>
            <w:r>
              <w:rPr>
                <w:rFonts w:hint="eastAsia"/>
                <w:color w:val="auto"/>
                <w:kern w:val="0"/>
                <w:sz w:val="24"/>
                <w:lang w:eastAsia="zh-CN"/>
              </w:rPr>
              <w:t>）</w:t>
            </w:r>
            <w:r>
              <w:rPr>
                <w:color w:val="auto"/>
                <w:kern w:val="0"/>
                <w:sz w:val="24"/>
              </w:rPr>
              <w:t>空港产业园核心区东区开发建设规划（2022-2035）》</w:t>
            </w:r>
          </w:p>
          <w:p w14:paraId="1BB1B953">
            <w:pPr>
              <w:autoSpaceDE w:val="0"/>
              <w:autoSpaceDN w:val="0"/>
              <w:adjustRightInd w:val="0"/>
              <w:snapToGrid w:val="0"/>
              <w:rPr>
                <w:color w:val="auto"/>
                <w:kern w:val="0"/>
                <w:sz w:val="24"/>
              </w:rPr>
            </w:pPr>
            <w:r>
              <w:rPr>
                <w:color w:val="auto"/>
                <w:kern w:val="0"/>
                <w:sz w:val="24"/>
              </w:rPr>
              <w:t>审批机关：涟水县人民政府</w:t>
            </w:r>
          </w:p>
          <w:p w14:paraId="29184044">
            <w:pPr>
              <w:autoSpaceDE w:val="0"/>
              <w:autoSpaceDN w:val="0"/>
              <w:adjustRightInd w:val="0"/>
              <w:snapToGrid w:val="0"/>
              <w:rPr>
                <w:color w:val="auto"/>
                <w:kern w:val="0"/>
                <w:sz w:val="24"/>
              </w:rPr>
            </w:pPr>
            <w:r>
              <w:rPr>
                <w:color w:val="auto"/>
                <w:kern w:val="0"/>
                <w:sz w:val="24"/>
              </w:rPr>
              <w:t>审批文号：涟政复</w:t>
            </w:r>
            <w:r>
              <w:rPr>
                <w:rFonts w:hint="eastAsia"/>
                <w:color w:val="auto"/>
                <w:kern w:val="0"/>
                <w:sz w:val="24"/>
                <w:lang w:eastAsia="zh-CN"/>
              </w:rPr>
              <w:t>〔2021〕8号</w:t>
            </w:r>
          </w:p>
        </w:tc>
      </w:tr>
      <w:tr w14:paraId="0B184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494248FF">
            <w:pPr>
              <w:adjustRightInd w:val="0"/>
              <w:snapToGrid w:val="0"/>
              <w:jc w:val="center"/>
              <w:rPr>
                <w:color w:val="auto"/>
                <w:kern w:val="0"/>
                <w:sz w:val="24"/>
              </w:rPr>
            </w:pPr>
            <w:r>
              <w:rPr>
                <w:color w:val="auto"/>
                <w:sz w:val="24"/>
              </w:rPr>
              <w:t>规划环境影响评价情况</w:t>
            </w:r>
          </w:p>
        </w:tc>
        <w:tc>
          <w:tcPr>
            <w:tcW w:w="7439" w:type="dxa"/>
            <w:gridSpan w:val="3"/>
            <w:vAlign w:val="center"/>
          </w:tcPr>
          <w:p w14:paraId="55A7B828">
            <w:pPr>
              <w:autoSpaceDE w:val="0"/>
              <w:autoSpaceDN w:val="0"/>
              <w:adjustRightInd w:val="0"/>
              <w:snapToGrid w:val="0"/>
              <w:rPr>
                <w:color w:val="auto"/>
                <w:kern w:val="0"/>
                <w:sz w:val="24"/>
              </w:rPr>
            </w:pPr>
            <w:r>
              <w:rPr>
                <w:color w:val="auto"/>
                <w:kern w:val="0"/>
                <w:sz w:val="24"/>
              </w:rPr>
              <w:t>规划环评文件名称：《淮安</w:t>
            </w:r>
            <w:r>
              <w:rPr>
                <w:rFonts w:hint="eastAsia"/>
                <w:color w:val="auto"/>
                <w:kern w:val="0"/>
                <w:sz w:val="24"/>
                <w:lang w:eastAsia="zh-CN"/>
              </w:rPr>
              <w:t>（</w:t>
            </w:r>
            <w:r>
              <w:rPr>
                <w:color w:val="auto"/>
                <w:kern w:val="0"/>
                <w:sz w:val="24"/>
              </w:rPr>
              <w:t>涟水</w:t>
            </w:r>
            <w:r>
              <w:rPr>
                <w:rFonts w:hint="eastAsia"/>
                <w:color w:val="auto"/>
                <w:kern w:val="0"/>
                <w:sz w:val="24"/>
                <w:lang w:eastAsia="zh-CN"/>
              </w:rPr>
              <w:t>）</w:t>
            </w:r>
            <w:r>
              <w:rPr>
                <w:color w:val="auto"/>
                <w:kern w:val="0"/>
                <w:sz w:val="24"/>
              </w:rPr>
              <w:t>空港产业园核心区东区开发建设规划（2022-2035）环境影响报告书》</w:t>
            </w:r>
          </w:p>
          <w:p w14:paraId="281B5462">
            <w:pPr>
              <w:autoSpaceDE w:val="0"/>
              <w:autoSpaceDN w:val="0"/>
              <w:adjustRightInd w:val="0"/>
              <w:snapToGrid w:val="0"/>
              <w:rPr>
                <w:color w:val="auto"/>
                <w:kern w:val="0"/>
                <w:sz w:val="24"/>
              </w:rPr>
            </w:pPr>
            <w:r>
              <w:rPr>
                <w:color w:val="auto"/>
                <w:kern w:val="0"/>
                <w:sz w:val="24"/>
              </w:rPr>
              <w:t>审查机关：淮安市涟水生态环境局</w:t>
            </w:r>
          </w:p>
          <w:p w14:paraId="352406E6">
            <w:pPr>
              <w:autoSpaceDE w:val="0"/>
              <w:autoSpaceDN w:val="0"/>
              <w:adjustRightInd w:val="0"/>
              <w:snapToGrid w:val="0"/>
              <w:rPr>
                <w:color w:val="auto"/>
                <w:kern w:val="0"/>
                <w:sz w:val="24"/>
              </w:rPr>
            </w:pPr>
            <w:r>
              <w:rPr>
                <w:color w:val="auto"/>
                <w:kern w:val="0"/>
                <w:sz w:val="24"/>
              </w:rPr>
              <w:t>审查文件名称及文号：《关于对淮安</w:t>
            </w:r>
            <w:r>
              <w:rPr>
                <w:rFonts w:hint="eastAsia"/>
                <w:color w:val="auto"/>
                <w:kern w:val="0"/>
                <w:sz w:val="24"/>
                <w:lang w:eastAsia="zh-CN"/>
              </w:rPr>
              <w:t>（</w:t>
            </w:r>
            <w:r>
              <w:rPr>
                <w:color w:val="auto"/>
                <w:kern w:val="0"/>
                <w:sz w:val="24"/>
              </w:rPr>
              <w:t>涟水</w:t>
            </w:r>
            <w:r>
              <w:rPr>
                <w:rFonts w:hint="eastAsia"/>
                <w:color w:val="auto"/>
                <w:kern w:val="0"/>
                <w:sz w:val="24"/>
                <w:lang w:eastAsia="zh-CN"/>
              </w:rPr>
              <w:t>）</w:t>
            </w:r>
            <w:r>
              <w:rPr>
                <w:color w:val="auto"/>
                <w:kern w:val="0"/>
                <w:sz w:val="24"/>
              </w:rPr>
              <w:t>空港产业园核心区东区开发建设规划（2022-2035）环境影响报告书的审查意见》（涟环函</w:t>
            </w:r>
            <w:r>
              <w:rPr>
                <w:rFonts w:hint="eastAsia"/>
                <w:color w:val="auto"/>
                <w:kern w:val="0"/>
                <w:sz w:val="24"/>
                <w:lang w:eastAsia="zh-CN"/>
              </w:rPr>
              <w:t>〔2023〕25号</w:t>
            </w:r>
            <w:r>
              <w:rPr>
                <w:color w:val="auto"/>
                <w:kern w:val="0"/>
                <w:sz w:val="24"/>
              </w:rPr>
              <w:t>）</w:t>
            </w:r>
          </w:p>
        </w:tc>
      </w:tr>
      <w:tr w14:paraId="4F3C7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1431" w:type="dxa"/>
            <w:vAlign w:val="center"/>
          </w:tcPr>
          <w:p w14:paraId="63500823">
            <w:pPr>
              <w:autoSpaceDE w:val="0"/>
              <w:autoSpaceDN w:val="0"/>
              <w:adjustRightInd w:val="0"/>
              <w:snapToGrid w:val="0"/>
              <w:jc w:val="center"/>
              <w:rPr>
                <w:color w:val="auto"/>
                <w:kern w:val="0"/>
                <w:szCs w:val="21"/>
              </w:rPr>
            </w:pPr>
            <w:r>
              <w:rPr>
                <w:color w:val="auto"/>
                <w:kern w:val="0"/>
                <w:sz w:val="24"/>
              </w:rPr>
              <w:t>规划及规划环境影响评价符合性分析</w:t>
            </w:r>
          </w:p>
        </w:tc>
        <w:tc>
          <w:tcPr>
            <w:tcW w:w="7439" w:type="dxa"/>
            <w:gridSpan w:val="3"/>
            <w:vAlign w:val="center"/>
          </w:tcPr>
          <w:p w14:paraId="776966EB">
            <w:pPr>
              <w:spacing w:line="360" w:lineRule="auto"/>
              <w:rPr>
                <w:b/>
                <w:color w:val="auto"/>
                <w:kern w:val="0"/>
                <w:sz w:val="24"/>
              </w:rPr>
            </w:pPr>
            <w:r>
              <w:rPr>
                <w:b/>
                <w:color w:val="auto"/>
                <w:kern w:val="0"/>
                <w:sz w:val="24"/>
              </w:rPr>
              <w:t>1.1与规划相符性分析</w:t>
            </w:r>
          </w:p>
          <w:p w14:paraId="78AF85E7">
            <w:pPr>
              <w:spacing w:line="360" w:lineRule="auto"/>
              <w:ind w:firstLine="480" w:firstLineChars="200"/>
              <w:rPr>
                <w:bCs/>
                <w:color w:val="auto"/>
                <w:kern w:val="0"/>
                <w:sz w:val="24"/>
              </w:rPr>
            </w:pPr>
            <w:r>
              <w:rPr>
                <w:rFonts w:hint="eastAsia"/>
                <w:bCs/>
                <w:color w:val="auto"/>
                <w:kern w:val="0"/>
                <w:sz w:val="24"/>
              </w:rPr>
              <w:t>为主动适应经济产业新常态，促进涟水空港产业园高质量发展，涟水经开区管委会立足园区的基础、特色和优势，组织编制了《淮安（涟水）空港产业园核心区东区开发建设规划（2022-2035）》，本轮规划面积13.90平方公里，规划范围为东北至清涟大道和红日大道，西南至进场路，东南至宁连高速，西北至机场路，将园区打造成为“苏北空港门户枢纽、淮安新兴产业基地、涟水现代空港新城；集新能源新材料、高端装备制造、电子信息产业、现代服务、配套居住为一体的综合产业园区”。</w:t>
            </w:r>
          </w:p>
          <w:p w14:paraId="049FF161">
            <w:pPr>
              <w:pStyle w:val="196"/>
              <w:snapToGrid w:val="0"/>
              <w:spacing w:line="360" w:lineRule="auto"/>
              <w:ind w:firstLine="480" w:firstLineChars="200"/>
              <w:rPr>
                <w:rFonts w:ascii="Times New Roman" w:cs="Times New Roman"/>
                <w:b/>
                <w:color w:val="auto"/>
              </w:rPr>
            </w:pPr>
            <w:r>
              <w:rPr>
                <w:rFonts w:ascii="Times New Roman" w:cs="Times New Roman"/>
                <w:bCs/>
                <w:color w:val="auto"/>
              </w:rPr>
              <w:t>本项目位于淮安（涟水）空港产业园核心区东区规划范围内，项目所在用地为</w:t>
            </w:r>
            <w:r>
              <w:rPr>
                <w:rFonts w:hint="eastAsia" w:ascii="Times New Roman" w:cs="Times New Roman"/>
                <w:bCs/>
                <w:color w:val="auto"/>
                <w:lang w:eastAsia="zh-CN"/>
              </w:rPr>
              <w:t>工业用地</w:t>
            </w:r>
            <w:r>
              <w:rPr>
                <w:rFonts w:ascii="Times New Roman" w:cs="Times New Roman"/>
                <w:bCs/>
                <w:color w:val="auto"/>
              </w:rPr>
              <w:t>，符合用地规划要求。本项目</w:t>
            </w:r>
            <w:r>
              <w:rPr>
                <w:rFonts w:hint="eastAsia" w:ascii="Times New Roman" w:cs="Times New Roman"/>
                <w:bCs/>
                <w:color w:val="auto"/>
              </w:rPr>
              <w:t>地理位置图</w:t>
            </w:r>
            <w:r>
              <w:rPr>
                <w:rFonts w:ascii="Times New Roman" w:cs="Times New Roman"/>
                <w:bCs/>
                <w:color w:val="auto"/>
              </w:rPr>
              <w:t>见</w:t>
            </w:r>
            <w:r>
              <w:rPr>
                <w:rFonts w:ascii="Times New Roman" w:cs="Times New Roman"/>
                <w:b/>
                <w:color w:val="auto"/>
              </w:rPr>
              <w:t>附图1</w:t>
            </w:r>
            <w:r>
              <w:rPr>
                <w:rFonts w:ascii="Times New Roman" w:cs="Times New Roman"/>
                <w:bCs/>
                <w:color w:val="auto"/>
              </w:rPr>
              <w:t>。</w:t>
            </w:r>
            <w:r>
              <w:rPr>
                <w:rFonts w:hint="eastAsia" w:ascii="Times New Roman" w:cs="Times New Roman"/>
                <w:bCs/>
                <w:color w:val="auto"/>
              </w:rPr>
              <w:t>本项目产品为展示道具柜台，不属于</w:t>
            </w:r>
            <w:r>
              <w:rPr>
                <w:rFonts w:ascii="Times New Roman" w:cs="Times New Roman"/>
                <w:bCs/>
                <w:color w:val="auto"/>
              </w:rPr>
              <w:t>淮安（涟水）空港产业园</w:t>
            </w:r>
            <w:r>
              <w:rPr>
                <w:rFonts w:hint="eastAsia" w:ascii="Times New Roman" w:cs="Times New Roman"/>
                <w:bCs/>
                <w:color w:val="auto"/>
              </w:rPr>
              <w:t>禁止类产业，符合园区现代服务产业定位。</w:t>
            </w:r>
          </w:p>
          <w:p w14:paraId="0B1C227E">
            <w:pPr>
              <w:pStyle w:val="196"/>
              <w:snapToGrid w:val="0"/>
              <w:spacing w:line="360" w:lineRule="auto"/>
              <w:rPr>
                <w:rFonts w:ascii="Times New Roman" w:cs="Times New Roman"/>
                <w:bCs/>
                <w:color w:val="auto"/>
              </w:rPr>
            </w:pPr>
            <w:r>
              <w:rPr>
                <w:rFonts w:ascii="Times New Roman" w:cs="Times New Roman"/>
                <w:b/>
                <w:color w:val="auto"/>
              </w:rPr>
              <w:t>1.</w:t>
            </w:r>
            <w:r>
              <w:rPr>
                <w:rFonts w:hint="eastAsia" w:ascii="Times New Roman" w:cs="Times New Roman"/>
                <w:b/>
                <w:color w:val="auto"/>
              </w:rPr>
              <w:t>2</w:t>
            </w:r>
            <w:r>
              <w:rPr>
                <w:rFonts w:ascii="Times New Roman" w:cs="Times New Roman"/>
                <w:b/>
                <w:color w:val="auto"/>
              </w:rPr>
              <w:t>与规划环评相符性分析</w:t>
            </w:r>
          </w:p>
          <w:p w14:paraId="72EF7A0E">
            <w:pPr>
              <w:spacing w:line="360" w:lineRule="auto"/>
              <w:ind w:firstLine="482" w:firstLineChars="200"/>
              <w:rPr>
                <w:b/>
                <w:bCs/>
                <w:color w:val="auto"/>
                <w:kern w:val="0"/>
                <w:sz w:val="24"/>
              </w:rPr>
            </w:pPr>
            <w:r>
              <w:rPr>
                <w:b/>
                <w:color w:val="auto"/>
                <w:kern w:val="0"/>
                <w:sz w:val="24"/>
              </w:rPr>
              <w:t>本项目</w:t>
            </w:r>
            <w:r>
              <w:rPr>
                <w:rFonts w:hint="eastAsia"/>
                <w:b/>
                <w:color w:val="auto"/>
                <w:kern w:val="0"/>
                <w:sz w:val="24"/>
              </w:rPr>
              <w:t>与</w:t>
            </w:r>
            <w:r>
              <w:rPr>
                <w:rFonts w:hint="eastAsia"/>
                <w:b/>
                <w:bCs/>
                <w:color w:val="auto"/>
                <w:kern w:val="0"/>
                <w:sz w:val="24"/>
              </w:rPr>
              <w:t>《关于对淮安</w:t>
            </w:r>
            <w:r>
              <w:rPr>
                <w:rFonts w:hint="eastAsia"/>
                <w:b/>
                <w:bCs/>
                <w:color w:val="auto"/>
                <w:kern w:val="0"/>
                <w:sz w:val="24"/>
                <w:lang w:eastAsia="zh-CN"/>
              </w:rPr>
              <w:t>（</w:t>
            </w:r>
            <w:r>
              <w:rPr>
                <w:rFonts w:hint="eastAsia"/>
                <w:b/>
                <w:bCs/>
                <w:color w:val="auto"/>
                <w:kern w:val="0"/>
                <w:sz w:val="24"/>
              </w:rPr>
              <w:t>涟水</w:t>
            </w:r>
            <w:r>
              <w:rPr>
                <w:rFonts w:hint="eastAsia"/>
                <w:b/>
                <w:bCs/>
                <w:color w:val="auto"/>
                <w:kern w:val="0"/>
                <w:sz w:val="24"/>
                <w:lang w:eastAsia="zh-CN"/>
              </w:rPr>
              <w:t>）</w:t>
            </w:r>
            <w:r>
              <w:rPr>
                <w:rFonts w:hint="eastAsia"/>
                <w:b/>
                <w:bCs/>
                <w:color w:val="auto"/>
                <w:kern w:val="0"/>
                <w:sz w:val="24"/>
              </w:rPr>
              <w:t>空港产业园核心区东区开发建设规划（2022-2035）环境影响报告书的审查意见》（涟环函</w:t>
            </w:r>
            <w:r>
              <w:rPr>
                <w:rFonts w:hint="eastAsia"/>
                <w:b/>
                <w:bCs/>
                <w:color w:val="auto"/>
                <w:kern w:val="0"/>
                <w:sz w:val="24"/>
                <w:lang w:eastAsia="zh-CN"/>
              </w:rPr>
              <w:t>〔2023〕25号</w:t>
            </w:r>
            <w:r>
              <w:rPr>
                <w:rFonts w:hint="eastAsia"/>
                <w:b/>
                <w:bCs/>
                <w:color w:val="auto"/>
                <w:kern w:val="0"/>
                <w:sz w:val="24"/>
              </w:rPr>
              <w:t>）</w:t>
            </w:r>
            <w:r>
              <w:rPr>
                <w:b/>
                <w:color w:val="auto"/>
                <w:kern w:val="0"/>
                <w:sz w:val="24"/>
              </w:rPr>
              <w:t>相符性分析见表1-1。</w:t>
            </w:r>
          </w:p>
          <w:p w14:paraId="1FF71715">
            <w:pPr>
              <w:keepNext/>
              <w:adjustRightInd w:val="0"/>
              <w:snapToGrid w:val="0"/>
              <w:jc w:val="center"/>
              <w:rPr>
                <w:color w:val="auto"/>
              </w:rPr>
            </w:pPr>
            <w:r>
              <w:rPr>
                <w:b/>
                <w:color w:val="auto"/>
                <w:sz w:val="24"/>
                <w:szCs w:val="32"/>
              </w:rPr>
              <w:t>表1-</w:t>
            </w:r>
            <w:r>
              <w:rPr>
                <w:rFonts w:hint="eastAsia"/>
                <w:b/>
                <w:color w:val="auto"/>
                <w:sz w:val="24"/>
                <w:szCs w:val="32"/>
              </w:rPr>
              <w:t>1</w:t>
            </w:r>
            <w:r>
              <w:rPr>
                <w:b/>
                <w:color w:val="auto"/>
                <w:sz w:val="24"/>
                <w:szCs w:val="32"/>
              </w:rPr>
              <w:t xml:space="preserve"> 与</w:t>
            </w:r>
            <w:r>
              <w:rPr>
                <w:rFonts w:hint="eastAsia"/>
                <w:b/>
                <w:color w:val="auto"/>
                <w:sz w:val="24"/>
                <w:szCs w:val="32"/>
              </w:rPr>
              <w:t>规划环评审查意见（</w:t>
            </w:r>
            <w:r>
              <w:rPr>
                <w:rFonts w:hint="eastAsia"/>
                <w:b/>
                <w:bCs/>
                <w:color w:val="auto"/>
                <w:kern w:val="0"/>
                <w:sz w:val="24"/>
              </w:rPr>
              <w:t>涟环函</w:t>
            </w:r>
            <w:r>
              <w:rPr>
                <w:rFonts w:hint="eastAsia"/>
                <w:b/>
                <w:bCs/>
                <w:color w:val="auto"/>
                <w:kern w:val="0"/>
                <w:sz w:val="24"/>
                <w:lang w:eastAsia="zh-CN"/>
              </w:rPr>
              <w:t>〔2023〕25号</w:t>
            </w:r>
            <w:r>
              <w:rPr>
                <w:rFonts w:hint="eastAsia"/>
                <w:b/>
                <w:color w:val="auto"/>
                <w:sz w:val="24"/>
                <w:szCs w:val="32"/>
              </w:rPr>
              <w:t>）</w:t>
            </w:r>
            <w:r>
              <w:rPr>
                <w:b/>
                <w:color w:val="auto"/>
                <w:sz w:val="24"/>
                <w:szCs w:val="32"/>
              </w:rPr>
              <w:t>相符性分析</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7"/>
              <w:gridCol w:w="684"/>
              <w:gridCol w:w="3243"/>
              <w:gridCol w:w="2543"/>
              <w:gridCol w:w="476"/>
            </w:tblGrid>
            <w:tr w14:paraId="6E81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left w:val="nil"/>
                    <w:bottom w:val="single" w:color="auto" w:sz="12" w:space="0"/>
                  </w:tcBorders>
                  <w:vAlign w:val="center"/>
                </w:tcPr>
                <w:p w14:paraId="2408A691">
                  <w:pPr>
                    <w:jc w:val="center"/>
                    <w:rPr>
                      <w:b/>
                      <w:color w:val="auto"/>
                      <w:szCs w:val="21"/>
                    </w:rPr>
                  </w:pPr>
                  <w:r>
                    <w:rPr>
                      <w:b/>
                      <w:color w:val="auto"/>
                      <w:szCs w:val="21"/>
                    </w:rPr>
                    <w:t>序号</w:t>
                  </w:r>
                </w:p>
              </w:tc>
              <w:tc>
                <w:tcPr>
                  <w:tcW w:w="3927" w:type="dxa"/>
                  <w:gridSpan w:val="2"/>
                  <w:tcBorders>
                    <w:top w:val="single" w:color="auto" w:sz="12" w:space="0"/>
                    <w:bottom w:val="single" w:color="auto" w:sz="12" w:space="0"/>
                  </w:tcBorders>
                  <w:vAlign w:val="center"/>
                </w:tcPr>
                <w:p w14:paraId="51EFCC69">
                  <w:pPr>
                    <w:jc w:val="center"/>
                    <w:rPr>
                      <w:b/>
                      <w:color w:val="auto"/>
                      <w:szCs w:val="21"/>
                    </w:rPr>
                  </w:pPr>
                  <w:r>
                    <w:rPr>
                      <w:rFonts w:hint="eastAsia"/>
                      <w:b/>
                      <w:color w:val="auto"/>
                      <w:szCs w:val="21"/>
                    </w:rPr>
                    <w:t>规划环评</w:t>
                  </w:r>
                  <w:r>
                    <w:rPr>
                      <w:b/>
                      <w:color w:val="auto"/>
                      <w:szCs w:val="21"/>
                    </w:rPr>
                    <w:t>审查意见</w:t>
                  </w:r>
                </w:p>
              </w:tc>
              <w:tc>
                <w:tcPr>
                  <w:tcW w:w="2543" w:type="dxa"/>
                  <w:tcBorders>
                    <w:top w:val="single" w:color="auto" w:sz="12" w:space="0"/>
                    <w:bottom w:val="single" w:color="auto" w:sz="12" w:space="0"/>
                  </w:tcBorders>
                  <w:vAlign w:val="center"/>
                </w:tcPr>
                <w:p w14:paraId="43FD1388">
                  <w:pPr>
                    <w:jc w:val="center"/>
                    <w:rPr>
                      <w:b/>
                      <w:color w:val="auto"/>
                      <w:szCs w:val="21"/>
                    </w:rPr>
                  </w:pPr>
                  <w:r>
                    <w:rPr>
                      <w:b/>
                      <w:color w:val="auto"/>
                      <w:szCs w:val="21"/>
                    </w:rPr>
                    <w:t>本项目</w:t>
                  </w:r>
                  <w:r>
                    <w:rPr>
                      <w:rFonts w:hint="eastAsia"/>
                      <w:b/>
                      <w:color w:val="auto"/>
                      <w:szCs w:val="21"/>
                    </w:rPr>
                    <w:t>情况</w:t>
                  </w:r>
                </w:p>
              </w:tc>
              <w:tc>
                <w:tcPr>
                  <w:tcW w:w="476" w:type="dxa"/>
                  <w:tcBorders>
                    <w:top w:val="single" w:color="auto" w:sz="12" w:space="0"/>
                    <w:bottom w:val="single" w:color="auto" w:sz="12" w:space="0"/>
                    <w:right w:val="nil"/>
                  </w:tcBorders>
                  <w:vAlign w:val="center"/>
                </w:tcPr>
                <w:p w14:paraId="6846C4CD">
                  <w:pPr>
                    <w:jc w:val="center"/>
                    <w:rPr>
                      <w:b/>
                      <w:color w:val="auto"/>
                      <w:szCs w:val="21"/>
                    </w:rPr>
                  </w:pPr>
                  <w:r>
                    <w:rPr>
                      <w:rFonts w:hint="eastAsia"/>
                      <w:b/>
                      <w:color w:val="auto"/>
                      <w:szCs w:val="21"/>
                    </w:rPr>
                    <w:t>相符性分析</w:t>
                  </w:r>
                </w:p>
              </w:tc>
            </w:tr>
            <w:tr w14:paraId="3650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left w:val="nil"/>
                  </w:tcBorders>
                  <w:vAlign w:val="center"/>
                </w:tcPr>
                <w:p w14:paraId="672F9FD4">
                  <w:pPr>
                    <w:jc w:val="center"/>
                    <w:rPr>
                      <w:color w:val="auto"/>
                      <w:szCs w:val="21"/>
                    </w:rPr>
                  </w:pPr>
                  <w:r>
                    <w:rPr>
                      <w:color w:val="auto"/>
                      <w:szCs w:val="21"/>
                    </w:rPr>
                    <w:t>1</w:t>
                  </w:r>
                </w:p>
              </w:tc>
              <w:tc>
                <w:tcPr>
                  <w:tcW w:w="684" w:type="dxa"/>
                  <w:vMerge w:val="restart"/>
                  <w:tcBorders>
                    <w:top w:val="single" w:color="auto" w:sz="12" w:space="0"/>
                  </w:tcBorders>
                  <w:vAlign w:val="center"/>
                </w:tcPr>
                <w:p w14:paraId="7E3CEB06">
                  <w:pPr>
                    <w:widowControl/>
                    <w:jc w:val="center"/>
                    <w:rPr>
                      <w:color w:val="auto"/>
                      <w:szCs w:val="21"/>
                    </w:rPr>
                  </w:pPr>
                  <w:r>
                    <w:rPr>
                      <w:rFonts w:hint="eastAsia"/>
                      <w:color w:val="auto"/>
                      <w:szCs w:val="21"/>
                    </w:rPr>
                    <w:t>规划概述</w:t>
                  </w:r>
                </w:p>
              </w:tc>
              <w:tc>
                <w:tcPr>
                  <w:tcW w:w="3243" w:type="dxa"/>
                  <w:tcBorders>
                    <w:top w:val="single" w:color="auto" w:sz="12" w:space="0"/>
                  </w:tcBorders>
                  <w:vAlign w:val="center"/>
                </w:tcPr>
                <w:p w14:paraId="03D29C10">
                  <w:pPr>
                    <w:widowControl/>
                    <w:jc w:val="center"/>
                    <w:rPr>
                      <w:color w:val="auto"/>
                      <w:szCs w:val="21"/>
                    </w:rPr>
                  </w:pPr>
                  <w:r>
                    <w:rPr>
                      <w:rFonts w:hint="eastAsia"/>
                      <w:color w:val="auto"/>
                      <w:szCs w:val="21"/>
                    </w:rPr>
                    <w:t>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空港产业园核心区东区</w:t>
                  </w:r>
                  <w:r>
                    <w:rPr>
                      <w:rFonts w:hint="eastAsia"/>
                      <w:color w:val="auto"/>
                      <w:szCs w:val="21"/>
                      <w:lang w:eastAsia="zh-CN"/>
                    </w:rPr>
                    <w:t>（</w:t>
                  </w:r>
                  <w:r>
                    <w:rPr>
                      <w:rFonts w:hint="eastAsia"/>
                      <w:color w:val="auto"/>
                      <w:szCs w:val="21"/>
                    </w:rPr>
                    <w:t>简称“淮安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w:t>
                  </w:r>
                  <w:r>
                    <w:rPr>
                      <w:rFonts w:hint="eastAsia"/>
                      <w:color w:val="auto"/>
                      <w:szCs w:val="21"/>
                      <w:lang w:eastAsia="zh-CN"/>
                    </w:rPr>
                    <w:t>）</w:t>
                  </w:r>
                  <w:r>
                    <w:rPr>
                      <w:color w:val="auto"/>
                      <w:szCs w:val="21"/>
                    </w:rPr>
                    <w:t>由</w:t>
                  </w:r>
                  <w:r>
                    <w:rPr>
                      <w:rFonts w:hint="eastAsia"/>
                      <w:color w:val="auto"/>
                      <w:szCs w:val="21"/>
                    </w:rPr>
                    <w:t>涟水县人民政府于2021年1月28日同意设立</w:t>
                  </w:r>
                  <w:r>
                    <w:rPr>
                      <w:color w:val="auto"/>
                      <w:szCs w:val="21"/>
                    </w:rPr>
                    <w:t>，</w:t>
                  </w:r>
                  <w:r>
                    <w:rPr>
                      <w:rFonts w:hint="eastAsia"/>
                      <w:color w:val="auto"/>
                      <w:szCs w:val="21"/>
                    </w:rPr>
                    <w:t>并明确其为县级园区</w:t>
                  </w:r>
                  <w:r>
                    <w:rPr>
                      <w:rFonts w:hint="eastAsia"/>
                      <w:color w:val="auto"/>
                      <w:szCs w:val="21"/>
                      <w:lang w:eastAsia="zh-CN"/>
                    </w:rPr>
                    <w:t>（</w:t>
                  </w:r>
                  <w:r>
                    <w:rPr>
                      <w:rFonts w:hint="eastAsia"/>
                      <w:color w:val="auto"/>
                      <w:szCs w:val="21"/>
                    </w:rPr>
                    <w:t>涟政复</w:t>
                  </w:r>
                  <w:r>
                    <w:rPr>
                      <w:rFonts w:hint="eastAsia"/>
                      <w:color w:val="auto"/>
                      <w:szCs w:val="21"/>
                      <w:lang w:eastAsia="zh-CN"/>
                    </w:rPr>
                    <w:t>〔2021〕8号）</w:t>
                  </w:r>
                  <w:r>
                    <w:rPr>
                      <w:rFonts w:hint="eastAsia"/>
                      <w:color w:val="auto"/>
                      <w:szCs w:val="21"/>
                    </w:rPr>
                    <w:t>。本轮规划面积13.90平方公里，规划范围为东北至清涟大道和红日大道，西南至进场路，东南至宁连高速，西北至机场路，将园区打造成为“苏北空港门户枢纽、淮安新兴产业基地、涟水现代空港新城；集新能源新材料、高端装备制造、电子信息产业、现代服务、配套居住为一体的综合产业园区”。其中新能源新材料产业重点发展太阳能电池及其相关上下游产业；高端装备制造产业重点发展智能装备、高端装备产业；电子信息产业重点发展科创产业、研发孵化产业和电子商务产业。</w:t>
                  </w:r>
                </w:p>
              </w:tc>
              <w:tc>
                <w:tcPr>
                  <w:tcW w:w="2543" w:type="dxa"/>
                  <w:tcBorders>
                    <w:top w:val="single" w:color="auto" w:sz="12" w:space="0"/>
                  </w:tcBorders>
                  <w:vAlign w:val="center"/>
                </w:tcPr>
                <w:p w14:paraId="7AEB5F70">
                  <w:pPr>
                    <w:jc w:val="center"/>
                    <w:rPr>
                      <w:bCs/>
                      <w:color w:val="auto"/>
                      <w:szCs w:val="21"/>
                    </w:rPr>
                  </w:pPr>
                  <w:r>
                    <w:rPr>
                      <w:color w:val="auto"/>
                      <w:szCs w:val="21"/>
                    </w:rPr>
                    <w:t>本项目位于</w:t>
                  </w:r>
                  <w:r>
                    <w:rPr>
                      <w:rFonts w:hint="eastAsia"/>
                      <w:color w:val="auto"/>
                      <w:szCs w:val="21"/>
                    </w:rPr>
                    <w:t>江苏省淮安市涟水县经济开发区蒋庵东路东侧、清涟大道北侧</w:t>
                  </w:r>
                  <w:r>
                    <w:rPr>
                      <w:color w:val="auto"/>
                      <w:szCs w:val="21"/>
                    </w:rPr>
                    <w:t>，位于</w:t>
                  </w:r>
                  <w:r>
                    <w:rPr>
                      <w:rFonts w:hint="eastAsia"/>
                      <w:color w:val="auto"/>
                      <w:szCs w:val="21"/>
                    </w:rPr>
                    <w:t>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w:t>
                  </w:r>
                  <w:r>
                    <w:rPr>
                      <w:color w:val="auto"/>
                      <w:szCs w:val="21"/>
                    </w:rPr>
                    <w:t>规划范围内，用地性质为工业用地，用地符合要求。</w:t>
                  </w:r>
                  <w:r>
                    <w:rPr>
                      <w:rFonts w:hint="eastAsia"/>
                      <w:color w:val="auto"/>
                      <w:szCs w:val="21"/>
                    </w:rPr>
                    <w:t>本项目行业类别为其他工艺美术及礼仪用品制造，产品为展示道具柜台，对照《产业结构调整指导目录（2024年本）》，本项目不属于其中的限制类和淘汰类项目，对照《江苏省产业结构调整限制、淘汰和禁止目录》（苏办发</w:t>
                  </w:r>
                  <w:r>
                    <w:rPr>
                      <w:rFonts w:hint="eastAsia"/>
                      <w:color w:val="auto"/>
                      <w:szCs w:val="21"/>
                      <w:lang w:eastAsia="zh-CN"/>
                    </w:rPr>
                    <w:t>〔2018〕32号</w:t>
                  </w:r>
                  <w:r>
                    <w:rPr>
                      <w:rFonts w:hint="eastAsia"/>
                      <w:color w:val="auto"/>
                      <w:szCs w:val="21"/>
                    </w:rPr>
                    <w:t>），本项目不属于限制类、淘汰类。因此本项目符合国家和地方产业政策和环境准入制度，为淮安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空港产业园允许类项目。</w:t>
                  </w:r>
                </w:p>
              </w:tc>
              <w:tc>
                <w:tcPr>
                  <w:tcW w:w="476" w:type="dxa"/>
                  <w:tcBorders>
                    <w:top w:val="single" w:color="auto" w:sz="12" w:space="0"/>
                    <w:right w:val="nil"/>
                  </w:tcBorders>
                  <w:vAlign w:val="center"/>
                </w:tcPr>
                <w:p w14:paraId="14BBFAFE">
                  <w:pPr>
                    <w:jc w:val="center"/>
                    <w:rPr>
                      <w:color w:val="auto"/>
                      <w:szCs w:val="21"/>
                    </w:rPr>
                  </w:pPr>
                  <w:r>
                    <w:rPr>
                      <w:rFonts w:hint="eastAsia"/>
                      <w:color w:val="auto"/>
                      <w:szCs w:val="21"/>
                    </w:rPr>
                    <w:t>相符</w:t>
                  </w:r>
                </w:p>
              </w:tc>
            </w:tr>
            <w:tr w14:paraId="006B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330F0511">
                  <w:pPr>
                    <w:jc w:val="center"/>
                    <w:rPr>
                      <w:color w:val="auto"/>
                      <w:szCs w:val="21"/>
                    </w:rPr>
                  </w:pPr>
                  <w:r>
                    <w:rPr>
                      <w:color w:val="auto"/>
                      <w:szCs w:val="21"/>
                    </w:rPr>
                    <w:t>2</w:t>
                  </w:r>
                </w:p>
              </w:tc>
              <w:tc>
                <w:tcPr>
                  <w:tcW w:w="684" w:type="dxa"/>
                  <w:vMerge w:val="continue"/>
                  <w:vAlign w:val="center"/>
                </w:tcPr>
                <w:p w14:paraId="5E4436BC">
                  <w:pPr>
                    <w:widowControl/>
                    <w:jc w:val="center"/>
                    <w:rPr>
                      <w:color w:val="auto"/>
                      <w:szCs w:val="21"/>
                    </w:rPr>
                  </w:pPr>
                </w:p>
              </w:tc>
              <w:tc>
                <w:tcPr>
                  <w:tcW w:w="3243" w:type="dxa"/>
                  <w:vAlign w:val="center"/>
                </w:tcPr>
                <w:p w14:paraId="74DD53B9">
                  <w:pPr>
                    <w:widowControl/>
                    <w:jc w:val="center"/>
                    <w:rPr>
                      <w:color w:val="auto"/>
                      <w:szCs w:val="21"/>
                    </w:rPr>
                  </w:pPr>
                  <w:r>
                    <w:rPr>
                      <w:rFonts w:hint="eastAsia"/>
                      <w:color w:val="auto"/>
                      <w:szCs w:val="21"/>
                    </w:rPr>
                    <w:t>园区采取雨污分流制，园区废水接入空港产业园污水处理厂和空港产业园工业污水厂集中处理，尾水30%作为中水回用，70%经人工湿地系统处理后通过污水排放管道排入盐河；规划由涟水县第二水厂供水；规划由天达燃气和新兴旺燃气提供燃气；危险废物交由有资质单位处理处置。</w:t>
                  </w:r>
                </w:p>
              </w:tc>
              <w:tc>
                <w:tcPr>
                  <w:tcW w:w="2543" w:type="dxa"/>
                  <w:vAlign w:val="center"/>
                </w:tcPr>
                <w:p w14:paraId="34B0FBA8">
                  <w:pPr>
                    <w:jc w:val="center"/>
                    <w:rPr>
                      <w:color w:val="auto"/>
                      <w:szCs w:val="21"/>
                    </w:rPr>
                  </w:pPr>
                  <w:r>
                    <w:rPr>
                      <w:rFonts w:hint="eastAsia"/>
                      <w:color w:val="auto"/>
                      <w:szCs w:val="21"/>
                    </w:rPr>
                    <w:t>本项目生产废水经厂内污水处理站处理后达标排放至空港产业园污水处理厂，</w:t>
                  </w:r>
                  <w:r>
                    <w:rPr>
                      <w:rFonts w:hint="eastAsia"/>
                      <w:color w:val="auto"/>
                      <w:szCs w:val="21"/>
                      <w:lang w:eastAsia="zh-CN"/>
                    </w:rPr>
                    <w:t>生活污水</w:t>
                  </w:r>
                  <w:r>
                    <w:rPr>
                      <w:rFonts w:hint="eastAsia"/>
                      <w:color w:val="auto"/>
                      <w:szCs w:val="21"/>
                    </w:rPr>
                    <w:t>主要为生活、食堂污水，经隔油池、化粪池预处理</w:t>
                  </w:r>
                  <w:r>
                    <w:rPr>
                      <w:rFonts w:hint="eastAsia"/>
                      <w:color w:val="auto"/>
                      <w:szCs w:val="21"/>
                      <w:lang w:eastAsia="zh-CN"/>
                    </w:rPr>
                    <w:t>达到</w:t>
                  </w:r>
                  <w:r>
                    <w:rPr>
                      <w:rFonts w:hint="eastAsia"/>
                      <w:color w:val="auto"/>
                      <w:szCs w:val="21"/>
                    </w:rPr>
                    <w:t>接管标准后接管至空港产业园污水处理厂；工艺所需加热为天然气加热，由指定公司提供燃气；危险废物交由有资质单位处理处置。</w:t>
                  </w:r>
                </w:p>
              </w:tc>
              <w:tc>
                <w:tcPr>
                  <w:tcW w:w="476" w:type="dxa"/>
                  <w:tcBorders>
                    <w:right w:val="nil"/>
                  </w:tcBorders>
                  <w:vAlign w:val="center"/>
                </w:tcPr>
                <w:p w14:paraId="20958B5E">
                  <w:pPr>
                    <w:jc w:val="center"/>
                    <w:rPr>
                      <w:color w:val="auto"/>
                      <w:szCs w:val="21"/>
                    </w:rPr>
                  </w:pPr>
                  <w:r>
                    <w:rPr>
                      <w:rFonts w:hint="eastAsia"/>
                      <w:color w:val="auto"/>
                      <w:szCs w:val="21"/>
                    </w:rPr>
                    <w:t>相符</w:t>
                  </w:r>
                </w:p>
              </w:tc>
            </w:tr>
            <w:tr w14:paraId="10C6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3BBFC9AC">
                  <w:pPr>
                    <w:jc w:val="center"/>
                    <w:rPr>
                      <w:color w:val="auto"/>
                      <w:szCs w:val="21"/>
                    </w:rPr>
                  </w:pPr>
                  <w:r>
                    <w:rPr>
                      <w:color w:val="auto"/>
                      <w:szCs w:val="21"/>
                    </w:rPr>
                    <w:t>3</w:t>
                  </w:r>
                </w:p>
              </w:tc>
              <w:tc>
                <w:tcPr>
                  <w:tcW w:w="684" w:type="dxa"/>
                  <w:vMerge w:val="restart"/>
                  <w:vAlign w:val="center"/>
                </w:tcPr>
                <w:p w14:paraId="2048031A">
                  <w:pPr>
                    <w:widowControl/>
                    <w:jc w:val="center"/>
                    <w:rPr>
                      <w:color w:val="auto"/>
                      <w:szCs w:val="21"/>
                    </w:rPr>
                  </w:pPr>
                  <w:r>
                    <w:rPr>
                      <w:rFonts w:hint="eastAsia"/>
                      <w:color w:val="auto"/>
                      <w:szCs w:val="21"/>
                    </w:rPr>
                    <w:t>对《规划》优化调整和实施过程中的意见</w:t>
                  </w:r>
                </w:p>
              </w:tc>
              <w:tc>
                <w:tcPr>
                  <w:tcW w:w="3243" w:type="dxa"/>
                  <w:vAlign w:val="center"/>
                </w:tcPr>
                <w:p w14:paraId="0E675521">
                  <w:pPr>
                    <w:widowControl/>
                    <w:jc w:val="center"/>
                    <w:rPr>
                      <w:color w:val="auto"/>
                      <w:szCs w:val="21"/>
                    </w:rPr>
                  </w:pPr>
                  <w:r>
                    <w:rPr>
                      <w:rFonts w:hint="eastAsia"/>
                      <w:color w:val="auto"/>
                      <w:szCs w:val="21"/>
                      <w:lang w:eastAsia="zh-CN"/>
                    </w:rPr>
                    <w:t>（一）</w:t>
                  </w:r>
                  <w:r>
                    <w:rPr>
                      <w:rFonts w:hint="eastAsia"/>
                      <w:color w:val="auto"/>
                      <w:szCs w:val="21"/>
                    </w:rPr>
                    <w:t>严格空间管控，优化产业园空间布局。落实国家、区域发展战略，坚持生态优先、高效集约，以生态环境质量改善为核心，做好与淮安市国土空间规划和“三线一单”生态环境分区管控实施方案的衔接，进一步优化《规划》用地布局、发展规模、开发时序等，土地开发建设应与城市总体规划等国土空间规划相协调。推进工业园内居民搬迁，加强对产业园内外居住区、城镇等的防护，设置足够的防护距离和必要的防护绿地。</w:t>
                  </w:r>
                </w:p>
              </w:tc>
              <w:tc>
                <w:tcPr>
                  <w:tcW w:w="2543" w:type="dxa"/>
                  <w:vAlign w:val="center"/>
                </w:tcPr>
                <w:p w14:paraId="5630F787">
                  <w:pPr>
                    <w:widowControl/>
                    <w:jc w:val="center"/>
                    <w:rPr>
                      <w:color w:val="auto"/>
                      <w:szCs w:val="21"/>
                    </w:rPr>
                  </w:pPr>
                  <w:r>
                    <w:rPr>
                      <w:color w:val="auto"/>
                      <w:szCs w:val="21"/>
                    </w:rPr>
                    <w:t>本项目</w:t>
                  </w:r>
                  <w:r>
                    <w:rPr>
                      <w:rFonts w:hint="eastAsia"/>
                      <w:color w:val="auto"/>
                      <w:szCs w:val="21"/>
                    </w:rPr>
                    <w:t>严格落实国家、区域发展战略，坚持生态优先、高效集约，以生态环境质量改善为核心</w:t>
                  </w:r>
                  <w:r>
                    <w:rPr>
                      <w:color w:val="auto"/>
                      <w:szCs w:val="21"/>
                    </w:rPr>
                    <w:t>。</w:t>
                  </w:r>
                </w:p>
              </w:tc>
              <w:tc>
                <w:tcPr>
                  <w:tcW w:w="476" w:type="dxa"/>
                  <w:tcBorders>
                    <w:right w:val="nil"/>
                  </w:tcBorders>
                  <w:vAlign w:val="center"/>
                </w:tcPr>
                <w:p w14:paraId="6DAD7C61">
                  <w:pPr>
                    <w:widowControl/>
                    <w:jc w:val="center"/>
                    <w:rPr>
                      <w:color w:val="auto"/>
                      <w:szCs w:val="21"/>
                    </w:rPr>
                  </w:pPr>
                  <w:r>
                    <w:rPr>
                      <w:rFonts w:hint="eastAsia"/>
                      <w:color w:val="auto"/>
                      <w:szCs w:val="21"/>
                    </w:rPr>
                    <w:t>相符</w:t>
                  </w:r>
                </w:p>
              </w:tc>
            </w:tr>
            <w:tr w14:paraId="5440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75EA5F91">
                  <w:pPr>
                    <w:jc w:val="center"/>
                    <w:rPr>
                      <w:color w:val="auto"/>
                      <w:szCs w:val="21"/>
                    </w:rPr>
                  </w:pPr>
                  <w:r>
                    <w:rPr>
                      <w:color w:val="auto"/>
                      <w:szCs w:val="21"/>
                    </w:rPr>
                    <w:t>4</w:t>
                  </w:r>
                </w:p>
              </w:tc>
              <w:tc>
                <w:tcPr>
                  <w:tcW w:w="684" w:type="dxa"/>
                  <w:vMerge w:val="continue"/>
                  <w:vAlign w:val="center"/>
                </w:tcPr>
                <w:p w14:paraId="1C40CBF7">
                  <w:pPr>
                    <w:widowControl/>
                    <w:jc w:val="center"/>
                    <w:rPr>
                      <w:color w:val="auto"/>
                      <w:szCs w:val="21"/>
                    </w:rPr>
                  </w:pPr>
                </w:p>
              </w:tc>
              <w:tc>
                <w:tcPr>
                  <w:tcW w:w="3243" w:type="dxa"/>
                  <w:vAlign w:val="center"/>
                </w:tcPr>
                <w:p w14:paraId="6B923F40">
                  <w:pPr>
                    <w:widowControl/>
                    <w:jc w:val="center"/>
                    <w:rPr>
                      <w:color w:val="auto"/>
                      <w:szCs w:val="21"/>
                    </w:rPr>
                  </w:pPr>
                  <w:r>
                    <w:rPr>
                      <w:rFonts w:hint="eastAsia"/>
                      <w:color w:val="auto"/>
                      <w:szCs w:val="21"/>
                      <w:lang w:eastAsia="zh-CN"/>
                    </w:rPr>
                    <w:t>（二）</w:t>
                  </w:r>
                  <w:r>
                    <w:rPr>
                      <w:rFonts w:hint="eastAsia"/>
                      <w:color w:val="auto"/>
                      <w:szCs w:val="21"/>
                    </w:rPr>
                    <w:t>严守环境质量底线，强化污染物排放总量管控。根据国家和江苏省关于大气、水、土壤污染防治和江苏省、淮安市“三线一单”生态环境分区管控相关要求，制定园区污染减排和环境综合治理方案，采用有效措施控制现有企业的烟粉尘、挥发性有机物排放总量，实现主要污染物排放浓度和总量“双管控”，推进区域环境质量持续改善。</w:t>
                  </w:r>
                </w:p>
              </w:tc>
              <w:tc>
                <w:tcPr>
                  <w:tcW w:w="2543" w:type="dxa"/>
                  <w:vAlign w:val="center"/>
                </w:tcPr>
                <w:p w14:paraId="7169FD57">
                  <w:pPr>
                    <w:jc w:val="center"/>
                    <w:rPr>
                      <w:color w:val="auto"/>
                      <w:szCs w:val="21"/>
                    </w:rPr>
                  </w:pPr>
                  <w:r>
                    <w:rPr>
                      <w:color w:val="auto"/>
                      <w:szCs w:val="21"/>
                    </w:rPr>
                    <w:t>本项目</w:t>
                  </w:r>
                  <w:r>
                    <w:rPr>
                      <w:rFonts w:hint="eastAsia"/>
                      <w:color w:val="auto"/>
                      <w:szCs w:val="21"/>
                    </w:rPr>
                    <w:t>不属于高污染高能耗项目；采用布袋除尘的方式处置企业烟粉尘，采用二级活性炭吸附装置处置挥发性有机物，且向涟水县生态环境局申请排放总量，做到污染物排放浓度和总量“双管控”；</w:t>
                  </w:r>
                  <w:r>
                    <w:rPr>
                      <w:color w:val="auto"/>
                      <w:szCs w:val="21"/>
                    </w:rPr>
                    <w:t>符合</w:t>
                  </w:r>
                  <w:r>
                    <w:rPr>
                      <w:rFonts w:hint="eastAsia"/>
                      <w:color w:val="auto"/>
                      <w:szCs w:val="21"/>
                    </w:rPr>
                    <w:t>“</w:t>
                  </w:r>
                  <w:r>
                    <w:rPr>
                      <w:color w:val="auto"/>
                      <w:szCs w:val="21"/>
                    </w:rPr>
                    <w:t>三线一单</w:t>
                  </w:r>
                  <w:r>
                    <w:rPr>
                      <w:rFonts w:hint="eastAsia"/>
                      <w:color w:val="auto"/>
                      <w:szCs w:val="21"/>
                    </w:rPr>
                    <w:t>”</w:t>
                  </w:r>
                  <w:r>
                    <w:rPr>
                      <w:color w:val="auto"/>
                      <w:szCs w:val="21"/>
                    </w:rPr>
                    <w:t>要求</w:t>
                  </w:r>
                  <w:r>
                    <w:rPr>
                      <w:rFonts w:hint="eastAsia"/>
                      <w:color w:val="auto"/>
                      <w:szCs w:val="21"/>
                    </w:rPr>
                    <w:t>。</w:t>
                  </w:r>
                </w:p>
              </w:tc>
              <w:tc>
                <w:tcPr>
                  <w:tcW w:w="476" w:type="dxa"/>
                  <w:tcBorders>
                    <w:right w:val="nil"/>
                  </w:tcBorders>
                  <w:vAlign w:val="center"/>
                </w:tcPr>
                <w:p w14:paraId="5A13AB23">
                  <w:pPr>
                    <w:jc w:val="center"/>
                    <w:rPr>
                      <w:color w:val="auto"/>
                      <w:szCs w:val="21"/>
                    </w:rPr>
                  </w:pPr>
                  <w:r>
                    <w:rPr>
                      <w:rFonts w:hint="eastAsia"/>
                      <w:color w:val="auto"/>
                      <w:szCs w:val="21"/>
                    </w:rPr>
                    <w:t>相符</w:t>
                  </w:r>
                </w:p>
              </w:tc>
            </w:tr>
            <w:tr w14:paraId="5A96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10F93DF3">
                  <w:pPr>
                    <w:jc w:val="center"/>
                    <w:rPr>
                      <w:color w:val="auto"/>
                      <w:szCs w:val="21"/>
                    </w:rPr>
                  </w:pPr>
                  <w:r>
                    <w:rPr>
                      <w:color w:val="auto"/>
                      <w:szCs w:val="21"/>
                    </w:rPr>
                    <w:t>5</w:t>
                  </w:r>
                </w:p>
              </w:tc>
              <w:tc>
                <w:tcPr>
                  <w:tcW w:w="684" w:type="dxa"/>
                  <w:vMerge w:val="continue"/>
                  <w:vAlign w:val="center"/>
                </w:tcPr>
                <w:p w14:paraId="5B1D2991">
                  <w:pPr>
                    <w:widowControl/>
                    <w:jc w:val="center"/>
                    <w:rPr>
                      <w:color w:val="auto"/>
                      <w:szCs w:val="21"/>
                    </w:rPr>
                  </w:pPr>
                </w:p>
              </w:tc>
              <w:tc>
                <w:tcPr>
                  <w:tcW w:w="3243" w:type="dxa"/>
                  <w:vAlign w:val="center"/>
                </w:tcPr>
                <w:p w14:paraId="7EC65D69">
                  <w:pPr>
                    <w:widowControl/>
                    <w:jc w:val="center"/>
                    <w:rPr>
                      <w:color w:val="auto"/>
                      <w:szCs w:val="21"/>
                    </w:rPr>
                  </w:pPr>
                  <w:r>
                    <w:rPr>
                      <w:rFonts w:hint="eastAsia"/>
                      <w:color w:val="auto"/>
                      <w:szCs w:val="21"/>
                      <w:lang w:eastAsia="zh-CN"/>
                    </w:rPr>
                    <w:t>（三）</w:t>
                  </w:r>
                  <w:r>
                    <w:rPr>
                      <w:rFonts w:hint="eastAsia"/>
                      <w:color w:val="auto"/>
                      <w:szCs w:val="21"/>
                    </w:rPr>
                    <w:t>加强源头治理，协同推进减污降碳。强化企业特征</w:t>
                  </w:r>
                  <w:r>
                    <w:rPr>
                      <w:rFonts w:hint="eastAsia"/>
                      <w:color w:val="auto"/>
                      <w:szCs w:val="21"/>
                      <w:lang w:eastAsia="zh-CN"/>
                    </w:rPr>
                    <w:t>污染物协同控制</w:t>
                  </w:r>
                  <w:r>
                    <w:rPr>
                      <w:rFonts w:hint="eastAsia"/>
                      <w:color w:val="auto"/>
                      <w:szCs w:val="21"/>
                    </w:rPr>
                    <w:t>及精细化管控要求，加强高效治理设施建设，有效防治新能源新材料产业、高端装备制造、电子信息等重点产业的异味污染和挥发性有机物、氟化物等污染。衔接区域“三线一单”生态环境分区管控要求，落实《报告书》提出的生态环境准入要求，禁止与生态环境准入清单不符的项目入园，从严执行行业废水、废气排放控制标准，引进项目的生产工艺、设备、能耗、污染物排放和资源利用效率等均需达到国内领先、国际先进水平。全面开展清洁生产审核，做到“应审尽审”，深入推进“双有双超高耗能”企业实施强制性清洁生产审核，引导其他行业自愿开展审核，推进园区绿色低碳发展，严控高耗能、高排放项目建设，园区碳排放达峰时间按国家及江苏省规定时间完成。</w:t>
                  </w:r>
                </w:p>
              </w:tc>
              <w:tc>
                <w:tcPr>
                  <w:tcW w:w="2543" w:type="dxa"/>
                  <w:vAlign w:val="center"/>
                </w:tcPr>
                <w:p w14:paraId="060615A5">
                  <w:pPr>
                    <w:widowControl/>
                    <w:jc w:val="center"/>
                    <w:rPr>
                      <w:color w:val="auto"/>
                      <w:szCs w:val="21"/>
                    </w:rPr>
                  </w:pPr>
                  <w:r>
                    <w:rPr>
                      <w:rFonts w:hint="eastAsia"/>
                      <w:color w:val="auto"/>
                      <w:szCs w:val="21"/>
                    </w:rPr>
                    <w:t>企业特征污染物如苯乙烯、二甲苯等挥发性有机物设置二级活性炭吸附装置进行处置，颗粒物设置布袋除尘进行处置，均做到高效治理；</w:t>
                  </w:r>
                  <w:r>
                    <w:rPr>
                      <w:color w:val="auto"/>
                      <w:szCs w:val="21"/>
                    </w:rPr>
                    <w:t>本项目</w:t>
                  </w:r>
                  <w:r>
                    <w:rPr>
                      <w:rFonts w:hint="eastAsia"/>
                      <w:color w:val="auto"/>
                      <w:szCs w:val="21"/>
                    </w:rPr>
                    <w:t>为生态环境准入清单符合入园的项目</w:t>
                  </w:r>
                  <w:r>
                    <w:rPr>
                      <w:color w:val="auto"/>
                      <w:szCs w:val="21"/>
                    </w:rPr>
                    <w:t>，</w:t>
                  </w:r>
                  <w:r>
                    <w:rPr>
                      <w:rFonts w:hint="eastAsia"/>
                      <w:color w:val="auto"/>
                      <w:szCs w:val="21"/>
                    </w:rPr>
                    <w:t>废气从严执行</w:t>
                  </w:r>
                  <w:r>
                    <w:rPr>
                      <w:rFonts w:hint="eastAsia"/>
                      <w:bCs/>
                      <w:color w:val="auto"/>
                      <w:szCs w:val="21"/>
                    </w:rPr>
                    <w:t>大气污染物综合排放标准</w:t>
                  </w:r>
                  <w:bookmarkStart w:id="15" w:name="_GoBack"/>
                  <w:r>
                    <w:rPr>
                      <w:rFonts w:hint="eastAsia"/>
                      <w:bCs/>
                      <w:color w:val="auto"/>
                      <w:szCs w:val="21"/>
                    </w:rPr>
                    <w:t>》</w:t>
                  </w:r>
                  <w:bookmarkEnd w:id="15"/>
                  <w:r>
                    <w:rPr>
                      <w:rFonts w:hint="eastAsia"/>
                      <w:bCs/>
                      <w:color w:val="auto"/>
                      <w:szCs w:val="21"/>
                    </w:rPr>
                    <w:t>（DB32/4041-2021）、</w:t>
                  </w:r>
                  <w:r>
                    <w:rPr>
                      <w:rFonts w:hint="eastAsia"/>
                      <w:color w:val="auto"/>
                      <w:szCs w:val="21"/>
                    </w:rPr>
                    <w:t>《工业涂装工序大气污染物排放标准》（</w:t>
                  </w:r>
                  <w:r>
                    <w:rPr>
                      <w:color w:val="auto"/>
                      <w:szCs w:val="21"/>
                    </w:rPr>
                    <w:t>DB32/4439-2022</w:t>
                  </w:r>
                  <w:r>
                    <w:rPr>
                      <w:rFonts w:hint="eastAsia"/>
                      <w:color w:val="auto"/>
                      <w:szCs w:val="21"/>
                    </w:rPr>
                    <w:t>）</w:t>
                  </w:r>
                  <w:r>
                    <w:rPr>
                      <w:rFonts w:hint="eastAsia"/>
                      <w:color w:val="auto"/>
                      <w:szCs w:val="21"/>
                      <w:lang w:eastAsia="zh-CN"/>
                    </w:rPr>
                    <w:t>、</w:t>
                  </w:r>
                  <w:r>
                    <w:rPr>
                      <w:rFonts w:hint="eastAsia" w:ascii="Times New Roman" w:hAnsi="Times New Roman" w:eastAsia="宋体" w:cs="Times New Roman"/>
                      <w:bCs/>
                      <w:color w:val="auto"/>
                      <w:szCs w:val="21"/>
                      <w:lang w:val="en-US" w:eastAsia="zh-CN"/>
                    </w:rPr>
                    <w:t>《印刷工业大气污染物排放标准》（DB32/4438-2022）表1限值及表3限值</w:t>
                  </w:r>
                  <w:r>
                    <w:rPr>
                      <w:rFonts w:hint="eastAsia" w:ascii="Times New Roman" w:hAnsi="Times New Roman" w:eastAsia="宋体" w:cs="Times New Roman"/>
                      <w:bCs/>
                      <w:color w:val="auto"/>
                      <w:szCs w:val="21"/>
                    </w:rPr>
                    <w:t>，</w:t>
                  </w:r>
                  <w:r>
                    <w:rPr>
                      <w:rFonts w:hint="eastAsia"/>
                      <w:color w:val="auto"/>
                      <w:szCs w:val="21"/>
                    </w:rPr>
                    <w:t>废水从严执行《城镇污水处理厂污染物排放标准》（DB32/4440-2022）</w:t>
                  </w:r>
                  <w:r>
                    <w:rPr>
                      <w:color w:val="auto"/>
                      <w:szCs w:val="21"/>
                    </w:rPr>
                    <w:t>A</w:t>
                  </w:r>
                  <w:r>
                    <w:rPr>
                      <w:rFonts w:hint="eastAsia"/>
                      <w:color w:val="auto"/>
                      <w:szCs w:val="21"/>
                    </w:rPr>
                    <w:t>类</w:t>
                  </w:r>
                  <w:r>
                    <w:rPr>
                      <w:color w:val="auto"/>
                      <w:szCs w:val="21"/>
                    </w:rPr>
                    <w:t>标准</w:t>
                  </w:r>
                  <w:r>
                    <w:rPr>
                      <w:rFonts w:hint="eastAsia"/>
                      <w:color w:val="auto"/>
                      <w:szCs w:val="21"/>
                    </w:rPr>
                    <w:t>，引进项目采用节能型设备和工艺，降低设备运行能耗，同时，优化生产布局和工艺流程，减少物料搬运和能源输送过程中的能耗损失，废气处理设备设置布袋除尘器、二级活性炭吸附装置，因此生产工艺、设备、能耗、污染物排放和资源利用效率等均达到国内领先水平</w:t>
                  </w:r>
                  <w:r>
                    <w:rPr>
                      <w:color w:val="auto"/>
                      <w:szCs w:val="21"/>
                    </w:rPr>
                    <w:t>。</w:t>
                  </w:r>
                </w:p>
              </w:tc>
              <w:tc>
                <w:tcPr>
                  <w:tcW w:w="476" w:type="dxa"/>
                  <w:tcBorders>
                    <w:right w:val="nil"/>
                  </w:tcBorders>
                  <w:vAlign w:val="center"/>
                </w:tcPr>
                <w:p w14:paraId="3631093C">
                  <w:pPr>
                    <w:jc w:val="center"/>
                    <w:rPr>
                      <w:color w:val="auto"/>
                      <w:szCs w:val="21"/>
                    </w:rPr>
                  </w:pPr>
                  <w:r>
                    <w:rPr>
                      <w:rFonts w:hint="eastAsia"/>
                      <w:color w:val="auto"/>
                      <w:szCs w:val="21"/>
                    </w:rPr>
                    <w:t>相符</w:t>
                  </w:r>
                </w:p>
              </w:tc>
            </w:tr>
            <w:tr w14:paraId="1C14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4454763B">
                  <w:pPr>
                    <w:jc w:val="center"/>
                    <w:rPr>
                      <w:color w:val="auto"/>
                      <w:szCs w:val="21"/>
                    </w:rPr>
                  </w:pPr>
                  <w:r>
                    <w:rPr>
                      <w:color w:val="auto"/>
                      <w:szCs w:val="21"/>
                    </w:rPr>
                    <w:t>6</w:t>
                  </w:r>
                </w:p>
              </w:tc>
              <w:tc>
                <w:tcPr>
                  <w:tcW w:w="684" w:type="dxa"/>
                  <w:vMerge w:val="continue"/>
                  <w:vAlign w:val="center"/>
                </w:tcPr>
                <w:p w14:paraId="09DE6119">
                  <w:pPr>
                    <w:widowControl/>
                    <w:jc w:val="center"/>
                    <w:rPr>
                      <w:color w:val="auto"/>
                      <w:szCs w:val="21"/>
                    </w:rPr>
                  </w:pPr>
                </w:p>
              </w:tc>
              <w:tc>
                <w:tcPr>
                  <w:tcW w:w="3243" w:type="dxa"/>
                  <w:tcBorders>
                    <w:bottom w:val="single" w:color="auto" w:sz="4" w:space="0"/>
                  </w:tcBorders>
                  <w:vAlign w:val="center"/>
                </w:tcPr>
                <w:p w14:paraId="3E30D16B">
                  <w:pPr>
                    <w:widowControl/>
                    <w:jc w:val="center"/>
                    <w:rPr>
                      <w:color w:val="auto"/>
                      <w:szCs w:val="21"/>
                    </w:rPr>
                  </w:pPr>
                  <w:r>
                    <w:rPr>
                      <w:rFonts w:hint="eastAsia"/>
                      <w:color w:val="auto"/>
                      <w:szCs w:val="21"/>
                      <w:lang w:eastAsia="zh-CN"/>
                    </w:rPr>
                    <w:t>（四）</w:t>
                  </w:r>
                  <w:r>
                    <w:rPr>
                      <w:rFonts w:hint="eastAsia"/>
                      <w:color w:val="auto"/>
                      <w:szCs w:val="21"/>
                    </w:rPr>
                    <w:t>完善环境基础设施建设，提升产业园污染治理水平。完善污水收集管网建设，确保产业园内废水分类收集处理：加快推进污水处理厂及中水回用工程建设进度。加强废水预处理设施等监管，确保废水满足污水处理厂接管要求。规划实施集中供热，严禁建设高污染燃料设施。一般工业固废、危险废物应依法依规收集、处理处置。</w:t>
                  </w:r>
                </w:p>
              </w:tc>
              <w:tc>
                <w:tcPr>
                  <w:tcW w:w="2543" w:type="dxa"/>
                  <w:tcBorders>
                    <w:bottom w:val="single" w:color="auto" w:sz="4" w:space="0"/>
                  </w:tcBorders>
                  <w:vAlign w:val="center"/>
                </w:tcPr>
                <w:p w14:paraId="07C8BCB3">
                  <w:pPr>
                    <w:jc w:val="center"/>
                    <w:rPr>
                      <w:color w:val="auto"/>
                      <w:szCs w:val="21"/>
                    </w:rPr>
                  </w:pPr>
                  <w:r>
                    <w:rPr>
                      <w:color w:val="auto"/>
                      <w:szCs w:val="21"/>
                    </w:rPr>
                    <w:t>本项目厂区雨污分流；</w:t>
                  </w:r>
                  <w:r>
                    <w:rPr>
                      <w:rFonts w:hint="eastAsia"/>
                      <w:color w:val="auto"/>
                      <w:szCs w:val="21"/>
                    </w:rPr>
                    <w:t>本项目不涉及建设高污染燃料设施</w:t>
                  </w:r>
                  <w:r>
                    <w:rPr>
                      <w:color w:val="auto"/>
                      <w:szCs w:val="21"/>
                    </w:rPr>
                    <w:t>；一般固体废物、危险废物依法依规收集、暂存、处理处置。</w:t>
                  </w:r>
                </w:p>
              </w:tc>
              <w:tc>
                <w:tcPr>
                  <w:tcW w:w="476" w:type="dxa"/>
                  <w:tcBorders>
                    <w:bottom w:val="single" w:color="auto" w:sz="4" w:space="0"/>
                    <w:right w:val="nil"/>
                  </w:tcBorders>
                  <w:vAlign w:val="center"/>
                </w:tcPr>
                <w:p w14:paraId="40533E72">
                  <w:pPr>
                    <w:jc w:val="center"/>
                    <w:rPr>
                      <w:color w:val="auto"/>
                      <w:szCs w:val="21"/>
                    </w:rPr>
                  </w:pPr>
                  <w:r>
                    <w:rPr>
                      <w:rFonts w:hint="eastAsia"/>
                      <w:color w:val="auto"/>
                      <w:szCs w:val="21"/>
                    </w:rPr>
                    <w:t>相符</w:t>
                  </w:r>
                </w:p>
              </w:tc>
            </w:tr>
            <w:tr w14:paraId="556F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14549B1A">
                  <w:pPr>
                    <w:jc w:val="center"/>
                    <w:rPr>
                      <w:color w:val="auto"/>
                      <w:szCs w:val="21"/>
                    </w:rPr>
                  </w:pPr>
                  <w:r>
                    <w:rPr>
                      <w:color w:val="auto"/>
                      <w:szCs w:val="21"/>
                    </w:rPr>
                    <w:t>7</w:t>
                  </w:r>
                </w:p>
              </w:tc>
              <w:tc>
                <w:tcPr>
                  <w:tcW w:w="684" w:type="dxa"/>
                  <w:vMerge w:val="continue"/>
                  <w:vAlign w:val="center"/>
                </w:tcPr>
                <w:p w14:paraId="0181FBDB">
                  <w:pPr>
                    <w:widowControl/>
                    <w:jc w:val="center"/>
                    <w:rPr>
                      <w:color w:val="auto"/>
                      <w:szCs w:val="21"/>
                    </w:rPr>
                  </w:pPr>
                </w:p>
              </w:tc>
              <w:tc>
                <w:tcPr>
                  <w:tcW w:w="3243" w:type="dxa"/>
                  <w:tcBorders>
                    <w:bottom w:val="single" w:color="auto" w:sz="4" w:space="0"/>
                  </w:tcBorders>
                  <w:vAlign w:val="center"/>
                </w:tcPr>
                <w:p w14:paraId="01414279">
                  <w:pPr>
                    <w:widowControl/>
                    <w:jc w:val="center"/>
                    <w:rPr>
                      <w:color w:val="auto"/>
                      <w:szCs w:val="21"/>
                    </w:rPr>
                  </w:pPr>
                  <w:r>
                    <w:rPr>
                      <w:rFonts w:hint="eastAsia"/>
                      <w:color w:val="auto"/>
                      <w:szCs w:val="21"/>
                      <w:lang w:eastAsia="zh-CN"/>
                    </w:rPr>
                    <w:t>（五）</w:t>
                  </w:r>
                  <w:r>
                    <w:rPr>
                      <w:rFonts w:hint="eastAsia"/>
                      <w:color w:val="auto"/>
                      <w:szCs w:val="21"/>
                    </w:rPr>
                    <w:t>完善环境监测监控体系，强化环境风险防范。建立健全环境空气、地表水、地下水、土壤等环境要素的监测监控体系，加快区域环境风险防范体系建设，工业园应急预案应与各级政府、部门、企业应急预案有效衔接，按照三级环境风险防控要求，避免事故废水进入周边水体，监督及指导企业落实各项环境风险防范措施，建立健全应急响应联动机制、隐患排查整改制度，提升环境风险防控和应急响应能力，保障区域环境安全。</w:t>
                  </w:r>
                </w:p>
              </w:tc>
              <w:tc>
                <w:tcPr>
                  <w:tcW w:w="2543" w:type="dxa"/>
                  <w:tcBorders>
                    <w:bottom w:val="single" w:color="auto" w:sz="4" w:space="0"/>
                  </w:tcBorders>
                  <w:vAlign w:val="center"/>
                </w:tcPr>
                <w:p w14:paraId="26D5401A">
                  <w:pPr>
                    <w:jc w:val="center"/>
                    <w:rPr>
                      <w:color w:val="auto"/>
                      <w:szCs w:val="21"/>
                    </w:rPr>
                  </w:pPr>
                  <w:r>
                    <w:rPr>
                      <w:color w:val="auto"/>
                      <w:szCs w:val="21"/>
                    </w:rPr>
                    <w:t>本项目建成后，</w:t>
                  </w:r>
                  <w:r>
                    <w:rPr>
                      <w:rFonts w:hint="eastAsia"/>
                      <w:color w:val="auto"/>
                      <w:szCs w:val="21"/>
                    </w:rPr>
                    <w:t>将完善环境监测监控体系，强化环境风险防范，按照三级环境风险防控要求，加快区域环境风险防范体系建设，</w:t>
                  </w:r>
                  <w:r>
                    <w:rPr>
                      <w:color w:val="auto"/>
                      <w:szCs w:val="21"/>
                    </w:rPr>
                    <w:t>强化突发环境事件风险防控基础设施建设，建立突发环境事件隐患排查长效机制，定期排查突发环境事件隐患</w:t>
                  </w:r>
                  <w:r>
                    <w:rPr>
                      <w:rFonts w:hint="eastAsia"/>
                      <w:color w:val="auto"/>
                      <w:szCs w:val="21"/>
                    </w:rPr>
                    <w:t>，提升环境风险防控和应急响应能力，保障区域环境安全</w:t>
                  </w:r>
                  <w:r>
                    <w:rPr>
                      <w:color w:val="auto"/>
                      <w:szCs w:val="21"/>
                    </w:rPr>
                    <w:t>。</w:t>
                  </w:r>
                </w:p>
              </w:tc>
              <w:tc>
                <w:tcPr>
                  <w:tcW w:w="476" w:type="dxa"/>
                  <w:tcBorders>
                    <w:bottom w:val="single" w:color="auto" w:sz="4" w:space="0"/>
                    <w:right w:val="nil"/>
                  </w:tcBorders>
                  <w:vAlign w:val="center"/>
                </w:tcPr>
                <w:p w14:paraId="3DE4F2D5">
                  <w:pPr>
                    <w:jc w:val="center"/>
                    <w:rPr>
                      <w:color w:val="auto"/>
                      <w:szCs w:val="21"/>
                    </w:rPr>
                  </w:pPr>
                  <w:r>
                    <w:rPr>
                      <w:rFonts w:hint="eastAsia"/>
                      <w:color w:val="auto"/>
                      <w:szCs w:val="21"/>
                    </w:rPr>
                    <w:t>相符</w:t>
                  </w:r>
                </w:p>
              </w:tc>
            </w:tr>
            <w:tr w14:paraId="2904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62E01A90">
                  <w:pPr>
                    <w:jc w:val="center"/>
                    <w:rPr>
                      <w:color w:val="auto"/>
                      <w:szCs w:val="21"/>
                    </w:rPr>
                  </w:pPr>
                  <w:r>
                    <w:rPr>
                      <w:color w:val="auto"/>
                      <w:szCs w:val="21"/>
                    </w:rPr>
                    <w:t>8</w:t>
                  </w:r>
                </w:p>
              </w:tc>
              <w:tc>
                <w:tcPr>
                  <w:tcW w:w="684" w:type="dxa"/>
                  <w:vMerge w:val="continue"/>
                  <w:vAlign w:val="center"/>
                </w:tcPr>
                <w:p w14:paraId="034683DB">
                  <w:pPr>
                    <w:widowControl/>
                    <w:jc w:val="center"/>
                    <w:rPr>
                      <w:color w:val="auto"/>
                      <w:szCs w:val="21"/>
                    </w:rPr>
                  </w:pPr>
                </w:p>
              </w:tc>
              <w:tc>
                <w:tcPr>
                  <w:tcW w:w="3243" w:type="dxa"/>
                  <w:tcBorders>
                    <w:bottom w:val="single" w:color="auto" w:sz="4" w:space="0"/>
                  </w:tcBorders>
                  <w:vAlign w:val="center"/>
                </w:tcPr>
                <w:p w14:paraId="260FEC9C">
                  <w:pPr>
                    <w:widowControl/>
                    <w:jc w:val="center"/>
                    <w:rPr>
                      <w:color w:val="auto"/>
                      <w:szCs w:val="21"/>
                    </w:rPr>
                  </w:pPr>
                  <w:r>
                    <w:rPr>
                      <w:rFonts w:hint="eastAsia"/>
                      <w:color w:val="auto"/>
                      <w:szCs w:val="21"/>
                      <w:lang w:eastAsia="zh-CN"/>
                    </w:rPr>
                    <w:t>（</w:t>
                  </w:r>
                  <w:r>
                    <w:rPr>
                      <w:rFonts w:hint="eastAsia"/>
                      <w:color w:val="auto"/>
                      <w:szCs w:val="21"/>
                    </w:rPr>
                    <w:t>六</w:t>
                  </w:r>
                  <w:r>
                    <w:rPr>
                      <w:rFonts w:hint="eastAsia"/>
                      <w:color w:val="auto"/>
                      <w:szCs w:val="21"/>
                      <w:lang w:eastAsia="zh-CN"/>
                    </w:rPr>
                    <w:t>）</w:t>
                  </w:r>
                  <w:r>
                    <w:rPr>
                      <w:rFonts w:hint="eastAsia"/>
                      <w:color w:val="auto"/>
                      <w:szCs w:val="21"/>
                    </w:rPr>
                    <w:t>在《规划》实施过程中，应当及时组织规划环境影响的跟踪评价，《规划》进行调整的，应重新或者补充进行环境影响评价。</w:t>
                  </w:r>
                </w:p>
              </w:tc>
              <w:tc>
                <w:tcPr>
                  <w:tcW w:w="2543" w:type="dxa"/>
                  <w:tcBorders>
                    <w:bottom w:val="single" w:color="auto" w:sz="4" w:space="0"/>
                  </w:tcBorders>
                  <w:vAlign w:val="center"/>
                </w:tcPr>
                <w:p w14:paraId="385FB405">
                  <w:pPr>
                    <w:jc w:val="center"/>
                    <w:rPr>
                      <w:color w:val="auto"/>
                    </w:rPr>
                  </w:pPr>
                  <w:r>
                    <w:rPr>
                      <w:rFonts w:hint="eastAsia"/>
                      <w:color w:val="auto"/>
                      <w:szCs w:val="21"/>
                    </w:rPr>
                    <w:t>/</w:t>
                  </w:r>
                </w:p>
              </w:tc>
              <w:tc>
                <w:tcPr>
                  <w:tcW w:w="476" w:type="dxa"/>
                  <w:tcBorders>
                    <w:bottom w:val="single" w:color="auto" w:sz="4" w:space="0"/>
                    <w:right w:val="nil"/>
                  </w:tcBorders>
                  <w:vAlign w:val="center"/>
                </w:tcPr>
                <w:p w14:paraId="291F2437">
                  <w:pPr>
                    <w:jc w:val="center"/>
                    <w:rPr>
                      <w:color w:val="auto"/>
                      <w:szCs w:val="21"/>
                    </w:rPr>
                  </w:pPr>
                  <w:r>
                    <w:rPr>
                      <w:rFonts w:hint="eastAsia"/>
                      <w:color w:val="auto"/>
                      <w:szCs w:val="21"/>
                    </w:rPr>
                    <w:t>相符</w:t>
                  </w:r>
                </w:p>
              </w:tc>
            </w:tr>
            <w:tr w14:paraId="7618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left w:val="nil"/>
                  </w:tcBorders>
                  <w:vAlign w:val="center"/>
                </w:tcPr>
                <w:p w14:paraId="39DD9A12">
                  <w:pPr>
                    <w:jc w:val="center"/>
                    <w:rPr>
                      <w:color w:val="auto"/>
                      <w:szCs w:val="21"/>
                    </w:rPr>
                  </w:pPr>
                  <w:r>
                    <w:rPr>
                      <w:rFonts w:hint="eastAsia"/>
                      <w:color w:val="auto"/>
                      <w:szCs w:val="21"/>
                    </w:rPr>
                    <w:t>9</w:t>
                  </w:r>
                </w:p>
              </w:tc>
              <w:tc>
                <w:tcPr>
                  <w:tcW w:w="684" w:type="dxa"/>
                  <w:vMerge w:val="restart"/>
                  <w:vAlign w:val="center"/>
                </w:tcPr>
                <w:p w14:paraId="1364BEF6">
                  <w:pPr>
                    <w:widowControl/>
                    <w:shd w:val="clear" w:color="auto" w:fill="FFFFFF"/>
                    <w:jc w:val="center"/>
                    <w:rPr>
                      <w:color w:val="auto"/>
                      <w:szCs w:val="21"/>
                    </w:rPr>
                  </w:pPr>
                  <w:r>
                    <w:rPr>
                      <w:rFonts w:hint="eastAsia"/>
                      <w:color w:val="auto"/>
                      <w:szCs w:val="21"/>
                    </w:rPr>
                    <w:t>产业准入</w:t>
                  </w:r>
                </w:p>
              </w:tc>
              <w:tc>
                <w:tcPr>
                  <w:tcW w:w="3243" w:type="dxa"/>
                  <w:vAlign w:val="center"/>
                </w:tcPr>
                <w:p w14:paraId="6169A88A">
                  <w:pPr>
                    <w:widowControl/>
                    <w:shd w:val="clear" w:color="auto" w:fill="FFFFFF"/>
                    <w:jc w:val="center"/>
                    <w:rPr>
                      <w:color w:val="auto"/>
                      <w:szCs w:val="21"/>
                    </w:rPr>
                  </w:pPr>
                  <w:r>
                    <w:rPr>
                      <w:color w:val="auto"/>
                      <w:szCs w:val="21"/>
                    </w:rPr>
                    <w:t>优先引入：1、符合国家及地方产业政策，包括《产业结构调整指导目录</w:t>
                  </w:r>
                  <w:r>
                    <w:rPr>
                      <w:rFonts w:hint="eastAsia"/>
                      <w:color w:val="auto"/>
                      <w:szCs w:val="21"/>
                      <w:lang w:eastAsia="zh-CN"/>
                    </w:rPr>
                    <w:t>》《</w:t>
                  </w:r>
                  <w:r>
                    <w:rPr>
                      <w:color w:val="auto"/>
                      <w:szCs w:val="21"/>
                    </w:rPr>
                    <w:t>外商投资产业指导目录</w:t>
                  </w:r>
                  <w:r>
                    <w:rPr>
                      <w:rFonts w:hint="eastAsia"/>
                      <w:color w:val="auto"/>
                      <w:szCs w:val="21"/>
                      <w:lang w:eastAsia="zh-CN"/>
                    </w:rPr>
                    <w:t>》《</w:t>
                  </w:r>
                  <w:r>
                    <w:rPr>
                      <w:color w:val="auto"/>
                      <w:szCs w:val="21"/>
                    </w:rPr>
                    <w:t>江苏省人民政府发布核准的投资项目目录》等；符合所属行业有关发展规划。</w:t>
                  </w:r>
                </w:p>
                <w:p w14:paraId="7E50CABA">
                  <w:pPr>
                    <w:widowControl/>
                    <w:shd w:val="clear" w:color="auto" w:fill="FFFFFF"/>
                    <w:jc w:val="center"/>
                    <w:rPr>
                      <w:color w:val="auto"/>
                      <w:szCs w:val="21"/>
                    </w:rPr>
                  </w:pPr>
                  <w:r>
                    <w:rPr>
                      <w:rFonts w:hint="eastAsia"/>
                      <w:color w:val="auto"/>
                      <w:szCs w:val="21"/>
                      <w:lang w:eastAsia="zh-CN"/>
                    </w:rPr>
                    <w:t>2.</w:t>
                  </w:r>
                  <w:r>
                    <w:rPr>
                      <w:color w:val="auto"/>
                      <w:szCs w:val="21"/>
                    </w:rPr>
                    <w:t>符合涟水空港产业园规划产业定位</w:t>
                  </w:r>
                  <w:r>
                    <w:rPr>
                      <w:rFonts w:hint="eastAsia"/>
                      <w:color w:val="auto"/>
                      <w:szCs w:val="21"/>
                      <w:lang w:eastAsia="zh-CN"/>
                    </w:rPr>
                    <w:t>（</w:t>
                  </w:r>
                  <w:r>
                    <w:rPr>
                      <w:color w:val="auto"/>
                      <w:szCs w:val="21"/>
                    </w:rPr>
                    <w:t>新能源新材料产业主要发展光伏设备及元器件制造</w:t>
                  </w:r>
                  <w:r>
                    <w:rPr>
                      <w:rFonts w:hint="eastAsia"/>
                      <w:color w:val="auto"/>
                      <w:szCs w:val="21"/>
                      <w:lang w:eastAsia="zh-CN"/>
                    </w:rPr>
                    <w:t>（</w:t>
                  </w:r>
                  <w:r>
                    <w:rPr>
                      <w:color w:val="auto"/>
                      <w:szCs w:val="21"/>
                    </w:rPr>
                    <w:t>C3825</w:t>
                  </w:r>
                  <w:r>
                    <w:rPr>
                      <w:rFonts w:hint="eastAsia"/>
                      <w:color w:val="auto"/>
                      <w:szCs w:val="21"/>
                      <w:lang w:eastAsia="zh-CN"/>
                    </w:rPr>
                    <w:t>）</w:t>
                  </w:r>
                  <w:r>
                    <w:rPr>
                      <w:color w:val="auto"/>
                      <w:szCs w:val="21"/>
                    </w:rPr>
                    <w:t>、输配电及控制设备制造</w:t>
                  </w:r>
                </w:p>
                <w:p w14:paraId="4B024526">
                  <w:pPr>
                    <w:widowControl/>
                    <w:shd w:val="clear" w:color="auto" w:fill="FFFFFF"/>
                    <w:jc w:val="center"/>
                    <w:rPr>
                      <w:color w:val="auto"/>
                      <w:szCs w:val="21"/>
                    </w:rPr>
                  </w:pPr>
                  <w:r>
                    <w:rPr>
                      <w:color w:val="auto"/>
                      <w:szCs w:val="21"/>
                    </w:rPr>
                    <w:t>(C382)、电子元件及电子专用材料制造</w:t>
                  </w:r>
                  <w:r>
                    <w:rPr>
                      <w:rFonts w:hint="eastAsia"/>
                      <w:color w:val="auto"/>
                      <w:szCs w:val="21"/>
                      <w:lang w:eastAsia="zh-CN"/>
                    </w:rPr>
                    <w:t>（</w:t>
                  </w:r>
                  <w:r>
                    <w:rPr>
                      <w:color w:val="auto"/>
                      <w:szCs w:val="21"/>
                    </w:rPr>
                    <w:t>C398</w:t>
                  </w:r>
                  <w:r>
                    <w:rPr>
                      <w:rFonts w:hint="eastAsia"/>
                      <w:color w:val="auto"/>
                      <w:szCs w:val="21"/>
                      <w:lang w:eastAsia="zh-CN"/>
                    </w:rPr>
                    <w:t>）</w:t>
                  </w:r>
                  <w:r>
                    <w:rPr>
                      <w:color w:val="auto"/>
                      <w:szCs w:val="21"/>
                    </w:rPr>
                    <w:t>等行业；高端装备制造产业主要发展金属加工机械制造</w:t>
                  </w:r>
                  <w:r>
                    <w:rPr>
                      <w:rFonts w:hint="eastAsia"/>
                      <w:color w:val="auto"/>
                      <w:szCs w:val="21"/>
                      <w:lang w:eastAsia="zh-CN"/>
                    </w:rPr>
                    <w:t>（</w:t>
                  </w:r>
                  <w:r>
                    <w:rPr>
                      <w:color w:val="auto"/>
                      <w:szCs w:val="21"/>
                    </w:rPr>
                    <w:t>C342</w:t>
                  </w:r>
                  <w:r>
                    <w:rPr>
                      <w:rFonts w:hint="eastAsia"/>
                      <w:color w:val="auto"/>
                      <w:szCs w:val="21"/>
                      <w:lang w:eastAsia="zh-CN"/>
                    </w:rPr>
                    <w:t>）</w:t>
                  </w:r>
                  <w:r>
                    <w:rPr>
                      <w:color w:val="auto"/>
                      <w:szCs w:val="21"/>
                    </w:rPr>
                    <w:t>、纺织服装和皮革加工专用设备制造</w:t>
                  </w:r>
                  <w:r>
                    <w:rPr>
                      <w:rFonts w:hint="eastAsia"/>
                      <w:color w:val="auto"/>
                      <w:szCs w:val="21"/>
                      <w:lang w:eastAsia="zh-CN"/>
                    </w:rPr>
                    <w:t>（</w:t>
                  </w:r>
                  <w:r>
                    <w:rPr>
                      <w:color w:val="auto"/>
                      <w:szCs w:val="21"/>
                    </w:rPr>
                    <w:t>C355</w:t>
                  </w:r>
                  <w:r>
                    <w:rPr>
                      <w:rFonts w:hint="eastAsia"/>
                      <w:color w:val="auto"/>
                      <w:szCs w:val="21"/>
                      <w:lang w:eastAsia="zh-CN"/>
                    </w:rPr>
                    <w:t>）</w:t>
                  </w:r>
                  <w:r>
                    <w:rPr>
                      <w:color w:val="auto"/>
                      <w:szCs w:val="21"/>
                    </w:rPr>
                    <w:t>、电子和电工机械专用设备制造</w:t>
                  </w:r>
                  <w:r>
                    <w:rPr>
                      <w:rFonts w:hint="eastAsia"/>
                      <w:color w:val="auto"/>
                      <w:szCs w:val="21"/>
                      <w:lang w:eastAsia="zh-CN"/>
                    </w:rPr>
                    <w:t>（</w:t>
                  </w:r>
                  <w:r>
                    <w:rPr>
                      <w:color w:val="auto"/>
                      <w:szCs w:val="21"/>
                    </w:rPr>
                    <w:t>C356</w:t>
                  </w:r>
                  <w:r>
                    <w:rPr>
                      <w:rFonts w:hint="eastAsia"/>
                      <w:color w:val="auto"/>
                      <w:szCs w:val="21"/>
                      <w:lang w:eastAsia="zh-CN"/>
                    </w:rPr>
                    <w:t>）</w:t>
                  </w:r>
                  <w:r>
                    <w:rPr>
                      <w:color w:val="auto"/>
                      <w:szCs w:val="21"/>
                    </w:rPr>
                    <w:t>、医疗仪器设备及器械制造</w:t>
                  </w:r>
                  <w:r>
                    <w:rPr>
                      <w:rFonts w:hint="eastAsia"/>
                      <w:color w:val="auto"/>
                      <w:szCs w:val="21"/>
                      <w:lang w:eastAsia="zh-CN"/>
                    </w:rPr>
                    <w:t>（</w:t>
                  </w:r>
                  <w:r>
                    <w:rPr>
                      <w:color w:val="auto"/>
                      <w:szCs w:val="21"/>
                    </w:rPr>
                    <w:t>C358</w:t>
                  </w:r>
                  <w:r>
                    <w:rPr>
                      <w:rFonts w:hint="eastAsia"/>
                      <w:color w:val="auto"/>
                      <w:szCs w:val="21"/>
                      <w:lang w:eastAsia="zh-CN"/>
                    </w:rPr>
                    <w:t>）</w:t>
                  </w:r>
                  <w:r>
                    <w:rPr>
                      <w:color w:val="auto"/>
                      <w:szCs w:val="21"/>
                    </w:rPr>
                    <w:t>、环保及其他专用设备制造</w:t>
                  </w:r>
                  <w:r>
                    <w:rPr>
                      <w:rFonts w:hint="eastAsia"/>
                      <w:color w:val="auto"/>
                      <w:szCs w:val="21"/>
                      <w:lang w:eastAsia="zh-CN"/>
                    </w:rPr>
                    <w:t>（</w:t>
                  </w:r>
                  <w:r>
                    <w:rPr>
                      <w:color w:val="auto"/>
                      <w:szCs w:val="21"/>
                    </w:rPr>
                    <w:t>C359</w:t>
                  </w:r>
                  <w:r>
                    <w:rPr>
                      <w:rFonts w:hint="eastAsia"/>
                      <w:color w:val="auto"/>
                      <w:szCs w:val="21"/>
                      <w:lang w:eastAsia="zh-CN"/>
                    </w:rPr>
                    <w:t>）</w:t>
                  </w:r>
                  <w:r>
                    <w:rPr>
                      <w:color w:val="auto"/>
                      <w:szCs w:val="21"/>
                    </w:rPr>
                    <w:t>等领域的部件总成，工业机器人制造</w:t>
                  </w:r>
                  <w:r>
                    <w:rPr>
                      <w:rFonts w:hint="eastAsia"/>
                      <w:color w:val="auto"/>
                      <w:szCs w:val="21"/>
                      <w:lang w:eastAsia="zh-CN"/>
                    </w:rPr>
                    <w:t>（</w:t>
                  </w:r>
                  <w:r>
                    <w:rPr>
                      <w:color w:val="auto"/>
                      <w:szCs w:val="21"/>
                    </w:rPr>
                    <w:t>C3491</w:t>
                  </w:r>
                  <w:r>
                    <w:rPr>
                      <w:rFonts w:hint="eastAsia"/>
                      <w:color w:val="auto"/>
                      <w:szCs w:val="21"/>
                      <w:lang w:eastAsia="zh-CN"/>
                    </w:rPr>
                    <w:t>）</w:t>
                  </w:r>
                  <w:r>
                    <w:rPr>
                      <w:color w:val="auto"/>
                      <w:szCs w:val="21"/>
                    </w:rPr>
                    <w:t>、增材制造装备制造</w:t>
                  </w:r>
                  <w:r>
                    <w:rPr>
                      <w:rFonts w:hint="eastAsia"/>
                      <w:color w:val="auto"/>
                      <w:szCs w:val="21"/>
                      <w:lang w:eastAsia="zh-CN"/>
                    </w:rPr>
                    <w:t>（</w:t>
                  </w:r>
                  <w:r>
                    <w:rPr>
                      <w:color w:val="auto"/>
                      <w:szCs w:val="21"/>
                    </w:rPr>
                    <w:t>C3493</w:t>
                  </w:r>
                  <w:r>
                    <w:rPr>
                      <w:rFonts w:hint="eastAsia"/>
                      <w:color w:val="auto"/>
                      <w:szCs w:val="21"/>
                      <w:lang w:eastAsia="zh-CN"/>
                    </w:rPr>
                    <w:t>）</w:t>
                  </w:r>
                  <w:r>
                    <w:rPr>
                      <w:color w:val="auto"/>
                      <w:szCs w:val="21"/>
                    </w:rPr>
                    <w:t>、轨道交通设施制造</w:t>
                  </w:r>
                  <w:r>
                    <w:rPr>
                      <w:rFonts w:hint="eastAsia"/>
                      <w:color w:val="auto"/>
                      <w:szCs w:val="21"/>
                      <w:lang w:eastAsia="zh-CN"/>
                    </w:rPr>
                    <w:t>（</w:t>
                  </w:r>
                  <w:r>
                    <w:rPr>
                      <w:color w:val="auto"/>
                      <w:szCs w:val="21"/>
                    </w:rPr>
                    <w:t>C372</w:t>
                  </w:r>
                  <w:r>
                    <w:rPr>
                      <w:rFonts w:hint="eastAsia"/>
                      <w:color w:val="auto"/>
                      <w:szCs w:val="21"/>
                      <w:lang w:eastAsia="zh-CN"/>
                    </w:rPr>
                    <w:t>）</w:t>
                  </w:r>
                  <w:r>
                    <w:rPr>
                      <w:color w:val="auto"/>
                      <w:szCs w:val="21"/>
                    </w:rPr>
                    <w:t>、航空航天设备制造</w:t>
                  </w:r>
                  <w:r>
                    <w:rPr>
                      <w:rFonts w:hint="eastAsia"/>
                      <w:color w:val="auto"/>
                      <w:szCs w:val="21"/>
                      <w:lang w:eastAsia="zh-CN"/>
                    </w:rPr>
                    <w:t>（</w:t>
                  </w:r>
                  <w:r>
                    <w:rPr>
                      <w:color w:val="auto"/>
                      <w:szCs w:val="21"/>
                    </w:rPr>
                    <w:t>C374</w:t>
                  </w:r>
                  <w:r>
                    <w:rPr>
                      <w:rFonts w:hint="eastAsia"/>
                      <w:color w:val="auto"/>
                      <w:szCs w:val="21"/>
                      <w:lang w:eastAsia="zh-CN"/>
                    </w:rPr>
                    <w:t>）</w:t>
                  </w:r>
                  <w:r>
                    <w:rPr>
                      <w:color w:val="auto"/>
                      <w:szCs w:val="21"/>
                    </w:rPr>
                    <w:t>等行业；电子信息产业主要发展电气机械和器材制造业</w:t>
                  </w:r>
                  <w:r>
                    <w:rPr>
                      <w:rFonts w:hint="eastAsia"/>
                      <w:color w:val="auto"/>
                      <w:szCs w:val="21"/>
                      <w:lang w:eastAsia="zh-CN"/>
                    </w:rPr>
                    <w:t>（</w:t>
                  </w:r>
                  <w:r>
                    <w:rPr>
                      <w:color w:val="auto"/>
                      <w:szCs w:val="21"/>
                    </w:rPr>
                    <w:t>C38</w:t>
                  </w:r>
                  <w:r>
                    <w:rPr>
                      <w:rFonts w:hint="eastAsia"/>
                      <w:color w:val="auto"/>
                      <w:szCs w:val="21"/>
                      <w:lang w:eastAsia="zh-CN"/>
                    </w:rPr>
                    <w:t>）</w:t>
                  </w:r>
                  <w:r>
                    <w:rPr>
                      <w:color w:val="auto"/>
                      <w:szCs w:val="21"/>
                    </w:rPr>
                    <w:t>、计算机、通信和其他电子设备制造业</w:t>
                  </w:r>
                  <w:r>
                    <w:rPr>
                      <w:rFonts w:hint="eastAsia"/>
                      <w:color w:val="auto"/>
                      <w:szCs w:val="21"/>
                      <w:lang w:eastAsia="zh-CN"/>
                    </w:rPr>
                    <w:t>（</w:t>
                  </w:r>
                  <w:r>
                    <w:rPr>
                      <w:color w:val="auto"/>
                      <w:szCs w:val="21"/>
                    </w:rPr>
                    <w:t>C39</w:t>
                  </w:r>
                  <w:r>
                    <w:rPr>
                      <w:rFonts w:hint="eastAsia"/>
                      <w:color w:val="auto"/>
                      <w:szCs w:val="21"/>
                      <w:lang w:eastAsia="zh-CN"/>
                    </w:rPr>
                    <w:t>）</w:t>
                  </w:r>
                  <w:r>
                    <w:rPr>
                      <w:color w:val="auto"/>
                      <w:szCs w:val="21"/>
                    </w:rPr>
                    <w:t>、互联网和</w:t>
                  </w:r>
                  <w:r>
                    <w:rPr>
                      <w:rFonts w:hint="eastAsia"/>
                      <w:color w:val="auto"/>
                      <w:szCs w:val="21"/>
                      <w:lang w:eastAsia="zh-CN"/>
                    </w:rPr>
                    <w:t>相关</w:t>
                  </w:r>
                  <w:r>
                    <w:rPr>
                      <w:color w:val="auto"/>
                      <w:szCs w:val="21"/>
                    </w:rPr>
                    <w:t>产业</w:t>
                  </w:r>
                  <w:r>
                    <w:rPr>
                      <w:rFonts w:hint="eastAsia"/>
                      <w:color w:val="auto"/>
                      <w:szCs w:val="21"/>
                      <w:lang w:eastAsia="zh-CN"/>
                    </w:rPr>
                    <w:t>准入</w:t>
                  </w:r>
                  <w:r>
                    <w:rPr>
                      <w:color w:val="auto"/>
                      <w:szCs w:val="21"/>
                    </w:rPr>
                    <w:t>服务</w:t>
                  </w:r>
                  <w:r>
                    <w:rPr>
                      <w:rFonts w:hint="eastAsia"/>
                      <w:color w:val="auto"/>
                      <w:szCs w:val="21"/>
                      <w:lang w:eastAsia="zh-CN"/>
                    </w:rPr>
                    <w:t>（</w:t>
                  </w:r>
                  <w:r>
                    <w:rPr>
                      <w:color w:val="auto"/>
                      <w:szCs w:val="21"/>
                    </w:rPr>
                    <w:t>I64</w:t>
                  </w:r>
                  <w:r>
                    <w:rPr>
                      <w:rFonts w:hint="eastAsia"/>
                      <w:color w:val="auto"/>
                      <w:szCs w:val="21"/>
                      <w:lang w:eastAsia="zh-CN"/>
                    </w:rPr>
                    <w:t>）</w:t>
                  </w:r>
                  <w:r>
                    <w:rPr>
                      <w:color w:val="auto"/>
                      <w:szCs w:val="21"/>
                    </w:rPr>
                    <w:t>、软件和信息技术服务业</w:t>
                  </w:r>
                  <w:r>
                    <w:rPr>
                      <w:rFonts w:hint="eastAsia"/>
                      <w:color w:val="auto"/>
                      <w:szCs w:val="21"/>
                      <w:lang w:eastAsia="zh-CN"/>
                    </w:rPr>
                    <w:t>（</w:t>
                  </w:r>
                  <w:r>
                    <w:rPr>
                      <w:color w:val="auto"/>
                      <w:szCs w:val="21"/>
                    </w:rPr>
                    <w:t>165</w:t>
                  </w:r>
                  <w:r>
                    <w:rPr>
                      <w:rFonts w:hint="eastAsia"/>
                      <w:color w:val="auto"/>
                      <w:szCs w:val="21"/>
                      <w:lang w:eastAsia="zh-CN"/>
                    </w:rPr>
                    <w:t>）</w:t>
                  </w:r>
                  <w:r>
                    <w:rPr>
                      <w:color w:val="auto"/>
                      <w:szCs w:val="21"/>
                    </w:rPr>
                    <w:t>、专业技术服务业</w:t>
                  </w:r>
                  <w:r>
                    <w:rPr>
                      <w:rFonts w:hint="eastAsia"/>
                      <w:color w:val="auto"/>
                      <w:szCs w:val="21"/>
                      <w:lang w:eastAsia="zh-CN"/>
                    </w:rPr>
                    <w:t>（</w:t>
                  </w:r>
                  <w:r>
                    <w:rPr>
                      <w:color w:val="auto"/>
                      <w:szCs w:val="21"/>
                    </w:rPr>
                    <w:t>M74</w:t>
                  </w:r>
                  <w:r>
                    <w:rPr>
                      <w:rFonts w:hint="eastAsia"/>
                      <w:color w:val="auto"/>
                      <w:szCs w:val="21"/>
                      <w:lang w:eastAsia="zh-CN"/>
                    </w:rPr>
                    <w:t>）</w:t>
                  </w:r>
                  <w:r>
                    <w:rPr>
                      <w:color w:val="auto"/>
                      <w:szCs w:val="21"/>
                    </w:rPr>
                    <w:t>、科技推广和应用服务业</w:t>
                  </w:r>
                  <w:r>
                    <w:rPr>
                      <w:rFonts w:hint="eastAsia"/>
                      <w:color w:val="auto"/>
                      <w:szCs w:val="21"/>
                      <w:lang w:eastAsia="zh-CN"/>
                    </w:rPr>
                    <w:t>（</w:t>
                  </w:r>
                  <w:r>
                    <w:rPr>
                      <w:color w:val="auto"/>
                      <w:szCs w:val="21"/>
                    </w:rPr>
                    <w:t>M75</w:t>
                  </w:r>
                  <w:r>
                    <w:rPr>
                      <w:rFonts w:hint="eastAsia"/>
                      <w:color w:val="auto"/>
                      <w:szCs w:val="21"/>
                      <w:lang w:eastAsia="zh-CN"/>
                    </w:rPr>
                    <w:t>）</w:t>
                  </w:r>
                  <w:r>
                    <w:rPr>
                      <w:color w:val="auto"/>
                      <w:szCs w:val="21"/>
                    </w:rPr>
                    <w:t>等行业。</w:t>
                  </w:r>
                </w:p>
              </w:tc>
              <w:tc>
                <w:tcPr>
                  <w:tcW w:w="2543" w:type="dxa"/>
                  <w:vMerge w:val="restart"/>
                  <w:vAlign w:val="center"/>
                </w:tcPr>
                <w:p w14:paraId="2725F3BA">
                  <w:pPr>
                    <w:jc w:val="center"/>
                    <w:rPr>
                      <w:color w:val="auto"/>
                      <w:szCs w:val="21"/>
                    </w:rPr>
                  </w:pPr>
                  <w:r>
                    <w:rPr>
                      <w:rFonts w:hint="eastAsia"/>
                      <w:color w:val="auto"/>
                      <w:szCs w:val="21"/>
                    </w:rPr>
                    <w:t>本项目行业类别为其他工艺美术及礼仪用品制造，产品为展示道具柜台，</w:t>
                  </w:r>
                  <w:r>
                    <w:rPr>
                      <w:color w:val="auto"/>
                      <w:szCs w:val="21"/>
                    </w:rPr>
                    <w:t>符合国家、地方现行产业政策；不属于生产工艺及设备落后、风险防范措施疏漏、抗风险能力差的项目；不属于与主导产业不相关且污染物排放量大的项目；不属于生产和使用高VOCs含量的溶剂型涂料、油墨、胶粘剂等项目；不属于存放易燃、易爆和剧毒等危险品的仓储项目；不属于排放含铅、汞、镍、镉、铬、砷、铊、锑废水或废气的项目；不使用含氟、氰化物的原辅料；不属于燃煤发电、钢铁、水泥、原油加工、制浆造纸、平板玻璃、稀土金属冶炼、多晶硅冶炼、化工、染料、农药、酿造等和以煤炭为主要原料的高耗能、重污染项目；不属于《环境保护综合名录（2021年版）》“高污染、高环境风险”产品；不</w:t>
                  </w:r>
                  <w:r>
                    <w:rPr>
                      <w:rFonts w:hint="eastAsia"/>
                      <w:color w:val="auto"/>
                      <w:szCs w:val="21"/>
                    </w:rPr>
                    <w:t>涉及重金属废水外排项目</w:t>
                  </w:r>
                  <w:r>
                    <w:rPr>
                      <w:color w:val="auto"/>
                      <w:szCs w:val="21"/>
                    </w:rPr>
                    <w:t>。</w:t>
                  </w:r>
                </w:p>
              </w:tc>
              <w:tc>
                <w:tcPr>
                  <w:tcW w:w="476" w:type="dxa"/>
                  <w:vMerge w:val="restart"/>
                  <w:tcBorders>
                    <w:right w:val="nil"/>
                  </w:tcBorders>
                  <w:vAlign w:val="center"/>
                </w:tcPr>
                <w:p w14:paraId="281D7058">
                  <w:pPr>
                    <w:jc w:val="center"/>
                    <w:rPr>
                      <w:color w:val="auto"/>
                      <w:szCs w:val="21"/>
                    </w:rPr>
                  </w:pPr>
                  <w:r>
                    <w:rPr>
                      <w:rFonts w:hint="eastAsia"/>
                      <w:color w:val="auto"/>
                      <w:szCs w:val="21"/>
                    </w:rPr>
                    <w:t>相符</w:t>
                  </w:r>
                </w:p>
              </w:tc>
            </w:tr>
            <w:tr w14:paraId="0F35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3BBAA04E">
                  <w:pPr>
                    <w:jc w:val="center"/>
                    <w:rPr>
                      <w:color w:val="auto"/>
                      <w:szCs w:val="21"/>
                    </w:rPr>
                  </w:pPr>
                </w:p>
              </w:tc>
              <w:tc>
                <w:tcPr>
                  <w:tcW w:w="684" w:type="dxa"/>
                  <w:vMerge w:val="continue"/>
                  <w:vAlign w:val="center"/>
                </w:tcPr>
                <w:p w14:paraId="560D713B">
                  <w:pPr>
                    <w:widowControl/>
                    <w:shd w:val="clear" w:color="auto" w:fill="FFFFFF"/>
                    <w:jc w:val="center"/>
                    <w:rPr>
                      <w:color w:val="auto"/>
                      <w:szCs w:val="21"/>
                    </w:rPr>
                  </w:pPr>
                </w:p>
              </w:tc>
              <w:tc>
                <w:tcPr>
                  <w:tcW w:w="3243" w:type="dxa"/>
                  <w:vAlign w:val="center"/>
                </w:tcPr>
                <w:p w14:paraId="44925159">
                  <w:pPr>
                    <w:widowControl/>
                    <w:shd w:val="clear" w:color="auto" w:fill="FFFFFF"/>
                    <w:jc w:val="center"/>
                    <w:rPr>
                      <w:color w:val="auto"/>
                      <w:szCs w:val="21"/>
                    </w:rPr>
                  </w:pPr>
                  <w:r>
                    <w:rPr>
                      <w:rFonts w:hint="eastAsia"/>
                      <w:color w:val="auto"/>
                      <w:szCs w:val="21"/>
                    </w:rPr>
                    <w:t>禁止引入：1、《产业结构调整指导目录</w:t>
                  </w:r>
                  <w:r>
                    <w:rPr>
                      <w:rFonts w:hint="eastAsia"/>
                      <w:color w:val="auto"/>
                      <w:szCs w:val="21"/>
                      <w:lang w:eastAsia="zh-CN"/>
                    </w:rPr>
                    <w:t>（</w:t>
                  </w:r>
                  <w:r>
                    <w:rPr>
                      <w:rFonts w:hint="eastAsia"/>
                      <w:color w:val="auto"/>
                      <w:szCs w:val="21"/>
                    </w:rPr>
                    <w:t>2019年本</w:t>
                  </w:r>
                  <w:r>
                    <w:rPr>
                      <w:rFonts w:hint="eastAsia"/>
                      <w:color w:val="auto"/>
                      <w:szCs w:val="21"/>
                      <w:lang w:eastAsia="zh-CN"/>
                    </w:rPr>
                    <w:t>）</w:t>
                  </w:r>
                  <w:r>
                    <w:rPr>
                      <w:rFonts w:hint="eastAsia"/>
                      <w:color w:val="auto"/>
                      <w:szCs w:val="21"/>
                    </w:rPr>
                    <w:t>》(2021年12月27日修订</w:t>
                  </w:r>
                  <w:r>
                    <w:rPr>
                      <w:rFonts w:hint="eastAsia"/>
                      <w:color w:val="auto"/>
                      <w:szCs w:val="21"/>
                      <w:lang w:eastAsia="zh-CN"/>
                    </w:rPr>
                    <w:t>）</w:t>
                  </w:r>
                  <w:r>
                    <w:rPr>
                      <w:rFonts w:hint="eastAsia"/>
                      <w:color w:val="auto"/>
                      <w:szCs w:val="21"/>
                    </w:rPr>
                    <w:t>中淘汰类项目，列入《外商投资准入特别管理措施</w:t>
                  </w:r>
                  <w:r>
                    <w:rPr>
                      <w:rFonts w:hint="eastAsia"/>
                      <w:color w:val="auto"/>
                      <w:szCs w:val="21"/>
                      <w:lang w:eastAsia="zh-CN"/>
                    </w:rPr>
                    <w:t>（</w:t>
                  </w:r>
                  <w:r>
                    <w:rPr>
                      <w:rFonts w:hint="eastAsia"/>
                      <w:color w:val="auto"/>
                      <w:szCs w:val="21"/>
                    </w:rPr>
                    <w:t>负面清单</w:t>
                  </w:r>
                  <w:r>
                    <w:rPr>
                      <w:rFonts w:hint="eastAsia"/>
                      <w:color w:val="auto"/>
                      <w:szCs w:val="21"/>
                      <w:lang w:eastAsia="zh-CN"/>
                    </w:rPr>
                    <w:t>）</w:t>
                  </w:r>
                  <w:r>
                    <w:rPr>
                      <w:rFonts w:hint="eastAsia"/>
                      <w:color w:val="auto"/>
                      <w:szCs w:val="21"/>
                    </w:rPr>
                    <w:t>(2021年版</w:t>
                  </w:r>
                  <w:r>
                    <w:rPr>
                      <w:rFonts w:hint="eastAsia"/>
                      <w:color w:val="auto"/>
                      <w:szCs w:val="21"/>
                      <w:lang w:eastAsia="zh-CN"/>
                    </w:rPr>
                    <w:t>）</w:t>
                  </w:r>
                  <w:r>
                    <w:rPr>
                      <w:rFonts w:hint="eastAsia"/>
                      <w:color w:val="auto"/>
                      <w:szCs w:val="21"/>
                    </w:rPr>
                    <w:t>》的产业；采用落后的、淘汰的生产工艺或生产设备，清洁生产达不到国内先进水平的项目；《长江经济带发展负面清单指南</w:t>
                  </w:r>
                  <w:r>
                    <w:rPr>
                      <w:rFonts w:hint="eastAsia"/>
                      <w:color w:val="auto"/>
                      <w:szCs w:val="21"/>
                      <w:lang w:eastAsia="zh-CN"/>
                    </w:rPr>
                    <w:t>（</w:t>
                  </w:r>
                  <w:r>
                    <w:rPr>
                      <w:rFonts w:hint="eastAsia"/>
                      <w:color w:val="auto"/>
                      <w:szCs w:val="21"/>
                    </w:rPr>
                    <w:t>试行，2022年版</w:t>
                  </w:r>
                  <w:r>
                    <w:rPr>
                      <w:rFonts w:hint="eastAsia"/>
                      <w:color w:val="auto"/>
                      <w:szCs w:val="21"/>
                      <w:lang w:eastAsia="zh-CN"/>
                    </w:rPr>
                    <w:t>）》《</w:t>
                  </w:r>
                  <w:r>
                    <w:rPr>
                      <w:rFonts w:hint="eastAsia"/>
                      <w:color w:val="auto"/>
                      <w:szCs w:val="21"/>
                    </w:rPr>
                    <w:t>淮河流域水污染防治暂行条例》列明的禁止建设的产业以及江苏省产业政策中明确列入淘汰的项目；《环境保护综合名录</w:t>
                  </w:r>
                  <w:r>
                    <w:rPr>
                      <w:rFonts w:hint="eastAsia"/>
                      <w:color w:val="auto"/>
                      <w:szCs w:val="21"/>
                      <w:lang w:eastAsia="zh-CN"/>
                    </w:rPr>
                    <w:t>（</w:t>
                  </w:r>
                  <w:r>
                    <w:rPr>
                      <w:rFonts w:hint="eastAsia"/>
                      <w:color w:val="auto"/>
                      <w:szCs w:val="21"/>
                    </w:rPr>
                    <w:t>2021年版</w:t>
                  </w:r>
                  <w:r>
                    <w:rPr>
                      <w:rFonts w:hint="eastAsia"/>
                      <w:color w:val="auto"/>
                      <w:szCs w:val="21"/>
                      <w:lang w:eastAsia="zh-CN"/>
                    </w:rPr>
                    <w:t>）</w:t>
                  </w:r>
                  <w:r>
                    <w:rPr>
                      <w:rFonts w:hint="eastAsia"/>
                      <w:color w:val="auto"/>
                      <w:szCs w:val="21"/>
                    </w:rPr>
                    <w:t>》“高污染、高环境风险”产品。</w:t>
                  </w:r>
                </w:p>
                <w:p w14:paraId="5CB0A4AD">
                  <w:pPr>
                    <w:widowControl/>
                    <w:shd w:val="clear" w:color="auto" w:fill="FFFFFF"/>
                    <w:jc w:val="center"/>
                    <w:rPr>
                      <w:color w:val="auto"/>
                      <w:szCs w:val="21"/>
                    </w:rPr>
                  </w:pPr>
                  <w:r>
                    <w:rPr>
                      <w:rFonts w:hint="eastAsia"/>
                      <w:color w:val="auto"/>
                      <w:szCs w:val="21"/>
                      <w:lang w:eastAsia="zh-CN"/>
                    </w:rPr>
                    <w:t>2.</w:t>
                  </w:r>
                  <w:r>
                    <w:rPr>
                      <w:rFonts w:hint="eastAsia"/>
                      <w:color w:val="auto"/>
                      <w:szCs w:val="21"/>
                    </w:rPr>
                    <w:t>电子化工材料制造项目；PCB印刷及制造项目；涉及重金属废水外排项目；使用高VOCs含量的溶剂型涂料、油墨、胶粘剂等项目。</w:t>
                  </w:r>
                </w:p>
              </w:tc>
              <w:tc>
                <w:tcPr>
                  <w:tcW w:w="2543" w:type="dxa"/>
                  <w:vMerge w:val="continue"/>
                  <w:vAlign w:val="center"/>
                </w:tcPr>
                <w:p w14:paraId="6F72EFFC">
                  <w:pPr>
                    <w:jc w:val="center"/>
                    <w:rPr>
                      <w:color w:val="auto"/>
                      <w:szCs w:val="21"/>
                    </w:rPr>
                  </w:pPr>
                </w:p>
              </w:tc>
              <w:tc>
                <w:tcPr>
                  <w:tcW w:w="476" w:type="dxa"/>
                  <w:vMerge w:val="continue"/>
                  <w:tcBorders>
                    <w:right w:val="nil"/>
                  </w:tcBorders>
                  <w:vAlign w:val="center"/>
                </w:tcPr>
                <w:p w14:paraId="454D56A2">
                  <w:pPr>
                    <w:jc w:val="center"/>
                    <w:rPr>
                      <w:color w:val="auto"/>
                      <w:szCs w:val="21"/>
                    </w:rPr>
                  </w:pPr>
                </w:p>
              </w:tc>
            </w:tr>
            <w:tr w14:paraId="59E1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0E85E110">
                  <w:pPr>
                    <w:jc w:val="center"/>
                    <w:rPr>
                      <w:color w:val="auto"/>
                      <w:szCs w:val="21"/>
                    </w:rPr>
                  </w:pPr>
                </w:p>
              </w:tc>
              <w:tc>
                <w:tcPr>
                  <w:tcW w:w="684" w:type="dxa"/>
                  <w:vMerge w:val="continue"/>
                  <w:vAlign w:val="center"/>
                </w:tcPr>
                <w:p w14:paraId="2FAC82B3">
                  <w:pPr>
                    <w:widowControl/>
                    <w:shd w:val="clear" w:color="auto" w:fill="FFFFFF"/>
                    <w:jc w:val="center"/>
                    <w:rPr>
                      <w:color w:val="auto"/>
                      <w:szCs w:val="21"/>
                    </w:rPr>
                  </w:pPr>
                </w:p>
              </w:tc>
              <w:tc>
                <w:tcPr>
                  <w:tcW w:w="3243" w:type="dxa"/>
                  <w:vAlign w:val="center"/>
                </w:tcPr>
                <w:p w14:paraId="23CEE39A">
                  <w:pPr>
                    <w:widowControl/>
                    <w:shd w:val="clear" w:color="auto" w:fill="FFFFFF"/>
                    <w:jc w:val="center"/>
                    <w:rPr>
                      <w:color w:val="auto"/>
                      <w:szCs w:val="21"/>
                    </w:rPr>
                  </w:pPr>
                  <w:r>
                    <w:rPr>
                      <w:rFonts w:hint="eastAsia"/>
                      <w:color w:val="auto"/>
                      <w:szCs w:val="21"/>
                    </w:rPr>
                    <w:t>限制引入：1、《产业结构调整指导目录》中限制项目。</w:t>
                  </w:r>
                </w:p>
                <w:p w14:paraId="69EF4FEC">
                  <w:pPr>
                    <w:widowControl/>
                    <w:shd w:val="clear" w:color="auto" w:fill="FFFFFF"/>
                    <w:jc w:val="center"/>
                    <w:rPr>
                      <w:color w:val="auto"/>
                      <w:szCs w:val="21"/>
                    </w:rPr>
                  </w:pPr>
                  <w:r>
                    <w:rPr>
                      <w:rFonts w:hint="eastAsia"/>
                      <w:color w:val="auto"/>
                      <w:szCs w:val="21"/>
                      <w:lang w:eastAsia="zh-CN"/>
                    </w:rPr>
                    <w:t>2.</w:t>
                  </w:r>
                  <w:r>
                    <w:rPr>
                      <w:rFonts w:hint="eastAsia"/>
                      <w:color w:val="auto"/>
                      <w:szCs w:val="21"/>
                    </w:rPr>
                    <w:t>污染治理措施达不到《挥发性有机物</w:t>
                  </w:r>
                  <w:r>
                    <w:rPr>
                      <w:rFonts w:hint="eastAsia"/>
                      <w:color w:val="auto"/>
                      <w:szCs w:val="21"/>
                      <w:lang w:eastAsia="zh-CN"/>
                    </w:rPr>
                    <w:t>（</w:t>
                  </w:r>
                  <w:r>
                    <w:rPr>
                      <w:rFonts w:hint="eastAsia"/>
                      <w:color w:val="auto"/>
                      <w:szCs w:val="21"/>
                    </w:rPr>
                    <w:t>VOCs</w:t>
                  </w:r>
                  <w:r>
                    <w:rPr>
                      <w:rFonts w:hint="eastAsia"/>
                      <w:color w:val="auto"/>
                      <w:szCs w:val="21"/>
                      <w:lang w:eastAsia="zh-CN"/>
                    </w:rPr>
                    <w:t>）</w:t>
                  </w:r>
                  <w:r>
                    <w:rPr>
                      <w:rFonts w:hint="eastAsia"/>
                      <w:color w:val="auto"/>
                      <w:szCs w:val="21"/>
                    </w:rPr>
                    <w:t>污染防治技术政策</w:t>
                  </w:r>
                  <w:r>
                    <w:rPr>
                      <w:rFonts w:hint="eastAsia"/>
                      <w:color w:val="auto"/>
                      <w:szCs w:val="21"/>
                      <w:lang w:eastAsia="zh-CN"/>
                    </w:rPr>
                    <w:t>》《</w:t>
                  </w:r>
                  <w:r>
                    <w:rPr>
                      <w:rFonts w:hint="eastAsia"/>
                      <w:color w:val="auto"/>
                      <w:szCs w:val="21"/>
                    </w:rPr>
                    <w:t>江苏省重点行业挥发性有机物污染控制指南》等要求的项目。</w:t>
                  </w:r>
                </w:p>
              </w:tc>
              <w:tc>
                <w:tcPr>
                  <w:tcW w:w="2543" w:type="dxa"/>
                  <w:vMerge w:val="continue"/>
                  <w:vAlign w:val="center"/>
                </w:tcPr>
                <w:p w14:paraId="620AD73D">
                  <w:pPr>
                    <w:jc w:val="center"/>
                    <w:rPr>
                      <w:color w:val="auto"/>
                      <w:szCs w:val="21"/>
                    </w:rPr>
                  </w:pPr>
                </w:p>
              </w:tc>
              <w:tc>
                <w:tcPr>
                  <w:tcW w:w="476" w:type="dxa"/>
                  <w:vMerge w:val="continue"/>
                  <w:tcBorders>
                    <w:right w:val="nil"/>
                  </w:tcBorders>
                  <w:vAlign w:val="center"/>
                </w:tcPr>
                <w:p w14:paraId="063C4CDC">
                  <w:pPr>
                    <w:jc w:val="center"/>
                    <w:rPr>
                      <w:color w:val="auto"/>
                      <w:szCs w:val="21"/>
                    </w:rPr>
                  </w:pPr>
                </w:p>
              </w:tc>
            </w:tr>
            <w:tr w14:paraId="4055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6560C9E7">
                  <w:pPr>
                    <w:jc w:val="center"/>
                    <w:rPr>
                      <w:color w:val="auto"/>
                      <w:szCs w:val="21"/>
                    </w:rPr>
                  </w:pPr>
                  <w:r>
                    <w:rPr>
                      <w:color w:val="auto"/>
                      <w:szCs w:val="21"/>
                    </w:rPr>
                    <w:t>1</w:t>
                  </w:r>
                  <w:r>
                    <w:rPr>
                      <w:rFonts w:hint="eastAsia"/>
                      <w:color w:val="auto"/>
                      <w:szCs w:val="21"/>
                    </w:rPr>
                    <w:t>0</w:t>
                  </w:r>
                </w:p>
              </w:tc>
              <w:tc>
                <w:tcPr>
                  <w:tcW w:w="684" w:type="dxa"/>
                  <w:vAlign w:val="center"/>
                </w:tcPr>
                <w:p w14:paraId="34A10B64">
                  <w:pPr>
                    <w:widowControl/>
                    <w:shd w:val="clear" w:color="auto" w:fill="FFFFFF"/>
                    <w:jc w:val="center"/>
                    <w:rPr>
                      <w:color w:val="auto"/>
                      <w:szCs w:val="21"/>
                    </w:rPr>
                  </w:pPr>
                  <w:r>
                    <w:rPr>
                      <w:rFonts w:hint="eastAsia"/>
                      <w:color w:val="auto"/>
                      <w:szCs w:val="21"/>
                    </w:rPr>
                    <w:t>空间布局约束</w:t>
                  </w:r>
                </w:p>
              </w:tc>
              <w:tc>
                <w:tcPr>
                  <w:tcW w:w="3243" w:type="dxa"/>
                  <w:vAlign w:val="center"/>
                </w:tcPr>
                <w:p w14:paraId="51BD8D72">
                  <w:pPr>
                    <w:widowControl/>
                    <w:shd w:val="clear" w:color="auto" w:fill="FFFFFF"/>
                    <w:jc w:val="center"/>
                    <w:rPr>
                      <w:color w:val="auto"/>
                      <w:szCs w:val="21"/>
                    </w:rPr>
                  </w:pPr>
                  <w:r>
                    <w:rPr>
                      <w:rFonts w:hint="eastAsia"/>
                      <w:color w:val="auto"/>
                      <w:szCs w:val="21"/>
                      <w:lang w:eastAsia="zh-CN"/>
                    </w:rPr>
                    <w:t>1.</w:t>
                  </w:r>
                  <w:r>
                    <w:rPr>
                      <w:rFonts w:hint="eastAsia"/>
                      <w:color w:val="auto"/>
                      <w:szCs w:val="21"/>
                    </w:rPr>
                    <w:t>园区内绿地和水域，提出限制占用的管理要求；园区内基本农田不得开发建设。</w:t>
                  </w:r>
                </w:p>
                <w:p w14:paraId="2A4103E2">
                  <w:pPr>
                    <w:widowControl/>
                    <w:shd w:val="clear" w:color="auto" w:fill="FFFFFF"/>
                    <w:jc w:val="center"/>
                    <w:rPr>
                      <w:color w:val="auto"/>
                      <w:szCs w:val="21"/>
                    </w:rPr>
                  </w:pPr>
                  <w:r>
                    <w:rPr>
                      <w:rFonts w:hint="eastAsia"/>
                      <w:color w:val="auto"/>
                      <w:szCs w:val="21"/>
                      <w:lang w:eastAsia="zh-CN"/>
                    </w:rPr>
                    <w:t>2.</w:t>
                  </w:r>
                  <w:r>
                    <w:rPr>
                      <w:rFonts w:hint="eastAsia"/>
                      <w:color w:val="auto"/>
                      <w:szCs w:val="21"/>
                    </w:rPr>
                    <w:t>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江苏省国家级生态保护红线规划》管控要求管理，按照相关管控方案执行。</w:t>
                  </w:r>
                </w:p>
                <w:p w14:paraId="2B0BB88A">
                  <w:pPr>
                    <w:widowControl/>
                    <w:shd w:val="clear" w:color="auto" w:fill="FFFFFF"/>
                    <w:jc w:val="center"/>
                    <w:rPr>
                      <w:color w:val="auto"/>
                      <w:szCs w:val="21"/>
                    </w:rPr>
                  </w:pPr>
                  <w:r>
                    <w:rPr>
                      <w:rFonts w:hint="eastAsia"/>
                      <w:color w:val="auto"/>
                      <w:szCs w:val="21"/>
                      <w:lang w:eastAsia="zh-CN"/>
                    </w:rPr>
                    <w:t>3.</w:t>
                  </w:r>
                  <w:r>
                    <w:rPr>
                      <w:rFonts w:hint="eastAsia"/>
                      <w:color w:val="auto"/>
                      <w:szCs w:val="21"/>
                    </w:rPr>
                    <w:t>靠近居民区、教育用地区域应发展无污染、低污染型产业，</w:t>
                  </w:r>
                </w:p>
              </w:tc>
              <w:tc>
                <w:tcPr>
                  <w:tcW w:w="2543" w:type="dxa"/>
                  <w:vAlign w:val="center"/>
                </w:tcPr>
                <w:p w14:paraId="23566906">
                  <w:pPr>
                    <w:jc w:val="center"/>
                    <w:rPr>
                      <w:color w:val="auto"/>
                      <w:szCs w:val="21"/>
                    </w:rPr>
                  </w:pPr>
                  <w:r>
                    <w:rPr>
                      <w:color w:val="auto"/>
                      <w:szCs w:val="21"/>
                    </w:rPr>
                    <w:t>本项目位于</w:t>
                  </w:r>
                  <w:r>
                    <w:rPr>
                      <w:rFonts w:hint="eastAsia"/>
                      <w:color w:val="auto"/>
                      <w:szCs w:val="21"/>
                    </w:rPr>
                    <w:t>江苏省淮安市涟水县经济开发区蒋庵东路东侧、清涟大道北侧</w:t>
                  </w:r>
                  <w:r>
                    <w:rPr>
                      <w:color w:val="auto"/>
                      <w:szCs w:val="21"/>
                    </w:rPr>
                    <w:t>，位于</w:t>
                  </w:r>
                  <w:r>
                    <w:rPr>
                      <w:rFonts w:hint="eastAsia"/>
                      <w:color w:val="auto"/>
                      <w:szCs w:val="21"/>
                    </w:rPr>
                    <w:t>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w:t>
                  </w:r>
                  <w:r>
                    <w:rPr>
                      <w:color w:val="auto"/>
                      <w:szCs w:val="21"/>
                    </w:rPr>
                    <w:t>规划范围内，用地性质为工业用地，用地符合要求</w:t>
                  </w:r>
                  <w:r>
                    <w:rPr>
                      <w:rFonts w:hint="eastAsia"/>
                      <w:color w:val="auto"/>
                      <w:szCs w:val="21"/>
                    </w:rPr>
                    <w:t>；本项目严格落实江苏省、淮安市“三线一单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江苏省国家级生态保护红线规划》管控要求管理；</w:t>
                  </w:r>
                  <w:r>
                    <w:rPr>
                      <w:color w:val="auto"/>
                      <w:szCs w:val="21"/>
                    </w:rPr>
                    <w:t>本项目</w:t>
                  </w:r>
                  <w:r>
                    <w:rPr>
                      <w:rFonts w:hint="eastAsia"/>
                      <w:color w:val="auto"/>
                      <w:szCs w:val="21"/>
                    </w:rPr>
                    <w:t>不属于高污染高能耗项目</w:t>
                  </w:r>
                  <w:r>
                    <w:rPr>
                      <w:color w:val="auto"/>
                      <w:szCs w:val="21"/>
                    </w:rPr>
                    <w:t>。</w:t>
                  </w:r>
                </w:p>
              </w:tc>
              <w:tc>
                <w:tcPr>
                  <w:tcW w:w="476" w:type="dxa"/>
                  <w:tcBorders>
                    <w:right w:val="nil"/>
                  </w:tcBorders>
                  <w:vAlign w:val="center"/>
                </w:tcPr>
                <w:p w14:paraId="44AE0F91">
                  <w:pPr>
                    <w:jc w:val="center"/>
                    <w:rPr>
                      <w:color w:val="auto"/>
                      <w:szCs w:val="21"/>
                    </w:rPr>
                  </w:pPr>
                  <w:r>
                    <w:rPr>
                      <w:rFonts w:hint="eastAsia"/>
                      <w:color w:val="auto"/>
                      <w:szCs w:val="21"/>
                    </w:rPr>
                    <w:t>相符</w:t>
                  </w:r>
                </w:p>
              </w:tc>
            </w:tr>
            <w:tr w14:paraId="17F2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left w:val="nil"/>
                  </w:tcBorders>
                  <w:vAlign w:val="center"/>
                </w:tcPr>
                <w:p w14:paraId="0057C067">
                  <w:pPr>
                    <w:jc w:val="center"/>
                    <w:rPr>
                      <w:color w:val="auto"/>
                      <w:szCs w:val="21"/>
                    </w:rPr>
                  </w:pPr>
                  <w:r>
                    <w:rPr>
                      <w:color w:val="auto"/>
                      <w:szCs w:val="21"/>
                    </w:rPr>
                    <w:t>1</w:t>
                  </w:r>
                  <w:r>
                    <w:rPr>
                      <w:rFonts w:hint="eastAsia"/>
                      <w:color w:val="auto"/>
                      <w:szCs w:val="21"/>
                    </w:rPr>
                    <w:t>1</w:t>
                  </w:r>
                </w:p>
              </w:tc>
              <w:tc>
                <w:tcPr>
                  <w:tcW w:w="684" w:type="dxa"/>
                  <w:vMerge w:val="restart"/>
                  <w:vAlign w:val="center"/>
                </w:tcPr>
                <w:p w14:paraId="60F72CE5">
                  <w:pPr>
                    <w:widowControl/>
                    <w:shd w:val="clear" w:color="auto" w:fill="FFFFFF"/>
                    <w:jc w:val="center"/>
                    <w:rPr>
                      <w:color w:val="auto"/>
                      <w:szCs w:val="21"/>
                    </w:rPr>
                  </w:pPr>
                  <w:r>
                    <w:rPr>
                      <w:rFonts w:hint="eastAsia"/>
                      <w:color w:val="auto"/>
                      <w:szCs w:val="21"/>
                    </w:rPr>
                    <w:t>污染物排放总量</w:t>
                  </w:r>
                </w:p>
              </w:tc>
              <w:tc>
                <w:tcPr>
                  <w:tcW w:w="3243" w:type="dxa"/>
                  <w:vAlign w:val="center"/>
                </w:tcPr>
                <w:p w14:paraId="3AB9286F">
                  <w:pPr>
                    <w:widowControl/>
                    <w:shd w:val="clear" w:color="auto" w:fill="FFFFFF"/>
                    <w:jc w:val="center"/>
                    <w:rPr>
                      <w:color w:val="auto"/>
                      <w:szCs w:val="21"/>
                    </w:rPr>
                  </w:pPr>
                  <w:r>
                    <w:rPr>
                      <w:rFonts w:hint="eastAsia"/>
                      <w:color w:val="auto"/>
                      <w:szCs w:val="21"/>
                    </w:rPr>
                    <w:t>总体要求：1、工业项目排放污染物必须达到国家和地方规定的污染物排放标准。</w:t>
                  </w:r>
                </w:p>
                <w:p w14:paraId="30304263">
                  <w:pPr>
                    <w:widowControl/>
                    <w:shd w:val="clear" w:color="auto" w:fill="FFFFFF"/>
                    <w:jc w:val="center"/>
                    <w:rPr>
                      <w:color w:val="auto"/>
                      <w:szCs w:val="21"/>
                    </w:rPr>
                  </w:pPr>
                  <w:r>
                    <w:rPr>
                      <w:rFonts w:hint="eastAsia"/>
                      <w:color w:val="auto"/>
                      <w:szCs w:val="21"/>
                      <w:lang w:eastAsia="zh-CN"/>
                    </w:rPr>
                    <w:t>2.</w:t>
                  </w:r>
                  <w:r>
                    <w:rPr>
                      <w:rFonts w:hint="eastAsia"/>
                      <w:color w:val="auto"/>
                      <w:szCs w:val="21"/>
                    </w:rPr>
                    <w:t>新建企业生产技术和工艺、水耗能耗物耗</w:t>
                  </w:r>
                  <w:r>
                    <w:rPr>
                      <w:rFonts w:hint="eastAsia"/>
                      <w:color w:val="auto"/>
                      <w:szCs w:val="21"/>
                      <w:lang w:eastAsia="zh-CN"/>
                    </w:rPr>
                    <w:t>、生</w:t>
                  </w:r>
                  <w:r>
                    <w:rPr>
                      <w:rFonts w:hint="eastAsia"/>
                      <w:color w:val="auto"/>
                      <w:szCs w:val="21"/>
                    </w:rPr>
                    <w:t>产排污情况及环境管理等方面应达到国内先进水平</w:t>
                  </w:r>
                  <w:r>
                    <w:rPr>
                      <w:rFonts w:hint="eastAsia"/>
                      <w:color w:val="auto"/>
                      <w:szCs w:val="21"/>
                      <w:lang w:eastAsia="zh-CN"/>
                    </w:rPr>
                    <w:t>（</w:t>
                  </w:r>
                  <w:r>
                    <w:rPr>
                      <w:rFonts w:hint="eastAsia"/>
                      <w:color w:val="auto"/>
                      <w:szCs w:val="21"/>
                    </w:rPr>
                    <w:t>有清洁生产标准的不得低于国内清洁生产先进水平，有国家效率指南的执行国家先进/标杆水平</w:t>
                  </w:r>
                  <w:r>
                    <w:rPr>
                      <w:rFonts w:hint="eastAsia"/>
                      <w:color w:val="auto"/>
                      <w:szCs w:val="21"/>
                      <w:lang w:eastAsia="zh-CN"/>
                    </w:rPr>
                    <w:t>）</w:t>
                  </w:r>
                  <w:r>
                    <w:rPr>
                      <w:rFonts w:hint="eastAsia"/>
                      <w:color w:val="auto"/>
                      <w:szCs w:val="21"/>
                    </w:rPr>
                    <w:t>。</w:t>
                  </w:r>
                </w:p>
                <w:p w14:paraId="79CFCF67">
                  <w:pPr>
                    <w:widowControl/>
                    <w:shd w:val="clear" w:color="auto" w:fill="FFFFFF"/>
                    <w:jc w:val="center"/>
                    <w:rPr>
                      <w:color w:val="auto"/>
                      <w:szCs w:val="21"/>
                    </w:rPr>
                  </w:pPr>
                  <w:r>
                    <w:rPr>
                      <w:rFonts w:hint="eastAsia"/>
                      <w:color w:val="auto"/>
                      <w:szCs w:val="21"/>
                    </w:rPr>
                    <w:t>4、对列入《优先控制化学品名录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》的化学品，应当针对其产生环境与健康风险的主要环节，采取风险管控措施。</w:t>
                  </w:r>
                </w:p>
              </w:tc>
              <w:tc>
                <w:tcPr>
                  <w:tcW w:w="2543" w:type="dxa"/>
                  <w:vAlign w:val="center"/>
                </w:tcPr>
                <w:p w14:paraId="24A56620">
                  <w:pPr>
                    <w:jc w:val="center"/>
                    <w:rPr>
                      <w:color w:val="auto"/>
                      <w:szCs w:val="21"/>
                    </w:rPr>
                  </w:pPr>
                  <w:r>
                    <w:rPr>
                      <w:color w:val="auto"/>
                      <w:szCs w:val="21"/>
                    </w:rPr>
                    <w:t>本项目</w:t>
                  </w:r>
                  <w:r>
                    <w:rPr>
                      <w:rFonts w:hint="eastAsia"/>
                      <w:color w:val="auto"/>
                      <w:szCs w:val="21"/>
                    </w:rPr>
                    <w:t>排放污染物均达到国家和地方规定的污染物排放标准</w:t>
                  </w:r>
                  <w:r>
                    <w:rPr>
                      <w:color w:val="auto"/>
                      <w:szCs w:val="21"/>
                    </w:rPr>
                    <w:t>；</w:t>
                  </w:r>
                  <w:r>
                    <w:rPr>
                      <w:rFonts w:hint="eastAsia"/>
                      <w:color w:val="auto"/>
                      <w:szCs w:val="21"/>
                    </w:rPr>
                    <w:t>引进项目的生产工艺、设备、能耗、污染物排放和资源利用效率等均达到国内领先水平；本项目不涉及列入《优先控制化学品名录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w:t>
                  </w:r>
                  <w:r>
                    <w:rPr>
                      <w:color w:val="auto"/>
                      <w:szCs w:val="21"/>
                    </w:rPr>
                    <w:t>。</w:t>
                  </w:r>
                </w:p>
              </w:tc>
              <w:tc>
                <w:tcPr>
                  <w:tcW w:w="476" w:type="dxa"/>
                  <w:vMerge w:val="restart"/>
                  <w:tcBorders>
                    <w:right w:val="nil"/>
                  </w:tcBorders>
                  <w:vAlign w:val="center"/>
                </w:tcPr>
                <w:p w14:paraId="70EC37D8">
                  <w:pPr>
                    <w:jc w:val="center"/>
                    <w:rPr>
                      <w:color w:val="auto"/>
                      <w:szCs w:val="21"/>
                    </w:rPr>
                  </w:pPr>
                  <w:r>
                    <w:rPr>
                      <w:rFonts w:hint="eastAsia"/>
                      <w:color w:val="auto"/>
                      <w:szCs w:val="21"/>
                    </w:rPr>
                    <w:t>相符</w:t>
                  </w:r>
                </w:p>
              </w:tc>
            </w:tr>
            <w:tr w14:paraId="0198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040C601D">
                  <w:pPr>
                    <w:jc w:val="center"/>
                    <w:rPr>
                      <w:color w:val="auto"/>
                      <w:szCs w:val="21"/>
                    </w:rPr>
                  </w:pPr>
                </w:p>
              </w:tc>
              <w:tc>
                <w:tcPr>
                  <w:tcW w:w="684" w:type="dxa"/>
                  <w:vMerge w:val="continue"/>
                  <w:vAlign w:val="center"/>
                </w:tcPr>
                <w:p w14:paraId="7D6C762E">
                  <w:pPr>
                    <w:widowControl/>
                    <w:shd w:val="clear" w:color="auto" w:fill="FFFFFF"/>
                    <w:jc w:val="center"/>
                    <w:rPr>
                      <w:color w:val="auto"/>
                      <w:szCs w:val="21"/>
                    </w:rPr>
                  </w:pPr>
                </w:p>
              </w:tc>
              <w:tc>
                <w:tcPr>
                  <w:tcW w:w="3243" w:type="dxa"/>
                  <w:vAlign w:val="center"/>
                </w:tcPr>
                <w:p w14:paraId="74B1C3DD">
                  <w:pPr>
                    <w:widowControl/>
                    <w:shd w:val="clear" w:color="auto" w:fill="FFFFFF"/>
                    <w:jc w:val="center"/>
                    <w:rPr>
                      <w:color w:val="auto"/>
                      <w:szCs w:val="21"/>
                    </w:rPr>
                  </w:pPr>
                  <w:r>
                    <w:rPr>
                      <w:rFonts w:hint="eastAsia"/>
                      <w:color w:val="auto"/>
                      <w:szCs w:val="21"/>
                    </w:rPr>
                    <w:t>环境质量：1、大气环境质量达到《环境空气质量标准》二级标准、《环境影响评价技术导则大气环境》(HJ2.2-2018</w:t>
                  </w:r>
                  <w:r>
                    <w:rPr>
                      <w:rFonts w:hint="eastAsia"/>
                      <w:color w:val="auto"/>
                      <w:szCs w:val="21"/>
                      <w:lang w:eastAsia="zh-CN"/>
                    </w:rPr>
                    <w:t>）</w:t>
                  </w:r>
                  <w:r>
                    <w:rPr>
                      <w:rFonts w:hint="eastAsia"/>
                      <w:color w:val="auto"/>
                      <w:szCs w:val="21"/>
                    </w:rPr>
                    <w:t>附录D其他污染物空气质量浓度参考限值等。</w:t>
                  </w:r>
                </w:p>
                <w:p w14:paraId="1B7251FC">
                  <w:pPr>
                    <w:widowControl/>
                    <w:shd w:val="clear" w:color="auto" w:fill="FFFFFF"/>
                    <w:jc w:val="center"/>
                    <w:rPr>
                      <w:color w:val="auto"/>
                      <w:szCs w:val="21"/>
                    </w:rPr>
                  </w:pPr>
                  <w:r>
                    <w:rPr>
                      <w:rFonts w:hint="eastAsia"/>
                      <w:color w:val="auto"/>
                      <w:szCs w:val="21"/>
                      <w:lang w:eastAsia="zh-CN"/>
                    </w:rPr>
                    <w:t>2.</w:t>
                  </w:r>
                  <w:r>
                    <w:rPr>
                      <w:rFonts w:hint="eastAsia"/>
                      <w:color w:val="auto"/>
                      <w:szCs w:val="21"/>
                    </w:rPr>
                    <w:t>盐河、东张河执行《地表水环境质量标准》(GB3838-2002)Ⅲ类标准。</w:t>
                  </w:r>
                </w:p>
                <w:p w14:paraId="28C3496B">
                  <w:pPr>
                    <w:widowControl/>
                    <w:shd w:val="clear" w:color="auto" w:fill="FFFFFF"/>
                    <w:jc w:val="center"/>
                    <w:rPr>
                      <w:color w:val="auto"/>
                      <w:szCs w:val="21"/>
                    </w:rPr>
                  </w:pPr>
                  <w:r>
                    <w:rPr>
                      <w:rFonts w:hint="eastAsia"/>
                      <w:color w:val="auto"/>
                      <w:szCs w:val="21"/>
                      <w:lang w:eastAsia="zh-CN"/>
                    </w:rPr>
                    <w:t>3.</w:t>
                  </w:r>
                  <w:r>
                    <w:rPr>
                      <w:rFonts w:hint="eastAsia"/>
                      <w:color w:val="auto"/>
                      <w:szCs w:val="21"/>
                    </w:rPr>
                    <w:t>建设用地满足《土壤环境质量建设用地土壤污染风险管控标准》(GB36600-2018</w:t>
                  </w:r>
                  <w:r>
                    <w:rPr>
                      <w:rFonts w:hint="eastAsia"/>
                      <w:color w:val="auto"/>
                      <w:szCs w:val="21"/>
                      <w:lang w:eastAsia="zh-CN"/>
                    </w:rPr>
                    <w:t>）</w:t>
                  </w:r>
                  <w:r>
                    <w:rPr>
                      <w:rFonts w:hint="eastAsia"/>
                      <w:color w:val="auto"/>
                      <w:szCs w:val="21"/>
                    </w:rPr>
                    <w:t>筛选值中的第一类、第二类用地标准。</w:t>
                  </w:r>
                </w:p>
                <w:p w14:paraId="61BB3AC2">
                  <w:pPr>
                    <w:widowControl/>
                    <w:shd w:val="clear" w:color="auto" w:fill="FFFFFF"/>
                    <w:jc w:val="center"/>
                    <w:rPr>
                      <w:color w:val="auto"/>
                      <w:szCs w:val="21"/>
                    </w:rPr>
                  </w:pPr>
                  <w:r>
                    <w:rPr>
                      <w:rFonts w:hint="eastAsia"/>
                      <w:color w:val="auto"/>
                      <w:szCs w:val="21"/>
                      <w:lang w:eastAsia="zh-CN"/>
                    </w:rPr>
                    <w:t>4.</w:t>
                  </w:r>
                  <w:r>
                    <w:rPr>
                      <w:rFonts w:hint="eastAsia"/>
                      <w:color w:val="auto"/>
                      <w:szCs w:val="21"/>
                    </w:rPr>
                    <w:t>入园企业应按照标准的更新情况及时更新执行的排放标准。</w:t>
                  </w:r>
                </w:p>
              </w:tc>
              <w:tc>
                <w:tcPr>
                  <w:tcW w:w="2543" w:type="dxa"/>
                  <w:vAlign w:val="center"/>
                </w:tcPr>
                <w:p w14:paraId="7DA17A99">
                  <w:pPr>
                    <w:jc w:val="center"/>
                    <w:rPr>
                      <w:color w:val="auto"/>
                      <w:szCs w:val="21"/>
                    </w:rPr>
                  </w:pPr>
                  <w:r>
                    <w:rPr>
                      <w:rFonts w:hint="eastAsia"/>
                      <w:color w:val="auto"/>
                      <w:szCs w:val="21"/>
                    </w:rPr>
                    <w:t>环境质量均按照要求标准执行。</w:t>
                  </w:r>
                </w:p>
              </w:tc>
              <w:tc>
                <w:tcPr>
                  <w:tcW w:w="476" w:type="dxa"/>
                  <w:vMerge w:val="continue"/>
                  <w:tcBorders>
                    <w:right w:val="nil"/>
                  </w:tcBorders>
                  <w:vAlign w:val="center"/>
                </w:tcPr>
                <w:p w14:paraId="4EA0EF79">
                  <w:pPr>
                    <w:jc w:val="center"/>
                    <w:rPr>
                      <w:color w:val="auto"/>
                      <w:szCs w:val="21"/>
                    </w:rPr>
                  </w:pPr>
                </w:p>
              </w:tc>
            </w:tr>
            <w:tr w14:paraId="1960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6D90D9BD">
                  <w:pPr>
                    <w:jc w:val="center"/>
                    <w:rPr>
                      <w:color w:val="auto"/>
                      <w:szCs w:val="21"/>
                    </w:rPr>
                  </w:pPr>
                </w:p>
              </w:tc>
              <w:tc>
                <w:tcPr>
                  <w:tcW w:w="684" w:type="dxa"/>
                  <w:vMerge w:val="continue"/>
                  <w:vAlign w:val="center"/>
                </w:tcPr>
                <w:p w14:paraId="5304F5C4">
                  <w:pPr>
                    <w:widowControl/>
                    <w:shd w:val="clear" w:color="auto" w:fill="FFFFFF"/>
                    <w:jc w:val="center"/>
                    <w:rPr>
                      <w:color w:val="auto"/>
                      <w:szCs w:val="21"/>
                    </w:rPr>
                  </w:pPr>
                </w:p>
              </w:tc>
              <w:tc>
                <w:tcPr>
                  <w:tcW w:w="3243" w:type="dxa"/>
                  <w:vAlign w:val="center"/>
                </w:tcPr>
                <w:p w14:paraId="6198E8AD">
                  <w:pPr>
                    <w:widowControl/>
                    <w:shd w:val="clear" w:color="auto" w:fill="FFFFFF"/>
                    <w:jc w:val="center"/>
                    <w:rPr>
                      <w:color w:val="auto"/>
                      <w:szCs w:val="21"/>
                    </w:rPr>
                  </w:pPr>
                  <w:r>
                    <w:rPr>
                      <w:rFonts w:hint="eastAsia"/>
                      <w:color w:val="auto"/>
                      <w:szCs w:val="21"/>
                      <w:lang w:eastAsia="zh-CN"/>
                    </w:rPr>
                    <w:t>1.</w:t>
                  </w:r>
                  <w:r>
                    <w:rPr>
                      <w:rFonts w:hint="eastAsia"/>
                      <w:color w:val="auto"/>
                      <w:szCs w:val="21"/>
                    </w:rPr>
                    <w:t>废气污染物：近期SO</w:t>
                  </w:r>
                  <w:r>
                    <w:rPr>
                      <w:rFonts w:hint="eastAsia"/>
                      <w:color w:val="auto"/>
                      <w:szCs w:val="21"/>
                      <w:vertAlign w:val="subscript"/>
                    </w:rPr>
                    <w:t>2</w:t>
                  </w:r>
                  <w:r>
                    <w:rPr>
                      <w:rFonts w:hint="eastAsia"/>
                      <w:color w:val="auto"/>
                      <w:szCs w:val="21"/>
                    </w:rPr>
                    <w:t>8.640t/a、NOx40.394t/a、颗粒物33.873t/a、VOCs48.974t/a；远期SO</w:t>
                  </w:r>
                  <w:r>
                    <w:rPr>
                      <w:rFonts w:hint="eastAsia"/>
                      <w:color w:val="auto"/>
                      <w:szCs w:val="21"/>
                      <w:vertAlign w:val="subscript"/>
                    </w:rPr>
                    <w:t>2</w:t>
                  </w:r>
                  <w:r>
                    <w:rPr>
                      <w:rFonts w:hint="eastAsia"/>
                      <w:color w:val="auto"/>
                      <w:szCs w:val="21"/>
                    </w:rPr>
                    <w:t>10.270t/a,NOx43.457t/a、颗粒物46.020t/a、VOCs51.174t/a；</w:t>
                  </w:r>
                </w:p>
                <w:p w14:paraId="25ACBDCB">
                  <w:pPr>
                    <w:widowControl/>
                    <w:shd w:val="clear" w:color="auto" w:fill="FFFFFF"/>
                    <w:jc w:val="center"/>
                    <w:rPr>
                      <w:color w:val="auto"/>
                      <w:szCs w:val="21"/>
                    </w:rPr>
                  </w:pPr>
                  <w:r>
                    <w:rPr>
                      <w:rFonts w:hint="eastAsia"/>
                      <w:color w:val="auto"/>
                      <w:szCs w:val="21"/>
                    </w:rPr>
                    <w:t>2、本园区废水污染物*：①近期排放量</w:t>
                  </w:r>
                  <w:r>
                    <w:rPr>
                      <w:rFonts w:hint="eastAsia"/>
                      <w:color w:val="auto"/>
                      <w:szCs w:val="21"/>
                      <w:lang w:eastAsia="zh-CN"/>
                    </w:rPr>
                    <w:t>（</w:t>
                  </w:r>
                  <w:r>
                    <w:rPr>
                      <w:rFonts w:hint="eastAsia"/>
                      <w:color w:val="auto"/>
                      <w:szCs w:val="21"/>
                    </w:rPr>
                    <w:t>30%回用后</w:t>
                  </w:r>
                  <w:r>
                    <w:rPr>
                      <w:rFonts w:hint="eastAsia"/>
                      <w:color w:val="auto"/>
                      <w:szCs w:val="21"/>
                      <w:lang w:eastAsia="zh-CN"/>
                    </w:rPr>
                    <w:t>）</w:t>
                  </w:r>
                  <w:r>
                    <w:rPr>
                      <w:rFonts w:hint="eastAsia"/>
                      <w:color w:val="auto"/>
                      <w:szCs w:val="21"/>
                    </w:rPr>
                    <w:t>：污水1667.321万t/a，COD521.848t/a、</w:t>
                  </w:r>
                </w:p>
                <w:p w14:paraId="58829DAC">
                  <w:pPr>
                    <w:widowControl/>
                    <w:shd w:val="clear" w:color="auto" w:fill="FFFFFF"/>
                    <w:jc w:val="center"/>
                    <w:rPr>
                      <w:color w:val="auto"/>
                      <w:szCs w:val="21"/>
                    </w:rPr>
                  </w:pPr>
                  <w:r>
                    <w:rPr>
                      <w:rFonts w:hint="eastAsia"/>
                      <w:color w:val="auto"/>
                      <w:szCs w:val="21"/>
                    </w:rPr>
                    <w:t>氨氮28.63t/a、总磷5.184t/a、总氮171.193t/a</w:t>
                  </w:r>
                  <w:r>
                    <w:rPr>
                      <w:rFonts w:hint="eastAsia"/>
                      <w:color w:val="auto"/>
                      <w:szCs w:val="21"/>
                      <w:lang w:eastAsia="zh-CN"/>
                    </w:rPr>
                    <w:t>（</w:t>
                  </w:r>
                  <w:r>
                    <w:rPr>
                      <w:rFonts w:hint="eastAsia"/>
                      <w:color w:val="auto"/>
                      <w:szCs w:val="21"/>
                    </w:rPr>
                    <w:t>其中空港工业</w:t>
                  </w:r>
                  <w:r>
                    <w:rPr>
                      <w:rFonts w:hint="eastAsia"/>
                      <w:color w:val="auto"/>
                      <w:szCs w:val="21"/>
                      <w:lang w:eastAsia="zh-CN"/>
                    </w:rPr>
                    <w:t>污水处理厂</w:t>
                  </w:r>
                  <w:r>
                    <w:rPr>
                      <w:rFonts w:hint="eastAsia"/>
                      <w:color w:val="auto"/>
                      <w:szCs w:val="21"/>
                    </w:rPr>
                    <w:t>污水1533万t/a，COD459.90t/a、氨氮23.00t/a、总磷4.60t/a、总氮153.30t/a</w:t>
                  </w:r>
                  <w:r>
                    <w:rPr>
                      <w:rFonts w:hint="eastAsia"/>
                      <w:color w:val="auto"/>
                      <w:szCs w:val="21"/>
                      <w:lang w:eastAsia="zh-CN"/>
                    </w:rPr>
                    <w:t>）</w:t>
                  </w:r>
                  <w:r>
                    <w:rPr>
                      <w:rFonts w:hint="eastAsia"/>
                      <w:color w:val="auto"/>
                      <w:szCs w:val="21"/>
                    </w:rPr>
                    <w:t>；</w:t>
                  </w:r>
                </w:p>
                <w:p w14:paraId="09E76A57">
                  <w:pPr>
                    <w:widowControl/>
                    <w:shd w:val="clear" w:color="auto" w:fill="FFFFFF"/>
                    <w:jc w:val="center"/>
                    <w:rPr>
                      <w:color w:val="auto"/>
                      <w:szCs w:val="21"/>
                    </w:rPr>
                  </w:pPr>
                  <w:r>
                    <w:rPr>
                      <w:rFonts w:hint="eastAsia"/>
                      <w:color w:val="auto"/>
                      <w:szCs w:val="21"/>
                    </w:rPr>
                    <w:t>②远期排放量</w:t>
                  </w:r>
                  <w:r>
                    <w:rPr>
                      <w:rFonts w:hint="eastAsia"/>
                      <w:color w:val="auto"/>
                      <w:szCs w:val="21"/>
                      <w:lang w:eastAsia="zh-CN"/>
                    </w:rPr>
                    <w:t>（</w:t>
                  </w:r>
                  <w:r>
                    <w:rPr>
                      <w:rFonts w:hint="eastAsia"/>
                      <w:color w:val="auto"/>
                      <w:szCs w:val="21"/>
                    </w:rPr>
                    <w:t>30%回用后</w:t>
                  </w:r>
                  <w:r>
                    <w:rPr>
                      <w:rFonts w:hint="eastAsia"/>
                      <w:color w:val="auto"/>
                      <w:szCs w:val="21"/>
                      <w:lang w:eastAsia="zh-CN"/>
                    </w:rPr>
                    <w:t>）</w:t>
                  </w:r>
                  <w:r>
                    <w:rPr>
                      <w:rFonts w:hint="eastAsia"/>
                      <w:color w:val="auto"/>
                      <w:szCs w:val="21"/>
                    </w:rPr>
                    <w:t>：污水2468.5695万t/a，COD769.172t/a、氨氮41.858t/a、总磷7.6583t/a、总氮253.775t/a</w:t>
                  </w:r>
                  <w:r>
                    <w:rPr>
                      <w:rFonts w:hint="eastAsia"/>
                      <w:color w:val="auto"/>
                      <w:szCs w:val="21"/>
                      <w:lang w:eastAsia="zh-CN"/>
                    </w:rPr>
                    <w:t>（</w:t>
                  </w:r>
                  <w:r>
                    <w:rPr>
                      <w:rFonts w:hint="eastAsia"/>
                      <w:color w:val="auto"/>
                      <w:szCs w:val="21"/>
                    </w:rPr>
                    <w:t>其中空港工业</w:t>
                  </w:r>
                  <w:r>
                    <w:rPr>
                      <w:rFonts w:hint="eastAsia"/>
                      <w:color w:val="auto"/>
                      <w:szCs w:val="21"/>
                      <w:lang w:eastAsia="zh-CN"/>
                    </w:rPr>
                    <w:t>污水处理厂</w:t>
                  </w:r>
                  <w:r>
                    <w:rPr>
                      <w:rFonts w:hint="eastAsia"/>
                      <w:color w:val="auto"/>
                      <w:szCs w:val="21"/>
                    </w:rPr>
                    <w:t>污水2299.5万t/a，COD689.85t/a、氨氮34.49 t/a、总磷6.90t/a、总氮229.95t/a</w:t>
                  </w:r>
                  <w:r>
                    <w:rPr>
                      <w:rFonts w:hint="eastAsia"/>
                      <w:color w:val="auto"/>
                      <w:szCs w:val="21"/>
                      <w:lang w:eastAsia="zh-CN"/>
                    </w:rPr>
                    <w:t>）</w:t>
                  </w:r>
                  <w:r>
                    <w:rPr>
                      <w:rFonts w:hint="eastAsia"/>
                      <w:color w:val="auto"/>
                      <w:szCs w:val="21"/>
                    </w:rPr>
                    <w:t>。</w:t>
                  </w:r>
                </w:p>
                <w:p w14:paraId="09A47992">
                  <w:pPr>
                    <w:widowControl/>
                    <w:shd w:val="clear" w:color="auto" w:fill="FFFFFF"/>
                    <w:jc w:val="center"/>
                    <w:rPr>
                      <w:color w:val="auto"/>
                      <w:szCs w:val="21"/>
                    </w:rPr>
                  </w:pPr>
                  <w:r>
                    <w:rPr>
                      <w:rFonts w:hint="eastAsia"/>
                      <w:color w:val="auto"/>
                      <w:szCs w:val="21"/>
                      <w:lang w:eastAsia="zh-CN"/>
                    </w:rPr>
                    <w:t>3.</w:t>
                  </w:r>
                  <w:r>
                    <w:rPr>
                      <w:rFonts w:hint="eastAsia"/>
                      <w:color w:val="auto"/>
                      <w:szCs w:val="21"/>
                    </w:rPr>
                    <w:t>固体废物：近期产生量：一般工业固废9784.45t/a、危险废物593.624t/a、生活垃圾14665.75t/a；远期产生量：一般工业固废10375.19t/a、危险废物724.164t/a、生活垃圾20733.75t/a。</w:t>
                  </w:r>
                </w:p>
                <w:p w14:paraId="41DF0554">
                  <w:pPr>
                    <w:widowControl/>
                    <w:shd w:val="clear" w:color="auto" w:fill="FFFFFF"/>
                    <w:jc w:val="center"/>
                    <w:rPr>
                      <w:color w:val="auto"/>
                      <w:szCs w:val="21"/>
                    </w:rPr>
                  </w:pPr>
                  <w:r>
                    <w:rPr>
                      <w:rFonts w:hint="eastAsia"/>
                      <w:color w:val="auto"/>
                      <w:szCs w:val="21"/>
                      <w:lang w:eastAsia="zh-CN"/>
                    </w:rPr>
                    <w:t>4.</w:t>
                  </w:r>
                  <w:r>
                    <w:rPr>
                      <w:rFonts w:hint="eastAsia"/>
                      <w:color w:val="auto"/>
                      <w:szCs w:val="21"/>
                    </w:rPr>
                    <w:t>入驻园区的企业必须取得污染物排放总量指标，</w:t>
                  </w:r>
                  <w:r>
                    <w:rPr>
                      <w:rFonts w:hint="eastAsia"/>
                      <w:color w:val="auto"/>
                      <w:szCs w:val="21"/>
                      <w:lang w:eastAsia="zh-CN"/>
                    </w:rPr>
                    <w:t>园区</w:t>
                  </w:r>
                  <w:r>
                    <w:rPr>
                      <w:rFonts w:hint="eastAsia"/>
                      <w:color w:val="auto"/>
                      <w:szCs w:val="21"/>
                    </w:rPr>
                    <w:t>污染物总量达到限值后，不得引进排放同类污染物的企业，园区同类企业不得进行改、扩建</w:t>
                  </w:r>
                  <w:r>
                    <w:rPr>
                      <w:rFonts w:hint="eastAsia"/>
                      <w:color w:val="auto"/>
                      <w:szCs w:val="21"/>
                      <w:lang w:eastAsia="zh-CN"/>
                    </w:rPr>
                    <w:t>（</w:t>
                  </w:r>
                  <w:r>
                    <w:rPr>
                      <w:rFonts w:hint="eastAsia"/>
                      <w:color w:val="auto"/>
                      <w:szCs w:val="21"/>
                    </w:rPr>
                    <w:t>对环境或总量削减有改善除外</w:t>
                  </w:r>
                  <w:r>
                    <w:rPr>
                      <w:rFonts w:hint="eastAsia"/>
                      <w:color w:val="auto"/>
                      <w:szCs w:val="21"/>
                      <w:lang w:eastAsia="zh-CN"/>
                    </w:rPr>
                    <w:t>）</w:t>
                  </w:r>
                  <w:r>
                    <w:rPr>
                      <w:rFonts w:hint="eastAsia"/>
                      <w:color w:val="auto"/>
                      <w:szCs w:val="21"/>
                    </w:rPr>
                    <w:t>。</w:t>
                  </w:r>
                </w:p>
              </w:tc>
              <w:tc>
                <w:tcPr>
                  <w:tcW w:w="2543" w:type="dxa"/>
                  <w:vAlign w:val="center"/>
                </w:tcPr>
                <w:p w14:paraId="285A41B5">
                  <w:pPr>
                    <w:jc w:val="center"/>
                    <w:rPr>
                      <w:color w:val="auto"/>
                      <w:szCs w:val="21"/>
                    </w:rPr>
                  </w:pPr>
                  <w:r>
                    <w:rPr>
                      <w:rFonts w:hint="eastAsia"/>
                      <w:color w:val="auto"/>
                      <w:szCs w:val="21"/>
                    </w:rPr>
                    <w:t>本项目严格执行园区污染物排放总量指标。</w:t>
                  </w:r>
                </w:p>
              </w:tc>
              <w:tc>
                <w:tcPr>
                  <w:tcW w:w="476" w:type="dxa"/>
                  <w:vMerge w:val="continue"/>
                  <w:tcBorders>
                    <w:right w:val="nil"/>
                  </w:tcBorders>
                  <w:vAlign w:val="center"/>
                </w:tcPr>
                <w:p w14:paraId="32AF2CC8">
                  <w:pPr>
                    <w:jc w:val="center"/>
                    <w:rPr>
                      <w:color w:val="auto"/>
                      <w:szCs w:val="21"/>
                    </w:rPr>
                  </w:pPr>
                </w:p>
              </w:tc>
            </w:tr>
            <w:tr w14:paraId="2B62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7EACA3B3">
                  <w:pPr>
                    <w:jc w:val="center"/>
                    <w:rPr>
                      <w:color w:val="auto"/>
                      <w:szCs w:val="21"/>
                    </w:rPr>
                  </w:pPr>
                  <w:r>
                    <w:rPr>
                      <w:color w:val="auto"/>
                      <w:szCs w:val="21"/>
                    </w:rPr>
                    <w:t>1</w:t>
                  </w:r>
                  <w:r>
                    <w:rPr>
                      <w:rFonts w:hint="eastAsia"/>
                      <w:color w:val="auto"/>
                      <w:szCs w:val="21"/>
                    </w:rPr>
                    <w:t>2</w:t>
                  </w:r>
                </w:p>
              </w:tc>
              <w:tc>
                <w:tcPr>
                  <w:tcW w:w="684" w:type="dxa"/>
                  <w:vAlign w:val="center"/>
                </w:tcPr>
                <w:p w14:paraId="6E17B770">
                  <w:pPr>
                    <w:widowControl/>
                    <w:jc w:val="center"/>
                    <w:rPr>
                      <w:color w:val="auto"/>
                      <w:szCs w:val="21"/>
                    </w:rPr>
                  </w:pPr>
                  <w:r>
                    <w:rPr>
                      <w:rFonts w:hint="eastAsia"/>
                      <w:color w:val="auto"/>
                      <w:szCs w:val="21"/>
                    </w:rPr>
                    <w:t>环境风险防控</w:t>
                  </w:r>
                </w:p>
              </w:tc>
              <w:tc>
                <w:tcPr>
                  <w:tcW w:w="3243" w:type="dxa"/>
                  <w:vAlign w:val="center"/>
                </w:tcPr>
                <w:p w14:paraId="04E4FC0A">
                  <w:pPr>
                    <w:widowControl/>
                    <w:jc w:val="center"/>
                    <w:rPr>
                      <w:color w:val="auto"/>
                      <w:szCs w:val="21"/>
                    </w:rPr>
                  </w:pPr>
                  <w:r>
                    <w:rPr>
                      <w:rFonts w:hint="eastAsia"/>
                      <w:color w:val="auto"/>
                      <w:szCs w:val="21"/>
                      <w:lang w:eastAsia="zh-CN"/>
                    </w:rPr>
                    <w:t>1.</w:t>
                  </w:r>
                  <w:r>
                    <w:rPr>
                      <w:rFonts w:hint="eastAsia"/>
                      <w:color w:val="auto"/>
                      <w:szCs w:val="21"/>
                    </w:rPr>
                    <w:t>园区和企业编制环境风险应急预案，对重点风险源编制环境风险评估报告，按时对应急预案进行更新与备案。</w:t>
                  </w:r>
                </w:p>
                <w:p w14:paraId="2505AD07">
                  <w:pPr>
                    <w:widowControl/>
                    <w:jc w:val="center"/>
                    <w:rPr>
                      <w:color w:val="auto"/>
                      <w:szCs w:val="21"/>
                    </w:rPr>
                  </w:pPr>
                  <w:r>
                    <w:rPr>
                      <w:rFonts w:hint="eastAsia"/>
                      <w:color w:val="auto"/>
                      <w:szCs w:val="21"/>
                      <w:lang w:eastAsia="zh-CN"/>
                    </w:rPr>
                    <w:t>2.</w:t>
                  </w:r>
                  <w:r>
                    <w:rPr>
                      <w:rFonts w:hint="eastAsia"/>
                      <w:color w:val="auto"/>
                      <w:szCs w:val="21"/>
                    </w:rPr>
                    <w:t>建立有毒有害气体预警体系，建立重点监控区域预警和应急机制，涉及有毒有害气体的企业全部安装毒害气体监控预警装置并与当地生态环境主管部门或园区管理平台联网，加强监控。</w:t>
                  </w:r>
                </w:p>
                <w:p w14:paraId="1CFE171B">
                  <w:pPr>
                    <w:widowControl/>
                    <w:jc w:val="center"/>
                    <w:rPr>
                      <w:color w:val="auto"/>
                      <w:szCs w:val="21"/>
                    </w:rPr>
                  </w:pPr>
                  <w:r>
                    <w:rPr>
                      <w:rFonts w:hint="eastAsia"/>
                      <w:color w:val="auto"/>
                      <w:szCs w:val="21"/>
                      <w:lang w:eastAsia="zh-CN"/>
                    </w:rPr>
                    <w:t>3.</w:t>
                  </w:r>
                  <w:r>
                    <w:rPr>
                      <w:rFonts w:hint="eastAsia"/>
                      <w:color w:val="auto"/>
                      <w:szCs w:val="21"/>
                    </w:rPr>
                    <w:t>建立突发环境事件隐患排查整改及突发环境事件应急管理长效机制。将园区突发环境事件隐患排查及整改、环境应急物资管理、环境应急演练拉练、环境应急预案备案及修编等工作，纳入园区监督管理系统。园区要做好污染防治过程中的安全防范，组织对</w:t>
                  </w:r>
                  <w:r>
                    <w:rPr>
                      <w:rFonts w:hint="eastAsia"/>
                      <w:color w:val="auto"/>
                      <w:szCs w:val="21"/>
                      <w:lang w:eastAsia="zh-CN"/>
                    </w:rPr>
                    <w:t>园区</w:t>
                  </w:r>
                  <w:r>
                    <w:rPr>
                      <w:rFonts w:hint="eastAsia"/>
                      <w:color w:val="auto"/>
                      <w:szCs w:val="21"/>
                    </w:rPr>
                    <w:t>建设的重点环保治理设施和项目开展安全风险评估和隐患排查治理，督促园区内企业对污染防治设施开展安全风险评估和隐患排查治理。</w:t>
                  </w:r>
                </w:p>
                <w:p w14:paraId="290275E9">
                  <w:pPr>
                    <w:widowControl/>
                    <w:jc w:val="center"/>
                    <w:rPr>
                      <w:color w:val="auto"/>
                      <w:szCs w:val="21"/>
                    </w:rPr>
                  </w:pPr>
                  <w:r>
                    <w:rPr>
                      <w:rFonts w:hint="eastAsia"/>
                      <w:color w:val="auto"/>
                      <w:szCs w:val="21"/>
                      <w:lang w:eastAsia="zh-CN"/>
                    </w:rPr>
                    <w:t>4.</w:t>
                  </w:r>
                  <w:r>
                    <w:rPr>
                      <w:rFonts w:hint="eastAsia"/>
                      <w:color w:val="auto"/>
                      <w:szCs w:val="21"/>
                    </w:rPr>
                    <w:t>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p w14:paraId="55C3CADF">
                  <w:pPr>
                    <w:widowControl/>
                    <w:jc w:val="center"/>
                    <w:rPr>
                      <w:color w:val="auto"/>
                      <w:szCs w:val="21"/>
                    </w:rPr>
                  </w:pPr>
                  <w:r>
                    <w:rPr>
                      <w:rFonts w:hint="eastAsia"/>
                      <w:color w:val="auto"/>
                      <w:szCs w:val="21"/>
                    </w:rPr>
                    <w:t>5、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44B1DF8A">
                  <w:pPr>
                    <w:widowControl/>
                    <w:jc w:val="center"/>
                    <w:rPr>
                      <w:color w:val="auto"/>
                      <w:szCs w:val="21"/>
                    </w:rPr>
                  </w:pPr>
                  <w:r>
                    <w:rPr>
                      <w:rFonts w:hint="eastAsia"/>
                      <w:color w:val="auto"/>
                      <w:szCs w:val="21"/>
                      <w:lang w:eastAsia="zh-CN"/>
                    </w:rPr>
                    <w:t>6.</w:t>
                  </w:r>
                  <w:r>
                    <w:rPr>
                      <w:rFonts w:hint="eastAsia"/>
                      <w:color w:val="auto"/>
                      <w:szCs w:val="21"/>
                    </w:rPr>
                    <w:t>禁止无法落实危险废物处置途径的项目入园。</w:t>
                  </w:r>
                </w:p>
              </w:tc>
              <w:tc>
                <w:tcPr>
                  <w:tcW w:w="2543" w:type="dxa"/>
                  <w:vAlign w:val="center"/>
                </w:tcPr>
                <w:p w14:paraId="6E029588">
                  <w:pPr>
                    <w:jc w:val="center"/>
                    <w:rPr>
                      <w:color w:val="auto"/>
                      <w:szCs w:val="21"/>
                    </w:rPr>
                  </w:pPr>
                  <w:r>
                    <w:rPr>
                      <w:rFonts w:hint="eastAsia"/>
                      <w:color w:val="auto"/>
                      <w:szCs w:val="21"/>
                    </w:rPr>
                    <w:t>企业将编制环境风险应急预案，对重点风险源编制环境风险评估报告，按时对应急预案进行更新与备案；建立重点监控区域预警和应急机制；建立突发环境事件隐患排查整改及突发环境事件应急管理长效机制；注重企业风险源对区内及周边环境的影响；本项目不涉</w:t>
                  </w:r>
                  <w:r>
                    <w:rPr>
                      <w:rFonts w:hint="eastAsia"/>
                      <w:color w:val="auto"/>
                      <w:szCs w:val="21"/>
                      <w:lang w:eastAsia="zh-CN"/>
                    </w:rPr>
                    <w:t>及污</w:t>
                  </w:r>
                  <w:r>
                    <w:rPr>
                      <w:rFonts w:hint="eastAsia"/>
                      <w:color w:val="auto"/>
                      <w:szCs w:val="21"/>
                    </w:rPr>
                    <w:t>染风险重点管控区内关闭搬迁、拟变更土地利用方式和土地使用权人的重点行业企业用地；项目落实危险废物处置方式</w:t>
                  </w:r>
                  <w:r>
                    <w:rPr>
                      <w:color w:val="auto"/>
                      <w:szCs w:val="21"/>
                    </w:rPr>
                    <w:t>。</w:t>
                  </w:r>
                </w:p>
              </w:tc>
              <w:tc>
                <w:tcPr>
                  <w:tcW w:w="476" w:type="dxa"/>
                  <w:tcBorders>
                    <w:right w:val="nil"/>
                  </w:tcBorders>
                  <w:vAlign w:val="center"/>
                </w:tcPr>
                <w:p w14:paraId="5F7B859A">
                  <w:pPr>
                    <w:jc w:val="center"/>
                    <w:rPr>
                      <w:color w:val="auto"/>
                      <w:szCs w:val="21"/>
                    </w:rPr>
                  </w:pPr>
                  <w:r>
                    <w:rPr>
                      <w:rFonts w:hint="eastAsia"/>
                      <w:color w:val="auto"/>
                      <w:szCs w:val="21"/>
                    </w:rPr>
                    <w:t>相符</w:t>
                  </w:r>
                </w:p>
              </w:tc>
            </w:tr>
            <w:tr w14:paraId="0351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12" w:space="0"/>
                  </w:tcBorders>
                  <w:vAlign w:val="center"/>
                </w:tcPr>
                <w:p w14:paraId="19F72662">
                  <w:pPr>
                    <w:jc w:val="center"/>
                    <w:rPr>
                      <w:color w:val="auto"/>
                      <w:szCs w:val="21"/>
                    </w:rPr>
                  </w:pPr>
                  <w:r>
                    <w:rPr>
                      <w:rFonts w:hint="eastAsia"/>
                      <w:color w:val="auto"/>
                      <w:szCs w:val="21"/>
                    </w:rPr>
                    <w:t>13</w:t>
                  </w:r>
                </w:p>
              </w:tc>
              <w:tc>
                <w:tcPr>
                  <w:tcW w:w="684" w:type="dxa"/>
                  <w:tcBorders>
                    <w:bottom w:val="single" w:color="auto" w:sz="12" w:space="0"/>
                  </w:tcBorders>
                  <w:vAlign w:val="center"/>
                </w:tcPr>
                <w:p w14:paraId="628D45BB">
                  <w:pPr>
                    <w:widowControl/>
                    <w:jc w:val="center"/>
                    <w:rPr>
                      <w:color w:val="auto"/>
                      <w:szCs w:val="21"/>
                    </w:rPr>
                  </w:pPr>
                  <w:r>
                    <w:rPr>
                      <w:rFonts w:hint="eastAsia"/>
                      <w:color w:val="auto"/>
                      <w:szCs w:val="21"/>
                    </w:rPr>
                    <w:t>资源开发利用要求</w:t>
                  </w:r>
                </w:p>
              </w:tc>
              <w:tc>
                <w:tcPr>
                  <w:tcW w:w="3243" w:type="dxa"/>
                  <w:tcBorders>
                    <w:bottom w:val="single" w:color="auto" w:sz="12" w:space="0"/>
                  </w:tcBorders>
                  <w:vAlign w:val="center"/>
                </w:tcPr>
                <w:p w14:paraId="48059E01">
                  <w:pPr>
                    <w:widowControl/>
                    <w:jc w:val="center"/>
                    <w:rPr>
                      <w:color w:val="auto"/>
                      <w:szCs w:val="21"/>
                    </w:rPr>
                  </w:pPr>
                  <w:r>
                    <w:rPr>
                      <w:rFonts w:hint="eastAsia"/>
                      <w:color w:val="auto"/>
                      <w:szCs w:val="21"/>
                      <w:lang w:eastAsia="zh-CN"/>
                    </w:rPr>
                    <w:t>1.</w:t>
                  </w:r>
                  <w:r>
                    <w:rPr>
                      <w:rFonts w:hint="eastAsia"/>
                      <w:color w:val="auto"/>
                      <w:szCs w:val="21"/>
                    </w:rPr>
                    <w:t>园区</w:t>
                  </w:r>
                  <w:r>
                    <w:rPr>
                      <w:rFonts w:hint="eastAsia"/>
                      <w:color w:val="auto"/>
                      <w:szCs w:val="21"/>
                      <w:lang w:eastAsia="zh-CN"/>
                    </w:rPr>
                    <w:t>污水处理厂</w:t>
                  </w:r>
                  <w:r>
                    <w:rPr>
                      <w:rFonts w:hint="eastAsia"/>
                      <w:color w:val="auto"/>
                      <w:szCs w:val="21"/>
                    </w:rPr>
                    <w:t>中水回用率达到30%，园区用水总量9万立方米/日；</w:t>
                  </w:r>
                </w:p>
                <w:p w14:paraId="4EB48E2F">
                  <w:pPr>
                    <w:widowControl/>
                    <w:jc w:val="center"/>
                    <w:rPr>
                      <w:color w:val="auto"/>
                      <w:szCs w:val="21"/>
                    </w:rPr>
                  </w:pPr>
                  <w:r>
                    <w:rPr>
                      <w:rFonts w:hint="eastAsia"/>
                      <w:color w:val="auto"/>
                      <w:szCs w:val="21"/>
                      <w:lang w:eastAsia="zh-CN"/>
                    </w:rPr>
                    <w:t>2.</w:t>
                  </w:r>
                  <w:r>
                    <w:rPr>
                      <w:rFonts w:hint="eastAsia"/>
                      <w:color w:val="auto"/>
                      <w:szCs w:val="21"/>
                    </w:rPr>
                    <w:t>土地资源可利用园区总面积上限13.90km</w:t>
                  </w:r>
                  <w:r>
                    <w:rPr>
                      <w:rFonts w:hint="eastAsia"/>
                      <w:color w:val="auto"/>
                      <w:szCs w:val="21"/>
                      <w:vertAlign w:val="superscript"/>
                    </w:rPr>
                    <w:t>2</w:t>
                  </w:r>
                  <w:r>
                    <w:rPr>
                      <w:rFonts w:hint="eastAsia"/>
                      <w:color w:val="auto"/>
                      <w:szCs w:val="21"/>
                    </w:rPr>
                    <w:t>，建设用地总面积上限12.57km</w:t>
                  </w:r>
                  <w:r>
                    <w:rPr>
                      <w:rFonts w:hint="eastAsia"/>
                      <w:color w:val="auto"/>
                      <w:szCs w:val="21"/>
                      <w:vertAlign w:val="superscript"/>
                    </w:rPr>
                    <w:t>2</w:t>
                  </w:r>
                  <w:r>
                    <w:rPr>
                      <w:rFonts w:hint="eastAsia"/>
                      <w:color w:val="auto"/>
                      <w:szCs w:val="21"/>
                    </w:rPr>
                    <w:t>，工业用地总面积上限6.05km²，单位工业用地工业增加值≥9亿元/km</w:t>
                  </w:r>
                  <w:r>
                    <w:rPr>
                      <w:rFonts w:hint="eastAsia"/>
                      <w:color w:val="auto"/>
                      <w:szCs w:val="21"/>
                      <w:vertAlign w:val="superscript"/>
                    </w:rPr>
                    <w:t>2</w:t>
                  </w:r>
                  <w:r>
                    <w:rPr>
                      <w:rFonts w:hint="eastAsia"/>
                      <w:color w:val="auto"/>
                      <w:szCs w:val="21"/>
                    </w:rPr>
                    <w:t>。</w:t>
                  </w:r>
                </w:p>
                <w:p w14:paraId="420D103D">
                  <w:pPr>
                    <w:widowControl/>
                    <w:jc w:val="center"/>
                    <w:rPr>
                      <w:color w:val="auto"/>
                      <w:szCs w:val="21"/>
                    </w:rPr>
                  </w:pPr>
                  <w:r>
                    <w:rPr>
                      <w:rFonts w:hint="eastAsia"/>
                      <w:color w:val="auto"/>
                      <w:szCs w:val="21"/>
                      <w:lang w:eastAsia="zh-CN"/>
                    </w:rPr>
                    <w:t>3.</w:t>
                  </w:r>
                  <w:r>
                    <w:rPr>
                      <w:rFonts w:hint="eastAsia"/>
                      <w:color w:val="auto"/>
                      <w:szCs w:val="21"/>
                    </w:rPr>
                    <w:t>规划能源利用主要为电能和天然气等清洁能源，新建高耗能项目单位产品</w:t>
                  </w:r>
                  <w:r>
                    <w:rPr>
                      <w:rFonts w:hint="eastAsia"/>
                      <w:color w:val="auto"/>
                      <w:szCs w:val="21"/>
                      <w:lang w:eastAsia="zh-CN"/>
                    </w:rPr>
                    <w:t>（</w:t>
                  </w:r>
                  <w:r>
                    <w:rPr>
                      <w:rFonts w:hint="eastAsia"/>
                      <w:color w:val="auto"/>
                      <w:szCs w:val="21"/>
                    </w:rPr>
                    <w:t>产值</w:t>
                  </w:r>
                  <w:r>
                    <w:rPr>
                      <w:rFonts w:hint="eastAsia"/>
                      <w:color w:val="auto"/>
                      <w:szCs w:val="21"/>
                      <w:lang w:eastAsia="zh-CN"/>
                    </w:rPr>
                    <w:t>）</w:t>
                  </w:r>
                  <w:r>
                    <w:rPr>
                      <w:rFonts w:hint="eastAsia"/>
                      <w:color w:val="auto"/>
                      <w:szCs w:val="21"/>
                    </w:rPr>
                    <w:t>能耗要达到国际先进水平。</w:t>
                  </w:r>
                </w:p>
              </w:tc>
              <w:tc>
                <w:tcPr>
                  <w:tcW w:w="2543" w:type="dxa"/>
                  <w:tcBorders>
                    <w:bottom w:val="single" w:color="auto" w:sz="12" w:space="0"/>
                  </w:tcBorders>
                  <w:vAlign w:val="center"/>
                </w:tcPr>
                <w:p w14:paraId="09F80DE0">
                  <w:pPr>
                    <w:jc w:val="center"/>
                    <w:rPr>
                      <w:rFonts w:hint="default"/>
                      <w:color w:val="auto"/>
                      <w:szCs w:val="21"/>
                      <w:lang w:val="en-US"/>
                    </w:rPr>
                  </w:pPr>
                  <w:r>
                    <w:rPr>
                      <w:color w:val="auto"/>
                      <w:szCs w:val="21"/>
                    </w:rPr>
                    <w:t>1、本项目用水</w:t>
                  </w:r>
                  <w:r>
                    <w:rPr>
                      <w:rFonts w:hint="eastAsia"/>
                      <w:color w:val="auto"/>
                      <w:szCs w:val="21"/>
                    </w:rPr>
                    <w:t>量</w:t>
                  </w:r>
                  <w:r>
                    <w:rPr>
                      <w:rFonts w:hint="eastAsia"/>
                      <w:color w:val="auto"/>
                      <w:szCs w:val="21"/>
                      <w:lang w:val="en-US" w:eastAsia="zh-CN"/>
                    </w:rPr>
                    <w:t>为13359.1t/a（44.53t/d），</w:t>
                  </w:r>
                  <w:r>
                    <w:rPr>
                      <w:rFonts w:hint="eastAsia"/>
                      <w:color w:val="auto"/>
                      <w:szCs w:val="21"/>
                    </w:rPr>
                    <w:t>远小于园区用水总量9万立方米/日，满足用水规划；</w:t>
                  </w:r>
                  <w:r>
                    <w:rPr>
                      <w:rFonts w:hint="eastAsia"/>
                      <w:color w:val="auto"/>
                      <w:szCs w:val="21"/>
                      <w:lang w:val="en-US" w:eastAsia="zh-CN"/>
                    </w:rPr>
                    <w:t>生产废水、生活污水接管至涟水空港产业园污水处理厂，根据规划，蒋庵东路东侧区域和清涟大道北侧区域（此区域规划为电子信息产业组团）的废水处理依托现状空港产业园污水处理厂，设计处理规模为10000m</w:t>
                  </w:r>
                  <w:r>
                    <w:rPr>
                      <w:rFonts w:hint="eastAsia"/>
                      <w:color w:val="auto"/>
                      <w:szCs w:val="21"/>
                      <w:vertAlign w:val="superscript"/>
                      <w:lang w:val="en-US" w:eastAsia="zh-CN"/>
                    </w:rPr>
                    <w:t>3</w:t>
                  </w:r>
                  <w:r>
                    <w:rPr>
                      <w:rFonts w:hint="eastAsia"/>
                      <w:color w:val="auto"/>
                      <w:szCs w:val="21"/>
                      <w:lang w:val="en-US" w:eastAsia="zh-CN"/>
                    </w:rPr>
                    <w:t>/d，其中纯工业废水占总处理水量的24.7%（2470t/d），本项目生活污水排放量为18.9t/d，生产废水排放量为21.15t/d，因此排放可行。</w:t>
                  </w:r>
                </w:p>
                <w:p w14:paraId="3388A896">
                  <w:pPr>
                    <w:jc w:val="center"/>
                    <w:rPr>
                      <w:color w:val="auto"/>
                      <w:szCs w:val="21"/>
                    </w:rPr>
                  </w:pPr>
                  <w:r>
                    <w:rPr>
                      <w:rFonts w:hint="eastAsia"/>
                      <w:color w:val="auto"/>
                      <w:szCs w:val="21"/>
                    </w:rPr>
                    <w:t>2、本项目占地面积86115平方米，园区规划面积可满足企业用地需求；</w:t>
                  </w:r>
                </w:p>
                <w:p w14:paraId="573F1A86">
                  <w:pPr>
                    <w:jc w:val="center"/>
                    <w:rPr>
                      <w:color w:val="auto"/>
                      <w:szCs w:val="21"/>
                    </w:rPr>
                  </w:pPr>
                  <w:r>
                    <w:rPr>
                      <w:rFonts w:hint="eastAsia"/>
                      <w:color w:val="auto"/>
                      <w:szCs w:val="21"/>
                      <w:lang w:eastAsia="zh-CN"/>
                    </w:rPr>
                    <w:t>3.</w:t>
                  </w:r>
                  <w:r>
                    <w:rPr>
                      <w:rFonts w:hint="eastAsia"/>
                      <w:color w:val="auto"/>
                      <w:szCs w:val="21"/>
                    </w:rPr>
                    <w:t>引进项目的生产工艺、设备、能耗、污染物排放和资源利用效率等均达到国内领先水平</w:t>
                  </w:r>
                  <w:r>
                    <w:rPr>
                      <w:color w:val="auto"/>
                      <w:szCs w:val="21"/>
                    </w:rPr>
                    <w:t>。</w:t>
                  </w:r>
                </w:p>
              </w:tc>
              <w:tc>
                <w:tcPr>
                  <w:tcW w:w="476" w:type="dxa"/>
                  <w:tcBorders>
                    <w:bottom w:val="single" w:color="auto" w:sz="12" w:space="0"/>
                    <w:right w:val="nil"/>
                  </w:tcBorders>
                  <w:vAlign w:val="center"/>
                </w:tcPr>
                <w:p w14:paraId="7032835F">
                  <w:pPr>
                    <w:jc w:val="center"/>
                    <w:rPr>
                      <w:color w:val="auto"/>
                      <w:szCs w:val="21"/>
                    </w:rPr>
                  </w:pPr>
                  <w:r>
                    <w:rPr>
                      <w:rFonts w:hint="eastAsia"/>
                      <w:color w:val="auto"/>
                      <w:szCs w:val="21"/>
                    </w:rPr>
                    <w:t>相符</w:t>
                  </w:r>
                </w:p>
              </w:tc>
            </w:tr>
          </w:tbl>
          <w:p w14:paraId="7372A76F">
            <w:pPr>
              <w:adjustRightInd w:val="0"/>
              <w:snapToGrid w:val="0"/>
              <w:spacing w:line="360" w:lineRule="auto"/>
              <w:ind w:firstLine="420" w:firstLineChars="200"/>
              <w:rPr>
                <w:color w:val="auto"/>
                <w:kern w:val="0"/>
                <w:szCs w:val="21"/>
              </w:rPr>
            </w:pPr>
          </w:p>
        </w:tc>
      </w:tr>
      <w:tr w14:paraId="21078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1431" w:type="dxa"/>
            <w:vAlign w:val="center"/>
          </w:tcPr>
          <w:p w14:paraId="684A99D6">
            <w:pPr>
              <w:autoSpaceDE w:val="0"/>
              <w:autoSpaceDN w:val="0"/>
              <w:adjustRightInd w:val="0"/>
              <w:snapToGrid w:val="0"/>
              <w:jc w:val="center"/>
              <w:rPr>
                <w:color w:val="auto"/>
                <w:kern w:val="0"/>
                <w:sz w:val="24"/>
              </w:rPr>
            </w:pPr>
            <w:r>
              <w:rPr>
                <w:color w:val="auto"/>
                <w:kern w:val="0"/>
                <w:sz w:val="24"/>
              </w:rPr>
              <w:t>其他符合性分析</w:t>
            </w:r>
          </w:p>
        </w:tc>
        <w:tc>
          <w:tcPr>
            <w:tcW w:w="7439" w:type="dxa"/>
            <w:gridSpan w:val="3"/>
            <w:vAlign w:val="center"/>
          </w:tcPr>
          <w:p w14:paraId="2D98E3B0">
            <w:pPr>
              <w:tabs>
                <w:tab w:val="left" w:pos="720"/>
              </w:tabs>
              <w:adjustRightInd w:val="0"/>
              <w:snapToGrid w:val="0"/>
              <w:spacing w:line="360" w:lineRule="auto"/>
              <w:rPr>
                <w:b/>
                <w:color w:val="auto"/>
                <w:sz w:val="24"/>
              </w:rPr>
            </w:pPr>
            <w:r>
              <w:rPr>
                <w:rFonts w:hint="eastAsia"/>
                <w:b/>
                <w:color w:val="auto"/>
                <w:sz w:val="24"/>
              </w:rPr>
              <w:t>1.3</w:t>
            </w:r>
            <w:r>
              <w:rPr>
                <w:b/>
                <w:color w:val="auto"/>
                <w:sz w:val="24"/>
              </w:rPr>
              <w:t>、产业政策相符性</w:t>
            </w:r>
          </w:p>
          <w:p w14:paraId="3039397B">
            <w:pPr>
              <w:tabs>
                <w:tab w:val="left" w:pos="720"/>
              </w:tabs>
              <w:adjustRightInd w:val="0"/>
              <w:snapToGrid w:val="0"/>
              <w:spacing w:line="360" w:lineRule="auto"/>
              <w:ind w:firstLine="480" w:firstLineChars="200"/>
              <w:rPr>
                <w:color w:val="auto"/>
                <w:sz w:val="24"/>
              </w:rPr>
            </w:pPr>
            <w:r>
              <w:rPr>
                <w:color w:val="auto"/>
                <w:sz w:val="24"/>
              </w:rPr>
              <w:t>本项目主要为</w:t>
            </w:r>
            <w:r>
              <w:rPr>
                <w:rFonts w:hint="eastAsia"/>
                <w:color w:val="auto"/>
                <w:sz w:val="24"/>
              </w:rPr>
              <w:t>其他工艺美术及礼仪用品制造</w:t>
            </w:r>
            <w:r>
              <w:rPr>
                <w:color w:val="auto"/>
                <w:sz w:val="24"/>
              </w:rPr>
              <w:t>，对照《产业结构调整指导目录（20</w:t>
            </w:r>
            <w:r>
              <w:rPr>
                <w:rFonts w:hint="eastAsia"/>
                <w:color w:val="auto"/>
                <w:sz w:val="24"/>
              </w:rPr>
              <w:t>24</w:t>
            </w:r>
            <w:r>
              <w:rPr>
                <w:color w:val="auto"/>
                <w:sz w:val="24"/>
              </w:rPr>
              <w:t>年本）》，不属于其中的限制类和淘汰类项目。</w:t>
            </w:r>
          </w:p>
          <w:p w14:paraId="7E6B5A19">
            <w:pPr>
              <w:tabs>
                <w:tab w:val="left" w:pos="720"/>
              </w:tabs>
              <w:adjustRightInd w:val="0"/>
              <w:snapToGrid w:val="0"/>
              <w:spacing w:line="360" w:lineRule="auto"/>
              <w:ind w:firstLine="480" w:firstLineChars="200"/>
              <w:rPr>
                <w:color w:val="auto"/>
                <w:sz w:val="24"/>
              </w:rPr>
            </w:pPr>
            <w:r>
              <w:rPr>
                <w:color w:val="auto"/>
                <w:sz w:val="24"/>
              </w:rPr>
              <w:t>对照《江苏省产业结构调整限制、淘汰和禁止目录》（苏办发</w:t>
            </w:r>
            <w:r>
              <w:rPr>
                <w:rFonts w:hint="eastAsia"/>
                <w:color w:val="auto"/>
                <w:sz w:val="24"/>
                <w:lang w:eastAsia="zh-CN"/>
              </w:rPr>
              <w:t>〔2018〕32号</w:t>
            </w:r>
            <w:r>
              <w:rPr>
                <w:color w:val="auto"/>
                <w:sz w:val="24"/>
              </w:rPr>
              <w:t>），本项目不属于限制类、淘汰类。</w:t>
            </w:r>
          </w:p>
          <w:p w14:paraId="1A205793">
            <w:pPr>
              <w:tabs>
                <w:tab w:val="left" w:pos="720"/>
              </w:tabs>
              <w:adjustRightInd w:val="0"/>
              <w:snapToGrid w:val="0"/>
              <w:spacing w:line="360" w:lineRule="auto"/>
              <w:ind w:firstLine="480" w:firstLineChars="200"/>
              <w:rPr>
                <w:color w:val="auto"/>
                <w:sz w:val="24"/>
              </w:rPr>
            </w:pPr>
            <w:r>
              <w:rPr>
                <w:color w:val="auto"/>
                <w:sz w:val="24"/>
              </w:rPr>
              <w:t>故本次新建项目符合国家及地方的产业政策，该项目</w:t>
            </w:r>
            <w:r>
              <w:rPr>
                <w:rFonts w:hint="eastAsia"/>
                <w:color w:val="auto"/>
                <w:sz w:val="24"/>
              </w:rPr>
              <w:t>2025</w:t>
            </w:r>
            <w:r>
              <w:rPr>
                <w:color w:val="auto"/>
                <w:sz w:val="24"/>
              </w:rPr>
              <w:t>年</w:t>
            </w:r>
            <w:r>
              <w:rPr>
                <w:rFonts w:hint="eastAsia"/>
                <w:color w:val="auto"/>
                <w:sz w:val="24"/>
              </w:rPr>
              <w:t>2</w:t>
            </w:r>
            <w:r>
              <w:rPr>
                <w:color w:val="auto"/>
                <w:sz w:val="24"/>
              </w:rPr>
              <w:t>月</w:t>
            </w:r>
            <w:r>
              <w:rPr>
                <w:rFonts w:hint="eastAsia"/>
                <w:color w:val="auto"/>
                <w:sz w:val="24"/>
              </w:rPr>
              <w:t>19</w:t>
            </w:r>
            <w:r>
              <w:rPr>
                <w:color w:val="auto"/>
                <w:sz w:val="24"/>
              </w:rPr>
              <w:t>日由</w:t>
            </w:r>
            <w:r>
              <w:rPr>
                <w:rFonts w:hint="eastAsia"/>
                <w:color w:val="auto"/>
                <w:sz w:val="24"/>
              </w:rPr>
              <w:t>淮安涟水县发展改革委</w:t>
            </w:r>
            <w:r>
              <w:rPr>
                <w:color w:val="auto"/>
                <w:sz w:val="24"/>
              </w:rPr>
              <w:t>备案，备案证号：涟</w:t>
            </w:r>
            <w:r>
              <w:rPr>
                <w:rFonts w:hint="eastAsia"/>
                <w:color w:val="auto"/>
                <w:sz w:val="24"/>
              </w:rPr>
              <w:t>水发改</w:t>
            </w:r>
            <w:r>
              <w:rPr>
                <w:color w:val="auto"/>
                <w:sz w:val="24"/>
              </w:rPr>
              <w:t>备〔</w:t>
            </w:r>
            <w:r>
              <w:rPr>
                <w:rFonts w:hint="eastAsia"/>
                <w:color w:val="auto"/>
                <w:sz w:val="24"/>
              </w:rPr>
              <w:t>2025</w:t>
            </w:r>
            <w:r>
              <w:rPr>
                <w:color w:val="auto"/>
                <w:sz w:val="24"/>
              </w:rPr>
              <w:t>〕</w:t>
            </w:r>
            <w:r>
              <w:rPr>
                <w:rFonts w:hint="eastAsia"/>
                <w:color w:val="auto"/>
                <w:sz w:val="24"/>
              </w:rPr>
              <w:t>39</w:t>
            </w:r>
            <w:r>
              <w:rPr>
                <w:color w:val="auto"/>
                <w:sz w:val="24"/>
              </w:rPr>
              <w:t>号，项目代码：</w:t>
            </w:r>
            <w:r>
              <w:rPr>
                <w:rFonts w:hint="eastAsia"/>
                <w:color w:val="auto"/>
                <w:sz w:val="24"/>
              </w:rPr>
              <w:t>2502-320826-04-01-541787</w:t>
            </w:r>
            <w:r>
              <w:rPr>
                <w:color w:val="auto"/>
                <w:sz w:val="24"/>
              </w:rPr>
              <w:t>。</w:t>
            </w:r>
          </w:p>
          <w:p w14:paraId="422BE546">
            <w:pPr>
              <w:tabs>
                <w:tab w:val="left" w:pos="720"/>
              </w:tabs>
              <w:adjustRightInd w:val="0"/>
              <w:snapToGrid w:val="0"/>
              <w:spacing w:line="360" w:lineRule="auto"/>
              <w:rPr>
                <w:b/>
                <w:color w:val="auto"/>
                <w:sz w:val="24"/>
              </w:rPr>
            </w:pPr>
            <w:r>
              <w:rPr>
                <w:rFonts w:hint="eastAsia"/>
                <w:b/>
                <w:color w:val="auto"/>
                <w:sz w:val="24"/>
              </w:rPr>
              <w:t>1.4</w:t>
            </w:r>
            <w:r>
              <w:rPr>
                <w:b/>
                <w:color w:val="auto"/>
                <w:sz w:val="24"/>
              </w:rPr>
              <w:t>、</w:t>
            </w:r>
            <w:r>
              <w:rPr>
                <w:rFonts w:hint="eastAsia"/>
                <w:b/>
                <w:color w:val="auto"/>
                <w:sz w:val="24"/>
              </w:rPr>
              <w:t>用地</w:t>
            </w:r>
            <w:r>
              <w:rPr>
                <w:b/>
                <w:color w:val="auto"/>
                <w:sz w:val="24"/>
              </w:rPr>
              <w:t>规划相符性分析</w:t>
            </w:r>
          </w:p>
          <w:p w14:paraId="3683F499">
            <w:pPr>
              <w:tabs>
                <w:tab w:val="left" w:pos="720"/>
              </w:tabs>
              <w:adjustRightInd w:val="0"/>
              <w:snapToGrid w:val="0"/>
              <w:spacing w:line="360" w:lineRule="auto"/>
              <w:ind w:firstLine="480" w:firstLineChars="200"/>
              <w:rPr>
                <w:color w:val="auto"/>
                <w:kern w:val="0"/>
                <w:sz w:val="24"/>
              </w:rPr>
            </w:pPr>
            <w:r>
              <w:rPr>
                <w:color w:val="auto"/>
                <w:kern w:val="0"/>
                <w:sz w:val="24"/>
              </w:rPr>
              <w:t>对照《国土资源部、国家发展和改革委员会关于发布实施</w:t>
            </w:r>
            <w:r>
              <w:rPr>
                <w:rFonts w:hint="eastAsia"/>
                <w:color w:val="auto"/>
                <w:kern w:val="0"/>
                <w:sz w:val="24"/>
                <w:lang w:eastAsia="zh-CN"/>
              </w:rPr>
              <w:t>〈</w:t>
            </w:r>
            <w:r>
              <w:rPr>
                <w:color w:val="auto"/>
                <w:kern w:val="0"/>
                <w:sz w:val="24"/>
              </w:rPr>
              <w:t>限制用地项目目录（2012年本）</w:t>
            </w:r>
            <w:r>
              <w:rPr>
                <w:rFonts w:hint="eastAsia"/>
                <w:color w:val="auto"/>
                <w:kern w:val="0"/>
                <w:sz w:val="24"/>
                <w:lang w:eastAsia="zh-CN"/>
              </w:rPr>
              <w:t>〉</w:t>
            </w:r>
            <w:r>
              <w:rPr>
                <w:color w:val="auto"/>
                <w:kern w:val="0"/>
                <w:sz w:val="24"/>
              </w:rPr>
              <w:t>和</w:t>
            </w:r>
            <w:r>
              <w:rPr>
                <w:rFonts w:hint="eastAsia"/>
                <w:color w:val="auto"/>
                <w:kern w:val="0"/>
                <w:sz w:val="24"/>
                <w:lang w:eastAsia="zh-CN"/>
              </w:rPr>
              <w:t>〈</w:t>
            </w:r>
            <w:r>
              <w:rPr>
                <w:color w:val="auto"/>
                <w:kern w:val="0"/>
                <w:sz w:val="24"/>
              </w:rPr>
              <w:t>禁止用地项目目录（2012年本）</w:t>
            </w:r>
            <w:r>
              <w:rPr>
                <w:rFonts w:hint="eastAsia"/>
                <w:color w:val="auto"/>
                <w:kern w:val="0"/>
                <w:sz w:val="24"/>
                <w:lang w:eastAsia="zh-CN"/>
              </w:rPr>
              <w:t>〉</w:t>
            </w:r>
            <w:r>
              <w:rPr>
                <w:color w:val="auto"/>
                <w:kern w:val="0"/>
                <w:sz w:val="24"/>
              </w:rPr>
              <w:t>的通知》（国土资发〔2012〕98号）和《关于发布实施</w:t>
            </w:r>
            <w:r>
              <w:rPr>
                <w:rFonts w:hint="eastAsia"/>
                <w:color w:val="auto"/>
                <w:kern w:val="0"/>
                <w:sz w:val="24"/>
                <w:lang w:eastAsia="zh-CN"/>
              </w:rPr>
              <w:t>〈</w:t>
            </w:r>
            <w:r>
              <w:rPr>
                <w:color w:val="auto"/>
                <w:kern w:val="0"/>
                <w:sz w:val="24"/>
              </w:rPr>
              <w:t>江苏省限制用地项目目录（2013年本）</w:t>
            </w:r>
            <w:r>
              <w:rPr>
                <w:rFonts w:hint="eastAsia"/>
                <w:color w:val="auto"/>
                <w:kern w:val="0"/>
                <w:sz w:val="24"/>
                <w:lang w:eastAsia="zh-CN"/>
              </w:rPr>
              <w:t>〉</w:t>
            </w:r>
            <w:r>
              <w:rPr>
                <w:color w:val="auto"/>
                <w:kern w:val="0"/>
                <w:sz w:val="24"/>
              </w:rPr>
              <w:t>和</w:t>
            </w:r>
            <w:r>
              <w:rPr>
                <w:rFonts w:hint="eastAsia"/>
                <w:color w:val="auto"/>
                <w:kern w:val="0"/>
                <w:sz w:val="24"/>
                <w:lang w:eastAsia="zh-CN"/>
              </w:rPr>
              <w:t>〈</w:t>
            </w:r>
            <w:r>
              <w:rPr>
                <w:color w:val="auto"/>
                <w:kern w:val="0"/>
                <w:sz w:val="24"/>
              </w:rPr>
              <w:t>江苏省禁止用地项目目录（2013年本）</w:t>
            </w:r>
            <w:r>
              <w:rPr>
                <w:rFonts w:hint="eastAsia"/>
                <w:color w:val="auto"/>
                <w:kern w:val="0"/>
                <w:sz w:val="24"/>
                <w:lang w:eastAsia="zh-CN"/>
              </w:rPr>
              <w:t>〉</w:t>
            </w:r>
            <w:r>
              <w:rPr>
                <w:color w:val="auto"/>
                <w:kern w:val="0"/>
                <w:sz w:val="24"/>
              </w:rPr>
              <w:t>的通知》（苏国土资发〔2013〕323号），本项目不属于限制和禁止用地项目。本项目用地属于</w:t>
            </w:r>
            <w:r>
              <w:rPr>
                <w:rFonts w:hint="eastAsia"/>
                <w:color w:val="auto"/>
                <w:kern w:val="0"/>
                <w:sz w:val="24"/>
              </w:rPr>
              <w:t>淮安（涟水）空港产业园核心区东区规划范围内，项目所在用地为</w:t>
            </w:r>
            <w:r>
              <w:rPr>
                <w:rFonts w:hint="eastAsia"/>
                <w:color w:val="auto"/>
                <w:kern w:val="0"/>
                <w:sz w:val="24"/>
                <w:lang w:eastAsia="zh-CN"/>
              </w:rPr>
              <w:t>工业用地</w:t>
            </w:r>
            <w:r>
              <w:rPr>
                <w:rFonts w:hint="eastAsia"/>
                <w:color w:val="auto"/>
                <w:kern w:val="0"/>
                <w:sz w:val="24"/>
              </w:rPr>
              <w:t>，</w:t>
            </w:r>
            <w:r>
              <w:rPr>
                <w:color w:val="auto"/>
                <w:kern w:val="0"/>
                <w:sz w:val="24"/>
              </w:rPr>
              <w:t>符合相关要求。</w:t>
            </w:r>
          </w:p>
          <w:p w14:paraId="73F91F21">
            <w:pPr>
              <w:tabs>
                <w:tab w:val="left" w:pos="720"/>
              </w:tabs>
              <w:adjustRightInd w:val="0"/>
              <w:snapToGrid w:val="0"/>
              <w:spacing w:line="360" w:lineRule="auto"/>
              <w:rPr>
                <w:b/>
                <w:color w:val="auto"/>
                <w:sz w:val="24"/>
              </w:rPr>
            </w:pPr>
            <w:r>
              <w:rPr>
                <w:rFonts w:hint="eastAsia"/>
                <w:b/>
                <w:bCs/>
                <w:color w:val="auto"/>
                <w:kern w:val="0"/>
                <w:sz w:val="24"/>
              </w:rPr>
              <w:t>1.5</w:t>
            </w:r>
            <w:r>
              <w:rPr>
                <w:b/>
                <w:bCs/>
                <w:color w:val="auto"/>
                <w:kern w:val="0"/>
                <w:sz w:val="24"/>
              </w:rPr>
              <w:t>、</w:t>
            </w:r>
            <w:r>
              <w:rPr>
                <w:rFonts w:hint="eastAsia"/>
                <w:b/>
                <w:bCs/>
                <w:color w:val="auto"/>
                <w:kern w:val="0"/>
                <w:sz w:val="24"/>
              </w:rPr>
              <w:t>与</w:t>
            </w:r>
            <w:r>
              <w:rPr>
                <w:b/>
                <w:color w:val="auto"/>
                <w:sz w:val="24"/>
              </w:rPr>
              <w:t>“三线一单”相符性分析</w:t>
            </w:r>
          </w:p>
          <w:p w14:paraId="3CDCF49C">
            <w:pPr>
              <w:tabs>
                <w:tab w:val="left" w:pos="720"/>
              </w:tabs>
              <w:adjustRightInd w:val="0"/>
              <w:snapToGrid w:val="0"/>
              <w:spacing w:line="360" w:lineRule="auto"/>
              <w:ind w:firstLine="480" w:firstLineChars="200"/>
              <w:rPr>
                <w:bCs/>
                <w:color w:val="auto"/>
                <w:sz w:val="24"/>
              </w:rPr>
            </w:pPr>
            <w:r>
              <w:rPr>
                <w:bCs/>
                <w:color w:val="auto"/>
                <w:sz w:val="24"/>
              </w:rPr>
              <w:t>根据生态环境部《关于以改善环境质量为核心加强环境影响评价管理的通知》（环评</w:t>
            </w:r>
            <w:r>
              <w:rPr>
                <w:rFonts w:hint="eastAsia"/>
                <w:bCs/>
                <w:color w:val="auto"/>
                <w:sz w:val="24"/>
                <w:lang w:eastAsia="zh-CN"/>
              </w:rPr>
              <w:t>〔2016〕150号</w:t>
            </w:r>
            <w:r>
              <w:rPr>
                <w:bCs/>
                <w:color w:val="auto"/>
                <w:sz w:val="24"/>
              </w:rPr>
              <w:t>），为适应以改善环境质量为核心的环境管理要求，切实加强环境影响评价（以下简称环评）管理，落实</w:t>
            </w:r>
            <w:r>
              <w:rPr>
                <w:rFonts w:hint="eastAsia"/>
                <w:bCs/>
                <w:color w:val="auto"/>
                <w:sz w:val="24"/>
              </w:rPr>
              <w:t>“</w:t>
            </w:r>
            <w:r>
              <w:rPr>
                <w:bCs/>
                <w:color w:val="auto"/>
                <w:sz w:val="24"/>
              </w:rPr>
              <w:t>生态保护红线、环境质量底线、资源利用上线和环境准入负面清单</w:t>
            </w:r>
            <w:r>
              <w:rPr>
                <w:rFonts w:hint="eastAsia"/>
                <w:bCs/>
                <w:color w:val="auto"/>
                <w:sz w:val="24"/>
              </w:rPr>
              <w:t>”</w:t>
            </w:r>
            <w:r>
              <w:rPr>
                <w:bCs/>
                <w:color w:val="auto"/>
                <w:sz w:val="24"/>
              </w:rPr>
              <w:t>（以下简称</w:t>
            </w:r>
            <w:r>
              <w:rPr>
                <w:rFonts w:hint="eastAsia"/>
                <w:bCs/>
                <w:color w:val="auto"/>
                <w:sz w:val="24"/>
              </w:rPr>
              <w:t>“</w:t>
            </w:r>
            <w:r>
              <w:rPr>
                <w:bCs/>
                <w:color w:val="auto"/>
                <w:sz w:val="24"/>
              </w:rPr>
              <w:t>三线一单</w:t>
            </w:r>
            <w:r>
              <w:rPr>
                <w:rFonts w:hint="eastAsia"/>
                <w:bCs/>
                <w:color w:val="auto"/>
                <w:sz w:val="24"/>
              </w:rPr>
              <w:t>”</w:t>
            </w:r>
            <w:r>
              <w:rPr>
                <w:bCs/>
                <w:color w:val="auto"/>
                <w:sz w:val="24"/>
              </w:rPr>
              <w:t>）约束，建立项目环评审批与规划环评、现有项目环境管理、区域环境质量联动机制（以下简称</w:t>
            </w:r>
            <w:r>
              <w:rPr>
                <w:rFonts w:hint="eastAsia"/>
                <w:bCs/>
                <w:color w:val="auto"/>
                <w:sz w:val="24"/>
              </w:rPr>
              <w:t>“</w:t>
            </w:r>
            <w:r>
              <w:rPr>
                <w:bCs/>
                <w:color w:val="auto"/>
                <w:sz w:val="24"/>
              </w:rPr>
              <w:t>三挂钩</w:t>
            </w:r>
            <w:r>
              <w:rPr>
                <w:rFonts w:hint="eastAsia"/>
                <w:bCs/>
                <w:color w:val="auto"/>
                <w:sz w:val="24"/>
              </w:rPr>
              <w:t>”</w:t>
            </w:r>
            <w:r>
              <w:rPr>
                <w:bCs/>
                <w:color w:val="auto"/>
                <w:sz w:val="24"/>
              </w:rPr>
              <w:t>机制），更好地发挥环评制度从源头防范环境污染和生态破坏的作用，加快推进改善环境质量。本项目与</w:t>
            </w:r>
            <w:r>
              <w:rPr>
                <w:rFonts w:hint="eastAsia"/>
                <w:bCs/>
                <w:color w:val="auto"/>
                <w:sz w:val="24"/>
              </w:rPr>
              <w:t>“</w:t>
            </w:r>
            <w:r>
              <w:rPr>
                <w:bCs/>
                <w:color w:val="auto"/>
                <w:sz w:val="24"/>
              </w:rPr>
              <w:t>三线一单</w:t>
            </w:r>
            <w:r>
              <w:rPr>
                <w:rFonts w:hint="eastAsia"/>
                <w:bCs/>
                <w:color w:val="auto"/>
                <w:sz w:val="24"/>
              </w:rPr>
              <w:t>”</w:t>
            </w:r>
            <w:r>
              <w:rPr>
                <w:bCs/>
                <w:color w:val="auto"/>
                <w:sz w:val="24"/>
              </w:rPr>
              <w:t>相符性分析如下</w:t>
            </w:r>
            <w:r>
              <w:rPr>
                <w:rFonts w:hint="eastAsia"/>
                <w:bCs/>
                <w:color w:val="auto"/>
                <w:sz w:val="24"/>
                <w:lang w:eastAsia="zh-CN"/>
              </w:rPr>
              <w:t>：</w:t>
            </w:r>
            <w:r>
              <w:rPr>
                <w:rFonts w:hint="eastAsia"/>
                <w:bCs/>
                <w:color w:val="auto"/>
                <w:sz w:val="24"/>
                <w:lang w:val="en-US" w:eastAsia="zh-CN"/>
              </w:rPr>
              <w:t>·</w:t>
            </w:r>
            <w:r>
              <w:rPr>
                <w:rFonts w:hint="eastAsia"/>
                <w:b/>
                <w:color w:val="auto"/>
                <w:sz w:val="24"/>
              </w:rPr>
              <w:t>（1）</w:t>
            </w:r>
            <w:r>
              <w:rPr>
                <w:b/>
                <w:color w:val="auto"/>
                <w:sz w:val="24"/>
              </w:rPr>
              <w:t>与生态红线相符性</w:t>
            </w:r>
          </w:p>
          <w:p w14:paraId="136AEC03">
            <w:pPr>
              <w:adjustRightInd w:val="0"/>
              <w:snapToGrid w:val="0"/>
              <w:spacing w:line="360" w:lineRule="auto"/>
              <w:ind w:firstLine="480" w:firstLineChars="200"/>
              <w:rPr>
                <w:color w:val="auto"/>
                <w:sz w:val="24"/>
              </w:rPr>
            </w:pPr>
            <w:r>
              <w:rPr>
                <w:color w:val="auto"/>
                <w:sz w:val="24"/>
              </w:rPr>
              <w:t>①</w:t>
            </w:r>
            <w:r>
              <w:rPr>
                <w:rFonts w:hint="eastAsia"/>
                <w:color w:val="auto"/>
                <w:sz w:val="24"/>
              </w:rPr>
              <w:t>与生态红线相符性分析</w:t>
            </w:r>
          </w:p>
          <w:p w14:paraId="37B544BB">
            <w:pPr>
              <w:adjustRightInd w:val="0"/>
              <w:snapToGrid w:val="0"/>
              <w:spacing w:line="360" w:lineRule="auto"/>
              <w:ind w:firstLine="480" w:firstLineChars="200"/>
              <w:rPr>
                <w:color w:val="auto"/>
                <w:sz w:val="24"/>
              </w:rPr>
            </w:pPr>
            <w:r>
              <w:rPr>
                <w:color w:val="auto"/>
                <w:sz w:val="24"/>
              </w:rPr>
              <w:t>本项目位于</w:t>
            </w:r>
            <w:r>
              <w:rPr>
                <w:rFonts w:hint="eastAsia"/>
                <w:color w:val="auto"/>
                <w:kern w:val="0"/>
                <w:sz w:val="24"/>
              </w:rPr>
              <w:t>江苏省淮安市涟水县经济开发区蒋庵东路东侧、清涟大道北侧</w:t>
            </w:r>
            <w:r>
              <w:rPr>
                <w:color w:val="auto"/>
                <w:sz w:val="24"/>
              </w:rPr>
              <w:t>，根据《省政府关于印发江苏省国家级生态保护红线规划》（苏政发〔2018〕74号）和《省政府关于印发江苏省生态空间管控区域规划的通知》（苏政发〔2020〕1号）。本项目不在</w:t>
            </w:r>
            <w:r>
              <w:rPr>
                <w:rFonts w:hint="eastAsia"/>
                <w:color w:val="auto"/>
                <w:sz w:val="24"/>
              </w:rPr>
              <w:t>生态保护红线区域</w:t>
            </w:r>
            <w:r>
              <w:rPr>
                <w:color w:val="auto"/>
                <w:sz w:val="24"/>
              </w:rPr>
              <w:t>内，距离本项目最近的生态</w:t>
            </w:r>
            <w:r>
              <w:rPr>
                <w:rFonts w:hint="eastAsia"/>
                <w:color w:val="auto"/>
                <w:sz w:val="24"/>
              </w:rPr>
              <w:t>保护红线</w:t>
            </w:r>
            <w:r>
              <w:rPr>
                <w:color w:val="auto"/>
                <w:sz w:val="24"/>
              </w:rPr>
              <w:t>区域为项目</w:t>
            </w:r>
            <w:r>
              <w:rPr>
                <w:rFonts w:hint="eastAsia"/>
                <w:color w:val="auto"/>
                <w:sz w:val="24"/>
              </w:rPr>
              <w:t>东</w:t>
            </w:r>
            <w:r>
              <w:rPr>
                <w:color w:val="auto"/>
                <w:sz w:val="24"/>
              </w:rPr>
              <w:t>南方向的</w:t>
            </w:r>
            <w:r>
              <w:rPr>
                <w:rFonts w:hint="eastAsia" w:hAnsi="宋体"/>
                <w:color w:val="auto"/>
                <w:sz w:val="24"/>
              </w:rPr>
              <w:t>江苏涟水涟漪湖黄嘴白鹭省级自然保护区</w:t>
            </w:r>
            <w:r>
              <w:rPr>
                <w:color w:val="auto"/>
                <w:sz w:val="24"/>
              </w:rPr>
              <w:t>，最近距离约</w:t>
            </w:r>
            <w:r>
              <w:rPr>
                <w:rFonts w:hint="eastAsia"/>
                <w:color w:val="auto"/>
                <w:sz w:val="24"/>
              </w:rPr>
              <w:t>6.8</w:t>
            </w:r>
            <w:r>
              <w:rPr>
                <w:color w:val="auto"/>
                <w:sz w:val="24"/>
              </w:rPr>
              <w:t>km，详见表1-</w:t>
            </w:r>
            <w:r>
              <w:rPr>
                <w:rFonts w:hint="eastAsia"/>
                <w:color w:val="auto"/>
                <w:sz w:val="24"/>
              </w:rPr>
              <w:t>2</w:t>
            </w:r>
            <w:r>
              <w:rPr>
                <w:color w:val="auto"/>
                <w:sz w:val="24"/>
              </w:rPr>
              <w:t>。</w:t>
            </w:r>
          </w:p>
          <w:p w14:paraId="5A8829CB">
            <w:pPr>
              <w:tabs>
                <w:tab w:val="left" w:pos="720"/>
              </w:tabs>
              <w:adjustRightInd w:val="0"/>
              <w:snapToGrid w:val="0"/>
              <w:spacing w:line="360" w:lineRule="auto"/>
              <w:ind w:firstLine="420" w:firstLineChars="200"/>
              <w:rPr>
                <w:color w:val="auto"/>
                <w:kern w:val="0"/>
                <w:szCs w:val="21"/>
              </w:rPr>
            </w:pPr>
          </w:p>
        </w:tc>
      </w:tr>
    </w:tbl>
    <w:p w14:paraId="296E95C8">
      <w:pPr>
        <w:tabs>
          <w:tab w:val="left" w:pos="720"/>
        </w:tabs>
        <w:adjustRightInd w:val="0"/>
        <w:snapToGrid w:val="0"/>
        <w:spacing w:line="360" w:lineRule="auto"/>
        <w:ind w:firstLine="482" w:firstLineChars="200"/>
        <w:rPr>
          <w:b/>
          <w:color w:val="auto"/>
          <w:sz w:val="24"/>
        </w:rPr>
      </w:pPr>
    </w:p>
    <w:p w14:paraId="42B124B3">
      <w:pPr>
        <w:tabs>
          <w:tab w:val="left" w:pos="720"/>
        </w:tabs>
        <w:adjustRightInd w:val="0"/>
        <w:snapToGrid w:val="0"/>
        <w:spacing w:line="360" w:lineRule="auto"/>
        <w:ind w:firstLine="482" w:firstLineChars="200"/>
        <w:rPr>
          <w:b/>
          <w:color w:val="auto"/>
          <w:sz w:val="24"/>
        </w:rPr>
      </w:pPr>
    </w:p>
    <w:p w14:paraId="0A2A6DE4">
      <w:pPr>
        <w:tabs>
          <w:tab w:val="left" w:pos="720"/>
        </w:tabs>
        <w:adjustRightInd w:val="0"/>
        <w:snapToGrid w:val="0"/>
        <w:spacing w:line="360" w:lineRule="auto"/>
        <w:ind w:firstLine="482" w:firstLineChars="200"/>
        <w:rPr>
          <w:b/>
          <w:color w:val="auto"/>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260"/>
      </w:tblGrid>
      <w:tr w14:paraId="671E1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92" w:type="dxa"/>
            <w:vAlign w:val="center"/>
          </w:tcPr>
          <w:p w14:paraId="150229C5">
            <w:pPr>
              <w:autoSpaceDE w:val="0"/>
              <w:autoSpaceDN w:val="0"/>
              <w:adjustRightInd w:val="0"/>
              <w:snapToGrid w:val="0"/>
              <w:jc w:val="center"/>
              <w:rPr>
                <w:color w:val="auto"/>
                <w:kern w:val="0"/>
                <w:szCs w:val="21"/>
              </w:rPr>
            </w:pPr>
            <w:r>
              <w:rPr>
                <w:color w:val="auto"/>
                <w:kern w:val="0"/>
                <w:sz w:val="24"/>
              </w:rPr>
              <w:t>其他符合性分析</w:t>
            </w:r>
          </w:p>
        </w:tc>
        <w:tc>
          <w:tcPr>
            <w:tcW w:w="13260" w:type="dxa"/>
            <w:vAlign w:val="center"/>
          </w:tcPr>
          <w:p w14:paraId="001405F1">
            <w:pPr>
              <w:keepNext/>
              <w:adjustRightInd w:val="0"/>
              <w:snapToGrid w:val="0"/>
              <w:jc w:val="center"/>
              <w:rPr>
                <w:b/>
                <w:color w:val="auto"/>
                <w:sz w:val="24"/>
              </w:rPr>
            </w:pPr>
            <w:r>
              <w:rPr>
                <w:b/>
                <w:color w:val="auto"/>
                <w:sz w:val="24"/>
              </w:rPr>
              <w:t>表1-</w:t>
            </w:r>
            <w:r>
              <w:rPr>
                <w:rFonts w:hint="eastAsia"/>
                <w:b/>
                <w:color w:val="auto"/>
                <w:sz w:val="24"/>
              </w:rPr>
              <w:t>2</w:t>
            </w:r>
            <w:r>
              <w:rPr>
                <w:b/>
                <w:color w:val="auto"/>
                <w:sz w:val="24"/>
              </w:rPr>
              <w:t xml:space="preserve">  项目地附近红线生态区域情况表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206"/>
              <w:gridCol w:w="849"/>
              <w:gridCol w:w="956"/>
              <w:gridCol w:w="3972"/>
              <w:gridCol w:w="1842"/>
              <w:gridCol w:w="1417"/>
              <w:gridCol w:w="1135"/>
              <w:gridCol w:w="850"/>
              <w:gridCol w:w="817"/>
            </w:tblGrid>
            <w:tr w14:paraId="5A2CC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62" w:type="pct"/>
                  <w:vMerge w:val="restart"/>
                  <w:tcBorders>
                    <w:top w:val="single" w:color="auto" w:sz="12" w:space="0"/>
                  </w:tcBorders>
                  <w:vAlign w:val="center"/>
                </w:tcPr>
                <w:p w14:paraId="4A2E1B97">
                  <w:pPr>
                    <w:jc w:val="center"/>
                    <w:rPr>
                      <w:b/>
                      <w:color w:val="auto"/>
                      <w:szCs w:val="21"/>
                    </w:rPr>
                  </w:pPr>
                  <w:r>
                    <w:rPr>
                      <w:b/>
                      <w:color w:val="auto"/>
                      <w:szCs w:val="21"/>
                    </w:rPr>
                    <w:t>生态空间保护区域名称</w:t>
                  </w:r>
                </w:p>
              </w:tc>
              <w:tc>
                <w:tcPr>
                  <w:tcW w:w="325" w:type="pct"/>
                  <w:vMerge w:val="restart"/>
                  <w:tcBorders>
                    <w:top w:val="single" w:color="auto" w:sz="12" w:space="0"/>
                  </w:tcBorders>
                  <w:vAlign w:val="center"/>
                </w:tcPr>
                <w:p w14:paraId="4C2777DB">
                  <w:pPr>
                    <w:jc w:val="center"/>
                    <w:rPr>
                      <w:b/>
                      <w:color w:val="auto"/>
                      <w:szCs w:val="21"/>
                    </w:rPr>
                  </w:pPr>
                  <w:r>
                    <w:rPr>
                      <w:b/>
                      <w:color w:val="auto"/>
                      <w:szCs w:val="21"/>
                    </w:rPr>
                    <w:t>县（市、区）</w:t>
                  </w:r>
                </w:p>
              </w:tc>
              <w:tc>
                <w:tcPr>
                  <w:tcW w:w="366" w:type="pct"/>
                  <w:vMerge w:val="restart"/>
                  <w:tcBorders>
                    <w:top w:val="single" w:color="auto" w:sz="12" w:space="0"/>
                    <w:bottom w:val="single" w:color="auto" w:sz="4" w:space="0"/>
                  </w:tcBorders>
                  <w:vAlign w:val="center"/>
                </w:tcPr>
                <w:p w14:paraId="67256EBD">
                  <w:pPr>
                    <w:jc w:val="center"/>
                    <w:rPr>
                      <w:b/>
                      <w:color w:val="auto"/>
                      <w:szCs w:val="21"/>
                    </w:rPr>
                  </w:pPr>
                  <w:r>
                    <w:rPr>
                      <w:b/>
                      <w:color w:val="auto"/>
                      <w:szCs w:val="21"/>
                    </w:rPr>
                    <w:t>主导生态功能</w:t>
                  </w:r>
                </w:p>
              </w:tc>
              <w:tc>
                <w:tcPr>
                  <w:tcW w:w="2227" w:type="pct"/>
                  <w:gridSpan w:val="2"/>
                  <w:tcBorders>
                    <w:top w:val="single" w:color="auto" w:sz="12" w:space="0"/>
                    <w:bottom w:val="single" w:color="auto" w:sz="4" w:space="0"/>
                  </w:tcBorders>
                  <w:vAlign w:val="center"/>
                </w:tcPr>
                <w:p w14:paraId="0872976F">
                  <w:pPr>
                    <w:jc w:val="center"/>
                    <w:rPr>
                      <w:b/>
                      <w:color w:val="auto"/>
                      <w:szCs w:val="21"/>
                    </w:rPr>
                  </w:pPr>
                  <w:r>
                    <w:rPr>
                      <w:b/>
                      <w:color w:val="auto"/>
                      <w:szCs w:val="21"/>
                    </w:rPr>
                    <w:t>范围</w:t>
                  </w:r>
                </w:p>
              </w:tc>
              <w:tc>
                <w:tcPr>
                  <w:tcW w:w="1304" w:type="pct"/>
                  <w:gridSpan w:val="3"/>
                  <w:tcBorders>
                    <w:top w:val="single" w:color="auto" w:sz="12" w:space="0"/>
                    <w:bottom w:val="single" w:color="auto" w:sz="4" w:space="0"/>
                  </w:tcBorders>
                  <w:vAlign w:val="center"/>
                </w:tcPr>
                <w:p w14:paraId="059D8321">
                  <w:pPr>
                    <w:jc w:val="center"/>
                    <w:rPr>
                      <w:b/>
                      <w:color w:val="auto"/>
                      <w:szCs w:val="21"/>
                    </w:rPr>
                  </w:pPr>
                  <w:r>
                    <w:rPr>
                      <w:b/>
                      <w:color w:val="auto"/>
                      <w:szCs w:val="21"/>
                    </w:rPr>
                    <w:t>面积（平方公里）</w:t>
                  </w:r>
                </w:p>
              </w:tc>
              <w:tc>
                <w:tcPr>
                  <w:tcW w:w="313" w:type="pct"/>
                  <w:vMerge w:val="restart"/>
                  <w:tcBorders>
                    <w:top w:val="single" w:color="auto" w:sz="12" w:space="0"/>
                  </w:tcBorders>
                  <w:vAlign w:val="center"/>
                </w:tcPr>
                <w:p w14:paraId="364005D6">
                  <w:pPr>
                    <w:jc w:val="center"/>
                    <w:rPr>
                      <w:b/>
                      <w:color w:val="auto"/>
                      <w:szCs w:val="21"/>
                    </w:rPr>
                  </w:pPr>
                  <w:r>
                    <w:rPr>
                      <w:b/>
                      <w:color w:val="auto"/>
                      <w:szCs w:val="21"/>
                    </w:rPr>
                    <w:t>距本项目距离</w:t>
                  </w:r>
                </w:p>
              </w:tc>
            </w:tr>
            <w:tr w14:paraId="613E6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62" w:type="pct"/>
                  <w:vMerge w:val="continue"/>
                  <w:tcBorders>
                    <w:bottom w:val="single" w:color="auto" w:sz="12" w:space="0"/>
                  </w:tcBorders>
                  <w:vAlign w:val="center"/>
                </w:tcPr>
                <w:p w14:paraId="67EA4503">
                  <w:pPr>
                    <w:jc w:val="center"/>
                    <w:rPr>
                      <w:b/>
                      <w:color w:val="auto"/>
                      <w:szCs w:val="21"/>
                    </w:rPr>
                  </w:pPr>
                </w:p>
              </w:tc>
              <w:tc>
                <w:tcPr>
                  <w:tcW w:w="325" w:type="pct"/>
                  <w:vMerge w:val="continue"/>
                  <w:tcBorders>
                    <w:bottom w:val="single" w:color="auto" w:sz="12" w:space="0"/>
                  </w:tcBorders>
                  <w:vAlign w:val="center"/>
                </w:tcPr>
                <w:p w14:paraId="32ABE266">
                  <w:pPr>
                    <w:jc w:val="center"/>
                    <w:rPr>
                      <w:b/>
                      <w:color w:val="auto"/>
                      <w:szCs w:val="21"/>
                    </w:rPr>
                  </w:pPr>
                </w:p>
              </w:tc>
              <w:tc>
                <w:tcPr>
                  <w:tcW w:w="366" w:type="pct"/>
                  <w:vMerge w:val="continue"/>
                  <w:tcBorders>
                    <w:top w:val="single" w:color="auto" w:sz="4" w:space="0"/>
                    <w:bottom w:val="single" w:color="auto" w:sz="12" w:space="0"/>
                  </w:tcBorders>
                  <w:vAlign w:val="center"/>
                </w:tcPr>
                <w:p w14:paraId="71405053">
                  <w:pPr>
                    <w:jc w:val="center"/>
                    <w:rPr>
                      <w:b/>
                      <w:color w:val="auto"/>
                      <w:szCs w:val="21"/>
                    </w:rPr>
                  </w:pPr>
                </w:p>
              </w:tc>
              <w:tc>
                <w:tcPr>
                  <w:tcW w:w="1521" w:type="pct"/>
                  <w:tcBorders>
                    <w:top w:val="single" w:color="auto" w:sz="4" w:space="0"/>
                    <w:bottom w:val="single" w:color="auto" w:sz="12" w:space="0"/>
                  </w:tcBorders>
                  <w:vAlign w:val="center"/>
                </w:tcPr>
                <w:p w14:paraId="786E7842">
                  <w:pPr>
                    <w:jc w:val="center"/>
                    <w:rPr>
                      <w:b/>
                      <w:color w:val="auto"/>
                      <w:szCs w:val="21"/>
                    </w:rPr>
                  </w:pPr>
                  <w:r>
                    <w:rPr>
                      <w:b/>
                      <w:color w:val="auto"/>
                      <w:szCs w:val="21"/>
                    </w:rPr>
                    <w:t>国家级生态保护红线范围</w:t>
                  </w:r>
                </w:p>
              </w:tc>
              <w:tc>
                <w:tcPr>
                  <w:tcW w:w="706" w:type="pct"/>
                  <w:tcBorders>
                    <w:top w:val="single" w:color="auto" w:sz="4" w:space="0"/>
                    <w:bottom w:val="single" w:color="auto" w:sz="12" w:space="0"/>
                  </w:tcBorders>
                  <w:vAlign w:val="center"/>
                </w:tcPr>
                <w:p w14:paraId="208E3CE1">
                  <w:pPr>
                    <w:jc w:val="center"/>
                    <w:rPr>
                      <w:b/>
                      <w:color w:val="auto"/>
                      <w:szCs w:val="21"/>
                    </w:rPr>
                  </w:pPr>
                  <w:r>
                    <w:rPr>
                      <w:b/>
                      <w:color w:val="auto"/>
                      <w:szCs w:val="21"/>
                    </w:rPr>
                    <w:t>生态空间管控区域范围</w:t>
                  </w:r>
                </w:p>
              </w:tc>
              <w:tc>
                <w:tcPr>
                  <w:tcW w:w="543" w:type="pct"/>
                  <w:tcBorders>
                    <w:top w:val="single" w:color="auto" w:sz="4" w:space="0"/>
                    <w:bottom w:val="single" w:color="auto" w:sz="12" w:space="0"/>
                  </w:tcBorders>
                  <w:vAlign w:val="center"/>
                </w:tcPr>
                <w:p w14:paraId="17A41E0F">
                  <w:pPr>
                    <w:jc w:val="center"/>
                    <w:rPr>
                      <w:b/>
                      <w:color w:val="auto"/>
                      <w:szCs w:val="21"/>
                    </w:rPr>
                  </w:pPr>
                  <w:r>
                    <w:rPr>
                      <w:b/>
                      <w:color w:val="auto"/>
                      <w:szCs w:val="21"/>
                    </w:rPr>
                    <w:t>国家级生态保护红线面积</w:t>
                  </w:r>
                </w:p>
              </w:tc>
              <w:tc>
                <w:tcPr>
                  <w:tcW w:w="435" w:type="pct"/>
                  <w:tcBorders>
                    <w:bottom w:val="single" w:color="auto" w:sz="12" w:space="0"/>
                  </w:tcBorders>
                  <w:vAlign w:val="center"/>
                </w:tcPr>
                <w:p w14:paraId="4DA71A74">
                  <w:pPr>
                    <w:jc w:val="center"/>
                    <w:rPr>
                      <w:b/>
                      <w:color w:val="auto"/>
                      <w:szCs w:val="21"/>
                    </w:rPr>
                  </w:pPr>
                  <w:r>
                    <w:rPr>
                      <w:b/>
                      <w:color w:val="auto"/>
                      <w:szCs w:val="21"/>
                    </w:rPr>
                    <w:t>生态空间管控区域面积</w:t>
                  </w:r>
                </w:p>
              </w:tc>
              <w:tc>
                <w:tcPr>
                  <w:tcW w:w="325" w:type="pct"/>
                  <w:tcBorders>
                    <w:bottom w:val="single" w:color="auto" w:sz="12" w:space="0"/>
                  </w:tcBorders>
                  <w:vAlign w:val="center"/>
                </w:tcPr>
                <w:p w14:paraId="623CD12E">
                  <w:pPr>
                    <w:jc w:val="center"/>
                    <w:rPr>
                      <w:b/>
                      <w:color w:val="auto"/>
                      <w:szCs w:val="21"/>
                    </w:rPr>
                  </w:pPr>
                  <w:r>
                    <w:rPr>
                      <w:b/>
                      <w:color w:val="auto"/>
                      <w:szCs w:val="21"/>
                    </w:rPr>
                    <w:t>总面积</w:t>
                  </w:r>
                </w:p>
              </w:tc>
              <w:tc>
                <w:tcPr>
                  <w:tcW w:w="313" w:type="pct"/>
                  <w:vMerge w:val="continue"/>
                  <w:tcBorders>
                    <w:bottom w:val="single" w:color="auto" w:sz="12" w:space="0"/>
                  </w:tcBorders>
                  <w:vAlign w:val="center"/>
                </w:tcPr>
                <w:p w14:paraId="6E3C6126">
                  <w:pPr>
                    <w:jc w:val="center"/>
                    <w:rPr>
                      <w:b/>
                      <w:color w:val="auto"/>
                      <w:szCs w:val="21"/>
                    </w:rPr>
                  </w:pPr>
                </w:p>
              </w:tc>
            </w:tr>
            <w:tr w14:paraId="41A2B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62" w:type="pct"/>
                  <w:vAlign w:val="center"/>
                </w:tcPr>
                <w:p w14:paraId="17A23E62">
                  <w:pPr>
                    <w:jc w:val="center"/>
                    <w:rPr>
                      <w:color w:val="auto"/>
                      <w:szCs w:val="21"/>
                    </w:rPr>
                  </w:pPr>
                  <w:r>
                    <w:rPr>
                      <w:color w:val="auto"/>
                      <w:szCs w:val="21"/>
                    </w:rPr>
                    <w:t>江苏涟水涟漪湖黄嘴白鹭省级自然保护区</w:t>
                  </w:r>
                </w:p>
              </w:tc>
              <w:tc>
                <w:tcPr>
                  <w:tcW w:w="325" w:type="pct"/>
                  <w:vAlign w:val="center"/>
                </w:tcPr>
                <w:p w14:paraId="033A115B">
                  <w:pPr>
                    <w:jc w:val="center"/>
                    <w:rPr>
                      <w:color w:val="auto"/>
                      <w:szCs w:val="21"/>
                    </w:rPr>
                  </w:pPr>
                  <w:r>
                    <w:rPr>
                      <w:color w:val="auto"/>
                      <w:szCs w:val="21"/>
                    </w:rPr>
                    <w:t>涟水县</w:t>
                  </w:r>
                </w:p>
              </w:tc>
              <w:tc>
                <w:tcPr>
                  <w:tcW w:w="366" w:type="pct"/>
                  <w:vAlign w:val="center"/>
                </w:tcPr>
                <w:p w14:paraId="6FD30375">
                  <w:pPr>
                    <w:jc w:val="center"/>
                    <w:rPr>
                      <w:color w:val="auto"/>
                      <w:szCs w:val="21"/>
                    </w:rPr>
                  </w:pPr>
                  <w:r>
                    <w:rPr>
                      <w:color w:val="auto"/>
                      <w:szCs w:val="21"/>
                    </w:rPr>
                    <w:t>生物多样性</w:t>
                  </w:r>
                </w:p>
              </w:tc>
              <w:tc>
                <w:tcPr>
                  <w:tcW w:w="1521" w:type="pct"/>
                  <w:vAlign w:val="center"/>
                </w:tcPr>
                <w:p w14:paraId="61C7B620">
                  <w:pPr>
                    <w:jc w:val="center"/>
                    <w:rPr>
                      <w:color w:val="auto"/>
                      <w:szCs w:val="21"/>
                    </w:rPr>
                  </w:pPr>
                  <w:r>
                    <w:rPr>
                      <w:color w:val="auto"/>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706" w:type="pct"/>
                  <w:vAlign w:val="center"/>
                </w:tcPr>
                <w:p w14:paraId="70C40E22">
                  <w:pPr>
                    <w:jc w:val="center"/>
                    <w:rPr>
                      <w:color w:val="auto"/>
                      <w:szCs w:val="21"/>
                    </w:rPr>
                  </w:pPr>
                  <w:r>
                    <w:rPr>
                      <w:color w:val="auto"/>
                      <w:szCs w:val="21"/>
                    </w:rPr>
                    <w:t>/</w:t>
                  </w:r>
                </w:p>
              </w:tc>
              <w:tc>
                <w:tcPr>
                  <w:tcW w:w="543" w:type="pct"/>
                  <w:vAlign w:val="center"/>
                </w:tcPr>
                <w:p w14:paraId="45DBE87E">
                  <w:pPr>
                    <w:jc w:val="center"/>
                    <w:rPr>
                      <w:color w:val="auto"/>
                      <w:szCs w:val="21"/>
                    </w:rPr>
                  </w:pPr>
                  <w:r>
                    <w:rPr>
                      <w:color w:val="auto"/>
                      <w:szCs w:val="21"/>
                    </w:rPr>
                    <w:t>34.33</w:t>
                  </w:r>
                </w:p>
              </w:tc>
              <w:tc>
                <w:tcPr>
                  <w:tcW w:w="435" w:type="pct"/>
                  <w:vAlign w:val="center"/>
                </w:tcPr>
                <w:p w14:paraId="65B0867A">
                  <w:pPr>
                    <w:jc w:val="center"/>
                    <w:rPr>
                      <w:color w:val="auto"/>
                      <w:szCs w:val="21"/>
                    </w:rPr>
                  </w:pPr>
                  <w:r>
                    <w:rPr>
                      <w:color w:val="auto"/>
                      <w:szCs w:val="21"/>
                    </w:rPr>
                    <w:t>/</w:t>
                  </w:r>
                </w:p>
              </w:tc>
              <w:tc>
                <w:tcPr>
                  <w:tcW w:w="325" w:type="pct"/>
                  <w:vAlign w:val="center"/>
                </w:tcPr>
                <w:p w14:paraId="277BF276">
                  <w:pPr>
                    <w:jc w:val="center"/>
                    <w:rPr>
                      <w:color w:val="auto"/>
                      <w:szCs w:val="21"/>
                    </w:rPr>
                  </w:pPr>
                  <w:r>
                    <w:rPr>
                      <w:color w:val="auto"/>
                      <w:szCs w:val="21"/>
                    </w:rPr>
                    <w:t>34.33</w:t>
                  </w:r>
                </w:p>
              </w:tc>
              <w:tc>
                <w:tcPr>
                  <w:tcW w:w="313" w:type="pct"/>
                  <w:vAlign w:val="center"/>
                </w:tcPr>
                <w:p w14:paraId="7692CC87">
                  <w:pPr>
                    <w:jc w:val="center"/>
                    <w:rPr>
                      <w:color w:val="auto"/>
                      <w:szCs w:val="21"/>
                    </w:rPr>
                  </w:pPr>
                  <w:r>
                    <w:rPr>
                      <w:rFonts w:hint="eastAsia"/>
                      <w:color w:val="auto"/>
                      <w:szCs w:val="21"/>
                    </w:rPr>
                    <w:t>东南</w:t>
                  </w:r>
                  <w:r>
                    <w:rPr>
                      <w:color w:val="auto"/>
                      <w:szCs w:val="21"/>
                    </w:rPr>
                    <w:t>，</w:t>
                  </w:r>
                  <w:r>
                    <w:rPr>
                      <w:rFonts w:hint="eastAsia"/>
                      <w:color w:val="auto"/>
                      <w:szCs w:val="21"/>
                    </w:rPr>
                    <w:t>约6.8</w:t>
                  </w:r>
                  <w:r>
                    <w:rPr>
                      <w:color w:val="auto"/>
                      <w:szCs w:val="21"/>
                    </w:rPr>
                    <w:t>km</w:t>
                  </w:r>
                </w:p>
              </w:tc>
            </w:tr>
          </w:tbl>
          <w:p w14:paraId="208E686C">
            <w:pPr>
              <w:adjustRightInd w:val="0"/>
              <w:snapToGrid w:val="0"/>
              <w:spacing w:line="360" w:lineRule="auto"/>
              <w:ind w:firstLine="420" w:firstLineChars="200"/>
              <w:rPr>
                <w:color w:val="auto"/>
                <w:kern w:val="0"/>
                <w:szCs w:val="21"/>
              </w:rPr>
            </w:pPr>
          </w:p>
          <w:p w14:paraId="746986EE">
            <w:pPr>
              <w:adjustRightInd w:val="0"/>
              <w:snapToGrid w:val="0"/>
              <w:spacing w:line="360" w:lineRule="auto"/>
              <w:ind w:firstLine="420" w:firstLineChars="200"/>
              <w:rPr>
                <w:color w:val="auto"/>
                <w:kern w:val="0"/>
                <w:szCs w:val="21"/>
              </w:rPr>
            </w:pPr>
          </w:p>
        </w:tc>
      </w:tr>
    </w:tbl>
    <w:p w14:paraId="2A3A4331">
      <w:pPr>
        <w:tabs>
          <w:tab w:val="left" w:pos="720"/>
        </w:tabs>
        <w:adjustRightInd w:val="0"/>
        <w:snapToGrid w:val="0"/>
        <w:spacing w:line="360" w:lineRule="auto"/>
        <w:ind w:firstLine="482" w:firstLineChars="200"/>
        <w:rPr>
          <w:b/>
          <w:color w:val="auto"/>
          <w:sz w:val="24"/>
        </w:rPr>
      </w:pPr>
    </w:p>
    <w:p w14:paraId="103B6C7A">
      <w:pPr>
        <w:tabs>
          <w:tab w:val="left" w:pos="720"/>
        </w:tabs>
        <w:adjustRightInd w:val="0"/>
        <w:snapToGrid w:val="0"/>
        <w:spacing w:line="360" w:lineRule="auto"/>
        <w:ind w:firstLine="482" w:firstLineChars="200"/>
        <w:rPr>
          <w:b/>
          <w:color w:val="auto"/>
          <w:sz w:val="24"/>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31"/>
      </w:tblGrid>
      <w:tr w14:paraId="2BF39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5" w:hRule="atLeast"/>
          <w:jc w:val="center"/>
        </w:trPr>
        <w:tc>
          <w:tcPr>
            <w:tcW w:w="439" w:type="dxa"/>
            <w:vAlign w:val="center"/>
          </w:tcPr>
          <w:p w14:paraId="4EDBCD9C">
            <w:pPr>
              <w:autoSpaceDE w:val="0"/>
              <w:autoSpaceDN w:val="0"/>
              <w:adjustRightInd w:val="0"/>
              <w:snapToGrid w:val="0"/>
              <w:jc w:val="center"/>
              <w:rPr>
                <w:color w:val="auto"/>
                <w:kern w:val="0"/>
                <w:szCs w:val="21"/>
              </w:rPr>
            </w:pPr>
            <w:r>
              <w:rPr>
                <w:color w:val="auto"/>
                <w:kern w:val="0"/>
                <w:sz w:val="24"/>
              </w:rPr>
              <w:t>其他符合性分析</w:t>
            </w:r>
          </w:p>
        </w:tc>
        <w:tc>
          <w:tcPr>
            <w:tcW w:w="8431" w:type="dxa"/>
            <w:vAlign w:val="center"/>
          </w:tcPr>
          <w:p w14:paraId="794389E8">
            <w:pPr>
              <w:adjustRightInd w:val="0"/>
              <w:snapToGrid w:val="0"/>
              <w:spacing w:line="360" w:lineRule="auto"/>
              <w:ind w:firstLine="480" w:firstLineChars="200"/>
              <w:rPr>
                <w:color w:val="auto"/>
                <w:sz w:val="24"/>
              </w:rPr>
            </w:pPr>
            <w:r>
              <w:rPr>
                <w:color w:val="auto"/>
                <w:sz w:val="24"/>
              </w:rPr>
              <w:t>由表1-</w:t>
            </w:r>
            <w:r>
              <w:rPr>
                <w:rFonts w:hint="eastAsia"/>
                <w:color w:val="auto"/>
                <w:sz w:val="24"/>
              </w:rPr>
              <w:t>2</w:t>
            </w:r>
            <w:r>
              <w:rPr>
                <w:color w:val="auto"/>
                <w:sz w:val="24"/>
              </w:rPr>
              <w:t>可知，本项目不在生态空间管控区域范围内，不会导致辖区内生态空间管控区域生态服务功能下降。因此，本项目的建设与《省政府关于印发江苏省国家级生态保护红线规划的通知》（苏政发</w:t>
            </w:r>
            <w:r>
              <w:rPr>
                <w:rFonts w:hint="eastAsia"/>
                <w:color w:val="auto"/>
                <w:sz w:val="24"/>
                <w:lang w:eastAsia="zh-CN"/>
              </w:rPr>
              <w:t>〔2018〕74号</w:t>
            </w:r>
            <w:r>
              <w:rPr>
                <w:color w:val="auto"/>
                <w:sz w:val="24"/>
              </w:rPr>
              <w:t>文）和《江苏省人民政府关于印发江苏省生态空间管控区域规划的通知》（苏政发〔2020〕1号）相符。本项目与江苏省生态空间管控区域位置关系见</w:t>
            </w:r>
            <w:r>
              <w:rPr>
                <w:b/>
                <w:bCs/>
                <w:color w:val="auto"/>
                <w:sz w:val="24"/>
              </w:rPr>
              <w:t>附图</w:t>
            </w:r>
            <w:r>
              <w:rPr>
                <w:rFonts w:hint="eastAsia"/>
                <w:color w:val="auto"/>
                <w:sz w:val="24"/>
              </w:rPr>
              <w:t>4</w:t>
            </w:r>
            <w:r>
              <w:rPr>
                <w:color w:val="auto"/>
                <w:sz w:val="24"/>
              </w:rPr>
              <w:t>。</w:t>
            </w:r>
          </w:p>
          <w:p w14:paraId="72C75D57">
            <w:pPr>
              <w:adjustRightInd w:val="0"/>
              <w:snapToGrid w:val="0"/>
              <w:spacing w:line="360" w:lineRule="auto"/>
              <w:ind w:firstLine="480" w:firstLineChars="200"/>
              <w:rPr>
                <w:color w:val="auto"/>
                <w:sz w:val="24"/>
              </w:rPr>
            </w:pPr>
            <w:r>
              <w:rPr>
                <w:color w:val="auto"/>
                <w:sz w:val="24"/>
              </w:rPr>
              <w:t>②与省、市</w:t>
            </w:r>
            <w:r>
              <w:rPr>
                <w:rFonts w:hint="eastAsia"/>
                <w:color w:val="auto"/>
                <w:sz w:val="24"/>
              </w:rPr>
              <w:t>“</w:t>
            </w:r>
            <w:r>
              <w:rPr>
                <w:color w:val="auto"/>
                <w:sz w:val="24"/>
              </w:rPr>
              <w:t>三线一单</w:t>
            </w:r>
            <w:r>
              <w:rPr>
                <w:rFonts w:hint="eastAsia"/>
                <w:color w:val="auto"/>
                <w:sz w:val="24"/>
              </w:rPr>
              <w:t>”</w:t>
            </w:r>
            <w:r>
              <w:rPr>
                <w:color w:val="auto"/>
                <w:sz w:val="24"/>
              </w:rPr>
              <w:t>生态环境分区管控方案相符性分析</w:t>
            </w:r>
          </w:p>
          <w:p w14:paraId="78F176D5">
            <w:pPr>
              <w:pStyle w:val="2"/>
              <w:spacing w:line="360" w:lineRule="auto"/>
              <w:ind w:firstLine="480"/>
              <w:rPr>
                <w:rFonts w:ascii="Times New Roman" w:cs="Times New Roman"/>
                <w:bCs/>
                <w:color w:val="auto"/>
              </w:rPr>
            </w:pPr>
            <w:r>
              <w:rPr>
                <w:rFonts w:hint="eastAsia" w:ascii="Times New Roman" w:cs="Times New Roman"/>
                <w:bCs/>
                <w:color w:val="auto"/>
              </w:rPr>
              <w:t>a.与江苏省《关于印发江苏省“三线一单”生态环境分区管控方案的通知》（苏政发〔2020〕49号）及《江苏省2023年度生态环境分区管控动态更新成果公告》相符性分析</w:t>
            </w:r>
          </w:p>
          <w:p w14:paraId="33324520">
            <w:pPr>
              <w:pStyle w:val="2"/>
              <w:spacing w:line="360" w:lineRule="auto"/>
              <w:ind w:firstLine="480"/>
              <w:rPr>
                <w:rFonts w:ascii="Times New Roman" w:cs="Times New Roman"/>
                <w:bCs/>
                <w:color w:val="auto"/>
              </w:rPr>
            </w:pPr>
            <w:r>
              <w:rPr>
                <w:rFonts w:hint="eastAsia" w:ascii="Times New Roman" w:cs="Times New Roman"/>
                <w:bCs/>
                <w:color w:val="auto"/>
              </w:rPr>
              <w:t>本项目与江苏省《关于印发江苏省“三线一单”生态环境分区管控方案的通知》（苏政发〔2020〕49号）及《江苏省2023年度生态环境分区管控动态更新成果公告》相符性分析见表1-3。本项目位于江苏淮安（涟水）空港产业园，与《江苏省2023年度生态环境分区管控动态更新成果公告》中“江苏省环境管控单元图”位置关系见</w:t>
            </w:r>
            <w:r>
              <w:rPr>
                <w:rFonts w:hint="eastAsia" w:ascii="Times New Roman" w:cs="Times New Roman"/>
                <w:b/>
                <w:color w:val="auto"/>
              </w:rPr>
              <w:t>附图</w:t>
            </w:r>
            <w:r>
              <w:rPr>
                <w:rFonts w:hint="eastAsia" w:ascii="Times New Roman" w:cs="Times New Roman"/>
                <w:bCs/>
                <w:color w:val="auto"/>
              </w:rPr>
              <w:t>7。江苏省生态环境分区管控综合查询报告书见附件1。</w:t>
            </w:r>
          </w:p>
          <w:p w14:paraId="06F041DC">
            <w:pPr>
              <w:tabs>
                <w:tab w:val="left" w:pos="720"/>
              </w:tabs>
              <w:adjustRightInd w:val="0"/>
              <w:snapToGrid w:val="0"/>
              <w:spacing w:line="360" w:lineRule="auto"/>
              <w:ind w:firstLine="422"/>
              <w:jc w:val="center"/>
              <w:rPr>
                <w:b/>
                <w:color w:val="auto"/>
              </w:rPr>
            </w:pPr>
            <w:r>
              <w:rPr>
                <w:b/>
                <w:color w:val="auto"/>
                <w:sz w:val="24"/>
                <w:szCs w:val="32"/>
              </w:rPr>
              <w:t>表1-</w:t>
            </w:r>
            <w:r>
              <w:rPr>
                <w:rFonts w:hint="eastAsia"/>
                <w:b/>
                <w:color w:val="auto"/>
                <w:sz w:val="24"/>
                <w:szCs w:val="32"/>
              </w:rPr>
              <w:t>3</w:t>
            </w:r>
            <w:r>
              <w:rPr>
                <w:b/>
                <w:color w:val="auto"/>
                <w:sz w:val="24"/>
                <w:szCs w:val="32"/>
              </w:rPr>
              <w:t>与江苏省“三线一单”生态环境分区管控方案相符性分析</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4655"/>
              <w:gridCol w:w="2508"/>
              <w:gridCol w:w="496"/>
            </w:tblGrid>
            <w:tr w14:paraId="3B3E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tcBorders>
                  <w:vAlign w:val="center"/>
                </w:tcPr>
                <w:p w14:paraId="172C87C2">
                  <w:pPr>
                    <w:jc w:val="center"/>
                    <w:rPr>
                      <w:b/>
                      <w:color w:val="auto"/>
                      <w:szCs w:val="21"/>
                    </w:rPr>
                  </w:pPr>
                  <w:r>
                    <w:rPr>
                      <w:b/>
                      <w:color w:val="auto"/>
                      <w:szCs w:val="21"/>
                    </w:rPr>
                    <w:t>管控类别</w:t>
                  </w:r>
                </w:p>
              </w:tc>
              <w:tc>
                <w:tcPr>
                  <w:tcW w:w="4655" w:type="dxa"/>
                  <w:tcBorders>
                    <w:top w:val="single" w:color="auto" w:sz="12" w:space="0"/>
                  </w:tcBorders>
                  <w:vAlign w:val="center"/>
                </w:tcPr>
                <w:p w14:paraId="18A328A6">
                  <w:pPr>
                    <w:jc w:val="center"/>
                    <w:rPr>
                      <w:b/>
                      <w:color w:val="auto"/>
                      <w:szCs w:val="21"/>
                    </w:rPr>
                  </w:pPr>
                  <w:r>
                    <w:rPr>
                      <w:b/>
                      <w:color w:val="auto"/>
                      <w:szCs w:val="21"/>
                    </w:rPr>
                    <w:t>重点管控要求</w:t>
                  </w:r>
                </w:p>
              </w:tc>
              <w:tc>
                <w:tcPr>
                  <w:tcW w:w="2508" w:type="dxa"/>
                  <w:vMerge w:val="restart"/>
                  <w:tcBorders>
                    <w:top w:val="single" w:color="auto" w:sz="12" w:space="0"/>
                  </w:tcBorders>
                  <w:vAlign w:val="center"/>
                </w:tcPr>
                <w:p w14:paraId="62625ADB">
                  <w:pPr>
                    <w:jc w:val="center"/>
                    <w:rPr>
                      <w:b/>
                      <w:color w:val="auto"/>
                      <w:szCs w:val="21"/>
                    </w:rPr>
                  </w:pPr>
                  <w:r>
                    <w:rPr>
                      <w:b/>
                      <w:color w:val="auto"/>
                      <w:szCs w:val="21"/>
                    </w:rPr>
                    <w:t>本项目建设情况</w:t>
                  </w:r>
                </w:p>
              </w:tc>
              <w:tc>
                <w:tcPr>
                  <w:tcW w:w="0" w:type="auto"/>
                  <w:vMerge w:val="restart"/>
                  <w:tcBorders>
                    <w:top w:val="single" w:color="auto" w:sz="12" w:space="0"/>
                    <w:right w:val="nil"/>
                  </w:tcBorders>
                  <w:vAlign w:val="center"/>
                </w:tcPr>
                <w:p w14:paraId="05394F60">
                  <w:pPr>
                    <w:jc w:val="center"/>
                    <w:rPr>
                      <w:b/>
                      <w:color w:val="auto"/>
                      <w:szCs w:val="21"/>
                    </w:rPr>
                  </w:pPr>
                  <w:r>
                    <w:rPr>
                      <w:b/>
                      <w:color w:val="auto"/>
                      <w:szCs w:val="21"/>
                    </w:rPr>
                    <w:t>相符性分析</w:t>
                  </w:r>
                </w:p>
              </w:tc>
            </w:tr>
            <w:tr w14:paraId="46B1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1" w:type="dxa"/>
                  <w:gridSpan w:val="2"/>
                  <w:tcBorders>
                    <w:left w:val="nil"/>
                  </w:tcBorders>
                  <w:vAlign w:val="center"/>
                </w:tcPr>
                <w:p w14:paraId="2E6BCB33">
                  <w:pPr>
                    <w:jc w:val="center"/>
                    <w:rPr>
                      <w:b/>
                      <w:color w:val="auto"/>
                      <w:szCs w:val="21"/>
                    </w:rPr>
                  </w:pPr>
                  <w:r>
                    <w:rPr>
                      <w:b/>
                      <w:color w:val="auto"/>
                      <w:szCs w:val="21"/>
                    </w:rPr>
                    <w:t>三、淮河流域</w:t>
                  </w:r>
                </w:p>
              </w:tc>
              <w:tc>
                <w:tcPr>
                  <w:tcW w:w="2508" w:type="dxa"/>
                  <w:vMerge w:val="continue"/>
                  <w:vAlign w:val="center"/>
                </w:tcPr>
                <w:p w14:paraId="7099B5C5">
                  <w:pPr>
                    <w:jc w:val="center"/>
                    <w:rPr>
                      <w:b/>
                      <w:color w:val="auto"/>
                      <w:szCs w:val="21"/>
                    </w:rPr>
                  </w:pPr>
                </w:p>
              </w:tc>
              <w:tc>
                <w:tcPr>
                  <w:tcW w:w="0" w:type="auto"/>
                  <w:vMerge w:val="continue"/>
                  <w:tcBorders>
                    <w:right w:val="nil"/>
                  </w:tcBorders>
                  <w:vAlign w:val="center"/>
                </w:tcPr>
                <w:p w14:paraId="6154FDA5">
                  <w:pPr>
                    <w:jc w:val="center"/>
                    <w:rPr>
                      <w:b/>
                      <w:color w:val="auto"/>
                      <w:szCs w:val="21"/>
                    </w:rPr>
                  </w:pPr>
                </w:p>
              </w:tc>
            </w:tr>
            <w:tr w14:paraId="0F4C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40AB1373">
                  <w:pPr>
                    <w:jc w:val="center"/>
                    <w:rPr>
                      <w:color w:val="auto"/>
                      <w:szCs w:val="21"/>
                    </w:rPr>
                  </w:pPr>
                  <w:r>
                    <w:rPr>
                      <w:color w:val="auto"/>
                      <w:szCs w:val="21"/>
                    </w:rPr>
                    <w:t>空间布局约束</w:t>
                  </w:r>
                </w:p>
              </w:tc>
              <w:tc>
                <w:tcPr>
                  <w:tcW w:w="4655" w:type="dxa"/>
                  <w:vAlign w:val="center"/>
                </w:tcPr>
                <w:p w14:paraId="0783565F">
                  <w:pPr>
                    <w:jc w:val="center"/>
                    <w:rPr>
                      <w:color w:val="auto"/>
                      <w:szCs w:val="21"/>
                    </w:rPr>
                  </w:pPr>
                  <w:r>
                    <w:rPr>
                      <w:rFonts w:hint="eastAsia"/>
                      <w:color w:val="auto"/>
                      <w:szCs w:val="21"/>
                      <w:lang w:eastAsia="zh-CN"/>
                    </w:rPr>
                    <w:t>1.</w:t>
                  </w:r>
                  <w:r>
                    <w:rPr>
                      <w:color w:val="auto"/>
                      <w:szCs w:val="21"/>
                    </w:rPr>
                    <w:t>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Cs w:val="21"/>
                      <w:lang w:eastAsia="zh-CN"/>
                    </w:rPr>
                    <w:t>压延</w:t>
                  </w:r>
                  <w:r>
                    <w:rPr>
                      <w:color w:val="auto"/>
                      <w:szCs w:val="21"/>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2508" w:type="dxa"/>
                  <w:vAlign w:val="center"/>
                </w:tcPr>
                <w:p w14:paraId="7D910C03">
                  <w:pPr>
                    <w:jc w:val="center"/>
                    <w:rPr>
                      <w:color w:val="auto"/>
                      <w:szCs w:val="21"/>
                    </w:rPr>
                  </w:pPr>
                  <w:r>
                    <w:rPr>
                      <w:color w:val="auto"/>
                      <w:szCs w:val="21"/>
                    </w:rPr>
                    <w:t>本项目</w:t>
                  </w:r>
                  <w:r>
                    <w:rPr>
                      <w:rFonts w:hint="eastAsia"/>
                      <w:color w:val="auto"/>
                      <w:szCs w:val="21"/>
                    </w:rPr>
                    <w:t>为高端展示道具制造项目，</w:t>
                  </w:r>
                  <w:r>
                    <w:rPr>
                      <w:color w:val="auto"/>
                      <w:szCs w:val="21"/>
                    </w:rPr>
                    <w:t>不属于制革、化工、印染、电镀、酿造等污染严重的小型企业。本项目不位于通榆河一级保护区、二级保护区内。</w:t>
                  </w:r>
                </w:p>
              </w:tc>
              <w:tc>
                <w:tcPr>
                  <w:tcW w:w="0" w:type="auto"/>
                  <w:tcBorders>
                    <w:right w:val="nil"/>
                  </w:tcBorders>
                  <w:vAlign w:val="center"/>
                </w:tcPr>
                <w:p w14:paraId="55808B73">
                  <w:pPr>
                    <w:jc w:val="center"/>
                    <w:rPr>
                      <w:color w:val="auto"/>
                      <w:szCs w:val="21"/>
                    </w:rPr>
                  </w:pPr>
                  <w:r>
                    <w:rPr>
                      <w:color w:val="auto"/>
                      <w:szCs w:val="21"/>
                    </w:rPr>
                    <w:t>符合</w:t>
                  </w:r>
                </w:p>
              </w:tc>
            </w:tr>
            <w:tr w14:paraId="4972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0E3541B6">
                  <w:pPr>
                    <w:jc w:val="center"/>
                    <w:rPr>
                      <w:color w:val="auto"/>
                      <w:szCs w:val="21"/>
                    </w:rPr>
                  </w:pPr>
                  <w:r>
                    <w:rPr>
                      <w:color w:val="auto"/>
                      <w:szCs w:val="21"/>
                    </w:rPr>
                    <w:t>污染物排放管控</w:t>
                  </w:r>
                </w:p>
              </w:tc>
              <w:tc>
                <w:tcPr>
                  <w:tcW w:w="4655" w:type="dxa"/>
                  <w:vAlign w:val="center"/>
                </w:tcPr>
                <w:p w14:paraId="67165F43">
                  <w:pPr>
                    <w:jc w:val="center"/>
                    <w:rPr>
                      <w:color w:val="auto"/>
                      <w:szCs w:val="21"/>
                    </w:rPr>
                  </w:pPr>
                  <w:r>
                    <w:rPr>
                      <w:color w:val="auto"/>
                      <w:szCs w:val="21"/>
                    </w:rPr>
                    <w:t>按照《</w:t>
                  </w:r>
                  <w:r>
                    <w:rPr>
                      <w:rFonts w:hint="eastAsia"/>
                      <w:color w:val="auto"/>
                      <w:szCs w:val="21"/>
                      <w:lang w:eastAsia="zh-CN"/>
                    </w:rPr>
                    <w:t>淮河流域水污染防治暂行条例</w:t>
                  </w:r>
                  <w:r>
                    <w:rPr>
                      <w:color w:val="auto"/>
                      <w:szCs w:val="21"/>
                    </w:rPr>
                    <w:t>》实施排污总量控制制度。</w:t>
                  </w:r>
                </w:p>
              </w:tc>
              <w:tc>
                <w:tcPr>
                  <w:tcW w:w="2508" w:type="dxa"/>
                  <w:vAlign w:val="center"/>
                </w:tcPr>
                <w:p w14:paraId="07BF220E">
                  <w:pPr>
                    <w:jc w:val="center"/>
                    <w:rPr>
                      <w:color w:val="auto"/>
                      <w:szCs w:val="21"/>
                    </w:rPr>
                  </w:pPr>
                  <w:r>
                    <w:rPr>
                      <w:color w:val="auto"/>
                      <w:szCs w:val="21"/>
                    </w:rPr>
                    <w:t>本项目按照相关规定实施总量控制。</w:t>
                  </w:r>
                </w:p>
              </w:tc>
              <w:tc>
                <w:tcPr>
                  <w:tcW w:w="0" w:type="auto"/>
                  <w:tcBorders>
                    <w:right w:val="nil"/>
                  </w:tcBorders>
                  <w:vAlign w:val="center"/>
                </w:tcPr>
                <w:p w14:paraId="7ACA368C">
                  <w:pPr>
                    <w:jc w:val="center"/>
                    <w:rPr>
                      <w:color w:val="auto"/>
                      <w:szCs w:val="21"/>
                    </w:rPr>
                  </w:pPr>
                  <w:r>
                    <w:rPr>
                      <w:color w:val="auto"/>
                      <w:szCs w:val="21"/>
                    </w:rPr>
                    <w:t>符合</w:t>
                  </w:r>
                </w:p>
              </w:tc>
            </w:tr>
            <w:tr w14:paraId="2D9D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3A1A312D">
                  <w:pPr>
                    <w:jc w:val="center"/>
                    <w:rPr>
                      <w:color w:val="auto"/>
                      <w:szCs w:val="21"/>
                    </w:rPr>
                  </w:pPr>
                  <w:r>
                    <w:rPr>
                      <w:color w:val="auto"/>
                      <w:szCs w:val="21"/>
                    </w:rPr>
                    <w:t>环境风险防控</w:t>
                  </w:r>
                </w:p>
              </w:tc>
              <w:tc>
                <w:tcPr>
                  <w:tcW w:w="4655" w:type="dxa"/>
                  <w:vAlign w:val="center"/>
                </w:tcPr>
                <w:p w14:paraId="26276059">
                  <w:pPr>
                    <w:jc w:val="center"/>
                    <w:rPr>
                      <w:color w:val="auto"/>
                      <w:szCs w:val="21"/>
                    </w:rPr>
                  </w:pPr>
                  <w:r>
                    <w:rPr>
                      <w:color w:val="auto"/>
                      <w:szCs w:val="21"/>
                    </w:rPr>
                    <w:t>禁止运输剧毒化学品以及国家规定禁止通过内河运输的其他危险化学品的船舶进入通榆河及主要供水河道。</w:t>
                  </w:r>
                </w:p>
              </w:tc>
              <w:tc>
                <w:tcPr>
                  <w:tcW w:w="2508" w:type="dxa"/>
                  <w:vAlign w:val="center"/>
                </w:tcPr>
                <w:p w14:paraId="3C0CF314">
                  <w:pPr>
                    <w:jc w:val="center"/>
                    <w:rPr>
                      <w:color w:val="auto"/>
                      <w:szCs w:val="21"/>
                    </w:rPr>
                  </w:pPr>
                  <w:r>
                    <w:rPr>
                      <w:color w:val="auto"/>
                      <w:szCs w:val="21"/>
                    </w:rPr>
                    <w:t>本项目不涉及剧毒化学品和其他危险化学品，运输均为陆运，不涉及水运。</w:t>
                  </w:r>
                </w:p>
              </w:tc>
              <w:tc>
                <w:tcPr>
                  <w:tcW w:w="0" w:type="auto"/>
                  <w:tcBorders>
                    <w:right w:val="nil"/>
                  </w:tcBorders>
                  <w:vAlign w:val="center"/>
                </w:tcPr>
                <w:p w14:paraId="077ADCC0">
                  <w:pPr>
                    <w:jc w:val="center"/>
                    <w:rPr>
                      <w:color w:val="auto"/>
                      <w:szCs w:val="21"/>
                    </w:rPr>
                  </w:pPr>
                  <w:r>
                    <w:rPr>
                      <w:color w:val="auto"/>
                      <w:szCs w:val="21"/>
                    </w:rPr>
                    <w:t>符合</w:t>
                  </w:r>
                </w:p>
              </w:tc>
            </w:tr>
            <w:tr w14:paraId="4CE9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27FB7CDB">
                  <w:pPr>
                    <w:jc w:val="center"/>
                    <w:rPr>
                      <w:color w:val="auto"/>
                      <w:szCs w:val="21"/>
                    </w:rPr>
                  </w:pPr>
                  <w:r>
                    <w:rPr>
                      <w:color w:val="auto"/>
                      <w:szCs w:val="21"/>
                    </w:rPr>
                    <w:t>资源利用效率要求</w:t>
                  </w:r>
                </w:p>
              </w:tc>
              <w:tc>
                <w:tcPr>
                  <w:tcW w:w="4655" w:type="dxa"/>
                  <w:vAlign w:val="center"/>
                </w:tcPr>
                <w:p w14:paraId="288DFD0B">
                  <w:pPr>
                    <w:jc w:val="center"/>
                    <w:rPr>
                      <w:color w:val="auto"/>
                      <w:szCs w:val="21"/>
                    </w:rPr>
                  </w:pPr>
                  <w:r>
                    <w:rPr>
                      <w:color w:val="auto"/>
                      <w:szCs w:val="21"/>
                    </w:rPr>
                    <w:t>限制缺水地区发</w:t>
                  </w:r>
                  <w:r>
                    <w:rPr>
                      <w:rFonts w:hint="eastAsia"/>
                      <w:color w:val="auto"/>
                    </w:rPr>
                    <w:t>展</w:t>
                  </w:r>
                  <w:r>
                    <w:rPr>
                      <w:color w:val="auto"/>
                      <w:szCs w:val="21"/>
                    </w:rPr>
                    <w:t>耗水型产业，调整缺水地区的产业结构，严格控制高耗水、高耗能和重污染的建设项目。</w:t>
                  </w:r>
                </w:p>
              </w:tc>
              <w:tc>
                <w:tcPr>
                  <w:tcW w:w="2508" w:type="dxa"/>
                  <w:vAlign w:val="center"/>
                </w:tcPr>
                <w:p w14:paraId="4435B962">
                  <w:pPr>
                    <w:jc w:val="center"/>
                    <w:rPr>
                      <w:color w:val="auto"/>
                      <w:szCs w:val="21"/>
                    </w:rPr>
                  </w:pPr>
                  <w:r>
                    <w:rPr>
                      <w:color w:val="auto"/>
                      <w:szCs w:val="21"/>
                    </w:rPr>
                    <w:t>本项目不属于高耗水、高耗能和重污染的建设项目。</w:t>
                  </w:r>
                </w:p>
              </w:tc>
              <w:tc>
                <w:tcPr>
                  <w:tcW w:w="0" w:type="auto"/>
                  <w:tcBorders>
                    <w:right w:val="nil"/>
                  </w:tcBorders>
                  <w:vAlign w:val="center"/>
                </w:tcPr>
                <w:p w14:paraId="77C68BE0">
                  <w:pPr>
                    <w:jc w:val="center"/>
                    <w:rPr>
                      <w:color w:val="auto"/>
                      <w:szCs w:val="21"/>
                    </w:rPr>
                  </w:pPr>
                  <w:r>
                    <w:rPr>
                      <w:color w:val="auto"/>
                      <w:szCs w:val="21"/>
                    </w:rPr>
                    <w:t>符合</w:t>
                  </w:r>
                </w:p>
              </w:tc>
            </w:tr>
            <w:tr w14:paraId="7AD0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tcBorders>
                    <w:left w:val="nil"/>
                    <w:right w:val="nil"/>
                  </w:tcBorders>
                  <w:vAlign w:val="center"/>
                </w:tcPr>
                <w:p w14:paraId="7F74A68C">
                  <w:pPr>
                    <w:jc w:val="center"/>
                    <w:rPr>
                      <w:color w:val="auto"/>
                      <w:szCs w:val="21"/>
                    </w:rPr>
                  </w:pPr>
                  <w:r>
                    <w:rPr>
                      <w:b/>
                      <w:bCs/>
                      <w:color w:val="auto"/>
                      <w:szCs w:val="21"/>
                    </w:rPr>
                    <w:t>江苏省省域生态环境管控要求</w:t>
                  </w:r>
                </w:p>
              </w:tc>
            </w:tr>
            <w:tr w14:paraId="6E86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51418D3C">
                  <w:pPr>
                    <w:jc w:val="center"/>
                    <w:rPr>
                      <w:b/>
                      <w:color w:val="auto"/>
                      <w:szCs w:val="21"/>
                    </w:rPr>
                  </w:pPr>
                  <w:r>
                    <w:rPr>
                      <w:b/>
                      <w:color w:val="auto"/>
                      <w:szCs w:val="21"/>
                    </w:rPr>
                    <w:t>管控类别</w:t>
                  </w:r>
                </w:p>
              </w:tc>
              <w:tc>
                <w:tcPr>
                  <w:tcW w:w="4655" w:type="dxa"/>
                  <w:vAlign w:val="center"/>
                </w:tcPr>
                <w:p w14:paraId="322B7C58">
                  <w:pPr>
                    <w:jc w:val="center"/>
                    <w:rPr>
                      <w:b/>
                      <w:color w:val="auto"/>
                      <w:szCs w:val="21"/>
                    </w:rPr>
                  </w:pPr>
                  <w:r>
                    <w:rPr>
                      <w:b/>
                      <w:color w:val="auto"/>
                      <w:szCs w:val="21"/>
                    </w:rPr>
                    <w:t>重点管控要求</w:t>
                  </w:r>
                </w:p>
              </w:tc>
              <w:tc>
                <w:tcPr>
                  <w:tcW w:w="2508" w:type="dxa"/>
                  <w:vAlign w:val="center"/>
                </w:tcPr>
                <w:p w14:paraId="75F8FFCC">
                  <w:pPr>
                    <w:jc w:val="center"/>
                    <w:rPr>
                      <w:b/>
                      <w:color w:val="auto"/>
                      <w:szCs w:val="21"/>
                    </w:rPr>
                  </w:pPr>
                  <w:r>
                    <w:rPr>
                      <w:b/>
                      <w:color w:val="auto"/>
                      <w:szCs w:val="21"/>
                    </w:rPr>
                    <w:t>本项目建设情况</w:t>
                  </w:r>
                </w:p>
              </w:tc>
              <w:tc>
                <w:tcPr>
                  <w:tcW w:w="0" w:type="auto"/>
                  <w:tcBorders>
                    <w:right w:val="nil"/>
                  </w:tcBorders>
                  <w:vAlign w:val="center"/>
                </w:tcPr>
                <w:p w14:paraId="7303858D">
                  <w:pPr>
                    <w:jc w:val="center"/>
                    <w:rPr>
                      <w:b/>
                      <w:color w:val="auto"/>
                      <w:szCs w:val="21"/>
                    </w:rPr>
                  </w:pPr>
                  <w:r>
                    <w:rPr>
                      <w:b/>
                      <w:color w:val="auto"/>
                      <w:szCs w:val="21"/>
                    </w:rPr>
                    <w:t>相符性分析</w:t>
                  </w:r>
                </w:p>
              </w:tc>
            </w:tr>
            <w:tr w14:paraId="7F4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47AA3E88">
                  <w:pPr>
                    <w:jc w:val="center"/>
                    <w:rPr>
                      <w:b/>
                      <w:color w:val="auto"/>
                      <w:szCs w:val="21"/>
                    </w:rPr>
                  </w:pPr>
                  <w:r>
                    <w:rPr>
                      <w:color w:val="auto"/>
                      <w:szCs w:val="21"/>
                    </w:rPr>
                    <w:t>空间布局约束</w:t>
                  </w:r>
                </w:p>
              </w:tc>
              <w:tc>
                <w:tcPr>
                  <w:tcW w:w="4655" w:type="dxa"/>
                  <w:vAlign w:val="center"/>
                </w:tcPr>
                <w:p w14:paraId="358CC471">
                  <w:pPr>
                    <w:jc w:val="center"/>
                    <w:rPr>
                      <w:b/>
                      <w:color w:val="auto"/>
                      <w:szCs w:val="21"/>
                    </w:rPr>
                  </w:pPr>
                  <w:r>
                    <w:rPr>
                      <w:rFonts w:hint="eastAsia"/>
                      <w:color w:val="auto"/>
                      <w:szCs w:val="21"/>
                      <w:lang w:eastAsia="zh-CN"/>
                    </w:rPr>
                    <w:t>1.</w:t>
                  </w:r>
                  <w:r>
                    <w:rPr>
                      <w:color w:val="auto"/>
                      <w:szCs w:val="21"/>
                    </w:rPr>
                    <w:t>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olor w:val="auto"/>
                      <w:szCs w:val="21"/>
                      <w:lang w:eastAsia="zh-CN"/>
                    </w:rPr>
                    <w:t>〔2023〕880号</w:t>
                  </w:r>
                  <w:r>
                    <w:rPr>
                      <w:color w:val="auto"/>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2．牢牢把握推动长江经济带发展“</w:t>
                  </w:r>
                  <w:r>
                    <w:rPr>
                      <w:rFonts w:hint="eastAsia"/>
                      <w:color w:val="auto"/>
                      <w:szCs w:val="21"/>
                      <w:lang w:eastAsia="zh-CN"/>
                    </w:rPr>
                    <w:t>共抓大保护、不搞大开发</w:t>
                  </w:r>
                  <w:r>
                    <w:rPr>
                      <w:color w:val="auto"/>
                      <w:szCs w:val="21"/>
                    </w:rPr>
                    <w:t>”战略导向，对省域范围内需要重点保护的岸线、河段和区域实行严格管控，管住控好排放量大、耗能高、产能过剩的产业，推动长江经济带高质量发展。3．大幅压减沿长江干支流两侧1公里范围内、环境敏感区域、城镇人口密集区、化工园区外和规模以下化工生产企业，着力破解“重化围江”突出问题，高起点同步推进沿江地区战略性转型和沿海地区战略性布局。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5．对列入国家和省规划，涉及生态保护红线和相关法定保护区的</w:t>
                  </w:r>
                  <w:r>
                    <w:rPr>
                      <w:rFonts w:hint="eastAsia"/>
                      <w:color w:val="auto"/>
                      <w:szCs w:val="21"/>
                      <w:lang w:eastAsia="zh-CN"/>
                    </w:rPr>
                    <w:t>重要民生项目</w:t>
                  </w:r>
                  <w:r>
                    <w:rPr>
                      <w:color w:val="auto"/>
                      <w:szCs w:val="21"/>
                    </w:rPr>
                    <w:t>、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2508" w:type="dxa"/>
                  <w:vAlign w:val="center"/>
                </w:tcPr>
                <w:p w14:paraId="50CC7734">
                  <w:pPr>
                    <w:jc w:val="center"/>
                    <w:rPr>
                      <w:bCs/>
                      <w:color w:val="auto"/>
                      <w:szCs w:val="21"/>
                    </w:rPr>
                  </w:pPr>
                  <w:r>
                    <w:rPr>
                      <w:rFonts w:hint="eastAsia"/>
                      <w:bCs/>
                      <w:color w:val="auto"/>
                      <w:szCs w:val="21"/>
                    </w:rPr>
                    <w:t>1、本项目位于江苏省淮安市涟水县经济开发区蒋庵东路东侧、清涟大道北侧，不占用生态保护红线；2、本企业不属于</w:t>
                  </w:r>
                  <w:r>
                    <w:rPr>
                      <w:color w:val="auto"/>
                      <w:szCs w:val="21"/>
                    </w:rPr>
                    <w:t>高耗水、高耗能和重污染的建设项目</w:t>
                  </w:r>
                  <w:r>
                    <w:rPr>
                      <w:rFonts w:hint="eastAsia"/>
                      <w:color w:val="auto"/>
                      <w:szCs w:val="21"/>
                    </w:rPr>
                    <w:t>；3、本项目不属于</w:t>
                  </w:r>
                  <w:r>
                    <w:rPr>
                      <w:color w:val="auto"/>
                      <w:szCs w:val="21"/>
                    </w:rPr>
                    <w:t>沿长江干支流两侧1公里范围内、环境敏感区域、城镇人口密集区、化工园区外和规模以下化工生产企业</w:t>
                  </w:r>
                  <w:r>
                    <w:rPr>
                      <w:rFonts w:hint="eastAsia"/>
                      <w:color w:val="auto"/>
                      <w:szCs w:val="21"/>
                    </w:rPr>
                    <w:t>；4、本项目不属于钢铁行业；5、本项目不属于列入国家和省规划，涉及生态保护红线和相关法定保护区的</w:t>
                  </w:r>
                  <w:r>
                    <w:rPr>
                      <w:rFonts w:hint="eastAsia"/>
                      <w:color w:val="auto"/>
                      <w:szCs w:val="21"/>
                      <w:lang w:eastAsia="zh-CN"/>
                    </w:rPr>
                    <w:t>重要民生项目</w:t>
                  </w:r>
                  <w:r>
                    <w:rPr>
                      <w:rFonts w:hint="eastAsia"/>
                      <w:color w:val="auto"/>
                      <w:szCs w:val="21"/>
                    </w:rPr>
                    <w:t>、重大基础设施项目。</w:t>
                  </w:r>
                </w:p>
              </w:tc>
              <w:tc>
                <w:tcPr>
                  <w:tcW w:w="0" w:type="auto"/>
                  <w:tcBorders>
                    <w:right w:val="nil"/>
                  </w:tcBorders>
                  <w:vAlign w:val="center"/>
                </w:tcPr>
                <w:p w14:paraId="55D74808">
                  <w:pPr>
                    <w:jc w:val="center"/>
                    <w:rPr>
                      <w:bCs/>
                      <w:color w:val="auto"/>
                      <w:szCs w:val="21"/>
                    </w:rPr>
                  </w:pPr>
                  <w:r>
                    <w:rPr>
                      <w:color w:val="auto"/>
                      <w:szCs w:val="21"/>
                    </w:rPr>
                    <w:t>符合</w:t>
                  </w:r>
                </w:p>
              </w:tc>
            </w:tr>
            <w:tr w14:paraId="4EF9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2D12176A">
                  <w:pPr>
                    <w:jc w:val="center"/>
                    <w:rPr>
                      <w:b/>
                      <w:color w:val="auto"/>
                      <w:szCs w:val="21"/>
                    </w:rPr>
                  </w:pPr>
                  <w:r>
                    <w:rPr>
                      <w:color w:val="auto"/>
                      <w:szCs w:val="21"/>
                    </w:rPr>
                    <w:t>污染物排放管控</w:t>
                  </w:r>
                </w:p>
              </w:tc>
              <w:tc>
                <w:tcPr>
                  <w:tcW w:w="4655" w:type="dxa"/>
                  <w:vAlign w:val="center"/>
                </w:tcPr>
                <w:p w14:paraId="44431E5E">
                  <w:pPr>
                    <w:jc w:val="center"/>
                    <w:rPr>
                      <w:b/>
                      <w:color w:val="auto"/>
                      <w:szCs w:val="21"/>
                    </w:rPr>
                  </w:pPr>
                  <w:r>
                    <w:rPr>
                      <w:rFonts w:hint="eastAsia"/>
                      <w:color w:val="auto"/>
                      <w:szCs w:val="21"/>
                      <w:lang w:eastAsia="zh-CN"/>
                    </w:rPr>
                    <w:t>1.</w:t>
                  </w:r>
                  <w:r>
                    <w:rPr>
                      <w:color w:val="auto"/>
                      <w:szCs w:val="21"/>
                    </w:rPr>
                    <w:t>坚持生态环境质量只能更好、不能变坏，实施污染物总量控制，以环境容量定产业、定项目、定规模，确保开发建设行为不突破生态环境承载力。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color w:val="auto"/>
                      <w:szCs w:val="21"/>
                      <w:lang w:eastAsia="zh-CN"/>
                    </w:rPr>
                    <w:t>联防</w:t>
                  </w:r>
                  <w:r>
                    <w:rPr>
                      <w:color w:val="auto"/>
                      <w:szCs w:val="21"/>
                    </w:rPr>
                    <w:t>联控。</w:t>
                  </w:r>
                </w:p>
              </w:tc>
              <w:tc>
                <w:tcPr>
                  <w:tcW w:w="2508" w:type="dxa"/>
                  <w:vAlign w:val="center"/>
                </w:tcPr>
                <w:p w14:paraId="3F6ACE12">
                  <w:pPr>
                    <w:jc w:val="center"/>
                    <w:rPr>
                      <w:bCs/>
                      <w:color w:val="auto"/>
                      <w:szCs w:val="21"/>
                    </w:rPr>
                  </w:pPr>
                  <w:r>
                    <w:rPr>
                      <w:rFonts w:hint="eastAsia" w:ascii="宋体" w:hAnsi="宋体" w:cs="宋体"/>
                      <w:bCs/>
                      <w:color w:val="auto"/>
                      <w:szCs w:val="21"/>
                    </w:rPr>
                    <w:t>1、本项目废气、废水污染物在区域内平衡，不突破区域生态环境承载力；2、本项目不是</w:t>
                  </w:r>
                  <w:r>
                    <w:rPr>
                      <w:rFonts w:hint="eastAsia" w:ascii="宋体" w:hAnsi="宋体" w:cs="宋体"/>
                      <w:color w:val="auto"/>
                      <w:szCs w:val="21"/>
                    </w:rPr>
                    <w:t>主要高耗能行业。</w:t>
                  </w:r>
                </w:p>
              </w:tc>
              <w:tc>
                <w:tcPr>
                  <w:tcW w:w="0" w:type="auto"/>
                  <w:tcBorders>
                    <w:right w:val="nil"/>
                  </w:tcBorders>
                  <w:vAlign w:val="center"/>
                </w:tcPr>
                <w:p w14:paraId="465883E5">
                  <w:pPr>
                    <w:jc w:val="center"/>
                    <w:rPr>
                      <w:bCs/>
                      <w:color w:val="auto"/>
                      <w:szCs w:val="21"/>
                    </w:rPr>
                  </w:pPr>
                  <w:r>
                    <w:rPr>
                      <w:color w:val="auto"/>
                      <w:szCs w:val="21"/>
                    </w:rPr>
                    <w:t>符合</w:t>
                  </w:r>
                </w:p>
              </w:tc>
            </w:tr>
            <w:tr w14:paraId="3D27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17F04234">
                  <w:pPr>
                    <w:jc w:val="center"/>
                    <w:rPr>
                      <w:b/>
                      <w:color w:val="auto"/>
                      <w:szCs w:val="21"/>
                    </w:rPr>
                  </w:pPr>
                  <w:r>
                    <w:rPr>
                      <w:color w:val="auto"/>
                      <w:szCs w:val="21"/>
                    </w:rPr>
                    <w:t>环境风险防控</w:t>
                  </w:r>
                </w:p>
              </w:tc>
              <w:tc>
                <w:tcPr>
                  <w:tcW w:w="4655" w:type="dxa"/>
                  <w:vAlign w:val="center"/>
                </w:tcPr>
                <w:p w14:paraId="28B8B8EA">
                  <w:pPr>
                    <w:jc w:val="center"/>
                    <w:rPr>
                      <w:b/>
                      <w:color w:val="auto"/>
                      <w:szCs w:val="21"/>
                    </w:rPr>
                  </w:pPr>
                  <w:r>
                    <w:rPr>
                      <w:rFonts w:hint="eastAsia"/>
                      <w:color w:val="auto"/>
                      <w:szCs w:val="21"/>
                      <w:lang w:eastAsia="zh-CN"/>
                    </w:rPr>
                    <w:t>1.</w:t>
                  </w:r>
                  <w:r>
                    <w:rPr>
                      <w:color w:val="auto"/>
                      <w:szCs w:val="21"/>
                    </w:rPr>
                    <w:t>强化饮用水水源环境风险管控。县级以上城市全部建成应急水源或双源供水。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3．强化环境事故应急管理。深化跨部门、跨区域环境应急协调联动，分区域建立环境应急物资储备库。各级工业园区（集聚区）和企业的环境应急装备和储备物资应纳入储备体系。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2508" w:type="dxa"/>
                  <w:vAlign w:val="center"/>
                </w:tcPr>
                <w:p w14:paraId="66F14CD1">
                  <w:pPr>
                    <w:jc w:val="center"/>
                    <w:rPr>
                      <w:bCs/>
                      <w:color w:val="auto"/>
                      <w:szCs w:val="21"/>
                    </w:rPr>
                  </w:pPr>
                  <w:r>
                    <w:rPr>
                      <w:rFonts w:hint="eastAsia"/>
                      <w:bCs/>
                      <w:color w:val="auto"/>
                      <w:szCs w:val="21"/>
                      <w:lang w:eastAsia="zh-CN"/>
                    </w:rPr>
                    <w:t>1.。</w:t>
                  </w:r>
                  <w:r>
                    <w:rPr>
                      <w:bCs/>
                      <w:color w:val="auto"/>
                      <w:szCs w:val="21"/>
                    </w:rPr>
                    <w:t>本项目不涉及饮用水水源保护区；2</w:t>
                  </w:r>
                  <w:r>
                    <w:rPr>
                      <w:rFonts w:hint="eastAsia"/>
                      <w:bCs/>
                      <w:color w:val="auto"/>
                      <w:szCs w:val="21"/>
                    </w:rPr>
                    <w:t>、</w:t>
                  </w:r>
                  <w:r>
                    <w:rPr>
                      <w:bCs/>
                      <w:color w:val="auto"/>
                      <w:szCs w:val="21"/>
                    </w:rPr>
                    <w:t>建设单位已按照相关要求建立环境风险防控措施，降低对周边水环境的风险，本项目严格执行转移联单制度；3</w:t>
                  </w:r>
                  <w:r>
                    <w:rPr>
                      <w:rFonts w:hint="eastAsia"/>
                      <w:bCs/>
                      <w:color w:val="auto"/>
                      <w:szCs w:val="21"/>
                    </w:rPr>
                    <w:t>、</w:t>
                  </w:r>
                  <w:r>
                    <w:rPr>
                      <w:bCs/>
                      <w:color w:val="auto"/>
                      <w:szCs w:val="21"/>
                    </w:rPr>
                    <w:t>建设单位</w:t>
                  </w:r>
                  <w:r>
                    <w:rPr>
                      <w:rFonts w:hint="eastAsia"/>
                      <w:bCs/>
                      <w:color w:val="auto"/>
                      <w:szCs w:val="21"/>
                    </w:rPr>
                    <w:t>将</w:t>
                  </w:r>
                  <w:r>
                    <w:rPr>
                      <w:bCs/>
                      <w:color w:val="auto"/>
                      <w:szCs w:val="21"/>
                    </w:rPr>
                    <w:t>建立环境应急装备、储备物资和应急队伍；4、本项目应急装备、储备物资和应急队伍与园区有效衔接，实行突发环境风险预警联防联控。</w:t>
                  </w:r>
                </w:p>
              </w:tc>
              <w:tc>
                <w:tcPr>
                  <w:tcW w:w="0" w:type="auto"/>
                  <w:tcBorders>
                    <w:right w:val="nil"/>
                  </w:tcBorders>
                  <w:vAlign w:val="center"/>
                </w:tcPr>
                <w:p w14:paraId="7E5660A1">
                  <w:pPr>
                    <w:jc w:val="center"/>
                    <w:rPr>
                      <w:bCs/>
                      <w:color w:val="auto"/>
                      <w:szCs w:val="21"/>
                    </w:rPr>
                  </w:pPr>
                  <w:r>
                    <w:rPr>
                      <w:color w:val="auto"/>
                      <w:szCs w:val="21"/>
                    </w:rPr>
                    <w:t>符合</w:t>
                  </w:r>
                </w:p>
              </w:tc>
            </w:tr>
            <w:tr w14:paraId="6C40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bottom w:val="single" w:color="auto" w:sz="12" w:space="0"/>
                  </w:tcBorders>
                  <w:vAlign w:val="center"/>
                </w:tcPr>
                <w:p w14:paraId="73E6EB64">
                  <w:pPr>
                    <w:jc w:val="center"/>
                    <w:rPr>
                      <w:b/>
                      <w:color w:val="auto"/>
                      <w:szCs w:val="21"/>
                    </w:rPr>
                  </w:pPr>
                  <w:r>
                    <w:rPr>
                      <w:color w:val="auto"/>
                      <w:szCs w:val="21"/>
                    </w:rPr>
                    <w:t>资源利用效率要求</w:t>
                  </w:r>
                </w:p>
              </w:tc>
              <w:tc>
                <w:tcPr>
                  <w:tcW w:w="4655" w:type="dxa"/>
                  <w:tcBorders>
                    <w:bottom w:val="single" w:color="auto" w:sz="12" w:space="0"/>
                  </w:tcBorders>
                  <w:vAlign w:val="center"/>
                </w:tcPr>
                <w:p w14:paraId="194ED98E">
                  <w:pPr>
                    <w:jc w:val="center"/>
                    <w:rPr>
                      <w:b/>
                      <w:color w:val="auto"/>
                      <w:szCs w:val="21"/>
                    </w:rPr>
                  </w:pPr>
                  <w:r>
                    <w:rPr>
                      <w:rFonts w:hint="eastAsia"/>
                      <w:color w:val="auto"/>
                      <w:szCs w:val="21"/>
                      <w:lang w:eastAsia="zh-CN"/>
                    </w:rPr>
                    <w:t>1.</w:t>
                  </w:r>
                  <w:r>
                    <w:rPr>
                      <w:color w:val="auto"/>
                      <w:szCs w:val="21"/>
                    </w:rPr>
                    <w:t>水资源利用总量及效率要求：到2025年，全省用水总量控制在525.9亿立方米以内，万元地区生产总值用水量、万元工业增加值用水量下降完成国家下达目标，农田灌溉水有效利用系数提高到0.625。2．土地资源总量要求：到2025年，江苏省耕地保有量不低于5977万亩，其中永久基本农田保护面积不低于5344万亩。3．禁燃区要求：在禁燃区内，禁止销售、燃用高污染燃料；禁止新建、扩建燃用高污染燃料的设施，已建成的，应当在城市人民政府规定的期限内改用天然气、页岩气、液化石油气、</w:t>
                  </w:r>
                  <w:r>
                    <w:rPr>
                      <w:rFonts w:hint="eastAsia"/>
                      <w:color w:val="auto"/>
                      <w:szCs w:val="21"/>
                      <w:lang w:eastAsia="zh-CN"/>
                    </w:rPr>
                    <w:t>电力</w:t>
                  </w:r>
                  <w:r>
                    <w:rPr>
                      <w:color w:val="auto"/>
                      <w:szCs w:val="21"/>
                    </w:rPr>
                    <w:t>或者其他清洁能源。</w:t>
                  </w:r>
                </w:p>
              </w:tc>
              <w:tc>
                <w:tcPr>
                  <w:tcW w:w="2508" w:type="dxa"/>
                  <w:tcBorders>
                    <w:bottom w:val="single" w:color="auto" w:sz="12" w:space="0"/>
                  </w:tcBorders>
                  <w:vAlign w:val="center"/>
                </w:tcPr>
                <w:p w14:paraId="22F3BB88">
                  <w:pPr>
                    <w:pStyle w:val="3488"/>
                    <w:jc w:val="center"/>
                    <w:rPr>
                      <w:rFonts w:ascii="Times New Roman" w:hAnsi="Times New Roman"/>
                      <w:bCs/>
                      <w:color w:val="auto"/>
                      <w:sz w:val="21"/>
                      <w:szCs w:val="21"/>
                      <w:lang w:eastAsia="zh-CN"/>
                    </w:rPr>
                  </w:pPr>
                  <w:r>
                    <w:rPr>
                      <w:rFonts w:ascii="Times New Roman" w:hAnsi="Times New Roman"/>
                      <w:color w:val="auto"/>
                      <w:spacing w:val="-2"/>
                      <w:sz w:val="21"/>
                      <w:szCs w:val="21"/>
                      <w:lang w:eastAsia="zh-CN"/>
                    </w:rPr>
                    <w:t>1</w:t>
                  </w:r>
                  <w:r>
                    <w:rPr>
                      <w:rFonts w:hint="eastAsia" w:ascii="Times New Roman" w:hAnsi="Times New Roman"/>
                      <w:color w:val="auto"/>
                      <w:spacing w:val="-2"/>
                      <w:sz w:val="21"/>
                      <w:szCs w:val="21"/>
                      <w:lang w:eastAsia="zh-CN"/>
                    </w:rPr>
                    <w:t>、</w:t>
                  </w:r>
                  <w:r>
                    <w:rPr>
                      <w:rFonts w:ascii="Times New Roman" w:hAnsi="Times New Roman"/>
                      <w:color w:val="auto"/>
                      <w:spacing w:val="-2"/>
                      <w:sz w:val="21"/>
                      <w:szCs w:val="21"/>
                      <w:lang w:eastAsia="zh-CN"/>
                    </w:rPr>
                    <w:t>本项目用水由区域</w:t>
                  </w:r>
                  <w:r>
                    <w:rPr>
                      <w:rFonts w:ascii="Times New Roman" w:hAnsi="Times New Roman"/>
                      <w:color w:val="auto"/>
                      <w:spacing w:val="18"/>
                      <w:sz w:val="21"/>
                      <w:szCs w:val="21"/>
                      <w:lang w:eastAsia="zh-CN"/>
                    </w:rPr>
                    <w:t>供水管网供给，不突破水资源利用上</w:t>
                  </w:r>
                  <w:r>
                    <w:rPr>
                      <w:rFonts w:ascii="Times New Roman" w:hAnsi="Times New Roman"/>
                      <w:color w:val="auto"/>
                      <w:spacing w:val="-1"/>
                      <w:sz w:val="21"/>
                      <w:szCs w:val="21"/>
                      <w:lang w:eastAsia="zh-CN"/>
                    </w:rPr>
                    <w:t>限；</w:t>
                  </w:r>
                  <w:r>
                    <w:rPr>
                      <w:rFonts w:ascii="Times New Roman" w:hAnsi="Times New Roman"/>
                      <w:color w:val="auto"/>
                      <w:sz w:val="21"/>
                      <w:szCs w:val="21"/>
                      <w:lang w:eastAsia="zh-CN"/>
                    </w:rPr>
                    <w:t>2</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本项目用地性质为</w:t>
                  </w:r>
                  <w:r>
                    <w:rPr>
                      <w:rFonts w:ascii="Times New Roman" w:hAnsi="Times New Roman"/>
                      <w:color w:val="auto"/>
                      <w:spacing w:val="17"/>
                      <w:sz w:val="21"/>
                      <w:szCs w:val="21"/>
                      <w:lang w:eastAsia="zh-CN"/>
                    </w:rPr>
                    <w:t>工业用地，不占用</w:t>
                  </w:r>
                  <w:r>
                    <w:rPr>
                      <w:rFonts w:ascii="Times New Roman" w:hAnsi="Times New Roman"/>
                      <w:color w:val="auto"/>
                      <w:spacing w:val="-3"/>
                      <w:sz w:val="21"/>
                      <w:szCs w:val="21"/>
                      <w:lang w:eastAsia="zh-CN"/>
                    </w:rPr>
                    <w:t>永久基本农田；</w:t>
                  </w:r>
                  <w:r>
                    <w:rPr>
                      <w:rFonts w:ascii="Times New Roman" w:hAnsi="Times New Roman"/>
                      <w:color w:val="auto"/>
                      <w:spacing w:val="-1"/>
                      <w:sz w:val="21"/>
                      <w:szCs w:val="21"/>
                      <w:lang w:eastAsia="zh-CN"/>
                    </w:rPr>
                    <w:t>3</w:t>
                  </w:r>
                  <w:r>
                    <w:rPr>
                      <w:rFonts w:hint="eastAsia" w:ascii="Times New Roman" w:hAnsi="Times New Roman"/>
                      <w:color w:val="auto"/>
                      <w:spacing w:val="-1"/>
                      <w:sz w:val="21"/>
                      <w:szCs w:val="21"/>
                      <w:lang w:eastAsia="zh-CN"/>
                    </w:rPr>
                    <w:t>、</w:t>
                  </w:r>
                  <w:r>
                    <w:rPr>
                      <w:rFonts w:ascii="Times New Roman" w:hAnsi="Times New Roman"/>
                      <w:color w:val="auto"/>
                      <w:spacing w:val="-1"/>
                      <w:sz w:val="21"/>
                      <w:szCs w:val="21"/>
                      <w:lang w:eastAsia="zh-CN"/>
                    </w:rPr>
                    <w:t>本项目不涉及高污</w:t>
                  </w:r>
                  <w:r>
                    <w:rPr>
                      <w:rFonts w:ascii="Times New Roman" w:hAnsi="Times New Roman"/>
                      <w:color w:val="auto"/>
                      <w:spacing w:val="-3"/>
                      <w:sz w:val="21"/>
                      <w:szCs w:val="21"/>
                      <w:lang w:eastAsia="zh-CN"/>
                    </w:rPr>
                    <w:t>染燃料。</w:t>
                  </w:r>
                </w:p>
              </w:tc>
              <w:tc>
                <w:tcPr>
                  <w:tcW w:w="0" w:type="auto"/>
                  <w:tcBorders>
                    <w:bottom w:val="single" w:color="auto" w:sz="12" w:space="0"/>
                    <w:right w:val="nil"/>
                  </w:tcBorders>
                  <w:vAlign w:val="center"/>
                </w:tcPr>
                <w:p w14:paraId="69AF03B7">
                  <w:pPr>
                    <w:jc w:val="center"/>
                    <w:rPr>
                      <w:bCs/>
                      <w:color w:val="auto"/>
                      <w:szCs w:val="21"/>
                    </w:rPr>
                  </w:pPr>
                  <w:r>
                    <w:rPr>
                      <w:color w:val="auto"/>
                      <w:szCs w:val="21"/>
                    </w:rPr>
                    <w:t>符合</w:t>
                  </w:r>
                </w:p>
              </w:tc>
            </w:tr>
          </w:tbl>
          <w:p w14:paraId="4E4046DB">
            <w:pPr>
              <w:pStyle w:val="4"/>
              <w:adjustRightInd w:val="0"/>
              <w:snapToGrid w:val="0"/>
              <w:spacing w:after="0" w:line="360" w:lineRule="auto"/>
              <w:ind w:left="0" w:leftChars="0" w:firstLine="480"/>
              <w:rPr>
                <w:color w:val="auto"/>
                <w:sz w:val="24"/>
                <w:szCs w:val="32"/>
              </w:rPr>
            </w:pPr>
            <w:r>
              <w:rPr>
                <w:rFonts w:hint="eastAsia"/>
                <w:color w:val="auto"/>
                <w:sz w:val="24"/>
                <w:szCs w:val="32"/>
              </w:rPr>
              <w:t>b.与《市政府关于印发淮安市“三线一单”生态环境分区管控方案的通知》（淮政发〔2020〕16号）相符性分析</w:t>
            </w:r>
          </w:p>
          <w:p w14:paraId="39E2BC2E">
            <w:pPr>
              <w:keepNext/>
              <w:adjustRightInd w:val="0"/>
              <w:snapToGrid w:val="0"/>
              <w:spacing w:line="360" w:lineRule="auto"/>
              <w:ind w:firstLine="480" w:firstLineChars="200"/>
              <w:rPr>
                <w:b/>
                <w:color w:val="auto"/>
                <w:sz w:val="24"/>
              </w:rPr>
            </w:pPr>
            <w:r>
              <w:rPr>
                <w:rFonts w:hint="eastAsia"/>
                <w:bCs/>
                <w:color w:val="auto"/>
                <w:sz w:val="24"/>
              </w:rPr>
              <w:t>根据《市政府关于印发淮安市“三线一单”生态环境分区管控方案的通知》（淮政发〔2020〕16号）附件2，</w:t>
            </w:r>
            <w:r>
              <w:rPr>
                <w:rFonts w:hint="eastAsia"/>
                <w:bCs/>
                <w:color w:val="auto"/>
                <w:sz w:val="24"/>
                <w:lang w:eastAsia="zh-CN"/>
              </w:rPr>
              <w:t>涉及</w:t>
            </w:r>
            <w:r>
              <w:rPr>
                <w:rFonts w:hint="eastAsia"/>
                <w:bCs/>
                <w:color w:val="auto"/>
                <w:sz w:val="24"/>
              </w:rPr>
              <w:t>的涟水县环境管控单元名录见表1-4。</w:t>
            </w:r>
          </w:p>
          <w:p w14:paraId="554AF6DE">
            <w:pPr>
              <w:keepNext/>
              <w:adjustRightInd w:val="0"/>
              <w:snapToGrid w:val="0"/>
              <w:jc w:val="center"/>
              <w:rPr>
                <w:b/>
                <w:color w:val="auto"/>
              </w:rPr>
            </w:pPr>
            <w:r>
              <w:rPr>
                <w:b/>
                <w:color w:val="auto"/>
                <w:sz w:val="24"/>
                <w:szCs w:val="32"/>
              </w:rPr>
              <w:t>表1-</w:t>
            </w:r>
            <w:r>
              <w:rPr>
                <w:rFonts w:hint="eastAsia"/>
                <w:b/>
                <w:color w:val="auto"/>
                <w:sz w:val="24"/>
                <w:szCs w:val="32"/>
              </w:rPr>
              <w:t>4</w:t>
            </w:r>
            <w:r>
              <w:rPr>
                <w:b/>
                <w:color w:val="auto"/>
                <w:sz w:val="24"/>
                <w:szCs w:val="32"/>
              </w:rPr>
              <w:t xml:space="preserve">  淮安市环境管控单元名录表（涟水县）</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8"/>
              <w:gridCol w:w="569"/>
              <w:gridCol w:w="1492"/>
              <w:gridCol w:w="4143"/>
              <w:gridCol w:w="1463"/>
            </w:tblGrid>
            <w:tr w14:paraId="2B6F7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 w:type="pct"/>
                  <w:tcBorders>
                    <w:top w:val="single" w:color="auto" w:sz="12" w:space="0"/>
                    <w:left w:val="nil"/>
                    <w:bottom w:val="single" w:color="auto" w:sz="12" w:space="0"/>
                  </w:tcBorders>
                  <w:vAlign w:val="center"/>
                </w:tcPr>
                <w:p w14:paraId="3DB969ED">
                  <w:pPr>
                    <w:keepNext/>
                    <w:adjustRightInd w:val="0"/>
                    <w:snapToGrid w:val="0"/>
                    <w:jc w:val="center"/>
                    <w:rPr>
                      <w:b/>
                      <w:color w:val="auto"/>
                    </w:rPr>
                  </w:pPr>
                  <w:r>
                    <w:rPr>
                      <w:b/>
                      <w:color w:val="auto"/>
                    </w:rPr>
                    <w:t>行政区</w:t>
                  </w:r>
                </w:p>
              </w:tc>
              <w:tc>
                <w:tcPr>
                  <w:tcW w:w="346" w:type="pct"/>
                  <w:tcBorders>
                    <w:top w:val="single" w:color="auto" w:sz="12" w:space="0"/>
                    <w:bottom w:val="single" w:color="auto" w:sz="12" w:space="0"/>
                  </w:tcBorders>
                  <w:vAlign w:val="center"/>
                </w:tcPr>
                <w:p w14:paraId="5C215445">
                  <w:pPr>
                    <w:keepNext/>
                    <w:adjustRightInd w:val="0"/>
                    <w:snapToGrid w:val="0"/>
                    <w:jc w:val="center"/>
                    <w:rPr>
                      <w:b/>
                      <w:color w:val="auto"/>
                    </w:rPr>
                  </w:pPr>
                  <w:r>
                    <w:rPr>
                      <w:b/>
                      <w:color w:val="auto"/>
                    </w:rPr>
                    <w:t>单元总数</w:t>
                  </w:r>
                </w:p>
              </w:tc>
              <w:tc>
                <w:tcPr>
                  <w:tcW w:w="908" w:type="pct"/>
                  <w:tcBorders>
                    <w:top w:val="single" w:color="auto" w:sz="12" w:space="0"/>
                    <w:bottom w:val="single" w:color="auto" w:sz="12" w:space="0"/>
                  </w:tcBorders>
                  <w:vAlign w:val="center"/>
                </w:tcPr>
                <w:p w14:paraId="7D47CE07">
                  <w:pPr>
                    <w:keepNext/>
                    <w:adjustRightInd w:val="0"/>
                    <w:snapToGrid w:val="0"/>
                    <w:jc w:val="center"/>
                    <w:rPr>
                      <w:b/>
                      <w:color w:val="auto"/>
                    </w:rPr>
                  </w:pPr>
                  <w:r>
                    <w:rPr>
                      <w:b/>
                      <w:color w:val="auto"/>
                    </w:rPr>
                    <w:t>优先保护单元</w:t>
                  </w:r>
                </w:p>
                <w:p w14:paraId="64C3D638">
                  <w:pPr>
                    <w:keepNext/>
                    <w:adjustRightInd w:val="0"/>
                    <w:snapToGrid w:val="0"/>
                    <w:jc w:val="center"/>
                    <w:rPr>
                      <w:b/>
                      <w:color w:val="auto"/>
                    </w:rPr>
                  </w:pPr>
                  <w:r>
                    <w:rPr>
                      <w:b/>
                      <w:color w:val="auto"/>
                    </w:rPr>
                    <w:t>（生态保护红线、生态空间管控区域）</w:t>
                  </w:r>
                </w:p>
              </w:tc>
              <w:tc>
                <w:tcPr>
                  <w:tcW w:w="2521" w:type="pct"/>
                  <w:tcBorders>
                    <w:top w:val="single" w:color="auto" w:sz="12" w:space="0"/>
                    <w:bottom w:val="single" w:color="auto" w:sz="12" w:space="0"/>
                  </w:tcBorders>
                  <w:vAlign w:val="center"/>
                </w:tcPr>
                <w:p w14:paraId="4BD9A3A0">
                  <w:pPr>
                    <w:keepNext/>
                    <w:adjustRightInd w:val="0"/>
                    <w:snapToGrid w:val="0"/>
                    <w:jc w:val="center"/>
                    <w:rPr>
                      <w:b/>
                      <w:color w:val="auto"/>
                    </w:rPr>
                  </w:pPr>
                  <w:r>
                    <w:rPr>
                      <w:b/>
                      <w:color w:val="auto"/>
                    </w:rPr>
                    <w:t>重点管控单元（产业园区、中心城区）</w:t>
                  </w:r>
                </w:p>
              </w:tc>
              <w:tc>
                <w:tcPr>
                  <w:tcW w:w="890" w:type="pct"/>
                  <w:tcBorders>
                    <w:top w:val="single" w:color="auto" w:sz="12" w:space="0"/>
                    <w:bottom w:val="single" w:color="auto" w:sz="12" w:space="0"/>
                    <w:right w:val="nil"/>
                  </w:tcBorders>
                  <w:vAlign w:val="center"/>
                </w:tcPr>
                <w:p w14:paraId="22E0F8C7">
                  <w:pPr>
                    <w:keepNext/>
                    <w:adjustRightInd w:val="0"/>
                    <w:snapToGrid w:val="0"/>
                    <w:jc w:val="center"/>
                    <w:rPr>
                      <w:b/>
                      <w:color w:val="auto"/>
                    </w:rPr>
                  </w:pPr>
                  <w:r>
                    <w:rPr>
                      <w:b/>
                      <w:color w:val="auto"/>
                    </w:rPr>
                    <w:t>一般管控</w:t>
                  </w:r>
                </w:p>
                <w:p w14:paraId="0F90D4BA">
                  <w:pPr>
                    <w:keepNext/>
                    <w:adjustRightInd w:val="0"/>
                    <w:snapToGrid w:val="0"/>
                    <w:jc w:val="center"/>
                    <w:rPr>
                      <w:b/>
                      <w:color w:val="auto"/>
                    </w:rPr>
                  </w:pPr>
                  <w:r>
                    <w:rPr>
                      <w:b/>
                      <w:color w:val="auto"/>
                    </w:rPr>
                    <w:t>单元*</w:t>
                  </w:r>
                </w:p>
              </w:tc>
            </w:tr>
            <w:tr w14:paraId="358E0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 w:type="pct"/>
                  <w:tcBorders>
                    <w:top w:val="single" w:color="auto" w:sz="12" w:space="0"/>
                    <w:left w:val="nil"/>
                  </w:tcBorders>
                  <w:vAlign w:val="center"/>
                </w:tcPr>
                <w:p w14:paraId="32738F79">
                  <w:pPr>
                    <w:jc w:val="center"/>
                    <w:rPr>
                      <w:color w:val="auto"/>
                      <w:szCs w:val="21"/>
                    </w:rPr>
                  </w:pPr>
                  <w:r>
                    <w:rPr>
                      <w:color w:val="auto"/>
                      <w:szCs w:val="21"/>
                    </w:rPr>
                    <w:t>涟水县</w:t>
                  </w:r>
                </w:p>
              </w:tc>
              <w:tc>
                <w:tcPr>
                  <w:tcW w:w="346" w:type="pct"/>
                  <w:tcBorders>
                    <w:top w:val="single" w:color="auto" w:sz="12" w:space="0"/>
                  </w:tcBorders>
                  <w:vAlign w:val="center"/>
                </w:tcPr>
                <w:p w14:paraId="7ECDAE62">
                  <w:pPr>
                    <w:jc w:val="center"/>
                    <w:rPr>
                      <w:color w:val="auto"/>
                      <w:szCs w:val="21"/>
                    </w:rPr>
                  </w:pPr>
                  <w:r>
                    <w:rPr>
                      <w:color w:val="auto"/>
                      <w:szCs w:val="21"/>
                    </w:rPr>
                    <w:t>58</w:t>
                  </w:r>
                </w:p>
              </w:tc>
              <w:tc>
                <w:tcPr>
                  <w:tcW w:w="908" w:type="pct"/>
                  <w:tcBorders>
                    <w:top w:val="single" w:color="auto" w:sz="12" w:space="0"/>
                  </w:tcBorders>
                  <w:vAlign w:val="center"/>
                </w:tcPr>
                <w:p w14:paraId="351E9D01">
                  <w:pPr>
                    <w:jc w:val="center"/>
                    <w:rPr>
                      <w:color w:val="auto"/>
                      <w:szCs w:val="21"/>
                    </w:rPr>
                  </w:pPr>
                  <w:r>
                    <w:rPr>
                      <w:color w:val="auto"/>
                      <w:szCs w:val="21"/>
                    </w:rPr>
                    <w:t>3个</w:t>
                  </w:r>
                </w:p>
                <w:p w14:paraId="3237A88A">
                  <w:pPr>
                    <w:jc w:val="center"/>
                    <w:rPr>
                      <w:color w:val="auto"/>
                      <w:szCs w:val="21"/>
                    </w:rPr>
                  </w:pPr>
                  <w:r>
                    <w:rPr>
                      <w:color w:val="auto"/>
                      <w:szCs w:val="21"/>
                    </w:rPr>
                    <w:t>古黄河（涟水）饮用水水源保护区、江苏涟水涟漪湖黄嘴白鹭省级自然保护区、废黄河（涟水县）重要湿地</w:t>
                  </w:r>
                </w:p>
              </w:tc>
              <w:tc>
                <w:tcPr>
                  <w:tcW w:w="2521" w:type="pct"/>
                  <w:tcBorders>
                    <w:top w:val="single" w:color="auto" w:sz="12" w:space="0"/>
                  </w:tcBorders>
                  <w:vAlign w:val="center"/>
                </w:tcPr>
                <w:p w14:paraId="71F271C9">
                  <w:pPr>
                    <w:jc w:val="center"/>
                    <w:rPr>
                      <w:color w:val="auto"/>
                      <w:szCs w:val="21"/>
                    </w:rPr>
                  </w:pPr>
                  <w:r>
                    <w:rPr>
                      <w:color w:val="auto"/>
                      <w:szCs w:val="21"/>
                    </w:rPr>
                    <w:t>36个</w:t>
                  </w:r>
                </w:p>
                <w:p w14:paraId="1C101B97">
                  <w:pPr>
                    <w:jc w:val="center"/>
                    <w:rPr>
                      <w:color w:val="auto"/>
                      <w:szCs w:val="21"/>
                    </w:rPr>
                  </w:pPr>
                  <w:r>
                    <w:rPr>
                      <w:color w:val="auto"/>
                      <w:szCs w:val="21"/>
                    </w:rPr>
                    <w:t>江苏涟水经济开发区、淮安</w:t>
                  </w:r>
                  <w:r>
                    <w:rPr>
                      <w:rFonts w:hint="eastAsia"/>
                      <w:color w:val="auto"/>
                      <w:szCs w:val="21"/>
                      <w:lang w:eastAsia="zh-CN"/>
                    </w:rPr>
                    <w:t>（</w:t>
                  </w:r>
                  <w:r>
                    <w:rPr>
                      <w:color w:val="auto"/>
                      <w:szCs w:val="21"/>
                    </w:rPr>
                    <w:t>薛行）循环经济产业园、凌庄新型金属材料工业集中区、</w:t>
                  </w:r>
                  <w:r>
                    <w:rPr>
                      <w:b/>
                      <w:bCs/>
                      <w:color w:val="auto"/>
                      <w:szCs w:val="21"/>
                    </w:rPr>
                    <w:t>淮安</w:t>
                  </w:r>
                  <w:r>
                    <w:rPr>
                      <w:rFonts w:hint="eastAsia"/>
                      <w:b/>
                      <w:bCs/>
                      <w:color w:val="auto"/>
                      <w:szCs w:val="21"/>
                      <w:lang w:eastAsia="zh-CN"/>
                    </w:rPr>
                    <w:t>（</w:t>
                  </w:r>
                  <w:r>
                    <w:rPr>
                      <w:b/>
                      <w:bCs/>
                      <w:color w:val="auto"/>
                      <w:szCs w:val="21"/>
                    </w:rPr>
                    <w:t>涟水</w:t>
                  </w:r>
                  <w:r>
                    <w:rPr>
                      <w:rFonts w:hint="eastAsia"/>
                      <w:b/>
                      <w:bCs/>
                      <w:color w:val="auto"/>
                      <w:szCs w:val="21"/>
                      <w:lang w:eastAsia="zh-CN"/>
                    </w:rPr>
                    <w:t>）</w:t>
                  </w:r>
                  <w:r>
                    <w:rPr>
                      <w:b/>
                      <w:bCs/>
                      <w:color w:val="auto"/>
                      <w:szCs w:val="21"/>
                    </w:rPr>
                    <w:t>空港产业园</w:t>
                  </w:r>
                  <w:r>
                    <w:rPr>
                      <w:color w:val="auto"/>
                      <w:szCs w:val="21"/>
                    </w:rPr>
                    <w:t>、涟城街道工业集中区、红窑镇工业集中区、粱岔镇工业集中区、涟城街道</w:t>
                  </w:r>
                  <w:r>
                    <w:rPr>
                      <w:rFonts w:hint="eastAsia"/>
                      <w:color w:val="auto"/>
                      <w:szCs w:val="21"/>
                      <w:lang w:eastAsia="zh-CN"/>
                    </w:rPr>
                    <w:t>（</w:t>
                  </w:r>
                  <w:r>
                    <w:rPr>
                      <w:color w:val="auto"/>
                      <w:szCs w:val="21"/>
                    </w:rPr>
                    <w:t>徐集</w:t>
                  </w:r>
                  <w:r>
                    <w:rPr>
                      <w:rFonts w:hint="eastAsia"/>
                      <w:color w:val="auto"/>
                      <w:szCs w:val="21"/>
                      <w:lang w:eastAsia="zh-CN"/>
                    </w:rPr>
                    <w:t>）</w:t>
                  </w:r>
                  <w:r>
                    <w:rPr>
                      <w:color w:val="auto"/>
                      <w:szCs w:val="21"/>
                    </w:rPr>
                    <w:t>工业集中区、东胡集镇扶贫产业园、东胡集镇</w:t>
                  </w:r>
                  <w:r>
                    <w:rPr>
                      <w:rFonts w:hint="eastAsia"/>
                      <w:color w:val="auto"/>
                      <w:szCs w:val="21"/>
                      <w:lang w:eastAsia="zh-CN"/>
                    </w:rPr>
                    <w:t>（</w:t>
                  </w:r>
                  <w:r>
                    <w:rPr>
                      <w:color w:val="auto"/>
                      <w:szCs w:val="21"/>
                    </w:rPr>
                    <w:t>嵇</w:t>
                  </w:r>
                  <w:r>
                    <w:rPr>
                      <w:rFonts w:hint="eastAsia"/>
                      <w:color w:val="auto"/>
                      <w:szCs w:val="21"/>
                      <w:lang w:eastAsia="zh-CN"/>
                    </w:rPr>
                    <w:t>集）</w:t>
                  </w:r>
                  <w:r>
                    <w:rPr>
                      <w:color w:val="auto"/>
                      <w:szCs w:val="21"/>
                    </w:rPr>
                    <w:t>工业集中区、陈师街道工业集中区、大东镇工业集中区、岔庙镇工业集中区、</w:t>
                  </w:r>
                  <w:r>
                    <w:rPr>
                      <w:rFonts w:hint="eastAsia"/>
                      <w:color w:val="auto"/>
                      <w:szCs w:val="21"/>
                    </w:rPr>
                    <w:t>空港产业园</w:t>
                  </w:r>
                  <w:r>
                    <w:rPr>
                      <w:color w:val="auto"/>
                      <w:szCs w:val="21"/>
                    </w:rPr>
                    <w:t>镇工业集中区、</w:t>
                  </w:r>
                  <w:r>
                    <w:rPr>
                      <w:rFonts w:hint="eastAsia"/>
                      <w:color w:val="auto"/>
                      <w:szCs w:val="21"/>
                    </w:rPr>
                    <w:t>空港产业园</w:t>
                  </w:r>
                  <w:r>
                    <w:rPr>
                      <w:color w:val="auto"/>
                      <w:szCs w:val="21"/>
                    </w:rPr>
                    <w:t>镇</w:t>
                  </w:r>
                  <w:r>
                    <w:rPr>
                      <w:rFonts w:hint="eastAsia"/>
                      <w:color w:val="auto"/>
                      <w:szCs w:val="21"/>
                      <w:lang w:eastAsia="zh-CN"/>
                    </w:rPr>
                    <w:t>（</w:t>
                  </w:r>
                  <w:r>
                    <w:rPr>
                      <w:color w:val="auto"/>
                      <w:szCs w:val="21"/>
                    </w:rPr>
                    <w:t>北集</w:t>
                  </w:r>
                  <w:r>
                    <w:rPr>
                      <w:rFonts w:hint="eastAsia"/>
                      <w:color w:val="auto"/>
                      <w:szCs w:val="21"/>
                      <w:lang w:eastAsia="zh-CN"/>
                    </w:rPr>
                    <w:t>）</w:t>
                  </w:r>
                  <w:r>
                    <w:rPr>
                      <w:color w:val="auto"/>
                      <w:szCs w:val="21"/>
                    </w:rPr>
                    <w:t>工业集中区、南集镇工业集中区、朱码街道工业集中区、朱码街道民营经济产业、朱码街道双河工业区、朱码街道河网工业区、成集镇工业集中区、红窑镇</w:t>
                  </w:r>
                  <w:r>
                    <w:rPr>
                      <w:rFonts w:hint="eastAsia"/>
                      <w:color w:val="auto"/>
                      <w:szCs w:val="21"/>
                      <w:lang w:eastAsia="zh-CN"/>
                    </w:rPr>
                    <w:t>（</w:t>
                  </w:r>
                  <w:r>
                    <w:rPr>
                      <w:color w:val="auto"/>
                      <w:szCs w:val="21"/>
                    </w:rPr>
                    <w:t>义兴</w:t>
                  </w:r>
                  <w:r>
                    <w:rPr>
                      <w:rFonts w:hint="eastAsia"/>
                      <w:color w:val="auto"/>
                      <w:szCs w:val="21"/>
                      <w:lang w:eastAsia="zh-CN"/>
                    </w:rPr>
                    <w:t>）</w:t>
                  </w:r>
                  <w:r>
                    <w:rPr>
                      <w:color w:val="auto"/>
                      <w:szCs w:val="21"/>
                    </w:rPr>
                    <w:t>工业集中区、高沟镇</w:t>
                  </w:r>
                  <w:r>
                    <w:rPr>
                      <w:rFonts w:hint="eastAsia"/>
                      <w:color w:val="auto"/>
                      <w:szCs w:val="21"/>
                      <w:lang w:eastAsia="zh-CN"/>
                    </w:rPr>
                    <w:t>（</w:t>
                  </w:r>
                  <w:r>
                    <w:rPr>
                      <w:color w:val="auto"/>
                      <w:szCs w:val="21"/>
                    </w:rPr>
                    <w:t>灰墩</w:t>
                  </w:r>
                  <w:r>
                    <w:rPr>
                      <w:rFonts w:hint="eastAsia"/>
                      <w:color w:val="auto"/>
                      <w:szCs w:val="21"/>
                      <w:lang w:eastAsia="zh-CN"/>
                    </w:rPr>
                    <w:t>）</w:t>
                  </w:r>
                  <w:r>
                    <w:rPr>
                      <w:color w:val="auto"/>
                      <w:szCs w:val="21"/>
                    </w:rPr>
                    <w:t>工业集中区、高沟镇（前进</w:t>
                  </w:r>
                  <w:r>
                    <w:rPr>
                      <w:rFonts w:hint="eastAsia"/>
                      <w:color w:val="auto"/>
                      <w:szCs w:val="21"/>
                      <w:lang w:eastAsia="zh-CN"/>
                    </w:rPr>
                    <w:t>）</w:t>
                  </w:r>
                  <w:r>
                    <w:rPr>
                      <w:color w:val="auto"/>
                      <w:szCs w:val="21"/>
                    </w:rPr>
                    <w:t>工业集中区、唐集镇工业集中区、高沟镇工业集中区、高沟镇</w:t>
                  </w:r>
                  <w:r>
                    <w:rPr>
                      <w:rFonts w:hint="eastAsia"/>
                      <w:color w:val="auto"/>
                      <w:szCs w:val="21"/>
                      <w:lang w:eastAsia="zh-CN"/>
                    </w:rPr>
                    <w:t>（</w:t>
                  </w:r>
                  <w:r>
                    <w:rPr>
                      <w:color w:val="auto"/>
                      <w:szCs w:val="21"/>
                    </w:rPr>
                    <w:t>高杨</w:t>
                  </w:r>
                  <w:r>
                    <w:rPr>
                      <w:rFonts w:hint="eastAsia"/>
                      <w:color w:val="auto"/>
                      <w:szCs w:val="21"/>
                      <w:lang w:eastAsia="zh-CN"/>
                    </w:rPr>
                    <w:t>）</w:t>
                  </w:r>
                  <w:r>
                    <w:rPr>
                      <w:color w:val="auto"/>
                      <w:szCs w:val="21"/>
                    </w:rPr>
                    <w:t>集中区、食品产业园、五港镇工业集中区、五港</w:t>
                  </w:r>
                  <w:r>
                    <w:rPr>
                      <w:rFonts w:hint="eastAsia"/>
                      <w:color w:val="auto"/>
                      <w:szCs w:val="21"/>
                    </w:rPr>
                    <w:t>镇</w:t>
                  </w:r>
                  <w:r>
                    <w:rPr>
                      <w:color w:val="auto"/>
                      <w:szCs w:val="21"/>
                    </w:rPr>
                    <w:t>工业集中区拓展区</w:t>
                  </w:r>
                  <w:r>
                    <w:rPr>
                      <w:rFonts w:hint="eastAsia"/>
                      <w:color w:val="auto"/>
                      <w:szCs w:val="21"/>
                      <w:lang w:eastAsia="zh-CN"/>
                    </w:rPr>
                    <w:t>（</w:t>
                  </w:r>
                  <w:r>
                    <w:rPr>
                      <w:color w:val="auto"/>
                      <w:szCs w:val="21"/>
                    </w:rPr>
                    <w:t>再生纸产业</w:t>
                  </w:r>
                  <w:r>
                    <w:rPr>
                      <w:rFonts w:hint="eastAsia"/>
                      <w:color w:val="auto"/>
                      <w:szCs w:val="21"/>
                    </w:rPr>
                    <w:t>园</w:t>
                  </w:r>
                  <w:r>
                    <w:rPr>
                      <w:rFonts w:hint="eastAsia"/>
                      <w:color w:val="auto"/>
                      <w:szCs w:val="21"/>
                      <w:lang w:eastAsia="zh-CN"/>
                    </w:rPr>
                    <w:t>）</w:t>
                  </w:r>
                  <w:r>
                    <w:rPr>
                      <w:color w:val="auto"/>
                      <w:szCs w:val="21"/>
                    </w:rPr>
                    <w:t>、石湖镇瓦房工业集中区、石湖镇外口工业集中区、石湖镇东兴</w:t>
                  </w:r>
                  <w:r>
                    <w:rPr>
                      <w:rFonts w:hint="eastAsia"/>
                      <w:color w:val="auto"/>
                      <w:szCs w:val="21"/>
                      <w:lang w:eastAsia="zh-CN"/>
                    </w:rPr>
                    <w:t>工业</w:t>
                  </w:r>
                  <w:r>
                    <w:rPr>
                      <w:color w:val="auto"/>
                      <w:szCs w:val="21"/>
                    </w:rPr>
                    <w:t>集中区、保滩街道（周集</w:t>
                  </w:r>
                  <w:r>
                    <w:rPr>
                      <w:rFonts w:hint="eastAsia"/>
                      <w:color w:val="auto"/>
                      <w:szCs w:val="21"/>
                      <w:lang w:eastAsia="zh-CN"/>
                    </w:rPr>
                    <w:t>）</w:t>
                  </w:r>
                  <w:r>
                    <w:rPr>
                      <w:color w:val="auto"/>
                      <w:szCs w:val="21"/>
                    </w:rPr>
                    <w:t>工业集中区、保滩街道（十堡</w:t>
                  </w:r>
                  <w:r>
                    <w:rPr>
                      <w:rFonts w:hint="eastAsia"/>
                      <w:color w:val="auto"/>
                      <w:szCs w:val="21"/>
                      <w:lang w:eastAsia="zh-CN"/>
                    </w:rPr>
                    <w:t>）</w:t>
                  </w:r>
                  <w:r>
                    <w:rPr>
                      <w:color w:val="auto"/>
                      <w:szCs w:val="21"/>
                    </w:rPr>
                    <w:t>工业集中区、淮安（薛行）循环经济产业园西区</w:t>
                  </w:r>
                </w:p>
              </w:tc>
              <w:tc>
                <w:tcPr>
                  <w:tcW w:w="890" w:type="pct"/>
                  <w:tcBorders>
                    <w:top w:val="single" w:color="auto" w:sz="12" w:space="0"/>
                    <w:bottom w:val="single" w:color="auto" w:sz="12" w:space="0"/>
                    <w:right w:val="nil"/>
                  </w:tcBorders>
                  <w:vAlign w:val="center"/>
                </w:tcPr>
                <w:p w14:paraId="729E1515">
                  <w:pPr>
                    <w:jc w:val="center"/>
                    <w:rPr>
                      <w:color w:val="auto"/>
                      <w:szCs w:val="21"/>
                    </w:rPr>
                  </w:pPr>
                  <w:r>
                    <w:rPr>
                      <w:color w:val="auto"/>
                      <w:szCs w:val="21"/>
                    </w:rPr>
                    <w:t>19个</w:t>
                  </w:r>
                </w:p>
                <w:p w14:paraId="1B2A90EB">
                  <w:pPr>
                    <w:jc w:val="center"/>
                    <w:rPr>
                      <w:color w:val="auto"/>
                      <w:szCs w:val="21"/>
                    </w:rPr>
                  </w:pPr>
                  <w:r>
                    <w:rPr>
                      <w:color w:val="auto"/>
                      <w:szCs w:val="21"/>
                    </w:rPr>
                    <w:t>保滩街道、徐集乡</w:t>
                  </w:r>
                  <w:r>
                    <w:rPr>
                      <w:rFonts w:hint="eastAsia"/>
                      <w:color w:val="auto"/>
                      <w:szCs w:val="21"/>
                      <w:lang w:eastAsia="zh-CN"/>
                    </w:rPr>
                    <w:t>（</w:t>
                  </w:r>
                  <w:r>
                    <w:rPr>
                      <w:color w:val="auto"/>
                      <w:szCs w:val="21"/>
                    </w:rPr>
                    <w:t>涟城街道</w:t>
                  </w:r>
                  <w:r>
                    <w:rPr>
                      <w:rFonts w:hint="eastAsia"/>
                      <w:color w:val="auto"/>
                      <w:szCs w:val="21"/>
                      <w:lang w:eastAsia="zh-CN"/>
                    </w:rPr>
                    <w:t>）</w:t>
                  </w:r>
                  <w:r>
                    <w:rPr>
                      <w:color w:val="auto"/>
                      <w:szCs w:val="21"/>
                    </w:rPr>
                    <w:t>、</w:t>
                  </w:r>
                  <w:r>
                    <w:rPr>
                      <w:rFonts w:hint="eastAsia"/>
                      <w:color w:val="auto"/>
                      <w:szCs w:val="21"/>
                    </w:rPr>
                    <w:t>空港产业园</w:t>
                  </w:r>
                  <w:r>
                    <w:rPr>
                      <w:color w:val="auto"/>
                      <w:szCs w:val="21"/>
                    </w:rPr>
                    <w:t>镇、涟城街道、高沟镇、唐集镇、大东镇、五港镇、梁岔镇、朱码街道、岔庙镇、东胡集镇、南集镇、义兴镇</w:t>
                  </w:r>
                  <w:r>
                    <w:rPr>
                      <w:rFonts w:hint="eastAsia"/>
                      <w:color w:val="auto"/>
                      <w:szCs w:val="21"/>
                      <w:lang w:eastAsia="zh-CN"/>
                    </w:rPr>
                    <w:t>（</w:t>
                  </w:r>
                  <w:r>
                    <w:rPr>
                      <w:color w:val="auto"/>
                      <w:szCs w:val="21"/>
                    </w:rPr>
                    <w:t>红窑镇</w:t>
                  </w:r>
                  <w:r>
                    <w:rPr>
                      <w:rFonts w:hint="eastAsia"/>
                      <w:color w:val="auto"/>
                      <w:szCs w:val="21"/>
                      <w:lang w:eastAsia="zh-CN"/>
                    </w:rPr>
                    <w:t>）</w:t>
                  </w:r>
                  <w:r>
                    <w:rPr>
                      <w:color w:val="auto"/>
                      <w:szCs w:val="21"/>
                    </w:rPr>
                    <w:t>、成集镇、红窑镇、陈师街道、前进镇</w:t>
                  </w:r>
                  <w:r>
                    <w:rPr>
                      <w:rFonts w:hint="eastAsia"/>
                      <w:color w:val="auto"/>
                      <w:szCs w:val="21"/>
                      <w:lang w:eastAsia="zh-CN"/>
                    </w:rPr>
                    <w:t>（</w:t>
                  </w:r>
                  <w:r>
                    <w:rPr>
                      <w:color w:val="auto"/>
                      <w:szCs w:val="21"/>
                    </w:rPr>
                    <w:t>高沟镇</w:t>
                  </w:r>
                  <w:r>
                    <w:rPr>
                      <w:rFonts w:hint="eastAsia"/>
                      <w:color w:val="auto"/>
                      <w:szCs w:val="21"/>
                      <w:lang w:eastAsia="zh-CN"/>
                    </w:rPr>
                    <w:t>）</w:t>
                  </w:r>
                  <w:r>
                    <w:rPr>
                      <w:color w:val="auto"/>
                      <w:szCs w:val="21"/>
                    </w:rPr>
                    <w:t>、石湖镇</w:t>
                  </w:r>
                </w:p>
              </w:tc>
            </w:tr>
          </w:tbl>
          <w:p w14:paraId="786523B4">
            <w:pPr>
              <w:pStyle w:val="4"/>
              <w:adjustRightInd w:val="0"/>
              <w:snapToGrid w:val="0"/>
              <w:spacing w:after="0" w:line="360" w:lineRule="auto"/>
              <w:ind w:left="0" w:leftChars="0" w:firstLine="480"/>
              <w:rPr>
                <w:color w:val="auto"/>
                <w:sz w:val="24"/>
                <w:szCs w:val="32"/>
              </w:rPr>
            </w:pPr>
            <w:r>
              <w:rPr>
                <w:rFonts w:hint="eastAsia"/>
                <w:color w:val="auto"/>
                <w:sz w:val="24"/>
                <w:szCs w:val="32"/>
              </w:rPr>
              <w:t>本项目位于江苏省淮安市涟水县经济开发区蒋庵东路东侧、清涟大道北侧，属于淮安</w:t>
            </w:r>
            <w:r>
              <w:rPr>
                <w:rFonts w:hint="eastAsia"/>
                <w:color w:val="auto"/>
                <w:sz w:val="24"/>
                <w:szCs w:val="32"/>
                <w:lang w:eastAsia="zh-CN"/>
              </w:rPr>
              <w:t>（</w:t>
            </w:r>
            <w:r>
              <w:rPr>
                <w:rFonts w:hint="eastAsia"/>
                <w:color w:val="auto"/>
                <w:sz w:val="24"/>
                <w:szCs w:val="32"/>
              </w:rPr>
              <w:t>涟水</w:t>
            </w:r>
            <w:r>
              <w:rPr>
                <w:rFonts w:hint="eastAsia"/>
                <w:color w:val="auto"/>
                <w:sz w:val="24"/>
                <w:szCs w:val="32"/>
                <w:lang w:eastAsia="zh-CN"/>
              </w:rPr>
              <w:t>）</w:t>
            </w:r>
            <w:r>
              <w:rPr>
                <w:rFonts w:hint="eastAsia"/>
                <w:color w:val="auto"/>
                <w:sz w:val="24"/>
                <w:szCs w:val="32"/>
              </w:rPr>
              <w:t>空港产业园范围内，属于淮安市环境管控单元名录中的重点管控单元。对照《市政府关于印发淮安市“三线一单”生态环境分区管控方案的通知》（淮政发〔2020〕16号）和《市政府办公室关于对淮安市“三线一单”生态环境分区管控方案内容修改的通知》（淮政办函〔2022〕5号）相符性分析见表1-5。本项目与《淮安市“三线一单”生态环境分区管控方案》中“淮安市环境管控单元图”位置关系见附图6。</w:t>
            </w:r>
          </w:p>
          <w:p w14:paraId="56769473">
            <w:pPr>
              <w:keepNext/>
              <w:adjustRightInd w:val="0"/>
              <w:snapToGrid w:val="0"/>
              <w:spacing w:line="360" w:lineRule="auto"/>
              <w:jc w:val="center"/>
              <w:rPr>
                <w:b/>
                <w:color w:val="auto"/>
              </w:rPr>
            </w:pPr>
            <w:r>
              <w:rPr>
                <w:b/>
                <w:color w:val="auto"/>
                <w:sz w:val="24"/>
                <w:szCs w:val="32"/>
              </w:rPr>
              <w:t>表1-</w:t>
            </w:r>
            <w:r>
              <w:rPr>
                <w:rFonts w:hint="eastAsia"/>
                <w:b/>
                <w:color w:val="auto"/>
                <w:sz w:val="24"/>
                <w:szCs w:val="32"/>
              </w:rPr>
              <w:t>5</w:t>
            </w:r>
            <w:r>
              <w:rPr>
                <w:b/>
                <w:color w:val="auto"/>
                <w:sz w:val="24"/>
                <w:szCs w:val="32"/>
              </w:rPr>
              <w:t xml:space="preserve">  与淮安市“三线一单”生态环境分区管控方案相符性分析</w:t>
            </w:r>
          </w:p>
          <w:tbl>
            <w:tblPr>
              <w:tblStyle w:val="8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4880"/>
              <w:gridCol w:w="2249"/>
              <w:gridCol w:w="502"/>
            </w:tblGrid>
            <w:tr w14:paraId="603E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12" w:space="0"/>
                  </w:tcBorders>
                  <w:vAlign w:val="center"/>
                </w:tcPr>
                <w:p w14:paraId="06A74310">
                  <w:pPr>
                    <w:keepNext/>
                    <w:snapToGrid w:val="0"/>
                    <w:jc w:val="center"/>
                    <w:rPr>
                      <w:b/>
                      <w:color w:val="auto"/>
                    </w:rPr>
                  </w:pPr>
                  <w:r>
                    <w:rPr>
                      <w:b/>
                      <w:color w:val="auto"/>
                    </w:rPr>
                    <w:t>管控类别</w:t>
                  </w:r>
                </w:p>
              </w:tc>
              <w:tc>
                <w:tcPr>
                  <w:tcW w:w="2977" w:type="pct"/>
                  <w:tcBorders>
                    <w:top w:val="single" w:color="auto" w:sz="12" w:space="0"/>
                  </w:tcBorders>
                  <w:vAlign w:val="center"/>
                </w:tcPr>
                <w:p w14:paraId="73D27497">
                  <w:pPr>
                    <w:keepNext/>
                    <w:snapToGrid w:val="0"/>
                    <w:jc w:val="center"/>
                    <w:rPr>
                      <w:b/>
                      <w:color w:val="auto"/>
                    </w:rPr>
                  </w:pPr>
                  <w:r>
                    <w:rPr>
                      <w:b/>
                      <w:color w:val="auto"/>
                    </w:rPr>
                    <w:t>重点管控要求</w:t>
                  </w:r>
                </w:p>
              </w:tc>
              <w:tc>
                <w:tcPr>
                  <w:tcW w:w="1372" w:type="pct"/>
                  <w:tcBorders>
                    <w:top w:val="single" w:color="auto" w:sz="12" w:space="0"/>
                  </w:tcBorders>
                  <w:vAlign w:val="center"/>
                </w:tcPr>
                <w:p w14:paraId="744E617F">
                  <w:pPr>
                    <w:keepNext/>
                    <w:snapToGrid w:val="0"/>
                    <w:jc w:val="center"/>
                    <w:rPr>
                      <w:b/>
                      <w:color w:val="auto"/>
                    </w:rPr>
                  </w:pPr>
                  <w:r>
                    <w:rPr>
                      <w:b/>
                      <w:color w:val="auto"/>
                    </w:rPr>
                    <w:t>本项目建设情况</w:t>
                  </w:r>
                </w:p>
              </w:tc>
              <w:tc>
                <w:tcPr>
                  <w:tcW w:w="306" w:type="pct"/>
                  <w:tcBorders>
                    <w:top w:val="single" w:color="auto" w:sz="12" w:space="0"/>
                    <w:right w:val="nil"/>
                  </w:tcBorders>
                  <w:vAlign w:val="center"/>
                </w:tcPr>
                <w:p w14:paraId="75BE1DCE">
                  <w:pPr>
                    <w:keepNext/>
                    <w:snapToGrid w:val="0"/>
                    <w:jc w:val="center"/>
                    <w:rPr>
                      <w:b/>
                      <w:color w:val="auto"/>
                    </w:rPr>
                  </w:pPr>
                  <w:r>
                    <w:rPr>
                      <w:b/>
                      <w:color w:val="auto"/>
                    </w:rPr>
                    <w:t>相符性分析</w:t>
                  </w:r>
                </w:p>
              </w:tc>
            </w:tr>
            <w:tr w14:paraId="12B7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08E19320">
                  <w:pPr>
                    <w:jc w:val="center"/>
                    <w:rPr>
                      <w:color w:val="auto"/>
                      <w:szCs w:val="21"/>
                    </w:rPr>
                  </w:pPr>
                  <w:r>
                    <w:rPr>
                      <w:color w:val="auto"/>
                      <w:szCs w:val="21"/>
                    </w:rPr>
                    <w:t>空间布局约束性</w:t>
                  </w:r>
                </w:p>
              </w:tc>
              <w:tc>
                <w:tcPr>
                  <w:tcW w:w="2977" w:type="pct"/>
                  <w:vAlign w:val="center"/>
                </w:tcPr>
                <w:p w14:paraId="522CE8D4">
                  <w:pPr>
                    <w:jc w:val="center"/>
                    <w:rPr>
                      <w:color w:val="auto"/>
                      <w:szCs w:val="21"/>
                    </w:rPr>
                  </w:pPr>
                  <w:r>
                    <w:rPr>
                      <w:color w:val="auto"/>
                      <w:szCs w:val="21"/>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2.严格执行《中共淮安市委淮安市人民政府关于优化全市空间功能定位和产业布局的意见》（淮发〔2016〕37号）、《淮安市产业结构调整指导目录（2018</w:t>
                  </w:r>
                  <w:r>
                    <w:rPr>
                      <w:rFonts w:hint="eastAsia"/>
                      <w:color w:val="auto"/>
                      <w:szCs w:val="21"/>
                      <w:lang w:eastAsia="zh-CN"/>
                    </w:rPr>
                    <w:t>—</w:t>
                  </w:r>
                  <w:r>
                    <w:rPr>
                      <w:color w:val="auto"/>
                      <w:szCs w:val="21"/>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w:t>
                  </w:r>
                  <w:r>
                    <w:rPr>
                      <w:rFonts w:hint="eastAsia"/>
                      <w:color w:val="auto"/>
                      <w:szCs w:val="21"/>
                      <w:lang w:eastAsia="zh-CN"/>
                    </w:rPr>
                    <w:t>工地</w:t>
                  </w:r>
                  <w:r>
                    <w:rPr>
                      <w:color w:val="auto"/>
                      <w:szCs w:val="21"/>
                    </w:rPr>
                    <w:t>和污染物排放总量的情况下可以实施产业政策鼓励类、允许类的技术改造项目。</w:t>
                  </w:r>
                </w:p>
              </w:tc>
              <w:tc>
                <w:tcPr>
                  <w:tcW w:w="1372" w:type="pct"/>
                  <w:vAlign w:val="center"/>
                </w:tcPr>
                <w:p w14:paraId="362D082F">
                  <w:pPr>
                    <w:jc w:val="center"/>
                    <w:rPr>
                      <w:color w:val="auto"/>
                      <w:szCs w:val="21"/>
                    </w:rPr>
                  </w:pPr>
                  <w:r>
                    <w:rPr>
                      <w:color w:val="auto"/>
                      <w:szCs w:val="21"/>
                    </w:rPr>
                    <w:t>本项目为</w:t>
                  </w:r>
                  <w:r>
                    <w:rPr>
                      <w:rFonts w:hint="eastAsia"/>
                      <w:color w:val="auto"/>
                      <w:szCs w:val="21"/>
                    </w:rPr>
                    <w:t>其他工艺美术及礼仪用品制造项目</w:t>
                  </w:r>
                  <w:r>
                    <w:rPr>
                      <w:color w:val="auto"/>
                      <w:szCs w:val="21"/>
                    </w:rPr>
                    <w:t>，位于</w:t>
                  </w:r>
                  <w:r>
                    <w:rPr>
                      <w:rFonts w:hint="eastAsia"/>
                      <w:color w:val="auto"/>
                      <w:szCs w:val="21"/>
                    </w:rPr>
                    <w:t>江</w:t>
                  </w:r>
                  <w:r>
                    <w:rPr>
                      <w:rFonts w:hint="eastAsia"/>
                      <w:bCs/>
                      <w:color w:val="auto"/>
                    </w:rPr>
                    <w:t>苏省淮安市涟水县经济开发区蒋庵东路东侧、清涟大道北侧</w:t>
                  </w:r>
                  <w:r>
                    <w:rPr>
                      <w:color w:val="auto"/>
                      <w:szCs w:val="21"/>
                    </w:rPr>
                    <w:t>，不属于高耗能、高污染、技术落后的产业，不属于新建、扩建化工项目。不属于限制类和禁止类行业，属于允许入园项目，满足空间布局管控要求。</w:t>
                  </w:r>
                </w:p>
              </w:tc>
              <w:tc>
                <w:tcPr>
                  <w:tcW w:w="306" w:type="pct"/>
                  <w:tcBorders>
                    <w:right w:val="nil"/>
                  </w:tcBorders>
                  <w:vAlign w:val="center"/>
                </w:tcPr>
                <w:p w14:paraId="0522E60E">
                  <w:pPr>
                    <w:jc w:val="center"/>
                    <w:rPr>
                      <w:color w:val="auto"/>
                      <w:szCs w:val="21"/>
                    </w:rPr>
                  </w:pPr>
                  <w:r>
                    <w:rPr>
                      <w:color w:val="auto"/>
                      <w:szCs w:val="21"/>
                    </w:rPr>
                    <w:t>符合</w:t>
                  </w:r>
                </w:p>
              </w:tc>
            </w:tr>
            <w:tr w14:paraId="5F11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33C1F27B">
                  <w:pPr>
                    <w:jc w:val="center"/>
                    <w:rPr>
                      <w:color w:val="auto"/>
                      <w:szCs w:val="21"/>
                    </w:rPr>
                  </w:pPr>
                  <w:r>
                    <w:rPr>
                      <w:color w:val="auto"/>
                      <w:szCs w:val="21"/>
                    </w:rPr>
                    <w:t>污染物排放管控</w:t>
                  </w:r>
                </w:p>
              </w:tc>
              <w:tc>
                <w:tcPr>
                  <w:tcW w:w="2977" w:type="pct"/>
                  <w:vAlign w:val="center"/>
                </w:tcPr>
                <w:p w14:paraId="62974EB4">
                  <w:pPr>
                    <w:jc w:val="center"/>
                    <w:rPr>
                      <w:color w:val="auto"/>
                      <w:szCs w:val="21"/>
                    </w:rPr>
                  </w:pPr>
                  <w:r>
                    <w:rPr>
                      <w:color w:val="auto"/>
                      <w:szCs w:val="21"/>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2.新</w:t>
                  </w:r>
                  <w:r>
                    <w:rPr>
                      <w:rFonts w:hint="eastAsia"/>
                      <w:color w:val="auto"/>
                      <w:szCs w:val="21"/>
                      <w:lang w:eastAsia="zh-CN"/>
                    </w:rPr>
                    <w:t>增资</w:t>
                  </w:r>
                  <w:r>
                    <w:rPr>
                      <w:color w:val="auto"/>
                      <w:szCs w:val="21"/>
                    </w:rPr>
                    <w:t>源排放标准限制：根据《淮安市打赢蓝天保卫战三年行动计划实施方案》（淮政发〔2018〕113号），全市范围内二氧化硫、氮氧化物、颗粒物、VOCS全面执行大气污染物特别排放限值。</w:t>
                  </w:r>
                </w:p>
              </w:tc>
              <w:tc>
                <w:tcPr>
                  <w:tcW w:w="1372" w:type="pct"/>
                  <w:vAlign w:val="center"/>
                </w:tcPr>
                <w:p w14:paraId="2D9B9928">
                  <w:pPr>
                    <w:jc w:val="center"/>
                    <w:rPr>
                      <w:color w:val="auto"/>
                      <w:szCs w:val="21"/>
                    </w:rPr>
                  </w:pPr>
                  <w:r>
                    <w:rPr>
                      <w:color w:val="auto"/>
                      <w:szCs w:val="21"/>
                    </w:rPr>
                    <w:t>①本项目排放的污染物总量可在涟水县范围内平衡；②本项目</w:t>
                  </w:r>
                  <w:r>
                    <w:rPr>
                      <w:rFonts w:hint="eastAsia"/>
                      <w:color w:val="auto"/>
                      <w:szCs w:val="21"/>
                    </w:rPr>
                    <w:t>NMHC、颗粒物执行</w:t>
                  </w:r>
                  <w:r>
                    <w:rPr>
                      <w:color w:val="auto"/>
                      <w:szCs w:val="21"/>
                    </w:rPr>
                    <w:t>《大气污染物综合排放标准》(DB32/4041-2021</w:t>
                  </w:r>
                  <w:r>
                    <w:rPr>
                      <w:rFonts w:hint="eastAsia"/>
                      <w:color w:val="auto"/>
                      <w:szCs w:val="21"/>
                      <w:lang w:eastAsia="zh-CN"/>
                    </w:rPr>
                    <w:t>）</w:t>
                  </w:r>
                  <w:r>
                    <w:rPr>
                      <w:color w:val="auto"/>
                      <w:szCs w:val="21"/>
                    </w:rPr>
                    <w:t>表1、表3标准</w:t>
                  </w:r>
                  <w:r>
                    <w:rPr>
                      <w:rFonts w:hint="eastAsia"/>
                      <w:color w:val="auto"/>
                      <w:szCs w:val="21"/>
                    </w:rPr>
                    <w:t>，喷漆颗粒物、苯乙烯、二甲苯、非甲烷总烃执行工业涂装工序大气污染物排放标准》（</w:t>
                  </w:r>
                  <w:r>
                    <w:rPr>
                      <w:color w:val="auto"/>
                      <w:szCs w:val="21"/>
                    </w:rPr>
                    <w:t>DB32/4439-2022</w:t>
                  </w:r>
                  <w:r>
                    <w:rPr>
                      <w:rFonts w:hint="eastAsia"/>
                      <w:color w:val="auto"/>
                      <w:szCs w:val="21"/>
                    </w:rPr>
                    <w:t>）表1和表3标准，</w:t>
                  </w:r>
                  <w:r>
                    <w:rPr>
                      <w:rFonts w:hint="eastAsia"/>
                      <w:color w:val="auto"/>
                      <w:szCs w:val="21"/>
                      <w:lang w:val="en-US" w:eastAsia="zh-CN"/>
                    </w:rPr>
                    <w:t>UV丝印工序执行</w:t>
                  </w:r>
                  <w:r>
                    <w:rPr>
                      <w:rFonts w:hint="eastAsia" w:ascii="Times New Roman" w:hAnsi="Times New Roman" w:eastAsia="宋体" w:cs="Times New Roman"/>
                      <w:color w:val="auto"/>
                      <w:szCs w:val="21"/>
                      <w:lang w:val="en-US" w:eastAsia="zh-CN"/>
                    </w:rPr>
                    <w:t>《印刷工业大气污染物排放标准》（DB32/4438-2022）表1限值及表3限值，</w:t>
                  </w:r>
                  <w:r>
                    <w:rPr>
                      <w:rFonts w:hint="eastAsia"/>
                      <w:color w:val="auto"/>
                      <w:szCs w:val="21"/>
                    </w:rPr>
                    <w:t>天然气燃烧产生颗粒物、二氧化硫、氮氧化物执行《工业炉窑大气污染物排放标准》（DB32/3728—2020）表1标准</w:t>
                  </w:r>
                  <w:r>
                    <w:rPr>
                      <w:rFonts w:hint="eastAsia"/>
                      <w:bCs/>
                      <w:color w:val="auto"/>
                      <w:szCs w:val="21"/>
                    </w:rPr>
                    <w:t>，</w:t>
                  </w:r>
                  <w:r>
                    <w:rPr>
                      <w:rFonts w:hint="eastAsia"/>
                      <w:color w:val="auto"/>
                      <w:szCs w:val="21"/>
                    </w:rPr>
                    <w:t>厂区内NMHC执行江苏省《大气污染物综合排放标准》（DB32/4041-2021）表2限值</w:t>
                  </w:r>
                  <w:r>
                    <w:rPr>
                      <w:color w:val="auto"/>
                      <w:szCs w:val="21"/>
                    </w:rPr>
                    <w:t>。</w:t>
                  </w:r>
                </w:p>
              </w:tc>
              <w:tc>
                <w:tcPr>
                  <w:tcW w:w="306" w:type="pct"/>
                  <w:tcBorders>
                    <w:right w:val="nil"/>
                  </w:tcBorders>
                  <w:vAlign w:val="center"/>
                </w:tcPr>
                <w:p w14:paraId="798F2C46">
                  <w:pPr>
                    <w:jc w:val="center"/>
                    <w:rPr>
                      <w:color w:val="auto"/>
                      <w:szCs w:val="21"/>
                    </w:rPr>
                  </w:pPr>
                  <w:r>
                    <w:rPr>
                      <w:color w:val="auto"/>
                      <w:szCs w:val="21"/>
                    </w:rPr>
                    <w:t>符合</w:t>
                  </w:r>
                </w:p>
              </w:tc>
            </w:tr>
            <w:tr w14:paraId="69A6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1C69AA76">
                  <w:pPr>
                    <w:jc w:val="center"/>
                    <w:rPr>
                      <w:color w:val="auto"/>
                      <w:szCs w:val="21"/>
                    </w:rPr>
                  </w:pPr>
                  <w:r>
                    <w:rPr>
                      <w:color w:val="auto"/>
                      <w:szCs w:val="21"/>
                    </w:rPr>
                    <w:t>环境风险防控</w:t>
                  </w:r>
                </w:p>
              </w:tc>
              <w:tc>
                <w:tcPr>
                  <w:tcW w:w="2977" w:type="pct"/>
                  <w:vAlign w:val="center"/>
                </w:tcPr>
                <w:p w14:paraId="2CF41288">
                  <w:pPr>
                    <w:jc w:val="center"/>
                    <w:rPr>
                      <w:color w:val="auto"/>
                      <w:szCs w:val="21"/>
                    </w:rPr>
                  </w:pPr>
                  <w:r>
                    <w:rPr>
                      <w:color w:val="auto"/>
                      <w:szCs w:val="21"/>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2.根据《淮安市“两减六治三提升”专项行动方案》（淮发〔2017〕26号），加强县以上城市应急备用水源建设和管理，强化应急体系建设，建立饮用水源地实时监测监控系统，落实水源地日常巡查制度。3.根据《中共淮安市委淮安市人民政府关于全面加强生态环境保护坚决打好污染防治攻坚战的实施意见》（淮发〔2018〕33号），严格控制环境风险项目，整合和提升现有工业集聚区，加快城市建成区内石化、化工、水泥、钢铁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1372" w:type="pct"/>
                  <w:vAlign w:val="center"/>
                </w:tcPr>
                <w:p w14:paraId="46264079">
                  <w:pPr>
                    <w:jc w:val="center"/>
                    <w:rPr>
                      <w:color w:val="auto"/>
                      <w:szCs w:val="21"/>
                    </w:rPr>
                  </w:pPr>
                  <w:r>
                    <w:rPr>
                      <w:color w:val="auto"/>
                      <w:szCs w:val="21"/>
                    </w:rPr>
                    <w:t>本项目建成后将积极主动加入区域联动系统，响应联防联控，减小环境事件的影响。本项目将建立完善的环境应急措施，并将应急装备和储备物资纳入储备体系，积极响应市、县、乡突发环境</w:t>
                  </w:r>
                  <w:r>
                    <w:rPr>
                      <w:rFonts w:hint="eastAsia"/>
                      <w:color w:val="auto"/>
                      <w:szCs w:val="21"/>
                    </w:rPr>
                    <w:t>事件</w:t>
                  </w:r>
                  <w:r>
                    <w:rPr>
                      <w:color w:val="auto"/>
                      <w:szCs w:val="21"/>
                    </w:rPr>
                    <w:t>应急响应体系，并积极参加定期组织的演练，从而提高应急处置能力。</w:t>
                  </w:r>
                </w:p>
              </w:tc>
              <w:tc>
                <w:tcPr>
                  <w:tcW w:w="306" w:type="pct"/>
                  <w:tcBorders>
                    <w:right w:val="nil"/>
                  </w:tcBorders>
                  <w:vAlign w:val="center"/>
                </w:tcPr>
                <w:p w14:paraId="2DA8B843">
                  <w:pPr>
                    <w:jc w:val="center"/>
                    <w:rPr>
                      <w:color w:val="auto"/>
                      <w:szCs w:val="21"/>
                    </w:rPr>
                  </w:pPr>
                  <w:r>
                    <w:rPr>
                      <w:color w:val="auto"/>
                      <w:szCs w:val="21"/>
                    </w:rPr>
                    <w:t>符合</w:t>
                  </w:r>
                </w:p>
              </w:tc>
            </w:tr>
            <w:tr w14:paraId="48C9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bottom w:val="single" w:color="auto" w:sz="12" w:space="0"/>
                  </w:tcBorders>
                  <w:vAlign w:val="center"/>
                </w:tcPr>
                <w:p w14:paraId="0B7FC287">
                  <w:pPr>
                    <w:jc w:val="center"/>
                    <w:rPr>
                      <w:color w:val="auto"/>
                      <w:szCs w:val="21"/>
                    </w:rPr>
                  </w:pPr>
                  <w:r>
                    <w:rPr>
                      <w:color w:val="auto"/>
                      <w:szCs w:val="21"/>
                    </w:rPr>
                    <w:t>资源利用效率要求</w:t>
                  </w:r>
                </w:p>
              </w:tc>
              <w:tc>
                <w:tcPr>
                  <w:tcW w:w="2977" w:type="pct"/>
                  <w:tcBorders>
                    <w:bottom w:val="single" w:color="auto" w:sz="12" w:space="0"/>
                  </w:tcBorders>
                  <w:vAlign w:val="center"/>
                </w:tcPr>
                <w:p w14:paraId="10EF11F1">
                  <w:pPr>
                    <w:jc w:val="center"/>
                    <w:rPr>
                      <w:color w:val="auto"/>
                      <w:szCs w:val="21"/>
                    </w:rPr>
                  </w:pPr>
                  <w:r>
                    <w:rPr>
                      <w:color w:val="auto"/>
                      <w:szCs w:val="21"/>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2.地下水开采要求：根据《淮安市“两减六治三提升”专项行动方案》（淮发〔2017〕26号），到2020年，淮安市地下水超采区全面达到用水总量控制和水位红线控制要求，累计压缩地下水开采量3952.3万立方米。3.土地资源利用总量及效率要求：根据《淮安市土地利用总体规划（2006</w:t>
                  </w:r>
                  <w:r>
                    <w:rPr>
                      <w:rFonts w:hint="eastAsia"/>
                      <w:color w:val="auto"/>
                      <w:szCs w:val="21"/>
                      <w:lang w:eastAsia="zh-CN"/>
                    </w:rPr>
                    <w:t>—</w:t>
                  </w:r>
                  <w:r>
                    <w:rPr>
                      <w:color w:val="auto"/>
                      <w:szCs w:val="21"/>
                    </w:rPr>
                    <w:t>2020年）调整方案》，到2020年，淮安市耕地保有量不得低于47.6027万公顷，永久基本农田保护面积不低于39.4699万公顷，开发强度不得高于18%。4.能源利用总量及效率要求：根据《淮安市“两减六治三提升”专项行动方案》（淮发〔2017〕26号），到2020年，淮安市煤炭消费总量比2016年减少55万吨，电子行业煤炭消费占煤炭消费总量的比重提高到65%以上，非化石能源占一次能源比重达到10%。5.禁燃区要求：根据《江苏省大气污染防治条例》，禁燃区禁止新建、扩建燃用高污染燃料的项目和设施，已建成的应逐步或依法限期改用天然气、</w:t>
                  </w:r>
                  <w:r>
                    <w:rPr>
                      <w:rFonts w:hint="eastAsia"/>
                      <w:color w:val="auto"/>
                      <w:szCs w:val="21"/>
                      <w:lang w:eastAsia="zh-CN"/>
                    </w:rPr>
                    <w:t>电力</w:t>
                  </w:r>
                  <w:r>
                    <w:rPr>
                      <w:color w:val="auto"/>
                      <w:szCs w:val="21"/>
                    </w:rPr>
                    <w:t>或者其他清洁能源。6.能耗要求：根据《淮安市打赢蓝天保卫战三年行动计划实施方案》（淮政发〔2018〕113号），新建高耗能项目单位产品（产值）能耗要达到国际先进水平。</w:t>
                  </w:r>
                </w:p>
              </w:tc>
              <w:tc>
                <w:tcPr>
                  <w:tcW w:w="1372" w:type="pct"/>
                  <w:tcBorders>
                    <w:bottom w:val="single" w:color="auto" w:sz="12" w:space="0"/>
                  </w:tcBorders>
                  <w:vAlign w:val="center"/>
                </w:tcPr>
                <w:p w14:paraId="646FE146">
                  <w:pPr>
                    <w:jc w:val="center"/>
                    <w:rPr>
                      <w:color w:val="auto"/>
                      <w:szCs w:val="21"/>
                    </w:rPr>
                  </w:pPr>
                  <w:r>
                    <w:rPr>
                      <w:color w:val="auto"/>
                      <w:szCs w:val="21"/>
                    </w:rPr>
                    <w:t>①本项目不属于高耗水行业；②本项目占地为工业用地，不占用基本农田；③本项目不使用高污染燃料；④本项目不属于高耗能项目。</w:t>
                  </w:r>
                </w:p>
              </w:tc>
              <w:tc>
                <w:tcPr>
                  <w:tcW w:w="306" w:type="pct"/>
                  <w:tcBorders>
                    <w:bottom w:val="single" w:color="auto" w:sz="12" w:space="0"/>
                    <w:right w:val="nil"/>
                  </w:tcBorders>
                  <w:vAlign w:val="center"/>
                </w:tcPr>
                <w:p w14:paraId="2D80CF59">
                  <w:pPr>
                    <w:jc w:val="center"/>
                    <w:rPr>
                      <w:color w:val="auto"/>
                      <w:szCs w:val="21"/>
                    </w:rPr>
                  </w:pPr>
                  <w:r>
                    <w:rPr>
                      <w:color w:val="auto"/>
                      <w:szCs w:val="21"/>
                    </w:rPr>
                    <w:t>符合</w:t>
                  </w:r>
                </w:p>
              </w:tc>
            </w:tr>
          </w:tbl>
          <w:p w14:paraId="29CB48EA">
            <w:pPr>
              <w:adjustRightInd w:val="0"/>
              <w:snapToGrid w:val="0"/>
              <w:spacing w:line="360" w:lineRule="auto"/>
              <w:ind w:firstLine="482" w:firstLineChars="200"/>
              <w:rPr>
                <w:b/>
                <w:color w:val="auto"/>
                <w:sz w:val="24"/>
              </w:rPr>
            </w:pPr>
            <w:r>
              <w:rPr>
                <w:rFonts w:hint="eastAsia"/>
                <w:b/>
                <w:color w:val="auto"/>
                <w:sz w:val="24"/>
                <w:lang w:eastAsia="zh-CN"/>
              </w:rPr>
              <w:t>(2)</w:t>
            </w:r>
            <w:r>
              <w:rPr>
                <w:rFonts w:hint="eastAsia"/>
                <w:b/>
                <w:color w:val="auto"/>
                <w:sz w:val="24"/>
              </w:rPr>
              <w:t>与</w:t>
            </w:r>
            <w:r>
              <w:rPr>
                <w:b/>
                <w:color w:val="auto"/>
                <w:sz w:val="24"/>
              </w:rPr>
              <w:t>环境质量底线</w:t>
            </w:r>
            <w:r>
              <w:rPr>
                <w:rFonts w:hint="eastAsia"/>
                <w:b/>
                <w:color w:val="auto"/>
                <w:sz w:val="24"/>
              </w:rPr>
              <w:t>相符性</w:t>
            </w:r>
          </w:p>
          <w:p w14:paraId="5AE2CA62">
            <w:pPr>
              <w:adjustRightInd w:val="0"/>
              <w:snapToGrid w:val="0"/>
              <w:spacing w:line="360" w:lineRule="auto"/>
              <w:ind w:firstLine="480" w:firstLineChars="200"/>
              <w:rPr>
                <w:color w:val="auto"/>
                <w:sz w:val="24"/>
              </w:rPr>
            </w:pPr>
            <w:r>
              <w:rPr>
                <w:color w:val="auto"/>
                <w:sz w:val="24"/>
              </w:rPr>
              <w:t>①环境空气：根据《江苏省环境空气质量功能区划分》，本项目所在区域大气环境为二类区。</w:t>
            </w:r>
            <w:r>
              <w:rPr>
                <w:color w:val="auto"/>
                <w:sz w:val="24"/>
                <w:szCs w:val="20"/>
              </w:rPr>
              <w:t>根据《2023年淮安市生态环境状况公报》，2023年，全市细颗粒物（PM</w:t>
            </w:r>
            <w:r>
              <w:rPr>
                <w:color w:val="auto"/>
                <w:sz w:val="24"/>
                <w:szCs w:val="20"/>
                <w:vertAlign w:val="subscript"/>
              </w:rPr>
              <w:t>5</w:t>
            </w:r>
            <w:r>
              <w:rPr>
                <w:color w:val="auto"/>
                <w:sz w:val="24"/>
                <w:szCs w:val="20"/>
              </w:rPr>
              <w:t>）、可吸入颗粒物（PM</w:t>
            </w:r>
            <w:r>
              <w:rPr>
                <w:color w:val="auto"/>
                <w:sz w:val="24"/>
                <w:szCs w:val="20"/>
                <w:vertAlign w:val="subscript"/>
              </w:rPr>
              <w:t>10</w:t>
            </w:r>
            <w:r>
              <w:rPr>
                <w:color w:val="auto"/>
                <w:sz w:val="24"/>
                <w:szCs w:val="20"/>
              </w:rPr>
              <w:t>）、二氧化硫（SO</w:t>
            </w:r>
            <w:r>
              <w:rPr>
                <w:color w:val="auto"/>
                <w:sz w:val="24"/>
                <w:szCs w:val="20"/>
                <w:vertAlign w:val="subscript"/>
              </w:rPr>
              <w:t>2</w:t>
            </w:r>
            <w:r>
              <w:rPr>
                <w:color w:val="auto"/>
                <w:sz w:val="24"/>
                <w:szCs w:val="20"/>
              </w:rPr>
              <w:t>）、二氧化氮（NO</w:t>
            </w:r>
            <w:r>
              <w:rPr>
                <w:color w:val="auto"/>
                <w:sz w:val="24"/>
                <w:szCs w:val="20"/>
                <w:vertAlign w:val="subscript"/>
              </w:rPr>
              <w:t>2</w:t>
            </w:r>
            <w:r>
              <w:rPr>
                <w:color w:val="auto"/>
                <w:sz w:val="24"/>
                <w:szCs w:val="20"/>
              </w:rPr>
              <w:t>）、一氧化碳（CO）和臭氧（O</w:t>
            </w:r>
            <w:r>
              <w:rPr>
                <w:color w:val="auto"/>
                <w:sz w:val="24"/>
                <w:szCs w:val="20"/>
                <w:vertAlign w:val="subscript"/>
              </w:rPr>
              <w:t>3</w:t>
            </w:r>
            <w:r>
              <w:rPr>
                <w:color w:val="auto"/>
                <w:sz w:val="24"/>
                <w:szCs w:val="20"/>
              </w:rPr>
              <w:t>）浓度年均浓度分别为36微克/立方米、58微克/立方米、8微克/立方米、25微克/立方米、1.0毫克立方米、158微克/立方米。与2022年相比，O</w:t>
            </w:r>
            <w:r>
              <w:rPr>
                <w:color w:val="auto"/>
                <w:sz w:val="24"/>
                <w:szCs w:val="20"/>
                <w:vertAlign w:val="subscript"/>
              </w:rPr>
              <w:t>3</w:t>
            </w:r>
            <w:r>
              <w:rPr>
                <w:color w:val="auto"/>
                <w:sz w:val="24"/>
                <w:szCs w:val="20"/>
              </w:rPr>
              <w:t>污染有所改善，O</w:t>
            </w:r>
            <w:r>
              <w:rPr>
                <w:color w:val="auto"/>
                <w:sz w:val="24"/>
                <w:szCs w:val="20"/>
                <w:vertAlign w:val="subscript"/>
              </w:rPr>
              <w:t>3</w:t>
            </w:r>
            <w:r>
              <w:rPr>
                <w:color w:val="auto"/>
                <w:sz w:val="24"/>
                <w:szCs w:val="20"/>
              </w:rPr>
              <w:t>为首要污染物的超标天减少3天，PM</w:t>
            </w:r>
            <w:r>
              <w:rPr>
                <w:color w:val="auto"/>
                <w:sz w:val="24"/>
                <w:szCs w:val="20"/>
                <w:vertAlign w:val="subscript"/>
              </w:rPr>
              <w:t>2.5</w:t>
            </w:r>
            <w:r>
              <w:rPr>
                <w:color w:val="auto"/>
                <w:sz w:val="24"/>
                <w:szCs w:val="20"/>
              </w:rPr>
              <w:t>浓度有所反弹，PM</w:t>
            </w:r>
            <w:r>
              <w:rPr>
                <w:color w:val="auto"/>
                <w:sz w:val="24"/>
                <w:szCs w:val="20"/>
                <w:vertAlign w:val="subscript"/>
              </w:rPr>
              <w:t>2.5</w:t>
            </w:r>
            <w:r>
              <w:rPr>
                <w:color w:val="auto"/>
                <w:sz w:val="24"/>
                <w:szCs w:val="20"/>
              </w:rPr>
              <w:t>为首要污染物的超标天增加7天</w:t>
            </w:r>
            <w:r>
              <w:rPr>
                <w:rFonts w:hint="eastAsia"/>
                <w:color w:val="auto"/>
                <w:sz w:val="24"/>
                <w:szCs w:val="20"/>
              </w:rPr>
              <w:t>，因此本项目所在区域属于不达标区</w:t>
            </w:r>
            <w:r>
              <w:rPr>
                <w:color w:val="auto"/>
                <w:sz w:val="24"/>
              </w:rPr>
              <w:t>。</w:t>
            </w:r>
          </w:p>
          <w:p w14:paraId="6B89A49E">
            <w:pPr>
              <w:adjustRightInd w:val="0"/>
              <w:snapToGrid w:val="0"/>
              <w:spacing w:line="360" w:lineRule="auto"/>
              <w:ind w:firstLine="480" w:firstLineChars="200"/>
              <w:rPr>
                <w:color w:val="auto"/>
                <w:sz w:val="24"/>
              </w:rPr>
            </w:pPr>
            <w:r>
              <w:rPr>
                <w:rFonts w:hint="eastAsia"/>
                <w:color w:val="auto"/>
                <w:sz w:val="24"/>
              </w:rPr>
              <w:t>针对</w:t>
            </w:r>
            <w:r>
              <w:rPr>
                <w:color w:val="auto"/>
                <w:sz w:val="24"/>
              </w:rPr>
              <w:t>细颗粒物（PM</w:t>
            </w:r>
            <w:r>
              <w:rPr>
                <w:color w:val="auto"/>
                <w:sz w:val="24"/>
                <w:vertAlign w:val="subscript"/>
              </w:rPr>
              <w:t>2.5</w:t>
            </w:r>
            <w:r>
              <w:rPr>
                <w:color w:val="auto"/>
                <w:sz w:val="24"/>
              </w:rPr>
              <w:t>）</w:t>
            </w:r>
            <w:r>
              <w:rPr>
                <w:rFonts w:hint="eastAsia"/>
                <w:color w:val="auto"/>
                <w:sz w:val="24"/>
              </w:rPr>
              <w:t>超标现象，淮安市深入打好污染防治攻坚战指挥部办公室印发了</w:t>
            </w:r>
            <w:r>
              <w:rPr>
                <w:color w:val="auto"/>
                <w:sz w:val="24"/>
              </w:rPr>
              <w:t>《淮安市202</w:t>
            </w:r>
            <w:r>
              <w:rPr>
                <w:rFonts w:hint="eastAsia"/>
                <w:color w:val="auto"/>
                <w:sz w:val="24"/>
              </w:rPr>
              <w:t>4</w:t>
            </w:r>
            <w:r>
              <w:rPr>
                <w:color w:val="auto"/>
                <w:sz w:val="24"/>
              </w:rPr>
              <w:t>年大气污染防治工作计划》（淮污防攻坚指办〔2024〕50号）</w:t>
            </w:r>
            <w:r>
              <w:rPr>
                <w:rFonts w:hint="eastAsia"/>
                <w:color w:val="auto"/>
                <w:sz w:val="24"/>
              </w:rPr>
              <w:t>（以下简称《工作计划》）。</w:t>
            </w:r>
          </w:p>
          <w:p w14:paraId="3314E446">
            <w:pPr>
              <w:adjustRightInd w:val="0"/>
              <w:snapToGrid w:val="0"/>
              <w:spacing w:line="360" w:lineRule="auto"/>
              <w:ind w:firstLine="480" w:firstLineChars="200"/>
              <w:rPr>
                <w:color w:val="auto"/>
                <w:sz w:val="24"/>
                <w:szCs w:val="20"/>
              </w:rPr>
            </w:pPr>
            <w:r>
              <w:rPr>
                <w:rFonts w:hint="eastAsia"/>
                <w:color w:val="auto"/>
                <w:sz w:val="24"/>
              </w:rPr>
              <w:t>《工作计划》明确了工作目标：全市</w:t>
            </w:r>
            <w:r>
              <w:rPr>
                <w:color w:val="auto"/>
                <w:sz w:val="24"/>
              </w:rPr>
              <w:t>PM</w:t>
            </w:r>
            <w:r>
              <w:rPr>
                <w:color w:val="auto"/>
                <w:sz w:val="24"/>
                <w:vertAlign w:val="subscript"/>
              </w:rPr>
              <w:t>2.5</w:t>
            </w:r>
            <w:r>
              <w:rPr>
                <w:rFonts w:hint="eastAsia"/>
                <w:color w:val="auto"/>
                <w:sz w:val="24"/>
              </w:rPr>
              <w:t>浓度达到35微克/立方米左右，优良天数比率达到81.2%左右，臭氧浓度增长趋势得到有效遏制。完成省下达的氮氧化物4340吨、挥发性有机物3466吨的重点工程减排量目标。并提出以下重点</w:t>
            </w:r>
            <w:r>
              <w:rPr>
                <w:rFonts w:hint="eastAsia"/>
                <w:color w:val="auto"/>
                <w:sz w:val="24"/>
                <w:szCs w:val="20"/>
              </w:rPr>
              <w:t>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5673A52C">
            <w:pPr>
              <w:adjustRightInd w:val="0"/>
              <w:snapToGrid w:val="0"/>
              <w:spacing w:line="360" w:lineRule="auto"/>
              <w:ind w:firstLine="480" w:firstLineChars="200"/>
              <w:rPr>
                <w:color w:val="auto"/>
                <w:sz w:val="24"/>
                <w:szCs w:val="20"/>
              </w:rPr>
            </w:pPr>
            <w:r>
              <w:rPr>
                <w:rFonts w:hint="eastAsia"/>
                <w:color w:val="auto"/>
                <w:sz w:val="24"/>
                <w:szCs w:val="20"/>
              </w:rPr>
              <w:t>随着《淮安市2024年大气污染防治工作计划》（淮污防攻坚指办〔2024〕50号）的逐步落实，淮安市环境空气质量将逐渐得到改善，能够满足区域环境质量改善目标管理的要求。</w:t>
            </w:r>
          </w:p>
          <w:p w14:paraId="5C8444DF">
            <w:pPr>
              <w:adjustRightInd w:val="0"/>
              <w:snapToGrid w:val="0"/>
              <w:spacing w:line="360" w:lineRule="auto"/>
              <w:ind w:firstLine="480" w:firstLineChars="200"/>
              <w:rPr>
                <w:color w:val="auto"/>
                <w:sz w:val="24"/>
                <w:szCs w:val="20"/>
              </w:rPr>
            </w:pPr>
            <w:r>
              <w:rPr>
                <w:rFonts w:hint="eastAsia"/>
                <w:color w:val="auto"/>
                <w:sz w:val="24"/>
                <w:szCs w:val="20"/>
              </w:rPr>
              <w:t>②地表水环境：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color w:val="auto"/>
                <w:sz w:val="24"/>
                <w:szCs w:val="20"/>
                <w:lang w:eastAsia="zh-CN"/>
              </w:rPr>
              <w:t>（</w:t>
            </w:r>
            <w:r>
              <w:rPr>
                <w:rFonts w:hint="eastAsia"/>
                <w:color w:val="auto"/>
                <w:sz w:val="24"/>
                <w:szCs w:val="20"/>
              </w:rPr>
              <w:t>Ⅱ类断面4个</w:t>
            </w:r>
            <w:r>
              <w:rPr>
                <w:rFonts w:hint="eastAsia"/>
                <w:color w:val="auto"/>
                <w:sz w:val="24"/>
                <w:szCs w:val="20"/>
                <w:lang w:eastAsia="zh-CN"/>
              </w:rPr>
              <w:t>）</w:t>
            </w:r>
            <w:r>
              <w:rPr>
                <w:rFonts w:hint="eastAsia"/>
                <w:color w:val="auto"/>
                <w:sz w:val="24"/>
                <w:szCs w:val="20"/>
              </w:rPr>
              <w:t>，优Ⅲ比例81.8%，达标率100%，无V类和劣V类断面。纳入江苏省“十四五”水环境质量目标考核的57个断面中水质达到或好于</w:t>
            </w:r>
            <w:r>
              <w:rPr>
                <w:rFonts w:hint="eastAsia"/>
                <w:color w:val="auto"/>
                <w:sz w:val="24"/>
                <w:szCs w:val="20"/>
                <w:lang w:eastAsia="zh-CN"/>
              </w:rPr>
              <w:t>Ⅲ</w:t>
            </w:r>
            <w:r>
              <w:rPr>
                <w:rFonts w:hint="eastAsia"/>
                <w:color w:val="auto"/>
                <w:sz w:val="24"/>
                <w:szCs w:val="20"/>
              </w:rPr>
              <w:t>类标准的断面有53个，优Ⅲ比例93%，达标率100%，无V类和劣V类断面。</w:t>
            </w:r>
          </w:p>
          <w:p w14:paraId="654352CD">
            <w:pPr>
              <w:adjustRightInd w:val="0"/>
              <w:snapToGrid w:val="0"/>
              <w:spacing w:line="360" w:lineRule="auto"/>
              <w:ind w:firstLine="480" w:firstLineChars="200"/>
              <w:rPr>
                <w:color w:val="auto"/>
                <w:sz w:val="24"/>
                <w:szCs w:val="20"/>
              </w:rPr>
            </w:pPr>
            <w:r>
              <w:rPr>
                <w:rFonts w:hint="eastAsia"/>
                <w:color w:val="auto"/>
                <w:sz w:val="24"/>
                <w:szCs w:val="20"/>
              </w:rPr>
              <w:t>2023年，淮河、京杭大运河、苏北灌溉总渠、盐河、淮河入江水道、分淮入沂水道水质状况为优；入海水道南偏泓浔河、黄河故道、金</w:t>
            </w:r>
            <w:r>
              <w:rPr>
                <w:rFonts w:hint="eastAsia"/>
                <w:color w:val="auto"/>
                <w:sz w:val="24"/>
              </w:rPr>
              <w:t>宝航道、维桥河、利农河、南淮泗河</w:t>
            </w:r>
            <w:r>
              <w:rPr>
                <w:rFonts w:hint="eastAsia"/>
                <w:color w:val="auto"/>
                <w:sz w:val="24"/>
                <w:szCs w:val="20"/>
              </w:rPr>
              <w:t>张福河、团结河、高桥河、南六塘河、跃进河、汪木排河草泽河、唐响河、头溪河、运西河</w:t>
            </w:r>
            <w:r>
              <w:rPr>
                <w:rFonts w:hint="eastAsia"/>
                <w:color w:val="auto"/>
                <w:sz w:val="24"/>
                <w:szCs w:val="20"/>
                <w:lang w:eastAsia="zh-CN"/>
              </w:rPr>
              <w:t>－</w:t>
            </w:r>
            <w:r>
              <w:rPr>
                <w:rFonts w:hint="eastAsia"/>
                <w:color w:val="auto"/>
                <w:sz w:val="24"/>
                <w:szCs w:val="20"/>
              </w:rPr>
              <w:t>新河、周桥灌区总干渠一帆河、铜龙河、池河水质状况为良好；入海水道北偏泓、赵公河、公兴河水质状况为轻度污染。</w:t>
            </w:r>
          </w:p>
          <w:p w14:paraId="511F2817">
            <w:pPr>
              <w:adjustRightInd w:val="0"/>
              <w:snapToGrid w:val="0"/>
              <w:spacing w:line="360" w:lineRule="auto"/>
              <w:ind w:firstLine="480" w:firstLineChars="200"/>
              <w:rPr>
                <w:color w:val="auto"/>
                <w:sz w:val="24"/>
                <w:szCs w:val="20"/>
              </w:rPr>
            </w:pPr>
            <w:r>
              <w:rPr>
                <w:rFonts w:hint="eastAsia"/>
                <w:color w:val="auto"/>
                <w:sz w:val="24"/>
                <w:szCs w:val="20"/>
              </w:rPr>
              <w:t>淮安市将扎实开展汛期水质保障提升专项行动和国省考断面“保</w:t>
            </w:r>
            <w:r>
              <w:rPr>
                <w:rFonts w:hint="eastAsia"/>
                <w:color w:val="auto"/>
                <w:sz w:val="24"/>
                <w:szCs w:val="20"/>
                <w:lang w:eastAsia="zh-CN"/>
              </w:rPr>
              <w:t>Ⅲ</w:t>
            </w:r>
            <w:r>
              <w:rPr>
                <w:rFonts w:hint="eastAsia"/>
                <w:color w:val="auto"/>
                <w:sz w:val="24"/>
                <w:szCs w:val="20"/>
              </w:rPr>
              <w:t>增</w:t>
            </w:r>
            <w:r>
              <w:rPr>
                <w:rFonts w:hint="eastAsia"/>
                <w:color w:val="auto"/>
                <w:sz w:val="24"/>
                <w:szCs w:val="20"/>
                <w:lang w:eastAsia="zh-CN"/>
              </w:rPr>
              <w:t>Ⅲ</w:t>
            </w:r>
            <w:r>
              <w:rPr>
                <w:rFonts w:hint="eastAsia"/>
                <w:color w:val="auto"/>
                <w:sz w:val="24"/>
                <w:szCs w:val="20"/>
              </w:rPr>
              <w:t>升</w:t>
            </w:r>
            <w:r>
              <w:rPr>
                <w:rFonts w:hint="eastAsia"/>
                <w:color w:val="auto"/>
                <w:sz w:val="24"/>
                <w:szCs w:val="20"/>
                <w:lang w:eastAsia="zh-CN"/>
              </w:rPr>
              <w:t>Ⅲ</w:t>
            </w:r>
            <w:r>
              <w:rPr>
                <w:rFonts w:hint="eastAsia"/>
                <w:color w:val="auto"/>
                <w:sz w:val="24"/>
                <w:szCs w:val="20"/>
              </w:rPr>
              <w:t>”攻坚行动，大力推进重点断面“一断面一策”治理，后期大东镇也会采取各种水质改善措施，争取在地表水规划期末能达到</w:t>
            </w:r>
            <w:r>
              <w:rPr>
                <w:rFonts w:hint="eastAsia"/>
                <w:color w:val="auto"/>
                <w:sz w:val="24"/>
                <w:szCs w:val="20"/>
                <w:lang w:eastAsia="zh-CN"/>
              </w:rPr>
              <w:t>Ⅲ</w:t>
            </w:r>
            <w:r>
              <w:rPr>
                <w:rFonts w:hint="eastAsia"/>
                <w:color w:val="auto"/>
                <w:sz w:val="24"/>
                <w:szCs w:val="20"/>
              </w:rPr>
              <w:t>类水质标准。</w:t>
            </w:r>
          </w:p>
          <w:p w14:paraId="76A657E1">
            <w:pPr>
              <w:adjustRightInd w:val="0"/>
              <w:snapToGrid w:val="0"/>
              <w:spacing w:line="360" w:lineRule="auto"/>
              <w:ind w:firstLine="480" w:firstLineChars="200"/>
              <w:rPr>
                <w:color w:val="auto"/>
                <w:sz w:val="24"/>
                <w:szCs w:val="20"/>
              </w:rPr>
            </w:pPr>
            <w:r>
              <w:rPr>
                <w:rFonts w:hint="eastAsia"/>
                <w:color w:val="auto"/>
                <w:sz w:val="24"/>
                <w:szCs w:val="20"/>
              </w:rPr>
              <w:t>③声环境：根据《2023年淮安市生态环境状况公报》显示，2023年，淮安市声环境总体较好，全市各功能区昼夜噪声均达标。全市区域环境昼间噪声均值为55.1dB（A），夜间均值为45.3dB（A），同比均有所改善；全市昼间交通噪声均值为65.4dB（A），夜间交通噪声均值为55.4dB（A），均保持稳定，处于“好”水平。</w:t>
            </w:r>
          </w:p>
          <w:p w14:paraId="7DC0BB04">
            <w:pPr>
              <w:adjustRightInd w:val="0"/>
              <w:snapToGrid w:val="0"/>
              <w:spacing w:line="360" w:lineRule="auto"/>
              <w:ind w:firstLine="480" w:firstLineChars="200"/>
              <w:rPr>
                <w:color w:val="auto"/>
                <w:sz w:val="24"/>
                <w:szCs w:val="20"/>
              </w:rPr>
            </w:pPr>
            <w:r>
              <w:rPr>
                <w:rFonts w:hint="eastAsia"/>
                <w:color w:val="auto"/>
                <w:sz w:val="24"/>
                <w:szCs w:val="20"/>
              </w:rPr>
              <w:t>本项目废气、废水、噪声、固体废物等经有效处理及处置后，根据环境影响分析，对环境影响较小，预计不会改变环境质量现状。</w:t>
            </w:r>
          </w:p>
          <w:p w14:paraId="67513175">
            <w:pPr>
              <w:adjustRightInd w:val="0"/>
              <w:snapToGrid w:val="0"/>
              <w:spacing w:line="360" w:lineRule="auto"/>
              <w:ind w:firstLine="480" w:firstLineChars="200"/>
              <w:rPr>
                <w:color w:val="auto"/>
                <w:sz w:val="24"/>
              </w:rPr>
            </w:pPr>
            <w:r>
              <w:rPr>
                <w:rFonts w:hint="eastAsia"/>
                <w:color w:val="auto"/>
                <w:sz w:val="24"/>
              </w:rPr>
              <w:t>因此本项目的建设符合环境质量底线要求。</w:t>
            </w:r>
          </w:p>
          <w:p w14:paraId="38DEE7AA">
            <w:pPr>
              <w:adjustRightInd w:val="0"/>
              <w:snapToGrid w:val="0"/>
              <w:spacing w:line="360" w:lineRule="auto"/>
              <w:ind w:firstLine="482" w:firstLineChars="200"/>
              <w:rPr>
                <w:b/>
                <w:color w:val="auto"/>
                <w:sz w:val="24"/>
              </w:rPr>
            </w:pPr>
            <w:r>
              <w:rPr>
                <w:rFonts w:hint="eastAsia"/>
                <w:b/>
                <w:color w:val="auto"/>
                <w:sz w:val="24"/>
                <w:lang w:eastAsia="zh-CN"/>
              </w:rPr>
              <w:t>(3)</w:t>
            </w:r>
            <w:r>
              <w:rPr>
                <w:rFonts w:hint="eastAsia"/>
                <w:b/>
                <w:color w:val="auto"/>
                <w:sz w:val="24"/>
              </w:rPr>
              <w:t>与</w:t>
            </w:r>
            <w:r>
              <w:rPr>
                <w:b/>
                <w:color w:val="auto"/>
                <w:sz w:val="24"/>
              </w:rPr>
              <w:t>资源利用上线</w:t>
            </w:r>
            <w:r>
              <w:rPr>
                <w:rFonts w:hint="eastAsia"/>
                <w:b/>
                <w:color w:val="auto"/>
                <w:sz w:val="24"/>
              </w:rPr>
              <w:t>相符性</w:t>
            </w:r>
          </w:p>
          <w:p w14:paraId="0E108322">
            <w:pPr>
              <w:adjustRightInd w:val="0"/>
              <w:snapToGrid w:val="0"/>
              <w:spacing w:line="360" w:lineRule="auto"/>
              <w:ind w:firstLine="480" w:firstLineChars="200"/>
              <w:rPr>
                <w:color w:val="auto"/>
                <w:sz w:val="24"/>
              </w:rPr>
            </w:pPr>
            <w:r>
              <w:rPr>
                <w:color w:val="auto"/>
                <w:sz w:val="24"/>
              </w:rPr>
              <w:t>本项目位于</w:t>
            </w:r>
            <w:r>
              <w:rPr>
                <w:rFonts w:hint="eastAsia"/>
                <w:color w:val="auto"/>
                <w:sz w:val="24"/>
              </w:rPr>
              <w:t>江苏省淮安市涟水县经济开发区蒋庵东路东侧、清涟大道北侧</w:t>
            </w:r>
            <w:r>
              <w:rPr>
                <w:color w:val="auto"/>
                <w:sz w:val="24"/>
              </w:rPr>
              <w:t>，项目占地</w:t>
            </w:r>
            <w:r>
              <w:rPr>
                <w:rFonts w:hint="eastAsia"/>
                <w:color w:val="auto"/>
                <w:sz w:val="24"/>
              </w:rPr>
              <w:t>86115</w:t>
            </w:r>
            <w:r>
              <w:rPr>
                <w:color w:val="auto"/>
                <w:sz w:val="24"/>
              </w:rPr>
              <w:t>平方米（</w:t>
            </w:r>
            <w:r>
              <w:rPr>
                <w:rFonts w:hint="eastAsia"/>
                <w:color w:val="auto"/>
                <w:sz w:val="24"/>
              </w:rPr>
              <w:t>129.17</w:t>
            </w:r>
            <w:r>
              <w:rPr>
                <w:color w:val="auto"/>
                <w:sz w:val="24"/>
              </w:rPr>
              <w:t>亩），用地性质为工业用地，不占用农田，不影响区域土地资源总量。</w:t>
            </w:r>
          </w:p>
          <w:p w14:paraId="1B294BB2">
            <w:pPr>
              <w:adjustRightInd w:val="0"/>
              <w:snapToGrid w:val="0"/>
              <w:spacing w:line="360" w:lineRule="auto"/>
              <w:ind w:firstLine="480" w:firstLineChars="200"/>
              <w:rPr>
                <w:color w:val="auto"/>
                <w:sz w:val="24"/>
              </w:rPr>
            </w:pPr>
            <w:r>
              <w:rPr>
                <w:color w:val="auto"/>
                <w:sz w:val="24"/>
              </w:rPr>
              <w:t>本项目运营过程中消耗一定量的水资源，用水由当地自来水管网统一供给；项目用电由市政电网供给；项目天然气</w:t>
            </w:r>
            <w:r>
              <w:rPr>
                <w:rFonts w:hint="eastAsia"/>
                <w:color w:val="auto"/>
                <w:sz w:val="24"/>
              </w:rPr>
              <w:t>计划由天达燃气和新兴旺燃气通过管道提供；</w:t>
            </w:r>
            <w:r>
              <w:rPr>
                <w:color w:val="auto"/>
                <w:sz w:val="24"/>
              </w:rPr>
              <w:t>其他原辅料均从其他企业购买，未从环境资源中直接获取，市场供应量充足。因此，本项目符合资源利用</w:t>
            </w:r>
            <w:r>
              <w:rPr>
                <w:rFonts w:hint="eastAsia"/>
                <w:color w:val="auto"/>
                <w:sz w:val="24"/>
                <w:lang w:eastAsia="zh-CN"/>
              </w:rPr>
              <w:t>上限</w:t>
            </w:r>
            <w:r>
              <w:rPr>
                <w:color w:val="auto"/>
                <w:sz w:val="24"/>
              </w:rPr>
              <w:t>。</w:t>
            </w:r>
          </w:p>
          <w:p w14:paraId="79B3A934">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环境准入负面清单</w:t>
            </w:r>
          </w:p>
          <w:p w14:paraId="2E7E5E8E">
            <w:pPr>
              <w:adjustRightInd w:val="0"/>
              <w:snapToGrid w:val="0"/>
              <w:spacing w:line="360" w:lineRule="auto"/>
              <w:ind w:firstLine="480" w:firstLineChars="200"/>
              <w:rPr>
                <w:color w:val="auto"/>
                <w:sz w:val="24"/>
              </w:rPr>
            </w:pPr>
            <w:r>
              <w:rPr>
                <w:rFonts w:hint="eastAsia"/>
                <w:color w:val="auto"/>
                <w:sz w:val="24"/>
              </w:rPr>
              <w:t>建设项目位于江苏省淮安市涟水县经济开发区蒋庵东路东侧、清涟大道北侧，根据《淮安</w:t>
            </w:r>
            <w:r>
              <w:rPr>
                <w:rFonts w:hint="eastAsia"/>
                <w:color w:val="auto"/>
                <w:sz w:val="24"/>
                <w:lang w:eastAsia="zh-CN"/>
              </w:rPr>
              <w:t>（</w:t>
            </w:r>
            <w:r>
              <w:rPr>
                <w:rFonts w:hint="eastAsia"/>
                <w:color w:val="auto"/>
                <w:sz w:val="24"/>
              </w:rPr>
              <w:t>涟水</w:t>
            </w:r>
            <w:r>
              <w:rPr>
                <w:rFonts w:hint="eastAsia"/>
                <w:color w:val="auto"/>
                <w:sz w:val="24"/>
                <w:lang w:eastAsia="zh-CN"/>
              </w:rPr>
              <w:t>）</w:t>
            </w:r>
            <w:r>
              <w:rPr>
                <w:rFonts w:hint="eastAsia"/>
                <w:color w:val="auto"/>
                <w:sz w:val="24"/>
              </w:rPr>
              <w:t>空港产业园核心区东区开发建设规划（2022-2035）环境影响报告书》及</w:t>
            </w:r>
            <w:r>
              <w:rPr>
                <w:color w:val="auto"/>
                <w:sz w:val="24"/>
              </w:rPr>
              <w:t>《市场准入负面清单（2022年版）》（发改体改规</w:t>
            </w:r>
            <w:r>
              <w:rPr>
                <w:rFonts w:hint="eastAsia"/>
                <w:color w:val="auto"/>
                <w:sz w:val="24"/>
                <w:lang w:eastAsia="zh-CN"/>
              </w:rPr>
              <w:t>〔2022〕397号</w:t>
            </w:r>
            <w:r>
              <w:rPr>
                <w:color w:val="auto"/>
                <w:sz w:val="24"/>
              </w:rPr>
              <w:t>）中禁止事项分析项目的</w:t>
            </w:r>
            <w:r>
              <w:rPr>
                <w:rFonts w:hint="eastAsia"/>
                <w:color w:val="auto"/>
                <w:sz w:val="24"/>
              </w:rPr>
              <w:t>相</w:t>
            </w:r>
            <w:r>
              <w:rPr>
                <w:color w:val="auto"/>
                <w:sz w:val="24"/>
              </w:rPr>
              <w:t>符性见表1-</w:t>
            </w:r>
            <w:r>
              <w:rPr>
                <w:rFonts w:hint="eastAsia"/>
                <w:color w:val="auto"/>
                <w:sz w:val="24"/>
              </w:rPr>
              <w:t>6</w:t>
            </w:r>
            <w:r>
              <w:rPr>
                <w:color w:val="auto"/>
                <w:sz w:val="24"/>
              </w:rPr>
              <w:t>。</w:t>
            </w:r>
          </w:p>
          <w:p w14:paraId="5A6C85A5">
            <w:pPr>
              <w:tabs>
                <w:tab w:val="left" w:pos="720"/>
              </w:tabs>
              <w:adjustRightInd w:val="0"/>
              <w:snapToGrid w:val="0"/>
              <w:spacing w:line="360" w:lineRule="auto"/>
              <w:jc w:val="center"/>
              <w:rPr>
                <w:color w:val="auto"/>
                <w:szCs w:val="21"/>
              </w:rPr>
            </w:pPr>
            <w:r>
              <w:rPr>
                <w:b/>
                <w:color w:val="auto"/>
                <w:sz w:val="24"/>
                <w:szCs w:val="32"/>
              </w:rPr>
              <w:t>表1-</w:t>
            </w:r>
            <w:r>
              <w:rPr>
                <w:rFonts w:hint="eastAsia"/>
                <w:b/>
                <w:color w:val="auto"/>
                <w:sz w:val="24"/>
                <w:szCs w:val="32"/>
              </w:rPr>
              <w:t>6</w:t>
            </w:r>
            <w:r>
              <w:rPr>
                <w:b/>
                <w:color w:val="auto"/>
                <w:sz w:val="24"/>
                <w:szCs w:val="32"/>
              </w:rPr>
              <w:t>与</w:t>
            </w:r>
            <w:r>
              <w:rPr>
                <w:rFonts w:hint="eastAsia"/>
                <w:b/>
                <w:color w:val="auto"/>
                <w:sz w:val="24"/>
                <w:szCs w:val="32"/>
              </w:rPr>
              <w:t>涟水空港产业园生态环境准入清单</w:t>
            </w:r>
            <w:r>
              <w:rPr>
                <w:b/>
                <w:color w:val="auto"/>
                <w:sz w:val="24"/>
                <w:szCs w:val="32"/>
              </w:rPr>
              <w:t>相符性分析</w:t>
            </w:r>
          </w:p>
          <w:tbl>
            <w:tblPr>
              <w:tblStyle w:val="89"/>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4382"/>
              <w:gridCol w:w="2763"/>
              <w:gridCol w:w="457"/>
            </w:tblGrid>
            <w:tr w14:paraId="17DB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top w:val="single" w:color="auto" w:sz="12" w:space="0"/>
                  </w:tcBorders>
                  <w:vAlign w:val="center"/>
                </w:tcPr>
                <w:p w14:paraId="4EF3019C">
                  <w:pPr>
                    <w:jc w:val="center"/>
                    <w:rPr>
                      <w:b/>
                      <w:bCs/>
                      <w:color w:val="auto"/>
                      <w:szCs w:val="21"/>
                    </w:rPr>
                  </w:pPr>
                  <w:r>
                    <w:rPr>
                      <w:b/>
                      <w:bCs/>
                      <w:color w:val="auto"/>
                      <w:szCs w:val="21"/>
                    </w:rPr>
                    <w:t>项目</w:t>
                  </w:r>
                </w:p>
              </w:tc>
              <w:tc>
                <w:tcPr>
                  <w:tcW w:w="2688" w:type="pct"/>
                  <w:tcBorders>
                    <w:top w:val="single" w:color="auto" w:sz="12" w:space="0"/>
                  </w:tcBorders>
                  <w:vAlign w:val="center"/>
                </w:tcPr>
                <w:p w14:paraId="06303C27">
                  <w:pPr>
                    <w:jc w:val="center"/>
                    <w:rPr>
                      <w:b/>
                      <w:bCs/>
                      <w:color w:val="auto"/>
                      <w:szCs w:val="21"/>
                    </w:rPr>
                  </w:pPr>
                  <w:r>
                    <w:rPr>
                      <w:b/>
                      <w:bCs/>
                      <w:color w:val="auto"/>
                      <w:szCs w:val="21"/>
                    </w:rPr>
                    <w:t>准入清单、控制要求</w:t>
                  </w:r>
                </w:p>
              </w:tc>
              <w:tc>
                <w:tcPr>
                  <w:tcW w:w="1695" w:type="pct"/>
                  <w:tcBorders>
                    <w:top w:val="single" w:color="auto" w:sz="12" w:space="0"/>
                  </w:tcBorders>
                  <w:vAlign w:val="center"/>
                </w:tcPr>
                <w:p w14:paraId="36C1848F">
                  <w:pPr>
                    <w:jc w:val="center"/>
                    <w:rPr>
                      <w:b/>
                      <w:bCs/>
                      <w:color w:val="auto"/>
                      <w:szCs w:val="21"/>
                    </w:rPr>
                  </w:pPr>
                  <w:r>
                    <w:rPr>
                      <w:b/>
                      <w:bCs/>
                      <w:color w:val="auto"/>
                      <w:szCs w:val="21"/>
                    </w:rPr>
                    <w:t>本项目情况</w:t>
                  </w:r>
                </w:p>
              </w:tc>
              <w:tc>
                <w:tcPr>
                  <w:tcW w:w="280" w:type="pct"/>
                  <w:tcBorders>
                    <w:top w:val="single" w:color="auto" w:sz="12" w:space="0"/>
                    <w:right w:val="nil"/>
                  </w:tcBorders>
                  <w:vAlign w:val="center"/>
                </w:tcPr>
                <w:p w14:paraId="5770E95E">
                  <w:pPr>
                    <w:jc w:val="center"/>
                    <w:rPr>
                      <w:b/>
                      <w:bCs/>
                      <w:color w:val="auto"/>
                      <w:szCs w:val="21"/>
                    </w:rPr>
                  </w:pPr>
                  <w:r>
                    <w:rPr>
                      <w:b/>
                      <w:bCs/>
                      <w:color w:val="auto"/>
                      <w:szCs w:val="21"/>
                    </w:rPr>
                    <w:t>相符性</w:t>
                  </w:r>
                </w:p>
              </w:tc>
            </w:tr>
            <w:tr w14:paraId="6CFE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tcBorders>
                    <w:left w:val="nil"/>
                  </w:tcBorders>
                  <w:vAlign w:val="center"/>
                </w:tcPr>
                <w:p w14:paraId="63E4A64F">
                  <w:pPr>
                    <w:jc w:val="center"/>
                    <w:rPr>
                      <w:color w:val="auto"/>
                      <w:szCs w:val="21"/>
                    </w:rPr>
                  </w:pPr>
                  <w:r>
                    <w:rPr>
                      <w:color w:val="auto"/>
                      <w:szCs w:val="21"/>
                    </w:rPr>
                    <w:t>产业准入</w:t>
                  </w:r>
                </w:p>
              </w:tc>
              <w:tc>
                <w:tcPr>
                  <w:tcW w:w="2688" w:type="pct"/>
                  <w:vAlign w:val="center"/>
                </w:tcPr>
                <w:p w14:paraId="301E19FB">
                  <w:pPr>
                    <w:widowControl/>
                    <w:shd w:val="clear" w:color="auto" w:fill="FFFFFF"/>
                    <w:jc w:val="center"/>
                    <w:rPr>
                      <w:color w:val="auto"/>
                      <w:szCs w:val="21"/>
                    </w:rPr>
                  </w:pPr>
                  <w:r>
                    <w:rPr>
                      <w:color w:val="auto"/>
                      <w:szCs w:val="21"/>
                    </w:rPr>
                    <w:t>优先引入：1、符合国家及地方产业政策，包括《产业结构调整指导目录</w:t>
                  </w:r>
                  <w:r>
                    <w:rPr>
                      <w:rFonts w:hint="eastAsia"/>
                      <w:color w:val="auto"/>
                      <w:szCs w:val="21"/>
                      <w:lang w:eastAsia="zh-CN"/>
                    </w:rPr>
                    <w:t>》《</w:t>
                  </w:r>
                  <w:r>
                    <w:rPr>
                      <w:color w:val="auto"/>
                      <w:szCs w:val="21"/>
                    </w:rPr>
                    <w:t>外商投资产业指导目录</w:t>
                  </w:r>
                  <w:r>
                    <w:rPr>
                      <w:rFonts w:hint="eastAsia"/>
                      <w:color w:val="auto"/>
                      <w:szCs w:val="21"/>
                      <w:lang w:eastAsia="zh-CN"/>
                    </w:rPr>
                    <w:t>》《</w:t>
                  </w:r>
                  <w:r>
                    <w:rPr>
                      <w:color w:val="auto"/>
                      <w:szCs w:val="21"/>
                    </w:rPr>
                    <w:t>江苏省人民政府发布核准的投资项目目录》等；符合所属行业有关发展规划。</w:t>
                  </w:r>
                </w:p>
                <w:p w14:paraId="2B9C1CAE">
                  <w:pPr>
                    <w:widowControl/>
                    <w:shd w:val="clear" w:color="auto" w:fill="FFFFFF"/>
                    <w:jc w:val="center"/>
                    <w:rPr>
                      <w:color w:val="auto"/>
                      <w:szCs w:val="21"/>
                    </w:rPr>
                  </w:pPr>
                  <w:r>
                    <w:rPr>
                      <w:rFonts w:hint="eastAsia"/>
                      <w:color w:val="auto"/>
                      <w:szCs w:val="21"/>
                      <w:lang w:eastAsia="zh-CN"/>
                    </w:rPr>
                    <w:t>2.</w:t>
                  </w:r>
                  <w:r>
                    <w:rPr>
                      <w:color w:val="auto"/>
                      <w:szCs w:val="21"/>
                    </w:rPr>
                    <w:t>符合涟水空港产业园规划产业定位</w:t>
                  </w:r>
                  <w:r>
                    <w:rPr>
                      <w:rFonts w:hint="eastAsia"/>
                      <w:color w:val="auto"/>
                      <w:szCs w:val="21"/>
                      <w:lang w:eastAsia="zh-CN"/>
                    </w:rPr>
                    <w:t>（</w:t>
                  </w:r>
                  <w:r>
                    <w:rPr>
                      <w:color w:val="auto"/>
                      <w:szCs w:val="21"/>
                    </w:rPr>
                    <w:t>新能源新材料产业主要发展光伏设备及元器件制造</w:t>
                  </w:r>
                  <w:r>
                    <w:rPr>
                      <w:rFonts w:hint="eastAsia"/>
                      <w:color w:val="auto"/>
                      <w:szCs w:val="21"/>
                      <w:lang w:eastAsia="zh-CN"/>
                    </w:rPr>
                    <w:t>（</w:t>
                  </w:r>
                  <w:r>
                    <w:rPr>
                      <w:color w:val="auto"/>
                      <w:szCs w:val="21"/>
                    </w:rPr>
                    <w:t>C3825</w:t>
                  </w:r>
                  <w:r>
                    <w:rPr>
                      <w:rFonts w:hint="eastAsia"/>
                      <w:color w:val="auto"/>
                      <w:szCs w:val="21"/>
                      <w:lang w:eastAsia="zh-CN"/>
                    </w:rPr>
                    <w:t>）</w:t>
                  </w:r>
                  <w:r>
                    <w:rPr>
                      <w:color w:val="auto"/>
                      <w:szCs w:val="21"/>
                    </w:rPr>
                    <w:t>、输配电及控制设备制造</w:t>
                  </w:r>
                </w:p>
                <w:p w14:paraId="34BCBE7D">
                  <w:pPr>
                    <w:widowControl/>
                    <w:shd w:val="clear" w:color="auto" w:fill="FFFFFF"/>
                    <w:jc w:val="center"/>
                    <w:rPr>
                      <w:color w:val="auto"/>
                      <w:szCs w:val="21"/>
                    </w:rPr>
                  </w:pPr>
                  <w:r>
                    <w:rPr>
                      <w:color w:val="auto"/>
                      <w:szCs w:val="21"/>
                    </w:rPr>
                    <w:t>(C382)、电子元件及电子专用材料制造</w:t>
                  </w:r>
                  <w:r>
                    <w:rPr>
                      <w:rFonts w:hint="eastAsia"/>
                      <w:color w:val="auto"/>
                      <w:szCs w:val="21"/>
                      <w:lang w:eastAsia="zh-CN"/>
                    </w:rPr>
                    <w:t>（</w:t>
                  </w:r>
                  <w:r>
                    <w:rPr>
                      <w:color w:val="auto"/>
                      <w:szCs w:val="21"/>
                    </w:rPr>
                    <w:t>C398</w:t>
                  </w:r>
                  <w:r>
                    <w:rPr>
                      <w:rFonts w:hint="eastAsia"/>
                      <w:color w:val="auto"/>
                      <w:szCs w:val="21"/>
                      <w:lang w:eastAsia="zh-CN"/>
                    </w:rPr>
                    <w:t>）</w:t>
                  </w:r>
                  <w:r>
                    <w:rPr>
                      <w:color w:val="auto"/>
                      <w:szCs w:val="21"/>
                    </w:rPr>
                    <w:t>等行业；高端装备制造产业主要发展金属加工机械制造</w:t>
                  </w:r>
                  <w:r>
                    <w:rPr>
                      <w:rFonts w:hint="eastAsia"/>
                      <w:color w:val="auto"/>
                      <w:szCs w:val="21"/>
                      <w:lang w:eastAsia="zh-CN"/>
                    </w:rPr>
                    <w:t>（</w:t>
                  </w:r>
                  <w:r>
                    <w:rPr>
                      <w:color w:val="auto"/>
                      <w:szCs w:val="21"/>
                    </w:rPr>
                    <w:t>C342</w:t>
                  </w:r>
                  <w:r>
                    <w:rPr>
                      <w:rFonts w:hint="eastAsia"/>
                      <w:color w:val="auto"/>
                      <w:szCs w:val="21"/>
                      <w:lang w:eastAsia="zh-CN"/>
                    </w:rPr>
                    <w:t>）</w:t>
                  </w:r>
                  <w:r>
                    <w:rPr>
                      <w:color w:val="auto"/>
                      <w:szCs w:val="21"/>
                    </w:rPr>
                    <w:t>、纺织服装和皮革加工专用设备制造</w:t>
                  </w:r>
                  <w:r>
                    <w:rPr>
                      <w:rFonts w:hint="eastAsia"/>
                      <w:color w:val="auto"/>
                      <w:szCs w:val="21"/>
                      <w:lang w:eastAsia="zh-CN"/>
                    </w:rPr>
                    <w:t>（</w:t>
                  </w:r>
                  <w:r>
                    <w:rPr>
                      <w:color w:val="auto"/>
                      <w:szCs w:val="21"/>
                    </w:rPr>
                    <w:t>C355</w:t>
                  </w:r>
                  <w:r>
                    <w:rPr>
                      <w:rFonts w:hint="eastAsia"/>
                      <w:color w:val="auto"/>
                      <w:szCs w:val="21"/>
                      <w:lang w:eastAsia="zh-CN"/>
                    </w:rPr>
                    <w:t>）</w:t>
                  </w:r>
                  <w:r>
                    <w:rPr>
                      <w:color w:val="auto"/>
                      <w:szCs w:val="21"/>
                    </w:rPr>
                    <w:t>、电子和电工机械专用设备制造</w:t>
                  </w:r>
                  <w:r>
                    <w:rPr>
                      <w:rFonts w:hint="eastAsia"/>
                      <w:color w:val="auto"/>
                      <w:szCs w:val="21"/>
                      <w:lang w:eastAsia="zh-CN"/>
                    </w:rPr>
                    <w:t>（</w:t>
                  </w:r>
                  <w:r>
                    <w:rPr>
                      <w:color w:val="auto"/>
                      <w:szCs w:val="21"/>
                    </w:rPr>
                    <w:t>C356</w:t>
                  </w:r>
                  <w:r>
                    <w:rPr>
                      <w:rFonts w:hint="eastAsia"/>
                      <w:color w:val="auto"/>
                      <w:szCs w:val="21"/>
                      <w:lang w:eastAsia="zh-CN"/>
                    </w:rPr>
                    <w:t>）</w:t>
                  </w:r>
                  <w:r>
                    <w:rPr>
                      <w:color w:val="auto"/>
                      <w:szCs w:val="21"/>
                    </w:rPr>
                    <w:t>、医疗仪器设备及器械制造</w:t>
                  </w:r>
                  <w:r>
                    <w:rPr>
                      <w:rFonts w:hint="eastAsia"/>
                      <w:color w:val="auto"/>
                      <w:szCs w:val="21"/>
                      <w:lang w:eastAsia="zh-CN"/>
                    </w:rPr>
                    <w:t>（</w:t>
                  </w:r>
                  <w:r>
                    <w:rPr>
                      <w:color w:val="auto"/>
                      <w:szCs w:val="21"/>
                    </w:rPr>
                    <w:t>C358</w:t>
                  </w:r>
                  <w:r>
                    <w:rPr>
                      <w:rFonts w:hint="eastAsia"/>
                      <w:color w:val="auto"/>
                      <w:szCs w:val="21"/>
                      <w:lang w:eastAsia="zh-CN"/>
                    </w:rPr>
                    <w:t>）</w:t>
                  </w:r>
                  <w:r>
                    <w:rPr>
                      <w:color w:val="auto"/>
                      <w:szCs w:val="21"/>
                    </w:rPr>
                    <w:t>、环保及其他专用设备制造</w:t>
                  </w:r>
                  <w:r>
                    <w:rPr>
                      <w:rFonts w:hint="eastAsia"/>
                      <w:color w:val="auto"/>
                      <w:szCs w:val="21"/>
                      <w:lang w:eastAsia="zh-CN"/>
                    </w:rPr>
                    <w:t>（</w:t>
                  </w:r>
                  <w:r>
                    <w:rPr>
                      <w:color w:val="auto"/>
                      <w:szCs w:val="21"/>
                    </w:rPr>
                    <w:t>C359</w:t>
                  </w:r>
                  <w:r>
                    <w:rPr>
                      <w:rFonts w:hint="eastAsia"/>
                      <w:color w:val="auto"/>
                      <w:szCs w:val="21"/>
                      <w:lang w:eastAsia="zh-CN"/>
                    </w:rPr>
                    <w:t>）</w:t>
                  </w:r>
                  <w:r>
                    <w:rPr>
                      <w:color w:val="auto"/>
                      <w:szCs w:val="21"/>
                    </w:rPr>
                    <w:t>等领域的部件总成，工业机器人制造</w:t>
                  </w:r>
                  <w:r>
                    <w:rPr>
                      <w:rFonts w:hint="eastAsia"/>
                      <w:color w:val="auto"/>
                      <w:szCs w:val="21"/>
                      <w:lang w:eastAsia="zh-CN"/>
                    </w:rPr>
                    <w:t>（</w:t>
                  </w:r>
                  <w:r>
                    <w:rPr>
                      <w:color w:val="auto"/>
                      <w:szCs w:val="21"/>
                    </w:rPr>
                    <w:t>C3491</w:t>
                  </w:r>
                  <w:r>
                    <w:rPr>
                      <w:rFonts w:hint="eastAsia"/>
                      <w:color w:val="auto"/>
                      <w:szCs w:val="21"/>
                      <w:lang w:eastAsia="zh-CN"/>
                    </w:rPr>
                    <w:t>）</w:t>
                  </w:r>
                  <w:r>
                    <w:rPr>
                      <w:color w:val="auto"/>
                      <w:szCs w:val="21"/>
                    </w:rPr>
                    <w:t>、增材制造装备制造</w:t>
                  </w:r>
                  <w:r>
                    <w:rPr>
                      <w:rFonts w:hint="eastAsia"/>
                      <w:color w:val="auto"/>
                      <w:szCs w:val="21"/>
                      <w:lang w:eastAsia="zh-CN"/>
                    </w:rPr>
                    <w:t>（</w:t>
                  </w:r>
                  <w:r>
                    <w:rPr>
                      <w:color w:val="auto"/>
                      <w:szCs w:val="21"/>
                    </w:rPr>
                    <w:t>C3493</w:t>
                  </w:r>
                  <w:r>
                    <w:rPr>
                      <w:rFonts w:hint="eastAsia"/>
                      <w:color w:val="auto"/>
                      <w:szCs w:val="21"/>
                      <w:lang w:eastAsia="zh-CN"/>
                    </w:rPr>
                    <w:t>）</w:t>
                  </w:r>
                  <w:r>
                    <w:rPr>
                      <w:color w:val="auto"/>
                      <w:szCs w:val="21"/>
                    </w:rPr>
                    <w:t>、轨道交通设施制造</w:t>
                  </w:r>
                  <w:r>
                    <w:rPr>
                      <w:rFonts w:hint="eastAsia"/>
                      <w:color w:val="auto"/>
                      <w:szCs w:val="21"/>
                      <w:lang w:eastAsia="zh-CN"/>
                    </w:rPr>
                    <w:t>（</w:t>
                  </w:r>
                  <w:r>
                    <w:rPr>
                      <w:color w:val="auto"/>
                      <w:szCs w:val="21"/>
                    </w:rPr>
                    <w:t>C372</w:t>
                  </w:r>
                  <w:r>
                    <w:rPr>
                      <w:rFonts w:hint="eastAsia"/>
                      <w:color w:val="auto"/>
                      <w:szCs w:val="21"/>
                      <w:lang w:eastAsia="zh-CN"/>
                    </w:rPr>
                    <w:t>）</w:t>
                  </w:r>
                  <w:r>
                    <w:rPr>
                      <w:color w:val="auto"/>
                      <w:szCs w:val="21"/>
                    </w:rPr>
                    <w:t>、航空航天设备制造</w:t>
                  </w:r>
                  <w:r>
                    <w:rPr>
                      <w:rFonts w:hint="eastAsia"/>
                      <w:color w:val="auto"/>
                      <w:szCs w:val="21"/>
                      <w:lang w:eastAsia="zh-CN"/>
                    </w:rPr>
                    <w:t>（</w:t>
                  </w:r>
                  <w:r>
                    <w:rPr>
                      <w:color w:val="auto"/>
                      <w:szCs w:val="21"/>
                    </w:rPr>
                    <w:t>C374</w:t>
                  </w:r>
                  <w:r>
                    <w:rPr>
                      <w:rFonts w:hint="eastAsia"/>
                      <w:color w:val="auto"/>
                      <w:szCs w:val="21"/>
                      <w:lang w:eastAsia="zh-CN"/>
                    </w:rPr>
                    <w:t>）</w:t>
                  </w:r>
                  <w:r>
                    <w:rPr>
                      <w:color w:val="auto"/>
                      <w:szCs w:val="21"/>
                    </w:rPr>
                    <w:t>等行业；电子信息产业主要发展电气机械和器材制造业</w:t>
                  </w:r>
                  <w:r>
                    <w:rPr>
                      <w:rFonts w:hint="eastAsia"/>
                      <w:color w:val="auto"/>
                      <w:szCs w:val="21"/>
                      <w:lang w:eastAsia="zh-CN"/>
                    </w:rPr>
                    <w:t>（</w:t>
                  </w:r>
                  <w:r>
                    <w:rPr>
                      <w:color w:val="auto"/>
                      <w:szCs w:val="21"/>
                    </w:rPr>
                    <w:t>C38</w:t>
                  </w:r>
                  <w:r>
                    <w:rPr>
                      <w:rFonts w:hint="eastAsia"/>
                      <w:color w:val="auto"/>
                      <w:szCs w:val="21"/>
                      <w:lang w:eastAsia="zh-CN"/>
                    </w:rPr>
                    <w:t>）</w:t>
                  </w:r>
                  <w:r>
                    <w:rPr>
                      <w:color w:val="auto"/>
                      <w:szCs w:val="21"/>
                    </w:rPr>
                    <w:t>、计算机、通信和其他电子设备制造业</w:t>
                  </w:r>
                  <w:r>
                    <w:rPr>
                      <w:rFonts w:hint="eastAsia"/>
                      <w:color w:val="auto"/>
                      <w:szCs w:val="21"/>
                      <w:lang w:eastAsia="zh-CN"/>
                    </w:rPr>
                    <w:t>（</w:t>
                  </w:r>
                  <w:r>
                    <w:rPr>
                      <w:color w:val="auto"/>
                      <w:szCs w:val="21"/>
                    </w:rPr>
                    <w:t>C39</w:t>
                  </w:r>
                  <w:r>
                    <w:rPr>
                      <w:rFonts w:hint="eastAsia"/>
                      <w:color w:val="auto"/>
                      <w:szCs w:val="21"/>
                      <w:lang w:eastAsia="zh-CN"/>
                    </w:rPr>
                    <w:t>）</w:t>
                  </w:r>
                  <w:r>
                    <w:rPr>
                      <w:color w:val="auto"/>
                      <w:szCs w:val="21"/>
                    </w:rPr>
                    <w:t>、互联网和</w:t>
                  </w:r>
                  <w:r>
                    <w:rPr>
                      <w:rFonts w:hint="eastAsia"/>
                      <w:color w:val="auto"/>
                      <w:szCs w:val="21"/>
                      <w:lang w:eastAsia="zh-CN"/>
                    </w:rPr>
                    <w:t>相关</w:t>
                  </w:r>
                  <w:r>
                    <w:rPr>
                      <w:color w:val="auto"/>
                      <w:szCs w:val="21"/>
                    </w:rPr>
                    <w:t>产业</w:t>
                  </w:r>
                  <w:r>
                    <w:rPr>
                      <w:rFonts w:hint="eastAsia"/>
                      <w:color w:val="auto"/>
                      <w:szCs w:val="21"/>
                      <w:lang w:eastAsia="zh-CN"/>
                    </w:rPr>
                    <w:t>准入</w:t>
                  </w:r>
                  <w:r>
                    <w:rPr>
                      <w:color w:val="auto"/>
                      <w:szCs w:val="21"/>
                    </w:rPr>
                    <w:t>服务</w:t>
                  </w:r>
                  <w:r>
                    <w:rPr>
                      <w:rFonts w:hint="eastAsia"/>
                      <w:color w:val="auto"/>
                      <w:szCs w:val="21"/>
                      <w:lang w:eastAsia="zh-CN"/>
                    </w:rPr>
                    <w:t>（</w:t>
                  </w:r>
                  <w:r>
                    <w:rPr>
                      <w:color w:val="auto"/>
                      <w:szCs w:val="21"/>
                    </w:rPr>
                    <w:t>I64</w:t>
                  </w:r>
                  <w:r>
                    <w:rPr>
                      <w:rFonts w:hint="eastAsia"/>
                      <w:color w:val="auto"/>
                      <w:szCs w:val="21"/>
                      <w:lang w:eastAsia="zh-CN"/>
                    </w:rPr>
                    <w:t>）</w:t>
                  </w:r>
                  <w:r>
                    <w:rPr>
                      <w:color w:val="auto"/>
                      <w:szCs w:val="21"/>
                    </w:rPr>
                    <w:t>、软件和信息技术服务业</w:t>
                  </w:r>
                  <w:r>
                    <w:rPr>
                      <w:rFonts w:hint="eastAsia"/>
                      <w:color w:val="auto"/>
                      <w:szCs w:val="21"/>
                      <w:lang w:eastAsia="zh-CN"/>
                    </w:rPr>
                    <w:t>（</w:t>
                  </w:r>
                  <w:r>
                    <w:rPr>
                      <w:color w:val="auto"/>
                      <w:szCs w:val="21"/>
                    </w:rPr>
                    <w:t>165</w:t>
                  </w:r>
                  <w:r>
                    <w:rPr>
                      <w:rFonts w:hint="eastAsia"/>
                      <w:color w:val="auto"/>
                      <w:szCs w:val="21"/>
                      <w:lang w:eastAsia="zh-CN"/>
                    </w:rPr>
                    <w:t>）</w:t>
                  </w:r>
                  <w:r>
                    <w:rPr>
                      <w:color w:val="auto"/>
                      <w:szCs w:val="21"/>
                    </w:rPr>
                    <w:t>、专业技术服务业</w:t>
                  </w:r>
                  <w:r>
                    <w:rPr>
                      <w:rFonts w:hint="eastAsia"/>
                      <w:color w:val="auto"/>
                      <w:szCs w:val="21"/>
                      <w:lang w:eastAsia="zh-CN"/>
                    </w:rPr>
                    <w:t>（</w:t>
                  </w:r>
                  <w:r>
                    <w:rPr>
                      <w:color w:val="auto"/>
                      <w:szCs w:val="21"/>
                    </w:rPr>
                    <w:t>M74</w:t>
                  </w:r>
                  <w:r>
                    <w:rPr>
                      <w:rFonts w:hint="eastAsia"/>
                      <w:color w:val="auto"/>
                      <w:szCs w:val="21"/>
                      <w:lang w:eastAsia="zh-CN"/>
                    </w:rPr>
                    <w:t>）</w:t>
                  </w:r>
                  <w:r>
                    <w:rPr>
                      <w:color w:val="auto"/>
                      <w:szCs w:val="21"/>
                    </w:rPr>
                    <w:t>、科技推广和应用服务业</w:t>
                  </w:r>
                  <w:r>
                    <w:rPr>
                      <w:rFonts w:hint="eastAsia"/>
                      <w:color w:val="auto"/>
                      <w:szCs w:val="21"/>
                      <w:lang w:eastAsia="zh-CN"/>
                    </w:rPr>
                    <w:t>（</w:t>
                  </w:r>
                  <w:r>
                    <w:rPr>
                      <w:color w:val="auto"/>
                      <w:szCs w:val="21"/>
                    </w:rPr>
                    <w:t>M75</w:t>
                  </w:r>
                  <w:r>
                    <w:rPr>
                      <w:rFonts w:hint="eastAsia"/>
                      <w:color w:val="auto"/>
                      <w:szCs w:val="21"/>
                      <w:lang w:eastAsia="zh-CN"/>
                    </w:rPr>
                    <w:t>）</w:t>
                  </w:r>
                  <w:r>
                    <w:rPr>
                      <w:color w:val="auto"/>
                      <w:szCs w:val="21"/>
                    </w:rPr>
                    <w:t>等行业。</w:t>
                  </w:r>
                </w:p>
              </w:tc>
              <w:tc>
                <w:tcPr>
                  <w:tcW w:w="1695" w:type="pct"/>
                  <w:vMerge w:val="restart"/>
                  <w:vAlign w:val="center"/>
                </w:tcPr>
                <w:p w14:paraId="18163C14">
                  <w:pPr>
                    <w:jc w:val="center"/>
                    <w:rPr>
                      <w:color w:val="auto"/>
                      <w:szCs w:val="21"/>
                    </w:rPr>
                  </w:pPr>
                  <w:r>
                    <w:rPr>
                      <w:rFonts w:hint="eastAsia"/>
                      <w:color w:val="auto"/>
                      <w:szCs w:val="21"/>
                    </w:rPr>
                    <w:t>本项目行业类别为其他工艺美术及礼仪用品制造，产品为高端展示道具，</w:t>
                  </w:r>
                  <w:r>
                    <w:rPr>
                      <w:color w:val="auto"/>
                      <w:szCs w:val="21"/>
                    </w:rPr>
                    <w:t>符合国家、地方现行产业政策；不属于生产工艺及设备落后、风险防范措施疏漏、抗风险能力差的项目；不属于与主导产业不相关且污染物排放量大的项目；不属于生产和使用高VOCs含量的溶剂型涂料、油墨、胶粘剂等项目；不属于存放易燃、易爆和剧毒等危险品的仓储项目；不属于排放含铅、汞、镍、镉、铬、砷、铊、锑废水或废气的项目；不使用含氟、氰化物的原辅料；不属于燃煤发电、钢铁、水泥、原油加工、制浆造纸、平板玻璃、稀土金属冶炼、多晶硅冶炼、化工、染料、农药、酿造等和以煤炭为主要原料的高耗能、重污染项目；不属于《环境保护综合名录（2021年版）》“高污染、高环境风险”产品；</w:t>
                  </w:r>
                  <w:r>
                    <w:rPr>
                      <w:rFonts w:hint="eastAsia"/>
                      <w:color w:val="auto"/>
                      <w:szCs w:val="21"/>
                    </w:rPr>
                    <w:t>不涉及重金属废水外排项目</w:t>
                  </w:r>
                  <w:r>
                    <w:rPr>
                      <w:color w:val="auto"/>
                      <w:szCs w:val="21"/>
                    </w:rPr>
                    <w:t>。</w:t>
                  </w:r>
                </w:p>
              </w:tc>
              <w:tc>
                <w:tcPr>
                  <w:tcW w:w="280" w:type="pct"/>
                  <w:vMerge w:val="restart"/>
                  <w:tcBorders>
                    <w:right w:val="nil"/>
                  </w:tcBorders>
                  <w:vAlign w:val="center"/>
                </w:tcPr>
                <w:p w14:paraId="4F74463A">
                  <w:pPr>
                    <w:jc w:val="center"/>
                    <w:rPr>
                      <w:color w:val="auto"/>
                      <w:szCs w:val="21"/>
                    </w:rPr>
                  </w:pPr>
                  <w:r>
                    <w:rPr>
                      <w:color w:val="auto"/>
                      <w:szCs w:val="21"/>
                    </w:rPr>
                    <w:t>符合</w:t>
                  </w:r>
                </w:p>
              </w:tc>
            </w:tr>
            <w:tr w14:paraId="5922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7CAC7728">
                  <w:pPr>
                    <w:jc w:val="center"/>
                    <w:rPr>
                      <w:color w:val="auto"/>
                      <w:szCs w:val="21"/>
                    </w:rPr>
                  </w:pPr>
                </w:p>
              </w:tc>
              <w:tc>
                <w:tcPr>
                  <w:tcW w:w="2688" w:type="pct"/>
                  <w:vAlign w:val="center"/>
                </w:tcPr>
                <w:p w14:paraId="7F67B0C5">
                  <w:pPr>
                    <w:widowControl/>
                    <w:shd w:val="clear" w:color="auto" w:fill="FFFFFF"/>
                    <w:jc w:val="center"/>
                    <w:rPr>
                      <w:color w:val="auto"/>
                      <w:szCs w:val="21"/>
                    </w:rPr>
                  </w:pPr>
                  <w:r>
                    <w:rPr>
                      <w:rFonts w:hint="eastAsia"/>
                      <w:color w:val="auto"/>
                      <w:szCs w:val="21"/>
                    </w:rPr>
                    <w:t>禁止引入：1、《产业结构调整指导目录</w:t>
                  </w:r>
                  <w:r>
                    <w:rPr>
                      <w:rFonts w:hint="eastAsia"/>
                      <w:color w:val="auto"/>
                      <w:szCs w:val="21"/>
                      <w:lang w:eastAsia="zh-CN"/>
                    </w:rPr>
                    <w:t>（</w:t>
                  </w:r>
                  <w:r>
                    <w:rPr>
                      <w:rFonts w:hint="eastAsia"/>
                      <w:color w:val="auto"/>
                      <w:szCs w:val="21"/>
                    </w:rPr>
                    <w:t>2019年本</w:t>
                  </w:r>
                  <w:r>
                    <w:rPr>
                      <w:rFonts w:hint="eastAsia"/>
                      <w:color w:val="auto"/>
                      <w:szCs w:val="21"/>
                      <w:lang w:eastAsia="zh-CN"/>
                    </w:rPr>
                    <w:t>）</w:t>
                  </w:r>
                  <w:r>
                    <w:rPr>
                      <w:rFonts w:hint="eastAsia"/>
                      <w:color w:val="auto"/>
                      <w:szCs w:val="21"/>
                    </w:rPr>
                    <w:t>》(2021年12月27日修订</w:t>
                  </w:r>
                  <w:r>
                    <w:rPr>
                      <w:rFonts w:hint="eastAsia"/>
                      <w:color w:val="auto"/>
                      <w:szCs w:val="21"/>
                      <w:lang w:eastAsia="zh-CN"/>
                    </w:rPr>
                    <w:t>）</w:t>
                  </w:r>
                  <w:r>
                    <w:rPr>
                      <w:rFonts w:hint="eastAsia"/>
                      <w:color w:val="auto"/>
                      <w:szCs w:val="21"/>
                    </w:rPr>
                    <w:t>中淘汰类项目，列入《外商投资准入特别管理措施</w:t>
                  </w:r>
                  <w:r>
                    <w:rPr>
                      <w:rFonts w:hint="eastAsia"/>
                      <w:color w:val="auto"/>
                      <w:szCs w:val="21"/>
                      <w:lang w:eastAsia="zh-CN"/>
                    </w:rPr>
                    <w:t>（</w:t>
                  </w:r>
                  <w:r>
                    <w:rPr>
                      <w:rFonts w:hint="eastAsia"/>
                      <w:color w:val="auto"/>
                      <w:szCs w:val="21"/>
                    </w:rPr>
                    <w:t>负面清单</w:t>
                  </w:r>
                  <w:r>
                    <w:rPr>
                      <w:rFonts w:hint="eastAsia"/>
                      <w:color w:val="auto"/>
                      <w:szCs w:val="21"/>
                      <w:lang w:eastAsia="zh-CN"/>
                    </w:rPr>
                    <w:t>）</w:t>
                  </w:r>
                  <w:r>
                    <w:rPr>
                      <w:rFonts w:hint="eastAsia"/>
                      <w:color w:val="auto"/>
                      <w:szCs w:val="21"/>
                    </w:rPr>
                    <w:t>(2021年版</w:t>
                  </w:r>
                  <w:r>
                    <w:rPr>
                      <w:rFonts w:hint="eastAsia"/>
                      <w:color w:val="auto"/>
                      <w:szCs w:val="21"/>
                      <w:lang w:eastAsia="zh-CN"/>
                    </w:rPr>
                    <w:t>）</w:t>
                  </w:r>
                  <w:r>
                    <w:rPr>
                      <w:rFonts w:hint="eastAsia"/>
                      <w:color w:val="auto"/>
                      <w:szCs w:val="21"/>
                    </w:rPr>
                    <w:t>》的产业；采用落后的、淘汰的生产工艺或生产设备，清洁生产达不到国内先进水平的项目；《长江经济带发展负面清单指南</w:t>
                  </w:r>
                  <w:r>
                    <w:rPr>
                      <w:rFonts w:hint="eastAsia"/>
                      <w:color w:val="auto"/>
                      <w:szCs w:val="21"/>
                      <w:lang w:eastAsia="zh-CN"/>
                    </w:rPr>
                    <w:t>（</w:t>
                  </w:r>
                  <w:r>
                    <w:rPr>
                      <w:rFonts w:hint="eastAsia"/>
                      <w:color w:val="auto"/>
                      <w:szCs w:val="21"/>
                    </w:rPr>
                    <w:t>试行，2022年版</w:t>
                  </w:r>
                  <w:r>
                    <w:rPr>
                      <w:rFonts w:hint="eastAsia"/>
                      <w:color w:val="auto"/>
                      <w:szCs w:val="21"/>
                      <w:lang w:eastAsia="zh-CN"/>
                    </w:rPr>
                    <w:t>）》《</w:t>
                  </w:r>
                  <w:r>
                    <w:rPr>
                      <w:rFonts w:hint="eastAsia"/>
                      <w:color w:val="auto"/>
                      <w:szCs w:val="21"/>
                    </w:rPr>
                    <w:t>淮河流域水污染防治暂行条例》列明的禁止建设的产业以及江苏省产业政策中明确列入淘汰的项目；《环境保护综合名录</w:t>
                  </w:r>
                  <w:r>
                    <w:rPr>
                      <w:rFonts w:hint="eastAsia"/>
                      <w:color w:val="auto"/>
                      <w:szCs w:val="21"/>
                      <w:lang w:eastAsia="zh-CN"/>
                    </w:rPr>
                    <w:t>（</w:t>
                  </w:r>
                  <w:r>
                    <w:rPr>
                      <w:rFonts w:hint="eastAsia"/>
                      <w:color w:val="auto"/>
                      <w:szCs w:val="21"/>
                    </w:rPr>
                    <w:t>2021年版</w:t>
                  </w:r>
                  <w:r>
                    <w:rPr>
                      <w:rFonts w:hint="eastAsia"/>
                      <w:color w:val="auto"/>
                      <w:szCs w:val="21"/>
                      <w:lang w:eastAsia="zh-CN"/>
                    </w:rPr>
                    <w:t>）</w:t>
                  </w:r>
                  <w:r>
                    <w:rPr>
                      <w:rFonts w:hint="eastAsia"/>
                      <w:color w:val="auto"/>
                      <w:szCs w:val="21"/>
                    </w:rPr>
                    <w:t>》“高污染、高环境风险”产品。</w:t>
                  </w:r>
                </w:p>
                <w:p w14:paraId="0A848D7B">
                  <w:pPr>
                    <w:widowControl/>
                    <w:shd w:val="clear" w:color="auto" w:fill="FFFFFF"/>
                    <w:jc w:val="center"/>
                    <w:rPr>
                      <w:color w:val="auto"/>
                      <w:szCs w:val="21"/>
                    </w:rPr>
                  </w:pPr>
                  <w:r>
                    <w:rPr>
                      <w:rFonts w:hint="eastAsia"/>
                      <w:color w:val="auto"/>
                      <w:szCs w:val="21"/>
                      <w:lang w:eastAsia="zh-CN"/>
                    </w:rPr>
                    <w:t>2.</w:t>
                  </w:r>
                  <w:r>
                    <w:rPr>
                      <w:rFonts w:hint="eastAsia"/>
                      <w:color w:val="auto"/>
                      <w:szCs w:val="21"/>
                    </w:rPr>
                    <w:t>电子化工材料制造项目；PCB印刷及制造项目；涉及重金属废水外排项目；使用高VOCs含量的溶剂型涂料、油墨、胶粘剂等项目。</w:t>
                  </w:r>
                </w:p>
              </w:tc>
              <w:tc>
                <w:tcPr>
                  <w:tcW w:w="1695" w:type="pct"/>
                  <w:vMerge w:val="continue"/>
                  <w:vAlign w:val="center"/>
                </w:tcPr>
                <w:p w14:paraId="0D9D119B">
                  <w:pPr>
                    <w:jc w:val="center"/>
                    <w:rPr>
                      <w:color w:val="auto"/>
                      <w:szCs w:val="21"/>
                    </w:rPr>
                  </w:pPr>
                </w:p>
              </w:tc>
              <w:tc>
                <w:tcPr>
                  <w:tcW w:w="280" w:type="pct"/>
                  <w:vMerge w:val="continue"/>
                  <w:tcBorders>
                    <w:right w:val="nil"/>
                  </w:tcBorders>
                  <w:vAlign w:val="center"/>
                </w:tcPr>
                <w:p w14:paraId="25432F9F">
                  <w:pPr>
                    <w:jc w:val="center"/>
                    <w:rPr>
                      <w:color w:val="auto"/>
                      <w:szCs w:val="21"/>
                    </w:rPr>
                  </w:pPr>
                </w:p>
              </w:tc>
            </w:tr>
            <w:tr w14:paraId="468A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7FDB6AFD">
                  <w:pPr>
                    <w:jc w:val="center"/>
                    <w:rPr>
                      <w:color w:val="auto"/>
                      <w:szCs w:val="21"/>
                    </w:rPr>
                  </w:pPr>
                </w:p>
              </w:tc>
              <w:tc>
                <w:tcPr>
                  <w:tcW w:w="2688" w:type="pct"/>
                  <w:vAlign w:val="center"/>
                </w:tcPr>
                <w:p w14:paraId="33F4ED43">
                  <w:pPr>
                    <w:widowControl/>
                    <w:shd w:val="clear" w:color="auto" w:fill="FFFFFF"/>
                    <w:jc w:val="center"/>
                    <w:rPr>
                      <w:color w:val="auto"/>
                      <w:szCs w:val="21"/>
                    </w:rPr>
                  </w:pPr>
                  <w:r>
                    <w:rPr>
                      <w:rFonts w:hint="eastAsia"/>
                      <w:color w:val="auto"/>
                      <w:szCs w:val="21"/>
                    </w:rPr>
                    <w:t>限制引入：1、《产业结构调整指导目录》中限制项目。</w:t>
                  </w:r>
                </w:p>
                <w:p w14:paraId="42643D57">
                  <w:pPr>
                    <w:widowControl/>
                    <w:shd w:val="clear" w:color="auto" w:fill="FFFFFF"/>
                    <w:jc w:val="center"/>
                    <w:rPr>
                      <w:color w:val="auto"/>
                      <w:szCs w:val="21"/>
                    </w:rPr>
                  </w:pPr>
                  <w:r>
                    <w:rPr>
                      <w:rFonts w:hint="eastAsia"/>
                      <w:color w:val="auto"/>
                      <w:szCs w:val="21"/>
                      <w:lang w:eastAsia="zh-CN"/>
                    </w:rPr>
                    <w:t>2.</w:t>
                  </w:r>
                  <w:r>
                    <w:rPr>
                      <w:rFonts w:hint="eastAsia"/>
                      <w:color w:val="auto"/>
                      <w:szCs w:val="21"/>
                    </w:rPr>
                    <w:t>污染治理措施达不到《挥发性有机物</w:t>
                  </w:r>
                  <w:r>
                    <w:rPr>
                      <w:rFonts w:hint="eastAsia"/>
                      <w:color w:val="auto"/>
                      <w:szCs w:val="21"/>
                      <w:lang w:eastAsia="zh-CN"/>
                    </w:rPr>
                    <w:t>（</w:t>
                  </w:r>
                  <w:r>
                    <w:rPr>
                      <w:rFonts w:hint="eastAsia"/>
                      <w:color w:val="auto"/>
                      <w:szCs w:val="21"/>
                    </w:rPr>
                    <w:t>VOCs</w:t>
                  </w:r>
                  <w:r>
                    <w:rPr>
                      <w:rFonts w:hint="eastAsia"/>
                      <w:color w:val="auto"/>
                      <w:szCs w:val="21"/>
                      <w:lang w:eastAsia="zh-CN"/>
                    </w:rPr>
                    <w:t>）</w:t>
                  </w:r>
                  <w:r>
                    <w:rPr>
                      <w:rFonts w:hint="eastAsia"/>
                      <w:color w:val="auto"/>
                      <w:szCs w:val="21"/>
                    </w:rPr>
                    <w:t>污染防治技术政策</w:t>
                  </w:r>
                  <w:r>
                    <w:rPr>
                      <w:rFonts w:hint="eastAsia"/>
                      <w:color w:val="auto"/>
                      <w:szCs w:val="21"/>
                      <w:lang w:eastAsia="zh-CN"/>
                    </w:rPr>
                    <w:t>》《</w:t>
                  </w:r>
                  <w:r>
                    <w:rPr>
                      <w:rFonts w:hint="eastAsia"/>
                      <w:color w:val="auto"/>
                      <w:szCs w:val="21"/>
                    </w:rPr>
                    <w:t>江苏省重点行业挥发性有机物污染控制指南》等要求的项目。</w:t>
                  </w:r>
                </w:p>
              </w:tc>
              <w:tc>
                <w:tcPr>
                  <w:tcW w:w="1695" w:type="pct"/>
                  <w:vMerge w:val="continue"/>
                  <w:vAlign w:val="center"/>
                </w:tcPr>
                <w:p w14:paraId="35C24213">
                  <w:pPr>
                    <w:jc w:val="center"/>
                    <w:rPr>
                      <w:color w:val="auto"/>
                      <w:szCs w:val="21"/>
                    </w:rPr>
                  </w:pPr>
                </w:p>
              </w:tc>
              <w:tc>
                <w:tcPr>
                  <w:tcW w:w="280" w:type="pct"/>
                  <w:vMerge w:val="continue"/>
                  <w:tcBorders>
                    <w:right w:val="nil"/>
                  </w:tcBorders>
                  <w:vAlign w:val="center"/>
                </w:tcPr>
                <w:p w14:paraId="789B36A1">
                  <w:pPr>
                    <w:jc w:val="center"/>
                    <w:rPr>
                      <w:color w:val="auto"/>
                      <w:szCs w:val="21"/>
                    </w:rPr>
                  </w:pPr>
                </w:p>
              </w:tc>
            </w:tr>
            <w:tr w14:paraId="292D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334" w:type="pct"/>
                  <w:tcBorders>
                    <w:left w:val="nil"/>
                  </w:tcBorders>
                  <w:vAlign w:val="center"/>
                </w:tcPr>
                <w:p w14:paraId="2FB079D7">
                  <w:pPr>
                    <w:widowControl/>
                    <w:shd w:val="clear" w:color="auto" w:fill="FFFFFF"/>
                    <w:jc w:val="center"/>
                    <w:rPr>
                      <w:color w:val="auto"/>
                      <w:szCs w:val="21"/>
                    </w:rPr>
                  </w:pPr>
                  <w:r>
                    <w:rPr>
                      <w:rFonts w:hint="eastAsia"/>
                      <w:color w:val="auto"/>
                      <w:szCs w:val="21"/>
                    </w:rPr>
                    <w:t>空间布局约束</w:t>
                  </w:r>
                </w:p>
              </w:tc>
              <w:tc>
                <w:tcPr>
                  <w:tcW w:w="2688" w:type="pct"/>
                  <w:vAlign w:val="center"/>
                </w:tcPr>
                <w:p w14:paraId="1B871A9F">
                  <w:pPr>
                    <w:widowControl/>
                    <w:shd w:val="clear" w:color="auto" w:fill="FFFFFF"/>
                    <w:jc w:val="center"/>
                    <w:rPr>
                      <w:color w:val="auto"/>
                      <w:szCs w:val="21"/>
                    </w:rPr>
                  </w:pPr>
                  <w:r>
                    <w:rPr>
                      <w:rFonts w:hint="eastAsia"/>
                      <w:color w:val="auto"/>
                      <w:szCs w:val="21"/>
                      <w:lang w:eastAsia="zh-CN"/>
                    </w:rPr>
                    <w:t>1.</w:t>
                  </w:r>
                  <w:r>
                    <w:rPr>
                      <w:rFonts w:hint="eastAsia"/>
                      <w:color w:val="auto"/>
                      <w:szCs w:val="21"/>
                    </w:rPr>
                    <w:t>园区内绿地和水域，提出限制占用的管理要求；园区内基本农田不得开发建设。</w:t>
                  </w:r>
                </w:p>
                <w:p w14:paraId="309F2F64">
                  <w:pPr>
                    <w:widowControl/>
                    <w:shd w:val="clear" w:color="auto" w:fill="FFFFFF"/>
                    <w:jc w:val="center"/>
                    <w:rPr>
                      <w:color w:val="auto"/>
                      <w:szCs w:val="21"/>
                    </w:rPr>
                  </w:pPr>
                  <w:r>
                    <w:rPr>
                      <w:rFonts w:hint="eastAsia"/>
                      <w:color w:val="auto"/>
                      <w:szCs w:val="21"/>
                      <w:lang w:eastAsia="zh-CN"/>
                    </w:rPr>
                    <w:t>2.</w:t>
                  </w:r>
                  <w:r>
                    <w:rPr>
                      <w:rFonts w:hint="eastAsia"/>
                      <w:color w:val="auto"/>
                      <w:szCs w:val="21"/>
                    </w:rPr>
                    <w:t>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江苏省国家级生态保护红线规划》管控要求管理，按照相关管控方案执行。</w:t>
                  </w:r>
                </w:p>
                <w:p w14:paraId="3672F938">
                  <w:pPr>
                    <w:widowControl/>
                    <w:shd w:val="clear" w:color="auto" w:fill="FFFFFF"/>
                    <w:jc w:val="center"/>
                    <w:rPr>
                      <w:color w:val="auto"/>
                      <w:szCs w:val="21"/>
                    </w:rPr>
                  </w:pPr>
                  <w:r>
                    <w:rPr>
                      <w:rFonts w:hint="eastAsia"/>
                      <w:color w:val="auto"/>
                      <w:szCs w:val="21"/>
                      <w:lang w:eastAsia="zh-CN"/>
                    </w:rPr>
                    <w:t>3.</w:t>
                  </w:r>
                  <w:r>
                    <w:rPr>
                      <w:rFonts w:hint="eastAsia"/>
                      <w:color w:val="auto"/>
                      <w:szCs w:val="21"/>
                    </w:rPr>
                    <w:t>靠近居民区、教育用地区域应发展无污染、低污染型产业，</w:t>
                  </w:r>
                </w:p>
              </w:tc>
              <w:tc>
                <w:tcPr>
                  <w:tcW w:w="1695" w:type="pct"/>
                  <w:vAlign w:val="center"/>
                </w:tcPr>
                <w:p w14:paraId="0C0F3A07">
                  <w:pPr>
                    <w:jc w:val="center"/>
                    <w:rPr>
                      <w:color w:val="auto"/>
                      <w:szCs w:val="21"/>
                    </w:rPr>
                  </w:pPr>
                  <w:r>
                    <w:rPr>
                      <w:color w:val="auto"/>
                      <w:szCs w:val="21"/>
                    </w:rPr>
                    <w:t>本项目位于</w:t>
                  </w:r>
                  <w:r>
                    <w:rPr>
                      <w:rFonts w:hint="eastAsia"/>
                      <w:color w:val="auto"/>
                      <w:szCs w:val="21"/>
                    </w:rPr>
                    <w:t>江苏省淮安市涟水县经济开发区蒋庵东路东侧、清涟大道北侧</w:t>
                  </w:r>
                  <w:r>
                    <w:rPr>
                      <w:color w:val="auto"/>
                      <w:szCs w:val="21"/>
                    </w:rPr>
                    <w:t>，位于</w:t>
                  </w:r>
                  <w:r>
                    <w:rPr>
                      <w:rFonts w:hint="eastAsia"/>
                      <w:color w:val="auto"/>
                      <w:szCs w:val="21"/>
                    </w:rPr>
                    <w:t>淮安</w:t>
                  </w:r>
                  <w:r>
                    <w:rPr>
                      <w:rFonts w:hint="eastAsia"/>
                      <w:color w:val="auto"/>
                      <w:szCs w:val="21"/>
                      <w:lang w:eastAsia="zh-CN"/>
                    </w:rPr>
                    <w:t>（</w:t>
                  </w:r>
                  <w:r>
                    <w:rPr>
                      <w:rFonts w:hint="eastAsia"/>
                      <w:color w:val="auto"/>
                      <w:szCs w:val="21"/>
                    </w:rPr>
                    <w:t>涟水</w:t>
                  </w:r>
                  <w:r>
                    <w:rPr>
                      <w:rFonts w:hint="eastAsia"/>
                      <w:color w:val="auto"/>
                      <w:szCs w:val="21"/>
                      <w:lang w:eastAsia="zh-CN"/>
                    </w:rPr>
                    <w:t>）</w:t>
                  </w:r>
                  <w:r>
                    <w:rPr>
                      <w:rFonts w:hint="eastAsia"/>
                      <w:color w:val="auto"/>
                      <w:szCs w:val="21"/>
                    </w:rPr>
                    <w:t>空港产业园</w:t>
                  </w:r>
                  <w:r>
                    <w:rPr>
                      <w:color w:val="auto"/>
                      <w:szCs w:val="21"/>
                    </w:rPr>
                    <w:t>规划范围内，用地性质为工业用地，用地符合要求</w:t>
                  </w:r>
                  <w:r>
                    <w:rPr>
                      <w:rFonts w:hint="eastAsia"/>
                      <w:color w:val="auto"/>
                      <w:szCs w:val="21"/>
                    </w:rPr>
                    <w:t>；本项目严格落实江苏省、淮安市“三线一单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江苏省国家级生态保护红线规划》管控要求管理；</w:t>
                  </w:r>
                  <w:r>
                    <w:rPr>
                      <w:color w:val="auto"/>
                      <w:szCs w:val="21"/>
                    </w:rPr>
                    <w:t>本项目</w:t>
                  </w:r>
                  <w:r>
                    <w:rPr>
                      <w:rFonts w:hint="eastAsia"/>
                      <w:color w:val="auto"/>
                      <w:szCs w:val="21"/>
                    </w:rPr>
                    <w:t>不属于高污染高能耗项目</w:t>
                  </w:r>
                  <w:r>
                    <w:rPr>
                      <w:color w:val="auto"/>
                      <w:szCs w:val="21"/>
                    </w:rPr>
                    <w:t>。</w:t>
                  </w:r>
                </w:p>
              </w:tc>
              <w:tc>
                <w:tcPr>
                  <w:tcW w:w="280" w:type="pct"/>
                  <w:tcBorders>
                    <w:right w:val="nil"/>
                  </w:tcBorders>
                  <w:vAlign w:val="center"/>
                </w:tcPr>
                <w:p w14:paraId="46E531F8">
                  <w:pPr>
                    <w:widowControl/>
                    <w:shd w:val="clear" w:color="auto" w:fill="FFFFFF"/>
                    <w:jc w:val="center"/>
                    <w:rPr>
                      <w:color w:val="auto"/>
                      <w:szCs w:val="21"/>
                    </w:rPr>
                  </w:pPr>
                  <w:r>
                    <w:rPr>
                      <w:rFonts w:hint="eastAsia"/>
                      <w:color w:val="auto"/>
                      <w:szCs w:val="21"/>
                    </w:rPr>
                    <w:t>符合</w:t>
                  </w:r>
                </w:p>
              </w:tc>
            </w:tr>
            <w:tr w14:paraId="4289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tcBorders>
                    <w:left w:val="nil"/>
                  </w:tcBorders>
                  <w:vAlign w:val="center"/>
                </w:tcPr>
                <w:p w14:paraId="1D96C954">
                  <w:pPr>
                    <w:widowControl/>
                    <w:shd w:val="clear" w:color="auto" w:fill="FFFFFF"/>
                    <w:jc w:val="center"/>
                    <w:rPr>
                      <w:color w:val="auto"/>
                      <w:szCs w:val="21"/>
                    </w:rPr>
                  </w:pPr>
                  <w:r>
                    <w:rPr>
                      <w:rFonts w:hint="eastAsia"/>
                      <w:color w:val="auto"/>
                      <w:szCs w:val="21"/>
                    </w:rPr>
                    <w:t>污染物排放总量</w:t>
                  </w:r>
                </w:p>
              </w:tc>
              <w:tc>
                <w:tcPr>
                  <w:tcW w:w="2688" w:type="pct"/>
                  <w:vAlign w:val="center"/>
                </w:tcPr>
                <w:p w14:paraId="30469B5F">
                  <w:pPr>
                    <w:widowControl/>
                    <w:shd w:val="clear" w:color="auto" w:fill="FFFFFF"/>
                    <w:jc w:val="center"/>
                    <w:rPr>
                      <w:color w:val="auto"/>
                      <w:szCs w:val="21"/>
                    </w:rPr>
                  </w:pPr>
                  <w:r>
                    <w:rPr>
                      <w:rFonts w:hint="eastAsia"/>
                      <w:color w:val="auto"/>
                      <w:szCs w:val="21"/>
                    </w:rPr>
                    <w:t>总体要求：1、工业项目排放污染物必须达到国家和地方规定的污染物排放标准。</w:t>
                  </w:r>
                </w:p>
                <w:p w14:paraId="2C3AB003">
                  <w:pPr>
                    <w:widowControl/>
                    <w:shd w:val="clear" w:color="auto" w:fill="FFFFFF"/>
                    <w:jc w:val="center"/>
                    <w:rPr>
                      <w:color w:val="auto"/>
                      <w:szCs w:val="21"/>
                    </w:rPr>
                  </w:pPr>
                  <w:r>
                    <w:rPr>
                      <w:rFonts w:hint="eastAsia"/>
                      <w:color w:val="auto"/>
                      <w:szCs w:val="21"/>
                      <w:lang w:eastAsia="zh-CN"/>
                    </w:rPr>
                    <w:t>2.</w:t>
                  </w:r>
                  <w:r>
                    <w:rPr>
                      <w:rFonts w:hint="eastAsia"/>
                      <w:color w:val="auto"/>
                      <w:szCs w:val="21"/>
                    </w:rPr>
                    <w:t>新建企业生产技术和工艺、水耗能耗物耗</w:t>
                  </w:r>
                  <w:r>
                    <w:rPr>
                      <w:rFonts w:hint="eastAsia"/>
                      <w:color w:val="auto"/>
                      <w:szCs w:val="21"/>
                      <w:lang w:eastAsia="zh-CN"/>
                    </w:rPr>
                    <w:t>、生</w:t>
                  </w:r>
                  <w:r>
                    <w:rPr>
                      <w:rFonts w:hint="eastAsia"/>
                      <w:color w:val="auto"/>
                      <w:szCs w:val="21"/>
                    </w:rPr>
                    <w:t>产排污情况及环境管理等方面应达到国内先进水平</w:t>
                  </w:r>
                  <w:r>
                    <w:rPr>
                      <w:rFonts w:hint="eastAsia"/>
                      <w:color w:val="auto"/>
                      <w:szCs w:val="21"/>
                      <w:lang w:eastAsia="zh-CN"/>
                    </w:rPr>
                    <w:t>（</w:t>
                  </w:r>
                  <w:r>
                    <w:rPr>
                      <w:rFonts w:hint="eastAsia"/>
                      <w:color w:val="auto"/>
                      <w:szCs w:val="21"/>
                    </w:rPr>
                    <w:t>有清洁生产标准的不得低于国内清洁生产先进水平，有国家效率指南的执行国家先进/标杆水平</w:t>
                  </w:r>
                  <w:r>
                    <w:rPr>
                      <w:rFonts w:hint="eastAsia"/>
                      <w:color w:val="auto"/>
                      <w:szCs w:val="21"/>
                      <w:lang w:eastAsia="zh-CN"/>
                    </w:rPr>
                    <w:t>）</w:t>
                  </w:r>
                  <w:r>
                    <w:rPr>
                      <w:rFonts w:hint="eastAsia"/>
                      <w:color w:val="auto"/>
                      <w:szCs w:val="21"/>
                    </w:rPr>
                    <w:t>。</w:t>
                  </w:r>
                </w:p>
                <w:p w14:paraId="7FD78758">
                  <w:pPr>
                    <w:widowControl/>
                    <w:shd w:val="clear" w:color="auto" w:fill="FFFFFF"/>
                    <w:jc w:val="center"/>
                    <w:rPr>
                      <w:color w:val="auto"/>
                      <w:szCs w:val="21"/>
                    </w:rPr>
                  </w:pPr>
                  <w:r>
                    <w:rPr>
                      <w:rFonts w:hint="eastAsia"/>
                      <w:color w:val="auto"/>
                      <w:szCs w:val="21"/>
                    </w:rPr>
                    <w:t>4、对列入《优先控制化学品名录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》的化学品，应当针对其产生环境与健康风险的主要环节，采取风险管控措施。</w:t>
                  </w:r>
                </w:p>
              </w:tc>
              <w:tc>
                <w:tcPr>
                  <w:tcW w:w="1695" w:type="pct"/>
                  <w:vAlign w:val="center"/>
                </w:tcPr>
                <w:p w14:paraId="5FACA888">
                  <w:pPr>
                    <w:jc w:val="center"/>
                    <w:rPr>
                      <w:color w:val="auto"/>
                      <w:szCs w:val="21"/>
                    </w:rPr>
                  </w:pPr>
                  <w:r>
                    <w:rPr>
                      <w:color w:val="auto"/>
                      <w:szCs w:val="21"/>
                    </w:rPr>
                    <w:t>本项目</w:t>
                  </w:r>
                  <w:r>
                    <w:rPr>
                      <w:rFonts w:hint="eastAsia"/>
                      <w:color w:val="auto"/>
                      <w:szCs w:val="21"/>
                    </w:rPr>
                    <w:t>排放污染物均达到国家和地方规定的污染物排放标准</w:t>
                  </w:r>
                  <w:r>
                    <w:rPr>
                      <w:color w:val="auto"/>
                      <w:szCs w:val="21"/>
                    </w:rPr>
                    <w:t>；</w:t>
                  </w:r>
                  <w:r>
                    <w:rPr>
                      <w:rFonts w:hint="eastAsia"/>
                      <w:color w:val="auto"/>
                      <w:szCs w:val="21"/>
                    </w:rPr>
                    <w:t>引进项目的生产工艺、设备、能耗、污染物排放和资源利用效率等均需达到国内领先、国际先进水平；本项目不涉及列入《优先控制化学品名录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w:t>
                  </w:r>
                  <w:r>
                    <w:rPr>
                      <w:color w:val="auto"/>
                      <w:szCs w:val="21"/>
                    </w:rPr>
                    <w:t>。</w:t>
                  </w:r>
                </w:p>
              </w:tc>
              <w:tc>
                <w:tcPr>
                  <w:tcW w:w="280" w:type="pct"/>
                  <w:vMerge w:val="restart"/>
                  <w:tcBorders>
                    <w:right w:val="nil"/>
                  </w:tcBorders>
                  <w:vAlign w:val="center"/>
                </w:tcPr>
                <w:p w14:paraId="65A967AD">
                  <w:pPr>
                    <w:jc w:val="center"/>
                    <w:rPr>
                      <w:color w:val="auto"/>
                      <w:szCs w:val="21"/>
                    </w:rPr>
                  </w:pPr>
                  <w:r>
                    <w:rPr>
                      <w:color w:val="auto"/>
                      <w:szCs w:val="21"/>
                    </w:rPr>
                    <w:t>符合</w:t>
                  </w:r>
                </w:p>
              </w:tc>
            </w:tr>
            <w:tr w14:paraId="29E4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5D32E7C6">
                  <w:pPr>
                    <w:widowControl/>
                    <w:shd w:val="clear" w:color="auto" w:fill="FFFFFF"/>
                    <w:jc w:val="center"/>
                    <w:rPr>
                      <w:color w:val="auto"/>
                      <w:szCs w:val="21"/>
                    </w:rPr>
                  </w:pPr>
                </w:p>
              </w:tc>
              <w:tc>
                <w:tcPr>
                  <w:tcW w:w="2688" w:type="pct"/>
                  <w:vAlign w:val="center"/>
                </w:tcPr>
                <w:p w14:paraId="23DE1EAF">
                  <w:pPr>
                    <w:widowControl/>
                    <w:shd w:val="clear" w:color="auto" w:fill="FFFFFF"/>
                    <w:jc w:val="center"/>
                    <w:rPr>
                      <w:color w:val="auto"/>
                      <w:szCs w:val="21"/>
                    </w:rPr>
                  </w:pPr>
                  <w:r>
                    <w:rPr>
                      <w:rFonts w:hint="eastAsia"/>
                      <w:color w:val="auto"/>
                      <w:szCs w:val="21"/>
                    </w:rPr>
                    <w:t>环境质量：1、大气环境质量达到《环境空气质量标准》二级标准、《环境影响评价技术导则大气环境》(HJ2.2-2018</w:t>
                  </w:r>
                  <w:r>
                    <w:rPr>
                      <w:rFonts w:hint="eastAsia"/>
                      <w:color w:val="auto"/>
                      <w:szCs w:val="21"/>
                      <w:lang w:eastAsia="zh-CN"/>
                    </w:rPr>
                    <w:t>）</w:t>
                  </w:r>
                  <w:r>
                    <w:rPr>
                      <w:rFonts w:hint="eastAsia"/>
                      <w:color w:val="auto"/>
                      <w:szCs w:val="21"/>
                    </w:rPr>
                    <w:t>附录D其他污染物空气质量浓度参考限值等。</w:t>
                  </w:r>
                </w:p>
                <w:p w14:paraId="2F053C24">
                  <w:pPr>
                    <w:widowControl/>
                    <w:shd w:val="clear" w:color="auto" w:fill="FFFFFF"/>
                    <w:jc w:val="center"/>
                    <w:rPr>
                      <w:color w:val="auto"/>
                      <w:szCs w:val="21"/>
                    </w:rPr>
                  </w:pPr>
                  <w:r>
                    <w:rPr>
                      <w:rFonts w:hint="eastAsia"/>
                      <w:color w:val="auto"/>
                      <w:szCs w:val="21"/>
                      <w:lang w:eastAsia="zh-CN"/>
                    </w:rPr>
                    <w:t>2.</w:t>
                  </w:r>
                  <w:r>
                    <w:rPr>
                      <w:rFonts w:hint="eastAsia"/>
                      <w:color w:val="auto"/>
                      <w:szCs w:val="21"/>
                    </w:rPr>
                    <w:t>盐河、东张河执行《地表水环境质量标准》(GB3838-2002)Ⅲ类标准。</w:t>
                  </w:r>
                </w:p>
                <w:p w14:paraId="57819361">
                  <w:pPr>
                    <w:widowControl/>
                    <w:shd w:val="clear" w:color="auto" w:fill="FFFFFF"/>
                    <w:jc w:val="center"/>
                    <w:rPr>
                      <w:color w:val="auto"/>
                      <w:szCs w:val="21"/>
                    </w:rPr>
                  </w:pPr>
                  <w:r>
                    <w:rPr>
                      <w:rFonts w:hint="eastAsia"/>
                      <w:color w:val="auto"/>
                      <w:szCs w:val="21"/>
                      <w:lang w:eastAsia="zh-CN"/>
                    </w:rPr>
                    <w:t>3.</w:t>
                  </w:r>
                  <w:r>
                    <w:rPr>
                      <w:rFonts w:hint="eastAsia"/>
                      <w:color w:val="auto"/>
                      <w:szCs w:val="21"/>
                    </w:rPr>
                    <w:t>建设用地满足《土壤环境质量建设用地土壤污染风险管控标准》(GB36600-2018</w:t>
                  </w:r>
                  <w:r>
                    <w:rPr>
                      <w:rFonts w:hint="eastAsia"/>
                      <w:color w:val="auto"/>
                      <w:szCs w:val="21"/>
                      <w:lang w:eastAsia="zh-CN"/>
                    </w:rPr>
                    <w:t>）</w:t>
                  </w:r>
                  <w:r>
                    <w:rPr>
                      <w:rFonts w:hint="eastAsia"/>
                      <w:color w:val="auto"/>
                      <w:szCs w:val="21"/>
                    </w:rPr>
                    <w:t>筛选值中的第一类、第二类用地标准。</w:t>
                  </w:r>
                </w:p>
                <w:p w14:paraId="33617C87">
                  <w:pPr>
                    <w:widowControl/>
                    <w:shd w:val="clear" w:color="auto" w:fill="FFFFFF"/>
                    <w:jc w:val="center"/>
                    <w:rPr>
                      <w:color w:val="auto"/>
                      <w:szCs w:val="21"/>
                    </w:rPr>
                  </w:pPr>
                  <w:r>
                    <w:rPr>
                      <w:rFonts w:hint="eastAsia"/>
                      <w:color w:val="auto"/>
                      <w:szCs w:val="21"/>
                      <w:lang w:eastAsia="zh-CN"/>
                    </w:rPr>
                    <w:t>4.</w:t>
                  </w:r>
                  <w:r>
                    <w:rPr>
                      <w:rFonts w:hint="eastAsia"/>
                      <w:color w:val="auto"/>
                      <w:szCs w:val="21"/>
                    </w:rPr>
                    <w:t>入园企业应按照标准的更新情况及时更新执行的排放标准。</w:t>
                  </w:r>
                </w:p>
              </w:tc>
              <w:tc>
                <w:tcPr>
                  <w:tcW w:w="1695" w:type="pct"/>
                  <w:vAlign w:val="center"/>
                </w:tcPr>
                <w:p w14:paraId="44CD74E6">
                  <w:pPr>
                    <w:jc w:val="center"/>
                    <w:rPr>
                      <w:color w:val="auto"/>
                      <w:szCs w:val="21"/>
                    </w:rPr>
                  </w:pPr>
                  <w:r>
                    <w:rPr>
                      <w:rFonts w:hint="eastAsia"/>
                      <w:color w:val="auto"/>
                      <w:szCs w:val="21"/>
                    </w:rPr>
                    <w:t>环境质量均按照要求标准执行。</w:t>
                  </w:r>
                </w:p>
              </w:tc>
              <w:tc>
                <w:tcPr>
                  <w:tcW w:w="280" w:type="pct"/>
                  <w:vMerge w:val="continue"/>
                  <w:tcBorders>
                    <w:right w:val="nil"/>
                  </w:tcBorders>
                  <w:vAlign w:val="center"/>
                </w:tcPr>
                <w:p w14:paraId="1082A922">
                  <w:pPr>
                    <w:jc w:val="center"/>
                    <w:rPr>
                      <w:color w:val="auto"/>
                      <w:szCs w:val="21"/>
                    </w:rPr>
                  </w:pPr>
                </w:p>
              </w:tc>
            </w:tr>
            <w:tr w14:paraId="5D64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21201D3A">
                  <w:pPr>
                    <w:widowControl/>
                    <w:shd w:val="clear" w:color="auto" w:fill="FFFFFF"/>
                    <w:jc w:val="center"/>
                    <w:rPr>
                      <w:color w:val="auto"/>
                      <w:szCs w:val="21"/>
                    </w:rPr>
                  </w:pPr>
                </w:p>
              </w:tc>
              <w:tc>
                <w:tcPr>
                  <w:tcW w:w="2688" w:type="pct"/>
                  <w:vAlign w:val="center"/>
                </w:tcPr>
                <w:p w14:paraId="0459B140">
                  <w:pPr>
                    <w:widowControl/>
                    <w:shd w:val="clear" w:color="auto" w:fill="FFFFFF"/>
                    <w:jc w:val="center"/>
                    <w:rPr>
                      <w:color w:val="auto"/>
                      <w:szCs w:val="21"/>
                    </w:rPr>
                  </w:pPr>
                  <w:r>
                    <w:rPr>
                      <w:rFonts w:hint="eastAsia"/>
                      <w:color w:val="auto"/>
                      <w:szCs w:val="21"/>
                      <w:lang w:eastAsia="zh-CN"/>
                    </w:rPr>
                    <w:t>1.</w:t>
                  </w:r>
                  <w:r>
                    <w:rPr>
                      <w:rFonts w:hint="eastAsia"/>
                      <w:color w:val="auto"/>
                      <w:szCs w:val="21"/>
                    </w:rPr>
                    <w:t>废气污染物：近期SO</w:t>
                  </w:r>
                  <w:r>
                    <w:rPr>
                      <w:rFonts w:hint="eastAsia"/>
                      <w:color w:val="auto"/>
                      <w:szCs w:val="21"/>
                      <w:vertAlign w:val="subscript"/>
                    </w:rPr>
                    <w:t>2</w:t>
                  </w:r>
                  <w:r>
                    <w:rPr>
                      <w:rFonts w:hint="eastAsia"/>
                      <w:color w:val="auto"/>
                      <w:szCs w:val="21"/>
                    </w:rPr>
                    <w:t>8.640t/a、NOx40.394t/a、颗粒物33.873t/a、VOCs48.974t/a；远期SO</w:t>
                  </w:r>
                  <w:r>
                    <w:rPr>
                      <w:rFonts w:hint="eastAsia"/>
                      <w:color w:val="auto"/>
                      <w:szCs w:val="21"/>
                      <w:vertAlign w:val="subscript"/>
                    </w:rPr>
                    <w:t>2</w:t>
                  </w:r>
                  <w:r>
                    <w:rPr>
                      <w:rFonts w:hint="eastAsia"/>
                      <w:color w:val="auto"/>
                      <w:szCs w:val="21"/>
                    </w:rPr>
                    <w:t>10.270t/a,NOx43.457t/a、颗粒物46.020t/a、VOCs51.174t/a；</w:t>
                  </w:r>
                </w:p>
                <w:p w14:paraId="67F1E6EA">
                  <w:pPr>
                    <w:widowControl/>
                    <w:shd w:val="clear" w:color="auto" w:fill="FFFFFF"/>
                    <w:jc w:val="center"/>
                    <w:rPr>
                      <w:color w:val="auto"/>
                      <w:szCs w:val="21"/>
                    </w:rPr>
                  </w:pPr>
                  <w:r>
                    <w:rPr>
                      <w:rFonts w:hint="eastAsia"/>
                      <w:color w:val="auto"/>
                      <w:szCs w:val="21"/>
                    </w:rPr>
                    <w:t>2、本园区废水污染物*：①近期排放量</w:t>
                  </w:r>
                  <w:r>
                    <w:rPr>
                      <w:rFonts w:hint="eastAsia"/>
                      <w:color w:val="auto"/>
                      <w:szCs w:val="21"/>
                      <w:lang w:eastAsia="zh-CN"/>
                    </w:rPr>
                    <w:t>（</w:t>
                  </w:r>
                  <w:r>
                    <w:rPr>
                      <w:rFonts w:hint="eastAsia"/>
                      <w:color w:val="auto"/>
                      <w:szCs w:val="21"/>
                    </w:rPr>
                    <w:t>30%回用后</w:t>
                  </w:r>
                  <w:r>
                    <w:rPr>
                      <w:rFonts w:hint="eastAsia"/>
                      <w:color w:val="auto"/>
                      <w:szCs w:val="21"/>
                      <w:lang w:eastAsia="zh-CN"/>
                    </w:rPr>
                    <w:t>）</w:t>
                  </w:r>
                  <w:r>
                    <w:rPr>
                      <w:rFonts w:hint="eastAsia"/>
                      <w:color w:val="auto"/>
                      <w:szCs w:val="21"/>
                    </w:rPr>
                    <w:t>：污水1667.321万t/a，COD521.848t/a、</w:t>
                  </w:r>
                </w:p>
                <w:p w14:paraId="39F6A8EA">
                  <w:pPr>
                    <w:widowControl/>
                    <w:shd w:val="clear" w:color="auto" w:fill="FFFFFF"/>
                    <w:jc w:val="center"/>
                    <w:rPr>
                      <w:color w:val="auto"/>
                      <w:szCs w:val="21"/>
                    </w:rPr>
                  </w:pPr>
                  <w:r>
                    <w:rPr>
                      <w:rFonts w:hint="eastAsia"/>
                      <w:color w:val="auto"/>
                      <w:szCs w:val="21"/>
                    </w:rPr>
                    <w:t>氨氮28.63t/a、总磷5.184t/a、总氮171.193t/a</w:t>
                  </w:r>
                  <w:r>
                    <w:rPr>
                      <w:rFonts w:hint="eastAsia"/>
                      <w:color w:val="auto"/>
                      <w:szCs w:val="21"/>
                      <w:lang w:eastAsia="zh-CN"/>
                    </w:rPr>
                    <w:t>（</w:t>
                  </w:r>
                  <w:r>
                    <w:rPr>
                      <w:rFonts w:hint="eastAsia"/>
                      <w:color w:val="auto"/>
                      <w:szCs w:val="21"/>
                    </w:rPr>
                    <w:t>其中空港工业</w:t>
                  </w:r>
                  <w:r>
                    <w:rPr>
                      <w:rFonts w:hint="eastAsia"/>
                      <w:color w:val="auto"/>
                      <w:szCs w:val="21"/>
                      <w:lang w:eastAsia="zh-CN"/>
                    </w:rPr>
                    <w:t>污水处理厂</w:t>
                  </w:r>
                  <w:r>
                    <w:rPr>
                      <w:rFonts w:hint="eastAsia"/>
                      <w:color w:val="auto"/>
                      <w:szCs w:val="21"/>
                    </w:rPr>
                    <w:t>污水1533万t/a，COD459.90t/a、氨氮23.00t/a、总磷4.60t/a、总氮153.30t/a</w:t>
                  </w:r>
                  <w:r>
                    <w:rPr>
                      <w:rFonts w:hint="eastAsia"/>
                      <w:color w:val="auto"/>
                      <w:szCs w:val="21"/>
                      <w:lang w:eastAsia="zh-CN"/>
                    </w:rPr>
                    <w:t>）</w:t>
                  </w:r>
                  <w:r>
                    <w:rPr>
                      <w:rFonts w:hint="eastAsia"/>
                      <w:color w:val="auto"/>
                      <w:szCs w:val="21"/>
                    </w:rPr>
                    <w:t>；</w:t>
                  </w:r>
                </w:p>
                <w:p w14:paraId="799848CB">
                  <w:pPr>
                    <w:widowControl/>
                    <w:shd w:val="clear" w:color="auto" w:fill="FFFFFF"/>
                    <w:jc w:val="center"/>
                    <w:rPr>
                      <w:color w:val="auto"/>
                      <w:szCs w:val="21"/>
                    </w:rPr>
                  </w:pPr>
                  <w:r>
                    <w:rPr>
                      <w:rFonts w:hint="eastAsia"/>
                      <w:color w:val="auto"/>
                      <w:szCs w:val="21"/>
                    </w:rPr>
                    <w:t>②远期排放量</w:t>
                  </w:r>
                  <w:r>
                    <w:rPr>
                      <w:rFonts w:hint="eastAsia"/>
                      <w:color w:val="auto"/>
                      <w:szCs w:val="21"/>
                      <w:lang w:eastAsia="zh-CN"/>
                    </w:rPr>
                    <w:t>（</w:t>
                  </w:r>
                  <w:r>
                    <w:rPr>
                      <w:rFonts w:hint="eastAsia"/>
                      <w:color w:val="auto"/>
                      <w:szCs w:val="21"/>
                    </w:rPr>
                    <w:t>30%回用后</w:t>
                  </w:r>
                  <w:r>
                    <w:rPr>
                      <w:rFonts w:hint="eastAsia"/>
                      <w:color w:val="auto"/>
                      <w:szCs w:val="21"/>
                      <w:lang w:eastAsia="zh-CN"/>
                    </w:rPr>
                    <w:t>）</w:t>
                  </w:r>
                  <w:r>
                    <w:rPr>
                      <w:rFonts w:hint="eastAsia"/>
                      <w:color w:val="auto"/>
                      <w:szCs w:val="21"/>
                    </w:rPr>
                    <w:t>：污水2468.5695万t/a，COD769.172t/a、氨氮41.858t/a、总磷7.6583t/a、总氮253.775t/a</w:t>
                  </w:r>
                  <w:r>
                    <w:rPr>
                      <w:rFonts w:hint="eastAsia"/>
                      <w:color w:val="auto"/>
                      <w:szCs w:val="21"/>
                      <w:lang w:eastAsia="zh-CN"/>
                    </w:rPr>
                    <w:t>（</w:t>
                  </w:r>
                  <w:r>
                    <w:rPr>
                      <w:rFonts w:hint="eastAsia"/>
                      <w:color w:val="auto"/>
                      <w:szCs w:val="21"/>
                    </w:rPr>
                    <w:t>其中空港工业</w:t>
                  </w:r>
                  <w:r>
                    <w:rPr>
                      <w:rFonts w:hint="eastAsia"/>
                      <w:color w:val="auto"/>
                      <w:szCs w:val="21"/>
                      <w:lang w:eastAsia="zh-CN"/>
                    </w:rPr>
                    <w:t>污水处理厂</w:t>
                  </w:r>
                  <w:r>
                    <w:rPr>
                      <w:rFonts w:hint="eastAsia"/>
                      <w:color w:val="auto"/>
                      <w:szCs w:val="21"/>
                    </w:rPr>
                    <w:t>污水2299.5万t/a，COD689.85t/a、氨氮34.49 t/a、总磷6.90t/a、总氮229.95t/a</w:t>
                  </w:r>
                  <w:r>
                    <w:rPr>
                      <w:rFonts w:hint="eastAsia"/>
                      <w:color w:val="auto"/>
                      <w:szCs w:val="21"/>
                      <w:lang w:eastAsia="zh-CN"/>
                    </w:rPr>
                    <w:t>）</w:t>
                  </w:r>
                  <w:r>
                    <w:rPr>
                      <w:rFonts w:hint="eastAsia"/>
                      <w:color w:val="auto"/>
                      <w:szCs w:val="21"/>
                    </w:rPr>
                    <w:t>。</w:t>
                  </w:r>
                </w:p>
                <w:p w14:paraId="5049796E">
                  <w:pPr>
                    <w:widowControl/>
                    <w:shd w:val="clear" w:color="auto" w:fill="FFFFFF"/>
                    <w:jc w:val="center"/>
                    <w:rPr>
                      <w:color w:val="auto"/>
                      <w:szCs w:val="21"/>
                    </w:rPr>
                  </w:pPr>
                  <w:r>
                    <w:rPr>
                      <w:rFonts w:hint="eastAsia"/>
                      <w:color w:val="auto"/>
                      <w:szCs w:val="21"/>
                      <w:lang w:eastAsia="zh-CN"/>
                    </w:rPr>
                    <w:t>3.</w:t>
                  </w:r>
                  <w:r>
                    <w:rPr>
                      <w:rFonts w:hint="eastAsia"/>
                      <w:color w:val="auto"/>
                      <w:szCs w:val="21"/>
                    </w:rPr>
                    <w:t>固体废物：近期产生量：一般工业固废9784.45t/a、危险废物593.624t/a、生活垃圾14665.75t/a；远期产生量：一般工业固废10375.19t/a、危险废物724.164t/a、生活垃圾20733.75t/a。</w:t>
                  </w:r>
                </w:p>
                <w:p w14:paraId="7C7DCB2E">
                  <w:pPr>
                    <w:widowControl/>
                    <w:shd w:val="clear" w:color="auto" w:fill="FFFFFF"/>
                    <w:jc w:val="center"/>
                    <w:rPr>
                      <w:color w:val="auto"/>
                      <w:szCs w:val="21"/>
                    </w:rPr>
                  </w:pPr>
                  <w:r>
                    <w:rPr>
                      <w:rFonts w:hint="eastAsia"/>
                      <w:color w:val="auto"/>
                      <w:szCs w:val="21"/>
                      <w:lang w:eastAsia="zh-CN"/>
                    </w:rPr>
                    <w:t>4.</w:t>
                  </w:r>
                  <w:r>
                    <w:rPr>
                      <w:rFonts w:hint="eastAsia"/>
                      <w:color w:val="auto"/>
                      <w:szCs w:val="21"/>
                    </w:rPr>
                    <w:t>入驻园区的企业必须取得污染物排放总量指标，</w:t>
                  </w:r>
                  <w:r>
                    <w:rPr>
                      <w:rFonts w:hint="eastAsia"/>
                      <w:color w:val="auto"/>
                      <w:szCs w:val="21"/>
                      <w:lang w:eastAsia="zh-CN"/>
                    </w:rPr>
                    <w:t>园区</w:t>
                  </w:r>
                  <w:r>
                    <w:rPr>
                      <w:rFonts w:hint="eastAsia"/>
                      <w:color w:val="auto"/>
                      <w:szCs w:val="21"/>
                    </w:rPr>
                    <w:t>污染物总量达到限值后，不得引进排放同类污染物的企业，园区同类企业不得进行改、扩建</w:t>
                  </w:r>
                  <w:r>
                    <w:rPr>
                      <w:rFonts w:hint="eastAsia"/>
                      <w:color w:val="auto"/>
                      <w:szCs w:val="21"/>
                      <w:lang w:eastAsia="zh-CN"/>
                    </w:rPr>
                    <w:t>（</w:t>
                  </w:r>
                  <w:r>
                    <w:rPr>
                      <w:rFonts w:hint="eastAsia"/>
                      <w:color w:val="auto"/>
                      <w:szCs w:val="21"/>
                    </w:rPr>
                    <w:t>对环境或总量削减有改善除外</w:t>
                  </w:r>
                  <w:r>
                    <w:rPr>
                      <w:rFonts w:hint="eastAsia"/>
                      <w:color w:val="auto"/>
                      <w:szCs w:val="21"/>
                      <w:lang w:eastAsia="zh-CN"/>
                    </w:rPr>
                    <w:t>）</w:t>
                  </w:r>
                  <w:r>
                    <w:rPr>
                      <w:rFonts w:hint="eastAsia"/>
                      <w:color w:val="auto"/>
                      <w:szCs w:val="21"/>
                    </w:rPr>
                    <w:t>。</w:t>
                  </w:r>
                </w:p>
              </w:tc>
              <w:tc>
                <w:tcPr>
                  <w:tcW w:w="1695" w:type="pct"/>
                  <w:vAlign w:val="center"/>
                </w:tcPr>
                <w:p w14:paraId="3007DACC">
                  <w:pPr>
                    <w:jc w:val="center"/>
                    <w:rPr>
                      <w:color w:val="auto"/>
                      <w:szCs w:val="21"/>
                    </w:rPr>
                  </w:pPr>
                  <w:r>
                    <w:rPr>
                      <w:rFonts w:hint="eastAsia"/>
                      <w:color w:val="auto"/>
                      <w:szCs w:val="21"/>
                    </w:rPr>
                    <w:t>本项目严格执行园区污染物排放总量指标。</w:t>
                  </w:r>
                </w:p>
              </w:tc>
              <w:tc>
                <w:tcPr>
                  <w:tcW w:w="280" w:type="pct"/>
                  <w:vMerge w:val="continue"/>
                  <w:tcBorders>
                    <w:right w:val="nil"/>
                  </w:tcBorders>
                  <w:vAlign w:val="center"/>
                </w:tcPr>
                <w:p w14:paraId="3E5471C3">
                  <w:pPr>
                    <w:jc w:val="center"/>
                    <w:rPr>
                      <w:color w:val="auto"/>
                      <w:szCs w:val="21"/>
                    </w:rPr>
                  </w:pPr>
                </w:p>
              </w:tc>
            </w:tr>
            <w:tr w14:paraId="29A6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left w:val="nil"/>
                  </w:tcBorders>
                  <w:vAlign w:val="center"/>
                </w:tcPr>
                <w:p w14:paraId="14DC4C05">
                  <w:pPr>
                    <w:widowControl/>
                    <w:jc w:val="center"/>
                    <w:rPr>
                      <w:color w:val="auto"/>
                      <w:szCs w:val="21"/>
                    </w:rPr>
                  </w:pPr>
                  <w:r>
                    <w:rPr>
                      <w:rFonts w:hint="eastAsia"/>
                      <w:color w:val="auto"/>
                      <w:szCs w:val="21"/>
                    </w:rPr>
                    <w:t>环境风险防控</w:t>
                  </w:r>
                </w:p>
              </w:tc>
              <w:tc>
                <w:tcPr>
                  <w:tcW w:w="2688" w:type="pct"/>
                  <w:vAlign w:val="center"/>
                </w:tcPr>
                <w:p w14:paraId="4CCC9B82">
                  <w:pPr>
                    <w:widowControl/>
                    <w:jc w:val="center"/>
                    <w:rPr>
                      <w:color w:val="auto"/>
                      <w:szCs w:val="21"/>
                    </w:rPr>
                  </w:pPr>
                  <w:r>
                    <w:rPr>
                      <w:rFonts w:hint="eastAsia"/>
                      <w:color w:val="auto"/>
                      <w:szCs w:val="21"/>
                      <w:lang w:eastAsia="zh-CN"/>
                    </w:rPr>
                    <w:t>1.</w:t>
                  </w:r>
                  <w:r>
                    <w:rPr>
                      <w:rFonts w:hint="eastAsia"/>
                      <w:color w:val="auto"/>
                      <w:szCs w:val="21"/>
                    </w:rPr>
                    <w:t>园区和企业编制环境风险应急预案，对重点风险源编制环境风险评估报告，按时对应急预案进行更新与备案。</w:t>
                  </w:r>
                </w:p>
                <w:p w14:paraId="4FD0C679">
                  <w:pPr>
                    <w:widowControl/>
                    <w:jc w:val="center"/>
                    <w:rPr>
                      <w:color w:val="auto"/>
                      <w:szCs w:val="21"/>
                    </w:rPr>
                  </w:pPr>
                  <w:r>
                    <w:rPr>
                      <w:rFonts w:hint="eastAsia"/>
                      <w:color w:val="auto"/>
                      <w:szCs w:val="21"/>
                      <w:lang w:eastAsia="zh-CN"/>
                    </w:rPr>
                    <w:t>2.</w:t>
                  </w:r>
                  <w:r>
                    <w:rPr>
                      <w:rFonts w:hint="eastAsia"/>
                      <w:color w:val="auto"/>
                      <w:szCs w:val="21"/>
                    </w:rPr>
                    <w:t>建立有毒有害气体预警体系，建立重点监控区域预警和应急机制，涉及有毒有害气体的企业全部安装毒害气体监控预警装置并与当地生态环境主管部门或园区管理平台联网，加强监控。</w:t>
                  </w:r>
                </w:p>
                <w:p w14:paraId="79DAE261">
                  <w:pPr>
                    <w:widowControl/>
                    <w:jc w:val="center"/>
                    <w:rPr>
                      <w:color w:val="auto"/>
                      <w:szCs w:val="21"/>
                    </w:rPr>
                  </w:pPr>
                  <w:r>
                    <w:rPr>
                      <w:rFonts w:hint="eastAsia"/>
                      <w:color w:val="auto"/>
                      <w:szCs w:val="21"/>
                      <w:lang w:eastAsia="zh-CN"/>
                    </w:rPr>
                    <w:t>3.</w:t>
                  </w:r>
                  <w:r>
                    <w:rPr>
                      <w:rFonts w:hint="eastAsia"/>
                      <w:color w:val="auto"/>
                      <w:szCs w:val="21"/>
                    </w:rPr>
                    <w:t>建立突发环境事件隐患排查整改及突发环境事件应急管理长效机制。将园区突发环境事件隐患排查及整改、环境应急物资管理、环境应急演练拉练、环境应急预案备案及修编等工作，纳入园区监督管理系统。园区要做好污染防治过程中的安全防范，组织对</w:t>
                  </w:r>
                  <w:r>
                    <w:rPr>
                      <w:rFonts w:hint="eastAsia"/>
                      <w:color w:val="auto"/>
                      <w:szCs w:val="21"/>
                      <w:lang w:eastAsia="zh-CN"/>
                    </w:rPr>
                    <w:t>园区</w:t>
                  </w:r>
                  <w:r>
                    <w:rPr>
                      <w:rFonts w:hint="eastAsia"/>
                      <w:color w:val="auto"/>
                      <w:szCs w:val="21"/>
                    </w:rPr>
                    <w:t>建设的重点环保治理设施和项目开展安全风险评估和隐患排查治理，督促园区内企业对污染防治设施开展安全风险评估和隐患排查治理。</w:t>
                  </w:r>
                </w:p>
                <w:p w14:paraId="68574E90">
                  <w:pPr>
                    <w:widowControl/>
                    <w:jc w:val="center"/>
                    <w:rPr>
                      <w:color w:val="auto"/>
                      <w:szCs w:val="21"/>
                    </w:rPr>
                  </w:pPr>
                  <w:r>
                    <w:rPr>
                      <w:rFonts w:hint="eastAsia"/>
                      <w:color w:val="auto"/>
                      <w:szCs w:val="21"/>
                      <w:lang w:eastAsia="zh-CN"/>
                    </w:rPr>
                    <w:t>4.</w:t>
                  </w:r>
                  <w:r>
                    <w:rPr>
                      <w:rFonts w:hint="eastAsia"/>
                      <w:color w:val="auto"/>
                      <w:szCs w:val="21"/>
                    </w:rPr>
                    <w:t>布局管控，园区内部的功能布局应充分考虑风险源对区内及周边环境的影响，储罐区应远离村镇集中区、区内人群聚集的办公楼、周边村庄及河流，以减少对其他项目的影响；园区内不同企业风险源之间应尽量远离，防止其中某一风险源发生风险事故引起其他风险源爆发带来的连锁反应，降低风险事故发生的范围。</w:t>
                  </w:r>
                </w:p>
                <w:p w14:paraId="3042DCC4">
                  <w:pPr>
                    <w:widowControl/>
                    <w:jc w:val="center"/>
                    <w:rPr>
                      <w:color w:val="auto"/>
                      <w:szCs w:val="21"/>
                    </w:rPr>
                  </w:pPr>
                  <w:r>
                    <w:rPr>
                      <w:rFonts w:hint="eastAsia"/>
                      <w:color w:val="auto"/>
                      <w:szCs w:val="21"/>
                    </w:rPr>
                    <w:t>5、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0190B69B">
                  <w:pPr>
                    <w:widowControl/>
                    <w:jc w:val="center"/>
                    <w:rPr>
                      <w:color w:val="auto"/>
                      <w:szCs w:val="21"/>
                    </w:rPr>
                  </w:pPr>
                  <w:r>
                    <w:rPr>
                      <w:rFonts w:hint="eastAsia"/>
                      <w:color w:val="auto"/>
                      <w:szCs w:val="21"/>
                      <w:lang w:eastAsia="zh-CN"/>
                    </w:rPr>
                    <w:t>6.</w:t>
                  </w:r>
                  <w:r>
                    <w:rPr>
                      <w:rFonts w:hint="eastAsia"/>
                      <w:color w:val="auto"/>
                      <w:szCs w:val="21"/>
                    </w:rPr>
                    <w:t>禁止无法落实危险废物处置途径的项目入园。</w:t>
                  </w:r>
                </w:p>
              </w:tc>
              <w:tc>
                <w:tcPr>
                  <w:tcW w:w="1695" w:type="pct"/>
                  <w:vAlign w:val="center"/>
                </w:tcPr>
                <w:p w14:paraId="524B783C">
                  <w:pPr>
                    <w:jc w:val="center"/>
                    <w:rPr>
                      <w:color w:val="auto"/>
                      <w:szCs w:val="21"/>
                    </w:rPr>
                  </w:pPr>
                  <w:r>
                    <w:rPr>
                      <w:rFonts w:hint="eastAsia"/>
                      <w:color w:val="auto"/>
                      <w:szCs w:val="21"/>
                    </w:rPr>
                    <w:t>企业将编制环境风险应急预案，对重点风险源编制环境风险评估报告，按时对应急预案进行更新与备案；建立重点监控区域预警和应急机制；建立突发环境事件隐患排查整改及突发环境事件应急管理长效机制；注重企业风险源对区内及周边环境的影响；本项目不涉</w:t>
                  </w:r>
                  <w:r>
                    <w:rPr>
                      <w:rFonts w:hint="eastAsia"/>
                      <w:color w:val="auto"/>
                      <w:szCs w:val="21"/>
                      <w:lang w:eastAsia="zh-CN"/>
                    </w:rPr>
                    <w:t>及污</w:t>
                  </w:r>
                  <w:r>
                    <w:rPr>
                      <w:rFonts w:hint="eastAsia"/>
                      <w:color w:val="auto"/>
                      <w:szCs w:val="21"/>
                    </w:rPr>
                    <w:t>染风险重点管控区内关闭搬迁、拟变更土地利用方式和土地使用权人的重点行业企业用地；项目落实危险废物处置方式</w:t>
                  </w:r>
                  <w:r>
                    <w:rPr>
                      <w:color w:val="auto"/>
                      <w:szCs w:val="21"/>
                    </w:rPr>
                    <w:t>。</w:t>
                  </w:r>
                </w:p>
              </w:tc>
              <w:tc>
                <w:tcPr>
                  <w:tcW w:w="280" w:type="pct"/>
                  <w:tcBorders>
                    <w:right w:val="nil"/>
                  </w:tcBorders>
                  <w:vAlign w:val="center"/>
                </w:tcPr>
                <w:p w14:paraId="4C2A45D8">
                  <w:pPr>
                    <w:jc w:val="center"/>
                    <w:rPr>
                      <w:color w:val="auto"/>
                      <w:szCs w:val="21"/>
                    </w:rPr>
                  </w:pPr>
                  <w:r>
                    <w:rPr>
                      <w:color w:val="auto"/>
                      <w:szCs w:val="21"/>
                    </w:rPr>
                    <w:t>符合</w:t>
                  </w:r>
                </w:p>
              </w:tc>
            </w:tr>
            <w:tr w14:paraId="1DBB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left w:val="nil"/>
                  </w:tcBorders>
                  <w:vAlign w:val="center"/>
                </w:tcPr>
                <w:p w14:paraId="7CCDB358">
                  <w:pPr>
                    <w:widowControl/>
                    <w:jc w:val="center"/>
                    <w:rPr>
                      <w:color w:val="auto"/>
                      <w:szCs w:val="21"/>
                    </w:rPr>
                  </w:pPr>
                  <w:r>
                    <w:rPr>
                      <w:rFonts w:hint="eastAsia"/>
                      <w:color w:val="auto"/>
                      <w:szCs w:val="21"/>
                    </w:rPr>
                    <w:t>资源开发利用要求</w:t>
                  </w:r>
                </w:p>
              </w:tc>
              <w:tc>
                <w:tcPr>
                  <w:tcW w:w="2688" w:type="pct"/>
                  <w:vAlign w:val="center"/>
                </w:tcPr>
                <w:p w14:paraId="60031B43">
                  <w:pPr>
                    <w:widowControl/>
                    <w:jc w:val="center"/>
                    <w:rPr>
                      <w:color w:val="auto"/>
                      <w:szCs w:val="21"/>
                    </w:rPr>
                  </w:pPr>
                  <w:r>
                    <w:rPr>
                      <w:rFonts w:hint="eastAsia"/>
                      <w:color w:val="auto"/>
                      <w:szCs w:val="21"/>
                      <w:lang w:eastAsia="zh-CN"/>
                    </w:rPr>
                    <w:t>1.</w:t>
                  </w:r>
                  <w:r>
                    <w:rPr>
                      <w:rFonts w:hint="eastAsia"/>
                      <w:color w:val="auto"/>
                      <w:szCs w:val="21"/>
                    </w:rPr>
                    <w:t>园区</w:t>
                  </w:r>
                  <w:r>
                    <w:rPr>
                      <w:rFonts w:hint="eastAsia"/>
                      <w:color w:val="auto"/>
                      <w:szCs w:val="21"/>
                      <w:lang w:eastAsia="zh-CN"/>
                    </w:rPr>
                    <w:t>污水处理厂</w:t>
                  </w:r>
                  <w:r>
                    <w:rPr>
                      <w:rFonts w:hint="eastAsia"/>
                      <w:color w:val="auto"/>
                      <w:szCs w:val="21"/>
                    </w:rPr>
                    <w:t>中水回用率达到30%，园区用水总量9万立方米/日；</w:t>
                  </w:r>
                </w:p>
                <w:p w14:paraId="6482128E">
                  <w:pPr>
                    <w:widowControl/>
                    <w:jc w:val="center"/>
                    <w:rPr>
                      <w:color w:val="auto"/>
                      <w:szCs w:val="21"/>
                    </w:rPr>
                  </w:pPr>
                  <w:r>
                    <w:rPr>
                      <w:rFonts w:hint="eastAsia"/>
                      <w:color w:val="auto"/>
                      <w:szCs w:val="21"/>
                      <w:lang w:eastAsia="zh-CN"/>
                    </w:rPr>
                    <w:t>2.</w:t>
                  </w:r>
                  <w:r>
                    <w:rPr>
                      <w:rFonts w:hint="eastAsia"/>
                      <w:color w:val="auto"/>
                      <w:szCs w:val="21"/>
                    </w:rPr>
                    <w:t>土地资源可利用园区总面积上限13.90km</w:t>
                  </w:r>
                  <w:r>
                    <w:rPr>
                      <w:rFonts w:hint="eastAsia"/>
                      <w:color w:val="auto"/>
                      <w:szCs w:val="21"/>
                      <w:vertAlign w:val="superscript"/>
                    </w:rPr>
                    <w:t>2</w:t>
                  </w:r>
                  <w:r>
                    <w:rPr>
                      <w:rFonts w:hint="eastAsia"/>
                      <w:color w:val="auto"/>
                      <w:szCs w:val="21"/>
                    </w:rPr>
                    <w:t>，建设用地总面积上限12.57km</w:t>
                  </w:r>
                  <w:r>
                    <w:rPr>
                      <w:rFonts w:hint="eastAsia"/>
                      <w:color w:val="auto"/>
                      <w:szCs w:val="21"/>
                      <w:vertAlign w:val="superscript"/>
                    </w:rPr>
                    <w:t>2</w:t>
                  </w:r>
                  <w:r>
                    <w:rPr>
                      <w:rFonts w:hint="eastAsia"/>
                      <w:color w:val="auto"/>
                      <w:szCs w:val="21"/>
                    </w:rPr>
                    <w:t>，工业用地总面积上限6.05km²，单位工业用地工业增加值≥9亿元/km</w:t>
                  </w:r>
                  <w:r>
                    <w:rPr>
                      <w:rFonts w:hint="eastAsia"/>
                      <w:color w:val="auto"/>
                      <w:szCs w:val="21"/>
                      <w:vertAlign w:val="superscript"/>
                    </w:rPr>
                    <w:t>2</w:t>
                  </w:r>
                  <w:r>
                    <w:rPr>
                      <w:rFonts w:hint="eastAsia"/>
                      <w:color w:val="auto"/>
                      <w:szCs w:val="21"/>
                    </w:rPr>
                    <w:t>。</w:t>
                  </w:r>
                </w:p>
                <w:p w14:paraId="440981CB">
                  <w:pPr>
                    <w:widowControl/>
                    <w:jc w:val="center"/>
                    <w:rPr>
                      <w:color w:val="auto"/>
                      <w:szCs w:val="21"/>
                    </w:rPr>
                  </w:pPr>
                  <w:r>
                    <w:rPr>
                      <w:rFonts w:hint="eastAsia"/>
                      <w:color w:val="auto"/>
                      <w:szCs w:val="21"/>
                      <w:lang w:eastAsia="zh-CN"/>
                    </w:rPr>
                    <w:t>3.</w:t>
                  </w:r>
                  <w:r>
                    <w:rPr>
                      <w:rFonts w:hint="eastAsia"/>
                      <w:color w:val="auto"/>
                      <w:szCs w:val="21"/>
                    </w:rPr>
                    <w:t>规划能源利用主要为电能和天然气等清洁能源，新建高耗能项目单位产品</w:t>
                  </w:r>
                  <w:r>
                    <w:rPr>
                      <w:rFonts w:hint="eastAsia"/>
                      <w:color w:val="auto"/>
                      <w:szCs w:val="21"/>
                      <w:lang w:eastAsia="zh-CN"/>
                    </w:rPr>
                    <w:t>（</w:t>
                  </w:r>
                  <w:r>
                    <w:rPr>
                      <w:rFonts w:hint="eastAsia"/>
                      <w:color w:val="auto"/>
                      <w:szCs w:val="21"/>
                    </w:rPr>
                    <w:t>产值</w:t>
                  </w:r>
                  <w:r>
                    <w:rPr>
                      <w:rFonts w:hint="eastAsia"/>
                      <w:color w:val="auto"/>
                      <w:szCs w:val="21"/>
                      <w:lang w:eastAsia="zh-CN"/>
                    </w:rPr>
                    <w:t>）</w:t>
                  </w:r>
                  <w:r>
                    <w:rPr>
                      <w:rFonts w:hint="eastAsia"/>
                      <w:color w:val="auto"/>
                      <w:szCs w:val="21"/>
                    </w:rPr>
                    <w:t>能耗要达到国际先进水平。</w:t>
                  </w:r>
                </w:p>
              </w:tc>
              <w:tc>
                <w:tcPr>
                  <w:tcW w:w="1695" w:type="pct"/>
                  <w:vAlign w:val="center"/>
                </w:tcPr>
                <w:p w14:paraId="67F01451">
                  <w:pPr>
                    <w:jc w:val="center"/>
                    <w:rPr>
                      <w:color w:val="auto"/>
                      <w:szCs w:val="21"/>
                    </w:rPr>
                  </w:pPr>
                  <w:r>
                    <w:rPr>
                      <w:color w:val="auto"/>
                      <w:szCs w:val="21"/>
                    </w:rPr>
                    <w:t>1、本项目用水</w:t>
                  </w:r>
                  <w:r>
                    <w:rPr>
                      <w:rFonts w:hint="eastAsia"/>
                      <w:color w:val="auto"/>
                      <w:szCs w:val="21"/>
                    </w:rPr>
                    <w:t>量远小于园区用水总量，满足用水规划；</w:t>
                  </w:r>
                </w:p>
                <w:p w14:paraId="664EDAEB">
                  <w:pPr>
                    <w:jc w:val="center"/>
                    <w:rPr>
                      <w:color w:val="auto"/>
                      <w:szCs w:val="21"/>
                    </w:rPr>
                  </w:pPr>
                  <w:r>
                    <w:rPr>
                      <w:rFonts w:hint="eastAsia"/>
                      <w:color w:val="auto"/>
                      <w:szCs w:val="21"/>
                    </w:rPr>
                    <w:t>2、本项目占地面积86115平方米，园区规划面积可满足企业用地需求；</w:t>
                  </w:r>
                </w:p>
                <w:p w14:paraId="582EB145">
                  <w:pPr>
                    <w:jc w:val="center"/>
                    <w:rPr>
                      <w:color w:val="auto"/>
                      <w:szCs w:val="21"/>
                    </w:rPr>
                  </w:pPr>
                  <w:r>
                    <w:rPr>
                      <w:rFonts w:hint="eastAsia"/>
                      <w:color w:val="auto"/>
                      <w:szCs w:val="21"/>
                      <w:lang w:eastAsia="zh-CN"/>
                    </w:rPr>
                    <w:t>3.</w:t>
                  </w:r>
                  <w:r>
                    <w:rPr>
                      <w:rFonts w:hint="eastAsia"/>
                      <w:color w:val="auto"/>
                      <w:szCs w:val="21"/>
                    </w:rPr>
                    <w:t>引进项目的生产工艺、设备、能耗、污染物排放和资源利用效率等均需达到国内领先水平</w:t>
                  </w:r>
                  <w:r>
                    <w:rPr>
                      <w:color w:val="auto"/>
                      <w:szCs w:val="21"/>
                    </w:rPr>
                    <w:t>。</w:t>
                  </w:r>
                </w:p>
              </w:tc>
              <w:tc>
                <w:tcPr>
                  <w:tcW w:w="280" w:type="pct"/>
                  <w:tcBorders>
                    <w:right w:val="nil"/>
                  </w:tcBorders>
                  <w:vAlign w:val="center"/>
                </w:tcPr>
                <w:p w14:paraId="7EEA1EAF">
                  <w:pPr>
                    <w:jc w:val="center"/>
                    <w:rPr>
                      <w:color w:val="auto"/>
                      <w:szCs w:val="21"/>
                    </w:rPr>
                  </w:pPr>
                  <w:r>
                    <w:rPr>
                      <w:color w:val="auto"/>
                      <w:szCs w:val="21"/>
                    </w:rPr>
                    <w:t>符合</w:t>
                  </w:r>
                </w:p>
              </w:tc>
            </w:tr>
            <w:tr w14:paraId="4A45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Merge w:val="restart"/>
                  <w:tcBorders>
                    <w:left w:val="nil"/>
                  </w:tcBorders>
                  <w:vAlign w:val="center"/>
                </w:tcPr>
                <w:p w14:paraId="472AB7F6">
                  <w:pPr>
                    <w:jc w:val="center"/>
                    <w:rPr>
                      <w:color w:val="auto"/>
                      <w:szCs w:val="21"/>
                    </w:rPr>
                  </w:pPr>
                  <w:r>
                    <w:rPr>
                      <w:rFonts w:hint="eastAsia"/>
                      <w:color w:val="auto"/>
                      <w:szCs w:val="21"/>
                    </w:rPr>
                    <w:t>准入分析</w:t>
                  </w:r>
                </w:p>
              </w:tc>
              <w:tc>
                <w:tcPr>
                  <w:tcW w:w="2688" w:type="pct"/>
                  <w:vAlign w:val="center"/>
                </w:tcPr>
                <w:p w14:paraId="72347024">
                  <w:pPr>
                    <w:adjustRightInd w:val="0"/>
                    <w:snapToGrid w:val="0"/>
                    <w:jc w:val="center"/>
                    <w:rPr>
                      <w:rFonts w:hint="eastAsia" w:ascii="宋体" w:hAnsi="宋体" w:cs="宋体"/>
                      <w:color w:val="auto"/>
                      <w:szCs w:val="21"/>
                    </w:rPr>
                  </w:pPr>
                  <w:r>
                    <w:rPr>
                      <w:rFonts w:hint="eastAsia" w:ascii="宋体" w:hAnsi="宋体" w:cs="宋体"/>
                      <w:color w:val="auto"/>
                      <w:szCs w:val="21"/>
                    </w:rPr>
                    <w:t>《市场准入负面清单（2022年版）》</w:t>
                  </w:r>
                  <w:r>
                    <w:rPr>
                      <w:rFonts w:hint="eastAsia" w:ascii="宋体" w:hAnsi="宋体" w:cs="宋体"/>
                      <w:color w:val="auto"/>
                      <w:kern w:val="0"/>
                      <w:szCs w:val="21"/>
                    </w:rPr>
                    <w:t>（发改体改规</w:t>
                  </w:r>
                  <w:r>
                    <w:rPr>
                      <w:rFonts w:hint="eastAsia" w:ascii="宋体" w:hAnsi="宋体" w:cs="宋体"/>
                      <w:color w:val="auto"/>
                      <w:kern w:val="0"/>
                      <w:szCs w:val="21"/>
                      <w:lang w:eastAsia="zh-CN"/>
                    </w:rPr>
                    <w:t>〔2022〕397号</w:t>
                  </w:r>
                  <w:r>
                    <w:rPr>
                      <w:rFonts w:hint="eastAsia" w:ascii="宋体" w:hAnsi="宋体" w:cs="宋体"/>
                      <w:color w:val="auto"/>
                      <w:kern w:val="0"/>
                      <w:szCs w:val="21"/>
                    </w:rPr>
                    <w:t>）</w:t>
                  </w:r>
                </w:p>
              </w:tc>
              <w:tc>
                <w:tcPr>
                  <w:tcW w:w="1695" w:type="pct"/>
                  <w:vAlign w:val="center"/>
                </w:tcPr>
                <w:p w14:paraId="2C1D07A3">
                  <w:pPr>
                    <w:adjustRightInd w:val="0"/>
                    <w:snapToGrid w:val="0"/>
                    <w:jc w:val="center"/>
                    <w:rPr>
                      <w:rFonts w:hint="eastAsia" w:ascii="宋体" w:hAnsi="宋体" w:cs="宋体"/>
                      <w:color w:val="auto"/>
                      <w:szCs w:val="21"/>
                    </w:rPr>
                  </w:pPr>
                  <w:r>
                    <w:rPr>
                      <w:rFonts w:hint="eastAsia" w:ascii="宋体" w:hAnsi="宋体" w:cs="宋体"/>
                      <w:color w:val="auto"/>
                      <w:szCs w:val="21"/>
                    </w:rPr>
                    <w:t>不属于市场禁止准入事项</w:t>
                  </w:r>
                </w:p>
              </w:tc>
              <w:tc>
                <w:tcPr>
                  <w:tcW w:w="280" w:type="pct"/>
                  <w:tcBorders>
                    <w:right w:val="nil"/>
                  </w:tcBorders>
                  <w:vAlign w:val="center"/>
                </w:tcPr>
                <w:p w14:paraId="285CF7E3">
                  <w:pPr>
                    <w:jc w:val="center"/>
                    <w:rPr>
                      <w:rFonts w:hint="eastAsia" w:ascii="宋体" w:hAnsi="宋体" w:cs="宋体"/>
                      <w:color w:val="auto"/>
                      <w:szCs w:val="21"/>
                    </w:rPr>
                  </w:pPr>
                  <w:r>
                    <w:rPr>
                      <w:rFonts w:hint="eastAsia" w:ascii="宋体" w:hAnsi="宋体" w:cs="宋体"/>
                      <w:color w:val="auto"/>
                      <w:szCs w:val="21"/>
                    </w:rPr>
                    <w:t>相符</w:t>
                  </w:r>
                </w:p>
              </w:tc>
            </w:tr>
            <w:tr w14:paraId="1CFE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3FE44E1E">
                  <w:pPr>
                    <w:jc w:val="center"/>
                    <w:rPr>
                      <w:color w:val="auto"/>
                      <w:szCs w:val="21"/>
                    </w:rPr>
                  </w:pPr>
                </w:p>
              </w:tc>
              <w:tc>
                <w:tcPr>
                  <w:tcW w:w="2688" w:type="pct"/>
                  <w:vAlign w:val="center"/>
                </w:tcPr>
                <w:p w14:paraId="2DCC12A7">
                  <w:pPr>
                    <w:adjustRightInd w:val="0"/>
                    <w:snapToGrid w:val="0"/>
                    <w:jc w:val="center"/>
                    <w:rPr>
                      <w:rFonts w:hint="eastAsia" w:ascii="宋体" w:hAnsi="宋体" w:cs="宋体"/>
                      <w:color w:val="auto"/>
                      <w:szCs w:val="21"/>
                    </w:rPr>
                  </w:pPr>
                  <w:r>
                    <w:rPr>
                      <w:rFonts w:hint="eastAsia" w:ascii="宋体" w:hAnsi="宋体" w:cs="宋体"/>
                      <w:color w:val="auto"/>
                      <w:szCs w:val="21"/>
                    </w:rPr>
                    <w:t>《长江经济带发展负面清单指南（试行，2022年版）》（长江办</w:t>
                  </w:r>
                  <w:r>
                    <w:rPr>
                      <w:rFonts w:hint="eastAsia" w:ascii="宋体" w:hAnsi="宋体" w:cs="宋体"/>
                      <w:color w:val="auto"/>
                      <w:szCs w:val="21"/>
                      <w:lang w:eastAsia="zh-CN"/>
                    </w:rPr>
                    <w:t>〔2022〕7号</w:t>
                  </w:r>
                  <w:r>
                    <w:rPr>
                      <w:rFonts w:hint="eastAsia" w:ascii="宋体" w:hAnsi="宋体" w:cs="宋体"/>
                      <w:color w:val="auto"/>
                      <w:szCs w:val="21"/>
                    </w:rPr>
                    <w:t>）</w:t>
                  </w:r>
                </w:p>
              </w:tc>
              <w:tc>
                <w:tcPr>
                  <w:tcW w:w="1695" w:type="pct"/>
                  <w:vAlign w:val="center"/>
                </w:tcPr>
                <w:p w14:paraId="5FB62560">
                  <w:pPr>
                    <w:adjustRightInd w:val="0"/>
                    <w:snapToGrid w:val="0"/>
                    <w:jc w:val="center"/>
                    <w:rPr>
                      <w:rFonts w:hint="eastAsia" w:ascii="宋体" w:hAnsi="宋体" w:cs="宋体"/>
                      <w:color w:val="auto"/>
                      <w:szCs w:val="21"/>
                    </w:rPr>
                  </w:pPr>
                  <w:r>
                    <w:rPr>
                      <w:rFonts w:hint="eastAsia" w:ascii="宋体" w:hAnsi="宋体" w:cs="宋体"/>
                      <w:color w:val="auto"/>
                      <w:szCs w:val="21"/>
                    </w:rPr>
                    <w:t>不属于负面清单中禁止类项目</w:t>
                  </w:r>
                </w:p>
              </w:tc>
              <w:tc>
                <w:tcPr>
                  <w:tcW w:w="280" w:type="pct"/>
                  <w:tcBorders>
                    <w:right w:val="nil"/>
                  </w:tcBorders>
                  <w:vAlign w:val="center"/>
                </w:tcPr>
                <w:p w14:paraId="0BB86A05">
                  <w:pPr>
                    <w:jc w:val="center"/>
                    <w:rPr>
                      <w:rFonts w:hint="eastAsia" w:ascii="宋体" w:hAnsi="宋体" w:cs="宋体"/>
                      <w:color w:val="auto"/>
                      <w:szCs w:val="21"/>
                    </w:rPr>
                  </w:pPr>
                  <w:r>
                    <w:rPr>
                      <w:rFonts w:hint="eastAsia" w:ascii="宋体" w:hAnsi="宋体" w:cs="宋体"/>
                      <w:color w:val="auto"/>
                      <w:szCs w:val="21"/>
                    </w:rPr>
                    <w:t>相符</w:t>
                  </w:r>
                </w:p>
              </w:tc>
            </w:tr>
            <w:tr w14:paraId="0D3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69E9F506">
                  <w:pPr>
                    <w:jc w:val="center"/>
                    <w:rPr>
                      <w:color w:val="auto"/>
                      <w:szCs w:val="21"/>
                    </w:rPr>
                  </w:pPr>
                </w:p>
              </w:tc>
              <w:tc>
                <w:tcPr>
                  <w:tcW w:w="2688" w:type="pct"/>
                  <w:vAlign w:val="center"/>
                </w:tcPr>
                <w:p w14:paraId="110BA1A4">
                  <w:pPr>
                    <w:adjustRightInd w:val="0"/>
                    <w:snapToGrid w:val="0"/>
                    <w:jc w:val="center"/>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w:t>
                  </w:r>
                  <w:r>
                    <w:rPr>
                      <w:rFonts w:hint="eastAsia" w:ascii="宋体" w:hAnsi="宋体" w:cs="宋体"/>
                      <w:color w:val="auto"/>
                      <w:szCs w:val="21"/>
                    </w:rPr>
                    <w:t>长江经济带发展负面清单指南（试行，2022年版）</w:t>
                  </w:r>
                  <w:r>
                    <w:rPr>
                      <w:rFonts w:hint="eastAsia" w:ascii="宋体" w:hAnsi="宋体" w:cs="宋体"/>
                      <w:color w:val="auto"/>
                      <w:szCs w:val="21"/>
                      <w:lang w:eastAsia="zh-CN"/>
                    </w:rPr>
                    <w:t>〉</w:t>
                  </w:r>
                  <w:r>
                    <w:rPr>
                      <w:rFonts w:hint="eastAsia" w:ascii="宋体" w:hAnsi="宋体" w:cs="宋体"/>
                      <w:color w:val="auto"/>
                      <w:szCs w:val="21"/>
                    </w:rPr>
                    <w:t>江苏省实施细则》（苏长江办发</w:t>
                  </w:r>
                  <w:r>
                    <w:rPr>
                      <w:rFonts w:hint="eastAsia" w:ascii="宋体" w:hAnsi="宋体" w:cs="宋体"/>
                      <w:color w:val="auto"/>
                      <w:szCs w:val="21"/>
                      <w:lang w:eastAsia="zh-CN"/>
                    </w:rPr>
                    <w:t>〔2022〕55号</w:t>
                  </w:r>
                  <w:r>
                    <w:rPr>
                      <w:rFonts w:hint="eastAsia" w:ascii="宋体" w:hAnsi="宋体" w:cs="宋体"/>
                      <w:color w:val="auto"/>
                      <w:szCs w:val="21"/>
                    </w:rPr>
                    <w:t>）</w:t>
                  </w:r>
                </w:p>
              </w:tc>
              <w:tc>
                <w:tcPr>
                  <w:tcW w:w="1695" w:type="pct"/>
                  <w:vAlign w:val="center"/>
                </w:tcPr>
                <w:p w14:paraId="4EC1B511">
                  <w:pPr>
                    <w:adjustRightInd w:val="0"/>
                    <w:snapToGrid w:val="0"/>
                    <w:jc w:val="center"/>
                    <w:rPr>
                      <w:rFonts w:hint="eastAsia" w:ascii="宋体" w:hAnsi="宋体" w:cs="宋体"/>
                      <w:color w:val="auto"/>
                      <w:szCs w:val="21"/>
                    </w:rPr>
                  </w:pPr>
                  <w:r>
                    <w:rPr>
                      <w:rFonts w:hint="eastAsia" w:ascii="宋体" w:hAnsi="宋体" w:cs="宋体"/>
                      <w:color w:val="auto"/>
                      <w:szCs w:val="21"/>
                    </w:rPr>
                    <w:t>不属于负面清单中禁止类项目</w:t>
                  </w:r>
                </w:p>
              </w:tc>
              <w:tc>
                <w:tcPr>
                  <w:tcW w:w="280" w:type="pct"/>
                  <w:tcBorders>
                    <w:right w:val="nil"/>
                  </w:tcBorders>
                  <w:vAlign w:val="center"/>
                </w:tcPr>
                <w:p w14:paraId="6148D41C">
                  <w:pPr>
                    <w:jc w:val="center"/>
                    <w:rPr>
                      <w:rFonts w:hint="eastAsia" w:ascii="宋体" w:hAnsi="宋体" w:cs="宋体"/>
                      <w:color w:val="auto"/>
                      <w:szCs w:val="21"/>
                    </w:rPr>
                  </w:pPr>
                  <w:r>
                    <w:rPr>
                      <w:rFonts w:hint="eastAsia" w:ascii="宋体" w:hAnsi="宋体" w:cs="宋体"/>
                      <w:color w:val="auto"/>
                      <w:szCs w:val="21"/>
                    </w:rPr>
                    <w:t>相符</w:t>
                  </w:r>
                </w:p>
              </w:tc>
            </w:tr>
            <w:tr w14:paraId="5610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25479F3B">
                  <w:pPr>
                    <w:jc w:val="center"/>
                    <w:rPr>
                      <w:color w:val="auto"/>
                      <w:szCs w:val="21"/>
                    </w:rPr>
                  </w:pPr>
                </w:p>
              </w:tc>
              <w:tc>
                <w:tcPr>
                  <w:tcW w:w="2688" w:type="pct"/>
                  <w:vAlign w:val="center"/>
                </w:tcPr>
                <w:p w14:paraId="72EAD5AC">
                  <w:pPr>
                    <w:adjustRightInd w:val="0"/>
                    <w:snapToGrid w:val="0"/>
                    <w:jc w:val="center"/>
                    <w:rPr>
                      <w:rFonts w:hint="eastAsia" w:ascii="宋体" w:hAnsi="宋体" w:cs="宋体"/>
                      <w:color w:val="auto"/>
                      <w:szCs w:val="21"/>
                    </w:rPr>
                  </w:pPr>
                  <w:r>
                    <w:rPr>
                      <w:rFonts w:hint="eastAsia" w:ascii="宋体" w:hAnsi="宋体" w:cs="宋体"/>
                      <w:color w:val="auto"/>
                      <w:kern w:val="0"/>
                      <w:szCs w:val="21"/>
                    </w:rPr>
                    <w:t>《关于加快全省化工钢铁煤电行业转型升级高质量发展的实施意见》（苏办发</w:t>
                  </w:r>
                  <w:r>
                    <w:rPr>
                      <w:rFonts w:hint="eastAsia" w:ascii="宋体" w:hAnsi="宋体" w:cs="宋体"/>
                      <w:color w:val="auto"/>
                      <w:kern w:val="0"/>
                      <w:szCs w:val="21"/>
                      <w:lang w:eastAsia="zh-CN"/>
                    </w:rPr>
                    <w:t>〔2018〕32号</w:t>
                  </w:r>
                  <w:r>
                    <w:rPr>
                      <w:rFonts w:hint="eastAsia" w:ascii="宋体" w:hAnsi="宋体" w:cs="宋体"/>
                      <w:color w:val="auto"/>
                      <w:kern w:val="0"/>
                      <w:szCs w:val="21"/>
                    </w:rPr>
                    <w:t>）附件3“江苏省产业结构调整限制、淘汰和禁止目录”</w:t>
                  </w:r>
                </w:p>
              </w:tc>
              <w:tc>
                <w:tcPr>
                  <w:tcW w:w="1695" w:type="pct"/>
                  <w:vAlign w:val="center"/>
                </w:tcPr>
                <w:p w14:paraId="0F127909">
                  <w:pPr>
                    <w:adjustRightInd w:val="0"/>
                    <w:snapToGrid w:val="0"/>
                    <w:jc w:val="center"/>
                    <w:rPr>
                      <w:rFonts w:hint="eastAsia" w:ascii="宋体" w:hAnsi="宋体" w:cs="宋体"/>
                      <w:color w:val="auto"/>
                      <w:szCs w:val="21"/>
                    </w:rPr>
                  </w:pPr>
                  <w:r>
                    <w:rPr>
                      <w:rFonts w:hint="eastAsia" w:ascii="宋体" w:hAnsi="宋体" w:cs="宋体"/>
                      <w:color w:val="auto"/>
                      <w:kern w:val="0"/>
                      <w:szCs w:val="21"/>
                    </w:rPr>
                    <w:t>不属于限制类、淘汰类、禁止类项目，属于环境准入类</w:t>
                  </w:r>
                </w:p>
              </w:tc>
              <w:tc>
                <w:tcPr>
                  <w:tcW w:w="280" w:type="pct"/>
                  <w:tcBorders>
                    <w:right w:val="nil"/>
                  </w:tcBorders>
                  <w:vAlign w:val="center"/>
                </w:tcPr>
                <w:p w14:paraId="06CE9249">
                  <w:pPr>
                    <w:jc w:val="center"/>
                    <w:rPr>
                      <w:rFonts w:hint="eastAsia" w:ascii="宋体" w:hAnsi="宋体" w:cs="宋体"/>
                      <w:color w:val="auto"/>
                      <w:szCs w:val="21"/>
                    </w:rPr>
                  </w:pPr>
                  <w:r>
                    <w:rPr>
                      <w:rFonts w:hint="eastAsia" w:ascii="宋体" w:hAnsi="宋体" w:cs="宋体"/>
                      <w:color w:val="auto"/>
                      <w:szCs w:val="21"/>
                    </w:rPr>
                    <w:t>符合</w:t>
                  </w:r>
                </w:p>
              </w:tc>
            </w:tr>
            <w:tr w14:paraId="71B5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575F6BD9">
                  <w:pPr>
                    <w:jc w:val="center"/>
                    <w:rPr>
                      <w:color w:val="auto"/>
                      <w:szCs w:val="21"/>
                    </w:rPr>
                  </w:pPr>
                </w:p>
              </w:tc>
              <w:tc>
                <w:tcPr>
                  <w:tcW w:w="2688" w:type="pct"/>
                  <w:vAlign w:val="center"/>
                </w:tcPr>
                <w:p w14:paraId="71056092">
                  <w:pPr>
                    <w:widowControl/>
                    <w:adjustRightInd w:val="0"/>
                    <w:snapToGrid w:val="0"/>
                    <w:jc w:val="center"/>
                    <w:rPr>
                      <w:rFonts w:hint="eastAsia" w:ascii="宋体" w:hAnsi="宋体" w:cs="宋体"/>
                      <w:color w:val="auto"/>
                      <w:szCs w:val="21"/>
                    </w:rPr>
                  </w:pPr>
                  <w:r>
                    <w:rPr>
                      <w:rFonts w:hint="eastAsia" w:ascii="宋体" w:hAnsi="宋体" w:cs="宋体"/>
                      <w:color w:val="auto"/>
                      <w:szCs w:val="21"/>
                    </w:rPr>
                    <w:t>《限制用地项目目录（2012年本）》</w:t>
                  </w:r>
                </w:p>
                <w:p w14:paraId="342C2E3A">
                  <w:pPr>
                    <w:adjustRightInd w:val="0"/>
                    <w:snapToGrid w:val="0"/>
                    <w:jc w:val="center"/>
                    <w:rPr>
                      <w:rFonts w:hint="eastAsia" w:ascii="宋体" w:hAnsi="宋体" w:cs="宋体"/>
                      <w:color w:val="auto"/>
                      <w:szCs w:val="21"/>
                    </w:rPr>
                  </w:pPr>
                  <w:r>
                    <w:rPr>
                      <w:rFonts w:hint="eastAsia" w:ascii="宋体" w:hAnsi="宋体" w:cs="宋体"/>
                      <w:color w:val="auto"/>
                      <w:szCs w:val="21"/>
                    </w:rPr>
                    <w:t>《禁止用地项目目录（2012年本）》</w:t>
                  </w:r>
                </w:p>
              </w:tc>
              <w:tc>
                <w:tcPr>
                  <w:tcW w:w="1695" w:type="pct"/>
                  <w:vAlign w:val="center"/>
                </w:tcPr>
                <w:p w14:paraId="2497D2B0">
                  <w:pPr>
                    <w:adjustRightInd w:val="0"/>
                    <w:snapToGrid w:val="0"/>
                    <w:jc w:val="center"/>
                    <w:rPr>
                      <w:rFonts w:hint="eastAsia" w:ascii="宋体" w:hAnsi="宋体" w:cs="宋体"/>
                      <w:color w:val="auto"/>
                      <w:szCs w:val="21"/>
                    </w:rPr>
                  </w:pPr>
                  <w:r>
                    <w:rPr>
                      <w:rFonts w:hint="eastAsia" w:ascii="宋体" w:hAnsi="宋体" w:cs="宋体"/>
                      <w:color w:val="auto"/>
                      <w:szCs w:val="21"/>
                    </w:rPr>
                    <w:t>不属于限制、禁止用地项目</w:t>
                  </w:r>
                </w:p>
              </w:tc>
              <w:tc>
                <w:tcPr>
                  <w:tcW w:w="280" w:type="pct"/>
                  <w:tcBorders>
                    <w:right w:val="nil"/>
                  </w:tcBorders>
                  <w:vAlign w:val="center"/>
                </w:tcPr>
                <w:p w14:paraId="3AD5BD7F">
                  <w:pPr>
                    <w:jc w:val="center"/>
                    <w:rPr>
                      <w:rFonts w:hint="eastAsia" w:ascii="宋体" w:hAnsi="宋体" w:cs="宋体"/>
                      <w:color w:val="auto"/>
                      <w:szCs w:val="21"/>
                    </w:rPr>
                  </w:pPr>
                  <w:r>
                    <w:rPr>
                      <w:rFonts w:hint="eastAsia" w:ascii="宋体" w:hAnsi="宋体" w:cs="宋体"/>
                      <w:color w:val="auto"/>
                      <w:szCs w:val="21"/>
                    </w:rPr>
                    <w:t>符合</w:t>
                  </w:r>
                </w:p>
              </w:tc>
            </w:tr>
            <w:tr w14:paraId="614B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bottom w:val="single" w:color="auto" w:sz="12" w:space="0"/>
                  </w:tcBorders>
                  <w:vAlign w:val="center"/>
                </w:tcPr>
                <w:p w14:paraId="611EE88C">
                  <w:pPr>
                    <w:jc w:val="center"/>
                    <w:rPr>
                      <w:color w:val="auto"/>
                      <w:szCs w:val="21"/>
                    </w:rPr>
                  </w:pPr>
                </w:p>
              </w:tc>
              <w:tc>
                <w:tcPr>
                  <w:tcW w:w="2688" w:type="pct"/>
                  <w:tcBorders>
                    <w:bottom w:val="single" w:color="auto" w:sz="12" w:space="0"/>
                  </w:tcBorders>
                  <w:vAlign w:val="center"/>
                </w:tcPr>
                <w:p w14:paraId="08ABC0FA">
                  <w:pPr>
                    <w:jc w:val="center"/>
                    <w:rPr>
                      <w:rFonts w:hint="eastAsia" w:ascii="宋体" w:hAnsi="宋体" w:cs="宋体"/>
                      <w:color w:val="auto"/>
                      <w:szCs w:val="21"/>
                    </w:rPr>
                  </w:pPr>
                  <w:r>
                    <w:rPr>
                      <w:rFonts w:hint="eastAsia" w:ascii="宋体" w:hAnsi="宋体" w:cs="宋体"/>
                      <w:color w:val="auto"/>
                      <w:szCs w:val="21"/>
                    </w:rPr>
                    <w:t>《产业结构调整指导目录（2024年本）》（国家发展改革委令第7号）</w:t>
                  </w:r>
                </w:p>
              </w:tc>
              <w:tc>
                <w:tcPr>
                  <w:tcW w:w="1695" w:type="pct"/>
                  <w:tcBorders>
                    <w:bottom w:val="single" w:color="auto" w:sz="12" w:space="0"/>
                  </w:tcBorders>
                  <w:vAlign w:val="center"/>
                </w:tcPr>
                <w:p w14:paraId="699E1764">
                  <w:pPr>
                    <w:jc w:val="center"/>
                    <w:rPr>
                      <w:rFonts w:hint="eastAsia" w:ascii="宋体" w:hAnsi="宋体" w:cs="宋体"/>
                      <w:color w:val="auto"/>
                      <w:szCs w:val="21"/>
                    </w:rPr>
                  </w:pPr>
                  <w:r>
                    <w:rPr>
                      <w:rFonts w:hint="eastAsia" w:ascii="宋体" w:hAnsi="宋体" w:cs="宋体"/>
                      <w:color w:val="auto"/>
                      <w:szCs w:val="21"/>
                    </w:rPr>
                    <w:t>不属于限制类、淘汰类项目</w:t>
                  </w:r>
                </w:p>
              </w:tc>
              <w:tc>
                <w:tcPr>
                  <w:tcW w:w="280" w:type="pct"/>
                  <w:tcBorders>
                    <w:bottom w:val="single" w:color="auto" w:sz="12" w:space="0"/>
                    <w:right w:val="nil"/>
                  </w:tcBorders>
                  <w:vAlign w:val="center"/>
                </w:tcPr>
                <w:p w14:paraId="3E9D05B4">
                  <w:pPr>
                    <w:jc w:val="center"/>
                    <w:rPr>
                      <w:rFonts w:hint="eastAsia" w:ascii="宋体" w:hAnsi="宋体" w:cs="宋体"/>
                      <w:color w:val="auto"/>
                      <w:szCs w:val="21"/>
                    </w:rPr>
                  </w:pPr>
                  <w:r>
                    <w:rPr>
                      <w:rFonts w:hint="eastAsia" w:ascii="宋体" w:hAnsi="宋体" w:cs="宋体"/>
                      <w:color w:val="auto"/>
                      <w:szCs w:val="21"/>
                    </w:rPr>
                    <w:t>符合</w:t>
                  </w:r>
                </w:p>
              </w:tc>
            </w:tr>
          </w:tbl>
          <w:p w14:paraId="09A9D8CA">
            <w:pPr>
              <w:tabs>
                <w:tab w:val="left" w:pos="720"/>
              </w:tabs>
              <w:adjustRightInd w:val="0"/>
              <w:snapToGrid w:val="0"/>
              <w:spacing w:line="360" w:lineRule="auto"/>
              <w:ind w:firstLine="480" w:firstLineChars="200"/>
              <w:rPr>
                <w:color w:val="auto"/>
              </w:rPr>
            </w:pPr>
            <w:r>
              <w:rPr>
                <w:bCs/>
                <w:color w:val="auto"/>
                <w:sz w:val="24"/>
              </w:rPr>
              <w:t>综上所述，本项目符合当地生态保护红线要求，不降低项目周边环境质量底线，不超出当地资源利用</w:t>
            </w:r>
            <w:r>
              <w:rPr>
                <w:rFonts w:hint="eastAsia"/>
                <w:bCs/>
                <w:color w:val="auto"/>
                <w:sz w:val="24"/>
                <w:lang w:eastAsia="zh-CN"/>
              </w:rPr>
              <w:t>上限</w:t>
            </w:r>
            <w:r>
              <w:rPr>
                <w:bCs/>
                <w:color w:val="auto"/>
                <w:sz w:val="24"/>
              </w:rPr>
              <w:t>；本项目符合</w:t>
            </w:r>
            <w:r>
              <w:rPr>
                <w:rFonts w:hint="eastAsia"/>
                <w:bCs/>
                <w:color w:val="auto"/>
                <w:sz w:val="24"/>
              </w:rPr>
              <w:t>“</w:t>
            </w:r>
            <w:r>
              <w:rPr>
                <w:bCs/>
                <w:color w:val="auto"/>
                <w:sz w:val="24"/>
              </w:rPr>
              <w:t>三线一单</w:t>
            </w:r>
            <w:r>
              <w:rPr>
                <w:rFonts w:hint="eastAsia"/>
                <w:bCs/>
                <w:color w:val="auto"/>
                <w:sz w:val="24"/>
              </w:rPr>
              <w:t>”</w:t>
            </w:r>
            <w:r>
              <w:rPr>
                <w:bCs/>
                <w:color w:val="auto"/>
                <w:sz w:val="24"/>
              </w:rPr>
              <w:t>的要求。</w:t>
            </w:r>
          </w:p>
        </w:tc>
      </w:tr>
    </w:tbl>
    <w:p w14:paraId="7980172F">
      <w:pPr>
        <w:tabs>
          <w:tab w:val="left" w:pos="720"/>
        </w:tabs>
        <w:adjustRightInd w:val="0"/>
        <w:snapToGrid w:val="0"/>
        <w:spacing w:line="360" w:lineRule="auto"/>
        <w:ind w:firstLine="482" w:firstLineChars="200"/>
        <w:rPr>
          <w:b/>
          <w:color w:val="auto"/>
          <w:sz w:val="24"/>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431"/>
      </w:tblGrid>
      <w:tr w14:paraId="6441C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3" w:hRule="atLeast"/>
          <w:jc w:val="center"/>
        </w:trPr>
        <w:tc>
          <w:tcPr>
            <w:tcW w:w="439" w:type="dxa"/>
            <w:vAlign w:val="center"/>
          </w:tcPr>
          <w:p w14:paraId="0B4E6708">
            <w:pPr>
              <w:autoSpaceDE w:val="0"/>
              <w:autoSpaceDN w:val="0"/>
              <w:adjustRightInd w:val="0"/>
              <w:snapToGrid w:val="0"/>
              <w:jc w:val="center"/>
              <w:rPr>
                <w:color w:val="auto"/>
                <w:kern w:val="0"/>
                <w:szCs w:val="21"/>
              </w:rPr>
            </w:pPr>
            <w:r>
              <w:rPr>
                <w:color w:val="auto"/>
                <w:kern w:val="0"/>
                <w:sz w:val="24"/>
              </w:rPr>
              <w:t>其他符合性分析</w:t>
            </w:r>
          </w:p>
        </w:tc>
        <w:tc>
          <w:tcPr>
            <w:tcW w:w="8431" w:type="dxa"/>
            <w:vAlign w:val="center"/>
          </w:tcPr>
          <w:p w14:paraId="3B2186AF">
            <w:pPr>
              <w:adjustRightInd w:val="0"/>
              <w:snapToGrid w:val="0"/>
              <w:spacing w:line="360" w:lineRule="auto"/>
              <w:rPr>
                <w:b/>
                <w:color w:val="auto"/>
                <w:sz w:val="24"/>
              </w:rPr>
            </w:pPr>
            <w:r>
              <w:rPr>
                <w:rFonts w:hint="eastAsia"/>
                <w:b/>
                <w:color w:val="auto"/>
                <w:sz w:val="24"/>
              </w:rPr>
              <w:t>1.6</w:t>
            </w:r>
            <w:r>
              <w:rPr>
                <w:b/>
                <w:color w:val="auto"/>
                <w:sz w:val="24"/>
              </w:rPr>
              <w:t>与环保</w:t>
            </w:r>
            <w:r>
              <w:rPr>
                <w:rFonts w:hint="eastAsia"/>
                <w:b/>
                <w:color w:val="auto"/>
                <w:sz w:val="24"/>
              </w:rPr>
              <w:t>政策</w:t>
            </w:r>
            <w:r>
              <w:rPr>
                <w:b/>
                <w:color w:val="auto"/>
                <w:sz w:val="24"/>
              </w:rPr>
              <w:t>、行业政策相符性分析</w:t>
            </w:r>
          </w:p>
          <w:p w14:paraId="6CB5D990">
            <w:pPr>
              <w:pStyle w:val="2"/>
              <w:rPr>
                <w:rFonts w:ascii="Times New Roman" w:cs="Times New Roman"/>
                <w:color w:val="auto"/>
              </w:rPr>
            </w:pPr>
            <w:r>
              <w:rPr>
                <w:rFonts w:ascii="Times New Roman" w:cs="Times New Roman"/>
                <w:color w:val="auto"/>
              </w:rPr>
              <w:t>1.</w:t>
            </w:r>
            <w:r>
              <w:rPr>
                <w:rFonts w:hint="eastAsia" w:ascii="Times New Roman" w:cs="Times New Roman"/>
                <w:color w:val="auto"/>
              </w:rPr>
              <w:t>6</w:t>
            </w:r>
            <w:r>
              <w:rPr>
                <w:rFonts w:ascii="Times New Roman" w:cs="Times New Roman"/>
                <w:color w:val="auto"/>
              </w:rPr>
              <w:t>.</w:t>
            </w:r>
            <w:r>
              <w:rPr>
                <w:rFonts w:hint="eastAsia" w:ascii="Times New Roman" w:cs="Times New Roman"/>
                <w:color w:val="auto"/>
              </w:rPr>
              <w:t>1</w:t>
            </w:r>
            <w:r>
              <w:rPr>
                <w:rFonts w:hint="eastAsia" w:hAnsi="宋体"/>
                <w:color w:val="auto"/>
              </w:rPr>
              <w:t>与环保政策相符性</w:t>
            </w:r>
          </w:p>
          <w:p w14:paraId="778F45B4">
            <w:pPr>
              <w:pStyle w:val="4"/>
              <w:ind w:left="0" w:leftChars="0" w:firstLine="480"/>
              <w:rPr>
                <w:color w:val="auto"/>
                <w:sz w:val="24"/>
              </w:rPr>
            </w:pPr>
            <w:r>
              <w:rPr>
                <w:color w:val="auto"/>
                <w:kern w:val="0"/>
                <w:sz w:val="24"/>
              </w:rPr>
              <w:t>本项目与环保政策相符性分析见表1-</w:t>
            </w:r>
            <w:r>
              <w:rPr>
                <w:rFonts w:hint="eastAsia"/>
                <w:color w:val="auto"/>
                <w:kern w:val="0"/>
                <w:sz w:val="24"/>
              </w:rPr>
              <w:t>7</w:t>
            </w:r>
            <w:r>
              <w:rPr>
                <w:color w:val="auto"/>
                <w:sz w:val="24"/>
              </w:rPr>
              <w:t>。</w:t>
            </w:r>
          </w:p>
          <w:p w14:paraId="6E4FDFE3">
            <w:pPr>
              <w:keepNext/>
              <w:adjustRightInd w:val="0"/>
              <w:snapToGrid w:val="0"/>
              <w:jc w:val="center"/>
              <w:rPr>
                <w:b/>
                <w:color w:val="auto"/>
                <w:szCs w:val="21"/>
              </w:rPr>
            </w:pPr>
            <w:r>
              <w:rPr>
                <w:b/>
                <w:color w:val="auto"/>
                <w:sz w:val="24"/>
              </w:rPr>
              <w:t>表1-</w:t>
            </w:r>
            <w:r>
              <w:rPr>
                <w:rFonts w:hint="eastAsia"/>
                <w:b/>
                <w:color w:val="auto"/>
                <w:sz w:val="24"/>
              </w:rPr>
              <w:t>7</w:t>
            </w:r>
            <w:r>
              <w:rPr>
                <w:b/>
                <w:color w:val="auto"/>
                <w:sz w:val="24"/>
              </w:rPr>
              <w:t xml:space="preserve">  与环保政策相符性分析</w:t>
            </w:r>
          </w:p>
          <w:tbl>
            <w:tblPr>
              <w:tblStyle w:val="89"/>
              <w:tblW w:w="809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79"/>
              <w:gridCol w:w="906"/>
              <w:gridCol w:w="1015"/>
              <w:gridCol w:w="2734"/>
              <w:gridCol w:w="2876"/>
              <w:gridCol w:w="280"/>
            </w:tblGrid>
            <w:tr w14:paraId="60FA95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tblHeader/>
                <w:jc w:val="center"/>
              </w:trPr>
              <w:tc>
                <w:tcPr>
                  <w:tcW w:w="279" w:type="dxa"/>
                  <w:shd w:val="clear" w:color="auto" w:fill="FFFFFF"/>
                  <w:vAlign w:val="center"/>
                </w:tcPr>
                <w:p w14:paraId="1E81F9B2">
                  <w:pPr>
                    <w:adjustRightInd w:val="0"/>
                    <w:snapToGrid w:val="0"/>
                    <w:jc w:val="center"/>
                    <w:rPr>
                      <w:b/>
                      <w:bCs/>
                      <w:color w:val="auto"/>
                      <w:kern w:val="0"/>
                      <w:szCs w:val="21"/>
                    </w:rPr>
                  </w:pPr>
                  <w:r>
                    <w:rPr>
                      <w:b/>
                      <w:bCs/>
                      <w:color w:val="auto"/>
                      <w:kern w:val="0"/>
                      <w:szCs w:val="21"/>
                    </w:rPr>
                    <w:t>序号</w:t>
                  </w:r>
                </w:p>
              </w:tc>
              <w:tc>
                <w:tcPr>
                  <w:tcW w:w="906" w:type="dxa"/>
                  <w:shd w:val="clear" w:color="auto" w:fill="FFFFFF"/>
                  <w:vAlign w:val="center"/>
                </w:tcPr>
                <w:p w14:paraId="06E40D26">
                  <w:pPr>
                    <w:adjustRightInd w:val="0"/>
                    <w:snapToGrid w:val="0"/>
                    <w:jc w:val="center"/>
                    <w:rPr>
                      <w:b/>
                      <w:bCs/>
                      <w:color w:val="auto"/>
                      <w:kern w:val="0"/>
                      <w:szCs w:val="21"/>
                    </w:rPr>
                  </w:pPr>
                  <w:r>
                    <w:rPr>
                      <w:b/>
                      <w:bCs/>
                      <w:color w:val="auto"/>
                      <w:kern w:val="0"/>
                      <w:szCs w:val="21"/>
                    </w:rPr>
                    <w:t>文件</w:t>
                  </w:r>
                </w:p>
              </w:tc>
              <w:tc>
                <w:tcPr>
                  <w:tcW w:w="3749" w:type="dxa"/>
                  <w:gridSpan w:val="2"/>
                  <w:shd w:val="clear" w:color="auto" w:fill="FFFFFF"/>
                  <w:vAlign w:val="center"/>
                </w:tcPr>
                <w:p w14:paraId="2FCDE494">
                  <w:pPr>
                    <w:adjustRightInd w:val="0"/>
                    <w:snapToGrid w:val="0"/>
                    <w:jc w:val="center"/>
                    <w:rPr>
                      <w:b/>
                      <w:bCs/>
                      <w:color w:val="auto"/>
                      <w:kern w:val="0"/>
                      <w:szCs w:val="21"/>
                    </w:rPr>
                  </w:pPr>
                  <w:r>
                    <w:rPr>
                      <w:b/>
                      <w:bCs/>
                      <w:color w:val="auto"/>
                      <w:kern w:val="0"/>
                      <w:szCs w:val="21"/>
                    </w:rPr>
                    <w:t>文件内容</w:t>
                  </w:r>
                </w:p>
              </w:tc>
              <w:tc>
                <w:tcPr>
                  <w:tcW w:w="2876" w:type="dxa"/>
                  <w:shd w:val="clear" w:color="auto" w:fill="FFFFFF"/>
                  <w:vAlign w:val="center"/>
                </w:tcPr>
                <w:p w14:paraId="7D07535C">
                  <w:pPr>
                    <w:adjustRightInd w:val="0"/>
                    <w:snapToGrid w:val="0"/>
                    <w:jc w:val="center"/>
                    <w:rPr>
                      <w:b/>
                      <w:bCs/>
                      <w:color w:val="auto"/>
                      <w:kern w:val="0"/>
                      <w:szCs w:val="21"/>
                    </w:rPr>
                  </w:pPr>
                  <w:r>
                    <w:rPr>
                      <w:b/>
                      <w:bCs/>
                      <w:color w:val="auto"/>
                      <w:kern w:val="0"/>
                      <w:szCs w:val="21"/>
                    </w:rPr>
                    <w:t>项目情况</w:t>
                  </w:r>
                </w:p>
              </w:tc>
              <w:tc>
                <w:tcPr>
                  <w:tcW w:w="280" w:type="dxa"/>
                  <w:shd w:val="clear" w:color="auto" w:fill="FFFFFF"/>
                  <w:vAlign w:val="center"/>
                </w:tcPr>
                <w:p w14:paraId="0D054983">
                  <w:pPr>
                    <w:adjustRightInd w:val="0"/>
                    <w:snapToGrid w:val="0"/>
                    <w:jc w:val="center"/>
                    <w:rPr>
                      <w:b/>
                      <w:bCs/>
                      <w:color w:val="auto"/>
                      <w:kern w:val="0"/>
                      <w:szCs w:val="21"/>
                    </w:rPr>
                  </w:pPr>
                  <w:r>
                    <w:rPr>
                      <w:b/>
                      <w:bCs/>
                      <w:color w:val="auto"/>
                      <w:kern w:val="0"/>
                      <w:szCs w:val="21"/>
                    </w:rPr>
                    <w:t>符合情况</w:t>
                  </w:r>
                </w:p>
              </w:tc>
            </w:tr>
            <w:tr w14:paraId="6A7C29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1B6C5FC0">
                  <w:pPr>
                    <w:adjustRightInd w:val="0"/>
                    <w:snapToGrid w:val="0"/>
                    <w:jc w:val="center"/>
                    <w:rPr>
                      <w:color w:val="auto"/>
                      <w:kern w:val="0"/>
                      <w:szCs w:val="21"/>
                    </w:rPr>
                  </w:pPr>
                  <w:r>
                    <w:rPr>
                      <w:rFonts w:hint="eastAsia"/>
                      <w:color w:val="auto"/>
                      <w:kern w:val="0"/>
                      <w:szCs w:val="21"/>
                    </w:rPr>
                    <w:t>1</w:t>
                  </w:r>
                </w:p>
              </w:tc>
              <w:tc>
                <w:tcPr>
                  <w:tcW w:w="906" w:type="dxa"/>
                  <w:vMerge w:val="restart"/>
                  <w:vAlign w:val="center"/>
                </w:tcPr>
                <w:p w14:paraId="44E1520B">
                  <w:pPr>
                    <w:adjustRightInd w:val="0"/>
                    <w:snapToGrid w:val="0"/>
                    <w:jc w:val="center"/>
                    <w:rPr>
                      <w:color w:val="auto"/>
                      <w:kern w:val="0"/>
                      <w:szCs w:val="21"/>
                    </w:rPr>
                  </w:pPr>
                  <w:r>
                    <w:rPr>
                      <w:color w:val="auto"/>
                      <w:szCs w:val="21"/>
                    </w:rPr>
                    <w:t>《关于做好生态环境管理和应急管理部门联动工作的意见》（苏环办</w:t>
                  </w:r>
                  <w:r>
                    <w:rPr>
                      <w:rFonts w:hint="eastAsia"/>
                      <w:color w:val="auto"/>
                      <w:szCs w:val="21"/>
                      <w:lang w:eastAsia="zh-CN"/>
                    </w:rPr>
                    <w:t>〔2020〕101号</w:t>
                  </w:r>
                  <w:r>
                    <w:rPr>
                      <w:color w:val="auto"/>
                      <w:szCs w:val="21"/>
                    </w:rPr>
                    <w:t>）</w:t>
                  </w:r>
                </w:p>
              </w:tc>
              <w:tc>
                <w:tcPr>
                  <w:tcW w:w="3749" w:type="dxa"/>
                  <w:gridSpan w:val="2"/>
                  <w:vAlign w:val="center"/>
                </w:tcPr>
                <w:p w14:paraId="7B5ABD18">
                  <w:pPr>
                    <w:jc w:val="center"/>
                    <w:rPr>
                      <w:color w:val="auto"/>
                      <w:szCs w:val="21"/>
                    </w:rPr>
                  </w:pPr>
                  <w:r>
                    <w:rPr>
                      <w:rFonts w:hint="eastAsia"/>
                      <w:color w:val="auto"/>
                      <w:szCs w:val="21"/>
                    </w:rPr>
                    <w:t>二、建立危险废物监管联动机制</w:t>
                  </w:r>
                </w:p>
                <w:p w14:paraId="36A693A5">
                  <w:pPr>
                    <w:jc w:val="center"/>
                    <w:rPr>
                      <w:color w:val="auto"/>
                      <w:szCs w:val="21"/>
                    </w:rPr>
                  </w:pPr>
                  <w:r>
                    <w:rPr>
                      <w:rFonts w:hint="eastAsia"/>
                      <w:color w:val="auto"/>
                      <w:szCs w:val="21"/>
                    </w:rPr>
                    <w:t>企业法定代表人和实际控制人是企业废弃危险化学品等危险废物安全环保全过程管理的第一责任人。企业要切实履行好从危险废物产生、收集、贮存、运输、利用、处置等环节各项环保和安全职责</w:t>
                  </w:r>
                  <w:r>
                    <w:rPr>
                      <w:rFonts w:hint="eastAsia"/>
                      <w:color w:val="auto"/>
                      <w:szCs w:val="21"/>
                      <w:lang w:eastAsia="zh-CN"/>
                    </w:rPr>
                    <w:t>；</w:t>
                  </w:r>
                  <w:r>
                    <w:rPr>
                      <w:rFonts w:hint="eastAsia"/>
                      <w:color w:val="auto"/>
                      <w:szCs w:val="21"/>
                    </w:rPr>
                    <w:t>要制定危险废物管理计划并报属地生态环境部门备案。申请备案时，对废弃危险化学品、物理危险性尚不确定、根据相关文件无法认定达到稳定化要求的</w:t>
                  </w:r>
                  <w:r>
                    <w:rPr>
                      <w:rFonts w:hint="eastAsia"/>
                      <w:color w:val="auto"/>
                      <w:szCs w:val="21"/>
                      <w:lang w:eastAsia="zh-CN"/>
                    </w:rPr>
                    <w:t>，</w:t>
                  </w:r>
                  <w:r>
                    <w:rPr>
                      <w:rFonts w:hint="eastAsia"/>
                      <w:color w:val="auto"/>
                      <w:szCs w:val="21"/>
                    </w:rPr>
                    <w:t>要提供有资质单位出具的化学品物理危险性报告及其他证明材料，认定达到稳定化要求。</w:t>
                  </w:r>
                </w:p>
                <w:p w14:paraId="4606ADF0">
                  <w:pPr>
                    <w:jc w:val="center"/>
                    <w:rPr>
                      <w:color w:val="auto"/>
                      <w:szCs w:val="21"/>
                    </w:rPr>
                  </w:pPr>
                  <w:r>
                    <w:rPr>
                      <w:rFonts w:hint="eastAsia"/>
                      <w:color w:val="auto"/>
                      <w:szCs w:val="21"/>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tc>
              <w:tc>
                <w:tcPr>
                  <w:tcW w:w="2876" w:type="dxa"/>
                  <w:vAlign w:val="center"/>
                </w:tcPr>
                <w:p w14:paraId="5AC0593A">
                  <w:pPr>
                    <w:ind w:firstLine="210" w:firstLineChars="100"/>
                    <w:jc w:val="center"/>
                    <w:rPr>
                      <w:color w:val="auto"/>
                      <w:szCs w:val="21"/>
                    </w:rPr>
                  </w:pPr>
                  <w:r>
                    <w:rPr>
                      <w:rFonts w:hint="eastAsia"/>
                      <w:color w:val="auto"/>
                      <w:szCs w:val="21"/>
                    </w:rPr>
                    <w:t>企业切实履行好从危险废物产生、收集、贮存、运输、利用、处置等环节各项环保和安全职责，制定危险废物管理计划并报属地生态环境部门备案。</w:t>
                  </w:r>
                </w:p>
              </w:tc>
              <w:tc>
                <w:tcPr>
                  <w:tcW w:w="280" w:type="dxa"/>
                  <w:vAlign w:val="center"/>
                </w:tcPr>
                <w:p w14:paraId="18CD98E8">
                  <w:pPr>
                    <w:adjustRightInd w:val="0"/>
                    <w:snapToGrid w:val="0"/>
                    <w:jc w:val="center"/>
                    <w:rPr>
                      <w:color w:val="auto"/>
                      <w:kern w:val="0"/>
                      <w:szCs w:val="21"/>
                    </w:rPr>
                  </w:pPr>
                  <w:r>
                    <w:rPr>
                      <w:rFonts w:hint="eastAsia"/>
                      <w:color w:val="auto"/>
                      <w:kern w:val="0"/>
                      <w:szCs w:val="21"/>
                    </w:rPr>
                    <w:t>符合</w:t>
                  </w:r>
                </w:p>
              </w:tc>
            </w:tr>
            <w:tr w14:paraId="5481BB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111294A6">
                  <w:pPr>
                    <w:adjustRightInd w:val="0"/>
                    <w:snapToGrid w:val="0"/>
                    <w:jc w:val="center"/>
                    <w:rPr>
                      <w:color w:val="auto"/>
                      <w:kern w:val="0"/>
                      <w:szCs w:val="21"/>
                    </w:rPr>
                  </w:pPr>
                </w:p>
              </w:tc>
              <w:tc>
                <w:tcPr>
                  <w:tcW w:w="906" w:type="dxa"/>
                  <w:vMerge w:val="continue"/>
                  <w:vAlign w:val="center"/>
                </w:tcPr>
                <w:p w14:paraId="7DE2D4D1">
                  <w:pPr>
                    <w:adjustRightInd w:val="0"/>
                    <w:snapToGrid w:val="0"/>
                    <w:jc w:val="center"/>
                    <w:rPr>
                      <w:color w:val="auto"/>
                      <w:kern w:val="0"/>
                      <w:szCs w:val="21"/>
                    </w:rPr>
                  </w:pPr>
                </w:p>
              </w:tc>
              <w:tc>
                <w:tcPr>
                  <w:tcW w:w="3749" w:type="dxa"/>
                  <w:gridSpan w:val="2"/>
                  <w:vAlign w:val="center"/>
                </w:tcPr>
                <w:p w14:paraId="2228E2AE">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三、建立环境治理设施监管联动机制</w:t>
                  </w:r>
                </w:p>
                <w:p w14:paraId="1AF13B61">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企业是各类</w:t>
                  </w:r>
                  <w:r>
                    <w:rPr>
                      <w:rFonts w:hint="eastAsia" w:ascii="Times New Roman" w:cs="Times New Roman"/>
                      <w:color w:val="auto"/>
                      <w:kern w:val="2"/>
                      <w:sz w:val="21"/>
                      <w:szCs w:val="21"/>
                      <w:lang w:eastAsia="zh-CN"/>
                    </w:rPr>
                    <w:t>环境基础设施建设</w:t>
                  </w:r>
                  <w:r>
                    <w:rPr>
                      <w:rFonts w:hint="eastAsia" w:ascii="Times New Roman" w:cs="Times New Roman"/>
                      <w:color w:val="auto"/>
                      <w:kern w:val="2"/>
                      <w:sz w:val="21"/>
                      <w:szCs w:val="21"/>
                    </w:rPr>
                    <w:t>、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75A0CC5B">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生态环境部门在上述六类环境治理设施的环评审批过程中，要督促企业开展安全风险辨识</w:t>
                  </w:r>
                  <w:r>
                    <w:rPr>
                      <w:rFonts w:hint="eastAsia" w:ascii="Times New Roman" w:cs="Times New Roman"/>
                      <w:color w:val="auto"/>
                      <w:kern w:val="2"/>
                      <w:sz w:val="21"/>
                      <w:szCs w:val="21"/>
                      <w:lang w:eastAsia="zh-CN"/>
                    </w:rPr>
                    <w:t>，</w:t>
                  </w:r>
                  <w:r>
                    <w:rPr>
                      <w:rFonts w:hint="eastAsia" w:ascii="Times New Roman" w:cs="Times New Roman"/>
                      <w:color w:val="auto"/>
                      <w:kern w:val="2"/>
                      <w:sz w:val="21"/>
                      <w:szCs w:val="21"/>
                    </w:rPr>
                    <w:t>并将已审批的环境治理设施项目及时通报应急管理部门。生态环境部门在日常环境监管中，将发现的安全隐患线索及时移送应急管理部门。</w:t>
                  </w:r>
                </w:p>
                <w:p w14:paraId="362E00BC">
                  <w:pPr>
                    <w:pStyle w:val="196"/>
                    <w:jc w:val="center"/>
                    <w:rPr>
                      <w:color w:val="auto"/>
                    </w:rPr>
                  </w:pPr>
                  <w:r>
                    <w:rPr>
                      <w:rFonts w:hint="eastAsia" w:ascii="Times New Roman" w:cs="Times New Roman"/>
                      <w:color w:val="auto"/>
                      <w:kern w:val="2"/>
                      <w:sz w:val="21"/>
                      <w:szCs w:val="21"/>
                    </w:rPr>
                    <w:t>应急管理部门应当将上述六类环境治理设施纳入安全监管范围，推进企业安全生产标准化体系建设。对生态环境部门发现移送的安全隐患线索进行核查，督促企业进行整改，消除安全隐患。</w:t>
                  </w:r>
                </w:p>
              </w:tc>
              <w:tc>
                <w:tcPr>
                  <w:tcW w:w="2876" w:type="dxa"/>
                  <w:vAlign w:val="center"/>
                </w:tcPr>
                <w:p w14:paraId="583488D1">
                  <w:pPr>
                    <w:ind w:firstLine="210" w:firstLineChars="100"/>
                    <w:jc w:val="center"/>
                    <w:rPr>
                      <w:color w:val="auto"/>
                      <w:szCs w:val="21"/>
                    </w:rPr>
                  </w:pPr>
                  <w:r>
                    <w:rPr>
                      <w:rFonts w:hint="eastAsia"/>
                      <w:color w:val="auto"/>
                      <w:szCs w:val="21"/>
                    </w:rPr>
                    <w:t>本企业涉及废气处理设施二级活性炭吸附装置、布袋除尘装置，企业内部健全污染防治设施稳定运行和管理责任制度，严格依据标准规范建设环境治理设施，确保环境治理设施安全、稳定、有效运行。企业同步开展安全风险辨识，并将已审批的环境治理设施项目及时通报应急管理部门。</w:t>
                  </w:r>
                </w:p>
              </w:tc>
              <w:tc>
                <w:tcPr>
                  <w:tcW w:w="280" w:type="dxa"/>
                  <w:vAlign w:val="center"/>
                </w:tcPr>
                <w:p w14:paraId="7E9D7A90">
                  <w:pPr>
                    <w:adjustRightInd w:val="0"/>
                    <w:snapToGrid w:val="0"/>
                    <w:jc w:val="center"/>
                    <w:rPr>
                      <w:color w:val="auto"/>
                      <w:kern w:val="0"/>
                      <w:szCs w:val="21"/>
                    </w:rPr>
                  </w:pPr>
                  <w:r>
                    <w:rPr>
                      <w:rFonts w:hint="eastAsia"/>
                      <w:color w:val="auto"/>
                      <w:kern w:val="0"/>
                      <w:szCs w:val="21"/>
                    </w:rPr>
                    <w:t>符合</w:t>
                  </w:r>
                </w:p>
              </w:tc>
            </w:tr>
            <w:tr w14:paraId="4AEC1D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15EA2BFF">
                  <w:pPr>
                    <w:adjustRightInd w:val="0"/>
                    <w:snapToGrid w:val="0"/>
                    <w:jc w:val="center"/>
                    <w:rPr>
                      <w:color w:val="auto"/>
                      <w:kern w:val="0"/>
                      <w:szCs w:val="21"/>
                    </w:rPr>
                  </w:pPr>
                </w:p>
              </w:tc>
              <w:tc>
                <w:tcPr>
                  <w:tcW w:w="906" w:type="dxa"/>
                  <w:vMerge w:val="continue"/>
                  <w:vAlign w:val="center"/>
                </w:tcPr>
                <w:p w14:paraId="11C8B2F0">
                  <w:pPr>
                    <w:adjustRightInd w:val="0"/>
                    <w:snapToGrid w:val="0"/>
                    <w:jc w:val="center"/>
                    <w:rPr>
                      <w:color w:val="auto"/>
                      <w:kern w:val="0"/>
                      <w:szCs w:val="21"/>
                    </w:rPr>
                  </w:pPr>
                </w:p>
              </w:tc>
              <w:tc>
                <w:tcPr>
                  <w:tcW w:w="3749" w:type="dxa"/>
                  <w:gridSpan w:val="2"/>
                  <w:vAlign w:val="center"/>
                </w:tcPr>
                <w:p w14:paraId="2149CA98">
                  <w:pPr>
                    <w:jc w:val="center"/>
                    <w:rPr>
                      <w:color w:val="auto"/>
                      <w:szCs w:val="21"/>
                    </w:rPr>
                  </w:pPr>
                  <w:r>
                    <w:rPr>
                      <w:rFonts w:hint="eastAsia"/>
                      <w:color w:val="auto"/>
                      <w:szCs w:val="21"/>
                    </w:rPr>
                    <w:t>四、建立联合执法机制</w:t>
                  </w:r>
                </w:p>
                <w:p w14:paraId="7BB55402">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各级生态环境、应急管理部门要定期开展联合执法，每年至少开展一次环保安全联合专项执法行动，严厉打击企业将废弃危险化学品以中间产品、副产品名义逃避监管的行为，加强对第三方技术服务机构监管。生态环境、应急管理部门要每季度研究纳入黑名单管理的企业，并实施联合惩戒。</w:t>
                  </w:r>
                </w:p>
              </w:tc>
              <w:tc>
                <w:tcPr>
                  <w:tcW w:w="2876" w:type="dxa"/>
                  <w:vAlign w:val="center"/>
                </w:tcPr>
                <w:p w14:paraId="209B3924">
                  <w:pPr>
                    <w:pStyle w:val="196"/>
                    <w:ind w:firstLine="420" w:firstLineChars="200"/>
                    <w:jc w:val="center"/>
                    <w:rPr>
                      <w:rFonts w:ascii="Times New Roman" w:cs="Times New Roman"/>
                      <w:color w:val="auto"/>
                      <w:kern w:val="2"/>
                      <w:sz w:val="21"/>
                      <w:szCs w:val="21"/>
                    </w:rPr>
                  </w:pPr>
                  <w:r>
                    <w:rPr>
                      <w:rFonts w:hint="eastAsia" w:ascii="Times New Roman" w:cs="Times New Roman"/>
                      <w:color w:val="auto"/>
                      <w:kern w:val="2"/>
                      <w:sz w:val="21"/>
                      <w:szCs w:val="21"/>
                    </w:rPr>
                    <w:t>本企业积极配合各级生态环境、应急管理部门联合执法行动。</w:t>
                  </w:r>
                </w:p>
              </w:tc>
              <w:tc>
                <w:tcPr>
                  <w:tcW w:w="280" w:type="dxa"/>
                  <w:vAlign w:val="center"/>
                </w:tcPr>
                <w:p w14:paraId="3A7855F0">
                  <w:pPr>
                    <w:pStyle w:val="196"/>
                    <w:jc w:val="center"/>
                    <w:rPr>
                      <w:rFonts w:ascii="Times New Roman" w:cs="Times New Roman"/>
                      <w:color w:val="auto"/>
                      <w:kern w:val="2"/>
                      <w:sz w:val="21"/>
                      <w:szCs w:val="21"/>
                    </w:rPr>
                  </w:pPr>
                  <w:r>
                    <w:rPr>
                      <w:rFonts w:hint="eastAsia" w:ascii="Times New Roman" w:cs="Times New Roman"/>
                      <w:color w:val="auto"/>
                      <w:sz w:val="21"/>
                      <w:szCs w:val="21"/>
                    </w:rPr>
                    <w:t>符合</w:t>
                  </w:r>
                </w:p>
              </w:tc>
            </w:tr>
            <w:tr w14:paraId="44179E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251AD266">
                  <w:pPr>
                    <w:adjustRightInd w:val="0"/>
                    <w:snapToGrid w:val="0"/>
                    <w:jc w:val="center"/>
                    <w:rPr>
                      <w:color w:val="auto"/>
                      <w:kern w:val="0"/>
                      <w:szCs w:val="21"/>
                    </w:rPr>
                  </w:pPr>
                  <w:r>
                    <w:rPr>
                      <w:rFonts w:hint="eastAsia"/>
                      <w:color w:val="auto"/>
                      <w:kern w:val="0"/>
                      <w:szCs w:val="21"/>
                    </w:rPr>
                    <w:t>2</w:t>
                  </w:r>
                </w:p>
              </w:tc>
              <w:tc>
                <w:tcPr>
                  <w:tcW w:w="906" w:type="dxa"/>
                  <w:vMerge w:val="restart"/>
                  <w:vAlign w:val="center"/>
                </w:tcPr>
                <w:p w14:paraId="2455BD20">
                  <w:pPr>
                    <w:adjustRightInd w:val="0"/>
                    <w:snapToGrid w:val="0"/>
                    <w:jc w:val="center"/>
                    <w:rPr>
                      <w:color w:val="auto"/>
                      <w:kern w:val="0"/>
                      <w:szCs w:val="21"/>
                    </w:rPr>
                  </w:pPr>
                  <w:r>
                    <w:rPr>
                      <w:color w:val="auto"/>
                      <w:kern w:val="0"/>
                      <w:szCs w:val="21"/>
                    </w:rPr>
                    <w:t>《江苏省重点行业挥发性有机物污染整治方案》（苏环办</w:t>
                  </w:r>
                  <w:r>
                    <w:rPr>
                      <w:rFonts w:hint="eastAsia"/>
                      <w:color w:val="auto"/>
                      <w:kern w:val="0"/>
                      <w:szCs w:val="21"/>
                      <w:lang w:eastAsia="zh-CN"/>
                    </w:rPr>
                    <w:t>〔2015〕19号</w:t>
                  </w:r>
                  <w:r>
                    <w:rPr>
                      <w:color w:val="auto"/>
                      <w:kern w:val="0"/>
                      <w:szCs w:val="21"/>
                    </w:rPr>
                    <w:t>）</w:t>
                  </w:r>
                </w:p>
              </w:tc>
              <w:tc>
                <w:tcPr>
                  <w:tcW w:w="3749" w:type="dxa"/>
                  <w:gridSpan w:val="2"/>
                  <w:vAlign w:val="center"/>
                </w:tcPr>
                <w:p w14:paraId="0B5AA2A4">
                  <w:pPr>
                    <w:ind w:firstLine="210" w:firstLineChars="100"/>
                    <w:jc w:val="center"/>
                    <w:rPr>
                      <w:color w:val="auto"/>
                      <w:kern w:val="0"/>
                      <w:szCs w:val="21"/>
                    </w:rPr>
                  </w:pPr>
                  <w:r>
                    <w:rPr>
                      <w:color w:val="auto"/>
                      <w:szCs w:val="21"/>
                    </w:rPr>
                    <w:t>新、改、扩建VOCs排放项目在设计和建设中应使用低毒、低臭、低挥发性的原辅料、选用先进的清洁生产和密闭化工艺，实现设备、装置、管线、采样等密闭化，从源头减少 VOCs泄漏环节</w:t>
                  </w:r>
                </w:p>
              </w:tc>
              <w:tc>
                <w:tcPr>
                  <w:tcW w:w="2876" w:type="dxa"/>
                  <w:vAlign w:val="center"/>
                </w:tcPr>
                <w:p w14:paraId="40204B77">
                  <w:pPr>
                    <w:ind w:firstLine="210" w:firstLineChars="100"/>
                    <w:jc w:val="center"/>
                    <w:rPr>
                      <w:color w:val="auto"/>
                      <w:szCs w:val="21"/>
                    </w:rPr>
                  </w:pPr>
                  <w:r>
                    <w:rPr>
                      <w:color w:val="auto"/>
                      <w:szCs w:val="21"/>
                    </w:rPr>
                    <w:t>本项目原料及辅料为低挥发物，所选工艺与设备最大限度密闭化，从源头减少了VOCs的泄漏。</w:t>
                  </w:r>
                </w:p>
              </w:tc>
              <w:tc>
                <w:tcPr>
                  <w:tcW w:w="280" w:type="dxa"/>
                  <w:vAlign w:val="center"/>
                </w:tcPr>
                <w:p w14:paraId="32E2F832">
                  <w:pPr>
                    <w:adjustRightInd w:val="0"/>
                    <w:snapToGrid w:val="0"/>
                    <w:jc w:val="center"/>
                    <w:rPr>
                      <w:color w:val="auto"/>
                      <w:kern w:val="0"/>
                      <w:szCs w:val="21"/>
                    </w:rPr>
                  </w:pPr>
                  <w:r>
                    <w:rPr>
                      <w:color w:val="auto"/>
                      <w:kern w:val="0"/>
                      <w:szCs w:val="21"/>
                    </w:rPr>
                    <w:t>符合</w:t>
                  </w:r>
                </w:p>
              </w:tc>
            </w:tr>
            <w:tr w14:paraId="732ACC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09949267">
                  <w:pPr>
                    <w:widowControl/>
                    <w:jc w:val="center"/>
                    <w:rPr>
                      <w:color w:val="auto"/>
                      <w:kern w:val="0"/>
                      <w:szCs w:val="21"/>
                    </w:rPr>
                  </w:pPr>
                </w:p>
              </w:tc>
              <w:tc>
                <w:tcPr>
                  <w:tcW w:w="906" w:type="dxa"/>
                  <w:vMerge w:val="continue"/>
                  <w:vAlign w:val="center"/>
                </w:tcPr>
                <w:p w14:paraId="52AE9AB8">
                  <w:pPr>
                    <w:widowControl/>
                    <w:jc w:val="center"/>
                    <w:rPr>
                      <w:color w:val="auto"/>
                      <w:kern w:val="0"/>
                      <w:szCs w:val="21"/>
                    </w:rPr>
                  </w:pPr>
                </w:p>
              </w:tc>
              <w:tc>
                <w:tcPr>
                  <w:tcW w:w="3749" w:type="dxa"/>
                  <w:gridSpan w:val="2"/>
                  <w:vAlign w:val="center"/>
                </w:tcPr>
                <w:p w14:paraId="1CEF409C">
                  <w:pPr>
                    <w:ind w:firstLine="210" w:firstLineChars="100"/>
                    <w:jc w:val="center"/>
                    <w:rPr>
                      <w:color w:val="auto"/>
                      <w:kern w:val="0"/>
                      <w:szCs w:val="21"/>
                    </w:rPr>
                  </w:pPr>
                  <w:r>
                    <w:rPr>
                      <w:color w:val="auto"/>
                      <w:szCs w:val="21"/>
                    </w:rPr>
                    <w:t>大力推进清洁生产，强化对化工、表面涂装、包装印刷等重点行业的强制性清洁生产审核，坚决淘汰落后和国家及地方明令禁止的工艺和设备，使用低毒、低臭、低挥发性的物料代替高毒、恶臭、易挥发性物料，优先采用连续化、自动化、密闭化生产工艺替代间歇式、敞开式生产工艺，减少物料与外界接触频率</w:t>
                  </w:r>
                </w:p>
              </w:tc>
              <w:tc>
                <w:tcPr>
                  <w:tcW w:w="2876" w:type="dxa"/>
                  <w:vAlign w:val="center"/>
                </w:tcPr>
                <w:p w14:paraId="507053BD">
                  <w:pPr>
                    <w:ind w:firstLine="210" w:firstLineChars="100"/>
                    <w:jc w:val="center"/>
                    <w:rPr>
                      <w:color w:val="auto"/>
                      <w:kern w:val="0"/>
                      <w:szCs w:val="21"/>
                    </w:rPr>
                  </w:pPr>
                  <w:r>
                    <w:rPr>
                      <w:color w:val="auto"/>
                      <w:szCs w:val="21"/>
                    </w:rPr>
                    <w:t>本项目工艺和设备不属于国家及地方</w:t>
                  </w:r>
                  <w:r>
                    <w:rPr>
                      <w:rFonts w:hint="eastAsia"/>
                      <w:color w:val="auto"/>
                      <w:szCs w:val="21"/>
                    </w:rPr>
                    <w:t>明令</w:t>
                  </w:r>
                  <w:r>
                    <w:rPr>
                      <w:color w:val="auto"/>
                      <w:szCs w:val="21"/>
                    </w:rPr>
                    <w:t>禁止的工艺和设备。生产工艺可实现连续化、自动化、密闭化的要求</w:t>
                  </w:r>
                  <w:r>
                    <w:rPr>
                      <w:rFonts w:hint="eastAsia"/>
                      <w:color w:val="auto"/>
                    </w:rPr>
                    <w:t>，根据本报告下文“二、工程分析章节</w:t>
                  </w:r>
                  <w:r>
                    <w:rPr>
                      <w:rFonts w:hint="eastAsia"/>
                      <w:color w:val="auto"/>
                      <w:lang w:eastAsia="zh-CN"/>
                    </w:rPr>
                    <w:t>－</w:t>
                  </w:r>
                  <w:r>
                    <w:rPr>
                      <w:rFonts w:hint="eastAsia"/>
                      <w:color w:val="auto"/>
                    </w:rPr>
                    <w:t>表2-6建设项目各类物质VOCs含量的限值相符性分析”可知所用物料均为低挥发性或提供行业不可替代证明</w:t>
                  </w:r>
                  <w:r>
                    <w:rPr>
                      <w:color w:val="auto"/>
                      <w:szCs w:val="21"/>
                    </w:rPr>
                    <w:t>。</w:t>
                  </w:r>
                </w:p>
              </w:tc>
              <w:tc>
                <w:tcPr>
                  <w:tcW w:w="280" w:type="dxa"/>
                  <w:vAlign w:val="center"/>
                </w:tcPr>
                <w:p w14:paraId="58144F6E">
                  <w:pPr>
                    <w:adjustRightInd w:val="0"/>
                    <w:snapToGrid w:val="0"/>
                    <w:jc w:val="center"/>
                    <w:rPr>
                      <w:color w:val="auto"/>
                      <w:kern w:val="0"/>
                      <w:szCs w:val="21"/>
                    </w:rPr>
                  </w:pPr>
                  <w:r>
                    <w:rPr>
                      <w:color w:val="auto"/>
                      <w:kern w:val="0"/>
                      <w:szCs w:val="21"/>
                    </w:rPr>
                    <w:t>符合</w:t>
                  </w:r>
                </w:p>
              </w:tc>
            </w:tr>
            <w:tr w14:paraId="381672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497E5A58">
                  <w:pPr>
                    <w:widowControl/>
                    <w:jc w:val="center"/>
                    <w:rPr>
                      <w:color w:val="auto"/>
                      <w:kern w:val="0"/>
                      <w:szCs w:val="21"/>
                    </w:rPr>
                  </w:pPr>
                </w:p>
              </w:tc>
              <w:tc>
                <w:tcPr>
                  <w:tcW w:w="906" w:type="dxa"/>
                  <w:vMerge w:val="continue"/>
                  <w:vAlign w:val="center"/>
                </w:tcPr>
                <w:p w14:paraId="7FF21888">
                  <w:pPr>
                    <w:widowControl/>
                    <w:jc w:val="center"/>
                    <w:rPr>
                      <w:color w:val="auto"/>
                      <w:kern w:val="0"/>
                      <w:szCs w:val="21"/>
                    </w:rPr>
                  </w:pPr>
                </w:p>
              </w:tc>
              <w:tc>
                <w:tcPr>
                  <w:tcW w:w="3749" w:type="dxa"/>
                  <w:gridSpan w:val="2"/>
                  <w:vAlign w:val="center"/>
                </w:tcPr>
                <w:p w14:paraId="306DDD49">
                  <w:pPr>
                    <w:ind w:firstLine="210" w:firstLineChars="100"/>
                    <w:jc w:val="center"/>
                    <w:rPr>
                      <w:color w:val="auto"/>
                      <w:kern w:val="0"/>
                      <w:szCs w:val="21"/>
                    </w:rPr>
                  </w:pPr>
                  <w:r>
                    <w:rPr>
                      <w:color w:val="auto"/>
                      <w:szCs w:val="21"/>
                    </w:rPr>
                    <w:t>企业应确保VOCs处理装备长期有效运行，喷淋处理设施可采用液位自控仪、pH自控仪和ORP自控仪等，加药槽配备液位报警</w:t>
                  </w:r>
                  <w:r>
                    <w:rPr>
                      <w:rFonts w:hint="eastAsia"/>
                      <w:color w:val="auto"/>
                      <w:szCs w:val="21"/>
                    </w:rPr>
                    <w:t>装置</w:t>
                  </w:r>
                  <w:r>
                    <w:rPr>
                      <w:color w:val="auto"/>
                      <w:szCs w:val="21"/>
                    </w:rPr>
                    <w:t>，加药方式宜采用自动加药；热力燃烧装备应定期记录运行温度、气量、压力等参数；浓缩吸附+催化氧化应记录温度、运行周期及再生记录；对不可生物降解、污染物总量较大、恶臭、毒性较高的污染物等特征因子应安装在线监测系统，并与当地环保主管</w:t>
                  </w:r>
                  <w:r>
                    <w:rPr>
                      <w:rFonts w:hint="eastAsia"/>
                      <w:color w:val="auto"/>
                      <w:szCs w:val="21"/>
                      <w:lang w:eastAsia="zh-CN"/>
                    </w:rPr>
                    <w:t>部门</w:t>
                  </w:r>
                  <w:r>
                    <w:rPr>
                      <w:color w:val="auto"/>
                      <w:szCs w:val="21"/>
                    </w:rPr>
                    <w:t>。</w:t>
                  </w:r>
                </w:p>
              </w:tc>
              <w:tc>
                <w:tcPr>
                  <w:tcW w:w="2876" w:type="dxa"/>
                  <w:vAlign w:val="center"/>
                </w:tcPr>
                <w:p w14:paraId="0B3A8E27">
                  <w:pPr>
                    <w:ind w:firstLine="210" w:firstLineChars="100"/>
                    <w:jc w:val="center"/>
                    <w:rPr>
                      <w:color w:val="auto"/>
                      <w:kern w:val="0"/>
                      <w:szCs w:val="21"/>
                    </w:rPr>
                  </w:pPr>
                  <w:r>
                    <w:rPr>
                      <w:color w:val="auto"/>
                      <w:szCs w:val="21"/>
                    </w:rPr>
                    <w:t>本</w:t>
                  </w:r>
                  <w:r>
                    <w:rPr>
                      <w:color w:val="auto"/>
                      <w:kern w:val="0"/>
                      <w:szCs w:val="21"/>
                    </w:rPr>
                    <w:t>项目有机废气采用“二级活性炭吸附”处理后通过15m排气筒排放，企业定期对废气处理装置进行维修与保养，以保证处理装置长期有效运行。</w:t>
                  </w:r>
                </w:p>
              </w:tc>
              <w:tc>
                <w:tcPr>
                  <w:tcW w:w="280" w:type="dxa"/>
                  <w:vAlign w:val="center"/>
                </w:tcPr>
                <w:p w14:paraId="32CEEFDD">
                  <w:pPr>
                    <w:adjustRightInd w:val="0"/>
                    <w:snapToGrid w:val="0"/>
                    <w:jc w:val="center"/>
                    <w:rPr>
                      <w:color w:val="auto"/>
                      <w:kern w:val="0"/>
                      <w:szCs w:val="21"/>
                    </w:rPr>
                  </w:pPr>
                  <w:r>
                    <w:rPr>
                      <w:color w:val="auto"/>
                      <w:kern w:val="0"/>
                      <w:szCs w:val="21"/>
                    </w:rPr>
                    <w:t>符合</w:t>
                  </w:r>
                </w:p>
              </w:tc>
            </w:tr>
            <w:tr w14:paraId="5F7761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71" w:hRule="atLeast"/>
                <w:jc w:val="center"/>
              </w:trPr>
              <w:tc>
                <w:tcPr>
                  <w:tcW w:w="279" w:type="dxa"/>
                  <w:vMerge w:val="restart"/>
                  <w:vAlign w:val="center"/>
                </w:tcPr>
                <w:p w14:paraId="75BCDECD">
                  <w:pPr>
                    <w:adjustRightInd w:val="0"/>
                    <w:snapToGrid w:val="0"/>
                    <w:jc w:val="center"/>
                    <w:rPr>
                      <w:color w:val="auto"/>
                      <w:kern w:val="0"/>
                      <w:szCs w:val="21"/>
                    </w:rPr>
                  </w:pPr>
                  <w:r>
                    <w:rPr>
                      <w:rFonts w:hint="eastAsia"/>
                      <w:color w:val="auto"/>
                      <w:kern w:val="0"/>
                      <w:szCs w:val="21"/>
                    </w:rPr>
                    <w:t>3</w:t>
                  </w:r>
                </w:p>
              </w:tc>
              <w:tc>
                <w:tcPr>
                  <w:tcW w:w="906" w:type="dxa"/>
                  <w:vMerge w:val="restart"/>
                  <w:vAlign w:val="center"/>
                </w:tcPr>
                <w:p w14:paraId="1DE9FED0">
                  <w:pPr>
                    <w:adjustRightInd w:val="0"/>
                    <w:snapToGrid w:val="0"/>
                    <w:jc w:val="center"/>
                    <w:rPr>
                      <w:color w:val="auto"/>
                      <w:spacing w:val="-2"/>
                      <w:kern w:val="0"/>
                      <w:szCs w:val="21"/>
                    </w:rPr>
                  </w:pPr>
                  <w:r>
                    <w:rPr>
                      <w:color w:val="auto"/>
                      <w:szCs w:val="21"/>
                    </w:rPr>
                    <w:t>《挥发性有机物无组织排放控制标准》（GB37822-2019）</w:t>
                  </w:r>
                </w:p>
              </w:tc>
              <w:tc>
                <w:tcPr>
                  <w:tcW w:w="3749" w:type="dxa"/>
                  <w:gridSpan w:val="2"/>
                  <w:vAlign w:val="center"/>
                </w:tcPr>
                <w:p w14:paraId="798D300D">
                  <w:pPr>
                    <w:adjustRightInd w:val="0"/>
                    <w:snapToGrid w:val="0"/>
                    <w:jc w:val="center"/>
                    <w:rPr>
                      <w:color w:val="auto"/>
                      <w:szCs w:val="21"/>
                    </w:rPr>
                  </w:pPr>
                  <w:r>
                    <w:rPr>
                      <w:color w:val="auto"/>
                      <w:szCs w:val="21"/>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876" w:type="dxa"/>
                  <w:vAlign w:val="center"/>
                </w:tcPr>
                <w:p w14:paraId="33BE1CED">
                  <w:pPr>
                    <w:adjustRightInd w:val="0"/>
                    <w:snapToGrid w:val="0"/>
                    <w:ind w:firstLine="210" w:firstLineChars="100"/>
                    <w:jc w:val="center"/>
                    <w:rPr>
                      <w:color w:val="auto"/>
                      <w:szCs w:val="21"/>
                    </w:rPr>
                  </w:pPr>
                  <w:r>
                    <w:rPr>
                      <w:color w:val="auto"/>
                      <w:szCs w:val="21"/>
                    </w:rPr>
                    <w:t>本项目运行后，废气处理设施与生产工艺设备同步运行。如出现故障时对应的生产工艺设备应停止运行，待检修完毕后同步投入使用</w:t>
                  </w:r>
                  <w:r>
                    <w:rPr>
                      <w:rFonts w:hint="eastAsia"/>
                      <w:color w:val="auto"/>
                      <w:szCs w:val="21"/>
                    </w:rPr>
                    <w:t>。</w:t>
                  </w:r>
                </w:p>
              </w:tc>
              <w:tc>
                <w:tcPr>
                  <w:tcW w:w="280" w:type="dxa"/>
                  <w:vMerge w:val="restart"/>
                  <w:vAlign w:val="center"/>
                </w:tcPr>
                <w:p w14:paraId="7872C68B">
                  <w:pPr>
                    <w:adjustRightInd w:val="0"/>
                    <w:snapToGrid w:val="0"/>
                    <w:jc w:val="center"/>
                    <w:rPr>
                      <w:color w:val="auto"/>
                      <w:kern w:val="0"/>
                      <w:szCs w:val="21"/>
                    </w:rPr>
                  </w:pPr>
                  <w:r>
                    <w:rPr>
                      <w:color w:val="auto"/>
                      <w:kern w:val="0"/>
                      <w:szCs w:val="21"/>
                    </w:rPr>
                    <w:t>符合</w:t>
                  </w:r>
                </w:p>
              </w:tc>
            </w:tr>
            <w:tr w14:paraId="5DC6AB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60" w:hRule="atLeast"/>
                <w:jc w:val="center"/>
              </w:trPr>
              <w:tc>
                <w:tcPr>
                  <w:tcW w:w="279" w:type="dxa"/>
                  <w:vMerge w:val="continue"/>
                  <w:vAlign w:val="center"/>
                </w:tcPr>
                <w:p w14:paraId="0666BC4D">
                  <w:pPr>
                    <w:adjustRightInd w:val="0"/>
                    <w:snapToGrid w:val="0"/>
                    <w:jc w:val="center"/>
                    <w:rPr>
                      <w:color w:val="auto"/>
                      <w:kern w:val="0"/>
                      <w:szCs w:val="21"/>
                    </w:rPr>
                  </w:pPr>
                </w:p>
              </w:tc>
              <w:tc>
                <w:tcPr>
                  <w:tcW w:w="906" w:type="dxa"/>
                  <w:vMerge w:val="continue"/>
                  <w:vAlign w:val="center"/>
                </w:tcPr>
                <w:p w14:paraId="03840C14">
                  <w:pPr>
                    <w:adjustRightInd w:val="0"/>
                    <w:snapToGrid w:val="0"/>
                    <w:jc w:val="center"/>
                    <w:rPr>
                      <w:color w:val="auto"/>
                      <w:spacing w:val="-2"/>
                      <w:kern w:val="0"/>
                      <w:szCs w:val="21"/>
                    </w:rPr>
                  </w:pPr>
                </w:p>
              </w:tc>
              <w:tc>
                <w:tcPr>
                  <w:tcW w:w="3749" w:type="dxa"/>
                  <w:gridSpan w:val="2"/>
                  <w:vAlign w:val="center"/>
                </w:tcPr>
                <w:p w14:paraId="20C50B3B">
                  <w:pPr>
                    <w:adjustRightInd w:val="0"/>
                    <w:snapToGrid w:val="0"/>
                    <w:jc w:val="center"/>
                    <w:rPr>
                      <w:color w:val="auto"/>
                      <w:szCs w:val="21"/>
                    </w:rPr>
                  </w:pPr>
                  <w:r>
                    <w:rPr>
                      <w:color w:val="auto"/>
                      <w:szCs w:val="21"/>
                    </w:rPr>
                    <w:t>10.3.1 VOCs废气收集处理系统污物排放应符合GB16297或行</w:t>
                  </w:r>
                  <w:r>
                    <w:rPr>
                      <w:rFonts w:hint="eastAsia"/>
                      <w:color w:val="auto"/>
                      <w:szCs w:val="21"/>
                      <w:lang w:eastAsia="zh-CN"/>
                    </w:rPr>
                    <w:t>业发</w:t>
                  </w:r>
                  <w:r>
                    <w:rPr>
                      <w:color w:val="auto"/>
                      <w:szCs w:val="21"/>
                    </w:rPr>
                    <w:t>放标准的规定。</w:t>
                  </w:r>
                </w:p>
              </w:tc>
              <w:tc>
                <w:tcPr>
                  <w:tcW w:w="2876" w:type="dxa"/>
                  <w:vAlign w:val="center"/>
                </w:tcPr>
                <w:p w14:paraId="713B9972">
                  <w:pPr>
                    <w:adjustRightInd w:val="0"/>
                    <w:snapToGrid w:val="0"/>
                    <w:ind w:firstLine="210" w:firstLineChars="100"/>
                    <w:jc w:val="center"/>
                    <w:rPr>
                      <w:color w:val="auto"/>
                      <w:szCs w:val="21"/>
                    </w:rPr>
                  </w:pPr>
                  <w:r>
                    <w:rPr>
                      <w:color w:val="auto"/>
                      <w:szCs w:val="21"/>
                    </w:rPr>
                    <w:t>项目产生的NMHC排放执行江苏省《大气污染物综合排放标准》（DB32/4041—2021）表1、表3标准</w:t>
                  </w:r>
                  <w:r>
                    <w:rPr>
                      <w:color w:val="auto"/>
                    </w:rPr>
                    <w:t>。</w:t>
                  </w:r>
                </w:p>
              </w:tc>
              <w:tc>
                <w:tcPr>
                  <w:tcW w:w="280" w:type="dxa"/>
                  <w:vMerge w:val="continue"/>
                  <w:vAlign w:val="center"/>
                </w:tcPr>
                <w:p w14:paraId="568B9EE3">
                  <w:pPr>
                    <w:adjustRightInd w:val="0"/>
                    <w:snapToGrid w:val="0"/>
                    <w:jc w:val="center"/>
                    <w:rPr>
                      <w:color w:val="auto"/>
                      <w:kern w:val="0"/>
                      <w:szCs w:val="21"/>
                    </w:rPr>
                  </w:pPr>
                </w:p>
              </w:tc>
            </w:tr>
            <w:tr w14:paraId="579CFD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6" w:hRule="atLeast"/>
                <w:jc w:val="center"/>
              </w:trPr>
              <w:tc>
                <w:tcPr>
                  <w:tcW w:w="279" w:type="dxa"/>
                  <w:vMerge w:val="continue"/>
                  <w:vAlign w:val="center"/>
                </w:tcPr>
                <w:p w14:paraId="388FDF5D">
                  <w:pPr>
                    <w:adjustRightInd w:val="0"/>
                    <w:snapToGrid w:val="0"/>
                    <w:jc w:val="center"/>
                    <w:rPr>
                      <w:color w:val="auto"/>
                      <w:kern w:val="0"/>
                      <w:szCs w:val="21"/>
                    </w:rPr>
                  </w:pPr>
                </w:p>
              </w:tc>
              <w:tc>
                <w:tcPr>
                  <w:tcW w:w="906" w:type="dxa"/>
                  <w:vMerge w:val="continue"/>
                  <w:vAlign w:val="center"/>
                </w:tcPr>
                <w:p w14:paraId="25654FBA">
                  <w:pPr>
                    <w:adjustRightInd w:val="0"/>
                    <w:snapToGrid w:val="0"/>
                    <w:jc w:val="center"/>
                    <w:rPr>
                      <w:color w:val="auto"/>
                      <w:spacing w:val="-2"/>
                      <w:kern w:val="0"/>
                      <w:szCs w:val="21"/>
                    </w:rPr>
                  </w:pPr>
                </w:p>
              </w:tc>
              <w:tc>
                <w:tcPr>
                  <w:tcW w:w="3749" w:type="dxa"/>
                  <w:gridSpan w:val="2"/>
                  <w:vAlign w:val="center"/>
                </w:tcPr>
                <w:p w14:paraId="51A31600">
                  <w:pPr>
                    <w:adjustRightInd w:val="0"/>
                    <w:snapToGrid w:val="0"/>
                    <w:jc w:val="center"/>
                    <w:rPr>
                      <w:color w:val="auto"/>
                      <w:szCs w:val="21"/>
                    </w:rPr>
                  </w:pPr>
                  <w:r>
                    <w:rPr>
                      <w:color w:val="auto"/>
                      <w:szCs w:val="21"/>
                    </w:rPr>
                    <w:t>11.1 企业边界及周边VOCs监控要求执行GB16297或相关行业排放标准的规定</w:t>
                  </w:r>
                </w:p>
              </w:tc>
              <w:tc>
                <w:tcPr>
                  <w:tcW w:w="2876" w:type="dxa"/>
                  <w:vAlign w:val="center"/>
                </w:tcPr>
                <w:p w14:paraId="77AB1EFD">
                  <w:pPr>
                    <w:adjustRightInd w:val="0"/>
                    <w:snapToGrid w:val="0"/>
                    <w:ind w:firstLine="210" w:firstLineChars="100"/>
                    <w:jc w:val="center"/>
                    <w:rPr>
                      <w:color w:val="auto"/>
                      <w:szCs w:val="21"/>
                    </w:rPr>
                  </w:pPr>
                  <w:r>
                    <w:rPr>
                      <w:color w:val="auto"/>
                      <w:szCs w:val="21"/>
                    </w:rPr>
                    <w:t>本项目企业边界及周边VOCs监控执行江苏省《大气污染物综合排放标准》（DB32/4041—2021）表</w:t>
                  </w:r>
                  <w:r>
                    <w:rPr>
                      <w:rFonts w:hint="eastAsia"/>
                      <w:color w:val="auto"/>
                      <w:szCs w:val="21"/>
                    </w:rPr>
                    <w:t>3</w:t>
                  </w:r>
                  <w:r>
                    <w:rPr>
                      <w:color w:val="auto"/>
                      <w:szCs w:val="21"/>
                    </w:rPr>
                    <w:t>中</w:t>
                  </w:r>
                  <w:r>
                    <w:rPr>
                      <w:rFonts w:hint="eastAsia"/>
                      <w:color w:val="auto"/>
                      <w:szCs w:val="21"/>
                    </w:rPr>
                    <w:t>单位边界</w:t>
                  </w:r>
                  <w:r>
                    <w:rPr>
                      <w:color w:val="auto"/>
                      <w:szCs w:val="21"/>
                    </w:rPr>
                    <w:t>内VOCs无组织排放限值。</w:t>
                  </w:r>
                </w:p>
              </w:tc>
              <w:tc>
                <w:tcPr>
                  <w:tcW w:w="280" w:type="dxa"/>
                  <w:vMerge w:val="continue"/>
                  <w:vAlign w:val="center"/>
                </w:tcPr>
                <w:p w14:paraId="2F6ABF6C">
                  <w:pPr>
                    <w:adjustRightInd w:val="0"/>
                    <w:snapToGrid w:val="0"/>
                    <w:jc w:val="center"/>
                    <w:rPr>
                      <w:color w:val="auto"/>
                      <w:kern w:val="0"/>
                      <w:szCs w:val="21"/>
                    </w:rPr>
                  </w:pPr>
                </w:p>
              </w:tc>
            </w:tr>
            <w:tr w14:paraId="3F3446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8" w:hRule="atLeast"/>
                <w:jc w:val="center"/>
              </w:trPr>
              <w:tc>
                <w:tcPr>
                  <w:tcW w:w="279" w:type="dxa"/>
                  <w:vMerge w:val="continue"/>
                  <w:vAlign w:val="center"/>
                </w:tcPr>
                <w:p w14:paraId="19A1DAF6">
                  <w:pPr>
                    <w:adjustRightInd w:val="0"/>
                    <w:snapToGrid w:val="0"/>
                    <w:jc w:val="center"/>
                    <w:rPr>
                      <w:color w:val="auto"/>
                      <w:kern w:val="0"/>
                      <w:szCs w:val="21"/>
                    </w:rPr>
                  </w:pPr>
                </w:p>
              </w:tc>
              <w:tc>
                <w:tcPr>
                  <w:tcW w:w="906" w:type="dxa"/>
                  <w:vMerge w:val="continue"/>
                  <w:vAlign w:val="center"/>
                </w:tcPr>
                <w:p w14:paraId="3BEA5FE9">
                  <w:pPr>
                    <w:adjustRightInd w:val="0"/>
                    <w:snapToGrid w:val="0"/>
                    <w:jc w:val="center"/>
                    <w:rPr>
                      <w:color w:val="auto"/>
                      <w:spacing w:val="-2"/>
                      <w:kern w:val="0"/>
                      <w:szCs w:val="21"/>
                    </w:rPr>
                  </w:pPr>
                </w:p>
              </w:tc>
              <w:tc>
                <w:tcPr>
                  <w:tcW w:w="3749" w:type="dxa"/>
                  <w:gridSpan w:val="2"/>
                  <w:vAlign w:val="center"/>
                </w:tcPr>
                <w:p w14:paraId="450311DD">
                  <w:pPr>
                    <w:adjustRightInd w:val="0"/>
                    <w:snapToGrid w:val="0"/>
                    <w:jc w:val="center"/>
                    <w:rPr>
                      <w:color w:val="auto"/>
                      <w:szCs w:val="21"/>
                    </w:rPr>
                  </w:pPr>
                  <w:r>
                    <w:rPr>
                      <w:color w:val="auto"/>
                      <w:szCs w:val="21"/>
                    </w:rPr>
                    <w:t>12.1 企业应按照有关法律、《环境监测管理办法》和HJ819等规定，建立企业监测制度，制定监测方案，对污染物排放状况及其对周边环</w:t>
                  </w:r>
                  <w:r>
                    <w:rPr>
                      <w:rFonts w:hint="eastAsia"/>
                      <w:color w:val="auto"/>
                      <w:szCs w:val="21"/>
                      <w:lang w:eastAsia="zh-CN"/>
                    </w:rPr>
                    <w:t>境质</w:t>
                  </w:r>
                  <w:r>
                    <w:rPr>
                      <w:color w:val="auto"/>
                      <w:szCs w:val="21"/>
                    </w:rPr>
                    <w:t>量的影响开展自行监测，保存原始监测记录，并公布监测结果</w:t>
                  </w:r>
                </w:p>
              </w:tc>
              <w:tc>
                <w:tcPr>
                  <w:tcW w:w="2876" w:type="dxa"/>
                  <w:vAlign w:val="center"/>
                </w:tcPr>
                <w:p w14:paraId="029F3E96">
                  <w:pPr>
                    <w:adjustRightInd w:val="0"/>
                    <w:snapToGrid w:val="0"/>
                    <w:ind w:firstLine="210" w:firstLineChars="100"/>
                    <w:jc w:val="center"/>
                    <w:rPr>
                      <w:color w:val="auto"/>
                      <w:szCs w:val="21"/>
                    </w:rPr>
                  </w:pPr>
                  <w:r>
                    <w:rPr>
                      <w:color w:val="auto"/>
                      <w:szCs w:val="21"/>
                    </w:rPr>
                    <w:t>本次评价要求企业按照</w:t>
                  </w:r>
                  <w:r>
                    <w:rPr>
                      <w:rFonts w:hint="eastAsia"/>
                      <w:color w:val="auto"/>
                      <w:szCs w:val="21"/>
                    </w:rPr>
                    <w:t>《排污许可证申请与核发技术规范家具制造工业》（HJ1027—2019）</w:t>
                  </w:r>
                  <w:r>
                    <w:rPr>
                      <w:color w:val="auto"/>
                      <w:szCs w:val="21"/>
                    </w:rPr>
                    <w:t>要求提出的污染源监测计划，并按照规范保存原始监测记录，公布监测结果</w:t>
                  </w:r>
                </w:p>
              </w:tc>
              <w:tc>
                <w:tcPr>
                  <w:tcW w:w="280" w:type="dxa"/>
                  <w:vMerge w:val="continue"/>
                  <w:vAlign w:val="center"/>
                </w:tcPr>
                <w:p w14:paraId="117EBFB8">
                  <w:pPr>
                    <w:adjustRightInd w:val="0"/>
                    <w:snapToGrid w:val="0"/>
                    <w:jc w:val="center"/>
                    <w:rPr>
                      <w:color w:val="auto"/>
                      <w:kern w:val="0"/>
                      <w:szCs w:val="21"/>
                    </w:rPr>
                  </w:pPr>
                </w:p>
              </w:tc>
            </w:tr>
            <w:tr w14:paraId="18A3D0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Align w:val="center"/>
                </w:tcPr>
                <w:p w14:paraId="4C7D54E8">
                  <w:pPr>
                    <w:adjustRightInd w:val="0"/>
                    <w:snapToGrid w:val="0"/>
                    <w:jc w:val="center"/>
                    <w:rPr>
                      <w:color w:val="auto"/>
                      <w:kern w:val="0"/>
                      <w:szCs w:val="21"/>
                    </w:rPr>
                  </w:pPr>
                  <w:r>
                    <w:rPr>
                      <w:rFonts w:hint="eastAsia"/>
                      <w:color w:val="auto"/>
                      <w:kern w:val="0"/>
                      <w:szCs w:val="21"/>
                    </w:rPr>
                    <w:t>4</w:t>
                  </w:r>
                </w:p>
              </w:tc>
              <w:tc>
                <w:tcPr>
                  <w:tcW w:w="906" w:type="dxa"/>
                  <w:vAlign w:val="center"/>
                </w:tcPr>
                <w:p w14:paraId="1C6B061B">
                  <w:pPr>
                    <w:adjustRightInd w:val="0"/>
                    <w:snapToGrid w:val="0"/>
                    <w:jc w:val="center"/>
                    <w:rPr>
                      <w:color w:val="auto"/>
                      <w:kern w:val="0"/>
                      <w:szCs w:val="21"/>
                    </w:rPr>
                  </w:pPr>
                  <w:r>
                    <w:rPr>
                      <w:color w:val="auto"/>
                      <w:kern w:val="0"/>
                      <w:szCs w:val="21"/>
                    </w:rPr>
                    <w:t>《江苏省挥发性有机物污染防治管理办法》（省政府令第119号）</w:t>
                  </w:r>
                </w:p>
              </w:tc>
              <w:tc>
                <w:tcPr>
                  <w:tcW w:w="3749" w:type="dxa"/>
                  <w:gridSpan w:val="2"/>
                  <w:vAlign w:val="center"/>
                </w:tcPr>
                <w:p w14:paraId="0A494786">
                  <w:pPr>
                    <w:adjustRightInd w:val="0"/>
                    <w:snapToGrid w:val="0"/>
                    <w:ind w:firstLine="210" w:firstLineChars="100"/>
                    <w:jc w:val="center"/>
                    <w:rPr>
                      <w:color w:val="auto"/>
                      <w:kern w:val="0"/>
                      <w:szCs w:val="21"/>
                    </w:rPr>
                  </w:pPr>
                  <w:r>
                    <w:rPr>
                      <w:color w:val="auto"/>
                      <w:kern w:val="0"/>
                      <w:szCs w:val="21"/>
                    </w:rPr>
                    <w:t>第十五条排放挥发性有机物的生产经营者应当履行防止挥发性有机物污染的义务，根据国家和省相关标准以及防治技术指南，采用挥发性有机物污染控制技术，规范操作规程，组织生产经营管理，确保挥发性有机物的排放符合相应的排放标准。</w:t>
                  </w:r>
                </w:p>
                <w:p w14:paraId="4F0E4EE7">
                  <w:pPr>
                    <w:adjustRightInd w:val="0"/>
                    <w:snapToGrid w:val="0"/>
                    <w:jc w:val="center"/>
                    <w:rPr>
                      <w:color w:val="auto"/>
                      <w:kern w:val="0"/>
                      <w:szCs w:val="21"/>
                    </w:rPr>
                  </w:pPr>
                  <w:r>
                    <w:rPr>
                      <w:color w:val="auto"/>
                      <w:kern w:val="0"/>
                      <w:szCs w:val="21"/>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876" w:type="dxa"/>
                  <w:vAlign w:val="center"/>
                </w:tcPr>
                <w:p w14:paraId="0A9819FE">
                  <w:pPr>
                    <w:adjustRightInd w:val="0"/>
                    <w:snapToGrid w:val="0"/>
                    <w:ind w:firstLine="420" w:firstLineChars="200"/>
                    <w:jc w:val="center"/>
                    <w:rPr>
                      <w:color w:val="auto"/>
                      <w:kern w:val="0"/>
                      <w:szCs w:val="21"/>
                    </w:rPr>
                  </w:pPr>
                  <w:r>
                    <w:rPr>
                      <w:color w:val="auto"/>
                      <w:kern w:val="0"/>
                      <w:szCs w:val="21"/>
                    </w:rPr>
                    <w:t>本项目有机废气经集气罩收集后，</w:t>
                  </w:r>
                  <w:r>
                    <w:rPr>
                      <w:color w:val="auto"/>
                      <w:szCs w:val="21"/>
                    </w:rPr>
                    <w:t>采用二级活性炭吸附装置处理后通过15米高排气筒高空排放</w:t>
                  </w:r>
                  <w:r>
                    <w:rPr>
                      <w:color w:val="auto"/>
                      <w:kern w:val="0"/>
                      <w:szCs w:val="21"/>
                    </w:rPr>
                    <w:t>，</w:t>
                  </w:r>
                  <w:r>
                    <w:rPr>
                      <w:rFonts w:hint="eastAsia"/>
                      <w:color w:val="auto"/>
                      <w:kern w:val="0"/>
                      <w:szCs w:val="21"/>
                    </w:rPr>
                    <w:t>其中调漆、喷漆、晾干等产生挥发性有机物的主要工艺均在密闭空间内进行，做到高效率的收集，</w:t>
                  </w:r>
                  <w:r>
                    <w:rPr>
                      <w:color w:val="auto"/>
                      <w:szCs w:val="21"/>
                    </w:rPr>
                    <w:t>可有效减少挥发性有机物的</w:t>
                  </w:r>
                  <w:r>
                    <w:rPr>
                      <w:rFonts w:hint="eastAsia"/>
                      <w:color w:val="auto"/>
                      <w:szCs w:val="21"/>
                    </w:rPr>
                    <w:t>逸散</w:t>
                  </w:r>
                  <w:r>
                    <w:rPr>
                      <w:color w:val="auto"/>
                      <w:szCs w:val="21"/>
                    </w:rPr>
                    <w:t>；</w:t>
                  </w:r>
                  <w:r>
                    <w:rPr>
                      <w:rFonts w:hint="eastAsia"/>
                      <w:color w:val="auto"/>
                      <w:szCs w:val="21"/>
                    </w:rPr>
                    <w:t>生产废水经厂内污水处理站处理后达标排放至空港产业园污水处理厂，</w:t>
                  </w:r>
                  <w:r>
                    <w:rPr>
                      <w:rFonts w:hint="eastAsia"/>
                      <w:color w:val="auto"/>
                      <w:szCs w:val="21"/>
                      <w:lang w:eastAsia="zh-CN"/>
                    </w:rPr>
                    <w:t>生活污水</w:t>
                  </w:r>
                  <w:r>
                    <w:rPr>
                      <w:rFonts w:hint="eastAsia"/>
                      <w:color w:val="auto"/>
                      <w:szCs w:val="21"/>
                    </w:rPr>
                    <w:t>主要为生活、食堂污水，经隔油池、化粪池预处理</w:t>
                  </w:r>
                  <w:r>
                    <w:rPr>
                      <w:rFonts w:hint="eastAsia"/>
                      <w:color w:val="auto"/>
                      <w:szCs w:val="21"/>
                      <w:lang w:eastAsia="zh-CN"/>
                    </w:rPr>
                    <w:t>达到</w:t>
                  </w:r>
                  <w:r>
                    <w:rPr>
                      <w:rFonts w:hint="eastAsia"/>
                      <w:color w:val="auto"/>
                      <w:szCs w:val="21"/>
                    </w:rPr>
                    <w:t>接管标准后接管至空港产业园污水处理厂</w:t>
                  </w:r>
                  <w:r>
                    <w:rPr>
                      <w:color w:val="auto"/>
                      <w:szCs w:val="21"/>
                    </w:rPr>
                    <w:t>；</w:t>
                  </w:r>
                  <w:r>
                    <w:rPr>
                      <w:rFonts w:hint="eastAsia"/>
                      <w:color w:val="auto"/>
                      <w:szCs w:val="21"/>
                    </w:rPr>
                    <w:t>危险废物</w:t>
                  </w:r>
                  <w:r>
                    <w:rPr>
                      <w:color w:val="auto"/>
                      <w:szCs w:val="21"/>
                    </w:rPr>
                    <w:t>委托有资质单位安全处置</w:t>
                  </w:r>
                  <w:r>
                    <w:rPr>
                      <w:rFonts w:hint="eastAsia"/>
                      <w:color w:val="auto"/>
                      <w:szCs w:val="21"/>
                    </w:rPr>
                    <w:t>，固体废物收集后统一处理</w:t>
                  </w:r>
                  <w:r>
                    <w:rPr>
                      <w:color w:val="auto"/>
                      <w:szCs w:val="21"/>
                    </w:rPr>
                    <w:t>，生活垃圾交由环卫部门清运。</w:t>
                  </w:r>
                </w:p>
              </w:tc>
              <w:tc>
                <w:tcPr>
                  <w:tcW w:w="280" w:type="dxa"/>
                  <w:vAlign w:val="center"/>
                </w:tcPr>
                <w:p w14:paraId="26D5B9D1">
                  <w:pPr>
                    <w:adjustRightInd w:val="0"/>
                    <w:snapToGrid w:val="0"/>
                    <w:jc w:val="center"/>
                    <w:rPr>
                      <w:color w:val="auto"/>
                      <w:kern w:val="0"/>
                      <w:szCs w:val="21"/>
                    </w:rPr>
                  </w:pPr>
                  <w:r>
                    <w:rPr>
                      <w:color w:val="auto"/>
                      <w:kern w:val="0"/>
                      <w:szCs w:val="21"/>
                    </w:rPr>
                    <w:t>符合</w:t>
                  </w:r>
                </w:p>
              </w:tc>
            </w:tr>
            <w:tr w14:paraId="6F00BF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64F284B4">
                  <w:pPr>
                    <w:adjustRightInd w:val="0"/>
                    <w:snapToGrid w:val="0"/>
                    <w:jc w:val="center"/>
                    <w:rPr>
                      <w:color w:val="auto"/>
                      <w:kern w:val="0"/>
                      <w:szCs w:val="21"/>
                    </w:rPr>
                  </w:pPr>
                  <w:r>
                    <w:rPr>
                      <w:rFonts w:hint="eastAsia"/>
                      <w:color w:val="auto"/>
                      <w:kern w:val="0"/>
                      <w:szCs w:val="21"/>
                    </w:rPr>
                    <w:t>5</w:t>
                  </w:r>
                </w:p>
              </w:tc>
              <w:tc>
                <w:tcPr>
                  <w:tcW w:w="906" w:type="dxa"/>
                  <w:vMerge w:val="restart"/>
                  <w:vAlign w:val="center"/>
                </w:tcPr>
                <w:p w14:paraId="65D9123C">
                  <w:pPr>
                    <w:adjustRightInd w:val="0"/>
                    <w:snapToGrid w:val="0"/>
                    <w:jc w:val="center"/>
                    <w:rPr>
                      <w:color w:val="auto"/>
                      <w:kern w:val="0"/>
                      <w:szCs w:val="21"/>
                    </w:rPr>
                  </w:pPr>
                  <w:r>
                    <w:rPr>
                      <w:color w:val="auto"/>
                      <w:szCs w:val="21"/>
                    </w:rPr>
                    <w:t>《江苏省重点行业挥发性有机物污染控制指南》（江苏省环保厅，2014年5月20日）</w:t>
                  </w:r>
                </w:p>
              </w:tc>
              <w:tc>
                <w:tcPr>
                  <w:tcW w:w="3749" w:type="dxa"/>
                  <w:gridSpan w:val="2"/>
                  <w:vAlign w:val="center"/>
                </w:tcPr>
                <w:p w14:paraId="4413ABFB">
                  <w:pPr>
                    <w:tabs>
                      <w:tab w:val="left" w:pos="1418"/>
                    </w:tabs>
                    <w:adjustRightInd w:val="0"/>
                    <w:snapToGrid w:val="0"/>
                    <w:jc w:val="center"/>
                    <w:rPr>
                      <w:color w:val="auto"/>
                      <w:szCs w:val="21"/>
                    </w:rPr>
                  </w:pPr>
                  <w:r>
                    <w:rPr>
                      <w:color w:val="auto"/>
                      <w:szCs w:val="21"/>
                    </w:rPr>
                    <w:t>所有产生有机废气污染的企业，应优先采用环保</w:t>
                  </w:r>
                  <w:r>
                    <w:rPr>
                      <w:color w:val="auto"/>
                      <w:szCs w:val="21"/>
                    </w:rPr>
                    <w:cr/>
                  </w:r>
                  <w:r>
                    <w:rPr>
                      <w:color w:val="auto"/>
                      <w:szCs w:val="21"/>
                    </w:rPr>
                    <w:t>原辅料、生产工艺和装备，对相应生产单元或设施进行密</w:t>
                  </w:r>
                  <w:r>
                    <w:rPr>
                      <w:color w:val="auto"/>
                      <w:szCs w:val="21"/>
                    </w:rPr>
                    <w:cr/>
                  </w:r>
                  <w:r>
                    <w:rPr>
                      <w:color w:val="auto"/>
                      <w:szCs w:val="21"/>
                    </w:rPr>
                    <w:t>，从源头控制VOCs的产生，减少废气污染物排放。</w:t>
                  </w:r>
                </w:p>
              </w:tc>
              <w:tc>
                <w:tcPr>
                  <w:tcW w:w="2876" w:type="dxa"/>
                  <w:vAlign w:val="center"/>
                </w:tcPr>
                <w:p w14:paraId="45B53FA7">
                  <w:pPr>
                    <w:adjustRightInd w:val="0"/>
                    <w:snapToGrid w:val="0"/>
                    <w:jc w:val="center"/>
                    <w:rPr>
                      <w:color w:val="auto"/>
                      <w:szCs w:val="21"/>
                    </w:rPr>
                  </w:pPr>
                  <w:r>
                    <w:rPr>
                      <w:color w:val="auto"/>
                      <w:szCs w:val="21"/>
                    </w:rPr>
                    <w:t>本项目原料使用</w:t>
                  </w:r>
                  <w:r>
                    <w:rPr>
                      <w:rFonts w:hint="eastAsia"/>
                      <w:color w:val="auto"/>
                      <w:szCs w:val="21"/>
                    </w:rPr>
                    <w:t>优质材料</w:t>
                  </w:r>
                  <w:r>
                    <w:rPr>
                      <w:rFonts w:hint="eastAsia"/>
                      <w:color w:val="auto"/>
                    </w:rPr>
                    <w:t>，根据本报告下文“二、工程分析章节</w:t>
                  </w:r>
                  <w:r>
                    <w:rPr>
                      <w:rFonts w:hint="eastAsia"/>
                      <w:color w:val="auto"/>
                      <w:lang w:eastAsia="zh-CN"/>
                    </w:rPr>
                    <w:t>－</w:t>
                  </w:r>
                  <w:r>
                    <w:rPr>
                      <w:rFonts w:hint="eastAsia"/>
                      <w:color w:val="auto"/>
                    </w:rPr>
                    <w:t>表2-6建设项目各类物质VOCs含量的限值相符性分析”可知所用物料均为低</w:t>
                  </w:r>
                  <w:r>
                    <w:rPr>
                      <w:rFonts w:hint="eastAsia"/>
                      <w:color w:val="auto"/>
                      <w:lang w:eastAsia="zh-CN"/>
                    </w:rPr>
                    <w:t>挥发性酸</w:t>
                  </w:r>
                  <w:r>
                    <w:rPr>
                      <w:rFonts w:hint="eastAsia"/>
                      <w:color w:val="auto"/>
                    </w:rPr>
                    <w:t>提供行业不可替代证明</w:t>
                  </w:r>
                  <w:r>
                    <w:rPr>
                      <w:color w:val="auto"/>
                      <w:szCs w:val="21"/>
                    </w:rPr>
                    <w:t>，从源头上减少了废气污染物的产生，同时对</w:t>
                  </w:r>
                  <w:r>
                    <w:rPr>
                      <w:rFonts w:hint="eastAsia"/>
                      <w:color w:val="auto"/>
                      <w:szCs w:val="21"/>
                    </w:rPr>
                    <w:t>封边、贴皮、粘接、调漆、喷漆、晾干、烘烤固化等工艺</w:t>
                  </w:r>
                  <w:r>
                    <w:rPr>
                      <w:color w:val="auto"/>
                      <w:szCs w:val="21"/>
                    </w:rPr>
                    <w:t>产生的</w:t>
                  </w:r>
                  <w:r>
                    <w:rPr>
                      <w:rFonts w:hint="eastAsia"/>
                      <w:color w:val="auto"/>
                      <w:szCs w:val="21"/>
                    </w:rPr>
                    <w:t>有机</w:t>
                  </w:r>
                  <w:r>
                    <w:rPr>
                      <w:color w:val="auto"/>
                      <w:szCs w:val="21"/>
                    </w:rPr>
                    <w:t>废气进行收集处理，减少了污染物排放</w:t>
                  </w:r>
                </w:p>
              </w:tc>
              <w:tc>
                <w:tcPr>
                  <w:tcW w:w="280" w:type="dxa"/>
                  <w:vMerge w:val="restart"/>
                  <w:vAlign w:val="center"/>
                </w:tcPr>
                <w:p w14:paraId="24E308C7">
                  <w:pPr>
                    <w:adjustRightInd w:val="0"/>
                    <w:snapToGrid w:val="0"/>
                    <w:jc w:val="center"/>
                    <w:rPr>
                      <w:color w:val="auto"/>
                      <w:kern w:val="0"/>
                      <w:szCs w:val="21"/>
                    </w:rPr>
                  </w:pPr>
                  <w:r>
                    <w:rPr>
                      <w:color w:val="auto"/>
                      <w:kern w:val="0"/>
                      <w:szCs w:val="21"/>
                    </w:rPr>
                    <w:t>符合</w:t>
                  </w:r>
                </w:p>
              </w:tc>
            </w:tr>
            <w:tr w14:paraId="65019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271B565D">
                  <w:pPr>
                    <w:adjustRightInd w:val="0"/>
                    <w:snapToGrid w:val="0"/>
                    <w:jc w:val="center"/>
                    <w:rPr>
                      <w:color w:val="auto"/>
                      <w:kern w:val="0"/>
                      <w:szCs w:val="21"/>
                    </w:rPr>
                  </w:pPr>
                </w:p>
              </w:tc>
              <w:tc>
                <w:tcPr>
                  <w:tcW w:w="906" w:type="dxa"/>
                  <w:vMerge w:val="continue"/>
                  <w:vAlign w:val="center"/>
                </w:tcPr>
                <w:p w14:paraId="280EF815">
                  <w:pPr>
                    <w:adjustRightInd w:val="0"/>
                    <w:snapToGrid w:val="0"/>
                    <w:jc w:val="center"/>
                    <w:rPr>
                      <w:color w:val="auto"/>
                      <w:kern w:val="0"/>
                      <w:szCs w:val="21"/>
                    </w:rPr>
                  </w:pPr>
                </w:p>
              </w:tc>
              <w:tc>
                <w:tcPr>
                  <w:tcW w:w="3749" w:type="dxa"/>
                  <w:gridSpan w:val="2"/>
                  <w:vAlign w:val="center"/>
                </w:tcPr>
                <w:p w14:paraId="4DB174B4">
                  <w:pPr>
                    <w:tabs>
                      <w:tab w:val="left" w:pos="1418"/>
                    </w:tabs>
                    <w:adjustRightInd w:val="0"/>
                    <w:snapToGrid w:val="0"/>
                    <w:jc w:val="center"/>
                    <w:rPr>
                      <w:color w:val="auto"/>
                      <w:szCs w:val="21"/>
                    </w:rPr>
                  </w:pPr>
                  <w:r>
                    <w:rPr>
                      <w:color w:val="auto"/>
                      <w:szCs w:val="21"/>
                    </w:rPr>
                    <w:t>企业应提出针对VOCs的废气治理方案，明确处理装置长期有效运行的管理方案和监控方案，经审核备案</w:t>
                  </w:r>
                  <w:r>
                    <w:rPr>
                      <w:rFonts w:hint="eastAsia"/>
                      <w:color w:val="auto"/>
                      <w:szCs w:val="21"/>
                      <w:lang w:eastAsia="zh-CN"/>
                    </w:rPr>
                    <w:t>后成</w:t>
                  </w:r>
                  <w:r>
                    <w:rPr>
                      <w:color w:val="auto"/>
                      <w:szCs w:val="21"/>
                    </w:rPr>
                    <w:cr/>
                  </w:r>
                  <w:r>
                    <w:rPr>
                      <w:color w:val="auto"/>
                      <w:szCs w:val="21"/>
                    </w:rPr>
                    <w:t>为环境监察的依据。</w:t>
                  </w:r>
                </w:p>
              </w:tc>
              <w:tc>
                <w:tcPr>
                  <w:tcW w:w="2876" w:type="dxa"/>
                  <w:vAlign w:val="center"/>
                </w:tcPr>
                <w:p w14:paraId="2B85EE8F">
                  <w:pPr>
                    <w:adjustRightInd w:val="0"/>
                    <w:snapToGrid w:val="0"/>
                    <w:jc w:val="center"/>
                    <w:rPr>
                      <w:color w:val="auto"/>
                      <w:szCs w:val="21"/>
                    </w:rPr>
                  </w:pPr>
                  <w:r>
                    <w:rPr>
                      <w:color w:val="auto"/>
                      <w:szCs w:val="21"/>
                    </w:rPr>
                    <w:t>本项目生产过程中产生的NMHC经集气罩收集后采用二级活性炭吸附装置处理后通过15米高排气筒高空排放；</w:t>
                  </w:r>
                  <w:r>
                    <w:rPr>
                      <w:rFonts w:hint="eastAsia"/>
                      <w:color w:val="auto"/>
                      <w:szCs w:val="21"/>
                    </w:rPr>
                    <w:t xml:space="preserve">参照《排污单位自行监测技术指南总则》（HJ819-2017）、《排污单位自行监测技术指南 </w:t>
                  </w:r>
                  <w:r>
                    <w:rPr>
                      <w:rFonts w:hint="eastAsia"/>
                      <w:color w:val="auto"/>
                      <w:szCs w:val="21"/>
                      <w:lang w:eastAsia="zh-CN"/>
                    </w:rPr>
                    <w:t>附则</w:t>
                  </w:r>
                  <w:r>
                    <w:rPr>
                      <w:rFonts w:hint="eastAsia"/>
                      <w:color w:val="auto"/>
                      <w:szCs w:val="21"/>
                    </w:rPr>
                    <w:t>》（HJ1086—2020）、《排污单位自行监测技术指南 印刷工业》（HJ1246—2022）、排污许可证申请与核发技术规范 工业炉窑》（HJ1121-2022）等标准</w:t>
                  </w:r>
                  <w:r>
                    <w:rPr>
                      <w:color w:val="auto"/>
                      <w:szCs w:val="21"/>
                    </w:rPr>
                    <w:t>确定的污染因子、监测频次，采用例行监测的方式监测污染源浓度，作为处理设施长期有效运行的管理和监控依据</w:t>
                  </w:r>
                </w:p>
              </w:tc>
              <w:tc>
                <w:tcPr>
                  <w:tcW w:w="280" w:type="dxa"/>
                  <w:vMerge w:val="continue"/>
                  <w:vAlign w:val="center"/>
                </w:tcPr>
                <w:p w14:paraId="0613EF3F">
                  <w:pPr>
                    <w:adjustRightInd w:val="0"/>
                    <w:snapToGrid w:val="0"/>
                    <w:jc w:val="center"/>
                    <w:rPr>
                      <w:color w:val="auto"/>
                      <w:kern w:val="0"/>
                      <w:szCs w:val="21"/>
                    </w:rPr>
                  </w:pPr>
                </w:p>
              </w:tc>
            </w:tr>
            <w:tr w14:paraId="644541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883" w:hRule="atLeast"/>
                <w:jc w:val="center"/>
              </w:trPr>
              <w:tc>
                <w:tcPr>
                  <w:tcW w:w="279" w:type="dxa"/>
                  <w:vMerge w:val="restart"/>
                  <w:vAlign w:val="center"/>
                </w:tcPr>
                <w:p w14:paraId="4ACAF4CA">
                  <w:pPr>
                    <w:adjustRightInd w:val="0"/>
                    <w:snapToGrid w:val="0"/>
                    <w:jc w:val="center"/>
                    <w:rPr>
                      <w:color w:val="auto"/>
                      <w:kern w:val="0"/>
                      <w:szCs w:val="21"/>
                    </w:rPr>
                  </w:pPr>
                  <w:r>
                    <w:rPr>
                      <w:rFonts w:hint="eastAsia"/>
                      <w:color w:val="auto"/>
                      <w:kern w:val="0"/>
                      <w:szCs w:val="21"/>
                    </w:rPr>
                    <w:t>6</w:t>
                  </w:r>
                </w:p>
              </w:tc>
              <w:tc>
                <w:tcPr>
                  <w:tcW w:w="906" w:type="dxa"/>
                  <w:vMerge w:val="restart"/>
                  <w:vAlign w:val="center"/>
                </w:tcPr>
                <w:p w14:paraId="4973A442">
                  <w:pPr>
                    <w:adjustRightInd w:val="0"/>
                    <w:snapToGrid w:val="0"/>
                    <w:jc w:val="center"/>
                    <w:rPr>
                      <w:color w:val="auto"/>
                      <w:kern w:val="0"/>
                      <w:szCs w:val="21"/>
                    </w:rPr>
                  </w:pPr>
                  <w:r>
                    <w:rPr>
                      <w:color w:val="auto"/>
                      <w:kern w:val="0"/>
                      <w:szCs w:val="21"/>
                    </w:rPr>
                    <w:t>《江苏省生态环境厅关于进一步做好建设项目环评审批工作的通知》（江苏省生态环境厅，2019年2月2日）</w:t>
                  </w:r>
                </w:p>
              </w:tc>
              <w:tc>
                <w:tcPr>
                  <w:tcW w:w="1015" w:type="dxa"/>
                  <w:vMerge w:val="restart"/>
                  <w:vAlign w:val="center"/>
                </w:tcPr>
                <w:p w14:paraId="5B2DAD3F">
                  <w:pPr>
                    <w:widowControl/>
                    <w:jc w:val="center"/>
                    <w:rPr>
                      <w:color w:val="auto"/>
                      <w:szCs w:val="21"/>
                    </w:rPr>
                  </w:pPr>
                  <w:r>
                    <w:rPr>
                      <w:color w:val="auto"/>
                      <w:kern w:val="0"/>
                      <w:szCs w:val="21"/>
                      <w:lang w:bidi="ar"/>
                    </w:rPr>
                    <w:t>以下情形不予审批</w:t>
                  </w:r>
                </w:p>
              </w:tc>
              <w:tc>
                <w:tcPr>
                  <w:tcW w:w="2734" w:type="dxa"/>
                  <w:vAlign w:val="center"/>
                </w:tcPr>
                <w:p w14:paraId="6E7ED95E">
                  <w:pPr>
                    <w:tabs>
                      <w:tab w:val="left" w:pos="1418"/>
                    </w:tabs>
                    <w:adjustRightInd w:val="0"/>
                    <w:snapToGrid w:val="0"/>
                    <w:jc w:val="center"/>
                    <w:rPr>
                      <w:color w:val="auto"/>
                      <w:szCs w:val="21"/>
                    </w:rPr>
                  </w:pPr>
                  <w:r>
                    <w:rPr>
                      <w:color w:val="auto"/>
                      <w:szCs w:val="21"/>
                    </w:rPr>
                    <w:t>建设项目类型及其选址、布局、规模等不符合环境保护法律法规和相关法定规划</w:t>
                  </w:r>
                </w:p>
              </w:tc>
              <w:tc>
                <w:tcPr>
                  <w:tcW w:w="2876" w:type="dxa"/>
                  <w:vAlign w:val="center"/>
                </w:tcPr>
                <w:p w14:paraId="55CB4651">
                  <w:pPr>
                    <w:adjustRightInd w:val="0"/>
                    <w:snapToGrid w:val="0"/>
                    <w:jc w:val="center"/>
                    <w:rPr>
                      <w:color w:val="auto"/>
                      <w:szCs w:val="21"/>
                    </w:rPr>
                  </w:pPr>
                  <w:r>
                    <w:rPr>
                      <w:color w:val="auto"/>
                      <w:szCs w:val="21"/>
                    </w:rPr>
                    <w:t>经过与“三线一单”及规划相符性分析可知，建设项目类型及其选址、布局、规模等均符合环境保护法律法规和相关法定规划。</w:t>
                  </w:r>
                </w:p>
              </w:tc>
              <w:tc>
                <w:tcPr>
                  <w:tcW w:w="280" w:type="dxa"/>
                  <w:vMerge w:val="restart"/>
                  <w:vAlign w:val="center"/>
                </w:tcPr>
                <w:p w14:paraId="7F29E251">
                  <w:pPr>
                    <w:adjustRightInd w:val="0"/>
                    <w:snapToGrid w:val="0"/>
                    <w:jc w:val="center"/>
                    <w:rPr>
                      <w:color w:val="auto"/>
                      <w:kern w:val="0"/>
                      <w:szCs w:val="21"/>
                    </w:rPr>
                  </w:pPr>
                  <w:r>
                    <w:rPr>
                      <w:color w:val="auto"/>
                      <w:kern w:val="0"/>
                      <w:szCs w:val="21"/>
                    </w:rPr>
                    <w:t>符合</w:t>
                  </w:r>
                </w:p>
              </w:tc>
            </w:tr>
            <w:tr w14:paraId="153922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55" w:hRule="atLeast"/>
                <w:jc w:val="center"/>
              </w:trPr>
              <w:tc>
                <w:tcPr>
                  <w:tcW w:w="279" w:type="dxa"/>
                  <w:vMerge w:val="continue"/>
                  <w:vAlign w:val="center"/>
                </w:tcPr>
                <w:p w14:paraId="274F424A">
                  <w:pPr>
                    <w:adjustRightInd w:val="0"/>
                    <w:snapToGrid w:val="0"/>
                    <w:jc w:val="center"/>
                    <w:rPr>
                      <w:color w:val="auto"/>
                      <w:kern w:val="0"/>
                      <w:szCs w:val="21"/>
                    </w:rPr>
                  </w:pPr>
                </w:p>
              </w:tc>
              <w:tc>
                <w:tcPr>
                  <w:tcW w:w="906" w:type="dxa"/>
                  <w:vMerge w:val="continue"/>
                  <w:vAlign w:val="center"/>
                </w:tcPr>
                <w:p w14:paraId="33D8FA86">
                  <w:pPr>
                    <w:adjustRightInd w:val="0"/>
                    <w:snapToGrid w:val="0"/>
                    <w:jc w:val="center"/>
                    <w:rPr>
                      <w:color w:val="auto"/>
                      <w:kern w:val="0"/>
                      <w:szCs w:val="21"/>
                    </w:rPr>
                  </w:pPr>
                </w:p>
              </w:tc>
              <w:tc>
                <w:tcPr>
                  <w:tcW w:w="1015" w:type="dxa"/>
                  <w:vMerge w:val="continue"/>
                  <w:vAlign w:val="center"/>
                </w:tcPr>
                <w:p w14:paraId="284144BF">
                  <w:pPr>
                    <w:tabs>
                      <w:tab w:val="left" w:pos="1418"/>
                    </w:tabs>
                    <w:adjustRightInd w:val="0"/>
                    <w:snapToGrid w:val="0"/>
                    <w:jc w:val="center"/>
                    <w:rPr>
                      <w:color w:val="auto"/>
                      <w:szCs w:val="21"/>
                    </w:rPr>
                  </w:pPr>
                </w:p>
              </w:tc>
              <w:tc>
                <w:tcPr>
                  <w:tcW w:w="2734" w:type="dxa"/>
                  <w:vAlign w:val="center"/>
                </w:tcPr>
                <w:p w14:paraId="12069B63">
                  <w:pPr>
                    <w:tabs>
                      <w:tab w:val="left" w:pos="1418"/>
                    </w:tabs>
                    <w:adjustRightInd w:val="0"/>
                    <w:snapToGrid w:val="0"/>
                    <w:jc w:val="center"/>
                    <w:rPr>
                      <w:color w:val="auto"/>
                      <w:szCs w:val="21"/>
                    </w:rPr>
                  </w:pPr>
                  <w:r>
                    <w:rPr>
                      <w:color w:val="auto"/>
                      <w:szCs w:val="21"/>
                    </w:rPr>
                    <w:t>所在区域环境质量未达到国家或者地方环境质量标准，且建设项目拟采取的措施不能满足区域环境质量改善目标管理要求</w:t>
                  </w:r>
                </w:p>
              </w:tc>
              <w:tc>
                <w:tcPr>
                  <w:tcW w:w="2876" w:type="dxa"/>
                  <w:vAlign w:val="center"/>
                </w:tcPr>
                <w:p w14:paraId="3DA57866">
                  <w:pPr>
                    <w:adjustRightInd w:val="0"/>
                    <w:snapToGrid w:val="0"/>
                    <w:jc w:val="center"/>
                    <w:rPr>
                      <w:color w:val="auto"/>
                      <w:szCs w:val="21"/>
                    </w:rPr>
                  </w:pPr>
                  <w:r>
                    <w:rPr>
                      <w:color w:val="auto"/>
                      <w:szCs w:val="21"/>
                    </w:rPr>
                    <w:t>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color w:val="auto"/>
                      <w:szCs w:val="21"/>
                      <w:lang w:eastAsia="zh-CN"/>
                    </w:rPr>
                    <w:t>（</w:t>
                  </w:r>
                  <w:r>
                    <w:rPr>
                      <w:color w:val="auto"/>
                      <w:szCs w:val="21"/>
                    </w:rPr>
                    <w:t>Ⅱ类断面4个</w:t>
                  </w:r>
                  <w:r>
                    <w:rPr>
                      <w:rFonts w:hint="eastAsia"/>
                      <w:color w:val="auto"/>
                      <w:szCs w:val="21"/>
                      <w:lang w:eastAsia="zh-CN"/>
                    </w:rPr>
                    <w:t>）</w:t>
                  </w:r>
                  <w:r>
                    <w:rPr>
                      <w:color w:val="auto"/>
                      <w:szCs w:val="21"/>
                    </w:rPr>
                    <w:t>，优Ⅲ比例81.8%，达标率100%，无V类和劣V类断面。纳入江苏省“十四五”水环境质量目标考核的57个断面中水质达到或好于</w:t>
                  </w:r>
                  <w:r>
                    <w:rPr>
                      <w:rFonts w:hint="eastAsia"/>
                      <w:color w:val="auto"/>
                      <w:szCs w:val="21"/>
                      <w:lang w:eastAsia="zh-CN"/>
                    </w:rPr>
                    <w:t>Ⅲ</w:t>
                  </w:r>
                  <w:r>
                    <w:rPr>
                      <w:color w:val="auto"/>
                      <w:szCs w:val="21"/>
                    </w:rPr>
                    <w:t>类标准的断面有53个，优Ⅲ比例93%，达标率100%，无V类和劣V类断面。项目产生的废气、废水对环境影响较小，不会突破当地环境容量和环境承载力上限；项目所在地噪声环境质量达标。</w:t>
                  </w:r>
                </w:p>
              </w:tc>
              <w:tc>
                <w:tcPr>
                  <w:tcW w:w="280" w:type="dxa"/>
                  <w:vMerge w:val="continue"/>
                  <w:vAlign w:val="center"/>
                </w:tcPr>
                <w:p w14:paraId="0BE58D55">
                  <w:pPr>
                    <w:adjustRightInd w:val="0"/>
                    <w:snapToGrid w:val="0"/>
                    <w:jc w:val="center"/>
                    <w:rPr>
                      <w:color w:val="auto"/>
                      <w:kern w:val="0"/>
                      <w:szCs w:val="21"/>
                    </w:rPr>
                  </w:pPr>
                </w:p>
              </w:tc>
            </w:tr>
            <w:tr w14:paraId="0E6D8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0" w:hRule="atLeast"/>
                <w:jc w:val="center"/>
              </w:trPr>
              <w:tc>
                <w:tcPr>
                  <w:tcW w:w="279" w:type="dxa"/>
                  <w:vMerge w:val="continue"/>
                  <w:vAlign w:val="center"/>
                </w:tcPr>
                <w:p w14:paraId="47120A79">
                  <w:pPr>
                    <w:adjustRightInd w:val="0"/>
                    <w:snapToGrid w:val="0"/>
                    <w:jc w:val="center"/>
                    <w:rPr>
                      <w:color w:val="auto"/>
                      <w:kern w:val="0"/>
                      <w:szCs w:val="21"/>
                    </w:rPr>
                  </w:pPr>
                </w:p>
              </w:tc>
              <w:tc>
                <w:tcPr>
                  <w:tcW w:w="906" w:type="dxa"/>
                  <w:vMerge w:val="continue"/>
                  <w:vAlign w:val="center"/>
                </w:tcPr>
                <w:p w14:paraId="678F5AE1">
                  <w:pPr>
                    <w:adjustRightInd w:val="0"/>
                    <w:snapToGrid w:val="0"/>
                    <w:jc w:val="center"/>
                    <w:rPr>
                      <w:color w:val="auto"/>
                      <w:kern w:val="0"/>
                      <w:szCs w:val="21"/>
                    </w:rPr>
                  </w:pPr>
                </w:p>
              </w:tc>
              <w:tc>
                <w:tcPr>
                  <w:tcW w:w="1015" w:type="dxa"/>
                  <w:vMerge w:val="continue"/>
                  <w:vAlign w:val="center"/>
                </w:tcPr>
                <w:p w14:paraId="77BD5AE0">
                  <w:pPr>
                    <w:tabs>
                      <w:tab w:val="left" w:pos="1418"/>
                    </w:tabs>
                    <w:adjustRightInd w:val="0"/>
                    <w:snapToGrid w:val="0"/>
                    <w:jc w:val="center"/>
                    <w:rPr>
                      <w:color w:val="auto"/>
                      <w:szCs w:val="21"/>
                    </w:rPr>
                  </w:pPr>
                </w:p>
              </w:tc>
              <w:tc>
                <w:tcPr>
                  <w:tcW w:w="2734" w:type="dxa"/>
                  <w:vAlign w:val="center"/>
                </w:tcPr>
                <w:p w14:paraId="46D14BAA">
                  <w:pPr>
                    <w:tabs>
                      <w:tab w:val="left" w:pos="1418"/>
                    </w:tabs>
                    <w:adjustRightInd w:val="0"/>
                    <w:snapToGrid w:val="0"/>
                    <w:jc w:val="center"/>
                    <w:rPr>
                      <w:color w:val="auto"/>
                      <w:szCs w:val="21"/>
                    </w:rPr>
                  </w:pPr>
                  <w:r>
                    <w:rPr>
                      <w:color w:val="auto"/>
                      <w:szCs w:val="21"/>
                    </w:rPr>
                    <w:t>建设项目采取的污染防治措施无法确保污染物排放达到国家和地方排放标准，或者未采取必要措施预防和控制生态破坏</w:t>
                  </w:r>
                </w:p>
              </w:tc>
              <w:tc>
                <w:tcPr>
                  <w:tcW w:w="2876" w:type="dxa"/>
                  <w:vAlign w:val="center"/>
                </w:tcPr>
                <w:p w14:paraId="10004974">
                  <w:pPr>
                    <w:adjustRightInd w:val="0"/>
                    <w:snapToGrid w:val="0"/>
                    <w:jc w:val="center"/>
                    <w:rPr>
                      <w:color w:val="auto"/>
                      <w:szCs w:val="21"/>
                    </w:rPr>
                  </w:pPr>
                  <w:r>
                    <w:rPr>
                      <w:color w:val="auto"/>
                      <w:szCs w:val="21"/>
                    </w:rPr>
                    <w:t>项目废气、废水、噪声、固废采取污染防治措施，确保排放达标，生态影响较小。</w:t>
                  </w:r>
                </w:p>
              </w:tc>
              <w:tc>
                <w:tcPr>
                  <w:tcW w:w="280" w:type="dxa"/>
                  <w:vMerge w:val="continue"/>
                  <w:vAlign w:val="center"/>
                </w:tcPr>
                <w:p w14:paraId="5157C3CC">
                  <w:pPr>
                    <w:adjustRightInd w:val="0"/>
                    <w:snapToGrid w:val="0"/>
                    <w:jc w:val="center"/>
                    <w:rPr>
                      <w:color w:val="auto"/>
                      <w:kern w:val="0"/>
                      <w:szCs w:val="21"/>
                    </w:rPr>
                  </w:pPr>
                </w:p>
              </w:tc>
            </w:tr>
            <w:tr w14:paraId="21B8C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183A7977">
                  <w:pPr>
                    <w:adjustRightInd w:val="0"/>
                    <w:snapToGrid w:val="0"/>
                    <w:jc w:val="center"/>
                    <w:rPr>
                      <w:color w:val="auto"/>
                      <w:kern w:val="0"/>
                      <w:szCs w:val="21"/>
                    </w:rPr>
                  </w:pPr>
                </w:p>
              </w:tc>
              <w:tc>
                <w:tcPr>
                  <w:tcW w:w="906" w:type="dxa"/>
                  <w:vMerge w:val="continue"/>
                  <w:vAlign w:val="center"/>
                </w:tcPr>
                <w:p w14:paraId="6F164A2E">
                  <w:pPr>
                    <w:adjustRightInd w:val="0"/>
                    <w:snapToGrid w:val="0"/>
                    <w:jc w:val="center"/>
                    <w:rPr>
                      <w:color w:val="auto"/>
                      <w:kern w:val="0"/>
                      <w:szCs w:val="21"/>
                    </w:rPr>
                  </w:pPr>
                </w:p>
              </w:tc>
              <w:tc>
                <w:tcPr>
                  <w:tcW w:w="1015" w:type="dxa"/>
                  <w:vMerge w:val="continue"/>
                  <w:vAlign w:val="center"/>
                </w:tcPr>
                <w:p w14:paraId="6C3E8F84">
                  <w:pPr>
                    <w:tabs>
                      <w:tab w:val="left" w:pos="1418"/>
                    </w:tabs>
                    <w:adjustRightInd w:val="0"/>
                    <w:snapToGrid w:val="0"/>
                    <w:jc w:val="center"/>
                    <w:rPr>
                      <w:color w:val="auto"/>
                      <w:szCs w:val="21"/>
                    </w:rPr>
                  </w:pPr>
                </w:p>
              </w:tc>
              <w:tc>
                <w:tcPr>
                  <w:tcW w:w="2734" w:type="dxa"/>
                  <w:vAlign w:val="center"/>
                </w:tcPr>
                <w:p w14:paraId="735BE055">
                  <w:pPr>
                    <w:tabs>
                      <w:tab w:val="left" w:pos="1418"/>
                    </w:tabs>
                    <w:adjustRightInd w:val="0"/>
                    <w:snapToGrid w:val="0"/>
                    <w:jc w:val="center"/>
                    <w:rPr>
                      <w:color w:val="auto"/>
                      <w:szCs w:val="21"/>
                    </w:rPr>
                  </w:pPr>
                  <w:r>
                    <w:rPr>
                      <w:color w:val="auto"/>
                      <w:szCs w:val="21"/>
                    </w:rPr>
                    <w:t>建设项目的环境影响报告书、环境影响报告表的基础资料数据明显不实，内容存在重大缺陷、遗漏，或者环境影响评价结论不明确、不合理</w:t>
                  </w:r>
                </w:p>
              </w:tc>
              <w:tc>
                <w:tcPr>
                  <w:tcW w:w="2876" w:type="dxa"/>
                  <w:vAlign w:val="center"/>
                </w:tcPr>
                <w:p w14:paraId="3A40A85D">
                  <w:pPr>
                    <w:adjustRightInd w:val="0"/>
                    <w:snapToGrid w:val="0"/>
                    <w:jc w:val="center"/>
                    <w:rPr>
                      <w:color w:val="auto"/>
                      <w:szCs w:val="21"/>
                    </w:rPr>
                  </w:pPr>
                  <w:r>
                    <w:rPr>
                      <w:color w:val="auto"/>
                      <w:szCs w:val="21"/>
                    </w:rPr>
                    <w:t>本次评价以企业实际提供资料为前提，核实后进行报告编制，环境影响评价结论明确，经初步审查不存在重大缺陷、遗漏</w:t>
                  </w:r>
                </w:p>
              </w:tc>
              <w:tc>
                <w:tcPr>
                  <w:tcW w:w="280" w:type="dxa"/>
                  <w:vMerge w:val="continue"/>
                  <w:vAlign w:val="center"/>
                </w:tcPr>
                <w:p w14:paraId="6A9CE90C">
                  <w:pPr>
                    <w:adjustRightInd w:val="0"/>
                    <w:snapToGrid w:val="0"/>
                    <w:jc w:val="center"/>
                    <w:rPr>
                      <w:color w:val="auto"/>
                      <w:kern w:val="0"/>
                      <w:szCs w:val="21"/>
                    </w:rPr>
                  </w:pPr>
                </w:p>
              </w:tc>
            </w:tr>
            <w:tr w14:paraId="62D63E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2C44B319">
                  <w:pPr>
                    <w:adjustRightInd w:val="0"/>
                    <w:snapToGrid w:val="0"/>
                    <w:jc w:val="center"/>
                    <w:rPr>
                      <w:color w:val="auto"/>
                      <w:kern w:val="0"/>
                      <w:szCs w:val="21"/>
                    </w:rPr>
                  </w:pPr>
                </w:p>
              </w:tc>
              <w:tc>
                <w:tcPr>
                  <w:tcW w:w="906" w:type="dxa"/>
                  <w:vMerge w:val="continue"/>
                  <w:vAlign w:val="center"/>
                </w:tcPr>
                <w:p w14:paraId="46CEB913">
                  <w:pPr>
                    <w:adjustRightInd w:val="0"/>
                    <w:snapToGrid w:val="0"/>
                    <w:jc w:val="center"/>
                    <w:rPr>
                      <w:color w:val="auto"/>
                      <w:kern w:val="0"/>
                      <w:szCs w:val="21"/>
                    </w:rPr>
                  </w:pPr>
                </w:p>
              </w:tc>
              <w:tc>
                <w:tcPr>
                  <w:tcW w:w="3749" w:type="dxa"/>
                  <w:gridSpan w:val="2"/>
                  <w:vAlign w:val="center"/>
                </w:tcPr>
                <w:p w14:paraId="21706AE6">
                  <w:pPr>
                    <w:tabs>
                      <w:tab w:val="left" w:pos="1418"/>
                    </w:tabs>
                    <w:adjustRightInd w:val="0"/>
                    <w:snapToGrid w:val="0"/>
                    <w:jc w:val="center"/>
                    <w:rPr>
                      <w:color w:val="auto"/>
                      <w:szCs w:val="21"/>
                    </w:rPr>
                  </w:pPr>
                  <w:r>
                    <w:rPr>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876" w:type="dxa"/>
                  <w:vAlign w:val="center"/>
                </w:tcPr>
                <w:p w14:paraId="2DC69CED">
                  <w:pPr>
                    <w:adjustRightInd w:val="0"/>
                    <w:snapToGrid w:val="0"/>
                    <w:jc w:val="center"/>
                    <w:rPr>
                      <w:color w:val="auto"/>
                      <w:szCs w:val="21"/>
                    </w:rPr>
                  </w:pPr>
                  <w:r>
                    <w:rPr>
                      <w:color w:val="auto"/>
                      <w:szCs w:val="21"/>
                    </w:rPr>
                    <w:t>项目位于</w:t>
                  </w:r>
                  <w:r>
                    <w:rPr>
                      <w:rFonts w:hint="eastAsia"/>
                      <w:color w:val="auto"/>
                      <w:szCs w:val="21"/>
                    </w:rPr>
                    <w:t>江苏省淮安市涟水县经济开发区蒋庵东路东侧、清涟大道北侧</w:t>
                  </w:r>
                  <w:r>
                    <w:rPr>
                      <w:color w:val="auto"/>
                      <w:szCs w:val="21"/>
                    </w:rPr>
                    <w:t>，属于工业用地。</w:t>
                  </w:r>
                </w:p>
              </w:tc>
              <w:tc>
                <w:tcPr>
                  <w:tcW w:w="280" w:type="dxa"/>
                  <w:vMerge w:val="restart"/>
                  <w:vAlign w:val="center"/>
                </w:tcPr>
                <w:p w14:paraId="747FD99A">
                  <w:pPr>
                    <w:adjustRightInd w:val="0"/>
                    <w:snapToGrid w:val="0"/>
                    <w:jc w:val="center"/>
                    <w:rPr>
                      <w:color w:val="auto"/>
                      <w:kern w:val="0"/>
                      <w:szCs w:val="21"/>
                    </w:rPr>
                  </w:pPr>
                  <w:r>
                    <w:rPr>
                      <w:color w:val="auto"/>
                      <w:kern w:val="0"/>
                      <w:szCs w:val="21"/>
                    </w:rPr>
                    <w:t>符合</w:t>
                  </w:r>
                </w:p>
              </w:tc>
            </w:tr>
            <w:tr w14:paraId="23098D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083B6057">
                  <w:pPr>
                    <w:adjustRightInd w:val="0"/>
                    <w:snapToGrid w:val="0"/>
                    <w:jc w:val="center"/>
                    <w:rPr>
                      <w:color w:val="auto"/>
                      <w:kern w:val="0"/>
                      <w:szCs w:val="21"/>
                    </w:rPr>
                  </w:pPr>
                </w:p>
              </w:tc>
              <w:tc>
                <w:tcPr>
                  <w:tcW w:w="906" w:type="dxa"/>
                  <w:vMerge w:val="continue"/>
                  <w:vAlign w:val="center"/>
                </w:tcPr>
                <w:p w14:paraId="2914AD75">
                  <w:pPr>
                    <w:adjustRightInd w:val="0"/>
                    <w:snapToGrid w:val="0"/>
                    <w:jc w:val="center"/>
                    <w:rPr>
                      <w:color w:val="auto"/>
                      <w:kern w:val="0"/>
                      <w:szCs w:val="21"/>
                    </w:rPr>
                  </w:pPr>
                </w:p>
              </w:tc>
              <w:tc>
                <w:tcPr>
                  <w:tcW w:w="3749" w:type="dxa"/>
                  <w:gridSpan w:val="2"/>
                  <w:vAlign w:val="center"/>
                </w:tcPr>
                <w:p w14:paraId="7CED50B8">
                  <w:pPr>
                    <w:tabs>
                      <w:tab w:val="left" w:pos="1418"/>
                    </w:tabs>
                    <w:adjustRightInd w:val="0"/>
                    <w:snapToGrid w:val="0"/>
                    <w:jc w:val="center"/>
                    <w:rPr>
                      <w:color w:val="auto"/>
                      <w:szCs w:val="21"/>
                    </w:rPr>
                  </w:pPr>
                  <w:r>
                    <w:rPr>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876" w:type="dxa"/>
                  <w:vAlign w:val="center"/>
                </w:tcPr>
                <w:p w14:paraId="22309D1C">
                  <w:pPr>
                    <w:adjustRightInd w:val="0"/>
                    <w:snapToGrid w:val="0"/>
                    <w:jc w:val="center"/>
                    <w:rPr>
                      <w:color w:val="auto"/>
                      <w:szCs w:val="21"/>
                    </w:rPr>
                  </w:pPr>
                  <w:r>
                    <w:rPr>
                      <w:color w:val="auto"/>
                      <w:szCs w:val="21"/>
                    </w:rPr>
                    <w:t>项目将按要求严格落实污染物排放总量控制制度，把主要污染物排放总量指标作为建设项目环境影响评价审批的前置条件。在环境影响评价文件审批前，须取得主要污染物排放总量指标</w:t>
                  </w:r>
                </w:p>
              </w:tc>
              <w:tc>
                <w:tcPr>
                  <w:tcW w:w="280" w:type="dxa"/>
                  <w:vMerge w:val="continue"/>
                  <w:vAlign w:val="center"/>
                </w:tcPr>
                <w:p w14:paraId="591FCBC7">
                  <w:pPr>
                    <w:adjustRightInd w:val="0"/>
                    <w:snapToGrid w:val="0"/>
                    <w:jc w:val="center"/>
                    <w:rPr>
                      <w:color w:val="auto"/>
                      <w:kern w:val="0"/>
                      <w:szCs w:val="21"/>
                    </w:rPr>
                  </w:pPr>
                </w:p>
              </w:tc>
            </w:tr>
            <w:tr w14:paraId="6AA51B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6264E59C">
                  <w:pPr>
                    <w:adjustRightInd w:val="0"/>
                    <w:snapToGrid w:val="0"/>
                    <w:jc w:val="center"/>
                    <w:rPr>
                      <w:color w:val="auto"/>
                      <w:kern w:val="0"/>
                      <w:szCs w:val="21"/>
                    </w:rPr>
                  </w:pPr>
                </w:p>
              </w:tc>
              <w:tc>
                <w:tcPr>
                  <w:tcW w:w="906" w:type="dxa"/>
                  <w:vMerge w:val="continue"/>
                  <w:vAlign w:val="center"/>
                </w:tcPr>
                <w:p w14:paraId="0168721B">
                  <w:pPr>
                    <w:adjustRightInd w:val="0"/>
                    <w:snapToGrid w:val="0"/>
                    <w:jc w:val="center"/>
                    <w:rPr>
                      <w:color w:val="auto"/>
                      <w:kern w:val="0"/>
                      <w:szCs w:val="21"/>
                    </w:rPr>
                  </w:pPr>
                </w:p>
              </w:tc>
              <w:tc>
                <w:tcPr>
                  <w:tcW w:w="3749" w:type="dxa"/>
                  <w:gridSpan w:val="2"/>
                  <w:vAlign w:val="center"/>
                </w:tcPr>
                <w:p w14:paraId="0E6178AA">
                  <w:pPr>
                    <w:tabs>
                      <w:tab w:val="left" w:pos="1418"/>
                    </w:tabs>
                    <w:adjustRightInd w:val="0"/>
                    <w:snapToGrid w:val="0"/>
                    <w:jc w:val="center"/>
                    <w:rPr>
                      <w:color w:val="auto"/>
                      <w:szCs w:val="21"/>
                    </w:rPr>
                  </w:pPr>
                  <w:r>
                    <w:rPr>
                      <w:color w:val="auto"/>
                      <w:szCs w:val="21"/>
                    </w:rPr>
                    <w:t>对环境质量现状超标的地区，项目拟采取的措施不能满足区域环境质量改善目标管理要求的，依法不予审批其环评文件。</w:t>
                  </w:r>
                </w:p>
              </w:tc>
              <w:tc>
                <w:tcPr>
                  <w:tcW w:w="2876" w:type="dxa"/>
                  <w:vAlign w:val="center"/>
                </w:tcPr>
                <w:p w14:paraId="22A4C858">
                  <w:pPr>
                    <w:adjustRightInd w:val="0"/>
                    <w:snapToGrid w:val="0"/>
                    <w:jc w:val="center"/>
                    <w:rPr>
                      <w:color w:val="auto"/>
                      <w:szCs w:val="21"/>
                    </w:rPr>
                  </w:pPr>
                  <w:r>
                    <w:rPr>
                      <w:color w:val="auto"/>
                      <w:szCs w:val="21"/>
                    </w:rPr>
                    <w:t>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color w:val="auto"/>
                      <w:szCs w:val="21"/>
                      <w:lang w:eastAsia="zh-CN"/>
                    </w:rPr>
                    <w:t>（</w:t>
                  </w:r>
                  <w:r>
                    <w:rPr>
                      <w:color w:val="auto"/>
                      <w:szCs w:val="21"/>
                    </w:rPr>
                    <w:t>Ⅱ类断面4个</w:t>
                  </w:r>
                  <w:r>
                    <w:rPr>
                      <w:rFonts w:hint="eastAsia"/>
                      <w:color w:val="auto"/>
                      <w:szCs w:val="21"/>
                      <w:lang w:eastAsia="zh-CN"/>
                    </w:rPr>
                    <w:t>）</w:t>
                  </w:r>
                  <w:r>
                    <w:rPr>
                      <w:color w:val="auto"/>
                      <w:szCs w:val="21"/>
                    </w:rPr>
                    <w:t>，优Ⅲ比例81.8%，达标率100%，无V类和劣V类断面。纳入江苏省“十四五”水环境质量目标考核的57个断面中水质达到或好于</w:t>
                  </w:r>
                  <w:r>
                    <w:rPr>
                      <w:rFonts w:hint="eastAsia"/>
                      <w:color w:val="auto"/>
                      <w:szCs w:val="21"/>
                      <w:lang w:eastAsia="zh-CN"/>
                    </w:rPr>
                    <w:t>Ⅲ</w:t>
                  </w:r>
                  <w:r>
                    <w:rPr>
                      <w:color w:val="auto"/>
                      <w:szCs w:val="21"/>
                    </w:rPr>
                    <w:t>类标准的断面有53个，优Ⅲ比例93%，达标率100%，无V类和劣V类断面。项目产生的废气、废水对环境影响较小，不会突破当地环境容量和环境承载力上限；项目所在地噪声环境质量达标。</w:t>
                  </w:r>
                </w:p>
              </w:tc>
              <w:tc>
                <w:tcPr>
                  <w:tcW w:w="280" w:type="dxa"/>
                  <w:vMerge w:val="continue"/>
                  <w:vAlign w:val="center"/>
                </w:tcPr>
                <w:p w14:paraId="1FF2FD45">
                  <w:pPr>
                    <w:adjustRightInd w:val="0"/>
                    <w:snapToGrid w:val="0"/>
                    <w:jc w:val="center"/>
                    <w:rPr>
                      <w:color w:val="auto"/>
                      <w:kern w:val="0"/>
                      <w:szCs w:val="21"/>
                    </w:rPr>
                  </w:pPr>
                </w:p>
              </w:tc>
            </w:tr>
            <w:tr w14:paraId="0000E9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22233956">
                  <w:pPr>
                    <w:adjustRightInd w:val="0"/>
                    <w:snapToGrid w:val="0"/>
                    <w:jc w:val="center"/>
                    <w:rPr>
                      <w:color w:val="auto"/>
                      <w:kern w:val="0"/>
                      <w:szCs w:val="21"/>
                    </w:rPr>
                  </w:pPr>
                </w:p>
              </w:tc>
              <w:tc>
                <w:tcPr>
                  <w:tcW w:w="906" w:type="dxa"/>
                  <w:vMerge w:val="continue"/>
                  <w:vAlign w:val="center"/>
                </w:tcPr>
                <w:p w14:paraId="378BD7B7">
                  <w:pPr>
                    <w:adjustRightInd w:val="0"/>
                    <w:snapToGrid w:val="0"/>
                    <w:jc w:val="center"/>
                    <w:rPr>
                      <w:color w:val="auto"/>
                      <w:kern w:val="0"/>
                      <w:szCs w:val="21"/>
                    </w:rPr>
                  </w:pPr>
                </w:p>
              </w:tc>
              <w:tc>
                <w:tcPr>
                  <w:tcW w:w="3749" w:type="dxa"/>
                  <w:gridSpan w:val="2"/>
                  <w:vAlign w:val="center"/>
                </w:tcPr>
                <w:p w14:paraId="0C09D0D9">
                  <w:pPr>
                    <w:tabs>
                      <w:tab w:val="left" w:pos="1418"/>
                    </w:tabs>
                    <w:adjustRightInd w:val="0"/>
                    <w:snapToGrid w:val="0"/>
                    <w:jc w:val="center"/>
                    <w:rPr>
                      <w:color w:val="auto"/>
                      <w:szCs w:val="21"/>
                    </w:rPr>
                  </w:pPr>
                  <w:r>
                    <w:rPr>
                      <w:color w:val="auto"/>
                      <w:szCs w:val="21"/>
                    </w:rPr>
                    <w:t>生态保护红线原则上按禁止开发区域的要求进行管理，严禁不符合主体功能定位的各类开发活动，严禁任意改变用途。</w:t>
                  </w:r>
                </w:p>
              </w:tc>
              <w:tc>
                <w:tcPr>
                  <w:tcW w:w="2876" w:type="dxa"/>
                  <w:vAlign w:val="center"/>
                </w:tcPr>
                <w:p w14:paraId="115435D7">
                  <w:pPr>
                    <w:adjustRightInd w:val="0"/>
                    <w:snapToGrid w:val="0"/>
                    <w:jc w:val="center"/>
                    <w:rPr>
                      <w:color w:val="auto"/>
                      <w:szCs w:val="21"/>
                    </w:rPr>
                  </w:pPr>
                  <w:r>
                    <w:rPr>
                      <w:color w:val="auto"/>
                      <w:szCs w:val="21"/>
                    </w:rPr>
                    <w:t>建设项目距离最近的</w:t>
                  </w:r>
                  <w:r>
                    <w:rPr>
                      <w:rFonts w:hint="eastAsia"/>
                      <w:color w:val="auto"/>
                      <w:szCs w:val="21"/>
                    </w:rPr>
                    <w:t>生态保护红线区域</w:t>
                  </w:r>
                  <w:r>
                    <w:rPr>
                      <w:color w:val="auto"/>
                      <w:szCs w:val="21"/>
                    </w:rPr>
                    <w:t>为项目</w:t>
                  </w:r>
                  <w:r>
                    <w:rPr>
                      <w:rFonts w:hint="eastAsia"/>
                      <w:color w:val="auto"/>
                      <w:szCs w:val="21"/>
                    </w:rPr>
                    <w:t>东</w:t>
                  </w:r>
                  <w:r>
                    <w:rPr>
                      <w:color w:val="auto"/>
                      <w:szCs w:val="21"/>
                    </w:rPr>
                    <w:t>南方向的</w:t>
                  </w:r>
                  <w:r>
                    <w:rPr>
                      <w:rFonts w:hint="eastAsia"/>
                      <w:color w:val="auto"/>
                      <w:szCs w:val="21"/>
                    </w:rPr>
                    <w:t>江苏涟水涟漪湖黄嘴白鹭省级自然保护区</w:t>
                  </w:r>
                  <w:r>
                    <w:rPr>
                      <w:color w:val="auto"/>
                      <w:szCs w:val="21"/>
                    </w:rPr>
                    <w:t>，最近距离约</w:t>
                  </w:r>
                  <w:r>
                    <w:rPr>
                      <w:rFonts w:hint="eastAsia"/>
                      <w:color w:val="auto"/>
                      <w:szCs w:val="21"/>
                    </w:rPr>
                    <w:t>6.8</w:t>
                  </w:r>
                  <w:r>
                    <w:rPr>
                      <w:color w:val="auto"/>
                      <w:szCs w:val="21"/>
                    </w:rPr>
                    <w:t>km，不在其管控范围内。</w:t>
                  </w:r>
                </w:p>
              </w:tc>
              <w:tc>
                <w:tcPr>
                  <w:tcW w:w="280" w:type="dxa"/>
                  <w:vMerge w:val="continue"/>
                  <w:vAlign w:val="center"/>
                </w:tcPr>
                <w:p w14:paraId="4741409D">
                  <w:pPr>
                    <w:adjustRightInd w:val="0"/>
                    <w:snapToGrid w:val="0"/>
                    <w:jc w:val="center"/>
                    <w:rPr>
                      <w:color w:val="auto"/>
                      <w:kern w:val="0"/>
                      <w:szCs w:val="21"/>
                    </w:rPr>
                  </w:pPr>
                </w:p>
              </w:tc>
            </w:tr>
            <w:tr w14:paraId="40BE38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794FC5FF">
                  <w:pPr>
                    <w:adjustRightInd w:val="0"/>
                    <w:snapToGrid w:val="0"/>
                    <w:jc w:val="center"/>
                    <w:rPr>
                      <w:color w:val="auto"/>
                      <w:kern w:val="0"/>
                      <w:szCs w:val="21"/>
                    </w:rPr>
                  </w:pPr>
                </w:p>
              </w:tc>
              <w:tc>
                <w:tcPr>
                  <w:tcW w:w="906" w:type="dxa"/>
                  <w:vMerge w:val="continue"/>
                  <w:vAlign w:val="center"/>
                </w:tcPr>
                <w:p w14:paraId="2DC7CD2C">
                  <w:pPr>
                    <w:adjustRightInd w:val="0"/>
                    <w:snapToGrid w:val="0"/>
                    <w:jc w:val="center"/>
                    <w:rPr>
                      <w:color w:val="auto"/>
                      <w:kern w:val="0"/>
                      <w:szCs w:val="21"/>
                    </w:rPr>
                  </w:pPr>
                </w:p>
              </w:tc>
              <w:tc>
                <w:tcPr>
                  <w:tcW w:w="3749" w:type="dxa"/>
                  <w:gridSpan w:val="2"/>
                  <w:vAlign w:val="center"/>
                </w:tcPr>
                <w:p w14:paraId="44A10D21">
                  <w:pPr>
                    <w:tabs>
                      <w:tab w:val="left" w:pos="1418"/>
                    </w:tabs>
                    <w:adjustRightInd w:val="0"/>
                    <w:snapToGrid w:val="0"/>
                    <w:jc w:val="center"/>
                    <w:rPr>
                      <w:color w:val="auto"/>
                      <w:szCs w:val="21"/>
                    </w:rPr>
                  </w:pPr>
                  <w:r>
                    <w:rPr>
                      <w:color w:val="auto"/>
                      <w:szCs w:val="21"/>
                    </w:rPr>
                    <w:t>禁止审批无法落实危险废物利用、处置途径的项目，从严审批危险废物产生量大、本地无配套利用处置能力</w:t>
                  </w:r>
                  <w:r>
                    <w:rPr>
                      <w:rFonts w:hint="eastAsia"/>
                      <w:color w:val="auto"/>
                      <w:szCs w:val="21"/>
                      <w:lang w:eastAsia="zh-CN"/>
                    </w:rPr>
                    <w:t>且</w:t>
                  </w:r>
                  <w:r>
                    <w:rPr>
                      <w:color w:val="auto"/>
                      <w:szCs w:val="21"/>
                    </w:rPr>
                    <w:t>需设区市统筹解决的项目</w:t>
                  </w:r>
                </w:p>
              </w:tc>
              <w:tc>
                <w:tcPr>
                  <w:tcW w:w="2876" w:type="dxa"/>
                  <w:vAlign w:val="center"/>
                </w:tcPr>
                <w:p w14:paraId="4A1C3DE3">
                  <w:pPr>
                    <w:adjustRightInd w:val="0"/>
                    <w:snapToGrid w:val="0"/>
                    <w:jc w:val="center"/>
                    <w:rPr>
                      <w:color w:val="auto"/>
                      <w:szCs w:val="21"/>
                    </w:rPr>
                  </w:pPr>
                  <w:r>
                    <w:rPr>
                      <w:color w:val="auto"/>
                      <w:szCs w:val="21"/>
                    </w:rPr>
                    <w:t>项目危险废物委托有资质单位安全处置，危险废物处置可行性论证详见相关章节。</w:t>
                  </w:r>
                </w:p>
              </w:tc>
              <w:tc>
                <w:tcPr>
                  <w:tcW w:w="280" w:type="dxa"/>
                  <w:vMerge w:val="continue"/>
                  <w:vAlign w:val="center"/>
                </w:tcPr>
                <w:p w14:paraId="1A8F7841">
                  <w:pPr>
                    <w:adjustRightInd w:val="0"/>
                    <w:snapToGrid w:val="0"/>
                    <w:jc w:val="center"/>
                    <w:rPr>
                      <w:color w:val="auto"/>
                      <w:kern w:val="0"/>
                      <w:szCs w:val="21"/>
                    </w:rPr>
                  </w:pPr>
                </w:p>
              </w:tc>
            </w:tr>
            <w:tr w14:paraId="7EEFA1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1455678C">
                  <w:pPr>
                    <w:adjustRightInd w:val="0"/>
                    <w:snapToGrid w:val="0"/>
                    <w:jc w:val="center"/>
                    <w:rPr>
                      <w:color w:val="auto"/>
                      <w:kern w:val="0"/>
                      <w:szCs w:val="21"/>
                    </w:rPr>
                  </w:pPr>
                </w:p>
              </w:tc>
              <w:tc>
                <w:tcPr>
                  <w:tcW w:w="906" w:type="dxa"/>
                  <w:vMerge w:val="continue"/>
                  <w:vAlign w:val="center"/>
                </w:tcPr>
                <w:p w14:paraId="756A678E">
                  <w:pPr>
                    <w:adjustRightInd w:val="0"/>
                    <w:snapToGrid w:val="0"/>
                    <w:jc w:val="center"/>
                    <w:rPr>
                      <w:color w:val="auto"/>
                      <w:kern w:val="0"/>
                      <w:szCs w:val="21"/>
                    </w:rPr>
                  </w:pPr>
                </w:p>
              </w:tc>
              <w:tc>
                <w:tcPr>
                  <w:tcW w:w="3749" w:type="dxa"/>
                  <w:gridSpan w:val="2"/>
                  <w:vAlign w:val="center"/>
                </w:tcPr>
                <w:p w14:paraId="6103A775">
                  <w:pPr>
                    <w:tabs>
                      <w:tab w:val="left" w:pos="1418"/>
                    </w:tabs>
                    <w:adjustRightInd w:val="0"/>
                    <w:snapToGrid w:val="0"/>
                    <w:jc w:val="center"/>
                    <w:rPr>
                      <w:color w:val="auto"/>
                      <w:szCs w:val="21"/>
                    </w:rPr>
                  </w:pPr>
                  <w:r>
                    <w:rPr>
                      <w:color w:val="auto"/>
                      <w:szCs w:val="21"/>
                    </w:rPr>
                    <w:t>禁止新建、扩建法律法规和相关政策明令禁止的落后产能项目</w:t>
                  </w:r>
                </w:p>
              </w:tc>
              <w:tc>
                <w:tcPr>
                  <w:tcW w:w="2876" w:type="dxa"/>
                  <w:vMerge w:val="restart"/>
                  <w:vAlign w:val="center"/>
                </w:tcPr>
                <w:p w14:paraId="69169412">
                  <w:pPr>
                    <w:adjustRightInd w:val="0"/>
                    <w:snapToGrid w:val="0"/>
                    <w:jc w:val="center"/>
                    <w:rPr>
                      <w:color w:val="auto"/>
                      <w:szCs w:val="21"/>
                    </w:rPr>
                  </w:pPr>
                  <w:r>
                    <w:rPr>
                      <w:color w:val="auto"/>
                      <w:szCs w:val="21"/>
                    </w:rPr>
                    <w:t>本项目为</w:t>
                  </w:r>
                  <w:r>
                    <w:rPr>
                      <w:rFonts w:hint="eastAsia"/>
                      <w:color w:val="auto"/>
                      <w:szCs w:val="21"/>
                    </w:rPr>
                    <w:t>其他工艺美术及礼仪用品制造</w:t>
                  </w:r>
                  <w:r>
                    <w:rPr>
                      <w:rFonts w:hint="eastAsia"/>
                      <w:color w:val="auto"/>
                      <w:kern w:val="0"/>
                      <w:szCs w:val="21"/>
                    </w:rPr>
                    <w:t>项目</w:t>
                  </w:r>
                  <w:r>
                    <w:rPr>
                      <w:color w:val="auto"/>
                      <w:szCs w:val="21"/>
                    </w:rPr>
                    <w:t>，不属于法律法规和相关政策明令禁止的落后产能项目，不属于国家产能置换要求的过剩产能行业的项目。</w:t>
                  </w:r>
                </w:p>
              </w:tc>
              <w:tc>
                <w:tcPr>
                  <w:tcW w:w="280" w:type="dxa"/>
                  <w:vMerge w:val="continue"/>
                  <w:vAlign w:val="center"/>
                </w:tcPr>
                <w:p w14:paraId="3A04E56A">
                  <w:pPr>
                    <w:adjustRightInd w:val="0"/>
                    <w:snapToGrid w:val="0"/>
                    <w:jc w:val="center"/>
                    <w:rPr>
                      <w:color w:val="auto"/>
                      <w:kern w:val="0"/>
                      <w:szCs w:val="21"/>
                    </w:rPr>
                  </w:pPr>
                </w:p>
              </w:tc>
            </w:tr>
            <w:tr w14:paraId="778A8F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6AA5C610">
                  <w:pPr>
                    <w:adjustRightInd w:val="0"/>
                    <w:snapToGrid w:val="0"/>
                    <w:jc w:val="center"/>
                    <w:rPr>
                      <w:color w:val="auto"/>
                      <w:kern w:val="0"/>
                      <w:szCs w:val="21"/>
                    </w:rPr>
                  </w:pPr>
                </w:p>
              </w:tc>
              <w:tc>
                <w:tcPr>
                  <w:tcW w:w="906" w:type="dxa"/>
                  <w:vMerge w:val="continue"/>
                  <w:vAlign w:val="center"/>
                </w:tcPr>
                <w:p w14:paraId="5FB3CF08">
                  <w:pPr>
                    <w:adjustRightInd w:val="0"/>
                    <w:snapToGrid w:val="0"/>
                    <w:jc w:val="center"/>
                    <w:rPr>
                      <w:color w:val="auto"/>
                      <w:kern w:val="0"/>
                      <w:szCs w:val="21"/>
                    </w:rPr>
                  </w:pPr>
                </w:p>
              </w:tc>
              <w:tc>
                <w:tcPr>
                  <w:tcW w:w="3749" w:type="dxa"/>
                  <w:gridSpan w:val="2"/>
                  <w:vAlign w:val="center"/>
                </w:tcPr>
                <w:p w14:paraId="67EB299E">
                  <w:pPr>
                    <w:tabs>
                      <w:tab w:val="left" w:pos="1418"/>
                    </w:tabs>
                    <w:adjustRightInd w:val="0"/>
                    <w:snapToGrid w:val="0"/>
                    <w:jc w:val="center"/>
                    <w:rPr>
                      <w:color w:val="auto"/>
                      <w:szCs w:val="21"/>
                    </w:rPr>
                  </w:pPr>
                  <w:r>
                    <w:rPr>
                      <w:color w:val="auto"/>
                      <w:szCs w:val="21"/>
                    </w:rPr>
                    <w:t>禁止新建、扩建不符合国家产</w:t>
                  </w:r>
                  <w:r>
                    <w:rPr>
                      <w:rFonts w:hint="eastAsia"/>
                      <w:color w:val="auto"/>
                      <w:szCs w:val="21"/>
                      <w:lang w:eastAsia="zh-CN"/>
                    </w:rPr>
                    <w:t>能配</w:t>
                  </w:r>
                  <w:r>
                    <w:rPr>
                      <w:color w:val="auto"/>
                      <w:szCs w:val="21"/>
                    </w:rPr>
                    <w:t>置</w:t>
                  </w:r>
                </w:p>
                <w:p w14:paraId="33C6F725">
                  <w:pPr>
                    <w:tabs>
                      <w:tab w:val="left" w:pos="1418"/>
                    </w:tabs>
                    <w:adjustRightInd w:val="0"/>
                    <w:snapToGrid w:val="0"/>
                    <w:jc w:val="center"/>
                    <w:rPr>
                      <w:color w:val="auto"/>
                      <w:szCs w:val="21"/>
                    </w:rPr>
                  </w:pPr>
                  <w:r>
                    <w:rPr>
                      <w:color w:val="auto"/>
                      <w:szCs w:val="21"/>
                    </w:rPr>
                    <w:t>换要求的严重过剩产能行业的项目</w:t>
                  </w:r>
                </w:p>
              </w:tc>
              <w:tc>
                <w:tcPr>
                  <w:tcW w:w="2876" w:type="dxa"/>
                  <w:vMerge w:val="continue"/>
                  <w:vAlign w:val="center"/>
                </w:tcPr>
                <w:p w14:paraId="619C03E4">
                  <w:pPr>
                    <w:adjustRightInd w:val="0"/>
                    <w:snapToGrid w:val="0"/>
                    <w:jc w:val="center"/>
                    <w:rPr>
                      <w:color w:val="auto"/>
                      <w:szCs w:val="21"/>
                    </w:rPr>
                  </w:pPr>
                </w:p>
              </w:tc>
              <w:tc>
                <w:tcPr>
                  <w:tcW w:w="280" w:type="dxa"/>
                  <w:vMerge w:val="continue"/>
                  <w:vAlign w:val="center"/>
                </w:tcPr>
                <w:p w14:paraId="14244774">
                  <w:pPr>
                    <w:adjustRightInd w:val="0"/>
                    <w:snapToGrid w:val="0"/>
                    <w:jc w:val="center"/>
                    <w:rPr>
                      <w:color w:val="auto"/>
                      <w:kern w:val="0"/>
                      <w:szCs w:val="21"/>
                    </w:rPr>
                  </w:pPr>
                </w:p>
              </w:tc>
            </w:tr>
          </w:tbl>
          <w:p w14:paraId="6770EA9A">
            <w:pPr>
              <w:tabs>
                <w:tab w:val="left" w:pos="720"/>
              </w:tabs>
              <w:adjustRightInd w:val="0"/>
              <w:snapToGrid w:val="0"/>
              <w:spacing w:line="360" w:lineRule="auto"/>
              <w:ind w:firstLine="480" w:firstLineChars="200"/>
              <w:rPr>
                <w:color w:val="auto"/>
              </w:rPr>
            </w:pPr>
            <w:r>
              <w:rPr>
                <w:color w:val="auto"/>
                <w:sz w:val="24"/>
              </w:rPr>
              <w:t>综上所述，本项目符合当地环保政策、行业政策。</w:t>
            </w:r>
          </w:p>
        </w:tc>
      </w:tr>
    </w:tbl>
    <w:p w14:paraId="2C517EBA">
      <w:pPr>
        <w:tabs>
          <w:tab w:val="left" w:pos="720"/>
        </w:tabs>
        <w:adjustRightInd w:val="0"/>
        <w:snapToGrid w:val="0"/>
        <w:spacing w:line="360" w:lineRule="auto"/>
        <w:ind w:firstLine="482" w:firstLineChars="200"/>
        <w:rPr>
          <w:b/>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D5AD093">
      <w:pPr>
        <w:pStyle w:val="84"/>
        <w:jc w:val="center"/>
        <w:outlineLvl w:val="0"/>
        <w:rPr>
          <w:rFonts w:ascii="Times New Roman" w:hAnsi="Times New Roman"/>
          <w:snapToGrid w:val="0"/>
          <w:color w:val="auto"/>
          <w:sz w:val="30"/>
          <w:szCs w:val="30"/>
        </w:rPr>
      </w:pPr>
      <w:bookmarkStart w:id="4" w:name="_Toc116313303"/>
      <w:r>
        <w:rPr>
          <w:rFonts w:ascii="Times New Roman" w:hAnsi="Times New Roman"/>
          <w:snapToGrid w:val="0"/>
          <w:color w:val="auto"/>
          <w:sz w:val="30"/>
          <w:szCs w:val="30"/>
        </w:rPr>
        <w:t>二、建设项目工程分析</w:t>
      </w:r>
      <w:bookmarkEnd w:id="4"/>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481"/>
      </w:tblGrid>
      <w:tr w14:paraId="69AF7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2" w:hRule="atLeast"/>
          <w:jc w:val="center"/>
        </w:trPr>
        <w:tc>
          <w:tcPr>
            <w:tcW w:w="496" w:type="dxa"/>
            <w:vAlign w:val="center"/>
          </w:tcPr>
          <w:p w14:paraId="20065EA0">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481" w:type="dxa"/>
          </w:tcPr>
          <w:p w14:paraId="6EC67AC4">
            <w:pPr>
              <w:tabs>
                <w:tab w:val="left" w:pos="720"/>
              </w:tabs>
              <w:adjustRightInd w:val="0"/>
              <w:snapToGrid w:val="0"/>
              <w:spacing w:line="360" w:lineRule="auto"/>
              <w:ind w:firstLine="482" w:firstLineChars="200"/>
              <w:rPr>
                <w:b/>
                <w:bCs/>
                <w:color w:val="auto"/>
                <w:sz w:val="24"/>
              </w:rPr>
            </w:pPr>
            <w:r>
              <w:rPr>
                <w:b/>
                <w:bCs/>
                <w:color w:val="auto"/>
                <w:sz w:val="24"/>
              </w:rPr>
              <w:t>一、</w:t>
            </w:r>
            <w:r>
              <w:rPr>
                <w:rFonts w:hint="eastAsia"/>
                <w:b/>
                <w:bCs/>
                <w:color w:val="auto"/>
                <w:sz w:val="24"/>
              </w:rPr>
              <w:t>项目由来</w:t>
            </w:r>
          </w:p>
          <w:p w14:paraId="5E1A9D6E">
            <w:pPr>
              <w:adjustRightInd w:val="0"/>
              <w:snapToGrid w:val="0"/>
              <w:spacing w:line="360" w:lineRule="auto"/>
              <w:ind w:firstLine="480" w:firstLineChars="200"/>
              <w:rPr>
                <w:rFonts w:hint="eastAsia" w:ascii="宋体" w:hAnsi="宋体"/>
                <w:color w:val="auto"/>
                <w:sz w:val="24"/>
              </w:rPr>
            </w:pPr>
            <w:r>
              <w:rPr>
                <w:rFonts w:hint="eastAsia"/>
                <w:color w:val="auto"/>
                <w:sz w:val="24"/>
              </w:rPr>
              <w:t>江苏柯德展示道具有限公司</w:t>
            </w:r>
            <w:r>
              <w:rPr>
                <w:color w:val="auto"/>
                <w:sz w:val="24"/>
              </w:rPr>
              <w:t>成立于</w:t>
            </w:r>
            <w:r>
              <w:rPr>
                <w:rFonts w:hint="eastAsia"/>
                <w:color w:val="auto"/>
                <w:sz w:val="24"/>
              </w:rPr>
              <w:t>2017</w:t>
            </w:r>
            <w:r>
              <w:rPr>
                <w:color w:val="auto"/>
                <w:sz w:val="24"/>
              </w:rPr>
              <w:t>年，</w:t>
            </w:r>
            <w:r>
              <w:rPr>
                <w:rFonts w:hint="eastAsia"/>
                <w:color w:val="auto"/>
                <w:sz w:val="24"/>
              </w:rPr>
              <w:t>现有厂区</w:t>
            </w:r>
            <w:r>
              <w:rPr>
                <w:rFonts w:hint="eastAsia"/>
                <w:bCs/>
                <w:color w:val="auto"/>
                <w:sz w:val="24"/>
              </w:rPr>
              <w:t>位于</w:t>
            </w:r>
            <w:r>
              <w:rPr>
                <w:rFonts w:hint="eastAsia"/>
                <w:color w:val="auto"/>
                <w:sz w:val="24"/>
              </w:rPr>
              <w:t>涟水县经济开发区祥云路北侧，生产产品为展示道具，已履行相关环保手续。本项目建设地点为</w:t>
            </w:r>
            <w:r>
              <w:rPr>
                <w:bCs/>
                <w:color w:val="auto"/>
                <w:sz w:val="24"/>
              </w:rPr>
              <w:t>江苏省淮安市涟水县</w:t>
            </w:r>
            <w:r>
              <w:rPr>
                <w:rFonts w:hint="eastAsia"/>
                <w:bCs/>
                <w:color w:val="auto"/>
                <w:sz w:val="24"/>
              </w:rPr>
              <w:t>经济开发区蒋庵东路东侧、清涟大道北侧</w:t>
            </w:r>
            <w:r>
              <w:rPr>
                <w:bCs/>
                <w:color w:val="auto"/>
                <w:sz w:val="24"/>
              </w:rPr>
              <w:t>，</w:t>
            </w:r>
            <w:r>
              <w:rPr>
                <w:rFonts w:hint="eastAsia" w:ascii="宋体" w:hAnsi="宋体"/>
                <w:color w:val="auto"/>
                <w:sz w:val="24"/>
              </w:rPr>
              <w:t>两厂区生产过程相对独立，公辅工程均无依托关系。</w:t>
            </w:r>
          </w:p>
          <w:p w14:paraId="40A96281">
            <w:pPr>
              <w:adjustRightInd w:val="0"/>
              <w:snapToGrid w:val="0"/>
              <w:spacing w:line="360" w:lineRule="auto"/>
              <w:ind w:firstLine="480" w:firstLineChars="200"/>
              <w:rPr>
                <w:color w:val="auto"/>
                <w:sz w:val="24"/>
              </w:rPr>
            </w:pPr>
            <w:r>
              <w:rPr>
                <w:rFonts w:hint="eastAsia"/>
                <w:color w:val="auto"/>
                <w:sz w:val="24"/>
              </w:rPr>
              <w:t>本项目</w:t>
            </w:r>
            <w:r>
              <w:rPr>
                <w:bCs/>
                <w:color w:val="auto"/>
                <w:sz w:val="24"/>
              </w:rPr>
              <w:t>拟投资</w:t>
            </w:r>
            <w:r>
              <w:rPr>
                <w:rFonts w:hint="eastAsia"/>
                <w:bCs/>
                <w:color w:val="auto"/>
                <w:sz w:val="24"/>
              </w:rPr>
              <w:t>4</w:t>
            </w:r>
            <w:r>
              <w:rPr>
                <w:bCs/>
                <w:color w:val="auto"/>
                <w:sz w:val="24"/>
              </w:rPr>
              <w:t>2000万元，建设</w:t>
            </w:r>
            <w:r>
              <w:rPr>
                <w:rFonts w:hint="eastAsia"/>
                <w:color w:val="auto"/>
                <w:sz w:val="24"/>
              </w:rPr>
              <w:t>江苏柯德展示道具有限公司年产10万套高端展示道具项目（二期）</w:t>
            </w:r>
            <w:r>
              <w:rPr>
                <w:color w:val="auto"/>
                <w:sz w:val="24"/>
              </w:rPr>
              <w:t>生产项目，</w:t>
            </w:r>
            <w:r>
              <w:rPr>
                <w:rFonts w:hint="eastAsia"/>
                <w:color w:val="auto"/>
                <w:sz w:val="24"/>
              </w:rPr>
              <w:t>占地面积86115平方米（约129.17亩）</w:t>
            </w:r>
            <w:r>
              <w:rPr>
                <w:color w:val="auto"/>
                <w:sz w:val="24"/>
              </w:rPr>
              <w:t>，已于</w:t>
            </w:r>
            <w:r>
              <w:rPr>
                <w:rFonts w:hint="eastAsia"/>
                <w:color w:val="auto"/>
                <w:sz w:val="24"/>
              </w:rPr>
              <w:t>2025年2月19日取得淮安涟水县发展改革委立项，项目代码：2502-320826-04-01-541787，项目建成后，形成年产高端展示道具10万套生产规模</w:t>
            </w:r>
            <w:r>
              <w:rPr>
                <w:color w:val="auto"/>
                <w:sz w:val="24"/>
              </w:rPr>
              <w:t>。</w:t>
            </w:r>
          </w:p>
          <w:p w14:paraId="126B1F76">
            <w:pPr>
              <w:adjustRightInd w:val="0"/>
              <w:snapToGrid w:val="0"/>
              <w:spacing w:line="360" w:lineRule="auto"/>
              <w:ind w:firstLine="480" w:firstLineChars="200"/>
              <w:rPr>
                <w:color w:val="auto"/>
                <w:sz w:val="24"/>
              </w:rPr>
            </w:pPr>
            <w:r>
              <w:rPr>
                <w:color w:val="auto"/>
                <w:sz w:val="24"/>
              </w:rPr>
              <w:t>本项目</w:t>
            </w:r>
            <w:r>
              <w:rPr>
                <w:rFonts w:hint="eastAsia"/>
                <w:color w:val="auto"/>
                <w:sz w:val="24"/>
              </w:rPr>
              <w:t>产品为展示道具</w:t>
            </w:r>
            <w:r>
              <w:rPr>
                <w:color w:val="auto"/>
                <w:sz w:val="24"/>
              </w:rPr>
              <w:t>，属于《国民经济行业分类》（GB/T 4754-2017）及第1号修改单中</w:t>
            </w:r>
            <w:r>
              <w:rPr>
                <w:rFonts w:hint="eastAsia"/>
                <w:color w:val="auto"/>
                <w:sz w:val="24"/>
              </w:rPr>
              <w:t>“C2439其他工艺美术及礼仪用品制造”，依据</w:t>
            </w:r>
            <w:r>
              <w:rPr>
                <w:color w:val="auto"/>
                <w:sz w:val="24"/>
              </w:rPr>
              <w:t>《建设项目环境影响评价分类管理名录（</w:t>
            </w:r>
            <w:r>
              <w:rPr>
                <w:rFonts w:hint="eastAsia"/>
                <w:color w:val="auto"/>
                <w:sz w:val="24"/>
              </w:rPr>
              <w:t>2021版</w:t>
            </w:r>
            <w:r>
              <w:rPr>
                <w:color w:val="auto"/>
                <w:sz w:val="24"/>
              </w:rPr>
              <w:t>）》</w:t>
            </w:r>
            <w:r>
              <w:rPr>
                <w:rFonts w:hint="eastAsia"/>
                <w:color w:val="auto"/>
                <w:sz w:val="24"/>
              </w:rPr>
              <w:t>，本项目属于</w:t>
            </w:r>
            <w:r>
              <w:rPr>
                <w:rFonts w:hint="eastAsia"/>
                <w:color w:val="auto"/>
                <w:spacing w:val="-10"/>
                <w:sz w:val="24"/>
              </w:rPr>
              <w:t>二十一、文教、工美、体育和娱乐用品制造业24</w:t>
            </w:r>
            <w:r>
              <w:rPr>
                <w:rFonts w:hint="eastAsia"/>
                <w:color w:val="auto"/>
                <w:spacing w:val="-10"/>
                <w:sz w:val="24"/>
                <w:lang w:eastAsia="zh-CN"/>
              </w:rPr>
              <w:t>:</w:t>
            </w:r>
            <w:r>
              <w:rPr>
                <w:rFonts w:hint="eastAsia"/>
                <w:color w:val="auto"/>
                <w:spacing w:val="-10"/>
                <w:sz w:val="24"/>
              </w:rPr>
              <w:t>41、工艺美术及礼仪用品制造243</w:t>
            </w:r>
            <w:r>
              <w:rPr>
                <w:color w:val="auto"/>
                <w:spacing w:val="-10"/>
                <w:sz w:val="24"/>
              </w:rPr>
              <w:t>-</w:t>
            </w:r>
            <w:r>
              <w:rPr>
                <w:rFonts w:hint="eastAsia"/>
                <w:color w:val="auto"/>
                <w:spacing w:val="-10"/>
                <w:sz w:val="24"/>
              </w:rPr>
              <w:t>年用溶剂型涂料（含稀释剂）10吨以下的，或年用非溶剂型低VOCs含量涂料10吨及以上的应</w:t>
            </w:r>
            <w:r>
              <w:rPr>
                <w:color w:val="auto"/>
                <w:sz w:val="24"/>
              </w:rPr>
              <w:t>编制报告表。因此本项目编制报告表。</w:t>
            </w:r>
          </w:p>
          <w:p w14:paraId="1BD0A0A7">
            <w:pPr>
              <w:tabs>
                <w:tab w:val="left" w:pos="720"/>
              </w:tabs>
              <w:adjustRightInd w:val="0"/>
              <w:snapToGrid w:val="0"/>
              <w:spacing w:line="360" w:lineRule="auto"/>
              <w:ind w:firstLine="480" w:firstLineChars="200"/>
              <w:rPr>
                <w:bCs/>
                <w:color w:val="auto"/>
                <w:sz w:val="24"/>
              </w:rPr>
            </w:pPr>
            <w:r>
              <w:rPr>
                <w:bCs/>
                <w:color w:val="auto"/>
                <w:sz w:val="24"/>
              </w:rPr>
              <w:t>根据《中华人民共和国环境保护法</w:t>
            </w:r>
            <w:r>
              <w:rPr>
                <w:rFonts w:hint="eastAsia"/>
                <w:bCs/>
                <w:color w:val="auto"/>
                <w:sz w:val="24"/>
                <w:lang w:eastAsia="zh-CN"/>
              </w:rPr>
              <w:t>》《</w:t>
            </w:r>
            <w:r>
              <w:rPr>
                <w:bCs/>
                <w:color w:val="auto"/>
                <w:sz w:val="24"/>
              </w:rPr>
              <w:t>中华人民共和国环境影响评价法</w:t>
            </w:r>
            <w:r>
              <w:rPr>
                <w:rFonts w:hint="eastAsia"/>
                <w:bCs/>
                <w:color w:val="auto"/>
                <w:sz w:val="24"/>
                <w:lang w:eastAsia="zh-CN"/>
              </w:rPr>
              <w:t>》《</w:t>
            </w:r>
            <w:r>
              <w:rPr>
                <w:bCs/>
                <w:color w:val="auto"/>
                <w:sz w:val="24"/>
              </w:rPr>
              <w:t>建设项目环境保护管理条例》（国务院682号令）等文件的有关规定，应当在工程项目可行性研究阶段对该项目进行环境影响评价。为此，建设单位委托淮安市天蓝环境科技有限公司承担该项目的环境影响报告的编制工作，环评单位接受委托后，认真研究该项目的有关材料，并进行实地踏勘、调研，收集和核实了有关材料，依据《建设项目环境影响报告表编制技术指南（污染影响类）（试行）》编制了本环境影响报告表。</w:t>
            </w:r>
          </w:p>
          <w:p w14:paraId="7ED98797">
            <w:pPr>
              <w:tabs>
                <w:tab w:val="left" w:pos="720"/>
              </w:tabs>
              <w:adjustRightInd w:val="0"/>
              <w:snapToGrid w:val="0"/>
              <w:spacing w:line="360" w:lineRule="auto"/>
              <w:ind w:firstLine="482" w:firstLineChars="200"/>
              <w:rPr>
                <w:b/>
                <w:bCs/>
                <w:color w:val="auto"/>
                <w:sz w:val="24"/>
              </w:rPr>
            </w:pPr>
            <w:r>
              <w:rPr>
                <w:b/>
                <w:bCs/>
                <w:color w:val="auto"/>
                <w:sz w:val="24"/>
              </w:rPr>
              <w:t>二、项目概况</w:t>
            </w:r>
          </w:p>
          <w:p w14:paraId="07C0BCB5">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1</w:t>
            </w:r>
            <w:r>
              <w:rPr>
                <w:rFonts w:hint="eastAsia"/>
                <w:bCs/>
                <w:color w:val="auto"/>
                <w:sz w:val="24"/>
                <w:lang w:eastAsia="zh-CN"/>
              </w:rPr>
              <w:t>）</w:t>
            </w:r>
            <w:r>
              <w:rPr>
                <w:bCs/>
                <w:color w:val="auto"/>
                <w:sz w:val="24"/>
              </w:rPr>
              <w:t>项目名称：</w:t>
            </w:r>
            <w:r>
              <w:rPr>
                <w:rFonts w:hint="eastAsia" w:ascii="宋体" w:hAnsi="宋体" w:cs="宋体"/>
                <w:color w:val="auto"/>
                <w:sz w:val="24"/>
              </w:rPr>
              <w:t>江苏柯德展示道具有限公司年产10万套高端展示道具</w:t>
            </w:r>
            <w:r>
              <w:rPr>
                <w:rFonts w:ascii="宋体" w:hAnsi="宋体" w:cs="宋体"/>
                <w:color w:val="auto"/>
                <w:sz w:val="24"/>
              </w:rPr>
              <w:t>项目</w:t>
            </w:r>
            <w:r>
              <w:rPr>
                <w:rFonts w:hint="eastAsia" w:ascii="宋体" w:hAnsi="宋体" w:cs="宋体"/>
                <w:color w:val="auto"/>
                <w:sz w:val="24"/>
              </w:rPr>
              <w:t>（二期）</w:t>
            </w:r>
            <w:r>
              <w:rPr>
                <w:bCs/>
                <w:color w:val="auto"/>
                <w:sz w:val="24"/>
              </w:rPr>
              <w:t>；</w:t>
            </w:r>
          </w:p>
          <w:p w14:paraId="50DAE385">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2</w:t>
            </w:r>
            <w:r>
              <w:rPr>
                <w:rFonts w:hint="eastAsia"/>
                <w:bCs/>
                <w:color w:val="auto"/>
                <w:sz w:val="24"/>
                <w:lang w:eastAsia="zh-CN"/>
              </w:rPr>
              <w:t>）</w:t>
            </w:r>
            <w:r>
              <w:rPr>
                <w:bCs/>
                <w:color w:val="auto"/>
                <w:sz w:val="24"/>
              </w:rPr>
              <w:t>项目性质：</w:t>
            </w:r>
            <w:r>
              <w:rPr>
                <w:rFonts w:hint="eastAsia"/>
                <w:bCs/>
                <w:color w:val="auto"/>
                <w:sz w:val="24"/>
              </w:rPr>
              <w:t>新</w:t>
            </w:r>
            <w:r>
              <w:rPr>
                <w:bCs/>
                <w:color w:val="auto"/>
                <w:sz w:val="24"/>
              </w:rPr>
              <w:t>建；</w:t>
            </w:r>
          </w:p>
          <w:p w14:paraId="7E7FB2E6">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3</w:t>
            </w:r>
            <w:r>
              <w:rPr>
                <w:rFonts w:hint="eastAsia"/>
                <w:bCs/>
                <w:color w:val="auto"/>
                <w:sz w:val="24"/>
                <w:lang w:eastAsia="zh-CN"/>
              </w:rPr>
              <w:t>）</w:t>
            </w:r>
            <w:r>
              <w:rPr>
                <w:bCs/>
                <w:color w:val="auto"/>
                <w:sz w:val="24"/>
              </w:rPr>
              <w:t>建设地点：江苏省淮安市涟水县</w:t>
            </w:r>
            <w:r>
              <w:rPr>
                <w:rFonts w:hint="eastAsia"/>
                <w:bCs/>
                <w:color w:val="auto"/>
                <w:sz w:val="24"/>
              </w:rPr>
              <w:t>经济开发区蒋庵东路东侧、清涟大道北侧</w:t>
            </w:r>
            <w:r>
              <w:rPr>
                <w:bCs/>
                <w:color w:val="auto"/>
                <w:sz w:val="24"/>
              </w:rPr>
              <w:t>；</w:t>
            </w:r>
          </w:p>
          <w:p w14:paraId="5ACE2C0C">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4</w:t>
            </w:r>
            <w:r>
              <w:rPr>
                <w:rFonts w:hint="eastAsia"/>
                <w:bCs/>
                <w:color w:val="auto"/>
                <w:sz w:val="24"/>
                <w:lang w:eastAsia="zh-CN"/>
              </w:rPr>
              <w:t>）</w:t>
            </w:r>
            <w:r>
              <w:rPr>
                <w:bCs/>
                <w:color w:val="auto"/>
                <w:sz w:val="24"/>
              </w:rPr>
              <w:t>行业类别：</w:t>
            </w:r>
            <w:r>
              <w:rPr>
                <w:rFonts w:hint="eastAsia"/>
                <w:color w:val="auto"/>
                <w:sz w:val="24"/>
              </w:rPr>
              <w:t>C2439其他工艺美术及礼仪用品制造</w:t>
            </w:r>
          </w:p>
          <w:p w14:paraId="1B15FFBF">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5</w:t>
            </w:r>
            <w:r>
              <w:rPr>
                <w:rFonts w:hint="eastAsia"/>
                <w:bCs/>
                <w:color w:val="auto"/>
                <w:sz w:val="24"/>
                <w:lang w:eastAsia="zh-CN"/>
              </w:rPr>
              <w:t>）</w:t>
            </w:r>
            <w:r>
              <w:rPr>
                <w:bCs/>
                <w:color w:val="auto"/>
                <w:sz w:val="24"/>
              </w:rPr>
              <w:t>投资总额：总投资</w:t>
            </w:r>
            <w:r>
              <w:rPr>
                <w:rFonts w:hint="eastAsia"/>
                <w:bCs/>
                <w:color w:val="auto"/>
                <w:sz w:val="24"/>
              </w:rPr>
              <w:t>420</w:t>
            </w:r>
            <w:r>
              <w:rPr>
                <w:bCs/>
                <w:color w:val="auto"/>
                <w:sz w:val="24"/>
              </w:rPr>
              <w:t>00万元，环保投资</w:t>
            </w:r>
            <w:r>
              <w:rPr>
                <w:rFonts w:hint="eastAsia"/>
                <w:bCs/>
                <w:color w:val="auto"/>
                <w:sz w:val="24"/>
              </w:rPr>
              <w:t>300</w:t>
            </w:r>
            <w:r>
              <w:rPr>
                <w:bCs/>
                <w:color w:val="auto"/>
                <w:sz w:val="24"/>
              </w:rPr>
              <w:t>万元，占总投资的</w:t>
            </w:r>
            <w:r>
              <w:rPr>
                <w:rFonts w:hint="eastAsia"/>
                <w:bCs/>
                <w:color w:val="auto"/>
                <w:sz w:val="24"/>
              </w:rPr>
              <w:t>0.71</w:t>
            </w:r>
            <w:r>
              <w:rPr>
                <w:bCs/>
                <w:color w:val="auto"/>
                <w:sz w:val="24"/>
              </w:rPr>
              <w:t>%；</w:t>
            </w:r>
          </w:p>
          <w:p w14:paraId="25FFC396">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6</w:t>
            </w:r>
            <w:r>
              <w:rPr>
                <w:rFonts w:hint="eastAsia"/>
                <w:bCs/>
                <w:color w:val="auto"/>
                <w:sz w:val="24"/>
                <w:lang w:eastAsia="zh-CN"/>
              </w:rPr>
              <w:t>）</w:t>
            </w:r>
            <w:r>
              <w:rPr>
                <w:rFonts w:hint="eastAsia"/>
                <w:bCs/>
                <w:color w:val="auto"/>
                <w:sz w:val="24"/>
              </w:rPr>
              <w:t>建筑</w:t>
            </w:r>
            <w:r>
              <w:rPr>
                <w:bCs/>
                <w:color w:val="auto"/>
                <w:sz w:val="24"/>
              </w:rPr>
              <w:t>面积</w:t>
            </w:r>
            <w:r>
              <w:rPr>
                <w:rFonts w:hint="eastAsia"/>
                <w:bCs/>
                <w:color w:val="auto"/>
                <w:sz w:val="24"/>
              </w:rPr>
              <w:t>：50867m</w:t>
            </w:r>
            <w:r>
              <w:rPr>
                <w:rFonts w:hint="eastAsia"/>
                <w:bCs/>
                <w:color w:val="auto"/>
                <w:sz w:val="24"/>
                <w:vertAlign w:val="superscript"/>
              </w:rPr>
              <w:t>2</w:t>
            </w:r>
            <w:r>
              <w:rPr>
                <w:bCs/>
                <w:color w:val="auto"/>
                <w:sz w:val="24"/>
              </w:rPr>
              <w:t>；</w:t>
            </w:r>
          </w:p>
          <w:p w14:paraId="42256F9E">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7</w:t>
            </w:r>
            <w:r>
              <w:rPr>
                <w:rFonts w:hint="eastAsia"/>
                <w:bCs/>
                <w:color w:val="auto"/>
                <w:sz w:val="24"/>
                <w:lang w:eastAsia="zh-CN"/>
              </w:rPr>
              <w:t>）</w:t>
            </w:r>
            <w:r>
              <w:rPr>
                <w:bCs/>
                <w:color w:val="auto"/>
                <w:sz w:val="24"/>
              </w:rPr>
              <w:t>劳动定员：职工3</w:t>
            </w:r>
            <w:r>
              <w:rPr>
                <w:rFonts w:hint="eastAsia"/>
                <w:bCs/>
                <w:color w:val="auto"/>
                <w:sz w:val="24"/>
              </w:rPr>
              <w:t>00</w:t>
            </w:r>
            <w:r>
              <w:rPr>
                <w:bCs/>
                <w:color w:val="auto"/>
                <w:sz w:val="24"/>
              </w:rPr>
              <w:t>人；</w:t>
            </w:r>
          </w:p>
          <w:p w14:paraId="154EABB2">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w:t>
            </w:r>
            <w:r>
              <w:rPr>
                <w:bCs/>
                <w:color w:val="auto"/>
                <w:sz w:val="24"/>
              </w:rPr>
              <w:t>8</w:t>
            </w:r>
            <w:r>
              <w:rPr>
                <w:rFonts w:hint="eastAsia"/>
                <w:bCs/>
                <w:color w:val="auto"/>
                <w:sz w:val="24"/>
                <w:lang w:eastAsia="zh-CN"/>
              </w:rPr>
              <w:t>）</w:t>
            </w:r>
            <w:r>
              <w:rPr>
                <w:bCs/>
                <w:color w:val="auto"/>
                <w:sz w:val="24"/>
              </w:rPr>
              <w:t>工作制度：全年工作时间为</w:t>
            </w:r>
            <w:r>
              <w:rPr>
                <w:rFonts w:hint="eastAsia"/>
                <w:bCs/>
                <w:color w:val="auto"/>
                <w:sz w:val="24"/>
              </w:rPr>
              <w:t>300</w:t>
            </w:r>
            <w:r>
              <w:rPr>
                <w:bCs/>
                <w:color w:val="auto"/>
                <w:sz w:val="24"/>
              </w:rPr>
              <w:t>天，</w:t>
            </w:r>
            <w:r>
              <w:rPr>
                <w:rFonts w:hint="eastAsia"/>
                <w:bCs/>
                <w:color w:val="auto"/>
                <w:sz w:val="24"/>
              </w:rPr>
              <w:t>白</w:t>
            </w:r>
            <w:r>
              <w:rPr>
                <w:bCs/>
                <w:color w:val="auto"/>
                <w:sz w:val="24"/>
              </w:rPr>
              <w:t>班制，每班</w:t>
            </w:r>
            <w:r>
              <w:rPr>
                <w:rFonts w:hint="eastAsia"/>
                <w:bCs/>
                <w:color w:val="auto"/>
                <w:sz w:val="24"/>
              </w:rPr>
              <w:t>12</w:t>
            </w:r>
            <w:r>
              <w:rPr>
                <w:bCs/>
                <w:color w:val="auto"/>
                <w:sz w:val="24"/>
              </w:rPr>
              <w:t>小时</w:t>
            </w:r>
            <w:r>
              <w:rPr>
                <w:rFonts w:hint="eastAsia"/>
                <w:bCs/>
                <w:color w:val="auto"/>
                <w:sz w:val="24"/>
              </w:rPr>
              <w:t>，企业设有食堂，提供午餐，不提供住宿。</w:t>
            </w:r>
          </w:p>
          <w:p w14:paraId="58FC9A11">
            <w:pPr>
              <w:tabs>
                <w:tab w:val="left" w:pos="720"/>
              </w:tabs>
              <w:adjustRightInd w:val="0"/>
              <w:snapToGrid w:val="0"/>
              <w:spacing w:line="360" w:lineRule="auto"/>
              <w:ind w:firstLine="482" w:firstLineChars="200"/>
              <w:rPr>
                <w:b/>
                <w:bCs/>
                <w:color w:val="auto"/>
                <w:sz w:val="24"/>
              </w:rPr>
            </w:pPr>
            <w:r>
              <w:rPr>
                <w:b/>
                <w:bCs/>
                <w:color w:val="auto"/>
                <w:sz w:val="24"/>
              </w:rPr>
              <w:t>三、建设内容和工程组成</w:t>
            </w:r>
          </w:p>
          <w:p w14:paraId="19DC7EE4">
            <w:pPr>
              <w:tabs>
                <w:tab w:val="left" w:pos="720"/>
              </w:tabs>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建设内容</w:t>
            </w:r>
          </w:p>
          <w:p w14:paraId="3897D95F">
            <w:pPr>
              <w:tabs>
                <w:tab w:val="left" w:pos="720"/>
              </w:tabs>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建设内容</w:t>
            </w:r>
          </w:p>
          <w:p w14:paraId="5C96FAC2">
            <w:pPr>
              <w:tabs>
                <w:tab w:val="left" w:pos="720"/>
              </w:tabs>
              <w:adjustRightInd w:val="0"/>
              <w:snapToGrid w:val="0"/>
              <w:spacing w:line="360" w:lineRule="auto"/>
              <w:ind w:firstLine="480" w:firstLineChars="200"/>
              <w:rPr>
                <w:color w:val="auto"/>
                <w:sz w:val="24"/>
              </w:rPr>
            </w:pPr>
            <w:r>
              <w:rPr>
                <w:rFonts w:hint="eastAsia"/>
                <w:bCs/>
                <w:color w:val="auto"/>
                <w:sz w:val="24"/>
              </w:rPr>
              <w:t>江苏柯德展示道具有限公司</w:t>
            </w:r>
            <w:r>
              <w:rPr>
                <w:color w:val="auto"/>
                <w:sz w:val="24"/>
              </w:rPr>
              <w:t>拟投资</w:t>
            </w:r>
            <w:r>
              <w:rPr>
                <w:rFonts w:hint="eastAsia"/>
                <w:color w:val="auto"/>
                <w:sz w:val="24"/>
              </w:rPr>
              <w:t>420</w:t>
            </w:r>
            <w:r>
              <w:rPr>
                <w:color w:val="auto"/>
                <w:sz w:val="24"/>
              </w:rPr>
              <w:t>00万元，在</w:t>
            </w:r>
            <w:r>
              <w:rPr>
                <w:bCs/>
                <w:color w:val="auto"/>
                <w:sz w:val="24"/>
              </w:rPr>
              <w:t>涟水县</w:t>
            </w:r>
            <w:r>
              <w:rPr>
                <w:rFonts w:hint="eastAsia"/>
                <w:bCs/>
                <w:color w:val="auto"/>
                <w:sz w:val="24"/>
              </w:rPr>
              <w:t>经济开发区蒋庵东路东侧、清涟大道北侧</w:t>
            </w:r>
            <w:r>
              <w:rPr>
                <w:color w:val="auto"/>
                <w:sz w:val="24"/>
              </w:rPr>
              <w:t>，</w:t>
            </w:r>
            <w:r>
              <w:rPr>
                <w:rFonts w:hint="eastAsia"/>
                <w:color w:val="auto"/>
                <w:sz w:val="24"/>
              </w:rPr>
              <w:t>占地面积86115平方米（约129.17亩）</w:t>
            </w:r>
            <w:r>
              <w:rPr>
                <w:color w:val="auto"/>
                <w:sz w:val="24"/>
              </w:rPr>
              <w:t>，</w:t>
            </w:r>
            <w:r>
              <w:rPr>
                <w:rFonts w:hint="eastAsia"/>
                <w:color w:val="auto"/>
                <w:sz w:val="24"/>
              </w:rPr>
              <w:t>总建筑物面积50867平方米，拟新建生产及辅助用房，采用金属材料、木板材、亚克力板材、大理石等原材料，购置电子开料机、CNC雕刻机、推台锯、激光数控切割机、金属折弯机、金属刨槽机、金属剪切机、激光切管机、封边机、清洗机、桁车等生产及辅助设备，采用激光切割、雕刻、切削或粉碎、挤压、折弯、焊接、拼装、打磨、抛光、清洗、喷涂、丝印、包装等生产工艺，项目建成后，形成年产高端展示道具10万套（二期）生产规模。</w:t>
            </w:r>
          </w:p>
          <w:p w14:paraId="3D910636">
            <w:pPr>
              <w:tabs>
                <w:tab w:val="left" w:pos="720"/>
              </w:tabs>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建构筑物一览表</w:t>
            </w:r>
          </w:p>
          <w:p w14:paraId="3E1974B7">
            <w:pPr>
              <w:keepNext/>
              <w:adjustRightInd w:val="0"/>
              <w:snapToGrid w:val="0"/>
              <w:jc w:val="center"/>
              <w:rPr>
                <w:b/>
                <w:color w:val="auto"/>
              </w:rPr>
            </w:pPr>
            <w:r>
              <w:rPr>
                <w:b/>
                <w:color w:val="auto"/>
                <w:sz w:val="24"/>
                <w:szCs w:val="32"/>
              </w:rPr>
              <w:t>表2-1  厂区主要构筑物一览表</w:t>
            </w:r>
          </w:p>
          <w:tbl>
            <w:tblPr>
              <w:tblStyle w:val="89"/>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341"/>
              <w:gridCol w:w="1025"/>
              <w:gridCol w:w="926"/>
              <w:gridCol w:w="997"/>
              <w:gridCol w:w="653"/>
              <w:gridCol w:w="696"/>
              <w:gridCol w:w="3627"/>
            </w:tblGrid>
            <w:tr w14:paraId="50CDA48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206" w:type="pct"/>
                  <w:tcBorders>
                    <w:top w:val="single" w:color="000000" w:sz="12" w:space="0"/>
                    <w:bottom w:val="single" w:color="000000" w:sz="12" w:space="0"/>
                  </w:tcBorders>
                  <w:vAlign w:val="center"/>
                </w:tcPr>
                <w:p w14:paraId="68B9C096">
                  <w:pPr>
                    <w:snapToGrid w:val="0"/>
                    <w:jc w:val="center"/>
                    <w:rPr>
                      <w:b/>
                      <w:color w:val="auto"/>
                      <w:szCs w:val="21"/>
                    </w:rPr>
                  </w:pPr>
                  <w:r>
                    <w:rPr>
                      <w:b/>
                      <w:color w:val="auto"/>
                      <w:szCs w:val="21"/>
                    </w:rPr>
                    <w:t>序号</w:t>
                  </w:r>
                </w:p>
              </w:tc>
              <w:tc>
                <w:tcPr>
                  <w:tcW w:w="620" w:type="pct"/>
                  <w:tcBorders>
                    <w:top w:val="single" w:color="000000" w:sz="12" w:space="0"/>
                    <w:bottom w:val="single" w:color="000000" w:sz="12" w:space="0"/>
                  </w:tcBorders>
                  <w:vAlign w:val="center"/>
                </w:tcPr>
                <w:p w14:paraId="1CEA131A">
                  <w:pPr>
                    <w:snapToGrid w:val="0"/>
                    <w:jc w:val="center"/>
                    <w:rPr>
                      <w:b/>
                      <w:color w:val="auto"/>
                      <w:szCs w:val="21"/>
                    </w:rPr>
                  </w:pPr>
                  <w:r>
                    <w:rPr>
                      <w:b/>
                      <w:color w:val="auto"/>
                      <w:szCs w:val="21"/>
                    </w:rPr>
                    <w:t>名称</w:t>
                  </w:r>
                </w:p>
              </w:tc>
              <w:tc>
                <w:tcPr>
                  <w:tcW w:w="560" w:type="pct"/>
                  <w:tcBorders>
                    <w:top w:val="single" w:color="000000" w:sz="12" w:space="0"/>
                    <w:bottom w:val="single" w:color="000000" w:sz="12" w:space="0"/>
                  </w:tcBorders>
                  <w:vAlign w:val="center"/>
                </w:tcPr>
                <w:p w14:paraId="6B1C0CD7">
                  <w:pPr>
                    <w:snapToGrid w:val="0"/>
                    <w:jc w:val="center"/>
                    <w:rPr>
                      <w:b/>
                      <w:color w:val="auto"/>
                      <w:szCs w:val="21"/>
                    </w:rPr>
                  </w:pPr>
                  <w:r>
                    <w:rPr>
                      <w:b/>
                      <w:color w:val="auto"/>
                      <w:szCs w:val="21"/>
                    </w:rPr>
                    <w:t>建筑面积</w:t>
                  </w:r>
                  <w:r>
                    <w:rPr>
                      <w:rFonts w:hint="eastAsia"/>
                      <w:b/>
                      <w:color w:val="auto"/>
                      <w:szCs w:val="21"/>
                      <w:lang w:eastAsia="zh-CN"/>
                    </w:rPr>
                    <w:t>（</w:t>
                  </w:r>
                  <w:r>
                    <w:rPr>
                      <w:b/>
                      <w:color w:val="auto"/>
                      <w:szCs w:val="21"/>
                    </w:rPr>
                    <w:t>m</w:t>
                  </w:r>
                  <w:r>
                    <w:rPr>
                      <w:b/>
                      <w:color w:val="auto"/>
                      <w:szCs w:val="21"/>
                      <w:vertAlign w:val="superscript"/>
                    </w:rPr>
                    <w:t>2</w:t>
                  </w:r>
                  <w:r>
                    <w:rPr>
                      <w:rFonts w:hint="eastAsia"/>
                      <w:b/>
                      <w:color w:val="auto"/>
                      <w:szCs w:val="21"/>
                      <w:vertAlign w:val="superscript"/>
                      <w:lang w:eastAsia="zh-CN"/>
                    </w:rPr>
                    <w:t>）</w:t>
                  </w:r>
                </w:p>
              </w:tc>
              <w:tc>
                <w:tcPr>
                  <w:tcW w:w="603" w:type="pct"/>
                  <w:tcBorders>
                    <w:top w:val="single" w:color="000000" w:sz="12" w:space="0"/>
                    <w:bottom w:val="single" w:color="000000" w:sz="12" w:space="0"/>
                  </w:tcBorders>
                  <w:vAlign w:val="center"/>
                </w:tcPr>
                <w:p w14:paraId="5165D57C">
                  <w:pPr>
                    <w:snapToGrid w:val="0"/>
                    <w:jc w:val="center"/>
                    <w:rPr>
                      <w:b/>
                      <w:color w:val="auto"/>
                      <w:szCs w:val="21"/>
                    </w:rPr>
                  </w:pPr>
                  <w:r>
                    <w:rPr>
                      <w:b/>
                      <w:color w:val="auto"/>
                      <w:szCs w:val="21"/>
                    </w:rPr>
                    <w:t>占地面积</w:t>
                  </w:r>
                  <w:r>
                    <w:rPr>
                      <w:rFonts w:hint="eastAsia"/>
                      <w:b/>
                      <w:color w:val="auto"/>
                      <w:szCs w:val="21"/>
                      <w:lang w:eastAsia="zh-CN"/>
                    </w:rPr>
                    <w:t>（</w:t>
                  </w:r>
                  <w:r>
                    <w:rPr>
                      <w:b/>
                      <w:color w:val="auto"/>
                      <w:szCs w:val="21"/>
                    </w:rPr>
                    <w:t>m</w:t>
                  </w:r>
                  <w:r>
                    <w:rPr>
                      <w:b/>
                      <w:color w:val="auto"/>
                      <w:szCs w:val="21"/>
                      <w:vertAlign w:val="superscript"/>
                    </w:rPr>
                    <w:t>2</w:t>
                  </w:r>
                  <w:r>
                    <w:rPr>
                      <w:rFonts w:hint="eastAsia"/>
                      <w:b/>
                      <w:color w:val="auto"/>
                      <w:szCs w:val="21"/>
                      <w:vertAlign w:val="superscript"/>
                      <w:lang w:eastAsia="zh-CN"/>
                    </w:rPr>
                    <w:t>）</w:t>
                  </w:r>
                </w:p>
              </w:tc>
              <w:tc>
                <w:tcPr>
                  <w:tcW w:w="395" w:type="pct"/>
                  <w:tcBorders>
                    <w:top w:val="single" w:color="000000" w:sz="12" w:space="0"/>
                    <w:bottom w:val="single" w:color="000000" w:sz="12" w:space="0"/>
                  </w:tcBorders>
                  <w:vAlign w:val="center"/>
                </w:tcPr>
                <w:p w14:paraId="288B3DF5">
                  <w:pPr>
                    <w:snapToGrid w:val="0"/>
                    <w:jc w:val="center"/>
                    <w:rPr>
                      <w:b/>
                      <w:color w:val="auto"/>
                      <w:szCs w:val="21"/>
                    </w:rPr>
                  </w:pPr>
                  <w:r>
                    <w:rPr>
                      <w:b/>
                      <w:color w:val="auto"/>
                      <w:szCs w:val="21"/>
                    </w:rPr>
                    <w:t>层数</w:t>
                  </w:r>
                </w:p>
              </w:tc>
              <w:tc>
                <w:tcPr>
                  <w:tcW w:w="421" w:type="pct"/>
                  <w:tcBorders>
                    <w:top w:val="single" w:color="000000" w:sz="12" w:space="0"/>
                    <w:bottom w:val="single" w:color="000000" w:sz="12" w:space="0"/>
                  </w:tcBorders>
                  <w:vAlign w:val="center"/>
                </w:tcPr>
                <w:p w14:paraId="063B999E">
                  <w:pPr>
                    <w:snapToGrid w:val="0"/>
                    <w:jc w:val="center"/>
                    <w:rPr>
                      <w:b/>
                      <w:color w:val="auto"/>
                      <w:szCs w:val="21"/>
                    </w:rPr>
                  </w:pPr>
                  <w:r>
                    <w:rPr>
                      <w:b/>
                      <w:color w:val="auto"/>
                      <w:szCs w:val="21"/>
                    </w:rPr>
                    <w:t>层高</w:t>
                  </w:r>
                  <w:r>
                    <w:rPr>
                      <w:rFonts w:hint="eastAsia"/>
                      <w:b/>
                      <w:color w:val="auto"/>
                      <w:szCs w:val="21"/>
                      <w:lang w:eastAsia="zh-CN"/>
                    </w:rPr>
                    <w:t>（</w:t>
                  </w:r>
                  <w:r>
                    <w:rPr>
                      <w:b/>
                      <w:color w:val="auto"/>
                      <w:szCs w:val="21"/>
                    </w:rPr>
                    <w:t>m</w:t>
                  </w:r>
                  <w:r>
                    <w:rPr>
                      <w:rFonts w:hint="eastAsia"/>
                      <w:b/>
                      <w:color w:val="auto"/>
                      <w:szCs w:val="21"/>
                      <w:lang w:eastAsia="zh-CN"/>
                    </w:rPr>
                    <w:t>）</w:t>
                  </w:r>
                </w:p>
              </w:tc>
              <w:tc>
                <w:tcPr>
                  <w:tcW w:w="2193" w:type="pct"/>
                  <w:tcBorders>
                    <w:top w:val="single" w:color="000000" w:sz="12" w:space="0"/>
                    <w:bottom w:val="single" w:color="000000" w:sz="12" w:space="0"/>
                  </w:tcBorders>
                  <w:vAlign w:val="center"/>
                </w:tcPr>
                <w:p w14:paraId="3EB4B196">
                  <w:pPr>
                    <w:snapToGrid w:val="0"/>
                    <w:jc w:val="center"/>
                    <w:rPr>
                      <w:b/>
                      <w:color w:val="auto"/>
                      <w:szCs w:val="21"/>
                    </w:rPr>
                  </w:pPr>
                  <w:r>
                    <w:rPr>
                      <w:b/>
                      <w:color w:val="auto"/>
                      <w:szCs w:val="21"/>
                    </w:rPr>
                    <w:t>备注</w:t>
                  </w:r>
                </w:p>
              </w:tc>
            </w:tr>
            <w:tr w14:paraId="612726E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1DBC188C">
                  <w:pPr>
                    <w:snapToGrid w:val="0"/>
                    <w:jc w:val="center"/>
                    <w:rPr>
                      <w:color w:val="auto"/>
                      <w:szCs w:val="21"/>
                    </w:rPr>
                  </w:pPr>
                  <w:r>
                    <w:rPr>
                      <w:rFonts w:hint="eastAsia"/>
                      <w:color w:val="auto"/>
                      <w:szCs w:val="21"/>
                    </w:rPr>
                    <w:t>1</w:t>
                  </w:r>
                </w:p>
              </w:tc>
              <w:tc>
                <w:tcPr>
                  <w:tcW w:w="620" w:type="pct"/>
                  <w:tcBorders>
                    <w:top w:val="single" w:color="000000" w:sz="4" w:space="0"/>
                    <w:left w:val="single" w:color="000000" w:sz="4" w:space="0"/>
                    <w:bottom w:val="single" w:color="000000" w:sz="4" w:space="0"/>
                    <w:right w:val="single" w:color="000000" w:sz="4" w:space="0"/>
                  </w:tcBorders>
                  <w:vAlign w:val="center"/>
                </w:tcPr>
                <w:p w14:paraId="14573DD9">
                  <w:pPr>
                    <w:jc w:val="center"/>
                    <w:rPr>
                      <w:color w:val="auto"/>
                      <w:szCs w:val="21"/>
                    </w:rPr>
                  </w:pPr>
                  <w:r>
                    <w:rPr>
                      <w:rFonts w:hint="eastAsia"/>
                      <w:color w:val="auto"/>
                      <w:szCs w:val="21"/>
                      <w:lang w:eastAsia="zh-CN"/>
                    </w:rPr>
                    <w:t>3.</w:t>
                  </w:r>
                  <w:r>
                    <w:rPr>
                      <w:rFonts w:hint="eastAsia"/>
                      <w:color w:val="auto"/>
                      <w:szCs w:val="21"/>
                    </w:rPr>
                    <w:t>厂房</w:t>
                  </w:r>
                </w:p>
                <w:p w14:paraId="0FF8EECA">
                  <w:pPr>
                    <w:jc w:val="center"/>
                    <w:rPr>
                      <w:color w:val="auto"/>
                      <w:szCs w:val="21"/>
                    </w:rPr>
                  </w:pPr>
                  <w:r>
                    <w:rPr>
                      <w:rFonts w:hint="eastAsia"/>
                      <w:color w:val="auto"/>
                      <w:szCs w:val="21"/>
                    </w:rPr>
                    <w:t>油漆车间</w:t>
                  </w:r>
                </w:p>
              </w:tc>
              <w:tc>
                <w:tcPr>
                  <w:tcW w:w="560" w:type="pct"/>
                  <w:tcBorders>
                    <w:top w:val="single" w:color="000000" w:sz="4" w:space="0"/>
                    <w:left w:val="single" w:color="000000" w:sz="4" w:space="0"/>
                    <w:bottom w:val="single" w:color="000000" w:sz="4" w:space="0"/>
                    <w:right w:val="single" w:color="000000" w:sz="4" w:space="0"/>
                  </w:tcBorders>
                  <w:vAlign w:val="center"/>
                </w:tcPr>
                <w:p w14:paraId="7E00DBDB">
                  <w:pPr>
                    <w:jc w:val="center"/>
                    <w:rPr>
                      <w:color w:val="auto"/>
                      <w:szCs w:val="21"/>
                    </w:rPr>
                  </w:pPr>
                  <w:r>
                    <w:rPr>
                      <w:rFonts w:hint="eastAsia"/>
                      <w:color w:val="auto"/>
                      <w:szCs w:val="21"/>
                    </w:rPr>
                    <w:t>5090.3</w:t>
                  </w:r>
                </w:p>
              </w:tc>
              <w:tc>
                <w:tcPr>
                  <w:tcW w:w="603" w:type="pct"/>
                  <w:tcBorders>
                    <w:top w:val="single" w:color="000000" w:sz="4" w:space="0"/>
                    <w:left w:val="single" w:color="000000" w:sz="4" w:space="0"/>
                    <w:bottom w:val="single" w:color="000000" w:sz="4" w:space="0"/>
                    <w:right w:val="single" w:color="000000" w:sz="4" w:space="0"/>
                  </w:tcBorders>
                  <w:vAlign w:val="center"/>
                </w:tcPr>
                <w:p w14:paraId="015056B6">
                  <w:pPr>
                    <w:snapToGrid w:val="0"/>
                    <w:jc w:val="center"/>
                    <w:rPr>
                      <w:color w:val="auto"/>
                      <w:szCs w:val="21"/>
                    </w:rPr>
                  </w:pPr>
                  <w:r>
                    <w:rPr>
                      <w:rFonts w:hint="eastAsia"/>
                      <w:color w:val="auto"/>
                      <w:szCs w:val="21"/>
                    </w:rPr>
                    <w:t>5090.3</w:t>
                  </w:r>
                </w:p>
              </w:tc>
              <w:tc>
                <w:tcPr>
                  <w:tcW w:w="395" w:type="pct"/>
                  <w:tcBorders>
                    <w:top w:val="single" w:color="000000" w:sz="4" w:space="0"/>
                    <w:left w:val="single" w:color="000000" w:sz="4" w:space="0"/>
                    <w:bottom w:val="single" w:color="000000" w:sz="4" w:space="0"/>
                    <w:right w:val="single" w:color="000000" w:sz="4" w:space="0"/>
                  </w:tcBorders>
                  <w:vAlign w:val="center"/>
                </w:tcPr>
                <w:p w14:paraId="464E72BA">
                  <w:pPr>
                    <w:jc w:val="center"/>
                    <w:rPr>
                      <w:color w:val="auto"/>
                      <w:szCs w:val="21"/>
                    </w:rPr>
                  </w:pPr>
                  <w:r>
                    <w:rPr>
                      <w:rFonts w:hint="eastAsia"/>
                      <w:color w:val="auto"/>
                      <w:szCs w:val="21"/>
                    </w:rPr>
                    <w:t>1</w:t>
                  </w:r>
                </w:p>
              </w:tc>
              <w:tc>
                <w:tcPr>
                  <w:tcW w:w="421" w:type="pct"/>
                  <w:vAlign w:val="center"/>
                </w:tcPr>
                <w:p w14:paraId="5970D7B5">
                  <w:pPr>
                    <w:jc w:val="center"/>
                    <w:rPr>
                      <w:color w:val="auto"/>
                      <w:szCs w:val="21"/>
                    </w:rPr>
                  </w:pPr>
                  <w:r>
                    <w:rPr>
                      <w:rFonts w:hint="eastAsia"/>
                      <w:color w:val="auto"/>
                      <w:szCs w:val="21"/>
                    </w:rPr>
                    <w:t>8.4</w:t>
                  </w:r>
                </w:p>
              </w:tc>
              <w:tc>
                <w:tcPr>
                  <w:tcW w:w="2193" w:type="pct"/>
                  <w:vAlign w:val="center"/>
                </w:tcPr>
                <w:p w14:paraId="1DEC09C9">
                  <w:pPr>
                    <w:snapToGrid w:val="0"/>
                    <w:jc w:val="center"/>
                    <w:rPr>
                      <w:color w:val="auto"/>
                      <w:szCs w:val="21"/>
                    </w:rPr>
                  </w:pPr>
                  <w:r>
                    <w:rPr>
                      <w:rFonts w:hint="eastAsia"/>
                      <w:bCs/>
                      <w:color w:val="auto"/>
                      <w:szCs w:val="21"/>
                    </w:rPr>
                    <w:t>新建，包括调漆、喷漆、晾干、打磨、组装、大理石粘接等工艺；本厂房主要涉及</w:t>
                  </w:r>
                  <w:r>
                    <w:rPr>
                      <w:rFonts w:hint="eastAsia"/>
                      <w:bCs/>
                      <w:color w:val="auto"/>
                      <w:szCs w:val="21"/>
                      <w:lang w:eastAsia="zh-CN"/>
                    </w:rPr>
                    <w:t>木质</w:t>
                  </w:r>
                  <w:r>
                    <w:rPr>
                      <w:rFonts w:hint="eastAsia"/>
                      <w:bCs/>
                      <w:color w:val="auto"/>
                      <w:szCs w:val="21"/>
                    </w:rPr>
                    <w:t>组件的喷涂及大理石组件的打磨组装。</w:t>
                  </w:r>
                </w:p>
              </w:tc>
            </w:tr>
            <w:tr w14:paraId="3592D5D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3E8ABBF3">
                  <w:pPr>
                    <w:snapToGrid w:val="0"/>
                    <w:jc w:val="center"/>
                    <w:rPr>
                      <w:color w:val="auto"/>
                      <w:szCs w:val="21"/>
                    </w:rPr>
                  </w:pPr>
                  <w:r>
                    <w:rPr>
                      <w:rFonts w:hint="eastAsia"/>
                      <w:color w:val="auto"/>
                      <w:szCs w:val="21"/>
                    </w:rPr>
                    <w:t>2</w:t>
                  </w:r>
                </w:p>
              </w:tc>
              <w:tc>
                <w:tcPr>
                  <w:tcW w:w="620" w:type="pct"/>
                  <w:tcBorders>
                    <w:top w:val="single" w:color="000000" w:sz="4" w:space="0"/>
                    <w:left w:val="single" w:color="000000" w:sz="4" w:space="0"/>
                    <w:bottom w:val="single" w:color="000000" w:sz="4" w:space="0"/>
                    <w:right w:val="single" w:color="000000" w:sz="4" w:space="0"/>
                  </w:tcBorders>
                  <w:vAlign w:val="center"/>
                </w:tcPr>
                <w:p w14:paraId="6FBEDEFD">
                  <w:pPr>
                    <w:jc w:val="center"/>
                    <w:rPr>
                      <w:color w:val="auto"/>
                      <w:szCs w:val="21"/>
                    </w:rPr>
                  </w:pPr>
                  <w:r>
                    <w:rPr>
                      <w:rFonts w:hint="eastAsia"/>
                      <w:color w:val="auto"/>
                      <w:szCs w:val="21"/>
                      <w:lang w:eastAsia="zh-CN"/>
                    </w:rPr>
                    <w:t>4.</w:t>
                  </w:r>
                  <w:r>
                    <w:rPr>
                      <w:rFonts w:hint="eastAsia"/>
                      <w:color w:val="auto"/>
                      <w:szCs w:val="21"/>
                    </w:rPr>
                    <w:t>厂房</w:t>
                  </w:r>
                </w:p>
                <w:p w14:paraId="7DABA554">
                  <w:pPr>
                    <w:jc w:val="center"/>
                    <w:rPr>
                      <w:color w:val="auto"/>
                      <w:szCs w:val="21"/>
                    </w:rPr>
                  </w:pPr>
                  <w:r>
                    <w:rPr>
                      <w:rFonts w:hint="eastAsia"/>
                      <w:color w:val="auto"/>
                      <w:szCs w:val="21"/>
                    </w:rPr>
                    <w:t>木工车间</w:t>
                  </w:r>
                </w:p>
              </w:tc>
              <w:tc>
                <w:tcPr>
                  <w:tcW w:w="560" w:type="pct"/>
                  <w:tcBorders>
                    <w:top w:val="single" w:color="000000" w:sz="4" w:space="0"/>
                    <w:left w:val="single" w:color="000000" w:sz="4" w:space="0"/>
                    <w:bottom w:val="single" w:color="000000" w:sz="4" w:space="0"/>
                    <w:right w:val="single" w:color="000000" w:sz="4" w:space="0"/>
                  </w:tcBorders>
                  <w:vAlign w:val="center"/>
                </w:tcPr>
                <w:p w14:paraId="4A0DDEC7">
                  <w:pPr>
                    <w:jc w:val="center"/>
                    <w:rPr>
                      <w:color w:val="auto"/>
                      <w:szCs w:val="21"/>
                    </w:rPr>
                  </w:pPr>
                  <w:r>
                    <w:rPr>
                      <w:rFonts w:hint="eastAsia"/>
                      <w:color w:val="auto"/>
                      <w:szCs w:val="21"/>
                    </w:rPr>
                    <w:t>4768.75</w:t>
                  </w:r>
                </w:p>
              </w:tc>
              <w:tc>
                <w:tcPr>
                  <w:tcW w:w="603" w:type="pct"/>
                  <w:tcBorders>
                    <w:top w:val="single" w:color="000000" w:sz="4" w:space="0"/>
                    <w:left w:val="single" w:color="000000" w:sz="4" w:space="0"/>
                    <w:bottom w:val="single" w:color="000000" w:sz="4" w:space="0"/>
                    <w:right w:val="single" w:color="000000" w:sz="4" w:space="0"/>
                  </w:tcBorders>
                  <w:vAlign w:val="center"/>
                </w:tcPr>
                <w:p w14:paraId="67DB3497">
                  <w:pPr>
                    <w:snapToGrid w:val="0"/>
                    <w:jc w:val="center"/>
                    <w:rPr>
                      <w:color w:val="auto"/>
                      <w:szCs w:val="21"/>
                    </w:rPr>
                  </w:pPr>
                  <w:r>
                    <w:rPr>
                      <w:rFonts w:hint="eastAsia"/>
                      <w:color w:val="auto"/>
                      <w:szCs w:val="21"/>
                    </w:rPr>
                    <w:t>4768.75</w:t>
                  </w:r>
                </w:p>
              </w:tc>
              <w:tc>
                <w:tcPr>
                  <w:tcW w:w="395" w:type="pct"/>
                  <w:tcBorders>
                    <w:top w:val="single" w:color="000000" w:sz="4" w:space="0"/>
                    <w:left w:val="single" w:color="000000" w:sz="4" w:space="0"/>
                    <w:bottom w:val="single" w:color="000000" w:sz="4" w:space="0"/>
                    <w:right w:val="single" w:color="000000" w:sz="4" w:space="0"/>
                  </w:tcBorders>
                  <w:vAlign w:val="center"/>
                </w:tcPr>
                <w:p w14:paraId="1EF60A60">
                  <w:pPr>
                    <w:jc w:val="center"/>
                    <w:rPr>
                      <w:color w:val="auto"/>
                      <w:szCs w:val="21"/>
                    </w:rPr>
                  </w:pPr>
                  <w:r>
                    <w:rPr>
                      <w:rFonts w:hint="eastAsia"/>
                      <w:color w:val="auto"/>
                      <w:szCs w:val="21"/>
                    </w:rPr>
                    <w:t>1</w:t>
                  </w:r>
                </w:p>
              </w:tc>
              <w:tc>
                <w:tcPr>
                  <w:tcW w:w="421" w:type="pct"/>
                  <w:vAlign w:val="center"/>
                </w:tcPr>
                <w:p w14:paraId="3134B530">
                  <w:pPr>
                    <w:jc w:val="center"/>
                    <w:rPr>
                      <w:color w:val="auto"/>
                      <w:szCs w:val="21"/>
                    </w:rPr>
                  </w:pPr>
                  <w:r>
                    <w:rPr>
                      <w:rFonts w:hint="eastAsia"/>
                      <w:color w:val="auto"/>
                      <w:szCs w:val="21"/>
                    </w:rPr>
                    <w:t>8.4</w:t>
                  </w:r>
                </w:p>
              </w:tc>
              <w:tc>
                <w:tcPr>
                  <w:tcW w:w="2193" w:type="pct"/>
                  <w:vAlign w:val="center"/>
                </w:tcPr>
                <w:p w14:paraId="79D0275A">
                  <w:pPr>
                    <w:snapToGrid w:val="0"/>
                    <w:jc w:val="center"/>
                    <w:rPr>
                      <w:color w:val="auto"/>
                      <w:szCs w:val="21"/>
                    </w:rPr>
                  </w:pPr>
                  <w:r>
                    <w:rPr>
                      <w:rFonts w:hint="eastAsia"/>
                      <w:bCs/>
                      <w:color w:val="auto"/>
                      <w:szCs w:val="21"/>
                    </w:rPr>
                    <w:t>新建，包括下料、刨槽、钻孔、封边、组装等工艺；本厂房主要涉及木制组件的下料打磨及大理石组件的下料工艺。</w:t>
                  </w:r>
                </w:p>
              </w:tc>
            </w:tr>
            <w:tr w14:paraId="324B71D9">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65F5DF3A">
                  <w:pPr>
                    <w:snapToGrid w:val="0"/>
                    <w:jc w:val="center"/>
                    <w:rPr>
                      <w:color w:val="auto"/>
                      <w:szCs w:val="21"/>
                    </w:rPr>
                  </w:pPr>
                  <w:r>
                    <w:rPr>
                      <w:rFonts w:hint="eastAsia"/>
                      <w:color w:val="auto"/>
                      <w:szCs w:val="21"/>
                    </w:rPr>
                    <w:t>3</w:t>
                  </w:r>
                </w:p>
              </w:tc>
              <w:tc>
                <w:tcPr>
                  <w:tcW w:w="620" w:type="pct"/>
                  <w:tcBorders>
                    <w:top w:val="single" w:color="000000" w:sz="4" w:space="0"/>
                    <w:left w:val="single" w:color="000000" w:sz="4" w:space="0"/>
                    <w:bottom w:val="single" w:color="000000" w:sz="4" w:space="0"/>
                    <w:right w:val="single" w:color="000000" w:sz="4" w:space="0"/>
                  </w:tcBorders>
                  <w:vAlign w:val="center"/>
                </w:tcPr>
                <w:p w14:paraId="08CD9A96">
                  <w:pPr>
                    <w:jc w:val="center"/>
                    <w:rPr>
                      <w:color w:val="auto"/>
                      <w:szCs w:val="21"/>
                    </w:rPr>
                  </w:pPr>
                  <w:r>
                    <w:rPr>
                      <w:rFonts w:hint="eastAsia"/>
                      <w:color w:val="auto"/>
                      <w:szCs w:val="21"/>
                      <w:lang w:eastAsia="zh-CN"/>
                    </w:rPr>
                    <w:t>1.</w:t>
                  </w:r>
                  <w:r>
                    <w:rPr>
                      <w:rFonts w:hint="eastAsia"/>
                      <w:color w:val="auto"/>
                      <w:szCs w:val="21"/>
                    </w:rPr>
                    <w:t>厂房</w:t>
                  </w:r>
                </w:p>
                <w:p w14:paraId="0984D639">
                  <w:pPr>
                    <w:jc w:val="center"/>
                    <w:rPr>
                      <w:color w:val="auto"/>
                      <w:szCs w:val="21"/>
                    </w:rPr>
                  </w:pPr>
                  <w:r>
                    <w:rPr>
                      <w:rFonts w:hint="eastAsia"/>
                      <w:color w:val="auto"/>
                      <w:szCs w:val="21"/>
                    </w:rPr>
                    <w:t>组装车间</w:t>
                  </w:r>
                </w:p>
              </w:tc>
              <w:tc>
                <w:tcPr>
                  <w:tcW w:w="560" w:type="pct"/>
                  <w:tcBorders>
                    <w:top w:val="single" w:color="000000" w:sz="4" w:space="0"/>
                    <w:left w:val="single" w:color="000000" w:sz="4" w:space="0"/>
                    <w:bottom w:val="single" w:color="000000" w:sz="4" w:space="0"/>
                    <w:right w:val="single" w:color="000000" w:sz="4" w:space="0"/>
                  </w:tcBorders>
                  <w:vAlign w:val="center"/>
                </w:tcPr>
                <w:p w14:paraId="7D9B39E3">
                  <w:pPr>
                    <w:jc w:val="center"/>
                    <w:rPr>
                      <w:color w:val="auto"/>
                      <w:szCs w:val="21"/>
                    </w:rPr>
                  </w:pPr>
                  <w:r>
                    <w:rPr>
                      <w:rFonts w:hint="eastAsia"/>
                      <w:color w:val="auto"/>
                      <w:szCs w:val="21"/>
                    </w:rPr>
                    <w:t>10133.9</w:t>
                  </w:r>
                </w:p>
              </w:tc>
              <w:tc>
                <w:tcPr>
                  <w:tcW w:w="603" w:type="pct"/>
                  <w:tcBorders>
                    <w:top w:val="single" w:color="000000" w:sz="4" w:space="0"/>
                    <w:left w:val="single" w:color="000000" w:sz="4" w:space="0"/>
                    <w:bottom w:val="single" w:color="000000" w:sz="4" w:space="0"/>
                    <w:right w:val="single" w:color="000000" w:sz="4" w:space="0"/>
                  </w:tcBorders>
                  <w:vAlign w:val="center"/>
                </w:tcPr>
                <w:p w14:paraId="674753B7">
                  <w:pPr>
                    <w:snapToGrid w:val="0"/>
                    <w:jc w:val="center"/>
                    <w:rPr>
                      <w:color w:val="auto"/>
                      <w:szCs w:val="21"/>
                    </w:rPr>
                  </w:pPr>
                  <w:r>
                    <w:rPr>
                      <w:rFonts w:hint="eastAsia"/>
                      <w:color w:val="auto"/>
                      <w:szCs w:val="21"/>
                    </w:rPr>
                    <w:t>10133.9</w:t>
                  </w:r>
                </w:p>
              </w:tc>
              <w:tc>
                <w:tcPr>
                  <w:tcW w:w="395" w:type="pct"/>
                  <w:tcBorders>
                    <w:top w:val="single" w:color="000000" w:sz="4" w:space="0"/>
                    <w:left w:val="single" w:color="000000" w:sz="4" w:space="0"/>
                    <w:bottom w:val="single" w:color="000000" w:sz="4" w:space="0"/>
                    <w:right w:val="single" w:color="000000" w:sz="4" w:space="0"/>
                  </w:tcBorders>
                  <w:vAlign w:val="center"/>
                </w:tcPr>
                <w:p w14:paraId="3E569E81">
                  <w:pPr>
                    <w:jc w:val="center"/>
                    <w:rPr>
                      <w:color w:val="auto"/>
                      <w:szCs w:val="21"/>
                    </w:rPr>
                  </w:pPr>
                  <w:r>
                    <w:rPr>
                      <w:rFonts w:hint="eastAsia"/>
                      <w:color w:val="auto"/>
                      <w:szCs w:val="21"/>
                    </w:rPr>
                    <w:t>1</w:t>
                  </w:r>
                </w:p>
              </w:tc>
              <w:tc>
                <w:tcPr>
                  <w:tcW w:w="421" w:type="pct"/>
                  <w:vAlign w:val="center"/>
                </w:tcPr>
                <w:p w14:paraId="5873101A">
                  <w:pPr>
                    <w:jc w:val="center"/>
                    <w:rPr>
                      <w:color w:val="auto"/>
                      <w:szCs w:val="21"/>
                    </w:rPr>
                  </w:pPr>
                  <w:r>
                    <w:rPr>
                      <w:rFonts w:hint="eastAsia"/>
                      <w:color w:val="auto"/>
                      <w:szCs w:val="21"/>
                    </w:rPr>
                    <w:t>8.4</w:t>
                  </w:r>
                </w:p>
              </w:tc>
              <w:tc>
                <w:tcPr>
                  <w:tcW w:w="2193" w:type="pct"/>
                  <w:vAlign w:val="center"/>
                </w:tcPr>
                <w:p w14:paraId="42B8154A">
                  <w:pPr>
                    <w:snapToGrid w:val="0"/>
                    <w:jc w:val="center"/>
                    <w:rPr>
                      <w:color w:val="auto"/>
                      <w:szCs w:val="21"/>
                    </w:rPr>
                  </w:pPr>
                  <w:r>
                    <w:rPr>
                      <w:rFonts w:hint="eastAsia"/>
                      <w:bCs/>
                      <w:color w:val="auto"/>
                      <w:szCs w:val="21"/>
                    </w:rPr>
                    <w:t>新建，内设原料区、成品发货区、品质实验室，包括下料、打磨、抛光、丝印、热弯、打胶、组装等工艺；本厂房主要涉及亚克力组件的生产工艺。</w:t>
                  </w:r>
                </w:p>
              </w:tc>
            </w:tr>
            <w:tr w14:paraId="28EF8BF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3BEC8049">
                  <w:pPr>
                    <w:snapToGrid w:val="0"/>
                    <w:jc w:val="center"/>
                    <w:rPr>
                      <w:color w:val="auto"/>
                      <w:szCs w:val="21"/>
                    </w:rPr>
                  </w:pPr>
                  <w:r>
                    <w:rPr>
                      <w:rFonts w:hint="eastAsia"/>
                      <w:color w:val="auto"/>
                      <w:szCs w:val="21"/>
                    </w:rPr>
                    <w:t>4</w:t>
                  </w:r>
                </w:p>
              </w:tc>
              <w:tc>
                <w:tcPr>
                  <w:tcW w:w="620" w:type="pct"/>
                  <w:tcBorders>
                    <w:top w:val="single" w:color="000000" w:sz="4" w:space="0"/>
                    <w:left w:val="single" w:color="000000" w:sz="4" w:space="0"/>
                    <w:bottom w:val="single" w:color="000000" w:sz="4" w:space="0"/>
                    <w:right w:val="single" w:color="000000" w:sz="4" w:space="0"/>
                  </w:tcBorders>
                  <w:vAlign w:val="center"/>
                </w:tcPr>
                <w:p w14:paraId="0EA4F3B0">
                  <w:pPr>
                    <w:jc w:val="center"/>
                    <w:rPr>
                      <w:color w:val="auto"/>
                      <w:szCs w:val="21"/>
                    </w:rPr>
                  </w:pPr>
                  <w:r>
                    <w:rPr>
                      <w:rFonts w:hint="eastAsia"/>
                      <w:color w:val="auto"/>
                      <w:szCs w:val="21"/>
                      <w:lang w:eastAsia="zh-CN"/>
                    </w:rPr>
                    <w:t>2.</w:t>
                  </w:r>
                  <w:r>
                    <w:rPr>
                      <w:rFonts w:hint="eastAsia"/>
                      <w:color w:val="auto"/>
                      <w:szCs w:val="21"/>
                    </w:rPr>
                    <w:t>厂房</w:t>
                  </w:r>
                </w:p>
                <w:p w14:paraId="759F9DD3">
                  <w:pPr>
                    <w:jc w:val="center"/>
                    <w:rPr>
                      <w:color w:val="auto"/>
                      <w:szCs w:val="21"/>
                    </w:rPr>
                  </w:pPr>
                  <w:r>
                    <w:rPr>
                      <w:rFonts w:hint="eastAsia"/>
                      <w:color w:val="auto"/>
                      <w:szCs w:val="21"/>
                    </w:rPr>
                    <w:t>金属车间</w:t>
                  </w:r>
                </w:p>
              </w:tc>
              <w:tc>
                <w:tcPr>
                  <w:tcW w:w="560" w:type="pct"/>
                  <w:tcBorders>
                    <w:top w:val="single" w:color="000000" w:sz="4" w:space="0"/>
                    <w:left w:val="single" w:color="000000" w:sz="4" w:space="0"/>
                    <w:bottom w:val="single" w:color="000000" w:sz="4" w:space="0"/>
                    <w:right w:val="single" w:color="000000" w:sz="4" w:space="0"/>
                  </w:tcBorders>
                  <w:vAlign w:val="center"/>
                </w:tcPr>
                <w:p w14:paraId="6A37E2C1">
                  <w:pPr>
                    <w:jc w:val="center"/>
                    <w:rPr>
                      <w:color w:val="auto"/>
                      <w:szCs w:val="21"/>
                    </w:rPr>
                  </w:pPr>
                  <w:r>
                    <w:rPr>
                      <w:rFonts w:hint="eastAsia"/>
                      <w:color w:val="auto"/>
                      <w:szCs w:val="21"/>
                    </w:rPr>
                    <w:t>9493.75</w:t>
                  </w:r>
                </w:p>
              </w:tc>
              <w:tc>
                <w:tcPr>
                  <w:tcW w:w="603" w:type="pct"/>
                  <w:tcBorders>
                    <w:top w:val="single" w:color="000000" w:sz="4" w:space="0"/>
                    <w:left w:val="single" w:color="000000" w:sz="4" w:space="0"/>
                    <w:bottom w:val="single" w:color="000000" w:sz="4" w:space="0"/>
                    <w:right w:val="single" w:color="000000" w:sz="4" w:space="0"/>
                  </w:tcBorders>
                  <w:vAlign w:val="center"/>
                </w:tcPr>
                <w:p w14:paraId="598F75D3">
                  <w:pPr>
                    <w:snapToGrid w:val="0"/>
                    <w:jc w:val="center"/>
                    <w:rPr>
                      <w:color w:val="auto"/>
                      <w:szCs w:val="21"/>
                    </w:rPr>
                  </w:pPr>
                  <w:r>
                    <w:rPr>
                      <w:rFonts w:hint="eastAsia"/>
                      <w:color w:val="auto"/>
                      <w:szCs w:val="21"/>
                    </w:rPr>
                    <w:t>9493.75</w:t>
                  </w:r>
                </w:p>
              </w:tc>
              <w:tc>
                <w:tcPr>
                  <w:tcW w:w="395" w:type="pct"/>
                  <w:tcBorders>
                    <w:top w:val="single" w:color="000000" w:sz="4" w:space="0"/>
                    <w:left w:val="single" w:color="000000" w:sz="4" w:space="0"/>
                    <w:bottom w:val="single" w:color="000000" w:sz="4" w:space="0"/>
                    <w:right w:val="single" w:color="000000" w:sz="4" w:space="0"/>
                  </w:tcBorders>
                  <w:vAlign w:val="center"/>
                </w:tcPr>
                <w:p w14:paraId="4887A7F3">
                  <w:pPr>
                    <w:jc w:val="center"/>
                    <w:rPr>
                      <w:color w:val="auto"/>
                      <w:szCs w:val="21"/>
                    </w:rPr>
                  </w:pPr>
                  <w:r>
                    <w:rPr>
                      <w:rFonts w:hint="eastAsia"/>
                      <w:color w:val="auto"/>
                      <w:szCs w:val="21"/>
                    </w:rPr>
                    <w:t>1</w:t>
                  </w:r>
                </w:p>
              </w:tc>
              <w:tc>
                <w:tcPr>
                  <w:tcW w:w="421" w:type="pct"/>
                  <w:vAlign w:val="center"/>
                </w:tcPr>
                <w:p w14:paraId="0AB25614">
                  <w:pPr>
                    <w:jc w:val="center"/>
                    <w:rPr>
                      <w:color w:val="auto"/>
                      <w:szCs w:val="21"/>
                    </w:rPr>
                  </w:pPr>
                  <w:r>
                    <w:rPr>
                      <w:rFonts w:hint="eastAsia"/>
                      <w:color w:val="auto"/>
                      <w:szCs w:val="21"/>
                    </w:rPr>
                    <w:t>8.4</w:t>
                  </w:r>
                </w:p>
              </w:tc>
              <w:tc>
                <w:tcPr>
                  <w:tcW w:w="2193" w:type="pct"/>
                  <w:vAlign w:val="center"/>
                </w:tcPr>
                <w:p w14:paraId="30418E1E">
                  <w:pPr>
                    <w:snapToGrid w:val="0"/>
                    <w:jc w:val="center"/>
                    <w:rPr>
                      <w:color w:val="auto"/>
                      <w:szCs w:val="21"/>
                    </w:rPr>
                  </w:pPr>
                  <w:r>
                    <w:rPr>
                      <w:rFonts w:hint="eastAsia"/>
                      <w:bCs/>
                      <w:color w:val="auto"/>
                      <w:szCs w:val="21"/>
                    </w:rPr>
                    <w:t>新建，包括抛光、打磨、焊接、下料、刨槽、折弯、冷压等工艺；本厂房主要涉及金属组件的生产工艺。</w:t>
                  </w:r>
                </w:p>
              </w:tc>
            </w:tr>
            <w:tr w14:paraId="5BC7313B">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60DBAFD5">
                  <w:pPr>
                    <w:snapToGrid w:val="0"/>
                    <w:jc w:val="center"/>
                    <w:rPr>
                      <w:color w:val="auto"/>
                      <w:szCs w:val="21"/>
                    </w:rPr>
                  </w:pPr>
                  <w:r>
                    <w:rPr>
                      <w:rFonts w:hint="eastAsia"/>
                      <w:color w:val="auto"/>
                      <w:szCs w:val="21"/>
                    </w:rPr>
                    <w:t>5</w:t>
                  </w:r>
                </w:p>
              </w:tc>
              <w:tc>
                <w:tcPr>
                  <w:tcW w:w="620" w:type="pct"/>
                  <w:tcBorders>
                    <w:top w:val="single" w:color="000000" w:sz="4" w:space="0"/>
                    <w:left w:val="single" w:color="000000" w:sz="4" w:space="0"/>
                    <w:bottom w:val="single" w:color="000000" w:sz="4" w:space="0"/>
                    <w:right w:val="single" w:color="000000" w:sz="4" w:space="0"/>
                  </w:tcBorders>
                  <w:vAlign w:val="center"/>
                </w:tcPr>
                <w:p w14:paraId="0DB2E2F4">
                  <w:pPr>
                    <w:jc w:val="center"/>
                    <w:rPr>
                      <w:color w:val="auto"/>
                      <w:szCs w:val="21"/>
                    </w:rPr>
                  </w:pPr>
                  <w:r>
                    <w:rPr>
                      <w:rFonts w:hint="eastAsia"/>
                      <w:color w:val="auto"/>
                      <w:szCs w:val="21"/>
                    </w:rPr>
                    <w:t>办公楼</w:t>
                  </w:r>
                </w:p>
              </w:tc>
              <w:tc>
                <w:tcPr>
                  <w:tcW w:w="560" w:type="pct"/>
                  <w:tcBorders>
                    <w:top w:val="single" w:color="000000" w:sz="4" w:space="0"/>
                    <w:left w:val="single" w:color="000000" w:sz="4" w:space="0"/>
                    <w:bottom w:val="single" w:color="000000" w:sz="4" w:space="0"/>
                    <w:right w:val="single" w:color="000000" w:sz="4" w:space="0"/>
                  </w:tcBorders>
                  <w:vAlign w:val="center"/>
                </w:tcPr>
                <w:p w14:paraId="3C950D6C">
                  <w:pPr>
                    <w:jc w:val="center"/>
                    <w:rPr>
                      <w:color w:val="auto"/>
                      <w:szCs w:val="21"/>
                    </w:rPr>
                  </w:pPr>
                  <w:r>
                    <w:rPr>
                      <w:rFonts w:hint="eastAsia"/>
                      <w:color w:val="auto"/>
                      <w:szCs w:val="21"/>
                    </w:rPr>
                    <w:t>5881.71</w:t>
                  </w:r>
                </w:p>
              </w:tc>
              <w:tc>
                <w:tcPr>
                  <w:tcW w:w="603" w:type="pct"/>
                  <w:tcBorders>
                    <w:top w:val="single" w:color="000000" w:sz="4" w:space="0"/>
                    <w:left w:val="single" w:color="000000" w:sz="4" w:space="0"/>
                    <w:bottom w:val="single" w:color="000000" w:sz="4" w:space="0"/>
                    <w:right w:val="single" w:color="000000" w:sz="4" w:space="0"/>
                  </w:tcBorders>
                  <w:vAlign w:val="center"/>
                </w:tcPr>
                <w:p w14:paraId="04E9C657">
                  <w:pPr>
                    <w:snapToGrid w:val="0"/>
                    <w:jc w:val="center"/>
                    <w:rPr>
                      <w:color w:val="auto"/>
                      <w:szCs w:val="21"/>
                    </w:rPr>
                  </w:pPr>
                  <w:r>
                    <w:rPr>
                      <w:rFonts w:hint="eastAsia"/>
                      <w:color w:val="auto"/>
                      <w:szCs w:val="21"/>
                    </w:rPr>
                    <w:t>1960.57</w:t>
                  </w:r>
                </w:p>
              </w:tc>
              <w:tc>
                <w:tcPr>
                  <w:tcW w:w="395" w:type="pct"/>
                  <w:tcBorders>
                    <w:top w:val="single" w:color="000000" w:sz="4" w:space="0"/>
                    <w:left w:val="single" w:color="000000" w:sz="4" w:space="0"/>
                    <w:bottom w:val="single" w:color="000000" w:sz="4" w:space="0"/>
                    <w:right w:val="single" w:color="000000" w:sz="4" w:space="0"/>
                  </w:tcBorders>
                  <w:vAlign w:val="center"/>
                </w:tcPr>
                <w:p w14:paraId="25B94C73">
                  <w:pPr>
                    <w:jc w:val="center"/>
                    <w:rPr>
                      <w:color w:val="auto"/>
                      <w:szCs w:val="21"/>
                    </w:rPr>
                  </w:pPr>
                  <w:r>
                    <w:rPr>
                      <w:rFonts w:hint="eastAsia"/>
                      <w:color w:val="auto"/>
                      <w:szCs w:val="21"/>
                    </w:rPr>
                    <w:t>3</w:t>
                  </w:r>
                </w:p>
              </w:tc>
              <w:tc>
                <w:tcPr>
                  <w:tcW w:w="421" w:type="pct"/>
                  <w:vAlign w:val="center"/>
                </w:tcPr>
                <w:p w14:paraId="10F1DD6E">
                  <w:pPr>
                    <w:jc w:val="center"/>
                    <w:rPr>
                      <w:color w:val="auto"/>
                      <w:szCs w:val="21"/>
                    </w:rPr>
                  </w:pPr>
                  <w:r>
                    <w:rPr>
                      <w:rFonts w:hint="eastAsia"/>
                      <w:color w:val="auto"/>
                      <w:szCs w:val="21"/>
                    </w:rPr>
                    <w:t>一层6.0米、二三层4.5米</w:t>
                  </w:r>
                </w:p>
              </w:tc>
              <w:tc>
                <w:tcPr>
                  <w:tcW w:w="2193" w:type="pct"/>
                  <w:vAlign w:val="center"/>
                </w:tcPr>
                <w:p w14:paraId="32C426C2">
                  <w:pPr>
                    <w:snapToGrid w:val="0"/>
                    <w:jc w:val="center"/>
                    <w:rPr>
                      <w:color w:val="auto"/>
                      <w:szCs w:val="21"/>
                    </w:rPr>
                  </w:pPr>
                  <w:r>
                    <w:rPr>
                      <w:rFonts w:hint="eastAsia"/>
                      <w:bCs/>
                      <w:color w:val="auto"/>
                      <w:szCs w:val="21"/>
                    </w:rPr>
                    <w:t>新建</w:t>
                  </w:r>
                </w:p>
              </w:tc>
            </w:tr>
            <w:tr w14:paraId="19E66409">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6CFB21B3">
                  <w:pPr>
                    <w:snapToGrid w:val="0"/>
                    <w:jc w:val="center"/>
                    <w:rPr>
                      <w:color w:val="auto"/>
                      <w:szCs w:val="21"/>
                    </w:rPr>
                  </w:pPr>
                  <w:r>
                    <w:rPr>
                      <w:rFonts w:hint="eastAsia"/>
                      <w:color w:val="auto"/>
                      <w:szCs w:val="21"/>
                    </w:rPr>
                    <w:t>6</w:t>
                  </w:r>
                </w:p>
              </w:tc>
              <w:tc>
                <w:tcPr>
                  <w:tcW w:w="620" w:type="pct"/>
                  <w:tcBorders>
                    <w:top w:val="single" w:color="000000" w:sz="4" w:space="0"/>
                    <w:left w:val="single" w:color="000000" w:sz="4" w:space="0"/>
                    <w:bottom w:val="single" w:color="000000" w:sz="4" w:space="0"/>
                    <w:right w:val="single" w:color="000000" w:sz="4" w:space="0"/>
                  </w:tcBorders>
                  <w:vAlign w:val="center"/>
                </w:tcPr>
                <w:p w14:paraId="63EADBF6">
                  <w:pPr>
                    <w:jc w:val="center"/>
                    <w:rPr>
                      <w:color w:val="auto"/>
                      <w:szCs w:val="21"/>
                    </w:rPr>
                  </w:pPr>
                  <w:r>
                    <w:rPr>
                      <w:rFonts w:hint="eastAsia"/>
                      <w:color w:val="auto"/>
                      <w:szCs w:val="21"/>
                    </w:rPr>
                    <w:t>化学品仓库</w:t>
                  </w:r>
                </w:p>
              </w:tc>
              <w:tc>
                <w:tcPr>
                  <w:tcW w:w="560" w:type="pct"/>
                  <w:tcBorders>
                    <w:top w:val="single" w:color="000000" w:sz="4" w:space="0"/>
                    <w:left w:val="single" w:color="000000" w:sz="4" w:space="0"/>
                    <w:bottom w:val="single" w:color="000000" w:sz="4" w:space="0"/>
                    <w:right w:val="single" w:color="000000" w:sz="4" w:space="0"/>
                  </w:tcBorders>
                  <w:vAlign w:val="center"/>
                </w:tcPr>
                <w:p w14:paraId="587B762C">
                  <w:pPr>
                    <w:jc w:val="center"/>
                    <w:rPr>
                      <w:color w:val="auto"/>
                      <w:szCs w:val="21"/>
                    </w:rPr>
                  </w:pPr>
                  <w:r>
                    <w:rPr>
                      <w:rFonts w:hint="eastAsia"/>
                      <w:color w:val="auto"/>
                      <w:szCs w:val="21"/>
                    </w:rPr>
                    <w:t>248.24</w:t>
                  </w:r>
                </w:p>
              </w:tc>
              <w:tc>
                <w:tcPr>
                  <w:tcW w:w="603" w:type="pct"/>
                  <w:tcBorders>
                    <w:top w:val="single" w:color="000000" w:sz="4" w:space="0"/>
                    <w:left w:val="single" w:color="000000" w:sz="4" w:space="0"/>
                    <w:bottom w:val="single" w:color="000000" w:sz="4" w:space="0"/>
                    <w:right w:val="single" w:color="000000" w:sz="4" w:space="0"/>
                  </w:tcBorders>
                  <w:vAlign w:val="center"/>
                </w:tcPr>
                <w:p w14:paraId="3F897276">
                  <w:pPr>
                    <w:snapToGrid w:val="0"/>
                    <w:jc w:val="center"/>
                    <w:rPr>
                      <w:color w:val="auto"/>
                      <w:szCs w:val="21"/>
                    </w:rPr>
                  </w:pPr>
                  <w:r>
                    <w:rPr>
                      <w:rFonts w:hint="eastAsia"/>
                      <w:color w:val="auto"/>
                      <w:szCs w:val="21"/>
                    </w:rPr>
                    <w:t>248.24</w:t>
                  </w:r>
                </w:p>
              </w:tc>
              <w:tc>
                <w:tcPr>
                  <w:tcW w:w="395" w:type="pct"/>
                  <w:tcBorders>
                    <w:top w:val="single" w:color="000000" w:sz="4" w:space="0"/>
                    <w:left w:val="single" w:color="000000" w:sz="4" w:space="0"/>
                    <w:bottom w:val="single" w:color="000000" w:sz="4" w:space="0"/>
                    <w:right w:val="single" w:color="000000" w:sz="4" w:space="0"/>
                  </w:tcBorders>
                  <w:vAlign w:val="center"/>
                </w:tcPr>
                <w:p w14:paraId="2585437A">
                  <w:pPr>
                    <w:jc w:val="center"/>
                    <w:rPr>
                      <w:color w:val="auto"/>
                      <w:szCs w:val="21"/>
                    </w:rPr>
                  </w:pPr>
                  <w:r>
                    <w:rPr>
                      <w:rFonts w:hint="eastAsia"/>
                      <w:color w:val="auto"/>
                      <w:szCs w:val="21"/>
                    </w:rPr>
                    <w:t>1</w:t>
                  </w:r>
                </w:p>
              </w:tc>
              <w:tc>
                <w:tcPr>
                  <w:tcW w:w="421" w:type="pct"/>
                  <w:vAlign w:val="center"/>
                </w:tcPr>
                <w:p w14:paraId="372C514C">
                  <w:pPr>
                    <w:jc w:val="center"/>
                    <w:rPr>
                      <w:color w:val="auto"/>
                      <w:szCs w:val="21"/>
                    </w:rPr>
                  </w:pPr>
                  <w:r>
                    <w:rPr>
                      <w:rFonts w:hint="eastAsia"/>
                      <w:color w:val="auto"/>
                      <w:szCs w:val="21"/>
                    </w:rPr>
                    <w:t>4.5</w:t>
                  </w:r>
                </w:p>
              </w:tc>
              <w:tc>
                <w:tcPr>
                  <w:tcW w:w="2193" w:type="pct"/>
                  <w:vAlign w:val="center"/>
                </w:tcPr>
                <w:p w14:paraId="6AE4A678">
                  <w:pPr>
                    <w:snapToGrid w:val="0"/>
                    <w:jc w:val="center"/>
                    <w:rPr>
                      <w:color w:val="auto"/>
                      <w:szCs w:val="21"/>
                    </w:rPr>
                  </w:pPr>
                  <w:r>
                    <w:rPr>
                      <w:rFonts w:hint="eastAsia"/>
                      <w:bCs/>
                      <w:color w:val="auto"/>
                      <w:szCs w:val="21"/>
                    </w:rPr>
                    <w:t>新建</w:t>
                  </w:r>
                </w:p>
              </w:tc>
            </w:tr>
            <w:tr w14:paraId="62747549">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3F0B6CB9">
                  <w:pPr>
                    <w:snapToGrid w:val="0"/>
                    <w:jc w:val="center"/>
                    <w:rPr>
                      <w:color w:val="auto"/>
                      <w:szCs w:val="21"/>
                    </w:rPr>
                  </w:pPr>
                  <w:r>
                    <w:rPr>
                      <w:rFonts w:hint="eastAsia"/>
                      <w:color w:val="auto"/>
                      <w:szCs w:val="21"/>
                    </w:rPr>
                    <w:t>7</w:t>
                  </w:r>
                </w:p>
              </w:tc>
              <w:tc>
                <w:tcPr>
                  <w:tcW w:w="620" w:type="pct"/>
                  <w:tcBorders>
                    <w:top w:val="single" w:color="000000" w:sz="4" w:space="0"/>
                    <w:left w:val="single" w:color="000000" w:sz="4" w:space="0"/>
                    <w:bottom w:val="single" w:color="000000" w:sz="4" w:space="0"/>
                    <w:right w:val="single" w:color="000000" w:sz="4" w:space="0"/>
                  </w:tcBorders>
                  <w:vAlign w:val="center"/>
                </w:tcPr>
                <w:p w14:paraId="7626DCAD">
                  <w:pPr>
                    <w:jc w:val="center"/>
                    <w:rPr>
                      <w:color w:val="auto"/>
                      <w:szCs w:val="21"/>
                    </w:rPr>
                  </w:pPr>
                  <w:r>
                    <w:rPr>
                      <w:rFonts w:hint="eastAsia"/>
                      <w:color w:val="auto"/>
                      <w:szCs w:val="21"/>
                    </w:rPr>
                    <w:t>危废仓库</w:t>
                  </w:r>
                </w:p>
              </w:tc>
              <w:tc>
                <w:tcPr>
                  <w:tcW w:w="560" w:type="pct"/>
                  <w:tcBorders>
                    <w:top w:val="single" w:color="000000" w:sz="4" w:space="0"/>
                    <w:left w:val="single" w:color="000000" w:sz="4" w:space="0"/>
                    <w:bottom w:val="single" w:color="000000" w:sz="4" w:space="0"/>
                    <w:right w:val="single" w:color="000000" w:sz="4" w:space="0"/>
                  </w:tcBorders>
                  <w:vAlign w:val="center"/>
                </w:tcPr>
                <w:p w14:paraId="69EF3D4C">
                  <w:pPr>
                    <w:jc w:val="center"/>
                    <w:rPr>
                      <w:rFonts w:hint="default" w:eastAsia="宋体"/>
                      <w:color w:val="auto"/>
                      <w:szCs w:val="21"/>
                      <w:lang w:val="en-US" w:eastAsia="zh-CN"/>
                    </w:rPr>
                  </w:pPr>
                  <w:r>
                    <w:rPr>
                      <w:rFonts w:hint="eastAsia"/>
                      <w:color w:val="auto"/>
                      <w:szCs w:val="21"/>
                      <w:lang w:val="en-US" w:eastAsia="zh-CN"/>
                    </w:rPr>
                    <w:t>32.3</w:t>
                  </w:r>
                </w:p>
              </w:tc>
              <w:tc>
                <w:tcPr>
                  <w:tcW w:w="603" w:type="pct"/>
                  <w:tcBorders>
                    <w:top w:val="single" w:color="000000" w:sz="4" w:space="0"/>
                    <w:left w:val="single" w:color="000000" w:sz="4" w:space="0"/>
                    <w:bottom w:val="single" w:color="000000" w:sz="4" w:space="0"/>
                    <w:right w:val="single" w:color="000000" w:sz="4" w:space="0"/>
                  </w:tcBorders>
                  <w:vAlign w:val="center"/>
                </w:tcPr>
                <w:p w14:paraId="35700473">
                  <w:pPr>
                    <w:snapToGrid w:val="0"/>
                    <w:jc w:val="center"/>
                    <w:rPr>
                      <w:rFonts w:hint="default" w:eastAsia="宋体"/>
                      <w:color w:val="auto"/>
                      <w:szCs w:val="21"/>
                      <w:lang w:val="en-US" w:eastAsia="zh-CN"/>
                    </w:rPr>
                  </w:pPr>
                  <w:r>
                    <w:rPr>
                      <w:rFonts w:hint="eastAsia"/>
                      <w:color w:val="auto"/>
                      <w:szCs w:val="21"/>
                      <w:lang w:val="en-US" w:eastAsia="zh-CN"/>
                    </w:rPr>
                    <w:t>32.3</w:t>
                  </w:r>
                </w:p>
              </w:tc>
              <w:tc>
                <w:tcPr>
                  <w:tcW w:w="395" w:type="pct"/>
                  <w:tcBorders>
                    <w:top w:val="single" w:color="000000" w:sz="4" w:space="0"/>
                    <w:left w:val="single" w:color="000000" w:sz="4" w:space="0"/>
                    <w:bottom w:val="single" w:color="000000" w:sz="4" w:space="0"/>
                    <w:right w:val="single" w:color="000000" w:sz="4" w:space="0"/>
                  </w:tcBorders>
                  <w:vAlign w:val="center"/>
                </w:tcPr>
                <w:p w14:paraId="42723693">
                  <w:pPr>
                    <w:jc w:val="center"/>
                    <w:rPr>
                      <w:color w:val="auto"/>
                      <w:szCs w:val="21"/>
                    </w:rPr>
                  </w:pPr>
                  <w:r>
                    <w:rPr>
                      <w:rFonts w:hint="eastAsia"/>
                      <w:color w:val="auto"/>
                      <w:szCs w:val="21"/>
                    </w:rPr>
                    <w:t>1</w:t>
                  </w:r>
                </w:p>
              </w:tc>
              <w:tc>
                <w:tcPr>
                  <w:tcW w:w="421" w:type="pct"/>
                  <w:vAlign w:val="center"/>
                </w:tcPr>
                <w:p w14:paraId="443B060F">
                  <w:pPr>
                    <w:jc w:val="center"/>
                    <w:rPr>
                      <w:color w:val="auto"/>
                      <w:szCs w:val="21"/>
                    </w:rPr>
                  </w:pPr>
                  <w:r>
                    <w:rPr>
                      <w:rFonts w:hint="eastAsia"/>
                      <w:color w:val="auto"/>
                      <w:szCs w:val="21"/>
                    </w:rPr>
                    <w:t>4.5</w:t>
                  </w:r>
                </w:p>
              </w:tc>
              <w:tc>
                <w:tcPr>
                  <w:tcW w:w="2193" w:type="pct"/>
                  <w:vAlign w:val="center"/>
                </w:tcPr>
                <w:p w14:paraId="3162572B">
                  <w:pPr>
                    <w:snapToGrid w:val="0"/>
                    <w:jc w:val="center"/>
                    <w:rPr>
                      <w:rFonts w:hint="eastAsia" w:eastAsia="宋体"/>
                      <w:color w:val="auto"/>
                      <w:szCs w:val="21"/>
                      <w:lang w:eastAsia="zh-CN"/>
                    </w:rPr>
                  </w:pPr>
                  <w:r>
                    <w:rPr>
                      <w:rFonts w:hint="eastAsia"/>
                      <w:bCs/>
                      <w:color w:val="auto"/>
                      <w:szCs w:val="21"/>
                    </w:rPr>
                    <w:t>新建</w:t>
                  </w:r>
                  <w:r>
                    <w:rPr>
                      <w:rFonts w:hint="eastAsia"/>
                      <w:bCs/>
                      <w:color w:val="auto"/>
                      <w:szCs w:val="21"/>
                      <w:lang w:eastAsia="zh-CN"/>
                    </w:rPr>
                    <w:t>（</w:t>
                  </w:r>
                  <w:r>
                    <w:rPr>
                      <w:rFonts w:hint="eastAsia"/>
                      <w:bCs/>
                      <w:color w:val="auto"/>
                      <w:szCs w:val="21"/>
                      <w:lang w:val="en-US" w:eastAsia="zh-CN"/>
                    </w:rPr>
                    <w:t>位于3#厂房油漆车间西北角</w:t>
                  </w:r>
                  <w:r>
                    <w:rPr>
                      <w:rFonts w:hint="eastAsia"/>
                      <w:bCs/>
                      <w:color w:val="auto"/>
                      <w:szCs w:val="21"/>
                      <w:lang w:eastAsia="zh-CN"/>
                    </w:rPr>
                    <w:t>）</w:t>
                  </w:r>
                </w:p>
              </w:tc>
            </w:tr>
            <w:tr w14:paraId="298D4C5B">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193FD9E1">
                  <w:pPr>
                    <w:snapToGrid w:val="0"/>
                    <w:jc w:val="center"/>
                    <w:rPr>
                      <w:color w:val="auto"/>
                      <w:szCs w:val="21"/>
                    </w:rPr>
                  </w:pPr>
                  <w:r>
                    <w:rPr>
                      <w:rFonts w:hint="eastAsia"/>
                      <w:color w:val="auto"/>
                      <w:szCs w:val="21"/>
                    </w:rPr>
                    <w:t>8</w:t>
                  </w:r>
                </w:p>
              </w:tc>
              <w:tc>
                <w:tcPr>
                  <w:tcW w:w="620" w:type="pct"/>
                  <w:tcBorders>
                    <w:top w:val="single" w:color="000000" w:sz="4" w:space="0"/>
                    <w:left w:val="single" w:color="000000" w:sz="4" w:space="0"/>
                    <w:bottom w:val="single" w:color="000000" w:sz="4" w:space="0"/>
                    <w:right w:val="single" w:color="000000" w:sz="4" w:space="0"/>
                  </w:tcBorders>
                  <w:vAlign w:val="center"/>
                </w:tcPr>
                <w:p w14:paraId="612E8B21">
                  <w:pPr>
                    <w:jc w:val="center"/>
                    <w:rPr>
                      <w:color w:val="auto"/>
                      <w:szCs w:val="21"/>
                    </w:rPr>
                  </w:pPr>
                  <w:r>
                    <w:rPr>
                      <w:rFonts w:hint="eastAsia"/>
                      <w:color w:val="auto"/>
                      <w:szCs w:val="21"/>
                    </w:rPr>
                    <w:t>一般固废仓库</w:t>
                  </w:r>
                </w:p>
              </w:tc>
              <w:tc>
                <w:tcPr>
                  <w:tcW w:w="560" w:type="pct"/>
                  <w:tcBorders>
                    <w:top w:val="single" w:color="000000" w:sz="4" w:space="0"/>
                    <w:left w:val="single" w:color="000000" w:sz="4" w:space="0"/>
                    <w:bottom w:val="single" w:color="000000" w:sz="4" w:space="0"/>
                    <w:right w:val="single" w:color="000000" w:sz="4" w:space="0"/>
                  </w:tcBorders>
                  <w:vAlign w:val="center"/>
                </w:tcPr>
                <w:p w14:paraId="24E334C2">
                  <w:pPr>
                    <w:jc w:val="center"/>
                    <w:rPr>
                      <w:color w:val="auto"/>
                      <w:szCs w:val="21"/>
                    </w:rPr>
                  </w:pPr>
                  <w:r>
                    <w:rPr>
                      <w:rFonts w:hint="eastAsia"/>
                      <w:color w:val="auto"/>
                      <w:szCs w:val="21"/>
                    </w:rPr>
                    <w:t>206</w:t>
                  </w:r>
                </w:p>
              </w:tc>
              <w:tc>
                <w:tcPr>
                  <w:tcW w:w="603" w:type="pct"/>
                  <w:tcBorders>
                    <w:top w:val="single" w:color="000000" w:sz="4" w:space="0"/>
                    <w:left w:val="single" w:color="000000" w:sz="4" w:space="0"/>
                    <w:bottom w:val="single" w:color="000000" w:sz="4" w:space="0"/>
                    <w:right w:val="single" w:color="000000" w:sz="4" w:space="0"/>
                  </w:tcBorders>
                  <w:vAlign w:val="center"/>
                </w:tcPr>
                <w:p w14:paraId="4CA82EBE">
                  <w:pPr>
                    <w:snapToGrid w:val="0"/>
                    <w:jc w:val="center"/>
                    <w:rPr>
                      <w:color w:val="auto"/>
                      <w:szCs w:val="21"/>
                    </w:rPr>
                  </w:pPr>
                  <w:r>
                    <w:rPr>
                      <w:rFonts w:hint="eastAsia"/>
                      <w:color w:val="auto"/>
                      <w:szCs w:val="21"/>
                    </w:rPr>
                    <w:t>206</w:t>
                  </w:r>
                </w:p>
              </w:tc>
              <w:tc>
                <w:tcPr>
                  <w:tcW w:w="395" w:type="pct"/>
                  <w:tcBorders>
                    <w:top w:val="single" w:color="000000" w:sz="4" w:space="0"/>
                    <w:left w:val="single" w:color="000000" w:sz="4" w:space="0"/>
                    <w:bottom w:val="single" w:color="000000" w:sz="4" w:space="0"/>
                    <w:right w:val="single" w:color="000000" w:sz="4" w:space="0"/>
                  </w:tcBorders>
                  <w:vAlign w:val="center"/>
                </w:tcPr>
                <w:p w14:paraId="315D73BD">
                  <w:pPr>
                    <w:jc w:val="center"/>
                    <w:rPr>
                      <w:color w:val="auto"/>
                      <w:szCs w:val="21"/>
                    </w:rPr>
                  </w:pPr>
                  <w:r>
                    <w:rPr>
                      <w:rFonts w:hint="eastAsia"/>
                      <w:color w:val="auto"/>
                      <w:szCs w:val="21"/>
                    </w:rPr>
                    <w:t>1</w:t>
                  </w:r>
                </w:p>
              </w:tc>
              <w:tc>
                <w:tcPr>
                  <w:tcW w:w="421" w:type="pct"/>
                  <w:vAlign w:val="center"/>
                </w:tcPr>
                <w:p w14:paraId="63EC31F4">
                  <w:pPr>
                    <w:jc w:val="center"/>
                    <w:rPr>
                      <w:color w:val="auto"/>
                      <w:szCs w:val="21"/>
                    </w:rPr>
                  </w:pPr>
                  <w:r>
                    <w:rPr>
                      <w:rFonts w:hint="eastAsia"/>
                      <w:color w:val="auto"/>
                      <w:szCs w:val="21"/>
                    </w:rPr>
                    <w:t>4.5</w:t>
                  </w:r>
                </w:p>
              </w:tc>
              <w:tc>
                <w:tcPr>
                  <w:tcW w:w="2193" w:type="pct"/>
                  <w:vAlign w:val="center"/>
                </w:tcPr>
                <w:p w14:paraId="2FC8E923">
                  <w:pPr>
                    <w:snapToGrid w:val="0"/>
                    <w:jc w:val="center"/>
                    <w:rPr>
                      <w:color w:val="auto"/>
                      <w:szCs w:val="21"/>
                    </w:rPr>
                  </w:pPr>
                  <w:r>
                    <w:rPr>
                      <w:rFonts w:hint="eastAsia"/>
                      <w:bCs/>
                      <w:color w:val="auto"/>
                      <w:szCs w:val="21"/>
                    </w:rPr>
                    <w:t>新建</w:t>
                  </w:r>
                </w:p>
              </w:tc>
            </w:tr>
            <w:tr w14:paraId="4E83486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24D18F32">
                  <w:pPr>
                    <w:snapToGrid w:val="0"/>
                    <w:jc w:val="center"/>
                    <w:rPr>
                      <w:color w:val="auto"/>
                      <w:szCs w:val="21"/>
                    </w:rPr>
                  </w:pPr>
                  <w:r>
                    <w:rPr>
                      <w:rFonts w:hint="eastAsia"/>
                      <w:color w:val="auto"/>
                      <w:szCs w:val="21"/>
                    </w:rPr>
                    <w:t>9</w:t>
                  </w:r>
                </w:p>
              </w:tc>
              <w:tc>
                <w:tcPr>
                  <w:tcW w:w="620" w:type="pct"/>
                  <w:tcBorders>
                    <w:top w:val="single" w:color="000000" w:sz="4" w:space="0"/>
                    <w:left w:val="single" w:color="000000" w:sz="4" w:space="0"/>
                    <w:bottom w:val="single" w:color="000000" w:sz="4" w:space="0"/>
                    <w:right w:val="single" w:color="000000" w:sz="4" w:space="0"/>
                  </w:tcBorders>
                  <w:vAlign w:val="center"/>
                </w:tcPr>
                <w:p w14:paraId="61955B49">
                  <w:pPr>
                    <w:jc w:val="center"/>
                    <w:rPr>
                      <w:color w:val="auto"/>
                      <w:szCs w:val="21"/>
                    </w:rPr>
                  </w:pPr>
                  <w:r>
                    <w:rPr>
                      <w:rFonts w:hint="eastAsia"/>
                      <w:color w:val="auto"/>
                      <w:szCs w:val="21"/>
                      <w:lang w:eastAsia="zh-CN"/>
                    </w:rPr>
                    <w:t>5.</w:t>
                  </w:r>
                  <w:r>
                    <w:rPr>
                      <w:rFonts w:hint="eastAsia"/>
                      <w:color w:val="auto"/>
                      <w:szCs w:val="21"/>
                    </w:rPr>
                    <w:t>厂房</w:t>
                  </w:r>
                </w:p>
              </w:tc>
              <w:tc>
                <w:tcPr>
                  <w:tcW w:w="560" w:type="pct"/>
                  <w:tcBorders>
                    <w:top w:val="single" w:color="000000" w:sz="4" w:space="0"/>
                    <w:left w:val="single" w:color="000000" w:sz="4" w:space="0"/>
                    <w:bottom w:val="single" w:color="000000" w:sz="4" w:space="0"/>
                    <w:right w:val="single" w:color="000000" w:sz="4" w:space="0"/>
                  </w:tcBorders>
                  <w:vAlign w:val="center"/>
                </w:tcPr>
                <w:p w14:paraId="69D883F7">
                  <w:pPr>
                    <w:jc w:val="center"/>
                    <w:rPr>
                      <w:color w:val="auto"/>
                      <w:szCs w:val="21"/>
                    </w:rPr>
                  </w:pPr>
                  <w:r>
                    <w:rPr>
                      <w:rFonts w:hint="eastAsia"/>
                      <w:color w:val="auto"/>
                      <w:szCs w:val="21"/>
                    </w:rPr>
                    <w:t>7612.1</w:t>
                  </w:r>
                </w:p>
              </w:tc>
              <w:tc>
                <w:tcPr>
                  <w:tcW w:w="603" w:type="pct"/>
                  <w:tcBorders>
                    <w:top w:val="single" w:color="000000" w:sz="4" w:space="0"/>
                    <w:left w:val="single" w:color="000000" w:sz="4" w:space="0"/>
                    <w:bottom w:val="single" w:color="000000" w:sz="4" w:space="0"/>
                    <w:right w:val="single" w:color="000000" w:sz="4" w:space="0"/>
                  </w:tcBorders>
                  <w:vAlign w:val="center"/>
                </w:tcPr>
                <w:p w14:paraId="12A8FCE8">
                  <w:pPr>
                    <w:jc w:val="center"/>
                    <w:rPr>
                      <w:color w:val="auto"/>
                      <w:szCs w:val="21"/>
                    </w:rPr>
                  </w:pPr>
                  <w:r>
                    <w:rPr>
                      <w:rFonts w:hint="eastAsia"/>
                      <w:color w:val="auto"/>
                      <w:szCs w:val="21"/>
                    </w:rPr>
                    <w:t>7612.1</w:t>
                  </w:r>
                </w:p>
              </w:tc>
              <w:tc>
                <w:tcPr>
                  <w:tcW w:w="395" w:type="pct"/>
                  <w:tcBorders>
                    <w:top w:val="single" w:color="000000" w:sz="4" w:space="0"/>
                    <w:left w:val="single" w:color="000000" w:sz="4" w:space="0"/>
                    <w:bottom w:val="single" w:color="000000" w:sz="4" w:space="0"/>
                    <w:right w:val="single" w:color="000000" w:sz="4" w:space="0"/>
                  </w:tcBorders>
                  <w:vAlign w:val="center"/>
                </w:tcPr>
                <w:p w14:paraId="3D884FC0">
                  <w:pPr>
                    <w:jc w:val="center"/>
                    <w:rPr>
                      <w:color w:val="auto"/>
                      <w:szCs w:val="21"/>
                    </w:rPr>
                  </w:pPr>
                  <w:r>
                    <w:rPr>
                      <w:rFonts w:hint="eastAsia"/>
                      <w:color w:val="auto"/>
                      <w:szCs w:val="21"/>
                    </w:rPr>
                    <w:t>1</w:t>
                  </w:r>
                </w:p>
              </w:tc>
              <w:tc>
                <w:tcPr>
                  <w:tcW w:w="421" w:type="pct"/>
                  <w:vAlign w:val="center"/>
                </w:tcPr>
                <w:p w14:paraId="0BAEC00F">
                  <w:pPr>
                    <w:jc w:val="center"/>
                    <w:rPr>
                      <w:color w:val="auto"/>
                      <w:szCs w:val="21"/>
                    </w:rPr>
                  </w:pPr>
                  <w:r>
                    <w:rPr>
                      <w:rFonts w:hint="eastAsia"/>
                      <w:color w:val="auto"/>
                      <w:szCs w:val="21"/>
                    </w:rPr>
                    <w:t>8.4</w:t>
                  </w:r>
                </w:p>
              </w:tc>
              <w:tc>
                <w:tcPr>
                  <w:tcW w:w="2193" w:type="pct"/>
                  <w:vAlign w:val="center"/>
                </w:tcPr>
                <w:p w14:paraId="2440BBE9">
                  <w:pPr>
                    <w:snapToGrid w:val="0"/>
                    <w:jc w:val="center"/>
                    <w:rPr>
                      <w:bCs/>
                      <w:color w:val="auto"/>
                      <w:szCs w:val="21"/>
                    </w:rPr>
                  </w:pPr>
                  <w:r>
                    <w:rPr>
                      <w:rFonts w:hint="eastAsia"/>
                      <w:bCs/>
                      <w:color w:val="auto"/>
                      <w:szCs w:val="21"/>
                    </w:rPr>
                    <w:t>新建空厂房，备用</w:t>
                  </w:r>
                </w:p>
              </w:tc>
            </w:tr>
            <w:tr w14:paraId="7498007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3F03CFB2">
                  <w:pPr>
                    <w:snapToGrid w:val="0"/>
                    <w:jc w:val="center"/>
                    <w:rPr>
                      <w:color w:val="auto"/>
                      <w:szCs w:val="21"/>
                    </w:rPr>
                  </w:pPr>
                  <w:r>
                    <w:rPr>
                      <w:rFonts w:hint="eastAsia"/>
                      <w:color w:val="auto"/>
                      <w:szCs w:val="21"/>
                    </w:rPr>
                    <w:t>10</w:t>
                  </w:r>
                </w:p>
              </w:tc>
              <w:tc>
                <w:tcPr>
                  <w:tcW w:w="620" w:type="pct"/>
                  <w:tcBorders>
                    <w:top w:val="single" w:color="000000" w:sz="4" w:space="0"/>
                    <w:left w:val="single" w:color="000000" w:sz="4" w:space="0"/>
                    <w:bottom w:val="single" w:color="000000" w:sz="4" w:space="0"/>
                    <w:right w:val="single" w:color="000000" w:sz="4" w:space="0"/>
                  </w:tcBorders>
                  <w:vAlign w:val="center"/>
                </w:tcPr>
                <w:p w14:paraId="1103D787">
                  <w:pPr>
                    <w:jc w:val="center"/>
                    <w:rPr>
                      <w:color w:val="auto"/>
                      <w:szCs w:val="21"/>
                    </w:rPr>
                  </w:pPr>
                  <w:r>
                    <w:rPr>
                      <w:rFonts w:hint="eastAsia"/>
                      <w:color w:val="auto"/>
                      <w:szCs w:val="21"/>
                      <w:lang w:eastAsia="zh-CN"/>
                    </w:rPr>
                    <w:t>6.</w:t>
                  </w:r>
                  <w:r>
                    <w:rPr>
                      <w:rFonts w:hint="eastAsia"/>
                      <w:color w:val="auto"/>
                      <w:szCs w:val="21"/>
                    </w:rPr>
                    <w:t>厂房</w:t>
                  </w:r>
                </w:p>
              </w:tc>
              <w:tc>
                <w:tcPr>
                  <w:tcW w:w="560" w:type="pct"/>
                  <w:tcBorders>
                    <w:top w:val="single" w:color="000000" w:sz="4" w:space="0"/>
                    <w:left w:val="single" w:color="000000" w:sz="4" w:space="0"/>
                    <w:bottom w:val="single" w:color="000000" w:sz="4" w:space="0"/>
                    <w:right w:val="single" w:color="000000" w:sz="4" w:space="0"/>
                  </w:tcBorders>
                  <w:vAlign w:val="center"/>
                </w:tcPr>
                <w:p w14:paraId="6AAE80AC">
                  <w:pPr>
                    <w:jc w:val="center"/>
                    <w:rPr>
                      <w:color w:val="auto"/>
                      <w:szCs w:val="21"/>
                    </w:rPr>
                  </w:pPr>
                  <w:r>
                    <w:rPr>
                      <w:rFonts w:hint="eastAsia"/>
                      <w:color w:val="auto"/>
                      <w:szCs w:val="21"/>
                    </w:rPr>
                    <w:t>7131.25</w:t>
                  </w:r>
                </w:p>
              </w:tc>
              <w:tc>
                <w:tcPr>
                  <w:tcW w:w="603" w:type="pct"/>
                  <w:tcBorders>
                    <w:top w:val="single" w:color="000000" w:sz="4" w:space="0"/>
                    <w:left w:val="single" w:color="000000" w:sz="4" w:space="0"/>
                    <w:bottom w:val="single" w:color="000000" w:sz="4" w:space="0"/>
                    <w:right w:val="single" w:color="000000" w:sz="4" w:space="0"/>
                  </w:tcBorders>
                  <w:vAlign w:val="center"/>
                </w:tcPr>
                <w:p w14:paraId="621A20C6">
                  <w:pPr>
                    <w:jc w:val="center"/>
                    <w:rPr>
                      <w:color w:val="auto"/>
                      <w:szCs w:val="21"/>
                    </w:rPr>
                  </w:pPr>
                  <w:r>
                    <w:rPr>
                      <w:rFonts w:hint="eastAsia"/>
                      <w:color w:val="auto"/>
                      <w:szCs w:val="21"/>
                    </w:rPr>
                    <w:t>7131.25</w:t>
                  </w:r>
                </w:p>
              </w:tc>
              <w:tc>
                <w:tcPr>
                  <w:tcW w:w="395" w:type="pct"/>
                  <w:tcBorders>
                    <w:top w:val="single" w:color="000000" w:sz="4" w:space="0"/>
                    <w:left w:val="single" w:color="000000" w:sz="4" w:space="0"/>
                    <w:bottom w:val="single" w:color="000000" w:sz="4" w:space="0"/>
                    <w:right w:val="single" w:color="000000" w:sz="4" w:space="0"/>
                  </w:tcBorders>
                  <w:vAlign w:val="center"/>
                </w:tcPr>
                <w:p w14:paraId="69E690E7">
                  <w:pPr>
                    <w:jc w:val="center"/>
                    <w:rPr>
                      <w:color w:val="auto"/>
                      <w:szCs w:val="21"/>
                    </w:rPr>
                  </w:pPr>
                  <w:r>
                    <w:rPr>
                      <w:rFonts w:hint="eastAsia"/>
                      <w:color w:val="auto"/>
                      <w:szCs w:val="21"/>
                    </w:rPr>
                    <w:t>1</w:t>
                  </w:r>
                </w:p>
              </w:tc>
              <w:tc>
                <w:tcPr>
                  <w:tcW w:w="421" w:type="pct"/>
                  <w:vAlign w:val="center"/>
                </w:tcPr>
                <w:p w14:paraId="49A9C52A">
                  <w:pPr>
                    <w:jc w:val="center"/>
                    <w:rPr>
                      <w:color w:val="auto"/>
                      <w:szCs w:val="21"/>
                    </w:rPr>
                  </w:pPr>
                  <w:r>
                    <w:rPr>
                      <w:rFonts w:hint="eastAsia"/>
                      <w:color w:val="auto"/>
                      <w:szCs w:val="21"/>
                    </w:rPr>
                    <w:t>8.4</w:t>
                  </w:r>
                </w:p>
              </w:tc>
              <w:tc>
                <w:tcPr>
                  <w:tcW w:w="2193" w:type="pct"/>
                  <w:vAlign w:val="center"/>
                </w:tcPr>
                <w:p w14:paraId="65BFCC86">
                  <w:pPr>
                    <w:snapToGrid w:val="0"/>
                    <w:jc w:val="center"/>
                    <w:rPr>
                      <w:bCs/>
                      <w:color w:val="auto"/>
                      <w:szCs w:val="21"/>
                    </w:rPr>
                  </w:pPr>
                  <w:r>
                    <w:rPr>
                      <w:rFonts w:hint="eastAsia"/>
                      <w:bCs/>
                      <w:color w:val="auto"/>
                      <w:szCs w:val="21"/>
                    </w:rPr>
                    <w:t>新建空厂房，备用</w:t>
                  </w:r>
                </w:p>
              </w:tc>
            </w:tr>
            <w:tr w14:paraId="5925ED62">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05C31FFD">
                  <w:pPr>
                    <w:snapToGrid w:val="0"/>
                    <w:jc w:val="center"/>
                    <w:rPr>
                      <w:color w:val="auto"/>
                      <w:szCs w:val="21"/>
                    </w:rPr>
                  </w:pPr>
                  <w:r>
                    <w:rPr>
                      <w:rFonts w:hint="eastAsia"/>
                      <w:color w:val="auto"/>
                      <w:szCs w:val="21"/>
                    </w:rPr>
                    <w:t>11</w:t>
                  </w:r>
                </w:p>
              </w:tc>
              <w:tc>
                <w:tcPr>
                  <w:tcW w:w="620" w:type="pct"/>
                  <w:tcBorders>
                    <w:top w:val="single" w:color="000000" w:sz="4" w:space="0"/>
                    <w:left w:val="single" w:color="000000" w:sz="4" w:space="0"/>
                    <w:bottom w:val="single" w:color="000000" w:sz="4" w:space="0"/>
                    <w:right w:val="single" w:color="000000" w:sz="4" w:space="0"/>
                  </w:tcBorders>
                  <w:vAlign w:val="center"/>
                </w:tcPr>
                <w:p w14:paraId="45F8A754">
                  <w:pPr>
                    <w:jc w:val="center"/>
                    <w:rPr>
                      <w:color w:val="auto"/>
                      <w:szCs w:val="21"/>
                    </w:rPr>
                  </w:pPr>
                  <w:r>
                    <w:rPr>
                      <w:rFonts w:hint="eastAsia"/>
                      <w:color w:val="auto"/>
                      <w:szCs w:val="21"/>
                    </w:rPr>
                    <w:t>门卫1</w:t>
                  </w:r>
                </w:p>
              </w:tc>
              <w:tc>
                <w:tcPr>
                  <w:tcW w:w="560" w:type="pct"/>
                  <w:tcBorders>
                    <w:top w:val="single" w:color="000000" w:sz="4" w:space="0"/>
                    <w:left w:val="single" w:color="000000" w:sz="4" w:space="0"/>
                    <w:bottom w:val="single" w:color="000000" w:sz="4" w:space="0"/>
                    <w:right w:val="single" w:color="000000" w:sz="4" w:space="0"/>
                  </w:tcBorders>
                  <w:vAlign w:val="center"/>
                </w:tcPr>
                <w:p w14:paraId="25931036">
                  <w:pPr>
                    <w:jc w:val="center"/>
                    <w:rPr>
                      <w:color w:val="auto"/>
                      <w:szCs w:val="21"/>
                    </w:rPr>
                  </w:pPr>
                  <w:r>
                    <w:rPr>
                      <w:rFonts w:hint="eastAsia"/>
                      <w:color w:val="auto"/>
                      <w:szCs w:val="21"/>
                    </w:rPr>
                    <w:t>120</w:t>
                  </w:r>
                </w:p>
              </w:tc>
              <w:tc>
                <w:tcPr>
                  <w:tcW w:w="603" w:type="pct"/>
                  <w:tcBorders>
                    <w:top w:val="single" w:color="000000" w:sz="4" w:space="0"/>
                    <w:left w:val="single" w:color="000000" w:sz="4" w:space="0"/>
                    <w:bottom w:val="single" w:color="000000" w:sz="4" w:space="0"/>
                    <w:right w:val="single" w:color="000000" w:sz="4" w:space="0"/>
                  </w:tcBorders>
                  <w:vAlign w:val="center"/>
                </w:tcPr>
                <w:p w14:paraId="1530777E">
                  <w:pPr>
                    <w:jc w:val="center"/>
                    <w:rPr>
                      <w:color w:val="auto"/>
                      <w:szCs w:val="21"/>
                    </w:rPr>
                  </w:pPr>
                  <w:r>
                    <w:rPr>
                      <w:rFonts w:hint="eastAsia"/>
                      <w:color w:val="auto"/>
                      <w:szCs w:val="21"/>
                    </w:rPr>
                    <w:t>120</w:t>
                  </w:r>
                </w:p>
              </w:tc>
              <w:tc>
                <w:tcPr>
                  <w:tcW w:w="395" w:type="pct"/>
                  <w:tcBorders>
                    <w:top w:val="single" w:color="000000" w:sz="4" w:space="0"/>
                    <w:left w:val="single" w:color="000000" w:sz="4" w:space="0"/>
                    <w:bottom w:val="single" w:color="000000" w:sz="4" w:space="0"/>
                    <w:right w:val="single" w:color="000000" w:sz="4" w:space="0"/>
                  </w:tcBorders>
                  <w:vAlign w:val="center"/>
                </w:tcPr>
                <w:p w14:paraId="2D3CD2FE">
                  <w:pPr>
                    <w:jc w:val="center"/>
                    <w:rPr>
                      <w:color w:val="auto"/>
                      <w:szCs w:val="21"/>
                    </w:rPr>
                  </w:pPr>
                  <w:r>
                    <w:rPr>
                      <w:rFonts w:hint="eastAsia"/>
                      <w:color w:val="auto"/>
                      <w:szCs w:val="21"/>
                    </w:rPr>
                    <w:t>1</w:t>
                  </w:r>
                </w:p>
              </w:tc>
              <w:tc>
                <w:tcPr>
                  <w:tcW w:w="421" w:type="pct"/>
                  <w:vAlign w:val="center"/>
                </w:tcPr>
                <w:p w14:paraId="6F239305">
                  <w:pPr>
                    <w:jc w:val="center"/>
                    <w:rPr>
                      <w:color w:val="auto"/>
                      <w:szCs w:val="21"/>
                    </w:rPr>
                  </w:pPr>
                  <w:r>
                    <w:rPr>
                      <w:rFonts w:hint="eastAsia"/>
                      <w:color w:val="auto"/>
                      <w:szCs w:val="21"/>
                    </w:rPr>
                    <w:t>3.6</w:t>
                  </w:r>
                </w:p>
              </w:tc>
              <w:tc>
                <w:tcPr>
                  <w:tcW w:w="2193" w:type="pct"/>
                  <w:vAlign w:val="center"/>
                </w:tcPr>
                <w:p w14:paraId="186AA2CB">
                  <w:pPr>
                    <w:snapToGrid w:val="0"/>
                    <w:jc w:val="center"/>
                    <w:rPr>
                      <w:bCs/>
                      <w:color w:val="auto"/>
                      <w:szCs w:val="21"/>
                    </w:rPr>
                  </w:pPr>
                  <w:r>
                    <w:rPr>
                      <w:rFonts w:hint="eastAsia"/>
                      <w:bCs/>
                      <w:color w:val="auto"/>
                      <w:szCs w:val="21"/>
                    </w:rPr>
                    <w:t>新建</w:t>
                  </w:r>
                </w:p>
              </w:tc>
            </w:tr>
            <w:tr w14:paraId="005A50C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6" w:type="pct"/>
                  <w:vAlign w:val="center"/>
                </w:tcPr>
                <w:p w14:paraId="2E4D0BC4">
                  <w:pPr>
                    <w:snapToGrid w:val="0"/>
                    <w:jc w:val="center"/>
                    <w:rPr>
                      <w:color w:val="auto"/>
                      <w:szCs w:val="21"/>
                    </w:rPr>
                  </w:pPr>
                  <w:r>
                    <w:rPr>
                      <w:rFonts w:hint="eastAsia"/>
                      <w:color w:val="auto"/>
                      <w:szCs w:val="21"/>
                    </w:rPr>
                    <w:t>12</w:t>
                  </w:r>
                </w:p>
              </w:tc>
              <w:tc>
                <w:tcPr>
                  <w:tcW w:w="620" w:type="pct"/>
                  <w:tcBorders>
                    <w:top w:val="single" w:color="000000" w:sz="4" w:space="0"/>
                    <w:left w:val="single" w:color="000000" w:sz="4" w:space="0"/>
                    <w:bottom w:val="single" w:color="000000" w:sz="12" w:space="0"/>
                    <w:right w:val="single" w:color="000000" w:sz="4" w:space="0"/>
                  </w:tcBorders>
                  <w:vAlign w:val="center"/>
                </w:tcPr>
                <w:p w14:paraId="5D2D33C5">
                  <w:pPr>
                    <w:jc w:val="center"/>
                    <w:rPr>
                      <w:color w:val="auto"/>
                      <w:szCs w:val="21"/>
                    </w:rPr>
                  </w:pPr>
                  <w:r>
                    <w:rPr>
                      <w:rFonts w:hint="eastAsia"/>
                      <w:color w:val="auto"/>
                      <w:szCs w:val="21"/>
                    </w:rPr>
                    <w:t>门卫2</w:t>
                  </w:r>
                </w:p>
              </w:tc>
              <w:tc>
                <w:tcPr>
                  <w:tcW w:w="560" w:type="pct"/>
                  <w:tcBorders>
                    <w:top w:val="single" w:color="000000" w:sz="4" w:space="0"/>
                    <w:left w:val="single" w:color="000000" w:sz="4" w:space="0"/>
                    <w:bottom w:val="single" w:color="000000" w:sz="12" w:space="0"/>
                    <w:right w:val="single" w:color="000000" w:sz="4" w:space="0"/>
                  </w:tcBorders>
                  <w:vAlign w:val="center"/>
                </w:tcPr>
                <w:p w14:paraId="77183E69">
                  <w:pPr>
                    <w:jc w:val="center"/>
                    <w:rPr>
                      <w:color w:val="auto"/>
                      <w:szCs w:val="21"/>
                    </w:rPr>
                  </w:pPr>
                  <w:r>
                    <w:rPr>
                      <w:rFonts w:hint="eastAsia"/>
                      <w:color w:val="auto"/>
                      <w:szCs w:val="21"/>
                    </w:rPr>
                    <w:t>36</w:t>
                  </w:r>
                </w:p>
              </w:tc>
              <w:tc>
                <w:tcPr>
                  <w:tcW w:w="603" w:type="pct"/>
                  <w:tcBorders>
                    <w:top w:val="single" w:color="000000" w:sz="4" w:space="0"/>
                    <w:left w:val="single" w:color="000000" w:sz="4" w:space="0"/>
                    <w:bottom w:val="single" w:color="000000" w:sz="12" w:space="0"/>
                    <w:right w:val="single" w:color="000000" w:sz="4" w:space="0"/>
                  </w:tcBorders>
                  <w:vAlign w:val="center"/>
                </w:tcPr>
                <w:p w14:paraId="0D1BC152">
                  <w:pPr>
                    <w:jc w:val="center"/>
                    <w:rPr>
                      <w:color w:val="auto"/>
                      <w:szCs w:val="21"/>
                    </w:rPr>
                  </w:pPr>
                  <w:r>
                    <w:rPr>
                      <w:rFonts w:hint="eastAsia"/>
                      <w:color w:val="auto"/>
                      <w:szCs w:val="21"/>
                    </w:rPr>
                    <w:t>36</w:t>
                  </w:r>
                </w:p>
              </w:tc>
              <w:tc>
                <w:tcPr>
                  <w:tcW w:w="395" w:type="pct"/>
                  <w:tcBorders>
                    <w:top w:val="single" w:color="000000" w:sz="4" w:space="0"/>
                    <w:left w:val="single" w:color="000000" w:sz="4" w:space="0"/>
                    <w:bottom w:val="single" w:color="000000" w:sz="12" w:space="0"/>
                    <w:right w:val="single" w:color="000000" w:sz="4" w:space="0"/>
                  </w:tcBorders>
                  <w:vAlign w:val="center"/>
                </w:tcPr>
                <w:p w14:paraId="1B72A71D">
                  <w:pPr>
                    <w:jc w:val="center"/>
                    <w:rPr>
                      <w:color w:val="auto"/>
                      <w:szCs w:val="21"/>
                    </w:rPr>
                  </w:pPr>
                  <w:r>
                    <w:rPr>
                      <w:rFonts w:hint="eastAsia"/>
                      <w:color w:val="auto"/>
                      <w:szCs w:val="21"/>
                    </w:rPr>
                    <w:t>1</w:t>
                  </w:r>
                </w:p>
              </w:tc>
              <w:tc>
                <w:tcPr>
                  <w:tcW w:w="421" w:type="pct"/>
                  <w:vAlign w:val="center"/>
                </w:tcPr>
                <w:p w14:paraId="5B4CB3E5">
                  <w:pPr>
                    <w:jc w:val="center"/>
                    <w:rPr>
                      <w:color w:val="auto"/>
                      <w:szCs w:val="21"/>
                    </w:rPr>
                  </w:pPr>
                  <w:r>
                    <w:rPr>
                      <w:rFonts w:hint="eastAsia"/>
                      <w:color w:val="auto"/>
                      <w:szCs w:val="21"/>
                    </w:rPr>
                    <w:t>3.6</w:t>
                  </w:r>
                </w:p>
              </w:tc>
              <w:tc>
                <w:tcPr>
                  <w:tcW w:w="2193" w:type="pct"/>
                  <w:vAlign w:val="center"/>
                </w:tcPr>
                <w:p w14:paraId="68568097">
                  <w:pPr>
                    <w:snapToGrid w:val="0"/>
                    <w:jc w:val="center"/>
                    <w:rPr>
                      <w:bCs/>
                      <w:color w:val="auto"/>
                      <w:szCs w:val="21"/>
                    </w:rPr>
                  </w:pPr>
                  <w:r>
                    <w:rPr>
                      <w:rFonts w:hint="eastAsia"/>
                      <w:bCs/>
                      <w:color w:val="auto"/>
                      <w:szCs w:val="21"/>
                    </w:rPr>
                    <w:t>新建</w:t>
                  </w:r>
                </w:p>
              </w:tc>
            </w:tr>
          </w:tbl>
          <w:p w14:paraId="21E99786">
            <w:pPr>
              <w:tabs>
                <w:tab w:val="left" w:pos="720"/>
              </w:tabs>
              <w:adjustRightInd w:val="0"/>
              <w:snapToGrid w:val="0"/>
              <w:spacing w:line="360" w:lineRule="auto"/>
              <w:ind w:firstLine="482" w:firstLineChars="200"/>
              <w:rPr>
                <w:color w:val="auto"/>
                <w:sz w:val="24"/>
              </w:rPr>
            </w:pPr>
            <w:r>
              <w:rPr>
                <w:rFonts w:hint="eastAsia"/>
                <w:b/>
                <w:color w:val="auto"/>
                <w:sz w:val="24"/>
                <w:lang w:eastAsia="zh-CN"/>
              </w:rPr>
              <w:t>2.</w:t>
            </w:r>
            <w:r>
              <w:rPr>
                <w:b/>
                <w:color w:val="auto"/>
                <w:sz w:val="24"/>
              </w:rPr>
              <w:t>主体工程及产品方案</w:t>
            </w:r>
          </w:p>
          <w:p w14:paraId="160E4CBF">
            <w:pPr>
              <w:tabs>
                <w:tab w:val="left" w:pos="720"/>
              </w:tabs>
              <w:adjustRightInd w:val="0"/>
              <w:snapToGrid w:val="0"/>
              <w:spacing w:line="360" w:lineRule="auto"/>
              <w:ind w:firstLine="480" w:firstLineChars="200"/>
              <w:rPr>
                <w:color w:val="auto"/>
                <w:sz w:val="24"/>
              </w:rPr>
            </w:pPr>
            <w:r>
              <w:rPr>
                <w:color w:val="auto"/>
                <w:sz w:val="24"/>
              </w:rPr>
              <w:t>建设项目主体工程及产品方案见表2-2。</w:t>
            </w:r>
          </w:p>
          <w:p w14:paraId="0971172B">
            <w:pPr>
              <w:keepNext/>
              <w:adjustRightInd w:val="0"/>
              <w:snapToGrid w:val="0"/>
              <w:jc w:val="center"/>
              <w:rPr>
                <w:b/>
                <w:color w:val="auto"/>
              </w:rPr>
            </w:pPr>
            <w:r>
              <w:rPr>
                <w:b/>
                <w:color w:val="auto"/>
                <w:sz w:val="24"/>
                <w:szCs w:val="32"/>
              </w:rPr>
              <w:t>表2-2  本项目主体工程及产品方案情况</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2"/>
              <w:gridCol w:w="2034"/>
              <w:gridCol w:w="2034"/>
              <w:gridCol w:w="1250"/>
              <w:gridCol w:w="1362"/>
            </w:tblGrid>
            <w:tr w14:paraId="0D8CBA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957" w:type="pct"/>
                  <w:vAlign w:val="center"/>
                </w:tcPr>
                <w:p w14:paraId="43C504E1">
                  <w:pPr>
                    <w:jc w:val="center"/>
                    <w:rPr>
                      <w:b/>
                      <w:bCs/>
                      <w:color w:val="auto"/>
                      <w:szCs w:val="21"/>
                    </w:rPr>
                  </w:pPr>
                  <w:r>
                    <w:rPr>
                      <w:rFonts w:hint="eastAsia"/>
                      <w:b/>
                      <w:bCs/>
                      <w:color w:val="auto"/>
                      <w:szCs w:val="21"/>
                    </w:rPr>
                    <w:t>产品名称</w:t>
                  </w:r>
                </w:p>
              </w:tc>
              <w:tc>
                <w:tcPr>
                  <w:tcW w:w="1230" w:type="pct"/>
                  <w:vAlign w:val="center"/>
                </w:tcPr>
                <w:p w14:paraId="25FD74F2">
                  <w:pPr>
                    <w:jc w:val="center"/>
                    <w:rPr>
                      <w:b/>
                      <w:bCs/>
                      <w:color w:val="auto"/>
                      <w:szCs w:val="21"/>
                    </w:rPr>
                  </w:pPr>
                  <w:r>
                    <w:rPr>
                      <w:rFonts w:hint="eastAsia"/>
                      <w:b/>
                      <w:bCs/>
                      <w:color w:val="auto"/>
                      <w:szCs w:val="21"/>
                    </w:rPr>
                    <w:t>生产性名称</w:t>
                  </w:r>
                </w:p>
              </w:tc>
              <w:tc>
                <w:tcPr>
                  <w:tcW w:w="1230" w:type="pct"/>
                  <w:vAlign w:val="center"/>
                </w:tcPr>
                <w:p w14:paraId="6F53EBCC">
                  <w:pPr>
                    <w:jc w:val="center"/>
                    <w:rPr>
                      <w:b/>
                      <w:bCs/>
                      <w:color w:val="auto"/>
                      <w:szCs w:val="21"/>
                    </w:rPr>
                  </w:pPr>
                  <w:r>
                    <w:rPr>
                      <w:b/>
                      <w:bCs/>
                      <w:color w:val="auto"/>
                      <w:szCs w:val="21"/>
                    </w:rPr>
                    <w:t>规格</w:t>
                  </w:r>
                  <w:r>
                    <w:rPr>
                      <w:rFonts w:hint="eastAsia"/>
                      <w:color w:val="auto"/>
                    </w:rPr>
                    <w:t>（m）</w:t>
                  </w:r>
                </w:p>
              </w:tc>
              <w:tc>
                <w:tcPr>
                  <w:tcW w:w="756" w:type="pct"/>
                  <w:tcBorders>
                    <w:bottom w:val="single" w:color="auto" w:sz="12" w:space="0"/>
                  </w:tcBorders>
                  <w:vAlign w:val="center"/>
                </w:tcPr>
                <w:p w14:paraId="1DCC8147">
                  <w:pPr>
                    <w:jc w:val="center"/>
                    <w:rPr>
                      <w:b/>
                      <w:bCs/>
                      <w:color w:val="auto"/>
                      <w:szCs w:val="21"/>
                    </w:rPr>
                  </w:pPr>
                  <w:r>
                    <w:rPr>
                      <w:rFonts w:hint="eastAsia"/>
                      <w:b/>
                      <w:bCs/>
                      <w:color w:val="auto"/>
                      <w:szCs w:val="21"/>
                    </w:rPr>
                    <w:t>设计能力</w:t>
                  </w:r>
                </w:p>
              </w:tc>
              <w:tc>
                <w:tcPr>
                  <w:tcW w:w="824" w:type="pct"/>
                  <w:vAlign w:val="center"/>
                </w:tcPr>
                <w:p w14:paraId="32FEB72E">
                  <w:pPr>
                    <w:jc w:val="center"/>
                    <w:rPr>
                      <w:b/>
                      <w:bCs/>
                      <w:color w:val="auto"/>
                      <w:szCs w:val="21"/>
                    </w:rPr>
                  </w:pPr>
                  <w:r>
                    <w:rPr>
                      <w:b/>
                      <w:bCs/>
                      <w:color w:val="auto"/>
                      <w:szCs w:val="21"/>
                    </w:rPr>
                    <w:t>年运行时数</w:t>
                  </w:r>
                </w:p>
              </w:tc>
            </w:tr>
            <w:tr w14:paraId="207F66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957" w:type="pct"/>
                  <w:vMerge w:val="restart"/>
                  <w:tcBorders>
                    <w:top w:val="single" w:color="auto" w:sz="12" w:space="0"/>
                  </w:tcBorders>
                  <w:vAlign w:val="center"/>
                </w:tcPr>
                <w:p w14:paraId="7780338C">
                  <w:pPr>
                    <w:jc w:val="center"/>
                    <w:rPr>
                      <w:color w:val="auto"/>
                      <w:szCs w:val="21"/>
                    </w:rPr>
                  </w:pPr>
                  <w:r>
                    <w:rPr>
                      <w:rFonts w:hint="eastAsia"/>
                      <w:color w:val="auto"/>
                      <w:szCs w:val="21"/>
                    </w:rPr>
                    <w:t>高端展示道具</w:t>
                  </w:r>
                </w:p>
              </w:tc>
              <w:tc>
                <w:tcPr>
                  <w:tcW w:w="1230" w:type="pct"/>
                  <w:tcBorders>
                    <w:top w:val="single" w:color="auto" w:sz="12" w:space="0"/>
                  </w:tcBorders>
                  <w:vAlign w:val="center"/>
                </w:tcPr>
                <w:p w14:paraId="72C4572A">
                  <w:pPr>
                    <w:jc w:val="center"/>
                    <w:rPr>
                      <w:color w:val="auto"/>
                      <w:szCs w:val="21"/>
                    </w:rPr>
                  </w:pPr>
                  <w:r>
                    <w:rPr>
                      <w:rFonts w:hint="eastAsia"/>
                      <w:color w:val="auto"/>
                      <w:szCs w:val="21"/>
                    </w:rPr>
                    <w:t>木制品组件生产线</w:t>
                  </w:r>
                </w:p>
              </w:tc>
              <w:tc>
                <w:tcPr>
                  <w:tcW w:w="1230" w:type="pct"/>
                  <w:tcBorders>
                    <w:top w:val="single" w:color="auto" w:sz="12" w:space="0"/>
                  </w:tcBorders>
                  <w:vAlign w:val="center"/>
                </w:tcPr>
                <w:p w14:paraId="3DD6370E">
                  <w:pPr>
                    <w:jc w:val="center"/>
                    <w:rPr>
                      <w:color w:val="auto"/>
                      <w:szCs w:val="21"/>
                    </w:rPr>
                  </w:pPr>
                  <w:r>
                    <w:rPr>
                      <w:rFonts w:hint="eastAsia"/>
                      <w:color w:val="auto"/>
                      <w:szCs w:val="21"/>
                    </w:rPr>
                    <w:t>根据客户需要定制，常见规格为0.8*0.5*0.15</w:t>
                  </w:r>
                </w:p>
              </w:tc>
              <w:tc>
                <w:tcPr>
                  <w:tcW w:w="756" w:type="pct"/>
                  <w:vMerge w:val="restart"/>
                  <w:tcBorders>
                    <w:top w:val="single" w:color="auto" w:sz="12" w:space="0"/>
                  </w:tcBorders>
                  <w:vAlign w:val="center"/>
                </w:tcPr>
                <w:p w14:paraId="606C17EE">
                  <w:pPr>
                    <w:jc w:val="center"/>
                    <w:rPr>
                      <w:color w:val="auto"/>
                      <w:szCs w:val="21"/>
                    </w:rPr>
                  </w:pPr>
                  <w:r>
                    <w:rPr>
                      <w:rFonts w:hint="eastAsia"/>
                      <w:color w:val="auto"/>
                      <w:szCs w:val="21"/>
                    </w:rPr>
                    <w:t>10万套/年</w:t>
                  </w:r>
                </w:p>
              </w:tc>
              <w:tc>
                <w:tcPr>
                  <w:tcW w:w="824" w:type="pct"/>
                  <w:vMerge w:val="restart"/>
                  <w:tcBorders>
                    <w:top w:val="single" w:color="auto" w:sz="12" w:space="0"/>
                  </w:tcBorders>
                  <w:vAlign w:val="center"/>
                </w:tcPr>
                <w:p w14:paraId="62533D8C">
                  <w:pPr>
                    <w:jc w:val="center"/>
                    <w:rPr>
                      <w:color w:val="auto"/>
                      <w:szCs w:val="21"/>
                    </w:rPr>
                  </w:pPr>
                  <w:r>
                    <w:rPr>
                      <w:rFonts w:hint="eastAsia"/>
                      <w:color w:val="auto"/>
                      <w:szCs w:val="21"/>
                    </w:rPr>
                    <w:t>3600h</w:t>
                  </w:r>
                </w:p>
              </w:tc>
            </w:tr>
            <w:tr w14:paraId="64DA8C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957" w:type="pct"/>
                  <w:vMerge w:val="continue"/>
                  <w:vAlign w:val="center"/>
                </w:tcPr>
                <w:p w14:paraId="70E052DC">
                  <w:pPr>
                    <w:jc w:val="center"/>
                    <w:rPr>
                      <w:color w:val="auto"/>
                    </w:rPr>
                  </w:pPr>
                </w:p>
              </w:tc>
              <w:tc>
                <w:tcPr>
                  <w:tcW w:w="1230" w:type="pct"/>
                  <w:tcBorders>
                    <w:top w:val="single" w:color="auto" w:sz="12" w:space="0"/>
                  </w:tcBorders>
                  <w:vAlign w:val="center"/>
                </w:tcPr>
                <w:p w14:paraId="25719AEC">
                  <w:pPr>
                    <w:jc w:val="center"/>
                    <w:rPr>
                      <w:color w:val="auto"/>
                      <w:szCs w:val="21"/>
                    </w:rPr>
                  </w:pPr>
                  <w:r>
                    <w:rPr>
                      <w:rFonts w:hint="eastAsia"/>
                      <w:color w:val="auto"/>
                      <w:szCs w:val="21"/>
                    </w:rPr>
                    <w:t>金属组件生产线</w:t>
                  </w:r>
                </w:p>
              </w:tc>
              <w:tc>
                <w:tcPr>
                  <w:tcW w:w="1230" w:type="pct"/>
                  <w:vAlign w:val="center"/>
                </w:tcPr>
                <w:p w14:paraId="35AD81C6">
                  <w:pPr>
                    <w:jc w:val="center"/>
                    <w:rPr>
                      <w:color w:val="auto"/>
                      <w:szCs w:val="21"/>
                    </w:rPr>
                  </w:pPr>
                  <w:r>
                    <w:rPr>
                      <w:rFonts w:hint="eastAsia"/>
                      <w:color w:val="auto"/>
                      <w:szCs w:val="21"/>
                    </w:rPr>
                    <w:t>根据客户需要定制，常见规格为1.0*0.5*0.2</w:t>
                  </w:r>
                </w:p>
              </w:tc>
              <w:tc>
                <w:tcPr>
                  <w:tcW w:w="756" w:type="pct"/>
                  <w:vMerge w:val="continue"/>
                  <w:vAlign w:val="center"/>
                </w:tcPr>
                <w:p w14:paraId="7DA7A3A3">
                  <w:pPr>
                    <w:jc w:val="center"/>
                    <w:rPr>
                      <w:color w:val="auto"/>
                      <w:szCs w:val="21"/>
                    </w:rPr>
                  </w:pPr>
                </w:p>
              </w:tc>
              <w:tc>
                <w:tcPr>
                  <w:tcW w:w="824" w:type="pct"/>
                  <w:vMerge w:val="continue"/>
                  <w:vAlign w:val="center"/>
                </w:tcPr>
                <w:p w14:paraId="53ADB8FF">
                  <w:pPr>
                    <w:jc w:val="center"/>
                    <w:rPr>
                      <w:color w:val="auto"/>
                      <w:szCs w:val="21"/>
                    </w:rPr>
                  </w:pPr>
                </w:p>
              </w:tc>
            </w:tr>
            <w:tr w14:paraId="56C812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957" w:type="pct"/>
                  <w:vMerge w:val="continue"/>
                  <w:vAlign w:val="center"/>
                </w:tcPr>
                <w:p w14:paraId="7A5B0FE2">
                  <w:pPr>
                    <w:jc w:val="center"/>
                    <w:rPr>
                      <w:color w:val="auto"/>
                      <w:szCs w:val="21"/>
                    </w:rPr>
                  </w:pPr>
                </w:p>
              </w:tc>
              <w:tc>
                <w:tcPr>
                  <w:tcW w:w="1230" w:type="pct"/>
                  <w:tcBorders>
                    <w:top w:val="single" w:color="auto" w:sz="12" w:space="0"/>
                  </w:tcBorders>
                  <w:vAlign w:val="center"/>
                </w:tcPr>
                <w:p w14:paraId="24965474">
                  <w:pPr>
                    <w:jc w:val="center"/>
                    <w:rPr>
                      <w:color w:val="auto"/>
                      <w:szCs w:val="21"/>
                    </w:rPr>
                  </w:pPr>
                  <w:r>
                    <w:rPr>
                      <w:rFonts w:hint="eastAsia"/>
                      <w:color w:val="auto"/>
                      <w:szCs w:val="21"/>
                    </w:rPr>
                    <w:t>亚克力组件生产线</w:t>
                  </w:r>
                </w:p>
              </w:tc>
              <w:tc>
                <w:tcPr>
                  <w:tcW w:w="1230" w:type="pct"/>
                  <w:vAlign w:val="center"/>
                </w:tcPr>
                <w:p w14:paraId="24B32BC1">
                  <w:pPr>
                    <w:jc w:val="center"/>
                    <w:rPr>
                      <w:color w:val="auto"/>
                      <w:szCs w:val="21"/>
                    </w:rPr>
                  </w:pPr>
                  <w:r>
                    <w:rPr>
                      <w:rFonts w:hint="eastAsia"/>
                      <w:color w:val="auto"/>
                      <w:szCs w:val="21"/>
                    </w:rPr>
                    <w:t>根据客户需要定制</w:t>
                  </w:r>
                </w:p>
              </w:tc>
              <w:tc>
                <w:tcPr>
                  <w:tcW w:w="756" w:type="pct"/>
                  <w:vMerge w:val="continue"/>
                  <w:vAlign w:val="center"/>
                </w:tcPr>
                <w:p w14:paraId="1AE0A0F0">
                  <w:pPr>
                    <w:jc w:val="center"/>
                    <w:rPr>
                      <w:color w:val="auto"/>
                      <w:szCs w:val="21"/>
                    </w:rPr>
                  </w:pPr>
                </w:p>
              </w:tc>
              <w:tc>
                <w:tcPr>
                  <w:tcW w:w="824" w:type="pct"/>
                  <w:vMerge w:val="continue"/>
                  <w:vAlign w:val="center"/>
                </w:tcPr>
                <w:p w14:paraId="68A98F5B">
                  <w:pPr>
                    <w:jc w:val="center"/>
                    <w:rPr>
                      <w:color w:val="auto"/>
                      <w:szCs w:val="21"/>
                    </w:rPr>
                  </w:pPr>
                </w:p>
              </w:tc>
            </w:tr>
            <w:tr w14:paraId="6B50CB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957" w:type="pct"/>
                  <w:vMerge w:val="continue"/>
                  <w:vAlign w:val="center"/>
                </w:tcPr>
                <w:p w14:paraId="6B0F6B14">
                  <w:pPr>
                    <w:jc w:val="center"/>
                    <w:rPr>
                      <w:color w:val="auto"/>
                      <w:szCs w:val="21"/>
                    </w:rPr>
                  </w:pPr>
                </w:p>
              </w:tc>
              <w:tc>
                <w:tcPr>
                  <w:tcW w:w="1230" w:type="pct"/>
                  <w:tcBorders>
                    <w:top w:val="single" w:color="auto" w:sz="12" w:space="0"/>
                  </w:tcBorders>
                  <w:vAlign w:val="center"/>
                </w:tcPr>
                <w:p w14:paraId="4544FE34">
                  <w:pPr>
                    <w:jc w:val="center"/>
                    <w:rPr>
                      <w:color w:val="auto"/>
                      <w:szCs w:val="21"/>
                    </w:rPr>
                  </w:pPr>
                  <w:r>
                    <w:rPr>
                      <w:rFonts w:hint="eastAsia"/>
                      <w:color w:val="auto"/>
                      <w:szCs w:val="21"/>
                    </w:rPr>
                    <w:t>大理石组件生产线</w:t>
                  </w:r>
                </w:p>
              </w:tc>
              <w:tc>
                <w:tcPr>
                  <w:tcW w:w="1230" w:type="pct"/>
                  <w:vAlign w:val="center"/>
                </w:tcPr>
                <w:p w14:paraId="75ED79F7">
                  <w:pPr>
                    <w:jc w:val="center"/>
                    <w:rPr>
                      <w:color w:val="auto"/>
                      <w:szCs w:val="21"/>
                    </w:rPr>
                  </w:pPr>
                  <w:r>
                    <w:rPr>
                      <w:rFonts w:hint="eastAsia"/>
                      <w:color w:val="auto"/>
                      <w:szCs w:val="21"/>
                    </w:rPr>
                    <w:t>根据客户需要定制</w:t>
                  </w:r>
                </w:p>
              </w:tc>
              <w:tc>
                <w:tcPr>
                  <w:tcW w:w="756" w:type="pct"/>
                  <w:vMerge w:val="continue"/>
                  <w:vAlign w:val="center"/>
                </w:tcPr>
                <w:p w14:paraId="241C61DF">
                  <w:pPr>
                    <w:jc w:val="center"/>
                    <w:rPr>
                      <w:color w:val="auto"/>
                      <w:szCs w:val="21"/>
                    </w:rPr>
                  </w:pPr>
                </w:p>
              </w:tc>
              <w:tc>
                <w:tcPr>
                  <w:tcW w:w="824" w:type="pct"/>
                  <w:vMerge w:val="continue"/>
                  <w:vAlign w:val="center"/>
                </w:tcPr>
                <w:p w14:paraId="17BDC95A">
                  <w:pPr>
                    <w:jc w:val="center"/>
                    <w:rPr>
                      <w:color w:val="auto"/>
                      <w:szCs w:val="21"/>
                    </w:rPr>
                  </w:pPr>
                </w:p>
              </w:tc>
            </w:tr>
          </w:tbl>
          <w:p w14:paraId="4BA7CDBC">
            <w:pPr>
              <w:tabs>
                <w:tab w:val="left" w:pos="720"/>
              </w:tabs>
              <w:adjustRightInd w:val="0"/>
              <w:snapToGrid w:val="0"/>
              <w:spacing w:line="360" w:lineRule="auto"/>
              <w:ind w:firstLine="480" w:firstLineChars="200"/>
              <w:rPr>
                <w:bCs/>
                <w:color w:val="auto"/>
                <w:sz w:val="24"/>
              </w:rPr>
            </w:pPr>
            <w:r>
              <w:rPr>
                <w:rFonts w:hint="eastAsia"/>
                <w:bCs/>
                <w:color w:val="auto"/>
                <w:sz w:val="24"/>
              </w:rPr>
              <w:t>产品图片见下图：</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7"/>
              <w:gridCol w:w="4128"/>
            </w:tblGrid>
            <w:tr w14:paraId="0101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27" w:type="dxa"/>
                </w:tcPr>
                <w:p w14:paraId="1A3C8C10">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2468880" cy="1388745"/>
                        <wp:effectExtent l="0" t="0" r="7620" b="1905"/>
                        <wp:docPr id="4" name="图片 4" descr="0b769d3c0b98c9e7508c46811067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b769d3c0b98c9e7508c468110673b2"/>
                                <pic:cNvPicPr>
                                  <a:picLocks noChangeAspect="1"/>
                                </pic:cNvPicPr>
                              </pic:nvPicPr>
                              <pic:blipFill>
                                <a:blip r:embed="rId9"/>
                                <a:stretch>
                                  <a:fillRect/>
                                </a:stretch>
                              </pic:blipFill>
                              <pic:spPr>
                                <a:xfrm>
                                  <a:off x="0" y="0"/>
                                  <a:ext cx="2468880" cy="1388745"/>
                                </a:xfrm>
                                <a:prstGeom prst="rect">
                                  <a:avLst/>
                                </a:prstGeom>
                              </pic:spPr>
                            </pic:pic>
                          </a:graphicData>
                        </a:graphic>
                      </wp:inline>
                    </w:drawing>
                  </w:r>
                </w:p>
              </w:tc>
              <w:tc>
                <w:tcPr>
                  <w:tcW w:w="4128" w:type="dxa"/>
                </w:tcPr>
                <w:p w14:paraId="3FE22075">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2468880" cy="1388745"/>
                        <wp:effectExtent l="0" t="0" r="7620" b="1905"/>
                        <wp:docPr id="18" name="图片 18" descr="9e61f544fe17f18dff2b29781d39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e61f544fe17f18dff2b29781d39ff8"/>
                                <pic:cNvPicPr>
                                  <a:picLocks noChangeAspect="1"/>
                                </pic:cNvPicPr>
                              </pic:nvPicPr>
                              <pic:blipFill>
                                <a:blip r:embed="rId10"/>
                                <a:stretch>
                                  <a:fillRect/>
                                </a:stretch>
                              </pic:blipFill>
                              <pic:spPr>
                                <a:xfrm>
                                  <a:off x="0" y="0"/>
                                  <a:ext cx="2468880" cy="1388745"/>
                                </a:xfrm>
                                <a:prstGeom prst="rect">
                                  <a:avLst/>
                                </a:prstGeom>
                              </pic:spPr>
                            </pic:pic>
                          </a:graphicData>
                        </a:graphic>
                      </wp:inline>
                    </w:drawing>
                  </w:r>
                </w:p>
              </w:tc>
            </w:tr>
            <w:tr w14:paraId="019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5" w:type="dxa"/>
                  <w:gridSpan w:val="2"/>
                </w:tcPr>
                <w:p w14:paraId="42AB1CB8">
                  <w:pPr>
                    <w:tabs>
                      <w:tab w:val="left" w:pos="720"/>
                    </w:tabs>
                    <w:adjustRightInd w:val="0"/>
                    <w:snapToGrid w:val="0"/>
                    <w:spacing w:line="360" w:lineRule="auto"/>
                    <w:jc w:val="center"/>
                    <w:rPr>
                      <w:bCs/>
                      <w:color w:val="auto"/>
                      <w:sz w:val="24"/>
                    </w:rPr>
                  </w:pPr>
                  <w:r>
                    <w:rPr>
                      <w:rFonts w:hint="eastAsia"/>
                      <w:bCs/>
                      <w:color w:val="auto"/>
                      <w:sz w:val="24"/>
                    </w:rPr>
                    <w:t>高端展示道具样品*</w:t>
                  </w:r>
                </w:p>
              </w:tc>
            </w:tr>
          </w:tbl>
          <w:p w14:paraId="26346D90">
            <w:pPr>
              <w:tabs>
                <w:tab w:val="left" w:pos="720"/>
              </w:tabs>
              <w:adjustRightInd w:val="0"/>
              <w:snapToGrid w:val="0"/>
              <w:spacing w:line="360" w:lineRule="auto"/>
              <w:rPr>
                <w:color w:val="auto"/>
              </w:rPr>
            </w:pPr>
            <w:r>
              <w:rPr>
                <w:rFonts w:hint="eastAsia"/>
                <w:bCs/>
                <w:color w:val="auto"/>
                <w:szCs w:val="21"/>
              </w:rPr>
              <w:t>注：*根据企业现有项目定制。</w:t>
            </w:r>
          </w:p>
        </w:tc>
      </w:tr>
      <w:tr w14:paraId="2A2F8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4" w:hRule="atLeast"/>
          <w:jc w:val="center"/>
        </w:trPr>
        <w:tc>
          <w:tcPr>
            <w:tcW w:w="496" w:type="dxa"/>
            <w:vAlign w:val="center"/>
          </w:tcPr>
          <w:p w14:paraId="143DD6D6">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481" w:type="dxa"/>
          </w:tcPr>
          <w:p w14:paraId="7E3C02A3">
            <w:pPr>
              <w:tabs>
                <w:tab w:val="left" w:pos="720"/>
              </w:tabs>
              <w:adjustRightInd w:val="0"/>
              <w:snapToGrid w:val="0"/>
              <w:spacing w:line="360" w:lineRule="auto"/>
              <w:ind w:firstLine="482" w:firstLineChars="200"/>
              <w:rPr>
                <w:b/>
                <w:color w:val="auto"/>
                <w:sz w:val="24"/>
              </w:rPr>
            </w:pPr>
            <w:r>
              <w:rPr>
                <w:rFonts w:hint="eastAsia"/>
                <w:b/>
                <w:color w:val="auto"/>
                <w:sz w:val="24"/>
              </w:rPr>
              <w:t>四、</w:t>
            </w:r>
            <w:r>
              <w:rPr>
                <w:b/>
                <w:color w:val="auto"/>
                <w:sz w:val="24"/>
              </w:rPr>
              <w:t>主要公辅工程</w:t>
            </w:r>
          </w:p>
          <w:p w14:paraId="76F1DD35">
            <w:pPr>
              <w:tabs>
                <w:tab w:val="left" w:pos="720"/>
              </w:tabs>
              <w:adjustRightInd w:val="0"/>
              <w:snapToGrid w:val="0"/>
              <w:spacing w:line="360" w:lineRule="auto"/>
              <w:ind w:firstLine="480" w:firstLineChars="200"/>
              <w:rPr>
                <w:color w:val="auto"/>
                <w:sz w:val="24"/>
              </w:rPr>
            </w:pPr>
            <w:r>
              <w:rPr>
                <w:color w:val="auto"/>
                <w:sz w:val="24"/>
              </w:rPr>
              <w:t>项目建成后公辅工程具体见表2-3。</w:t>
            </w:r>
          </w:p>
          <w:p w14:paraId="083AEC64">
            <w:pPr>
              <w:keepNext/>
              <w:adjustRightInd w:val="0"/>
              <w:snapToGrid w:val="0"/>
              <w:jc w:val="center"/>
              <w:rPr>
                <w:b/>
                <w:color w:val="auto"/>
                <w:szCs w:val="21"/>
              </w:rPr>
            </w:pPr>
            <w:r>
              <w:rPr>
                <w:b/>
                <w:color w:val="auto"/>
                <w:sz w:val="24"/>
              </w:rPr>
              <w:t xml:space="preserve">表2-3  </w:t>
            </w:r>
            <w:r>
              <w:rPr>
                <w:rFonts w:hint="eastAsia"/>
                <w:b/>
                <w:color w:val="auto"/>
                <w:sz w:val="24"/>
              </w:rPr>
              <w:t>本项目主要公辅工程组成一览表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7"/>
              <w:gridCol w:w="585"/>
              <w:gridCol w:w="585"/>
              <w:gridCol w:w="1219"/>
              <w:gridCol w:w="1673"/>
              <w:gridCol w:w="1673"/>
              <w:gridCol w:w="1930"/>
            </w:tblGrid>
            <w:tr w14:paraId="0C14F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tcBorders>
                    <w:top w:val="single" w:color="auto" w:sz="12" w:space="0"/>
                    <w:left w:val="nil"/>
                    <w:bottom w:val="single" w:color="auto" w:sz="12" w:space="0"/>
                  </w:tcBorders>
                  <w:vAlign w:val="center"/>
                </w:tcPr>
                <w:p w14:paraId="5EB09D6C">
                  <w:pPr>
                    <w:pStyle w:val="477"/>
                    <w:spacing w:after="0"/>
                    <w:rPr>
                      <w:b/>
                      <w:color w:val="auto"/>
                      <w:szCs w:val="21"/>
                    </w:rPr>
                  </w:pPr>
                  <w:r>
                    <w:rPr>
                      <w:b/>
                      <w:color w:val="auto"/>
                      <w:szCs w:val="21"/>
                    </w:rPr>
                    <w:t>类别</w:t>
                  </w:r>
                </w:p>
              </w:tc>
              <w:tc>
                <w:tcPr>
                  <w:tcW w:w="1445" w:type="pct"/>
                  <w:gridSpan w:val="3"/>
                  <w:tcBorders>
                    <w:top w:val="single" w:color="auto" w:sz="12" w:space="0"/>
                    <w:bottom w:val="single" w:color="auto" w:sz="12" w:space="0"/>
                  </w:tcBorders>
                  <w:vAlign w:val="center"/>
                </w:tcPr>
                <w:p w14:paraId="1796E3C9">
                  <w:pPr>
                    <w:pStyle w:val="477"/>
                    <w:spacing w:after="0"/>
                    <w:rPr>
                      <w:b/>
                      <w:color w:val="auto"/>
                      <w:szCs w:val="21"/>
                    </w:rPr>
                  </w:pPr>
                  <w:r>
                    <w:rPr>
                      <w:b/>
                      <w:color w:val="auto"/>
                      <w:szCs w:val="21"/>
                    </w:rPr>
                    <w:t>工程名称</w:t>
                  </w:r>
                </w:p>
              </w:tc>
              <w:tc>
                <w:tcPr>
                  <w:tcW w:w="2024" w:type="pct"/>
                  <w:gridSpan w:val="2"/>
                  <w:tcBorders>
                    <w:top w:val="single" w:color="auto" w:sz="12" w:space="0"/>
                    <w:bottom w:val="single" w:color="auto" w:sz="12" w:space="0"/>
                  </w:tcBorders>
                  <w:vAlign w:val="center"/>
                </w:tcPr>
                <w:p w14:paraId="71AC37E6">
                  <w:pPr>
                    <w:pStyle w:val="477"/>
                    <w:spacing w:after="0"/>
                    <w:rPr>
                      <w:b/>
                      <w:color w:val="auto"/>
                      <w:szCs w:val="21"/>
                    </w:rPr>
                  </w:pPr>
                  <w:r>
                    <w:rPr>
                      <w:rFonts w:hint="eastAsia"/>
                      <w:b/>
                      <w:color w:val="auto"/>
                      <w:szCs w:val="21"/>
                    </w:rPr>
                    <w:t>规模</w:t>
                  </w:r>
                </w:p>
              </w:tc>
              <w:tc>
                <w:tcPr>
                  <w:tcW w:w="1167" w:type="pct"/>
                  <w:tcBorders>
                    <w:top w:val="single" w:color="auto" w:sz="12" w:space="0"/>
                    <w:bottom w:val="single" w:color="auto" w:sz="12" w:space="0"/>
                    <w:right w:val="nil"/>
                  </w:tcBorders>
                  <w:vAlign w:val="center"/>
                </w:tcPr>
                <w:p w14:paraId="7AE62D68">
                  <w:pPr>
                    <w:pStyle w:val="477"/>
                    <w:spacing w:after="0"/>
                    <w:rPr>
                      <w:b/>
                      <w:color w:val="auto"/>
                      <w:szCs w:val="21"/>
                    </w:rPr>
                  </w:pPr>
                  <w:r>
                    <w:rPr>
                      <w:b/>
                      <w:color w:val="auto"/>
                      <w:szCs w:val="21"/>
                    </w:rPr>
                    <w:t>备注</w:t>
                  </w:r>
                </w:p>
              </w:tc>
            </w:tr>
            <w:tr w14:paraId="30BFB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61" w:type="pct"/>
                  <w:vMerge w:val="restart"/>
                  <w:tcBorders>
                    <w:top w:val="single" w:color="auto" w:sz="12" w:space="0"/>
                    <w:left w:val="nil"/>
                  </w:tcBorders>
                  <w:vAlign w:val="center"/>
                </w:tcPr>
                <w:p w14:paraId="28523971">
                  <w:pPr>
                    <w:pStyle w:val="477"/>
                    <w:spacing w:after="0"/>
                    <w:rPr>
                      <w:b/>
                      <w:color w:val="auto"/>
                      <w:szCs w:val="21"/>
                    </w:rPr>
                  </w:pPr>
                  <w:r>
                    <w:rPr>
                      <w:rFonts w:hint="eastAsia"/>
                      <w:bCs/>
                      <w:color w:val="auto"/>
                      <w:szCs w:val="21"/>
                    </w:rPr>
                    <w:t>主体工程</w:t>
                  </w:r>
                </w:p>
              </w:tc>
              <w:tc>
                <w:tcPr>
                  <w:tcW w:w="1445" w:type="pct"/>
                  <w:gridSpan w:val="3"/>
                  <w:vMerge w:val="restart"/>
                  <w:tcBorders>
                    <w:top w:val="single" w:color="auto" w:sz="12" w:space="0"/>
                  </w:tcBorders>
                  <w:vAlign w:val="center"/>
                </w:tcPr>
                <w:p w14:paraId="3F88FCDD">
                  <w:pPr>
                    <w:pStyle w:val="477"/>
                    <w:spacing w:after="0"/>
                    <w:rPr>
                      <w:bCs/>
                      <w:color w:val="auto"/>
                      <w:szCs w:val="21"/>
                    </w:rPr>
                  </w:pPr>
                  <w:r>
                    <w:rPr>
                      <w:rFonts w:hint="eastAsia"/>
                      <w:bCs/>
                      <w:color w:val="auto"/>
                      <w:szCs w:val="21"/>
                    </w:rPr>
                    <w:t>生产车间</w:t>
                  </w:r>
                </w:p>
              </w:tc>
              <w:tc>
                <w:tcPr>
                  <w:tcW w:w="2024" w:type="pct"/>
                  <w:gridSpan w:val="2"/>
                  <w:tcBorders>
                    <w:top w:val="single" w:color="auto" w:sz="12" w:space="0"/>
                    <w:bottom w:val="single" w:color="auto" w:sz="12" w:space="0"/>
                  </w:tcBorders>
                  <w:vAlign w:val="center"/>
                </w:tcPr>
                <w:p w14:paraId="3FDFECED">
                  <w:pPr>
                    <w:pStyle w:val="477"/>
                    <w:spacing w:after="0"/>
                    <w:rPr>
                      <w:rFonts w:hint="default" w:eastAsia="宋体"/>
                      <w:bCs/>
                      <w:color w:val="auto"/>
                      <w:szCs w:val="21"/>
                      <w:lang w:val="en-US" w:eastAsia="zh-CN"/>
                    </w:rPr>
                  </w:pPr>
                  <w:r>
                    <w:rPr>
                      <w:rFonts w:hint="eastAsia"/>
                      <w:bCs/>
                      <w:color w:val="auto"/>
                      <w:szCs w:val="21"/>
                      <w:lang w:val="en-US" w:eastAsia="zh-CN"/>
                    </w:rPr>
                    <w:t>共一层，</w:t>
                  </w:r>
                  <w:r>
                    <w:rPr>
                      <w:rFonts w:hint="eastAsia"/>
                      <w:bCs/>
                      <w:color w:val="auto"/>
                      <w:szCs w:val="21"/>
                    </w:rPr>
                    <w:t>建筑面积5090.3m</w:t>
                  </w:r>
                  <w:r>
                    <w:rPr>
                      <w:rFonts w:hint="eastAsia"/>
                      <w:bCs/>
                      <w:color w:val="auto"/>
                      <w:szCs w:val="21"/>
                      <w:vertAlign w:val="superscript"/>
                    </w:rPr>
                    <w:t>2</w:t>
                  </w:r>
                  <w:r>
                    <w:rPr>
                      <w:rFonts w:hint="eastAsia"/>
                      <w:bCs/>
                      <w:color w:val="auto"/>
                      <w:szCs w:val="21"/>
                    </w:rPr>
                    <w:t>，包括调漆、喷漆、晾干、打磨、组装、大理石粘接等工艺；本厂房主要涉及</w:t>
                  </w:r>
                  <w:r>
                    <w:rPr>
                      <w:rFonts w:hint="eastAsia"/>
                      <w:bCs/>
                      <w:color w:val="auto"/>
                      <w:szCs w:val="21"/>
                      <w:lang w:eastAsia="zh-CN"/>
                    </w:rPr>
                    <w:t>木质</w:t>
                  </w:r>
                  <w:r>
                    <w:rPr>
                      <w:rFonts w:hint="eastAsia"/>
                      <w:bCs/>
                      <w:color w:val="auto"/>
                      <w:szCs w:val="21"/>
                    </w:rPr>
                    <w:t>组件的喷涂及大理石组件的打磨组装。</w:t>
                  </w:r>
                  <w:r>
                    <w:rPr>
                      <w:rFonts w:hint="eastAsia"/>
                      <w:bCs/>
                      <w:color w:val="auto"/>
                      <w:szCs w:val="21"/>
                      <w:lang w:val="en-US" w:eastAsia="zh-CN"/>
                    </w:rPr>
                    <w:t>危废仓库位于本车间西北角。</w:t>
                  </w:r>
                </w:p>
              </w:tc>
              <w:tc>
                <w:tcPr>
                  <w:tcW w:w="1167" w:type="pct"/>
                  <w:tcBorders>
                    <w:top w:val="single" w:color="auto" w:sz="12" w:space="0"/>
                    <w:right w:val="nil"/>
                  </w:tcBorders>
                  <w:vAlign w:val="center"/>
                </w:tcPr>
                <w:p w14:paraId="116AF28E">
                  <w:pPr>
                    <w:jc w:val="center"/>
                    <w:rPr>
                      <w:color w:val="auto"/>
                      <w:szCs w:val="21"/>
                    </w:rPr>
                  </w:pPr>
                  <w:r>
                    <w:rPr>
                      <w:rFonts w:hint="eastAsia"/>
                      <w:bCs/>
                      <w:color w:val="auto"/>
                      <w:szCs w:val="21"/>
                    </w:rPr>
                    <w:t>新建</w:t>
                  </w:r>
                  <w:r>
                    <w:rPr>
                      <w:rFonts w:hint="eastAsia"/>
                      <w:color w:val="auto"/>
                      <w:szCs w:val="21"/>
                    </w:rPr>
                    <w:t>3#厂房</w:t>
                  </w:r>
                </w:p>
                <w:p w14:paraId="0714DC6A">
                  <w:pPr>
                    <w:pStyle w:val="477"/>
                    <w:spacing w:after="0"/>
                    <w:rPr>
                      <w:bCs/>
                      <w:color w:val="auto"/>
                      <w:szCs w:val="21"/>
                    </w:rPr>
                  </w:pPr>
                  <w:r>
                    <w:rPr>
                      <w:rFonts w:hint="eastAsia"/>
                      <w:bCs/>
                      <w:color w:val="auto"/>
                      <w:szCs w:val="21"/>
                    </w:rPr>
                    <w:t>油漆车间</w:t>
                  </w:r>
                </w:p>
              </w:tc>
            </w:tr>
            <w:tr w14:paraId="2F7FE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61" w:type="pct"/>
                  <w:vMerge w:val="continue"/>
                  <w:tcBorders>
                    <w:left w:val="nil"/>
                  </w:tcBorders>
                  <w:vAlign w:val="center"/>
                </w:tcPr>
                <w:p w14:paraId="41A0151F">
                  <w:pPr>
                    <w:pStyle w:val="477"/>
                    <w:spacing w:after="0"/>
                    <w:rPr>
                      <w:color w:val="auto"/>
                    </w:rPr>
                  </w:pPr>
                </w:p>
              </w:tc>
              <w:tc>
                <w:tcPr>
                  <w:tcW w:w="1445" w:type="pct"/>
                  <w:gridSpan w:val="3"/>
                  <w:vMerge w:val="continue"/>
                  <w:vAlign w:val="center"/>
                </w:tcPr>
                <w:p w14:paraId="412B7A8D">
                  <w:pPr>
                    <w:pStyle w:val="477"/>
                    <w:spacing w:after="0"/>
                    <w:rPr>
                      <w:color w:val="auto"/>
                    </w:rPr>
                  </w:pPr>
                </w:p>
              </w:tc>
              <w:tc>
                <w:tcPr>
                  <w:tcW w:w="2024" w:type="pct"/>
                  <w:gridSpan w:val="2"/>
                  <w:tcBorders>
                    <w:top w:val="single" w:color="auto" w:sz="12" w:space="0"/>
                    <w:bottom w:val="single" w:color="auto" w:sz="12" w:space="0"/>
                  </w:tcBorders>
                  <w:vAlign w:val="center"/>
                </w:tcPr>
                <w:p w14:paraId="18E9D891">
                  <w:pPr>
                    <w:pStyle w:val="477"/>
                    <w:spacing w:after="0"/>
                    <w:rPr>
                      <w:bCs/>
                      <w:color w:val="auto"/>
                      <w:szCs w:val="21"/>
                    </w:rPr>
                  </w:pPr>
                  <w:r>
                    <w:rPr>
                      <w:rFonts w:hint="eastAsia"/>
                      <w:bCs/>
                      <w:color w:val="auto"/>
                      <w:szCs w:val="21"/>
                      <w:lang w:val="en-US" w:eastAsia="zh-CN"/>
                    </w:rPr>
                    <w:t>共一层，</w:t>
                  </w:r>
                  <w:r>
                    <w:rPr>
                      <w:rFonts w:hint="eastAsia"/>
                      <w:bCs/>
                      <w:color w:val="auto"/>
                      <w:szCs w:val="21"/>
                    </w:rPr>
                    <w:t>建筑面积4768.75m</w:t>
                  </w:r>
                  <w:r>
                    <w:rPr>
                      <w:rFonts w:hint="eastAsia"/>
                      <w:bCs/>
                      <w:color w:val="auto"/>
                      <w:szCs w:val="21"/>
                      <w:vertAlign w:val="superscript"/>
                    </w:rPr>
                    <w:t>2</w:t>
                  </w:r>
                  <w:r>
                    <w:rPr>
                      <w:rFonts w:hint="eastAsia"/>
                      <w:bCs/>
                      <w:color w:val="auto"/>
                      <w:szCs w:val="21"/>
                    </w:rPr>
                    <w:t>，包括下料、刨槽、钻孔、封边、组装等工艺；本厂房主要涉及</w:t>
                  </w:r>
                  <w:r>
                    <w:rPr>
                      <w:rFonts w:hint="eastAsia"/>
                      <w:bCs/>
                      <w:color w:val="auto"/>
                      <w:szCs w:val="21"/>
                      <w:lang w:eastAsia="zh-CN"/>
                    </w:rPr>
                    <w:t>木质</w:t>
                  </w:r>
                  <w:r>
                    <w:rPr>
                      <w:rFonts w:hint="eastAsia"/>
                      <w:bCs/>
                      <w:color w:val="auto"/>
                      <w:szCs w:val="21"/>
                    </w:rPr>
                    <w:t>组件的下料打磨及大理石组件的下料工艺。</w:t>
                  </w:r>
                </w:p>
              </w:tc>
              <w:tc>
                <w:tcPr>
                  <w:tcW w:w="1167" w:type="pct"/>
                  <w:tcBorders>
                    <w:right w:val="nil"/>
                  </w:tcBorders>
                  <w:vAlign w:val="center"/>
                </w:tcPr>
                <w:p w14:paraId="03D62AF9">
                  <w:pPr>
                    <w:jc w:val="center"/>
                    <w:rPr>
                      <w:color w:val="auto"/>
                      <w:szCs w:val="21"/>
                    </w:rPr>
                  </w:pPr>
                  <w:r>
                    <w:rPr>
                      <w:rFonts w:hint="eastAsia"/>
                      <w:bCs/>
                      <w:color w:val="auto"/>
                      <w:szCs w:val="21"/>
                    </w:rPr>
                    <w:t>新建</w:t>
                  </w:r>
                  <w:r>
                    <w:rPr>
                      <w:rFonts w:hint="eastAsia"/>
                      <w:color w:val="auto"/>
                      <w:szCs w:val="21"/>
                    </w:rPr>
                    <w:t>4#厂房</w:t>
                  </w:r>
                </w:p>
                <w:p w14:paraId="703E2B15">
                  <w:pPr>
                    <w:pStyle w:val="477"/>
                    <w:spacing w:after="0"/>
                    <w:rPr>
                      <w:bCs/>
                      <w:color w:val="auto"/>
                      <w:szCs w:val="21"/>
                    </w:rPr>
                  </w:pPr>
                  <w:r>
                    <w:rPr>
                      <w:rFonts w:hint="eastAsia"/>
                      <w:bCs/>
                      <w:color w:val="auto"/>
                      <w:szCs w:val="21"/>
                    </w:rPr>
                    <w:t>木工车间</w:t>
                  </w:r>
                </w:p>
              </w:tc>
            </w:tr>
            <w:tr w14:paraId="1501B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1" w:type="pct"/>
                  <w:vMerge w:val="continue"/>
                  <w:tcBorders>
                    <w:left w:val="nil"/>
                  </w:tcBorders>
                  <w:vAlign w:val="center"/>
                </w:tcPr>
                <w:p w14:paraId="4D5FB29C">
                  <w:pPr>
                    <w:pStyle w:val="477"/>
                    <w:spacing w:after="0"/>
                    <w:rPr>
                      <w:bCs/>
                      <w:color w:val="auto"/>
                      <w:szCs w:val="21"/>
                    </w:rPr>
                  </w:pPr>
                </w:p>
              </w:tc>
              <w:tc>
                <w:tcPr>
                  <w:tcW w:w="1445" w:type="pct"/>
                  <w:gridSpan w:val="3"/>
                  <w:vMerge w:val="continue"/>
                  <w:vAlign w:val="center"/>
                </w:tcPr>
                <w:p w14:paraId="129C41B7">
                  <w:pPr>
                    <w:pStyle w:val="477"/>
                    <w:spacing w:after="0"/>
                    <w:rPr>
                      <w:bCs/>
                      <w:color w:val="auto"/>
                      <w:szCs w:val="21"/>
                    </w:rPr>
                  </w:pPr>
                </w:p>
              </w:tc>
              <w:tc>
                <w:tcPr>
                  <w:tcW w:w="2024" w:type="pct"/>
                  <w:gridSpan w:val="2"/>
                  <w:tcBorders>
                    <w:top w:val="single" w:color="auto" w:sz="12" w:space="0"/>
                    <w:bottom w:val="single" w:color="auto" w:sz="12" w:space="0"/>
                  </w:tcBorders>
                  <w:vAlign w:val="center"/>
                </w:tcPr>
                <w:p w14:paraId="65E8ECF5">
                  <w:pPr>
                    <w:pStyle w:val="477"/>
                    <w:spacing w:after="0"/>
                    <w:rPr>
                      <w:bCs/>
                      <w:color w:val="auto"/>
                      <w:szCs w:val="21"/>
                    </w:rPr>
                  </w:pPr>
                  <w:r>
                    <w:rPr>
                      <w:rFonts w:hint="eastAsia"/>
                      <w:bCs/>
                      <w:color w:val="auto"/>
                      <w:szCs w:val="21"/>
                      <w:lang w:val="en-US" w:eastAsia="zh-CN"/>
                    </w:rPr>
                    <w:t>共一层，</w:t>
                  </w:r>
                  <w:r>
                    <w:rPr>
                      <w:rFonts w:hint="eastAsia"/>
                      <w:bCs/>
                      <w:color w:val="auto"/>
                      <w:szCs w:val="21"/>
                    </w:rPr>
                    <w:t>建筑面积10133.9m</w:t>
                  </w:r>
                  <w:r>
                    <w:rPr>
                      <w:rFonts w:hint="eastAsia"/>
                      <w:bCs/>
                      <w:color w:val="auto"/>
                      <w:szCs w:val="21"/>
                      <w:vertAlign w:val="superscript"/>
                    </w:rPr>
                    <w:t>2</w:t>
                  </w:r>
                  <w:r>
                    <w:rPr>
                      <w:rFonts w:hint="eastAsia"/>
                      <w:bCs/>
                      <w:color w:val="auto"/>
                      <w:szCs w:val="21"/>
                    </w:rPr>
                    <w:t>，内设原料区、成品发货区、品质实验室、生产研发中心，包括下料、打磨、抛光、丝印、热弯、打胶、组装等工艺；本厂房主要涉及亚克力组件的生产工艺。</w:t>
                  </w:r>
                </w:p>
              </w:tc>
              <w:tc>
                <w:tcPr>
                  <w:tcW w:w="1167" w:type="pct"/>
                  <w:tcBorders>
                    <w:right w:val="nil"/>
                  </w:tcBorders>
                  <w:vAlign w:val="center"/>
                </w:tcPr>
                <w:p w14:paraId="282F268C">
                  <w:pPr>
                    <w:jc w:val="center"/>
                    <w:rPr>
                      <w:color w:val="auto"/>
                      <w:szCs w:val="21"/>
                    </w:rPr>
                  </w:pPr>
                  <w:r>
                    <w:rPr>
                      <w:rFonts w:hint="eastAsia"/>
                      <w:bCs/>
                      <w:color w:val="auto"/>
                      <w:szCs w:val="21"/>
                    </w:rPr>
                    <w:t>新建</w:t>
                  </w:r>
                  <w:r>
                    <w:rPr>
                      <w:rFonts w:hint="eastAsia"/>
                      <w:color w:val="auto"/>
                      <w:szCs w:val="21"/>
                    </w:rPr>
                    <w:t>1#厂房</w:t>
                  </w:r>
                </w:p>
                <w:p w14:paraId="00A10755">
                  <w:pPr>
                    <w:pStyle w:val="477"/>
                    <w:spacing w:after="0"/>
                    <w:rPr>
                      <w:bCs/>
                      <w:color w:val="auto"/>
                      <w:szCs w:val="21"/>
                    </w:rPr>
                  </w:pPr>
                  <w:r>
                    <w:rPr>
                      <w:rFonts w:hint="eastAsia"/>
                      <w:bCs/>
                      <w:color w:val="auto"/>
                      <w:szCs w:val="21"/>
                    </w:rPr>
                    <w:t>组装车间</w:t>
                  </w:r>
                </w:p>
              </w:tc>
            </w:tr>
            <w:tr w14:paraId="1CD56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61" w:type="pct"/>
                  <w:vMerge w:val="continue"/>
                  <w:tcBorders>
                    <w:left w:val="nil"/>
                  </w:tcBorders>
                  <w:vAlign w:val="center"/>
                </w:tcPr>
                <w:p w14:paraId="2679468F">
                  <w:pPr>
                    <w:pStyle w:val="477"/>
                    <w:spacing w:after="0"/>
                    <w:rPr>
                      <w:bCs/>
                      <w:color w:val="auto"/>
                      <w:szCs w:val="21"/>
                    </w:rPr>
                  </w:pPr>
                </w:p>
              </w:tc>
              <w:tc>
                <w:tcPr>
                  <w:tcW w:w="1445" w:type="pct"/>
                  <w:gridSpan w:val="3"/>
                  <w:vMerge w:val="continue"/>
                  <w:vAlign w:val="center"/>
                </w:tcPr>
                <w:p w14:paraId="71BBC31B">
                  <w:pPr>
                    <w:pStyle w:val="477"/>
                    <w:spacing w:after="0"/>
                    <w:rPr>
                      <w:bCs/>
                      <w:color w:val="auto"/>
                      <w:szCs w:val="21"/>
                    </w:rPr>
                  </w:pPr>
                </w:p>
              </w:tc>
              <w:tc>
                <w:tcPr>
                  <w:tcW w:w="2024" w:type="pct"/>
                  <w:gridSpan w:val="2"/>
                  <w:tcBorders>
                    <w:top w:val="single" w:color="auto" w:sz="12" w:space="0"/>
                    <w:bottom w:val="single" w:color="auto" w:sz="12" w:space="0"/>
                  </w:tcBorders>
                  <w:vAlign w:val="center"/>
                </w:tcPr>
                <w:p w14:paraId="720501F2">
                  <w:pPr>
                    <w:pStyle w:val="477"/>
                    <w:spacing w:after="0"/>
                    <w:rPr>
                      <w:bCs/>
                      <w:color w:val="auto"/>
                      <w:szCs w:val="21"/>
                    </w:rPr>
                  </w:pPr>
                  <w:r>
                    <w:rPr>
                      <w:rFonts w:hint="eastAsia"/>
                      <w:bCs/>
                      <w:color w:val="auto"/>
                      <w:szCs w:val="21"/>
                      <w:lang w:val="en-US" w:eastAsia="zh-CN"/>
                    </w:rPr>
                    <w:t>共一层，</w:t>
                  </w:r>
                  <w:r>
                    <w:rPr>
                      <w:rFonts w:hint="eastAsia"/>
                      <w:bCs/>
                      <w:color w:val="auto"/>
                      <w:szCs w:val="21"/>
                    </w:rPr>
                    <w:t>建筑面积9493.75m</w:t>
                  </w:r>
                  <w:r>
                    <w:rPr>
                      <w:rFonts w:hint="eastAsia"/>
                      <w:bCs/>
                      <w:color w:val="auto"/>
                      <w:szCs w:val="21"/>
                      <w:vertAlign w:val="superscript"/>
                    </w:rPr>
                    <w:t>2</w:t>
                  </w:r>
                  <w:r>
                    <w:rPr>
                      <w:rFonts w:hint="eastAsia"/>
                      <w:bCs/>
                      <w:color w:val="auto"/>
                      <w:szCs w:val="21"/>
                    </w:rPr>
                    <w:t>，包括抛光、打磨、焊接、下料、刨槽、折弯、冷压等工艺；本厂房主要涉及金属组件的生产工艺。</w:t>
                  </w:r>
                </w:p>
              </w:tc>
              <w:tc>
                <w:tcPr>
                  <w:tcW w:w="1167" w:type="pct"/>
                  <w:tcBorders>
                    <w:right w:val="nil"/>
                  </w:tcBorders>
                  <w:vAlign w:val="center"/>
                </w:tcPr>
                <w:p w14:paraId="42BC5972">
                  <w:pPr>
                    <w:jc w:val="center"/>
                    <w:rPr>
                      <w:color w:val="auto"/>
                      <w:szCs w:val="21"/>
                    </w:rPr>
                  </w:pPr>
                  <w:r>
                    <w:rPr>
                      <w:rFonts w:hint="eastAsia"/>
                      <w:bCs/>
                      <w:color w:val="auto"/>
                      <w:szCs w:val="21"/>
                    </w:rPr>
                    <w:t>新建</w:t>
                  </w:r>
                  <w:r>
                    <w:rPr>
                      <w:rFonts w:hint="eastAsia"/>
                      <w:color w:val="auto"/>
                      <w:szCs w:val="21"/>
                    </w:rPr>
                    <w:t>2#厂房</w:t>
                  </w:r>
                </w:p>
                <w:p w14:paraId="6897F9FD">
                  <w:pPr>
                    <w:pStyle w:val="477"/>
                    <w:spacing w:after="0"/>
                    <w:rPr>
                      <w:bCs/>
                      <w:color w:val="auto"/>
                      <w:szCs w:val="21"/>
                    </w:rPr>
                  </w:pPr>
                  <w:r>
                    <w:rPr>
                      <w:rFonts w:hint="eastAsia"/>
                      <w:bCs/>
                      <w:color w:val="auto"/>
                      <w:szCs w:val="21"/>
                    </w:rPr>
                    <w:t>金属车间</w:t>
                  </w:r>
                </w:p>
              </w:tc>
            </w:tr>
            <w:tr w14:paraId="7C31D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restart"/>
                  <w:tcBorders>
                    <w:top w:val="single" w:color="auto" w:sz="12" w:space="0"/>
                    <w:left w:val="nil"/>
                  </w:tcBorders>
                  <w:vAlign w:val="center"/>
                </w:tcPr>
                <w:p w14:paraId="50CDAC32">
                  <w:pPr>
                    <w:pStyle w:val="477"/>
                    <w:spacing w:after="0"/>
                    <w:rPr>
                      <w:color w:val="auto"/>
                      <w:szCs w:val="21"/>
                    </w:rPr>
                  </w:pPr>
                  <w:r>
                    <w:rPr>
                      <w:color w:val="auto"/>
                      <w:szCs w:val="21"/>
                    </w:rPr>
                    <w:t>储运工程</w:t>
                  </w:r>
                </w:p>
              </w:tc>
              <w:tc>
                <w:tcPr>
                  <w:tcW w:w="1445" w:type="pct"/>
                  <w:gridSpan w:val="3"/>
                  <w:tcBorders>
                    <w:top w:val="single" w:color="auto" w:sz="12" w:space="0"/>
                    <w:bottom w:val="single" w:color="auto" w:sz="4" w:space="0"/>
                  </w:tcBorders>
                  <w:vAlign w:val="center"/>
                </w:tcPr>
                <w:p w14:paraId="7387663C">
                  <w:pPr>
                    <w:pStyle w:val="477"/>
                    <w:spacing w:after="0"/>
                    <w:rPr>
                      <w:color w:val="auto"/>
                      <w:szCs w:val="21"/>
                    </w:rPr>
                  </w:pPr>
                  <w:r>
                    <w:rPr>
                      <w:color w:val="auto"/>
                      <w:szCs w:val="21"/>
                    </w:rPr>
                    <w:t>原料库</w:t>
                  </w:r>
                </w:p>
              </w:tc>
              <w:tc>
                <w:tcPr>
                  <w:tcW w:w="2024" w:type="pct"/>
                  <w:gridSpan w:val="2"/>
                  <w:tcBorders>
                    <w:top w:val="single" w:color="auto" w:sz="12" w:space="0"/>
                    <w:bottom w:val="single" w:color="auto" w:sz="4" w:space="0"/>
                  </w:tcBorders>
                  <w:vAlign w:val="center"/>
                </w:tcPr>
                <w:p w14:paraId="270E0F2E">
                  <w:pPr>
                    <w:pStyle w:val="477"/>
                    <w:spacing w:after="0"/>
                    <w:rPr>
                      <w:color w:val="auto"/>
                      <w:szCs w:val="21"/>
                    </w:rPr>
                  </w:pPr>
                  <w:r>
                    <w:rPr>
                      <w:rFonts w:hint="eastAsia"/>
                      <w:color w:val="auto"/>
                      <w:szCs w:val="21"/>
                    </w:rPr>
                    <w:t>存放原料区域，面积约2641</w:t>
                  </w:r>
                  <w:r>
                    <w:rPr>
                      <w:rFonts w:hint="eastAsia"/>
                      <w:bCs/>
                      <w:color w:val="auto"/>
                      <w:szCs w:val="21"/>
                    </w:rPr>
                    <w:t>m</w:t>
                  </w:r>
                  <w:r>
                    <w:rPr>
                      <w:rFonts w:hint="eastAsia"/>
                      <w:bCs/>
                      <w:color w:val="auto"/>
                      <w:szCs w:val="21"/>
                      <w:vertAlign w:val="superscript"/>
                    </w:rPr>
                    <w:t>2</w:t>
                  </w:r>
                </w:p>
              </w:tc>
              <w:tc>
                <w:tcPr>
                  <w:tcW w:w="1167" w:type="pct"/>
                  <w:tcBorders>
                    <w:top w:val="single" w:color="auto" w:sz="12" w:space="0"/>
                    <w:bottom w:val="single" w:color="auto" w:sz="4" w:space="0"/>
                    <w:right w:val="nil"/>
                  </w:tcBorders>
                  <w:vAlign w:val="center"/>
                </w:tcPr>
                <w:p w14:paraId="74A2FBD1">
                  <w:pPr>
                    <w:pStyle w:val="477"/>
                    <w:spacing w:after="0"/>
                    <w:rPr>
                      <w:color w:val="auto"/>
                      <w:szCs w:val="21"/>
                    </w:rPr>
                  </w:pPr>
                  <w:r>
                    <w:rPr>
                      <w:rFonts w:hint="eastAsia"/>
                      <w:color w:val="auto"/>
                      <w:szCs w:val="21"/>
                    </w:rPr>
                    <w:t>位于厂房内，木工原料区675</w:t>
                  </w:r>
                  <w:r>
                    <w:rPr>
                      <w:rFonts w:hint="eastAsia"/>
                      <w:bCs/>
                      <w:color w:val="auto"/>
                      <w:szCs w:val="21"/>
                    </w:rPr>
                    <w:t>m</w:t>
                  </w:r>
                  <w:r>
                    <w:rPr>
                      <w:rFonts w:hint="eastAsia"/>
                      <w:bCs/>
                      <w:color w:val="auto"/>
                      <w:szCs w:val="21"/>
                      <w:vertAlign w:val="superscript"/>
                    </w:rPr>
                    <w:t>2</w:t>
                  </w:r>
                  <w:r>
                    <w:rPr>
                      <w:rFonts w:hint="eastAsia"/>
                      <w:color w:val="auto"/>
                      <w:szCs w:val="21"/>
                    </w:rPr>
                    <w:t>，组装车间1#原料区771</w:t>
                  </w:r>
                  <w:r>
                    <w:rPr>
                      <w:rFonts w:hint="eastAsia"/>
                      <w:bCs/>
                      <w:color w:val="auto"/>
                      <w:szCs w:val="21"/>
                    </w:rPr>
                    <w:t>m</w:t>
                  </w:r>
                  <w:r>
                    <w:rPr>
                      <w:rFonts w:hint="eastAsia"/>
                      <w:bCs/>
                      <w:color w:val="auto"/>
                      <w:szCs w:val="21"/>
                      <w:vertAlign w:val="superscript"/>
                    </w:rPr>
                    <w:t>2</w:t>
                  </w:r>
                  <w:r>
                    <w:rPr>
                      <w:rFonts w:hint="eastAsia"/>
                      <w:color w:val="auto"/>
                      <w:szCs w:val="21"/>
                    </w:rPr>
                    <w:t>，2#原料区440</w:t>
                  </w:r>
                  <w:r>
                    <w:rPr>
                      <w:rFonts w:hint="eastAsia"/>
                      <w:bCs/>
                      <w:color w:val="auto"/>
                      <w:szCs w:val="21"/>
                    </w:rPr>
                    <w:t>m</w:t>
                  </w:r>
                  <w:r>
                    <w:rPr>
                      <w:rFonts w:hint="eastAsia"/>
                      <w:bCs/>
                      <w:color w:val="auto"/>
                      <w:szCs w:val="21"/>
                      <w:vertAlign w:val="superscript"/>
                    </w:rPr>
                    <w:t>2</w:t>
                  </w:r>
                  <w:r>
                    <w:rPr>
                      <w:rFonts w:hint="eastAsia"/>
                      <w:color w:val="auto"/>
                      <w:szCs w:val="21"/>
                    </w:rPr>
                    <w:t>，亚克力原料区205</w:t>
                  </w:r>
                  <w:r>
                    <w:rPr>
                      <w:rFonts w:hint="eastAsia"/>
                      <w:bCs/>
                      <w:color w:val="auto"/>
                      <w:szCs w:val="21"/>
                    </w:rPr>
                    <w:t>m</w:t>
                  </w:r>
                  <w:r>
                    <w:rPr>
                      <w:rFonts w:hint="eastAsia"/>
                      <w:bCs/>
                      <w:color w:val="auto"/>
                      <w:szCs w:val="21"/>
                      <w:vertAlign w:val="superscript"/>
                    </w:rPr>
                    <w:t>2</w:t>
                  </w:r>
                  <w:r>
                    <w:rPr>
                      <w:rFonts w:hint="eastAsia"/>
                      <w:color w:val="auto"/>
                      <w:szCs w:val="21"/>
                    </w:rPr>
                    <w:t>，金属车间金属原料区550</w:t>
                  </w:r>
                  <w:r>
                    <w:rPr>
                      <w:rFonts w:hint="eastAsia"/>
                      <w:bCs/>
                      <w:color w:val="auto"/>
                      <w:szCs w:val="21"/>
                    </w:rPr>
                    <w:t>m</w:t>
                  </w:r>
                  <w:r>
                    <w:rPr>
                      <w:rFonts w:hint="eastAsia"/>
                      <w:bCs/>
                      <w:color w:val="auto"/>
                      <w:szCs w:val="21"/>
                      <w:vertAlign w:val="superscript"/>
                    </w:rPr>
                    <w:t>2</w:t>
                  </w:r>
                </w:p>
              </w:tc>
            </w:tr>
            <w:tr w14:paraId="1FEB0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top w:val="single" w:color="auto" w:sz="12" w:space="0"/>
                    <w:left w:val="nil"/>
                  </w:tcBorders>
                  <w:vAlign w:val="center"/>
                </w:tcPr>
                <w:p w14:paraId="1A0D14F3">
                  <w:pPr>
                    <w:pStyle w:val="477"/>
                    <w:spacing w:after="0"/>
                    <w:rPr>
                      <w:color w:val="auto"/>
                      <w:szCs w:val="21"/>
                    </w:rPr>
                  </w:pPr>
                </w:p>
              </w:tc>
              <w:tc>
                <w:tcPr>
                  <w:tcW w:w="1445" w:type="pct"/>
                  <w:gridSpan w:val="3"/>
                  <w:tcBorders>
                    <w:top w:val="single" w:color="auto" w:sz="4" w:space="0"/>
                    <w:bottom w:val="single" w:color="auto" w:sz="4" w:space="0"/>
                  </w:tcBorders>
                  <w:vAlign w:val="center"/>
                </w:tcPr>
                <w:p w14:paraId="4B517237">
                  <w:pPr>
                    <w:pStyle w:val="477"/>
                    <w:spacing w:after="0"/>
                    <w:rPr>
                      <w:color w:val="auto"/>
                      <w:kern w:val="0"/>
                      <w:szCs w:val="21"/>
                      <w:lang w:val="zh-CN"/>
                    </w:rPr>
                  </w:pPr>
                  <w:r>
                    <w:rPr>
                      <w:color w:val="auto"/>
                      <w:kern w:val="0"/>
                      <w:szCs w:val="21"/>
                      <w:lang w:val="zh-CN"/>
                    </w:rPr>
                    <w:t>成品库</w:t>
                  </w:r>
                </w:p>
              </w:tc>
              <w:tc>
                <w:tcPr>
                  <w:tcW w:w="2024" w:type="pct"/>
                  <w:gridSpan w:val="2"/>
                  <w:tcBorders>
                    <w:top w:val="single" w:color="auto" w:sz="4" w:space="0"/>
                    <w:bottom w:val="single" w:color="auto" w:sz="4" w:space="0"/>
                  </w:tcBorders>
                  <w:vAlign w:val="center"/>
                </w:tcPr>
                <w:p w14:paraId="68BF3FA8">
                  <w:pPr>
                    <w:pStyle w:val="477"/>
                    <w:spacing w:after="0"/>
                    <w:rPr>
                      <w:color w:val="auto"/>
                      <w:szCs w:val="21"/>
                    </w:rPr>
                  </w:pPr>
                  <w:r>
                    <w:rPr>
                      <w:rFonts w:hint="eastAsia"/>
                      <w:color w:val="auto"/>
                      <w:szCs w:val="21"/>
                    </w:rPr>
                    <w:t>存放成品展示道具，面积约405</w:t>
                  </w:r>
                  <w:r>
                    <w:rPr>
                      <w:rFonts w:hint="eastAsia"/>
                      <w:bCs/>
                      <w:color w:val="auto"/>
                      <w:szCs w:val="21"/>
                    </w:rPr>
                    <w:t>m</w:t>
                  </w:r>
                  <w:r>
                    <w:rPr>
                      <w:rFonts w:hint="eastAsia"/>
                      <w:bCs/>
                      <w:color w:val="auto"/>
                      <w:szCs w:val="21"/>
                      <w:vertAlign w:val="superscript"/>
                    </w:rPr>
                    <w:t>2</w:t>
                  </w:r>
                </w:p>
              </w:tc>
              <w:tc>
                <w:tcPr>
                  <w:tcW w:w="1167" w:type="pct"/>
                  <w:tcBorders>
                    <w:top w:val="single" w:color="auto" w:sz="4" w:space="0"/>
                    <w:bottom w:val="single" w:color="auto" w:sz="4" w:space="0"/>
                    <w:right w:val="nil"/>
                  </w:tcBorders>
                  <w:vAlign w:val="center"/>
                </w:tcPr>
                <w:p w14:paraId="0364511A">
                  <w:pPr>
                    <w:pStyle w:val="477"/>
                    <w:spacing w:after="0"/>
                    <w:rPr>
                      <w:color w:val="auto"/>
                      <w:szCs w:val="21"/>
                    </w:rPr>
                  </w:pPr>
                  <w:r>
                    <w:rPr>
                      <w:rFonts w:hint="eastAsia"/>
                      <w:color w:val="auto"/>
                      <w:szCs w:val="21"/>
                    </w:rPr>
                    <w:t>位于厂房内，设置在1#厂房组装车间成品区</w:t>
                  </w:r>
                </w:p>
              </w:tc>
            </w:tr>
            <w:tr w14:paraId="11027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003C9A9E">
                  <w:pPr>
                    <w:pStyle w:val="477"/>
                    <w:spacing w:after="0"/>
                    <w:rPr>
                      <w:color w:val="auto"/>
                      <w:szCs w:val="21"/>
                    </w:rPr>
                  </w:pPr>
                </w:p>
              </w:tc>
              <w:tc>
                <w:tcPr>
                  <w:tcW w:w="1445" w:type="pct"/>
                  <w:gridSpan w:val="3"/>
                  <w:tcBorders>
                    <w:top w:val="single" w:color="auto" w:sz="4" w:space="0"/>
                    <w:bottom w:val="single" w:color="auto" w:sz="4" w:space="0"/>
                  </w:tcBorders>
                  <w:vAlign w:val="center"/>
                </w:tcPr>
                <w:p w14:paraId="5DEA0F87">
                  <w:pPr>
                    <w:pStyle w:val="477"/>
                    <w:spacing w:after="0"/>
                    <w:rPr>
                      <w:color w:val="auto"/>
                      <w:szCs w:val="21"/>
                    </w:rPr>
                  </w:pPr>
                  <w:r>
                    <w:rPr>
                      <w:color w:val="auto"/>
                      <w:szCs w:val="21"/>
                    </w:rPr>
                    <w:t>运输</w:t>
                  </w:r>
                </w:p>
              </w:tc>
              <w:tc>
                <w:tcPr>
                  <w:tcW w:w="2024" w:type="pct"/>
                  <w:gridSpan w:val="2"/>
                  <w:tcBorders>
                    <w:top w:val="single" w:color="auto" w:sz="4" w:space="0"/>
                    <w:bottom w:val="single" w:color="auto" w:sz="4" w:space="0"/>
                  </w:tcBorders>
                  <w:vAlign w:val="center"/>
                </w:tcPr>
                <w:p w14:paraId="0C767704">
                  <w:pPr>
                    <w:pStyle w:val="477"/>
                    <w:spacing w:after="0"/>
                    <w:rPr>
                      <w:color w:val="auto"/>
                      <w:szCs w:val="21"/>
                    </w:rPr>
                  </w:pPr>
                  <w:r>
                    <w:rPr>
                      <w:rFonts w:hint="eastAsia"/>
                      <w:color w:val="auto"/>
                      <w:szCs w:val="21"/>
                    </w:rPr>
                    <w:t>汽车运输</w:t>
                  </w:r>
                </w:p>
              </w:tc>
              <w:tc>
                <w:tcPr>
                  <w:tcW w:w="1167" w:type="pct"/>
                  <w:tcBorders>
                    <w:top w:val="single" w:color="auto" w:sz="4" w:space="0"/>
                    <w:bottom w:val="single" w:color="auto" w:sz="4" w:space="0"/>
                    <w:right w:val="nil"/>
                  </w:tcBorders>
                  <w:vAlign w:val="center"/>
                </w:tcPr>
                <w:p w14:paraId="3EFCD97C">
                  <w:pPr>
                    <w:pStyle w:val="477"/>
                    <w:spacing w:after="0"/>
                    <w:rPr>
                      <w:color w:val="auto"/>
                      <w:szCs w:val="21"/>
                    </w:rPr>
                  </w:pPr>
                  <w:r>
                    <w:rPr>
                      <w:color w:val="auto"/>
                      <w:szCs w:val="21"/>
                    </w:rPr>
                    <w:t>/</w:t>
                  </w:r>
                </w:p>
              </w:tc>
            </w:tr>
            <w:tr w14:paraId="3C731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restart"/>
                  <w:tcBorders>
                    <w:left w:val="nil"/>
                  </w:tcBorders>
                  <w:vAlign w:val="center"/>
                </w:tcPr>
                <w:p w14:paraId="42EE363D">
                  <w:pPr>
                    <w:pStyle w:val="477"/>
                    <w:spacing w:after="0"/>
                    <w:rPr>
                      <w:color w:val="auto"/>
                      <w:szCs w:val="21"/>
                    </w:rPr>
                  </w:pPr>
                  <w:r>
                    <w:rPr>
                      <w:color w:val="auto"/>
                      <w:szCs w:val="21"/>
                    </w:rPr>
                    <w:t>辅助工程</w:t>
                  </w:r>
                </w:p>
              </w:tc>
              <w:tc>
                <w:tcPr>
                  <w:tcW w:w="1445" w:type="pct"/>
                  <w:gridSpan w:val="3"/>
                  <w:tcBorders>
                    <w:top w:val="single" w:color="auto" w:sz="4" w:space="0"/>
                  </w:tcBorders>
                  <w:vAlign w:val="center"/>
                </w:tcPr>
                <w:p w14:paraId="25EDD4B6">
                  <w:pPr>
                    <w:pStyle w:val="477"/>
                    <w:spacing w:after="0"/>
                    <w:rPr>
                      <w:color w:val="auto"/>
                      <w:szCs w:val="21"/>
                    </w:rPr>
                  </w:pPr>
                  <w:r>
                    <w:rPr>
                      <w:color w:val="auto"/>
                      <w:szCs w:val="21"/>
                    </w:rPr>
                    <w:t>给水</w:t>
                  </w:r>
                </w:p>
              </w:tc>
              <w:tc>
                <w:tcPr>
                  <w:tcW w:w="2024" w:type="pct"/>
                  <w:gridSpan w:val="2"/>
                  <w:tcBorders>
                    <w:top w:val="single" w:color="auto" w:sz="4" w:space="0"/>
                  </w:tcBorders>
                  <w:vAlign w:val="center"/>
                </w:tcPr>
                <w:p w14:paraId="4E520422">
                  <w:pPr>
                    <w:pStyle w:val="477"/>
                    <w:spacing w:after="0"/>
                    <w:rPr>
                      <w:color w:val="auto"/>
                    </w:rPr>
                  </w:pPr>
                  <w:r>
                    <w:rPr>
                      <w:rFonts w:hint="eastAsia"/>
                      <w:color w:val="auto"/>
                    </w:rPr>
                    <w:t>13359.1m</w:t>
                  </w:r>
                  <w:r>
                    <w:rPr>
                      <w:rFonts w:hint="eastAsia"/>
                      <w:color w:val="auto"/>
                      <w:vertAlign w:val="superscript"/>
                    </w:rPr>
                    <w:t>3</w:t>
                  </w:r>
                  <w:r>
                    <w:rPr>
                      <w:rFonts w:hint="eastAsia"/>
                      <w:color w:val="auto"/>
                    </w:rPr>
                    <w:t>/a</w:t>
                  </w:r>
                </w:p>
              </w:tc>
              <w:tc>
                <w:tcPr>
                  <w:tcW w:w="1167" w:type="pct"/>
                  <w:tcBorders>
                    <w:top w:val="single" w:color="auto" w:sz="4" w:space="0"/>
                    <w:right w:val="nil"/>
                  </w:tcBorders>
                  <w:vAlign w:val="center"/>
                </w:tcPr>
                <w:p w14:paraId="62799A87">
                  <w:pPr>
                    <w:pStyle w:val="477"/>
                    <w:spacing w:after="0"/>
                    <w:rPr>
                      <w:color w:val="auto"/>
                      <w:szCs w:val="21"/>
                    </w:rPr>
                  </w:pPr>
                  <w:r>
                    <w:rPr>
                      <w:rFonts w:hint="eastAsia"/>
                      <w:color w:val="auto"/>
                    </w:rPr>
                    <w:t>由市政供水管网提供</w:t>
                  </w:r>
                </w:p>
              </w:tc>
            </w:tr>
            <w:tr w14:paraId="70FF9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1" w:type="pct"/>
                  <w:vMerge w:val="continue"/>
                  <w:tcBorders>
                    <w:left w:val="nil"/>
                  </w:tcBorders>
                  <w:vAlign w:val="center"/>
                </w:tcPr>
                <w:p w14:paraId="62EAFAF3">
                  <w:pPr>
                    <w:pStyle w:val="477"/>
                    <w:spacing w:after="0"/>
                    <w:rPr>
                      <w:color w:val="auto"/>
                      <w:szCs w:val="21"/>
                    </w:rPr>
                  </w:pPr>
                </w:p>
              </w:tc>
              <w:tc>
                <w:tcPr>
                  <w:tcW w:w="1445" w:type="pct"/>
                  <w:gridSpan w:val="3"/>
                  <w:vAlign w:val="center"/>
                </w:tcPr>
                <w:p w14:paraId="678532A4">
                  <w:pPr>
                    <w:pStyle w:val="477"/>
                    <w:spacing w:after="0"/>
                    <w:rPr>
                      <w:color w:val="auto"/>
                      <w:szCs w:val="21"/>
                    </w:rPr>
                  </w:pPr>
                  <w:r>
                    <w:rPr>
                      <w:color w:val="auto"/>
                      <w:szCs w:val="21"/>
                    </w:rPr>
                    <w:t>排水</w:t>
                  </w:r>
                </w:p>
              </w:tc>
              <w:tc>
                <w:tcPr>
                  <w:tcW w:w="2024" w:type="pct"/>
                  <w:gridSpan w:val="2"/>
                  <w:vAlign w:val="center"/>
                </w:tcPr>
                <w:p w14:paraId="2D16F04B">
                  <w:pPr>
                    <w:pStyle w:val="477"/>
                    <w:spacing w:after="0"/>
                    <w:rPr>
                      <w:color w:val="auto"/>
                      <w:szCs w:val="21"/>
                    </w:rPr>
                  </w:pPr>
                  <w:r>
                    <w:rPr>
                      <w:rFonts w:hint="eastAsia"/>
                      <w:color w:val="auto"/>
                    </w:rPr>
                    <w:t>厂内实施雨污分流，雨水经雨水管道接入市政雨水管网，就近排入附近地表水；生活污水产生量5670m</w:t>
                  </w:r>
                  <w:r>
                    <w:rPr>
                      <w:rFonts w:hint="eastAsia"/>
                      <w:color w:val="auto"/>
                      <w:vertAlign w:val="superscript"/>
                    </w:rPr>
                    <w:t>3</w:t>
                  </w:r>
                  <w:r>
                    <w:rPr>
                      <w:rFonts w:hint="eastAsia"/>
                      <w:color w:val="auto"/>
                    </w:rPr>
                    <w:t>/a经隔油池+化粪池处理后接管至新建的涟水县空港产业园污水处理厂，生产废水6345m</w:t>
                  </w:r>
                  <w:r>
                    <w:rPr>
                      <w:rFonts w:hint="eastAsia"/>
                      <w:color w:val="auto"/>
                      <w:vertAlign w:val="superscript"/>
                    </w:rPr>
                    <w:t>3</w:t>
                  </w:r>
                  <w:r>
                    <w:rPr>
                      <w:rFonts w:hint="eastAsia"/>
                      <w:color w:val="auto"/>
                    </w:rPr>
                    <w:t>/a经厂内污水处理站处理后接管至涟水县空港产业园污水处理厂，尾水排入盐河，在园区管网未落实到项目所在地之前，本项目不得投产。</w:t>
                  </w:r>
                </w:p>
              </w:tc>
              <w:tc>
                <w:tcPr>
                  <w:tcW w:w="1167" w:type="pct"/>
                  <w:tcBorders>
                    <w:right w:val="nil"/>
                  </w:tcBorders>
                  <w:vAlign w:val="center"/>
                </w:tcPr>
                <w:p w14:paraId="6AA5F911">
                  <w:pPr>
                    <w:pStyle w:val="477"/>
                    <w:spacing w:after="0"/>
                    <w:rPr>
                      <w:color w:val="auto"/>
                      <w:szCs w:val="21"/>
                    </w:rPr>
                  </w:pPr>
                  <w:r>
                    <w:rPr>
                      <w:rFonts w:hint="eastAsia"/>
                      <w:color w:val="auto"/>
                      <w:szCs w:val="21"/>
                    </w:rPr>
                    <w:t>达标排放</w:t>
                  </w:r>
                </w:p>
              </w:tc>
            </w:tr>
            <w:tr w14:paraId="010F4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236086F7">
                  <w:pPr>
                    <w:pStyle w:val="477"/>
                    <w:spacing w:after="0"/>
                    <w:rPr>
                      <w:color w:val="auto"/>
                      <w:szCs w:val="21"/>
                    </w:rPr>
                  </w:pPr>
                </w:p>
              </w:tc>
              <w:tc>
                <w:tcPr>
                  <w:tcW w:w="1445" w:type="pct"/>
                  <w:gridSpan w:val="3"/>
                  <w:vAlign w:val="center"/>
                </w:tcPr>
                <w:p w14:paraId="78AD5455">
                  <w:pPr>
                    <w:pStyle w:val="477"/>
                    <w:spacing w:after="0"/>
                    <w:rPr>
                      <w:color w:val="auto"/>
                      <w:szCs w:val="21"/>
                    </w:rPr>
                  </w:pPr>
                  <w:r>
                    <w:rPr>
                      <w:color w:val="auto"/>
                      <w:szCs w:val="21"/>
                    </w:rPr>
                    <w:t>供电</w:t>
                  </w:r>
                </w:p>
              </w:tc>
              <w:tc>
                <w:tcPr>
                  <w:tcW w:w="2024" w:type="pct"/>
                  <w:gridSpan w:val="2"/>
                  <w:vAlign w:val="center"/>
                </w:tcPr>
                <w:p w14:paraId="3A5220F5">
                  <w:pPr>
                    <w:pStyle w:val="477"/>
                    <w:spacing w:after="0"/>
                    <w:rPr>
                      <w:color w:val="auto"/>
                      <w:szCs w:val="21"/>
                    </w:rPr>
                  </w:pPr>
                  <w:r>
                    <w:rPr>
                      <w:rFonts w:hint="eastAsia"/>
                      <w:color w:val="auto"/>
                      <w:szCs w:val="21"/>
                    </w:rPr>
                    <w:t>年用量430</w:t>
                  </w:r>
                  <w:r>
                    <w:rPr>
                      <w:color w:val="auto"/>
                      <w:szCs w:val="18"/>
                    </w:rPr>
                    <w:t>万kWh</w:t>
                  </w:r>
                </w:p>
              </w:tc>
              <w:tc>
                <w:tcPr>
                  <w:tcW w:w="1167" w:type="pct"/>
                  <w:tcBorders>
                    <w:right w:val="nil"/>
                  </w:tcBorders>
                  <w:vAlign w:val="center"/>
                </w:tcPr>
                <w:p w14:paraId="7D4E7631">
                  <w:pPr>
                    <w:pStyle w:val="477"/>
                    <w:spacing w:after="0"/>
                    <w:rPr>
                      <w:color w:val="auto"/>
                      <w:szCs w:val="21"/>
                    </w:rPr>
                  </w:pPr>
                  <w:r>
                    <w:rPr>
                      <w:rFonts w:hint="eastAsia"/>
                      <w:color w:val="auto"/>
                      <w:szCs w:val="21"/>
                    </w:rPr>
                    <w:t>由市政电网提供</w:t>
                  </w:r>
                </w:p>
              </w:tc>
            </w:tr>
            <w:tr w14:paraId="1668C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restart"/>
                  <w:tcBorders>
                    <w:left w:val="nil"/>
                  </w:tcBorders>
                  <w:vAlign w:val="center"/>
                </w:tcPr>
                <w:p w14:paraId="7B2AA3EE">
                  <w:pPr>
                    <w:pStyle w:val="477"/>
                    <w:spacing w:after="0"/>
                    <w:rPr>
                      <w:color w:val="auto"/>
                      <w:szCs w:val="21"/>
                    </w:rPr>
                  </w:pPr>
                  <w:r>
                    <w:rPr>
                      <w:color w:val="auto"/>
                      <w:szCs w:val="21"/>
                    </w:rPr>
                    <w:t>环保工程</w:t>
                  </w:r>
                </w:p>
              </w:tc>
              <w:tc>
                <w:tcPr>
                  <w:tcW w:w="354" w:type="pct"/>
                  <w:vMerge w:val="restart"/>
                  <w:vAlign w:val="center"/>
                </w:tcPr>
                <w:p w14:paraId="7F2AAACF">
                  <w:pPr>
                    <w:pStyle w:val="477"/>
                    <w:spacing w:after="0"/>
                    <w:rPr>
                      <w:color w:val="auto"/>
                      <w:szCs w:val="21"/>
                    </w:rPr>
                  </w:pPr>
                  <w:r>
                    <w:rPr>
                      <w:color w:val="auto"/>
                      <w:szCs w:val="21"/>
                    </w:rPr>
                    <w:t>废水处理</w:t>
                  </w:r>
                </w:p>
              </w:tc>
              <w:tc>
                <w:tcPr>
                  <w:tcW w:w="1091" w:type="pct"/>
                  <w:gridSpan w:val="2"/>
                  <w:vAlign w:val="center"/>
                </w:tcPr>
                <w:p w14:paraId="5812D916">
                  <w:pPr>
                    <w:pStyle w:val="477"/>
                    <w:spacing w:after="0"/>
                    <w:rPr>
                      <w:color w:val="auto"/>
                      <w:szCs w:val="21"/>
                    </w:rPr>
                  </w:pPr>
                  <w:r>
                    <w:rPr>
                      <w:color w:val="auto"/>
                      <w:szCs w:val="21"/>
                    </w:rPr>
                    <w:t>生活污水</w:t>
                  </w:r>
                </w:p>
              </w:tc>
              <w:tc>
                <w:tcPr>
                  <w:tcW w:w="2024" w:type="pct"/>
                  <w:gridSpan w:val="2"/>
                  <w:vAlign w:val="center"/>
                </w:tcPr>
                <w:p w14:paraId="0A6B05CA">
                  <w:pPr>
                    <w:pStyle w:val="477"/>
                    <w:spacing w:after="0"/>
                    <w:rPr>
                      <w:color w:val="auto"/>
                      <w:szCs w:val="21"/>
                    </w:rPr>
                  </w:pPr>
                  <w:r>
                    <w:rPr>
                      <w:rFonts w:hint="eastAsia" w:eastAsiaTheme="minorEastAsia"/>
                      <w:bCs/>
                      <w:color w:val="auto"/>
                      <w:szCs w:val="21"/>
                    </w:rPr>
                    <w:t>5670</w:t>
                  </w:r>
                  <w:r>
                    <w:rPr>
                      <w:rFonts w:hint="eastAsia"/>
                      <w:color w:val="auto"/>
                    </w:rPr>
                    <w:t>m</w:t>
                  </w:r>
                  <w:r>
                    <w:rPr>
                      <w:rFonts w:hint="eastAsia"/>
                      <w:color w:val="auto"/>
                      <w:vertAlign w:val="superscript"/>
                    </w:rPr>
                    <w:t>3</w:t>
                  </w:r>
                  <w:r>
                    <w:rPr>
                      <w:rFonts w:hint="eastAsia"/>
                      <w:color w:val="auto"/>
                    </w:rPr>
                    <w:t>/a</w:t>
                  </w:r>
                  <w:r>
                    <w:rPr>
                      <w:rFonts w:hint="eastAsia" w:eastAsiaTheme="minorEastAsia"/>
                      <w:bCs/>
                      <w:color w:val="auto"/>
                      <w:szCs w:val="21"/>
                    </w:rPr>
                    <w:t>，4.5</w:t>
                  </w:r>
                  <w:r>
                    <w:rPr>
                      <w:rFonts w:eastAsiaTheme="minorEastAsia"/>
                      <w:bCs/>
                      <w:color w:val="auto"/>
                      <w:szCs w:val="21"/>
                    </w:rPr>
                    <w:t>m</w:t>
                  </w:r>
                  <w:r>
                    <w:rPr>
                      <w:rFonts w:eastAsiaTheme="minorEastAsia"/>
                      <w:bCs/>
                      <w:color w:val="auto"/>
                      <w:szCs w:val="21"/>
                      <w:vertAlign w:val="superscript"/>
                    </w:rPr>
                    <w:t>3</w:t>
                  </w:r>
                  <w:r>
                    <w:rPr>
                      <w:rFonts w:hint="eastAsia"/>
                      <w:color w:val="auto"/>
                      <w:szCs w:val="21"/>
                    </w:rPr>
                    <w:t>隔油池+</w:t>
                  </w:r>
                  <w:r>
                    <w:rPr>
                      <w:rFonts w:hint="eastAsia" w:eastAsiaTheme="minorEastAsia"/>
                      <w:bCs/>
                      <w:color w:val="auto"/>
                      <w:szCs w:val="21"/>
                    </w:rPr>
                    <w:t>10</w:t>
                  </w:r>
                  <w:r>
                    <w:rPr>
                      <w:rFonts w:eastAsiaTheme="minorEastAsia"/>
                      <w:bCs/>
                      <w:color w:val="auto"/>
                      <w:szCs w:val="21"/>
                    </w:rPr>
                    <w:t>m</w:t>
                  </w:r>
                  <w:r>
                    <w:rPr>
                      <w:rFonts w:eastAsiaTheme="minorEastAsia"/>
                      <w:bCs/>
                      <w:color w:val="auto"/>
                      <w:szCs w:val="21"/>
                      <w:vertAlign w:val="superscript"/>
                    </w:rPr>
                    <w:t>3</w:t>
                  </w:r>
                  <w:r>
                    <w:rPr>
                      <w:rFonts w:hint="eastAsia"/>
                      <w:color w:val="auto"/>
                      <w:szCs w:val="21"/>
                    </w:rPr>
                    <w:t>化粪池</w:t>
                  </w:r>
                </w:p>
              </w:tc>
              <w:tc>
                <w:tcPr>
                  <w:tcW w:w="1167" w:type="pct"/>
                  <w:tcBorders>
                    <w:right w:val="nil"/>
                  </w:tcBorders>
                  <w:vAlign w:val="center"/>
                </w:tcPr>
                <w:p w14:paraId="28130CAB">
                  <w:pPr>
                    <w:pStyle w:val="477"/>
                    <w:spacing w:after="0"/>
                    <w:rPr>
                      <w:color w:val="auto"/>
                      <w:szCs w:val="21"/>
                    </w:rPr>
                  </w:pPr>
                  <w:r>
                    <w:rPr>
                      <w:rFonts w:hint="eastAsia"/>
                      <w:color w:val="auto"/>
                      <w:szCs w:val="21"/>
                    </w:rPr>
                    <w:t>新建</w:t>
                  </w:r>
                </w:p>
              </w:tc>
            </w:tr>
            <w:tr w14:paraId="6732B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601C7C81">
                  <w:pPr>
                    <w:pStyle w:val="477"/>
                    <w:spacing w:after="0"/>
                    <w:rPr>
                      <w:color w:val="auto"/>
                      <w:szCs w:val="21"/>
                    </w:rPr>
                  </w:pPr>
                </w:p>
              </w:tc>
              <w:tc>
                <w:tcPr>
                  <w:tcW w:w="354" w:type="pct"/>
                  <w:vMerge w:val="continue"/>
                  <w:vAlign w:val="center"/>
                </w:tcPr>
                <w:p w14:paraId="3B0ECC31">
                  <w:pPr>
                    <w:pStyle w:val="477"/>
                    <w:spacing w:after="0"/>
                    <w:rPr>
                      <w:color w:val="auto"/>
                      <w:szCs w:val="21"/>
                    </w:rPr>
                  </w:pPr>
                </w:p>
              </w:tc>
              <w:tc>
                <w:tcPr>
                  <w:tcW w:w="1091" w:type="pct"/>
                  <w:gridSpan w:val="2"/>
                  <w:vAlign w:val="center"/>
                </w:tcPr>
                <w:p w14:paraId="74DC2F77">
                  <w:pPr>
                    <w:pStyle w:val="477"/>
                    <w:spacing w:after="0"/>
                    <w:rPr>
                      <w:color w:val="auto"/>
                      <w:szCs w:val="21"/>
                    </w:rPr>
                  </w:pPr>
                  <w:r>
                    <w:rPr>
                      <w:rFonts w:hint="eastAsia"/>
                      <w:color w:val="auto"/>
                      <w:szCs w:val="21"/>
                    </w:rPr>
                    <w:t>生产废水</w:t>
                  </w:r>
                </w:p>
              </w:tc>
              <w:tc>
                <w:tcPr>
                  <w:tcW w:w="2024" w:type="pct"/>
                  <w:gridSpan w:val="2"/>
                  <w:vAlign w:val="center"/>
                </w:tcPr>
                <w:p w14:paraId="16894715">
                  <w:pPr>
                    <w:pStyle w:val="477"/>
                    <w:spacing w:after="0"/>
                    <w:rPr>
                      <w:rFonts w:hint="default" w:eastAsiaTheme="minorEastAsia"/>
                      <w:color w:val="auto"/>
                      <w:szCs w:val="21"/>
                      <w:lang w:val="en-US" w:eastAsia="zh-CN"/>
                    </w:rPr>
                  </w:pPr>
                  <w:r>
                    <w:rPr>
                      <w:rFonts w:hint="eastAsia"/>
                      <w:color w:val="auto"/>
                      <w:szCs w:val="21"/>
                    </w:rPr>
                    <w:t>6345</w:t>
                  </w:r>
                  <w:r>
                    <w:rPr>
                      <w:rFonts w:hint="eastAsia"/>
                      <w:color w:val="auto"/>
                    </w:rPr>
                    <w:t>m</w:t>
                  </w:r>
                  <w:r>
                    <w:rPr>
                      <w:rFonts w:hint="eastAsia"/>
                      <w:color w:val="auto"/>
                      <w:vertAlign w:val="superscript"/>
                    </w:rPr>
                    <w:t>3</w:t>
                  </w:r>
                  <w:r>
                    <w:rPr>
                      <w:rFonts w:hint="eastAsia"/>
                      <w:color w:val="auto"/>
                    </w:rPr>
                    <w:t>/a</w:t>
                  </w:r>
                  <w:r>
                    <w:rPr>
                      <w:rFonts w:hint="eastAsia" w:eastAsiaTheme="minorEastAsia"/>
                      <w:bCs/>
                      <w:color w:val="auto"/>
                      <w:szCs w:val="21"/>
                    </w:rPr>
                    <w:t>，污水处理设施为调节</w:t>
                  </w:r>
                  <w:r>
                    <w:rPr>
                      <w:rFonts w:hint="eastAsia"/>
                      <w:color w:val="auto"/>
                      <w:lang w:eastAsia="zh-CN"/>
                    </w:rPr>
                    <w:t>（</w:t>
                  </w:r>
                  <w:r>
                    <w:rPr>
                      <w:rFonts w:hint="eastAsia"/>
                      <w:color w:val="auto"/>
                      <w:lang w:val="en-US" w:eastAsia="zh-CN"/>
                    </w:rPr>
                    <w:t>调水质和PH</w:t>
                  </w:r>
                  <w:r>
                    <w:rPr>
                      <w:rFonts w:hint="eastAsia"/>
                      <w:color w:val="auto"/>
                      <w:lang w:eastAsia="zh-CN"/>
                    </w:rPr>
                    <w:t>）</w:t>
                  </w:r>
                  <w:r>
                    <w:rPr>
                      <w:rFonts w:hint="eastAsia" w:eastAsiaTheme="minorEastAsia"/>
                      <w:bCs/>
                      <w:color w:val="auto"/>
                      <w:szCs w:val="21"/>
                    </w:rPr>
                    <w:t>+混凝沉淀+</w:t>
                  </w:r>
                  <w:r>
                    <w:rPr>
                      <w:rFonts w:hint="eastAsia" w:eastAsiaTheme="minorEastAsia"/>
                      <w:bCs/>
                      <w:color w:val="auto"/>
                      <w:szCs w:val="21"/>
                      <w:lang w:val="en-US" w:eastAsia="zh-CN"/>
                    </w:rPr>
                    <w:t>斜管沉淀</w:t>
                  </w:r>
                </w:p>
              </w:tc>
              <w:tc>
                <w:tcPr>
                  <w:tcW w:w="1167" w:type="pct"/>
                  <w:tcBorders>
                    <w:right w:val="nil"/>
                  </w:tcBorders>
                  <w:vAlign w:val="center"/>
                </w:tcPr>
                <w:p w14:paraId="7AD385D1">
                  <w:pPr>
                    <w:pStyle w:val="477"/>
                    <w:spacing w:after="0"/>
                    <w:rPr>
                      <w:color w:val="auto"/>
                      <w:szCs w:val="21"/>
                    </w:rPr>
                  </w:pPr>
                  <w:r>
                    <w:rPr>
                      <w:rFonts w:hint="eastAsia"/>
                      <w:color w:val="auto"/>
                      <w:szCs w:val="21"/>
                    </w:rPr>
                    <w:t>新建</w:t>
                  </w:r>
                </w:p>
              </w:tc>
            </w:tr>
            <w:tr w14:paraId="5540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406DB8A9">
                  <w:pPr>
                    <w:pStyle w:val="477"/>
                    <w:spacing w:after="0"/>
                    <w:rPr>
                      <w:color w:val="auto"/>
                      <w:szCs w:val="21"/>
                    </w:rPr>
                  </w:pPr>
                </w:p>
              </w:tc>
              <w:tc>
                <w:tcPr>
                  <w:tcW w:w="354" w:type="pct"/>
                  <w:vMerge w:val="restart"/>
                  <w:vAlign w:val="center"/>
                </w:tcPr>
                <w:p w14:paraId="569320E2">
                  <w:pPr>
                    <w:pStyle w:val="477"/>
                    <w:spacing w:after="0"/>
                    <w:rPr>
                      <w:color w:val="auto"/>
                      <w:szCs w:val="21"/>
                    </w:rPr>
                  </w:pPr>
                  <w:r>
                    <w:rPr>
                      <w:color w:val="auto"/>
                      <w:szCs w:val="21"/>
                    </w:rPr>
                    <w:t>废气处理</w:t>
                  </w:r>
                </w:p>
              </w:tc>
              <w:tc>
                <w:tcPr>
                  <w:tcW w:w="354" w:type="pct"/>
                  <w:vMerge w:val="restart"/>
                  <w:vAlign w:val="center"/>
                </w:tcPr>
                <w:p w14:paraId="742E543C">
                  <w:pPr>
                    <w:pStyle w:val="477"/>
                    <w:spacing w:after="0"/>
                    <w:rPr>
                      <w:color w:val="auto"/>
                      <w:szCs w:val="21"/>
                    </w:rPr>
                  </w:pPr>
                  <w:r>
                    <w:rPr>
                      <w:rFonts w:hint="eastAsia"/>
                      <w:color w:val="auto"/>
                      <w:szCs w:val="21"/>
                    </w:rPr>
                    <w:t>木制组件</w:t>
                  </w:r>
                </w:p>
              </w:tc>
              <w:tc>
                <w:tcPr>
                  <w:tcW w:w="737" w:type="pct"/>
                  <w:vAlign w:val="center"/>
                </w:tcPr>
                <w:p w14:paraId="6ED7228F">
                  <w:pPr>
                    <w:pStyle w:val="477"/>
                    <w:spacing w:after="0"/>
                    <w:rPr>
                      <w:color w:val="auto"/>
                      <w:szCs w:val="21"/>
                    </w:rPr>
                  </w:pPr>
                  <w:r>
                    <w:rPr>
                      <w:rFonts w:hint="eastAsia"/>
                      <w:color w:val="auto"/>
                      <w:szCs w:val="21"/>
                    </w:rPr>
                    <w:t>下料粉尘</w:t>
                  </w:r>
                </w:p>
              </w:tc>
              <w:tc>
                <w:tcPr>
                  <w:tcW w:w="1012" w:type="pct"/>
                  <w:vMerge w:val="restart"/>
                  <w:vAlign w:val="center"/>
                </w:tcPr>
                <w:p w14:paraId="6D6E6CDA">
                  <w:pPr>
                    <w:pStyle w:val="477"/>
                    <w:spacing w:after="0"/>
                    <w:rPr>
                      <w:color w:val="auto"/>
                    </w:rPr>
                  </w:pPr>
                  <w:r>
                    <w:rPr>
                      <w:rFonts w:hint="eastAsia"/>
                      <w:color w:val="auto"/>
                      <w:szCs w:val="21"/>
                    </w:rPr>
                    <w:t>集气罩收集+布袋除尘处理</w:t>
                  </w:r>
                </w:p>
              </w:tc>
              <w:tc>
                <w:tcPr>
                  <w:tcW w:w="1012" w:type="pct"/>
                  <w:vMerge w:val="restart"/>
                  <w:vAlign w:val="center"/>
                </w:tcPr>
                <w:p w14:paraId="04A157EF">
                  <w:pPr>
                    <w:pStyle w:val="477"/>
                    <w:spacing w:after="0"/>
                    <w:rPr>
                      <w:color w:val="auto"/>
                      <w:szCs w:val="21"/>
                    </w:rPr>
                  </w:pPr>
                  <w:r>
                    <w:rPr>
                      <w:rFonts w:hint="eastAsia"/>
                      <w:color w:val="auto"/>
                      <w:szCs w:val="21"/>
                      <w:lang w:eastAsia="zh-CN"/>
                    </w:rPr>
                    <w:t>15.</w:t>
                  </w:r>
                  <w:r>
                    <w:rPr>
                      <w:rFonts w:hint="eastAsia"/>
                      <w:color w:val="auto"/>
                      <w:szCs w:val="21"/>
                    </w:rPr>
                    <w:t>m高排气筒（DA001）</w:t>
                  </w:r>
                  <w:r>
                    <w:rPr>
                      <w:rFonts w:hint="eastAsia"/>
                      <w:color w:val="auto"/>
                    </w:rPr>
                    <w:t>排放</w:t>
                  </w:r>
                  <w:r>
                    <w:rPr>
                      <w:rFonts w:hint="eastAsia"/>
                      <w:color w:val="auto"/>
                      <w:szCs w:val="21"/>
                    </w:rPr>
                    <w:t>，总风量为10000m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22DB94BD">
                  <w:pPr>
                    <w:pStyle w:val="477"/>
                    <w:spacing w:after="0"/>
                    <w:rPr>
                      <w:color w:val="auto"/>
                      <w:szCs w:val="21"/>
                    </w:rPr>
                  </w:pPr>
                  <w:r>
                    <w:rPr>
                      <w:rFonts w:hint="eastAsia"/>
                      <w:color w:val="auto"/>
                      <w:szCs w:val="21"/>
                    </w:rPr>
                    <w:t>达标排放</w:t>
                  </w:r>
                </w:p>
              </w:tc>
            </w:tr>
            <w:tr w14:paraId="6135B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0F0F4E99">
                  <w:pPr>
                    <w:pStyle w:val="477"/>
                    <w:spacing w:after="0"/>
                    <w:rPr>
                      <w:color w:val="auto"/>
                      <w:szCs w:val="21"/>
                    </w:rPr>
                  </w:pPr>
                </w:p>
              </w:tc>
              <w:tc>
                <w:tcPr>
                  <w:tcW w:w="354" w:type="pct"/>
                  <w:vMerge w:val="continue"/>
                  <w:vAlign w:val="center"/>
                </w:tcPr>
                <w:p w14:paraId="00475C7D">
                  <w:pPr>
                    <w:pStyle w:val="477"/>
                    <w:spacing w:after="0"/>
                    <w:rPr>
                      <w:color w:val="auto"/>
                      <w:szCs w:val="21"/>
                    </w:rPr>
                  </w:pPr>
                </w:p>
              </w:tc>
              <w:tc>
                <w:tcPr>
                  <w:tcW w:w="354" w:type="pct"/>
                  <w:vMerge w:val="continue"/>
                  <w:vAlign w:val="center"/>
                </w:tcPr>
                <w:p w14:paraId="7CBB485D">
                  <w:pPr>
                    <w:pStyle w:val="477"/>
                    <w:spacing w:after="0"/>
                    <w:rPr>
                      <w:color w:val="auto"/>
                      <w:szCs w:val="21"/>
                    </w:rPr>
                  </w:pPr>
                </w:p>
              </w:tc>
              <w:tc>
                <w:tcPr>
                  <w:tcW w:w="737" w:type="pct"/>
                  <w:vAlign w:val="center"/>
                </w:tcPr>
                <w:p w14:paraId="287E3BB8">
                  <w:pPr>
                    <w:pStyle w:val="477"/>
                    <w:spacing w:after="0"/>
                    <w:rPr>
                      <w:color w:val="auto"/>
                      <w:szCs w:val="21"/>
                    </w:rPr>
                  </w:pPr>
                  <w:r>
                    <w:rPr>
                      <w:rFonts w:hint="eastAsia"/>
                      <w:color w:val="auto"/>
                      <w:szCs w:val="21"/>
                    </w:rPr>
                    <w:t>倒角粉尘</w:t>
                  </w:r>
                </w:p>
              </w:tc>
              <w:tc>
                <w:tcPr>
                  <w:tcW w:w="1012" w:type="pct"/>
                  <w:vMerge w:val="continue"/>
                  <w:vAlign w:val="center"/>
                </w:tcPr>
                <w:p w14:paraId="48026611">
                  <w:pPr>
                    <w:pStyle w:val="477"/>
                    <w:spacing w:after="0"/>
                    <w:rPr>
                      <w:color w:val="auto"/>
                    </w:rPr>
                  </w:pPr>
                </w:p>
              </w:tc>
              <w:tc>
                <w:tcPr>
                  <w:tcW w:w="1012" w:type="pct"/>
                  <w:vMerge w:val="continue"/>
                  <w:vAlign w:val="center"/>
                </w:tcPr>
                <w:p w14:paraId="6F73B336">
                  <w:pPr>
                    <w:pStyle w:val="477"/>
                    <w:spacing w:after="0"/>
                    <w:rPr>
                      <w:color w:val="auto"/>
                    </w:rPr>
                  </w:pPr>
                </w:p>
              </w:tc>
              <w:tc>
                <w:tcPr>
                  <w:tcW w:w="1167" w:type="pct"/>
                  <w:tcBorders>
                    <w:right w:val="nil"/>
                  </w:tcBorders>
                  <w:vAlign w:val="center"/>
                </w:tcPr>
                <w:p w14:paraId="71948C2C">
                  <w:pPr>
                    <w:pStyle w:val="477"/>
                    <w:spacing w:after="0"/>
                    <w:rPr>
                      <w:color w:val="auto"/>
                      <w:szCs w:val="21"/>
                    </w:rPr>
                  </w:pPr>
                  <w:r>
                    <w:rPr>
                      <w:rFonts w:hint="eastAsia"/>
                      <w:color w:val="auto"/>
                      <w:szCs w:val="21"/>
                    </w:rPr>
                    <w:t>达标排放</w:t>
                  </w:r>
                </w:p>
              </w:tc>
            </w:tr>
            <w:tr w14:paraId="4C89E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18359BC8">
                  <w:pPr>
                    <w:pStyle w:val="477"/>
                    <w:spacing w:after="0"/>
                    <w:rPr>
                      <w:color w:val="auto"/>
                      <w:szCs w:val="21"/>
                    </w:rPr>
                  </w:pPr>
                </w:p>
              </w:tc>
              <w:tc>
                <w:tcPr>
                  <w:tcW w:w="354" w:type="pct"/>
                  <w:vMerge w:val="continue"/>
                  <w:vAlign w:val="center"/>
                </w:tcPr>
                <w:p w14:paraId="3669644A">
                  <w:pPr>
                    <w:pStyle w:val="477"/>
                    <w:spacing w:after="0"/>
                    <w:rPr>
                      <w:color w:val="auto"/>
                      <w:szCs w:val="21"/>
                    </w:rPr>
                  </w:pPr>
                </w:p>
              </w:tc>
              <w:tc>
                <w:tcPr>
                  <w:tcW w:w="354" w:type="pct"/>
                  <w:vMerge w:val="continue"/>
                  <w:vAlign w:val="center"/>
                </w:tcPr>
                <w:p w14:paraId="157493D9">
                  <w:pPr>
                    <w:pStyle w:val="477"/>
                    <w:spacing w:after="0"/>
                    <w:rPr>
                      <w:color w:val="auto"/>
                      <w:szCs w:val="21"/>
                    </w:rPr>
                  </w:pPr>
                </w:p>
              </w:tc>
              <w:tc>
                <w:tcPr>
                  <w:tcW w:w="737" w:type="pct"/>
                  <w:vAlign w:val="center"/>
                </w:tcPr>
                <w:p w14:paraId="6BF1F5AB">
                  <w:pPr>
                    <w:pStyle w:val="477"/>
                    <w:spacing w:after="0"/>
                    <w:rPr>
                      <w:color w:val="auto"/>
                      <w:szCs w:val="21"/>
                    </w:rPr>
                  </w:pPr>
                  <w:r>
                    <w:rPr>
                      <w:rFonts w:hint="eastAsia"/>
                      <w:color w:val="auto"/>
                      <w:szCs w:val="21"/>
                    </w:rPr>
                    <w:t>封边废气</w:t>
                  </w:r>
                </w:p>
              </w:tc>
              <w:tc>
                <w:tcPr>
                  <w:tcW w:w="1012" w:type="pct"/>
                  <w:vMerge w:val="restart"/>
                  <w:vAlign w:val="center"/>
                </w:tcPr>
                <w:p w14:paraId="287436F1">
                  <w:pPr>
                    <w:pStyle w:val="477"/>
                    <w:spacing w:after="0"/>
                    <w:rPr>
                      <w:color w:val="auto"/>
                    </w:rPr>
                  </w:pPr>
                  <w:r>
                    <w:rPr>
                      <w:rFonts w:hint="eastAsia"/>
                      <w:color w:val="auto"/>
                    </w:rPr>
                    <w:t>集气罩收集+二级活性炭处理</w:t>
                  </w:r>
                </w:p>
              </w:tc>
              <w:tc>
                <w:tcPr>
                  <w:tcW w:w="1012" w:type="pct"/>
                  <w:vMerge w:val="continue"/>
                  <w:vAlign w:val="center"/>
                </w:tcPr>
                <w:p w14:paraId="236C7891">
                  <w:pPr>
                    <w:pStyle w:val="477"/>
                    <w:spacing w:after="0"/>
                    <w:rPr>
                      <w:color w:val="auto"/>
                    </w:rPr>
                  </w:pPr>
                </w:p>
              </w:tc>
              <w:tc>
                <w:tcPr>
                  <w:tcW w:w="1167" w:type="pct"/>
                  <w:tcBorders>
                    <w:right w:val="nil"/>
                  </w:tcBorders>
                  <w:vAlign w:val="center"/>
                </w:tcPr>
                <w:p w14:paraId="12A5112B">
                  <w:pPr>
                    <w:pStyle w:val="477"/>
                    <w:spacing w:after="0"/>
                    <w:rPr>
                      <w:color w:val="auto"/>
                      <w:szCs w:val="21"/>
                    </w:rPr>
                  </w:pPr>
                  <w:r>
                    <w:rPr>
                      <w:rFonts w:hint="eastAsia"/>
                      <w:color w:val="auto"/>
                      <w:szCs w:val="21"/>
                    </w:rPr>
                    <w:t>达标排放</w:t>
                  </w:r>
                </w:p>
              </w:tc>
            </w:tr>
            <w:tr w14:paraId="28AE2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D540E31">
                  <w:pPr>
                    <w:pStyle w:val="477"/>
                    <w:spacing w:after="0"/>
                    <w:rPr>
                      <w:color w:val="auto"/>
                      <w:szCs w:val="21"/>
                    </w:rPr>
                  </w:pPr>
                </w:p>
              </w:tc>
              <w:tc>
                <w:tcPr>
                  <w:tcW w:w="354" w:type="pct"/>
                  <w:vMerge w:val="continue"/>
                  <w:vAlign w:val="center"/>
                </w:tcPr>
                <w:p w14:paraId="7C224462">
                  <w:pPr>
                    <w:pStyle w:val="477"/>
                    <w:spacing w:after="0"/>
                    <w:rPr>
                      <w:color w:val="auto"/>
                      <w:szCs w:val="21"/>
                    </w:rPr>
                  </w:pPr>
                </w:p>
              </w:tc>
              <w:tc>
                <w:tcPr>
                  <w:tcW w:w="354" w:type="pct"/>
                  <w:vMerge w:val="continue"/>
                  <w:vAlign w:val="center"/>
                </w:tcPr>
                <w:p w14:paraId="4F63AD51">
                  <w:pPr>
                    <w:pStyle w:val="477"/>
                    <w:spacing w:after="0"/>
                    <w:rPr>
                      <w:color w:val="auto"/>
                      <w:szCs w:val="21"/>
                    </w:rPr>
                  </w:pPr>
                </w:p>
              </w:tc>
              <w:tc>
                <w:tcPr>
                  <w:tcW w:w="737" w:type="pct"/>
                  <w:vAlign w:val="center"/>
                </w:tcPr>
                <w:p w14:paraId="6BE41884">
                  <w:pPr>
                    <w:pStyle w:val="477"/>
                    <w:spacing w:after="0"/>
                    <w:rPr>
                      <w:color w:val="auto"/>
                      <w:szCs w:val="21"/>
                    </w:rPr>
                  </w:pPr>
                  <w:r>
                    <w:rPr>
                      <w:rFonts w:hint="eastAsia"/>
                      <w:color w:val="auto"/>
                      <w:szCs w:val="21"/>
                    </w:rPr>
                    <w:t>贴皮废气</w:t>
                  </w:r>
                </w:p>
              </w:tc>
              <w:tc>
                <w:tcPr>
                  <w:tcW w:w="1012" w:type="pct"/>
                  <w:vMerge w:val="continue"/>
                  <w:vAlign w:val="center"/>
                </w:tcPr>
                <w:p w14:paraId="1ABB51C3">
                  <w:pPr>
                    <w:pStyle w:val="477"/>
                    <w:spacing w:after="0"/>
                    <w:rPr>
                      <w:color w:val="auto"/>
                    </w:rPr>
                  </w:pPr>
                </w:p>
              </w:tc>
              <w:tc>
                <w:tcPr>
                  <w:tcW w:w="1012" w:type="pct"/>
                  <w:vMerge w:val="continue"/>
                  <w:vAlign w:val="center"/>
                </w:tcPr>
                <w:p w14:paraId="5902E05F">
                  <w:pPr>
                    <w:pStyle w:val="477"/>
                    <w:spacing w:after="0"/>
                    <w:rPr>
                      <w:color w:val="auto"/>
                    </w:rPr>
                  </w:pPr>
                </w:p>
              </w:tc>
              <w:tc>
                <w:tcPr>
                  <w:tcW w:w="1167" w:type="pct"/>
                  <w:tcBorders>
                    <w:right w:val="nil"/>
                  </w:tcBorders>
                  <w:vAlign w:val="center"/>
                </w:tcPr>
                <w:p w14:paraId="2B64AB68">
                  <w:pPr>
                    <w:pStyle w:val="477"/>
                    <w:spacing w:after="0"/>
                    <w:rPr>
                      <w:color w:val="auto"/>
                      <w:szCs w:val="21"/>
                    </w:rPr>
                  </w:pPr>
                  <w:r>
                    <w:rPr>
                      <w:rFonts w:hint="eastAsia"/>
                      <w:color w:val="auto"/>
                      <w:szCs w:val="21"/>
                    </w:rPr>
                    <w:t>达标排放</w:t>
                  </w:r>
                </w:p>
              </w:tc>
            </w:tr>
            <w:tr w14:paraId="5D5F4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041EE970">
                  <w:pPr>
                    <w:pStyle w:val="477"/>
                    <w:spacing w:after="0"/>
                    <w:rPr>
                      <w:color w:val="auto"/>
                      <w:szCs w:val="21"/>
                    </w:rPr>
                  </w:pPr>
                </w:p>
              </w:tc>
              <w:tc>
                <w:tcPr>
                  <w:tcW w:w="354" w:type="pct"/>
                  <w:vMerge w:val="continue"/>
                  <w:vAlign w:val="center"/>
                </w:tcPr>
                <w:p w14:paraId="3AF8C438">
                  <w:pPr>
                    <w:pStyle w:val="477"/>
                    <w:spacing w:after="0"/>
                    <w:rPr>
                      <w:color w:val="auto"/>
                      <w:szCs w:val="21"/>
                    </w:rPr>
                  </w:pPr>
                </w:p>
              </w:tc>
              <w:tc>
                <w:tcPr>
                  <w:tcW w:w="354" w:type="pct"/>
                  <w:vMerge w:val="continue"/>
                  <w:vAlign w:val="center"/>
                </w:tcPr>
                <w:p w14:paraId="6D8E0015">
                  <w:pPr>
                    <w:pStyle w:val="477"/>
                    <w:spacing w:after="0"/>
                    <w:rPr>
                      <w:color w:val="auto"/>
                      <w:szCs w:val="21"/>
                    </w:rPr>
                  </w:pPr>
                </w:p>
              </w:tc>
              <w:tc>
                <w:tcPr>
                  <w:tcW w:w="737" w:type="pct"/>
                  <w:vAlign w:val="center"/>
                </w:tcPr>
                <w:p w14:paraId="2B9A3D64">
                  <w:pPr>
                    <w:pStyle w:val="477"/>
                    <w:spacing w:after="0"/>
                    <w:rPr>
                      <w:color w:val="auto"/>
                      <w:szCs w:val="21"/>
                    </w:rPr>
                  </w:pPr>
                  <w:r>
                    <w:rPr>
                      <w:rFonts w:hint="eastAsia"/>
                      <w:color w:val="auto"/>
                      <w:szCs w:val="21"/>
                    </w:rPr>
                    <w:t>修边、磨平、打磨粉尘</w:t>
                  </w:r>
                </w:p>
              </w:tc>
              <w:tc>
                <w:tcPr>
                  <w:tcW w:w="1012" w:type="pct"/>
                  <w:vAlign w:val="center"/>
                </w:tcPr>
                <w:p w14:paraId="53F5EF51">
                  <w:pPr>
                    <w:pStyle w:val="477"/>
                    <w:spacing w:after="0"/>
                    <w:rPr>
                      <w:color w:val="auto"/>
                    </w:rPr>
                  </w:pPr>
                  <w:r>
                    <w:rPr>
                      <w:rFonts w:hint="eastAsia"/>
                      <w:color w:val="auto"/>
                    </w:rPr>
                    <w:t>集气罩收集+布袋除尘处理</w:t>
                  </w:r>
                </w:p>
              </w:tc>
              <w:tc>
                <w:tcPr>
                  <w:tcW w:w="1012" w:type="pct"/>
                  <w:vAlign w:val="center"/>
                </w:tcPr>
                <w:p w14:paraId="2F663DE7">
                  <w:pPr>
                    <w:pStyle w:val="477"/>
                    <w:spacing w:after="0"/>
                    <w:rPr>
                      <w:color w:val="auto"/>
                    </w:rPr>
                  </w:pPr>
                  <w:r>
                    <w:rPr>
                      <w:rFonts w:hint="eastAsia"/>
                      <w:color w:val="auto"/>
                      <w:lang w:eastAsia="zh-CN"/>
                    </w:rPr>
                    <w:t>15.</w:t>
                  </w:r>
                  <w:r>
                    <w:rPr>
                      <w:rFonts w:hint="eastAsia"/>
                      <w:color w:val="auto"/>
                    </w:rPr>
                    <w:t>m高排气筒（DA002）排放，</w:t>
                  </w:r>
                  <w:r>
                    <w:rPr>
                      <w:rFonts w:hint="eastAsia"/>
                      <w:color w:val="auto"/>
                      <w:szCs w:val="21"/>
                    </w:rPr>
                    <w:t>总风量为6000m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46610B68">
                  <w:pPr>
                    <w:pStyle w:val="477"/>
                    <w:spacing w:after="0"/>
                    <w:rPr>
                      <w:color w:val="auto"/>
                      <w:szCs w:val="21"/>
                    </w:rPr>
                  </w:pPr>
                  <w:r>
                    <w:rPr>
                      <w:rFonts w:hint="eastAsia"/>
                      <w:color w:val="auto"/>
                      <w:szCs w:val="21"/>
                    </w:rPr>
                    <w:t>达标排放</w:t>
                  </w:r>
                </w:p>
              </w:tc>
            </w:tr>
            <w:tr w14:paraId="0F798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7AB6B6BE">
                  <w:pPr>
                    <w:pStyle w:val="477"/>
                    <w:spacing w:after="0"/>
                    <w:rPr>
                      <w:color w:val="auto"/>
                      <w:szCs w:val="21"/>
                    </w:rPr>
                  </w:pPr>
                </w:p>
              </w:tc>
              <w:tc>
                <w:tcPr>
                  <w:tcW w:w="354" w:type="pct"/>
                  <w:vMerge w:val="continue"/>
                  <w:vAlign w:val="center"/>
                </w:tcPr>
                <w:p w14:paraId="784DA50C">
                  <w:pPr>
                    <w:pStyle w:val="477"/>
                    <w:spacing w:after="0"/>
                    <w:rPr>
                      <w:color w:val="auto"/>
                      <w:szCs w:val="21"/>
                    </w:rPr>
                  </w:pPr>
                </w:p>
              </w:tc>
              <w:tc>
                <w:tcPr>
                  <w:tcW w:w="354" w:type="pct"/>
                  <w:vMerge w:val="continue"/>
                  <w:vAlign w:val="center"/>
                </w:tcPr>
                <w:p w14:paraId="3FA61F02">
                  <w:pPr>
                    <w:pStyle w:val="477"/>
                    <w:spacing w:after="0"/>
                    <w:rPr>
                      <w:color w:val="auto"/>
                      <w:szCs w:val="21"/>
                    </w:rPr>
                  </w:pPr>
                </w:p>
              </w:tc>
              <w:tc>
                <w:tcPr>
                  <w:tcW w:w="737" w:type="pct"/>
                  <w:vAlign w:val="center"/>
                </w:tcPr>
                <w:p w14:paraId="585538E1">
                  <w:pPr>
                    <w:pStyle w:val="477"/>
                    <w:spacing w:after="0"/>
                    <w:rPr>
                      <w:color w:val="auto"/>
                      <w:szCs w:val="21"/>
                    </w:rPr>
                  </w:pPr>
                  <w:r>
                    <w:rPr>
                      <w:rFonts w:hint="eastAsia"/>
                      <w:color w:val="auto"/>
                      <w:szCs w:val="21"/>
                    </w:rPr>
                    <w:t>批灰废气</w:t>
                  </w:r>
                </w:p>
              </w:tc>
              <w:tc>
                <w:tcPr>
                  <w:tcW w:w="1012" w:type="pct"/>
                  <w:vAlign w:val="center"/>
                </w:tcPr>
                <w:p w14:paraId="07045559">
                  <w:pPr>
                    <w:pStyle w:val="477"/>
                    <w:spacing w:after="0"/>
                    <w:rPr>
                      <w:color w:val="auto"/>
                    </w:rPr>
                  </w:pPr>
                  <w:r>
                    <w:rPr>
                      <w:rFonts w:hint="eastAsia"/>
                      <w:color w:val="auto"/>
                    </w:rPr>
                    <w:t>集气罩收集+干式过滤器+二级活性炭处理</w:t>
                  </w:r>
                </w:p>
              </w:tc>
              <w:tc>
                <w:tcPr>
                  <w:tcW w:w="1012" w:type="pct"/>
                  <w:vMerge w:val="restart"/>
                  <w:vAlign w:val="center"/>
                </w:tcPr>
                <w:p w14:paraId="7DA3DB65">
                  <w:pPr>
                    <w:pStyle w:val="477"/>
                    <w:spacing w:after="0"/>
                    <w:rPr>
                      <w:color w:val="auto"/>
                    </w:rPr>
                  </w:pPr>
                  <w:r>
                    <w:rPr>
                      <w:rFonts w:hint="eastAsia"/>
                      <w:color w:val="auto"/>
                      <w:lang w:eastAsia="zh-CN"/>
                    </w:rPr>
                    <w:t>15.</w:t>
                  </w:r>
                  <w:r>
                    <w:rPr>
                      <w:rFonts w:hint="eastAsia"/>
                      <w:color w:val="auto"/>
                    </w:rPr>
                    <w:t>m高排气筒（DA003）排放，</w:t>
                  </w:r>
                  <w:r>
                    <w:rPr>
                      <w:rFonts w:hint="eastAsia"/>
                      <w:color w:val="auto"/>
                      <w:szCs w:val="21"/>
                    </w:rPr>
                    <w:t>总风量为15000m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6437DD0A">
                  <w:pPr>
                    <w:pStyle w:val="477"/>
                    <w:spacing w:after="0"/>
                    <w:rPr>
                      <w:color w:val="auto"/>
                      <w:szCs w:val="21"/>
                    </w:rPr>
                  </w:pPr>
                  <w:r>
                    <w:rPr>
                      <w:rFonts w:hint="eastAsia"/>
                      <w:color w:val="auto"/>
                      <w:szCs w:val="21"/>
                    </w:rPr>
                    <w:t>达标排放</w:t>
                  </w:r>
                </w:p>
              </w:tc>
            </w:tr>
            <w:tr w14:paraId="63F1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54A1685">
                  <w:pPr>
                    <w:pStyle w:val="477"/>
                    <w:spacing w:after="0"/>
                    <w:rPr>
                      <w:color w:val="auto"/>
                      <w:szCs w:val="21"/>
                    </w:rPr>
                  </w:pPr>
                </w:p>
              </w:tc>
              <w:tc>
                <w:tcPr>
                  <w:tcW w:w="354" w:type="pct"/>
                  <w:vMerge w:val="continue"/>
                  <w:vAlign w:val="center"/>
                </w:tcPr>
                <w:p w14:paraId="0B573E3F">
                  <w:pPr>
                    <w:pStyle w:val="477"/>
                    <w:spacing w:after="0"/>
                    <w:rPr>
                      <w:color w:val="auto"/>
                      <w:szCs w:val="21"/>
                    </w:rPr>
                  </w:pPr>
                </w:p>
              </w:tc>
              <w:tc>
                <w:tcPr>
                  <w:tcW w:w="354" w:type="pct"/>
                  <w:vMerge w:val="continue"/>
                  <w:vAlign w:val="center"/>
                </w:tcPr>
                <w:p w14:paraId="33DDDE51">
                  <w:pPr>
                    <w:pStyle w:val="477"/>
                    <w:spacing w:after="0"/>
                    <w:rPr>
                      <w:color w:val="auto"/>
                      <w:szCs w:val="21"/>
                    </w:rPr>
                  </w:pPr>
                </w:p>
              </w:tc>
              <w:tc>
                <w:tcPr>
                  <w:tcW w:w="737" w:type="pct"/>
                  <w:vAlign w:val="center"/>
                </w:tcPr>
                <w:p w14:paraId="0B272044">
                  <w:pPr>
                    <w:pStyle w:val="477"/>
                    <w:spacing w:after="0"/>
                    <w:rPr>
                      <w:color w:val="auto"/>
                      <w:szCs w:val="21"/>
                    </w:rPr>
                  </w:pPr>
                  <w:r>
                    <w:rPr>
                      <w:rFonts w:hint="eastAsia"/>
                      <w:color w:val="auto"/>
                      <w:szCs w:val="21"/>
                    </w:rPr>
                    <w:t>调漆、喷漆、晾干/烘干废气</w:t>
                  </w:r>
                </w:p>
              </w:tc>
              <w:tc>
                <w:tcPr>
                  <w:tcW w:w="1012" w:type="pct"/>
                  <w:vAlign w:val="center"/>
                </w:tcPr>
                <w:p w14:paraId="26ABC207">
                  <w:pPr>
                    <w:pStyle w:val="477"/>
                    <w:spacing w:after="0"/>
                    <w:rPr>
                      <w:color w:val="auto"/>
                    </w:rPr>
                  </w:pPr>
                  <w:r>
                    <w:rPr>
                      <w:rFonts w:hint="eastAsia"/>
                      <w:color w:val="auto"/>
                    </w:rPr>
                    <w:t>密闭负压收集+干式过滤器+二级活性炭处理</w:t>
                  </w:r>
                </w:p>
              </w:tc>
              <w:tc>
                <w:tcPr>
                  <w:tcW w:w="1012" w:type="pct"/>
                  <w:vMerge w:val="continue"/>
                  <w:vAlign w:val="center"/>
                </w:tcPr>
                <w:p w14:paraId="1CE2436E">
                  <w:pPr>
                    <w:pStyle w:val="477"/>
                    <w:spacing w:after="0"/>
                    <w:rPr>
                      <w:color w:val="auto"/>
                    </w:rPr>
                  </w:pPr>
                </w:p>
              </w:tc>
              <w:tc>
                <w:tcPr>
                  <w:tcW w:w="1167" w:type="pct"/>
                  <w:tcBorders>
                    <w:right w:val="nil"/>
                  </w:tcBorders>
                  <w:vAlign w:val="center"/>
                </w:tcPr>
                <w:p w14:paraId="11728CEF">
                  <w:pPr>
                    <w:pStyle w:val="477"/>
                    <w:spacing w:after="0"/>
                    <w:rPr>
                      <w:color w:val="auto"/>
                      <w:szCs w:val="21"/>
                    </w:rPr>
                  </w:pPr>
                  <w:r>
                    <w:rPr>
                      <w:rFonts w:hint="eastAsia"/>
                      <w:color w:val="auto"/>
                      <w:szCs w:val="21"/>
                    </w:rPr>
                    <w:t>达标排放</w:t>
                  </w:r>
                </w:p>
              </w:tc>
            </w:tr>
            <w:tr w14:paraId="7B134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6839F4D4">
                  <w:pPr>
                    <w:pStyle w:val="477"/>
                    <w:spacing w:after="0"/>
                    <w:rPr>
                      <w:color w:val="auto"/>
                      <w:szCs w:val="21"/>
                    </w:rPr>
                  </w:pPr>
                </w:p>
              </w:tc>
              <w:tc>
                <w:tcPr>
                  <w:tcW w:w="354" w:type="pct"/>
                  <w:vMerge w:val="continue"/>
                  <w:vAlign w:val="center"/>
                </w:tcPr>
                <w:p w14:paraId="6E5D6655">
                  <w:pPr>
                    <w:pStyle w:val="477"/>
                    <w:spacing w:after="0"/>
                    <w:rPr>
                      <w:color w:val="auto"/>
                      <w:szCs w:val="21"/>
                    </w:rPr>
                  </w:pPr>
                </w:p>
              </w:tc>
              <w:tc>
                <w:tcPr>
                  <w:tcW w:w="354" w:type="pct"/>
                  <w:vMerge w:val="restart"/>
                  <w:vAlign w:val="center"/>
                </w:tcPr>
                <w:p w14:paraId="70E16271">
                  <w:pPr>
                    <w:pStyle w:val="477"/>
                    <w:spacing w:after="0"/>
                    <w:rPr>
                      <w:color w:val="auto"/>
                      <w:szCs w:val="21"/>
                    </w:rPr>
                  </w:pPr>
                  <w:r>
                    <w:rPr>
                      <w:rFonts w:hint="eastAsia"/>
                      <w:color w:val="auto"/>
                      <w:szCs w:val="21"/>
                    </w:rPr>
                    <w:t>大理石组件</w:t>
                  </w:r>
                </w:p>
              </w:tc>
              <w:tc>
                <w:tcPr>
                  <w:tcW w:w="737" w:type="pct"/>
                  <w:vAlign w:val="center"/>
                </w:tcPr>
                <w:p w14:paraId="6711D523">
                  <w:pPr>
                    <w:pStyle w:val="477"/>
                    <w:spacing w:after="0"/>
                    <w:rPr>
                      <w:color w:val="auto"/>
                      <w:szCs w:val="21"/>
                    </w:rPr>
                  </w:pPr>
                  <w:r>
                    <w:rPr>
                      <w:rFonts w:hint="eastAsia"/>
                      <w:color w:val="auto"/>
                      <w:szCs w:val="21"/>
                    </w:rPr>
                    <w:t>下料粉尘</w:t>
                  </w:r>
                </w:p>
              </w:tc>
              <w:tc>
                <w:tcPr>
                  <w:tcW w:w="1012" w:type="pct"/>
                  <w:vAlign w:val="center"/>
                </w:tcPr>
                <w:p w14:paraId="7CB8EFA9">
                  <w:pPr>
                    <w:pStyle w:val="477"/>
                    <w:spacing w:after="0"/>
                    <w:rPr>
                      <w:color w:val="auto"/>
                      <w:szCs w:val="21"/>
                    </w:rPr>
                  </w:pPr>
                  <w:r>
                    <w:rPr>
                      <w:rFonts w:hint="eastAsia"/>
                      <w:color w:val="auto"/>
                      <w:szCs w:val="21"/>
                    </w:rPr>
                    <w:t>集气罩收集+布袋除尘处理</w:t>
                  </w:r>
                </w:p>
              </w:tc>
              <w:tc>
                <w:tcPr>
                  <w:tcW w:w="1012" w:type="pct"/>
                  <w:vMerge w:val="restart"/>
                  <w:vAlign w:val="center"/>
                </w:tcPr>
                <w:p w14:paraId="5B655154">
                  <w:pPr>
                    <w:pStyle w:val="477"/>
                    <w:spacing w:after="0"/>
                    <w:rPr>
                      <w:color w:val="auto"/>
                      <w:szCs w:val="21"/>
                    </w:rPr>
                  </w:pPr>
                  <w:r>
                    <w:rPr>
                      <w:rFonts w:hint="eastAsia"/>
                      <w:color w:val="auto"/>
                      <w:szCs w:val="21"/>
                      <w:lang w:eastAsia="zh-CN"/>
                    </w:rPr>
                    <w:t>15.</w:t>
                  </w:r>
                  <w:r>
                    <w:rPr>
                      <w:rFonts w:hint="eastAsia"/>
                      <w:color w:val="auto"/>
                      <w:szCs w:val="21"/>
                    </w:rPr>
                    <w:t>m高排气筒（DA001）</w:t>
                  </w:r>
                  <w:r>
                    <w:rPr>
                      <w:rFonts w:hint="eastAsia"/>
                      <w:color w:val="auto"/>
                    </w:rPr>
                    <w:t>排放</w:t>
                  </w:r>
                  <w:r>
                    <w:rPr>
                      <w:rFonts w:hint="eastAsia"/>
                      <w:color w:val="auto"/>
                      <w:szCs w:val="21"/>
                    </w:rPr>
                    <w:t>，总风量为10000m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16BFCA6E">
                  <w:pPr>
                    <w:pStyle w:val="477"/>
                    <w:spacing w:after="0"/>
                    <w:rPr>
                      <w:color w:val="auto"/>
                      <w:szCs w:val="21"/>
                    </w:rPr>
                  </w:pPr>
                  <w:r>
                    <w:rPr>
                      <w:rFonts w:hint="eastAsia"/>
                      <w:color w:val="auto"/>
                      <w:szCs w:val="21"/>
                    </w:rPr>
                    <w:t>达标排放</w:t>
                  </w:r>
                </w:p>
              </w:tc>
            </w:tr>
            <w:tr w14:paraId="2E49B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19DE324">
                  <w:pPr>
                    <w:pStyle w:val="477"/>
                    <w:spacing w:after="0"/>
                    <w:rPr>
                      <w:color w:val="auto"/>
                      <w:szCs w:val="21"/>
                    </w:rPr>
                  </w:pPr>
                </w:p>
              </w:tc>
              <w:tc>
                <w:tcPr>
                  <w:tcW w:w="354" w:type="pct"/>
                  <w:vMerge w:val="continue"/>
                  <w:vAlign w:val="center"/>
                </w:tcPr>
                <w:p w14:paraId="655099C3">
                  <w:pPr>
                    <w:pStyle w:val="477"/>
                    <w:spacing w:after="0"/>
                    <w:rPr>
                      <w:color w:val="auto"/>
                      <w:szCs w:val="21"/>
                    </w:rPr>
                  </w:pPr>
                </w:p>
              </w:tc>
              <w:tc>
                <w:tcPr>
                  <w:tcW w:w="354" w:type="pct"/>
                  <w:vMerge w:val="continue"/>
                  <w:vAlign w:val="center"/>
                </w:tcPr>
                <w:p w14:paraId="40ADB072">
                  <w:pPr>
                    <w:pStyle w:val="477"/>
                    <w:spacing w:after="0"/>
                    <w:rPr>
                      <w:color w:val="auto"/>
                      <w:szCs w:val="21"/>
                    </w:rPr>
                  </w:pPr>
                </w:p>
              </w:tc>
              <w:tc>
                <w:tcPr>
                  <w:tcW w:w="737" w:type="pct"/>
                  <w:vAlign w:val="center"/>
                </w:tcPr>
                <w:p w14:paraId="2984040A">
                  <w:pPr>
                    <w:pStyle w:val="477"/>
                    <w:spacing w:after="0"/>
                    <w:rPr>
                      <w:color w:val="auto"/>
                      <w:szCs w:val="21"/>
                    </w:rPr>
                  </w:pPr>
                  <w:r>
                    <w:rPr>
                      <w:rFonts w:hint="eastAsia"/>
                      <w:color w:val="auto"/>
                      <w:szCs w:val="21"/>
                    </w:rPr>
                    <w:t>粘接废气</w:t>
                  </w:r>
                </w:p>
              </w:tc>
              <w:tc>
                <w:tcPr>
                  <w:tcW w:w="1012" w:type="pct"/>
                  <w:vAlign w:val="center"/>
                </w:tcPr>
                <w:p w14:paraId="506CF748">
                  <w:pPr>
                    <w:pStyle w:val="477"/>
                    <w:spacing w:after="0"/>
                    <w:rPr>
                      <w:color w:val="auto"/>
                      <w:szCs w:val="21"/>
                    </w:rPr>
                  </w:pPr>
                  <w:r>
                    <w:rPr>
                      <w:rFonts w:hint="eastAsia"/>
                      <w:color w:val="auto"/>
                    </w:rPr>
                    <w:t>集气罩收集+二级活性炭处理</w:t>
                  </w:r>
                </w:p>
              </w:tc>
              <w:tc>
                <w:tcPr>
                  <w:tcW w:w="1012" w:type="pct"/>
                  <w:vMerge w:val="continue"/>
                  <w:vAlign w:val="center"/>
                </w:tcPr>
                <w:p w14:paraId="2520F94C">
                  <w:pPr>
                    <w:pStyle w:val="477"/>
                    <w:spacing w:after="0"/>
                    <w:rPr>
                      <w:color w:val="auto"/>
                      <w:szCs w:val="21"/>
                    </w:rPr>
                  </w:pPr>
                </w:p>
              </w:tc>
              <w:tc>
                <w:tcPr>
                  <w:tcW w:w="1167" w:type="pct"/>
                  <w:tcBorders>
                    <w:right w:val="nil"/>
                  </w:tcBorders>
                  <w:vAlign w:val="center"/>
                </w:tcPr>
                <w:p w14:paraId="3A936073">
                  <w:pPr>
                    <w:pStyle w:val="477"/>
                    <w:spacing w:after="0"/>
                    <w:rPr>
                      <w:color w:val="auto"/>
                      <w:szCs w:val="21"/>
                    </w:rPr>
                  </w:pPr>
                  <w:r>
                    <w:rPr>
                      <w:rFonts w:hint="eastAsia"/>
                      <w:color w:val="auto"/>
                      <w:szCs w:val="21"/>
                    </w:rPr>
                    <w:t>达标排放</w:t>
                  </w:r>
                </w:p>
              </w:tc>
            </w:tr>
            <w:tr w14:paraId="4B493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2ED91796">
                  <w:pPr>
                    <w:pStyle w:val="477"/>
                    <w:spacing w:after="0"/>
                    <w:rPr>
                      <w:color w:val="auto"/>
                      <w:szCs w:val="21"/>
                    </w:rPr>
                  </w:pPr>
                </w:p>
              </w:tc>
              <w:tc>
                <w:tcPr>
                  <w:tcW w:w="354" w:type="pct"/>
                  <w:vMerge w:val="continue"/>
                  <w:vAlign w:val="center"/>
                </w:tcPr>
                <w:p w14:paraId="2D630094">
                  <w:pPr>
                    <w:pStyle w:val="477"/>
                    <w:spacing w:after="0"/>
                    <w:rPr>
                      <w:color w:val="auto"/>
                      <w:szCs w:val="21"/>
                    </w:rPr>
                  </w:pPr>
                </w:p>
              </w:tc>
              <w:tc>
                <w:tcPr>
                  <w:tcW w:w="354" w:type="pct"/>
                  <w:vMerge w:val="continue"/>
                  <w:vAlign w:val="center"/>
                </w:tcPr>
                <w:p w14:paraId="3B7B7DDC">
                  <w:pPr>
                    <w:pStyle w:val="477"/>
                    <w:spacing w:after="0"/>
                    <w:rPr>
                      <w:color w:val="auto"/>
                      <w:szCs w:val="21"/>
                    </w:rPr>
                  </w:pPr>
                </w:p>
              </w:tc>
              <w:tc>
                <w:tcPr>
                  <w:tcW w:w="737" w:type="pct"/>
                  <w:vAlign w:val="center"/>
                </w:tcPr>
                <w:p w14:paraId="2D63E2A7">
                  <w:pPr>
                    <w:pStyle w:val="477"/>
                    <w:spacing w:after="0"/>
                    <w:rPr>
                      <w:color w:val="auto"/>
                      <w:szCs w:val="21"/>
                    </w:rPr>
                  </w:pPr>
                  <w:r>
                    <w:rPr>
                      <w:rFonts w:hint="eastAsia"/>
                      <w:color w:val="auto"/>
                      <w:szCs w:val="21"/>
                    </w:rPr>
                    <w:t>修边、打磨粉尘</w:t>
                  </w:r>
                </w:p>
              </w:tc>
              <w:tc>
                <w:tcPr>
                  <w:tcW w:w="1012" w:type="pct"/>
                  <w:vAlign w:val="center"/>
                </w:tcPr>
                <w:p w14:paraId="6239255C">
                  <w:pPr>
                    <w:pStyle w:val="477"/>
                    <w:spacing w:after="0"/>
                    <w:rPr>
                      <w:color w:val="auto"/>
                      <w:szCs w:val="21"/>
                    </w:rPr>
                  </w:pPr>
                  <w:r>
                    <w:rPr>
                      <w:rFonts w:hint="eastAsia"/>
                      <w:color w:val="auto"/>
                    </w:rPr>
                    <w:t>集气罩收集+布袋除尘处理</w:t>
                  </w:r>
                </w:p>
              </w:tc>
              <w:tc>
                <w:tcPr>
                  <w:tcW w:w="1012" w:type="pct"/>
                  <w:vAlign w:val="center"/>
                </w:tcPr>
                <w:p w14:paraId="69AF5C54">
                  <w:pPr>
                    <w:pStyle w:val="477"/>
                    <w:spacing w:after="0"/>
                    <w:rPr>
                      <w:color w:val="auto"/>
                    </w:rPr>
                  </w:pPr>
                  <w:r>
                    <w:rPr>
                      <w:rFonts w:hint="eastAsia"/>
                      <w:color w:val="auto"/>
                      <w:lang w:eastAsia="zh-CN"/>
                    </w:rPr>
                    <w:t>15.</w:t>
                  </w:r>
                  <w:r>
                    <w:rPr>
                      <w:rFonts w:hint="eastAsia"/>
                      <w:color w:val="auto"/>
                    </w:rPr>
                    <w:t>m高排气筒（DA002）排放，</w:t>
                  </w:r>
                  <w:r>
                    <w:rPr>
                      <w:rFonts w:hint="eastAsia"/>
                      <w:color w:val="auto"/>
                      <w:szCs w:val="21"/>
                    </w:rPr>
                    <w:t>总风量为6000m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7EA94030">
                  <w:pPr>
                    <w:pStyle w:val="477"/>
                    <w:spacing w:after="0"/>
                    <w:rPr>
                      <w:color w:val="auto"/>
                      <w:szCs w:val="21"/>
                    </w:rPr>
                  </w:pPr>
                  <w:r>
                    <w:rPr>
                      <w:rFonts w:hint="eastAsia"/>
                      <w:color w:val="auto"/>
                      <w:szCs w:val="21"/>
                    </w:rPr>
                    <w:t>达标排放</w:t>
                  </w:r>
                </w:p>
              </w:tc>
            </w:tr>
            <w:tr w14:paraId="445B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361" w:type="pct"/>
                  <w:vMerge w:val="continue"/>
                  <w:tcBorders>
                    <w:left w:val="nil"/>
                  </w:tcBorders>
                  <w:vAlign w:val="center"/>
                </w:tcPr>
                <w:p w14:paraId="6AE28CB3">
                  <w:pPr>
                    <w:pStyle w:val="477"/>
                    <w:spacing w:after="0"/>
                    <w:rPr>
                      <w:color w:val="auto"/>
                      <w:szCs w:val="21"/>
                    </w:rPr>
                  </w:pPr>
                </w:p>
              </w:tc>
              <w:tc>
                <w:tcPr>
                  <w:tcW w:w="354" w:type="pct"/>
                  <w:vMerge w:val="continue"/>
                  <w:vAlign w:val="center"/>
                </w:tcPr>
                <w:p w14:paraId="4EB282F6">
                  <w:pPr>
                    <w:pStyle w:val="477"/>
                    <w:spacing w:after="0"/>
                    <w:rPr>
                      <w:color w:val="auto"/>
                      <w:szCs w:val="21"/>
                    </w:rPr>
                  </w:pPr>
                </w:p>
              </w:tc>
              <w:tc>
                <w:tcPr>
                  <w:tcW w:w="354" w:type="pct"/>
                  <w:vMerge w:val="restart"/>
                  <w:vAlign w:val="center"/>
                </w:tcPr>
                <w:p w14:paraId="4C0FC613">
                  <w:pPr>
                    <w:pStyle w:val="477"/>
                    <w:spacing w:after="0"/>
                    <w:rPr>
                      <w:color w:val="auto"/>
                      <w:szCs w:val="21"/>
                    </w:rPr>
                  </w:pPr>
                  <w:r>
                    <w:rPr>
                      <w:rFonts w:hint="eastAsia"/>
                      <w:color w:val="auto"/>
                      <w:szCs w:val="21"/>
                    </w:rPr>
                    <w:t>金属组件</w:t>
                  </w:r>
                </w:p>
              </w:tc>
              <w:tc>
                <w:tcPr>
                  <w:tcW w:w="737" w:type="pct"/>
                  <w:vAlign w:val="center"/>
                </w:tcPr>
                <w:p w14:paraId="5CA89003">
                  <w:pPr>
                    <w:pStyle w:val="477"/>
                    <w:spacing w:after="0"/>
                    <w:rPr>
                      <w:color w:val="auto"/>
                      <w:szCs w:val="21"/>
                    </w:rPr>
                  </w:pPr>
                  <w:r>
                    <w:rPr>
                      <w:rFonts w:hint="eastAsia"/>
                      <w:color w:val="auto"/>
                      <w:szCs w:val="21"/>
                    </w:rPr>
                    <w:t>下料粉尘</w:t>
                  </w:r>
                </w:p>
              </w:tc>
              <w:tc>
                <w:tcPr>
                  <w:tcW w:w="1012" w:type="pct"/>
                  <w:vMerge w:val="restart"/>
                  <w:vAlign w:val="center"/>
                </w:tcPr>
                <w:p w14:paraId="2E07B3E3">
                  <w:pPr>
                    <w:pStyle w:val="477"/>
                    <w:spacing w:after="0"/>
                    <w:rPr>
                      <w:color w:val="auto"/>
                      <w:szCs w:val="21"/>
                    </w:rPr>
                  </w:pPr>
                  <w:r>
                    <w:rPr>
                      <w:rFonts w:hint="eastAsia"/>
                      <w:color w:val="auto"/>
                      <w:szCs w:val="21"/>
                    </w:rPr>
                    <w:t>集气罩收集+布袋除尘处理</w:t>
                  </w:r>
                </w:p>
              </w:tc>
              <w:tc>
                <w:tcPr>
                  <w:tcW w:w="1012" w:type="pct"/>
                  <w:vMerge w:val="restart"/>
                  <w:vAlign w:val="center"/>
                </w:tcPr>
                <w:p w14:paraId="7F1EB9A9">
                  <w:pPr>
                    <w:pStyle w:val="477"/>
                    <w:spacing w:after="0"/>
                    <w:rPr>
                      <w:color w:val="auto"/>
                      <w:szCs w:val="21"/>
                    </w:rPr>
                  </w:pPr>
                  <w:r>
                    <w:rPr>
                      <w:rFonts w:hint="eastAsia"/>
                      <w:color w:val="auto"/>
                      <w:szCs w:val="21"/>
                      <w:lang w:eastAsia="zh-CN"/>
                    </w:rPr>
                    <w:t>15.</w:t>
                  </w:r>
                  <w:r>
                    <w:rPr>
                      <w:rFonts w:hint="eastAsia"/>
                      <w:color w:val="auto"/>
                      <w:szCs w:val="21"/>
                    </w:rPr>
                    <w:t>m高排气筒（DA004）排放，总风量为4000m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326608EE">
                  <w:pPr>
                    <w:pStyle w:val="477"/>
                    <w:spacing w:after="0"/>
                    <w:rPr>
                      <w:color w:val="auto"/>
                      <w:szCs w:val="21"/>
                    </w:rPr>
                  </w:pPr>
                  <w:r>
                    <w:rPr>
                      <w:rFonts w:hint="eastAsia"/>
                      <w:color w:val="auto"/>
                      <w:szCs w:val="21"/>
                    </w:rPr>
                    <w:t>达标排放</w:t>
                  </w:r>
                </w:p>
              </w:tc>
            </w:tr>
            <w:tr w14:paraId="0A11E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54F5FA63">
                  <w:pPr>
                    <w:pStyle w:val="477"/>
                    <w:spacing w:after="0"/>
                    <w:rPr>
                      <w:color w:val="auto"/>
                      <w:szCs w:val="21"/>
                    </w:rPr>
                  </w:pPr>
                </w:p>
              </w:tc>
              <w:tc>
                <w:tcPr>
                  <w:tcW w:w="354" w:type="pct"/>
                  <w:vMerge w:val="continue"/>
                  <w:vAlign w:val="center"/>
                </w:tcPr>
                <w:p w14:paraId="641EC658">
                  <w:pPr>
                    <w:pStyle w:val="477"/>
                    <w:spacing w:after="0"/>
                    <w:rPr>
                      <w:color w:val="auto"/>
                      <w:szCs w:val="21"/>
                    </w:rPr>
                  </w:pPr>
                </w:p>
              </w:tc>
              <w:tc>
                <w:tcPr>
                  <w:tcW w:w="354" w:type="pct"/>
                  <w:vMerge w:val="continue"/>
                  <w:vAlign w:val="center"/>
                </w:tcPr>
                <w:p w14:paraId="3D07ED42">
                  <w:pPr>
                    <w:pStyle w:val="477"/>
                    <w:spacing w:after="0"/>
                    <w:rPr>
                      <w:color w:val="auto"/>
                      <w:szCs w:val="21"/>
                    </w:rPr>
                  </w:pPr>
                </w:p>
              </w:tc>
              <w:tc>
                <w:tcPr>
                  <w:tcW w:w="737" w:type="pct"/>
                  <w:vAlign w:val="center"/>
                </w:tcPr>
                <w:p w14:paraId="757732C7">
                  <w:pPr>
                    <w:pStyle w:val="477"/>
                    <w:spacing w:after="0"/>
                    <w:rPr>
                      <w:color w:val="auto"/>
                      <w:szCs w:val="21"/>
                    </w:rPr>
                  </w:pPr>
                  <w:r>
                    <w:rPr>
                      <w:rFonts w:hint="eastAsia"/>
                      <w:color w:val="auto"/>
                      <w:szCs w:val="21"/>
                    </w:rPr>
                    <w:t>打磨</w:t>
                  </w:r>
                  <w:r>
                    <w:rPr>
                      <w:rFonts w:hint="eastAsia"/>
                      <w:color w:val="auto"/>
                      <w:szCs w:val="21"/>
                      <w:lang w:val="en-US" w:eastAsia="zh-CN"/>
                    </w:rPr>
                    <w:t>/抛洒</w:t>
                  </w:r>
                  <w:r>
                    <w:rPr>
                      <w:rFonts w:hint="eastAsia"/>
                      <w:color w:val="auto"/>
                      <w:szCs w:val="21"/>
                    </w:rPr>
                    <w:t>粉尘</w:t>
                  </w:r>
                </w:p>
              </w:tc>
              <w:tc>
                <w:tcPr>
                  <w:tcW w:w="1012" w:type="pct"/>
                  <w:vMerge w:val="continue"/>
                  <w:vAlign w:val="center"/>
                </w:tcPr>
                <w:p w14:paraId="579F278B">
                  <w:pPr>
                    <w:pStyle w:val="477"/>
                    <w:spacing w:after="0"/>
                    <w:rPr>
                      <w:color w:val="auto"/>
                      <w:szCs w:val="21"/>
                    </w:rPr>
                  </w:pPr>
                </w:p>
              </w:tc>
              <w:tc>
                <w:tcPr>
                  <w:tcW w:w="1012" w:type="pct"/>
                  <w:vMerge w:val="continue"/>
                  <w:vAlign w:val="center"/>
                </w:tcPr>
                <w:p w14:paraId="153F335E">
                  <w:pPr>
                    <w:pStyle w:val="477"/>
                    <w:spacing w:after="0"/>
                    <w:rPr>
                      <w:color w:val="auto"/>
                      <w:szCs w:val="21"/>
                    </w:rPr>
                  </w:pPr>
                </w:p>
              </w:tc>
              <w:tc>
                <w:tcPr>
                  <w:tcW w:w="1167" w:type="pct"/>
                  <w:tcBorders>
                    <w:right w:val="nil"/>
                  </w:tcBorders>
                  <w:vAlign w:val="center"/>
                </w:tcPr>
                <w:p w14:paraId="6E714996">
                  <w:pPr>
                    <w:pStyle w:val="477"/>
                    <w:spacing w:after="0"/>
                    <w:rPr>
                      <w:color w:val="auto"/>
                      <w:szCs w:val="21"/>
                    </w:rPr>
                  </w:pPr>
                  <w:r>
                    <w:rPr>
                      <w:rFonts w:hint="eastAsia"/>
                      <w:color w:val="auto"/>
                      <w:szCs w:val="21"/>
                    </w:rPr>
                    <w:t>达标排放</w:t>
                  </w:r>
                </w:p>
              </w:tc>
            </w:tr>
            <w:tr w14:paraId="5F7B8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31E2B59">
                  <w:pPr>
                    <w:pStyle w:val="477"/>
                    <w:spacing w:after="0"/>
                    <w:rPr>
                      <w:color w:val="auto"/>
                      <w:szCs w:val="21"/>
                    </w:rPr>
                  </w:pPr>
                </w:p>
              </w:tc>
              <w:tc>
                <w:tcPr>
                  <w:tcW w:w="354" w:type="pct"/>
                  <w:vMerge w:val="continue"/>
                  <w:vAlign w:val="center"/>
                </w:tcPr>
                <w:p w14:paraId="547CDBD5">
                  <w:pPr>
                    <w:pStyle w:val="477"/>
                    <w:spacing w:after="0"/>
                    <w:rPr>
                      <w:color w:val="auto"/>
                      <w:szCs w:val="21"/>
                    </w:rPr>
                  </w:pPr>
                </w:p>
              </w:tc>
              <w:tc>
                <w:tcPr>
                  <w:tcW w:w="354" w:type="pct"/>
                  <w:vMerge w:val="continue"/>
                  <w:vAlign w:val="center"/>
                </w:tcPr>
                <w:p w14:paraId="0C5C098A">
                  <w:pPr>
                    <w:pStyle w:val="477"/>
                    <w:spacing w:after="0"/>
                    <w:rPr>
                      <w:color w:val="auto"/>
                      <w:szCs w:val="21"/>
                    </w:rPr>
                  </w:pPr>
                </w:p>
              </w:tc>
              <w:tc>
                <w:tcPr>
                  <w:tcW w:w="737" w:type="pct"/>
                  <w:vAlign w:val="center"/>
                </w:tcPr>
                <w:p w14:paraId="6DD543A7">
                  <w:pPr>
                    <w:pStyle w:val="477"/>
                    <w:spacing w:after="0"/>
                    <w:rPr>
                      <w:color w:val="auto"/>
                      <w:szCs w:val="21"/>
                    </w:rPr>
                  </w:pPr>
                  <w:r>
                    <w:rPr>
                      <w:rFonts w:hint="eastAsia"/>
                      <w:color w:val="auto"/>
                      <w:szCs w:val="21"/>
                    </w:rPr>
                    <w:t>抛光粉尘</w:t>
                  </w:r>
                </w:p>
              </w:tc>
              <w:tc>
                <w:tcPr>
                  <w:tcW w:w="1012" w:type="pct"/>
                  <w:vAlign w:val="center"/>
                </w:tcPr>
                <w:p w14:paraId="3128C6F7">
                  <w:pPr>
                    <w:pStyle w:val="477"/>
                    <w:spacing w:after="0"/>
                    <w:rPr>
                      <w:color w:val="auto"/>
                      <w:szCs w:val="21"/>
                    </w:rPr>
                  </w:pPr>
                  <w:r>
                    <w:rPr>
                      <w:rFonts w:hint="eastAsia"/>
                      <w:color w:val="auto"/>
                      <w:szCs w:val="21"/>
                    </w:rPr>
                    <w:t>环保湿式抛光一体机（水帘幕）</w:t>
                  </w:r>
                </w:p>
              </w:tc>
              <w:tc>
                <w:tcPr>
                  <w:tcW w:w="1012" w:type="pct"/>
                  <w:vAlign w:val="center"/>
                </w:tcPr>
                <w:p w14:paraId="54BC2F10">
                  <w:pPr>
                    <w:pStyle w:val="477"/>
                    <w:spacing w:after="0"/>
                    <w:rPr>
                      <w:color w:val="auto"/>
                      <w:szCs w:val="21"/>
                    </w:rPr>
                  </w:pPr>
                  <w:r>
                    <w:rPr>
                      <w:rFonts w:hint="eastAsia"/>
                      <w:color w:val="auto"/>
                      <w:szCs w:val="21"/>
                    </w:rPr>
                    <w:t>/</w:t>
                  </w:r>
                </w:p>
              </w:tc>
              <w:tc>
                <w:tcPr>
                  <w:tcW w:w="1167" w:type="pct"/>
                  <w:tcBorders>
                    <w:right w:val="nil"/>
                  </w:tcBorders>
                  <w:vAlign w:val="center"/>
                </w:tcPr>
                <w:p w14:paraId="7E1FDDBB">
                  <w:pPr>
                    <w:pStyle w:val="477"/>
                    <w:spacing w:after="0"/>
                    <w:rPr>
                      <w:color w:val="auto"/>
                      <w:szCs w:val="21"/>
                    </w:rPr>
                  </w:pPr>
                  <w:r>
                    <w:rPr>
                      <w:rFonts w:hint="eastAsia"/>
                      <w:color w:val="auto"/>
                      <w:szCs w:val="21"/>
                    </w:rPr>
                    <w:t>无粉尘产生</w:t>
                  </w:r>
                </w:p>
              </w:tc>
            </w:tr>
            <w:tr w14:paraId="412C9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EDAA453">
                  <w:pPr>
                    <w:pStyle w:val="477"/>
                    <w:spacing w:after="0"/>
                    <w:rPr>
                      <w:color w:val="auto"/>
                      <w:szCs w:val="21"/>
                    </w:rPr>
                  </w:pPr>
                </w:p>
              </w:tc>
              <w:tc>
                <w:tcPr>
                  <w:tcW w:w="354" w:type="pct"/>
                  <w:vMerge w:val="continue"/>
                  <w:vAlign w:val="center"/>
                </w:tcPr>
                <w:p w14:paraId="06943273">
                  <w:pPr>
                    <w:pStyle w:val="477"/>
                    <w:spacing w:after="0"/>
                    <w:rPr>
                      <w:color w:val="auto"/>
                      <w:szCs w:val="21"/>
                    </w:rPr>
                  </w:pPr>
                </w:p>
              </w:tc>
              <w:tc>
                <w:tcPr>
                  <w:tcW w:w="354" w:type="pct"/>
                  <w:vMerge w:val="continue"/>
                  <w:vAlign w:val="center"/>
                </w:tcPr>
                <w:p w14:paraId="6AA020AB">
                  <w:pPr>
                    <w:pStyle w:val="477"/>
                    <w:spacing w:after="0"/>
                    <w:rPr>
                      <w:color w:val="auto"/>
                      <w:szCs w:val="21"/>
                    </w:rPr>
                  </w:pPr>
                </w:p>
              </w:tc>
              <w:tc>
                <w:tcPr>
                  <w:tcW w:w="737" w:type="pct"/>
                  <w:vAlign w:val="center"/>
                </w:tcPr>
                <w:p w14:paraId="71A80F7A">
                  <w:pPr>
                    <w:pStyle w:val="477"/>
                    <w:spacing w:after="0"/>
                    <w:rPr>
                      <w:color w:val="auto"/>
                      <w:szCs w:val="21"/>
                    </w:rPr>
                  </w:pPr>
                  <w:r>
                    <w:rPr>
                      <w:rFonts w:hint="eastAsia"/>
                      <w:color w:val="auto"/>
                      <w:szCs w:val="21"/>
                    </w:rPr>
                    <w:t>压合废气</w:t>
                  </w:r>
                </w:p>
              </w:tc>
              <w:tc>
                <w:tcPr>
                  <w:tcW w:w="1012" w:type="pct"/>
                  <w:vAlign w:val="center"/>
                </w:tcPr>
                <w:p w14:paraId="699EAF97">
                  <w:pPr>
                    <w:pStyle w:val="477"/>
                    <w:spacing w:after="0"/>
                    <w:rPr>
                      <w:color w:val="auto"/>
                      <w:szCs w:val="21"/>
                    </w:rPr>
                  </w:pPr>
                  <w:r>
                    <w:rPr>
                      <w:rFonts w:hint="eastAsia"/>
                      <w:color w:val="auto"/>
                    </w:rPr>
                    <w:t>集气罩收集+二级活性炭处理</w:t>
                  </w:r>
                </w:p>
              </w:tc>
              <w:tc>
                <w:tcPr>
                  <w:tcW w:w="1012" w:type="pct"/>
                  <w:vMerge w:val="restart"/>
                  <w:vAlign w:val="center"/>
                </w:tcPr>
                <w:p w14:paraId="7F43E0F9">
                  <w:pPr>
                    <w:pStyle w:val="477"/>
                    <w:spacing w:after="0"/>
                    <w:rPr>
                      <w:color w:val="auto"/>
                    </w:rPr>
                  </w:pPr>
                  <w:r>
                    <w:rPr>
                      <w:rFonts w:hint="eastAsia"/>
                      <w:color w:val="auto"/>
                      <w:lang w:eastAsia="zh-CN"/>
                    </w:rPr>
                    <w:t>15.</w:t>
                  </w:r>
                  <w:r>
                    <w:rPr>
                      <w:rFonts w:hint="eastAsia"/>
                      <w:color w:val="auto"/>
                    </w:rPr>
                    <w:t>m高排气筒（DA005）排放</w:t>
                  </w:r>
                  <w:r>
                    <w:rPr>
                      <w:rFonts w:hint="eastAsia"/>
                      <w:color w:val="auto"/>
                      <w:szCs w:val="21"/>
                    </w:rPr>
                    <w:t>，总风量为13555m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18804304">
                  <w:pPr>
                    <w:pStyle w:val="477"/>
                    <w:spacing w:after="0"/>
                    <w:rPr>
                      <w:color w:val="auto"/>
                      <w:szCs w:val="21"/>
                    </w:rPr>
                  </w:pPr>
                  <w:r>
                    <w:rPr>
                      <w:rFonts w:hint="eastAsia"/>
                      <w:color w:val="auto"/>
                      <w:szCs w:val="21"/>
                    </w:rPr>
                    <w:t>达标排放</w:t>
                  </w:r>
                </w:p>
              </w:tc>
            </w:tr>
            <w:tr w14:paraId="4FE51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7E6F8592">
                  <w:pPr>
                    <w:pStyle w:val="477"/>
                    <w:spacing w:after="0"/>
                    <w:rPr>
                      <w:color w:val="auto"/>
                      <w:szCs w:val="21"/>
                    </w:rPr>
                  </w:pPr>
                </w:p>
              </w:tc>
              <w:tc>
                <w:tcPr>
                  <w:tcW w:w="354" w:type="pct"/>
                  <w:vMerge w:val="continue"/>
                  <w:vAlign w:val="center"/>
                </w:tcPr>
                <w:p w14:paraId="11F077C9">
                  <w:pPr>
                    <w:pStyle w:val="477"/>
                    <w:spacing w:after="0"/>
                    <w:rPr>
                      <w:color w:val="auto"/>
                      <w:szCs w:val="21"/>
                    </w:rPr>
                  </w:pPr>
                </w:p>
              </w:tc>
              <w:tc>
                <w:tcPr>
                  <w:tcW w:w="354" w:type="pct"/>
                  <w:vMerge w:val="continue"/>
                  <w:vAlign w:val="center"/>
                </w:tcPr>
                <w:p w14:paraId="7A0D4D42">
                  <w:pPr>
                    <w:pStyle w:val="477"/>
                    <w:spacing w:after="0"/>
                    <w:rPr>
                      <w:color w:val="auto"/>
                      <w:szCs w:val="21"/>
                    </w:rPr>
                  </w:pPr>
                </w:p>
              </w:tc>
              <w:tc>
                <w:tcPr>
                  <w:tcW w:w="737" w:type="pct"/>
                  <w:vAlign w:val="center"/>
                </w:tcPr>
                <w:p w14:paraId="57B2C722">
                  <w:pPr>
                    <w:pStyle w:val="477"/>
                    <w:spacing w:after="0"/>
                    <w:rPr>
                      <w:color w:val="auto"/>
                      <w:szCs w:val="21"/>
                    </w:rPr>
                  </w:pPr>
                  <w:r>
                    <w:rPr>
                      <w:rFonts w:hint="eastAsia"/>
                      <w:color w:val="auto"/>
                      <w:szCs w:val="21"/>
                    </w:rPr>
                    <w:t>天然气燃烧废气</w:t>
                  </w:r>
                </w:p>
              </w:tc>
              <w:tc>
                <w:tcPr>
                  <w:tcW w:w="1012" w:type="pct"/>
                  <w:vAlign w:val="center"/>
                </w:tcPr>
                <w:p w14:paraId="4B4E2CF0">
                  <w:pPr>
                    <w:pStyle w:val="477"/>
                    <w:spacing w:after="0"/>
                    <w:rPr>
                      <w:color w:val="auto"/>
                      <w:szCs w:val="21"/>
                    </w:rPr>
                  </w:pPr>
                  <w:r>
                    <w:rPr>
                      <w:rFonts w:hint="eastAsia"/>
                      <w:color w:val="auto"/>
                      <w:szCs w:val="21"/>
                    </w:rPr>
                    <w:t>管道收集+</w:t>
                  </w:r>
                  <w:r>
                    <w:rPr>
                      <w:rFonts w:hint="eastAsia"/>
                      <w:color w:val="auto"/>
                    </w:rPr>
                    <w:t>15m高排气筒（DA005）排放</w:t>
                  </w:r>
                </w:p>
              </w:tc>
              <w:tc>
                <w:tcPr>
                  <w:tcW w:w="1012" w:type="pct"/>
                  <w:vMerge w:val="continue"/>
                  <w:vAlign w:val="center"/>
                </w:tcPr>
                <w:p w14:paraId="17DC1032">
                  <w:pPr>
                    <w:pStyle w:val="477"/>
                    <w:spacing w:after="0"/>
                    <w:rPr>
                      <w:color w:val="auto"/>
                      <w:szCs w:val="21"/>
                    </w:rPr>
                  </w:pPr>
                </w:p>
              </w:tc>
              <w:tc>
                <w:tcPr>
                  <w:tcW w:w="1167" w:type="pct"/>
                  <w:tcBorders>
                    <w:right w:val="nil"/>
                  </w:tcBorders>
                  <w:vAlign w:val="center"/>
                </w:tcPr>
                <w:p w14:paraId="0BDEA057">
                  <w:pPr>
                    <w:pStyle w:val="477"/>
                    <w:spacing w:after="0"/>
                    <w:rPr>
                      <w:color w:val="auto"/>
                      <w:szCs w:val="21"/>
                    </w:rPr>
                  </w:pPr>
                  <w:r>
                    <w:rPr>
                      <w:rFonts w:hint="eastAsia"/>
                      <w:color w:val="auto"/>
                      <w:szCs w:val="21"/>
                    </w:rPr>
                    <w:t>达标排放</w:t>
                  </w:r>
                </w:p>
              </w:tc>
            </w:tr>
            <w:tr w14:paraId="28830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BD43110">
                  <w:pPr>
                    <w:pStyle w:val="477"/>
                    <w:spacing w:after="0"/>
                    <w:rPr>
                      <w:color w:val="auto"/>
                      <w:szCs w:val="21"/>
                    </w:rPr>
                  </w:pPr>
                </w:p>
              </w:tc>
              <w:tc>
                <w:tcPr>
                  <w:tcW w:w="354" w:type="pct"/>
                  <w:vMerge w:val="continue"/>
                  <w:vAlign w:val="center"/>
                </w:tcPr>
                <w:p w14:paraId="2D8BAF0E">
                  <w:pPr>
                    <w:pStyle w:val="477"/>
                    <w:spacing w:after="0"/>
                    <w:rPr>
                      <w:color w:val="auto"/>
                      <w:szCs w:val="21"/>
                    </w:rPr>
                  </w:pPr>
                </w:p>
              </w:tc>
              <w:tc>
                <w:tcPr>
                  <w:tcW w:w="354" w:type="pct"/>
                  <w:vMerge w:val="continue"/>
                  <w:vAlign w:val="center"/>
                </w:tcPr>
                <w:p w14:paraId="0EA303FB">
                  <w:pPr>
                    <w:pStyle w:val="477"/>
                    <w:spacing w:after="0"/>
                    <w:rPr>
                      <w:color w:val="auto"/>
                      <w:szCs w:val="21"/>
                    </w:rPr>
                  </w:pPr>
                </w:p>
              </w:tc>
              <w:tc>
                <w:tcPr>
                  <w:tcW w:w="737" w:type="pct"/>
                  <w:vAlign w:val="center"/>
                </w:tcPr>
                <w:p w14:paraId="0BAD8B92">
                  <w:pPr>
                    <w:pStyle w:val="477"/>
                    <w:spacing w:after="0"/>
                    <w:rPr>
                      <w:color w:val="auto"/>
                      <w:szCs w:val="21"/>
                    </w:rPr>
                  </w:pPr>
                  <w:r>
                    <w:rPr>
                      <w:rFonts w:hint="eastAsia"/>
                      <w:color w:val="auto"/>
                      <w:szCs w:val="21"/>
                    </w:rPr>
                    <w:t>喷涂废气</w:t>
                  </w:r>
                </w:p>
              </w:tc>
              <w:tc>
                <w:tcPr>
                  <w:tcW w:w="1012" w:type="pct"/>
                  <w:vAlign w:val="center"/>
                </w:tcPr>
                <w:p w14:paraId="6F4642F5">
                  <w:pPr>
                    <w:pStyle w:val="477"/>
                    <w:spacing w:after="0"/>
                    <w:rPr>
                      <w:color w:val="auto"/>
                      <w:szCs w:val="21"/>
                    </w:rPr>
                  </w:pPr>
                  <w:r>
                    <w:rPr>
                      <w:rFonts w:hint="eastAsia"/>
                      <w:color w:val="auto"/>
                      <w:szCs w:val="21"/>
                    </w:rPr>
                    <w:t>管道收集+喷粉回收处置系统处理</w:t>
                  </w:r>
                </w:p>
              </w:tc>
              <w:tc>
                <w:tcPr>
                  <w:tcW w:w="1012" w:type="pct"/>
                  <w:vMerge w:val="continue"/>
                  <w:vAlign w:val="center"/>
                </w:tcPr>
                <w:p w14:paraId="6719BF0B">
                  <w:pPr>
                    <w:pStyle w:val="477"/>
                    <w:spacing w:after="0"/>
                    <w:rPr>
                      <w:color w:val="auto"/>
                      <w:szCs w:val="21"/>
                    </w:rPr>
                  </w:pPr>
                </w:p>
              </w:tc>
              <w:tc>
                <w:tcPr>
                  <w:tcW w:w="1167" w:type="pct"/>
                  <w:tcBorders>
                    <w:right w:val="nil"/>
                  </w:tcBorders>
                  <w:vAlign w:val="center"/>
                </w:tcPr>
                <w:p w14:paraId="7B7ECAF9">
                  <w:pPr>
                    <w:pStyle w:val="477"/>
                    <w:spacing w:after="0"/>
                    <w:rPr>
                      <w:color w:val="auto"/>
                      <w:szCs w:val="21"/>
                    </w:rPr>
                  </w:pPr>
                  <w:r>
                    <w:rPr>
                      <w:rFonts w:hint="eastAsia"/>
                      <w:color w:val="auto"/>
                      <w:szCs w:val="21"/>
                    </w:rPr>
                    <w:t>达标排放</w:t>
                  </w:r>
                </w:p>
              </w:tc>
            </w:tr>
            <w:tr w14:paraId="1EEB3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43B3CA9B">
                  <w:pPr>
                    <w:pStyle w:val="477"/>
                    <w:spacing w:after="0"/>
                    <w:rPr>
                      <w:color w:val="auto"/>
                      <w:szCs w:val="21"/>
                    </w:rPr>
                  </w:pPr>
                </w:p>
              </w:tc>
              <w:tc>
                <w:tcPr>
                  <w:tcW w:w="354" w:type="pct"/>
                  <w:vMerge w:val="continue"/>
                  <w:vAlign w:val="center"/>
                </w:tcPr>
                <w:p w14:paraId="224C3195">
                  <w:pPr>
                    <w:pStyle w:val="477"/>
                    <w:spacing w:after="0"/>
                    <w:rPr>
                      <w:color w:val="auto"/>
                      <w:szCs w:val="21"/>
                    </w:rPr>
                  </w:pPr>
                </w:p>
              </w:tc>
              <w:tc>
                <w:tcPr>
                  <w:tcW w:w="354" w:type="pct"/>
                  <w:vMerge w:val="continue"/>
                  <w:vAlign w:val="center"/>
                </w:tcPr>
                <w:p w14:paraId="7058E2FD">
                  <w:pPr>
                    <w:pStyle w:val="477"/>
                    <w:spacing w:after="0"/>
                    <w:rPr>
                      <w:color w:val="auto"/>
                      <w:szCs w:val="21"/>
                    </w:rPr>
                  </w:pPr>
                </w:p>
              </w:tc>
              <w:tc>
                <w:tcPr>
                  <w:tcW w:w="737" w:type="pct"/>
                  <w:vAlign w:val="center"/>
                </w:tcPr>
                <w:p w14:paraId="32A2BCA7">
                  <w:pPr>
                    <w:pStyle w:val="477"/>
                    <w:spacing w:after="0"/>
                    <w:rPr>
                      <w:color w:val="auto"/>
                      <w:szCs w:val="21"/>
                    </w:rPr>
                  </w:pPr>
                  <w:r>
                    <w:rPr>
                      <w:rFonts w:hint="eastAsia"/>
                      <w:color w:val="auto"/>
                      <w:szCs w:val="21"/>
                    </w:rPr>
                    <w:t>烘烤固化废气</w:t>
                  </w:r>
                </w:p>
              </w:tc>
              <w:tc>
                <w:tcPr>
                  <w:tcW w:w="1012" w:type="pct"/>
                  <w:vAlign w:val="center"/>
                </w:tcPr>
                <w:p w14:paraId="606597E1">
                  <w:pPr>
                    <w:pStyle w:val="477"/>
                    <w:spacing w:after="0"/>
                    <w:rPr>
                      <w:color w:val="auto"/>
                      <w:szCs w:val="21"/>
                    </w:rPr>
                  </w:pPr>
                  <w:r>
                    <w:rPr>
                      <w:rFonts w:hint="eastAsia"/>
                      <w:color w:val="auto"/>
                      <w:szCs w:val="21"/>
                    </w:rPr>
                    <w:t>管道收集+</w:t>
                  </w:r>
                  <w:r>
                    <w:rPr>
                      <w:rFonts w:hint="eastAsia"/>
                      <w:color w:val="auto"/>
                    </w:rPr>
                    <w:t>二级活性炭处理</w:t>
                  </w:r>
                </w:p>
              </w:tc>
              <w:tc>
                <w:tcPr>
                  <w:tcW w:w="1012" w:type="pct"/>
                  <w:vMerge w:val="continue"/>
                  <w:vAlign w:val="center"/>
                </w:tcPr>
                <w:p w14:paraId="674190D9">
                  <w:pPr>
                    <w:pStyle w:val="477"/>
                    <w:spacing w:after="0"/>
                    <w:rPr>
                      <w:color w:val="auto"/>
                      <w:szCs w:val="21"/>
                    </w:rPr>
                  </w:pPr>
                </w:p>
              </w:tc>
              <w:tc>
                <w:tcPr>
                  <w:tcW w:w="1167" w:type="pct"/>
                  <w:tcBorders>
                    <w:right w:val="nil"/>
                  </w:tcBorders>
                  <w:vAlign w:val="center"/>
                </w:tcPr>
                <w:p w14:paraId="62CA1F72">
                  <w:pPr>
                    <w:pStyle w:val="477"/>
                    <w:spacing w:after="0"/>
                    <w:rPr>
                      <w:color w:val="auto"/>
                      <w:szCs w:val="21"/>
                    </w:rPr>
                  </w:pPr>
                  <w:r>
                    <w:rPr>
                      <w:rFonts w:hint="eastAsia"/>
                      <w:color w:val="auto"/>
                      <w:szCs w:val="21"/>
                    </w:rPr>
                    <w:t>达标排放</w:t>
                  </w:r>
                </w:p>
              </w:tc>
            </w:tr>
            <w:tr w14:paraId="7868C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1E66C0E7">
                  <w:pPr>
                    <w:pStyle w:val="477"/>
                    <w:spacing w:after="0"/>
                    <w:rPr>
                      <w:color w:val="auto"/>
                      <w:szCs w:val="21"/>
                    </w:rPr>
                  </w:pPr>
                </w:p>
              </w:tc>
              <w:tc>
                <w:tcPr>
                  <w:tcW w:w="354" w:type="pct"/>
                  <w:vMerge w:val="continue"/>
                  <w:vAlign w:val="center"/>
                </w:tcPr>
                <w:p w14:paraId="6BDE6A3B">
                  <w:pPr>
                    <w:pStyle w:val="477"/>
                    <w:spacing w:after="0"/>
                    <w:rPr>
                      <w:color w:val="auto"/>
                      <w:szCs w:val="21"/>
                    </w:rPr>
                  </w:pPr>
                </w:p>
              </w:tc>
              <w:tc>
                <w:tcPr>
                  <w:tcW w:w="354" w:type="pct"/>
                  <w:vMerge w:val="restart"/>
                  <w:vAlign w:val="center"/>
                </w:tcPr>
                <w:p w14:paraId="78DA1555">
                  <w:pPr>
                    <w:pStyle w:val="477"/>
                    <w:spacing w:after="0"/>
                    <w:rPr>
                      <w:color w:val="auto"/>
                      <w:szCs w:val="21"/>
                    </w:rPr>
                  </w:pPr>
                  <w:r>
                    <w:rPr>
                      <w:rFonts w:hint="eastAsia"/>
                      <w:color w:val="auto"/>
                      <w:szCs w:val="21"/>
                    </w:rPr>
                    <w:t>亚克力组件</w:t>
                  </w:r>
                </w:p>
              </w:tc>
              <w:tc>
                <w:tcPr>
                  <w:tcW w:w="737" w:type="pct"/>
                  <w:vAlign w:val="center"/>
                </w:tcPr>
                <w:p w14:paraId="21B2119E">
                  <w:pPr>
                    <w:pStyle w:val="477"/>
                    <w:spacing w:after="0"/>
                    <w:rPr>
                      <w:color w:val="auto"/>
                      <w:szCs w:val="21"/>
                    </w:rPr>
                  </w:pPr>
                  <w:r>
                    <w:rPr>
                      <w:rFonts w:hint="eastAsia"/>
                      <w:color w:val="auto"/>
                      <w:szCs w:val="21"/>
                    </w:rPr>
                    <w:t>布轮抛光粉尘</w:t>
                  </w:r>
                </w:p>
              </w:tc>
              <w:tc>
                <w:tcPr>
                  <w:tcW w:w="1012" w:type="pct"/>
                  <w:vAlign w:val="center"/>
                </w:tcPr>
                <w:p w14:paraId="26937F5A">
                  <w:pPr>
                    <w:pStyle w:val="477"/>
                    <w:spacing w:after="0"/>
                    <w:rPr>
                      <w:color w:val="auto"/>
                      <w:szCs w:val="21"/>
                    </w:rPr>
                  </w:pPr>
                  <w:r>
                    <w:rPr>
                      <w:rFonts w:hint="eastAsia"/>
                      <w:color w:val="auto"/>
                      <w:szCs w:val="21"/>
                    </w:rPr>
                    <w:t>环保湿式抛光一体机（水帘幕）</w:t>
                  </w:r>
                </w:p>
              </w:tc>
              <w:tc>
                <w:tcPr>
                  <w:tcW w:w="1012" w:type="pct"/>
                  <w:vAlign w:val="center"/>
                </w:tcPr>
                <w:p w14:paraId="1324377B">
                  <w:pPr>
                    <w:pStyle w:val="477"/>
                    <w:spacing w:after="0"/>
                    <w:rPr>
                      <w:color w:val="auto"/>
                    </w:rPr>
                  </w:pPr>
                  <w:r>
                    <w:rPr>
                      <w:rFonts w:hint="eastAsia"/>
                      <w:color w:val="auto"/>
                      <w:szCs w:val="21"/>
                    </w:rPr>
                    <w:t>/</w:t>
                  </w:r>
                </w:p>
              </w:tc>
              <w:tc>
                <w:tcPr>
                  <w:tcW w:w="1167" w:type="pct"/>
                  <w:tcBorders>
                    <w:right w:val="nil"/>
                  </w:tcBorders>
                  <w:vAlign w:val="center"/>
                </w:tcPr>
                <w:p w14:paraId="03131F03">
                  <w:pPr>
                    <w:pStyle w:val="477"/>
                    <w:spacing w:after="0"/>
                    <w:rPr>
                      <w:color w:val="auto"/>
                      <w:szCs w:val="21"/>
                    </w:rPr>
                  </w:pPr>
                  <w:r>
                    <w:rPr>
                      <w:rFonts w:hint="eastAsia"/>
                      <w:color w:val="auto"/>
                      <w:szCs w:val="21"/>
                    </w:rPr>
                    <w:t>无粉尘产生</w:t>
                  </w:r>
                </w:p>
              </w:tc>
            </w:tr>
            <w:tr w14:paraId="0BB2A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8A3800B">
                  <w:pPr>
                    <w:pStyle w:val="477"/>
                    <w:spacing w:after="0"/>
                    <w:rPr>
                      <w:color w:val="auto"/>
                      <w:szCs w:val="21"/>
                    </w:rPr>
                  </w:pPr>
                </w:p>
              </w:tc>
              <w:tc>
                <w:tcPr>
                  <w:tcW w:w="354" w:type="pct"/>
                  <w:vMerge w:val="continue"/>
                  <w:vAlign w:val="center"/>
                </w:tcPr>
                <w:p w14:paraId="417F3AEA">
                  <w:pPr>
                    <w:pStyle w:val="477"/>
                    <w:spacing w:after="0"/>
                    <w:rPr>
                      <w:color w:val="auto"/>
                      <w:szCs w:val="21"/>
                    </w:rPr>
                  </w:pPr>
                </w:p>
              </w:tc>
              <w:tc>
                <w:tcPr>
                  <w:tcW w:w="354" w:type="pct"/>
                  <w:vMerge w:val="continue"/>
                  <w:vAlign w:val="center"/>
                </w:tcPr>
                <w:p w14:paraId="2EB902BA">
                  <w:pPr>
                    <w:pStyle w:val="477"/>
                    <w:spacing w:after="0"/>
                    <w:rPr>
                      <w:color w:val="auto"/>
                      <w:szCs w:val="21"/>
                    </w:rPr>
                  </w:pPr>
                </w:p>
              </w:tc>
              <w:tc>
                <w:tcPr>
                  <w:tcW w:w="737" w:type="pct"/>
                  <w:shd w:val="clear" w:color="auto" w:fill="auto"/>
                  <w:vAlign w:val="center"/>
                </w:tcPr>
                <w:p w14:paraId="58CC7B10">
                  <w:pPr>
                    <w:pStyle w:val="477"/>
                    <w:spacing w:after="0"/>
                    <w:rPr>
                      <w:color w:val="auto"/>
                      <w:szCs w:val="21"/>
                    </w:rPr>
                  </w:pPr>
                  <w:r>
                    <w:rPr>
                      <w:rFonts w:hint="eastAsia"/>
                      <w:color w:val="auto"/>
                      <w:szCs w:val="21"/>
                    </w:rPr>
                    <w:t>下料、打标、热弯废气</w:t>
                  </w:r>
                </w:p>
              </w:tc>
              <w:tc>
                <w:tcPr>
                  <w:tcW w:w="1012" w:type="pct"/>
                  <w:shd w:val="clear" w:color="auto" w:fill="auto"/>
                  <w:vAlign w:val="center"/>
                </w:tcPr>
                <w:p w14:paraId="72E0211B">
                  <w:pPr>
                    <w:pStyle w:val="477"/>
                    <w:spacing w:after="0"/>
                    <w:rPr>
                      <w:color w:val="auto"/>
                      <w:szCs w:val="21"/>
                    </w:rPr>
                  </w:pPr>
                  <w:r>
                    <w:rPr>
                      <w:rFonts w:hint="eastAsia"/>
                      <w:color w:val="auto"/>
                    </w:rPr>
                    <w:t>集气罩收集+二级活性炭处理</w:t>
                  </w:r>
                </w:p>
              </w:tc>
              <w:tc>
                <w:tcPr>
                  <w:tcW w:w="1012" w:type="pct"/>
                  <w:vMerge w:val="restart"/>
                  <w:shd w:val="clear" w:color="auto" w:fill="auto"/>
                  <w:vAlign w:val="center"/>
                </w:tcPr>
                <w:p w14:paraId="1575ABD9">
                  <w:pPr>
                    <w:pStyle w:val="477"/>
                    <w:spacing w:after="0"/>
                    <w:rPr>
                      <w:color w:val="auto"/>
                    </w:rPr>
                  </w:pPr>
                  <w:r>
                    <w:rPr>
                      <w:rFonts w:hint="eastAsia"/>
                      <w:color w:val="auto"/>
                      <w:lang w:eastAsia="zh-CN"/>
                    </w:rPr>
                    <w:t>15.</w:t>
                  </w:r>
                  <w:r>
                    <w:rPr>
                      <w:rFonts w:hint="eastAsia"/>
                      <w:color w:val="auto"/>
                    </w:rPr>
                    <w:t>m高排气筒（DA006）排放</w:t>
                  </w:r>
                  <w:r>
                    <w:rPr>
                      <w:rFonts w:hint="eastAsia"/>
                      <w:color w:val="auto"/>
                      <w:szCs w:val="21"/>
                    </w:rPr>
                    <w:t>，总风量为17000m</w:t>
                  </w:r>
                  <w:r>
                    <w:rPr>
                      <w:rFonts w:hint="eastAsia"/>
                      <w:color w:val="auto"/>
                      <w:szCs w:val="21"/>
                      <w:vertAlign w:val="superscript"/>
                    </w:rPr>
                    <w:t>3</w:t>
                  </w:r>
                  <w:r>
                    <w:rPr>
                      <w:rFonts w:hint="eastAsia"/>
                      <w:color w:val="auto"/>
                      <w:szCs w:val="21"/>
                    </w:rPr>
                    <w:t>/h</w:t>
                  </w:r>
                </w:p>
              </w:tc>
              <w:tc>
                <w:tcPr>
                  <w:tcW w:w="1167" w:type="pct"/>
                  <w:tcBorders>
                    <w:right w:val="nil"/>
                  </w:tcBorders>
                  <w:shd w:val="clear" w:color="auto" w:fill="auto"/>
                  <w:vAlign w:val="center"/>
                </w:tcPr>
                <w:p w14:paraId="417E2548">
                  <w:pPr>
                    <w:pStyle w:val="477"/>
                    <w:spacing w:after="0"/>
                    <w:rPr>
                      <w:color w:val="auto"/>
                      <w:szCs w:val="21"/>
                    </w:rPr>
                  </w:pPr>
                  <w:r>
                    <w:rPr>
                      <w:rFonts w:hint="eastAsia"/>
                      <w:color w:val="auto"/>
                      <w:szCs w:val="21"/>
                    </w:rPr>
                    <w:t>达标排放</w:t>
                  </w:r>
                </w:p>
              </w:tc>
            </w:tr>
            <w:tr w14:paraId="1C8C2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7D1A65E9">
                  <w:pPr>
                    <w:pStyle w:val="477"/>
                    <w:spacing w:after="0"/>
                    <w:rPr>
                      <w:color w:val="auto"/>
                      <w:szCs w:val="21"/>
                    </w:rPr>
                  </w:pPr>
                </w:p>
              </w:tc>
              <w:tc>
                <w:tcPr>
                  <w:tcW w:w="354" w:type="pct"/>
                  <w:vMerge w:val="continue"/>
                  <w:vAlign w:val="center"/>
                </w:tcPr>
                <w:p w14:paraId="659D441B">
                  <w:pPr>
                    <w:pStyle w:val="477"/>
                    <w:spacing w:after="0"/>
                    <w:rPr>
                      <w:color w:val="auto"/>
                      <w:szCs w:val="21"/>
                    </w:rPr>
                  </w:pPr>
                </w:p>
              </w:tc>
              <w:tc>
                <w:tcPr>
                  <w:tcW w:w="354" w:type="pct"/>
                  <w:vMerge w:val="continue"/>
                  <w:vAlign w:val="center"/>
                </w:tcPr>
                <w:p w14:paraId="794207B8">
                  <w:pPr>
                    <w:pStyle w:val="477"/>
                    <w:spacing w:after="0"/>
                    <w:rPr>
                      <w:color w:val="auto"/>
                      <w:szCs w:val="21"/>
                    </w:rPr>
                  </w:pPr>
                </w:p>
              </w:tc>
              <w:tc>
                <w:tcPr>
                  <w:tcW w:w="737" w:type="pct"/>
                  <w:vAlign w:val="center"/>
                </w:tcPr>
                <w:p w14:paraId="5B016824">
                  <w:pPr>
                    <w:pStyle w:val="477"/>
                    <w:spacing w:after="0"/>
                    <w:rPr>
                      <w:color w:val="auto"/>
                      <w:szCs w:val="21"/>
                    </w:rPr>
                  </w:pPr>
                  <w:r>
                    <w:rPr>
                      <w:rFonts w:hint="eastAsia"/>
                      <w:color w:val="auto"/>
                      <w:szCs w:val="21"/>
                    </w:rPr>
                    <w:t>倒角粉尘</w:t>
                  </w:r>
                </w:p>
              </w:tc>
              <w:tc>
                <w:tcPr>
                  <w:tcW w:w="1012" w:type="pct"/>
                  <w:vAlign w:val="center"/>
                </w:tcPr>
                <w:p w14:paraId="5ED09C34">
                  <w:pPr>
                    <w:pStyle w:val="477"/>
                    <w:spacing w:after="0"/>
                    <w:rPr>
                      <w:color w:val="auto"/>
                      <w:szCs w:val="21"/>
                    </w:rPr>
                  </w:pPr>
                  <w:r>
                    <w:rPr>
                      <w:rFonts w:hint="eastAsia"/>
                      <w:color w:val="auto"/>
                    </w:rPr>
                    <w:t>集气罩收集+</w:t>
                  </w:r>
                  <w:r>
                    <w:rPr>
                      <w:rFonts w:hint="eastAsia"/>
                      <w:color w:val="auto"/>
                      <w:szCs w:val="21"/>
                    </w:rPr>
                    <w:t>布袋除尘处理</w:t>
                  </w:r>
                </w:p>
              </w:tc>
              <w:tc>
                <w:tcPr>
                  <w:tcW w:w="1012" w:type="pct"/>
                  <w:vMerge w:val="continue"/>
                  <w:vAlign w:val="center"/>
                </w:tcPr>
                <w:p w14:paraId="1F011E03">
                  <w:pPr>
                    <w:pStyle w:val="477"/>
                    <w:spacing w:after="0"/>
                    <w:rPr>
                      <w:color w:val="auto"/>
                    </w:rPr>
                  </w:pPr>
                </w:p>
              </w:tc>
              <w:tc>
                <w:tcPr>
                  <w:tcW w:w="1167" w:type="pct"/>
                  <w:tcBorders>
                    <w:right w:val="nil"/>
                  </w:tcBorders>
                  <w:vAlign w:val="center"/>
                </w:tcPr>
                <w:p w14:paraId="0A2EC9BC">
                  <w:pPr>
                    <w:pStyle w:val="477"/>
                    <w:spacing w:after="0"/>
                    <w:rPr>
                      <w:color w:val="auto"/>
                      <w:szCs w:val="21"/>
                    </w:rPr>
                  </w:pPr>
                  <w:r>
                    <w:rPr>
                      <w:rFonts w:hint="eastAsia"/>
                      <w:color w:val="auto"/>
                      <w:szCs w:val="21"/>
                    </w:rPr>
                    <w:t>达标排放</w:t>
                  </w:r>
                </w:p>
              </w:tc>
            </w:tr>
            <w:tr w14:paraId="3A2AF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1" w:type="pct"/>
                  <w:vMerge w:val="continue"/>
                  <w:tcBorders>
                    <w:left w:val="nil"/>
                  </w:tcBorders>
                  <w:vAlign w:val="center"/>
                </w:tcPr>
                <w:p w14:paraId="5D82B830">
                  <w:pPr>
                    <w:pStyle w:val="477"/>
                    <w:spacing w:after="0"/>
                    <w:rPr>
                      <w:color w:val="auto"/>
                      <w:szCs w:val="21"/>
                    </w:rPr>
                  </w:pPr>
                </w:p>
              </w:tc>
              <w:tc>
                <w:tcPr>
                  <w:tcW w:w="354" w:type="pct"/>
                  <w:vMerge w:val="continue"/>
                  <w:vAlign w:val="center"/>
                </w:tcPr>
                <w:p w14:paraId="1A1E46FB">
                  <w:pPr>
                    <w:pStyle w:val="477"/>
                    <w:spacing w:after="0"/>
                    <w:rPr>
                      <w:color w:val="auto"/>
                      <w:szCs w:val="21"/>
                    </w:rPr>
                  </w:pPr>
                </w:p>
              </w:tc>
              <w:tc>
                <w:tcPr>
                  <w:tcW w:w="354" w:type="pct"/>
                  <w:vMerge w:val="continue"/>
                  <w:vAlign w:val="center"/>
                </w:tcPr>
                <w:p w14:paraId="7E036641">
                  <w:pPr>
                    <w:pStyle w:val="477"/>
                    <w:spacing w:after="0"/>
                    <w:rPr>
                      <w:color w:val="auto"/>
                      <w:szCs w:val="21"/>
                    </w:rPr>
                  </w:pPr>
                </w:p>
              </w:tc>
              <w:tc>
                <w:tcPr>
                  <w:tcW w:w="737" w:type="pct"/>
                  <w:vAlign w:val="center"/>
                </w:tcPr>
                <w:p w14:paraId="59F91709">
                  <w:pPr>
                    <w:pStyle w:val="477"/>
                    <w:spacing w:after="0"/>
                    <w:rPr>
                      <w:color w:val="auto"/>
                      <w:szCs w:val="21"/>
                    </w:rPr>
                  </w:pPr>
                  <w:r>
                    <w:rPr>
                      <w:rFonts w:hint="eastAsia"/>
                      <w:color w:val="auto"/>
                      <w:szCs w:val="21"/>
                    </w:rPr>
                    <w:t>丝印、烘</w:t>
                  </w:r>
                  <w:r>
                    <w:rPr>
                      <w:rFonts w:hint="eastAsia"/>
                      <w:color w:val="auto"/>
                      <w:szCs w:val="21"/>
                      <w:lang w:val="en-US" w:eastAsia="zh-CN"/>
                    </w:rPr>
                    <w:t>干</w:t>
                  </w:r>
                  <w:r>
                    <w:rPr>
                      <w:rFonts w:hint="eastAsia"/>
                      <w:color w:val="auto"/>
                      <w:szCs w:val="21"/>
                    </w:rPr>
                    <w:t>、洗网水废气</w:t>
                  </w:r>
                </w:p>
              </w:tc>
              <w:tc>
                <w:tcPr>
                  <w:tcW w:w="1012" w:type="pct"/>
                  <w:vMerge w:val="restart"/>
                  <w:vAlign w:val="center"/>
                </w:tcPr>
                <w:p w14:paraId="2546CA11">
                  <w:pPr>
                    <w:pStyle w:val="477"/>
                    <w:spacing w:after="0"/>
                    <w:rPr>
                      <w:color w:val="auto"/>
                      <w:szCs w:val="21"/>
                    </w:rPr>
                  </w:pPr>
                  <w:r>
                    <w:rPr>
                      <w:rFonts w:hint="eastAsia"/>
                      <w:color w:val="auto"/>
                    </w:rPr>
                    <w:t>集气罩收集+二级活性炭处理</w:t>
                  </w:r>
                </w:p>
              </w:tc>
              <w:tc>
                <w:tcPr>
                  <w:tcW w:w="1012" w:type="pct"/>
                  <w:vMerge w:val="continue"/>
                  <w:vAlign w:val="center"/>
                </w:tcPr>
                <w:p w14:paraId="7DEF1BB8">
                  <w:pPr>
                    <w:pStyle w:val="477"/>
                    <w:spacing w:after="0"/>
                    <w:rPr>
                      <w:color w:val="auto"/>
                    </w:rPr>
                  </w:pPr>
                </w:p>
              </w:tc>
              <w:tc>
                <w:tcPr>
                  <w:tcW w:w="1167" w:type="pct"/>
                  <w:tcBorders>
                    <w:right w:val="nil"/>
                  </w:tcBorders>
                  <w:vAlign w:val="center"/>
                </w:tcPr>
                <w:p w14:paraId="4885DB97">
                  <w:pPr>
                    <w:pStyle w:val="477"/>
                    <w:spacing w:after="0"/>
                    <w:rPr>
                      <w:color w:val="auto"/>
                      <w:szCs w:val="21"/>
                    </w:rPr>
                  </w:pPr>
                  <w:r>
                    <w:rPr>
                      <w:rFonts w:hint="eastAsia"/>
                      <w:color w:val="auto"/>
                      <w:szCs w:val="21"/>
                    </w:rPr>
                    <w:t>达标排放</w:t>
                  </w:r>
                </w:p>
              </w:tc>
            </w:tr>
            <w:tr w14:paraId="3E857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574084EA">
                  <w:pPr>
                    <w:pStyle w:val="477"/>
                    <w:spacing w:after="0"/>
                    <w:rPr>
                      <w:color w:val="auto"/>
                      <w:szCs w:val="21"/>
                    </w:rPr>
                  </w:pPr>
                </w:p>
              </w:tc>
              <w:tc>
                <w:tcPr>
                  <w:tcW w:w="354" w:type="pct"/>
                  <w:vMerge w:val="continue"/>
                  <w:vAlign w:val="center"/>
                </w:tcPr>
                <w:p w14:paraId="4E724278">
                  <w:pPr>
                    <w:pStyle w:val="477"/>
                    <w:spacing w:after="0"/>
                    <w:rPr>
                      <w:color w:val="auto"/>
                      <w:szCs w:val="21"/>
                    </w:rPr>
                  </w:pPr>
                </w:p>
              </w:tc>
              <w:tc>
                <w:tcPr>
                  <w:tcW w:w="354" w:type="pct"/>
                  <w:vMerge w:val="continue"/>
                  <w:vAlign w:val="center"/>
                </w:tcPr>
                <w:p w14:paraId="413AC43C">
                  <w:pPr>
                    <w:pStyle w:val="477"/>
                    <w:spacing w:after="0"/>
                    <w:rPr>
                      <w:color w:val="auto"/>
                      <w:szCs w:val="21"/>
                    </w:rPr>
                  </w:pPr>
                </w:p>
              </w:tc>
              <w:tc>
                <w:tcPr>
                  <w:tcW w:w="737" w:type="pct"/>
                  <w:vAlign w:val="center"/>
                </w:tcPr>
                <w:p w14:paraId="3EE7F2EF">
                  <w:pPr>
                    <w:pStyle w:val="477"/>
                    <w:spacing w:after="0"/>
                    <w:rPr>
                      <w:color w:val="auto"/>
                      <w:szCs w:val="21"/>
                    </w:rPr>
                  </w:pPr>
                  <w:r>
                    <w:rPr>
                      <w:rFonts w:hint="eastAsia"/>
                      <w:color w:val="auto"/>
                      <w:szCs w:val="21"/>
                    </w:rPr>
                    <w:t>粘接废气</w:t>
                  </w:r>
                </w:p>
              </w:tc>
              <w:tc>
                <w:tcPr>
                  <w:tcW w:w="1012" w:type="pct"/>
                  <w:vMerge w:val="continue"/>
                  <w:vAlign w:val="center"/>
                </w:tcPr>
                <w:p w14:paraId="49D5EE44">
                  <w:pPr>
                    <w:pStyle w:val="477"/>
                    <w:spacing w:after="0"/>
                    <w:rPr>
                      <w:color w:val="auto"/>
                      <w:szCs w:val="21"/>
                    </w:rPr>
                  </w:pPr>
                </w:p>
              </w:tc>
              <w:tc>
                <w:tcPr>
                  <w:tcW w:w="1012" w:type="pct"/>
                  <w:vMerge w:val="continue"/>
                  <w:vAlign w:val="center"/>
                </w:tcPr>
                <w:p w14:paraId="5D36334E">
                  <w:pPr>
                    <w:pStyle w:val="477"/>
                    <w:spacing w:after="0"/>
                    <w:rPr>
                      <w:color w:val="auto"/>
                    </w:rPr>
                  </w:pPr>
                </w:p>
              </w:tc>
              <w:tc>
                <w:tcPr>
                  <w:tcW w:w="1167" w:type="pct"/>
                  <w:tcBorders>
                    <w:right w:val="nil"/>
                  </w:tcBorders>
                  <w:vAlign w:val="center"/>
                </w:tcPr>
                <w:p w14:paraId="179A777B">
                  <w:pPr>
                    <w:pStyle w:val="477"/>
                    <w:spacing w:after="0"/>
                    <w:rPr>
                      <w:color w:val="auto"/>
                      <w:szCs w:val="21"/>
                    </w:rPr>
                  </w:pPr>
                  <w:r>
                    <w:rPr>
                      <w:rFonts w:hint="eastAsia"/>
                      <w:color w:val="auto"/>
                      <w:szCs w:val="21"/>
                    </w:rPr>
                    <w:t>达标排放</w:t>
                  </w:r>
                </w:p>
              </w:tc>
            </w:tr>
            <w:tr w14:paraId="76219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520D4F18">
                  <w:pPr>
                    <w:pStyle w:val="477"/>
                    <w:spacing w:after="0"/>
                    <w:rPr>
                      <w:color w:val="auto"/>
                      <w:szCs w:val="21"/>
                    </w:rPr>
                  </w:pPr>
                </w:p>
              </w:tc>
              <w:tc>
                <w:tcPr>
                  <w:tcW w:w="354" w:type="pct"/>
                  <w:vMerge w:val="continue"/>
                  <w:vAlign w:val="center"/>
                </w:tcPr>
                <w:p w14:paraId="3D17EE85">
                  <w:pPr>
                    <w:pStyle w:val="477"/>
                    <w:spacing w:after="0"/>
                    <w:rPr>
                      <w:color w:val="auto"/>
                      <w:szCs w:val="21"/>
                    </w:rPr>
                  </w:pPr>
                </w:p>
              </w:tc>
              <w:tc>
                <w:tcPr>
                  <w:tcW w:w="354" w:type="pct"/>
                  <w:vMerge w:val="continue"/>
                  <w:vAlign w:val="center"/>
                </w:tcPr>
                <w:p w14:paraId="17827ED6">
                  <w:pPr>
                    <w:pStyle w:val="477"/>
                    <w:spacing w:after="0"/>
                    <w:rPr>
                      <w:color w:val="auto"/>
                      <w:szCs w:val="21"/>
                    </w:rPr>
                  </w:pPr>
                </w:p>
              </w:tc>
              <w:tc>
                <w:tcPr>
                  <w:tcW w:w="737" w:type="pct"/>
                  <w:vAlign w:val="center"/>
                </w:tcPr>
                <w:p w14:paraId="064AD9B3">
                  <w:pPr>
                    <w:pStyle w:val="477"/>
                    <w:spacing w:after="0"/>
                    <w:rPr>
                      <w:color w:val="auto"/>
                      <w:szCs w:val="21"/>
                    </w:rPr>
                  </w:pPr>
                  <w:r>
                    <w:rPr>
                      <w:rFonts w:hint="eastAsia"/>
                      <w:color w:val="auto"/>
                      <w:szCs w:val="21"/>
                    </w:rPr>
                    <w:t>清洗废气</w:t>
                  </w:r>
                </w:p>
              </w:tc>
              <w:tc>
                <w:tcPr>
                  <w:tcW w:w="1012" w:type="pct"/>
                  <w:vMerge w:val="continue"/>
                  <w:vAlign w:val="center"/>
                </w:tcPr>
                <w:p w14:paraId="132FB0AA">
                  <w:pPr>
                    <w:pStyle w:val="477"/>
                    <w:spacing w:after="0"/>
                    <w:rPr>
                      <w:color w:val="auto"/>
                      <w:szCs w:val="21"/>
                    </w:rPr>
                  </w:pPr>
                </w:p>
              </w:tc>
              <w:tc>
                <w:tcPr>
                  <w:tcW w:w="1012" w:type="pct"/>
                  <w:vMerge w:val="continue"/>
                  <w:vAlign w:val="center"/>
                </w:tcPr>
                <w:p w14:paraId="03BE58BE">
                  <w:pPr>
                    <w:pStyle w:val="477"/>
                    <w:spacing w:after="0"/>
                    <w:rPr>
                      <w:color w:val="auto"/>
                    </w:rPr>
                  </w:pPr>
                </w:p>
              </w:tc>
              <w:tc>
                <w:tcPr>
                  <w:tcW w:w="1167" w:type="pct"/>
                  <w:tcBorders>
                    <w:right w:val="nil"/>
                  </w:tcBorders>
                  <w:vAlign w:val="center"/>
                </w:tcPr>
                <w:p w14:paraId="14A0EF70">
                  <w:pPr>
                    <w:pStyle w:val="477"/>
                    <w:spacing w:after="0"/>
                    <w:rPr>
                      <w:color w:val="auto"/>
                      <w:szCs w:val="21"/>
                    </w:rPr>
                  </w:pPr>
                  <w:r>
                    <w:rPr>
                      <w:rFonts w:hint="eastAsia"/>
                      <w:color w:val="auto"/>
                      <w:szCs w:val="21"/>
                    </w:rPr>
                    <w:t>达标排放</w:t>
                  </w:r>
                </w:p>
              </w:tc>
            </w:tr>
            <w:tr w14:paraId="7FB91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1F86BFB7">
                  <w:pPr>
                    <w:pStyle w:val="477"/>
                    <w:spacing w:after="0"/>
                    <w:rPr>
                      <w:color w:val="auto"/>
                      <w:szCs w:val="21"/>
                    </w:rPr>
                  </w:pPr>
                </w:p>
              </w:tc>
              <w:tc>
                <w:tcPr>
                  <w:tcW w:w="354" w:type="pct"/>
                  <w:vMerge w:val="continue"/>
                  <w:vAlign w:val="center"/>
                </w:tcPr>
                <w:p w14:paraId="7FB11D48">
                  <w:pPr>
                    <w:pStyle w:val="477"/>
                    <w:spacing w:after="0"/>
                    <w:rPr>
                      <w:color w:val="auto"/>
                      <w:szCs w:val="21"/>
                    </w:rPr>
                  </w:pPr>
                </w:p>
              </w:tc>
              <w:tc>
                <w:tcPr>
                  <w:tcW w:w="354" w:type="pct"/>
                  <w:vAlign w:val="center"/>
                </w:tcPr>
                <w:p w14:paraId="23689593">
                  <w:pPr>
                    <w:pStyle w:val="477"/>
                    <w:spacing w:after="0"/>
                    <w:rPr>
                      <w:color w:val="auto"/>
                      <w:szCs w:val="21"/>
                    </w:rPr>
                  </w:pPr>
                  <w:r>
                    <w:rPr>
                      <w:rFonts w:hint="eastAsia"/>
                      <w:color w:val="auto"/>
                      <w:szCs w:val="21"/>
                    </w:rPr>
                    <w:t>危废库</w:t>
                  </w:r>
                </w:p>
              </w:tc>
              <w:tc>
                <w:tcPr>
                  <w:tcW w:w="737" w:type="pct"/>
                  <w:vAlign w:val="center"/>
                </w:tcPr>
                <w:p w14:paraId="7A3A5C26">
                  <w:pPr>
                    <w:pStyle w:val="477"/>
                    <w:spacing w:after="0"/>
                    <w:rPr>
                      <w:color w:val="auto"/>
                      <w:szCs w:val="21"/>
                    </w:rPr>
                  </w:pPr>
                  <w:r>
                    <w:rPr>
                      <w:rFonts w:hint="eastAsia"/>
                      <w:color w:val="auto"/>
                      <w:szCs w:val="21"/>
                    </w:rPr>
                    <w:t>危废库废气</w:t>
                  </w:r>
                </w:p>
              </w:tc>
              <w:tc>
                <w:tcPr>
                  <w:tcW w:w="1012" w:type="pct"/>
                  <w:vAlign w:val="center"/>
                </w:tcPr>
                <w:p w14:paraId="06C11392">
                  <w:pPr>
                    <w:pStyle w:val="477"/>
                    <w:spacing w:after="0"/>
                    <w:rPr>
                      <w:color w:val="auto"/>
                    </w:rPr>
                  </w:pPr>
                  <w:r>
                    <w:rPr>
                      <w:rFonts w:hint="eastAsia"/>
                      <w:color w:val="auto"/>
                      <w:lang w:val="en-US" w:eastAsia="zh-CN"/>
                    </w:rPr>
                    <w:t>吸气口</w:t>
                  </w:r>
                  <w:r>
                    <w:rPr>
                      <w:rFonts w:hint="eastAsia"/>
                      <w:color w:val="auto"/>
                    </w:rPr>
                    <w:t>收集+二级活性炭处理</w:t>
                  </w:r>
                </w:p>
              </w:tc>
              <w:tc>
                <w:tcPr>
                  <w:tcW w:w="1012" w:type="pct"/>
                  <w:vAlign w:val="center"/>
                </w:tcPr>
                <w:p w14:paraId="00E07492">
                  <w:pPr>
                    <w:pStyle w:val="477"/>
                    <w:spacing w:after="0"/>
                    <w:rPr>
                      <w:color w:val="auto"/>
                    </w:rPr>
                  </w:pPr>
                  <w:r>
                    <w:rPr>
                      <w:rFonts w:hint="eastAsia"/>
                      <w:color w:val="auto"/>
                      <w:lang w:eastAsia="zh-CN"/>
                    </w:rPr>
                    <w:t>15.</w:t>
                  </w:r>
                  <w:r>
                    <w:rPr>
                      <w:rFonts w:hint="eastAsia"/>
                      <w:color w:val="auto"/>
                    </w:rPr>
                    <w:t>m高排气筒（DA00</w:t>
                  </w:r>
                  <w:r>
                    <w:rPr>
                      <w:rFonts w:hint="eastAsia"/>
                      <w:color w:val="auto"/>
                      <w:lang w:val="en-US" w:eastAsia="zh-CN"/>
                    </w:rPr>
                    <w:t>3</w:t>
                  </w:r>
                  <w:r>
                    <w:rPr>
                      <w:rFonts w:hint="eastAsia"/>
                      <w:color w:val="auto"/>
                    </w:rPr>
                    <w:t>）排放，</w:t>
                  </w:r>
                  <w:r>
                    <w:rPr>
                      <w:rFonts w:hint="eastAsia"/>
                      <w:color w:val="auto"/>
                      <w:szCs w:val="21"/>
                    </w:rPr>
                    <w:t>总风量为</w:t>
                  </w:r>
                  <w:r>
                    <w:rPr>
                      <w:rFonts w:hint="eastAsia"/>
                      <w:color w:val="auto"/>
                      <w:szCs w:val="21"/>
                      <w:lang w:val="en-US" w:eastAsia="zh-CN"/>
                    </w:rPr>
                    <w:t>1</w:t>
                  </w:r>
                  <w:r>
                    <w:rPr>
                      <w:rFonts w:hint="eastAsia"/>
                      <w:color w:val="auto"/>
                      <w:szCs w:val="21"/>
                    </w:rPr>
                    <w:t>5000m</w:t>
                  </w:r>
                  <w:r>
                    <w:rPr>
                      <w:rFonts w:hint="eastAsia"/>
                      <w:color w:val="auto"/>
                      <w:szCs w:val="21"/>
                      <w:vertAlign w:val="superscript"/>
                    </w:rPr>
                    <w:t>3</w:t>
                  </w:r>
                  <w:r>
                    <w:rPr>
                      <w:rFonts w:hint="eastAsia"/>
                      <w:color w:val="auto"/>
                      <w:szCs w:val="21"/>
                    </w:rPr>
                    <w:t>/h</w:t>
                  </w:r>
                </w:p>
              </w:tc>
              <w:tc>
                <w:tcPr>
                  <w:tcW w:w="1167" w:type="pct"/>
                  <w:tcBorders>
                    <w:right w:val="nil"/>
                  </w:tcBorders>
                  <w:vAlign w:val="center"/>
                </w:tcPr>
                <w:p w14:paraId="42A4FAC8">
                  <w:pPr>
                    <w:pStyle w:val="477"/>
                    <w:spacing w:after="0"/>
                    <w:rPr>
                      <w:color w:val="auto"/>
                      <w:szCs w:val="21"/>
                    </w:rPr>
                  </w:pPr>
                  <w:r>
                    <w:rPr>
                      <w:rFonts w:hint="eastAsia"/>
                      <w:color w:val="auto"/>
                      <w:szCs w:val="21"/>
                    </w:rPr>
                    <w:t>达标排放</w:t>
                  </w:r>
                </w:p>
              </w:tc>
            </w:tr>
            <w:tr w14:paraId="1F06D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1BA8ED43">
                  <w:pPr>
                    <w:pStyle w:val="477"/>
                    <w:spacing w:after="0"/>
                    <w:rPr>
                      <w:color w:val="auto"/>
                      <w:szCs w:val="21"/>
                    </w:rPr>
                  </w:pPr>
                </w:p>
              </w:tc>
              <w:tc>
                <w:tcPr>
                  <w:tcW w:w="354" w:type="pct"/>
                  <w:vAlign w:val="center"/>
                </w:tcPr>
                <w:p w14:paraId="31B9F796">
                  <w:pPr>
                    <w:pStyle w:val="477"/>
                    <w:spacing w:after="0"/>
                    <w:rPr>
                      <w:color w:val="auto"/>
                      <w:szCs w:val="21"/>
                    </w:rPr>
                  </w:pPr>
                  <w:r>
                    <w:rPr>
                      <w:color w:val="auto"/>
                      <w:szCs w:val="21"/>
                    </w:rPr>
                    <w:t>噪声处理</w:t>
                  </w:r>
                </w:p>
              </w:tc>
              <w:tc>
                <w:tcPr>
                  <w:tcW w:w="1091" w:type="pct"/>
                  <w:gridSpan w:val="2"/>
                  <w:vAlign w:val="center"/>
                </w:tcPr>
                <w:p w14:paraId="2BD5ECFA">
                  <w:pPr>
                    <w:pStyle w:val="477"/>
                    <w:spacing w:after="0"/>
                    <w:rPr>
                      <w:color w:val="auto"/>
                      <w:szCs w:val="21"/>
                    </w:rPr>
                  </w:pPr>
                  <w:r>
                    <w:rPr>
                      <w:color w:val="auto"/>
                      <w:szCs w:val="21"/>
                    </w:rPr>
                    <w:t>主要生产设备、泵、风机、冷却系统等辅助设备运行噪声</w:t>
                  </w:r>
                </w:p>
              </w:tc>
              <w:tc>
                <w:tcPr>
                  <w:tcW w:w="2024" w:type="pct"/>
                  <w:gridSpan w:val="2"/>
                  <w:vAlign w:val="center"/>
                </w:tcPr>
                <w:p w14:paraId="725862AD">
                  <w:pPr>
                    <w:pStyle w:val="477"/>
                    <w:spacing w:after="0"/>
                    <w:rPr>
                      <w:color w:val="auto"/>
                      <w:szCs w:val="21"/>
                    </w:rPr>
                  </w:pPr>
                  <w:r>
                    <w:rPr>
                      <w:color w:val="auto"/>
                      <w:szCs w:val="21"/>
                    </w:rPr>
                    <w:t>选用低噪声设备，隔声减震，加强管理，≥25dB（A）</w:t>
                  </w:r>
                </w:p>
              </w:tc>
              <w:tc>
                <w:tcPr>
                  <w:tcW w:w="1167" w:type="pct"/>
                  <w:tcBorders>
                    <w:right w:val="nil"/>
                  </w:tcBorders>
                  <w:vAlign w:val="center"/>
                </w:tcPr>
                <w:p w14:paraId="1D62E6C9">
                  <w:pPr>
                    <w:pStyle w:val="477"/>
                    <w:spacing w:after="0"/>
                    <w:rPr>
                      <w:color w:val="auto"/>
                      <w:szCs w:val="21"/>
                    </w:rPr>
                  </w:pPr>
                  <w:r>
                    <w:rPr>
                      <w:color w:val="auto"/>
                      <w:szCs w:val="21"/>
                    </w:rPr>
                    <w:t>厂界达标</w:t>
                  </w:r>
                </w:p>
              </w:tc>
            </w:tr>
            <w:tr w14:paraId="76676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29977C72">
                  <w:pPr>
                    <w:pStyle w:val="477"/>
                    <w:spacing w:after="0"/>
                    <w:rPr>
                      <w:color w:val="auto"/>
                      <w:szCs w:val="21"/>
                    </w:rPr>
                  </w:pPr>
                </w:p>
              </w:tc>
              <w:tc>
                <w:tcPr>
                  <w:tcW w:w="354" w:type="pct"/>
                  <w:vMerge w:val="restart"/>
                  <w:vAlign w:val="center"/>
                </w:tcPr>
                <w:p w14:paraId="49CA9883">
                  <w:pPr>
                    <w:pStyle w:val="477"/>
                    <w:spacing w:after="0"/>
                    <w:rPr>
                      <w:color w:val="auto"/>
                      <w:szCs w:val="21"/>
                    </w:rPr>
                  </w:pPr>
                  <w:r>
                    <w:rPr>
                      <w:color w:val="auto"/>
                      <w:szCs w:val="21"/>
                    </w:rPr>
                    <w:t>固废处置</w:t>
                  </w:r>
                </w:p>
              </w:tc>
              <w:tc>
                <w:tcPr>
                  <w:tcW w:w="1091" w:type="pct"/>
                  <w:gridSpan w:val="2"/>
                  <w:vAlign w:val="center"/>
                </w:tcPr>
                <w:p w14:paraId="39C78B33">
                  <w:pPr>
                    <w:pStyle w:val="477"/>
                    <w:spacing w:after="0"/>
                    <w:rPr>
                      <w:color w:val="auto"/>
                      <w:szCs w:val="21"/>
                    </w:rPr>
                  </w:pPr>
                  <w:r>
                    <w:rPr>
                      <w:color w:val="auto"/>
                      <w:szCs w:val="21"/>
                    </w:rPr>
                    <w:t>危险废物</w:t>
                  </w:r>
                </w:p>
              </w:tc>
              <w:tc>
                <w:tcPr>
                  <w:tcW w:w="2024" w:type="pct"/>
                  <w:gridSpan w:val="2"/>
                  <w:vAlign w:val="center"/>
                </w:tcPr>
                <w:p w14:paraId="50A562B9">
                  <w:pPr>
                    <w:pStyle w:val="477"/>
                    <w:spacing w:after="0"/>
                    <w:rPr>
                      <w:color w:val="auto"/>
                      <w:szCs w:val="21"/>
                    </w:rPr>
                  </w:pPr>
                  <w:r>
                    <w:rPr>
                      <w:rFonts w:hint="eastAsia"/>
                      <w:color w:val="auto"/>
                      <w:szCs w:val="21"/>
                      <w:lang w:val="en-US" w:eastAsia="zh-CN"/>
                    </w:rPr>
                    <w:t>32.3</w:t>
                  </w:r>
                  <w:r>
                    <w:rPr>
                      <w:rFonts w:hint="eastAsia"/>
                      <w:bCs/>
                      <w:color w:val="auto"/>
                      <w:szCs w:val="21"/>
                    </w:rPr>
                    <w:t>m</w:t>
                  </w:r>
                  <w:r>
                    <w:rPr>
                      <w:rFonts w:hint="eastAsia"/>
                      <w:bCs/>
                      <w:color w:val="auto"/>
                      <w:szCs w:val="21"/>
                      <w:vertAlign w:val="superscript"/>
                    </w:rPr>
                    <w:t>2</w:t>
                  </w:r>
                  <w:r>
                    <w:rPr>
                      <w:rFonts w:hint="eastAsia"/>
                      <w:bCs/>
                      <w:color w:val="auto"/>
                      <w:szCs w:val="21"/>
                    </w:rPr>
                    <w:t>危废仓库，</w:t>
                  </w:r>
                  <w:r>
                    <w:rPr>
                      <w:rFonts w:hint="eastAsia"/>
                      <w:color w:val="auto"/>
                      <w:szCs w:val="21"/>
                    </w:rPr>
                    <w:t>储存废活性炭、废液压油、废胶桶、废灰桶、废漆渣、废漆桶、废切削液、喷涂渣、废抹布、废油墨桶、废洗网水、废机油、废油桶、喷枪清洗废液、水幕帘废液等</w:t>
                  </w:r>
                </w:p>
              </w:tc>
              <w:tc>
                <w:tcPr>
                  <w:tcW w:w="1167" w:type="pct"/>
                  <w:tcBorders>
                    <w:right w:val="nil"/>
                  </w:tcBorders>
                  <w:vAlign w:val="center"/>
                </w:tcPr>
                <w:p w14:paraId="3BE3E32D">
                  <w:pPr>
                    <w:pStyle w:val="477"/>
                    <w:spacing w:after="0"/>
                    <w:rPr>
                      <w:color w:val="auto"/>
                      <w:szCs w:val="21"/>
                    </w:rPr>
                  </w:pPr>
                  <w:r>
                    <w:rPr>
                      <w:rFonts w:hint="eastAsia"/>
                      <w:color w:val="auto"/>
                      <w:szCs w:val="21"/>
                      <w:lang w:val="en-US" w:eastAsia="zh-CN"/>
                    </w:rPr>
                    <w:t>新建</w:t>
                  </w:r>
                  <w:r>
                    <w:rPr>
                      <w:color w:val="auto"/>
                      <w:szCs w:val="21"/>
                    </w:rPr>
                    <w:t>在</w:t>
                  </w:r>
                  <w:r>
                    <w:rPr>
                      <w:rFonts w:hint="eastAsia"/>
                      <w:color w:val="auto"/>
                      <w:szCs w:val="21"/>
                    </w:rPr>
                    <w:t>厂区</w:t>
                  </w:r>
                  <w:r>
                    <w:rPr>
                      <w:rFonts w:hint="eastAsia"/>
                      <w:color w:val="auto"/>
                      <w:szCs w:val="21"/>
                      <w:lang w:val="en-US" w:eastAsia="zh-CN"/>
                    </w:rPr>
                    <w:t>3#厂房油漆车间内西北角</w:t>
                  </w:r>
                  <w:r>
                    <w:rPr>
                      <w:rFonts w:hint="eastAsia"/>
                      <w:color w:val="auto"/>
                      <w:szCs w:val="21"/>
                      <w:lang w:eastAsia="zh-CN"/>
                    </w:rPr>
                    <w:t>，</w:t>
                  </w:r>
                  <w:r>
                    <w:rPr>
                      <w:rFonts w:hint="eastAsia"/>
                      <w:color w:val="auto"/>
                      <w:szCs w:val="21"/>
                    </w:rPr>
                    <w:t>定期交由有资质单位进行处置</w:t>
                  </w:r>
                  <w:r>
                    <w:rPr>
                      <w:color w:val="auto"/>
                      <w:szCs w:val="21"/>
                    </w:rPr>
                    <w:t>，零排放</w:t>
                  </w:r>
                </w:p>
              </w:tc>
            </w:tr>
            <w:tr w14:paraId="7E016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tcBorders>
                  <w:vAlign w:val="center"/>
                </w:tcPr>
                <w:p w14:paraId="32A510D7">
                  <w:pPr>
                    <w:pStyle w:val="477"/>
                    <w:spacing w:after="0"/>
                    <w:rPr>
                      <w:color w:val="auto"/>
                      <w:szCs w:val="21"/>
                    </w:rPr>
                  </w:pPr>
                </w:p>
              </w:tc>
              <w:tc>
                <w:tcPr>
                  <w:tcW w:w="354" w:type="pct"/>
                  <w:vMerge w:val="continue"/>
                  <w:vAlign w:val="center"/>
                </w:tcPr>
                <w:p w14:paraId="2827C574">
                  <w:pPr>
                    <w:pStyle w:val="477"/>
                    <w:spacing w:after="0"/>
                    <w:rPr>
                      <w:color w:val="auto"/>
                      <w:szCs w:val="21"/>
                    </w:rPr>
                  </w:pPr>
                </w:p>
              </w:tc>
              <w:tc>
                <w:tcPr>
                  <w:tcW w:w="1091" w:type="pct"/>
                  <w:gridSpan w:val="2"/>
                  <w:vAlign w:val="center"/>
                </w:tcPr>
                <w:p w14:paraId="0BCEA966">
                  <w:pPr>
                    <w:pStyle w:val="477"/>
                    <w:spacing w:after="0"/>
                    <w:rPr>
                      <w:color w:val="auto"/>
                      <w:szCs w:val="21"/>
                    </w:rPr>
                  </w:pPr>
                  <w:r>
                    <w:rPr>
                      <w:color w:val="auto"/>
                      <w:szCs w:val="21"/>
                    </w:rPr>
                    <w:t>一般工业固废</w:t>
                  </w:r>
                </w:p>
              </w:tc>
              <w:tc>
                <w:tcPr>
                  <w:tcW w:w="2024" w:type="pct"/>
                  <w:gridSpan w:val="2"/>
                  <w:vAlign w:val="center"/>
                </w:tcPr>
                <w:p w14:paraId="27873D18">
                  <w:pPr>
                    <w:pStyle w:val="477"/>
                    <w:spacing w:after="0"/>
                    <w:jc w:val="both"/>
                    <w:rPr>
                      <w:color w:val="auto"/>
                      <w:szCs w:val="21"/>
                    </w:rPr>
                  </w:pPr>
                  <w:r>
                    <w:rPr>
                      <w:rFonts w:hint="eastAsia"/>
                      <w:bCs/>
                      <w:color w:val="auto"/>
                      <w:szCs w:val="21"/>
                    </w:rPr>
                    <w:t>206m</w:t>
                  </w:r>
                  <w:r>
                    <w:rPr>
                      <w:rFonts w:hint="eastAsia"/>
                      <w:bCs/>
                      <w:color w:val="auto"/>
                      <w:szCs w:val="21"/>
                      <w:vertAlign w:val="superscript"/>
                    </w:rPr>
                    <w:t>2</w:t>
                  </w:r>
                  <w:r>
                    <w:rPr>
                      <w:rFonts w:hint="eastAsia"/>
                      <w:bCs/>
                      <w:color w:val="auto"/>
                      <w:szCs w:val="21"/>
                    </w:rPr>
                    <w:t>一般固废仓库，</w:t>
                  </w:r>
                  <w:r>
                    <w:rPr>
                      <w:rFonts w:hint="eastAsia"/>
                      <w:color w:val="auto"/>
                      <w:szCs w:val="21"/>
                    </w:rPr>
                    <w:t>储存边角料、废刀头、废封边条、废木皮、废砂纸、大理石废料、废切割片、</w:t>
                  </w:r>
                  <w:r>
                    <w:rPr>
                      <w:rFonts w:hint="eastAsia"/>
                      <w:color w:val="auto"/>
                      <w:szCs w:val="21"/>
                      <w:lang w:val="en-US" w:eastAsia="zh-CN"/>
                    </w:rPr>
                    <w:t>废焊丝</w:t>
                  </w:r>
                  <w:r>
                    <w:rPr>
                      <w:rFonts w:hint="eastAsia"/>
                      <w:color w:val="auto"/>
                      <w:szCs w:val="21"/>
                    </w:rPr>
                    <w:t>、废焊渣</w:t>
                  </w:r>
                  <w:r>
                    <w:rPr>
                      <w:rFonts w:hint="eastAsia"/>
                      <w:color w:val="auto"/>
                      <w:szCs w:val="21"/>
                      <w:lang w:val="en-US" w:eastAsia="zh-CN"/>
                    </w:rPr>
                    <w:t>、</w:t>
                  </w:r>
                  <w:r>
                    <w:rPr>
                      <w:rFonts w:hint="eastAsia"/>
                      <w:color w:val="auto"/>
                      <w:szCs w:val="21"/>
                    </w:rPr>
                    <w:t>金属废边角料、金属碎屑、喷粉粉末、</w:t>
                  </w:r>
                  <w:r>
                    <w:rPr>
                      <w:rFonts w:hint="eastAsia"/>
                      <w:color w:val="auto"/>
                      <w:szCs w:val="21"/>
                      <w:lang w:val="en-US" w:eastAsia="zh-CN"/>
                    </w:rPr>
                    <w:t>废钢丸、</w:t>
                  </w:r>
                  <w:r>
                    <w:rPr>
                      <w:rFonts w:hint="eastAsia"/>
                      <w:color w:val="auto"/>
                      <w:szCs w:val="21"/>
                    </w:rPr>
                    <w:t>废抛光轮、不合格品、化粪池污泥等</w:t>
                  </w:r>
                </w:p>
              </w:tc>
              <w:tc>
                <w:tcPr>
                  <w:tcW w:w="1167" w:type="pct"/>
                  <w:tcBorders>
                    <w:right w:val="nil"/>
                  </w:tcBorders>
                  <w:vAlign w:val="center"/>
                </w:tcPr>
                <w:p w14:paraId="1254C42F">
                  <w:pPr>
                    <w:pStyle w:val="477"/>
                    <w:spacing w:after="0"/>
                    <w:rPr>
                      <w:color w:val="auto"/>
                      <w:szCs w:val="21"/>
                    </w:rPr>
                  </w:pPr>
                  <w:r>
                    <w:rPr>
                      <w:color w:val="auto"/>
                      <w:szCs w:val="21"/>
                    </w:rPr>
                    <w:t>暂存在</w:t>
                  </w:r>
                  <w:r>
                    <w:rPr>
                      <w:rFonts w:hint="eastAsia"/>
                      <w:color w:val="auto"/>
                      <w:szCs w:val="21"/>
                    </w:rPr>
                    <w:t>厂区西侧</w:t>
                  </w:r>
                  <w:r>
                    <w:rPr>
                      <w:rFonts w:hint="eastAsia"/>
                      <w:color w:val="auto"/>
                      <w:szCs w:val="21"/>
                      <w:lang w:val="en-US" w:eastAsia="zh-CN"/>
                    </w:rPr>
                    <w:t>北</w:t>
                  </w:r>
                  <w:r>
                    <w:rPr>
                      <w:rFonts w:hint="eastAsia"/>
                      <w:color w:val="auto"/>
                      <w:szCs w:val="21"/>
                    </w:rPr>
                    <w:t>部新建</w:t>
                  </w:r>
                  <w:r>
                    <w:rPr>
                      <w:color w:val="auto"/>
                      <w:szCs w:val="21"/>
                    </w:rPr>
                    <w:t>一般固废库内，外售综合利用</w:t>
                  </w:r>
                </w:p>
              </w:tc>
            </w:tr>
            <w:tr w14:paraId="548E3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1" w:type="pct"/>
                  <w:vMerge w:val="continue"/>
                  <w:tcBorders>
                    <w:left w:val="nil"/>
                    <w:bottom w:val="single" w:color="auto" w:sz="12" w:space="0"/>
                  </w:tcBorders>
                  <w:vAlign w:val="center"/>
                </w:tcPr>
                <w:p w14:paraId="23CEEAA6">
                  <w:pPr>
                    <w:pStyle w:val="477"/>
                    <w:spacing w:after="0"/>
                    <w:rPr>
                      <w:color w:val="auto"/>
                      <w:szCs w:val="21"/>
                    </w:rPr>
                  </w:pPr>
                </w:p>
              </w:tc>
              <w:tc>
                <w:tcPr>
                  <w:tcW w:w="354" w:type="pct"/>
                  <w:vMerge w:val="continue"/>
                  <w:tcBorders>
                    <w:bottom w:val="single" w:color="auto" w:sz="12" w:space="0"/>
                  </w:tcBorders>
                  <w:vAlign w:val="center"/>
                </w:tcPr>
                <w:p w14:paraId="2420CC33">
                  <w:pPr>
                    <w:pStyle w:val="477"/>
                    <w:spacing w:after="0"/>
                    <w:rPr>
                      <w:color w:val="auto"/>
                      <w:szCs w:val="21"/>
                    </w:rPr>
                  </w:pPr>
                </w:p>
              </w:tc>
              <w:tc>
                <w:tcPr>
                  <w:tcW w:w="1091" w:type="pct"/>
                  <w:gridSpan w:val="2"/>
                  <w:tcBorders>
                    <w:bottom w:val="single" w:color="auto" w:sz="12" w:space="0"/>
                  </w:tcBorders>
                  <w:vAlign w:val="center"/>
                </w:tcPr>
                <w:p w14:paraId="21F46AF7">
                  <w:pPr>
                    <w:pStyle w:val="477"/>
                    <w:spacing w:after="0"/>
                    <w:rPr>
                      <w:color w:val="auto"/>
                      <w:szCs w:val="21"/>
                    </w:rPr>
                  </w:pPr>
                  <w:r>
                    <w:rPr>
                      <w:color w:val="auto"/>
                      <w:szCs w:val="21"/>
                    </w:rPr>
                    <w:t>生活垃圾</w:t>
                  </w:r>
                </w:p>
              </w:tc>
              <w:tc>
                <w:tcPr>
                  <w:tcW w:w="2024" w:type="pct"/>
                  <w:gridSpan w:val="2"/>
                  <w:tcBorders>
                    <w:bottom w:val="single" w:color="auto" w:sz="12" w:space="0"/>
                  </w:tcBorders>
                  <w:vAlign w:val="center"/>
                </w:tcPr>
                <w:p w14:paraId="29B8F280">
                  <w:pPr>
                    <w:pStyle w:val="477"/>
                    <w:spacing w:after="0"/>
                    <w:rPr>
                      <w:color w:val="auto"/>
                      <w:szCs w:val="21"/>
                    </w:rPr>
                  </w:pPr>
                  <w:r>
                    <w:rPr>
                      <w:color w:val="auto"/>
                      <w:szCs w:val="21"/>
                    </w:rPr>
                    <w:t>生活垃圾由环卫部门定期清运。</w:t>
                  </w:r>
                </w:p>
              </w:tc>
              <w:tc>
                <w:tcPr>
                  <w:tcW w:w="1167" w:type="pct"/>
                  <w:tcBorders>
                    <w:bottom w:val="single" w:color="auto" w:sz="12" w:space="0"/>
                    <w:right w:val="nil"/>
                  </w:tcBorders>
                  <w:vAlign w:val="center"/>
                </w:tcPr>
                <w:p w14:paraId="50476E2B">
                  <w:pPr>
                    <w:pStyle w:val="477"/>
                    <w:spacing w:after="0"/>
                    <w:rPr>
                      <w:color w:val="auto"/>
                      <w:szCs w:val="21"/>
                    </w:rPr>
                  </w:pPr>
                  <w:r>
                    <w:rPr>
                      <w:rFonts w:hint="eastAsia"/>
                      <w:color w:val="auto"/>
                      <w:szCs w:val="21"/>
                    </w:rPr>
                    <w:t>/</w:t>
                  </w:r>
                </w:p>
              </w:tc>
            </w:tr>
          </w:tbl>
          <w:p w14:paraId="55F8EB0E">
            <w:pPr>
              <w:tabs>
                <w:tab w:val="left" w:pos="720"/>
              </w:tabs>
              <w:adjustRightInd w:val="0"/>
              <w:snapToGrid w:val="0"/>
              <w:spacing w:line="360" w:lineRule="auto"/>
              <w:ind w:firstLine="482" w:firstLineChars="200"/>
              <w:rPr>
                <w:b/>
                <w:color w:val="auto"/>
                <w:sz w:val="24"/>
              </w:rPr>
            </w:pPr>
            <w:r>
              <w:rPr>
                <w:b/>
                <w:color w:val="auto"/>
                <w:sz w:val="24"/>
              </w:rPr>
              <w:t>五、主要原辅料消耗及理化性质</w:t>
            </w:r>
          </w:p>
          <w:p w14:paraId="3C211FE8">
            <w:pPr>
              <w:tabs>
                <w:tab w:val="left" w:pos="720"/>
              </w:tabs>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主要原辅料消耗情况</w:t>
            </w:r>
          </w:p>
          <w:p w14:paraId="50EA7482">
            <w:pPr>
              <w:tabs>
                <w:tab w:val="left" w:pos="720"/>
              </w:tabs>
              <w:adjustRightInd w:val="0"/>
              <w:snapToGrid w:val="0"/>
              <w:spacing w:line="360" w:lineRule="auto"/>
              <w:ind w:firstLine="480" w:firstLineChars="200"/>
              <w:rPr>
                <w:color w:val="auto"/>
                <w:sz w:val="24"/>
              </w:rPr>
            </w:pPr>
            <w:r>
              <w:rPr>
                <w:color w:val="auto"/>
                <w:sz w:val="24"/>
              </w:rPr>
              <w:t>本项目主要原辅材料消耗情况见表2-4。</w:t>
            </w:r>
          </w:p>
          <w:p w14:paraId="3C5F6588">
            <w:pPr>
              <w:keepNext/>
              <w:adjustRightInd w:val="0"/>
              <w:snapToGrid w:val="0"/>
              <w:jc w:val="center"/>
              <w:rPr>
                <w:b/>
                <w:color w:val="auto"/>
                <w:szCs w:val="21"/>
              </w:rPr>
            </w:pPr>
            <w:r>
              <w:rPr>
                <w:b/>
                <w:color w:val="auto"/>
                <w:sz w:val="24"/>
              </w:rPr>
              <w:t>表2-4 本项目原辅料消耗情况表</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44"/>
              <w:gridCol w:w="684"/>
              <w:gridCol w:w="2458"/>
              <w:gridCol w:w="1003"/>
              <w:gridCol w:w="912"/>
              <w:gridCol w:w="623"/>
              <w:gridCol w:w="842"/>
              <w:gridCol w:w="804"/>
              <w:gridCol w:w="495"/>
            </w:tblGrid>
            <w:tr w14:paraId="12C179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80" w:hRule="atLeast"/>
                <w:jc w:val="center"/>
              </w:trPr>
              <w:tc>
                <w:tcPr>
                  <w:tcW w:w="444" w:type="dxa"/>
                  <w:tcBorders>
                    <w:tl2br w:val="nil"/>
                    <w:tr2bl w:val="nil"/>
                  </w:tcBorders>
                  <w:vAlign w:val="center"/>
                </w:tcPr>
                <w:p w14:paraId="20C224A5">
                  <w:pPr>
                    <w:tabs>
                      <w:tab w:val="left" w:pos="720"/>
                    </w:tabs>
                    <w:adjustRightInd w:val="0"/>
                    <w:snapToGrid w:val="0"/>
                    <w:spacing w:line="240" w:lineRule="exact"/>
                    <w:jc w:val="center"/>
                    <w:rPr>
                      <w:b/>
                      <w:color w:val="auto"/>
                      <w:szCs w:val="21"/>
                    </w:rPr>
                  </w:pPr>
                  <w:r>
                    <w:rPr>
                      <w:b/>
                      <w:color w:val="auto"/>
                      <w:szCs w:val="21"/>
                    </w:rPr>
                    <w:t>序号</w:t>
                  </w:r>
                </w:p>
              </w:tc>
              <w:tc>
                <w:tcPr>
                  <w:tcW w:w="684" w:type="dxa"/>
                  <w:tcBorders>
                    <w:tl2br w:val="nil"/>
                    <w:tr2bl w:val="nil"/>
                  </w:tcBorders>
                  <w:vAlign w:val="center"/>
                </w:tcPr>
                <w:p w14:paraId="1ED36919">
                  <w:pPr>
                    <w:tabs>
                      <w:tab w:val="left" w:pos="720"/>
                    </w:tabs>
                    <w:adjustRightInd w:val="0"/>
                    <w:snapToGrid w:val="0"/>
                    <w:spacing w:line="240" w:lineRule="exact"/>
                    <w:jc w:val="center"/>
                    <w:rPr>
                      <w:b/>
                      <w:color w:val="auto"/>
                      <w:szCs w:val="21"/>
                    </w:rPr>
                  </w:pPr>
                  <w:r>
                    <w:rPr>
                      <w:b/>
                      <w:color w:val="auto"/>
                      <w:szCs w:val="21"/>
                    </w:rPr>
                    <w:t>名称</w:t>
                  </w:r>
                </w:p>
              </w:tc>
              <w:tc>
                <w:tcPr>
                  <w:tcW w:w="2458" w:type="dxa"/>
                  <w:tcBorders>
                    <w:tl2br w:val="nil"/>
                    <w:tr2bl w:val="nil"/>
                  </w:tcBorders>
                  <w:vAlign w:val="center"/>
                </w:tcPr>
                <w:p w14:paraId="5ACC50C5">
                  <w:pPr>
                    <w:tabs>
                      <w:tab w:val="left" w:pos="720"/>
                    </w:tabs>
                    <w:adjustRightInd w:val="0"/>
                    <w:snapToGrid w:val="0"/>
                    <w:spacing w:line="240" w:lineRule="exact"/>
                    <w:jc w:val="center"/>
                    <w:rPr>
                      <w:b/>
                      <w:color w:val="auto"/>
                      <w:szCs w:val="21"/>
                    </w:rPr>
                  </w:pPr>
                  <w:r>
                    <w:rPr>
                      <w:rFonts w:hint="eastAsia"/>
                      <w:b/>
                      <w:color w:val="auto"/>
                      <w:szCs w:val="21"/>
                    </w:rPr>
                    <w:t>重要组分、规格</w:t>
                  </w:r>
                </w:p>
              </w:tc>
              <w:tc>
                <w:tcPr>
                  <w:tcW w:w="1003" w:type="dxa"/>
                  <w:tcBorders>
                    <w:tl2br w:val="nil"/>
                    <w:tr2bl w:val="nil"/>
                  </w:tcBorders>
                  <w:vAlign w:val="center"/>
                </w:tcPr>
                <w:p w14:paraId="6DDA63C7">
                  <w:pPr>
                    <w:tabs>
                      <w:tab w:val="left" w:pos="720"/>
                    </w:tabs>
                    <w:adjustRightInd w:val="0"/>
                    <w:snapToGrid w:val="0"/>
                    <w:spacing w:line="240" w:lineRule="exact"/>
                    <w:jc w:val="center"/>
                    <w:rPr>
                      <w:b/>
                      <w:color w:val="auto"/>
                      <w:szCs w:val="21"/>
                    </w:rPr>
                  </w:pPr>
                  <w:r>
                    <w:rPr>
                      <w:b/>
                      <w:color w:val="auto"/>
                      <w:szCs w:val="21"/>
                    </w:rPr>
                    <w:t>年耗量</w:t>
                  </w:r>
                </w:p>
              </w:tc>
              <w:tc>
                <w:tcPr>
                  <w:tcW w:w="912" w:type="dxa"/>
                  <w:tcBorders>
                    <w:tl2br w:val="nil"/>
                    <w:tr2bl w:val="nil"/>
                  </w:tcBorders>
                  <w:vAlign w:val="center"/>
                </w:tcPr>
                <w:p w14:paraId="411B249F">
                  <w:pPr>
                    <w:tabs>
                      <w:tab w:val="left" w:pos="720"/>
                    </w:tabs>
                    <w:adjustRightInd w:val="0"/>
                    <w:snapToGrid w:val="0"/>
                    <w:spacing w:line="240" w:lineRule="exact"/>
                    <w:jc w:val="center"/>
                    <w:rPr>
                      <w:b/>
                      <w:color w:val="auto"/>
                      <w:szCs w:val="21"/>
                    </w:rPr>
                  </w:pPr>
                  <w:r>
                    <w:rPr>
                      <w:rFonts w:hint="eastAsia"/>
                      <w:b/>
                      <w:color w:val="auto"/>
                      <w:szCs w:val="21"/>
                    </w:rPr>
                    <w:t>单位</w:t>
                  </w:r>
                </w:p>
              </w:tc>
              <w:tc>
                <w:tcPr>
                  <w:tcW w:w="623" w:type="dxa"/>
                  <w:tcBorders>
                    <w:tl2br w:val="nil"/>
                    <w:tr2bl w:val="nil"/>
                  </w:tcBorders>
                  <w:vAlign w:val="center"/>
                </w:tcPr>
                <w:p w14:paraId="6DA09654">
                  <w:pPr>
                    <w:tabs>
                      <w:tab w:val="left" w:pos="720"/>
                    </w:tabs>
                    <w:adjustRightInd w:val="0"/>
                    <w:snapToGrid w:val="0"/>
                    <w:spacing w:line="240" w:lineRule="exact"/>
                    <w:jc w:val="center"/>
                    <w:rPr>
                      <w:b/>
                      <w:color w:val="auto"/>
                      <w:szCs w:val="21"/>
                    </w:rPr>
                  </w:pPr>
                  <w:r>
                    <w:rPr>
                      <w:b/>
                      <w:color w:val="auto"/>
                      <w:szCs w:val="21"/>
                    </w:rPr>
                    <w:t>最大贮存量</w:t>
                  </w:r>
                </w:p>
              </w:tc>
              <w:tc>
                <w:tcPr>
                  <w:tcW w:w="842" w:type="dxa"/>
                  <w:tcBorders>
                    <w:tl2br w:val="nil"/>
                    <w:tr2bl w:val="nil"/>
                  </w:tcBorders>
                  <w:vAlign w:val="center"/>
                </w:tcPr>
                <w:p w14:paraId="2EF20527">
                  <w:pPr>
                    <w:tabs>
                      <w:tab w:val="left" w:pos="720"/>
                    </w:tabs>
                    <w:adjustRightInd w:val="0"/>
                    <w:snapToGrid w:val="0"/>
                    <w:spacing w:line="240" w:lineRule="exact"/>
                    <w:jc w:val="center"/>
                    <w:rPr>
                      <w:b/>
                      <w:color w:val="auto"/>
                      <w:szCs w:val="21"/>
                    </w:rPr>
                  </w:pPr>
                  <w:r>
                    <w:rPr>
                      <w:b/>
                      <w:color w:val="auto"/>
                      <w:szCs w:val="21"/>
                    </w:rPr>
                    <w:t>来源及运输</w:t>
                  </w:r>
                </w:p>
              </w:tc>
              <w:tc>
                <w:tcPr>
                  <w:tcW w:w="804" w:type="dxa"/>
                  <w:tcBorders>
                    <w:tl2br w:val="nil"/>
                    <w:tr2bl w:val="nil"/>
                  </w:tcBorders>
                  <w:vAlign w:val="center"/>
                </w:tcPr>
                <w:p w14:paraId="4EFD5FEF">
                  <w:pPr>
                    <w:tabs>
                      <w:tab w:val="left" w:pos="720"/>
                    </w:tabs>
                    <w:adjustRightInd w:val="0"/>
                    <w:snapToGrid w:val="0"/>
                    <w:spacing w:line="240" w:lineRule="exact"/>
                    <w:jc w:val="center"/>
                    <w:rPr>
                      <w:b/>
                      <w:color w:val="auto"/>
                      <w:szCs w:val="21"/>
                    </w:rPr>
                  </w:pPr>
                  <w:r>
                    <w:rPr>
                      <w:b/>
                      <w:color w:val="auto"/>
                      <w:szCs w:val="21"/>
                    </w:rPr>
                    <w:t>包装</w:t>
                  </w:r>
                  <w:r>
                    <w:rPr>
                      <w:rFonts w:hint="eastAsia"/>
                      <w:b/>
                      <w:color w:val="auto"/>
                      <w:szCs w:val="21"/>
                    </w:rPr>
                    <w:t>及</w:t>
                  </w:r>
                  <w:r>
                    <w:rPr>
                      <w:b/>
                      <w:color w:val="auto"/>
                      <w:szCs w:val="21"/>
                    </w:rPr>
                    <w:t>贮存方式</w:t>
                  </w:r>
                </w:p>
              </w:tc>
              <w:tc>
                <w:tcPr>
                  <w:tcW w:w="495" w:type="dxa"/>
                  <w:tcBorders>
                    <w:tl2br w:val="nil"/>
                    <w:tr2bl w:val="nil"/>
                  </w:tcBorders>
                  <w:vAlign w:val="center"/>
                </w:tcPr>
                <w:p w14:paraId="11DB89A4">
                  <w:pPr>
                    <w:tabs>
                      <w:tab w:val="left" w:pos="720"/>
                    </w:tabs>
                    <w:adjustRightInd w:val="0"/>
                    <w:snapToGrid w:val="0"/>
                    <w:spacing w:line="240" w:lineRule="exact"/>
                    <w:jc w:val="center"/>
                    <w:rPr>
                      <w:b/>
                      <w:color w:val="auto"/>
                      <w:szCs w:val="21"/>
                    </w:rPr>
                  </w:pPr>
                  <w:r>
                    <w:rPr>
                      <w:rFonts w:hint="eastAsia"/>
                      <w:b/>
                      <w:color w:val="auto"/>
                      <w:szCs w:val="21"/>
                    </w:rPr>
                    <w:t>工艺</w:t>
                  </w:r>
                </w:p>
              </w:tc>
            </w:tr>
            <w:tr w14:paraId="41B7B0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3B17A525">
                  <w:pPr>
                    <w:tabs>
                      <w:tab w:val="left" w:pos="720"/>
                    </w:tabs>
                    <w:adjustRightInd w:val="0"/>
                    <w:snapToGrid w:val="0"/>
                    <w:spacing w:line="240" w:lineRule="exact"/>
                    <w:jc w:val="center"/>
                    <w:rPr>
                      <w:color w:val="auto"/>
                      <w:szCs w:val="21"/>
                    </w:rPr>
                  </w:pPr>
                  <w:r>
                    <w:rPr>
                      <w:color w:val="auto"/>
                      <w:szCs w:val="21"/>
                    </w:rPr>
                    <w:t>1</w:t>
                  </w:r>
                </w:p>
              </w:tc>
              <w:tc>
                <w:tcPr>
                  <w:tcW w:w="684" w:type="dxa"/>
                  <w:tcBorders>
                    <w:tl2br w:val="nil"/>
                    <w:tr2bl w:val="nil"/>
                  </w:tcBorders>
                  <w:vAlign w:val="center"/>
                </w:tcPr>
                <w:p w14:paraId="798C911E">
                  <w:pPr>
                    <w:adjustRightInd w:val="0"/>
                    <w:snapToGrid w:val="0"/>
                    <w:spacing w:line="240" w:lineRule="exact"/>
                    <w:jc w:val="center"/>
                    <w:rPr>
                      <w:color w:val="auto"/>
                      <w:szCs w:val="21"/>
                    </w:rPr>
                  </w:pPr>
                  <w:r>
                    <w:rPr>
                      <w:color w:val="auto"/>
                      <w:szCs w:val="21"/>
                    </w:rPr>
                    <w:t>多层板</w:t>
                  </w:r>
                </w:p>
              </w:tc>
              <w:tc>
                <w:tcPr>
                  <w:tcW w:w="2458" w:type="dxa"/>
                  <w:tcBorders>
                    <w:tl2br w:val="nil"/>
                    <w:tr2bl w:val="nil"/>
                  </w:tcBorders>
                  <w:vAlign w:val="center"/>
                </w:tcPr>
                <w:p w14:paraId="7D082445">
                  <w:pPr>
                    <w:adjustRightInd w:val="0"/>
                    <w:snapToGrid w:val="0"/>
                    <w:spacing w:line="240" w:lineRule="exact"/>
                    <w:jc w:val="center"/>
                    <w:rPr>
                      <w:color w:val="auto"/>
                      <w:szCs w:val="21"/>
                    </w:rPr>
                  </w:pPr>
                  <w:r>
                    <w:rPr>
                      <w:color w:val="auto"/>
                      <w:szCs w:val="21"/>
                    </w:rPr>
                    <w:t>复合板</w:t>
                  </w:r>
                  <w:r>
                    <w:rPr>
                      <w:rFonts w:hint="eastAsia"/>
                      <w:color w:val="auto"/>
                      <w:szCs w:val="21"/>
                    </w:rPr>
                    <w:t>，主要规格为1220*2440*9/12/15</w:t>
                  </w:r>
                </w:p>
              </w:tc>
              <w:tc>
                <w:tcPr>
                  <w:tcW w:w="1003" w:type="dxa"/>
                  <w:tcBorders>
                    <w:tl2br w:val="nil"/>
                    <w:tr2bl w:val="nil"/>
                  </w:tcBorders>
                  <w:vAlign w:val="center"/>
                </w:tcPr>
                <w:p w14:paraId="66DAE42B">
                  <w:pPr>
                    <w:tabs>
                      <w:tab w:val="left" w:pos="345"/>
                    </w:tabs>
                    <w:adjustRightInd w:val="0"/>
                    <w:snapToGrid w:val="0"/>
                    <w:jc w:val="center"/>
                    <w:rPr>
                      <w:color w:val="auto"/>
                      <w:szCs w:val="21"/>
                    </w:rPr>
                  </w:pPr>
                  <w:r>
                    <w:rPr>
                      <w:color w:val="auto"/>
                      <w:szCs w:val="21"/>
                    </w:rPr>
                    <w:t>10000</w:t>
                  </w:r>
                </w:p>
              </w:tc>
              <w:tc>
                <w:tcPr>
                  <w:tcW w:w="912" w:type="dxa"/>
                  <w:tcBorders>
                    <w:tl2br w:val="nil"/>
                    <w:tr2bl w:val="nil"/>
                  </w:tcBorders>
                  <w:vAlign w:val="center"/>
                </w:tcPr>
                <w:p w14:paraId="54F5AE92">
                  <w:pPr>
                    <w:tabs>
                      <w:tab w:val="left" w:pos="290"/>
                    </w:tabs>
                    <w:adjustRightInd w:val="0"/>
                    <w:snapToGrid w:val="0"/>
                    <w:jc w:val="center"/>
                    <w:rPr>
                      <w:rStyle w:val="1596"/>
                      <w:color w:val="auto"/>
                      <w:szCs w:val="21"/>
                    </w:rPr>
                  </w:pPr>
                  <w:r>
                    <w:rPr>
                      <w:color w:val="auto"/>
                      <w:szCs w:val="21"/>
                    </w:rPr>
                    <w:t>张</w:t>
                  </w:r>
                </w:p>
              </w:tc>
              <w:tc>
                <w:tcPr>
                  <w:tcW w:w="623" w:type="dxa"/>
                  <w:tcBorders>
                    <w:tl2br w:val="nil"/>
                    <w:tr2bl w:val="nil"/>
                  </w:tcBorders>
                  <w:vAlign w:val="center"/>
                </w:tcPr>
                <w:p w14:paraId="0EE6C82C">
                  <w:pPr>
                    <w:adjustRightInd w:val="0"/>
                    <w:snapToGrid w:val="0"/>
                    <w:jc w:val="center"/>
                    <w:rPr>
                      <w:color w:val="auto"/>
                      <w:szCs w:val="21"/>
                    </w:rPr>
                  </w:pPr>
                  <w:r>
                    <w:rPr>
                      <w:color w:val="auto"/>
                      <w:szCs w:val="21"/>
                    </w:rPr>
                    <w:t>750</w:t>
                  </w:r>
                </w:p>
              </w:tc>
              <w:tc>
                <w:tcPr>
                  <w:tcW w:w="842" w:type="dxa"/>
                  <w:tcBorders>
                    <w:tl2br w:val="nil"/>
                    <w:tr2bl w:val="nil"/>
                  </w:tcBorders>
                  <w:vAlign w:val="center"/>
                </w:tcPr>
                <w:p w14:paraId="193F27FD">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5AB7AE6">
                  <w:pPr>
                    <w:tabs>
                      <w:tab w:val="left" w:pos="720"/>
                    </w:tabs>
                    <w:adjustRightInd w:val="0"/>
                    <w:snapToGrid w:val="0"/>
                    <w:spacing w:line="240" w:lineRule="exact"/>
                    <w:jc w:val="center"/>
                    <w:rPr>
                      <w:color w:val="auto"/>
                      <w:szCs w:val="21"/>
                    </w:rPr>
                  </w:pPr>
                  <w:r>
                    <w:rPr>
                      <w:color w:val="auto"/>
                      <w:szCs w:val="21"/>
                    </w:rPr>
                    <w:t>栈板</w:t>
                  </w:r>
                </w:p>
              </w:tc>
              <w:tc>
                <w:tcPr>
                  <w:tcW w:w="495" w:type="dxa"/>
                  <w:vMerge w:val="restart"/>
                  <w:tcBorders>
                    <w:tl2br w:val="nil"/>
                    <w:tr2bl w:val="nil"/>
                  </w:tcBorders>
                  <w:vAlign w:val="center"/>
                </w:tcPr>
                <w:p w14:paraId="30D7C1E7">
                  <w:pPr>
                    <w:tabs>
                      <w:tab w:val="left" w:pos="720"/>
                    </w:tabs>
                    <w:adjustRightInd w:val="0"/>
                    <w:snapToGrid w:val="0"/>
                    <w:spacing w:line="240" w:lineRule="exact"/>
                    <w:jc w:val="center"/>
                    <w:rPr>
                      <w:color w:val="auto"/>
                      <w:szCs w:val="21"/>
                    </w:rPr>
                  </w:pPr>
                  <w:r>
                    <w:rPr>
                      <w:rFonts w:hint="eastAsia"/>
                      <w:color w:val="auto"/>
                      <w:szCs w:val="21"/>
                    </w:rPr>
                    <w:t>木制组件</w:t>
                  </w:r>
                </w:p>
              </w:tc>
            </w:tr>
            <w:tr w14:paraId="088284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7C5BD12A">
                  <w:pPr>
                    <w:tabs>
                      <w:tab w:val="left" w:pos="720"/>
                    </w:tabs>
                    <w:adjustRightInd w:val="0"/>
                    <w:snapToGrid w:val="0"/>
                    <w:spacing w:line="240" w:lineRule="exact"/>
                    <w:jc w:val="center"/>
                    <w:rPr>
                      <w:color w:val="auto"/>
                      <w:szCs w:val="21"/>
                    </w:rPr>
                  </w:pPr>
                  <w:r>
                    <w:rPr>
                      <w:color w:val="auto"/>
                      <w:szCs w:val="21"/>
                    </w:rPr>
                    <w:t>2</w:t>
                  </w:r>
                </w:p>
              </w:tc>
              <w:tc>
                <w:tcPr>
                  <w:tcW w:w="684" w:type="dxa"/>
                  <w:tcBorders>
                    <w:tl2br w:val="nil"/>
                    <w:tr2bl w:val="nil"/>
                  </w:tcBorders>
                  <w:vAlign w:val="center"/>
                </w:tcPr>
                <w:p w14:paraId="51A11B2B">
                  <w:pPr>
                    <w:adjustRightInd w:val="0"/>
                    <w:snapToGrid w:val="0"/>
                    <w:spacing w:line="240" w:lineRule="exact"/>
                    <w:jc w:val="center"/>
                    <w:rPr>
                      <w:color w:val="auto"/>
                      <w:szCs w:val="21"/>
                    </w:rPr>
                  </w:pPr>
                  <w:r>
                    <w:rPr>
                      <w:color w:val="auto"/>
                      <w:szCs w:val="21"/>
                    </w:rPr>
                    <w:t>密度板</w:t>
                  </w:r>
                </w:p>
              </w:tc>
              <w:tc>
                <w:tcPr>
                  <w:tcW w:w="2458" w:type="dxa"/>
                  <w:tcBorders>
                    <w:tl2br w:val="nil"/>
                    <w:tr2bl w:val="nil"/>
                  </w:tcBorders>
                  <w:vAlign w:val="center"/>
                </w:tcPr>
                <w:p w14:paraId="3283B81A">
                  <w:pPr>
                    <w:adjustRightInd w:val="0"/>
                    <w:snapToGrid w:val="0"/>
                    <w:spacing w:line="240" w:lineRule="exact"/>
                    <w:jc w:val="center"/>
                    <w:rPr>
                      <w:color w:val="auto"/>
                      <w:szCs w:val="21"/>
                    </w:rPr>
                  </w:pPr>
                  <w:r>
                    <w:rPr>
                      <w:color w:val="auto"/>
                      <w:szCs w:val="21"/>
                    </w:rPr>
                    <w:t>木质纤维</w:t>
                  </w:r>
                  <w:r>
                    <w:rPr>
                      <w:rFonts w:hint="eastAsia"/>
                      <w:color w:val="auto"/>
                      <w:szCs w:val="21"/>
                    </w:rPr>
                    <w:t>，主要规格为1220*2440*5/9/12/15/18</w:t>
                  </w:r>
                </w:p>
              </w:tc>
              <w:tc>
                <w:tcPr>
                  <w:tcW w:w="1003" w:type="dxa"/>
                  <w:tcBorders>
                    <w:tl2br w:val="nil"/>
                    <w:tr2bl w:val="nil"/>
                  </w:tcBorders>
                  <w:vAlign w:val="center"/>
                </w:tcPr>
                <w:p w14:paraId="3E98C95B">
                  <w:pPr>
                    <w:tabs>
                      <w:tab w:val="left" w:pos="292"/>
                    </w:tabs>
                    <w:adjustRightInd w:val="0"/>
                    <w:snapToGrid w:val="0"/>
                    <w:jc w:val="center"/>
                    <w:rPr>
                      <w:color w:val="auto"/>
                      <w:szCs w:val="21"/>
                    </w:rPr>
                  </w:pPr>
                  <w:r>
                    <w:rPr>
                      <w:color w:val="auto"/>
                      <w:szCs w:val="21"/>
                    </w:rPr>
                    <w:t>9000</w:t>
                  </w:r>
                </w:p>
              </w:tc>
              <w:tc>
                <w:tcPr>
                  <w:tcW w:w="912" w:type="dxa"/>
                  <w:tcBorders>
                    <w:tl2br w:val="nil"/>
                    <w:tr2bl w:val="nil"/>
                  </w:tcBorders>
                  <w:vAlign w:val="center"/>
                </w:tcPr>
                <w:p w14:paraId="04E3FF40">
                  <w:pPr>
                    <w:adjustRightInd w:val="0"/>
                    <w:snapToGrid w:val="0"/>
                    <w:jc w:val="center"/>
                    <w:rPr>
                      <w:rStyle w:val="1596"/>
                      <w:color w:val="auto"/>
                      <w:szCs w:val="21"/>
                    </w:rPr>
                  </w:pPr>
                  <w:r>
                    <w:rPr>
                      <w:color w:val="auto"/>
                      <w:szCs w:val="21"/>
                    </w:rPr>
                    <w:t>张</w:t>
                  </w:r>
                </w:p>
              </w:tc>
              <w:tc>
                <w:tcPr>
                  <w:tcW w:w="623" w:type="dxa"/>
                  <w:tcBorders>
                    <w:tl2br w:val="nil"/>
                    <w:tr2bl w:val="nil"/>
                  </w:tcBorders>
                  <w:vAlign w:val="center"/>
                </w:tcPr>
                <w:p w14:paraId="56FF3300">
                  <w:pPr>
                    <w:adjustRightInd w:val="0"/>
                    <w:snapToGrid w:val="0"/>
                    <w:jc w:val="center"/>
                    <w:rPr>
                      <w:rStyle w:val="1596"/>
                      <w:color w:val="auto"/>
                      <w:szCs w:val="21"/>
                    </w:rPr>
                  </w:pPr>
                  <w:r>
                    <w:rPr>
                      <w:color w:val="auto"/>
                      <w:szCs w:val="21"/>
                    </w:rPr>
                    <w:t>600</w:t>
                  </w:r>
                </w:p>
              </w:tc>
              <w:tc>
                <w:tcPr>
                  <w:tcW w:w="842" w:type="dxa"/>
                  <w:tcBorders>
                    <w:tl2br w:val="nil"/>
                    <w:tr2bl w:val="nil"/>
                  </w:tcBorders>
                  <w:vAlign w:val="center"/>
                </w:tcPr>
                <w:p w14:paraId="1B6BF5AF">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E938A38">
                  <w:pPr>
                    <w:tabs>
                      <w:tab w:val="left" w:pos="720"/>
                    </w:tabs>
                    <w:adjustRightInd w:val="0"/>
                    <w:snapToGrid w:val="0"/>
                    <w:spacing w:line="240" w:lineRule="exact"/>
                    <w:jc w:val="center"/>
                    <w:rPr>
                      <w:color w:val="auto"/>
                      <w:szCs w:val="21"/>
                    </w:rPr>
                  </w:pPr>
                  <w:r>
                    <w:rPr>
                      <w:color w:val="auto"/>
                      <w:szCs w:val="21"/>
                    </w:rPr>
                    <w:t>栈板</w:t>
                  </w:r>
                </w:p>
              </w:tc>
              <w:tc>
                <w:tcPr>
                  <w:tcW w:w="495" w:type="dxa"/>
                  <w:vMerge w:val="continue"/>
                  <w:tcBorders>
                    <w:tl2br w:val="nil"/>
                    <w:tr2bl w:val="nil"/>
                  </w:tcBorders>
                  <w:vAlign w:val="center"/>
                </w:tcPr>
                <w:p w14:paraId="0611F456">
                  <w:pPr>
                    <w:tabs>
                      <w:tab w:val="left" w:pos="720"/>
                    </w:tabs>
                    <w:adjustRightInd w:val="0"/>
                    <w:snapToGrid w:val="0"/>
                    <w:spacing w:line="240" w:lineRule="exact"/>
                    <w:jc w:val="center"/>
                    <w:rPr>
                      <w:color w:val="auto"/>
                      <w:szCs w:val="21"/>
                    </w:rPr>
                  </w:pPr>
                </w:p>
              </w:tc>
            </w:tr>
            <w:tr w14:paraId="61BCA4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4" w:type="dxa"/>
                  <w:tcBorders>
                    <w:tl2br w:val="nil"/>
                    <w:tr2bl w:val="nil"/>
                  </w:tcBorders>
                  <w:vAlign w:val="center"/>
                </w:tcPr>
                <w:p w14:paraId="01AB1FD5">
                  <w:pPr>
                    <w:tabs>
                      <w:tab w:val="left" w:pos="720"/>
                    </w:tabs>
                    <w:adjustRightInd w:val="0"/>
                    <w:snapToGrid w:val="0"/>
                    <w:spacing w:line="240" w:lineRule="exact"/>
                    <w:jc w:val="center"/>
                    <w:rPr>
                      <w:color w:val="auto"/>
                      <w:szCs w:val="21"/>
                    </w:rPr>
                  </w:pPr>
                  <w:r>
                    <w:rPr>
                      <w:color w:val="auto"/>
                      <w:szCs w:val="21"/>
                    </w:rPr>
                    <w:t>3</w:t>
                  </w:r>
                </w:p>
              </w:tc>
              <w:tc>
                <w:tcPr>
                  <w:tcW w:w="684" w:type="dxa"/>
                  <w:tcBorders>
                    <w:tl2br w:val="nil"/>
                    <w:tr2bl w:val="nil"/>
                  </w:tcBorders>
                  <w:vAlign w:val="center"/>
                </w:tcPr>
                <w:p w14:paraId="6F2FC68F">
                  <w:pPr>
                    <w:adjustRightInd w:val="0"/>
                    <w:snapToGrid w:val="0"/>
                    <w:spacing w:line="240" w:lineRule="exact"/>
                    <w:jc w:val="center"/>
                    <w:rPr>
                      <w:color w:val="auto"/>
                      <w:szCs w:val="21"/>
                    </w:rPr>
                  </w:pPr>
                  <w:r>
                    <w:rPr>
                      <w:color w:val="auto"/>
                      <w:szCs w:val="21"/>
                    </w:rPr>
                    <w:t>封边条</w:t>
                  </w:r>
                </w:p>
              </w:tc>
              <w:tc>
                <w:tcPr>
                  <w:tcW w:w="2458" w:type="dxa"/>
                  <w:tcBorders>
                    <w:tl2br w:val="nil"/>
                    <w:tr2bl w:val="nil"/>
                  </w:tcBorders>
                  <w:vAlign w:val="center"/>
                </w:tcPr>
                <w:p w14:paraId="3F052D9E">
                  <w:pPr>
                    <w:adjustRightInd w:val="0"/>
                    <w:snapToGrid w:val="0"/>
                    <w:spacing w:line="240" w:lineRule="exact"/>
                    <w:jc w:val="center"/>
                    <w:rPr>
                      <w:color w:val="auto"/>
                      <w:szCs w:val="21"/>
                    </w:rPr>
                  </w:pPr>
                  <w:r>
                    <w:rPr>
                      <w:color w:val="auto"/>
                      <w:szCs w:val="21"/>
                    </w:rPr>
                    <w:t>PVC</w:t>
                  </w:r>
                </w:p>
              </w:tc>
              <w:tc>
                <w:tcPr>
                  <w:tcW w:w="1003" w:type="dxa"/>
                  <w:tcBorders>
                    <w:tl2br w:val="nil"/>
                    <w:tr2bl w:val="nil"/>
                  </w:tcBorders>
                  <w:vAlign w:val="center"/>
                </w:tcPr>
                <w:p w14:paraId="64A86D5B">
                  <w:pPr>
                    <w:tabs>
                      <w:tab w:val="left" w:pos="323"/>
                    </w:tabs>
                    <w:adjustRightInd w:val="0"/>
                    <w:snapToGrid w:val="0"/>
                    <w:jc w:val="center"/>
                    <w:rPr>
                      <w:color w:val="auto"/>
                      <w:szCs w:val="21"/>
                    </w:rPr>
                  </w:pPr>
                  <w:r>
                    <w:rPr>
                      <w:color w:val="auto"/>
                      <w:szCs w:val="21"/>
                    </w:rPr>
                    <w:t>15000</w:t>
                  </w:r>
                </w:p>
              </w:tc>
              <w:tc>
                <w:tcPr>
                  <w:tcW w:w="912" w:type="dxa"/>
                  <w:tcBorders>
                    <w:tl2br w:val="nil"/>
                    <w:tr2bl w:val="nil"/>
                  </w:tcBorders>
                  <w:vAlign w:val="center"/>
                </w:tcPr>
                <w:p w14:paraId="5BCD7897">
                  <w:pPr>
                    <w:adjustRightInd w:val="0"/>
                    <w:snapToGrid w:val="0"/>
                    <w:jc w:val="center"/>
                    <w:rPr>
                      <w:rStyle w:val="1596"/>
                      <w:color w:val="auto"/>
                      <w:szCs w:val="21"/>
                    </w:rPr>
                  </w:pPr>
                  <w:r>
                    <w:rPr>
                      <w:color w:val="auto"/>
                      <w:szCs w:val="21"/>
                    </w:rPr>
                    <w:t>米</w:t>
                  </w:r>
                </w:p>
              </w:tc>
              <w:tc>
                <w:tcPr>
                  <w:tcW w:w="623" w:type="dxa"/>
                  <w:tcBorders>
                    <w:tl2br w:val="nil"/>
                    <w:tr2bl w:val="nil"/>
                  </w:tcBorders>
                  <w:vAlign w:val="center"/>
                </w:tcPr>
                <w:p w14:paraId="34F8311D">
                  <w:pPr>
                    <w:adjustRightInd w:val="0"/>
                    <w:snapToGrid w:val="0"/>
                    <w:jc w:val="center"/>
                    <w:rPr>
                      <w:rStyle w:val="1596"/>
                      <w:color w:val="auto"/>
                      <w:szCs w:val="21"/>
                    </w:rPr>
                  </w:pPr>
                  <w:r>
                    <w:rPr>
                      <w:color w:val="auto"/>
                      <w:szCs w:val="21"/>
                    </w:rPr>
                    <w:t>5000</w:t>
                  </w:r>
                </w:p>
              </w:tc>
              <w:tc>
                <w:tcPr>
                  <w:tcW w:w="842" w:type="dxa"/>
                  <w:tcBorders>
                    <w:tl2br w:val="nil"/>
                    <w:tr2bl w:val="nil"/>
                  </w:tcBorders>
                  <w:vAlign w:val="center"/>
                </w:tcPr>
                <w:p w14:paraId="63C50DA1">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6C8A1CAC">
                  <w:pPr>
                    <w:tabs>
                      <w:tab w:val="left" w:pos="720"/>
                    </w:tabs>
                    <w:adjustRightInd w:val="0"/>
                    <w:snapToGrid w:val="0"/>
                    <w:spacing w:line="240" w:lineRule="exact"/>
                    <w:jc w:val="center"/>
                    <w:rPr>
                      <w:color w:val="auto"/>
                      <w:szCs w:val="21"/>
                    </w:rPr>
                  </w:pPr>
                  <w:r>
                    <w:rPr>
                      <w:color w:val="auto"/>
                      <w:szCs w:val="21"/>
                    </w:rPr>
                    <w:t>纸箱</w:t>
                  </w:r>
                </w:p>
              </w:tc>
              <w:tc>
                <w:tcPr>
                  <w:tcW w:w="495" w:type="dxa"/>
                  <w:vMerge w:val="continue"/>
                  <w:tcBorders>
                    <w:tl2br w:val="nil"/>
                    <w:tr2bl w:val="nil"/>
                  </w:tcBorders>
                  <w:vAlign w:val="center"/>
                </w:tcPr>
                <w:p w14:paraId="26C51FFB">
                  <w:pPr>
                    <w:tabs>
                      <w:tab w:val="left" w:pos="720"/>
                    </w:tabs>
                    <w:adjustRightInd w:val="0"/>
                    <w:snapToGrid w:val="0"/>
                    <w:spacing w:line="240" w:lineRule="exact"/>
                    <w:jc w:val="center"/>
                    <w:rPr>
                      <w:color w:val="auto"/>
                      <w:szCs w:val="21"/>
                    </w:rPr>
                  </w:pPr>
                </w:p>
              </w:tc>
            </w:tr>
            <w:tr w14:paraId="57269D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3FF9EFAB">
                  <w:pPr>
                    <w:tabs>
                      <w:tab w:val="left" w:pos="720"/>
                    </w:tabs>
                    <w:adjustRightInd w:val="0"/>
                    <w:snapToGrid w:val="0"/>
                    <w:spacing w:line="240" w:lineRule="exact"/>
                    <w:jc w:val="center"/>
                    <w:rPr>
                      <w:color w:val="auto"/>
                      <w:szCs w:val="21"/>
                    </w:rPr>
                  </w:pPr>
                  <w:r>
                    <w:rPr>
                      <w:color w:val="auto"/>
                      <w:szCs w:val="21"/>
                    </w:rPr>
                    <w:t>4</w:t>
                  </w:r>
                </w:p>
              </w:tc>
              <w:tc>
                <w:tcPr>
                  <w:tcW w:w="684" w:type="dxa"/>
                  <w:tcBorders>
                    <w:tl2br w:val="nil"/>
                    <w:tr2bl w:val="nil"/>
                  </w:tcBorders>
                  <w:vAlign w:val="center"/>
                </w:tcPr>
                <w:p w14:paraId="2123A85A">
                  <w:pPr>
                    <w:adjustRightInd w:val="0"/>
                    <w:snapToGrid w:val="0"/>
                    <w:spacing w:line="240" w:lineRule="exact"/>
                    <w:jc w:val="center"/>
                    <w:rPr>
                      <w:color w:val="auto"/>
                      <w:szCs w:val="21"/>
                    </w:rPr>
                  </w:pPr>
                  <w:r>
                    <w:rPr>
                      <w:color w:val="auto"/>
                      <w:szCs w:val="21"/>
                    </w:rPr>
                    <w:t>封边胶</w:t>
                  </w:r>
                </w:p>
              </w:tc>
              <w:tc>
                <w:tcPr>
                  <w:tcW w:w="2458" w:type="dxa"/>
                  <w:tcBorders>
                    <w:tl2br w:val="nil"/>
                    <w:tr2bl w:val="nil"/>
                  </w:tcBorders>
                  <w:vAlign w:val="center"/>
                </w:tcPr>
                <w:p w14:paraId="3A264BB3">
                  <w:pPr>
                    <w:adjustRightInd w:val="0"/>
                    <w:snapToGrid w:val="0"/>
                    <w:spacing w:line="240" w:lineRule="exact"/>
                    <w:jc w:val="center"/>
                    <w:rPr>
                      <w:color w:val="auto"/>
                      <w:szCs w:val="21"/>
                    </w:rPr>
                  </w:pPr>
                  <w:r>
                    <w:rPr>
                      <w:rFonts w:hint="eastAsia"/>
                      <w:color w:val="auto"/>
                      <w:szCs w:val="21"/>
                      <w:lang w:eastAsia="zh-CN"/>
                    </w:rPr>
                    <w:t>15.</w:t>
                  </w:r>
                  <w:r>
                    <w:rPr>
                      <w:rFonts w:hint="eastAsia"/>
                      <w:color w:val="auto"/>
                      <w:szCs w:val="21"/>
                    </w:rPr>
                    <w:t>二苯基甲烷二异氰酸酯、45%聚醚多元醇、40%聚酯多元醇</w:t>
                  </w:r>
                </w:p>
              </w:tc>
              <w:tc>
                <w:tcPr>
                  <w:tcW w:w="1003" w:type="dxa"/>
                  <w:tcBorders>
                    <w:tl2br w:val="nil"/>
                    <w:tr2bl w:val="nil"/>
                  </w:tcBorders>
                  <w:vAlign w:val="center"/>
                </w:tcPr>
                <w:p w14:paraId="78219445">
                  <w:pPr>
                    <w:tabs>
                      <w:tab w:val="left" w:pos="281"/>
                    </w:tabs>
                    <w:adjustRightInd w:val="0"/>
                    <w:snapToGrid w:val="0"/>
                    <w:jc w:val="center"/>
                    <w:rPr>
                      <w:color w:val="auto"/>
                      <w:szCs w:val="21"/>
                    </w:rPr>
                  </w:pPr>
                  <w:r>
                    <w:rPr>
                      <w:color w:val="auto"/>
                      <w:szCs w:val="21"/>
                    </w:rPr>
                    <w:t>1</w:t>
                  </w:r>
                  <w:r>
                    <w:rPr>
                      <w:rFonts w:hint="eastAsia"/>
                      <w:color w:val="auto"/>
                      <w:szCs w:val="21"/>
                    </w:rPr>
                    <w:t>25</w:t>
                  </w:r>
                </w:p>
              </w:tc>
              <w:tc>
                <w:tcPr>
                  <w:tcW w:w="912" w:type="dxa"/>
                  <w:tcBorders>
                    <w:tl2br w:val="nil"/>
                    <w:tr2bl w:val="nil"/>
                  </w:tcBorders>
                  <w:vAlign w:val="center"/>
                </w:tcPr>
                <w:p w14:paraId="5F280D8F">
                  <w:pPr>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280FF743">
                  <w:pPr>
                    <w:adjustRightInd w:val="0"/>
                    <w:snapToGrid w:val="0"/>
                    <w:jc w:val="center"/>
                    <w:rPr>
                      <w:rStyle w:val="1596"/>
                      <w:color w:val="auto"/>
                      <w:szCs w:val="21"/>
                    </w:rPr>
                  </w:pPr>
                  <w:r>
                    <w:rPr>
                      <w:rFonts w:hint="eastAsia"/>
                      <w:color w:val="auto"/>
                      <w:szCs w:val="21"/>
                    </w:rPr>
                    <w:t>25</w:t>
                  </w:r>
                </w:p>
              </w:tc>
              <w:tc>
                <w:tcPr>
                  <w:tcW w:w="842" w:type="dxa"/>
                  <w:tcBorders>
                    <w:tl2br w:val="nil"/>
                    <w:tr2bl w:val="nil"/>
                  </w:tcBorders>
                  <w:vAlign w:val="center"/>
                </w:tcPr>
                <w:p w14:paraId="4CFFF2F1">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202C6DF3">
                  <w:pPr>
                    <w:tabs>
                      <w:tab w:val="left" w:pos="720"/>
                    </w:tabs>
                    <w:adjustRightInd w:val="0"/>
                    <w:snapToGrid w:val="0"/>
                    <w:spacing w:line="240" w:lineRule="exact"/>
                    <w:jc w:val="center"/>
                    <w:rPr>
                      <w:color w:val="auto"/>
                      <w:szCs w:val="21"/>
                    </w:rPr>
                  </w:pPr>
                  <w:r>
                    <w:rPr>
                      <w:color w:val="auto"/>
                      <w:szCs w:val="21"/>
                    </w:rPr>
                    <w:t>纸箱</w:t>
                  </w:r>
                </w:p>
              </w:tc>
              <w:tc>
                <w:tcPr>
                  <w:tcW w:w="495" w:type="dxa"/>
                  <w:vMerge w:val="continue"/>
                  <w:tcBorders>
                    <w:tl2br w:val="nil"/>
                    <w:tr2bl w:val="nil"/>
                  </w:tcBorders>
                  <w:vAlign w:val="center"/>
                </w:tcPr>
                <w:p w14:paraId="71769907">
                  <w:pPr>
                    <w:tabs>
                      <w:tab w:val="left" w:pos="720"/>
                    </w:tabs>
                    <w:adjustRightInd w:val="0"/>
                    <w:snapToGrid w:val="0"/>
                    <w:spacing w:line="240" w:lineRule="exact"/>
                    <w:jc w:val="center"/>
                    <w:rPr>
                      <w:color w:val="auto"/>
                      <w:szCs w:val="21"/>
                    </w:rPr>
                  </w:pPr>
                </w:p>
              </w:tc>
            </w:tr>
            <w:tr w14:paraId="1CE2B9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0DBC325F">
                  <w:pPr>
                    <w:tabs>
                      <w:tab w:val="left" w:pos="720"/>
                    </w:tabs>
                    <w:adjustRightInd w:val="0"/>
                    <w:snapToGrid w:val="0"/>
                    <w:spacing w:line="240" w:lineRule="exact"/>
                    <w:jc w:val="center"/>
                    <w:rPr>
                      <w:color w:val="auto"/>
                      <w:szCs w:val="21"/>
                    </w:rPr>
                  </w:pPr>
                  <w:r>
                    <w:rPr>
                      <w:color w:val="auto"/>
                      <w:szCs w:val="21"/>
                    </w:rPr>
                    <w:t>5</w:t>
                  </w:r>
                </w:p>
              </w:tc>
              <w:tc>
                <w:tcPr>
                  <w:tcW w:w="684" w:type="dxa"/>
                  <w:tcBorders>
                    <w:tl2br w:val="nil"/>
                    <w:tr2bl w:val="nil"/>
                  </w:tcBorders>
                  <w:vAlign w:val="center"/>
                </w:tcPr>
                <w:p w14:paraId="219E6167">
                  <w:pPr>
                    <w:adjustRightInd w:val="0"/>
                    <w:snapToGrid w:val="0"/>
                    <w:spacing w:line="240" w:lineRule="exact"/>
                    <w:jc w:val="center"/>
                    <w:rPr>
                      <w:color w:val="auto"/>
                      <w:szCs w:val="21"/>
                    </w:rPr>
                  </w:pPr>
                  <w:r>
                    <w:rPr>
                      <w:color w:val="auto"/>
                      <w:szCs w:val="21"/>
                    </w:rPr>
                    <w:t>白乳胶</w:t>
                  </w:r>
                </w:p>
              </w:tc>
              <w:tc>
                <w:tcPr>
                  <w:tcW w:w="2458" w:type="dxa"/>
                  <w:tcBorders>
                    <w:tl2br w:val="nil"/>
                    <w:tr2bl w:val="nil"/>
                  </w:tcBorders>
                  <w:vAlign w:val="center"/>
                </w:tcPr>
                <w:p w14:paraId="720782EC">
                  <w:pPr>
                    <w:adjustRightInd w:val="0"/>
                    <w:snapToGrid w:val="0"/>
                    <w:spacing w:line="240" w:lineRule="exact"/>
                    <w:jc w:val="center"/>
                    <w:rPr>
                      <w:color w:val="auto"/>
                      <w:szCs w:val="21"/>
                    </w:rPr>
                  </w:pPr>
                  <w:r>
                    <w:rPr>
                      <w:rFonts w:hint="eastAsia"/>
                      <w:color w:val="auto"/>
                      <w:szCs w:val="21"/>
                    </w:rPr>
                    <w:t>由68%聚醋酸乙烯乳液、22%乙烯醋酸乙烯乳液、10%聚乙烯醇组成，是一种常用</w:t>
                  </w:r>
                  <w:r>
                    <w:rPr>
                      <w:rFonts w:hint="eastAsia"/>
                      <w:color w:val="auto"/>
                      <w:szCs w:val="21"/>
                      <w:lang w:eastAsia="zh-CN"/>
                    </w:rPr>
                    <w:t>的黏合剂</w:t>
                  </w:r>
                  <w:r>
                    <w:rPr>
                      <w:rFonts w:hint="eastAsia"/>
                      <w:color w:val="auto"/>
                      <w:szCs w:val="21"/>
                    </w:rPr>
                    <w:t>，外观为乳白色液体</w:t>
                  </w:r>
                </w:p>
              </w:tc>
              <w:tc>
                <w:tcPr>
                  <w:tcW w:w="1003" w:type="dxa"/>
                  <w:tcBorders>
                    <w:tl2br w:val="nil"/>
                    <w:tr2bl w:val="nil"/>
                  </w:tcBorders>
                  <w:vAlign w:val="center"/>
                </w:tcPr>
                <w:p w14:paraId="64C63666">
                  <w:pPr>
                    <w:tabs>
                      <w:tab w:val="left" w:pos="238"/>
                    </w:tabs>
                    <w:adjustRightInd w:val="0"/>
                    <w:snapToGrid w:val="0"/>
                    <w:jc w:val="center"/>
                    <w:rPr>
                      <w:color w:val="auto"/>
                      <w:szCs w:val="21"/>
                    </w:rPr>
                  </w:pPr>
                  <w:r>
                    <w:rPr>
                      <w:rFonts w:hint="eastAsia"/>
                      <w:color w:val="auto"/>
                      <w:szCs w:val="21"/>
                    </w:rPr>
                    <w:t>2300</w:t>
                  </w:r>
                </w:p>
              </w:tc>
              <w:tc>
                <w:tcPr>
                  <w:tcW w:w="912" w:type="dxa"/>
                  <w:tcBorders>
                    <w:tl2br w:val="nil"/>
                    <w:tr2bl w:val="nil"/>
                  </w:tcBorders>
                  <w:vAlign w:val="center"/>
                </w:tcPr>
                <w:p w14:paraId="4B185C71">
                  <w:pPr>
                    <w:tabs>
                      <w:tab w:val="left" w:pos="216"/>
                    </w:tabs>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124ED65F">
                  <w:pPr>
                    <w:adjustRightInd w:val="0"/>
                    <w:snapToGrid w:val="0"/>
                    <w:jc w:val="center"/>
                    <w:rPr>
                      <w:rStyle w:val="1596"/>
                      <w:color w:val="auto"/>
                      <w:szCs w:val="21"/>
                    </w:rPr>
                  </w:pPr>
                  <w:r>
                    <w:rPr>
                      <w:rFonts w:hint="eastAsia"/>
                      <w:color w:val="auto"/>
                      <w:szCs w:val="21"/>
                    </w:rPr>
                    <w:t>400</w:t>
                  </w:r>
                </w:p>
              </w:tc>
              <w:tc>
                <w:tcPr>
                  <w:tcW w:w="842" w:type="dxa"/>
                  <w:tcBorders>
                    <w:tl2br w:val="nil"/>
                    <w:tr2bl w:val="nil"/>
                  </w:tcBorders>
                  <w:vAlign w:val="center"/>
                </w:tcPr>
                <w:p w14:paraId="2DF675B1">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1DAF9420">
                  <w:pPr>
                    <w:tabs>
                      <w:tab w:val="left" w:pos="720"/>
                    </w:tabs>
                    <w:adjustRightInd w:val="0"/>
                    <w:snapToGrid w:val="0"/>
                    <w:spacing w:line="240" w:lineRule="exact"/>
                    <w:jc w:val="center"/>
                    <w:rPr>
                      <w:color w:val="auto"/>
                      <w:szCs w:val="21"/>
                    </w:rPr>
                  </w:pPr>
                  <w:r>
                    <w:rPr>
                      <w:color w:val="auto"/>
                      <w:szCs w:val="21"/>
                    </w:rPr>
                    <w:t>桶装</w:t>
                  </w:r>
                </w:p>
              </w:tc>
              <w:tc>
                <w:tcPr>
                  <w:tcW w:w="495" w:type="dxa"/>
                  <w:vMerge w:val="continue"/>
                  <w:tcBorders>
                    <w:tl2br w:val="nil"/>
                    <w:tr2bl w:val="nil"/>
                  </w:tcBorders>
                  <w:vAlign w:val="center"/>
                </w:tcPr>
                <w:p w14:paraId="6DDA23FE">
                  <w:pPr>
                    <w:tabs>
                      <w:tab w:val="left" w:pos="720"/>
                    </w:tabs>
                    <w:adjustRightInd w:val="0"/>
                    <w:snapToGrid w:val="0"/>
                    <w:spacing w:line="240" w:lineRule="exact"/>
                    <w:jc w:val="center"/>
                    <w:rPr>
                      <w:color w:val="auto"/>
                      <w:szCs w:val="21"/>
                    </w:rPr>
                  </w:pPr>
                </w:p>
              </w:tc>
            </w:tr>
            <w:tr w14:paraId="1610EF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2996AEA6">
                  <w:pPr>
                    <w:tabs>
                      <w:tab w:val="left" w:pos="720"/>
                    </w:tabs>
                    <w:adjustRightInd w:val="0"/>
                    <w:snapToGrid w:val="0"/>
                    <w:spacing w:line="240" w:lineRule="exact"/>
                    <w:jc w:val="center"/>
                    <w:rPr>
                      <w:color w:val="auto"/>
                      <w:szCs w:val="21"/>
                    </w:rPr>
                  </w:pPr>
                  <w:r>
                    <w:rPr>
                      <w:color w:val="auto"/>
                      <w:szCs w:val="21"/>
                    </w:rPr>
                    <w:t>6</w:t>
                  </w:r>
                </w:p>
              </w:tc>
              <w:tc>
                <w:tcPr>
                  <w:tcW w:w="684" w:type="dxa"/>
                  <w:tcBorders>
                    <w:tl2br w:val="nil"/>
                    <w:tr2bl w:val="nil"/>
                  </w:tcBorders>
                  <w:vAlign w:val="center"/>
                </w:tcPr>
                <w:p w14:paraId="35B3E6B3">
                  <w:pPr>
                    <w:adjustRightInd w:val="0"/>
                    <w:snapToGrid w:val="0"/>
                    <w:spacing w:line="240" w:lineRule="exact"/>
                    <w:jc w:val="center"/>
                    <w:rPr>
                      <w:color w:val="auto"/>
                      <w:szCs w:val="21"/>
                    </w:rPr>
                  </w:pPr>
                  <w:r>
                    <w:rPr>
                      <w:rFonts w:hint="eastAsia"/>
                      <w:color w:val="auto"/>
                      <w:szCs w:val="21"/>
                    </w:rPr>
                    <w:t>水性</w:t>
                  </w:r>
                  <w:r>
                    <w:rPr>
                      <w:color w:val="auto"/>
                      <w:szCs w:val="21"/>
                    </w:rPr>
                    <w:t>漆</w:t>
                  </w:r>
                </w:p>
              </w:tc>
              <w:tc>
                <w:tcPr>
                  <w:tcW w:w="2458" w:type="dxa"/>
                  <w:tcBorders>
                    <w:tl2br w:val="nil"/>
                    <w:tr2bl w:val="nil"/>
                  </w:tcBorders>
                  <w:vAlign w:val="center"/>
                </w:tcPr>
                <w:p w14:paraId="08A47207">
                  <w:pPr>
                    <w:adjustRightInd w:val="0"/>
                    <w:snapToGrid w:val="0"/>
                    <w:spacing w:line="240" w:lineRule="exact"/>
                    <w:jc w:val="center"/>
                    <w:rPr>
                      <w:color w:val="auto"/>
                      <w:szCs w:val="21"/>
                    </w:rPr>
                  </w:pPr>
                  <w:r>
                    <w:rPr>
                      <w:color w:val="auto"/>
                      <w:szCs w:val="21"/>
                    </w:rPr>
                    <w:t>由</w:t>
                  </w:r>
                  <w:r>
                    <w:rPr>
                      <w:rFonts w:hint="eastAsia"/>
                      <w:color w:val="auto"/>
                      <w:szCs w:val="21"/>
                    </w:rPr>
                    <w:t>60</w:t>
                  </w:r>
                  <w:r>
                    <w:rPr>
                      <w:color w:val="auto"/>
                      <w:szCs w:val="21"/>
                    </w:rPr>
                    <w:t>%水溶性丙烯酸乳液、</w:t>
                  </w:r>
                  <w:r>
                    <w:rPr>
                      <w:rFonts w:hint="eastAsia"/>
                      <w:color w:val="auto"/>
                      <w:szCs w:val="21"/>
                    </w:rPr>
                    <w:t>25</w:t>
                  </w:r>
                  <w:r>
                    <w:rPr>
                      <w:color w:val="auto"/>
                      <w:szCs w:val="21"/>
                    </w:rPr>
                    <w:t>%钛白粉、</w:t>
                  </w:r>
                  <w:r>
                    <w:rPr>
                      <w:rFonts w:hint="eastAsia"/>
                      <w:color w:val="auto"/>
                      <w:szCs w:val="21"/>
                    </w:rPr>
                    <w:t>10</w:t>
                  </w:r>
                  <w:r>
                    <w:rPr>
                      <w:color w:val="auto"/>
                      <w:szCs w:val="21"/>
                    </w:rPr>
                    <w:t>%纯水、</w:t>
                  </w:r>
                  <w:r>
                    <w:rPr>
                      <w:rFonts w:hint="eastAsia"/>
                      <w:color w:val="auto"/>
                      <w:szCs w:val="21"/>
                    </w:rPr>
                    <w:t>5</w:t>
                  </w:r>
                  <w:r>
                    <w:rPr>
                      <w:color w:val="auto"/>
                      <w:szCs w:val="21"/>
                    </w:rPr>
                    <w:t>%助剂组成</w:t>
                  </w:r>
                </w:p>
              </w:tc>
              <w:tc>
                <w:tcPr>
                  <w:tcW w:w="1003" w:type="dxa"/>
                  <w:tcBorders>
                    <w:tl2br w:val="nil"/>
                    <w:tr2bl w:val="nil"/>
                  </w:tcBorders>
                  <w:vAlign w:val="center"/>
                </w:tcPr>
                <w:p w14:paraId="2765728A">
                  <w:pPr>
                    <w:adjustRightInd w:val="0"/>
                    <w:snapToGrid w:val="0"/>
                    <w:jc w:val="center"/>
                    <w:rPr>
                      <w:color w:val="auto"/>
                      <w:szCs w:val="21"/>
                    </w:rPr>
                  </w:pPr>
                  <w:r>
                    <w:rPr>
                      <w:rFonts w:hint="eastAsia"/>
                      <w:color w:val="auto"/>
                      <w:szCs w:val="21"/>
                    </w:rPr>
                    <w:t>0.4</w:t>
                  </w:r>
                </w:p>
              </w:tc>
              <w:tc>
                <w:tcPr>
                  <w:tcW w:w="912" w:type="dxa"/>
                  <w:tcBorders>
                    <w:tl2br w:val="nil"/>
                    <w:tr2bl w:val="nil"/>
                  </w:tcBorders>
                  <w:vAlign w:val="center"/>
                </w:tcPr>
                <w:p w14:paraId="41B00CED">
                  <w:pPr>
                    <w:tabs>
                      <w:tab w:val="left" w:pos="206"/>
                    </w:tabs>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6A95A4E3">
                  <w:pPr>
                    <w:adjustRightInd w:val="0"/>
                    <w:snapToGrid w:val="0"/>
                    <w:jc w:val="center"/>
                    <w:rPr>
                      <w:rStyle w:val="1596"/>
                      <w:color w:val="auto"/>
                      <w:szCs w:val="21"/>
                    </w:rPr>
                  </w:pPr>
                  <w:r>
                    <w:rPr>
                      <w:rFonts w:hint="eastAsia"/>
                      <w:color w:val="auto"/>
                      <w:szCs w:val="21"/>
                    </w:rPr>
                    <w:t>0.1</w:t>
                  </w:r>
                </w:p>
              </w:tc>
              <w:tc>
                <w:tcPr>
                  <w:tcW w:w="842" w:type="dxa"/>
                  <w:tcBorders>
                    <w:tl2br w:val="nil"/>
                    <w:tr2bl w:val="nil"/>
                  </w:tcBorders>
                  <w:vAlign w:val="center"/>
                </w:tcPr>
                <w:p w14:paraId="63922F1C">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564B6CD">
                  <w:pPr>
                    <w:tabs>
                      <w:tab w:val="left" w:pos="720"/>
                    </w:tabs>
                    <w:adjustRightInd w:val="0"/>
                    <w:snapToGrid w:val="0"/>
                    <w:spacing w:line="240" w:lineRule="exact"/>
                    <w:jc w:val="center"/>
                    <w:rPr>
                      <w:color w:val="auto"/>
                      <w:szCs w:val="21"/>
                    </w:rPr>
                  </w:pPr>
                  <w:r>
                    <w:rPr>
                      <w:color w:val="auto"/>
                      <w:szCs w:val="21"/>
                    </w:rPr>
                    <w:t>桶装</w:t>
                  </w:r>
                </w:p>
              </w:tc>
              <w:tc>
                <w:tcPr>
                  <w:tcW w:w="495" w:type="dxa"/>
                  <w:vMerge w:val="continue"/>
                  <w:tcBorders>
                    <w:tl2br w:val="nil"/>
                    <w:tr2bl w:val="nil"/>
                  </w:tcBorders>
                  <w:vAlign w:val="center"/>
                </w:tcPr>
                <w:p w14:paraId="31A10090">
                  <w:pPr>
                    <w:tabs>
                      <w:tab w:val="left" w:pos="720"/>
                    </w:tabs>
                    <w:adjustRightInd w:val="0"/>
                    <w:snapToGrid w:val="0"/>
                    <w:spacing w:line="240" w:lineRule="exact"/>
                    <w:jc w:val="center"/>
                    <w:rPr>
                      <w:color w:val="auto"/>
                      <w:szCs w:val="21"/>
                    </w:rPr>
                  </w:pPr>
                </w:p>
              </w:tc>
            </w:tr>
            <w:tr w14:paraId="62C31E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5705D0BC">
                  <w:pPr>
                    <w:tabs>
                      <w:tab w:val="left" w:pos="720"/>
                    </w:tabs>
                    <w:adjustRightInd w:val="0"/>
                    <w:snapToGrid w:val="0"/>
                    <w:spacing w:line="240" w:lineRule="exact"/>
                    <w:jc w:val="center"/>
                    <w:rPr>
                      <w:color w:val="auto"/>
                      <w:szCs w:val="21"/>
                    </w:rPr>
                  </w:pPr>
                  <w:r>
                    <w:rPr>
                      <w:color w:val="auto"/>
                      <w:szCs w:val="21"/>
                    </w:rPr>
                    <w:t>7</w:t>
                  </w:r>
                </w:p>
              </w:tc>
              <w:tc>
                <w:tcPr>
                  <w:tcW w:w="684" w:type="dxa"/>
                  <w:tcBorders>
                    <w:tl2br w:val="nil"/>
                    <w:tr2bl w:val="nil"/>
                  </w:tcBorders>
                  <w:vAlign w:val="center"/>
                </w:tcPr>
                <w:p w14:paraId="76DB9B14">
                  <w:pPr>
                    <w:adjustRightInd w:val="0"/>
                    <w:snapToGrid w:val="0"/>
                    <w:spacing w:line="240" w:lineRule="exact"/>
                    <w:jc w:val="center"/>
                    <w:rPr>
                      <w:color w:val="auto"/>
                      <w:szCs w:val="21"/>
                    </w:rPr>
                  </w:pPr>
                  <w:r>
                    <w:rPr>
                      <w:rFonts w:hint="eastAsia"/>
                      <w:color w:val="auto"/>
                      <w:szCs w:val="21"/>
                    </w:rPr>
                    <w:t>油性</w:t>
                  </w:r>
                  <w:r>
                    <w:rPr>
                      <w:color w:val="auto"/>
                      <w:szCs w:val="21"/>
                    </w:rPr>
                    <w:t>漆</w:t>
                  </w:r>
                </w:p>
              </w:tc>
              <w:tc>
                <w:tcPr>
                  <w:tcW w:w="2458" w:type="dxa"/>
                  <w:tcBorders>
                    <w:tl2br w:val="nil"/>
                    <w:tr2bl w:val="nil"/>
                  </w:tcBorders>
                  <w:vAlign w:val="center"/>
                </w:tcPr>
                <w:p w14:paraId="7C7332AB">
                  <w:pPr>
                    <w:adjustRightInd w:val="0"/>
                    <w:snapToGrid w:val="0"/>
                    <w:spacing w:line="240" w:lineRule="exact"/>
                    <w:jc w:val="center"/>
                    <w:rPr>
                      <w:color w:val="auto"/>
                      <w:szCs w:val="21"/>
                    </w:rPr>
                  </w:pPr>
                  <w:r>
                    <w:rPr>
                      <w:rFonts w:hint="eastAsia"/>
                      <w:color w:val="auto"/>
                      <w:szCs w:val="21"/>
                    </w:rPr>
                    <w:t>由75%醇酸树脂、16%滑石粉、8%醋酸丁酯、0.5%消泡剂、0.5%流平剂组成</w:t>
                  </w:r>
                </w:p>
              </w:tc>
              <w:tc>
                <w:tcPr>
                  <w:tcW w:w="1003" w:type="dxa"/>
                  <w:tcBorders>
                    <w:tl2br w:val="nil"/>
                    <w:tr2bl w:val="nil"/>
                  </w:tcBorders>
                  <w:vAlign w:val="center"/>
                </w:tcPr>
                <w:p w14:paraId="41A53F4C">
                  <w:pPr>
                    <w:tabs>
                      <w:tab w:val="left" w:pos="260"/>
                    </w:tabs>
                    <w:adjustRightInd w:val="0"/>
                    <w:snapToGrid w:val="0"/>
                    <w:jc w:val="center"/>
                    <w:rPr>
                      <w:color w:val="auto"/>
                      <w:szCs w:val="21"/>
                    </w:rPr>
                  </w:pPr>
                  <w:r>
                    <w:rPr>
                      <w:rFonts w:hint="eastAsia"/>
                      <w:color w:val="auto"/>
                      <w:szCs w:val="21"/>
                    </w:rPr>
                    <w:t>2.8</w:t>
                  </w:r>
                </w:p>
              </w:tc>
              <w:tc>
                <w:tcPr>
                  <w:tcW w:w="912" w:type="dxa"/>
                  <w:tcBorders>
                    <w:tl2br w:val="nil"/>
                    <w:tr2bl w:val="nil"/>
                  </w:tcBorders>
                  <w:vAlign w:val="center"/>
                </w:tcPr>
                <w:p w14:paraId="65F08603">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10ED5EFE">
                  <w:pPr>
                    <w:adjustRightInd w:val="0"/>
                    <w:snapToGrid w:val="0"/>
                    <w:jc w:val="center"/>
                    <w:rPr>
                      <w:rStyle w:val="1596"/>
                      <w:color w:val="auto"/>
                      <w:szCs w:val="21"/>
                    </w:rPr>
                  </w:pPr>
                  <w:r>
                    <w:rPr>
                      <w:rFonts w:hint="eastAsia"/>
                      <w:color w:val="auto"/>
                      <w:szCs w:val="21"/>
                    </w:rPr>
                    <w:t>0.6</w:t>
                  </w:r>
                </w:p>
              </w:tc>
              <w:tc>
                <w:tcPr>
                  <w:tcW w:w="842" w:type="dxa"/>
                  <w:tcBorders>
                    <w:tl2br w:val="nil"/>
                    <w:tr2bl w:val="nil"/>
                  </w:tcBorders>
                  <w:vAlign w:val="center"/>
                </w:tcPr>
                <w:p w14:paraId="4072BAA4">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0E8624D">
                  <w:pPr>
                    <w:tabs>
                      <w:tab w:val="left" w:pos="720"/>
                    </w:tabs>
                    <w:adjustRightInd w:val="0"/>
                    <w:snapToGrid w:val="0"/>
                    <w:spacing w:line="240" w:lineRule="exact"/>
                    <w:jc w:val="center"/>
                    <w:rPr>
                      <w:color w:val="auto"/>
                      <w:szCs w:val="21"/>
                    </w:rPr>
                  </w:pPr>
                  <w:r>
                    <w:rPr>
                      <w:color w:val="auto"/>
                      <w:szCs w:val="21"/>
                    </w:rPr>
                    <w:t>桶装</w:t>
                  </w:r>
                </w:p>
              </w:tc>
              <w:tc>
                <w:tcPr>
                  <w:tcW w:w="495" w:type="dxa"/>
                  <w:vMerge w:val="continue"/>
                  <w:tcBorders>
                    <w:tl2br w:val="nil"/>
                    <w:tr2bl w:val="nil"/>
                  </w:tcBorders>
                  <w:vAlign w:val="center"/>
                </w:tcPr>
                <w:p w14:paraId="2538281B">
                  <w:pPr>
                    <w:tabs>
                      <w:tab w:val="left" w:pos="720"/>
                    </w:tabs>
                    <w:adjustRightInd w:val="0"/>
                    <w:snapToGrid w:val="0"/>
                    <w:spacing w:line="240" w:lineRule="exact"/>
                    <w:jc w:val="center"/>
                    <w:rPr>
                      <w:color w:val="auto"/>
                      <w:szCs w:val="21"/>
                    </w:rPr>
                  </w:pPr>
                </w:p>
              </w:tc>
            </w:tr>
            <w:tr w14:paraId="0CC619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620A6891">
                  <w:pPr>
                    <w:tabs>
                      <w:tab w:val="left" w:pos="720"/>
                    </w:tabs>
                    <w:adjustRightInd w:val="0"/>
                    <w:snapToGrid w:val="0"/>
                    <w:spacing w:line="240" w:lineRule="exact"/>
                    <w:jc w:val="center"/>
                    <w:rPr>
                      <w:color w:val="auto"/>
                      <w:szCs w:val="21"/>
                    </w:rPr>
                  </w:pPr>
                  <w:r>
                    <w:rPr>
                      <w:rFonts w:hint="eastAsia"/>
                      <w:color w:val="auto"/>
                      <w:szCs w:val="21"/>
                    </w:rPr>
                    <w:t>8</w:t>
                  </w:r>
                </w:p>
              </w:tc>
              <w:tc>
                <w:tcPr>
                  <w:tcW w:w="684" w:type="dxa"/>
                  <w:tcBorders>
                    <w:tl2br w:val="nil"/>
                    <w:tr2bl w:val="nil"/>
                  </w:tcBorders>
                  <w:vAlign w:val="center"/>
                </w:tcPr>
                <w:p w14:paraId="08BE410B">
                  <w:pPr>
                    <w:adjustRightInd w:val="0"/>
                    <w:snapToGrid w:val="0"/>
                    <w:spacing w:line="240" w:lineRule="exact"/>
                    <w:jc w:val="center"/>
                    <w:rPr>
                      <w:color w:val="auto"/>
                      <w:szCs w:val="21"/>
                    </w:rPr>
                  </w:pPr>
                  <w:r>
                    <w:rPr>
                      <w:rFonts w:hint="eastAsia"/>
                      <w:color w:val="auto"/>
                      <w:szCs w:val="21"/>
                    </w:rPr>
                    <w:t>稀释剂</w:t>
                  </w:r>
                </w:p>
              </w:tc>
              <w:tc>
                <w:tcPr>
                  <w:tcW w:w="2458" w:type="dxa"/>
                  <w:tcBorders>
                    <w:tl2br w:val="nil"/>
                    <w:tr2bl w:val="nil"/>
                  </w:tcBorders>
                  <w:vAlign w:val="center"/>
                </w:tcPr>
                <w:p w14:paraId="7A847BB6">
                  <w:pPr>
                    <w:adjustRightInd w:val="0"/>
                    <w:snapToGrid w:val="0"/>
                    <w:spacing w:line="240" w:lineRule="exact"/>
                    <w:jc w:val="center"/>
                    <w:rPr>
                      <w:color w:val="auto"/>
                      <w:szCs w:val="21"/>
                    </w:rPr>
                  </w:pPr>
                  <w:r>
                    <w:rPr>
                      <w:rFonts w:hint="eastAsia"/>
                      <w:color w:val="auto"/>
                      <w:szCs w:val="21"/>
                    </w:rPr>
                    <w:t>由30%醋酸丁酯、25%丙二醇甲醚醋酸酯、15%二甲苯、15%</w:t>
                  </w:r>
                  <w:r>
                    <w:rPr>
                      <w:rFonts w:hint="eastAsia"/>
                      <w:color w:val="auto"/>
                      <w:szCs w:val="21"/>
                      <w:lang w:eastAsia="zh-CN"/>
                    </w:rPr>
                    <w:t>环己酮</w:t>
                  </w:r>
                  <w:r>
                    <w:rPr>
                      <w:rFonts w:hint="eastAsia"/>
                      <w:color w:val="auto"/>
                      <w:szCs w:val="21"/>
                    </w:rPr>
                    <w:t>、15%碳酸二甲酯组成</w:t>
                  </w:r>
                </w:p>
              </w:tc>
              <w:tc>
                <w:tcPr>
                  <w:tcW w:w="1003" w:type="dxa"/>
                  <w:tcBorders>
                    <w:tl2br w:val="nil"/>
                    <w:tr2bl w:val="nil"/>
                  </w:tcBorders>
                  <w:vAlign w:val="center"/>
                </w:tcPr>
                <w:p w14:paraId="4A6B6B3D">
                  <w:pPr>
                    <w:tabs>
                      <w:tab w:val="left" w:pos="260"/>
                    </w:tabs>
                    <w:adjustRightInd w:val="0"/>
                    <w:snapToGrid w:val="0"/>
                    <w:jc w:val="center"/>
                    <w:rPr>
                      <w:color w:val="auto"/>
                      <w:szCs w:val="21"/>
                    </w:rPr>
                  </w:pPr>
                  <w:r>
                    <w:rPr>
                      <w:rFonts w:hint="eastAsia"/>
                      <w:color w:val="auto"/>
                      <w:szCs w:val="21"/>
                    </w:rPr>
                    <w:t>0.4</w:t>
                  </w:r>
                </w:p>
              </w:tc>
              <w:tc>
                <w:tcPr>
                  <w:tcW w:w="912" w:type="dxa"/>
                  <w:tcBorders>
                    <w:tl2br w:val="nil"/>
                    <w:tr2bl w:val="nil"/>
                  </w:tcBorders>
                  <w:vAlign w:val="center"/>
                </w:tcPr>
                <w:p w14:paraId="6E4BF6C9">
                  <w:pPr>
                    <w:adjustRightInd w:val="0"/>
                    <w:snapToGrid w:val="0"/>
                    <w:jc w:val="center"/>
                    <w:rPr>
                      <w:color w:val="auto"/>
                      <w:szCs w:val="21"/>
                    </w:rPr>
                  </w:pPr>
                  <w:r>
                    <w:rPr>
                      <w:rFonts w:hint="eastAsia"/>
                      <w:color w:val="auto"/>
                      <w:szCs w:val="21"/>
                    </w:rPr>
                    <w:t>吨</w:t>
                  </w:r>
                </w:p>
              </w:tc>
              <w:tc>
                <w:tcPr>
                  <w:tcW w:w="623" w:type="dxa"/>
                  <w:tcBorders>
                    <w:tl2br w:val="nil"/>
                    <w:tr2bl w:val="nil"/>
                  </w:tcBorders>
                  <w:vAlign w:val="center"/>
                </w:tcPr>
                <w:p w14:paraId="36741FEA">
                  <w:pPr>
                    <w:adjustRightInd w:val="0"/>
                    <w:snapToGrid w:val="0"/>
                    <w:jc w:val="center"/>
                    <w:rPr>
                      <w:color w:val="auto"/>
                      <w:szCs w:val="21"/>
                    </w:rPr>
                  </w:pPr>
                  <w:r>
                    <w:rPr>
                      <w:rFonts w:hint="eastAsia"/>
                      <w:color w:val="auto"/>
                      <w:szCs w:val="21"/>
                    </w:rPr>
                    <w:t>0.1</w:t>
                  </w:r>
                </w:p>
              </w:tc>
              <w:tc>
                <w:tcPr>
                  <w:tcW w:w="842" w:type="dxa"/>
                  <w:tcBorders>
                    <w:tl2br w:val="nil"/>
                    <w:tr2bl w:val="nil"/>
                  </w:tcBorders>
                  <w:vAlign w:val="center"/>
                </w:tcPr>
                <w:p w14:paraId="79E2526A">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1471F698">
                  <w:pPr>
                    <w:tabs>
                      <w:tab w:val="left" w:pos="720"/>
                    </w:tabs>
                    <w:adjustRightInd w:val="0"/>
                    <w:snapToGrid w:val="0"/>
                    <w:spacing w:line="240" w:lineRule="exact"/>
                    <w:jc w:val="center"/>
                    <w:rPr>
                      <w:color w:val="auto"/>
                      <w:szCs w:val="21"/>
                    </w:rPr>
                  </w:pPr>
                  <w:r>
                    <w:rPr>
                      <w:rFonts w:hint="eastAsia"/>
                      <w:color w:val="auto"/>
                      <w:szCs w:val="21"/>
                    </w:rPr>
                    <w:t>桶装</w:t>
                  </w:r>
                </w:p>
              </w:tc>
              <w:tc>
                <w:tcPr>
                  <w:tcW w:w="495" w:type="dxa"/>
                  <w:vMerge w:val="continue"/>
                  <w:tcBorders>
                    <w:tl2br w:val="nil"/>
                    <w:tr2bl w:val="nil"/>
                  </w:tcBorders>
                  <w:vAlign w:val="center"/>
                </w:tcPr>
                <w:p w14:paraId="1D302B65">
                  <w:pPr>
                    <w:tabs>
                      <w:tab w:val="left" w:pos="720"/>
                    </w:tabs>
                    <w:adjustRightInd w:val="0"/>
                    <w:snapToGrid w:val="0"/>
                    <w:spacing w:line="240" w:lineRule="exact"/>
                    <w:jc w:val="center"/>
                    <w:rPr>
                      <w:color w:val="auto"/>
                      <w:szCs w:val="21"/>
                    </w:rPr>
                  </w:pPr>
                </w:p>
              </w:tc>
            </w:tr>
            <w:tr w14:paraId="1E2D3A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6953873B">
                  <w:pPr>
                    <w:tabs>
                      <w:tab w:val="left" w:pos="720"/>
                    </w:tabs>
                    <w:adjustRightInd w:val="0"/>
                    <w:snapToGrid w:val="0"/>
                    <w:spacing w:line="240" w:lineRule="exact"/>
                    <w:jc w:val="center"/>
                    <w:rPr>
                      <w:color w:val="auto"/>
                      <w:szCs w:val="21"/>
                    </w:rPr>
                  </w:pPr>
                  <w:r>
                    <w:rPr>
                      <w:rFonts w:hint="eastAsia"/>
                      <w:color w:val="auto"/>
                      <w:szCs w:val="21"/>
                    </w:rPr>
                    <w:t>9</w:t>
                  </w:r>
                </w:p>
              </w:tc>
              <w:tc>
                <w:tcPr>
                  <w:tcW w:w="684" w:type="dxa"/>
                  <w:tcBorders>
                    <w:tl2br w:val="nil"/>
                    <w:tr2bl w:val="nil"/>
                  </w:tcBorders>
                  <w:vAlign w:val="center"/>
                </w:tcPr>
                <w:p w14:paraId="0F742603">
                  <w:pPr>
                    <w:adjustRightInd w:val="0"/>
                    <w:snapToGrid w:val="0"/>
                    <w:spacing w:line="240" w:lineRule="exact"/>
                    <w:jc w:val="center"/>
                    <w:rPr>
                      <w:color w:val="auto"/>
                      <w:szCs w:val="21"/>
                    </w:rPr>
                  </w:pPr>
                  <w:r>
                    <w:rPr>
                      <w:rFonts w:hint="eastAsia"/>
                      <w:color w:val="auto"/>
                      <w:szCs w:val="21"/>
                    </w:rPr>
                    <w:t>木皮</w:t>
                  </w:r>
                </w:p>
              </w:tc>
              <w:tc>
                <w:tcPr>
                  <w:tcW w:w="2458" w:type="dxa"/>
                  <w:tcBorders>
                    <w:tl2br w:val="nil"/>
                    <w:tr2bl w:val="nil"/>
                  </w:tcBorders>
                  <w:vAlign w:val="center"/>
                </w:tcPr>
                <w:p w14:paraId="51CF1135">
                  <w:pPr>
                    <w:adjustRightInd w:val="0"/>
                    <w:snapToGrid w:val="0"/>
                    <w:spacing w:line="240" w:lineRule="exact"/>
                    <w:jc w:val="center"/>
                    <w:rPr>
                      <w:color w:val="auto"/>
                      <w:szCs w:val="21"/>
                    </w:rPr>
                  </w:pPr>
                  <w:r>
                    <w:rPr>
                      <w:rFonts w:hint="eastAsia"/>
                      <w:color w:val="auto"/>
                      <w:szCs w:val="21"/>
                    </w:rPr>
                    <w:t>600*2500*0.3，一</w:t>
                  </w:r>
                  <w:r>
                    <w:rPr>
                      <w:rFonts w:hint="eastAsia"/>
                      <w:color w:val="auto"/>
                      <w:szCs w:val="21"/>
                      <w:lang w:eastAsia="zh-CN"/>
                    </w:rPr>
                    <w:t>平方米</w:t>
                  </w:r>
                  <w:r>
                    <w:rPr>
                      <w:rFonts w:hint="eastAsia"/>
                      <w:color w:val="auto"/>
                      <w:szCs w:val="21"/>
                    </w:rPr>
                    <w:t>木皮约180g</w:t>
                  </w:r>
                </w:p>
              </w:tc>
              <w:tc>
                <w:tcPr>
                  <w:tcW w:w="1003" w:type="dxa"/>
                  <w:tcBorders>
                    <w:tl2br w:val="nil"/>
                    <w:tr2bl w:val="nil"/>
                  </w:tcBorders>
                  <w:vAlign w:val="center"/>
                </w:tcPr>
                <w:p w14:paraId="67FD9B99">
                  <w:pPr>
                    <w:tabs>
                      <w:tab w:val="left" w:pos="260"/>
                    </w:tabs>
                    <w:adjustRightInd w:val="0"/>
                    <w:snapToGrid w:val="0"/>
                    <w:jc w:val="center"/>
                    <w:rPr>
                      <w:color w:val="auto"/>
                      <w:szCs w:val="21"/>
                    </w:rPr>
                  </w:pPr>
                  <w:r>
                    <w:rPr>
                      <w:rFonts w:hint="eastAsia"/>
                      <w:color w:val="auto"/>
                      <w:szCs w:val="21"/>
                    </w:rPr>
                    <w:t>180</w:t>
                  </w:r>
                </w:p>
              </w:tc>
              <w:tc>
                <w:tcPr>
                  <w:tcW w:w="912" w:type="dxa"/>
                  <w:tcBorders>
                    <w:tl2br w:val="nil"/>
                    <w:tr2bl w:val="nil"/>
                  </w:tcBorders>
                  <w:vAlign w:val="center"/>
                </w:tcPr>
                <w:p w14:paraId="34145D10">
                  <w:pPr>
                    <w:adjustRightInd w:val="0"/>
                    <w:snapToGrid w:val="0"/>
                    <w:jc w:val="center"/>
                    <w:rPr>
                      <w:color w:val="auto"/>
                      <w:szCs w:val="21"/>
                    </w:rPr>
                  </w:pPr>
                  <w:r>
                    <w:rPr>
                      <w:rFonts w:hint="eastAsia"/>
                      <w:color w:val="auto"/>
                      <w:szCs w:val="21"/>
                    </w:rPr>
                    <w:t>平方米</w:t>
                  </w:r>
                </w:p>
              </w:tc>
              <w:tc>
                <w:tcPr>
                  <w:tcW w:w="623" w:type="dxa"/>
                  <w:tcBorders>
                    <w:tl2br w:val="nil"/>
                    <w:tr2bl w:val="nil"/>
                  </w:tcBorders>
                  <w:vAlign w:val="center"/>
                </w:tcPr>
                <w:p w14:paraId="7228471C">
                  <w:pPr>
                    <w:adjustRightInd w:val="0"/>
                    <w:snapToGrid w:val="0"/>
                    <w:jc w:val="center"/>
                    <w:rPr>
                      <w:color w:val="auto"/>
                      <w:szCs w:val="21"/>
                    </w:rPr>
                  </w:pPr>
                  <w:r>
                    <w:rPr>
                      <w:rFonts w:hint="eastAsia"/>
                      <w:color w:val="auto"/>
                      <w:szCs w:val="21"/>
                    </w:rPr>
                    <w:t>30</w:t>
                  </w:r>
                </w:p>
              </w:tc>
              <w:tc>
                <w:tcPr>
                  <w:tcW w:w="842" w:type="dxa"/>
                  <w:tcBorders>
                    <w:tl2br w:val="nil"/>
                    <w:tr2bl w:val="nil"/>
                  </w:tcBorders>
                  <w:vAlign w:val="center"/>
                </w:tcPr>
                <w:p w14:paraId="4180EA5C">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5EA8C4C">
                  <w:pPr>
                    <w:tabs>
                      <w:tab w:val="left" w:pos="720"/>
                    </w:tabs>
                    <w:adjustRightInd w:val="0"/>
                    <w:snapToGrid w:val="0"/>
                    <w:spacing w:line="240" w:lineRule="exact"/>
                    <w:jc w:val="center"/>
                    <w:rPr>
                      <w:color w:val="auto"/>
                      <w:szCs w:val="21"/>
                    </w:rPr>
                  </w:pPr>
                  <w:r>
                    <w:rPr>
                      <w:rFonts w:hint="eastAsia"/>
                      <w:color w:val="auto"/>
                      <w:szCs w:val="21"/>
                    </w:rPr>
                    <w:t>纸箱</w:t>
                  </w:r>
                </w:p>
              </w:tc>
              <w:tc>
                <w:tcPr>
                  <w:tcW w:w="495" w:type="dxa"/>
                  <w:vMerge w:val="continue"/>
                  <w:tcBorders>
                    <w:tl2br w:val="nil"/>
                    <w:tr2bl w:val="nil"/>
                  </w:tcBorders>
                  <w:vAlign w:val="center"/>
                </w:tcPr>
                <w:p w14:paraId="6BFC2DA8">
                  <w:pPr>
                    <w:tabs>
                      <w:tab w:val="left" w:pos="720"/>
                    </w:tabs>
                    <w:adjustRightInd w:val="0"/>
                    <w:snapToGrid w:val="0"/>
                    <w:spacing w:line="240" w:lineRule="exact"/>
                    <w:jc w:val="center"/>
                    <w:rPr>
                      <w:color w:val="auto"/>
                      <w:szCs w:val="21"/>
                    </w:rPr>
                  </w:pPr>
                </w:p>
              </w:tc>
            </w:tr>
            <w:tr w14:paraId="557DFE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07D75CC1">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0</w:t>
                  </w:r>
                </w:p>
              </w:tc>
              <w:tc>
                <w:tcPr>
                  <w:tcW w:w="684" w:type="dxa"/>
                  <w:tcBorders>
                    <w:tl2br w:val="nil"/>
                    <w:tr2bl w:val="nil"/>
                  </w:tcBorders>
                  <w:vAlign w:val="center"/>
                </w:tcPr>
                <w:p w14:paraId="7ED5535E">
                  <w:pPr>
                    <w:adjustRightInd w:val="0"/>
                    <w:snapToGrid w:val="0"/>
                    <w:spacing w:line="240" w:lineRule="exact"/>
                    <w:jc w:val="center"/>
                    <w:rPr>
                      <w:color w:val="auto"/>
                      <w:szCs w:val="21"/>
                    </w:rPr>
                  </w:pPr>
                  <w:r>
                    <w:rPr>
                      <w:rFonts w:hint="eastAsia"/>
                      <w:color w:val="auto"/>
                    </w:rPr>
                    <w:t>原子灰</w:t>
                  </w:r>
                </w:p>
              </w:tc>
              <w:tc>
                <w:tcPr>
                  <w:tcW w:w="2458" w:type="dxa"/>
                  <w:tcBorders>
                    <w:tl2br w:val="nil"/>
                    <w:tr2bl w:val="nil"/>
                  </w:tcBorders>
                  <w:vAlign w:val="center"/>
                </w:tcPr>
                <w:p w14:paraId="51DAEB73">
                  <w:pPr>
                    <w:adjustRightInd w:val="0"/>
                    <w:snapToGrid w:val="0"/>
                    <w:spacing w:line="240" w:lineRule="exact"/>
                    <w:jc w:val="center"/>
                    <w:rPr>
                      <w:color w:val="auto"/>
                      <w:szCs w:val="21"/>
                    </w:rPr>
                  </w:pPr>
                  <w:r>
                    <w:rPr>
                      <w:color w:val="auto"/>
                      <w:szCs w:val="21"/>
                    </w:rPr>
                    <w:t>主要成分为苯乙烯：10</w:t>
                  </w:r>
                  <w:r>
                    <w:rPr>
                      <w:rFonts w:hint="eastAsia"/>
                      <w:color w:val="auto"/>
                      <w:szCs w:val="21"/>
                      <w:lang w:eastAsia="zh-CN"/>
                    </w:rPr>
                    <w:t>%～</w:t>
                  </w:r>
                  <w:r>
                    <w:rPr>
                      <w:color w:val="auto"/>
                      <w:szCs w:val="21"/>
                    </w:rPr>
                    <w:t>20%，二氧化钛：0.5</w:t>
                  </w:r>
                  <w:r>
                    <w:rPr>
                      <w:rFonts w:hint="eastAsia"/>
                      <w:color w:val="auto"/>
                      <w:szCs w:val="21"/>
                      <w:lang w:eastAsia="zh-CN"/>
                    </w:rPr>
                    <w:t>%～</w:t>
                  </w:r>
                  <w:r>
                    <w:rPr>
                      <w:color w:val="auto"/>
                      <w:szCs w:val="21"/>
                    </w:rPr>
                    <w:t>5%，滑石粉：30</w:t>
                  </w:r>
                  <w:r>
                    <w:rPr>
                      <w:rFonts w:hint="eastAsia"/>
                      <w:color w:val="auto"/>
                      <w:szCs w:val="21"/>
                      <w:lang w:eastAsia="zh-CN"/>
                    </w:rPr>
                    <w:t>%～</w:t>
                  </w:r>
                  <w:r>
                    <w:rPr>
                      <w:color w:val="auto"/>
                      <w:szCs w:val="21"/>
                    </w:rPr>
                    <w:t>60%，碳酸钙0</w:t>
                  </w:r>
                  <w:r>
                    <w:rPr>
                      <w:rFonts w:hint="eastAsia"/>
                      <w:color w:val="auto"/>
                      <w:szCs w:val="21"/>
                      <w:lang w:eastAsia="zh-CN"/>
                    </w:rPr>
                    <w:t>%～</w:t>
                  </w:r>
                  <w:r>
                    <w:rPr>
                      <w:color w:val="auto"/>
                      <w:szCs w:val="21"/>
                    </w:rPr>
                    <w:t>20%</w:t>
                  </w:r>
                </w:p>
              </w:tc>
              <w:tc>
                <w:tcPr>
                  <w:tcW w:w="1003" w:type="dxa"/>
                  <w:tcBorders>
                    <w:tl2br w:val="nil"/>
                    <w:tr2bl w:val="nil"/>
                  </w:tcBorders>
                  <w:vAlign w:val="center"/>
                </w:tcPr>
                <w:p w14:paraId="30AFD5F2">
                  <w:pPr>
                    <w:jc w:val="center"/>
                    <w:textAlignment w:val="baseline"/>
                    <w:rPr>
                      <w:color w:val="auto"/>
                      <w:szCs w:val="21"/>
                    </w:rPr>
                  </w:pPr>
                  <w:r>
                    <w:rPr>
                      <w:rFonts w:hint="eastAsia"/>
                      <w:color w:val="auto"/>
                      <w:szCs w:val="21"/>
                    </w:rPr>
                    <w:t>1200</w:t>
                  </w:r>
                </w:p>
              </w:tc>
              <w:tc>
                <w:tcPr>
                  <w:tcW w:w="912" w:type="dxa"/>
                  <w:tcBorders>
                    <w:tl2br w:val="nil"/>
                    <w:tr2bl w:val="nil"/>
                  </w:tcBorders>
                  <w:vAlign w:val="center"/>
                </w:tcPr>
                <w:p w14:paraId="436549AE">
                  <w:pPr>
                    <w:jc w:val="center"/>
                    <w:textAlignment w:val="baseline"/>
                    <w:rPr>
                      <w:rStyle w:val="1596"/>
                      <w:color w:val="auto"/>
                      <w:szCs w:val="21"/>
                    </w:rPr>
                  </w:pPr>
                  <w:r>
                    <w:rPr>
                      <w:color w:val="auto"/>
                      <w:szCs w:val="21"/>
                    </w:rPr>
                    <w:t>公斤</w:t>
                  </w:r>
                </w:p>
              </w:tc>
              <w:tc>
                <w:tcPr>
                  <w:tcW w:w="623" w:type="dxa"/>
                  <w:tcBorders>
                    <w:tl2br w:val="nil"/>
                    <w:tr2bl w:val="nil"/>
                  </w:tcBorders>
                  <w:vAlign w:val="center"/>
                </w:tcPr>
                <w:p w14:paraId="56A55A12">
                  <w:pPr>
                    <w:jc w:val="center"/>
                    <w:textAlignment w:val="baseline"/>
                    <w:rPr>
                      <w:rStyle w:val="1596"/>
                      <w:color w:val="auto"/>
                      <w:szCs w:val="21"/>
                    </w:rPr>
                  </w:pPr>
                  <w:r>
                    <w:rPr>
                      <w:rStyle w:val="1596"/>
                      <w:rFonts w:hint="eastAsia"/>
                      <w:color w:val="auto"/>
                      <w:szCs w:val="21"/>
                    </w:rPr>
                    <w:t>200</w:t>
                  </w:r>
                </w:p>
              </w:tc>
              <w:tc>
                <w:tcPr>
                  <w:tcW w:w="842" w:type="dxa"/>
                  <w:tcBorders>
                    <w:tl2br w:val="nil"/>
                    <w:tr2bl w:val="nil"/>
                  </w:tcBorders>
                  <w:vAlign w:val="center"/>
                </w:tcPr>
                <w:p w14:paraId="74041FAB">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3DCE4042">
                  <w:pPr>
                    <w:tabs>
                      <w:tab w:val="left" w:pos="720"/>
                    </w:tabs>
                    <w:adjustRightInd w:val="0"/>
                    <w:snapToGrid w:val="0"/>
                    <w:spacing w:line="240" w:lineRule="exact"/>
                    <w:jc w:val="center"/>
                    <w:rPr>
                      <w:color w:val="auto"/>
                      <w:szCs w:val="21"/>
                    </w:rPr>
                  </w:pPr>
                  <w:r>
                    <w:rPr>
                      <w:rFonts w:hint="eastAsia"/>
                      <w:color w:val="auto"/>
                      <w:szCs w:val="21"/>
                    </w:rPr>
                    <w:t>纸箱</w:t>
                  </w:r>
                </w:p>
              </w:tc>
              <w:tc>
                <w:tcPr>
                  <w:tcW w:w="495" w:type="dxa"/>
                  <w:vMerge w:val="continue"/>
                  <w:tcBorders>
                    <w:tl2br w:val="nil"/>
                    <w:tr2bl w:val="nil"/>
                  </w:tcBorders>
                  <w:vAlign w:val="center"/>
                </w:tcPr>
                <w:p w14:paraId="27CBD4A6">
                  <w:pPr>
                    <w:tabs>
                      <w:tab w:val="left" w:pos="720"/>
                    </w:tabs>
                    <w:adjustRightInd w:val="0"/>
                    <w:snapToGrid w:val="0"/>
                    <w:spacing w:line="240" w:lineRule="exact"/>
                    <w:jc w:val="center"/>
                    <w:rPr>
                      <w:color w:val="auto"/>
                      <w:szCs w:val="21"/>
                    </w:rPr>
                  </w:pPr>
                </w:p>
              </w:tc>
            </w:tr>
            <w:tr w14:paraId="1BBF9E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703328B">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1</w:t>
                  </w:r>
                </w:p>
              </w:tc>
              <w:tc>
                <w:tcPr>
                  <w:tcW w:w="684" w:type="dxa"/>
                  <w:tcBorders>
                    <w:tl2br w:val="nil"/>
                    <w:tr2bl w:val="nil"/>
                  </w:tcBorders>
                  <w:vAlign w:val="center"/>
                </w:tcPr>
                <w:p w14:paraId="1090B0F4">
                  <w:pPr>
                    <w:adjustRightInd w:val="0"/>
                    <w:snapToGrid w:val="0"/>
                    <w:spacing w:line="240" w:lineRule="exact"/>
                    <w:jc w:val="center"/>
                    <w:rPr>
                      <w:color w:val="auto"/>
                      <w:szCs w:val="21"/>
                    </w:rPr>
                  </w:pPr>
                  <w:r>
                    <w:rPr>
                      <w:color w:val="auto"/>
                      <w:szCs w:val="21"/>
                    </w:rPr>
                    <w:t>大理石</w:t>
                  </w:r>
                </w:p>
              </w:tc>
              <w:tc>
                <w:tcPr>
                  <w:tcW w:w="2458" w:type="dxa"/>
                  <w:tcBorders>
                    <w:tl2br w:val="nil"/>
                    <w:tr2bl w:val="nil"/>
                  </w:tcBorders>
                  <w:vAlign w:val="center"/>
                </w:tcPr>
                <w:p w14:paraId="132E6846">
                  <w:pPr>
                    <w:adjustRightInd w:val="0"/>
                    <w:snapToGrid w:val="0"/>
                    <w:spacing w:line="240" w:lineRule="exact"/>
                    <w:jc w:val="center"/>
                    <w:rPr>
                      <w:color w:val="auto"/>
                      <w:szCs w:val="21"/>
                    </w:rPr>
                  </w:pPr>
                  <w:r>
                    <w:rPr>
                      <w:rFonts w:hint="eastAsia"/>
                      <w:color w:val="auto"/>
                      <w:szCs w:val="21"/>
                    </w:rPr>
                    <w:t>碳酸钙，主要规格为1200*2400*15</w:t>
                  </w:r>
                </w:p>
              </w:tc>
              <w:tc>
                <w:tcPr>
                  <w:tcW w:w="1003" w:type="dxa"/>
                  <w:tcBorders>
                    <w:tl2br w:val="nil"/>
                    <w:tr2bl w:val="nil"/>
                  </w:tcBorders>
                  <w:vAlign w:val="center"/>
                </w:tcPr>
                <w:p w14:paraId="71A0EE81">
                  <w:pPr>
                    <w:adjustRightInd w:val="0"/>
                    <w:snapToGrid w:val="0"/>
                    <w:jc w:val="center"/>
                    <w:rPr>
                      <w:color w:val="auto"/>
                      <w:szCs w:val="21"/>
                    </w:rPr>
                  </w:pPr>
                  <w:r>
                    <w:rPr>
                      <w:color w:val="auto"/>
                      <w:szCs w:val="21"/>
                    </w:rPr>
                    <w:t>1000</w:t>
                  </w:r>
                </w:p>
              </w:tc>
              <w:tc>
                <w:tcPr>
                  <w:tcW w:w="912" w:type="dxa"/>
                  <w:tcBorders>
                    <w:tl2br w:val="nil"/>
                    <w:tr2bl w:val="nil"/>
                  </w:tcBorders>
                  <w:vAlign w:val="center"/>
                </w:tcPr>
                <w:p w14:paraId="2FA51B66">
                  <w:pPr>
                    <w:tabs>
                      <w:tab w:val="left" w:pos="258"/>
                    </w:tabs>
                    <w:adjustRightInd w:val="0"/>
                    <w:snapToGrid w:val="0"/>
                    <w:jc w:val="center"/>
                    <w:rPr>
                      <w:rStyle w:val="1596"/>
                      <w:color w:val="auto"/>
                      <w:szCs w:val="21"/>
                    </w:rPr>
                  </w:pPr>
                  <w:r>
                    <w:rPr>
                      <w:color w:val="auto"/>
                      <w:szCs w:val="21"/>
                    </w:rPr>
                    <w:t>张</w:t>
                  </w:r>
                </w:p>
              </w:tc>
              <w:tc>
                <w:tcPr>
                  <w:tcW w:w="623" w:type="dxa"/>
                  <w:tcBorders>
                    <w:tl2br w:val="nil"/>
                    <w:tr2bl w:val="nil"/>
                  </w:tcBorders>
                  <w:vAlign w:val="center"/>
                </w:tcPr>
                <w:p w14:paraId="52EAFE60">
                  <w:pPr>
                    <w:tabs>
                      <w:tab w:val="left" w:pos="201"/>
                    </w:tabs>
                    <w:adjustRightInd w:val="0"/>
                    <w:snapToGrid w:val="0"/>
                    <w:jc w:val="center"/>
                    <w:rPr>
                      <w:rStyle w:val="1596"/>
                      <w:color w:val="auto"/>
                      <w:szCs w:val="21"/>
                    </w:rPr>
                  </w:pPr>
                  <w:r>
                    <w:rPr>
                      <w:color w:val="auto"/>
                      <w:szCs w:val="21"/>
                    </w:rPr>
                    <w:t>400</w:t>
                  </w:r>
                </w:p>
              </w:tc>
              <w:tc>
                <w:tcPr>
                  <w:tcW w:w="842" w:type="dxa"/>
                  <w:tcBorders>
                    <w:tl2br w:val="nil"/>
                    <w:tr2bl w:val="nil"/>
                  </w:tcBorders>
                  <w:vAlign w:val="center"/>
                </w:tcPr>
                <w:p w14:paraId="73D64607">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1818C51A">
                  <w:pPr>
                    <w:tabs>
                      <w:tab w:val="left" w:pos="720"/>
                    </w:tabs>
                    <w:adjustRightInd w:val="0"/>
                    <w:snapToGrid w:val="0"/>
                    <w:spacing w:line="240" w:lineRule="exact"/>
                    <w:jc w:val="center"/>
                    <w:rPr>
                      <w:color w:val="auto"/>
                      <w:szCs w:val="21"/>
                    </w:rPr>
                  </w:pPr>
                  <w:r>
                    <w:rPr>
                      <w:color w:val="auto"/>
                      <w:szCs w:val="21"/>
                    </w:rPr>
                    <w:t>袋装</w:t>
                  </w:r>
                </w:p>
              </w:tc>
              <w:tc>
                <w:tcPr>
                  <w:tcW w:w="495" w:type="dxa"/>
                  <w:vMerge w:val="restart"/>
                  <w:tcBorders>
                    <w:tl2br w:val="nil"/>
                    <w:tr2bl w:val="nil"/>
                  </w:tcBorders>
                  <w:vAlign w:val="center"/>
                </w:tcPr>
                <w:p w14:paraId="53D7D60F">
                  <w:pPr>
                    <w:tabs>
                      <w:tab w:val="left" w:pos="720"/>
                    </w:tabs>
                    <w:adjustRightInd w:val="0"/>
                    <w:snapToGrid w:val="0"/>
                    <w:spacing w:line="240" w:lineRule="exact"/>
                    <w:jc w:val="center"/>
                    <w:rPr>
                      <w:color w:val="auto"/>
                      <w:szCs w:val="21"/>
                    </w:rPr>
                  </w:pPr>
                  <w:r>
                    <w:rPr>
                      <w:rFonts w:hint="eastAsia"/>
                      <w:color w:val="auto"/>
                      <w:szCs w:val="21"/>
                    </w:rPr>
                    <w:t>大理石组件</w:t>
                  </w:r>
                </w:p>
              </w:tc>
            </w:tr>
            <w:tr w14:paraId="1B0880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7E0B0B9F">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2</w:t>
                  </w:r>
                </w:p>
              </w:tc>
              <w:tc>
                <w:tcPr>
                  <w:tcW w:w="684" w:type="dxa"/>
                  <w:tcBorders>
                    <w:tl2br w:val="nil"/>
                    <w:tr2bl w:val="nil"/>
                  </w:tcBorders>
                  <w:vAlign w:val="center"/>
                </w:tcPr>
                <w:p w14:paraId="3BB4C97E">
                  <w:pPr>
                    <w:adjustRightInd w:val="0"/>
                    <w:snapToGrid w:val="0"/>
                    <w:spacing w:line="240" w:lineRule="exact"/>
                    <w:jc w:val="center"/>
                    <w:rPr>
                      <w:color w:val="auto"/>
                      <w:szCs w:val="21"/>
                    </w:rPr>
                  </w:pPr>
                  <w:r>
                    <w:rPr>
                      <w:rFonts w:hint="eastAsia"/>
                      <w:color w:val="auto"/>
                      <w:szCs w:val="21"/>
                    </w:rPr>
                    <w:t>石材胶粘剂</w:t>
                  </w:r>
                </w:p>
              </w:tc>
              <w:tc>
                <w:tcPr>
                  <w:tcW w:w="2458" w:type="dxa"/>
                  <w:tcBorders>
                    <w:tl2br w:val="nil"/>
                    <w:tr2bl w:val="nil"/>
                  </w:tcBorders>
                  <w:vAlign w:val="center"/>
                </w:tcPr>
                <w:p w14:paraId="4884989A">
                  <w:pPr>
                    <w:adjustRightInd w:val="0"/>
                    <w:snapToGrid w:val="0"/>
                    <w:spacing w:line="240" w:lineRule="exact"/>
                    <w:jc w:val="center"/>
                    <w:rPr>
                      <w:color w:val="auto"/>
                      <w:szCs w:val="21"/>
                    </w:rPr>
                  </w:pPr>
                  <w:r>
                    <w:rPr>
                      <w:rFonts w:hint="eastAsia"/>
                      <w:color w:val="auto"/>
                      <w:szCs w:val="21"/>
                    </w:rPr>
                    <w:t>A胶包括30</w:t>
                  </w:r>
                  <w:r>
                    <w:rPr>
                      <w:rFonts w:hint="eastAsia"/>
                      <w:color w:val="auto"/>
                      <w:szCs w:val="21"/>
                      <w:lang w:eastAsia="zh-CN"/>
                    </w:rPr>
                    <w:t>%～</w:t>
                  </w:r>
                  <w:r>
                    <w:rPr>
                      <w:rFonts w:hint="eastAsia"/>
                      <w:color w:val="auto"/>
                      <w:szCs w:val="21"/>
                    </w:rPr>
                    <w:t>60%丙烯酸塑料、30%氢氧化铝、10</w:t>
                  </w:r>
                  <w:r>
                    <w:rPr>
                      <w:rFonts w:hint="eastAsia"/>
                      <w:color w:val="auto"/>
                      <w:szCs w:val="21"/>
                      <w:lang w:eastAsia="zh-CN"/>
                    </w:rPr>
                    <w:t>%～</w:t>
                  </w:r>
                  <w:r>
                    <w:rPr>
                      <w:rFonts w:hint="eastAsia"/>
                      <w:color w:val="auto"/>
                      <w:szCs w:val="21"/>
                    </w:rPr>
                    <w:t>20%甲基丙烯酸甲酯、1</w:t>
                  </w:r>
                  <w:r>
                    <w:rPr>
                      <w:rFonts w:hint="eastAsia"/>
                      <w:color w:val="auto"/>
                      <w:szCs w:val="21"/>
                      <w:lang w:eastAsia="zh-CN"/>
                    </w:rPr>
                    <w:t>%～</w:t>
                  </w:r>
                  <w:r>
                    <w:rPr>
                      <w:rFonts w:hint="eastAsia"/>
                      <w:color w:val="auto"/>
                      <w:szCs w:val="21"/>
                    </w:rPr>
                    <w:t>10%甲基丙烯酸叔丁酯、1</w:t>
                  </w:r>
                  <w:r>
                    <w:rPr>
                      <w:rFonts w:hint="eastAsia"/>
                      <w:color w:val="auto"/>
                      <w:szCs w:val="21"/>
                      <w:lang w:eastAsia="zh-CN"/>
                    </w:rPr>
                    <w:t>%～</w:t>
                  </w:r>
                  <w:r>
                    <w:rPr>
                      <w:rFonts w:hint="eastAsia"/>
                      <w:color w:val="auto"/>
                      <w:szCs w:val="21"/>
                    </w:rPr>
                    <w:t>10%二氧化硅、＞3%颜料；B胶包括＜89%聚醋酸乙烯酯、＞11%二氧化硅，共6000支，每支50g</w:t>
                  </w:r>
                </w:p>
              </w:tc>
              <w:tc>
                <w:tcPr>
                  <w:tcW w:w="1003" w:type="dxa"/>
                  <w:tcBorders>
                    <w:tl2br w:val="nil"/>
                    <w:tr2bl w:val="nil"/>
                  </w:tcBorders>
                  <w:vAlign w:val="center"/>
                </w:tcPr>
                <w:p w14:paraId="5BEA09CB">
                  <w:pPr>
                    <w:tabs>
                      <w:tab w:val="left" w:pos="394"/>
                    </w:tabs>
                    <w:adjustRightInd w:val="0"/>
                    <w:snapToGrid w:val="0"/>
                    <w:jc w:val="center"/>
                    <w:rPr>
                      <w:color w:val="auto"/>
                      <w:szCs w:val="21"/>
                    </w:rPr>
                  </w:pPr>
                  <w:r>
                    <w:rPr>
                      <w:rFonts w:hint="eastAsia"/>
                      <w:color w:val="auto"/>
                      <w:szCs w:val="21"/>
                    </w:rPr>
                    <w:t>300</w:t>
                  </w:r>
                </w:p>
              </w:tc>
              <w:tc>
                <w:tcPr>
                  <w:tcW w:w="912" w:type="dxa"/>
                  <w:tcBorders>
                    <w:tl2br w:val="nil"/>
                    <w:tr2bl w:val="nil"/>
                  </w:tcBorders>
                  <w:vAlign w:val="center"/>
                </w:tcPr>
                <w:p w14:paraId="625EC0D5">
                  <w:pPr>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33C0099F">
                  <w:pPr>
                    <w:widowControl/>
                    <w:jc w:val="center"/>
                    <w:rPr>
                      <w:rStyle w:val="1596"/>
                      <w:color w:val="auto"/>
                      <w:szCs w:val="21"/>
                    </w:rPr>
                  </w:pPr>
                  <w:r>
                    <w:rPr>
                      <w:rFonts w:hint="eastAsia"/>
                      <w:color w:val="auto"/>
                      <w:kern w:val="0"/>
                      <w:szCs w:val="21"/>
                      <w:lang w:bidi="ar"/>
                    </w:rPr>
                    <w:t>100</w:t>
                  </w:r>
                </w:p>
              </w:tc>
              <w:tc>
                <w:tcPr>
                  <w:tcW w:w="842" w:type="dxa"/>
                  <w:tcBorders>
                    <w:tl2br w:val="nil"/>
                    <w:tr2bl w:val="nil"/>
                  </w:tcBorders>
                  <w:vAlign w:val="center"/>
                </w:tcPr>
                <w:p w14:paraId="56444618">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60C734C1">
                  <w:pPr>
                    <w:tabs>
                      <w:tab w:val="left" w:pos="720"/>
                    </w:tabs>
                    <w:adjustRightInd w:val="0"/>
                    <w:snapToGrid w:val="0"/>
                    <w:spacing w:line="240" w:lineRule="exact"/>
                    <w:jc w:val="center"/>
                    <w:rPr>
                      <w:color w:val="auto"/>
                      <w:szCs w:val="21"/>
                    </w:rPr>
                  </w:pPr>
                  <w:r>
                    <w:rPr>
                      <w:color w:val="auto"/>
                      <w:szCs w:val="21"/>
                    </w:rPr>
                    <w:t>桶装</w:t>
                  </w:r>
                </w:p>
              </w:tc>
              <w:tc>
                <w:tcPr>
                  <w:tcW w:w="495" w:type="dxa"/>
                  <w:vMerge w:val="continue"/>
                  <w:tcBorders>
                    <w:tl2br w:val="nil"/>
                    <w:tr2bl w:val="nil"/>
                  </w:tcBorders>
                  <w:vAlign w:val="center"/>
                </w:tcPr>
                <w:p w14:paraId="5E503090">
                  <w:pPr>
                    <w:tabs>
                      <w:tab w:val="left" w:pos="720"/>
                    </w:tabs>
                    <w:adjustRightInd w:val="0"/>
                    <w:snapToGrid w:val="0"/>
                    <w:spacing w:line="240" w:lineRule="exact"/>
                    <w:jc w:val="center"/>
                    <w:rPr>
                      <w:color w:val="auto"/>
                      <w:szCs w:val="21"/>
                    </w:rPr>
                  </w:pPr>
                </w:p>
              </w:tc>
            </w:tr>
            <w:tr w14:paraId="258B60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397A010">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3</w:t>
                  </w:r>
                </w:p>
              </w:tc>
              <w:tc>
                <w:tcPr>
                  <w:tcW w:w="684" w:type="dxa"/>
                  <w:tcBorders>
                    <w:tl2br w:val="nil"/>
                    <w:tr2bl w:val="nil"/>
                  </w:tcBorders>
                  <w:vAlign w:val="center"/>
                </w:tcPr>
                <w:p w14:paraId="5215B073">
                  <w:pPr>
                    <w:adjustRightInd w:val="0"/>
                    <w:snapToGrid w:val="0"/>
                    <w:spacing w:line="240" w:lineRule="exact"/>
                    <w:jc w:val="center"/>
                    <w:rPr>
                      <w:color w:val="auto"/>
                      <w:szCs w:val="21"/>
                    </w:rPr>
                  </w:pPr>
                  <w:r>
                    <w:rPr>
                      <w:color w:val="auto"/>
                      <w:szCs w:val="21"/>
                    </w:rPr>
                    <w:t>冷轧钢板</w:t>
                  </w:r>
                </w:p>
              </w:tc>
              <w:tc>
                <w:tcPr>
                  <w:tcW w:w="2458" w:type="dxa"/>
                  <w:tcBorders>
                    <w:tl2br w:val="nil"/>
                    <w:tr2bl w:val="nil"/>
                  </w:tcBorders>
                  <w:vAlign w:val="center"/>
                </w:tcPr>
                <w:p w14:paraId="53CB1BC0">
                  <w:pPr>
                    <w:adjustRightInd w:val="0"/>
                    <w:snapToGrid w:val="0"/>
                    <w:spacing w:line="240" w:lineRule="exact"/>
                    <w:jc w:val="center"/>
                    <w:rPr>
                      <w:color w:val="auto"/>
                      <w:szCs w:val="21"/>
                    </w:rPr>
                  </w:pPr>
                  <w:r>
                    <w:rPr>
                      <w:color w:val="auto"/>
                      <w:szCs w:val="21"/>
                    </w:rPr>
                    <w:t>钢材</w:t>
                  </w:r>
                </w:p>
              </w:tc>
              <w:tc>
                <w:tcPr>
                  <w:tcW w:w="1003" w:type="dxa"/>
                  <w:tcBorders>
                    <w:tl2br w:val="nil"/>
                    <w:tr2bl w:val="nil"/>
                  </w:tcBorders>
                  <w:vAlign w:val="center"/>
                </w:tcPr>
                <w:p w14:paraId="4F19E357">
                  <w:pPr>
                    <w:adjustRightInd w:val="0"/>
                    <w:snapToGrid w:val="0"/>
                    <w:jc w:val="center"/>
                    <w:rPr>
                      <w:color w:val="auto"/>
                      <w:szCs w:val="21"/>
                    </w:rPr>
                  </w:pPr>
                  <w:r>
                    <w:rPr>
                      <w:rFonts w:hint="eastAsia"/>
                      <w:color w:val="auto"/>
                      <w:szCs w:val="21"/>
                    </w:rPr>
                    <w:t>180</w:t>
                  </w:r>
                </w:p>
              </w:tc>
              <w:tc>
                <w:tcPr>
                  <w:tcW w:w="912" w:type="dxa"/>
                  <w:tcBorders>
                    <w:tl2br w:val="nil"/>
                    <w:tr2bl w:val="nil"/>
                  </w:tcBorders>
                  <w:vAlign w:val="center"/>
                </w:tcPr>
                <w:p w14:paraId="4E0B4127">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364B30D3">
                  <w:pPr>
                    <w:adjustRightInd w:val="0"/>
                    <w:snapToGrid w:val="0"/>
                    <w:jc w:val="center"/>
                    <w:rPr>
                      <w:rStyle w:val="1596"/>
                      <w:color w:val="auto"/>
                      <w:szCs w:val="21"/>
                    </w:rPr>
                  </w:pPr>
                  <w:r>
                    <w:rPr>
                      <w:rFonts w:hint="eastAsia"/>
                      <w:color w:val="auto"/>
                      <w:szCs w:val="21"/>
                    </w:rPr>
                    <w:t>10</w:t>
                  </w:r>
                </w:p>
              </w:tc>
              <w:tc>
                <w:tcPr>
                  <w:tcW w:w="842" w:type="dxa"/>
                  <w:tcBorders>
                    <w:tl2br w:val="nil"/>
                    <w:tr2bl w:val="nil"/>
                  </w:tcBorders>
                  <w:vAlign w:val="center"/>
                </w:tcPr>
                <w:p w14:paraId="76622BAC">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6115C815">
                  <w:pPr>
                    <w:tabs>
                      <w:tab w:val="left" w:pos="720"/>
                    </w:tabs>
                    <w:adjustRightInd w:val="0"/>
                    <w:snapToGrid w:val="0"/>
                    <w:spacing w:line="240" w:lineRule="exact"/>
                    <w:jc w:val="center"/>
                    <w:rPr>
                      <w:color w:val="auto"/>
                      <w:szCs w:val="21"/>
                    </w:rPr>
                  </w:pPr>
                  <w:r>
                    <w:rPr>
                      <w:color w:val="auto"/>
                      <w:szCs w:val="21"/>
                    </w:rPr>
                    <w:t>栈板</w:t>
                  </w:r>
                </w:p>
              </w:tc>
              <w:tc>
                <w:tcPr>
                  <w:tcW w:w="495" w:type="dxa"/>
                  <w:vMerge w:val="restart"/>
                  <w:tcBorders>
                    <w:tl2br w:val="nil"/>
                    <w:tr2bl w:val="nil"/>
                  </w:tcBorders>
                  <w:vAlign w:val="center"/>
                </w:tcPr>
                <w:p w14:paraId="70C73624">
                  <w:pPr>
                    <w:tabs>
                      <w:tab w:val="left" w:pos="720"/>
                    </w:tabs>
                    <w:adjustRightInd w:val="0"/>
                    <w:snapToGrid w:val="0"/>
                    <w:spacing w:line="240" w:lineRule="exact"/>
                    <w:jc w:val="center"/>
                    <w:rPr>
                      <w:color w:val="auto"/>
                      <w:szCs w:val="21"/>
                    </w:rPr>
                  </w:pPr>
                  <w:r>
                    <w:rPr>
                      <w:rFonts w:hint="eastAsia"/>
                      <w:color w:val="auto"/>
                      <w:szCs w:val="21"/>
                    </w:rPr>
                    <w:t>金属组件</w:t>
                  </w:r>
                </w:p>
              </w:tc>
            </w:tr>
            <w:tr w14:paraId="309C0B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39720248">
                  <w:pPr>
                    <w:tabs>
                      <w:tab w:val="left" w:pos="720"/>
                    </w:tabs>
                    <w:adjustRightInd w:val="0"/>
                    <w:snapToGrid w:val="0"/>
                    <w:spacing w:line="240" w:lineRule="exact"/>
                    <w:jc w:val="center"/>
                    <w:rPr>
                      <w:color w:val="auto"/>
                      <w:szCs w:val="21"/>
                    </w:rPr>
                  </w:pPr>
                  <w:r>
                    <w:rPr>
                      <w:color w:val="auto"/>
                      <w:szCs w:val="21"/>
                    </w:rPr>
                    <w:t>14</w:t>
                  </w:r>
                </w:p>
              </w:tc>
              <w:tc>
                <w:tcPr>
                  <w:tcW w:w="684" w:type="dxa"/>
                  <w:tcBorders>
                    <w:tl2br w:val="nil"/>
                    <w:tr2bl w:val="nil"/>
                  </w:tcBorders>
                  <w:vAlign w:val="center"/>
                </w:tcPr>
                <w:p w14:paraId="676B6873">
                  <w:pPr>
                    <w:adjustRightInd w:val="0"/>
                    <w:snapToGrid w:val="0"/>
                    <w:spacing w:line="240" w:lineRule="exact"/>
                    <w:jc w:val="center"/>
                    <w:rPr>
                      <w:color w:val="auto"/>
                      <w:szCs w:val="21"/>
                    </w:rPr>
                  </w:pPr>
                  <w:r>
                    <w:rPr>
                      <w:color w:val="auto"/>
                      <w:szCs w:val="21"/>
                    </w:rPr>
                    <w:t>不锈</w:t>
                  </w:r>
                  <w:r>
                    <w:rPr>
                      <w:rFonts w:hint="eastAsia"/>
                      <w:color w:val="auto"/>
                      <w:szCs w:val="21"/>
                    </w:rPr>
                    <w:t>钢</w:t>
                  </w:r>
                  <w:r>
                    <w:rPr>
                      <w:color w:val="auto"/>
                      <w:szCs w:val="21"/>
                    </w:rPr>
                    <w:t>板</w:t>
                  </w:r>
                </w:p>
              </w:tc>
              <w:tc>
                <w:tcPr>
                  <w:tcW w:w="2458" w:type="dxa"/>
                  <w:tcBorders>
                    <w:tl2br w:val="nil"/>
                    <w:tr2bl w:val="nil"/>
                  </w:tcBorders>
                  <w:vAlign w:val="center"/>
                </w:tcPr>
                <w:p w14:paraId="415FB4D8">
                  <w:pPr>
                    <w:adjustRightInd w:val="0"/>
                    <w:snapToGrid w:val="0"/>
                    <w:spacing w:line="240" w:lineRule="exact"/>
                    <w:jc w:val="center"/>
                    <w:rPr>
                      <w:color w:val="auto"/>
                      <w:szCs w:val="21"/>
                    </w:rPr>
                  </w:pPr>
                  <w:r>
                    <w:rPr>
                      <w:color w:val="auto"/>
                      <w:szCs w:val="21"/>
                    </w:rPr>
                    <w:t>304不锈钢材质</w:t>
                  </w:r>
                </w:p>
              </w:tc>
              <w:tc>
                <w:tcPr>
                  <w:tcW w:w="1003" w:type="dxa"/>
                  <w:tcBorders>
                    <w:tl2br w:val="nil"/>
                    <w:tr2bl w:val="nil"/>
                  </w:tcBorders>
                  <w:vAlign w:val="center"/>
                </w:tcPr>
                <w:p w14:paraId="1ED24724">
                  <w:pPr>
                    <w:adjustRightInd w:val="0"/>
                    <w:snapToGrid w:val="0"/>
                    <w:jc w:val="center"/>
                    <w:rPr>
                      <w:color w:val="auto"/>
                      <w:szCs w:val="21"/>
                    </w:rPr>
                  </w:pPr>
                  <w:r>
                    <w:rPr>
                      <w:rFonts w:hint="eastAsia"/>
                      <w:color w:val="auto"/>
                      <w:szCs w:val="21"/>
                    </w:rPr>
                    <w:t>100</w:t>
                  </w:r>
                </w:p>
              </w:tc>
              <w:tc>
                <w:tcPr>
                  <w:tcW w:w="912" w:type="dxa"/>
                  <w:tcBorders>
                    <w:tl2br w:val="nil"/>
                    <w:tr2bl w:val="nil"/>
                  </w:tcBorders>
                  <w:vAlign w:val="center"/>
                </w:tcPr>
                <w:p w14:paraId="0200E448">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7AFCAB40">
                  <w:pPr>
                    <w:adjustRightInd w:val="0"/>
                    <w:snapToGrid w:val="0"/>
                    <w:jc w:val="center"/>
                    <w:rPr>
                      <w:rStyle w:val="1596"/>
                      <w:color w:val="auto"/>
                      <w:szCs w:val="21"/>
                    </w:rPr>
                  </w:pPr>
                  <w:r>
                    <w:rPr>
                      <w:rFonts w:hint="eastAsia"/>
                      <w:color w:val="auto"/>
                      <w:szCs w:val="21"/>
                    </w:rPr>
                    <w:t>6</w:t>
                  </w:r>
                </w:p>
              </w:tc>
              <w:tc>
                <w:tcPr>
                  <w:tcW w:w="842" w:type="dxa"/>
                  <w:tcBorders>
                    <w:tl2br w:val="nil"/>
                    <w:tr2bl w:val="nil"/>
                  </w:tcBorders>
                  <w:vAlign w:val="center"/>
                </w:tcPr>
                <w:p w14:paraId="653F29FD">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423E7290">
                  <w:pPr>
                    <w:tabs>
                      <w:tab w:val="left" w:pos="720"/>
                    </w:tabs>
                    <w:adjustRightInd w:val="0"/>
                    <w:snapToGrid w:val="0"/>
                    <w:spacing w:line="240" w:lineRule="exact"/>
                    <w:jc w:val="center"/>
                    <w:rPr>
                      <w:color w:val="auto"/>
                      <w:szCs w:val="21"/>
                    </w:rPr>
                  </w:pPr>
                  <w:r>
                    <w:rPr>
                      <w:color w:val="auto"/>
                      <w:szCs w:val="21"/>
                    </w:rPr>
                    <w:t>栈板</w:t>
                  </w:r>
                </w:p>
              </w:tc>
              <w:tc>
                <w:tcPr>
                  <w:tcW w:w="495" w:type="dxa"/>
                  <w:vMerge w:val="continue"/>
                  <w:tcBorders>
                    <w:tl2br w:val="nil"/>
                    <w:tr2bl w:val="nil"/>
                  </w:tcBorders>
                  <w:vAlign w:val="center"/>
                </w:tcPr>
                <w:p w14:paraId="6845914F">
                  <w:pPr>
                    <w:tabs>
                      <w:tab w:val="left" w:pos="720"/>
                    </w:tabs>
                    <w:adjustRightInd w:val="0"/>
                    <w:snapToGrid w:val="0"/>
                    <w:spacing w:line="240" w:lineRule="exact"/>
                    <w:jc w:val="center"/>
                    <w:rPr>
                      <w:color w:val="auto"/>
                      <w:szCs w:val="21"/>
                    </w:rPr>
                  </w:pPr>
                </w:p>
              </w:tc>
            </w:tr>
            <w:tr w14:paraId="65E186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FE416EB">
                  <w:pPr>
                    <w:tabs>
                      <w:tab w:val="left" w:pos="720"/>
                    </w:tabs>
                    <w:adjustRightInd w:val="0"/>
                    <w:snapToGrid w:val="0"/>
                    <w:spacing w:line="240" w:lineRule="exact"/>
                    <w:jc w:val="center"/>
                    <w:rPr>
                      <w:color w:val="auto"/>
                      <w:szCs w:val="21"/>
                    </w:rPr>
                  </w:pPr>
                  <w:r>
                    <w:rPr>
                      <w:color w:val="auto"/>
                      <w:szCs w:val="21"/>
                    </w:rPr>
                    <w:t>15</w:t>
                  </w:r>
                </w:p>
              </w:tc>
              <w:tc>
                <w:tcPr>
                  <w:tcW w:w="684" w:type="dxa"/>
                  <w:tcBorders>
                    <w:tl2br w:val="nil"/>
                    <w:tr2bl w:val="nil"/>
                  </w:tcBorders>
                  <w:vAlign w:val="center"/>
                </w:tcPr>
                <w:p w14:paraId="626830ED">
                  <w:pPr>
                    <w:adjustRightInd w:val="0"/>
                    <w:snapToGrid w:val="0"/>
                    <w:spacing w:line="240" w:lineRule="exact"/>
                    <w:jc w:val="center"/>
                    <w:rPr>
                      <w:color w:val="auto"/>
                      <w:szCs w:val="21"/>
                    </w:rPr>
                  </w:pPr>
                  <w:r>
                    <w:rPr>
                      <w:color w:val="auto"/>
                      <w:szCs w:val="21"/>
                    </w:rPr>
                    <w:t>冷拉碳钢管材</w:t>
                  </w:r>
                </w:p>
              </w:tc>
              <w:tc>
                <w:tcPr>
                  <w:tcW w:w="2458" w:type="dxa"/>
                  <w:tcBorders>
                    <w:tl2br w:val="nil"/>
                    <w:tr2bl w:val="nil"/>
                  </w:tcBorders>
                  <w:vAlign w:val="center"/>
                </w:tcPr>
                <w:p w14:paraId="4AA85C40">
                  <w:pPr>
                    <w:adjustRightInd w:val="0"/>
                    <w:snapToGrid w:val="0"/>
                    <w:spacing w:line="240" w:lineRule="exact"/>
                    <w:jc w:val="center"/>
                    <w:rPr>
                      <w:color w:val="auto"/>
                      <w:szCs w:val="21"/>
                    </w:rPr>
                  </w:pPr>
                  <w:r>
                    <w:rPr>
                      <w:color w:val="auto"/>
                      <w:szCs w:val="21"/>
                    </w:rPr>
                    <w:t>钢材</w:t>
                  </w:r>
                </w:p>
              </w:tc>
              <w:tc>
                <w:tcPr>
                  <w:tcW w:w="1003" w:type="dxa"/>
                  <w:tcBorders>
                    <w:tl2br w:val="nil"/>
                    <w:tr2bl w:val="nil"/>
                  </w:tcBorders>
                  <w:vAlign w:val="center"/>
                </w:tcPr>
                <w:p w14:paraId="4AE5EE4A">
                  <w:pPr>
                    <w:adjustRightInd w:val="0"/>
                    <w:snapToGrid w:val="0"/>
                    <w:jc w:val="center"/>
                    <w:rPr>
                      <w:color w:val="auto"/>
                      <w:szCs w:val="21"/>
                    </w:rPr>
                  </w:pPr>
                  <w:r>
                    <w:rPr>
                      <w:rFonts w:hint="eastAsia"/>
                      <w:color w:val="auto"/>
                      <w:szCs w:val="21"/>
                    </w:rPr>
                    <w:t>30</w:t>
                  </w:r>
                </w:p>
              </w:tc>
              <w:tc>
                <w:tcPr>
                  <w:tcW w:w="912" w:type="dxa"/>
                  <w:tcBorders>
                    <w:tl2br w:val="nil"/>
                    <w:tr2bl w:val="nil"/>
                  </w:tcBorders>
                  <w:vAlign w:val="center"/>
                </w:tcPr>
                <w:p w14:paraId="3F4525C8">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1294730E">
                  <w:pPr>
                    <w:adjustRightInd w:val="0"/>
                    <w:snapToGrid w:val="0"/>
                    <w:jc w:val="center"/>
                    <w:rPr>
                      <w:rStyle w:val="1596"/>
                      <w:color w:val="auto"/>
                      <w:szCs w:val="21"/>
                    </w:rPr>
                  </w:pPr>
                  <w:r>
                    <w:rPr>
                      <w:rFonts w:hint="eastAsia"/>
                      <w:color w:val="auto"/>
                      <w:szCs w:val="21"/>
                    </w:rPr>
                    <w:t>5</w:t>
                  </w:r>
                </w:p>
              </w:tc>
              <w:tc>
                <w:tcPr>
                  <w:tcW w:w="842" w:type="dxa"/>
                  <w:tcBorders>
                    <w:tl2br w:val="nil"/>
                    <w:tr2bl w:val="nil"/>
                  </w:tcBorders>
                  <w:vAlign w:val="center"/>
                </w:tcPr>
                <w:p w14:paraId="021A4ADB">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0C801BE">
                  <w:pPr>
                    <w:tabs>
                      <w:tab w:val="left" w:pos="720"/>
                    </w:tabs>
                    <w:adjustRightInd w:val="0"/>
                    <w:snapToGrid w:val="0"/>
                    <w:spacing w:line="240" w:lineRule="exact"/>
                    <w:jc w:val="center"/>
                    <w:rPr>
                      <w:color w:val="auto"/>
                      <w:szCs w:val="21"/>
                    </w:rPr>
                  </w:pPr>
                  <w:r>
                    <w:rPr>
                      <w:color w:val="auto"/>
                      <w:szCs w:val="21"/>
                    </w:rPr>
                    <w:t>料架</w:t>
                  </w:r>
                </w:p>
              </w:tc>
              <w:tc>
                <w:tcPr>
                  <w:tcW w:w="495" w:type="dxa"/>
                  <w:vMerge w:val="continue"/>
                  <w:tcBorders>
                    <w:tl2br w:val="nil"/>
                    <w:tr2bl w:val="nil"/>
                  </w:tcBorders>
                  <w:vAlign w:val="center"/>
                </w:tcPr>
                <w:p w14:paraId="4D6C8D8A">
                  <w:pPr>
                    <w:tabs>
                      <w:tab w:val="left" w:pos="720"/>
                    </w:tabs>
                    <w:adjustRightInd w:val="0"/>
                    <w:snapToGrid w:val="0"/>
                    <w:spacing w:line="240" w:lineRule="exact"/>
                    <w:jc w:val="center"/>
                    <w:rPr>
                      <w:color w:val="auto"/>
                      <w:szCs w:val="21"/>
                    </w:rPr>
                  </w:pPr>
                </w:p>
              </w:tc>
            </w:tr>
            <w:tr w14:paraId="193D8D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44011992">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6</w:t>
                  </w:r>
                </w:p>
              </w:tc>
              <w:tc>
                <w:tcPr>
                  <w:tcW w:w="684" w:type="dxa"/>
                  <w:tcBorders>
                    <w:tl2br w:val="nil"/>
                    <w:tr2bl w:val="nil"/>
                  </w:tcBorders>
                  <w:vAlign w:val="center"/>
                </w:tcPr>
                <w:p w14:paraId="28AE0469">
                  <w:pPr>
                    <w:adjustRightInd w:val="0"/>
                    <w:snapToGrid w:val="0"/>
                    <w:spacing w:line="240" w:lineRule="exact"/>
                    <w:jc w:val="center"/>
                    <w:rPr>
                      <w:color w:val="auto"/>
                      <w:szCs w:val="21"/>
                    </w:rPr>
                  </w:pPr>
                  <w:r>
                    <w:rPr>
                      <w:color w:val="auto"/>
                      <w:szCs w:val="21"/>
                    </w:rPr>
                    <w:t>不锈钢管材</w:t>
                  </w:r>
                </w:p>
              </w:tc>
              <w:tc>
                <w:tcPr>
                  <w:tcW w:w="2458" w:type="dxa"/>
                  <w:tcBorders>
                    <w:tl2br w:val="nil"/>
                    <w:tr2bl w:val="nil"/>
                  </w:tcBorders>
                  <w:vAlign w:val="center"/>
                </w:tcPr>
                <w:p w14:paraId="2394CA26">
                  <w:pPr>
                    <w:adjustRightInd w:val="0"/>
                    <w:snapToGrid w:val="0"/>
                    <w:spacing w:line="240" w:lineRule="exact"/>
                    <w:jc w:val="center"/>
                    <w:rPr>
                      <w:color w:val="auto"/>
                      <w:szCs w:val="21"/>
                    </w:rPr>
                  </w:pPr>
                  <w:r>
                    <w:rPr>
                      <w:color w:val="auto"/>
                      <w:szCs w:val="21"/>
                    </w:rPr>
                    <w:t>304不锈钢材质</w:t>
                  </w:r>
                </w:p>
              </w:tc>
              <w:tc>
                <w:tcPr>
                  <w:tcW w:w="1003" w:type="dxa"/>
                  <w:tcBorders>
                    <w:tl2br w:val="nil"/>
                    <w:tr2bl w:val="nil"/>
                  </w:tcBorders>
                  <w:vAlign w:val="center"/>
                </w:tcPr>
                <w:p w14:paraId="4C2F19FA">
                  <w:pPr>
                    <w:adjustRightInd w:val="0"/>
                    <w:snapToGrid w:val="0"/>
                    <w:jc w:val="center"/>
                    <w:rPr>
                      <w:color w:val="auto"/>
                      <w:szCs w:val="21"/>
                    </w:rPr>
                  </w:pPr>
                  <w:r>
                    <w:rPr>
                      <w:rFonts w:hint="eastAsia"/>
                      <w:color w:val="auto"/>
                      <w:szCs w:val="21"/>
                    </w:rPr>
                    <w:t>40</w:t>
                  </w:r>
                </w:p>
              </w:tc>
              <w:tc>
                <w:tcPr>
                  <w:tcW w:w="912" w:type="dxa"/>
                  <w:tcBorders>
                    <w:tl2br w:val="nil"/>
                    <w:tr2bl w:val="nil"/>
                  </w:tcBorders>
                  <w:vAlign w:val="center"/>
                </w:tcPr>
                <w:p w14:paraId="3B63EF6C">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49BE7499">
                  <w:pPr>
                    <w:adjustRightInd w:val="0"/>
                    <w:snapToGrid w:val="0"/>
                    <w:jc w:val="center"/>
                    <w:rPr>
                      <w:rStyle w:val="1596"/>
                      <w:color w:val="auto"/>
                      <w:szCs w:val="21"/>
                    </w:rPr>
                  </w:pPr>
                  <w:r>
                    <w:rPr>
                      <w:rFonts w:hint="eastAsia"/>
                      <w:color w:val="auto"/>
                      <w:szCs w:val="21"/>
                    </w:rPr>
                    <w:t>4</w:t>
                  </w:r>
                </w:p>
              </w:tc>
              <w:tc>
                <w:tcPr>
                  <w:tcW w:w="842" w:type="dxa"/>
                  <w:tcBorders>
                    <w:tl2br w:val="nil"/>
                    <w:tr2bl w:val="nil"/>
                  </w:tcBorders>
                  <w:vAlign w:val="center"/>
                </w:tcPr>
                <w:p w14:paraId="25EDE9A9">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9C03A1D">
                  <w:pPr>
                    <w:adjustRightInd w:val="0"/>
                    <w:snapToGrid w:val="0"/>
                    <w:jc w:val="center"/>
                    <w:rPr>
                      <w:color w:val="auto"/>
                      <w:szCs w:val="21"/>
                    </w:rPr>
                  </w:pPr>
                  <w:r>
                    <w:rPr>
                      <w:color w:val="auto"/>
                      <w:szCs w:val="21"/>
                    </w:rPr>
                    <w:t>料架</w:t>
                  </w:r>
                </w:p>
              </w:tc>
              <w:tc>
                <w:tcPr>
                  <w:tcW w:w="495" w:type="dxa"/>
                  <w:vMerge w:val="continue"/>
                  <w:tcBorders>
                    <w:tl2br w:val="nil"/>
                    <w:tr2bl w:val="nil"/>
                  </w:tcBorders>
                  <w:vAlign w:val="center"/>
                </w:tcPr>
                <w:p w14:paraId="6D136962">
                  <w:pPr>
                    <w:tabs>
                      <w:tab w:val="left" w:pos="720"/>
                    </w:tabs>
                    <w:adjustRightInd w:val="0"/>
                    <w:snapToGrid w:val="0"/>
                    <w:spacing w:line="240" w:lineRule="exact"/>
                    <w:jc w:val="center"/>
                    <w:rPr>
                      <w:color w:val="auto"/>
                      <w:szCs w:val="21"/>
                    </w:rPr>
                  </w:pPr>
                </w:p>
              </w:tc>
            </w:tr>
            <w:tr w14:paraId="6B882B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3E9AE172">
                  <w:pPr>
                    <w:tabs>
                      <w:tab w:val="left" w:pos="720"/>
                    </w:tabs>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17</w:t>
                  </w:r>
                </w:p>
              </w:tc>
              <w:tc>
                <w:tcPr>
                  <w:tcW w:w="684" w:type="dxa"/>
                  <w:tcBorders>
                    <w:tl2br w:val="nil"/>
                    <w:tr2bl w:val="nil"/>
                  </w:tcBorders>
                  <w:vAlign w:val="center"/>
                </w:tcPr>
                <w:p w14:paraId="252E419F">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钢丸</w:t>
                  </w:r>
                </w:p>
              </w:tc>
              <w:tc>
                <w:tcPr>
                  <w:tcW w:w="2458" w:type="dxa"/>
                  <w:tcBorders>
                    <w:tl2br w:val="nil"/>
                    <w:tr2bl w:val="nil"/>
                  </w:tcBorders>
                  <w:vAlign w:val="center"/>
                </w:tcPr>
                <w:p w14:paraId="27C7FBD0">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抛丸机用钢丸</w:t>
                  </w:r>
                </w:p>
              </w:tc>
              <w:tc>
                <w:tcPr>
                  <w:tcW w:w="1003" w:type="dxa"/>
                  <w:tcBorders>
                    <w:tl2br w:val="nil"/>
                    <w:tr2bl w:val="nil"/>
                  </w:tcBorders>
                  <w:vAlign w:val="center"/>
                </w:tcPr>
                <w:p w14:paraId="107015DE">
                  <w:pPr>
                    <w:adjustRightInd w:val="0"/>
                    <w:snapToGrid w:val="0"/>
                    <w:jc w:val="center"/>
                    <w:rPr>
                      <w:rFonts w:hint="default" w:eastAsia="宋体"/>
                      <w:color w:val="auto"/>
                      <w:szCs w:val="21"/>
                      <w:lang w:val="en-US" w:eastAsia="zh-CN"/>
                    </w:rPr>
                  </w:pPr>
                  <w:r>
                    <w:rPr>
                      <w:rFonts w:hint="eastAsia"/>
                      <w:color w:val="auto"/>
                      <w:szCs w:val="21"/>
                      <w:lang w:val="en-US" w:eastAsia="zh-CN"/>
                    </w:rPr>
                    <w:t>48</w:t>
                  </w:r>
                </w:p>
              </w:tc>
              <w:tc>
                <w:tcPr>
                  <w:tcW w:w="912" w:type="dxa"/>
                  <w:tcBorders>
                    <w:tl2br w:val="nil"/>
                    <w:tr2bl w:val="nil"/>
                  </w:tcBorders>
                  <w:vAlign w:val="center"/>
                </w:tcPr>
                <w:p w14:paraId="31ED93DF">
                  <w:pPr>
                    <w:adjustRightInd w:val="0"/>
                    <w:snapToGrid w:val="0"/>
                    <w:jc w:val="center"/>
                    <w:rPr>
                      <w:rFonts w:hint="eastAsia" w:eastAsia="宋体"/>
                      <w:color w:val="auto"/>
                      <w:szCs w:val="21"/>
                      <w:lang w:val="en-US" w:eastAsia="zh-CN"/>
                    </w:rPr>
                  </w:pPr>
                  <w:r>
                    <w:rPr>
                      <w:rFonts w:hint="eastAsia"/>
                      <w:color w:val="auto"/>
                      <w:szCs w:val="21"/>
                      <w:lang w:val="en-US" w:eastAsia="zh-CN"/>
                    </w:rPr>
                    <w:t>吨</w:t>
                  </w:r>
                </w:p>
              </w:tc>
              <w:tc>
                <w:tcPr>
                  <w:tcW w:w="623" w:type="dxa"/>
                  <w:tcBorders>
                    <w:tl2br w:val="nil"/>
                    <w:tr2bl w:val="nil"/>
                  </w:tcBorders>
                  <w:vAlign w:val="center"/>
                </w:tcPr>
                <w:p w14:paraId="510EA446">
                  <w:pPr>
                    <w:adjustRightInd w:val="0"/>
                    <w:snapToGrid w:val="0"/>
                    <w:jc w:val="center"/>
                    <w:rPr>
                      <w:rFonts w:hint="eastAsia" w:eastAsia="宋体"/>
                      <w:color w:val="auto"/>
                      <w:szCs w:val="21"/>
                      <w:lang w:val="en-US" w:eastAsia="zh-CN"/>
                    </w:rPr>
                  </w:pPr>
                  <w:r>
                    <w:rPr>
                      <w:rFonts w:hint="eastAsia"/>
                      <w:color w:val="auto"/>
                      <w:szCs w:val="21"/>
                      <w:lang w:val="en-US" w:eastAsia="zh-CN"/>
                    </w:rPr>
                    <w:t>8</w:t>
                  </w:r>
                </w:p>
              </w:tc>
              <w:tc>
                <w:tcPr>
                  <w:tcW w:w="842" w:type="dxa"/>
                  <w:tcBorders>
                    <w:tl2br w:val="nil"/>
                    <w:tr2bl w:val="nil"/>
                  </w:tcBorders>
                  <w:vAlign w:val="center"/>
                </w:tcPr>
                <w:p w14:paraId="7A15B502">
                  <w:pPr>
                    <w:jc w:val="center"/>
                    <w:rPr>
                      <w:rFonts w:hint="eastAsia"/>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0C8B21B">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7A4C21FD">
                  <w:pPr>
                    <w:tabs>
                      <w:tab w:val="left" w:pos="720"/>
                    </w:tabs>
                    <w:adjustRightInd w:val="0"/>
                    <w:snapToGrid w:val="0"/>
                    <w:spacing w:line="240" w:lineRule="exact"/>
                    <w:jc w:val="center"/>
                    <w:rPr>
                      <w:color w:val="auto"/>
                      <w:szCs w:val="21"/>
                    </w:rPr>
                  </w:pPr>
                </w:p>
              </w:tc>
            </w:tr>
            <w:tr w14:paraId="71DF22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42139810">
                  <w:pPr>
                    <w:tabs>
                      <w:tab w:val="left" w:pos="720"/>
                    </w:tabs>
                    <w:adjustRightInd w:val="0"/>
                    <w:snapToGrid w:val="0"/>
                    <w:spacing w:line="240" w:lineRule="exact"/>
                    <w:jc w:val="center"/>
                    <w:rPr>
                      <w:color w:val="auto"/>
                      <w:szCs w:val="21"/>
                    </w:rPr>
                  </w:pPr>
                  <w:r>
                    <w:rPr>
                      <w:color w:val="auto"/>
                      <w:szCs w:val="21"/>
                    </w:rPr>
                    <w:t>1</w:t>
                  </w:r>
                  <w:r>
                    <w:rPr>
                      <w:rFonts w:hint="eastAsia"/>
                      <w:color w:val="auto"/>
                      <w:szCs w:val="21"/>
                    </w:rPr>
                    <w:t>8</w:t>
                  </w:r>
                </w:p>
              </w:tc>
              <w:tc>
                <w:tcPr>
                  <w:tcW w:w="684" w:type="dxa"/>
                  <w:tcBorders>
                    <w:tl2br w:val="nil"/>
                    <w:tr2bl w:val="nil"/>
                  </w:tcBorders>
                  <w:vAlign w:val="center"/>
                </w:tcPr>
                <w:p w14:paraId="6C2E3D56">
                  <w:pPr>
                    <w:adjustRightInd w:val="0"/>
                    <w:snapToGrid w:val="0"/>
                    <w:spacing w:line="240" w:lineRule="exact"/>
                    <w:jc w:val="center"/>
                    <w:rPr>
                      <w:color w:val="auto"/>
                      <w:szCs w:val="21"/>
                    </w:rPr>
                  </w:pPr>
                  <w:r>
                    <w:rPr>
                      <w:rFonts w:hint="eastAsia"/>
                      <w:color w:val="auto"/>
                      <w:szCs w:val="21"/>
                    </w:rPr>
                    <w:t>聚氨酯胶</w:t>
                  </w:r>
                </w:p>
              </w:tc>
              <w:tc>
                <w:tcPr>
                  <w:tcW w:w="2458" w:type="dxa"/>
                  <w:tcBorders>
                    <w:tl2br w:val="nil"/>
                    <w:tr2bl w:val="nil"/>
                  </w:tcBorders>
                  <w:vAlign w:val="center"/>
                </w:tcPr>
                <w:p w14:paraId="7275C4CF">
                  <w:pPr>
                    <w:adjustRightInd w:val="0"/>
                    <w:snapToGrid w:val="0"/>
                    <w:spacing w:line="240" w:lineRule="exact"/>
                    <w:jc w:val="center"/>
                    <w:rPr>
                      <w:color w:val="auto"/>
                      <w:szCs w:val="21"/>
                    </w:rPr>
                  </w:pPr>
                  <w:r>
                    <w:rPr>
                      <w:rFonts w:hint="eastAsia"/>
                      <w:color w:val="auto"/>
                      <w:szCs w:val="21"/>
                    </w:rPr>
                    <w:t>1</w:t>
                  </w:r>
                  <w:r>
                    <w:rPr>
                      <w:rFonts w:hint="eastAsia"/>
                      <w:color w:val="auto"/>
                      <w:szCs w:val="21"/>
                      <w:lang w:eastAsia="zh-CN"/>
                    </w:rPr>
                    <w:t>%～</w:t>
                  </w:r>
                  <w:r>
                    <w:rPr>
                      <w:rFonts w:hint="eastAsia"/>
                      <w:color w:val="auto"/>
                      <w:szCs w:val="21"/>
                    </w:rPr>
                    <w:t>20%聚醚、1</w:t>
                  </w:r>
                  <w:r>
                    <w:rPr>
                      <w:rFonts w:hint="eastAsia"/>
                      <w:color w:val="auto"/>
                      <w:szCs w:val="21"/>
                      <w:lang w:eastAsia="zh-CN"/>
                    </w:rPr>
                    <w:t>%～</w:t>
                  </w:r>
                  <w:r>
                    <w:rPr>
                      <w:rFonts w:hint="eastAsia"/>
                      <w:color w:val="auto"/>
                      <w:szCs w:val="21"/>
                    </w:rPr>
                    <w:t>60%蓖麻油、1</w:t>
                  </w:r>
                  <w:r>
                    <w:rPr>
                      <w:rFonts w:hint="eastAsia"/>
                      <w:color w:val="auto"/>
                      <w:szCs w:val="21"/>
                      <w:lang w:eastAsia="zh-CN"/>
                    </w:rPr>
                    <w:t>%～</w:t>
                  </w:r>
                  <w:r>
                    <w:rPr>
                      <w:rFonts w:hint="eastAsia"/>
                      <w:color w:val="auto"/>
                      <w:szCs w:val="21"/>
                    </w:rPr>
                    <w:t>60%碳酸钙组成</w:t>
                  </w:r>
                </w:p>
              </w:tc>
              <w:tc>
                <w:tcPr>
                  <w:tcW w:w="1003" w:type="dxa"/>
                  <w:tcBorders>
                    <w:tl2br w:val="nil"/>
                    <w:tr2bl w:val="nil"/>
                  </w:tcBorders>
                  <w:vAlign w:val="center"/>
                </w:tcPr>
                <w:p w14:paraId="1E2D9488">
                  <w:pPr>
                    <w:adjustRightInd w:val="0"/>
                    <w:snapToGrid w:val="0"/>
                    <w:jc w:val="center"/>
                    <w:rPr>
                      <w:color w:val="auto"/>
                      <w:szCs w:val="21"/>
                    </w:rPr>
                  </w:pPr>
                  <w:r>
                    <w:rPr>
                      <w:rFonts w:hint="eastAsia"/>
                      <w:color w:val="auto"/>
                      <w:szCs w:val="21"/>
                    </w:rPr>
                    <w:t>9.5</w:t>
                  </w:r>
                </w:p>
              </w:tc>
              <w:tc>
                <w:tcPr>
                  <w:tcW w:w="912" w:type="dxa"/>
                  <w:tcBorders>
                    <w:tl2br w:val="nil"/>
                    <w:tr2bl w:val="nil"/>
                  </w:tcBorders>
                  <w:vAlign w:val="center"/>
                </w:tcPr>
                <w:p w14:paraId="09CB951E">
                  <w:pPr>
                    <w:adjustRightInd w:val="0"/>
                    <w:snapToGrid w:val="0"/>
                    <w:jc w:val="center"/>
                    <w:rPr>
                      <w:color w:val="auto"/>
                      <w:szCs w:val="21"/>
                    </w:rPr>
                  </w:pPr>
                  <w:r>
                    <w:rPr>
                      <w:rFonts w:hint="eastAsia"/>
                      <w:color w:val="auto"/>
                      <w:szCs w:val="21"/>
                    </w:rPr>
                    <w:t>吨</w:t>
                  </w:r>
                </w:p>
              </w:tc>
              <w:tc>
                <w:tcPr>
                  <w:tcW w:w="623" w:type="dxa"/>
                  <w:tcBorders>
                    <w:tl2br w:val="nil"/>
                    <w:tr2bl w:val="nil"/>
                  </w:tcBorders>
                  <w:vAlign w:val="center"/>
                </w:tcPr>
                <w:p w14:paraId="324E9854">
                  <w:pPr>
                    <w:adjustRightInd w:val="0"/>
                    <w:snapToGrid w:val="0"/>
                    <w:jc w:val="center"/>
                    <w:rPr>
                      <w:color w:val="auto"/>
                      <w:szCs w:val="21"/>
                    </w:rPr>
                  </w:pPr>
                  <w:r>
                    <w:rPr>
                      <w:rFonts w:hint="eastAsia"/>
                      <w:color w:val="auto"/>
                      <w:szCs w:val="21"/>
                    </w:rPr>
                    <w:t>1</w:t>
                  </w:r>
                </w:p>
              </w:tc>
              <w:tc>
                <w:tcPr>
                  <w:tcW w:w="842" w:type="dxa"/>
                  <w:tcBorders>
                    <w:tl2br w:val="nil"/>
                    <w:tr2bl w:val="nil"/>
                  </w:tcBorders>
                  <w:vAlign w:val="center"/>
                </w:tcPr>
                <w:p w14:paraId="703B64D8">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39C04AA">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47EC0D06">
                  <w:pPr>
                    <w:tabs>
                      <w:tab w:val="left" w:pos="720"/>
                    </w:tabs>
                    <w:adjustRightInd w:val="0"/>
                    <w:snapToGrid w:val="0"/>
                    <w:spacing w:line="240" w:lineRule="exact"/>
                    <w:jc w:val="center"/>
                    <w:rPr>
                      <w:color w:val="auto"/>
                      <w:szCs w:val="21"/>
                    </w:rPr>
                  </w:pPr>
                </w:p>
              </w:tc>
            </w:tr>
            <w:tr w14:paraId="15CEDE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59D7F13">
                  <w:pPr>
                    <w:tabs>
                      <w:tab w:val="left" w:pos="720"/>
                    </w:tabs>
                    <w:adjustRightInd w:val="0"/>
                    <w:snapToGrid w:val="0"/>
                    <w:spacing w:line="240" w:lineRule="exact"/>
                    <w:jc w:val="center"/>
                    <w:rPr>
                      <w:color w:val="auto"/>
                      <w:szCs w:val="21"/>
                    </w:rPr>
                  </w:pPr>
                  <w:r>
                    <w:rPr>
                      <w:rFonts w:hint="eastAsia"/>
                      <w:color w:val="auto"/>
                      <w:szCs w:val="21"/>
                    </w:rPr>
                    <w:t>19</w:t>
                  </w:r>
                </w:p>
              </w:tc>
              <w:tc>
                <w:tcPr>
                  <w:tcW w:w="684" w:type="dxa"/>
                  <w:tcBorders>
                    <w:tl2br w:val="nil"/>
                    <w:tr2bl w:val="nil"/>
                  </w:tcBorders>
                  <w:vAlign w:val="center"/>
                </w:tcPr>
                <w:p w14:paraId="45D7B723">
                  <w:pPr>
                    <w:adjustRightInd w:val="0"/>
                    <w:snapToGrid w:val="0"/>
                    <w:spacing w:line="240" w:lineRule="exact"/>
                    <w:jc w:val="center"/>
                    <w:rPr>
                      <w:color w:val="auto"/>
                      <w:szCs w:val="21"/>
                    </w:rPr>
                  </w:pPr>
                  <w:r>
                    <w:rPr>
                      <w:rFonts w:hint="eastAsia"/>
                      <w:color w:val="auto"/>
                      <w:szCs w:val="21"/>
                    </w:rPr>
                    <w:t>实芯焊丝</w:t>
                  </w:r>
                </w:p>
              </w:tc>
              <w:tc>
                <w:tcPr>
                  <w:tcW w:w="2458" w:type="dxa"/>
                  <w:tcBorders>
                    <w:tl2br w:val="nil"/>
                    <w:tr2bl w:val="nil"/>
                  </w:tcBorders>
                  <w:vAlign w:val="center"/>
                </w:tcPr>
                <w:p w14:paraId="1E65E79E">
                  <w:pPr>
                    <w:adjustRightInd w:val="0"/>
                    <w:snapToGrid w:val="0"/>
                    <w:spacing w:line="240" w:lineRule="exact"/>
                    <w:jc w:val="center"/>
                    <w:rPr>
                      <w:color w:val="auto"/>
                      <w:szCs w:val="21"/>
                    </w:rPr>
                  </w:pPr>
                  <w:r>
                    <w:rPr>
                      <w:rFonts w:hint="eastAsia"/>
                      <w:color w:val="auto"/>
                      <w:szCs w:val="21"/>
                    </w:rPr>
                    <w:t>氩弧焊丝直条</w:t>
                  </w:r>
                </w:p>
              </w:tc>
              <w:tc>
                <w:tcPr>
                  <w:tcW w:w="1003" w:type="dxa"/>
                  <w:tcBorders>
                    <w:tl2br w:val="nil"/>
                    <w:tr2bl w:val="nil"/>
                  </w:tcBorders>
                  <w:vAlign w:val="center"/>
                </w:tcPr>
                <w:p w14:paraId="122CACCD">
                  <w:pPr>
                    <w:adjustRightInd w:val="0"/>
                    <w:snapToGrid w:val="0"/>
                    <w:jc w:val="center"/>
                    <w:rPr>
                      <w:color w:val="auto"/>
                      <w:szCs w:val="21"/>
                    </w:rPr>
                  </w:pPr>
                  <w:r>
                    <w:rPr>
                      <w:rFonts w:hint="eastAsia"/>
                      <w:color w:val="auto"/>
                      <w:szCs w:val="21"/>
                    </w:rPr>
                    <w:t>50</w:t>
                  </w:r>
                </w:p>
              </w:tc>
              <w:tc>
                <w:tcPr>
                  <w:tcW w:w="912" w:type="dxa"/>
                  <w:tcBorders>
                    <w:tl2br w:val="nil"/>
                    <w:tr2bl w:val="nil"/>
                  </w:tcBorders>
                  <w:vAlign w:val="center"/>
                </w:tcPr>
                <w:p w14:paraId="4B539BD1">
                  <w:pPr>
                    <w:adjustRightInd w:val="0"/>
                    <w:snapToGrid w:val="0"/>
                    <w:jc w:val="center"/>
                    <w:rPr>
                      <w:rStyle w:val="1596"/>
                      <w:color w:val="auto"/>
                      <w:szCs w:val="21"/>
                    </w:rPr>
                  </w:pPr>
                  <w:r>
                    <w:rPr>
                      <w:rFonts w:hint="eastAsia"/>
                      <w:color w:val="auto"/>
                      <w:szCs w:val="21"/>
                    </w:rPr>
                    <w:t>公斤</w:t>
                  </w:r>
                </w:p>
              </w:tc>
              <w:tc>
                <w:tcPr>
                  <w:tcW w:w="623" w:type="dxa"/>
                  <w:tcBorders>
                    <w:tl2br w:val="nil"/>
                    <w:tr2bl w:val="nil"/>
                  </w:tcBorders>
                  <w:vAlign w:val="center"/>
                </w:tcPr>
                <w:p w14:paraId="20393772">
                  <w:pPr>
                    <w:adjustRightInd w:val="0"/>
                    <w:snapToGrid w:val="0"/>
                    <w:jc w:val="center"/>
                    <w:rPr>
                      <w:rStyle w:val="1596"/>
                      <w:color w:val="auto"/>
                      <w:szCs w:val="21"/>
                    </w:rPr>
                  </w:pPr>
                  <w:r>
                    <w:rPr>
                      <w:rFonts w:hint="eastAsia"/>
                      <w:color w:val="auto"/>
                      <w:szCs w:val="21"/>
                    </w:rPr>
                    <w:t>10</w:t>
                  </w:r>
                </w:p>
              </w:tc>
              <w:tc>
                <w:tcPr>
                  <w:tcW w:w="842" w:type="dxa"/>
                  <w:tcBorders>
                    <w:tl2br w:val="nil"/>
                    <w:tr2bl w:val="nil"/>
                  </w:tcBorders>
                  <w:vAlign w:val="center"/>
                </w:tcPr>
                <w:p w14:paraId="215A5157">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FB19405">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2757020B">
                  <w:pPr>
                    <w:tabs>
                      <w:tab w:val="left" w:pos="720"/>
                    </w:tabs>
                    <w:adjustRightInd w:val="0"/>
                    <w:snapToGrid w:val="0"/>
                    <w:spacing w:line="240" w:lineRule="exact"/>
                    <w:jc w:val="center"/>
                    <w:rPr>
                      <w:color w:val="auto"/>
                      <w:szCs w:val="21"/>
                    </w:rPr>
                  </w:pPr>
                </w:p>
              </w:tc>
            </w:tr>
            <w:tr w14:paraId="624A17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F9D7BF6">
                  <w:pPr>
                    <w:tabs>
                      <w:tab w:val="left" w:pos="720"/>
                    </w:tabs>
                    <w:adjustRightInd w:val="0"/>
                    <w:snapToGrid w:val="0"/>
                    <w:spacing w:line="240" w:lineRule="exact"/>
                    <w:jc w:val="center"/>
                    <w:rPr>
                      <w:color w:val="auto"/>
                      <w:szCs w:val="21"/>
                    </w:rPr>
                  </w:pPr>
                  <w:r>
                    <w:rPr>
                      <w:rFonts w:hint="eastAsia"/>
                      <w:color w:val="auto"/>
                      <w:szCs w:val="21"/>
                    </w:rPr>
                    <w:t>20</w:t>
                  </w:r>
                </w:p>
              </w:tc>
              <w:tc>
                <w:tcPr>
                  <w:tcW w:w="684" w:type="dxa"/>
                  <w:tcBorders>
                    <w:tl2br w:val="nil"/>
                    <w:tr2bl w:val="nil"/>
                  </w:tcBorders>
                  <w:vAlign w:val="center"/>
                </w:tcPr>
                <w:p w14:paraId="0435A8EF">
                  <w:pPr>
                    <w:adjustRightInd w:val="0"/>
                    <w:snapToGrid w:val="0"/>
                    <w:spacing w:line="240" w:lineRule="exact"/>
                    <w:jc w:val="center"/>
                    <w:rPr>
                      <w:color w:val="auto"/>
                      <w:szCs w:val="21"/>
                    </w:rPr>
                  </w:pPr>
                  <w:r>
                    <w:rPr>
                      <w:color w:val="auto"/>
                      <w:szCs w:val="21"/>
                    </w:rPr>
                    <w:t>抛光蜡</w:t>
                  </w:r>
                </w:p>
              </w:tc>
              <w:tc>
                <w:tcPr>
                  <w:tcW w:w="2458" w:type="dxa"/>
                  <w:tcBorders>
                    <w:tl2br w:val="nil"/>
                    <w:tr2bl w:val="nil"/>
                  </w:tcBorders>
                  <w:vAlign w:val="center"/>
                </w:tcPr>
                <w:p w14:paraId="710D98DA">
                  <w:pPr>
                    <w:adjustRightInd w:val="0"/>
                    <w:snapToGrid w:val="0"/>
                    <w:spacing w:line="240" w:lineRule="exact"/>
                    <w:jc w:val="center"/>
                    <w:rPr>
                      <w:color w:val="auto"/>
                      <w:szCs w:val="21"/>
                    </w:rPr>
                  </w:pPr>
                  <w:r>
                    <w:rPr>
                      <w:color w:val="auto"/>
                      <w:szCs w:val="21"/>
                    </w:rPr>
                    <w:t>研磨料和蜡</w:t>
                  </w:r>
                </w:p>
              </w:tc>
              <w:tc>
                <w:tcPr>
                  <w:tcW w:w="1003" w:type="dxa"/>
                  <w:tcBorders>
                    <w:tl2br w:val="nil"/>
                    <w:tr2bl w:val="nil"/>
                  </w:tcBorders>
                  <w:vAlign w:val="center"/>
                </w:tcPr>
                <w:p w14:paraId="06774EE5">
                  <w:pPr>
                    <w:adjustRightInd w:val="0"/>
                    <w:snapToGrid w:val="0"/>
                    <w:jc w:val="center"/>
                    <w:rPr>
                      <w:color w:val="auto"/>
                      <w:szCs w:val="21"/>
                    </w:rPr>
                  </w:pPr>
                  <w:r>
                    <w:rPr>
                      <w:color w:val="auto"/>
                      <w:szCs w:val="21"/>
                    </w:rPr>
                    <w:t>2</w:t>
                  </w:r>
                  <w:r>
                    <w:rPr>
                      <w:rFonts w:hint="eastAsia"/>
                      <w:color w:val="auto"/>
                      <w:szCs w:val="21"/>
                    </w:rPr>
                    <w:t>200</w:t>
                  </w:r>
                </w:p>
              </w:tc>
              <w:tc>
                <w:tcPr>
                  <w:tcW w:w="912" w:type="dxa"/>
                  <w:tcBorders>
                    <w:tl2br w:val="nil"/>
                    <w:tr2bl w:val="nil"/>
                  </w:tcBorders>
                  <w:vAlign w:val="center"/>
                </w:tcPr>
                <w:p w14:paraId="66D49ADB">
                  <w:pPr>
                    <w:adjustRightInd w:val="0"/>
                    <w:snapToGrid w:val="0"/>
                    <w:jc w:val="center"/>
                    <w:rPr>
                      <w:color w:val="auto"/>
                      <w:szCs w:val="21"/>
                    </w:rPr>
                  </w:pPr>
                  <w:r>
                    <w:rPr>
                      <w:rFonts w:hint="eastAsia"/>
                      <w:color w:val="auto"/>
                      <w:szCs w:val="21"/>
                    </w:rPr>
                    <w:t>公斤</w:t>
                  </w:r>
                </w:p>
              </w:tc>
              <w:tc>
                <w:tcPr>
                  <w:tcW w:w="623" w:type="dxa"/>
                  <w:tcBorders>
                    <w:tl2br w:val="nil"/>
                    <w:tr2bl w:val="nil"/>
                  </w:tcBorders>
                  <w:vAlign w:val="center"/>
                </w:tcPr>
                <w:p w14:paraId="7ECE0FB9">
                  <w:pPr>
                    <w:adjustRightInd w:val="0"/>
                    <w:snapToGrid w:val="0"/>
                    <w:jc w:val="center"/>
                    <w:rPr>
                      <w:color w:val="auto"/>
                      <w:szCs w:val="21"/>
                    </w:rPr>
                  </w:pPr>
                  <w:r>
                    <w:rPr>
                      <w:color w:val="auto"/>
                      <w:szCs w:val="21"/>
                    </w:rPr>
                    <w:t>100</w:t>
                  </w:r>
                </w:p>
              </w:tc>
              <w:tc>
                <w:tcPr>
                  <w:tcW w:w="842" w:type="dxa"/>
                  <w:tcBorders>
                    <w:tl2br w:val="nil"/>
                    <w:tr2bl w:val="nil"/>
                  </w:tcBorders>
                  <w:vAlign w:val="center"/>
                </w:tcPr>
                <w:p w14:paraId="303F774F">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C891B5D">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7BB9D737">
                  <w:pPr>
                    <w:tabs>
                      <w:tab w:val="left" w:pos="720"/>
                    </w:tabs>
                    <w:adjustRightInd w:val="0"/>
                    <w:snapToGrid w:val="0"/>
                    <w:spacing w:line="240" w:lineRule="exact"/>
                    <w:jc w:val="center"/>
                    <w:rPr>
                      <w:color w:val="auto"/>
                      <w:szCs w:val="21"/>
                    </w:rPr>
                  </w:pPr>
                </w:p>
              </w:tc>
            </w:tr>
            <w:tr w14:paraId="1E7F5E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C82FCC8">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1</w:t>
                  </w:r>
                </w:p>
              </w:tc>
              <w:tc>
                <w:tcPr>
                  <w:tcW w:w="684" w:type="dxa"/>
                  <w:tcBorders>
                    <w:tl2br w:val="nil"/>
                    <w:tr2bl w:val="nil"/>
                  </w:tcBorders>
                  <w:vAlign w:val="center"/>
                </w:tcPr>
                <w:p w14:paraId="2E3C4033">
                  <w:pPr>
                    <w:adjustRightInd w:val="0"/>
                    <w:snapToGrid w:val="0"/>
                    <w:spacing w:line="240" w:lineRule="exact"/>
                    <w:jc w:val="center"/>
                    <w:rPr>
                      <w:color w:val="auto"/>
                      <w:szCs w:val="21"/>
                    </w:rPr>
                  </w:pPr>
                  <w:r>
                    <w:rPr>
                      <w:color w:val="auto"/>
                      <w:szCs w:val="21"/>
                    </w:rPr>
                    <w:t>抛光布轮</w:t>
                  </w:r>
                </w:p>
              </w:tc>
              <w:tc>
                <w:tcPr>
                  <w:tcW w:w="2458" w:type="dxa"/>
                  <w:tcBorders>
                    <w:tl2br w:val="nil"/>
                    <w:tr2bl w:val="nil"/>
                  </w:tcBorders>
                  <w:vAlign w:val="center"/>
                </w:tcPr>
                <w:p w14:paraId="32BBB9C2">
                  <w:pPr>
                    <w:adjustRightInd w:val="0"/>
                    <w:snapToGrid w:val="0"/>
                    <w:spacing w:line="240" w:lineRule="exact"/>
                    <w:jc w:val="center"/>
                    <w:rPr>
                      <w:color w:val="auto"/>
                      <w:szCs w:val="21"/>
                    </w:rPr>
                  </w:pPr>
                  <w:r>
                    <w:rPr>
                      <w:rFonts w:hint="eastAsia"/>
                      <w:color w:val="auto"/>
                      <w:szCs w:val="21"/>
                    </w:rPr>
                    <w:t>由</w:t>
                  </w:r>
                  <w:r>
                    <w:rPr>
                      <w:color w:val="auto"/>
                      <w:szCs w:val="21"/>
                    </w:rPr>
                    <w:t>棉布</w:t>
                  </w:r>
                  <w:r>
                    <w:rPr>
                      <w:rFonts w:hint="eastAsia"/>
                      <w:color w:val="auto"/>
                      <w:szCs w:val="21"/>
                    </w:rPr>
                    <w:t>制成，常用规格为3英寸×50层，重量约为0.8kg，共2000张</w:t>
                  </w:r>
                </w:p>
              </w:tc>
              <w:tc>
                <w:tcPr>
                  <w:tcW w:w="1003" w:type="dxa"/>
                  <w:tcBorders>
                    <w:tl2br w:val="nil"/>
                    <w:tr2bl w:val="nil"/>
                  </w:tcBorders>
                  <w:vAlign w:val="center"/>
                </w:tcPr>
                <w:p w14:paraId="75234B09">
                  <w:pPr>
                    <w:adjustRightInd w:val="0"/>
                    <w:snapToGrid w:val="0"/>
                    <w:jc w:val="center"/>
                    <w:rPr>
                      <w:color w:val="auto"/>
                      <w:szCs w:val="21"/>
                    </w:rPr>
                  </w:pPr>
                  <w:r>
                    <w:rPr>
                      <w:rFonts w:hint="eastAsia"/>
                      <w:color w:val="auto"/>
                      <w:szCs w:val="21"/>
                    </w:rPr>
                    <w:t>16</w:t>
                  </w:r>
                  <w:r>
                    <w:rPr>
                      <w:color w:val="auto"/>
                      <w:szCs w:val="21"/>
                    </w:rPr>
                    <w:t>00</w:t>
                  </w:r>
                </w:p>
              </w:tc>
              <w:tc>
                <w:tcPr>
                  <w:tcW w:w="912" w:type="dxa"/>
                  <w:tcBorders>
                    <w:tl2br w:val="nil"/>
                    <w:tr2bl w:val="nil"/>
                  </w:tcBorders>
                  <w:vAlign w:val="center"/>
                </w:tcPr>
                <w:p w14:paraId="7309CAD7">
                  <w:pPr>
                    <w:adjustRightInd w:val="0"/>
                    <w:snapToGrid w:val="0"/>
                    <w:jc w:val="center"/>
                    <w:rPr>
                      <w:rStyle w:val="1596"/>
                      <w:color w:val="auto"/>
                      <w:szCs w:val="21"/>
                    </w:rPr>
                  </w:pPr>
                  <w:r>
                    <w:rPr>
                      <w:rFonts w:hint="eastAsia"/>
                      <w:color w:val="auto"/>
                      <w:szCs w:val="21"/>
                    </w:rPr>
                    <w:t>公斤</w:t>
                  </w:r>
                </w:p>
              </w:tc>
              <w:tc>
                <w:tcPr>
                  <w:tcW w:w="623" w:type="dxa"/>
                  <w:tcBorders>
                    <w:tl2br w:val="nil"/>
                    <w:tr2bl w:val="nil"/>
                  </w:tcBorders>
                  <w:vAlign w:val="center"/>
                </w:tcPr>
                <w:p w14:paraId="1B5D3AE9">
                  <w:pPr>
                    <w:adjustRightInd w:val="0"/>
                    <w:snapToGrid w:val="0"/>
                    <w:jc w:val="center"/>
                    <w:rPr>
                      <w:rStyle w:val="1596"/>
                      <w:color w:val="auto"/>
                      <w:szCs w:val="21"/>
                    </w:rPr>
                  </w:pPr>
                  <w:r>
                    <w:rPr>
                      <w:rFonts w:hint="eastAsia"/>
                      <w:color w:val="auto"/>
                      <w:szCs w:val="21"/>
                    </w:rPr>
                    <w:t>40</w:t>
                  </w:r>
                  <w:r>
                    <w:rPr>
                      <w:color w:val="auto"/>
                      <w:szCs w:val="21"/>
                    </w:rPr>
                    <w:t>0</w:t>
                  </w:r>
                </w:p>
              </w:tc>
              <w:tc>
                <w:tcPr>
                  <w:tcW w:w="842" w:type="dxa"/>
                  <w:tcBorders>
                    <w:tl2br w:val="nil"/>
                    <w:tr2bl w:val="nil"/>
                  </w:tcBorders>
                  <w:vAlign w:val="center"/>
                </w:tcPr>
                <w:p w14:paraId="7373B997">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73EEF6F">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6DE35F01">
                  <w:pPr>
                    <w:tabs>
                      <w:tab w:val="left" w:pos="720"/>
                    </w:tabs>
                    <w:adjustRightInd w:val="0"/>
                    <w:snapToGrid w:val="0"/>
                    <w:spacing w:line="240" w:lineRule="exact"/>
                    <w:jc w:val="center"/>
                    <w:rPr>
                      <w:color w:val="auto"/>
                      <w:szCs w:val="21"/>
                    </w:rPr>
                  </w:pPr>
                </w:p>
              </w:tc>
            </w:tr>
            <w:tr w14:paraId="0001D2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060607E6">
                  <w:pPr>
                    <w:tabs>
                      <w:tab w:val="left" w:pos="720"/>
                    </w:tabs>
                    <w:adjustRightInd w:val="0"/>
                    <w:snapToGrid w:val="0"/>
                    <w:spacing w:line="240" w:lineRule="exact"/>
                    <w:jc w:val="center"/>
                    <w:rPr>
                      <w:color w:val="auto"/>
                      <w:szCs w:val="21"/>
                    </w:rPr>
                  </w:pPr>
                  <w:r>
                    <w:rPr>
                      <w:color w:val="auto"/>
                      <w:szCs w:val="21"/>
                    </w:rPr>
                    <w:t>22</w:t>
                  </w:r>
                </w:p>
              </w:tc>
              <w:tc>
                <w:tcPr>
                  <w:tcW w:w="684" w:type="dxa"/>
                  <w:tcBorders>
                    <w:tl2br w:val="nil"/>
                    <w:tr2bl w:val="nil"/>
                  </w:tcBorders>
                  <w:vAlign w:val="center"/>
                </w:tcPr>
                <w:p w14:paraId="6E5FAC00">
                  <w:pPr>
                    <w:adjustRightInd w:val="0"/>
                    <w:snapToGrid w:val="0"/>
                    <w:spacing w:line="240" w:lineRule="exact"/>
                    <w:jc w:val="center"/>
                    <w:rPr>
                      <w:color w:val="auto"/>
                      <w:szCs w:val="21"/>
                    </w:rPr>
                  </w:pPr>
                  <w:r>
                    <w:rPr>
                      <w:color w:val="auto"/>
                      <w:szCs w:val="21"/>
                    </w:rPr>
                    <w:t>抛光麻布轮</w:t>
                  </w:r>
                </w:p>
              </w:tc>
              <w:tc>
                <w:tcPr>
                  <w:tcW w:w="2458" w:type="dxa"/>
                  <w:tcBorders>
                    <w:tl2br w:val="nil"/>
                    <w:tr2bl w:val="nil"/>
                  </w:tcBorders>
                  <w:vAlign w:val="center"/>
                </w:tcPr>
                <w:p w14:paraId="348C734A">
                  <w:pPr>
                    <w:adjustRightInd w:val="0"/>
                    <w:snapToGrid w:val="0"/>
                    <w:spacing w:line="240" w:lineRule="exact"/>
                    <w:jc w:val="center"/>
                    <w:rPr>
                      <w:color w:val="auto"/>
                      <w:szCs w:val="21"/>
                    </w:rPr>
                  </w:pPr>
                  <w:r>
                    <w:rPr>
                      <w:rFonts w:hint="eastAsia"/>
                      <w:color w:val="auto"/>
                      <w:szCs w:val="21"/>
                    </w:rPr>
                    <w:t>由</w:t>
                  </w:r>
                  <w:r>
                    <w:rPr>
                      <w:color w:val="auto"/>
                      <w:szCs w:val="21"/>
                    </w:rPr>
                    <w:t>工业麻</w:t>
                  </w:r>
                  <w:r>
                    <w:rPr>
                      <w:rFonts w:hint="eastAsia"/>
                      <w:color w:val="auto"/>
                      <w:szCs w:val="21"/>
                    </w:rPr>
                    <w:t>制成，常用规格为直径150mm、厚度10mm，重量约为0.3kg，共2000张</w:t>
                  </w:r>
                </w:p>
              </w:tc>
              <w:tc>
                <w:tcPr>
                  <w:tcW w:w="1003" w:type="dxa"/>
                  <w:tcBorders>
                    <w:tl2br w:val="nil"/>
                    <w:tr2bl w:val="nil"/>
                  </w:tcBorders>
                  <w:vAlign w:val="center"/>
                </w:tcPr>
                <w:p w14:paraId="427DA4E0">
                  <w:pPr>
                    <w:adjustRightInd w:val="0"/>
                    <w:snapToGrid w:val="0"/>
                    <w:jc w:val="center"/>
                    <w:rPr>
                      <w:color w:val="auto"/>
                      <w:szCs w:val="21"/>
                    </w:rPr>
                  </w:pPr>
                  <w:r>
                    <w:rPr>
                      <w:rFonts w:hint="eastAsia"/>
                      <w:color w:val="auto"/>
                      <w:szCs w:val="21"/>
                    </w:rPr>
                    <w:t>600</w:t>
                  </w:r>
                </w:p>
              </w:tc>
              <w:tc>
                <w:tcPr>
                  <w:tcW w:w="912" w:type="dxa"/>
                  <w:tcBorders>
                    <w:tl2br w:val="nil"/>
                    <w:tr2bl w:val="nil"/>
                  </w:tcBorders>
                  <w:vAlign w:val="center"/>
                </w:tcPr>
                <w:p w14:paraId="699449EC">
                  <w:pPr>
                    <w:adjustRightInd w:val="0"/>
                    <w:snapToGrid w:val="0"/>
                    <w:jc w:val="center"/>
                    <w:rPr>
                      <w:rStyle w:val="1596"/>
                      <w:color w:val="auto"/>
                      <w:szCs w:val="21"/>
                    </w:rPr>
                  </w:pPr>
                  <w:r>
                    <w:rPr>
                      <w:rFonts w:hint="eastAsia"/>
                      <w:color w:val="auto"/>
                      <w:szCs w:val="21"/>
                    </w:rPr>
                    <w:t>公斤</w:t>
                  </w:r>
                </w:p>
              </w:tc>
              <w:tc>
                <w:tcPr>
                  <w:tcW w:w="623" w:type="dxa"/>
                  <w:tcBorders>
                    <w:tl2br w:val="nil"/>
                    <w:tr2bl w:val="nil"/>
                  </w:tcBorders>
                  <w:vAlign w:val="center"/>
                </w:tcPr>
                <w:p w14:paraId="4B1062FB">
                  <w:pPr>
                    <w:adjustRightInd w:val="0"/>
                    <w:snapToGrid w:val="0"/>
                    <w:jc w:val="center"/>
                    <w:rPr>
                      <w:rStyle w:val="1596"/>
                      <w:color w:val="auto"/>
                      <w:szCs w:val="21"/>
                    </w:rPr>
                  </w:pPr>
                  <w:r>
                    <w:rPr>
                      <w:color w:val="auto"/>
                      <w:szCs w:val="21"/>
                    </w:rPr>
                    <w:t>150</w:t>
                  </w:r>
                </w:p>
              </w:tc>
              <w:tc>
                <w:tcPr>
                  <w:tcW w:w="842" w:type="dxa"/>
                  <w:tcBorders>
                    <w:tl2br w:val="nil"/>
                    <w:tr2bl w:val="nil"/>
                  </w:tcBorders>
                  <w:vAlign w:val="center"/>
                </w:tcPr>
                <w:p w14:paraId="537FF2B1">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34CAEC9">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15A0A8C4">
                  <w:pPr>
                    <w:tabs>
                      <w:tab w:val="left" w:pos="720"/>
                    </w:tabs>
                    <w:adjustRightInd w:val="0"/>
                    <w:snapToGrid w:val="0"/>
                    <w:spacing w:line="240" w:lineRule="exact"/>
                    <w:jc w:val="center"/>
                    <w:rPr>
                      <w:color w:val="auto"/>
                      <w:szCs w:val="21"/>
                    </w:rPr>
                  </w:pPr>
                </w:p>
              </w:tc>
            </w:tr>
            <w:tr w14:paraId="236A62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44" w:type="dxa"/>
                  <w:tcBorders>
                    <w:tl2br w:val="nil"/>
                    <w:tr2bl w:val="nil"/>
                  </w:tcBorders>
                  <w:shd w:val="clear" w:color="auto" w:fill="auto"/>
                  <w:vAlign w:val="center"/>
                </w:tcPr>
                <w:p w14:paraId="3B97210E">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3</w:t>
                  </w:r>
                </w:p>
              </w:tc>
              <w:tc>
                <w:tcPr>
                  <w:tcW w:w="684" w:type="dxa"/>
                  <w:tcBorders>
                    <w:tl2br w:val="nil"/>
                    <w:tr2bl w:val="nil"/>
                  </w:tcBorders>
                  <w:vAlign w:val="center"/>
                </w:tcPr>
                <w:p w14:paraId="5BC4D0DC">
                  <w:pPr>
                    <w:adjustRightInd w:val="0"/>
                    <w:snapToGrid w:val="0"/>
                    <w:spacing w:line="240" w:lineRule="exact"/>
                    <w:jc w:val="center"/>
                    <w:rPr>
                      <w:color w:val="auto"/>
                      <w:szCs w:val="21"/>
                    </w:rPr>
                  </w:pPr>
                  <w:r>
                    <w:rPr>
                      <w:color w:val="auto"/>
                      <w:szCs w:val="21"/>
                    </w:rPr>
                    <w:t>拉丝轮</w:t>
                  </w:r>
                </w:p>
              </w:tc>
              <w:tc>
                <w:tcPr>
                  <w:tcW w:w="2458" w:type="dxa"/>
                  <w:tcBorders>
                    <w:tl2br w:val="nil"/>
                    <w:tr2bl w:val="nil"/>
                  </w:tcBorders>
                  <w:vAlign w:val="center"/>
                </w:tcPr>
                <w:p w14:paraId="675F212D">
                  <w:pPr>
                    <w:adjustRightInd w:val="0"/>
                    <w:snapToGrid w:val="0"/>
                    <w:spacing w:line="240" w:lineRule="exact"/>
                    <w:jc w:val="center"/>
                    <w:rPr>
                      <w:color w:val="auto"/>
                      <w:szCs w:val="21"/>
                    </w:rPr>
                  </w:pPr>
                  <w:r>
                    <w:rPr>
                      <w:color w:val="auto"/>
                      <w:szCs w:val="21"/>
                    </w:rPr>
                    <w:t>通常由不</w:t>
                  </w:r>
                  <w:r>
                    <w:rPr>
                      <w:rFonts w:hint="eastAsia"/>
                      <w:color w:val="auto"/>
                      <w:szCs w:val="21"/>
                      <w:lang w:eastAsia="zh-CN"/>
                    </w:rPr>
                    <w:t>纺</w:t>
                  </w:r>
                  <w:r>
                    <w:rPr>
                      <w:color w:val="auto"/>
                      <w:szCs w:val="21"/>
                    </w:rPr>
                    <w:t>布、尼龙纤维、矿砂等材料制成</w:t>
                  </w:r>
                  <w:r>
                    <w:rPr>
                      <w:rFonts w:hint="eastAsia"/>
                      <w:color w:val="auto"/>
                      <w:szCs w:val="21"/>
                    </w:rPr>
                    <w:t>，部分产品采用氧化铝（</w:t>
                  </w:r>
                  <w:r>
                    <w:rPr>
                      <w:color w:val="auto"/>
                      <w:szCs w:val="21"/>
                    </w:rPr>
                    <w:t>Al₂O₃</w:t>
                  </w:r>
                  <w:r>
                    <w:rPr>
                      <w:rFonts w:hint="eastAsia"/>
                      <w:color w:val="auto"/>
                      <w:szCs w:val="21"/>
                    </w:rPr>
                    <w:t>）或碳化硅（SiC）作为磨料，一个拉丝轮约200g，共1000个。</w:t>
                  </w:r>
                </w:p>
              </w:tc>
              <w:tc>
                <w:tcPr>
                  <w:tcW w:w="1003" w:type="dxa"/>
                  <w:tcBorders>
                    <w:tl2br w:val="nil"/>
                    <w:tr2bl w:val="nil"/>
                  </w:tcBorders>
                  <w:vAlign w:val="center"/>
                </w:tcPr>
                <w:p w14:paraId="6F290111">
                  <w:pPr>
                    <w:adjustRightInd w:val="0"/>
                    <w:snapToGrid w:val="0"/>
                    <w:jc w:val="center"/>
                    <w:rPr>
                      <w:color w:val="auto"/>
                      <w:szCs w:val="21"/>
                    </w:rPr>
                  </w:pPr>
                  <w:r>
                    <w:rPr>
                      <w:rFonts w:hint="eastAsia"/>
                      <w:color w:val="auto"/>
                      <w:szCs w:val="21"/>
                    </w:rPr>
                    <w:t>200</w:t>
                  </w:r>
                </w:p>
              </w:tc>
              <w:tc>
                <w:tcPr>
                  <w:tcW w:w="912" w:type="dxa"/>
                  <w:tcBorders>
                    <w:tl2br w:val="nil"/>
                    <w:tr2bl w:val="nil"/>
                  </w:tcBorders>
                  <w:vAlign w:val="center"/>
                </w:tcPr>
                <w:p w14:paraId="608894BE">
                  <w:pPr>
                    <w:adjustRightInd w:val="0"/>
                    <w:snapToGrid w:val="0"/>
                    <w:jc w:val="center"/>
                    <w:rPr>
                      <w:rStyle w:val="1596"/>
                      <w:color w:val="auto"/>
                      <w:szCs w:val="21"/>
                    </w:rPr>
                  </w:pPr>
                  <w:r>
                    <w:rPr>
                      <w:rFonts w:hint="eastAsia"/>
                      <w:color w:val="auto"/>
                      <w:szCs w:val="21"/>
                    </w:rPr>
                    <w:t>公斤</w:t>
                  </w:r>
                </w:p>
              </w:tc>
              <w:tc>
                <w:tcPr>
                  <w:tcW w:w="623" w:type="dxa"/>
                  <w:tcBorders>
                    <w:tl2br w:val="nil"/>
                    <w:tr2bl w:val="nil"/>
                  </w:tcBorders>
                  <w:vAlign w:val="center"/>
                </w:tcPr>
                <w:p w14:paraId="5578FFEC">
                  <w:pPr>
                    <w:adjustRightInd w:val="0"/>
                    <w:snapToGrid w:val="0"/>
                    <w:jc w:val="center"/>
                    <w:rPr>
                      <w:rStyle w:val="1596"/>
                      <w:color w:val="auto"/>
                      <w:szCs w:val="21"/>
                    </w:rPr>
                  </w:pPr>
                  <w:r>
                    <w:rPr>
                      <w:rFonts w:hint="eastAsia"/>
                      <w:color w:val="auto"/>
                      <w:szCs w:val="21"/>
                    </w:rPr>
                    <w:t>20</w:t>
                  </w:r>
                </w:p>
              </w:tc>
              <w:tc>
                <w:tcPr>
                  <w:tcW w:w="842" w:type="dxa"/>
                  <w:tcBorders>
                    <w:tl2br w:val="nil"/>
                    <w:tr2bl w:val="nil"/>
                  </w:tcBorders>
                  <w:vAlign w:val="center"/>
                </w:tcPr>
                <w:p w14:paraId="11D176DB">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187749DC">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6D9DD487">
                  <w:pPr>
                    <w:tabs>
                      <w:tab w:val="left" w:pos="720"/>
                    </w:tabs>
                    <w:adjustRightInd w:val="0"/>
                    <w:snapToGrid w:val="0"/>
                    <w:spacing w:line="240" w:lineRule="exact"/>
                    <w:jc w:val="center"/>
                    <w:rPr>
                      <w:color w:val="auto"/>
                      <w:szCs w:val="21"/>
                    </w:rPr>
                  </w:pPr>
                </w:p>
              </w:tc>
            </w:tr>
            <w:tr w14:paraId="09DFF1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02CC8540">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4</w:t>
                  </w:r>
                </w:p>
              </w:tc>
              <w:tc>
                <w:tcPr>
                  <w:tcW w:w="684" w:type="dxa"/>
                  <w:tcBorders>
                    <w:tl2br w:val="nil"/>
                    <w:tr2bl w:val="nil"/>
                  </w:tcBorders>
                  <w:shd w:val="clear" w:color="auto" w:fill="auto"/>
                  <w:vAlign w:val="center"/>
                </w:tcPr>
                <w:p w14:paraId="7CAF07B1">
                  <w:pPr>
                    <w:adjustRightInd w:val="0"/>
                    <w:snapToGrid w:val="0"/>
                    <w:spacing w:line="240" w:lineRule="exact"/>
                    <w:jc w:val="center"/>
                    <w:rPr>
                      <w:color w:val="auto"/>
                      <w:szCs w:val="21"/>
                    </w:rPr>
                  </w:pPr>
                  <w:r>
                    <w:rPr>
                      <w:color w:val="auto"/>
                      <w:szCs w:val="21"/>
                    </w:rPr>
                    <w:t>拉丝布</w:t>
                  </w:r>
                </w:p>
              </w:tc>
              <w:tc>
                <w:tcPr>
                  <w:tcW w:w="2458" w:type="dxa"/>
                  <w:tcBorders>
                    <w:tl2br w:val="nil"/>
                    <w:tr2bl w:val="nil"/>
                  </w:tcBorders>
                  <w:shd w:val="clear" w:color="auto" w:fill="auto"/>
                  <w:vAlign w:val="center"/>
                </w:tcPr>
                <w:p w14:paraId="0654544C">
                  <w:pPr>
                    <w:adjustRightInd w:val="0"/>
                    <w:snapToGrid w:val="0"/>
                    <w:spacing w:line="240" w:lineRule="exact"/>
                    <w:jc w:val="center"/>
                    <w:rPr>
                      <w:color w:val="auto"/>
                      <w:szCs w:val="21"/>
                    </w:rPr>
                  </w:pPr>
                  <w:r>
                    <w:rPr>
                      <w:color w:val="auto"/>
                      <w:szCs w:val="21"/>
                    </w:rPr>
                    <w:t>由尼龙、金刚石、碳化硅制成</w:t>
                  </w:r>
                  <w:r>
                    <w:rPr>
                      <w:rFonts w:hint="eastAsia"/>
                      <w:color w:val="auto"/>
                      <w:szCs w:val="21"/>
                    </w:rPr>
                    <w:t>，1卷3米，共500卷，每卷约0.7kg</w:t>
                  </w:r>
                </w:p>
              </w:tc>
              <w:tc>
                <w:tcPr>
                  <w:tcW w:w="1003" w:type="dxa"/>
                  <w:tcBorders>
                    <w:tl2br w:val="nil"/>
                    <w:tr2bl w:val="nil"/>
                  </w:tcBorders>
                  <w:shd w:val="clear" w:color="auto" w:fill="auto"/>
                  <w:vAlign w:val="center"/>
                </w:tcPr>
                <w:p w14:paraId="36058526">
                  <w:pPr>
                    <w:adjustRightInd w:val="0"/>
                    <w:snapToGrid w:val="0"/>
                    <w:jc w:val="center"/>
                    <w:rPr>
                      <w:color w:val="auto"/>
                      <w:szCs w:val="21"/>
                    </w:rPr>
                  </w:pPr>
                  <w:r>
                    <w:rPr>
                      <w:rFonts w:hint="eastAsia"/>
                      <w:color w:val="auto"/>
                      <w:szCs w:val="21"/>
                    </w:rPr>
                    <w:t>35</w:t>
                  </w:r>
                  <w:r>
                    <w:rPr>
                      <w:color w:val="auto"/>
                      <w:szCs w:val="21"/>
                    </w:rPr>
                    <w:t>0</w:t>
                  </w:r>
                </w:p>
              </w:tc>
              <w:tc>
                <w:tcPr>
                  <w:tcW w:w="912" w:type="dxa"/>
                  <w:tcBorders>
                    <w:tl2br w:val="nil"/>
                    <w:tr2bl w:val="nil"/>
                  </w:tcBorders>
                  <w:shd w:val="clear" w:color="auto" w:fill="auto"/>
                  <w:vAlign w:val="center"/>
                </w:tcPr>
                <w:p w14:paraId="5D436AC9">
                  <w:pPr>
                    <w:adjustRightInd w:val="0"/>
                    <w:snapToGrid w:val="0"/>
                    <w:jc w:val="center"/>
                    <w:rPr>
                      <w:color w:val="auto"/>
                      <w:szCs w:val="21"/>
                    </w:rPr>
                  </w:pPr>
                  <w:r>
                    <w:rPr>
                      <w:rFonts w:hint="eastAsia"/>
                      <w:color w:val="auto"/>
                      <w:szCs w:val="21"/>
                    </w:rPr>
                    <w:t>公斤</w:t>
                  </w:r>
                </w:p>
              </w:tc>
              <w:tc>
                <w:tcPr>
                  <w:tcW w:w="623" w:type="dxa"/>
                  <w:tcBorders>
                    <w:tl2br w:val="nil"/>
                    <w:tr2bl w:val="nil"/>
                  </w:tcBorders>
                  <w:shd w:val="clear" w:color="auto" w:fill="auto"/>
                  <w:vAlign w:val="center"/>
                </w:tcPr>
                <w:p w14:paraId="510A9B5E">
                  <w:pPr>
                    <w:adjustRightInd w:val="0"/>
                    <w:snapToGrid w:val="0"/>
                    <w:jc w:val="center"/>
                    <w:rPr>
                      <w:color w:val="auto"/>
                      <w:szCs w:val="21"/>
                    </w:rPr>
                  </w:pPr>
                  <w:r>
                    <w:rPr>
                      <w:color w:val="auto"/>
                      <w:szCs w:val="21"/>
                    </w:rPr>
                    <w:t>50</w:t>
                  </w:r>
                </w:p>
              </w:tc>
              <w:tc>
                <w:tcPr>
                  <w:tcW w:w="842" w:type="dxa"/>
                  <w:tcBorders>
                    <w:tl2br w:val="nil"/>
                    <w:tr2bl w:val="nil"/>
                  </w:tcBorders>
                  <w:shd w:val="clear" w:color="auto" w:fill="auto"/>
                  <w:vAlign w:val="center"/>
                </w:tcPr>
                <w:p w14:paraId="12280948">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shd w:val="clear" w:color="auto" w:fill="auto"/>
                  <w:vAlign w:val="center"/>
                </w:tcPr>
                <w:p w14:paraId="259AE572">
                  <w:pPr>
                    <w:adjustRightInd w:val="0"/>
                    <w:snapToGrid w:val="0"/>
                    <w:jc w:val="center"/>
                    <w:rPr>
                      <w:color w:val="auto"/>
                      <w:szCs w:val="21"/>
                    </w:rPr>
                  </w:pPr>
                  <w:r>
                    <w:rPr>
                      <w:color w:val="auto"/>
                      <w:szCs w:val="21"/>
                    </w:rPr>
                    <w:t>纸箱</w:t>
                  </w:r>
                </w:p>
              </w:tc>
              <w:tc>
                <w:tcPr>
                  <w:tcW w:w="495" w:type="dxa"/>
                  <w:vMerge w:val="continue"/>
                  <w:tcBorders>
                    <w:tl2br w:val="nil"/>
                    <w:tr2bl w:val="nil"/>
                  </w:tcBorders>
                  <w:shd w:val="clear" w:color="auto" w:fill="auto"/>
                  <w:vAlign w:val="center"/>
                </w:tcPr>
                <w:p w14:paraId="6292E01E">
                  <w:pPr>
                    <w:tabs>
                      <w:tab w:val="left" w:pos="720"/>
                    </w:tabs>
                    <w:adjustRightInd w:val="0"/>
                    <w:snapToGrid w:val="0"/>
                    <w:spacing w:line="240" w:lineRule="exact"/>
                    <w:jc w:val="center"/>
                    <w:rPr>
                      <w:color w:val="auto"/>
                      <w:szCs w:val="21"/>
                    </w:rPr>
                  </w:pPr>
                </w:p>
              </w:tc>
            </w:tr>
            <w:tr w14:paraId="47DCAF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44" w:type="dxa"/>
                  <w:tcBorders>
                    <w:tl2br w:val="nil"/>
                    <w:tr2bl w:val="nil"/>
                  </w:tcBorders>
                  <w:shd w:val="clear" w:color="auto" w:fill="auto"/>
                  <w:vAlign w:val="center"/>
                </w:tcPr>
                <w:p w14:paraId="201CB180">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5</w:t>
                  </w:r>
                </w:p>
              </w:tc>
              <w:tc>
                <w:tcPr>
                  <w:tcW w:w="684" w:type="dxa"/>
                  <w:tcBorders>
                    <w:tl2br w:val="nil"/>
                    <w:tr2bl w:val="nil"/>
                  </w:tcBorders>
                  <w:vAlign w:val="center"/>
                </w:tcPr>
                <w:p w14:paraId="6E0D6503">
                  <w:pPr>
                    <w:adjustRightInd w:val="0"/>
                    <w:snapToGrid w:val="0"/>
                    <w:spacing w:line="240" w:lineRule="exact"/>
                    <w:jc w:val="center"/>
                    <w:rPr>
                      <w:color w:val="auto"/>
                      <w:szCs w:val="21"/>
                    </w:rPr>
                  </w:pPr>
                  <w:r>
                    <w:rPr>
                      <w:color w:val="auto"/>
                      <w:szCs w:val="21"/>
                    </w:rPr>
                    <w:t>脱脂剂</w:t>
                  </w:r>
                </w:p>
              </w:tc>
              <w:tc>
                <w:tcPr>
                  <w:tcW w:w="2458" w:type="dxa"/>
                  <w:tcBorders>
                    <w:tl2br w:val="nil"/>
                    <w:tr2bl w:val="nil"/>
                  </w:tcBorders>
                  <w:vAlign w:val="center"/>
                </w:tcPr>
                <w:p w14:paraId="66CC2A72">
                  <w:pPr>
                    <w:adjustRightInd w:val="0"/>
                    <w:snapToGrid w:val="0"/>
                    <w:spacing w:line="240" w:lineRule="exact"/>
                    <w:jc w:val="center"/>
                    <w:rPr>
                      <w:color w:val="auto"/>
                      <w:szCs w:val="21"/>
                    </w:rPr>
                  </w:pPr>
                  <w:r>
                    <w:rPr>
                      <w:rFonts w:hint="eastAsia"/>
                      <w:color w:val="auto"/>
                      <w:szCs w:val="21"/>
                    </w:rPr>
                    <w:t>项目使用脱脂剂成分为：20</w:t>
                  </w:r>
                  <w:r>
                    <w:rPr>
                      <w:rFonts w:hint="eastAsia"/>
                      <w:color w:val="auto"/>
                      <w:szCs w:val="21"/>
                      <w:lang w:eastAsia="zh-CN"/>
                    </w:rPr>
                    <w:t>%～</w:t>
                  </w:r>
                  <w:r>
                    <w:rPr>
                      <w:rFonts w:hint="eastAsia"/>
                      <w:color w:val="auto"/>
                      <w:szCs w:val="21"/>
                    </w:rPr>
                    <w:t>30%碳酸钾、10</w:t>
                  </w:r>
                  <w:r>
                    <w:rPr>
                      <w:rFonts w:hint="eastAsia"/>
                      <w:color w:val="auto"/>
                      <w:szCs w:val="21"/>
                      <w:lang w:eastAsia="zh-CN"/>
                    </w:rPr>
                    <w:t>%～</w:t>
                  </w:r>
                  <w:r>
                    <w:rPr>
                      <w:rFonts w:hint="eastAsia"/>
                      <w:color w:val="auto"/>
                      <w:szCs w:val="21"/>
                    </w:rPr>
                    <w:t>18%五水偏硅酸钠、1</w:t>
                  </w:r>
                  <w:r>
                    <w:rPr>
                      <w:rFonts w:hint="eastAsia"/>
                      <w:color w:val="auto"/>
                      <w:szCs w:val="21"/>
                      <w:lang w:eastAsia="zh-CN"/>
                    </w:rPr>
                    <w:t>%～</w:t>
                  </w:r>
                  <w:r>
                    <w:rPr>
                      <w:rFonts w:hint="eastAsia"/>
                      <w:color w:val="auto"/>
                      <w:szCs w:val="21"/>
                    </w:rPr>
                    <w:t>5%螯合剂、3</w:t>
                  </w:r>
                  <w:r>
                    <w:rPr>
                      <w:rFonts w:hint="eastAsia"/>
                      <w:color w:val="auto"/>
                      <w:szCs w:val="21"/>
                      <w:lang w:eastAsia="zh-CN"/>
                    </w:rPr>
                    <w:t>%～</w:t>
                  </w:r>
                  <w:r>
                    <w:rPr>
                      <w:rFonts w:hint="eastAsia"/>
                      <w:color w:val="auto"/>
                      <w:szCs w:val="21"/>
                    </w:rPr>
                    <w:t>8%表面活性剂、余量为水；</w:t>
                  </w:r>
                </w:p>
              </w:tc>
              <w:tc>
                <w:tcPr>
                  <w:tcW w:w="1003" w:type="dxa"/>
                  <w:tcBorders>
                    <w:tl2br w:val="nil"/>
                    <w:tr2bl w:val="nil"/>
                  </w:tcBorders>
                  <w:vAlign w:val="center"/>
                </w:tcPr>
                <w:p w14:paraId="5E9C0632">
                  <w:pPr>
                    <w:adjustRightInd w:val="0"/>
                    <w:snapToGrid w:val="0"/>
                    <w:jc w:val="center"/>
                    <w:rPr>
                      <w:color w:val="auto"/>
                      <w:szCs w:val="21"/>
                    </w:rPr>
                  </w:pPr>
                  <w:r>
                    <w:rPr>
                      <w:rFonts w:hint="eastAsia"/>
                      <w:color w:val="auto"/>
                      <w:szCs w:val="21"/>
                    </w:rPr>
                    <w:t>6</w:t>
                  </w:r>
                </w:p>
              </w:tc>
              <w:tc>
                <w:tcPr>
                  <w:tcW w:w="912" w:type="dxa"/>
                  <w:tcBorders>
                    <w:tl2br w:val="nil"/>
                    <w:tr2bl w:val="nil"/>
                  </w:tcBorders>
                  <w:vAlign w:val="center"/>
                </w:tcPr>
                <w:p w14:paraId="3DACF4BA">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6E6EB050">
                  <w:pPr>
                    <w:adjustRightInd w:val="0"/>
                    <w:snapToGrid w:val="0"/>
                    <w:jc w:val="center"/>
                    <w:rPr>
                      <w:rStyle w:val="1596"/>
                      <w:color w:val="auto"/>
                      <w:szCs w:val="21"/>
                    </w:rPr>
                  </w:pPr>
                  <w:r>
                    <w:rPr>
                      <w:rFonts w:hint="eastAsia"/>
                      <w:color w:val="auto"/>
                      <w:szCs w:val="21"/>
                    </w:rPr>
                    <w:t>1</w:t>
                  </w:r>
                </w:p>
              </w:tc>
              <w:tc>
                <w:tcPr>
                  <w:tcW w:w="842" w:type="dxa"/>
                  <w:tcBorders>
                    <w:tl2br w:val="nil"/>
                    <w:tr2bl w:val="nil"/>
                  </w:tcBorders>
                  <w:vAlign w:val="center"/>
                </w:tcPr>
                <w:p w14:paraId="6E2944CA">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F3E624D">
                  <w:pPr>
                    <w:adjustRightInd w:val="0"/>
                    <w:snapToGrid w:val="0"/>
                    <w:jc w:val="center"/>
                    <w:rPr>
                      <w:color w:val="auto"/>
                      <w:szCs w:val="21"/>
                    </w:rPr>
                  </w:pPr>
                  <w:r>
                    <w:rPr>
                      <w:color w:val="auto"/>
                      <w:szCs w:val="21"/>
                    </w:rPr>
                    <w:t>桶装</w:t>
                  </w:r>
                </w:p>
              </w:tc>
              <w:tc>
                <w:tcPr>
                  <w:tcW w:w="495" w:type="dxa"/>
                  <w:vMerge w:val="continue"/>
                  <w:tcBorders>
                    <w:tl2br w:val="nil"/>
                    <w:tr2bl w:val="nil"/>
                  </w:tcBorders>
                  <w:vAlign w:val="center"/>
                </w:tcPr>
                <w:p w14:paraId="6DA205CE">
                  <w:pPr>
                    <w:tabs>
                      <w:tab w:val="left" w:pos="720"/>
                    </w:tabs>
                    <w:adjustRightInd w:val="0"/>
                    <w:snapToGrid w:val="0"/>
                    <w:spacing w:line="240" w:lineRule="exact"/>
                    <w:jc w:val="center"/>
                    <w:rPr>
                      <w:color w:val="auto"/>
                      <w:szCs w:val="21"/>
                    </w:rPr>
                  </w:pPr>
                </w:p>
              </w:tc>
            </w:tr>
            <w:tr w14:paraId="22E08A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495" w:hRule="atLeast"/>
                <w:jc w:val="center"/>
              </w:trPr>
              <w:tc>
                <w:tcPr>
                  <w:tcW w:w="444" w:type="dxa"/>
                  <w:tcBorders>
                    <w:tl2br w:val="nil"/>
                    <w:tr2bl w:val="nil"/>
                  </w:tcBorders>
                  <w:shd w:val="clear" w:color="auto" w:fill="auto"/>
                  <w:vAlign w:val="center"/>
                </w:tcPr>
                <w:p w14:paraId="21120AC8">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6</w:t>
                  </w:r>
                </w:p>
              </w:tc>
              <w:tc>
                <w:tcPr>
                  <w:tcW w:w="684" w:type="dxa"/>
                  <w:tcBorders>
                    <w:tl2br w:val="nil"/>
                    <w:tr2bl w:val="nil"/>
                  </w:tcBorders>
                  <w:vAlign w:val="center"/>
                </w:tcPr>
                <w:p w14:paraId="6CD2CDD0">
                  <w:pPr>
                    <w:adjustRightInd w:val="0"/>
                    <w:snapToGrid w:val="0"/>
                    <w:spacing w:line="240" w:lineRule="exact"/>
                    <w:jc w:val="center"/>
                    <w:rPr>
                      <w:color w:val="auto"/>
                      <w:szCs w:val="21"/>
                    </w:rPr>
                  </w:pPr>
                  <w:r>
                    <w:rPr>
                      <w:color w:val="auto"/>
                      <w:szCs w:val="21"/>
                    </w:rPr>
                    <w:t>陶化剂</w:t>
                  </w:r>
                </w:p>
              </w:tc>
              <w:tc>
                <w:tcPr>
                  <w:tcW w:w="2458" w:type="dxa"/>
                  <w:tcBorders>
                    <w:tl2br w:val="nil"/>
                    <w:tr2bl w:val="nil"/>
                  </w:tcBorders>
                  <w:vAlign w:val="center"/>
                </w:tcPr>
                <w:p w14:paraId="646261F6">
                  <w:pPr>
                    <w:adjustRightInd w:val="0"/>
                    <w:snapToGrid w:val="0"/>
                    <w:spacing w:line="240" w:lineRule="exact"/>
                    <w:jc w:val="center"/>
                    <w:rPr>
                      <w:color w:val="auto"/>
                      <w:szCs w:val="21"/>
                    </w:rPr>
                  </w:pPr>
                  <w:r>
                    <w:rPr>
                      <w:rFonts w:hint="eastAsia"/>
                      <w:color w:val="auto"/>
                      <w:szCs w:val="21"/>
                    </w:rPr>
                    <w:t>项目使用陶化剂成分为：0.5</w:t>
                  </w:r>
                  <w:r>
                    <w:rPr>
                      <w:rFonts w:hint="eastAsia"/>
                      <w:color w:val="auto"/>
                      <w:szCs w:val="21"/>
                      <w:lang w:eastAsia="zh-CN"/>
                    </w:rPr>
                    <w:t>%～</w:t>
                  </w:r>
                  <w:r>
                    <w:rPr>
                      <w:rFonts w:hint="eastAsia"/>
                      <w:color w:val="auto"/>
                      <w:szCs w:val="21"/>
                    </w:rPr>
                    <w:t>2%铝化合物、0.1</w:t>
                  </w:r>
                  <w:r>
                    <w:rPr>
                      <w:rFonts w:hint="eastAsia"/>
                      <w:color w:val="auto"/>
                      <w:szCs w:val="21"/>
                      <w:lang w:eastAsia="zh-CN"/>
                    </w:rPr>
                    <w:t>%～</w:t>
                  </w:r>
                  <w:r>
                    <w:rPr>
                      <w:rFonts w:hint="eastAsia"/>
                      <w:color w:val="auto"/>
                      <w:szCs w:val="21"/>
                    </w:rPr>
                    <w:t>1%硝酸、1</w:t>
                  </w:r>
                  <w:r>
                    <w:rPr>
                      <w:rFonts w:hint="eastAsia"/>
                      <w:color w:val="auto"/>
                      <w:szCs w:val="21"/>
                      <w:lang w:eastAsia="zh-CN"/>
                    </w:rPr>
                    <w:t>%～</w:t>
                  </w:r>
                  <w:r>
                    <w:rPr>
                      <w:rFonts w:hint="eastAsia"/>
                      <w:color w:val="auto"/>
                      <w:szCs w:val="21"/>
                    </w:rPr>
                    <w:t>5%镁化合物、0.1</w:t>
                  </w:r>
                  <w:r>
                    <w:rPr>
                      <w:rFonts w:hint="eastAsia"/>
                      <w:color w:val="auto"/>
                      <w:szCs w:val="21"/>
                      <w:lang w:eastAsia="zh-CN"/>
                    </w:rPr>
                    <w:t>%～</w:t>
                  </w:r>
                  <w:r>
                    <w:rPr>
                      <w:rFonts w:hint="eastAsia"/>
                      <w:color w:val="auto"/>
                      <w:szCs w:val="21"/>
                    </w:rPr>
                    <w:t>2%锆化合物、余量为水；物理状态为液体，颜色无色。</w:t>
                  </w:r>
                </w:p>
              </w:tc>
              <w:tc>
                <w:tcPr>
                  <w:tcW w:w="1003" w:type="dxa"/>
                  <w:tcBorders>
                    <w:tl2br w:val="nil"/>
                    <w:tr2bl w:val="nil"/>
                  </w:tcBorders>
                  <w:vAlign w:val="center"/>
                </w:tcPr>
                <w:p w14:paraId="0229F1FF">
                  <w:pPr>
                    <w:adjustRightInd w:val="0"/>
                    <w:snapToGrid w:val="0"/>
                    <w:jc w:val="center"/>
                    <w:rPr>
                      <w:color w:val="auto"/>
                      <w:szCs w:val="21"/>
                    </w:rPr>
                  </w:pPr>
                  <w:r>
                    <w:rPr>
                      <w:rFonts w:hint="eastAsia"/>
                      <w:color w:val="auto"/>
                      <w:szCs w:val="21"/>
                    </w:rPr>
                    <w:t>1</w:t>
                  </w:r>
                </w:p>
              </w:tc>
              <w:tc>
                <w:tcPr>
                  <w:tcW w:w="912" w:type="dxa"/>
                  <w:tcBorders>
                    <w:tl2br w:val="nil"/>
                    <w:tr2bl w:val="nil"/>
                  </w:tcBorders>
                  <w:vAlign w:val="center"/>
                </w:tcPr>
                <w:p w14:paraId="5C4C1C67">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20DBD34B">
                  <w:pPr>
                    <w:adjustRightInd w:val="0"/>
                    <w:snapToGrid w:val="0"/>
                    <w:jc w:val="center"/>
                    <w:rPr>
                      <w:rStyle w:val="1596"/>
                      <w:color w:val="auto"/>
                      <w:szCs w:val="21"/>
                    </w:rPr>
                  </w:pPr>
                  <w:r>
                    <w:rPr>
                      <w:rFonts w:hint="eastAsia"/>
                      <w:color w:val="auto"/>
                      <w:szCs w:val="21"/>
                    </w:rPr>
                    <w:t>0.2</w:t>
                  </w:r>
                </w:p>
              </w:tc>
              <w:tc>
                <w:tcPr>
                  <w:tcW w:w="842" w:type="dxa"/>
                  <w:tcBorders>
                    <w:tl2br w:val="nil"/>
                    <w:tr2bl w:val="nil"/>
                  </w:tcBorders>
                  <w:vAlign w:val="center"/>
                </w:tcPr>
                <w:p w14:paraId="52A1DEE4">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B78E1A4">
                  <w:pPr>
                    <w:adjustRightInd w:val="0"/>
                    <w:snapToGrid w:val="0"/>
                    <w:jc w:val="center"/>
                    <w:rPr>
                      <w:color w:val="auto"/>
                      <w:szCs w:val="21"/>
                    </w:rPr>
                  </w:pPr>
                  <w:r>
                    <w:rPr>
                      <w:color w:val="auto"/>
                      <w:szCs w:val="21"/>
                    </w:rPr>
                    <w:t>桶装</w:t>
                  </w:r>
                </w:p>
              </w:tc>
              <w:tc>
                <w:tcPr>
                  <w:tcW w:w="495" w:type="dxa"/>
                  <w:vMerge w:val="continue"/>
                  <w:tcBorders>
                    <w:tl2br w:val="nil"/>
                    <w:tr2bl w:val="nil"/>
                  </w:tcBorders>
                  <w:vAlign w:val="center"/>
                </w:tcPr>
                <w:p w14:paraId="27B8FF08">
                  <w:pPr>
                    <w:tabs>
                      <w:tab w:val="left" w:pos="720"/>
                    </w:tabs>
                    <w:adjustRightInd w:val="0"/>
                    <w:snapToGrid w:val="0"/>
                    <w:spacing w:line="240" w:lineRule="exact"/>
                    <w:jc w:val="center"/>
                    <w:rPr>
                      <w:color w:val="auto"/>
                      <w:szCs w:val="21"/>
                    </w:rPr>
                  </w:pPr>
                </w:p>
              </w:tc>
            </w:tr>
            <w:tr w14:paraId="6189FA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5C5DD411">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7</w:t>
                  </w:r>
                </w:p>
              </w:tc>
              <w:tc>
                <w:tcPr>
                  <w:tcW w:w="684" w:type="dxa"/>
                  <w:tcBorders>
                    <w:tl2br w:val="nil"/>
                    <w:tr2bl w:val="nil"/>
                  </w:tcBorders>
                  <w:vAlign w:val="center"/>
                </w:tcPr>
                <w:p w14:paraId="16FD6325">
                  <w:pPr>
                    <w:adjustRightInd w:val="0"/>
                    <w:snapToGrid w:val="0"/>
                    <w:jc w:val="center"/>
                    <w:rPr>
                      <w:color w:val="auto"/>
                      <w:szCs w:val="21"/>
                    </w:rPr>
                  </w:pPr>
                  <w:r>
                    <w:rPr>
                      <w:rFonts w:hint="eastAsia"/>
                      <w:color w:val="auto"/>
                    </w:rPr>
                    <w:t>防锈剂</w:t>
                  </w:r>
                </w:p>
              </w:tc>
              <w:tc>
                <w:tcPr>
                  <w:tcW w:w="2458" w:type="dxa"/>
                  <w:tcBorders>
                    <w:tl2br w:val="nil"/>
                    <w:tr2bl w:val="nil"/>
                  </w:tcBorders>
                  <w:vAlign w:val="center"/>
                </w:tcPr>
                <w:p w14:paraId="6EF35B6D">
                  <w:pPr>
                    <w:adjustRightInd w:val="0"/>
                    <w:snapToGrid w:val="0"/>
                    <w:spacing w:line="240" w:lineRule="exact"/>
                    <w:jc w:val="center"/>
                    <w:rPr>
                      <w:color w:val="auto"/>
                      <w:szCs w:val="21"/>
                    </w:rPr>
                  </w:pPr>
                  <w:r>
                    <w:rPr>
                      <w:rFonts w:hint="eastAsia"/>
                      <w:color w:val="auto"/>
                      <w:szCs w:val="21"/>
                    </w:rPr>
                    <w:t>项目使用防锈剂成分为：1</w:t>
                  </w:r>
                  <w:r>
                    <w:rPr>
                      <w:rFonts w:hint="eastAsia"/>
                      <w:color w:val="auto"/>
                      <w:szCs w:val="21"/>
                      <w:lang w:eastAsia="zh-CN"/>
                    </w:rPr>
                    <w:t>%～</w:t>
                  </w:r>
                  <w:r>
                    <w:rPr>
                      <w:rFonts w:hint="eastAsia"/>
                      <w:color w:val="auto"/>
                      <w:szCs w:val="21"/>
                    </w:rPr>
                    <w:t>5%单乙醇胺、10</w:t>
                  </w:r>
                  <w:r>
                    <w:rPr>
                      <w:rFonts w:hint="eastAsia"/>
                      <w:color w:val="auto"/>
                      <w:szCs w:val="21"/>
                      <w:lang w:eastAsia="zh-CN"/>
                    </w:rPr>
                    <w:t>%～</w:t>
                  </w:r>
                  <w:r>
                    <w:rPr>
                      <w:rFonts w:hint="eastAsia"/>
                      <w:color w:val="auto"/>
                      <w:szCs w:val="21"/>
                    </w:rPr>
                    <w:t>15%二乙醇胺、1</w:t>
                  </w:r>
                  <w:r>
                    <w:rPr>
                      <w:rFonts w:hint="eastAsia"/>
                      <w:color w:val="auto"/>
                      <w:szCs w:val="21"/>
                      <w:lang w:eastAsia="zh-CN"/>
                    </w:rPr>
                    <w:t>%～</w:t>
                  </w:r>
                  <w:r>
                    <w:rPr>
                      <w:rFonts w:hint="eastAsia"/>
                      <w:color w:val="auto"/>
                      <w:szCs w:val="21"/>
                    </w:rPr>
                    <w:t>10%葵二酸、1</w:t>
                  </w:r>
                  <w:r>
                    <w:rPr>
                      <w:rFonts w:hint="eastAsia"/>
                      <w:color w:val="auto"/>
                      <w:szCs w:val="21"/>
                      <w:lang w:eastAsia="zh-CN"/>
                    </w:rPr>
                    <w:t>%～</w:t>
                  </w:r>
                  <w:r>
                    <w:rPr>
                      <w:rFonts w:hint="eastAsia"/>
                      <w:color w:val="auto"/>
                      <w:szCs w:val="21"/>
                    </w:rPr>
                    <w:t>5%界面活性剂、剩余全部水；</w:t>
                  </w:r>
                  <w:r>
                    <w:rPr>
                      <w:color w:val="auto"/>
                      <w:szCs w:val="21"/>
                    </w:rPr>
                    <w:t>外观：无色透明液体或黄褐色透明液体</w:t>
                  </w:r>
                  <w:r>
                    <w:rPr>
                      <w:rFonts w:hint="eastAsia"/>
                      <w:color w:val="auto"/>
                      <w:szCs w:val="21"/>
                    </w:rPr>
                    <w:t>；气味：气味淡或无味；沸点：150-200℃；闪点</w:t>
                  </w:r>
                  <w:r>
                    <w:rPr>
                      <w:rFonts w:hint="eastAsia"/>
                      <w:color w:val="auto"/>
                      <w:szCs w:val="21"/>
                      <w:lang w:eastAsia="zh-CN"/>
                    </w:rPr>
                    <w:t>：</w:t>
                  </w:r>
                  <w:r>
                    <w:rPr>
                      <w:rFonts w:hint="eastAsia"/>
                      <w:color w:val="auto"/>
                      <w:szCs w:val="21"/>
                    </w:rPr>
                    <w:t>220℃；密度：相对密度（水=1）：0.850；可溶于水。</w:t>
                  </w:r>
                </w:p>
              </w:tc>
              <w:tc>
                <w:tcPr>
                  <w:tcW w:w="1003" w:type="dxa"/>
                  <w:tcBorders>
                    <w:tl2br w:val="nil"/>
                    <w:tr2bl w:val="nil"/>
                  </w:tcBorders>
                  <w:vAlign w:val="center"/>
                </w:tcPr>
                <w:p w14:paraId="0E9879D1">
                  <w:pPr>
                    <w:jc w:val="center"/>
                    <w:textAlignment w:val="baseline"/>
                    <w:rPr>
                      <w:color w:val="auto"/>
                      <w:szCs w:val="21"/>
                    </w:rPr>
                  </w:pPr>
                  <w:r>
                    <w:rPr>
                      <w:rFonts w:hint="eastAsia"/>
                      <w:color w:val="auto"/>
                      <w:szCs w:val="21"/>
                    </w:rPr>
                    <w:t>3</w:t>
                  </w:r>
                </w:p>
              </w:tc>
              <w:tc>
                <w:tcPr>
                  <w:tcW w:w="912" w:type="dxa"/>
                  <w:tcBorders>
                    <w:tl2br w:val="nil"/>
                    <w:tr2bl w:val="nil"/>
                  </w:tcBorders>
                  <w:vAlign w:val="center"/>
                </w:tcPr>
                <w:p w14:paraId="4AC66FBD">
                  <w:pPr>
                    <w:jc w:val="center"/>
                    <w:textAlignment w:val="baseline"/>
                    <w:rPr>
                      <w:rStyle w:val="1596"/>
                      <w:color w:val="auto"/>
                      <w:szCs w:val="21"/>
                    </w:rPr>
                  </w:pPr>
                  <w:r>
                    <w:rPr>
                      <w:rStyle w:val="1596"/>
                      <w:rFonts w:hint="eastAsia"/>
                      <w:color w:val="auto"/>
                      <w:szCs w:val="21"/>
                    </w:rPr>
                    <w:t>吨</w:t>
                  </w:r>
                </w:p>
              </w:tc>
              <w:tc>
                <w:tcPr>
                  <w:tcW w:w="623" w:type="dxa"/>
                  <w:tcBorders>
                    <w:tl2br w:val="nil"/>
                    <w:tr2bl w:val="nil"/>
                  </w:tcBorders>
                  <w:vAlign w:val="center"/>
                </w:tcPr>
                <w:p w14:paraId="3402F9DC">
                  <w:pPr>
                    <w:jc w:val="center"/>
                    <w:textAlignment w:val="baseline"/>
                    <w:rPr>
                      <w:rStyle w:val="1596"/>
                      <w:color w:val="auto"/>
                      <w:szCs w:val="21"/>
                    </w:rPr>
                  </w:pPr>
                  <w:r>
                    <w:rPr>
                      <w:rStyle w:val="1596"/>
                      <w:rFonts w:hint="eastAsia"/>
                      <w:color w:val="auto"/>
                      <w:szCs w:val="21"/>
                    </w:rPr>
                    <w:t>0.5</w:t>
                  </w:r>
                </w:p>
              </w:tc>
              <w:tc>
                <w:tcPr>
                  <w:tcW w:w="842" w:type="dxa"/>
                  <w:tcBorders>
                    <w:tl2br w:val="nil"/>
                    <w:tr2bl w:val="nil"/>
                  </w:tcBorders>
                  <w:vAlign w:val="center"/>
                </w:tcPr>
                <w:p w14:paraId="3860FAEC">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789EFE2D">
                  <w:pPr>
                    <w:tabs>
                      <w:tab w:val="left" w:pos="720"/>
                    </w:tabs>
                    <w:adjustRightInd w:val="0"/>
                    <w:snapToGrid w:val="0"/>
                    <w:spacing w:line="240" w:lineRule="exact"/>
                    <w:jc w:val="center"/>
                    <w:rPr>
                      <w:color w:val="auto"/>
                      <w:szCs w:val="21"/>
                    </w:rPr>
                  </w:pPr>
                  <w:r>
                    <w:rPr>
                      <w:rFonts w:hint="eastAsia"/>
                      <w:color w:val="auto"/>
                      <w:szCs w:val="21"/>
                    </w:rPr>
                    <w:t>桶装</w:t>
                  </w:r>
                </w:p>
              </w:tc>
              <w:tc>
                <w:tcPr>
                  <w:tcW w:w="495" w:type="dxa"/>
                  <w:vMerge w:val="continue"/>
                  <w:tcBorders>
                    <w:tl2br w:val="nil"/>
                    <w:tr2bl w:val="nil"/>
                  </w:tcBorders>
                  <w:vAlign w:val="center"/>
                </w:tcPr>
                <w:p w14:paraId="0C126A3D">
                  <w:pPr>
                    <w:tabs>
                      <w:tab w:val="left" w:pos="720"/>
                    </w:tabs>
                    <w:adjustRightInd w:val="0"/>
                    <w:snapToGrid w:val="0"/>
                    <w:spacing w:line="240" w:lineRule="exact"/>
                    <w:jc w:val="center"/>
                    <w:rPr>
                      <w:color w:val="auto"/>
                      <w:szCs w:val="21"/>
                    </w:rPr>
                  </w:pPr>
                </w:p>
              </w:tc>
            </w:tr>
            <w:tr w14:paraId="36DEB4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3D354F95">
                  <w:pPr>
                    <w:tabs>
                      <w:tab w:val="left" w:pos="720"/>
                    </w:tabs>
                    <w:adjustRightInd w:val="0"/>
                    <w:snapToGrid w:val="0"/>
                    <w:spacing w:line="240" w:lineRule="exact"/>
                    <w:jc w:val="center"/>
                    <w:rPr>
                      <w:color w:val="auto"/>
                      <w:szCs w:val="21"/>
                    </w:rPr>
                  </w:pPr>
                  <w:r>
                    <w:rPr>
                      <w:color w:val="auto"/>
                      <w:szCs w:val="21"/>
                    </w:rPr>
                    <w:t>2</w:t>
                  </w:r>
                  <w:r>
                    <w:rPr>
                      <w:rFonts w:hint="eastAsia"/>
                      <w:color w:val="auto"/>
                      <w:szCs w:val="21"/>
                    </w:rPr>
                    <w:t>8</w:t>
                  </w:r>
                </w:p>
              </w:tc>
              <w:tc>
                <w:tcPr>
                  <w:tcW w:w="684" w:type="dxa"/>
                  <w:tcBorders>
                    <w:tl2br w:val="nil"/>
                    <w:tr2bl w:val="nil"/>
                  </w:tcBorders>
                  <w:vAlign w:val="center"/>
                </w:tcPr>
                <w:p w14:paraId="76E154FC">
                  <w:pPr>
                    <w:adjustRightInd w:val="0"/>
                    <w:snapToGrid w:val="0"/>
                    <w:spacing w:line="240" w:lineRule="exact"/>
                    <w:jc w:val="center"/>
                    <w:rPr>
                      <w:color w:val="auto"/>
                      <w:szCs w:val="21"/>
                    </w:rPr>
                  </w:pPr>
                  <w:r>
                    <w:rPr>
                      <w:color w:val="auto"/>
                      <w:szCs w:val="21"/>
                    </w:rPr>
                    <w:t>塑粉</w:t>
                  </w:r>
                </w:p>
              </w:tc>
              <w:tc>
                <w:tcPr>
                  <w:tcW w:w="2458" w:type="dxa"/>
                  <w:tcBorders>
                    <w:tl2br w:val="nil"/>
                    <w:tr2bl w:val="nil"/>
                  </w:tcBorders>
                  <w:vAlign w:val="center"/>
                </w:tcPr>
                <w:p w14:paraId="6C589A3E">
                  <w:pPr>
                    <w:adjustRightInd w:val="0"/>
                    <w:snapToGrid w:val="0"/>
                    <w:spacing w:line="240" w:lineRule="exact"/>
                    <w:jc w:val="center"/>
                    <w:rPr>
                      <w:color w:val="auto"/>
                      <w:szCs w:val="21"/>
                    </w:rPr>
                  </w:pPr>
                  <w:r>
                    <w:rPr>
                      <w:rFonts w:hint="eastAsia"/>
                      <w:color w:val="auto"/>
                      <w:sz w:val="21"/>
                      <w:szCs w:val="21"/>
                      <w:lang w:eastAsia="zh-CN"/>
                    </w:rPr>
                    <w:t>73.</w:t>
                  </w:r>
                  <w:r>
                    <w:rPr>
                      <w:rFonts w:hint="eastAsia"/>
                      <w:color w:val="auto"/>
                      <w:sz w:val="21"/>
                      <w:szCs w:val="21"/>
                    </w:rPr>
                    <w:t>聚酯树脂，6%二氧化钛、固化剂，16%填料，5%颜料、助剂</w:t>
                  </w:r>
                </w:p>
              </w:tc>
              <w:tc>
                <w:tcPr>
                  <w:tcW w:w="1003" w:type="dxa"/>
                  <w:tcBorders>
                    <w:tl2br w:val="nil"/>
                    <w:tr2bl w:val="nil"/>
                  </w:tcBorders>
                  <w:vAlign w:val="center"/>
                </w:tcPr>
                <w:p w14:paraId="5A88F1C8">
                  <w:pPr>
                    <w:adjustRightInd w:val="0"/>
                    <w:snapToGrid w:val="0"/>
                    <w:jc w:val="center"/>
                    <w:rPr>
                      <w:color w:val="auto"/>
                      <w:szCs w:val="21"/>
                    </w:rPr>
                  </w:pPr>
                  <w:r>
                    <w:rPr>
                      <w:color w:val="auto"/>
                      <w:szCs w:val="21"/>
                    </w:rPr>
                    <w:t>20</w:t>
                  </w:r>
                </w:p>
              </w:tc>
              <w:tc>
                <w:tcPr>
                  <w:tcW w:w="912" w:type="dxa"/>
                  <w:tcBorders>
                    <w:tl2br w:val="nil"/>
                    <w:tr2bl w:val="nil"/>
                  </w:tcBorders>
                  <w:vAlign w:val="center"/>
                </w:tcPr>
                <w:p w14:paraId="22D6A948">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68C4F73A">
                  <w:pPr>
                    <w:adjustRightInd w:val="0"/>
                    <w:snapToGrid w:val="0"/>
                    <w:jc w:val="center"/>
                    <w:rPr>
                      <w:rStyle w:val="1596"/>
                      <w:color w:val="auto"/>
                      <w:szCs w:val="21"/>
                    </w:rPr>
                  </w:pPr>
                  <w:r>
                    <w:rPr>
                      <w:rFonts w:hint="eastAsia"/>
                      <w:color w:val="auto"/>
                      <w:szCs w:val="21"/>
                    </w:rPr>
                    <w:t>2</w:t>
                  </w:r>
                </w:p>
              </w:tc>
              <w:tc>
                <w:tcPr>
                  <w:tcW w:w="842" w:type="dxa"/>
                  <w:tcBorders>
                    <w:tl2br w:val="nil"/>
                    <w:tr2bl w:val="nil"/>
                  </w:tcBorders>
                  <w:vAlign w:val="center"/>
                </w:tcPr>
                <w:p w14:paraId="1F7DC5D4">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3812A5F6">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18530E7D">
                  <w:pPr>
                    <w:tabs>
                      <w:tab w:val="left" w:pos="720"/>
                    </w:tabs>
                    <w:adjustRightInd w:val="0"/>
                    <w:snapToGrid w:val="0"/>
                    <w:spacing w:line="240" w:lineRule="exact"/>
                    <w:jc w:val="center"/>
                    <w:rPr>
                      <w:color w:val="auto"/>
                      <w:szCs w:val="21"/>
                    </w:rPr>
                  </w:pPr>
                </w:p>
              </w:tc>
            </w:tr>
            <w:tr w14:paraId="01E4BA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401B032F">
                  <w:pPr>
                    <w:tabs>
                      <w:tab w:val="left" w:pos="720"/>
                    </w:tabs>
                    <w:adjustRightInd w:val="0"/>
                    <w:snapToGrid w:val="0"/>
                    <w:spacing w:line="240" w:lineRule="exact"/>
                    <w:jc w:val="center"/>
                    <w:rPr>
                      <w:color w:val="auto"/>
                      <w:szCs w:val="21"/>
                    </w:rPr>
                  </w:pPr>
                  <w:r>
                    <w:rPr>
                      <w:rFonts w:hint="eastAsia"/>
                      <w:color w:val="auto"/>
                      <w:szCs w:val="21"/>
                    </w:rPr>
                    <w:t>29</w:t>
                  </w:r>
                </w:p>
              </w:tc>
              <w:tc>
                <w:tcPr>
                  <w:tcW w:w="684" w:type="dxa"/>
                  <w:tcBorders>
                    <w:tl2br w:val="nil"/>
                    <w:tr2bl w:val="nil"/>
                  </w:tcBorders>
                  <w:vAlign w:val="center"/>
                </w:tcPr>
                <w:p w14:paraId="3EF556B5">
                  <w:pPr>
                    <w:adjustRightInd w:val="0"/>
                    <w:snapToGrid w:val="0"/>
                    <w:spacing w:line="240" w:lineRule="exact"/>
                    <w:jc w:val="center"/>
                    <w:rPr>
                      <w:color w:val="auto"/>
                      <w:szCs w:val="21"/>
                    </w:rPr>
                  </w:pPr>
                  <w:r>
                    <w:rPr>
                      <w:color w:val="auto"/>
                      <w:szCs w:val="21"/>
                    </w:rPr>
                    <w:t>亚克力板材</w:t>
                  </w:r>
                </w:p>
              </w:tc>
              <w:tc>
                <w:tcPr>
                  <w:tcW w:w="2458" w:type="dxa"/>
                  <w:tcBorders>
                    <w:tl2br w:val="nil"/>
                    <w:tr2bl w:val="nil"/>
                  </w:tcBorders>
                  <w:vAlign w:val="center"/>
                </w:tcPr>
                <w:p w14:paraId="49C5D9F4">
                  <w:pPr>
                    <w:adjustRightInd w:val="0"/>
                    <w:snapToGrid w:val="0"/>
                    <w:spacing w:line="240" w:lineRule="exact"/>
                    <w:jc w:val="center"/>
                    <w:rPr>
                      <w:color w:val="auto"/>
                      <w:szCs w:val="21"/>
                    </w:rPr>
                  </w:pPr>
                  <w:r>
                    <w:rPr>
                      <w:color w:val="auto"/>
                      <w:szCs w:val="21"/>
                    </w:rPr>
                    <w:t>聚甲基丙烯酸甲酯</w:t>
                  </w:r>
                </w:p>
              </w:tc>
              <w:tc>
                <w:tcPr>
                  <w:tcW w:w="1003" w:type="dxa"/>
                  <w:tcBorders>
                    <w:tl2br w:val="nil"/>
                    <w:tr2bl w:val="nil"/>
                  </w:tcBorders>
                  <w:vAlign w:val="center"/>
                </w:tcPr>
                <w:p w14:paraId="557AE5E9">
                  <w:pPr>
                    <w:adjustRightInd w:val="0"/>
                    <w:snapToGrid w:val="0"/>
                    <w:jc w:val="center"/>
                    <w:rPr>
                      <w:color w:val="auto"/>
                      <w:szCs w:val="21"/>
                    </w:rPr>
                  </w:pPr>
                  <w:r>
                    <w:rPr>
                      <w:rFonts w:hint="eastAsia"/>
                      <w:color w:val="auto"/>
                      <w:szCs w:val="21"/>
                    </w:rPr>
                    <w:t>180</w:t>
                  </w:r>
                </w:p>
              </w:tc>
              <w:tc>
                <w:tcPr>
                  <w:tcW w:w="912" w:type="dxa"/>
                  <w:tcBorders>
                    <w:tl2br w:val="nil"/>
                    <w:tr2bl w:val="nil"/>
                  </w:tcBorders>
                  <w:vAlign w:val="center"/>
                </w:tcPr>
                <w:p w14:paraId="3FFD3123">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5B8FCEE1">
                  <w:pPr>
                    <w:adjustRightInd w:val="0"/>
                    <w:snapToGrid w:val="0"/>
                    <w:jc w:val="center"/>
                    <w:rPr>
                      <w:rStyle w:val="1596"/>
                      <w:color w:val="auto"/>
                      <w:szCs w:val="21"/>
                    </w:rPr>
                  </w:pPr>
                  <w:r>
                    <w:rPr>
                      <w:rStyle w:val="1596"/>
                      <w:rFonts w:hint="eastAsia"/>
                      <w:color w:val="auto"/>
                      <w:szCs w:val="21"/>
                    </w:rPr>
                    <w:t>30</w:t>
                  </w:r>
                </w:p>
              </w:tc>
              <w:tc>
                <w:tcPr>
                  <w:tcW w:w="842" w:type="dxa"/>
                  <w:tcBorders>
                    <w:tl2br w:val="nil"/>
                    <w:tr2bl w:val="nil"/>
                  </w:tcBorders>
                  <w:vAlign w:val="center"/>
                </w:tcPr>
                <w:p w14:paraId="5C603E9E">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02B8158">
                  <w:pPr>
                    <w:adjustRightInd w:val="0"/>
                    <w:snapToGrid w:val="0"/>
                    <w:jc w:val="center"/>
                    <w:rPr>
                      <w:color w:val="auto"/>
                      <w:szCs w:val="21"/>
                    </w:rPr>
                  </w:pPr>
                  <w:r>
                    <w:rPr>
                      <w:color w:val="auto"/>
                      <w:szCs w:val="21"/>
                    </w:rPr>
                    <w:t>货架</w:t>
                  </w:r>
                </w:p>
              </w:tc>
              <w:tc>
                <w:tcPr>
                  <w:tcW w:w="495" w:type="dxa"/>
                  <w:vMerge w:val="restart"/>
                  <w:tcBorders>
                    <w:tl2br w:val="nil"/>
                    <w:tr2bl w:val="nil"/>
                  </w:tcBorders>
                  <w:vAlign w:val="center"/>
                </w:tcPr>
                <w:p w14:paraId="7451CA27">
                  <w:pPr>
                    <w:tabs>
                      <w:tab w:val="left" w:pos="720"/>
                    </w:tabs>
                    <w:adjustRightInd w:val="0"/>
                    <w:snapToGrid w:val="0"/>
                    <w:spacing w:line="240" w:lineRule="exact"/>
                    <w:jc w:val="center"/>
                    <w:rPr>
                      <w:color w:val="auto"/>
                      <w:szCs w:val="21"/>
                    </w:rPr>
                  </w:pPr>
                  <w:r>
                    <w:rPr>
                      <w:rFonts w:hint="eastAsia"/>
                      <w:color w:val="auto"/>
                      <w:szCs w:val="21"/>
                    </w:rPr>
                    <w:t>亚克力组件</w:t>
                  </w:r>
                </w:p>
              </w:tc>
            </w:tr>
            <w:tr w14:paraId="5AE49B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613A5DC9">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0</w:t>
                  </w:r>
                </w:p>
              </w:tc>
              <w:tc>
                <w:tcPr>
                  <w:tcW w:w="684" w:type="dxa"/>
                  <w:tcBorders>
                    <w:tl2br w:val="nil"/>
                    <w:tr2bl w:val="nil"/>
                  </w:tcBorders>
                  <w:vAlign w:val="center"/>
                </w:tcPr>
                <w:p w14:paraId="57415793">
                  <w:pPr>
                    <w:adjustRightInd w:val="0"/>
                    <w:snapToGrid w:val="0"/>
                    <w:spacing w:line="240" w:lineRule="exact"/>
                    <w:jc w:val="center"/>
                    <w:rPr>
                      <w:color w:val="auto"/>
                      <w:szCs w:val="21"/>
                    </w:rPr>
                  </w:pPr>
                  <w:r>
                    <w:rPr>
                      <w:color w:val="auto"/>
                      <w:szCs w:val="21"/>
                    </w:rPr>
                    <w:t>油墨</w:t>
                  </w:r>
                </w:p>
              </w:tc>
              <w:tc>
                <w:tcPr>
                  <w:tcW w:w="2458" w:type="dxa"/>
                  <w:tcBorders>
                    <w:tl2br w:val="nil"/>
                    <w:tr2bl w:val="nil"/>
                  </w:tcBorders>
                  <w:vAlign w:val="center"/>
                </w:tcPr>
                <w:p w14:paraId="072315DB">
                  <w:pPr>
                    <w:adjustRightInd w:val="0"/>
                    <w:snapToGrid w:val="0"/>
                    <w:spacing w:line="240" w:lineRule="exact"/>
                    <w:jc w:val="center"/>
                    <w:rPr>
                      <w:color w:val="auto"/>
                      <w:szCs w:val="21"/>
                    </w:rPr>
                  </w:pPr>
                  <w:r>
                    <w:rPr>
                      <w:rFonts w:hint="eastAsia"/>
                      <w:color w:val="auto"/>
                      <w:szCs w:val="21"/>
                    </w:rPr>
                    <w:t>环氧树脂、合成丙烯酸树脂、异佛尔酮、环己酮、消泡剂、分散剂、增稠剂</w:t>
                  </w:r>
                </w:p>
              </w:tc>
              <w:tc>
                <w:tcPr>
                  <w:tcW w:w="1003" w:type="dxa"/>
                  <w:tcBorders>
                    <w:tl2br w:val="nil"/>
                    <w:tr2bl w:val="nil"/>
                  </w:tcBorders>
                  <w:vAlign w:val="center"/>
                </w:tcPr>
                <w:p w14:paraId="56EB359B">
                  <w:pPr>
                    <w:adjustRightInd w:val="0"/>
                    <w:snapToGrid w:val="0"/>
                    <w:jc w:val="center"/>
                    <w:rPr>
                      <w:color w:val="auto"/>
                      <w:szCs w:val="21"/>
                    </w:rPr>
                  </w:pPr>
                  <w:r>
                    <w:rPr>
                      <w:color w:val="auto"/>
                      <w:szCs w:val="21"/>
                    </w:rPr>
                    <w:t>50</w:t>
                  </w:r>
                </w:p>
              </w:tc>
              <w:tc>
                <w:tcPr>
                  <w:tcW w:w="912" w:type="dxa"/>
                  <w:tcBorders>
                    <w:tl2br w:val="nil"/>
                    <w:tr2bl w:val="nil"/>
                  </w:tcBorders>
                  <w:vAlign w:val="center"/>
                </w:tcPr>
                <w:p w14:paraId="0D1F355F">
                  <w:pPr>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005417FF">
                  <w:pPr>
                    <w:adjustRightInd w:val="0"/>
                    <w:snapToGrid w:val="0"/>
                    <w:jc w:val="center"/>
                    <w:rPr>
                      <w:rStyle w:val="1596"/>
                      <w:color w:val="auto"/>
                      <w:szCs w:val="21"/>
                    </w:rPr>
                  </w:pPr>
                  <w:r>
                    <w:rPr>
                      <w:color w:val="auto"/>
                      <w:szCs w:val="21"/>
                    </w:rPr>
                    <w:t>15</w:t>
                  </w:r>
                </w:p>
              </w:tc>
              <w:tc>
                <w:tcPr>
                  <w:tcW w:w="842" w:type="dxa"/>
                  <w:tcBorders>
                    <w:tl2br w:val="nil"/>
                    <w:tr2bl w:val="nil"/>
                  </w:tcBorders>
                  <w:vAlign w:val="center"/>
                </w:tcPr>
                <w:p w14:paraId="7D72ACA3">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6AC78422">
                  <w:pPr>
                    <w:adjustRightInd w:val="0"/>
                    <w:snapToGrid w:val="0"/>
                    <w:jc w:val="center"/>
                    <w:rPr>
                      <w:color w:val="auto"/>
                      <w:szCs w:val="21"/>
                    </w:rPr>
                  </w:pPr>
                  <w:r>
                    <w:rPr>
                      <w:color w:val="auto"/>
                      <w:szCs w:val="21"/>
                    </w:rPr>
                    <w:t>桶装</w:t>
                  </w:r>
                </w:p>
              </w:tc>
              <w:tc>
                <w:tcPr>
                  <w:tcW w:w="495" w:type="dxa"/>
                  <w:vMerge w:val="continue"/>
                  <w:tcBorders>
                    <w:tl2br w:val="nil"/>
                    <w:tr2bl w:val="nil"/>
                  </w:tcBorders>
                  <w:vAlign w:val="center"/>
                </w:tcPr>
                <w:p w14:paraId="617016A5">
                  <w:pPr>
                    <w:tabs>
                      <w:tab w:val="left" w:pos="720"/>
                    </w:tabs>
                    <w:adjustRightInd w:val="0"/>
                    <w:snapToGrid w:val="0"/>
                    <w:spacing w:line="240" w:lineRule="exact"/>
                    <w:jc w:val="center"/>
                    <w:rPr>
                      <w:color w:val="auto"/>
                      <w:szCs w:val="21"/>
                    </w:rPr>
                  </w:pPr>
                </w:p>
              </w:tc>
            </w:tr>
            <w:tr w14:paraId="0F1FA7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26D341ED">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1</w:t>
                  </w:r>
                </w:p>
              </w:tc>
              <w:tc>
                <w:tcPr>
                  <w:tcW w:w="684" w:type="dxa"/>
                  <w:tcBorders>
                    <w:tl2br w:val="nil"/>
                    <w:tr2bl w:val="nil"/>
                  </w:tcBorders>
                  <w:vAlign w:val="center"/>
                </w:tcPr>
                <w:p w14:paraId="1BAE1087">
                  <w:pPr>
                    <w:adjustRightInd w:val="0"/>
                    <w:snapToGrid w:val="0"/>
                    <w:spacing w:line="240" w:lineRule="exact"/>
                    <w:jc w:val="center"/>
                    <w:rPr>
                      <w:color w:val="auto"/>
                      <w:szCs w:val="21"/>
                    </w:rPr>
                  </w:pPr>
                  <w:r>
                    <w:rPr>
                      <w:color w:val="auto"/>
                      <w:szCs w:val="21"/>
                    </w:rPr>
                    <w:t>烫金膜</w:t>
                  </w:r>
                </w:p>
              </w:tc>
              <w:tc>
                <w:tcPr>
                  <w:tcW w:w="2458" w:type="dxa"/>
                  <w:tcBorders>
                    <w:tl2br w:val="nil"/>
                    <w:tr2bl w:val="nil"/>
                  </w:tcBorders>
                  <w:vAlign w:val="center"/>
                </w:tcPr>
                <w:p w14:paraId="1058CCCC">
                  <w:pPr>
                    <w:adjustRightInd w:val="0"/>
                    <w:snapToGrid w:val="0"/>
                    <w:spacing w:line="240" w:lineRule="exact"/>
                    <w:jc w:val="center"/>
                    <w:rPr>
                      <w:color w:val="auto"/>
                      <w:szCs w:val="21"/>
                    </w:rPr>
                  </w:pPr>
                  <w:r>
                    <w:rPr>
                      <w:rFonts w:hint="eastAsia"/>
                      <w:color w:val="auto"/>
                      <w:szCs w:val="21"/>
                    </w:rPr>
                    <w:t>规格一般为0.012mm×0.64m×120m，每卷约1.5kg，共30卷</w:t>
                  </w:r>
                </w:p>
              </w:tc>
              <w:tc>
                <w:tcPr>
                  <w:tcW w:w="1003" w:type="dxa"/>
                  <w:tcBorders>
                    <w:tl2br w:val="nil"/>
                    <w:tr2bl w:val="nil"/>
                  </w:tcBorders>
                  <w:vAlign w:val="center"/>
                </w:tcPr>
                <w:p w14:paraId="1E379C36">
                  <w:pPr>
                    <w:adjustRightInd w:val="0"/>
                    <w:snapToGrid w:val="0"/>
                    <w:jc w:val="center"/>
                    <w:rPr>
                      <w:color w:val="auto"/>
                      <w:szCs w:val="21"/>
                    </w:rPr>
                  </w:pPr>
                  <w:r>
                    <w:rPr>
                      <w:rFonts w:hint="eastAsia"/>
                      <w:color w:val="auto"/>
                      <w:szCs w:val="21"/>
                    </w:rPr>
                    <w:t>45</w:t>
                  </w:r>
                </w:p>
              </w:tc>
              <w:tc>
                <w:tcPr>
                  <w:tcW w:w="912" w:type="dxa"/>
                  <w:tcBorders>
                    <w:tl2br w:val="nil"/>
                    <w:tr2bl w:val="nil"/>
                  </w:tcBorders>
                  <w:vAlign w:val="center"/>
                </w:tcPr>
                <w:p w14:paraId="474584A3">
                  <w:pPr>
                    <w:adjustRightInd w:val="0"/>
                    <w:snapToGrid w:val="0"/>
                    <w:jc w:val="center"/>
                    <w:rPr>
                      <w:rStyle w:val="1596"/>
                      <w:color w:val="auto"/>
                      <w:szCs w:val="21"/>
                    </w:rPr>
                  </w:pPr>
                  <w:r>
                    <w:rPr>
                      <w:rFonts w:hint="eastAsia"/>
                      <w:color w:val="auto"/>
                      <w:szCs w:val="21"/>
                    </w:rPr>
                    <w:t>公斤</w:t>
                  </w:r>
                </w:p>
              </w:tc>
              <w:tc>
                <w:tcPr>
                  <w:tcW w:w="623" w:type="dxa"/>
                  <w:tcBorders>
                    <w:tl2br w:val="nil"/>
                    <w:tr2bl w:val="nil"/>
                  </w:tcBorders>
                  <w:vAlign w:val="center"/>
                </w:tcPr>
                <w:p w14:paraId="312F4E48">
                  <w:pPr>
                    <w:adjustRightInd w:val="0"/>
                    <w:snapToGrid w:val="0"/>
                    <w:jc w:val="center"/>
                    <w:rPr>
                      <w:rStyle w:val="1596"/>
                      <w:color w:val="auto"/>
                      <w:szCs w:val="21"/>
                    </w:rPr>
                  </w:pPr>
                  <w:r>
                    <w:rPr>
                      <w:rFonts w:hint="eastAsia"/>
                      <w:color w:val="auto"/>
                      <w:szCs w:val="21"/>
                    </w:rPr>
                    <w:t>45</w:t>
                  </w:r>
                </w:p>
              </w:tc>
              <w:tc>
                <w:tcPr>
                  <w:tcW w:w="842" w:type="dxa"/>
                  <w:tcBorders>
                    <w:tl2br w:val="nil"/>
                    <w:tr2bl w:val="nil"/>
                  </w:tcBorders>
                  <w:vAlign w:val="center"/>
                </w:tcPr>
                <w:p w14:paraId="7F5A93B3">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4BAF4A6E">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54B8E6CC">
                  <w:pPr>
                    <w:tabs>
                      <w:tab w:val="left" w:pos="720"/>
                    </w:tabs>
                    <w:adjustRightInd w:val="0"/>
                    <w:snapToGrid w:val="0"/>
                    <w:spacing w:line="240" w:lineRule="exact"/>
                    <w:jc w:val="center"/>
                    <w:rPr>
                      <w:color w:val="auto"/>
                      <w:szCs w:val="21"/>
                    </w:rPr>
                  </w:pPr>
                </w:p>
              </w:tc>
            </w:tr>
            <w:tr w14:paraId="148C19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7C1DB1B8">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2</w:t>
                  </w:r>
                </w:p>
              </w:tc>
              <w:tc>
                <w:tcPr>
                  <w:tcW w:w="684" w:type="dxa"/>
                  <w:tcBorders>
                    <w:tl2br w:val="nil"/>
                    <w:tr2bl w:val="nil"/>
                  </w:tcBorders>
                  <w:vAlign w:val="center"/>
                </w:tcPr>
                <w:p w14:paraId="5314832F">
                  <w:pPr>
                    <w:adjustRightInd w:val="0"/>
                    <w:snapToGrid w:val="0"/>
                    <w:spacing w:line="240" w:lineRule="exact"/>
                    <w:jc w:val="center"/>
                    <w:rPr>
                      <w:color w:val="auto"/>
                      <w:szCs w:val="21"/>
                    </w:rPr>
                  </w:pPr>
                  <w:r>
                    <w:rPr>
                      <w:color w:val="auto"/>
                      <w:szCs w:val="21"/>
                    </w:rPr>
                    <w:t>碳氢清洗剂</w:t>
                  </w:r>
                </w:p>
              </w:tc>
              <w:tc>
                <w:tcPr>
                  <w:tcW w:w="2458" w:type="dxa"/>
                  <w:tcBorders>
                    <w:tl2br w:val="nil"/>
                    <w:tr2bl w:val="nil"/>
                  </w:tcBorders>
                  <w:vAlign w:val="center"/>
                </w:tcPr>
                <w:p w14:paraId="5E67D1F3">
                  <w:pPr>
                    <w:adjustRightInd w:val="0"/>
                    <w:snapToGrid w:val="0"/>
                    <w:spacing w:line="240" w:lineRule="exact"/>
                    <w:jc w:val="center"/>
                    <w:rPr>
                      <w:color w:val="auto"/>
                      <w:szCs w:val="21"/>
                    </w:rPr>
                  </w:pPr>
                  <w:r>
                    <w:rPr>
                      <w:rFonts w:hint="eastAsia"/>
                      <w:color w:val="auto"/>
                      <w:szCs w:val="21"/>
                    </w:rPr>
                    <w:t>主要成分为30</w:t>
                  </w:r>
                  <w:r>
                    <w:rPr>
                      <w:rFonts w:hint="eastAsia"/>
                      <w:color w:val="auto"/>
                      <w:szCs w:val="21"/>
                      <w:lang w:eastAsia="zh-CN"/>
                    </w:rPr>
                    <w:t>%～</w:t>
                  </w:r>
                  <w:r>
                    <w:rPr>
                      <w:rFonts w:hint="eastAsia"/>
                      <w:color w:val="auto"/>
                      <w:szCs w:val="21"/>
                    </w:rPr>
                    <w:t>50%正构烷烃碳氢化合物、25</w:t>
                  </w:r>
                  <w:r>
                    <w:rPr>
                      <w:rFonts w:hint="eastAsia"/>
                      <w:color w:val="auto"/>
                      <w:szCs w:val="21"/>
                      <w:lang w:eastAsia="zh-CN"/>
                    </w:rPr>
                    <w:t>%～</w:t>
                  </w:r>
                  <w:r>
                    <w:rPr>
                      <w:rFonts w:hint="eastAsia"/>
                      <w:color w:val="auto"/>
                      <w:szCs w:val="21"/>
                    </w:rPr>
                    <w:t>40%异构烷烃碳氢化合物、25</w:t>
                  </w:r>
                  <w:r>
                    <w:rPr>
                      <w:rFonts w:hint="eastAsia"/>
                      <w:color w:val="auto"/>
                      <w:szCs w:val="21"/>
                      <w:lang w:eastAsia="zh-CN"/>
                    </w:rPr>
                    <w:t>%～</w:t>
                  </w:r>
                  <w:r>
                    <w:rPr>
                      <w:rFonts w:hint="eastAsia"/>
                      <w:color w:val="auto"/>
                      <w:szCs w:val="21"/>
                    </w:rPr>
                    <w:t>30%环烷烃碳氢化合物、0.1</w:t>
                  </w:r>
                  <w:r>
                    <w:rPr>
                      <w:rFonts w:hint="eastAsia"/>
                      <w:color w:val="auto"/>
                      <w:szCs w:val="21"/>
                      <w:lang w:eastAsia="zh-CN"/>
                    </w:rPr>
                    <w:t>%～</w:t>
                  </w:r>
                  <w:r>
                    <w:rPr>
                      <w:rFonts w:hint="eastAsia"/>
                      <w:color w:val="auto"/>
                      <w:szCs w:val="21"/>
                    </w:rPr>
                    <w:t>1.0%稳定剂</w:t>
                  </w:r>
                </w:p>
              </w:tc>
              <w:tc>
                <w:tcPr>
                  <w:tcW w:w="1003" w:type="dxa"/>
                  <w:tcBorders>
                    <w:tl2br w:val="nil"/>
                    <w:tr2bl w:val="nil"/>
                  </w:tcBorders>
                  <w:vAlign w:val="center"/>
                </w:tcPr>
                <w:p w14:paraId="3AB0B90C">
                  <w:pPr>
                    <w:adjustRightInd w:val="0"/>
                    <w:snapToGrid w:val="0"/>
                    <w:jc w:val="center"/>
                    <w:rPr>
                      <w:color w:val="auto"/>
                      <w:szCs w:val="21"/>
                    </w:rPr>
                  </w:pPr>
                  <w:r>
                    <w:rPr>
                      <w:color w:val="auto"/>
                      <w:szCs w:val="21"/>
                    </w:rPr>
                    <w:t>800</w:t>
                  </w:r>
                </w:p>
              </w:tc>
              <w:tc>
                <w:tcPr>
                  <w:tcW w:w="912" w:type="dxa"/>
                  <w:tcBorders>
                    <w:tl2br w:val="nil"/>
                    <w:tr2bl w:val="nil"/>
                  </w:tcBorders>
                  <w:vAlign w:val="center"/>
                </w:tcPr>
                <w:p w14:paraId="7F2161EB">
                  <w:pPr>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07057201">
                  <w:pPr>
                    <w:adjustRightInd w:val="0"/>
                    <w:snapToGrid w:val="0"/>
                    <w:jc w:val="center"/>
                    <w:rPr>
                      <w:rStyle w:val="1596"/>
                      <w:color w:val="auto"/>
                      <w:szCs w:val="21"/>
                    </w:rPr>
                  </w:pPr>
                  <w:r>
                    <w:rPr>
                      <w:color w:val="auto"/>
                      <w:szCs w:val="21"/>
                    </w:rPr>
                    <w:t>100</w:t>
                  </w:r>
                </w:p>
              </w:tc>
              <w:tc>
                <w:tcPr>
                  <w:tcW w:w="842" w:type="dxa"/>
                  <w:tcBorders>
                    <w:tl2br w:val="nil"/>
                    <w:tr2bl w:val="nil"/>
                  </w:tcBorders>
                  <w:vAlign w:val="center"/>
                </w:tcPr>
                <w:p w14:paraId="65A98B0D">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2F7AF596">
                  <w:pPr>
                    <w:adjustRightInd w:val="0"/>
                    <w:snapToGrid w:val="0"/>
                    <w:jc w:val="center"/>
                    <w:rPr>
                      <w:color w:val="auto"/>
                      <w:szCs w:val="21"/>
                    </w:rPr>
                  </w:pPr>
                  <w:r>
                    <w:rPr>
                      <w:color w:val="auto"/>
                      <w:szCs w:val="21"/>
                    </w:rPr>
                    <w:t>瓶装</w:t>
                  </w:r>
                </w:p>
              </w:tc>
              <w:tc>
                <w:tcPr>
                  <w:tcW w:w="495" w:type="dxa"/>
                  <w:vMerge w:val="continue"/>
                  <w:tcBorders>
                    <w:tl2br w:val="nil"/>
                    <w:tr2bl w:val="nil"/>
                  </w:tcBorders>
                  <w:vAlign w:val="center"/>
                </w:tcPr>
                <w:p w14:paraId="2603E3FF">
                  <w:pPr>
                    <w:tabs>
                      <w:tab w:val="left" w:pos="720"/>
                    </w:tabs>
                    <w:adjustRightInd w:val="0"/>
                    <w:snapToGrid w:val="0"/>
                    <w:spacing w:line="240" w:lineRule="exact"/>
                    <w:jc w:val="center"/>
                    <w:rPr>
                      <w:color w:val="auto"/>
                      <w:szCs w:val="21"/>
                    </w:rPr>
                  </w:pPr>
                </w:p>
              </w:tc>
            </w:tr>
            <w:tr w14:paraId="72A91C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4A547FB">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3</w:t>
                  </w:r>
                </w:p>
              </w:tc>
              <w:tc>
                <w:tcPr>
                  <w:tcW w:w="684" w:type="dxa"/>
                  <w:tcBorders>
                    <w:tl2br w:val="nil"/>
                    <w:tr2bl w:val="nil"/>
                  </w:tcBorders>
                  <w:vAlign w:val="center"/>
                </w:tcPr>
                <w:p w14:paraId="6FA7EF2E">
                  <w:pPr>
                    <w:adjustRightInd w:val="0"/>
                    <w:snapToGrid w:val="0"/>
                    <w:spacing w:line="240" w:lineRule="exact"/>
                    <w:jc w:val="center"/>
                    <w:rPr>
                      <w:color w:val="auto"/>
                      <w:szCs w:val="21"/>
                    </w:rPr>
                  </w:pPr>
                  <w:r>
                    <w:rPr>
                      <w:color w:val="auto"/>
                      <w:szCs w:val="21"/>
                    </w:rPr>
                    <w:t>洗网水</w:t>
                  </w:r>
                </w:p>
              </w:tc>
              <w:tc>
                <w:tcPr>
                  <w:tcW w:w="2458" w:type="dxa"/>
                  <w:tcBorders>
                    <w:tl2br w:val="nil"/>
                    <w:tr2bl w:val="nil"/>
                  </w:tcBorders>
                  <w:vAlign w:val="center"/>
                </w:tcPr>
                <w:p w14:paraId="7C960B11">
                  <w:pPr>
                    <w:adjustRightInd w:val="0"/>
                    <w:snapToGrid w:val="0"/>
                    <w:spacing w:line="240" w:lineRule="exact"/>
                    <w:jc w:val="center"/>
                    <w:rPr>
                      <w:color w:val="auto"/>
                      <w:szCs w:val="21"/>
                    </w:rPr>
                  </w:pPr>
                  <w:r>
                    <w:rPr>
                      <w:rFonts w:hint="eastAsia"/>
                      <w:color w:val="auto"/>
                      <w:szCs w:val="21"/>
                    </w:rPr>
                    <w:t>混合酯C4H9OOC-（CH2）2-COOC4H9</w:t>
                  </w:r>
                  <w:r>
                    <w:rPr>
                      <w:rFonts w:hint="eastAsia"/>
                      <w:color w:val="auto"/>
                      <w:szCs w:val="21"/>
                      <w:lang w:eastAsia="zh-CN"/>
                    </w:rPr>
                    <w:t>:</w:t>
                  </w:r>
                  <w:r>
                    <w:rPr>
                      <w:rFonts w:hint="eastAsia"/>
                      <w:color w:val="auto"/>
                      <w:szCs w:val="21"/>
                    </w:rPr>
                    <w:t>45</w:t>
                  </w:r>
                  <w:r>
                    <w:rPr>
                      <w:rFonts w:hint="eastAsia"/>
                      <w:color w:val="auto"/>
                      <w:szCs w:val="21"/>
                      <w:lang w:eastAsia="zh-CN"/>
                    </w:rPr>
                    <w:t>%～</w:t>
                  </w:r>
                  <w:r>
                    <w:rPr>
                      <w:rFonts w:hint="eastAsia"/>
                      <w:color w:val="auto"/>
                      <w:szCs w:val="21"/>
                    </w:rPr>
                    <w:t>70%，石油类溶剂C6H5-CH3</w:t>
                  </w:r>
                  <w:r>
                    <w:rPr>
                      <w:rFonts w:hint="eastAsia"/>
                      <w:color w:val="auto"/>
                      <w:szCs w:val="21"/>
                      <w:lang w:eastAsia="zh-CN"/>
                    </w:rPr>
                    <w:t>:</w:t>
                  </w:r>
                  <w:r>
                    <w:rPr>
                      <w:rFonts w:hint="eastAsia"/>
                      <w:color w:val="auto"/>
                      <w:szCs w:val="21"/>
                    </w:rPr>
                    <w:t>5</w:t>
                  </w:r>
                  <w:r>
                    <w:rPr>
                      <w:rFonts w:hint="eastAsia"/>
                      <w:color w:val="auto"/>
                      <w:szCs w:val="21"/>
                      <w:lang w:eastAsia="zh-CN"/>
                    </w:rPr>
                    <w:t>%～</w:t>
                  </w:r>
                  <w:r>
                    <w:rPr>
                      <w:rFonts w:hint="eastAsia"/>
                      <w:color w:val="auto"/>
                      <w:szCs w:val="21"/>
                    </w:rPr>
                    <w:t>30%，活性剂C6H4(CO)C6H11</w:t>
                  </w:r>
                  <w:r>
                    <w:rPr>
                      <w:rFonts w:hint="eastAsia"/>
                      <w:color w:val="auto"/>
                      <w:szCs w:val="21"/>
                      <w:lang w:eastAsia="zh-CN"/>
                    </w:rPr>
                    <w:t>:</w:t>
                  </w:r>
                  <w:r>
                    <w:rPr>
                      <w:rFonts w:hint="eastAsia"/>
                      <w:color w:val="auto"/>
                      <w:szCs w:val="21"/>
                    </w:rPr>
                    <w:t>3</w:t>
                  </w:r>
                  <w:r>
                    <w:rPr>
                      <w:rFonts w:hint="eastAsia"/>
                      <w:color w:val="auto"/>
                      <w:szCs w:val="21"/>
                      <w:lang w:eastAsia="zh-CN"/>
                    </w:rPr>
                    <w:t>%～</w:t>
                  </w:r>
                  <w:r>
                    <w:rPr>
                      <w:rFonts w:hint="eastAsia"/>
                      <w:color w:val="auto"/>
                      <w:szCs w:val="21"/>
                    </w:rPr>
                    <w:t>8%</w:t>
                  </w:r>
                </w:p>
              </w:tc>
              <w:tc>
                <w:tcPr>
                  <w:tcW w:w="1003" w:type="dxa"/>
                  <w:tcBorders>
                    <w:tl2br w:val="nil"/>
                    <w:tr2bl w:val="nil"/>
                  </w:tcBorders>
                  <w:vAlign w:val="center"/>
                </w:tcPr>
                <w:p w14:paraId="2FD2EBE8">
                  <w:pPr>
                    <w:adjustRightInd w:val="0"/>
                    <w:snapToGrid w:val="0"/>
                    <w:jc w:val="center"/>
                    <w:rPr>
                      <w:color w:val="auto"/>
                      <w:szCs w:val="21"/>
                    </w:rPr>
                  </w:pPr>
                  <w:r>
                    <w:rPr>
                      <w:color w:val="auto"/>
                      <w:szCs w:val="21"/>
                    </w:rPr>
                    <w:t>400</w:t>
                  </w:r>
                </w:p>
              </w:tc>
              <w:tc>
                <w:tcPr>
                  <w:tcW w:w="912" w:type="dxa"/>
                  <w:tcBorders>
                    <w:tl2br w:val="nil"/>
                    <w:tr2bl w:val="nil"/>
                  </w:tcBorders>
                  <w:vAlign w:val="center"/>
                </w:tcPr>
                <w:p w14:paraId="4E458591">
                  <w:pPr>
                    <w:adjustRightInd w:val="0"/>
                    <w:snapToGrid w:val="0"/>
                    <w:jc w:val="center"/>
                    <w:rPr>
                      <w:rStyle w:val="1596"/>
                      <w:color w:val="auto"/>
                      <w:szCs w:val="21"/>
                    </w:rPr>
                  </w:pPr>
                  <w:r>
                    <w:rPr>
                      <w:color w:val="auto"/>
                      <w:szCs w:val="21"/>
                    </w:rPr>
                    <w:t>公斤</w:t>
                  </w:r>
                </w:p>
              </w:tc>
              <w:tc>
                <w:tcPr>
                  <w:tcW w:w="623" w:type="dxa"/>
                  <w:tcBorders>
                    <w:tl2br w:val="nil"/>
                    <w:tr2bl w:val="nil"/>
                  </w:tcBorders>
                  <w:vAlign w:val="center"/>
                </w:tcPr>
                <w:p w14:paraId="34035C42">
                  <w:pPr>
                    <w:adjustRightInd w:val="0"/>
                    <w:snapToGrid w:val="0"/>
                    <w:jc w:val="center"/>
                    <w:rPr>
                      <w:rStyle w:val="1596"/>
                      <w:color w:val="auto"/>
                      <w:szCs w:val="21"/>
                    </w:rPr>
                  </w:pPr>
                  <w:r>
                    <w:rPr>
                      <w:color w:val="auto"/>
                      <w:szCs w:val="21"/>
                    </w:rPr>
                    <w:t>60</w:t>
                  </w:r>
                </w:p>
              </w:tc>
              <w:tc>
                <w:tcPr>
                  <w:tcW w:w="842" w:type="dxa"/>
                  <w:tcBorders>
                    <w:tl2br w:val="nil"/>
                    <w:tr2bl w:val="nil"/>
                  </w:tcBorders>
                  <w:vAlign w:val="center"/>
                </w:tcPr>
                <w:p w14:paraId="2C067F04">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1B0D0192">
                  <w:pPr>
                    <w:adjustRightInd w:val="0"/>
                    <w:snapToGrid w:val="0"/>
                    <w:jc w:val="center"/>
                    <w:rPr>
                      <w:color w:val="auto"/>
                      <w:szCs w:val="21"/>
                    </w:rPr>
                  </w:pPr>
                  <w:r>
                    <w:rPr>
                      <w:color w:val="auto"/>
                      <w:szCs w:val="21"/>
                    </w:rPr>
                    <w:t>瓶装</w:t>
                  </w:r>
                </w:p>
              </w:tc>
              <w:tc>
                <w:tcPr>
                  <w:tcW w:w="495" w:type="dxa"/>
                  <w:vMerge w:val="continue"/>
                  <w:tcBorders>
                    <w:tl2br w:val="nil"/>
                    <w:tr2bl w:val="nil"/>
                  </w:tcBorders>
                  <w:vAlign w:val="center"/>
                </w:tcPr>
                <w:p w14:paraId="3CA70AE4">
                  <w:pPr>
                    <w:tabs>
                      <w:tab w:val="left" w:pos="720"/>
                    </w:tabs>
                    <w:adjustRightInd w:val="0"/>
                    <w:snapToGrid w:val="0"/>
                    <w:spacing w:line="240" w:lineRule="exact"/>
                    <w:jc w:val="center"/>
                    <w:rPr>
                      <w:color w:val="auto"/>
                      <w:szCs w:val="21"/>
                    </w:rPr>
                  </w:pPr>
                </w:p>
              </w:tc>
            </w:tr>
            <w:tr w14:paraId="73F008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0BBBCC2E">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4</w:t>
                  </w:r>
                </w:p>
              </w:tc>
              <w:tc>
                <w:tcPr>
                  <w:tcW w:w="684" w:type="dxa"/>
                  <w:tcBorders>
                    <w:tl2br w:val="nil"/>
                    <w:tr2bl w:val="nil"/>
                  </w:tcBorders>
                  <w:vAlign w:val="center"/>
                </w:tcPr>
                <w:p w14:paraId="62976272">
                  <w:pPr>
                    <w:adjustRightInd w:val="0"/>
                    <w:snapToGrid w:val="0"/>
                    <w:jc w:val="center"/>
                    <w:rPr>
                      <w:color w:val="auto"/>
                      <w:szCs w:val="21"/>
                    </w:rPr>
                  </w:pPr>
                  <w:r>
                    <w:rPr>
                      <w:rFonts w:hint="eastAsia"/>
                      <w:iCs/>
                      <w:color w:val="auto"/>
                      <w:szCs w:val="21"/>
                    </w:rPr>
                    <w:t>亚克力胶</w:t>
                  </w:r>
                </w:p>
              </w:tc>
              <w:tc>
                <w:tcPr>
                  <w:tcW w:w="2458" w:type="dxa"/>
                  <w:tcBorders>
                    <w:tl2br w:val="nil"/>
                    <w:tr2bl w:val="nil"/>
                  </w:tcBorders>
                  <w:vAlign w:val="center"/>
                </w:tcPr>
                <w:p w14:paraId="3911AD52">
                  <w:pPr>
                    <w:adjustRightInd w:val="0"/>
                    <w:snapToGrid w:val="0"/>
                    <w:spacing w:line="240" w:lineRule="exact"/>
                    <w:jc w:val="center"/>
                    <w:rPr>
                      <w:color w:val="auto"/>
                      <w:szCs w:val="21"/>
                    </w:rPr>
                  </w:pPr>
                  <w:r>
                    <w:rPr>
                      <w:rFonts w:hint="eastAsia"/>
                      <w:color w:val="auto"/>
                      <w:szCs w:val="21"/>
                      <w:lang w:eastAsia="zh-CN"/>
                    </w:rPr>
                    <w:t>67.</w:t>
                  </w:r>
                  <w:r>
                    <w:rPr>
                      <w:rFonts w:hint="eastAsia"/>
                      <w:color w:val="auto"/>
                      <w:szCs w:val="21"/>
                    </w:rPr>
                    <w:t>双酚</w:t>
                  </w:r>
                  <w:r>
                    <w:rPr>
                      <w:color w:val="auto"/>
                      <w:szCs w:val="21"/>
                    </w:rPr>
                    <w:t>A</w:t>
                  </w:r>
                  <w:r>
                    <w:rPr>
                      <w:rFonts w:hint="eastAsia"/>
                      <w:color w:val="auto"/>
                      <w:szCs w:val="21"/>
                    </w:rPr>
                    <w:t>型液体环氧树脂、33%聚氧化丙烯基二胺</w:t>
                  </w:r>
                </w:p>
              </w:tc>
              <w:tc>
                <w:tcPr>
                  <w:tcW w:w="1003" w:type="dxa"/>
                  <w:tcBorders>
                    <w:tl2br w:val="nil"/>
                    <w:tr2bl w:val="nil"/>
                  </w:tcBorders>
                  <w:vAlign w:val="center"/>
                </w:tcPr>
                <w:p w14:paraId="00F25208">
                  <w:pPr>
                    <w:jc w:val="center"/>
                    <w:textAlignment w:val="baseline"/>
                    <w:rPr>
                      <w:color w:val="auto"/>
                      <w:szCs w:val="21"/>
                    </w:rPr>
                  </w:pPr>
                  <w:r>
                    <w:rPr>
                      <w:rFonts w:hint="eastAsia"/>
                      <w:color w:val="auto"/>
                      <w:szCs w:val="21"/>
                    </w:rPr>
                    <w:t>80</w:t>
                  </w:r>
                </w:p>
              </w:tc>
              <w:tc>
                <w:tcPr>
                  <w:tcW w:w="912" w:type="dxa"/>
                  <w:tcBorders>
                    <w:tl2br w:val="nil"/>
                    <w:tr2bl w:val="nil"/>
                  </w:tcBorders>
                  <w:vAlign w:val="center"/>
                </w:tcPr>
                <w:p w14:paraId="181C867F">
                  <w:pPr>
                    <w:jc w:val="center"/>
                    <w:textAlignment w:val="baseline"/>
                    <w:rPr>
                      <w:rStyle w:val="1596"/>
                      <w:color w:val="auto"/>
                      <w:szCs w:val="21"/>
                    </w:rPr>
                  </w:pPr>
                  <w:r>
                    <w:rPr>
                      <w:rStyle w:val="1596"/>
                      <w:rFonts w:hint="eastAsia"/>
                      <w:color w:val="auto"/>
                      <w:szCs w:val="21"/>
                    </w:rPr>
                    <w:t>公斤</w:t>
                  </w:r>
                </w:p>
              </w:tc>
              <w:tc>
                <w:tcPr>
                  <w:tcW w:w="623" w:type="dxa"/>
                  <w:tcBorders>
                    <w:tl2br w:val="nil"/>
                    <w:tr2bl w:val="nil"/>
                  </w:tcBorders>
                  <w:vAlign w:val="center"/>
                </w:tcPr>
                <w:p w14:paraId="0717FFCA">
                  <w:pPr>
                    <w:jc w:val="center"/>
                    <w:textAlignment w:val="baseline"/>
                    <w:rPr>
                      <w:rStyle w:val="1596"/>
                      <w:color w:val="auto"/>
                      <w:szCs w:val="21"/>
                    </w:rPr>
                  </w:pPr>
                  <w:r>
                    <w:rPr>
                      <w:rStyle w:val="1596"/>
                      <w:rFonts w:hint="eastAsia"/>
                      <w:color w:val="auto"/>
                      <w:szCs w:val="21"/>
                    </w:rPr>
                    <w:t>20</w:t>
                  </w:r>
                </w:p>
              </w:tc>
              <w:tc>
                <w:tcPr>
                  <w:tcW w:w="842" w:type="dxa"/>
                  <w:tcBorders>
                    <w:tl2br w:val="nil"/>
                    <w:tr2bl w:val="nil"/>
                  </w:tcBorders>
                  <w:vAlign w:val="center"/>
                </w:tcPr>
                <w:p w14:paraId="48D12AB1">
                  <w:pPr>
                    <w:jc w:val="center"/>
                    <w:rPr>
                      <w:color w:val="auto"/>
                      <w:szCs w:val="21"/>
                    </w:rPr>
                  </w:pPr>
                  <w:r>
                    <w:rPr>
                      <w:rFonts w:hint="eastAsia"/>
                      <w:color w:val="auto"/>
                      <w:szCs w:val="21"/>
                    </w:rPr>
                    <w:t>外购</w:t>
                  </w:r>
                </w:p>
              </w:tc>
              <w:tc>
                <w:tcPr>
                  <w:tcW w:w="804" w:type="dxa"/>
                  <w:tcBorders>
                    <w:tl2br w:val="nil"/>
                    <w:tr2bl w:val="nil"/>
                  </w:tcBorders>
                  <w:vAlign w:val="center"/>
                </w:tcPr>
                <w:p w14:paraId="763C8612">
                  <w:pPr>
                    <w:tabs>
                      <w:tab w:val="left" w:pos="720"/>
                    </w:tabs>
                    <w:adjustRightInd w:val="0"/>
                    <w:snapToGrid w:val="0"/>
                    <w:spacing w:line="240" w:lineRule="exact"/>
                    <w:jc w:val="center"/>
                    <w:rPr>
                      <w:color w:val="auto"/>
                      <w:szCs w:val="21"/>
                    </w:rPr>
                  </w:pPr>
                  <w:r>
                    <w:rPr>
                      <w:rFonts w:hint="eastAsia"/>
                      <w:color w:val="auto"/>
                      <w:szCs w:val="21"/>
                    </w:rPr>
                    <w:t>纸箱</w:t>
                  </w:r>
                </w:p>
              </w:tc>
              <w:tc>
                <w:tcPr>
                  <w:tcW w:w="495" w:type="dxa"/>
                  <w:vMerge w:val="continue"/>
                  <w:tcBorders>
                    <w:tl2br w:val="nil"/>
                    <w:tr2bl w:val="nil"/>
                  </w:tcBorders>
                  <w:vAlign w:val="center"/>
                </w:tcPr>
                <w:p w14:paraId="1B06F70D">
                  <w:pPr>
                    <w:tabs>
                      <w:tab w:val="left" w:pos="720"/>
                    </w:tabs>
                    <w:adjustRightInd w:val="0"/>
                    <w:snapToGrid w:val="0"/>
                    <w:spacing w:line="240" w:lineRule="exact"/>
                    <w:jc w:val="center"/>
                    <w:rPr>
                      <w:color w:val="auto"/>
                      <w:szCs w:val="21"/>
                    </w:rPr>
                  </w:pPr>
                </w:p>
              </w:tc>
            </w:tr>
            <w:tr w14:paraId="4C34B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44" w:type="dxa"/>
                  <w:tcBorders>
                    <w:tl2br w:val="nil"/>
                    <w:tr2bl w:val="nil"/>
                  </w:tcBorders>
                  <w:shd w:val="clear" w:color="auto" w:fill="auto"/>
                  <w:vAlign w:val="center"/>
                </w:tcPr>
                <w:p w14:paraId="2BB7F2F9">
                  <w:pPr>
                    <w:tabs>
                      <w:tab w:val="left" w:pos="720"/>
                    </w:tabs>
                    <w:adjustRightInd w:val="0"/>
                    <w:snapToGrid w:val="0"/>
                    <w:spacing w:line="240" w:lineRule="exact"/>
                    <w:jc w:val="center"/>
                    <w:rPr>
                      <w:color w:val="auto"/>
                      <w:szCs w:val="21"/>
                    </w:rPr>
                  </w:pPr>
                  <w:r>
                    <w:rPr>
                      <w:color w:val="auto"/>
                      <w:szCs w:val="21"/>
                    </w:rPr>
                    <w:t>3</w:t>
                  </w:r>
                  <w:r>
                    <w:rPr>
                      <w:rFonts w:hint="eastAsia"/>
                      <w:color w:val="auto"/>
                      <w:szCs w:val="21"/>
                    </w:rPr>
                    <w:t>5</w:t>
                  </w:r>
                </w:p>
              </w:tc>
              <w:tc>
                <w:tcPr>
                  <w:tcW w:w="684" w:type="dxa"/>
                  <w:tcBorders>
                    <w:tl2br w:val="nil"/>
                    <w:tr2bl w:val="nil"/>
                  </w:tcBorders>
                  <w:vAlign w:val="center"/>
                </w:tcPr>
                <w:p w14:paraId="60EFA5C5">
                  <w:pPr>
                    <w:adjustRightInd w:val="0"/>
                    <w:snapToGrid w:val="0"/>
                    <w:spacing w:line="240" w:lineRule="exact"/>
                    <w:jc w:val="center"/>
                    <w:rPr>
                      <w:color w:val="auto"/>
                      <w:szCs w:val="21"/>
                    </w:rPr>
                  </w:pPr>
                  <w:r>
                    <w:rPr>
                      <w:color w:val="auto"/>
                      <w:szCs w:val="21"/>
                    </w:rPr>
                    <w:t>砂纸</w:t>
                  </w:r>
                </w:p>
              </w:tc>
              <w:tc>
                <w:tcPr>
                  <w:tcW w:w="2458" w:type="dxa"/>
                  <w:tcBorders>
                    <w:tl2br w:val="nil"/>
                    <w:tr2bl w:val="nil"/>
                  </w:tcBorders>
                  <w:vAlign w:val="center"/>
                </w:tcPr>
                <w:p w14:paraId="664CAD90">
                  <w:pPr>
                    <w:adjustRightInd w:val="0"/>
                    <w:snapToGrid w:val="0"/>
                    <w:spacing w:line="240" w:lineRule="exact"/>
                    <w:jc w:val="center"/>
                    <w:rPr>
                      <w:color w:val="auto"/>
                      <w:szCs w:val="21"/>
                    </w:rPr>
                  </w:pPr>
                  <w:r>
                    <w:rPr>
                      <w:color w:val="auto"/>
                      <w:szCs w:val="21"/>
                    </w:rPr>
                    <w:t>碳化硅和氧化铝</w:t>
                  </w:r>
                </w:p>
              </w:tc>
              <w:tc>
                <w:tcPr>
                  <w:tcW w:w="1003" w:type="dxa"/>
                  <w:tcBorders>
                    <w:tl2br w:val="nil"/>
                    <w:tr2bl w:val="nil"/>
                  </w:tcBorders>
                  <w:vAlign w:val="center"/>
                </w:tcPr>
                <w:p w14:paraId="5D41626B">
                  <w:pPr>
                    <w:tabs>
                      <w:tab w:val="left" w:pos="213"/>
                    </w:tabs>
                    <w:adjustRightInd w:val="0"/>
                    <w:snapToGrid w:val="0"/>
                    <w:jc w:val="center"/>
                    <w:rPr>
                      <w:color w:val="auto"/>
                      <w:szCs w:val="21"/>
                    </w:rPr>
                  </w:pPr>
                  <w:r>
                    <w:rPr>
                      <w:rFonts w:hint="eastAsia"/>
                      <w:color w:val="auto"/>
                      <w:szCs w:val="21"/>
                    </w:rPr>
                    <w:t>8.5</w:t>
                  </w:r>
                </w:p>
              </w:tc>
              <w:tc>
                <w:tcPr>
                  <w:tcW w:w="912" w:type="dxa"/>
                  <w:tcBorders>
                    <w:tl2br w:val="nil"/>
                    <w:tr2bl w:val="nil"/>
                  </w:tcBorders>
                  <w:vAlign w:val="center"/>
                </w:tcPr>
                <w:p w14:paraId="0C15075B">
                  <w:pPr>
                    <w:tabs>
                      <w:tab w:val="left" w:pos="216"/>
                    </w:tabs>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1804FEDC">
                  <w:pPr>
                    <w:widowControl/>
                    <w:jc w:val="center"/>
                    <w:rPr>
                      <w:rStyle w:val="1596"/>
                      <w:color w:val="auto"/>
                      <w:szCs w:val="21"/>
                    </w:rPr>
                  </w:pPr>
                  <w:r>
                    <w:rPr>
                      <w:rFonts w:hint="eastAsia"/>
                      <w:color w:val="auto"/>
                      <w:kern w:val="0"/>
                      <w:szCs w:val="21"/>
                      <w:lang w:bidi="ar"/>
                    </w:rPr>
                    <w:t>1</w:t>
                  </w:r>
                </w:p>
              </w:tc>
              <w:tc>
                <w:tcPr>
                  <w:tcW w:w="842" w:type="dxa"/>
                  <w:tcBorders>
                    <w:tl2br w:val="nil"/>
                    <w:tr2bl w:val="nil"/>
                  </w:tcBorders>
                  <w:vAlign w:val="center"/>
                </w:tcPr>
                <w:p w14:paraId="61A5F776">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28323D4E">
                  <w:pPr>
                    <w:tabs>
                      <w:tab w:val="left" w:pos="720"/>
                    </w:tabs>
                    <w:adjustRightInd w:val="0"/>
                    <w:snapToGrid w:val="0"/>
                    <w:spacing w:line="240" w:lineRule="exact"/>
                    <w:jc w:val="center"/>
                    <w:rPr>
                      <w:color w:val="auto"/>
                      <w:szCs w:val="21"/>
                    </w:rPr>
                  </w:pPr>
                  <w:r>
                    <w:rPr>
                      <w:color w:val="auto"/>
                      <w:szCs w:val="21"/>
                    </w:rPr>
                    <w:t>纸箱</w:t>
                  </w:r>
                </w:p>
              </w:tc>
              <w:tc>
                <w:tcPr>
                  <w:tcW w:w="495" w:type="dxa"/>
                  <w:vMerge w:val="restart"/>
                  <w:tcBorders>
                    <w:tl2br w:val="nil"/>
                    <w:tr2bl w:val="nil"/>
                  </w:tcBorders>
                  <w:vAlign w:val="center"/>
                </w:tcPr>
                <w:p w14:paraId="3839078A">
                  <w:pPr>
                    <w:tabs>
                      <w:tab w:val="left" w:pos="720"/>
                    </w:tabs>
                    <w:adjustRightInd w:val="0"/>
                    <w:snapToGrid w:val="0"/>
                    <w:spacing w:line="240" w:lineRule="exact"/>
                    <w:jc w:val="center"/>
                    <w:rPr>
                      <w:color w:val="auto"/>
                      <w:szCs w:val="21"/>
                    </w:rPr>
                  </w:pPr>
                  <w:r>
                    <w:rPr>
                      <w:rFonts w:hint="eastAsia"/>
                      <w:color w:val="auto"/>
                      <w:szCs w:val="21"/>
                    </w:rPr>
                    <w:t>通用</w:t>
                  </w:r>
                </w:p>
              </w:tc>
            </w:tr>
            <w:tr w14:paraId="2AFB7C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1064D691">
                  <w:pPr>
                    <w:tabs>
                      <w:tab w:val="left" w:pos="720"/>
                    </w:tabs>
                    <w:adjustRightInd w:val="0"/>
                    <w:snapToGrid w:val="0"/>
                    <w:spacing w:line="240" w:lineRule="exact"/>
                    <w:jc w:val="center"/>
                    <w:rPr>
                      <w:color w:val="auto"/>
                      <w:szCs w:val="21"/>
                    </w:rPr>
                  </w:pPr>
                  <w:r>
                    <w:rPr>
                      <w:rFonts w:hint="eastAsia"/>
                      <w:color w:val="auto"/>
                      <w:szCs w:val="21"/>
                    </w:rPr>
                    <w:t>36</w:t>
                  </w:r>
                </w:p>
              </w:tc>
              <w:tc>
                <w:tcPr>
                  <w:tcW w:w="684" w:type="dxa"/>
                  <w:tcBorders>
                    <w:tl2br w:val="nil"/>
                    <w:tr2bl w:val="nil"/>
                  </w:tcBorders>
                  <w:vAlign w:val="center"/>
                </w:tcPr>
                <w:p w14:paraId="54F14F97">
                  <w:pPr>
                    <w:adjustRightInd w:val="0"/>
                    <w:snapToGrid w:val="0"/>
                    <w:spacing w:line="240" w:lineRule="exact"/>
                    <w:jc w:val="center"/>
                    <w:rPr>
                      <w:color w:val="auto"/>
                      <w:szCs w:val="21"/>
                    </w:rPr>
                  </w:pPr>
                  <w:r>
                    <w:rPr>
                      <w:color w:val="auto"/>
                      <w:szCs w:val="21"/>
                    </w:rPr>
                    <w:t>刀头</w:t>
                  </w:r>
                </w:p>
              </w:tc>
              <w:tc>
                <w:tcPr>
                  <w:tcW w:w="2458" w:type="dxa"/>
                  <w:tcBorders>
                    <w:tl2br w:val="nil"/>
                    <w:tr2bl w:val="nil"/>
                  </w:tcBorders>
                  <w:vAlign w:val="center"/>
                </w:tcPr>
                <w:p w14:paraId="15FCD6D3">
                  <w:pPr>
                    <w:adjustRightInd w:val="0"/>
                    <w:snapToGrid w:val="0"/>
                    <w:spacing w:line="240" w:lineRule="exact"/>
                    <w:jc w:val="center"/>
                    <w:rPr>
                      <w:color w:val="auto"/>
                      <w:szCs w:val="21"/>
                    </w:rPr>
                  </w:pPr>
                  <w:r>
                    <w:rPr>
                      <w:color w:val="auto"/>
                      <w:szCs w:val="21"/>
                    </w:rPr>
                    <w:t>合金钢</w:t>
                  </w:r>
                </w:p>
              </w:tc>
              <w:tc>
                <w:tcPr>
                  <w:tcW w:w="1003" w:type="dxa"/>
                  <w:tcBorders>
                    <w:tl2br w:val="nil"/>
                    <w:tr2bl w:val="nil"/>
                  </w:tcBorders>
                  <w:vAlign w:val="center"/>
                </w:tcPr>
                <w:p w14:paraId="2445FE14">
                  <w:pPr>
                    <w:tabs>
                      <w:tab w:val="left" w:pos="355"/>
                    </w:tabs>
                    <w:adjustRightInd w:val="0"/>
                    <w:snapToGrid w:val="0"/>
                    <w:jc w:val="center"/>
                    <w:rPr>
                      <w:color w:val="auto"/>
                      <w:szCs w:val="21"/>
                    </w:rPr>
                  </w:pPr>
                  <w:r>
                    <w:rPr>
                      <w:rFonts w:hint="eastAsia"/>
                      <w:color w:val="auto"/>
                      <w:szCs w:val="21"/>
                    </w:rPr>
                    <w:t>5</w:t>
                  </w:r>
                  <w:r>
                    <w:rPr>
                      <w:color w:val="auto"/>
                      <w:szCs w:val="21"/>
                    </w:rPr>
                    <w:t>000</w:t>
                  </w:r>
                </w:p>
              </w:tc>
              <w:tc>
                <w:tcPr>
                  <w:tcW w:w="912" w:type="dxa"/>
                  <w:tcBorders>
                    <w:tl2br w:val="nil"/>
                    <w:tr2bl w:val="nil"/>
                  </w:tcBorders>
                  <w:vAlign w:val="center"/>
                </w:tcPr>
                <w:p w14:paraId="188C45EE">
                  <w:pPr>
                    <w:tabs>
                      <w:tab w:val="left" w:pos="205"/>
                    </w:tabs>
                    <w:adjustRightInd w:val="0"/>
                    <w:snapToGrid w:val="0"/>
                    <w:jc w:val="center"/>
                    <w:rPr>
                      <w:rStyle w:val="1596"/>
                      <w:color w:val="auto"/>
                      <w:szCs w:val="21"/>
                    </w:rPr>
                  </w:pPr>
                  <w:r>
                    <w:rPr>
                      <w:color w:val="auto"/>
                      <w:szCs w:val="21"/>
                    </w:rPr>
                    <w:t>支</w:t>
                  </w:r>
                </w:p>
              </w:tc>
              <w:tc>
                <w:tcPr>
                  <w:tcW w:w="623" w:type="dxa"/>
                  <w:tcBorders>
                    <w:tl2br w:val="nil"/>
                    <w:tr2bl w:val="nil"/>
                  </w:tcBorders>
                  <w:vAlign w:val="center"/>
                </w:tcPr>
                <w:p w14:paraId="441CE3A9">
                  <w:pPr>
                    <w:adjustRightInd w:val="0"/>
                    <w:snapToGrid w:val="0"/>
                    <w:jc w:val="center"/>
                    <w:rPr>
                      <w:rStyle w:val="1596"/>
                      <w:color w:val="auto"/>
                      <w:szCs w:val="21"/>
                    </w:rPr>
                  </w:pPr>
                  <w:r>
                    <w:rPr>
                      <w:color w:val="auto"/>
                      <w:szCs w:val="21"/>
                    </w:rPr>
                    <w:t>1000</w:t>
                  </w:r>
                </w:p>
              </w:tc>
              <w:tc>
                <w:tcPr>
                  <w:tcW w:w="842" w:type="dxa"/>
                  <w:tcBorders>
                    <w:tl2br w:val="nil"/>
                    <w:tr2bl w:val="nil"/>
                  </w:tcBorders>
                  <w:vAlign w:val="center"/>
                </w:tcPr>
                <w:p w14:paraId="4C3A4E90">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01A57528">
                  <w:pPr>
                    <w:tabs>
                      <w:tab w:val="left" w:pos="720"/>
                    </w:tabs>
                    <w:adjustRightInd w:val="0"/>
                    <w:snapToGrid w:val="0"/>
                    <w:spacing w:line="240" w:lineRule="exact"/>
                    <w:jc w:val="center"/>
                    <w:rPr>
                      <w:color w:val="auto"/>
                      <w:szCs w:val="21"/>
                    </w:rPr>
                  </w:pPr>
                  <w:r>
                    <w:rPr>
                      <w:color w:val="auto"/>
                      <w:szCs w:val="21"/>
                    </w:rPr>
                    <w:t>纸箱</w:t>
                  </w:r>
                </w:p>
              </w:tc>
              <w:tc>
                <w:tcPr>
                  <w:tcW w:w="495" w:type="dxa"/>
                  <w:vMerge w:val="continue"/>
                  <w:tcBorders>
                    <w:tl2br w:val="nil"/>
                    <w:tr2bl w:val="nil"/>
                  </w:tcBorders>
                  <w:vAlign w:val="center"/>
                </w:tcPr>
                <w:p w14:paraId="1D125D90">
                  <w:pPr>
                    <w:tabs>
                      <w:tab w:val="left" w:pos="720"/>
                    </w:tabs>
                    <w:adjustRightInd w:val="0"/>
                    <w:snapToGrid w:val="0"/>
                    <w:spacing w:line="240" w:lineRule="exact"/>
                    <w:jc w:val="center"/>
                    <w:rPr>
                      <w:color w:val="auto"/>
                      <w:szCs w:val="21"/>
                    </w:rPr>
                  </w:pPr>
                </w:p>
              </w:tc>
            </w:tr>
            <w:tr w14:paraId="00AFC8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38E87B84">
                  <w:pPr>
                    <w:tabs>
                      <w:tab w:val="left" w:pos="720"/>
                    </w:tabs>
                    <w:adjustRightInd w:val="0"/>
                    <w:snapToGrid w:val="0"/>
                    <w:spacing w:line="240" w:lineRule="exact"/>
                    <w:jc w:val="center"/>
                    <w:rPr>
                      <w:color w:val="auto"/>
                      <w:szCs w:val="21"/>
                    </w:rPr>
                  </w:pPr>
                  <w:r>
                    <w:rPr>
                      <w:rFonts w:hint="eastAsia"/>
                      <w:color w:val="auto"/>
                      <w:szCs w:val="21"/>
                    </w:rPr>
                    <w:t>37</w:t>
                  </w:r>
                </w:p>
              </w:tc>
              <w:tc>
                <w:tcPr>
                  <w:tcW w:w="684" w:type="dxa"/>
                  <w:tcBorders>
                    <w:tl2br w:val="nil"/>
                    <w:tr2bl w:val="nil"/>
                  </w:tcBorders>
                  <w:vAlign w:val="center"/>
                </w:tcPr>
                <w:p w14:paraId="3393DA61">
                  <w:pPr>
                    <w:adjustRightInd w:val="0"/>
                    <w:snapToGrid w:val="0"/>
                    <w:spacing w:line="240" w:lineRule="exact"/>
                    <w:jc w:val="center"/>
                    <w:rPr>
                      <w:color w:val="auto"/>
                      <w:szCs w:val="21"/>
                    </w:rPr>
                  </w:pPr>
                  <w:r>
                    <w:rPr>
                      <w:rFonts w:hint="eastAsia"/>
                      <w:color w:val="auto"/>
                      <w:szCs w:val="21"/>
                    </w:rPr>
                    <w:t>切割</w:t>
                  </w:r>
                  <w:r>
                    <w:rPr>
                      <w:color w:val="auto"/>
                      <w:szCs w:val="21"/>
                    </w:rPr>
                    <w:t>片</w:t>
                  </w:r>
                </w:p>
              </w:tc>
              <w:tc>
                <w:tcPr>
                  <w:tcW w:w="2458" w:type="dxa"/>
                  <w:tcBorders>
                    <w:tl2br w:val="nil"/>
                    <w:tr2bl w:val="nil"/>
                  </w:tcBorders>
                  <w:vAlign w:val="center"/>
                </w:tcPr>
                <w:p w14:paraId="7F931E07">
                  <w:pPr>
                    <w:adjustRightInd w:val="0"/>
                    <w:snapToGrid w:val="0"/>
                    <w:spacing w:line="240" w:lineRule="exact"/>
                    <w:jc w:val="center"/>
                    <w:rPr>
                      <w:color w:val="auto"/>
                      <w:szCs w:val="21"/>
                    </w:rPr>
                  </w:pPr>
                  <w:r>
                    <w:rPr>
                      <w:rFonts w:hint="eastAsia"/>
                      <w:color w:val="auto"/>
                      <w:szCs w:val="21"/>
                    </w:rPr>
                    <w:t>5寸，单张切割片约200g，共5000张</w:t>
                  </w:r>
                </w:p>
              </w:tc>
              <w:tc>
                <w:tcPr>
                  <w:tcW w:w="1003" w:type="dxa"/>
                  <w:tcBorders>
                    <w:tl2br w:val="nil"/>
                    <w:tr2bl w:val="nil"/>
                  </w:tcBorders>
                  <w:vAlign w:val="center"/>
                </w:tcPr>
                <w:p w14:paraId="199626A3">
                  <w:pPr>
                    <w:adjustRightInd w:val="0"/>
                    <w:snapToGrid w:val="0"/>
                    <w:jc w:val="center"/>
                    <w:rPr>
                      <w:color w:val="auto"/>
                      <w:szCs w:val="21"/>
                    </w:rPr>
                  </w:pPr>
                  <w:r>
                    <w:rPr>
                      <w:rFonts w:hint="eastAsia"/>
                      <w:color w:val="auto"/>
                      <w:szCs w:val="21"/>
                    </w:rPr>
                    <w:t>1</w:t>
                  </w:r>
                </w:p>
              </w:tc>
              <w:tc>
                <w:tcPr>
                  <w:tcW w:w="912" w:type="dxa"/>
                  <w:tcBorders>
                    <w:tl2br w:val="nil"/>
                    <w:tr2bl w:val="nil"/>
                  </w:tcBorders>
                  <w:vAlign w:val="center"/>
                </w:tcPr>
                <w:p w14:paraId="49759006">
                  <w:pPr>
                    <w:adjustRightInd w:val="0"/>
                    <w:snapToGrid w:val="0"/>
                    <w:jc w:val="center"/>
                    <w:rPr>
                      <w:rStyle w:val="1596"/>
                      <w:color w:val="auto"/>
                      <w:szCs w:val="21"/>
                    </w:rPr>
                  </w:pPr>
                  <w:r>
                    <w:rPr>
                      <w:rFonts w:hint="eastAsia"/>
                      <w:color w:val="auto"/>
                      <w:szCs w:val="21"/>
                    </w:rPr>
                    <w:t>吨</w:t>
                  </w:r>
                </w:p>
              </w:tc>
              <w:tc>
                <w:tcPr>
                  <w:tcW w:w="623" w:type="dxa"/>
                  <w:tcBorders>
                    <w:tl2br w:val="nil"/>
                    <w:tr2bl w:val="nil"/>
                  </w:tcBorders>
                  <w:vAlign w:val="center"/>
                </w:tcPr>
                <w:p w14:paraId="0628509D">
                  <w:pPr>
                    <w:adjustRightInd w:val="0"/>
                    <w:snapToGrid w:val="0"/>
                    <w:jc w:val="center"/>
                    <w:rPr>
                      <w:rStyle w:val="1596"/>
                      <w:color w:val="auto"/>
                      <w:szCs w:val="21"/>
                    </w:rPr>
                  </w:pPr>
                  <w:r>
                    <w:rPr>
                      <w:rFonts w:hint="eastAsia"/>
                      <w:color w:val="auto"/>
                      <w:szCs w:val="21"/>
                    </w:rPr>
                    <w:t>0.5</w:t>
                  </w:r>
                </w:p>
              </w:tc>
              <w:tc>
                <w:tcPr>
                  <w:tcW w:w="842" w:type="dxa"/>
                  <w:tcBorders>
                    <w:tl2br w:val="nil"/>
                    <w:tr2bl w:val="nil"/>
                  </w:tcBorders>
                  <w:vAlign w:val="center"/>
                </w:tcPr>
                <w:p w14:paraId="51540262">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319845B6">
                  <w:pPr>
                    <w:adjustRightInd w:val="0"/>
                    <w:snapToGrid w:val="0"/>
                    <w:jc w:val="center"/>
                    <w:rPr>
                      <w:color w:val="auto"/>
                      <w:szCs w:val="21"/>
                    </w:rPr>
                  </w:pPr>
                  <w:r>
                    <w:rPr>
                      <w:color w:val="auto"/>
                      <w:szCs w:val="21"/>
                    </w:rPr>
                    <w:t>塑料盒</w:t>
                  </w:r>
                </w:p>
              </w:tc>
              <w:tc>
                <w:tcPr>
                  <w:tcW w:w="495" w:type="dxa"/>
                  <w:vMerge w:val="continue"/>
                  <w:tcBorders>
                    <w:tl2br w:val="nil"/>
                    <w:tr2bl w:val="nil"/>
                  </w:tcBorders>
                  <w:vAlign w:val="center"/>
                </w:tcPr>
                <w:p w14:paraId="43421841">
                  <w:pPr>
                    <w:tabs>
                      <w:tab w:val="left" w:pos="720"/>
                    </w:tabs>
                    <w:adjustRightInd w:val="0"/>
                    <w:snapToGrid w:val="0"/>
                    <w:spacing w:line="240" w:lineRule="exact"/>
                    <w:jc w:val="center"/>
                    <w:rPr>
                      <w:color w:val="auto"/>
                      <w:szCs w:val="21"/>
                    </w:rPr>
                  </w:pPr>
                </w:p>
              </w:tc>
            </w:tr>
            <w:tr w14:paraId="650369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0061E8BD">
                  <w:pPr>
                    <w:tabs>
                      <w:tab w:val="left" w:pos="720"/>
                    </w:tabs>
                    <w:adjustRightInd w:val="0"/>
                    <w:snapToGrid w:val="0"/>
                    <w:spacing w:line="240" w:lineRule="exact"/>
                    <w:jc w:val="center"/>
                    <w:rPr>
                      <w:color w:val="auto"/>
                      <w:szCs w:val="21"/>
                    </w:rPr>
                  </w:pPr>
                  <w:r>
                    <w:rPr>
                      <w:rFonts w:hint="eastAsia"/>
                      <w:color w:val="auto"/>
                      <w:szCs w:val="21"/>
                    </w:rPr>
                    <w:t>38</w:t>
                  </w:r>
                </w:p>
              </w:tc>
              <w:tc>
                <w:tcPr>
                  <w:tcW w:w="684" w:type="dxa"/>
                  <w:tcBorders>
                    <w:tl2br w:val="nil"/>
                    <w:tr2bl w:val="nil"/>
                  </w:tcBorders>
                  <w:vAlign w:val="center"/>
                </w:tcPr>
                <w:p w14:paraId="2AEBF7AE">
                  <w:pPr>
                    <w:adjustRightInd w:val="0"/>
                    <w:snapToGrid w:val="0"/>
                    <w:spacing w:line="240" w:lineRule="exact"/>
                    <w:jc w:val="center"/>
                    <w:rPr>
                      <w:color w:val="auto"/>
                      <w:szCs w:val="21"/>
                    </w:rPr>
                  </w:pPr>
                  <w:r>
                    <w:rPr>
                      <w:color w:val="auto"/>
                      <w:szCs w:val="21"/>
                    </w:rPr>
                    <w:t>螺杆+螺母</w:t>
                  </w:r>
                </w:p>
              </w:tc>
              <w:tc>
                <w:tcPr>
                  <w:tcW w:w="2458" w:type="dxa"/>
                  <w:tcBorders>
                    <w:tl2br w:val="nil"/>
                    <w:tr2bl w:val="nil"/>
                  </w:tcBorders>
                  <w:vAlign w:val="center"/>
                </w:tcPr>
                <w:p w14:paraId="1E502778">
                  <w:pPr>
                    <w:adjustRightInd w:val="0"/>
                    <w:snapToGrid w:val="0"/>
                    <w:spacing w:line="240" w:lineRule="exact"/>
                    <w:jc w:val="center"/>
                    <w:rPr>
                      <w:color w:val="auto"/>
                      <w:szCs w:val="21"/>
                    </w:rPr>
                  </w:pPr>
                  <w:r>
                    <w:rPr>
                      <w:color w:val="auto"/>
                      <w:szCs w:val="21"/>
                    </w:rPr>
                    <w:t>金属</w:t>
                  </w:r>
                </w:p>
              </w:tc>
              <w:tc>
                <w:tcPr>
                  <w:tcW w:w="1003" w:type="dxa"/>
                  <w:tcBorders>
                    <w:tl2br w:val="nil"/>
                    <w:tr2bl w:val="nil"/>
                  </w:tcBorders>
                  <w:vAlign w:val="center"/>
                </w:tcPr>
                <w:p w14:paraId="1FF4E39F">
                  <w:pPr>
                    <w:adjustRightInd w:val="0"/>
                    <w:snapToGrid w:val="0"/>
                    <w:jc w:val="center"/>
                    <w:rPr>
                      <w:color w:val="auto"/>
                      <w:szCs w:val="21"/>
                    </w:rPr>
                  </w:pPr>
                  <w:r>
                    <w:rPr>
                      <w:color w:val="auto"/>
                      <w:szCs w:val="21"/>
                    </w:rPr>
                    <w:t>200000</w:t>
                  </w:r>
                </w:p>
              </w:tc>
              <w:tc>
                <w:tcPr>
                  <w:tcW w:w="912" w:type="dxa"/>
                  <w:tcBorders>
                    <w:tl2br w:val="nil"/>
                    <w:tr2bl w:val="nil"/>
                  </w:tcBorders>
                  <w:vAlign w:val="center"/>
                </w:tcPr>
                <w:p w14:paraId="4D3ED279">
                  <w:pPr>
                    <w:adjustRightInd w:val="0"/>
                    <w:snapToGrid w:val="0"/>
                    <w:jc w:val="center"/>
                    <w:rPr>
                      <w:rStyle w:val="1596"/>
                      <w:color w:val="auto"/>
                      <w:szCs w:val="21"/>
                    </w:rPr>
                  </w:pPr>
                  <w:r>
                    <w:rPr>
                      <w:color w:val="auto"/>
                      <w:szCs w:val="21"/>
                    </w:rPr>
                    <w:t>个</w:t>
                  </w:r>
                </w:p>
              </w:tc>
              <w:tc>
                <w:tcPr>
                  <w:tcW w:w="623" w:type="dxa"/>
                  <w:tcBorders>
                    <w:tl2br w:val="nil"/>
                    <w:tr2bl w:val="nil"/>
                  </w:tcBorders>
                  <w:vAlign w:val="center"/>
                </w:tcPr>
                <w:p w14:paraId="5C8971FE">
                  <w:pPr>
                    <w:adjustRightInd w:val="0"/>
                    <w:snapToGrid w:val="0"/>
                    <w:jc w:val="center"/>
                    <w:rPr>
                      <w:rStyle w:val="1596"/>
                      <w:color w:val="auto"/>
                      <w:szCs w:val="21"/>
                    </w:rPr>
                  </w:pPr>
                  <w:r>
                    <w:rPr>
                      <w:color w:val="auto"/>
                      <w:szCs w:val="21"/>
                    </w:rPr>
                    <w:t>50000</w:t>
                  </w:r>
                </w:p>
              </w:tc>
              <w:tc>
                <w:tcPr>
                  <w:tcW w:w="842" w:type="dxa"/>
                  <w:tcBorders>
                    <w:tl2br w:val="nil"/>
                    <w:tr2bl w:val="nil"/>
                  </w:tcBorders>
                  <w:vAlign w:val="center"/>
                </w:tcPr>
                <w:p w14:paraId="2A3FDE4B">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397080F9">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144BCAA1">
                  <w:pPr>
                    <w:tabs>
                      <w:tab w:val="left" w:pos="720"/>
                    </w:tabs>
                    <w:adjustRightInd w:val="0"/>
                    <w:snapToGrid w:val="0"/>
                    <w:spacing w:line="240" w:lineRule="exact"/>
                    <w:jc w:val="center"/>
                    <w:rPr>
                      <w:color w:val="auto"/>
                      <w:szCs w:val="21"/>
                    </w:rPr>
                  </w:pPr>
                </w:p>
              </w:tc>
            </w:tr>
            <w:tr w14:paraId="282DA2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76AE0E08">
                  <w:pPr>
                    <w:tabs>
                      <w:tab w:val="left" w:pos="720"/>
                    </w:tabs>
                    <w:adjustRightInd w:val="0"/>
                    <w:snapToGrid w:val="0"/>
                    <w:spacing w:line="240" w:lineRule="exact"/>
                    <w:jc w:val="center"/>
                    <w:rPr>
                      <w:color w:val="auto"/>
                      <w:szCs w:val="21"/>
                    </w:rPr>
                  </w:pPr>
                  <w:r>
                    <w:rPr>
                      <w:rFonts w:hint="eastAsia"/>
                      <w:color w:val="auto"/>
                      <w:szCs w:val="21"/>
                    </w:rPr>
                    <w:t>39</w:t>
                  </w:r>
                </w:p>
              </w:tc>
              <w:tc>
                <w:tcPr>
                  <w:tcW w:w="684" w:type="dxa"/>
                  <w:tcBorders>
                    <w:tl2br w:val="nil"/>
                    <w:tr2bl w:val="nil"/>
                  </w:tcBorders>
                  <w:vAlign w:val="center"/>
                </w:tcPr>
                <w:p w14:paraId="3ABCE971">
                  <w:pPr>
                    <w:adjustRightInd w:val="0"/>
                    <w:snapToGrid w:val="0"/>
                    <w:spacing w:line="240" w:lineRule="exact"/>
                    <w:jc w:val="center"/>
                    <w:rPr>
                      <w:color w:val="auto"/>
                    </w:rPr>
                  </w:pPr>
                  <w:r>
                    <w:rPr>
                      <w:color w:val="auto"/>
                      <w:szCs w:val="21"/>
                    </w:rPr>
                    <w:t>滑轨</w:t>
                  </w:r>
                </w:p>
              </w:tc>
              <w:tc>
                <w:tcPr>
                  <w:tcW w:w="2458" w:type="dxa"/>
                  <w:tcBorders>
                    <w:tl2br w:val="nil"/>
                    <w:tr2bl w:val="nil"/>
                  </w:tcBorders>
                  <w:vAlign w:val="center"/>
                </w:tcPr>
                <w:p w14:paraId="2899D1B5">
                  <w:pPr>
                    <w:adjustRightInd w:val="0"/>
                    <w:snapToGrid w:val="0"/>
                    <w:spacing w:line="240" w:lineRule="exact"/>
                    <w:jc w:val="center"/>
                    <w:rPr>
                      <w:color w:val="auto"/>
                    </w:rPr>
                  </w:pPr>
                  <w:r>
                    <w:rPr>
                      <w:color w:val="auto"/>
                      <w:szCs w:val="21"/>
                    </w:rPr>
                    <w:t>铁</w:t>
                  </w:r>
                </w:p>
              </w:tc>
              <w:tc>
                <w:tcPr>
                  <w:tcW w:w="1003" w:type="dxa"/>
                  <w:tcBorders>
                    <w:tl2br w:val="nil"/>
                    <w:tr2bl w:val="nil"/>
                  </w:tcBorders>
                  <w:vAlign w:val="center"/>
                </w:tcPr>
                <w:p w14:paraId="67A16BB1">
                  <w:pPr>
                    <w:tabs>
                      <w:tab w:val="left" w:pos="377"/>
                    </w:tabs>
                    <w:adjustRightInd w:val="0"/>
                    <w:snapToGrid w:val="0"/>
                    <w:jc w:val="center"/>
                    <w:rPr>
                      <w:color w:val="auto"/>
                      <w:szCs w:val="21"/>
                    </w:rPr>
                  </w:pPr>
                  <w:r>
                    <w:rPr>
                      <w:color w:val="auto"/>
                      <w:szCs w:val="21"/>
                    </w:rPr>
                    <w:t>3500</w:t>
                  </w:r>
                </w:p>
              </w:tc>
              <w:tc>
                <w:tcPr>
                  <w:tcW w:w="912" w:type="dxa"/>
                  <w:tcBorders>
                    <w:tl2br w:val="nil"/>
                    <w:tr2bl w:val="nil"/>
                  </w:tcBorders>
                  <w:vAlign w:val="center"/>
                </w:tcPr>
                <w:p w14:paraId="5F7B56F1">
                  <w:pPr>
                    <w:tabs>
                      <w:tab w:val="left" w:pos="301"/>
                    </w:tabs>
                    <w:adjustRightInd w:val="0"/>
                    <w:snapToGrid w:val="0"/>
                    <w:jc w:val="center"/>
                    <w:rPr>
                      <w:rStyle w:val="1596"/>
                      <w:color w:val="auto"/>
                      <w:szCs w:val="21"/>
                    </w:rPr>
                  </w:pPr>
                  <w:r>
                    <w:rPr>
                      <w:color w:val="auto"/>
                      <w:szCs w:val="21"/>
                    </w:rPr>
                    <w:t>副</w:t>
                  </w:r>
                </w:p>
              </w:tc>
              <w:tc>
                <w:tcPr>
                  <w:tcW w:w="623" w:type="dxa"/>
                  <w:tcBorders>
                    <w:tl2br w:val="nil"/>
                    <w:tr2bl w:val="nil"/>
                  </w:tcBorders>
                  <w:vAlign w:val="center"/>
                </w:tcPr>
                <w:p w14:paraId="45385A2C">
                  <w:pPr>
                    <w:adjustRightInd w:val="0"/>
                    <w:snapToGrid w:val="0"/>
                    <w:jc w:val="center"/>
                    <w:rPr>
                      <w:rStyle w:val="1596"/>
                      <w:color w:val="auto"/>
                      <w:szCs w:val="21"/>
                    </w:rPr>
                  </w:pPr>
                  <w:r>
                    <w:rPr>
                      <w:color w:val="auto"/>
                      <w:szCs w:val="21"/>
                    </w:rPr>
                    <w:t>500</w:t>
                  </w:r>
                </w:p>
              </w:tc>
              <w:tc>
                <w:tcPr>
                  <w:tcW w:w="842" w:type="dxa"/>
                  <w:tcBorders>
                    <w:tl2br w:val="nil"/>
                    <w:tr2bl w:val="nil"/>
                  </w:tcBorders>
                  <w:vAlign w:val="center"/>
                </w:tcPr>
                <w:p w14:paraId="0FE4FC94">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60842687">
                  <w:pPr>
                    <w:adjustRightInd w:val="0"/>
                    <w:snapToGrid w:val="0"/>
                    <w:jc w:val="center"/>
                    <w:rPr>
                      <w:color w:val="auto"/>
                      <w:szCs w:val="21"/>
                    </w:rPr>
                  </w:pPr>
                  <w:r>
                    <w:rPr>
                      <w:color w:val="auto"/>
                      <w:szCs w:val="21"/>
                    </w:rPr>
                    <w:t>纸箱</w:t>
                  </w:r>
                </w:p>
              </w:tc>
              <w:tc>
                <w:tcPr>
                  <w:tcW w:w="495" w:type="dxa"/>
                  <w:vMerge w:val="continue"/>
                  <w:tcBorders>
                    <w:tl2br w:val="nil"/>
                    <w:tr2bl w:val="nil"/>
                  </w:tcBorders>
                  <w:vAlign w:val="center"/>
                </w:tcPr>
                <w:p w14:paraId="1B0848E1">
                  <w:pPr>
                    <w:tabs>
                      <w:tab w:val="left" w:pos="720"/>
                    </w:tabs>
                    <w:adjustRightInd w:val="0"/>
                    <w:snapToGrid w:val="0"/>
                    <w:spacing w:line="240" w:lineRule="exact"/>
                    <w:jc w:val="center"/>
                    <w:rPr>
                      <w:color w:val="auto"/>
                      <w:szCs w:val="21"/>
                    </w:rPr>
                  </w:pPr>
                </w:p>
              </w:tc>
            </w:tr>
            <w:tr w14:paraId="7428C0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44" w:type="dxa"/>
                  <w:tcBorders>
                    <w:tl2br w:val="nil"/>
                    <w:tr2bl w:val="nil"/>
                  </w:tcBorders>
                  <w:shd w:val="clear" w:color="auto" w:fill="auto"/>
                  <w:vAlign w:val="center"/>
                </w:tcPr>
                <w:p w14:paraId="244A93F8">
                  <w:pPr>
                    <w:tabs>
                      <w:tab w:val="left" w:pos="720"/>
                    </w:tabs>
                    <w:adjustRightInd w:val="0"/>
                    <w:snapToGrid w:val="0"/>
                    <w:spacing w:line="240" w:lineRule="exact"/>
                    <w:jc w:val="center"/>
                    <w:rPr>
                      <w:color w:val="auto"/>
                      <w:szCs w:val="21"/>
                    </w:rPr>
                  </w:pPr>
                  <w:r>
                    <w:rPr>
                      <w:rFonts w:hint="eastAsia"/>
                      <w:color w:val="auto"/>
                      <w:szCs w:val="21"/>
                    </w:rPr>
                    <w:t>40</w:t>
                  </w:r>
                </w:p>
              </w:tc>
              <w:tc>
                <w:tcPr>
                  <w:tcW w:w="684" w:type="dxa"/>
                  <w:tcBorders>
                    <w:tl2br w:val="nil"/>
                    <w:tr2bl w:val="nil"/>
                  </w:tcBorders>
                  <w:vAlign w:val="center"/>
                </w:tcPr>
                <w:p w14:paraId="2B439136">
                  <w:pPr>
                    <w:adjustRightInd w:val="0"/>
                    <w:snapToGrid w:val="0"/>
                    <w:spacing w:line="240" w:lineRule="exact"/>
                    <w:jc w:val="center"/>
                    <w:rPr>
                      <w:color w:val="auto"/>
                      <w:szCs w:val="21"/>
                    </w:rPr>
                  </w:pPr>
                  <w:r>
                    <w:rPr>
                      <w:rFonts w:hint="eastAsia"/>
                      <w:color w:val="auto"/>
                      <w:szCs w:val="21"/>
                    </w:rPr>
                    <w:t>抹布</w:t>
                  </w:r>
                </w:p>
              </w:tc>
              <w:tc>
                <w:tcPr>
                  <w:tcW w:w="2458" w:type="dxa"/>
                  <w:tcBorders>
                    <w:tl2br w:val="nil"/>
                    <w:tr2bl w:val="nil"/>
                  </w:tcBorders>
                  <w:vAlign w:val="center"/>
                </w:tcPr>
                <w:p w14:paraId="7490B375">
                  <w:pPr>
                    <w:adjustRightInd w:val="0"/>
                    <w:snapToGrid w:val="0"/>
                    <w:spacing w:line="240" w:lineRule="exact"/>
                    <w:jc w:val="center"/>
                    <w:rPr>
                      <w:color w:val="auto"/>
                      <w:szCs w:val="21"/>
                    </w:rPr>
                  </w:pPr>
                  <w:r>
                    <w:rPr>
                      <w:rFonts w:hint="eastAsia"/>
                      <w:color w:val="auto"/>
                      <w:szCs w:val="21"/>
                    </w:rPr>
                    <w:t>/</w:t>
                  </w:r>
                </w:p>
              </w:tc>
              <w:tc>
                <w:tcPr>
                  <w:tcW w:w="1003" w:type="dxa"/>
                  <w:tcBorders>
                    <w:tl2br w:val="nil"/>
                    <w:tr2bl w:val="nil"/>
                  </w:tcBorders>
                  <w:vAlign w:val="center"/>
                </w:tcPr>
                <w:p w14:paraId="0D9B1A02">
                  <w:pPr>
                    <w:adjustRightInd w:val="0"/>
                    <w:snapToGrid w:val="0"/>
                    <w:jc w:val="center"/>
                    <w:rPr>
                      <w:color w:val="auto"/>
                      <w:szCs w:val="21"/>
                    </w:rPr>
                  </w:pPr>
                  <w:r>
                    <w:rPr>
                      <w:rFonts w:hint="eastAsia"/>
                      <w:color w:val="auto"/>
                      <w:szCs w:val="21"/>
                    </w:rPr>
                    <w:t>200</w:t>
                  </w:r>
                </w:p>
              </w:tc>
              <w:tc>
                <w:tcPr>
                  <w:tcW w:w="912" w:type="dxa"/>
                  <w:tcBorders>
                    <w:tl2br w:val="nil"/>
                    <w:tr2bl w:val="nil"/>
                  </w:tcBorders>
                  <w:vAlign w:val="center"/>
                </w:tcPr>
                <w:p w14:paraId="78CD791B">
                  <w:pPr>
                    <w:adjustRightInd w:val="0"/>
                    <w:snapToGrid w:val="0"/>
                    <w:jc w:val="center"/>
                    <w:rPr>
                      <w:color w:val="auto"/>
                      <w:szCs w:val="21"/>
                    </w:rPr>
                  </w:pPr>
                  <w:r>
                    <w:rPr>
                      <w:rStyle w:val="1596"/>
                      <w:rFonts w:hint="eastAsia"/>
                      <w:color w:val="auto"/>
                      <w:szCs w:val="21"/>
                    </w:rPr>
                    <w:t>公斤</w:t>
                  </w:r>
                </w:p>
              </w:tc>
              <w:tc>
                <w:tcPr>
                  <w:tcW w:w="623" w:type="dxa"/>
                  <w:tcBorders>
                    <w:tl2br w:val="nil"/>
                    <w:tr2bl w:val="nil"/>
                  </w:tcBorders>
                  <w:vAlign w:val="center"/>
                </w:tcPr>
                <w:p w14:paraId="5BAB0493">
                  <w:pPr>
                    <w:adjustRightInd w:val="0"/>
                    <w:snapToGrid w:val="0"/>
                    <w:jc w:val="center"/>
                    <w:rPr>
                      <w:rStyle w:val="1596"/>
                      <w:color w:val="auto"/>
                      <w:szCs w:val="21"/>
                    </w:rPr>
                  </w:pPr>
                  <w:r>
                    <w:rPr>
                      <w:rStyle w:val="1596"/>
                      <w:rFonts w:hint="eastAsia"/>
                      <w:color w:val="auto"/>
                      <w:szCs w:val="21"/>
                    </w:rPr>
                    <w:t>10</w:t>
                  </w:r>
                </w:p>
              </w:tc>
              <w:tc>
                <w:tcPr>
                  <w:tcW w:w="842" w:type="dxa"/>
                  <w:tcBorders>
                    <w:tl2br w:val="nil"/>
                    <w:tr2bl w:val="nil"/>
                  </w:tcBorders>
                  <w:vAlign w:val="center"/>
                </w:tcPr>
                <w:p w14:paraId="3FFF0B39">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20CD5C0">
                  <w:pPr>
                    <w:adjustRightInd w:val="0"/>
                    <w:snapToGrid w:val="0"/>
                    <w:jc w:val="center"/>
                    <w:rPr>
                      <w:color w:val="auto"/>
                      <w:szCs w:val="21"/>
                    </w:rPr>
                  </w:pPr>
                  <w:r>
                    <w:rPr>
                      <w:rFonts w:hint="eastAsia"/>
                      <w:color w:val="auto"/>
                      <w:szCs w:val="21"/>
                    </w:rPr>
                    <w:t>箱装</w:t>
                  </w:r>
                </w:p>
              </w:tc>
              <w:tc>
                <w:tcPr>
                  <w:tcW w:w="495" w:type="dxa"/>
                  <w:vMerge w:val="continue"/>
                  <w:tcBorders>
                    <w:tl2br w:val="nil"/>
                    <w:tr2bl w:val="nil"/>
                  </w:tcBorders>
                  <w:vAlign w:val="center"/>
                </w:tcPr>
                <w:p w14:paraId="0101DF42">
                  <w:pPr>
                    <w:tabs>
                      <w:tab w:val="left" w:pos="720"/>
                    </w:tabs>
                    <w:adjustRightInd w:val="0"/>
                    <w:snapToGrid w:val="0"/>
                    <w:spacing w:line="240" w:lineRule="exact"/>
                    <w:jc w:val="center"/>
                    <w:rPr>
                      <w:color w:val="auto"/>
                      <w:szCs w:val="21"/>
                    </w:rPr>
                  </w:pPr>
                </w:p>
              </w:tc>
            </w:tr>
            <w:tr w14:paraId="785698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48EE8D67">
                  <w:pPr>
                    <w:tabs>
                      <w:tab w:val="left" w:pos="720"/>
                    </w:tabs>
                    <w:adjustRightInd w:val="0"/>
                    <w:snapToGrid w:val="0"/>
                    <w:spacing w:line="240" w:lineRule="exact"/>
                    <w:jc w:val="center"/>
                    <w:rPr>
                      <w:color w:val="auto"/>
                      <w:szCs w:val="21"/>
                    </w:rPr>
                  </w:pPr>
                  <w:r>
                    <w:rPr>
                      <w:rFonts w:hint="eastAsia"/>
                      <w:color w:val="auto"/>
                      <w:szCs w:val="21"/>
                    </w:rPr>
                    <w:t>41</w:t>
                  </w:r>
                </w:p>
              </w:tc>
              <w:tc>
                <w:tcPr>
                  <w:tcW w:w="684" w:type="dxa"/>
                  <w:tcBorders>
                    <w:tl2br w:val="nil"/>
                    <w:tr2bl w:val="nil"/>
                  </w:tcBorders>
                  <w:vAlign w:val="center"/>
                </w:tcPr>
                <w:p w14:paraId="48F5C465">
                  <w:pPr>
                    <w:adjustRightInd w:val="0"/>
                    <w:snapToGrid w:val="0"/>
                    <w:spacing w:line="240" w:lineRule="exact"/>
                    <w:jc w:val="center"/>
                    <w:rPr>
                      <w:color w:val="auto"/>
                    </w:rPr>
                  </w:pPr>
                  <w:r>
                    <w:rPr>
                      <w:rFonts w:hint="eastAsia"/>
                      <w:color w:val="auto"/>
                    </w:rPr>
                    <w:t>机油</w:t>
                  </w:r>
                </w:p>
              </w:tc>
              <w:tc>
                <w:tcPr>
                  <w:tcW w:w="2458" w:type="dxa"/>
                  <w:tcBorders>
                    <w:tl2br w:val="nil"/>
                    <w:tr2bl w:val="nil"/>
                  </w:tcBorders>
                  <w:vAlign w:val="center"/>
                </w:tcPr>
                <w:p w14:paraId="6635E763">
                  <w:pPr>
                    <w:adjustRightInd w:val="0"/>
                    <w:snapToGrid w:val="0"/>
                    <w:spacing w:line="240" w:lineRule="exact"/>
                    <w:jc w:val="center"/>
                    <w:rPr>
                      <w:color w:val="auto"/>
                    </w:rPr>
                  </w:pPr>
                  <w:r>
                    <w:rPr>
                      <w:rFonts w:hint="eastAsia"/>
                      <w:color w:val="auto"/>
                    </w:rPr>
                    <w:t>也称为润滑油，是一种油状液体，通常为淡黄色至褐色，无气味或略带异味</w:t>
                  </w:r>
                </w:p>
              </w:tc>
              <w:tc>
                <w:tcPr>
                  <w:tcW w:w="1003" w:type="dxa"/>
                  <w:tcBorders>
                    <w:tl2br w:val="nil"/>
                    <w:tr2bl w:val="nil"/>
                  </w:tcBorders>
                  <w:vAlign w:val="center"/>
                </w:tcPr>
                <w:p w14:paraId="0900B631">
                  <w:pPr>
                    <w:jc w:val="center"/>
                    <w:textAlignment w:val="baseline"/>
                    <w:rPr>
                      <w:color w:val="auto"/>
                      <w:szCs w:val="21"/>
                    </w:rPr>
                  </w:pPr>
                  <w:r>
                    <w:rPr>
                      <w:rFonts w:hint="eastAsia"/>
                      <w:color w:val="auto"/>
                      <w:szCs w:val="21"/>
                    </w:rPr>
                    <w:t>100</w:t>
                  </w:r>
                </w:p>
              </w:tc>
              <w:tc>
                <w:tcPr>
                  <w:tcW w:w="912" w:type="dxa"/>
                  <w:tcBorders>
                    <w:tl2br w:val="nil"/>
                    <w:tr2bl w:val="nil"/>
                  </w:tcBorders>
                  <w:vAlign w:val="center"/>
                </w:tcPr>
                <w:p w14:paraId="5A1B641C">
                  <w:pPr>
                    <w:jc w:val="center"/>
                    <w:textAlignment w:val="baseline"/>
                    <w:rPr>
                      <w:rStyle w:val="1596"/>
                      <w:color w:val="auto"/>
                      <w:szCs w:val="21"/>
                    </w:rPr>
                  </w:pPr>
                  <w:r>
                    <w:rPr>
                      <w:rStyle w:val="1596"/>
                      <w:rFonts w:hint="eastAsia"/>
                      <w:color w:val="auto"/>
                      <w:szCs w:val="21"/>
                    </w:rPr>
                    <w:t>公斤</w:t>
                  </w:r>
                </w:p>
              </w:tc>
              <w:tc>
                <w:tcPr>
                  <w:tcW w:w="623" w:type="dxa"/>
                  <w:tcBorders>
                    <w:tl2br w:val="nil"/>
                    <w:tr2bl w:val="nil"/>
                  </w:tcBorders>
                  <w:vAlign w:val="center"/>
                </w:tcPr>
                <w:p w14:paraId="60EF912F">
                  <w:pPr>
                    <w:jc w:val="center"/>
                    <w:textAlignment w:val="baseline"/>
                    <w:rPr>
                      <w:rStyle w:val="1596"/>
                      <w:color w:val="auto"/>
                      <w:szCs w:val="21"/>
                    </w:rPr>
                  </w:pPr>
                  <w:r>
                    <w:rPr>
                      <w:rStyle w:val="1596"/>
                      <w:rFonts w:hint="eastAsia"/>
                      <w:color w:val="auto"/>
                      <w:szCs w:val="21"/>
                    </w:rPr>
                    <w:t>10</w:t>
                  </w:r>
                </w:p>
              </w:tc>
              <w:tc>
                <w:tcPr>
                  <w:tcW w:w="842" w:type="dxa"/>
                  <w:tcBorders>
                    <w:tl2br w:val="nil"/>
                    <w:tr2bl w:val="nil"/>
                  </w:tcBorders>
                  <w:vAlign w:val="center"/>
                </w:tcPr>
                <w:p w14:paraId="7035237F">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2BC99672">
                  <w:pPr>
                    <w:tabs>
                      <w:tab w:val="left" w:pos="720"/>
                    </w:tabs>
                    <w:adjustRightInd w:val="0"/>
                    <w:snapToGrid w:val="0"/>
                    <w:spacing w:line="240" w:lineRule="exact"/>
                    <w:jc w:val="center"/>
                    <w:rPr>
                      <w:color w:val="auto"/>
                      <w:szCs w:val="21"/>
                    </w:rPr>
                  </w:pPr>
                  <w:r>
                    <w:rPr>
                      <w:rFonts w:hint="eastAsia"/>
                      <w:color w:val="auto"/>
                      <w:szCs w:val="21"/>
                    </w:rPr>
                    <w:t>桶装</w:t>
                  </w:r>
                </w:p>
              </w:tc>
              <w:tc>
                <w:tcPr>
                  <w:tcW w:w="495" w:type="dxa"/>
                  <w:vMerge w:val="continue"/>
                  <w:tcBorders>
                    <w:tl2br w:val="nil"/>
                    <w:tr2bl w:val="nil"/>
                  </w:tcBorders>
                  <w:vAlign w:val="center"/>
                </w:tcPr>
                <w:p w14:paraId="74AD11EB">
                  <w:pPr>
                    <w:tabs>
                      <w:tab w:val="left" w:pos="720"/>
                    </w:tabs>
                    <w:adjustRightInd w:val="0"/>
                    <w:snapToGrid w:val="0"/>
                    <w:spacing w:line="240" w:lineRule="exact"/>
                    <w:jc w:val="center"/>
                    <w:rPr>
                      <w:color w:val="auto"/>
                      <w:szCs w:val="21"/>
                    </w:rPr>
                  </w:pPr>
                </w:p>
              </w:tc>
            </w:tr>
            <w:tr w14:paraId="17A7E3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74A1B3A1">
                  <w:pPr>
                    <w:tabs>
                      <w:tab w:val="left" w:pos="720"/>
                    </w:tabs>
                    <w:adjustRightInd w:val="0"/>
                    <w:snapToGrid w:val="0"/>
                    <w:spacing w:line="240" w:lineRule="exact"/>
                    <w:jc w:val="center"/>
                    <w:rPr>
                      <w:color w:val="auto"/>
                      <w:szCs w:val="21"/>
                    </w:rPr>
                  </w:pPr>
                  <w:r>
                    <w:rPr>
                      <w:rFonts w:hint="eastAsia"/>
                      <w:color w:val="auto"/>
                      <w:szCs w:val="21"/>
                    </w:rPr>
                    <w:t>42</w:t>
                  </w:r>
                </w:p>
              </w:tc>
              <w:tc>
                <w:tcPr>
                  <w:tcW w:w="684" w:type="dxa"/>
                  <w:tcBorders>
                    <w:tl2br w:val="nil"/>
                    <w:tr2bl w:val="nil"/>
                  </w:tcBorders>
                  <w:vAlign w:val="center"/>
                </w:tcPr>
                <w:p w14:paraId="0E2AC2CE">
                  <w:pPr>
                    <w:adjustRightInd w:val="0"/>
                    <w:snapToGrid w:val="0"/>
                    <w:spacing w:line="240" w:lineRule="exact"/>
                    <w:jc w:val="center"/>
                    <w:rPr>
                      <w:color w:val="auto"/>
                    </w:rPr>
                  </w:pPr>
                  <w:r>
                    <w:rPr>
                      <w:rFonts w:hint="eastAsia"/>
                      <w:color w:val="auto"/>
                    </w:rPr>
                    <w:t>液压油</w:t>
                  </w:r>
                </w:p>
              </w:tc>
              <w:tc>
                <w:tcPr>
                  <w:tcW w:w="2458" w:type="dxa"/>
                  <w:tcBorders>
                    <w:tl2br w:val="nil"/>
                    <w:tr2bl w:val="nil"/>
                  </w:tcBorders>
                  <w:vAlign w:val="center"/>
                </w:tcPr>
                <w:p w14:paraId="70BE4695">
                  <w:pPr>
                    <w:adjustRightInd w:val="0"/>
                    <w:snapToGrid w:val="0"/>
                    <w:spacing w:line="240" w:lineRule="exact"/>
                    <w:jc w:val="center"/>
                    <w:rPr>
                      <w:color w:val="auto"/>
                    </w:rPr>
                  </w:pPr>
                  <w:r>
                    <w:rPr>
                      <w:rFonts w:hint="eastAsia"/>
                      <w:color w:val="auto"/>
                    </w:rPr>
                    <w:t>外观：透明油状液体，浅黄色至棕色；气味：无气味或略带异味，密度：0.84-0.95 kg/l（20℃）；不溶于水</w:t>
                  </w:r>
                </w:p>
              </w:tc>
              <w:tc>
                <w:tcPr>
                  <w:tcW w:w="1003" w:type="dxa"/>
                  <w:tcBorders>
                    <w:tl2br w:val="nil"/>
                    <w:tr2bl w:val="nil"/>
                  </w:tcBorders>
                  <w:vAlign w:val="center"/>
                </w:tcPr>
                <w:p w14:paraId="083C5DDC">
                  <w:pPr>
                    <w:jc w:val="center"/>
                    <w:textAlignment w:val="baseline"/>
                    <w:rPr>
                      <w:color w:val="auto"/>
                      <w:szCs w:val="21"/>
                    </w:rPr>
                  </w:pPr>
                  <w:r>
                    <w:rPr>
                      <w:rFonts w:hint="eastAsia"/>
                      <w:color w:val="auto"/>
                      <w:szCs w:val="21"/>
                    </w:rPr>
                    <w:t>100</w:t>
                  </w:r>
                </w:p>
              </w:tc>
              <w:tc>
                <w:tcPr>
                  <w:tcW w:w="912" w:type="dxa"/>
                  <w:tcBorders>
                    <w:tl2br w:val="nil"/>
                    <w:tr2bl w:val="nil"/>
                  </w:tcBorders>
                  <w:vAlign w:val="center"/>
                </w:tcPr>
                <w:p w14:paraId="54364348">
                  <w:pPr>
                    <w:jc w:val="center"/>
                    <w:textAlignment w:val="baseline"/>
                    <w:rPr>
                      <w:rStyle w:val="1596"/>
                      <w:color w:val="auto"/>
                      <w:szCs w:val="21"/>
                    </w:rPr>
                  </w:pPr>
                  <w:r>
                    <w:rPr>
                      <w:rStyle w:val="1596"/>
                      <w:rFonts w:hint="eastAsia"/>
                      <w:color w:val="auto"/>
                      <w:szCs w:val="21"/>
                    </w:rPr>
                    <w:t>公斤</w:t>
                  </w:r>
                </w:p>
              </w:tc>
              <w:tc>
                <w:tcPr>
                  <w:tcW w:w="623" w:type="dxa"/>
                  <w:tcBorders>
                    <w:tl2br w:val="nil"/>
                    <w:tr2bl w:val="nil"/>
                  </w:tcBorders>
                  <w:vAlign w:val="center"/>
                </w:tcPr>
                <w:p w14:paraId="00AA3AEB">
                  <w:pPr>
                    <w:jc w:val="center"/>
                    <w:textAlignment w:val="baseline"/>
                    <w:rPr>
                      <w:rStyle w:val="1596"/>
                      <w:color w:val="auto"/>
                      <w:szCs w:val="21"/>
                    </w:rPr>
                  </w:pPr>
                  <w:r>
                    <w:rPr>
                      <w:rStyle w:val="1596"/>
                      <w:rFonts w:hint="eastAsia"/>
                      <w:color w:val="auto"/>
                      <w:szCs w:val="21"/>
                    </w:rPr>
                    <w:t>10</w:t>
                  </w:r>
                </w:p>
              </w:tc>
              <w:tc>
                <w:tcPr>
                  <w:tcW w:w="842" w:type="dxa"/>
                  <w:tcBorders>
                    <w:tl2br w:val="nil"/>
                    <w:tr2bl w:val="nil"/>
                  </w:tcBorders>
                  <w:vAlign w:val="center"/>
                </w:tcPr>
                <w:p w14:paraId="2FE98C79">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5BF9609B">
                  <w:pPr>
                    <w:tabs>
                      <w:tab w:val="left" w:pos="720"/>
                    </w:tabs>
                    <w:adjustRightInd w:val="0"/>
                    <w:snapToGrid w:val="0"/>
                    <w:spacing w:line="240" w:lineRule="exact"/>
                    <w:jc w:val="center"/>
                    <w:rPr>
                      <w:color w:val="auto"/>
                      <w:szCs w:val="21"/>
                    </w:rPr>
                  </w:pPr>
                  <w:r>
                    <w:rPr>
                      <w:rFonts w:hint="eastAsia"/>
                      <w:color w:val="auto"/>
                      <w:szCs w:val="21"/>
                    </w:rPr>
                    <w:t>桶装</w:t>
                  </w:r>
                </w:p>
              </w:tc>
              <w:tc>
                <w:tcPr>
                  <w:tcW w:w="495" w:type="dxa"/>
                  <w:vMerge w:val="continue"/>
                  <w:tcBorders>
                    <w:tl2br w:val="nil"/>
                    <w:tr2bl w:val="nil"/>
                  </w:tcBorders>
                  <w:vAlign w:val="center"/>
                </w:tcPr>
                <w:p w14:paraId="4BD4E660">
                  <w:pPr>
                    <w:tabs>
                      <w:tab w:val="left" w:pos="720"/>
                    </w:tabs>
                    <w:adjustRightInd w:val="0"/>
                    <w:snapToGrid w:val="0"/>
                    <w:spacing w:line="240" w:lineRule="exact"/>
                    <w:jc w:val="center"/>
                    <w:rPr>
                      <w:color w:val="auto"/>
                      <w:szCs w:val="21"/>
                    </w:rPr>
                  </w:pPr>
                </w:p>
              </w:tc>
            </w:tr>
            <w:tr w14:paraId="2C7E8C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shd w:val="clear" w:color="auto" w:fill="auto"/>
                  <w:vAlign w:val="center"/>
                </w:tcPr>
                <w:p w14:paraId="39415431">
                  <w:pPr>
                    <w:tabs>
                      <w:tab w:val="left" w:pos="720"/>
                    </w:tabs>
                    <w:adjustRightInd w:val="0"/>
                    <w:snapToGrid w:val="0"/>
                    <w:spacing w:line="240" w:lineRule="exact"/>
                    <w:jc w:val="center"/>
                    <w:rPr>
                      <w:color w:val="auto"/>
                      <w:szCs w:val="21"/>
                    </w:rPr>
                  </w:pPr>
                  <w:r>
                    <w:rPr>
                      <w:rFonts w:hint="eastAsia"/>
                      <w:color w:val="auto"/>
                      <w:szCs w:val="21"/>
                    </w:rPr>
                    <w:t>43</w:t>
                  </w:r>
                </w:p>
              </w:tc>
              <w:tc>
                <w:tcPr>
                  <w:tcW w:w="684" w:type="dxa"/>
                  <w:tcBorders>
                    <w:tl2br w:val="nil"/>
                    <w:tr2bl w:val="nil"/>
                  </w:tcBorders>
                  <w:vAlign w:val="center"/>
                </w:tcPr>
                <w:p w14:paraId="10DACC1D">
                  <w:pPr>
                    <w:adjustRightInd w:val="0"/>
                    <w:snapToGrid w:val="0"/>
                    <w:spacing w:line="240" w:lineRule="exact"/>
                    <w:jc w:val="center"/>
                    <w:rPr>
                      <w:color w:val="auto"/>
                    </w:rPr>
                  </w:pPr>
                  <w:r>
                    <w:rPr>
                      <w:rFonts w:hint="eastAsia"/>
                      <w:color w:val="auto"/>
                    </w:rPr>
                    <w:t>切削液</w:t>
                  </w:r>
                </w:p>
              </w:tc>
              <w:tc>
                <w:tcPr>
                  <w:tcW w:w="2458" w:type="dxa"/>
                  <w:tcBorders>
                    <w:tl2br w:val="nil"/>
                    <w:tr2bl w:val="nil"/>
                  </w:tcBorders>
                  <w:vAlign w:val="center"/>
                </w:tcPr>
                <w:p w14:paraId="7BE0251E">
                  <w:pPr>
                    <w:adjustRightInd w:val="0"/>
                    <w:snapToGrid w:val="0"/>
                    <w:spacing w:line="240" w:lineRule="exact"/>
                    <w:jc w:val="center"/>
                    <w:rPr>
                      <w:color w:val="auto"/>
                    </w:rPr>
                  </w:pPr>
                  <w:r>
                    <w:rPr>
                      <w:color w:val="auto"/>
                      <w:szCs w:val="21"/>
                    </w:rPr>
                    <w:t>外观：通常为琥珀色液体，有特有的气味</w:t>
                  </w:r>
                  <w:r>
                    <w:rPr>
                      <w:rFonts w:hint="eastAsia"/>
                      <w:color w:val="auto"/>
                      <w:szCs w:val="21"/>
                    </w:rPr>
                    <w:t>；pH值：原液pH值约为8.8；沸点：大于100℃；闪点：大于100℃；蒸发率：小于1（以醋酸异丁酯=1为基准）；可溶于水。</w:t>
                  </w:r>
                </w:p>
              </w:tc>
              <w:tc>
                <w:tcPr>
                  <w:tcW w:w="1003" w:type="dxa"/>
                  <w:tcBorders>
                    <w:tl2br w:val="nil"/>
                    <w:tr2bl w:val="nil"/>
                  </w:tcBorders>
                  <w:vAlign w:val="center"/>
                </w:tcPr>
                <w:p w14:paraId="25D9D208">
                  <w:pPr>
                    <w:jc w:val="center"/>
                    <w:textAlignment w:val="baseline"/>
                    <w:rPr>
                      <w:color w:val="auto"/>
                      <w:szCs w:val="21"/>
                    </w:rPr>
                  </w:pPr>
                  <w:r>
                    <w:rPr>
                      <w:rFonts w:hint="eastAsia"/>
                      <w:color w:val="auto"/>
                      <w:szCs w:val="21"/>
                    </w:rPr>
                    <w:t>60</w:t>
                  </w:r>
                </w:p>
              </w:tc>
              <w:tc>
                <w:tcPr>
                  <w:tcW w:w="912" w:type="dxa"/>
                  <w:tcBorders>
                    <w:tl2br w:val="nil"/>
                    <w:tr2bl w:val="nil"/>
                  </w:tcBorders>
                  <w:vAlign w:val="center"/>
                </w:tcPr>
                <w:p w14:paraId="363A2604">
                  <w:pPr>
                    <w:jc w:val="center"/>
                    <w:textAlignment w:val="baseline"/>
                    <w:rPr>
                      <w:rStyle w:val="1596"/>
                      <w:color w:val="auto"/>
                      <w:szCs w:val="21"/>
                    </w:rPr>
                  </w:pPr>
                  <w:r>
                    <w:rPr>
                      <w:rStyle w:val="1596"/>
                      <w:rFonts w:hint="eastAsia"/>
                      <w:color w:val="auto"/>
                      <w:szCs w:val="21"/>
                    </w:rPr>
                    <w:t>公斤</w:t>
                  </w:r>
                </w:p>
              </w:tc>
              <w:tc>
                <w:tcPr>
                  <w:tcW w:w="623" w:type="dxa"/>
                  <w:tcBorders>
                    <w:tl2br w:val="nil"/>
                    <w:tr2bl w:val="nil"/>
                  </w:tcBorders>
                  <w:vAlign w:val="center"/>
                </w:tcPr>
                <w:p w14:paraId="05AF2D7D">
                  <w:pPr>
                    <w:jc w:val="center"/>
                    <w:textAlignment w:val="baseline"/>
                    <w:rPr>
                      <w:rStyle w:val="1596"/>
                      <w:color w:val="auto"/>
                      <w:szCs w:val="21"/>
                    </w:rPr>
                  </w:pPr>
                  <w:r>
                    <w:rPr>
                      <w:rStyle w:val="1596"/>
                      <w:rFonts w:hint="eastAsia"/>
                      <w:color w:val="auto"/>
                      <w:szCs w:val="21"/>
                    </w:rPr>
                    <w:t>10.</w:t>
                  </w:r>
                </w:p>
              </w:tc>
              <w:tc>
                <w:tcPr>
                  <w:tcW w:w="842" w:type="dxa"/>
                  <w:tcBorders>
                    <w:tl2br w:val="nil"/>
                    <w:tr2bl w:val="nil"/>
                  </w:tcBorders>
                  <w:vAlign w:val="center"/>
                </w:tcPr>
                <w:p w14:paraId="6EFD7D5D">
                  <w:pPr>
                    <w:jc w:val="center"/>
                    <w:rPr>
                      <w:color w:val="auto"/>
                      <w:szCs w:val="21"/>
                    </w:rPr>
                  </w:pPr>
                  <w:r>
                    <w:rPr>
                      <w:rFonts w:hint="eastAsia"/>
                      <w:color w:val="auto"/>
                      <w:szCs w:val="21"/>
                    </w:rPr>
                    <w:t>外购</w:t>
                  </w:r>
                  <w:r>
                    <w:rPr>
                      <w:color w:val="auto"/>
                      <w:szCs w:val="21"/>
                    </w:rPr>
                    <w:t>汽运</w:t>
                  </w:r>
                </w:p>
              </w:tc>
              <w:tc>
                <w:tcPr>
                  <w:tcW w:w="804" w:type="dxa"/>
                  <w:tcBorders>
                    <w:tl2br w:val="nil"/>
                    <w:tr2bl w:val="nil"/>
                  </w:tcBorders>
                  <w:vAlign w:val="center"/>
                </w:tcPr>
                <w:p w14:paraId="350F1EC6">
                  <w:pPr>
                    <w:tabs>
                      <w:tab w:val="left" w:pos="720"/>
                    </w:tabs>
                    <w:adjustRightInd w:val="0"/>
                    <w:snapToGrid w:val="0"/>
                    <w:spacing w:line="240" w:lineRule="exact"/>
                    <w:jc w:val="center"/>
                    <w:rPr>
                      <w:color w:val="auto"/>
                      <w:szCs w:val="21"/>
                    </w:rPr>
                  </w:pPr>
                  <w:r>
                    <w:rPr>
                      <w:rFonts w:hint="eastAsia"/>
                      <w:color w:val="auto"/>
                      <w:szCs w:val="21"/>
                    </w:rPr>
                    <w:t>桶装</w:t>
                  </w:r>
                </w:p>
              </w:tc>
              <w:tc>
                <w:tcPr>
                  <w:tcW w:w="495" w:type="dxa"/>
                  <w:vMerge w:val="continue"/>
                  <w:tcBorders>
                    <w:tl2br w:val="nil"/>
                    <w:tr2bl w:val="nil"/>
                  </w:tcBorders>
                  <w:vAlign w:val="center"/>
                </w:tcPr>
                <w:p w14:paraId="25AD949B">
                  <w:pPr>
                    <w:tabs>
                      <w:tab w:val="left" w:pos="720"/>
                    </w:tabs>
                    <w:adjustRightInd w:val="0"/>
                    <w:snapToGrid w:val="0"/>
                    <w:spacing w:line="240" w:lineRule="exact"/>
                    <w:jc w:val="center"/>
                    <w:rPr>
                      <w:color w:val="auto"/>
                      <w:szCs w:val="21"/>
                    </w:rPr>
                  </w:pPr>
                </w:p>
              </w:tc>
            </w:tr>
            <w:tr w14:paraId="28F4A1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4" w:type="dxa"/>
                  <w:tcBorders>
                    <w:tl2br w:val="nil"/>
                    <w:tr2bl w:val="nil"/>
                  </w:tcBorders>
                  <w:vAlign w:val="center"/>
                </w:tcPr>
                <w:p w14:paraId="6251B50B">
                  <w:pPr>
                    <w:tabs>
                      <w:tab w:val="left" w:pos="720"/>
                    </w:tabs>
                    <w:adjustRightInd w:val="0"/>
                    <w:snapToGrid w:val="0"/>
                    <w:spacing w:line="240" w:lineRule="exact"/>
                    <w:jc w:val="center"/>
                    <w:rPr>
                      <w:color w:val="auto"/>
                      <w:szCs w:val="21"/>
                    </w:rPr>
                  </w:pPr>
                  <w:r>
                    <w:rPr>
                      <w:rFonts w:hint="eastAsia"/>
                      <w:color w:val="auto"/>
                      <w:szCs w:val="21"/>
                    </w:rPr>
                    <w:t>44</w:t>
                  </w:r>
                </w:p>
              </w:tc>
              <w:tc>
                <w:tcPr>
                  <w:tcW w:w="684" w:type="dxa"/>
                  <w:tcBorders>
                    <w:tl2br w:val="nil"/>
                    <w:tr2bl w:val="nil"/>
                  </w:tcBorders>
                  <w:vAlign w:val="center"/>
                </w:tcPr>
                <w:p w14:paraId="69CC7952">
                  <w:pPr>
                    <w:adjustRightInd w:val="0"/>
                    <w:snapToGrid w:val="0"/>
                    <w:jc w:val="center"/>
                    <w:rPr>
                      <w:color w:val="auto"/>
                    </w:rPr>
                  </w:pPr>
                  <w:r>
                    <w:rPr>
                      <w:rFonts w:hint="eastAsia"/>
                      <w:color w:val="auto"/>
                    </w:rPr>
                    <w:t>天然气</w:t>
                  </w:r>
                </w:p>
              </w:tc>
              <w:tc>
                <w:tcPr>
                  <w:tcW w:w="2458" w:type="dxa"/>
                  <w:tcBorders>
                    <w:tl2br w:val="nil"/>
                    <w:tr2bl w:val="nil"/>
                  </w:tcBorders>
                  <w:vAlign w:val="center"/>
                </w:tcPr>
                <w:p w14:paraId="03D53BE4">
                  <w:pPr>
                    <w:adjustRightInd w:val="0"/>
                    <w:snapToGrid w:val="0"/>
                    <w:spacing w:line="240" w:lineRule="exact"/>
                    <w:jc w:val="center"/>
                    <w:rPr>
                      <w:color w:val="auto"/>
                    </w:rPr>
                  </w:pPr>
                  <w:r>
                    <w:rPr>
                      <w:color w:val="auto"/>
                      <w:szCs w:val="21"/>
                    </w:rPr>
                    <w:t>甲烷</w:t>
                  </w:r>
                </w:p>
              </w:tc>
              <w:tc>
                <w:tcPr>
                  <w:tcW w:w="1003" w:type="dxa"/>
                  <w:tcBorders>
                    <w:tl2br w:val="nil"/>
                    <w:tr2bl w:val="nil"/>
                  </w:tcBorders>
                  <w:vAlign w:val="center"/>
                </w:tcPr>
                <w:p w14:paraId="2CFC7454">
                  <w:pPr>
                    <w:jc w:val="center"/>
                    <w:textAlignment w:val="baseline"/>
                    <w:rPr>
                      <w:color w:val="auto"/>
                      <w:szCs w:val="21"/>
                    </w:rPr>
                  </w:pPr>
                  <w:r>
                    <w:rPr>
                      <w:rFonts w:hint="eastAsia"/>
                      <w:color w:val="auto"/>
                      <w:szCs w:val="21"/>
                    </w:rPr>
                    <w:t>147000</w:t>
                  </w:r>
                </w:p>
              </w:tc>
              <w:tc>
                <w:tcPr>
                  <w:tcW w:w="912" w:type="dxa"/>
                  <w:tcBorders>
                    <w:tl2br w:val="nil"/>
                    <w:tr2bl w:val="nil"/>
                  </w:tcBorders>
                  <w:vAlign w:val="center"/>
                </w:tcPr>
                <w:p w14:paraId="0DC40812">
                  <w:pPr>
                    <w:jc w:val="center"/>
                    <w:textAlignment w:val="baseline"/>
                    <w:rPr>
                      <w:rStyle w:val="1596"/>
                      <w:color w:val="auto"/>
                      <w:szCs w:val="21"/>
                    </w:rPr>
                  </w:pPr>
                  <w:r>
                    <w:rPr>
                      <w:rStyle w:val="1596"/>
                      <w:rFonts w:hint="eastAsia"/>
                      <w:color w:val="auto"/>
                      <w:szCs w:val="21"/>
                    </w:rPr>
                    <w:t>立方米</w:t>
                  </w:r>
                </w:p>
              </w:tc>
              <w:tc>
                <w:tcPr>
                  <w:tcW w:w="623" w:type="dxa"/>
                  <w:tcBorders>
                    <w:tl2br w:val="nil"/>
                    <w:tr2bl w:val="nil"/>
                  </w:tcBorders>
                  <w:vAlign w:val="center"/>
                </w:tcPr>
                <w:p w14:paraId="1B7D257C">
                  <w:pPr>
                    <w:jc w:val="center"/>
                    <w:textAlignment w:val="baseline"/>
                    <w:rPr>
                      <w:rStyle w:val="1596"/>
                      <w:color w:val="auto"/>
                      <w:szCs w:val="21"/>
                    </w:rPr>
                  </w:pPr>
                  <w:r>
                    <w:rPr>
                      <w:rStyle w:val="1596"/>
                      <w:rFonts w:hint="eastAsia"/>
                      <w:color w:val="auto"/>
                      <w:szCs w:val="21"/>
                    </w:rPr>
                    <w:t>/</w:t>
                  </w:r>
                </w:p>
              </w:tc>
              <w:tc>
                <w:tcPr>
                  <w:tcW w:w="842" w:type="dxa"/>
                  <w:tcBorders>
                    <w:tl2br w:val="nil"/>
                    <w:tr2bl w:val="nil"/>
                  </w:tcBorders>
                  <w:vAlign w:val="center"/>
                </w:tcPr>
                <w:p w14:paraId="4DB1BABD">
                  <w:pPr>
                    <w:jc w:val="center"/>
                    <w:rPr>
                      <w:color w:val="auto"/>
                      <w:szCs w:val="21"/>
                    </w:rPr>
                  </w:pPr>
                  <w:r>
                    <w:rPr>
                      <w:rFonts w:hint="eastAsia"/>
                      <w:color w:val="auto"/>
                      <w:szCs w:val="21"/>
                    </w:rPr>
                    <w:t>外购</w:t>
                  </w:r>
                </w:p>
              </w:tc>
              <w:tc>
                <w:tcPr>
                  <w:tcW w:w="804" w:type="dxa"/>
                  <w:tcBorders>
                    <w:tl2br w:val="nil"/>
                    <w:tr2bl w:val="nil"/>
                  </w:tcBorders>
                  <w:vAlign w:val="center"/>
                </w:tcPr>
                <w:p w14:paraId="6BB8C57A">
                  <w:pPr>
                    <w:tabs>
                      <w:tab w:val="left" w:pos="720"/>
                    </w:tabs>
                    <w:adjustRightInd w:val="0"/>
                    <w:snapToGrid w:val="0"/>
                    <w:spacing w:line="240" w:lineRule="exact"/>
                    <w:jc w:val="center"/>
                    <w:rPr>
                      <w:color w:val="auto"/>
                      <w:szCs w:val="21"/>
                    </w:rPr>
                  </w:pPr>
                  <w:r>
                    <w:rPr>
                      <w:rFonts w:hint="eastAsia"/>
                      <w:color w:val="auto"/>
                      <w:szCs w:val="21"/>
                    </w:rPr>
                    <w:t>管道</w:t>
                  </w:r>
                </w:p>
              </w:tc>
              <w:tc>
                <w:tcPr>
                  <w:tcW w:w="495" w:type="dxa"/>
                  <w:vMerge w:val="continue"/>
                  <w:tcBorders>
                    <w:tl2br w:val="nil"/>
                    <w:tr2bl w:val="nil"/>
                  </w:tcBorders>
                  <w:vAlign w:val="center"/>
                </w:tcPr>
                <w:p w14:paraId="06ADE831">
                  <w:pPr>
                    <w:tabs>
                      <w:tab w:val="left" w:pos="720"/>
                    </w:tabs>
                    <w:adjustRightInd w:val="0"/>
                    <w:snapToGrid w:val="0"/>
                    <w:spacing w:line="240" w:lineRule="exact"/>
                    <w:jc w:val="center"/>
                    <w:rPr>
                      <w:color w:val="auto"/>
                      <w:szCs w:val="21"/>
                    </w:rPr>
                  </w:pPr>
                </w:p>
              </w:tc>
            </w:tr>
          </w:tbl>
          <w:p w14:paraId="6C549428">
            <w:pPr>
              <w:tabs>
                <w:tab w:val="left" w:pos="720"/>
              </w:tabs>
              <w:adjustRightInd w:val="0"/>
              <w:snapToGrid w:val="0"/>
              <w:spacing w:line="360" w:lineRule="auto"/>
              <w:ind w:firstLine="480" w:firstLineChars="200"/>
              <w:rPr>
                <w:color w:val="auto"/>
                <w:sz w:val="24"/>
              </w:rPr>
            </w:pPr>
            <w:r>
              <w:rPr>
                <w:rFonts w:hint="eastAsia"/>
                <w:bCs/>
                <w:color w:val="auto"/>
                <w:sz w:val="24"/>
              </w:rPr>
              <w:t>原料匹配性分析：由于企业产品高端展示道具均根据客户需要定制，因此原料匹配性分析主要以木制品主体材料的量进行匹配分析，根据企业原辅料木制组件多层板主要规格为1220mm*2440mm*12mm，密度板主要规格为1220mm*2440mm*12mm，且多层板年用量10000张，密度板年用量9000张，可得木板材原料面积约为57500m</w:t>
            </w:r>
            <w:r>
              <w:rPr>
                <w:rFonts w:hint="eastAsia"/>
                <w:bCs/>
                <w:color w:val="auto"/>
                <w:sz w:val="24"/>
                <w:vertAlign w:val="superscript"/>
              </w:rPr>
              <w:t>2</w:t>
            </w:r>
            <w:r>
              <w:rPr>
                <w:rFonts w:hint="eastAsia"/>
                <w:bCs/>
                <w:color w:val="auto"/>
                <w:sz w:val="24"/>
              </w:rPr>
              <w:t>，根据企业订单情况可知，较常见的使用规格为0.5</w:t>
            </w:r>
            <w:r>
              <w:rPr>
                <w:rFonts w:hint="eastAsia"/>
                <w:bCs/>
                <w:color w:val="auto"/>
                <w:sz w:val="24"/>
                <w:lang w:eastAsia="zh-CN"/>
              </w:rPr>
              <w:t>平方米</w:t>
            </w:r>
            <w:r>
              <w:rPr>
                <w:rFonts w:hint="eastAsia"/>
                <w:bCs/>
                <w:color w:val="auto"/>
                <w:sz w:val="24"/>
              </w:rPr>
              <w:t>/套，因此57500/0.5=115000套/年，可以满足设计能力10万套/年。</w:t>
            </w:r>
          </w:p>
          <w:p w14:paraId="61CC27BD">
            <w:pPr>
              <w:tabs>
                <w:tab w:val="left" w:pos="720"/>
              </w:tabs>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主要原辅材料理化性质、毒性毒理</w:t>
            </w:r>
          </w:p>
          <w:p w14:paraId="759BF4F6">
            <w:pPr>
              <w:keepNext/>
              <w:adjustRightInd w:val="0"/>
              <w:snapToGrid w:val="0"/>
              <w:jc w:val="center"/>
              <w:rPr>
                <w:b/>
                <w:color w:val="auto"/>
              </w:rPr>
            </w:pPr>
            <w:r>
              <w:rPr>
                <w:b/>
                <w:color w:val="auto"/>
                <w:sz w:val="24"/>
                <w:szCs w:val="32"/>
              </w:rPr>
              <w:t>表2-5  本项目主要原辅材料理化性质、毒性毒理</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491"/>
              <w:gridCol w:w="3315"/>
              <w:gridCol w:w="980"/>
              <w:gridCol w:w="3479"/>
            </w:tblGrid>
            <w:tr w14:paraId="34157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blHeader/>
                <w:jc w:val="center"/>
              </w:trPr>
              <w:tc>
                <w:tcPr>
                  <w:tcW w:w="491" w:type="dxa"/>
                  <w:tcBorders>
                    <w:top w:val="single" w:color="auto" w:sz="12" w:space="0"/>
                    <w:bottom w:val="single" w:color="auto" w:sz="12" w:space="0"/>
                  </w:tcBorders>
                  <w:vAlign w:val="center"/>
                </w:tcPr>
                <w:p w14:paraId="65BFBB85">
                  <w:pPr>
                    <w:pStyle w:val="477"/>
                    <w:spacing w:after="0"/>
                    <w:rPr>
                      <w:b/>
                      <w:color w:val="auto"/>
                      <w:szCs w:val="21"/>
                    </w:rPr>
                  </w:pPr>
                  <w:r>
                    <w:rPr>
                      <w:b/>
                      <w:color w:val="auto"/>
                      <w:szCs w:val="21"/>
                    </w:rPr>
                    <w:t>名称</w:t>
                  </w:r>
                </w:p>
              </w:tc>
              <w:tc>
                <w:tcPr>
                  <w:tcW w:w="3315" w:type="dxa"/>
                  <w:tcBorders>
                    <w:top w:val="single" w:color="auto" w:sz="12" w:space="0"/>
                    <w:bottom w:val="single" w:color="auto" w:sz="12" w:space="0"/>
                  </w:tcBorders>
                  <w:vAlign w:val="center"/>
                </w:tcPr>
                <w:p w14:paraId="1E5A4384">
                  <w:pPr>
                    <w:pStyle w:val="477"/>
                    <w:spacing w:after="0"/>
                    <w:rPr>
                      <w:b/>
                      <w:color w:val="auto"/>
                      <w:szCs w:val="21"/>
                    </w:rPr>
                  </w:pPr>
                  <w:r>
                    <w:rPr>
                      <w:b/>
                      <w:color w:val="auto"/>
                      <w:szCs w:val="21"/>
                    </w:rPr>
                    <w:t>物化特性</w:t>
                  </w:r>
                </w:p>
              </w:tc>
              <w:tc>
                <w:tcPr>
                  <w:tcW w:w="980" w:type="dxa"/>
                  <w:tcBorders>
                    <w:top w:val="single" w:color="auto" w:sz="12" w:space="0"/>
                    <w:bottom w:val="single" w:color="auto" w:sz="12" w:space="0"/>
                  </w:tcBorders>
                  <w:vAlign w:val="center"/>
                </w:tcPr>
                <w:p w14:paraId="74FFC97A">
                  <w:pPr>
                    <w:pStyle w:val="477"/>
                    <w:spacing w:after="0"/>
                    <w:rPr>
                      <w:b/>
                      <w:color w:val="auto"/>
                      <w:szCs w:val="21"/>
                    </w:rPr>
                  </w:pPr>
                  <w:r>
                    <w:rPr>
                      <w:b/>
                      <w:color w:val="auto"/>
                      <w:szCs w:val="21"/>
                    </w:rPr>
                    <w:t>燃烧爆炸性</w:t>
                  </w:r>
                </w:p>
              </w:tc>
              <w:tc>
                <w:tcPr>
                  <w:tcW w:w="3479" w:type="dxa"/>
                  <w:tcBorders>
                    <w:top w:val="single" w:color="auto" w:sz="12" w:space="0"/>
                    <w:bottom w:val="single" w:color="auto" w:sz="12" w:space="0"/>
                  </w:tcBorders>
                  <w:vAlign w:val="center"/>
                </w:tcPr>
                <w:p w14:paraId="5BCF92E2">
                  <w:pPr>
                    <w:pStyle w:val="477"/>
                    <w:spacing w:after="0"/>
                    <w:rPr>
                      <w:b/>
                      <w:color w:val="auto"/>
                      <w:szCs w:val="21"/>
                    </w:rPr>
                  </w:pPr>
                  <w:r>
                    <w:rPr>
                      <w:b/>
                      <w:color w:val="auto"/>
                      <w:szCs w:val="21"/>
                    </w:rPr>
                    <w:t>毒性毒理</w:t>
                  </w:r>
                </w:p>
              </w:tc>
            </w:tr>
            <w:tr w14:paraId="361D26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4126E523">
                  <w:pPr>
                    <w:adjustRightInd w:val="0"/>
                    <w:snapToGrid w:val="0"/>
                    <w:jc w:val="center"/>
                    <w:rPr>
                      <w:color w:val="auto"/>
                      <w:szCs w:val="21"/>
                    </w:rPr>
                  </w:pPr>
                  <w:r>
                    <w:rPr>
                      <w:color w:val="auto"/>
                      <w:szCs w:val="21"/>
                    </w:rPr>
                    <w:t>石材胶粘剂</w:t>
                  </w:r>
                </w:p>
              </w:tc>
              <w:tc>
                <w:tcPr>
                  <w:tcW w:w="3315" w:type="dxa"/>
                  <w:tcBorders>
                    <w:top w:val="single" w:color="auto" w:sz="12" w:space="0"/>
                    <w:bottom w:val="single" w:color="auto" w:sz="12" w:space="0"/>
                  </w:tcBorders>
                  <w:vAlign w:val="center"/>
                </w:tcPr>
                <w:p w14:paraId="7847C945">
                  <w:pPr>
                    <w:pStyle w:val="1923"/>
                    <w:rPr>
                      <w:rFonts w:ascii="Times New Roman" w:hAnsi="Times New Roman" w:cs="Times New Roman"/>
                      <w:color w:val="auto"/>
                      <w:sz w:val="21"/>
                      <w:szCs w:val="21"/>
                    </w:rPr>
                  </w:pPr>
                  <w:r>
                    <w:rPr>
                      <w:rFonts w:ascii="Times New Roman" w:hAnsi="Times New Roman" w:cs="Times New Roman"/>
                      <w:color w:val="auto"/>
                      <w:sz w:val="21"/>
                      <w:szCs w:val="21"/>
                      <w:lang w:val="en-US"/>
                    </w:rPr>
                    <w:t>为AB胶，</w:t>
                  </w:r>
                  <w:r>
                    <w:rPr>
                      <w:rFonts w:ascii="Times New Roman" w:hAnsi="Times New Roman" w:cs="Times New Roman"/>
                      <w:color w:val="auto"/>
                      <w:sz w:val="21"/>
                      <w:szCs w:val="21"/>
                    </w:rPr>
                    <w:t>A胶包括</w:t>
                  </w:r>
                  <w:r>
                    <w:rPr>
                      <w:rFonts w:ascii="Times New Roman" w:hAnsi="Times New Roman" w:cs="Times New Roman"/>
                      <w:color w:val="auto"/>
                      <w:sz w:val="21"/>
                      <w:szCs w:val="21"/>
                      <w:lang w:val="en-US"/>
                    </w:rPr>
                    <w:t>30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60%</w:t>
                  </w:r>
                  <w:r>
                    <w:rPr>
                      <w:rFonts w:ascii="Times New Roman" w:hAnsi="Times New Roman" w:cs="Times New Roman"/>
                      <w:color w:val="auto"/>
                      <w:sz w:val="21"/>
                      <w:szCs w:val="21"/>
                    </w:rPr>
                    <w:t>丙烯酸塑料、</w:t>
                  </w:r>
                  <w:r>
                    <w:rPr>
                      <w:rFonts w:ascii="Times New Roman" w:hAnsi="Times New Roman" w:cs="Times New Roman"/>
                      <w:color w:val="auto"/>
                      <w:sz w:val="21"/>
                      <w:szCs w:val="21"/>
                      <w:lang w:val="en-US"/>
                    </w:rPr>
                    <w:t>30%</w:t>
                  </w:r>
                  <w:r>
                    <w:rPr>
                      <w:rFonts w:ascii="Times New Roman" w:hAnsi="Times New Roman" w:cs="Times New Roman"/>
                      <w:color w:val="auto"/>
                      <w:sz w:val="21"/>
                      <w:szCs w:val="21"/>
                    </w:rPr>
                    <w:t>氢氧化铝、</w:t>
                  </w:r>
                  <w:r>
                    <w:rPr>
                      <w:rFonts w:ascii="Times New Roman" w:hAnsi="Times New Roman" w:cs="Times New Roman"/>
                      <w:color w:val="auto"/>
                      <w:sz w:val="21"/>
                      <w:szCs w:val="21"/>
                      <w:lang w:val="en-US"/>
                    </w:rPr>
                    <w:t>10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20%</w:t>
                  </w:r>
                  <w:r>
                    <w:rPr>
                      <w:rFonts w:ascii="Times New Roman" w:hAnsi="Times New Roman" w:cs="Times New Roman"/>
                      <w:color w:val="auto"/>
                      <w:sz w:val="21"/>
                      <w:szCs w:val="21"/>
                    </w:rPr>
                    <w:t>甲基丙烯酸甲酯、</w:t>
                  </w:r>
                  <w:r>
                    <w:rPr>
                      <w:rFonts w:ascii="Times New Roman" w:hAnsi="Times New Roman" w:cs="Times New Roman"/>
                      <w:color w:val="auto"/>
                      <w:sz w:val="21"/>
                      <w:szCs w:val="21"/>
                      <w:lang w:val="en-US"/>
                    </w:rPr>
                    <w:t>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10%</w:t>
                  </w:r>
                  <w:r>
                    <w:rPr>
                      <w:rFonts w:ascii="Times New Roman" w:hAnsi="Times New Roman" w:cs="Times New Roman"/>
                      <w:color w:val="auto"/>
                      <w:sz w:val="21"/>
                      <w:szCs w:val="21"/>
                    </w:rPr>
                    <w:t>甲基丙烯酸叔丁酯、</w:t>
                  </w:r>
                  <w:r>
                    <w:rPr>
                      <w:rFonts w:ascii="Times New Roman" w:hAnsi="Times New Roman" w:cs="Times New Roman"/>
                      <w:color w:val="auto"/>
                      <w:sz w:val="21"/>
                      <w:szCs w:val="21"/>
                      <w:lang w:val="en-US"/>
                    </w:rPr>
                    <w:t>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10%</w:t>
                  </w:r>
                  <w:r>
                    <w:rPr>
                      <w:rFonts w:ascii="Times New Roman" w:hAnsi="Times New Roman" w:cs="Times New Roman"/>
                      <w:color w:val="auto"/>
                      <w:sz w:val="21"/>
                      <w:szCs w:val="21"/>
                    </w:rPr>
                    <w:t>二氧化硅、</w:t>
                  </w:r>
                  <w:r>
                    <w:rPr>
                      <w:rFonts w:ascii="Times New Roman" w:hAnsi="Times New Roman" w:cs="Times New Roman"/>
                      <w:color w:val="auto"/>
                      <w:sz w:val="21"/>
                      <w:szCs w:val="21"/>
                      <w:lang w:val="en-US"/>
                    </w:rPr>
                    <w:t>＞3%</w:t>
                  </w:r>
                  <w:r>
                    <w:rPr>
                      <w:rFonts w:ascii="Times New Roman" w:hAnsi="Times New Roman" w:cs="Times New Roman"/>
                      <w:color w:val="auto"/>
                      <w:sz w:val="21"/>
                      <w:szCs w:val="21"/>
                    </w:rPr>
                    <w:t>颜料；B胶包括</w:t>
                  </w:r>
                  <w:r>
                    <w:rPr>
                      <w:rFonts w:ascii="Times New Roman" w:hAnsi="Times New Roman" w:cs="Times New Roman"/>
                      <w:color w:val="auto"/>
                      <w:sz w:val="21"/>
                      <w:szCs w:val="21"/>
                      <w:lang w:val="en-US"/>
                    </w:rPr>
                    <w:t>＜89%</w:t>
                  </w:r>
                  <w:r>
                    <w:rPr>
                      <w:rFonts w:ascii="Times New Roman" w:hAnsi="Times New Roman" w:cs="Times New Roman"/>
                      <w:color w:val="auto"/>
                      <w:sz w:val="21"/>
                      <w:szCs w:val="21"/>
                    </w:rPr>
                    <w:t>聚醋酸乙烯酯、</w:t>
                  </w:r>
                  <w:r>
                    <w:rPr>
                      <w:rFonts w:ascii="Times New Roman" w:hAnsi="Times New Roman" w:cs="Times New Roman"/>
                      <w:color w:val="auto"/>
                      <w:sz w:val="21"/>
                      <w:szCs w:val="21"/>
                      <w:lang w:val="en-US"/>
                    </w:rPr>
                    <w:t>大于11%</w:t>
                  </w:r>
                  <w:r>
                    <w:rPr>
                      <w:rFonts w:ascii="Times New Roman" w:hAnsi="Times New Roman" w:cs="Times New Roman"/>
                      <w:color w:val="auto"/>
                      <w:sz w:val="21"/>
                      <w:szCs w:val="21"/>
                    </w:rPr>
                    <w:t>二氧化硅；</w:t>
                  </w:r>
                </w:p>
                <w:p w14:paraId="7862C98D">
                  <w:pPr>
                    <w:pStyle w:val="1923"/>
                    <w:rPr>
                      <w:rFonts w:ascii="Times New Roman" w:hAnsi="Times New Roman" w:cs="Times New Roman"/>
                      <w:color w:val="auto"/>
                      <w:sz w:val="21"/>
                      <w:szCs w:val="21"/>
                    </w:rPr>
                  </w:pPr>
                  <w:r>
                    <w:rPr>
                      <w:rFonts w:ascii="Times New Roman" w:hAnsi="Times New Roman" w:cs="Times New Roman"/>
                      <w:color w:val="auto"/>
                      <w:sz w:val="21"/>
                      <w:szCs w:val="21"/>
                      <w:lang w:val="en-US"/>
                    </w:rPr>
                    <w:t>A胶刺鼻，B胶无明显气味；熔点：-48℃，初沸点：101℃，闭杯闪点大于100℃</w:t>
                  </w:r>
                  <w:r>
                    <w:rPr>
                      <w:rFonts w:ascii="Times New Roman" w:hAnsi="Times New Roman" w:cs="Times New Roman"/>
                      <w:color w:val="auto"/>
                      <w:sz w:val="21"/>
                      <w:szCs w:val="21"/>
                    </w:rPr>
                    <w:t>。</w:t>
                  </w:r>
                </w:p>
              </w:tc>
              <w:tc>
                <w:tcPr>
                  <w:tcW w:w="980" w:type="dxa"/>
                  <w:tcBorders>
                    <w:top w:val="single" w:color="auto" w:sz="12" w:space="0"/>
                    <w:bottom w:val="single" w:color="auto" w:sz="12" w:space="0"/>
                  </w:tcBorders>
                  <w:vAlign w:val="center"/>
                </w:tcPr>
                <w:p w14:paraId="7811D0A4">
                  <w:pPr>
                    <w:jc w:val="center"/>
                    <w:rPr>
                      <w:color w:val="auto"/>
                      <w:szCs w:val="21"/>
                    </w:rPr>
                  </w:pPr>
                  <w:r>
                    <w:rPr>
                      <w:color w:val="auto"/>
                      <w:szCs w:val="21"/>
                    </w:rPr>
                    <w:t>不易燃，无特殊燃爆特性</w:t>
                  </w:r>
                </w:p>
              </w:tc>
              <w:tc>
                <w:tcPr>
                  <w:tcW w:w="3479" w:type="dxa"/>
                  <w:tcBorders>
                    <w:top w:val="single" w:color="auto" w:sz="12" w:space="0"/>
                    <w:bottom w:val="single" w:color="auto" w:sz="12" w:space="0"/>
                  </w:tcBorders>
                  <w:vAlign w:val="center"/>
                </w:tcPr>
                <w:p w14:paraId="76155903">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吸入：可能造成呼吸刺激；</w:t>
                  </w:r>
                </w:p>
                <w:p w14:paraId="70B50F42">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食入：腹痛、呕吐；</w:t>
                  </w:r>
                </w:p>
                <w:p w14:paraId="1DCD18D0">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皮肤接触：引起皮肤刺激。可能导致</w:t>
                  </w:r>
                  <w:r>
                    <w:rPr>
                      <w:rFonts w:hint="eastAsia" w:ascii="Times New Roman" w:hAnsi="Times New Roman" w:cs="Times New Roman"/>
                      <w:color w:val="auto"/>
                      <w:sz w:val="21"/>
                      <w:szCs w:val="21"/>
                      <w:lang w:val="en-US" w:eastAsia="zh-CN"/>
                    </w:rPr>
                    <w:t>皮肤过敏</w:t>
                  </w:r>
                  <w:r>
                    <w:rPr>
                      <w:rFonts w:ascii="Times New Roman" w:hAnsi="Times New Roman" w:cs="Times New Roman"/>
                      <w:color w:val="auto"/>
                      <w:sz w:val="21"/>
                      <w:szCs w:val="21"/>
                      <w:lang w:val="en-US"/>
                    </w:rPr>
                    <w:t>反应；</w:t>
                  </w:r>
                </w:p>
                <w:p w14:paraId="41CE9CAF">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眼睛接触：发红、疼痛、流泪。</w:t>
                  </w:r>
                </w:p>
              </w:tc>
            </w:tr>
            <w:tr w14:paraId="6270B9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F6411F3">
                  <w:pPr>
                    <w:adjustRightInd w:val="0"/>
                    <w:snapToGrid w:val="0"/>
                    <w:jc w:val="center"/>
                    <w:rPr>
                      <w:color w:val="auto"/>
                      <w:szCs w:val="21"/>
                    </w:rPr>
                  </w:pPr>
                  <w:r>
                    <w:rPr>
                      <w:color w:val="auto"/>
                      <w:szCs w:val="21"/>
                    </w:rPr>
                    <w:t>PVC封边条</w:t>
                  </w:r>
                </w:p>
              </w:tc>
              <w:tc>
                <w:tcPr>
                  <w:tcW w:w="3315" w:type="dxa"/>
                  <w:tcBorders>
                    <w:top w:val="single" w:color="auto" w:sz="12" w:space="0"/>
                    <w:bottom w:val="single" w:color="auto" w:sz="12" w:space="0"/>
                  </w:tcBorders>
                  <w:vAlign w:val="center"/>
                </w:tcPr>
                <w:p w14:paraId="7B7ECC1D">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主要成分为聚氯乙烯（PVC），并添加增塑剂、稳定剂、颜料等助剂；密度：1.38</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1.45g/cm³，硬度：较软，具有良好的柔韧性，耐热性：较差，长期使用温度不超过60℃，耐化学性：耐酸、碱、盐等腐蚀。</w:t>
                  </w:r>
                </w:p>
              </w:tc>
              <w:tc>
                <w:tcPr>
                  <w:tcW w:w="980" w:type="dxa"/>
                  <w:tcBorders>
                    <w:top w:val="single" w:color="auto" w:sz="12" w:space="0"/>
                    <w:bottom w:val="single" w:color="auto" w:sz="12" w:space="0"/>
                  </w:tcBorders>
                  <w:vAlign w:val="center"/>
                </w:tcPr>
                <w:p w14:paraId="3C868DFA">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077F27F8">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在高温或燃烧时释放氯化氢（HCl）、二噁英等有毒气体，对呼吸系统和皮肤有强烈刺激作用。</w:t>
                  </w:r>
                </w:p>
              </w:tc>
            </w:tr>
            <w:tr w14:paraId="03063D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2FBA2C3">
                  <w:pPr>
                    <w:adjustRightInd w:val="0"/>
                    <w:snapToGrid w:val="0"/>
                    <w:jc w:val="center"/>
                    <w:rPr>
                      <w:color w:val="auto"/>
                      <w:szCs w:val="21"/>
                    </w:rPr>
                  </w:pPr>
                  <w:r>
                    <w:rPr>
                      <w:color w:val="auto"/>
                      <w:szCs w:val="21"/>
                    </w:rPr>
                    <w:t>封边胶</w:t>
                  </w:r>
                </w:p>
              </w:tc>
              <w:tc>
                <w:tcPr>
                  <w:tcW w:w="3315" w:type="dxa"/>
                  <w:tcBorders>
                    <w:top w:val="single" w:color="auto" w:sz="12" w:space="0"/>
                    <w:bottom w:val="single" w:color="auto" w:sz="12" w:space="0"/>
                  </w:tcBorders>
                  <w:vAlign w:val="center"/>
                </w:tcPr>
                <w:p w14:paraId="4ADD8975">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本项目使用封边胶为热熔胶，由二苯基甲烷二异氰酸酯、聚醚多元醇、聚酯多元醇组成，为固体不透明状态，白色无味。</w:t>
                  </w:r>
                </w:p>
              </w:tc>
              <w:tc>
                <w:tcPr>
                  <w:tcW w:w="980" w:type="dxa"/>
                  <w:tcBorders>
                    <w:top w:val="single" w:color="auto" w:sz="12" w:space="0"/>
                    <w:bottom w:val="single" w:color="auto" w:sz="12" w:space="0"/>
                  </w:tcBorders>
                  <w:vAlign w:val="center"/>
                </w:tcPr>
                <w:p w14:paraId="7D5A8CE3">
                  <w:pPr>
                    <w:jc w:val="center"/>
                    <w:rPr>
                      <w:color w:val="auto"/>
                      <w:szCs w:val="21"/>
                    </w:rPr>
                  </w:pPr>
                  <w:r>
                    <w:rPr>
                      <w:color w:val="auto"/>
                      <w:szCs w:val="21"/>
                    </w:rPr>
                    <w:t>/</w:t>
                  </w:r>
                </w:p>
              </w:tc>
              <w:tc>
                <w:tcPr>
                  <w:tcW w:w="3479" w:type="dxa"/>
                  <w:tcBorders>
                    <w:top w:val="single" w:color="auto" w:sz="12" w:space="0"/>
                    <w:bottom w:val="single" w:color="auto" w:sz="12" w:space="0"/>
                  </w:tcBorders>
                  <w:vAlign w:val="center"/>
                </w:tcPr>
                <w:p w14:paraId="55BC314C">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根据已知或提供的信息，本品不存在急性毒性危害</w:t>
                  </w:r>
                </w:p>
              </w:tc>
            </w:tr>
            <w:tr w14:paraId="7B96A9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581F2068">
                  <w:pPr>
                    <w:adjustRightInd w:val="0"/>
                    <w:snapToGrid w:val="0"/>
                    <w:jc w:val="center"/>
                    <w:rPr>
                      <w:color w:val="auto"/>
                      <w:szCs w:val="21"/>
                    </w:rPr>
                  </w:pPr>
                  <w:r>
                    <w:rPr>
                      <w:color w:val="auto"/>
                      <w:szCs w:val="21"/>
                    </w:rPr>
                    <w:t>白乳胶</w:t>
                  </w:r>
                </w:p>
              </w:tc>
              <w:tc>
                <w:tcPr>
                  <w:tcW w:w="3315" w:type="dxa"/>
                  <w:tcBorders>
                    <w:top w:val="single" w:color="auto" w:sz="12" w:space="0"/>
                    <w:bottom w:val="single" w:color="auto" w:sz="12" w:space="0"/>
                  </w:tcBorders>
                  <w:vAlign w:val="center"/>
                </w:tcPr>
                <w:p w14:paraId="06DB69CE">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由68%聚醋酸乙烯乳液、22%乙烯醋酸乙烯乳液、10%聚乙烯醇组成，是一种常用</w:t>
                  </w:r>
                  <w:r>
                    <w:rPr>
                      <w:rFonts w:hint="eastAsia" w:ascii="Times New Roman" w:hAnsi="Times New Roman" w:cs="Times New Roman"/>
                      <w:color w:val="auto"/>
                      <w:sz w:val="21"/>
                      <w:szCs w:val="21"/>
                      <w:lang w:val="en-US" w:eastAsia="zh-CN"/>
                    </w:rPr>
                    <w:t>的黏合剂</w:t>
                  </w:r>
                  <w:r>
                    <w:rPr>
                      <w:rFonts w:ascii="Times New Roman" w:hAnsi="Times New Roman" w:cs="Times New Roman"/>
                      <w:color w:val="auto"/>
                      <w:sz w:val="21"/>
                      <w:szCs w:val="21"/>
                      <w:lang w:val="en-US"/>
                    </w:rPr>
                    <w:t>，外观为乳白色液体</w:t>
                  </w:r>
                </w:p>
              </w:tc>
              <w:tc>
                <w:tcPr>
                  <w:tcW w:w="980" w:type="dxa"/>
                  <w:tcBorders>
                    <w:top w:val="single" w:color="auto" w:sz="12" w:space="0"/>
                    <w:bottom w:val="single" w:color="auto" w:sz="12" w:space="0"/>
                  </w:tcBorders>
                  <w:vAlign w:val="center"/>
                </w:tcPr>
                <w:p w14:paraId="0432C10F">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3229D199">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小白鼠口服10g/kg无急性中毒</w:t>
                  </w:r>
                </w:p>
              </w:tc>
            </w:tr>
            <w:tr w14:paraId="5687F6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678860AE">
                  <w:pPr>
                    <w:adjustRightInd w:val="0"/>
                    <w:snapToGrid w:val="0"/>
                    <w:jc w:val="center"/>
                    <w:rPr>
                      <w:color w:val="auto"/>
                      <w:szCs w:val="21"/>
                    </w:rPr>
                  </w:pPr>
                  <w:r>
                    <w:rPr>
                      <w:color w:val="auto"/>
                      <w:szCs w:val="21"/>
                    </w:rPr>
                    <w:t>水性漆</w:t>
                  </w:r>
                </w:p>
              </w:tc>
              <w:tc>
                <w:tcPr>
                  <w:tcW w:w="3315" w:type="dxa"/>
                  <w:tcBorders>
                    <w:top w:val="single" w:color="auto" w:sz="12" w:space="0"/>
                    <w:bottom w:val="single" w:color="auto" w:sz="12" w:space="0"/>
                  </w:tcBorders>
                  <w:vAlign w:val="center"/>
                </w:tcPr>
                <w:p w14:paraId="5C036BF0">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由60%水溶性丙烯酸乳液、25%钛白粉、10%纯水、5%助剂组成，外观为</w:t>
                  </w:r>
                  <w:r>
                    <w:rPr>
                      <w:rFonts w:hint="eastAsia" w:ascii="Times New Roman" w:hAnsi="Times New Roman" w:cs="Times New Roman"/>
                      <w:color w:val="auto"/>
                      <w:sz w:val="21"/>
                      <w:szCs w:val="21"/>
                      <w:lang w:val="en-US" w:eastAsia="zh-CN"/>
                    </w:rPr>
                    <w:t>黏稠</w:t>
                  </w:r>
                  <w:r>
                    <w:rPr>
                      <w:rFonts w:ascii="Times New Roman" w:hAnsi="Times New Roman" w:cs="Times New Roman"/>
                      <w:color w:val="auto"/>
                      <w:sz w:val="21"/>
                      <w:szCs w:val="21"/>
                      <w:lang w:val="en-US"/>
                    </w:rPr>
                    <w:t>状液体，无刺激性气味，pH：7-9，沸点约100℃，可以与水以任意比例混溶。</w:t>
                  </w:r>
                </w:p>
              </w:tc>
              <w:tc>
                <w:tcPr>
                  <w:tcW w:w="980" w:type="dxa"/>
                  <w:tcBorders>
                    <w:top w:val="single" w:color="auto" w:sz="12" w:space="0"/>
                    <w:bottom w:val="single" w:color="auto" w:sz="12" w:space="0"/>
                  </w:tcBorders>
                  <w:vAlign w:val="center"/>
                </w:tcPr>
                <w:p w14:paraId="50F5A796">
                  <w:pPr>
                    <w:jc w:val="center"/>
                    <w:rPr>
                      <w:color w:val="auto"/>
                      <w:szCs w:val="21"/>
                    </w:rPr>
                  </w:pPr>
                  <w:r>
                    <w:rPr>
                      <w:color w:val="auto"/>
                      <w:szCs w:val="21"/>
                    </w:rPr>
                    <w:t>无资料</w:t>
                  </w:r>
                </w:p>
              </w:tc>
              <w:tc>
                <w:tcPr>
                  <w:tcW w:w="3479" w:type="dxa"/>
                  <w:tcBorders>
                    <w:top w:val="single" w:color="auto" w:sz="12" w:space="0"/>
                    <w:bottom w:val="single" w:color="auto" w:sz="12" w:space="0"/>
                  </w:tcBorders>
                  <w:vAlign w:val="center"/>
                </w:tcPr>
                <w:p w14:paraId="6896BB43">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无相关资料</w:t>
                  </w:r>
                </w:p>
              </w:tc>
            </w:tr>
            <w:tr w14:paraId="6ED9DA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5FA3259A">
                  <w:pPr>
                    <w:adjustRightInd w:val="0"/>
                    <w:snapToGrid w:val="0"/>
                    <w:jc w:val="center"/>
                    <w:rPr>
                      <w:color w:val="auto"/>
                      <w:szCs w:val="21"/>
                    </w:rPr>
                  </w:pPr>
                  <w:r>
                    <w:rPr>
                      <w:color w:val="auto"/>
                      <w:szCs w:val="21"/>
                    </w:rPr>
                    <w:t>油性漆</w:t>
                  </w:r>
                </w:p>
              </w:tc>
              <w:tc>
                <w:tcPr>
                  <w:tcW w:w="3315" w:type="dxa"/>
                  <w:tcBorders>
                    <w:top w:val="single" w:color="auto" w:sz="12" w:space="0"/>
                    <w:bottom w:val="single" w:color="auto" w:sz="12" w:space="0"/>
                  </w:tcBorders>
                  <w:vAlign w:val="center"/>
                </w:tcPr>
                <w:p w14:paraId="14653386">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由75%醇酸树脂、16%滑石粉、8%醋酸丁酯、0.5%消泡剂、0.5%流平剂组成，外观为液体油漆，有刺激性气味，不溶于水。</w:t>
                  </w:r>
                </w:p>
              </w:tc>
              <w:tc>
                <w:tcPr>
                  <w:tcW w:w="980" w:type="dxa"/>
                  <w:tcBorders>
                    <w:top w:val="single" w:color="auto" w:sz="12" w:space="0"/>
                    <w:bottom w:val="single" w:color="auto" w:sz="12" w:space="0"/>
                  </w:tcBorders>
                  <w:vAlign w:val="center"/>
                </w:tcPr>
                <w:p w14:paraId="54FFA720">
                  <w:pPr>
                    <w:jc w:val="center"/>
                    <w:rPr>
                      <w:color w:val="auto"/>
                      <w:szCs w:val="21"/>
                    </w:rPr>
                  </w:pPr>
                  <w:r>
                    <w:rPr>
                      <w:color w:val="auto"/>
                      <w:kern w:val="0"/>
                      <w:szCs w:val="21"/>
                      <w:lang w:bidi="zh-CN"/>
                    </w:rPr>
                    <w:t>醋酸丁酯易燃</w:t>
                  </w:r>
                </w:p>
              </w:tc>
              <w:tc>
                <w:tcPr>
                  <w:tcW w:w="3479" w:type="dxa"/>
                  <w:tcBorders>
                    <w:top w:val="single" w:color="auto" w:sz="12" w:space="0"/>
                    <w:bottom w:val="single" w:color="auto" w:sz="12" w:space="0"/>
                  </w:tcBorders>
                  <w:vAlign w:val="center"/>
                </w:tcPr>
                <w:p w14:paraId="570AA830">
                  <w:pPr>
                    <w:widowControl/>
                    <w:jc w:val="left"/>
                    <w:rPr>
                      <w:color w:val="auto"/>
                      <w:szCs w:val="21"/>
                    </w:rPr>
                  </w:pPr>
                  <w:r>
                    <w:rPr>
                      <w:color w:val="auto"/>
                      <w:kern w:val="0"/>
                      <w:szCs w:val="21"/>
                      <w:lang w:bidi="zh-CN"/>
                    </w:rPr>
                    <w:t>醋酸丁酯：经口，大鼠（LD</w:t>
                  </w:r>
                  <w:r>
                    <w:rPr>
                      <w:color w:val="auto"/>
                      <w:kern w:val="0"/>
                      <w:szCs w:val="21"/>
                      <w:vertAlign w:val="subscript"/>
                      <w:lang w:bidi="zh-CN"/>
                    </w:rPr>
                    <w:t>50</w:t>
                  </w:r>
                  <w:r>
                    <w:rPr>
                      <w:color w:val="auto"/>
                      <w:kern w:val="0"/>
                      <w:szCs w:val="21"/>
                      <w:lang w:bidi="zh-CN"/>
                    </w:rPr>
                    <w:t>）470mg/kg；吸入，大鼠（LC</w:t>
                  </w:r>
                  <w:r>
                    <w:rPr>
                      <w:color w:val="auto"/>
                      <w:kern w:val="0"/>
                      <w:szCs w:val="21"/>
                      <w:vertAlign w:val="subscript"/>
                      <w:lang w:bidi="zh-CN"/>
                    </w:rPr>
                    <w:t>50</w:t>
                  </w:r>
                  <w:r>
                    <w:rPr>
                      <w:color w:val="auto"/>
                      <w:kern w:val="0"/>
                      <w:szCs w:val="21"/>
                      <w:lang w:bidi="zh-CN"/>
                    </w:rPr>
                    <w:t>）217mg/l/4h；经皮，兔子（LD</w:t>
                  </w:r>
                  <w:r>
                    <w:rPr>
                      <w:color w:val="auto"/>
                      <w:kern w:val="0"/>
                      <w:szCs w:val="21"/>
                      <w:vertAlign w:val="subscript"/>
                      <w:lang w:bidi="zh-CN"/>
                    </w:rPr>
                    <w:t>50</w:t>
                  </w:r>
                  <w:r>
                    <w:rPr>
                      <w:color w:val="auto"/>
                      <w:kern w:val="0"/>
                      <w:szCs w:val="21"/>
                      <w:lang w:bidi="zh-CN"/>
                    </w:rPr>
                    <w:t>）220mg/kg</w:t>
                  </w:r>
                </w:p>
              </w:tc>
            </w:tr>
            <w:tr w14:paraId="1F3DD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614E7FBD">
                  <w:pPr>
                    <w:adjustRightInd w:val="0"/>
                    <w:snapToGrid w:val="0"/>
                    <w:jc w:val="center"/>
                    <w:rPr>
                      <w:color w:val="auto"/>
                      <w:szCs w:val="21"/>
                    </w:rPr>
                  </w:pPr>
                  <w:r>
                    <w:rPr>
                      <w:color w:val="auto"/>
                      <w:szCs w:val="21"/>
                    </w:rPr>
                    <w:t>稀释剂</w:t>
                  </w:r>
                </w:p>
              </w:tc>
              <w:tc>
                <w:tcPr>
                  <w:tcW w:w="3315" w:type="dxa"/>
                  <w:tcBorders>
                    <w:top w:val="single" w:color="auto" w:sz="12" w:space="0"/>
                    <w:bottom w:val="single" w:color="auto" w:sz="12" w:space="0"/>
                  </w:tcBorders>
                  <w:vAlign w:val="center"/>
                </w:tcPr>
                <w:p w14:paraId="4BCB3F5F">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由30%醋酸丁酯、25%丙二醇甲醚醋酸酯、15%二甲苯、15%</w:t>
                  </w:r>
                  <w:r>
                    <w:rPr>
                      <w:rFonts w:hint="eastAsia" w:ascii="Times New Roman" w:hAnsi="Times New Roman" w:cs="Times New Roman"/>
                      <w:color w:val="auto"/>
                      <w:sz w:val="21"/>
                      <w:szCs w:val="21"/>
                      <w:lang w:val="en-US" w:eastAsia="zh-CN"/>
                    </w:rPr>
                    <w:t>环己酮</w:t>
                  </w:r>
                  <w:r>
                    <w:rPr>
                      <w:rFonts w:ascii="Times New Roman" w:hAnsi="Times New Roman" w:cs="Times New Roman"/>
                      <w:color w:val="auto"/>
                      <w:sz w:val="21"/>
                      <w:szCs w:val="21"/>
                      <w:lang w:val="en-US"/>
                    </w:rPr>
                    <w:t>、15%碳酸二甲酯组成，外观为液体油漆，有刺激性气味，不溶于水。</w:t>
                  </w:r>
                </w:p>
              </w:tc>
              <w:tc>
                <w:tcPr>
                  <w:tcW w:w="980" w:type="dxa"/>
                  <w:tcBorders>
                    <w:top w:val="single" w:color="auto" w:sz="12" w:space="0"/>
                    <w:bottom w:val="single" w:color="auto" w:sz="12" w:space="0"/>
                  </w:tcBorders>
                  <w:vAlign w:val="center"/>
                </w:tcPr>
                <w:p w14:paraId="7CDE4045">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6D40D741">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醋酸丁酯：经口，大鼠（LD</w:t>
                  </w:r>
                  <w:r>
                    <w:rPr>
                      <w:rFonts w:ascii="Times New Roman" w:hAnsi="Times New Roman" w:cs="Times New Roman"/>
                      <w:color w:val="auto"/>
                      <w:sz w:val="21"/>
                      <w:szCs w:val="21"/>
                      <w:vertAlign w:val="subscript"/>
                      <w:lang w:val="en-US"/>
                    </w:rPr>
                    <w:t>50</w:t>
                  </w:r>
                  <w:r>
                    <w:rPr>
                      <w:rFonts w:ascii="Times New Roman" w:hAnsi="Times New Roman" w:cs="Times New Roman"/>
                      <w:color w:val="auto"/>
                      <w:sz w:val="21"/>
                      <w:szCs w:val="21"/>
                      <w:lang w:val="en-US"/>
                    </w:rPr>
                    <w:t>）470mg/kg；吸入，大鼠（LC</w:t>
                  </w:r>
                  <w:r>
                    <w:rPr>
                      <w:rFonts w:ascii="Times New Roman" w:hAnsi="Times New Roman" w:cs="Times New Roman"/>
                      <w:color w:val="auto"/>
                      <w:sz w:val="21"/>
                      <w:szCs w:val="21"/>
                      <w:vertAlign w:val="subscript"/>
                      <w:lang w:val="en-US"/>
                    </w:rPr>
                    <w:t>50</w:t>
                  </w:r>
                  <w:r>
                    <w:rPr>
                      <w:rFonts w:ascii="Times New Roman" w:hAnsi="Times New Roman" w:cs="Times New Roman"/>
                      <w:color w:val="auto"/>
                      <w:sz w:val="21"/>
                      <w:szCs w:val="21"/>
                      <w:lang w:val="en-US"/>
                    </w:rPr>
                    <w:t>）217mg/l/4h；经皮，兔子（LD</w:t>
                  </w:r>
                  <w:r>
                    <w:rPr>
                      <w:rFonts w:ascii="Times New Roman" w:hAnsi="Times New Roman" w:cs="Times New Roman"/>
                      <w:color w:val="auto"/>
                      <w:sz w:val="21"/>
                      <w:szCs w:val="21"/>
                      <w:vertAlign w:val="subscript"/>
                      <w:lang w:val="en-US"/>
                    </w:rPr>
                    <w:t>50</w:t>
                  </w:r>
                  <w:r>
                    <w:rPr>
                      <w:rFonts w:ascii="Times New Roman" w:hAnsi="Times New Roman" w:cs="Times New Roman"/>
                      <w:color w:val="auto"/>
                      <w:sz w:val="21"/>
                      <w:szCs w:val="21"/>
                      <w:lang w:val="en-US"/>
                    </w:rPr>
                    <w:t>）220mg/kg</w:t>
                  </w:r>
                </w:p>
              </w:tc>
            </w:tr>
            <w:tr w14:paraId="23D89A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2E188EBE">
                  <w:pPr>
                    <w:adjustRightInd w:val="0"/>
                    <w:snapToGrid w:val="0"/>
                    <w:jc w:val="center"/>
                    <w:rPr>
                      <w:color w:val="auto"/>
                      <w:szCs w:val="21"/>
                    </w:rPr>
                  </w:pPr>
                  <w:r>
                    <w:rPr>
                      <w:color w:val="auto"/>
                      <w:szCs w:val="21"/>
                    </w:rPr>
                    <w:t>抛光蜡</w:t>
                  </w:r>
                </w:p>
              </w:tc>
              <w:tc>
                <w:tcPr>
                  <w:tcW w:w="3315" w:type="dxa"/>
                  <w:tcBorders>
                    <w:top w:val="single" w:color="auto" w:sz="12" w:space="0"/>
                    <w:bottom w:val="single" w:color="auto" w:sz="12" w:space="0"/>
                  </w:tcBorders>
                  <w:vAlign w:val="center"/>
                </w:tcPr>
                <w:p w14:paraId="29FF60A9">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形态：固体或膏状，颜色多样（如青蜡、紫蜡、蓝蜡等）；密度：因成分不同而异，一般为0.8</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1.5g/cm</w:t>
                  </w:r>
                  <w:r>
                    <w:rPr>
                      <w:rFonts w:ascii="Times New Roman" w:hAnsi="Times New Roman" w:cs="Times New Roman"/>
                      <w:color w:val="auto"/>
                      <w:sz w:val="21"/>
                      <w:szCs w:val="21"/>
                      <w:vertAlign w:val="superscript"/>
                      <w:lang w:val="en-US"/>
                    </w:rPr>
                    <w:t>3</w:t>
                  </w:r>
                  <w:r>
                    <w:rPr>
                      <w:rFonts w:ascii="Times New Roman" w:hAnsi="Times New Roman" w:cs="Times New Roman"/>
                      <w:color w:val="auto"/>
                      <w:sz w:val="21"/>
                      <w:szCs w:val="21"/>
                      <w:lang w:val="en-US"/>
                    </w:rPr>
                    <w:t>；熔点：通常在50-100℃之间，具体取决于蜡基类型；硬度：较软，易于涂抹和抛光。</w:t>
                  </w:r>
                </w:p>
              </w:tc>
              <w:tc>
                <w:tcPr>
                  <w:tcW w:w="980" w:type="dxa"/>
                  <w:tcBorders>
                    <w:top w:val="single" w:color="auto" w:sz="12" w:space="0"/>
                    <w:bottom w:val="single" w:color="auto" w:sz="12" w:space="0"/>
                  </w:tcBorders>
                  <w:vAlign w:val="center"/>
                </w:tcPr>
                <w:p w14:paraId="16372E33">
                  <w:pPr>
                    <w:jc w:val="center"/>
                    <w:rPr>
                      <w:color w:val="auto"/>
                      <w:szCs w:val="21"/>
                    </w:rPr>
                  </w:pPr>
                  <w:r>
                    <w:rPr>
                      <w:color w:val="auto"/>
                      <w:szCs w:val="21"/>
                    </w:rPr>
                    <w:t>易燃</w:t>
                  </w:r>
                </w:p>
              </w:tc>
              <w:tc>
                <w:tcPr>
                  <w:tcW w:w="3479" w:type="dxa"/>
                  <w:tcBorders>
                    <w:top w:val="single" w:color="auto" w:sz="12" w:space="0"/>
                    <w:bottom w:val="single" w:color="auto" w:sz="12" w:space="0"/>
                  </w:tcBorders>
                  <w:vAlign w:val="center"/>
                </w:tcPr>
                <w:p w14:paraId="60EFEE34">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抛光蜡中的蜡基和载体（如矿物油）通常低毒，但误食可能导致胃肠道不适，磨料（如氧化铝、碳化硅）可能对呼吸道和皮肤产生机械刺激。</w:t>
                  </w:r>
                </w:p>
              </w:tc>
            </w:tr>
            <w:tr w14:paraId="33D86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14B6A881">
                  <w:pPr>
                    <w:adjustRightInd w:val="0"/>
                    <w:snapToGrid w:val="0"/>
                    <w:jc w:val="center"/>
                    <w:rPr>
                      <w:color w:val="auto"/>
                      <w:szCs w:val="21"/>
                    </w:rPr>
                  </w:pPr>
                  <w:r>
                    <w:rPr>
                      <w:color w:val="auto"/>
                      <w:szCs w:val="21"/>
                    </w:rPr>
                    <w:t>聚氨酯胶</w:t>
                  </w:r>
                </w:p>
              </w:tc>
              <w:tc>
                <w:tcPr>
                  <w:tcW w:w="3315" w:type="dxa"/>
                  <w:tcBorders>
                    <w:top w:val="single" w:color="auto" w:sz="12" w:space="0"/>
                    <w:bottom w:val="single" w:color="auto" w:sz="12" w:space="0"/>
                  </w:tcBorders>
                  <w:vAlign w:val="center"/>
                </w:tcPr>
                <w:p w14:paraId="6A297EC6">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20%聚醚、1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60%蓖麻油、1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60%碳酸钙组成，外观为白色液体，稍有气味，闪点：＞100℃（闭杯），难溶于水</w:t>
                  </w:r>
                </w:p>
              </w:tc>
              <w:tc>
                <w:tcPr>
                  <w:tcW w:w="980" w:type="dxa"/>
                  <w:tcBorders>
                    <w:top w:val="single" w:color="auto" w:sz="12" w:space="0"/>
                    <w:bottom w:val="single" w:color="auto" w:sz="12" w:space="0"/>
                  </w:tcBorders>
                  <w:vAlign w:val="center"/>
                </w:tcPr>
                <w:p w14:paraId="7DA3566F">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不易燃</w:t>
                  </w:r>
                </w:p>
              </w:tc>
              <w:tc>
                <w:tcPr>
                  <w:tcW w:w="3479" w:type="dxa"/>
                  <w:tcBorders>
                    <w:top w:val="single" w:color="auto" w:sz="12" w:space="0"/>
                    <w:bottom w:val="single" w:color="auto" w:sz="12" w:space="0"/>
                  </w:tcBorders>
                  <w:vAlign w:val="center"/>
                </w:tcPr>
                <w:p w14:paraId="39EF5C41">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聚醚，低毒</w:t>
                  </w:r>
                </w:p>
              </w:tc>
            </w:tr>
            <w:tr w14:paraId="4A2A7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27210969">
                  <w:pPr>
                    <w:adjustRightInd w:val="0"/>
                    <w:snapToGrid w:val="0"/>
                    <w:jc w:val="center"/>
                    <w:rPr>
                      <w:color w:val="auto"/>
                      <w:szCs w:val="21"/>
                    </w:rPr>
                  </w:pPr>
                  <w:r>
                    <w:rPr>
                      <w:color w:val="auto"/>
                      <w:szCs w:val="21"/>
                    </w:rPr>
                    <w:t>脱脂剂</w:t>
                  </w:r>
                </w:p>
              </w:tc>
              <w:tc>
                <w:tcPr>
                  <w:tcW w:w="3315" w:type="dxa"/>
                  <w:tcBorders>
                    <w:top w:val="single" w:color="auto" w:sz="12" w:space="0"/>
                    <w:bottom w:val="single" w:color="auto" w:sz="12" w:space="0"/>
                  </w:tcBorders>
                  <w:vAlign w:val="center"/>
                </w:tcPr>
                <w:p w14:paraId="64DFD25A">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项目使用脱脂剂成分为：20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30%碳酸钾、10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18%五水偏硅酸钠、1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5%螯合剂、3</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8%表面活性剂、余量为水；物理状态为液体，颜色淡黄色，可溶解于水。</w:t>
                  </w:r>
                </w:p>
              </w:tc>
              <w:tc>
                <w:tcPr>
                  <w:tcW w:w="980" w:type="dxa"/>
                  <w:tcBorders>
                    <w:top w:val="single" w:color="auto" w:sz="12" w:space="0"/>
                    <w:bottom w:val="single" w:color="auto" w:sz="12" w:space="0"/>
                  </w:tcBorders>
                  <w:vAlign w:val="center"/>
                </w:tcPr>
                <w:p w14:paraId="2831D7CE">
                  <w:pPr>
                    <w:jc w:val="center"/>
                    <w:rPr>
                      <w:color w:val="auto"/>
                      <w:szCs w:val="21"/>
                    </w:rPr>
                  </w:pPr>
                  <w:r>
                    <w:rPr>
                      <w:color w:val="auto"/>
                      <w:szCs w:val="21"/>
                    </w:rPr>
                    <w:t>不燃</w:t>
                  </w:r>
                </w:p>
              </w:tc>
              <w:tc>
                <w:tcPr>
                  <w:tcW w:w="3479" w:type="dxa"/>
                  <w:tcBorders>
                    <w:top w:val="single" w:color="auto" w:sz="12" w:space="0"/>
                    <w:bottom w:val="single" w:color="auto" w:sz="12" w:space="0"/>
                  </w:tcBorders>
                  <w:vAlign w:val="center"/>
                </w:tcPr>
                <w:p w14:paraId="0466910D">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碳酸钾LD50经口大鼠1870mg/kg，螯合剂LD50经口大鼠2000mg/kg</w:t>
                  </w:r>
                </w:p>
              </w:tc>
            </w:tr>
            <w:tr w14:paraId="7A04E1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53F8B37E">
                  <w:pPr>
                    <w:adjustRightInd w:val="0"/>
                    <w:snapToGrid w:val="0"/>
                    <w:jc w:val="center"/>
                    <w:rPr>
                      <w:color w:val="auto"/>
                      <w:szCs w:val="21"/>
                    </w:rPr>
                  </w:pPr>
                  <w:r>
                    <w:rPr>
                      <w:color w:val="auto"/>
                      <w:szCs w:val="21"/>
                    </w:rPr>
                    <w:t>陶化剂</w:t>
                  </w:r>
                </w:p>
              </w:tc>
              <w:tc>
                <w:tcPr>
                  <w:tcW w:w="3315" w:type="dxa"/>
                  <w:tcBorders>
                    <w:top w:val="single" w:color="auto" w:sz="12" w:space="0"/>
                    <w:bottom w:val="single" w:color="auto" w:sz="12" w:space="0"/>
                  </w:tcBorders>
                  <w:vAlign w:val="center"/>
                </w:tcPr>
                <w:p w14:paraId="5E682958">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项目使用陶化剂成分为：0.5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2%铝化合物、0.1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1%硝酸、1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5%镁化合物、0.1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2%锆化合物、余量为水；物理状态为液体，颜色无色。</w:t>
                  </w:r>
                </w:p>
              </w:tc>
              <w:tc>
                <w:tcPr>
                  <w:tcW w:w="980" w:type="dxa"/>
                  <w:tcBorders>
                    <w:top w:val="single" w:color="auto" w:sz="12" w:space="0"/>
                    <w:bottom w:val="single" w:color="auto" w:sz="12" w:space="0"/>
                  </w:tcBorders>
                  <w:vAlign w:val="center"/>
                </w:tcPr>
                <w:p w14:paraId="2DF9189C">
                  <w:pPr>
                    <w:jc w:val="center"/>
                    <w:rPr>
                      <w:color w:val="auto"/>
                      <w:szCs w:val="21"/>
                    </w:rPr>
                  </w:pPr>
                  <w:r>
                    <w:rPr>
                      <w:color w:val="auto"/>
                      <w:szCs w:val="21"/>
                    </w:rPr>
                    <w:t>不燃</w:t>
                  </w:r>
                </w:p>
              </w:tc>
              <w:tc>
                <w:tcPr>
                  <w:tcW w:w="3479" w:type="dxa"/>
                  <w:tcBorders>
                    <w:top w:val="single" w:color="auto" w:sz="12" w:space="0"/>
                    <w:bottom w:val="single" w:color="auto" w:sz="12" w:space="0"/>
                  </w:tcBorders>
                  <w:vAlign w:val="center"/>
                </w:tcPr>
                <w:p w14:paraId="7F7D48A0">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铝化合物LD50 3654mg/kg（大鼠经口）</w:t>
                  </w:r>
                </w:p>
              </w:tc>
            </w:tr>
            <w:tr w14:paraId="4606E5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48CAF1F">
                  <w:pPr>
                    <w:adjustRightInd w:val="0"/>
                    <w:snapToGrid w:val="0"/>
                    <w:jc w:val="center"/>
                    <w:rPr>
                      <w:color w:val="auto"/>
                      <w:szCs w:val="21"/>
                    </w:rPr>
                  </w:pPr>
                  <w:r>
                    <w:rPr>
                      <w:color w:val="auto"/>
                      <w:szCs w:val="21"/>
                    </w:rPr>
                    <w:t>塑粉</w:t>
                  </w:r>
                </w:p>
              </w:tc>
              <w:tc>
                <w:tcPr>
                  <w:tcW w:w="3315" w:type="dxa"/>
                  <w:tcBorders>
                    <w:top w:val="single" w:color="auto" w:sz="12" w:space="0"/>
                    <w:bottom w:val="single" w:color="auto" w:sz="12" w:space="0"/>
                  </w:tcBorders>
                  <w:vAlign w:val="center"/>
                </w:tcPr>
                <w:p w14:paraId="6A8B6543">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项目使用塑粉成分为：73%聚酯树脂，6%二氧化钛、固化剂，16%填料，5%颜料、助剂，物理状态为固体</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粉末</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，颜色多色，无气味，不溶于水。</w:t>
                  </w:r>
                </w:p>
              </w:tc>
              <w:tc>
                <w:tcPr>
                  <w:tcW w:w="980" w:type="dxa"/>
                  <w:tcBorders>
                    <w:top w:val="single" w:color="auto" w:sz="12" w:space="0"/>
                    <w:bottom w:val="single" w:color="auto" w:sz="12" w:space="0"/>
                  </w:tcBorders>
                  <w:vAlign w:val="center"/>
                </w:tcPr>
                <w:p w14:paraId="1394444A">
                  <w:pPr>
                    <w:jc w:val="center"/>
                    <w:rPr>
                      <w:color w:val="auto"/>
                      <w:szCs w:val="21"/>
                    </w:rPr>
                  </w:pPr>
                  <w:r>
                    <w:rPr>
                      <w:color w:val="auto"/>
                      <w:szCs w:val="21"/>
                    </w:rPr>
                    <w:t>无资料</w:t>
                  </w:r>
                </w:p>
              </w:tc>
              <w:tc>
                <w:tcPr>
                  <w:tcW w:w="3479" w:type="dxa"/>
                  <w:tcBorders>
                    <w:top w:val="single" w:color="auto" w:sz="12" w:space="0"/>
                    <w:bottom w:val="single" w:color="auto" w:sz="12" w:space="0"/>
                  </w:tcBorders>
                  <w:vAlign w:val="center"/>
                </w:tcPr>
                <w:p w14:paraId="19CA6724">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经口：吞咽可能有害</w:t>
                  </w:r>
                </w:p>
              </w:tc>
            </w:tr>
            <w:tr w14:paraId="653EB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8DFE632">
                  <w:pPr>
                    <w:adjustRightInd w:val="0"/>
                    <w:snapToGrid w:val="0"/>
                    <w:jc w:val="center"/>
                    <w:rPr>
                      <w:color w:val="auto"/>
                      <w:szCs w:val="21"/>
                    </w:rPr>
                  </w:pPr>
                  <w:r>
                    <w:rPr>
                      <w:color w:val="auto"/>
                      <w:szCs w:val="21"/>
                    </w:rPr>
                    <w:t>亚克力板材</w:t>
                  </w:r>
                </w:p>
              </w:tc>
              <w:tc>
                <w:tcPr>
                  <w:tcW w:w="3315" w:type="dxa"/>
                  <w:tcBorders>
                    <w:top w:val="single" w:color="auto" w:sz="12" w:space="0"/>
                    <w:bottom w:val="single" w:color="auto" w:sz="12" w:space="0"/>
                  </w:tcBorders>
                  <w:vAlign w:val="center"/>
                </w:tcPr>
                <w:p w14:paraId="25D00802">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主要成分为聚甲基丙烯酸甲酯，是一种透明塑料材料，外观：透明或半透明，表面光滑，透光率高达92%；密度：约1.18-1.20 g/cm³；熔点：无明确熔点，玻璃化转变温度（Tg）约为105°C；耐化学性：耐弱酸、弱碱和油脂，但强酸、强碱和有机溶剂可能使其溶解或腐蚀；机械性能：硬度高，抗冲击性较好，但脆性较大；耐候性：耐紫外线，户外使用不易变黄或老化。</w:t>
                  </w:r>
                </w:p>
              </w:tc>
              <w:tc>
                <w:tcPr>
                  <w:tcW w:w="980" w:type="dxa"/>
                  <w:tcBorders>
                    <w:top w:val="single" w:color="auto" w:sz="12" w:space="0"/>
                    <w:bottom w:val="single" w:color="auto" w:sz="12" w:space="0"/>
                  </w:tcBorders>
                  <w:vAlign w:val="center"/>
                </w:tcPr>
                <w:p w14:paraId="69C36483">
                  <w:pPr>
                    <w:jc w:val="center"/>
                    <w:rPr>
                      <w:color w:val="auto"/>
                      <w:szCs w:val="21"/>
                    </w:rPr>
                  </w:pPr>
                  <w:r>
                    <w:rPr>
                      <w:color w:val="auto"/>
                      <w:szCs w:val="21"/>
                    </w:rPr>
                    <w:t>易燃</w:t>
                  </w:r>
                </w:p>
              </w:tc>
              <w:tc>
                <w:tcPr>
                  <w:tcW w:w="3479" w:type="dxa"/>
                  <w:tcBorders>
                    <w:top w:val="single" w:color="auto" w:sz="12" w:space="0"/>
                    <w:bottom w:val="single" w:color="auto" w:sz="12" w:space="0"/>
                  </w:tcBorders>
                  <w:vAlign w:val="center"/>
                </w:tcPr>
                <w:p w14:paraId="5C76CC04">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常温下无毒，但在高温或燃烧时可能释放有害物质</w:t>
                  </w:r>
                </w:p>
              </w:tc>
            </w:tr>
            <w:tr w14:paraId="11E82F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07BE236C">
                  <w:pPr>
                    <w:adjustRightInd w:val="0"/>
                    <w:snapToGrid w:val="0"/>
                    <w:jc w:val="center"/>
                    <w:rPr>
                      <w:color w:val="auto"/>
                      <w:szCs w:val="21"/>
                    </w:rPr>
                  </w:pPr>
                  <w:r>
                    <w:rPr>
                      <w:color w:val="auto"/>
                      <w:szCs w:val="21"/>
                    </w:rPr>
                    <w:t>油墨</w:t>
                  </w:r>
                </w:p>
              </w:tc>
              <w:tc>
                <w:tcPr>
                  <w:tcW w:w="3315" w:type="dxa"/>
                  <w:tcBorders>
                    <w:top w:val="single" w:color="auto" w:sz="12" w:space="0"/>
                    <w:bottom w:val="single" w:color="auto" w:sz="12" w:space="0"/>
                  </w:tcBorders>
                  <w:vAlign w:val="center"/>
                </w:tcPr>
                <w:p w14:paraId="331E8891">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组分为环氧树脂、合成丙烯酸树脂、异佛尔酮、环己酮、消泡剂、分散剂、增稠剂；外观：浆状流体；气味：有薄荷味；闪点44℃；分解温度350℃；自燃温度420℃。</w:t>
                  </w:r>
                </w:p>
              </w:tc>
              <w:tc>
                <w:tcPr>
                  <w:tcW w:w="980" w:type="dxa"/>
                  <w:tcBorders>
                    <w:top w:val="single" w:color="auto" w:sz="12" w:space="0"/>
                    <w:bottom w:val="single" w:color="auto" w:sz="12" w:space="0"/>
                  </w:tcBorders>
                  <w:vAlign w:val="center"/>
                </w:tcPr>
                <w:p w14:paraId="440B5E81">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5946B0D2">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急毒性：LD50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5750mg/</w:t>
                  </w:r>
                  <w:r>
                    <w:rPr>
                      <w:rFonts w:hint="eastAsia" w:ascii="Times New Roman" w:hAnsi="Times New Roman" w:cs="Times New Roman"/>
                      <w:color w:val="auto"/>
                      <w:sz w:val="21"/>
                      <w:szCs w:val="21"/>
                      <w:lang w:val="en-US" w:eastAsia="zh-CN"/>
                    </w:rPr>
                    <w:t>kg</w:t>
                  </w:r>
                </w:p>
              </w:tc>
            </w:tr>
            <w:tr w14:paraId="1769C2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209035C0">
                  <w:pPr>
                    <w:adjustRightInd w:val="0"/>
                    <w:snapToGrid w:val="0"/>
                    <w:jc w:val="center"/>
                    <w:rPr>
                      <w:color w:val="auto"/>
                      <w:szCs w:val="21"/>
                    </w:rPr>
                  </w:pPr>
                  <w:r>
                    <w:rPr>
                      <w:color w:val="auto"/>
                      <w:szCs w:val="21"/>
                    </w:rPr>
                    <w:t>烫金膜</w:t>
                  </w:r>
                </w:p>
              </w:tc>
              <w:tc>
                <w:tcPr>
                  <w:tcW w:w="3315" w:type="dxa"/>
                  <w:tcBorders>
                    <w:top w:val="single" w:color="auto" w:sz="12" w:space="0"/>
                    <w:bottom w:val="single" w:color="auto" w:sz="12" w:space="0"/>
                  </w:tcBorders>
                  <w:vAlign w:val="center"/>
                </w:tcPr>
                <w:p w14:paraId="1AAA6475">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一种用于包装装饰的高端材料，主要由聚酯薄膜（PET）和金属镀层（如铝）组成；外观：通常为透明或金属光泽的薄膜，表面光滑；密度：聚酯薄膜的密度约为1.38</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1.40g/cm³；熔点：聚酯薄膜的熔点约为250-260°C；耐化学性：耐弱酸、弱碱，但在强酸或强碱环境下可能发生腐蚀或分解；机械性能：具有较高的拉伸强度和耐磨性，适合高速印刷和烫金工艺。</w:t>
                  </w:r>
                </w:p>
              </w:tc>
              <w:tc>
                <w:tcPr>
                  <w:tcW w:w="980" w:type="dxa"/>
                  <w:tcBorders>
                    <w:top w:val="single" w:color="auto" w:sz="12" w:space="0"/>
                    <w:bottom w:val="single" w:color="auto" w:sz="12" w:space="0"/>
                  </w:tcBorders>
                  <w:vAlign w:val="center"/>
                </w:tcPr>
                <w:p w14:paraId="7D423DAF">
                  <w:pPr>
                    <w:jc w:val="center"/>
                    <w:rPr>
                      <w:color w:val="auto"/>
                      <w:szCs w:val="21"/>
                    </w:rPr>
                  </w:pPr>
                  <w:r>
                    <w:rPr>
                      <w:color w:val="auto"/>
                      <w:szCs w:val="21"/>
                    </w:rPr>
                    <w:t>易燃</w:t>
                  </w:r>
                </w:p>
              </w:tc>
              <w:tc>
                <w:tcPr>
                  <w:tcW w:w="3479" w:type="dxa"/>
                  <w:tcBorders>
                    <w:top w:val="single" w:color="auto" w:sz="12" w:space="0"/>
                    <w:bottom w:val="single" w:color="auto" w:sz="12" w:space="0"/>
                  </w:tcBorders>
                  <w:vAlign w:val="center"/>
                </w:tcPr>
                <w:p w14:paraId="2E49A0BE">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常温下无毒，但在高温或燃烧时可能释放有害物质</w:t>
                  </w:r>
                </w:p>
              </w:tc>
            </w:tr>
            <w:tr w14:paraId="1C635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6A5AF387">
                  <w:pPr>
                    <w:adjustRightInd w:val="0"/>
                    <w:snapToGrid w:val="0"/>
                    <w:jc w:val="center"/>
                    <w:rPr>
                      <w:color w:val="auto"/>
                      <w:szCs w:val="21"/>
                    </w:rPr>
                  </w:pPr>
                  <w:r>
                    <w:rPr>
                      <w:color w:val="auto"/>
                      <w:szCs w:val="21"/>
                    </w:rPr>
                    <w:t>碳氢清洗剂</w:t>
                  </w:r>
                </w:p>
              </w:tc>
              <w:tc>
                <w:tcPr>
                  <w:tcW w:w="3315" w:type="dxa"/>
                  <w:tcBorders>
                    <w:top w:val="single" w:color="auto" w:sz="12" w:space="0"/>
                    <w:bottom w:val="single" w:color="auto" w:sz="12" w:space="0"/>
                  </w:tcBorders>
                  <w:vAlign w:val="center"/>
                </w:tcPr>
                <w:p w14:paraId="1681DE7B">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主要成分为30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50%正构烷烃碳氢化合物、25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40%异构烷烃碳氢化合物、25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30%环烷烃碳氢化合物、0.1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1.0%稳定剂；外观为无色澄清液体，凝固温度为＜-20°C，闪点为65±2°C，沸程为185-225°C。</w:t>
                  </w:r>
                </w:p>
              </w:tc>
              <w:tc>
                <w:tcPr>
                  <w:tcW w:w="980" w:type="dxa"/>
                  <w:tcBorders>
                    <w:top w:val="single" w:color="auto" w:sz="12" w:space="0"/>
                    <w:bottom w:val="single" w:color="auto" w:sz="12" w:space="0"/>
                  </w:tcBorders>
                  <w:vAlign w:val="center"/>
                </w:tcPr>
                <w:p w14:paraId="24965C64">
                  <w:pPr>
                    <w:jc w:val="center"/>
                    <w:rPr>
                      <w:color w:val="auto"/>
                      <w:szCs w:val="21"/>
                    </w:rPr>
                  </w:pPr>
                  <w:r>
                    <w:rPr>
                      <w:color w:val="auto"/>
                      <w:szCs w:val="21"/>
                    </w:rPr>
                    <w:t>无资料</w:t>
                  </w:r>
                </w:p>
              </w:tc>
              <w:tc>
                <w:tcPr>
                  <w:tcW w:w="3479" w:type="dxa"/>
                  <w:tcBorders>
                    <w:top w:val="single" w:color="auto" w:sz="12" w:space="0"/>
                    <w:bottom w:val="single" w:color="auto" w:sz="12" w:space="0"/>
                  </w:tcBorders>
                  <w:vAlign w:val="center"/>
                </w:tcPr>
                <w:p w14:paraId="64D93F23">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其蒸汽浓度在高于建议暴露值时，会对眼睛和呼吸道有刺激性。造成头痛和眩晕。可能有麻醉性。可能对其他</w:t>
                  </w:r>
                  <w:r>
                    <w:rPr>
                      <w:rFonts w:hint="eastAsia" w:ascii="Times New Roman" w:hAnsi="Times New Roman" w:cs="Times New Roman"/>
                      <w:color w:val="auto"/>
                      <w:sz w:val="21"/>
                      <w:szCs w:val="21"/>
                      <w:lang w:val="en-US" w:eastAsia="zh-CN"/>
                    </w:rPr>
                    <w:t>中枢神经</w:t>
                  </w:r>
                  <w:r>
                    <w:rPr>
                      <w:rFonts w:ascii="Times New Roman" w:hAnsi="Times New Roman" w:cs="Times New Roman"/>
                      <w:color w:val="auto"/>
                      <w:sz w:val="21"/>
                      <w:szCs w:val="21"/>
                      <w:lang w:val="en-US"/>
                    </w:rPr>
                    <w:t>系统有影响。</w:t>
                  </w:r>
                </w:p>
              </w:tc>
            </w:tr>
            <w:tr w14:paraId="08BC1C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47C7B6C0">
                  <w:pPr>
                    <w:adjustRightInd w:val="0"/>
                    <w:snapToGrid w:val="0"/>
                    <w:jc w:val="center"/>
                    <w:rPr>
                      <w:color w:val="auto"/>
                      <w:szCs w:val="21"/>
                    </w:rPr>
                  </w:pPr>
                  <w:r>
                    <w:rPr>
                      <w:color w:val="auto"/>
                      <w:szCs w:val="21"/>
                    </w:rPr>
                    <w:t>洗网水</w:t>
                  </w:r>
                </w:p>
              </w:tc>
              <w:tc>
                <w:tcPr>
                  <w:tcW w:w="3315" w:type="dxa"/>
                  <w:tcBorders>
                    <w:top w:val="single" w:color="auto" w:sz="12" w:space="0"/>
                    <w:bottom w:val="single" w:color="auto" w:sz="12" w:space="0"/>
                  </w:tcBorders>
                  <w:vAlign w:val="center"/>
                </w:tcPr>
                <w:p w14:paraId="4D54EECB">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主要成分为混合酯C4H9OOC-（CH2）2-COOC4H9</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45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70%，石油类溶剂C6H5-CH3</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30%，活性剂C6H4(CO)C6H11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3</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8%；物理状态为液体，会释放刺激性气体，熔点：-50°C-0°C，沸点：0°C-200°C，闪点：61.1°C。</w:t>
                  </w:r>
                </w:p>
              </w:tc>
              <w:tc>
                <w:tcPr>
                  <w:tcW w:w="980" w:type="dxa"/>
                  <w:tcBorders>
                    <w:top w:val="single" w:color="auto" w:sz="12" w:space="0"/>
                    <w:bottom w:val="single" w:color="auto" w:sz="12" w:space="0"/>
                  </w:tcBorders>
                  <w:vAlign w:val="center"/>
                </w:tcPr>
                <w:p w14:paraId="3ACEB4CC">
                  <w:pPr>
                    <w:jc w:val="center"/>
                    <w:rPr>
                      <w:color w:val="auto"/>
                      <w:szCs w:val="21"/>
                    </w:rPr>
                  </w:pPr>
                  <w:r>
                    <w:rPr>
                      <w:color w:val="auto"/>
                      <w:szCs w:val="21"/>
                    </w:rPr>
                    <w:t>易燃</w:t>
                  </w:r>
                </w:p>
              </w:tc>
              <w:tc>
                <w:tcPr>
                  <w:tcW w:w="3479" w:type="dxa"/>
                  <w:tcBorders>
                    <w:top w:val="single" w:color="auto" w:sz="12" w:space="0"/>
                    <w:bottom w:val="single" w:color="auto" w:sz="12" w:space="0"/>
                  </w:tcBorders>
                  <w:vAlign w:val="center"/>
                </w:tcPr>
                <w:p w14:paraId="304C3D2F">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急性毒性：LD50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2500mg/kg</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大鼠经口</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：1200mg/kg</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小鼠经口</w:t>
                  </w:r>
                  <w:r>
                    <w:rPr>
                      <w:rFonts w:hint="eastAsia" w:ascii="Times New Roman" w:hAnsi="Times New Roman" w:cs="Times New Roman"/>
                      <w:color w:val="auto"/>
                      <w:sz w:val="21"/>
                      <w:szCs w:val="21"/>
                      <w:lang w:val="en-US" w:eastAsia="zh-CN"/>
                    </w:rPr>
                    <w:t>）</w:t>
                  </w:r>
                </w:p>
                <w:p w14:paraId="03CA5D07">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LC50：无资料</w:t>
                  </w:r>
                </w:p>
              </w:tc>
            </w:tr>
            <w:tr w14:paraId="272791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40829E4">
                  <w:pPr>
                    <w:adjustRightInd w:val="0"/>
                    <w:snapToGrid w:val="0"/>
                    <w:jc w:val="center"/>
                    <w:rPr>
                      <w:color w:val="auto"/>
                      <w:szCs w:val="21"/>
                    </w:rPr>
                  </w:pPr>
                  <w:r>
                    <w:rPr>
                      <w:color w:val="auto"/>
                      <w:szCs w:val="21"/>
                    </w:rPr>
                    <w:t>原子灰</w:t>
                  </w:r>
                </w:p>
              </w:tc>
              <w:tc>
                <w:tcPr>
                  <w:tcW w:w="3315" w:type="dxa"/>
                  <w:tcBorders>
                    <w:top w:val="single" w:color="auto" w:sz="12" w:space="0"/>
                    <w:bottom w:val="single" w:color="auto" w:sz="12" w:space="0"/>
                  </w:tcBorders>
                  <w:vAlign w:val="center"/>
                </w:tcPr>
                <w:p w14:paraId="74858FEE">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主要成分为苯乙烯：10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20%，二氧化钛：0.5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5%，滑石粉：30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60%，碳酸钙0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20%；外观为灰色及黄色膏状液体，相对密度（水=1）：1.50-1.90，闪点：30°C。</w:t>
                  </w:r>
                </w:p>
              </w:tc>
              <w:tc>
                <w:tcPr>
                  <w:tcW w:w="980" w:type="dxa"/>
                  <w:tcBorders>
                    <w:top w:val="single" w:color="auto" w:sz="12" w:space="0"/>
                    <w:bottom w:val="single" w:color="auto" w:sz="12" w:space="0"/>
                  </w:tcBorders>
                  <w:vAlign w:val="center"/>
                </w:tcPr>
                <w:p w14:paraId="6601CB85">
                  <w:pPr>
                    <w:jc w:val="center"/>
                    <w:rPr>
                      <w:color w:val="auto"/>
                      <w:szCs w:val="21"/>
                    </w:rPr>
                  </w:pPr>
                  <w:r>
                    <w:rPr>
                      <w:color w:val="auto"/>
                      <w:szCs w:val="21"/>
                    </w:rPr>
                    <w:t>无资料</w:t>
                  </w:r>
                </w:p>
              </w:tc>
              <w:tc>
                <w:tcPr>
                  <w:tcW w:w="3479" w:type="dxa"/>
                  <w:tcBorders>
                    <w:top w:val="single" w:color="auto" w:sz="12" w:space="0"/>
                    <w:bottom w:val="single" w:color="auto" w:sz="12" w:space="0"/>
                  </w:tcBorders>
                  <w:vAlign w:val="center"/>
                </w:tcPr>
                <w:p w14:paraId="3AB4CF18">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无资料</w:t>
                  </w:r>
                </w:p>
              </w:tc>
            </w:tr>
            <w:tr w14:paraId="5B12F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369A0830">
                  <w:pPr>
                    <w:adjustRightInd w:val="0"/>
                    <w:snapToGrid w:val="0"/>
                    <w:jc w:val="center"/>
                    <w:rPr>
                      <w:color w:val="auto"/>
                      <w:szCs w:val="21"/>
                    </w:rPr>
                  </w:pPr>
                  <w:r>
                    <w:rPr>
                      <w:color w:val="auto"/>
                      <w:szCs w:val="21"/>
                    </w:rPr>
                    <w:t>防锈剂</w:t>
                  </w:r>
                </w:p>
              </w:tc>
              <w:tc>
                <w:tcPr>
                  <w:tcW w:w="3315" w:type="dxa"/>
                  <w:tcBorders>
                    <w:top w:val="single" w:color="auto" w:sz="12" w:space="0"/>
                    <w:bottom w:val="single" w:color="auto" w:sz="12" w:space="0"/>
                  </w:tcBorders>
                  <w:vAlign w:val="center"/>
                </w:tcPr>
                <w:p w14:paraId="60E5C896">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项目使用防锈剂成分为：1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5%单乙醇胺、10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15%二乙醇胺、1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10%葵二酸、1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5%界面活性剂、剩余全部水；外观：无色透明液体或黄褐色透明液体；气味：气味淡或无味；沸点：150-200℃；闪点</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220℃；密度：相对密度（水=1）：0.850；可溶于水。</w:t>
                  </w:r>
                </w:p>
              </w:tc>
              <w:tc>
                <w:tcPr>
                  <w:tcW w:w="980" w:type="dxa"/>
                  <w:tcBorders>
                    <w:top w:val="single" w:color="auto" w:sz="12" w:space="0"/>
                    <w:bottom w:val="single" w:color="auto" w:sz="12" w:space="0"/>
                  </w:tcBorders>
                  <w:vAlign w:val="center"/>
                </w:tcPr>
                <w:p w14:paraId="0A5BD682">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76C31619">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急性毒性：低毒性，急性吸入可出现乏力、头晕、头痛、恶心，严重者可引起油脂性肺炎。</w:t>
                  </w:r>
                </w:p>
              </w:tc>
            </w:tr>
            <w:tr w14:paraId="60731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7E39C0AB">
                  <w:pPr>
                    <w:adjustRightInd w:val="0"/>
                    <w:snapToGrid w:val="0"/>
                    <w:jc w:val="center"/>
                    <w:rPr>
                      <w:color w:val="auto"/>
                      <w:szCs w:val="21"/>
                    </w:rPr>
                  </w:pPr>
                  <w:r>
                    <w:rPr>
                      <w:color w:val="auto"/>
                      <w:szCs w:val="21"/>
                    </w:rPr>
                    <w:t>机油</w:t>
                  </w:r>
                </w:p>
              </w:tc>
              <w:tc>
                <w:tcPr>
                  <w:tcW w:w="3315" w:type="dxa"/>
                  <w:tcBorders>
                    <w:top w:val="single" w:color="auto" w:sz="12" w:space="0"/>
                    <w:bottom w:val="single" w:color="auto" w:sz="12" w:space="0"/>
                  </w:tcBorders>
                  <w:vAlign w:val="center"/>
                </w:tcPr>
                <w:p w14:paraId="6673784A">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rPr>
                    <w:t>也称为润滑油，是一种油状液体，通常为淡黄色至褐色，无气味或略带异味，相对密度：小于1（相对于水），</w:t>
                  </w:r>
                  <w:r>
                    <w:rPr>
                      <w:rFonts w:ascii="Times New Roman" w:hAnsi="Times New Roman" w:cs="Times New Roman"/>
                      <w:color w:val="auto"/>
                      <w:sz w:val="21"/>
                      <w:szCs w:val="21"/>
                      <w:lang w:val="en-US"/>
                    </w:rPr>
                    <w:t>不溶于水。</w:t>
                  </w:r>
                </w:p>
              </w:tc>
              <w:tc>
                <w:tcPr>
                  <w:tcW w:w="980" w:type="dxa"/>
                  <w:tcBorders>
                    <w:top w:val="single" w:color="auto" w:sz="12" w:space="0"/>
                    <w:bottom w:val="single" w:color="auto" w:sz="12" w:space="0"/>
                  </w:tcBorders>
                  <w:vAlign w:val="center"/>
                </w:tcPr>
                <w:p w14:paraId="2A1C0EC5">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4491ECD4">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急性毒性：无具体资料；</w:t>
                  </w:r>
                </w:p>
                <w:p w14:paraId="78A9C2B1">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急性吸入机油可出现乏力、头晕、头痛、恶心，严重者可能引起油脂性肺炎。长期接触机油可能导致神经衰弱综合征、呼吸道和眼</w:t>
                  </w:r>
                  <w:r>
                    <w:rPr>
                      <w:rFonts w:hint="eastAsia" w:ascii="Times New Roman" w:hAnsi="Times New Roman" w:cs="Times New Roman"/>
                      <w:color w:val="auto"/>
                      <w:sz w:val="21"/>
                      <w:szCs w:val="21"/>
                      <w:lang w:val="en-US" w:eastAsia="zh-CN"/>
                    </w:rPr>
                    <w:t>刺激征</w:t>
                  </w:r>
                  <w:r>
                    <w:rPr>
                      <w:rFonts w:ascii="Times New Roman" w:hAnsi="Times New Roman" w:cs="Times New Roman"/>
                      <w:color w:val="auto"/>
                      <w:sz w:val="21"/>
                      <w:szCs w:val="21"/>
                      <w:lang w:val="en-US"/>
                    </w:rPr>
                    <w:t>状以及慢性油脂性肺炎。</w:t>
                  </w:r>
                </w:p>
              </w:tc>
            </w:tr>
            <w:tr w14:paraId="6176DD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69F160D1">
                  <w:pPr>
                    <w:adjustRightInd w:val="0"/>
                    <w:snapToGrid w:val="0"/>
                    <w:jc w:val="center"/>
                    <w:rPr>
                      <w:color w:val="auto"/>
                      <w:szCs w:val="21"/>
                    </w:rPr>
                  </w:pPr>
                  <w:r>
                    <w:rPr>
                      <w:color w:val="auto"/>
                      <w:szCs w:val="21"/>
                    </w:rPr>
                    <w:t>液压油</w:t>
                  </w:r>
                </w:p>
              </w:tc>
              <w:tc>
                <w:tcPr>
                  <w:tcW w:w="3315" w:type="dxa"/>
                  <w:tcBorders>
                    <w:top w:val="single" w:color="auto" w:sz="12" w:space="0"/>
                    <w:bottom w:val="single" w:color="auto" w:sz="12" w:space="0"/>
                  </w:tcBorders>
                  <w:vAlign w:val="center"/>
                </w:tcPr>
                <w:p w14:paraId="6C03F854">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rPr>
                    <w:t>外观：透明油状液体，浅黄色至棕色；气味：无气味或略带异味，密度：0.84-0.95 kg/l（20℃）；</w:t>
                  </w:r>
                  <w:r>
                    <w:rPr>
                      <w:rFonts w:ascii="Times New Roman" w:hAnsi="Times New Roman" w:cs="Times New Roman"/>
                      <w:color w:val="auto"/>
                      <w:sz w:val="21"/>
                      <w:szCs w:val="21"/>
                      <w:lang w:val="en-US"/>
                    </w:rPr>
                    <w:t>不溶于水</w:t>
                  </w:r>
                </w:p>
              </w:tc>
              <w:tc>
                <w:tcPr>
                  <w:tcW w:w="980" w:type="dxa"/>
                  <w:tcBorders>
                    <w:top w:val="single" w:color="auto" w:sz="12" w:space="0"/>
                    <w:bottom w:val="single" w:color="auto" w:sz="12" w:space="0"/>
                  </w:tcBorders>
                  <w:vAlign w:val="center"/>
                </w:tcPr>
                <w:p w14:paraId="53D6E3FB">
                  <w:pPr>
                    <w:jc w:val="center"/>
                    <w:rPr>
                      <w:color w:val="auto"/>
                      <w:szCs w:val="21"/>
                    </w:rPr>
                  </w:pPr>
                  <w:r>
                    <w:rPr>
                      <w:color w:val="auto"/>
                      <w:szCs w:val="21"/>
                    </w:rPr>
                    <w:t>可燃，遇明火、高热极易燃烧爆炸</w:t>
                  </w:r>
                </w:p>
              </w:tc>
              <w:tc>
                <w:tcPr>
                  <w:tcW w:w="3479" w:type="dxa"/>
                  <w:tcBorders>
                    <w:top w:val="single" w:color="auto" w:sz="12" w:space="0"/>
                    <w:bottom w:val="single" w:color="auto" w:sz="12" w:space="0"/>
                  </w:tcBorders>
                  <w:vAlign w:val="center"/>
                </w:tcPr>
                <w:p w14:paraId="48A1032B">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急性吸入：可出现乏力、头晕、头痛、恶心，严重者可引起油脂性肺炎；慢性接触：暴露部位可发生油性痤疮和接触性皮炎。可引起神经衰弱综合征，呼吸道和眼</w:t>
                  </w:r>
                  <w:r>
                    <w:rPr>
                      <w:rFonts w:hint="eastAsia" w:ascii="Times New Roman" w:hAnsi="Times New Roman" w:cs="Times New Roman"/>
                      <w:color w:val="auto"/>
                      <w:sz w:val="21"/>
                      <w:szCs w:val="21"/>
                      <w:lang w:val="en-US" w:eastAsia="zh-CN"/>
                    </w:rPr>
                    <w:t>刺激征</w:t>
                  </w:r>
                  <w:r>
                    <w:rPr>
                      <w:rFonts w:ascii="Times New Roman" w:hAnsi="Times New Roman" w:cs="Times New Roman"/>
                      <w:color w:val="auto"/>
                      <w:sz w:val="21"/>
                      <w:szCs w:val="21"/>
                      <w:lang w:val="en-US"/>
                    </w:rPr>
                    <w:t>状及慢性油脂性肺炎。</w:t>
                  </w:r>
                </w:p>
              </w:tc>
            </w:tr>
            <w:tr w14:paraId="07F6C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6CF62EA4">
                  <w:pPr>
                    <w:adjustRightInd w:val="0"/>
                    <w:snapToGrid w:val="0"/>
                    <w:jc w:val="center"/>
                    <w:rPr>
                      <w:color w:val="auto"/>
                      <w:szCs w:val="21"/>
                    </w:rPr>
                  </w:pPr>
                  <w:r>
                    <w:rPr>
                      <w:color w:val="auto"/>
                      <w:szCs w:val="21"/>
                    </w:rPr>
                    <w:t>切削液</w:t>
                  </w:r>
                </w:p>
              </w:tc>
              <w:tc>
                <w:tcPr>
                  <w:tcW w:w="3315" w:type="dxa"/>
                  <w:tcBorders>
                    <w:top w:val="single" w:color="auto" w:sz="12" w:space="0"/>
                    <w:bottom w:val="single" w:color="auto" w:sz="12" w:space="0"/>
                  </w:tcBorders>
                  <w:vAlign w:val="center"/>
                </w:tcPr>
                <w:p w14:paraId="50FEB5CB">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外观：通常为琥珀色液体，有特有的气味；pH值：原液pH值约为8.8；沸点：大于100℃；闪点：大于100℃；蒸发率：小于1（以醋酸异丁酯=1为基准）；可溶于水。</w:t>
                  </w:r>
                </w:p>
              </w:tc>
              <w:tc>
                <w:tcPr>
                  <w:tcW w:w="980" w:type="dxa"/>
                  <w:tcBorders>
                    <w:top w:val="single" w:color="auto" w:sz="12" w:space="0"/>
                    <w:bottom w:val="single" w:color="auto" w:sz="12" w:space="0"/>
                  </w:tcBorders>
                  <w:vAlign w:val="center"/>
                </w:tcPr>
                <w:p w14:paraId="2FFB85EE">
                  <w:pPr>
                    <w:jc w:val="center"/>
                    <w:rPr>
                      <w:color w:val="auto"/>
                      <w:szCs w:val="21"/>
                    </w:rPr>
                  </w:pPr>
                  <w:r>
                    <w:rPr>
                      <w:color w:val="auto"/>
                      <w:szCs w:val="21"/>
                    </w:rPr>
                    <w:t>可燃</w:t>
                  </w:r>
                </w:p>
              </w:tc>
              <w:tc>
                <w:tcPr>
                  <w:tcW w:w="3479" w:type="dxa"/>
                  <w:tcBorders>
                    <w:top w:val="single" w:color="auto" w:sz="12" w:space="0"/>
                    <w:bottom w:val="single" w:color="auto" w:sz="12" w:space="0"/>
                  </w:tcBorders>
                  <w:vAlign w:val="center"/>
                </w:tcPr>
                <w:p w14:paraId="5E3B49A8">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急性毒性：无资料表明具有急性毒性；健康危害：长期接触可能对眼、鼻、皮肤等方面有刺激性影响，可能导致皮肤过敏和呼吸系统问题。不属急性毒性物质之范围。</w:t>
                  </w:r>
                </w:p>
              </w:tc>
            </w:tr>
            <w:tr w14:paraId="078DC5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bottom w:val="single" w:color="auto" w:sz="12" w:space="0"/>
                  </w:tcBorders>
                  <w:vAlign w:val="center"/>
                </w:tcPr>
                <w:p w14:paraId="137C3B08">
                  <w:pPr>
                    <w:jc w:val="center"/>
                    <w:rPr>
                      <w:iCs/>
                      <w:color w:val="auto"/>
                      <w:szCs w:val="21"/>
                    </w:rPr>
                  </w:pPr>
                  <w:r>
                    <w:rPr>
                      <w:iCs/>
                      <w:color w:val="auto"/>
                      <w:szCs w:val="21"/>
                    </w:rPr>
                    <w:t>天然气</w:t>
                  </w:r>
                </w:p>
              </w:tc>
              <w:tc>
                <w:tcPr>
                  <w:tcW w:w="3315" w:type="dxa"/>
                  <w:tcBorders>
                    <w:top w:val="single" w:color="auto" w:sz="12" w:space="0"/>
                    <w:bottom w:val="single" w:color="auto" w:sz="12" w:space="0"/>
                  </w:tcBorders>
                  <w:vAlign w:val="center"/>
                </w:tcPr>
                <w:p w14:paraId="572C296F">
                  <w:pPr>
                    <w:jc w:val="center"/>
                    <w:rPr>
                      <w:color w:val="auto"/>
                      <w:szCs w:val="21"/>
                    </w:rPr>
                  </w:pPr>
                  <w:r>
                    <w:rPr>
                      <w:color w:val="auto"/>
                      <w:szCs w:val="21"/>
                    </w:rPr>
                    <w:t>主要成分为甲烷（CH</w:t>
                  </w:r>
                  <w:r>
                    <w:rPr>
                      <w:color w:val="auto"/>
                      <w:szCs w:val="21"/>
                      <w:vertAlign w:val="subscript"/>
                    </w:rPr>
                    <w:t>4</w:t>
                  </w:r>
                  <w:r>
                    <w:rPr>
                      <w:rFonts w:hint="eastAsia"/>
                      <w:color w:val="auto"/>
                      <w:szCs w:val="21"/>
                      <w:vertAlign w:val="subscript"/>
                      <w:lang w:eastAsia="zh-CN"/>
                    </w:rPr>
                    <w:t>）</w:t>
                  </w:r>
                  <w:r>
                    <w:rPr>
                      <w:color w:val="auto"/>
                      <w:szCs w:val="21"/>
                    </w:rPr>
                    <w:t>，无色无味气体，熔点（</w:t>
                  </w:r>
                  <w:r>
                    <w:rPr>
                      <w:color w:val="auto"/>
                      <w:kern w:val="0"/>
                      <w:szCs w:val="21"/>
                    </w:rPr>
                    <w:t>℃</w:t>
                  </w:r>
                  <w:r>
                    <w:rPr>
                      <w:color w:val="auto"/>
                      <w:szCs w:val="21"/>
                    </w:rPr>
                    <w:t>）：-182.6，沸点（</w:t>
                  </w:r>
                  <w:r>
                    <w:rPr>
                      <w:color w:val="auto"/>
                      <w:kern w:val="0"/>
                      <w:szCs w:val="21"/>
                    </w:rPr>
                    <w:t>℃</w:t>
                  </w:r>
                  <w:r>
                    <w:rPr>
                      <w:color w:val="auto"/>
                      <w:szCs w:val="21"/>
                    </w:rPr>
                    <w:t>）：-161.4，相对密度（水=1）：0.42（-164</w:t>
                  </w:r>
                  <w:r>
                    <w:rPr>
                      <w:color w:val="auto"/>
                      <w:kern w:val="0"/>
                      <w:szCs w:val="21"/>
                    </w:rPr>
                    <w:t>℃），相对</w:t>
                  </w:r>
                  <w:r>
                    <w:rPr>
                      <w:rFonts w:hint="eastAsia"/>
                      <w:color w:val="auto"/>
                      <w:kern w:val="0"/>
                      <w:szCs w:val="21"/>
                      <w:lang w:eastAsia="zh-CN"/>
                    </w:rPr>
                    <w:t>蒸气密度</w:t>
                  </w:r>
                  <w:r>
                    <w:rPr>
                      <w:color w:val="auto"/>
                      <w:kern w:val="0"/>
                      <w:szCs w:val="21"/>
                    </w:rPr>
                    <w:t>（空气=1</w:t>
                  </w:r>
                  <w:r>
                    <w:rPr>
                      <w:rFonts w:hint="eastAsia"/>
                      <w:color w:val="auto"/>
                      <w:kern w:val="0"/>
                      <w:szCs w:val="21"/>
                      <w:lang w:eastAsia="zh-CN"/>
                    </w:rPr>
                    <w:t>）</w:t>
                  </w:r>
                  <w:r>
                    <w:rPr>
                      <w:color w:val="auto"/>
                      <w:kern w:val="0"/>
                      <w:szCs w:val="21"/>
                    </w:rPr>
                    <w:t>：0.6，</w:t>
                  </w:r>
                  <w:r>
                    <w:rPr>
                      <w:rFonts w:hint="eastAsia"/>
                      <w:color w:val="auto"/>
                      <w:kern w:val="0"/>
                      <w:szCs w:val="21"/>
                      <w:lang w:eastAsia="zh-CN"/>
                    </w:rPr>
                    <w:t>饱和蒸气</w:t>
                  </w:r>
                  <w:r>
                    <w:rPr>
                      <w:color w:val="auto"/>
                      <w:kern w:val="0"/>
                      <w:szCs w:val="21"/>
                    </w:rPr>
                    <w:t>压（kPa</w:t>
                  </w:r>
                  <w:r>
                    <w:rPr>
                      <w:rFonts w:hint="eastAsia"/>
                      <w:color w:val="auto"/>
                      <w:kern w:val="0"/>
                      <w:szCs w:val="21"/>
                      <w:lang w:eastAsia="zh-CN"/>
                    </w:rPr>
                    <w:t>）</w:t>
                  </w:r>
                  <w:r>
                    <w:rPr>
                      <w:color w:val="auto"/>
                      <w:kern w:val="0"/>
                      <w:szCs w:val="21"/>
                    </w:rPr>
                    <w:t>：53.32（-168.8℃），燃烧热（KJ/mol）：890.8，临界温度（℃）：-82.25，临界压力（MPa</w:t>
                  </w:r>
                  <w:r>
                    <w:rPr>
                      <w:rFonts w:hint="eastAsia"/>
                      <w:color w:val="auto"/>
                      <w:kern w:val="0"/>
                      <w:szCs w:val="21"/>
                      <w:lang w:eastAsia="zh-CN"/>
                    </w:rPr>
                    <w:t>）</w:t>
                  </w:r>
                  <w:r>
                    <w:rPr>
                      <w:color w:val="auto"/>
                      <w:kern w:val="0"/>
                      <w:szCs w:val="21"/>
                    </w:rPr>
                    <w:t>：4.59，辛醇/水分配系数：1.09，闪点（℃）：-218，引燃温度（℃）：537，爆炸下限</w:t>
                  </w:r>
                  <w:r>
                    <w:rPr>
                      <w:color w:val="auto"/>
                      <w:szCs w:val="21"/>
                    </w:rPr>
                    <w:t>[%（V/V</w:t>
                  </w:r>
                  <w:r>
                    <w:rPr>
                      <w:rFonts w:hint="eastAsia"/>
                      <w:color w:val="auto"/>
                      <w:szCs w:val="21"/>
                      <w:lang w:eastAsia="zh-CN"/>
                    </w:rPr>
                    <w:t>）</w:t>
                  </w:r>
                  <w:r>
                    <w:rPr>
                      <w:color w:val="auto"/>
                      <w:szCs w:val="21"/>
                    </w:rPr>
                    <w:t>]：5，</w:t>
                  </w:r>
                  <w:r>
                    <w:rPr>
                      <w:color w:val="auto"/>
                      <w:kern w:val="0"/>
                      <w:szCs w:val="21"/>
                    </w:rPr>
                    <w:t>爆炸上限</w:t>
                  </w:r>
                  <w:r>
                    <w:rPr>
                      <w:color w:val="auto"/>
                      <w:szCs w:val="21"/>
                    </w:rPr>
                    <w:t>[%（V/V</w:t>
                  </w:r>
                  <w:r>
                    <w:rPr>
                      <w:rFonts w:hint="eastAsia"/>
                      <w:color w:val="auto"/>
                      <w:szCs w:val="21"/>
                      <w:lang w:eastAsia="zh-CN"/>
                    </w:rPr>
                    <w:t>）</w:t>
                  </w:r>
                  <w:r>
                    <w:rPr>
                      <w:color w:val="auto"/>
                      <w:szCs w:val="21"/>
                    </w:rPr>
                    <w:t>]：15，溶解性：微溶于水溶于醇、乙醚，禁配物：强氧化剂，强酸、强碱、卤素。</w:t>
                  </w:r>
                </w:p>
              </w:tc>
              <w:tc>
                <w:tcPr>
                  <w:tcW w:w="980" w:type="dxa"/>
                  <w:tcBorders>
                    <w:top w:val="single" w:color="auto" w:sz="12" w:space="0"/>
                    <w:bottom w:val="single" w:color="auto" w:sz="12" w:space="0"/>
                  </w:tcBorders>
                  <w:vAlign w:val="center"/>
                </w:tcPr>
                <w:p w14:paraId="3F87D7F0">
                  <w:pPr>
                    <w:jc w:val="center"/>
                    <w:rPr>
                      <w:color w:val="auto"/>
                      <w:szCs w:val="21"/>
                    </w:rPr>
                  </w:pPr>
                  <w:r>
                    <w:rPr>
                      <w:color w:val="auto"/>
                      <w:szCs w:val="21"/>
                    </w:rPr>
                    <w:t>易燃气体，与空气混合能形成爆炸性混合物。</w:t>
                  </w:r>
                </w:p>
              </w:tc>
              <w:tc>
                <w:tcPr>
                  <w:tcW w:w="3479" w:type="dxa"/>
                  <w:tcBorders>
                    <w:top w:val="single" w:color="auto" w:sz="12" w:space="0"/>
                    <w:bottom w:val="single" w:color="auto" w:sz="12" w:space="0"/>
                  </w:tcBorders>
                  <w:vAlign w:val="center"/>
                </w:tcPr>
                <w:p w14:paraId="635B7E17">
                  <w:pPr>
                    <w:jc w:val="center"/>
                    <w:rPr>
                      <w:iCs/>
                      <w:color w:val="auto"/>
                      <w:szCs w:val="21"/>
                    </w:rPr>
                  </w:pPr>
                  <w:r>
                    <w:rPr>
                      <w:iCs/>
                      <w:color w:val="auto"/>
                      <w:szCs w:val="21"/>
                    </w:rPr>
                    <w:t>空气中甲烷浓度过高，能使人窒息，当空气中甲烷达25%</w:t>
                  </w:r>
                  <w:r>
                    <w:rPr>
                      <w:rFonts w:hint="eastAsia"/>
                      <w:iCs/>
                      <w:color w:val="auto"/>
                      <w:szCs w:val="21"/>
                      <w:lang w:eastAsia="zh-CN"/>
                    </w:rPr>
                    <w:t>～</w:t>
                  </w:r>
                  <w:r>
                    <w:rPr>
                      <w:iCs/>
                      <w:color w:val="auto"/>
                      <w:szCs w:val="21"/>
                    </w:rPr>
                    <w:t>30%时，可引起头痛、头晕、乏力、注意力不集中、呼吸和心跳加速、共济失调。若不及时脱离，可窒息死亡，皮肤接触液化气体可致冻伤。</w:t>
                  </w:r>
                </w:p>
              </w:tc>
            </w:tr>
            <w:tr w14:paraId="4619FA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491" w:type="dxa"/>
                  <w:tcBorders>
                    <w:top w:val="single" w:color="auto" w:sz="12" w:space="0"/>
                  </w:tcBorders>
                  <w:vAlign w:val="center"/>
                </w:tcPr>
                <w:p w14:paraId="7E8607F0">
                  <w:pPr>
                    <w:jc w:val="center"/>
                    <w:rPr>
                      <w:iCs/>
                      <w:color w:val="auto"/>
                      <w:szCs w:val="21"/>
                    </w:rPr>
                  </w:pPr>
                  <w:r>
                    <w:rPr>
                      <w:iCs/>
                      <w:color w:val="auto"/>
                      <w:szCs w:val="21"/>
                    </w:rPr>
                    <w:t>亚克力胶</w:t>
                  </w:r>
                </w:p>
              </w:tc>
              <w:tc>
                <w:tcPr>
                  <w:tcW w:w="3315" w:type="dxa"/>
                  <w:tcBorders>
                    <w:top w:val="single" w:color="auto" w:sz="12" w:space="0"/>
                  </w:tcBorders>
                  <w:vAlign w:val="center"/>
                </w:tcPr>
                <w:p w14:paraId="5793FF01">
                  <w:pPr>
                    <w:jc w:val="center"/>
                    <w:rPr>
                      <w:color w:val="auto"/>
                      <w:szCs w:val="21"/>
                    </w:rPr>
                  </w:pPr>
                  <w:r>
                    <w:rPr>
                      <w:rFonts w:hint="eastAsia"/>
                      <w:color w:val="auto"/>
                      <w:szCs w:val="21"/>
                      <w:lang w:eastAsia="zh-CN"/>
                    </w:rPr>
                    <w:t>67.</w:t>
                  </w:r>
                  <w:r>
                    <w:rPr>
                      <w:color w:val="auto"/>
                      <w:szCs w:val="21"/>
                    </w:rPr>
                    <w:t>双酚A型液体环氧树脂、33%聚氧化丙烯基二胺，其余理化性质无数据</w:t>
                  </w:r>
                </w:p>
              </w:tc>
              <w:tc>
                <w:tcPr>
                  <w:tcW w:w="980" w:type="dxa"/>
                  <w:tcBorders>
                    <w:top w:val="single" w:color="auto" w:sz="12" w:space="0"/>
                  </w:tcBorders>
                  <w:vAlign w:val="center"/>
                </w:tcPr>
                <w:p w14:paraId="49E60788">
                  <w:pPr>
                    <w:jc w:val="center"/>
                    <w:rPr>
                      <w:color w:val="auto"/>
                      <w:szCs w:val="21"/>
                    </w:rPr>
                  </w:pPr>
                  <w:r>
                    <w:rPr>
                      <w:color w:val="auto"/>
                      <w:szCs w:val="21"/>
                    </w:rPr>
                    <w:t>不燃</w:t>
                  </w:r>
                </w:p>
              </w:tc>
              <w:tc>
                <w:tcPr>
                  <w:tcW w:w="3479" w:type="dxa"/>
                  <w:tcBorders>
                    <w:top w:val="single" w:color="auto" w:sz="12" w:space="0"/>
                  </w:tcBorders>
                  <w:vAlign w:val="center"/>
                </w:tcPr>
                <w:p w14:paraId="144A4321">
                  <w:pPr>
                    <w:jc w:val="center"/>
                    <w:rPr>
                      <w:iCs/>
                      <w:color w:val="auto"/>
                      <w:szCs w:val="21"/>
                    </w:rPr>
                  </w:pPr>
                  <w:r>
                    <w:rPr>
                      <w:iCs/>
                      <w:color w:val="auto"/>
                      <w:szCs w:val="21"/>
                    </w:rPr>
                    <w:t>急性毒性</w:t>
                  </w:r>
                  <w:r>
                    <w:rPr>
                      <w:rFonts w:hint="eastAsia"/>
                      <w:iCs/>
                      <w:color w:val="auto"/>
                      <w:szCs w:val="21"/>
                      <w:lang w:eastAsia="zh-CN"/>
                    </w:rPr>
                    <w:t>：</w:t>
                  </w:r>
                  <w:r>
                    <w:rPr>
                      <w:iCs/>
                      <w:color w:val="auto"/>
                      <w:szCs w:val="21"/>
                    </w:rPr>
                    <w:t>经口</w:t>
                  </w:r>
                  <w:r>
                    <w:rPr>
                      <w:rFonts w:hint="eastAsia"/>
                      <w:iCs/>
                      <w:color w:val="auto"/>
                      <w:szCs w:val="21"/>
                      <w:lang w:eastAsia="zh-CN"/>
                    </w:rPr>
                    <w:t>：</w:t>
                  </w:r>
                  <w:r>
                    <w:rPr>
                      <w:iCs/>
                      <w:color w:val="auto"/>
                      <w:szCs w:val="21"/>
                    </w:rPr>
                    <w:t>LD50-rat(female)-&gt;2000mg/kgbw.</w:t>
                  </w:r>
                </w:p>
              </w:tc>
            </w:tr>
          </w:tbl>
          <w:p w14:paraId="6C720E39">
            <w:pPr>
              <w:tabs>
                <w:tab w:val="left" w:pos="720"/>
              </w:tabs>
              <w:adjustRightInd w:val="0"/>
              <w:snapToGrid w:val="0"/>
              <w:spacing w:line="360" w:lineRule="auto"/>
              <w:ind w:firstLine="480" w:firstLineChars="200"/>
              <w:rPr>
                <w:color w:val="auto"/>
                <w:sz w:val="24"/>
              </w:rPr>
            </w:pPr>
            <w:r>
              <w:rPr>
                <w:rFonts w:hint="eastAsia"/>
                <w:color w:val="auto"/>
                <w:sz w:val="24"/>
              </w:rPr>
              <w:t>（3）本项目涉及含VOC物质的限值核算</w:t>
            </w:r>
          </w:p>
          <w:p w14:paraId="1F46E6C2">
            <w:pPr>
              <w:tabs>
                <w:tab w:val="left" w:pos="720"/>
              </w:tabs>
              <w:adjustRightInd w:val="0"/>
              <w:snapToGrid w:val="0"/>
              <w:spacing w:line="360" w:lineRule="auto"/>
              <w:ind w:firstLine="480" w:firstLineChars="200"/>
              <w:rPr>
                <w:rFonts w:hint="default" w:eastAsia="宋体"/>
                <w:color w:val="auto"/>
                <w:sz w:val="24"/>
                <w:lang w:val="en-US" w:eastAsia="zh-CN"/>
              </w:rPr>
            </w:pPr>
            <w:r>
              <w:rPr>
                <w:rFonts w:hint="eastAsia"/>
                <w:color w:val="auto"/>
                <w:sz w:val="24"/>
              </w:rPr>
              <w:t>建设项目使用涉及含VOC的物质有水性漆、油性漆（行业不可替代证明见附件6）、塑粉、碳氢清洗剂、洗网水（行业不可替代证明见附件7，柯萨化妆品陈列设备（昆山）有限公司与本公司为同一投资人投资企业，且亚克力组件生产工序、使用材料均一致，因此碳氢清洗剂、洗网水在本行业是不可替代的）、丝印油墨、各类胶黏剂等，参照企业提供MSDS及VOCs检测报告（见附件8-32）对其限值参照标准进行相符性判定，见表2-6。</w:t>
            </w:r>
          </w:p>
          <w:p w14:paraId="6ADD3007">
            <w:pPr>
              <w:widowControl/>
              <w:autoSpaceDE w:val="0"/>
              <w:autoSpaceDN w:val="0"/>
              <w:adjustRightInd w:val="0"/>
              <w:snapToGrid w:val="0"/>
              <w:jc w:val="center"/>
              <w:rPr>
                <w:rFonts w:hint="eastAsia" w:hAnsiTheme="minorEastAsia" w:eastAsiaTheme="minorEastAsia"/>
                <w:b/>
                <w:color w:val="auto"/>
                <w:kern w:val="0"/>
                <w:sz w:val="24"/>
              </w:rPr>
            </w:pPr>
            <w:r>
              <w:rPr>
                <w:b/>
                <w:color w:val="auto"/>
                <w:sz w:val="24"/>
              </w:rPr>
              <w:t>表2-6</w:t>
            </w:r>
            <w:r>
              <w:rPr>
                <w:rFonts w:hint="eastAsia"/>
                <w:b/>
                <w:color w:val="auto"/>
                <w:sz w:val="24"/>
              </w:rPr>
              <w:t xml:space="preserve"> </w:t>
            </w:r>
            <w:r>
              <w:rPr>
                <w:rFonts w:hint="eastAsia" w:hAnsiTheme="minorEastAsia" w:eastAsiaTheme="minorEastAsia"/>
                <w:b/>
                <w:color w:val="auto"/>
                <w:kern w:val="0"/>
                <w:sz w:val="24"/>
              </w:rPr>
              <w:t>建设项目各类物质VOC</w:t>
            </w:r>
            <w:r>
              <w:rPr>
                <w:rFonts w:hint="eastAsia" w:hAnsiTheme="minorEastAsia" w:eastAsiaTheme="minorEastAsia"/>
                <w:b/>
                <w:color w:val="auto"/>
                <w:kern w:val="0"/>
                <w:sz w:val="24"/>
                <w:vertAlign w:val="subscript"/>
              </w:rPr>
              <w:t>S</w:t>
            </w:r>
            <w:r>
              <w:rPr>
                <w:rFonts w:hint="eastAsia" w:hAnsiTheme="minorEastAsia" w:eastAsiaTheme="minorEastAsia"/>
                <w:b/>
                <w:color w:val="auto"/>
                <w:kern w:val="0"/>
                <w:sz w:val="24"/>
              </w:rPr>
              <w:t>含量的限值相符性分析</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89"/>
              <w:gridCol w:w="810"/>
              <w:gridCol w:w="550"/>
              <w:gridCol w:w="1112"/>
              <w:gridCol w:w="875"/>
              <w:gridCol w:w="700"/>
              <w:gridCol w:w="775"/>
              <w:gridCol w:w="1177"/>
              <w:gridCol w:w="577"/>
            </w:tblGrid>
            <w:tr w14:paraId="7C224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021" w:type="pct"/>
                  <w:vAlign w:val="center"/>
                </w:tcPr>
                <w:p w14:paraId="1F855855">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文件</w:t>
                  </w:r>
                </w:p>
              </w:tc>
              <w:tc>
                <w:tcPr>
                  <w:tcW w:w="490" w:type="pct"/>
                  <w:vAlign w:val="center"/>
                </w:tcPr>
                <w:p w14:paraId="7C191392">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产品类别</w:t>
                  </w:r>
                </w:p>
              </w:tc>
              <w:tc>
                <w:tcPr>
                  <w:tcW w:w="1005" w:type="pct"/>
                  <w:gridSpan w:val="2"/>
                  <w:vAlign w:val="center"/>
                </w:tcPr>
                <w:p w14:paraId="4DEC815F">
                  <w:pPr>
                    <w:autoSpaceDE w:val="0"/>
                    <w:autoSpaceDN w:val="0"/>
                    <w:adjustRightInd w:val="0"/>
                    <w:snapToGrid w:val="0"/>
                    <w:jc w:val="center"/>
                    <w:rPr>
                      <w:rFonts w:hint="default" w:hAnsiTheme="minorEastAsia" w:eastAsiaTheme="minorEastAsia"/>
                      <w:b/>
                      <w:color w:val="auto"/>
                      <w:szCs w:val="21"/>
                      <w:lang w:val="en-US" w:eastAsia="zh-CN"/>
                    </w:rPr>
                  </w:pPr>
                  <w:r>
                    <w:rPr>
                      <w:rFonts w:hint="eastAsia" w:hAnsiTheme="minorEastAsia" w:eastAsiaTheme="minorEastAsia"/>
                      <w:b/>
                      <w:color w:val="auto"/>
                      <w:szCs w:val="21"/>
                      <w:lang w:val="en-US" w:eastAsia="zh-CN"/>
                    </w:rPr>
                    <w:t>主要成分</w:t>
                  </w:r>
                </w:p>
              </w:tc>
              <w:tc>
                <w:tcPr>
                  <w:tcW w:w="529" w:type="pct"/>
                  <w:vAlign w:val="center"/>
                </w:tcPr>
                <w:p w14:paraId="030EAAC8">
                  <w:pPr>
                    <w:autoSpaceDE w:val="0"/>
                    <w:autoSpaceDN w:val="0"/>
                    <w:adjustRightInd w:val="0"/>
                    <w:snapToGrid w:val="0"/>
                    <w:jc w:val="center"/>
                    <w:rPr>
                      <w:rFonts w:hint="default" w:hAnsiTheme="minorEastAsia" w:eastAsiaTheme="minorEastAsia"/>
                      <w:b/>
                      <w:color w:val="auto"/>
                      <w:szCs w:val="21"/>
                      <w:lang w:val="en-US" w:eastAsia="zh-CN"/>
                    </w:rPr>
                  </w:pPr>
                  <w:r>
                    <w:rPr>
                      <w:rFonts w:hint="eastAsia" w:hAnsiTheme="minorEastAsia" w:eastAsiaTheme="minorEastAsia"/>
                      <w:b/>
                      <w:color w:val="auto"/>
                      <w:szCs w:val="21"/>
                      <w:lang w:val="en-US" w:eastAsia="zh-CN"/>
                    </w:rPr>
                    <w:t>主要成分比例</w:t>
                  </w:r>
                </w:p>
              </w:tc>
              <w:tc>
                <w:tcPr>
                  <w:tcW w:w="423" w:type="pct"/>
                  <w:vAlign w:val="center"/>
                </w:tcPr>
                <w:p w14:paraId="74137398">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产品类型</w:t>
                  </w:r>
                </w:p>
              </w:tc>
              <w:tc>
                <w:tcPr>
                  <w:tcW w:w="468" w:type="pct"/>
                  <w:vAlign w:val="center"/>
                </w:tcPr>
                <w:p w14:paraId="676559C8">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限量值/(g/L)</w:t>
                  </w:r>
                </w:p>
              </w:tc>
              <w:tc>
                <w:tcPr>
                  <w:tcW w:w="712" w:type="pct"/>
                  <w:vAlign w:val="center"/>
                </w:tcPr>
                <w:p w14:paraId="23A66A6B">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建设项目VOC含量</w:t>
                  </w:r>
                </w:p>
              </w:tc>
              <w:tc>
                <w:tcPr>
                  <w:tcW w:w="349" w:type="pct"/>
                  <w:vAlign w:val="center"/>
                </w:tcPr>
                <w:p w14:paraId="03FACE0F">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相符性判定</w:t>
                  </w:r>
                </w:p>
              </w:tc>
            </w:tr>
            <w:tr w14:paraId="69DC2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3" w:hRule="atLeast"/>
              </w:trPr>
              <w:tc>
                <w:tcPr>
                  <w:tcW w:w="1021" w:type="pct"/>
                  <w:vMerge w:val="restart"/>
                  <w:vAlign w:val="center"/>
                </w:tcPr>
                <w:p w14:paraId="0A08F7FC">
                  <w:pPr>
                    <w:widowControl/>
                    <w:adjustRightInd w:val="0"/>
                    <w:snapToGrid w:val="0"/>
                    <w:jc w:val="center"/>
                    <w:rPr>
                      <w:rFonts w:hint="eastAsia" w:hAnsiTheme="minorEastAsia" w:eastAsiaTheme="minorEastAsia"/>
                      <w:bCs/>
                      <w:color w:val="auto"/>
                      <w:kern w:val="0"/>
                      <w:szCs w:val="21"/>
                    </w:rPr>
                  </w:pPr>
                  <w:bookmarkStart w:id="5" w:name="OLE_LINK8"/>
                  <w:r>
                    <w:rPr>
                      <w:rFonts w:hint="eastAsia" w:hAnsiTheme="minorEastAsia" w:eastAsiaTheme="minorEastAsia"/>
                      <w:bCs/>
                      <w:color w:val="auto"/>
                      <w:kern w:val="0"/>
                      <w:szCs w:val="21"/>
                    </w:rPr>
                    <w:t>《低挥发性有机化合物含量涂料产品技术要求》（</w:t>
                  </w:r>
                  <w:r>
                    <w:rPr>
                      <w:rFonts w:hAnsiTheme="minorEastAsia" w:eastAsiaTheme="minorEastAsia"/>
                      <w:bCs/>
                      <w:color w:val="auto"/>
                      <w:kern w:val="0"/>
                      <w:szCs w:val="21"/>
                    </w:rPr>
                    <w:t>GB/T38597-2020</w:t>
                  </w:r>
                  <w:r>
                    <w:rPr>
                      <w:rFonts w:hint="eastAsia" w:hAnsiTheme="minorEastAsia" w:eastAsiaTheme="minorEastAsia"/>
                      <w:bCs/>
                      <w:color w:val="auto"/>
                      <w:kern w:val="0"/>
                      <w:szCs w:val="21"/>
                    </w:rPr>
                    <w:t>）</w:t>
                  </w:r>
                  <w:bookmarkEnd w:id="5"/>
                </w:p>
              </w:tc>
              <w:tc>
                <w:tcPr>
                  <w:tcW w:w="490" w:type="pct"/>
                  <w:vMerge w:val="restart"/>
                  <w:vAlign w:val="center"/>
                </w:tcPr>
                <w:p w14:paraId="0B2A060C">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水性涂料</w:t>
                  </w:r>
                </w:p>
              </w:tc>
              <w:tc>
                <w:tcPr>
                  <w:tcW w:w="1005" w:type="pct"/>
                  <w:gridSpan w:val="2"/>
                  <w:vAlign w:val="center"/>
                </w:tcPr>
                <w:p w14:paraId="256F1AF4">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水溶性丙烯酸乳液</w:t>
                  </w:r>
                </w:p>
              </w:tc>
              <w:tc>
                <w:tcPr>
                  <w:tcW w:w="529" w:type="pct"/>
                  <w:vAlign w:val="center"/>
                </w:tcPr>
                <w:p w14:paraId="041C6745">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60.</w:t>
                  </w:r>
                </w:p>
              </w:tc>
              <w:tc>
                <w:tcPr>
                  <w:tcW w:w="423" w:type="pct"/>
                  <w:vMerge w:val="restart"/>
                  <w:vAlign w:val="center"/>
                </w:tcPr>
                <w:p w14:paraId="696871F1">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水性漆</w:t>
                  </w:r>
                </w:p>
              </w:tc>
              <w:tc>
                <w:tcPr>
                  <w:tcW w:w="468" w:type="pct"/>
                  <w:vMerge w:val="restart"/>
                  <w:vAlign w:val="center"/>
                </w:tcPr>
                <w:p w14:paraId="767D9DB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≤250</w:t>
                  </w:r>
                </w:p>
              </w:tc>
              <w:tc>
                <w:tcPr>
                  <w:tcW w:w="712" w:type="pct"/>
                  <w:vMerge w:val="restart"/>
                  <w:vAlign w:val="center"/>
                </w:tcPr>
                <w:p w14:paraId="03C4C350">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含量84g/L</w:t>
                  </w:r>
                </w:p>
              </w:tc>
              <w:tc>
                <w:tcPr>
                  <w:tcW w:w="349" w:type="pct"/>
                  <w:vMerge w:val="restart"/>
                  <w:vAlign w:val="center"/>
                </w:tcPr>
                <w:p w14:paraId="263BDF9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6EE38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3" w:hRule="atLeast"/>
              </w:trPr>
              <w:tc>
                <w:tcPr>
                  <w:tcW w:w="1021" w:type="pct"/>
                  <w:vMerge w:val="continue"/>
                  <w:vAlign w:val="center"/>
                </w:tcPr>
                <w:p w14:paraId="5FF7791B">
                  <w:pPr>
                    <w:widowControl/>
                    <w:adjustRightInd w:val="0"/>
                    <w:snapToGrid w:val="0"/>
                    <w:jc w:val="center"/>
                    <w:rPr>
                      <w:color w:val="auto"/>
                    </w:rPr>
                  </w:pPr>
                </w:p>
              </w:tc>
              <w:tc>
                <w:tcPr>
                  <w:tcW w:w="490" w:type="pct"/>
                  <w:vMerge w:val="continue"/>
                  <w:vAlign w:val="center"/>
                </w:tcPr>
                <w:p w14:paraId="15B03BE8">
                  <w:pPr>
                    <w:widowControl/>
                    <w:adjustRightInd w:val="0"/>
                    <w:snapToGrid w:val="0"/>
                    <w:jc w:val="center"/>
                    <w:rPr>
                      <w:color w:val="auto"/>
                    </w:rPr>
                  </w:pPr>
                </w:p>
              </w:tc>
              <w:tc>
                <w:tcPr>
                  <w:tcW w:w="1005" w:type="pct"/>
                  <w:gridSpan w:val="2"/>
                  <w:vAlign w:val="center"/>
                </w:tcPr>
                <w:p w14:paraId="1428854F">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钛白粉</w:t>
                  </w:r>
                </w:p>
              </w:tc>
              <w:tc>
                <w:tcPr>
                  <w:tcW w:w="529" w:type="pct"/>
                  <w:vAlign w:val="center"/>
                </w:tcPr>
                <w:p w14:paraId="5A7EED8D">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25.</w:t>
                  </w:r>
                </w:p>
              </w:tc>
              <w:tc>
                <w:tcPr>
                  <w:tcW w:w="423" w:type="pct"/>
                  <w:vMerge w:val="continue"/>
                  <w:vAlign w:val="center"/>
                </w:tcPr>
                <w:p w14:paraId="7F64CCA0">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684B0D73">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DFFF735">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3B4423DD">
                  <w:pPr>
                    <w:widowControl/>
                    <w:adjustRightInd w:val="0"/>
                    <w:snapToGrid w:val="0"/>
                    <w:jc w:val="center"/>
                    <w:rPr>
                      <w:rFonts w:hint="eastAsia" w:hAnsiTheme="minorEastAsia" w:eastAsiaTheme="minorEastAsia"/>
                      <w:bCs/>
                      <w:color w:val="auto"/>
                      <w:kern w:val="0"/>
                      <w:szCs w:val="21"/>
                    </w:rPr>
                  </w:pPr>
                </w:p>
              </w:tc>
            </w:tr>
            <w:tr w14:paraId="0B55E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3" w:hRule="atLeast"/>
              </w:trPr>
              <w:tc>
                <w:tcPr>
                  <w:tcW w:w="1021" w:type="pct"/>
                  <w:vMerge w:val="continue"/>
                  <w:vAlign w:val="center"/>
                </w:tcPr>
                <w:p w14:paraId="5841E24C">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1D45F507">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00ED4C31">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纯水</w:t>
                  </w:r>
                </w:p>
              </w:tc>
              <w:tc>
                <w:tcPr>
                  <w:tcW w:w="529" w:type="pct"/>
                  <w:vAlign w:val="center"/>
                </w:tcPr>
                <w:p w14:paraId="33308559">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10.</w:t>
                  </w:r>
                </w:p>
              </w:tc>
              <w:tc>
                <w:tcPr>
                  <w:tcW w:w="423" w:type="pct"/>
                  <w:vMerge w:val="continue"/>
                  <w:vAlign w:val="center"/>
                </w:tcPr>
                <w:p w14:paraId="1ABBBD63">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7EF5215C">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05054D2">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30977C5D">
                  <w:pPr>
                    <w:widowControl/>
                    <w:adjustRightInd w:val="0"/>
                    <w:snapToGrid w:val="0"/>
                    <w:jc w:val="center"/>
                    <w:rPr>
                      <w:rFonts w:hint="eastAsia" w:hAnsiTheme="minorEastAsia" w:eastAsiaTheme="minorEastAsia"/>
                      <w:bCs/>
                      <w:color w:val="auto"/>
                      <w:kern w:val="0"/>
                      <w:szCs w:val="21"/>
                    </w:rPr>
                  </w:pPr>
                </w:p>
              </w:tc>
            </w:tr>
            <w:tr w14:paraId="2F940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3" w:hRule="atLeast"/>
              </w:trPr>
              <w:tc>
                <w:tcPr>
                  <w:tcW w:w="1021" w:type="pct"/>
                  <w:vMerge w:val="continue"/>
                  <w:vAlign w:val="center"/>
                </w:tcPr>
                <w:p w14:paraId="1237084B">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6674BCBE">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0CC1F48A">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助剂</w:t>
                  </w:r>
                </w:p>
              </w:tc>
              <w:tc>
                <w:tcPr>
                  <w:tcW w:w="529" w:type="pct"/>
                  <w:vAlign w:val="center"/>
                </w:tcPr>
                <w:p w14:paraId="7C91FD8D">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5.</w:t>
                  </w:r>
                </w:p>
              </w:tc>
              <w:tc>
                <w:tcPr>
                  <w:tcW w:w="423" w:type="pct"/>
                  <w:vMerge w:val="continue"/>
                  <w:vAlign w:val="center"/>
                </w:tcPr>
                <w:p w14:paraId="16211093">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23DB83F">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1564E0A0">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0ED9FF21">
                  <w:pPr>
                    <w:widowControl/>
                    <w:adjustRightInd w:val="0"/>
                    <w:snapToGrid w:val="0"/>
                    <w:jc w:val="center"/>
                    <w:rPr>
                      <w:rFonts w:hint="eastAsia" w:hAnsiTheme="minorEastAsia" w:eastAsiaTheme="minorEastAsia"/>
                      <w:bCs/>
                      <w:color w:val="auto"/>
                      <w:kern w:val="0"/>
                      <w:szCs w:val="21"/>
                    </w:rPr>
                  </w:pPr>
                </w:p>
              </w:tc>
            </w:tr>
            <w:tr w14:paraId="510A7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1021" w:type="pct"/>
                  <w:vMerge w:val="continue"/>
                  <w:vAlign w:val="center"/>
                </w:tcPr>
                <w:p w14:paraId="5EAA2640">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59AA929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溶剂型涂料*</w:t>
                  </w:r>
                </w:p>
              </w:tc>
              <w:tc>
                <w:tcPr>
                  <w:tcW w:w="1005" w:type="pct"/>
                  <w:gridSpan w:val="2"/>
                  <w:vAlign w:val="center"/>
                </w:tcPr>
                <w:p w14:paraId="3C0BE07E">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醇酸树脂</w:t>
                  </w:r>
                </w:p>
              </w:tc>
              <w:tc>
                <w:tcPr>
                  <w:tcW w:w="529" w:type="pct"/>
                  <w:vAlign w:val="center"/>
                </w:tcPr>
                <w:p w14:paraId="24D59762">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75.</w:t>
                  </w:r>
                </w:p>
              </w:tc>
              <w:tc>
                <w:tcPr>
                  <w:tcW w:w="423" w:type="pct"/>
                  <w:vMerge w:val="restart"/>
                  <w:vAlign w:val="center"/>
                </w:tcPr>
                <w:p w14:paraId="262223D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油性漆</w:t>
                  </w:r>
                </w:p>
              </w:tc>
              <w:tc>
                <w:tcPr>
                  <w:tcW w:w="468" w:type="pct"/>
                  <w:vMerge w:val="restart"/>
                  <w:vAlign w:val="center"/>
                </w:tcPr>
                <w:p w14:paraId="16CE8878">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≤420</w:t>
                  </w:r>
                </w:p>
              </w:tc>
              <w:tc>
                <w:tcPr>
                  <w:tcW w:w="712" w:type="pct"/>
                  <w:vMerge w:val="restart"/>
                  <w:vAlign w:val="center"/>
                </w:tcPr>
                <w:p w14:paraId="06CDAFE9">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含量354g/L</w:t>
                  </w:r>
                </w:p>
              </w:tc>
              <w:tc>
                <w:tcPr>
                  <w:tcW w:w="349" w:type="pct"/>
                  <w:vMerge w:val="restart"/>
                  <w:vAlign w:val="center"/>
                </w:tcPr>
                <w:p w14:paraId="505EDFFA">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41BD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1021" w:type="pct"/>
                  <w:vMerge w:val="continue"/>
                  <w:vAlign w:val="center"/>
                </w:tcPr>
                <w:p w14:paraId="189AE0A9">
                  <w:pPr>
                    <w:widowControl/>
                    <w:adjustRightInd w:val="0"/>
                    <w:snapToGrid w:val="0"/>
                    <w:jc w:val="center"/>
                    <w:rPr>
                      <w:color w:val="auto"/>
                    </w:rPr>
                  </w:pPr>
                </w:p>
              </w:tc>
              <w:tc>
                <w:tcPr>
                  <w:tcW w:w="490" w:type="pct"/>
                  <w:vMerge w:val="continue"/>
                  <w:vAlign w:val="center"/>
                </w:tcPr>
                <w:p w14:paraId="61EC7850">
                  <w:pPr>
                    <w:widowControl/>
                    <w:adjustRightInd w:val="0"/>
                    <w:snapToGrid w:val="0"/>
                    <w:jc w:val="center"/>
                    <w:rPr>
                      <w:color w:val="auto"/>
                    </w:rPr>
                  </w:pPr>
                </w:p>
              </w:tc>
              <w:tc>
                <w:tcPr>
                  <w:tcW w:w="1005" w:type="pct"/>
                  <w:gridSpan w:val="2"/>
                  <w:vAlign w:val="center"/>
                </w:tcPr>
                <w:p w14:paraId="78AAF905">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滑石粉</w:t>
                  </w:r>
                </w:p>
              </w:tc>
              <w:tc>
                <w:tcPr>
                  <w:tcW w:w="529" w:type="pct"/>
                  <w:vAlign w:val="center"/>
                </w:tcPr>
                <w:p w14:paraId="1FF7E295">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16.</w:t>
                  </w:r>
                </w:p>
              </w:tc>
              <w:tc>
                <w:tcPr>
                  <w:tcW w:w="423" w:type="pct"/>
                  <w:vMerge w:val="continue"/>
                  <w:vAlign w:val="center"/>
                </w:tcPr>
                <w:p w14:paraId="526B8175">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131B9DB4">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0B0BE57">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7511630C">
                  <w:pPr>
                    <w:widowControl/>
                    <w:adjustRightInd w:val="0"/>
                    <w:snapToGrid w:val="0"/>
                    <w:jc w:val="center"/>
                    <w:rPr>
                      <w:rFonts w:hint="eastAsia" w:hAnsiTheme="minorEastAsia" w:eastAsiaTheme="minorEastAsia"/>
                      <w:bCs/>
                      <w:color w:val="auto"/>
                      <w:kern w:val="0"/>
                      <w:szCs w:val="21"/>
                    </w:rPr>
                  </w:pPr>
                </w:p>
              </w:tc>
            </w:tr>
            <w:tr w14:paraId="03BD4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1021" w:type="pct"/>
                  <w:vMerge w:val="continue"/>
                  <w:vAlign w:val="center"/>
                </w:tcPr>
                <w:p w14:paraId="4EAFCEAE">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199DE116">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559E874A">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醋酸丁酯</w:t>
                  </w:r>
                </w:p>
              </w:tc>
              <w:tc>
                <w:tcPr>
                  <w:tcW w:w="529" w:type="pct"/>
                  <w:vAlign w:val="center"/>
                </w:tcPr>
                <w:p w14:paraId="043AB865">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8.</w:t>
                  </w:r>
                </w:p>
              </w:tc>
              <w:tc>
                <w:tcPr>
                  <w:tcW w:w="423" w:type="pct"/>
                  <w:vMerge w:val="continue"/>
                  <w:vAlign w:val="center"/>
                </w:tcPr>
                <w:p w14:paraId="0770A451">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1C27D297">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1ED36286">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2953C69B">
                  <w:pPr>
                    <w:widowControl/>
                    <w:adjustRightInd w:val="0"/>
                    <w:snapToGrid w:val="0"/>
                    <w:jc w:val="center"/>
                    <w:rPr>
                      <w:rFonts w:hint="eastAsia" w:hAnsiTheme="minorEastAsia" w:eastAsiaTheme="minorEastAsia"/>
                      <w:bCs/>
                      <w:color w:val="auto"/>
                      <w:kern w:val="0"/>
                      <w:szCs w:val="21"/>
                    </w:rPr>
                  </w:pPr>
                </w:p>
              </w:tc>
            </w:tr>
            <w:tr w14:paraId="0DB19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1021" w:type="pct"/>
                  <w:vMerge w:val="continue"/>
                  <w:vAlign w:val="center"/>
                </w:tcPr>
                <w:p w14:paraId="0EEE84EE">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650F608A">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1A6AF554">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消泡剂</w:t>
                  </w:r>
                </w:p>
              </w:tc>
              <w:tc>
                <w:tcPr>
                  <w:tcW w:w="529" w:type="pct"/>
                  <w:vAlign w:val="center"/>
                </w:tcPr>
                <w:p w14:paraId="54B7ABC2">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0.5%</w:t>
                  </w:r>
                </w:p>
              </w:tc>
              <w:tc>
                <w:tcPr>
                  <w:tcW w:w="423" w:type="pct"/>
                  <w:vMerge w:val="continue"/>
                  <w:vAlign w:val="center"/>
                </w:tcPr>
                <w:p w14:paraId="01271A2B">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F24C85A">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687CF06">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2ABA8F3">
                  <w:pPr>
                    <w:widowControl/>
                    <w:adjustRightInd w:val="0"/>
                    <w:snapToGrid w:val="0"/>
                    <w:jc w:val="center"/>
                    <w:rPr>
                      <w:rFonts w:hint="eastAsia" w:hAnsiTheme="minorEastAsia" w:eastAsiaTheme="minorEastAsia"/>
                      <w:bCs/>
                      <w:color w:val="auto"/>
                      <w:kern w:val="0"/>
                      <w:szCs w:val="21"/>
                    </w:rPr>
                  </w:pPr>
                </w:p>
              </w:tc>
            </w:tr>
            <w:tr w14:paraId="1D53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1021" w:type="pct"/>
                  <w:vMerge w:val="continue"/>
                  <w:vAlign w:val="center"/>
                </w:tcPr>
                <w:p w14:paraId="624847D5">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455A048A">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64DE1ACA">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流平剂</w:t>
                  </w:r>
                </w:p>
              </w:tc>
              <w:tc>
                <w:tcPr>
                  <w:tcW w:w="529" w:type="pct"/>
                  <w:vAlign w:val="center"/>
                </w:tcPr>
                <w:p w14:paraId="6172E8E6">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0.5%</w:t>
                  </w:r>
                </w:p>
              </w:tc>
              <w:tc>
                <w:tcPr>
                  <w:tcW w:w="423" w:type="pct"/>
                  <w:vMerge w:val="continue"/>
                  <w:vAlign w:val="center"/>
                </w:tcPr>
                <w:p w14:paraId="3DF16763">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0B1CBBDF">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3C799AE2">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0A36C3BD">
                  <w:pPr>
                    <w:widowControl/>
                    <w:adjustRightInd w:val="0"/>
                    <w:snapToGrid w:val="0"/>
                    <w:jc w:val="center"/>
                    <w:rPr>
                      <w:rFonts w:hint="eastAsia" w:hAnsiTheme="minorEastAsia" w:eastAsiaTheme="minorEastAsia"/>
                      <w:bCs/>
                      <w:color w:val="auto"/>
                      <w:kern w:val="0"/>
                      <w:szCs w:val="21"/>
                    </w:rPr>
                  </w:pPr>
                </w:p>
              </w:tc>
            </w:tr>
            <w:tr w14:paraId="676A3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4" w:hRule="atLeast"/>
              </w:trPr>
              <w:tc>
                <w:tcPr>
                  <w:tcW w:w="1021" w:type="pct"/>
                  <w:vMerge w:val="continue"/>
                  <w:vAlign w:val="center"/>
                </w:tcPr>
                <w:p w14:paraId="4C1F1DF1">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06286ED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无溶剂涂料</w:t>
                  </w:r>
                </w:p>
              </w:tc>
              <w:tc>
                <w:tcPr>
                  <w:tcW w:w="1005" w:type="pct"/>
                  <w:gridSpan w:val="2"/>
                  <w:vAlign w:val="center"/>
                </w:tcPr>
                <w:p w14:paraId="719A1BA8">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聚酯树脂</w:t>
                  </w:r>
                </w:p>
              </w:tc>
              <w:tc>
                <w:tcPr>
                  <w:tcW w:w="529" w:type="pct"/>
                  <w:vAlign w:val="center"/>
                </w:tcPr>
                <w:p w14:paraId="5D7DB260">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73.</w:t>
                  </w:r>
                </w:p>
              </w:tc>
              <w:tc>
                <w:tcPr>
                  <w:tcW w:w="423" w:type="pct"/>
                  <w:vMerge w:val="restart"/>
                  <w:vAlign w:val="center"/>
                </w:tcPr>
                <w:p w14:paraId="308C1F44">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塑粉</w:t>
                  </w:r>
                </w:p>
              </w:tc>
              <w:tc>
                <w:tcPr>
                  <w:tcW w:w="468" w:type="pct"/>
                  <w:vMerge w:val="restart"/>
                  <w:vAlign w:val="center"/>
                </w:tcPr>
                <w:p w14:paraId="4DECDEDC">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≤60</w:t>
                  </w:r>
                </w:p>
              </w:tc>
              <w:tc>
                <w:tcPr>
                  <w:tcW w:w="712" w:type="pct"/>
                  <w:vMerge w:val="restart"/>
                  <w:vAlign w:val="center"/>
                </w:tcPr>
                <w:p w14:paraId="1F16E7FE">
                  <w:pPr>
                    <w:widowControl/>
                    <w:adjustRightInd w:val="0"/>
                    <w:snapToGrid w:val="0"/>
                    <w:jc w:val="center"/>
                    <w:rPr>
                      <w:rFonts w:hint="eastAsia" w:hAnsi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含量0.0073%</w:t>
                  </w:r>
                  <w:r>
                    <w:rPr>
                      <w:rFonts w:hint="eastAsia"/>
                      <w:color w:val="auto"/>
                    </w:rPr>
                    <w:t>*</w:t>
                  </w:r>
                </w:p>
              </w:tc>
              <w:tc>
                <w:tcPr>
                  <w:tcW w:w="349" w:type="pct"/>
                  <w:vMerge w:val="restart"/>
                  <w:vAlign w:val="center"/>
                </w:tcPr>
                <w:p w14:paraId="27B65B8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27C2D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4" w:hRule="atLeast"/>
              </w:trPr>
              <w:tc>
                <w:tcPr>
                  <w:tcW w:w="1021" w:type="pct"/>
                  <w:vMerge w:val="continue"/>
                  <w:vAlign w:val="center"/>
                </w:tcPr>
                <w:p w14:paraId="46A50E8F">
                  <w:pPr>
                    <w:widowControl/>
                    <w:adjustRightInd w:val="0"/>
                    <w:snapToGrid w:val="0"/>
                    <w:jc w:val="center"/>
                    <w:rPr>
                      <w:color w:val="auto"/>
                    </w:rPr>
                  </w:pPr>
                </w:p>
              </w:tc>
              <w:tc>
                <w:tcPr>
                  <w:tcW w:w="490" w:type="pct"/>
                  <w:vMerge w:val="continue"/>
                  <w:vAlign w:val="center"/>
                </w:tcPr>
                <w:p w14:paraId="0DEA0AE2">
                  <w:pPr>
                    <w:widowControl/>
                    <w:adjustRightInd w:val="0"/>
                    <w:snapToGrid w:val="0"/>
                    <w:jc w:val="center"/>
                    <w:rPr>
                      <w:color w:val="auto"/>
                    </w:rPr>
                  </w:pPr>
                </w:p>
              </w:tc>
              <w:tc>
                <w:tcPr>
                  <w:tcW w:w="1005" w:type="pct"/>
                  <w:gridSpan w:val="2"/>
                  <w:vAlign w:val="center"/>
                </w:tcPr>
                <w:p w14:paraId="28DD619B">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二、氧化钛、固化剂</w:t>
                  </w:r>
                </w:p>
              </w:tc>
              <w:tc>
                <w:tcPr>
                  <w:tcW w:w="529" w:type="pct"/>
                  <w:vAlign w:val="center"/>
                </w:tcPr>
                <w:p w14:paraId="11562DA6">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6.</w:t>
                  </w:r>
                </w:p>
              </w:tc>
              <w:tc>
                <w:tcPr>
                  <w:tcW w:w="423" w:type="pct"/>
                  <w:vMerge w:val="continue"/>
                  <w:vAlign w:val="center"/>
                </w:tcPr>
                <w:p w14:paraId="3B41CE1B">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01AAD11">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E58985F">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6E8FA82F">
                  <w:pPr>
                    <w:widowControl/>
                    <w:adjustRightInd w:val="0"/>
                    <w:snapToGrid w:val="0"/>
                    <w:jc w:val="center"/>
                    <w:rPr>
                      <w:rFonts w:hint="eastAsia" w:hAnsiTheme="minorEastAsia" w:eastAsiaTheme="minorEastAsia"/>
                      <w:bCs/>
                      <w:color w:val="auto"/>
                      <w:kern w:val="0"/>
                      <w:szCs w:val="21"/>
                    </w:rPr>
                  </w:pPr>
                </w:p>
              </w:tc>
            </w:tr>
            <w:tr w14:paraId="18139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4" w:hRule="atLeast"/>
              </w:trPr>
              <w:tc>
                <w:tcPr>
                  <w:tcW w:w="1021" w:type="pct"/>
                  <w:vMerge w:val="continue"/>
                  <w:vAlign w:val="center"/>
                </w:tcPr>
                <w:p w14:paraId="6E5D1F70">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74026EAE">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1F1CDBF7">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填料</w:t>
                  </w:r>
                </w:p>
              </w:tc>
              <w:tc>
                <w:tcPr>
                  <w:tcW w:w="529" w:type="pct"/>
                  <w:vAlign w:val="center"/>
                </w:tcPr>
                <w:p w14:paraId="26BEC4E7">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16.</w:t>
                  </w:r>
                </w:p>
              </w:tc>
              <w:tc>
                <w:tcPr>
                  <w:tcW w:w="423" w:type="pct"/>
                  <w:vMerge w:val="continue"/>
                  <w:vAlign w:val="center"/>
                </w:tcPr>
                <w:p w14:paraId="68DBD4CF">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52302DF">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2CBC48E6">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4250E62E">
                  <w:pPr>
                    <w:widowControl/>
                    <w:adjustRightInd w:val="0"/>
                    <w:snapToGrid w:val="0"/>
                    <w:jc w:val="center"/>
                    <w:rPr>
                      <w:rFonts w:hint="eastAsia" w:hAnsiTheme="minorEastAsia" w:eastAsiaTheme="minorEastAsia"/>
                      <w:bCs/>
                      <w:color w:val="auto"/>
                      <w:kern w:val="0"/>
                      <w:szCs w:val="21"/>
                    </w:rPr>
                  </w:pPr>
                </w:p>
              </w:tc>
            </w:tr>
            <w:tr w14:paraId="7E535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4" w:hRule="atLeast"/>
              </w:trPr>
              <w:tc>
                <w:tcPr>
                  <w:tcW w:w="1021" w:type="pct"/>
                  <w:vMerge w:val="continue"/>
                  <w:vAlign w:val="center"/>
                </w:tcPr>
                <w:p w14:paraId="02FDB517">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69D7F570">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43946EC8">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颜料、助剂</w:t>
                  </w:r>
                </w:p>
              </w:tc>
              <w:tc>
                <w:tcPr>
                  <w:tcW w:w="529" w:type="pct"/>
                  <w:vAlign w:val="center"/>
                </w:tcPr>
                <w:p w14:paraId="62B879B5">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5.</w:t>
                  </w:r>
                </w:p>
              </w:tc>
              <w:tc>
                <w:tcPr>
                  <w:tcW w:w="423" w:type="pct"/>
                  <w:vMerge w:val="continue"/>
                  <w:vAlign w:val="center"/>
                </w:tcPr>
                <w:p w14:paraId="12119F94">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401B1B63">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641AD39F">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48C65B3F">
                  <w:pPr>
                    <w:widowControl/>
                    <w:adjustRightInd w:val="0"/>
                    <w:snapToGrid w:val="0"/>
                    <w:jc w:val="center"/>
                    <w:rPr>
                      <w:rFonts w:hint="eastAsia" w:hAnsiTheme="minorEastAsia" w:eastAsiaTheme="minorEastAsia"/>
                      <w:bCs/>
                      <w:color w:val="auto"/>
                      <w:kern w:val="0"/>
                      <w:szCs w:val="21"/>
                    </w:rPr>
                  </w:pPr>
                </w:p>
              </w:tc>
            </w:tr>
            <w:tr w14:paraId="7FB3D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restart"/>
                  <w:vAlign w:val="center"/>
                </w:tcPr>
                <w:p w14:paraId="4869ED34">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《胶粘剂挥发性有机化合物限量》(GB 33372-2020)</w:t>
                  </w:r>
                </w:p>
              </w:tc>
              <w:tc>
                <w:tcPr>
                  <w:tcW w:w="490" w:type="pct"/>
                  <w:vMerge w:val="restart"/>
                  <w:vAlign w:val="center"/>
                </w:tcPr>
                <w:p w14:paraId="418F8EA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水基型胶粘剂</w:t>
                  </w:r>
                </w:p>
              </w:tc>
              <w:tc>
                <w:tcPr>
                  <w:tcW w:w="1005" w:type="pct"/>
                  <w:gridSpan w:val="2"/>
                  <w:vAlign w:val="center"/>
                </w:tcPr>
                <w:p w14:paraId="12CE192B">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聚醋酸乙烯乳液</w:t>
                  </w:r>
                </w:p>
              </w:tc>
              <w:tc>
                <w:tcPr>
                  <w:tcW w:w="529" w:type="pct"/>
                  <w:vAlign w:val="center"/>
                </w:tcPr>
                <w:p w14:paraId="664404F7">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68.</w:t>
                  </w:r>
                </w:p>
              </w:tc>
              <w:tc>
                <w:tcPr>
                  <w:tcW w:w="423" w:type="pct"/>
                  <w:vMerge w:val="restart"/>
                  <w:vAlign w:val="center"/>
                </w:tcPr>
                <w:p w14:paraId="0D4F14C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白乳胶</w:t>
                  </w:r>
                </w:p>
              </w:tc>
              <w:tc>
                <w:tcPr>
                  <w:tcW w:w="468" w:type="pct"/>
                  <w:vMerge w:val="restart"/>
                  <w:vAlign w:val="center"/>
                </w:tcPr>
                <w:p w14:paraId="2B5E5B8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≤50</w:t>
                  </w:r>
                </w:p>
              </w:tc>
              <w:tc>
                <w:tcPr>
                  <w:tcW w:w="712" w:type="pct"/>
                  <w:vMerge w:val="restart"/>
                  <w:vAlign w:val="center"/>
                </w:tcPr>
                <w:p w14:paraId="1CF91115">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含量3g/L</w:t>
                  </w:r>
                </w:p>
              </w:tc>
              <w:tc>
                <w:tcPr>
                  <w:tcW w:w="349" w:type="pct"/>
                  <w:vMerge w:val="restart"/>
                  <w:vAlign w:val="center"/>
                </w:tcPr>
                <w:p w14:paraId="4A7A202E">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206C4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continue"/>
                  <w:vAlign w:val="center"/>
                </w:tcPr>
                <w:p w14:paraId="1E313D3F">
                  <w:pPr>
                    <w:widowControl/>
                    <w:adjustRightInd w:val="0"/>
                    <w:snapToGrid w:val="0"/>
                    <w:jc w:val="center"/>
                    <w:rPr>
                      <w:color w:val="auto"/>
                    </w:rPr>
                  </w:pPr>
                </w:p>
              </w:tc>
              <w:tc>
                <w:tcPr>
                  <w:tcW w:w="490" w:type="pct"/>
                  <w:vMerge w:val="continue"/>
                  <w:vAlign w:val="center"/>
                </w:tcPr>
                <w:p w14:paraId="2A1B06F8">
                  <w:pPr>
                    <w:widowControl/>
                    <w:adjustRightInd w:val="0"/>
                    <w:snapToGrid w:val="0"/>
                    <w:jc w:val="center"/>
                    <w:rPr>
                      <w:color w:val="auto"/>
                    </w:rPr>
                  </w:pPr>
                </w:p>
              </w:tc>
              <w:tc>
                <w:tcPr>
                  <w:tcW w:w="1005" w:type="pct"/>
                  <w:gridSpan w:val="2"/>
                  <w:vAlign w:val="center"/>
                </w:tcPr>
                <w:p w14:paraId="081611D2">
                  <w:pPr>
                    <w:pStyle w:val="2"/>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乙烯醋酸乙烯乳液</w:t>
                  </w:r>
                </w:p>
              </w:tc>
              <w:tc>
                <w:tcPr>
                  <w:tcW w:w="529" w:type="pct"/>
                  <w:vAlign w:val="center"/>
                </w:tcPr>
                <w:p w14:paraId="299B361F">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lang w:val="en-US" w:eastAsia="zh-CN"/>
                    </w:rPr>
                    <w:t>22.</w:t>
                  </w:r>
                </w:p>
              </w:tc>
              <w:tc>
                <w:tcPr>
                  <w:tcW w:w="423" w:type="pct"/>
                  <w:vMerge w:val="continue"/>
                  <w:vAlign w:val="center"/>
                </w:tcPr>
                <w:p w14:paraId="0E3B711F">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E90829B">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D806C78">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69ADE53D">
                  <w:pPr>
                    <w:widowControl/>
                    <w:adjustRightInd w:val="0"/>
                    <w:snapToGrid w:val="0"/>
                    <w:jc w:val="center"/>
                    <w:rPr>
                      <w:rFonts w:hint="eastAsia" w:hAnsiTheme="minorEastAsia" w:eastAsiaTheme="minorEastAsia"/>
                      <w:bCs/>
                      <w:color w:val="auto"/>
                      <w:kern w:val="0"/>
                      <w:szCs w:val="21"/>
                    </w:rPr>
                  </w:pPr>
                </w:p>
              </w:tc>
            </w:tr>
            <w:tr w14:paraId="678FE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continue"/>
                  <w:vAlign w:val="center"/>
                </w:tcPr>
                <w:p w14:paraId="74973058">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3F7BAD41">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3A0E8B04">
                  <w:pPr>
                    <w:pStyle w:val="2"/>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聚乙烯醇</w:t>
                  </w:r>
                </w:p>
              </w:tc>
              <w:tc>
                <w:tcPr>
                  <w:tcW w:w="529" w:type="pct"/>
                  <w:vAlign w:val="center"/>
                </w:tcPr>
                <w:p w14:paraId="52F0A913">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lang w:val="en-US" w:eastAsia="zh-CN"/>
                    </w:rPr>
                    <w:t>10.</w:t>
                  </w:r>
                </w:p>
              </w:tc>
              <w:tc>
                <w:tcPr>
                  <w:tcW w:w="423" w:type="pct"/>
                  <w:vMerge w:val="continue"/>
                  <w:vAlign w:val="center"/>
                </w:tcPr>
                <w:p w14:paraId="2D805E05">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50347EA">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F7DD06C">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29F922EF">
                  <w:pPr>
                    <w:widowControl/>
                    <w:adjustRightInd w:val="0"/>
                    <w:snapToGrid w:val="0"/>
                    <w:jc w:val="center"/>
                    <w:rPr>
                      <w:rFonts w:hint="eastAsia" w:hAnsiTheme="minorEastAsia" w:eastAsiaTheme="minorEastAsia"/>
                      <w:bCs/>
                      <w:color w:val="auto"/>
                      <w:kern w:val="0"/>
                      <w:szCs w:val="21"/>
                    </w:rPr>
                  </w:pPr>
                </w:p>
              </w:tc>
            </w:tr>
            <w:tr w14:paraId="28C18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continue"/>
                  <w:vAlign w:val="center"/>
                </w:tcPr>
                <w:p w14:paraId="441177E0">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0A431E96">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本体型胶粘剂</w:t>
                  </w:r>
                </w:p>
              </w:tc>
              <w:tc>
                <w:tcPr>
                  <w:tcW w:w="1005" w:type="pct"/>
                  <w:gridSpan w:val="2"/>
                  <w:vAlign w:val="center"/>
                </w:tcPr>
                <w:p w14:paraId="44407760">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lang w:val="en-US" w:eastAsia="zh-CN"/>
                    </w:rPr>
                    <w:t>二、</w:t>
                  </w:r>
                  <w:r>
                    <w:rPr>
                      <w:rFonts w:ascii="Times New Roman" w:hAnsi="Times New Roman" w:cs="Times New Roman"/>
                      <w:color w:val="auto"/>
                      <w:sz w:val="21"/>
                      <w:szCs w:val="21"/>
                      <w:lang w:val="en-US"/>
                    </w:rPr>
                    <w:t>苯基甲烷二异氰酸酯</w:t>
                  </w:r>
                </w:p>
              </w:tc>
              <w:tc>
                <w:tcPr>
                  <w:tcW w:w="529" w:type="pct"/>
                  <w:vAlign w:val="center"/>
                </w:tcPr>
                <w:p w14:paraId="1B122EF7">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15.</w:t>
                  </w:r>
                </w:p>
              </w:tc>
              <w:tc>
                <w:tcPr>
                  <w:tcW w:w="423" w:type="pct"/>
                  <w:vMerge w:val="restart"/>
                  <w:vAlign w:val="center"/>
                </w:tcPr>
                <w:p w14:paraId="71280316">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热熔胶</w:t>
                  </w:r>
                </w:p>
              </w:tc>
              <w:tc>
                <w:tcPr>
                  <w:tcW w:w="468" w:type="pct"/>
                  <w:vMerge w:val="restart"/>
                  <w:vAlign w:val="center"/>
                </w:tcPr>
                <w:p w14:paraId="21536C3A">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≤50</w:t>
                  </w:r>
                </w:p>
              </w:tc>
              <w:tc>
                <w:tcPr>
                  <w:tcW w:w="712" w:type="pct"/>
                  <w:vMerge w:val="restart"/>
                  <w:vAlign w:val="center"/>
                </w:tcPr>
                <w:p w14:paraId="6CFEF6DF">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含量4g/L</w:t>
                  </w:r>
                </w:p>
              </w:tc>
              <w:tc>
                <w:tcPr>
                  <w:tcW w:w="349" w:type="pct"/>
                  <w:vMerge w:val="restart"/>
                  <w:vAlign w:val="center"/>
                </w:tcPr>
                <w:p w14:paraId="73EC888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06CDB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continue"/>
                  <w:vAlign w:val="center"/>
                </w:tcPr>
                <w:p w14:paraId="6BDEC5FB">
                  <w:pPr>
                    <w:widowControl/>
                    <w:adjustRightInd w:val="0"/>
                    <w:snapToGrid w:val="0"/>
                    <w:jc w:val="center"/>
                    <w:rPr>
                      <w:color w:val="auto"/>
                    </w:rPr>
                  </w:pPr>
                </w:p>
              </w:tc>
              <w:tc>
                <w:tcPr>
                  <w:tcW w:w="490" w:type="pct"/>
                  <w:vMerge w:val="continue"/>
                  <w:vAlign w:val="center"/>
                </w:tcPr>
                <w:p w14:paraId="54E89283">
                  <w:pPr>
                    <w:widowControl/>
                    <w:adjustRightInd w:val="0"/>
                    <w:snapToGrid w:val="0"/>
                    <w:jc w:val="center"/>
                    <w:rPr>
                      <w:color w:val="auto"/>
                    </w:rPr>
                  </w:pPr>
                </w:p>
              </w:tc>
              <w:tc>
                <w:tcPr>
                  <w:tcW w:w="1005" w:type="pct"/>
                  <w:gridSpan w:val="2"/>
                  <w:vAlign w:val="center"/>
                </w:tcPr>
                <w:p w14:paraId="08455DCD">
                  <w:pPr>
                    <w:pStyle w:val="2"/>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聚醚多元醇</w:t>
                  </w:r>
                </w:p>
              </w:tc>
              <w:tc>
                <w:tcPr>
                  <w:tcW w:w="529" w:type="pct"/>
                  <w:vAlign w:val="center"/>
                </w:tcPr>
                <w:p w14:paraId="1258436F">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45.</w:t>
                  </w:r>
                </w:p>
              </w:tc>
              <w:tc>
                <w:tcPr>
                  <w:tcW w:w="423" w:type="pct"/>
                  <w:vMerge w:val="continue"/>
                  <w:vAlign w:val="center"/>
                </w:tcPr>
                <w:p w14:paraId="0424A2C3">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7939615C">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189FF6D">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6312FCFF">
                  <w:pPr>
                    <w:widowControl/>
                    <w:adjustRightInd w:val="0"/>
                    <w:snapToGrid w:val="0"/>
                    <w:jc w:val="center"/>
                    <w:rPr>
                      <w:rFonts w:hint="eastAsia" w:hAnsiTheme="minorEastAsia" w:eastAsiaTheme="minorEastAsia"/>
                      <w:bCs/>
                      <w:color w:val="auto"/>
                      <w:kern w:val="0"/>
                      <w:szCs w:val="21"/>
                    </w:rPr>
                  </w:pPr>
                </w:p>
              </w:tc>
            </w:tr>
            <w:tr w14:paraId="03040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1021" w:type="pct"/>
                  <w:vMerge w:val="continue"/>
                  <w:vAlign w:val="center"/>
                </w:tcPr>
                <w:p w14:paraId="14D84E9C">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3063C93E">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76315762">
                  <w:pPr>
                    <w:pStyle w:val="2"/>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聚酯多元醇</w:t>
                  </w:r>
                </w:p>
              </w:tc>
              <w:tc>
                <w:tcPr>
                  <w:tcW w:w="529" w:type="pct"/>
                  <w:vAlign w:val="center"/>
                </w:tcPr>
                <w:p w14:paraId="521575ED">
                  <w:pPr>
                    <w:pStyle w:val="2"/>
                    <w:jc w:val="center"/>
                    <w:rPr>
                      <w:rFonts w:hint="eastAsia" w:hAnsiTheme="minorEastAsia" w:eastAsiaTheme="minorEastAsia"/>
                      <w:bCs/>
                      <w:color w:val="auto"/>
                      <w:kern w:val="0"/>
                      <w:szCs w:val="21"/>
                    </w:rPr>
                  </w:pPr>
                  <w:r>
                    <w:rPr>
                      <w:rFonts w:hint="eastAsia" w:ascii="Times New Roman" w:hAnsi="Times New Roman" w:cs="Times New Roman"/>
                      <w:color w:val="auto"/>
                      <w:sz w:val="21"/>
                      <w:szCs w:val="21"/>
                      <w:vertAlign w:val="baseline"/>
                      <w:lang w:val="en-US" w:eastAsia="zh-CN"/>
                    </w:rPr>
                    <w:t>40.</w:t>
                  </w:r>
                </w:p>
              </w:tc>
              <w:tc>
                <w:tcPr>
                  <w:tcW w:w="423" w:type="pct"/>
                  <w:vMerge w:val="continue"/>
                  <w:vAlign w:val="center"/>
                </w:tcPr>
                <w:p w14:paraId="4A61CF7A">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70B77263">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75BFC2A2">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47E52FF7">
                  <w:pPr>
                    <w:widowControl/>
                    <w:adjustRightInd w:val="0"/>
                    <w:snapToGrid w:val="0"/>
                    <w:jc w:val="center"/>
                    <w:rPr>
                      <w:rFonts w:hint="eastAsia" w:hAnsiTheme="minorEastAsia" w:eastAsiaTheme="minorEastAsia"/>
                      <w:bCs/>
                      <w:color w:val="auto"/>
                      <w:kern w:val="0"/>
                      <w:szCs w:val="21"/>
                    </w:rPr>
                  </w:pPr>
                </w:p>
              </w:tc>
            </w:tr>
            <w:tr w14:paraId="2041F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0ED13622">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330BD15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水基型胶粘剂</w:t>
                  </w:r>
                </w:p>
              </w:tc>
              <w:tc>
                <w:tcPr>
                  <w:tcW w:w="332" w:type="pct"/>
                  <w:vMerge w:val="restart"/>
                  <w:vAlign w:val="center"/>
                </w:tcPr>
                <w:p w14:paraId="1E86D7EC">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A胶</w:t>
                  </w:r>
                </w:p>
              </w:tc>
              <w:tc>
                <w:tcPr>
                  <w:tcW w:w="672" w:type="pct"/>
                  <w:vAlign w:val="center"/>
                </w:tcPr>
                <w:p w14:paraId="71C068D9">
                  <w:pPr>
                    <w:pStyle w:val="2"/>
                    <w:jc w:val="center"/>
                    <w:rPr>
                      <w:rFonts w:hint="eastAsia" w:hAnsiTheme="minorEastAsia" w:eastAsiaTheme="minorEastAsia"/>
                      <w:bCs/>
                      <w:color w:val="auto"/>
                      <w:kern w:val="0"/>
                      <w:szCs w:val="21"/>
                    </w:rPr>
                  </w:pPr>
                  <w:r>
                    <w:rPr>
                      <w:rFonts w:hint="default" w:ascii="Times New Roman" w:hAnsi="Times New Roman" w:cs="Times New Roman"/>
                      <w:color w:val="auto"/>
                      <w:sz w:val="21"/>
                      <w:szCs w:val="21"/>
                      <w:vertAlign w:val="baseline"/>
                      <w:lang w:val="en-US" w:eastAsia="zh-CN"/>
                    </w:rPr>
                    <w:t>丙烯酸塑料</w:t>
                  </w:r>
                </w:p>
              </w:tc>
              <w:tc>
                <w:tcPr>
                  <w:tcW w:w="529" w:type="pct"/>
                  <w:vAlign w:val="center"/>
                </w:tcPr>
                <w:p w14:paraId="3510A35D">
                  <w:pPr>
                    <w:pStyle w:val="2"/>
                    <w:jc w:val="center"/>
                    <w:rPr>
                      <w:rFonts w:hint="eastAsia" w:hAnsiTheme="minorEastAsia" w:eastAsiaTheme="minorEastAsia"/>
                      <w:bCs/>
                      <w:color w:val="auto"/>
                      <w:kern w:val="0"/>
                      <w:szCs w:val="21"/>
                    </w:rPr>
                  </w:pPr>
                  <w:r>
                    <w:rPr>
                      <w:rFonts w:hint="default" w:ascii="Times New Roman" w:hAnsi="Times New Roman" w:cs="Times New Roman"/>
                      <w:color w:val="auto"/>
                      <w:sz w:val="21"/>
                      <w:szCs w:val="21"/>
                      <w:vertAlign w:val="baseline"/>
                      <w:lang w:val="en-US" w:eastAsia="zh-CN"/>
                    </w:rPr>
                    <w:t>30</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60%</w:t>
                  </w:r>
                </w:p>
              </w:tc>
              <w:tc>
                <w:tcPr>
                  <w:tcW w:w="423" w:type="pct"/>
                  <w:vMerge w:val="restart"/>
                  <w:vAlign w:val="center"/>
                </w:tcPr>
                <w:p w14:paraId="75EE918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大理石胶粘剂</w:t>
                  </w:r>
                </w:p>
              </w:tc>
              <w:tc>
                <w:tcPr>
                  <w:tcW w:w="468" w:type="pct"/>
                  <w:vMerge w:val="restart"/>
                  <w:vAlign w:val="center"/>
                </w:tcPr>
                <w:p w14:paraId="17F9D1D8">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≤50</w:t>
                  </w:r>
                </w:p>
              </w:tc>
              <w:tc>
                <w:tcPr>
                  <w:tcW w:w="712" w:type="pct"/>
                  <w:vMerge w:val="restart"/>
                  <w:vAlign w:val="center"/>
                </w:tcPr>
                <w:p w14:paraId="59D44338">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未检出，检出限为2g/L</w:t>
                  </w:r>
                </w:p>
              </w:tc>
              <w:tc>
                <w:tcPr>
                  <w:tcW w:w="349" w:type="pct"/>
                  <w:vMerge w:val="restart"/>
                  <w:vAlign w:val="center"/>
                </w:tcPr>
                <w:p w14:paraId="3D0D7279">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7FE1F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68800D01">
                  <w:pPr>
                    <w:widowControl/>
                    <w:adjustRightInd w:val="0"/>
                    <w:snapToGrid w:val="0"/>
                    <w:jc w:val="center"/>
                    <w:rPr>
                      <w:color w:val="auto"/>
                    </w:rPr>
                  </w:pPr>
                </w:p>
              </w:tc>
              <w:tc>
                <w:tcPr>
                  <w:tcW w:w="490" w:type="pct"/>
                  <w:vMerge w:val="continue"/>
                  <w:vAlign w:val="center"/>
                </w:tcPr>
                <w:p w14:paraId="52BC22F7">
                  <w:pPr>
                    <w:widowControl/>
                    <w:adjustRightInd w:val="0"/>
                    <w:snapToGrid w:val="0"/>
                    <w:jc w:val="center"/>
                    <w:rPr>
                      <w:color w:val="auto"/>
                    </w:rPr>
                  </w:pPr>
                </w:p>
              </w:tc>
              <w:tc>
                <w:tcPr>
                  <w:tcW w:w="332" w:type="pct"/>
                  <w:vMerge w:val="continue"/>
                  <w:vAlign w:val="center"/>
                </w:tcPr>
                <w:p w14:paraId="04722B00">
                  <w:pPr>
                    <w:widowControl/>
                    <w:adjustRightInd w:val="0"/>
                    <w:snapToGrid w:val="0"/>
                    <w:jc w:val="center"/>
                    <w:rPr>
                      <w:color w:val="auto"/>
                    </w:rPr>
                  </w:pPr>
                </w:p>
              </w:tc>
              <w:tc>
                <w:tcPr>
                  <w:tcW w:w="672" w:type="pct"/>
                  <w:vAlign w:val="center"/>
                </w:tcPr>
                <w:p w14:paraId="039705F6">
                  <w:pPr>
                    <w:pStyle w:val="2"/>
                    <w:jc w:val="center"/>
                    <w:rPr>
                      <w:color w:val="auto"/>
                    </w:rPr>
                  </w:pPr>
                  <w:r>
                    <w:rPr>
                      <w:rFonts w:hint="default" w:ascii="Times New Roman" w:hAnsi="Times New Roman" w:cs="Times New Roman"/>
                      <w:color w:val="auto"/>
                      <w:sz w:val="21"/>
                      <w:szCs w:val="21"/>
                      <w:vertAlign w:val="baseline"/>
                      <w:lang w:val="en-US" w:eastAsia="zh-CN"/>
                    </w:rPr>
                    <w:t>氢氧化铝</w:t>
                  </w:r>
                </w:p>
              </w:tc>
              <w:tc>
                <w:tcPr>
                  <w:tcW w:w="529" w:type="pct"/>
                  <w:vAlign w:val="center"/>
                </w:tcPr>
                <w:p w14:paraId="6DE6184F">
                  <w:pPr>
                    <w:pStyle w:val="2"/>
                    <w:jc w:val="center"/>
                    <w:rPr>
                      <w:color w:val="auto"/>
                    </w:rPr>
                  </w:pPr>
                  <w:r>
                    <w:rPr>
                      <w:rFonts w:hint="eastAsia" w:ascii="Times New Roman" w:hAnsi="Times New Roman" w:cs="Times New Roman"/>
                      <w:color w:val="auto"/>
                      <w:sz w:val="21"/>
                      <w:szCs w:val="21"/>
                      <w:lang w:val="en-US" w:eastAsia="zh-CN"/>
                    </w:rPr>
                    <w:t>30.</w:t>
                  </w:r>
                </w:p>
              </w:tc>
              <w:tc>
                <w:tcPr>
                  <w:tcW w:w="423" w:type="pct"/>
                  <w:vMerge w:val="continue"/>
                  <w:vAlign w:val="center"/>
                </w:tcPr>
                <w:p w14:paraId="415C03B5">
                  <w:pPr>
                    <w:widowControl/>
                    <w:adjustRightInd w:val="0"/>
                    <w:snapToGrid w:val="0"/>
                    <w:jc w:val="center"/>
                    <w:rPr>
                      <w:color w:val="auto"/>
                    </w:rPr>
                  </w:pPr>
                </w:p>
              </w:tc>
              <w:tc>
                <w:tcPr>
                  <w:tcW w:w="468" w:type="pct"/>
                  <w:vMerge w:val="continue"/>
                  <w:vAlign w:val="center"/>
                </w:tcPr>
                <w:p w14:paraId="54667D2D">
                  <w:pPr>
                    <w:widowControl/>
                    <w:adjustRightInd w:val="0"/>
                    <w:snapToGrid w:val="0"/>
                    <w:jc w:val="center"/>
                    <w:rPr>
                      <w:color w:val="auto"/>
                    </w:rPr>
                  </w:pPr>
                </w:p>
              </w:tc>
              <w:tc>
                <w:tcPr>
                  <w:tcW w:w="712" w:type="pct"/>
                  <w:vMerge w:val="continue"/>
                  <w:vAlign w:val="center"/>
                </w:tcPr>
                <w:p w14:paraId="2DD999BE">
                  <w:pPr>
                    <w:widowControl/>
                    <w:adjustRightInd w:val="0"/>
                    <w:snapToGrid w:val="0"/>
                    <w:jc w:val="center"/>
                    <w:rPr>
                      <w:color w:val="auto"/>
                    </w:rPr>
                  </w:pPr>
                </w:p>
              </w:tc>
              <w:tc>
                <w:tcPr>
                  <w:tcW w:w="349" w:type="pct"/>
                  <w:vMerge w:val="continue"/>
                  <w:vAlign w:val="center"/>
                </w:tcPr>
                <w:p w14:paraId="76EB8B6A">
                  <w:pPr>
                    <w:widowControl/>
                    <w:adjustRightInd w:val="0"/>
                    <w:snapToGrid w:val="0"/>
                    <w:jc w:val="center"/>
                    <w:rPr>
                      <w:color w:val="auto"/>
                    </w:rPr>
                  </w:pPr>
                </w:p>
              </w:tc>
            </w:tr>
            <w:tr w14:paraId="41DB1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0C0D5B07">
                  <w:pPr>
                    <w:widowControl/>
                    <w:adjustRightInd w:val="0"/>
                    <w:snapToGrid w:val="0"/>
                    <w:jc w:val="center"/>
                    <w:rPr>
                      <w:color w:val="auto"/>
                    </w:rPr>
                  </w:pPr>
                </w:p>
              </w:tc>
              <w:tc>
                <w:tcPr>
                  <w:tcW w:w="490" w:type="pct"/>
                  <w:vMerge w:val="continue"/>
                  <w:vAlign w:val="center"/>
                </w:tcPr>
                <w:p w14:paraId="08663A7C">
                  <w:pPr>
                    <w:widowControl/>
                    <w:adjustRightInd w:val="0"/>
                    <w:snapToGrid w:val="0"/>
                    <w:jc w:val="center"/>
                    <w:rPr>
                      <w:color w:val="auto"/>
                    </w:rPr>
                  </w:pPr>
                </w:p>
              </w:tc>
              <w:tc>
                <w:tcPr>
                  <w:tcW w:w="332" w:type="pct"/>
                  <w:vMerge w:val="continue"/>
                  <w:vAlign w:val="center"/>
                </w:tcPr>
                <w:p w14:paraId="62972FBB">
                  <w:pPr>
                    <w:widowControl/>
                    <w:adjustRightInd w:val="0"/>
                    <w:snapToGrid w:val="0"/>
                    <w:jc w:val="center"/>
                    <w:rPr>
                      <w:color w:val="auto"/>
                    </w:rPr>
                  </w:pPr>
                </w:p>
              </w:tc>
              <w:tc>
                <w:tcPr>
                  <w:tcW w:w="672" w:type="pct"/>
                  <w:vAlign w:val="center"/>
                </w:tcPr>
                <w:p w14:paraId="132C67EB">
                  <w:pPr>
                    <w:pStyle w:val="2"/>
                    <w:jc w:val="center"/>
                    <w:rPr>
                      <w:color w:val="auto"/>
                    </w:rPr>
                  </w:pPr>
                  <w:r>
                    <w:rPr>
                      <w:rFonts w:hint="default" w:ascii="Times New Roman" w:hAnsi="Times New Roman" w:cs="Times New Roman"/>
                      <w:color w:val="auto"/>
                      <w:sz w:val="21"/>
                      <w:szCs w:val="21"/>
                      <w:vertAlign w:val="baseline"/>
                      <w:lang w:val="en-US" w:eastAsia="zh-CN"/>
                    </w:rPr>
                    <w:t>甲基丙烯酸甲酯</w:t>
                  </w:r>
                </w:p>
              </w:tc>
              <w:tc>
                <w:tcPr>
                  <w:tcW w:w="529" w:type="pct"/>
                  <w:vAlign w:val="center"/>
                </w:tcPr>
                <w:p w14:paraId="3E9DE714">
                  <w:pPr>
                    <w:pStyle w:val="2"/>
                    <w:jc w:val="center"/>
                    <w:rPr>
                      <w:color w:val="auto"/>
                    </w:rPr>
                  </w:pPr>
                  <w:r>
                    <w:rPr>
                      <w:rFonts w:hint="default"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20%</w:t>
                  </w:r>
                </w:p>
              </w:tc>
              <w:tc>
                <w:tcPr>
                  <w:tcW w:w="423" w:type="pct"/>
                  <w:vMerge w:val="continue"/>
                  <w:vAlign w:val="center"/>
                </w:tcPr>
                <w:p w14:paraId="1D396121">
                  <w:pPr>
                    <w:widowControl/>
                    <w:adjustRightInd w:val="0"/>
                    <w:snapToGrid w:val="0"/>
                    <w:jc w:val="center"/>
                    <w:rPr>
                      <w:color w:val="auto"/>
                    </w:rPr>
                  </w:pPr>
                </w:p>
              </w:tc>
              <w:tc>
                <w:tcPr>
                  <w:tcW w:w="468" w:type="pct"/>
                  <w:vMerge w:val="continue"/>
                  <w:vAlign w:val="center"/>
                </w:tcPr>
                <w:p w14:paraId="682E42A4">
                  <w:pPr>
                    <w:widowControl/>
                    <w:adjustRightInd w:val="0"/>
                    <w:snapToGrid w:val="0"/>
                    <w:jc w:val="center"/>
                    <w:rPr>
                      <w:color w:val="auto"/>
                    </w:rPr>
                  </w:pPr>
                </w:p>
              </w:tc>
              <w:tc>
                <w:tcPr>
                  <w:tcW w:w="712" w:type="pct"/>
                  <w:vMerge w:val="continue"/>
                  <w:vAlign w:val="center"/>
                </w:tcPr>
                <w:p w14:paraId="6F8F8D03">
                  <w:pPr>
                    <w:widowControl/>
                    <w:adjustRightInd w:val="0"/>
                    <w:snapToGrid w:val="0"/>
                    <w:jc w:val="center"/>
                    <w:rPr>
                      <w:color w:val="auto"/>
                    </w:rPr>
                  </w:pPr>
                </w:p>
              </w:tc>
              <w:tc>
                <w:tcPr>
                  <w:tcW w:w="349" w:type="pct"/>
                  <w:vMerge w:val="continue"/>
                  <w:vAlign w:val="center"/>
                </w:tcPr>
                <w:p w14:paraId="4FEF3F88">
                  <w:pPr>
                    <w:widowControl/>
                    <w:adjustRightInd w:val="0"/>
                    <w:snapToGrid w:val="0"/>
                    <w:jc w:val="center"/>
                    <w:rPr>
                      <w:color w:val="auto"/>
                    </w:rPr>
                  </w:pPr>
                </w:p>
              </w:tc>
            </w:tr>
            <w:tr w14:paraId="2E245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27AFCD40">
                  <w:pPr>
                    <w:widowControl/>
                    <w:adjustRightInd w:val="0"/>
                    <w:snapToGrid w:val="0"/>
                    <w:jc w:val="center"/>
                    <w:rPr>
                      <w:color w:val="auto"/>
                    </w:rPr>
                  </w:pPr>
                </w:p>
              </w:tc>
              <w:tc>
                <w:tcPr>
                  <w:tcW w:w="490" w:type="pct"/>
                  <w:vMerge w:val="continue"/>
                  <w:vAlign w:val="center"/>
                </w:tcPr>
                <w:p w14:paraId="108D321A">
                  <w:pPr>
                    <w:widowControl/>
                    <w:adjustRightInd w:val="0"/>
                    <w:snapToGrid w:val="0"/>
                    <w:jc w:val="center"/>
                    <w:rPr>
                      <w:color w:val="auto"/>
                    </w:rPr>
                  </w:pPr>
                </w:p>
              </w:tc>
              <w:tc>
                <w:tcPr>
                  <w:tcW w:w="332" w:type="pct"/>
                  <w:vMerge w:val="continue"/>
                  <w:vAlign w:val="center"/>
                </w:tcPr>
                <w:p w14:paraId="0AC1F3E4">
                  <w:pPr>
                    <w:widowControl/>
                    <w:adjustRightInd w:val="0"/>
                    <w:snapToGrid w:val="0"/>
                    <w:jc w:val="center"/>
                    <w:rPr>
                      <w:color w:val="auto"/>
                    </w:rPr>
                  </w:pPr>
                </w:p>
              </w:tc>
              <w:tc>
                <w:tcPr>
                  <w:tcW w:w="672" w:type="pct"/>
                  <w:vAlign w:val="center"/>
                </w:tcPr>
                <w:p w14:paraId="2A840B39">
                  <w:pPr>
                    <w:pStyle w:val="2"/>
                    <w:jc w:val="center"/>
                    <w:rPr>
                      <w:color w:val="auto"/>
                    </w:rPr>
                  </w:pPr>
                  <w:r>
                    <w:rPr>
                      <w:rFonts w:hint="default" w:ascii="Times New Roman" w:hAnsi="Times New Roman" w:cs="Times New Roman"/>
                      <w:color w:val="auto"/>
                      <w:sz w:val="21"/>
                      <w:szCs w:val="21"/>
                      <w:vertAlign w:val="baseline"/>
                      <w:lang w:val="en-US" w:eastAsia="zh-CN"/>
                    </w:rPr>
                    <w:t>甲基丙烯酸叔丁酯</w:t>
                  </w:r>
                </w:p>
              </w:tc>
              <w:tc>
                <w:tcPr>
                  <w:tcW w:w="529" w:type="pct"/>
                  <w:vAlign w:val="center"/>
                </w:tcPr>
                <w:p w14:paraId="4B6C156C">
                  <w:pPr>
                    <w:pStyle w:val="2"/>
                    <w:jc w:val="center"/>
                    <w:rPr>
                      <w:color w:val="auto"/>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10%</w:t>
                  </w:r>
                </w:p>
              </w:tc>
              <w:tc>
                <w:tcPr>
                  <w:tcW w:w="423" w:type="pct"/>
                  <w:vMerge w:val="continue"/>
                  <w:vAlign w:val="center"/>
                </w:tcPr>
                <w:p w14:paraId="1F0C04F9">
                  <w:pPr>
                    <w:widowControl/>
                    <w:adjustRightInd w:val="0"/>
                    <w:snapToGrid w:val="0"/>
                    <w:jc w:val="center"/>
                    <w:rPr>
                      <w:color w:val="auto"/>
                    </w:rPr>
                  </w:pPr>
                </w:p>
              </w:tc>
              <w:tc>
                <w:tcPr>
                  <w:tcW w:w="468" w:type="pct"/>
                  <w:vMerge w:val="continue"/>
                  <w:vAlign w:val="center"/>
                </w:tcPr>
                <w:p w14:paraId="57064221">
                  <w:pPr>
                    <w:widowControl/>
                    <w:adjustRightInd w:val="0"/>
                    <w:snapToGrid w:val="0"/>
                    <w:jc w:val="center"/>
                    <w:rPr>
                      <w:color w:val="auto"/>
                    </w:rPr>
                  </w:pPr>
                </w:p>
              </w:tc>
              <w:tc>
                <w:tcPr>
                  <w:tcW w:w="712" w:type="pct"/>
                  <w:vMerge w:val="continue"/>
                  <w:vAlign w:val="center"/>
                </w:tcPr>
                <w:p w14:paraId="5B66E452">
                  <w:pPr>
                    <w:widowControl/>
                    <w:adjustRightInd w:val="0"/>
                    <w:snapToGrid w:val="0"/>
                    <w:jc w:val="center"/>
                    <w:rPr>
                      <w:color w:val="auto"/>
                    </w:rPr>
                  </w:pPr>
                </w:p>
              </w:tc>
              <w:tc>
                <w:tcPr>
                  <w:tcW w:w="349" w:type="pct"/>
                  <w:vMerge w:val="continue"/>
                  <w:vAlign w:val="center"/>
                </w:tcPr>
                <w:p w14:paraId="4EBAE181">
                  <w:pPr>
                    <w:widowControl/>
                    <w:adjustRightInd w:val="0"/>
                    <w:snapToGrid w:val="0"/>
                    <w:jc w:val="center"/>
                    <w:rPr>
                      <w:color w:val="auto"/>
                    </w:rPr>
                  </w:pPr>
                </w:p>
              </w:tc>
            </w:tr>
            <w:tr w14:paraId="6217F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6BB20109">
                  <w:pPr>
                    <w:widowControl/>
                    <w:adjustRightInd w:val="0"/>
                    <w:snapToGrid w:val="0"/>
                    <w:jc w:val="center"/>
                    <w:rPr>
                      <w:color w:val="auto"/>
                    </w:rPr>
                  </w:pPr>
                </w:p>
              </w:tc>
              <w:tc>
                <w:tcPr>
                  <w:tcW w:w="490" w:type="pct"/>
                  <w:vMerge w:val="continue"/>
                  <w:vAlign w:val="center"/>
                </w:tcPr>
                <w:p w14:paraId="7EBC33E4">
                  <w:pPr>
                    <w:widowControl/>
                    <w:adjustRightInd w:val="0"/>
                    <w:snapToGrid w:val="0"/>
                    <w:jc w:val="center"/>
                    <w:rPr>
                      <w:color w:val="auto"/>
                    </w:rPr>
                  </w:pPr>
                </w:p>
              </w:tc>
              <w:tc>
                <w:tcPr>
                  <w:tcW w:w="332" w:type="pct"/>
                  <w:vMerge w:val="continue"/>
                  <w:vAlign w:val="center"/>
                </w:tcPr>
                <w:p w14:paraId="07BDF256">
                  <w:pPr>
                    <w:widowControl/>
                    <w:adjustRightInd w:val="0"/>
                    <w:snapToGrid w:val="0"/>
                    <w:jc w:val="center"/>
                    <w:rPr>
                      <w:color w:val="auto"/>
                    </w:rPr>
                  </w:pPr>
                </w:p>
              </w:tc>
              <w:tc>
                <w:tcPr>
                  <w:tcW w:w="672" w:type="pct"/>
                  <w:vAlign w:val="center"/>
                </w:tcPr>
                <w:p w14:paraId="21C66EC7">
                  <w:pPr>
                    <w:pStyle w:val="2"/>
                    <w:jc w:val="center"/>
                    <w:rPr>
                      <w:color w:val="auto"/>
                    </w:rPr>
                  </w:pPr>
                  <w:r>
                    <w:rPr>
                      <w:rFonts w:hint="eastAsia" w:ascii="Times New Roman" w:hAnsi="Times New Roman" w:cs="Times New Roman"/>
                      <w:color w:val="auto"/>
                      <w:sz w:val="21"/>
                      <w:szCs w:val="21"/>
                      <w:vertAlign w:val="baseline"/>
                      <w:lang w:val="en-US" w:eastAsia="zh-CN"/>
                    </w:rPr>
                    <w:t>二、</w:t>
                  </w:r>
                  <w:r>
                    <w:rPr>
                      <w:rFonts w:hint="default" w:ascii="Times New Roman" w:hAnsi="Times New Roman" w:cs="Times New Roman"/>
                      <w:color w:val="auto"/>
                      <w:sz w:val="21"/>
                      <w:szCs w:val="21"/>
                      <w:vertAlign w:val="baseline"/>
                      <w:lang w:val="en-US" w:eastAsia="zh-CN"/>
                    </w:rPr>
                    <w:t>氧化硅</w:t>
                  </w:r>
                </w:p>
              </w:tc>
              <w:tc>
                <w:tcPr>
                  <w:tcW w:w="529" w:type="pct"/>
                  <w:vAlign w:val="center"/>
                </w:tcPr>
                <w:p w14:paraId="523D33FD">
                  <w:pPr>
                    <w:pStyle w:val="2"/>
                    <w:jc w:val="center"/>
                    <w:rPr>
                      <w:color w:val="auto"/>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10%</w:t>
                  </w:r>
                </w:p>
              </w:tc>
              <w:tc>
                <w:tcPr>
                  <w:tcW w:w="423" w:type="pct"/>
                  <w:vMerge w:val="continue"/>
                  <w:vAlign w:val="center"/>
                </w:tcPr>
                <w:p w14:paraId="5C0DA528">
                  <w:pPr>
                    <w:widowControl/>
                    <w:adjustRightInd w:val="0"/>
                    <w:snapToGrid w:val="0"/>
                    <w:jc w:val="center"/>
                    <w:rPr>
                      <w:color w:val="auto"/>
                    </w:rPr>
                  </w:pPr>
                </w:p>
              </w:tc>
              <w:tc>
                <w:tcPr>
                  <w:tcW w:w="468" w:type="pct"/>
                  <w:vMerge w:val="continue"/>
                  <w:vAlign w:val="center"/>
                </w:tcPr>
                <w:p w14:paraId="32CB0555">
                  <w:pPr>
                    <w:widowControl/>
                    <w:adjustRightInd w:val="0"/>
                    <w:snapToGrid w:val="0"/>
                    <w:jc w:val="center"/>
                    <w:rPr>
                      <w:color w:val="auto"/>
                    </w:rPr>
                  </w:pPr>
                </w:p>
              </w:tc>
              <w:tc>
                <w:tcPr>
                  <w:tcW w:w="712" w:type="pct"/>
                  <w:vMerge w:val="continue"/>
                  <w:vAlign w:val="center"/>
                </w:tcPr>
                <w:p w14:paraId="30D0DA43">
                  <w:pPr>
                    <w:widowControl/>
                    <w:adjustRightInd w:val="0"/>
                    <w:snapToGrid w:val="0"/>
                    <w:jc w:val="center"/>
                    <w:rPr>
                      <w:color w:val="auto"/>
                    </w:rPr>
                  </w:pPr>
                </w:p>
              </w:tc>
              <w:tc>
                <w:tcPr>
                  <w:tcW w:w="349" w:type="pct"/>
                  <w:vMerge w:val="continue"/>
                  <w:vAlign w:val="center"/>
                </w:tcPr>
                <w:p w14:paraId="34C99B18">
                  <w:pPr>
                    <w:widowControl/>
                    <w:adjustRightInd w:val="0"/>
                    <w:snapToGrid w:val="0"/>
                    <w:jc w:val="center"/>
                    <w:rPr>
                      <w:color w:val="auto"/>
                    </w:rPr>
                  </w:pPr>
                </w:p>
              </w:tc>
            </w:tr>
            <w:tr w14:paraId="152B9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6CFA77A0">
                  <w:pPr>
                    <w:widowControl/>
                    <w:adjustRightInd w:val="0"/>
                    <w:snapToGrid w:val="0"/>
                    <w:jc w:val="center"/>
                    <w:rPr>
                      <w:color w:val="auto"/>
                    </w:rPr>
                  </w:pPr>
                </w:p>
              </w:tc>
              <w:tc>
                <w:tcPr>
                  <w:tcW w:w="490" w:type="pct"/>
                  <w:vMerge w:val="continue"/>
                  <w:vAlign w:val="center"/>
                </w:tcPr>
                <w:p w14:paraId="0D712336">
                  <w:pPr>
                    <w:widowControl/>
                    <w:adjustRightInd w:val="0"/>
                    <w:snapToGrid w:val="0"/>
                    <w:jc w:val="center"/>
                    <w:rPr>
                      <w:color w:val="auto"/>
                    </w:rPr>
                  </w:pPr>
                </w:p>
              </w:tc>
              <w:tc>
                <w:tcPr>
                  <w:tcW w:w="332" w:type="pct"/>
                  <w:vMerge w:val="continue"/>
                  <w:vAlign w:val="center"/>
                </w:tcPr>
                <w:p w14:paraId="3FEF543A">
                  <w:pPr>
                    <w:widowControl/>
                    <w:adjustRightInd w:val="0"/>
                    <w:snapToGrid w:val="0"/>
                    <w:jc w:val="center"/>
                    <w:rPr>
                      <w:color w:val="auto"/>
                    </w:rPr>
                  </w:pPr>
                </w:p>
              </w:tc>
              <w:tc>
                <w:tcPr>
                  <w:tcW w:w="672" w:type="pct"/>
                  <w:vAlign w:val="center"/>
                </w:tcPr>
                <w:p w14:paraId="5E450D62">
                  <w:pPr>
                    <w:pStyle w:val="2"/>
                    <w:jc w:val="center"/>
                    <w:rPr>
                      <w:color w:val="auto"/>
                    </w:rPr>
                  </w:pPr>
                  <w:r>
                    <w:rPr>
                      <w:rFonts w:hint="default" w:ascii="Times New Roman" w:hAnsi="Times New Roman" w:cs="Times New Roman"/>
                      <w:color w:val="auto"/>
                      <w:sz w:val="21"/>
                      <w:szCs w:val="21"/>
                      <w:vertAlign w:val="baseline"/>
                      <w:lang w:val="en-US" w:eastAsia="zh-CN"/>
                    </w:rPr>
                    <w:t>颜料</w:t>
                  </w:r>
                </w:p>
              </w:tc>
              <w:tc>
                <w:tcPr>
                  <w:tcW w:w="529" w:type="pct"/>
                  <w:vAlign w:val="center"/>
                </w:tcPr>
                <w:p w14:paraId="54094D96">
                  <w:pPr>
                    <w:pStyle w:val="2"/>
                    <w:jc w:val="center"/>
                    <w:rPr>
                      <w:color w:val="auto"/>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3%</w:t>
                  </w:r>
                </w:p>
              </w:tc>
              <w:tc>
                <w:tcPr>
                  <w:tcW w:w="423" w:type="pct"/>
                  <w:vMerge w:val="continue"/>
                  <w:vAlign w:val="center"/>
                </w:tcPr>
                <w:p w14:paraId="2CA9E24C">
                  <w:pPr>
                    <w:widowControl/>
                    <w:adjustRightInd w:val="0"/>
                    <w:snapToGrid w:val="0"/>
                    <w:jc w:val="center"/>
                    <w:rPr>
                      <w:color w:val="auto"/>
                    </w:rPr>
                  </w:pPr>
                </w:p>
              </w:tc>
              <w:tc>
                <w:tcPr>
                  <w:tcW w:w="468" w:type="pct"/>
                  <w:vMerge w:val="continue"/>
                  <w:vAlign w:val="center"/>
                </w:tcPr>
                <w:p w14:paraId="4B97C432">
                  <w:pPr>
                    <w:widowControl/>
                    <w:adjustRightInd w:val="0"/>
                    <w:snapToGrid w:val="0"/>
                    <w:jc w:val="center"/>
                    <w:rPr>
                      <w:color w:val="auto"/>
                    </w:rPr>
                  </w:pPr>
                </w:p>
              </w:tc>
              <w:tc>
                <w:tcPr>
                  <w:tcW w:w="712" w:type="pct"/>
                  <w:vMerge w:val="continue"/>
                  <w:vAlign w:val="center"/>
                </w:tcPr>
                <w:p w14:paraId="1CBA794D">
                  <w:pPr>
                    <w:widowControl/>
                    <w:adjustRightInd w:val="0"/>
                    <w:snapToGrid w:val="0"/>
                    <w:jc w:val="center"/>
                    <w:rPr>
                      <w:color w:val="auto"/>
                    </w:rPr>
                  </w:pPr>
                </w:p>
              </w:tc>
              <w:tc>
                <w:tcPr>
                  <w:tcW w:w="349" w:type="pct"/>
                  <w:vMerge w:val="continue"/>
                  <w:vAlign w:val="center"/>
                </w:tcPr>
                <w:p w14:paraId="73950508">
                  <w:pPr>
                    <w:widowControl/>
                    <w:adjustRightInd w:val="0"/>
                    <w:snapToGrid w:val="0"/>
                    <w:jc w:val="center"/>
                    <w:rPr>
                      <w:color w:val="auto"/>
                    </w:rPr>
                  </w:pPr>
                </w:p>
              </w:tc>
            </w:tr>
            <w:tr w14:paraId="7529D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0746B71C">
                  <w:pPr>
                    <w:widowControl/>
                    <w:adjustRightInd w:val="0"/>
                    <w:snapToGrid w:val="0"/>
                    <w:jc w:val="center"/>
                    <w:rPr>
                      <w:color w:val="auto"/>
                    </w:rPr>
                  </w:pPr>
                </w:p>
              </w:tc>
              <w:tc>
                <w:tcPr>
                  <w:tcW w:w="490" w:type="pct"/>
                  <w:vMerge w:val="continue"/>
                  <w:vAlign w:val="center"/>
                </w:tcPr>
                <w:p w14:paraId="2DC188B6">
                  <w:pPr>
                    <w:widowControl/>
                    <w:adjustRightInd w:val="0"/>
                    <w:snapToGrid w:val="0"/>
                    <w:jc w:val="center"/>
                    <w:rPr>
                      <w:color w:val="auto"/>
                    </w:rPr>
                  </w:pPr>
                </w:p>
              </w:tc>
              <w:tc>
                <w:tcPr>
                  <w:tcW w:w="332" w:type="pct"/>
                  <w:vMerge w:val="restart"/>
                  <w:vAlign w:val="center"/>
                </w:tcPr>
                <w:p w14:paraId="69FF3CFC">
                  <w:pPr>
                    <w:widowControl/>
                    <w:adjustRightInd w:val="0"/>
                    <w:snapToGrid w:val="0"/>
                    <w:jc w:val="center"/>
                    <w:rPr>
                      <w:rFonts w:hint="default" w:eastAsia="宋体"/>
                      <w:color w:val="auto"/>
                      <w:lang w:val="en-US" w:eastAsia="zh-CN"/>
                    </w:rPr>
                  </w:pPr>
                  <w:r>
                    <w:rPr>
                      <w:rFonts w:hint="eastAsia"/>
                      <w:color w:val="auto"/>
                      <w:lang w:val="en-US" w:eastAsia="zh-CN"/>
                    </w:rPr>
                    <w:t>B胶</w:t>
                  </w:r>
                </w:p>
              </w:tc>
              <w:tc>
                <w:tcPr>
                  <w:tcW w:w="672" w:type="pct"/>
                  <w:vAlign w:val="center"/>
                </w:tcPr>
                <w:p w14:paraId="0741DC78">
                  <w:pPr>
                    <w:pStyle w:val="2"/>
                    <w:jc w:val="center"/>
                    <w:rPr>
                      <w:color w:val="auto"/>
                    </w:rPr>
                  </w:pPr>
                  <w:r>
                    <w:rPr>
                      <w:rFonts w:hint="default" w:ascii="Times New Roman" w:hAnsi="Times New Roman" w:cs="Times New Roman"/>
                      <w:color w:val="auto"/>
                      <w:sz w:val="21"/>
                      <w:szCs w:val="21"/>
                      <w:vertAlign w:val="baseline"/>
                      <w:lang w:val="en-US" w:eastAsia="zh-CN"/>
                    </w:rPr>
                    <w:t>聚醋酸乙烯酯</w:t>
                  </w:r>
                </w:p>
              </w:tc>
              <w:tc>
                <w:tcPr>
                  <w:tcW w:w="529" w:type="pct"/>
                  <w:vAlign w:val="center"/>
                </w:tcPr>
                <w:p w14:paraId="117FA720">
                  <w:pPr>
                    <w:pStyle w:val="2"/>
                    <w:jc w:val="center"/>
                    <w:rPr>
                      <w:color w:val="auto"/>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89%</w:t>
                  </w:r>
                </w:p>
              </w:tc>
              <w:tc>
                <w:tcPr>
                  <w:tcW w:w="423" w:type="pct"/>
                  <w:vMerge w:val="continue"/>
                  <w:vAlign w:val="center"/>
                </w:tcPr>
                <w:p w14:paraId="70AF8508">
                  <w:pPr>
                    <w:widowControl/>
                    <w:adjustRightInd w:val="0"/>
                    <w:snapToGrid w:val="0"/>
                    <w:jc w:val="center"/>
                    <w:rPr>
                      <w:color w:val="auto"/>
                    </w:rPr>
                  </w:pPr>
                </w:p>
              </w:tc>
              <w:tc>
                <w:tcPr>
                  <w:tcW w:w="468" w:type="pct"/>
                  <w:vMerge w:val="continue"/>
                  <w:vAlign w:val="center"/>
                </w:tcPr>
                <w:p w14:paraId="289350D4">
                  <w:pPr>
                    <w:widowControl/>
                    <w:adjustRightInd w:val="0"/>
                    <w:snapToGrid w:val="0"/>
                    <w:jc w:val="center"/>
                    <w:rPr>
                      <w:color w:val="auto"/>
                    </w:rPr>
                  </w:pPr>
                </w:p>
              </w:tc>
              <w:tc>
                <w:tcPr>
                  <w:tcW w:w="712" w:type="pct"/>
                  <w:vMerge w:val="continue"/>
                  <w:vAlign w:val="center"/>
                </w:tcPr>
                <w:p w14:paraId="4FF2AC66">
                  <w:pPr>
                    <w:widowControl/>
                    <w:adjustRightInd w:val="0"/>
                    <w:snapToGrid w:val="0"/>
                    <w:jc w:val="center"/>
                    <w:rPr>
                      <w:color w:val="auto"/>
                    </w:rPr>
                  </w:pPr>
                </w:p>
              </w:tc>
              <w:tc>
                <w:tcPr>
                  <w:tcW w:w="349" w:type="pct"/>
                  <w:vMerge w:val="continue"/>
                  <w:vAlign w:val="center"/>
                </w:tcPr>
                <w:p w14:paraId="1E92685A">
                  <w:pPr>
                    <w:widowControl/>
                    <w:adjustRightInd w:val="0"/>
                    <w:snapToGrid w:val="0"/>
                    <w:jc w:val="center"/>
                    <w:rPr>
                      <w:color w:val="auto"/>
                    </w:rPr>
                  </w:pPr>
                </w:p>
              </w:tc>
            </w:tr>
            <w:tr w14:paraId="30355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 w:hRule="atLeast"/>
              </w:trPr>
              <w:tc>
                <w:tcPr>
                  <w:tcW w:w="1021" w:type="pct"/>
                  <w:vMerge w:val="continue"/>
                  <w:vAlign w:val="center"/>
                </w:tcPr>
                <w:p w14:paraId="3FFC1650">
                  <w:pPr>
                    <w:widowControl/>
                    <w:adjustRightInd w:val="0"/>
                    <w:snapToGrid w:val="0"/>
                    <w:jc w:val="center"/>
                    <w:rPr>
                      <w:color w:val="auto"/>
                    </w:rPr>
                  </w:pPr>
                </w:p>
              </w:tc>
              <w:tc>
                <w:tcPr>
                  <w:tcW w:w="490" w:type="pct"/>
                  <w:vMerge w:val="continue"/>
                  <w:vAlign w:val="center"/>
                </w:tcPr>
                <w:p w14:paraId="156DB432">
                  <w:pPr>
                    <w:widowControl/>
                    <w:adjustRightInd w:val="0"/>
                    <w:snapToGrid w:val="0"/>
                    <w:jc w:val="center"/>
                    <w:rPr>
                      <w:color w:val="auto"/>
                    </w:rPr>
                  </w:pPr>
                </w:p>
              </w:tc>
              <w:tc>
                <w:tcPr>
                  <w:tcW w:w="332" w:type="pct"/>
                  <w:vMerge w:val="continue"/>
                  <w:vAlign w:val="center"/>
                </w:tcPr>
                <w:p w14:paraId="7E4EFE2C">
                  <w:pPr>
                    <w:widowControl/>
                    <w:adjustRightInd w:val="0"/>
                    <w:snapToGrid w:val="0"/>
                    <w:jc w:val="center"/>
                    <w:rPr>
                      <w:color w:val="auto"/>
                    </w:rPr>
                  </w:pPr>
                </w:p>
              </w:tc>
              <w:tc>
                <w:tcPr>
                  <w:tcW w:w="672" w:type="pct"/>
                  <w:vAlign w:val="center"/>
                </w:tcPr>
                <w:p w14:paraId="7AA26AFE">
                  <w:pPr>
                    <w:pStyle w:val="2"/>
                    <w:jc w:val="center"/>
                    <w:rPr>
                      <w:color w:val="auto"/>
                    </w:rPr>
                  </w:pPr>
                  <w:r>
                    <w:rPr>
                      <w:rFonts w:hint="eastAsia" w:ascii="Times New Roman" w:hAnsi="Times New Roman" w:cs="Times New Roman"/>
                      <w:color w:val="auto"/>
                      <w:sz w:val="21"/>
                      <w:szCs w:val="21"/>
                      <w:lang w:val="en-US" w:eastAsia="zh-CN"/>
                    </w:rPr>
                    <w:t>二、</w:t>
                  </w:r>
                  <w:r>
                    <w:rPr>
                      <w:rFonts w:hint="default" w:ascii="Times New Roman" w:hAnsi="Times New Roman" w:cs="Times New Roman"/>
                      <w:color w:val="auto"/>
                      <w:sz w:val="21"/>
                      <w:szCs w:val="21"/>
                      <w:lang w:val="en-US" w:eastAsia="zh-CN"/>
                    </w:rPr>
                    <w:t>氧化硅</w:t>
                  </w:r>
                </w:p>
              </w:tc>
              <w:tc>
                <w:tcPr>
                  <w:tcW w:w="529" w:type="pct"/>
                  <w:vAlign w:val="center"/>
                </w:tcPr>
                <w:p w14:paraId="13399801">
                  <w:pPr>
                    <w:pStyle w:val="2"/>
                    <w:jc w:val="center"/>
                    <w:rPr>
                      <w:color w:val="auto"/>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11%</w:t>
                  </w:r>
                </w:p>
              </w:tc>
              <w:tc>
                <w:tcPr>
                  <w:tcW w:w="423" w:type="pct"/>
                  <w:vMerge w:val="continue"/>
                  <w:vAlign w:val="center"/>
                </w:tcPr>
                <w:p w14:paraId="6D5B5E04">
                  <w:pPr>
                    <w:widowControl/>
                    <w:adjustRightInd w:val="0"/>
                    <w:snapToGrid w:val="0"/>
                    <w:jc w:val="center"/>
                    <w:rPr>
                      <w:color w:val="auto"/>
                    </w:rPr>
                  </w:pPr>
                </w:p>
              </w:tc>
              <w:tc>
                <w:tcPr>
                  <w:tcW w:w="468" w:type="pct"/>
                  <w:vMerge w:val="continue"/>
                  <w:vAlign w:val="center"/>
                </w:tcPr>
                <w:p w14:paraId="7EAA077E">
                  <w:pPr>
                    <w:widowControl/>
                    <w:adjustRightInd w:val="0"/>
                    <w:snapToGrid w:val="0"/>
                    <w:jc w:val="center"/>
                    <w:rPr>
                      <w:color w:val="auto"/>
                    </w:rPr>
                  </w:pPr>
                </w:p>
              </w:tc>
              <w:tc>
                <w:tcPr>
                  <w:tcW w:w="712" w:type="pct"/>
                  <w:vMerge w:val="continue"/>
                  <w:vAlign w:val="center"/>
                </w:tcPr>
                <w:p w14:paraId="2FB116E2">
                  <w:pPr>
                    <w:widowControl/>
                    <w:adjustRightInd w:val="0"/>
                    <w:snapToGrid w:val="0"/>
                    <w:jc w:val="center"/>
                    <w:rPr>
                      <w:color w:val="auto"/>
                    </w:rPr>
                  </w:pPr>
                </w:p>
              </w:tc>
              <w:tc>
                <w:tcPr>
                  <w:tcW w:w="349" w:type="pct"/>
                  <w:vMerge w:val="continue"/>
                  <w:vAlign w:val="center"/>
                </w:tcPr>
                <w:p w14:paraId="26CBD44A">
                  <w:pPr>
                    <w:widowControl/>
                    <w:adjustRightInd w:val="0"/>
                    <w:snapToGrid w:val="0"/>
                    <w:jc w:val="center"/>
                    <w:rPr>
                      <w:color w:val="auto"/>
                    </w:rPr>
                  </w:pPr>
                </w:p>
              </w:tc>
            </w:tr>
            <w:tr w14:paraId="0B532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trPr>
              <w:tc>
                <w:tcPr>
                  <w:tcW w:w="1021" w:type="pct"/>
                  <w:vMerge w:val="continue"/>
                  <w:vAlign w:val="center"/>
                </w:tcPr>
                <w:p w14:paraId="79DC8A80">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1AFDDD96">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本体型胶粘剂</w:t>
                  </w:r>
                </w:p>
              </w:tc>
              <w:tc>
                <w:tcPr>
                  <w:tcW w:w="1005" w:type="pct"/>
                  <w:gridSpan w:val="2"/>
                  <w:vAlign w:val="center"/>
                </w:tcPr>
                <w:p w14:paraId="09E05855">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聚醚</w:t>
                  </w:r>
                </w:p>
              </w:tc>
              <w:tc>
                <w:tcPr>
                  <w:tcW w:w="529" w:type="pct"/>
                  <w:vAlign w:val="center"/>
                </w:tcPr>
                <w:p w14:paraId="1479FE5F">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1%～20%</w:t>
                  </w:r>
                </w:p>
              </w:tc>
              <w:tc>
                <w:tcPr>
                  <w:tcW w:w="423" w:type="pct"/>
                  <w:vMerge w:val="restart"/>
                  <w:vAlign w:val="center"/>
                </w:tcPr>
                <w:p w14:paraId="7F0F62E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聚氨酯胶</w:t>
                  </w:r>
                </w:p>
              </w:tc>
              <w:tc>
                <w:tcPr>
                  <w:tcW w:w="468" w:type="pct"/>
                  <w:vMerge w:val="restart"/>
                  <w:vAlign w:val="center"/>
                </w:tcPr>
                <w:p w14:paraId="58C9311E">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≤50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g/kg</w:t>
                  </w:r>
                  <w:r>
                    <w:rPr>
                      <w:rFonts w:hint="eastAsia" w:hAnsiTheme="minorEastAsia" w:eastAsiaTheme="minorEastAsia"/>
                      <w:bCs/>
                      <w:color w:val="auto"/>
                      <w:kern w:val="0"/>
                      <w:szCs w:val="21"/>
                      <w:lang w:eastAsia="zh-CN"/>
                    </w:rPr>
                    <w:t>)</w:t>
                  </w:r>
                </w:p>
              </w:tc>
              <w:tc>
                <w:tcPr>
                  <w:tcW w:w="712" w:type="pct"/>
                  <w:vMerge w:val="restart"/>
                  <w:vAlign w:val="center"/>
                </w:tcPr>
                <w:p w14:paraId="2C27B39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未检出，检出限为1g/</w:t>
                  </w:r>
                  <w:r>
                    <w:rPr>
                      <w:rFonts w:hint="eastAsia"/>
                      <w:color w:val="auto"/>
                    </w:rPr>
                    <w:t>k</w:t>
                  </w:r>
                  <w:r>
                    <w:rPr>
                      <w:rFonts w:hint="eastAsia" w:hAnsiTheme="minorEastAsia" w:eastAsiaTheme="minorEastAsia"/>
                      <w:bCs/>
                      <w:color w:val="auto"/>
                      <w:kern w:val="0"/>
                      <w:szCs w:val="21"/>
                    </w:rPr>
                    <w:t>g</w:t>
                  </w:r>
                </w:p>
              </w:tc>
              <w:tc>
                <w:tcPr>
                  <w:tcW w:w="349" w:type="pct"/>
                  <w:vMerge w:val="restart"/>
                  <w:vAlign w:val="center"/>
                </w:tcPr>
                <w:p w14:paraId="47C6001C">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6292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trPr>
              <w:tc>
                <w:tcPr>
                  <w:tcW w:w="1021" w:type="pct"/>
                  <w:vMerge w:val="continue"/>
                  <w:vAlign w:val="center"/>
                </w:tcPr>
                <w:p w14:paraId="2CB39415">
                  <w:pPr>
                    <w:widowControl/>
                    <w:adjustRightInd w:val="0"/>
                    <w:snapToGrid w:val="0"/>
                    <w:jc w:val="center"/>
                    <w:rPr>
                      <w:color w:val="auto"/>
                    </w:rPr>
                  </w:pPr>
                </w:p>
              </w:tc>
              <w:tc>
                <w:tcPr>
                  <w:tcW w:w="490" w:type="pct"/>
                  <w:vMerge w:val="continue"/>
                  <w:vAlign w:val="center"/>
                </w:tcPr>
                <w:p w14:paraId="63B58CE3">
                  <w:pPr>
                    <w:widowControl/>
                    <w:adjustRightInd w:val="0"/>
                    <w:snapToGrid w:val="0"/>
                    <w:jc w:val="center"/>
                    <w:rPr>
                      <w:color w:val="auto"/>
                    </w:rPr>
                  </w:pPr>
                </w:p>
              </w:tc>
              <w:tc>
                <w:tcPr>
                  <w:tcW w:w="1005" w:type="pct"/>
                  <w:gridSpan w:val="2"/>
                  <w:vAlign w:val="center"/>
                </w:tcPr>
                <w:p w14:paraId="2690D7E4">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蓖麻油</w:t>
                  </w:r>
                </w:p>
              </w:tc>
              <w:tc>
                <w:tcPr>
                  <w:tcW w:w="529" w:type="pct"/>
                  <w:vAlign w:val="center"/>
                </w:tcPr>
                <w:p w14:paraId="57381716">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1%～60%</w:t>
                  </w:r>
                </w:p>
              </w:tc>
              <w:tc>
                <w:tcPr>
                  <w:tcW w:w="423" w:type="pct"/>
                  <w:vMerge w:val="continue"/>
                  <w:vAlign w:val="center"/>
                </w:tcPr>
                <w:p w14:paraId="391872E0">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106F7CB2">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5AE37CD1">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62A26B1E">
                  <w:pPr>
                    <w:widowControl/>
                    <w:adjustRightInd w:val="0"/>
                    <w:snapToGrid w:val="0"/>
                    <w:jc w:val="center"/>
                    <w:rPr>
                      <w:rFonts w:hint="eastAsia" w:hAnsiTheme="minorEastAsia" w:eastAsiaTheme="minorEastAsia"/>
                      <w:bCs/>
                      <w:color w:val="auto"/>
                      <w:kern w:val="0"/>
                      <w:szCs w:val="21"/>
                    </w:rPr>
                  </w:pPr>
                </w:p>
              </w:tc>
            </w:tr>
            <w:tr w14:paraId="74855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trPr>
              <w:tc>
                <w:tcPr>
                  <w:tcW w:w="1021" w:type="pct"/>
                  <w:vMerge w:val="continue"/>
                  <w:vAlign w:val="center"/>
                </w:tcPr>
                <w:p w14:paraId="1D6AB7AB">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1FFA745C">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5C8C2792">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碳酸钙</w:t>
                  </w:r>
                </w:p>
              </w:tc>
              <w:tc>
                <w:tcPr>
                  <w:tcW w:w="529" w:type="pct"/>
                  <w:vAlign w:val="center"/>
                </w:tcPr>
                <w:p w14:paraId="61A156B5">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lang w:val="en-US" w:eastAsia="zh-CN"/>
                    </w:rPr>
                    <w:t>1%～60%</w:t>
                  </w:r>
                </w:p>
              </w:tc>
              <w:tc>
                <w:tcPr>
                  <w:tcW w:w="423" w:type="pct"/>
                  <w:vMerge w:val="continue"/>
                  <w:vAlign w:val="center"/>
                </w:tcPr>
                <w:p w14:paraId="207274D3">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228CDC54">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10A23A01">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3256E9AF">
                  <w:pPr>
                    <w:widowControl/>
                    <w:adjustRightInd w:val="0"/>
                    <w:snapToGrid w:val="0"/>
                    <w:jc w:val="center"/>
                    <w:rPr>
                      <w:rFonts w:hint="eastAsia" w:hAnsiTheme="minorEastAsia" w:eastAsiaTheme="minorEastAsia"/>
                      <w:bCs/>
                      <w:color w:val="auto"/>
                      <w:kern w:val="0"/>
                      <w:szCs w:val="21"/>
                    </w:rPr>
                  </w:pPr>
                </w:p>
              </w:tc>
            </w:tr>
            <w:tr w14:paraId="556BA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6" w:hRule="atLeast"/>
              </w:trPr>
              <w:tc>
                <w:tcPr>
                  <w:tcW w:w="1021" w:type="pct"/>
                  <w:vMerge w:val="continue"/>
                  <w:vAlign w:val="center"/>
                </w:tcPr>
                <w:p w14:paraId="0D469F3A">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11B6694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本体型胶粘剂</w:t>
                  </w:r>
                </w:p>
              </w:tc>
              <w:tc>
                <w:tcPr>
                  <w:tcW w:w="1005" w:type="pct"/>
                  <w:gridSpan w:val="2"/>
                  <w:vAlign w:val="center"/>
                </w:tcPr>
                <w:p w14:paraId="760703F1">
                  <w:pPr>
                    <w:widowControl/>
                    <w:adjustRightInd w:val="0"/>
                    <w:snapToGrid w:val="0"/>
                    <w:jc w:val="center"/>
                    <w:rPr>
                      <w:rFonts w:hint="eastAsia" w:hAnsiTheme="minorEastAsia" w:eastAsiaTheme="minorEastAsia"/>
                      <w:bCs/>
                      <w:color w:val="auto"/>
                      <w:kern w:val="0"/>
                      <w:szCs w:val="21"/>
                    </w:rPr>
                  </w:pPr>
                  <w:r>
                    <w:rPr>
                      <w:color w:val="auto"/>
                      <w:szCs w:val="21"/>
                    </w:rPr>
                    <w:t>双酚A型液体环氧树脂</w:t>
                  </w:r>
                </w:p>
              </w:tc>
              <w:tc>
                <w:tcPr>
                  <w:tcW w:w="529" w:type="pct"/>
                  <w:vAlign w:val="center"/>
                </w:tcPr>
                <w:p w14:paraId="7DAEC03F">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67.</w:t>
                  </w:r>
                </w:p>
              </w:tc>
              <w:tc>
                <w:tcPr>
                  <w:tcW w:w="423" w:type="pct"/>
                  <w:vMerge w:val="restart"/>
                  <w:vAlign w:val="center"/>
                </w:tcPr>
                <w:p w14:paraId="54CA1D3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亚克力胶</w:t>
                  </w:r>
                </w:p>
              </w:tc>
              <w:tc>
                <w:tcPr>
                  <w:tcW w:w="468" w:type="pct"/>
                  <w:vMerge w:val="restart"/>
                  <w:vAlign w:val="center"/>
                </w:tcPr>
                <w:p w14:paraId="22B5935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≤100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g/kg</w:t>
                  </w:r>
                  <w:r>
                    <w:rPr>
                      <w:rFonts w:hint="eastAsia" w:hAnsiTheme="minorEastAsia" w:eastAsiaTheme="minorEastAsia"/>
                      <w:bCs/>
                      <w:color w:val="auto"/>
                      <w:kern w:val="0"/>
                      <w:szCs w:val="21"/>
                      <w:lang w:eastAsia="zh-CN"/>
                    </w:rPr>
                    <w:t>)</w:t>
                  </w:r>
                </w:p>
              </w:tc>
              <w:tc>
                <w:tcPr>
                  <w:tcW w:w="712" w:type="pct"/>
                  <w:vMerge w:val="restart"/>
                  <w:vAlign w:val="center"/>
                </w:tcPr>
                <w:p w14:paraId="1CEFB5CA">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含量66g/kg</w:t>
                  </w:r>
                </w:p>
              </w:tc>
              <w:tc>
                <w:tcPr>
                  <w:tcW w:w="349" w:type="pct"/>
                  <w:vMerge w:val="restart"/>
                  <w:vAlign w:val="center"/>
                </w:tcPr>
                <w:p w14:paraId="18472877">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5E6BA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6" w:hRule="atLeast"/>
              </w:trPr>
              <w:tc>
                <w:tcPr>
                  <w:tcW w:w="1021" w:type="pct"/>
                  <w:vMerge w:val="continue"/>
                  <w:vAlign w:val="center"/>
                </w:tcPr>
                <w:p w14:paraId="4E90E95A">
                  <w:pPr>
                    <w:widowControl/>
                    <w:adjustRightInd w:val="0"/>
                    <w:snapToGrid w:val="0"/>
                    <w:jc w:val="center"/>
                    <w:rPr>
                      <w:color w:val="auto"/>
                    </w:rPr>
                  </w:pPr>
                </w:p>
              </w:tc>
              <w:tc>
                <w:tcPr>
                  <w:tcW w:w="490" w:type="pct"/>
                  <w:vMerge w:val="continue"/>
                  <w:vAlign w:val="center"/>
                </w:tcPr>
                <w:p w14:paraId="7864C15F">
                  <w:pPr>
                    <w:widowControl/>
                    <w:adjustRightInd w:val="0"/>
                    <w:snapToGrid w:val="0"/>
                    <w:jc w:val="center"/>
                    <w:rPr>
                      <w:color w:val="auto"/>
                    </w:rPr>
                  </w:pPr>
                </w:p>
              </w:tc>
              <w:tc>
                <w:tcPr>
                  <w:tcW w:w="1005" w:type="pct"/>
                  <w:gridSpan w:val="2"/>
                  <w:vAlign w:val="center"/>
                </w:tcPr>
                <w:p w14:paraId="7F9A903A">
                  <w:pPr>
                    <w:widowControl/>
                    <w:adjustRightInd w:val="0"/>
                    <w:snapToGrid w:val="0"/>
                    <w:jc w:val="center"/>
                    <w:rPr>
                      <w:rFonts w:hint="eastAsia" w:hAnsiTheme="minorEastAsia" w:eastAsiaTheme="minorEastAsia"/>
                      <w:bCs/>
                      <w:color w:val="auto"/>
                      <w:kern w:val="0"/>
                      <w:szCs w:val="21"/>
                    </w:rPr>
                  </w:pPr>
                  <w:r>
                    <w:rPr>
                      <w:color w:val="auto"/>
                      <w:szCs w:val="21"/>
                    </w:rPr>
                    <w:t>聚氧化丙烯基二胺</w:t>
                  </w:r>
                </w:p>
              </w:tc>
              <w:tc>
                <w:tcPr>
                  <w:tcW w:w="529" w:type="pct"/>
                  <w:vAlign w:val="center"/>
                </w:tcPr>
                <w:p w14:paraId="7FC6CA79">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33.</w:t>
                  </w:r>
                </w:p>
              </w:tc>
              <w:tc>
                <w:tcPr>
                  <w:tcW w:w="423" w:type="pct"/>
                  <w:vMerge w:val="continue"/>
                  <w:vAlign w:val="center"/>
                </w:tcPr>
                <w:p w14:paraId="227AEE01">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0F901AA3">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6A0ADA40">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4297ABDD">
                  <w:pPr>
                    <w:widowControl/>
                    <w:adjustRightInd w:val="0"/>
                    <w:snapToGrid w:val="0"/>
                    <w:jc w:val="center"/>
                    <w:rPr>
                      <w:rFonts w:hint="eastAsia" w:hAnsiTheme="minorEastAsia" w:eastAsiaTheme="minorEastAsia"/>
                      <w:bCs/>
                      <w:color w:val="auto"/>
                      <w:kern w:val="0"/>
                      <w:szCs w:val="21"/>
                    </w:rPr>
                  </w:pPr>
                </w:p>
              </w:tc>
            </w:tr>
            <w:tr w14:paraId="58E8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trPr>
              <w:tc>
                <w:tcPr>
                  <w:tcW w:w="1021" w:type="pct"/>
                  <w:vMerge w:val="restart"/>
                  <w:vAlign w:val="center"/>
                </w:tcPr>
                <w:p w14:paraId="3EF317F5">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《清洗剂挥发性有机化合物含量限值》（GB38508-2020）</w:t>
                  </w:r>
                </w:p>
              </w:tc>
              <w:tc>
                <w:tcPr>
                  <w:tcW w:w="490" w:type="pct"/>
                  <w:vMerge w:val="restart"/>
                  <w:vAlign w:val="center"/>
                </w:tcPr>
                <w:p w14:paraId="42791A5E">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有机溶剂清洗剂</w:t>
                  </w:r>
                </w:p>
              </w:tc>
              <w:tc>
                <w:tcPr>
                  <w:tcW w:w="1005" w:type="pct"/>
                  <w:gridSpan w:val="2"/>
                  <w:vAlign w:val="center"/>
                </w:tcPr>
                <w:p w14:paraId="4EBDC22C">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正构烷烃碳氢化合物</w:t>
                  </w:r>
                </w:p>
              </w:tc>
              <w:tc>
                <w:tcPr>
                  <w:tcW w:w="529" w:type="pct"/>
                  <w:vAlign w:val="center"/>
                </w:tcPr>
                <w:p w14:paraId="7267045A">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30</w:t>
                  </w:r>
                  <w:r>
                    <w:rPr>
                      <w:rFonts w:hint="eastAsia" w:cs="Times New Roman"/>
                      <w:color w:val="auto"/>
                      <w:sz w:val="21"/>
                      <w:szCs w:val="21"/>
                      <w:lang w:val="en-US" w:eastAsia="zh-CN"/>
                    </w:rPr>
                    <w:t>%～</w:t>
                  </w:r>
                  <w:r>
                    <w:rPr>
                      <w:rFonts w:ascii="Times New Roman" w:hAnsi="Times New Roman" w:cs="Times New Roman"/>
                      <w:color w:val="auto"/>
                      <w:sz w:val="21"/>
                      <w:szCs w:val="21"/>
                      <w:lang w:val="en-US"/>
                    </w:rPr>
                    <w:t>50%</w:t>
                  </w:r>
                </w:p>
              </w:tc>
              <w:tc>
                <w:tcPr>
                  <w:tcW w:w="423" w:type="pct"/>
                  <w:vMerge w:val="restart"/>
                  <w:vAlign w:val="center"/>
                </w:tcPr>
                <w:p w14:paraId="2BB1CF9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碳氢清洗剂</w:t>
                  </w:r>
                </w:p>
              </w:tc>
              <w:tc>
                <w:tcPr>
                  <w:tcW w:w="468" w:type="pct"/>
                  <w:vMerge w:val="restart"/>
                  <w:vAlign w:val="center"/>
                </w:tcPr>
                <w:p w14:paraId="3AD4629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≤900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g/L</w:t>
                  </w:r>
                  <w:r>
                    <w:rPr>
                      <w:rFonts w:hint="eastAsia" w:hAnsiTheme="minorEastAsia" w:eastAsiaTheme="minorEastAsia"/>
                      <w:bCs/>
                      <w:color w:val="auto"/>
                      <w:kern w:val="0"/>
                      <w:szCs w:val="21"/>
                      <w:lang w:eastAsia="zh-CN"/>
                    </w:rPr>
                    <w:t>)</w:t>
                  </w:r>
                </w:p>
              </w:tc>
              <w:tc>
                <w:tcPr>
                  <w:tcW w:w="712" w:type="pct"/>
                  <w:vMerge w:val="restart"/>
                  <w:vAlign w:val="center"/>
                </w:tcPr>
                <w:p w14:paraId="32B650D0">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含量801g/L</w:t>
                  </w:r>
                </w:p>
              </w:tc>
              <w:tc>
                <w:tcPr>
                  <w:tcW w:w="349" w:type="pct"/>
                  <w:vMerge w:val="restart"/>
                  <w:vAlign w:val="center"/>
                </w:tcPr>
                <w:p w14:paraId="4E8CBA9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6172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trPr>
              <w:tc>
                <w:tcPr>
                  <w:tcW w:w="1021" w:type="pct"/>
                  <w:vMerge w:val="continue"/>
                  <w:vAlign w:val="center"/>
                </w:tcPr>
                <w:p w14:paraId="2511193B">
                  <w:pPr>
                    <w:widowControl/>
                    <w:adjustRightInd w:val="0"/>
                    <w:snapToGrid w:val="0"/>
                    <w:jc w:val="center"/>
                    <w:rPr>
                      <w:color w:val="auto"/>
                    </w:rPr>
                  </w:pPr>
                </w:p>
              </w:tc>
              <w:tc>
                <w:tcPr>
                  <w:tcW w:w="490" w:type="pct"/>
                  <w:vMerge w:val="continue"/>
                  <w:vAlign w:val="center"/>
                </w:tcPr>
                <w:p w14:paraId="43C0EA37">
                  <w:pPr>
                    <w:widowControl/>
                    <w:adjustRightInd w:val="0"/>
                    <w:snapToGrid w:val="0"/>
                    <w:jc w:val="center"/>
                    <w:rPr>
                      <w:color w:val="auto"/>
                    </w:rPr>
                  </w:pPr>
                </w:p>
              </w:tc>
              <w:tc>
                <w:tcPr>
                  <w:tcW w:w="1005" w:type="pct"/>
                  <w:gridSpan w:val="2"/>
                  <w:vAlign w:val="center"/>
                </w:tcPr>
                <w:p w14:paraId="67803029">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异构烷烃碳氢化合物</w:t>
                  </w:r>
                </w:p>
              </w:tc>
              <w:tc>
                <w:tcPr>
                  <w:tcW w:w="529" w:type="pct"/>
                  <w:vAlign w:val="center"/>
                </w:tcPr>
                <w:p w14:paraId="6D6AEB35">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25</w:t>
                  </w:r>
                  <w:r>
                    <w:rPr>
                      <w:rFonts w:hint="eastAsia" w:cs="Times New Roman"/>
                      <w:color w:val="auto"/>
                      <w:sz w:val="21"/>
                      <w:szCs w:val="21"/>
                      <w:lang w:val="en-US" w:eastAsia="zh-CN"/>
                    </w:rPr>
                    <w:t>%～</w:t>
                  </w:r>
                  <w:r>
                    <w:rPr>
                      <w:rFonts w:ascii="Times New Roman" w:hAnsi="Times New Roman" w:cs="Times New Roman"/>
                      <w:color w:val="auto"/>
                      <w:sz w:val="21"/>
                      <w:szCs w:val="21"/>
                      <w:lang w:val="en-US"/>
                    </w:rPr>
                    <w:t>40%</w:t>
                  </w:r>
                </w:p>
              </w:tc>
              <w:tc>
                <w:tcPr>
                  <w:tcW w:w="423" w:type="pct"/>
                  <w:vMerge w:val="continue"/>
                  <w:vAlign w:val="center"/>
                </w:tcPr>
                <w:p w14:paraId="2CB4218C">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0BAEA54C">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1BD60C8F">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56AC43A3">
                  <w:pPr>
                    <w:widowControl/>
                    <w:adjustRightInd w:val="0"/>
                    <w:snapToGrid w:val="0"/>
                    <w:jc w:val="center"/>
                    <w:rPr>
                      <w:rFonts w:hint="eastAsia" w:hAnsiTheme="minorEastAsia" w:eastAsiaTheme="minorEastAsia"/>
                      <w:bCs/>
                      <w:color w:val="auto"/>
                      <w:kern w:val="0"/>
                      <w:szCs w:val="21"/>
                    </w:rPr>
                  </w:pPr>
                </w:p>
              </w:tc>
            </w:tr>
            <w:tr w14:paraId="20316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trPr>
              <w:tc>
                <w:tcPr>
                  <w:tcW w:w="1021" w:type="pct"/>
                  <w:vMerge w:val="continue"/>
                  <w:vAlign w:val="center"/>
                </w:tcPr>
                <w:p w14:paraId="18B06B62">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7F16C98A">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7F12B85A">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环烷烃碳氢化合物</w:t>
                  </w:r>
                </w:p>
              </w:tc>
              <w:tc>
                <w:tcPr>
                  <w:tcW w:w="529" w:type="pct"/>
                  <w:vAlign w:val="center"/>
                </w:tcPr>
                <w:p w14:paraId="742AFEFC">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25</w:t>
                  </w:r>
                  <w:r>
                    <w:rPr>
                      <w:rFonts w:hint="eastAsia" w:cs="Times New Roman"/>
                      <w:color w:val="auto"/>
                      <w:sz w:val="21"/>
                      <w:szCs w:val="21"/>
                      <w:lang w:val="en-US" w:eastAsia="zh-CN"/>
                    </w:rPr>
                    <w:t>%～</w:t>
                  </w:r>
                  <w:r>
                    <w:rPr>
                      <w:rFonts w:ascii="Times New Roman" w:hAnsi="Times New Roman" w:cs="Times New Roman"/>
                      <w:color w:val="auto"/>
                      <w:sz w:val="21"/>
                      <w:szCs w:val="21"/>
                      <w:lang w:val="en-US"/>
                    </w:rPr>
                    <w:t>30%</w:t>
                  </w:r>
                </w:p>
              </w:tc>
              <w:tc>
                <w:tcPr>
                  <w:tcW w:w="423" w:type="pct"/>
                  <w:vMerge w:val="continue"/>
                  <w:vAlign w:val="center"/>
                </w:tcPr>
                <w:p w14:paraId="65833DB2">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3E7EC3B">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8035C53">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30C5E4B">
                  <w:pPr>
                    <w:widowControl/>
                    <w:adjustRightInd w:val="0"/>
                    <w:snapToGrid w:val="0"/>
                    <w:jc w:val="center"/>
                    <w:rPr>
                      <w:rFonts w:hint="eastAsia" w:hAnsiTheme="minorEastAsia" w:eastAsiaTheme="minorEastAsia"/>
                      <w:bCs/>
                      <w:color w:val="auto"/>
                      <w:kern w:val="0"/>
                      <w:szCs w:val="21"/>
                    </w:rPr>
                  </w:pPr>
                </w:p>
              </w:tc>
            </w:tr>
            <w:tr w14:paraId="0DFE8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1" w:hRule="atLeast"/>
              </w:trPr>
              <w:tc>
                <w:tcPr>
                  <w:tcW w:w="1021" w:type="pct"/>
                  <w:vMerge w:val="continue"/>
                  <w:vAlign w:val="center"/>
                </w:tcPr>
                <w:p w14:paraId="3131B673">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412BA53A">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7B8F66BF">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稳定剂</w:t>
                  </w:r>
                </w:p>
              </w:tc>
              <w:tc>
                <w:tcPr>
                  <w:tcW w:w="529" w:type="pct"/>
                  <w:vAlign w:val="center"/>
                </w:tcPr>
                <w:p w14:paraId="735651CA">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0.1</w:t>
                  </w:r>
                  <w:r>
                    <w:rPr>
                      <w:rFonts w:hint="eastAsia" w:cs="Times New Roman"/>
                      <w:color w:val="auto"/>
                      <w:sz w:val="21"/>
                      <w:szCs w:val="21"/>
                      <w:lang w:val="en-US" w:eastAsia="zh-CN"/>
                    </w:rPr>
                    <w:t>%～</w:t>
                  </w:r>
                  <w:r>
                    <w:rPr>
                      <w:rFonts w:ascii="Times New Roman" w:hAnsi="Times New Roman" w:cs="Times New Roman"/>
                      <w:color w:val="auto"/>
                      <w:sz w:val="21"/>
                      <w:szCs w:val="21"/>
                      <w:lang w:val="en-US"/>
                    </w:rPr>
                    <w:t>1.0%</w:t>
                  </w:r>
                </w:p>
              </w:tc>
              <w:tc>
                <w:tcPr>
                  <w:tcW w:w="423" w:type="pct"/>
                  <w:vMerge w:val="continue"/>
                  <w:vAlign w:val="center"/>
                </w:tcPr>
                <w:p w14:paraId="1CD09EFA">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226399EA">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5703D565">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C802F89">
                  <w:pPr>
                    <w:widowControl/>
                    <w:adjustRightInd w:val="0"/>
                    <w:snapToGrid w:val="0"/>
                    <w:jc w:val="center"/>
                    <w:rPr>
                      <w:rFonts w:hint="eastAsia" w:hAnsiTheme="minorEastAsia" w:eastAsiaTheme="minorEastAsia"/>
                      <w:bCs/>
                      <w:color w:val="auto"/>
                      <w:kern w:val="0"/>
                      <w:szCs w:val="21"/>
                    </w:rPr>
                  </w:pPr>
                </w:p>
              </w:tc>
            </w:tr>
            <w:tr w14:paraId="1B22F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trPr>
              <w:tc>
                <w:tcPr>
                  <w:tcW w:w="1021" w:type="pct"/>
                  <w:vMerge w:val="continue"/>
                  <w:vAlign w:val="center"/>
                </w:tcPr>
                <w:p w14:paraId="768E1AF2">
                  <w:pPr>
                    <w:widowControl/>
                    <w:adjustRightInd w:val="0"/>
                    <w:snapToGrid w:val="0"/>
                    <w:jc w:val="center"/>
                    <w:rPr>
                      <w:rFonts w:hint="eastAsia" w:hAnsiTheme="minorEastAsia" w:eastAsiaTheme="minorEastAsia"/>
                      <w:bCs/>
                      <w:color w:val="auto"/>
                      <w:kern w:val="0"/>
                      <w:szCs w:val="21"/>
                    </w:rPr>
                  </w:pPr>
                </w:p>
              </w:tc>
              <w:tc>
                <w:tcPr>
                  <w:tcW w:w="490" w:type="pct"/>
                  <w:vMerge w:val="restart"/>
                  <w:vAlign w:val="center"/>
                </w:tcPr>
                <w:p w14:paraId="0FED9CC9">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有机溶剂清洗剂</w:t>
                  </w:r>
                </w:p>
              </w:tc>
              <w:tc>
                <w:tcPr>
                  <w:tcW w:w="1005" w:type="pct"/>
                  <w:gridSpan w:val="2"/>
                  <w:vAlign w:val="center"/>
                </w:tcPr>
                <w:p w14:paraId="585F402B">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混合酯</w:t>
                  </w:r>
                </w:p>
              </w:tc>
              <w:tc>
                <w:tcPr>
                  <w:tcW w:w="529" w:type="pct"/>
                  <w:vAlign w:val="center"/>
                </w:tcPr>
                <w:p w14:paraId="249B432E">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45</w:t>
                  </w:r>
                  <w:r>
                    <w:rPr>
                      <w:rFonts w:hint="eastAsia" w:cs="Times New Roman"/>
                      <w:color w:val="auto"/>
                      <w:sz w:val="21"/>
                      <w:szCs w:val="21"/>
                      <w:lang w:val="en-US" w:eastAsia="zh-CN"/>
                    </w:rPr>
                    <w:t>%～</w:t>
                  </w:r>
                  <w:r>
                    <w:rPr>
                      <w:rFonts w:ascii="Times New Roman" w:hAnsi="Times New Roman" w:cs="Times New Roman"/>
                      <w:color w:val="auto"/>
                      <w:sz w:val="21"/>
                      <w:szCs w:val="21"/>
                      <w:lang w:val="en-US"/>
                    </w:rPr>
                    <w:t>70%</w:t>
                  </w:r>
                </w:p>
              </w:tc>
              <w:tc>
                <w:tcPr>
                  <w:tcW w:w="423" w:type="pct"/>
                  <w:vMerge w:val="restart"/>
                  <w:vAlign w:val="center"/>
                </w:tcPr>
                <w:p w14:paraId="14E54B05">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洗网水</w:t>
                  </w:r>
                </w:p>
              </w:tc>
              <w:tc>
                <w:tcPr>
                  <w:tcW w:w="468" w:type="pct"/>
                  <w:vMerge w:val="restart"/>
                  <w:vAlign w:val="center"/>
                </w:tcPr>
                <w:p w14:paraId="0661098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≤900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g/L</w:t>
                  </w:r>
                  <w:r>
                    <w:rPr>
                      <w:rFonts w:hint="eastAsia" w:hAnsiTheme="minorEastAsia" w:eastAsiaTheme="minorEastAsia"/>
                      <w:bCs/>
                      <w:color w:val="auto"/>
                      <w:kern w:val="0"/>
                      <w:szCs w:val="21"/>
                      <w:lang w:eastAsia="zh-CN"/>
                    </w:rPr>
                    <w:t>)</w:t>
                  </w:r>
                </w:p>
              </w:tc>
              <w:tc>
                <w:tcPr>
                  <w:tcW w:w="712" w:type="pct"/>
                  <w:vMerge w:val="restart"/>
                  <w:vAlign w:val="center"/>
                </w:tcPr>
                <w:p w14:paraId="52D324F5">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含量863g/L</w:t>
                  </w:r>
                </w:p>
              </w:tc>
              <w:tc>
                <w:tcPr>
                  <w:tcW w:w="349" w:type="pct"/>
                  <w:vMerge w:val="restart"/>
                  <w:vAlign w:val="center"/>
                </w:tcPr>
                <w:p w14:paraId="610EE194">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2B8BA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trPr>
              <w:tc>
                <w:tcPr>
                  <w:tcW w:w="1021" w:type="pct"/>
                  <w:vMerge w:val="continue"/>
                  <w:vAlign w:val="center"/>
                </w:tcPr>
                <w:p w14:paraId="5F7A1D06">
                  <w:pPr>
                    <w:widowControl/>
                    <w:adjustRightInd w:val="0"/>
                    <w:snapToGrid w:val="0"/>
                    <w:jc w:val="center"/>
                    <w:rPr>
                      <w:color w:val="auto"/>
                    </w:rPr>
                  </w:pPr>
                </w:p>
              </w:tc>
              <w:tc>
                <w:tcPr>
                  <w:tcW w:w="490" w:type="pct"/>
                  <w:vMerge w:val="continue"/>
                  <w:vAlign w:val="center"/>
                </w:tcPr>
                <w:p w14:paraId="62D529E6">
                  <w:pPr>
                    <w:widowControl/>
                    <w:adjustRightInd w:val="0"/>
                    <w:snapToGrid w:val="0"/>
                    <w:jc w:val="center"/>
                    <w:rPr>
                      <w:color w:val="auto"/>
                    </w:rPr>
                  </w:pPr>
                </w:p>
              </w:tc>
              <w:tc>
                <w:tcPr>
                  <w:tcW w:w="1005" w:type="pct"/>
                  <w:gridSpan w:val="2"/>
                  <w:vAlign w:val="center"/>
                </w:tcPr>
                <w:p w14:paraId="6BD45BBB">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石油类溶剂</w:t>
                  </w:r>
                </w:p>
              </w:tc>
              <w:tc>
                <w:tcPr>
                  <w:tcW w:w="529" w:type="pct"/>
                  <w:vAlign w:val="center"/>
                </w:tcPr>
                <w:p w14:paraId="185DE8B2">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5</w:t>
                  </w:r>
                  <w:r>
                    <w:rPr>
                      <w:rFonts w:hint="eastAsia" w:cs="Times New Roman"/>
                      <w:color w:val="auto"/>
                      <w:sz w:val="21"/>
                      <w:szCs w:val="21"/>
                      <w:lang w:val="en-US" w:eastAsia="zh-CN"/>
                    </w:rPr>
                    <w:t>%～</w:t>
                  </w:r>
                  <w:r>
                    <w:rPr>
                      <w:rFonts w:ascii="Times New Roman" w:hAnsi="Times New Roman" w:cs="Times New Roman"/>
                      <w:color w:val="auto"/>
                      <w:sz w:val="21"/>
                      <w:szCs w:val="21"/>
                      <w:lang w:val="en-US"/>
                    </w:rPr>
                    <w:t>30%</w:t>
                  </w:r>
                </w:p>
              </w:tc>
              <w:tc>
                <w:tcPr>
                  <w:tcW w:w="423" w:type="pct"/>
                  <w:vMerge w:val="continue"/>
                  <w:vAlign w:val="center"/>
                </w:tcPr>
                <w:p w14:paraId="201D9950">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2E6B8F07">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2F565BBB">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2F77F044">
                  <w:pPr>
                    <w:widowControl/>
                    <w:adjustRightInd w:val="0"/>
                    <w:snapToGrid w:val="0"/>
                    <w:jc w:val="center"/>
                    <w:rPr>
                      <w:rFonts w:hint="eastAsia" w:hAnsiTheme="minorEastAsia" w:eastAsiaTheme="minorEastAsia"/>
                      <w:bCs/>
                      <w:color w:val="auto"/>
                      <w:kern w:val="0"/>
                      <w:szCs w:val="21"/>
                    </w:rPr>
                  </w:pPr>
                </w:p>
              </w:tc>
            </w:tr>
            <w:tr w14:paraId="2876E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trPr>
              <w:tc>
                <w:tcPr>
                  <w:tcW w:w="1021" w:type="pct"/>
                  <w:vMerge w:val="continue"/>
                  <w:vAlign w:val="center"/>
                </w:tcPr>
                <w:p w14:paraId="16B20C2C">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597FBC12">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3E5412D8">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活性剂</w:t>
                  </w:r>
                </w:p>
              </w:tc>
              <w:tc>
                <w:tcPr>
                  <w:tcW w:w="529" w:type="pct"/>
                  <w:vAlign w:val="center"/>
                </w:tcPr>
                <w:p w14:paraId="030DCA24">
                  <w:pPr>
                    <w:widowControl/>
                    <w:adjustRightInd w:val="0"/>
                    <w:snapToGrid w:val="0"/>
                    <w:jc w:val="center"/>
                    <w:rPr>
                      <w:rFonts w:hint="eastAsia" w:hAnsiTheme="minorEastAsia" w:eastAsiaTheme="minorEastAsia"/>
                      <w:bCs/>
                      <w:color w:val="auto"/>
                      <w:kern w:val="0"/>
                      <w:szCs w:val="21"/>
                    </w:rPr>
                  </w:pPr>
                  <w:r>
                    <w:rPr>
                      <w:rFonts w:ascii="Times New Roman" w:hAnsi="Times New Roman" w:cs="Times New Roman"/>
                      <w:color w:val="auto"/>
                      <w:sz w:val="21"/>
                      <w:szCs w:val="21"/>
                      <w:lang w:val="en-US"/>
                    </w:rPr>
                    <w:t>3</w:t>
                  </w:r>
                  <w:r>
                    <w:rPr>
                      <w:rFonts w:hint="eastAsia" w:cs="Times New Roman"/>
                      <w:color w:val="auto"/>
                      <w:sz w:val="21"/>
                      <w:szCs w:val="21"/>
                      <w:lang w:val="en-US" w:eastAsia="zh-CN"/>
                    </w:rPr>
                    <w:t>%～</w:t>
                  </w:r>
                  <w:r>
                    <w:rPr>
                      <w:rFonts w:ascii="Times New Roman" w:hAnsi="Times New Roman" w:cs="Times New Roman"/>
                      <w:color w:val="auto"/>
                      <w:sz w:val="21"/>
                      <w:szCs w:val="21"/>
                      <w:lang w:val="en-US"/>
                    </w:rPr>
                    <w:t>8%</w:t>
                  </w:r>
                </w:p>
              </w:tc>
              <w:tc>
                <w:tcPr>
                  <w:tcW w:w="423" w:type="pct"/>
                  <w:vMerge w:val="continue"/>
                  <w:vAlign w:val="center"/>
                </w:tcPr>
                <w:p w14:paraId="0BDB750F">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484E1FA5">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1DD6A0A9">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347B54DC">
                  <w:pPr>
                    <w:widowControl/>
                    <w:adjustRightInd w:val="0"/>
                    <w:snapToGrid w:val="0"/>
                    <w:jc w:val="center"/>
                    <w:rPr>
                      <w:rFonts w:hint="eastAsia" w:hAnsiTheme="minorEastAsia" w:eastAsiaTheme="minorEastAsia"/>
                      <w:bCs/>
                      <w:color w:val="auto"/>
                      <w:kern w:val="0"/>
                      <w:szCs w:val="21"/>
                    </w:rPr>
                  </w:pPr>
                </w:p>
              </w:tc>
            </w:tr>
            <w:tr w14:paraId="2F6F0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restart"/>
                  <w:vAlign w:val="center"/>
                </w:tcPr>
                <w:p w14:paraId="03E4276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《油墨中可挥发性有机化合物（VOCs）含量的限值》（GB38507-2020）</w:t>
                  </w:r>
                </w:p>
              </w:tc>
              <w:tc>
                <w:tcPr>
                  <w:tcW w:w="490" w:type="pct"/>
                  <w:vMerge w:val="restart"/>
                  <w:vAlign w:val="center"/>
                </w:tcPr>
                <w:p w14:paraId="6A956B71">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网印油墨</w:t>
                  </w:r>
                </w:p>
              </w:tc>
              <w:tc>
                <w:tcPr>
                  <w:tcW w:w="1005" w:type="pct"/>
                  <w:gridSpan w:val="2"/>
                  <w:vAlign w:val="center"/>
                </w:tcPr>
                <w:p w14:paraId="5D73E51F">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环氧树脂</w:t>
                  </w:r>
                </w:p>
              </w:tc>
              <w:tc>
                <w:tcPr>
                  <w:tcW w:w="529" w:type="pct"/>
                  <w:vMerge w:val="restart"/>
                  <w:vAlign w:val="center"/>
                </w:tcPr>
                <w:p w14:paraId="78EDCCE3">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企业机密未提供比例数据，涉及计算按VOC检测报告数据</w:t>
                  </w:r>
                </w:p>
              </w:tc>
              <w:tc>
                <w:tcPr>
                  <w:tcW w:w="423" w:type="pct"/>
                  <w:vMerge w:val="restart"/>
                  <w:vAlign w:val="center"/>
                </w:tcPr>
                <w:p w14:paraId="2B00258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丝印油墨</w:t>
                  </w:r>
                </w:p>
              </w:tc>
              <w:tc>
                <w:tcPr>
                  <w:tcW w:w="468" w:type="pct"/>
                  <w:vMerge w:val="restart"/>
                  <w:vAlign w:val="center"/>
                </w:tcPr>
                <w:p w14:paraId="277865D4">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≤75%</w:t>
                  </w:r>
                </w:p>
              </w:tc>
              <w:tc>
                <w:tcPr>
                  <w:tcW w:w="712" w:type="pct"/>
                  <w:vMerge w:val="restart"/>
                  <w:vAlign w:val="center"/>
                </w:tcPr>
                <w:p w14:paraId="31450B07">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含量34.8%</w:t>
                  </w:r>
                </w:p>
              </w:tc>
              <w:tc>
                <w:tcPr>
                  <w:tcW w:w="349" w:type="pct"/>
                  <w:vMerge w:val="restart"/>
                  <w:vAlign w:val="center"/>
                </w:tcPr>
                <w:p w14:paraId="526CE18C">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4FD3D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6A2ECCBB">
                  <w:pPr>
                    <w:widowControl/>
                    <w:adjustRightInd w:val="0"/>
                    <w:snapToGrid w:val="0"/>
                    <w:jc w:val="center"/>
                    <w:rPr>
                      <w:color w:val="auto"/>
                    </w:rPr>
                  </w:pPr>
                </w:p>
              </w:tc>
              <w:tc>
                <w:tcPr>
                  <w:tcW w:w="490" w:type="pct"/>
                  <w:vMerge w:val="continue"/>
                  <w:vAlign w:val="center"/>
                </w:tcPr>
                <w:p w14:paraId="35C3098A">
                  <w:pPr>
                    <w:widowControl/>
                    <w:adjustRightInd w:val="0"/>
                    <w:snapToGrid w:val="0"/>
                    <w:jc w:val="center"/>
                    <w:rPr>
                      <w:color w:val="auto"/>
                    </w:rPr>
                  </w:pPr>
                </w:p>
              </w:tc>
              <w:tc>
                <w:tcPr>
                  <w:tcW w:w="1005" w:type="pct"/>
                  <w:gridSpan w:val="2"/>
                  <w:vAlign w:val="center"/>
                </w:tcPr>
                <w:p w14:paraId="46B0724C">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合成丙烯酸树脂</w:t>
                  </w:r>
                </w:p>
              </w:tc>
              <w:tc>
                <w:tcPr>
                  <w:tcW w:w="529" w:type="pct"/>
                  <w:vMerge w:val="continue"/>
                  <w:vAlign w:val="center"/>
                </w:tcPr>
                <w:p w14:paraId="6C5C00A6">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6F42EC4D">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1C56A521">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5BDD964B">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70F2E9EC">
                  <w:pPr>
                    <w:widowControl/>
                    <w:adjustRightInd w:val="0"/>
                    <w:snapToGrid w:val="0"/>
                    <w:jc w:val="center"/>
                    <w:rPr>
                      <w:rFonts w:hint="eastAsia" w:hAnsiTheme="minorEastAsia" w:eastAsiaTheme="minorEastAsia"/>
                      <w:bCs/>
                      <w:color w:val="auto"/>
                      <w:kern w:val="0"/>
                      <w:szCs w:val="21"/>
                    </w:rPr>
                  </w:pPr>
                </w:p>
              </w:tc>
            </w:tr>
            <w:tr w14:paraId="0934B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763D82D1">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5A7AF1F7">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3967785C">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异佛尔酮</w:t>
                  </w:r>
                </w:p>
              </w:tc>
              <w:tc>
                <w:tcPr>
                  <w:tcW w:w="529" w:type="pct"/>
                  <w:vMerge w:val="continue"/>
                  <w:vAlign w:val="center"/>
                </w:tcPr>
                <w:p w14:paraId="28850618">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3AAC6ED4">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2D0E33F2">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471B46C">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C27B7D0">
                  <w:pPr>
                    <w:widowControl/>
                    <w:adjustRightInd w:val="0"/>
                    <w:snapToGrid w:val="0"/>
                    <w:jc w:val="center"/>
                    <w:rPr>
                      <w:rFonts w:hint="eastAsia" w:hAnsiTheme="minorEastAsia" w:eastAsiaTheme="minorEastAsia"/>
                      <w:bCs/>
                      <w:color w:val="auto"/>
                      <w:kern w:val="0"/>
                      <w:szCs w:val="21"/>
                    </w:rPr>
                  </w:pPr>
                </w:p>
              </w:tc>
            </w:tr>
            <w:tr w14:paraId="225D8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61FB8DD3">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12F2BB1E">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26DA6992">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环已酮</w:t>
                  </w:r>
                </w:p>
              </w:tc>
              <w:tc>
                <w:tcPr>
                  <w:tcW w:w="529" w:type="pct"/>
                  <w:vMerge w:val="continue"/>
                  <w:vAlign w:val="center"/>
                </w:tcPr>
                <w:p w14:paraId="7122AF6A">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2E2D524F">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62C4885C">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47AA3438">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A9F916D">
                  <w:pPr>
                    <w:widowControl/>
                    <w:adjustRightInd w:val="0"/>
                    <w:snapToGrid w:val="0"/>
                    <w:jc w:val="center"/>
                    <w:rPr>
                      <w:rFonts w:hint="eastAsia" w:hAnsiTheme="minorEastAsia" w:eastAsiaTheme="minorEastAsia"/>
                      <w:bCs/>
                      <w:color w:val="auto"/>
                      <w:kern w:val="0"/>
                      <w:szCs w:val="21"/>
                    </w:rPr>
                  </w:pPr>
                </w:p>
              </w:tc>
            </w:tr>
            <w:tr w14:paraId="4A4D0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7AA54459">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33D74F31">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0160F58D">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消泡剂</w:t>
                  </w:r>
                </w:p>
              </w:tc>
              <w:tc>
                <w:tcPr>
                  <w:tcW w:w="529" w:type="pct"/>
                  <w:vMerge w:val="continue"/>
                  <w:vAlign w:val="center"/>
                </w:tcPr>
                <w:p w14:paraId="3086B533">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64F70DBC">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589AD29A">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2B858A35">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67443938">
                  <w:pPr>
                    <w:widowControl/>
                    <w:adjustRightInd w:val="0"/>
                    <w:snapToGrid w:val="0"/>
                    <w:jc w:val="center"/>
                    <w:rPr>
                      <w:rFonts w:hint="eastAsia" w:hAnsiTheme="minorEastAsia" w:eastAsiaTheme="minorEastAsia"/>
                      <w:bCs/>
                      <w:color w:val="auto"/>
                      <w:kern w:val="0"/>
                      <w:szCs w:val="21"/>
                    </w:rPr>
                  </w:pPr>
                </w:p>
              </w:tc>
            </w:tr>
            <w:tr w14:paraId="6F1BA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0AC91EAF">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4F0B0F07">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54A550A5">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分散剂</w:t>
                  </w:r>
                </w:p>
              </w:tc>
              <w:tc>
                <w:tcPr>
                  <w:tcW w:w="529" w:type="pct"/>
                  <w:vMerge w:val="continue"/>
                  <w:vAlign w:val="center"/>
                </w:tcPr>
                <w:p w14:paraId="35CC3C65">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5C9C21FD">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3148F199">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5DE5AF0B">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714DD6C8">
                  <w:pPr>
                    <w:widowControl/>
                    <w:adjustRightInd w:val="0"/>
                    <w:snapToGrid w:val="0"/>
                    <w:jc w:val="center"/>
                    <w:rPr>
                      <w:rFonts w:hint="eastAsia" w:hAnsiTheme="minorEastAsia" w:eastAsiaTheme="minorEastAsia"/>
                      <w:bCs/>
                      <w:color w:val="auto"/>
                      <w:kern w:val="0"/>
                      <w:szCs w:val="21"/>
                    </w:rPr>
                  </w:pPr>
                </w:p>
              </w:tc>
            </w:tr>
            <w:tr w14:paraId="200DC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4" w:hRule="atLeast"/>
              </w:trPr>
              <w:tc>
                <w:tcPr>
                  <w:tcW w:w="1021" w:type="pct"/>
                  <w:vMerge w:val="continue"/>
                  <w:vAlign w:val="center"/>
                </w:tcPr>
                <w:p w14:paraId="4DAA6740">
                  <w:pPr>
                    <w:widowControl/>
                    <w:adjustRightInd w:val="0"/>
                    <w:snapToGrid w:val="0"/>
                    <w:jc w:val="center"/>
                    <w:rPr>
                      <w:rFonts w:hint="eastAsia" w:hAnsiTheme="minorEastAsia" w:eastAsiaTheme="minorEastAsia"/>
                      <w:bCs/>
                      <w:color w:val="auto"/>
                      <w:kern w:val="0"/>
                      <w:szCs w:val="21"/>
                    </w:rPr>
                  </w:pPr>
                </w:p>
              </w:tc>
              <w:tc>
                <w:tcPr>
                  <w:tcW w:w="490" w:type="pct"/>
                  <w:vMerge w:val="continue"/>
                  <w:vAlign w:val="center"/>
                </w:tcPr>
                <w:p w14:paraId="79BA4A15">
                  <w:pPr>
                    <w:widowControl/>
                    <w:adjustRightInd w:val="0"/>
                    <w:snapToGrid w:val="0"/>
                    <w:jc w:val="center"/>
                    <w:rPr>
                      <w:rFonts w:hint="eastAsia" w:hAnsiTheme="minorEastAsia" w:eastAsiaTheme="minorEastAsia"/>
                      <w:bCs/>
                      <w:color w:val="auto"/>
                      <w:kern w:val="0"/>
                      <w:szCs w:val="21"/>
                    </w:rPr>
                  </w:pPr>
                </w:p>
              </w:tc>
              <w:tc>
                <w:tcPr>
                  <w:tcW w:w="1005" w:type="pct"/>
                  <w:gridSpan w:val="2"/>
                  <w:vAlign w:val="center"/>
                </w:tcPr>
                <w:p w14:paraId="535F9FF6">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增稠剂</w:t>
                  </w:r>
                </w:p>
              </w:tc>
              <w:tc>
                <w:tcPr>
                  <w:tcW w:w="529" w:type="pct"/>
                  <w:vMerge w:val="continue"/>
                  <w:vAlign w:val="center"/>
                </w:tcPr>
                <w:p w14:paraId="6E921EE6">
                  <w:pPr>
                    <w:widowControl/>
                    <w:adjustRightInd w:val="0"/>
                    <w:snapToGrid w:val="0"/>
                    <w:jc w:val="center"/>
                    <w:rPr>
                      <w:rFonts w:hint="eastAsia" w:hAnsiTheme="minorEastAsia" w:eastAsiaTheme="minorEastAsia"/>
                      <w:bCs/>
                      <w:color w:val="auto"/>
                      <w:kern w:val="0"/>
                      <w:szCs w:val="21"/>
                    </w:rPr>
                  </w:pPr>
                </w:p>
              </w:tc>
              <w:tc>
                <w:tcPr>
                  <w:tcW w:w="423" w:type="pct"/>
                  <w:vMerge w:val="continue"/>
                  <w:vAlign w:val="center"/>
                </w:tcPr>
                <w:p w14:paraId="22E67D62">
                  <w:pPr>
                    <w:widowControl/>
                    <w:adjustRightInd w:val="0"/>
                    <w:snapToGrid w:val="0"/>
                    <w:jc w:val="center"/>
                    <w:rPr>
                      <w:rFonts w:hint="eastAsia" w:hAnsiTheme="minorEastAsia" w:eastAsiaTheme="minorEastAsia"/>
                      <w:bCs/>
                      <w:color w:val="auto"/>
                      <w:kern w:val="0"/>
                      <w:szCs w:val="21"/>
                    </w:rPr>
                  </w:pPr>
                </w:p>
              </w:tc>
              <w:tc>
                <w:tcPr>
                  <w:tcW w:w="468" w:type="pct"/>
                  <w:vMerge w:val="continue"/>
                  <w:vAlign w:val="center"/>
                </w:tcPr>
                <w:p w14:paraId="120F618E">
                  <w:pPr>
                    <w:widowControl/>
                    <w:adjustRightInd w:val="0"/>
                    <w:snapToGrid w:val="0"/>
                    <w:jc w:val="center"/>
                    <w:rPr>
                      <w:rFonts w:hint="eastAsia" w:hAnsiTheme="minorEastAsia" w:eastAsiaTheme="minorEastAsia"/>
                      <w:bCs/>
                      <w:color w:val="auto"/>
                      <w:kern w:val="0"/>
                      <w:szCs w:val="21"/>
                    </w:rPr>
                  </w:pPr>
                </w:p>
              </w:tc>
              <w:tc>
                <w:tcPr>
                  <w:tcW w:w="712" w:type="pct"/>
                  <w:vMerge w:val="continue"/>
                  <w:vAlign w:val="center"/>
                </w:tcPr>
                <w:p w14:paraId="254C9A58">
                  <w:pPr>
                    <w:widowControl/>
                    <w:adjustRightInd w:val="0"/>
                    <w:snapToGrid w:val="0"/>
                    <w:jc w:val="center"/>
                    <w:rPr>
                      <w:rFonts w:hint="eastAsia" w:hAnsiTheme="minorEastAsia" w:eastAsiaTheme="minorEastAsia"/>
                      <w:bCs/>
                      <w:color w:val="auto"/>
                      <w:kern w:val="0"/>
                      <w:szCs w:val="21"/>
                    </w:rPr>
                  </w:pPr>
                </w:p>
              </w:tc>
              <w:tc>
                <w:tcPr>
                  <w:tcW w:w="349" w:type="pct"/>
                  <w:vMerge w:val="continue"/>
                  <w:vAlign w:val="center"/>
                </w:tcPr>
                <w:p w14:paraId="1D5E87D7">
                  <w:pPr>
                    <w:widowControl/>
                    <w:adjustRightInd w:val="0"/>
                    <w:snapToGrid w:val="0"/>
                    <w:jc w:val="center"/>
                    <w:rPr>
                      <w:rFonts w:hint="eastAsia" w:hAnsiTheme="minorEastAsia" w:eastAsiaTheme="minorEastAsia"/>
                      <w:bCs/>
                      <w:color w:val="auto"/>
                      <w:kern w:val="0"/>
                      <w:szCs w:val="21"/>
                    </w:rPr>
                  </w:pPr>
                </w:p>
              </w:tc>
            </w:tr>
          </w:tbl>
          <w:p w14:paraId="5FBED933">
            <w:pPr>
              <w:tabs>
                <w:tab w:val="left" w:pos="720"/>
              </w:tabs>
              <w:adjustRightInd w:val="0"/>
              <w:snapToGrid w:val="0"/>
              <w:spacing w:line="360" w:lineRule="auto"/>
              <w:rPr>
                <w:color w:val="auto"/>
                <w:sz w:val="24"/>
              </w:rPr>
            </w:pPr>
            <w:r>
              <w:rPr>
                <w:rFonts w:hint="eastAsia"/>
                <w:color w:val="auto"/>
                <w:sz w:val="22"/>
                <w:szCs w:val="22"/>
              </w:rPr>
              <w:t>注：*塑粉VOC含量为0.0073%，塑粉密度为1.3g/L，则VOC含量为0.000073*1.3*1000=0.0949g/L，标准为≤60</w:t>
            </w:r>
            <w:r>
              <w:rPr>
                <w:rFonts w:hint="eastAsia"/>
                <w:color w:val="auto"/>
                <w:sz w:val="22"/>
                <w:szCs w:val="22"/>
                <w:lang w:val="zh-CN"/>
              </w:rPr>
              <w:t>g/L，</w:t>
            </w:r>
            <w:r>
              <w:rPr>
                <w:rFonts w:hint="eastAsia"/>
                <w:color w:val="auto"/>
                <w:sz w:val="22"/>
                <w:szCs w:val="22"/>
              </w:rPr>
              <w:t>符合。</w:t>
            </w:r>
          </w:p>
        </w:tc>
      </w:tr>
    </w:tbl>
    <w:p w14:paraId="5B931494">
      <w:pPr>
        <w:tabs>
          <w:tab w:val="left" w:pos="720"/>
        </w:tabs>
        <w:adjustRightInd w:val="0"/>
        <w:snapToGrid w:val="0"/>
        <w:spacing w:line="360" w:lineRule="auto"/>
        <w:ind w:firstLine="480" w:firstLineChars="200"/>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
        <w:gridCol w:w="8706"/>
      </w:tblGrid>
      <w:tr w14:paraId="4AA21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196" w:type="pct"/>
            <w:vAlign w:val="center"/>
          </w:tcPr>
          <w:p w14:paraId="5FB46CC3">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4803" w:type="pct"/>
          </w:tcPr>
          <w:p w14:paraId="39208374">
            <w:pPr>
              <w:tabs>
                <w:tab w:val="left" w:pos="720"/>
              </w:tabs>
              <w:adjustRightInd w:val="0"/>
              <w:snapToGrid w:val="0"/>
              <w:spacing w:line="360" w:lineRule="auto"/>
              <w:ind w:firstLine="482" w:firstLineChars="200"/>
              <w:rPr>
                <w:b/>
                <w:color w:val="auto"/>
                <w:sz w:val="24"/>
              </w:rPr>
            </w:pPr>
            <w:r>
              <w:rPr>
                <w:b/>
                <w:color w:val="auto"/>
                <w:sz w:val="24"/>
              </w:rPr>
              <w:t>六、主要生产及公用辅助设备</w:t>
            </w:r>
          </w:p>
          <w:p w14:paraId="5884C091">
            <w:pPr>
              <w:tabs>
                <w:tab w:val="left" w:pos="720"/>
              </w:tabs>
              <w:adjustRightInd w:val="0"/>
              <w:snapToGrid w:val="0"/>
              <w:spacing w:line="360" w:lineRule="auto"/>
              <w:ind w:firstLine="480" w:firstLineChars="200"/>
              <w:rPr>
                <w:color w:val="auto"/>
                <w:sz w:val="24"/>
              </w:rPr>
            </w:pPr>
            <w:r>
              <w:rPr>
                <w:color w:val="auto"/>
                <w:sz w:val="24"/>
              </w:rPr>
              <w:t>本项目主要公用及辅助设备见表2-</w:t>
            </w:r>
            <w:r>
              <w:rPr>
                <w:rFonts w:hint="eastAsia"/>
                <w:color w:val="auto"/>
                <w:sz w:val="24"/>
              </w:rPr>
              <w:t>8</w:t>
            </w:r>
            <w:r>
              <w:rPr>
                <w:color w:val="auto"/>
                <w:sz w:val="24"/>
              </w:rPr>
              <w:t>。</w:t>
            </w:r>
          </w:p>
          <w:p w14:paraId="58A81C31">
            <w:pPr>
              <w:keepNext/>
              <w:adjustRightInd w:val="0"/>
              <w:snapToGrid w:val="0"/>
              <w:jc w:val="center"/>
              <w:rPr>
                <w:b/>
                <w:color w:val="auto"/>
                <w:szCs w:val="21"/>
              </w:rPr>
            </w:pPr>
            <w:r>
              <w:rPr>
                <w:b/>
                <w:color w:val="auto"/>
                <w:sz w:val="24"/>
              </w:rPr>
              <w:t>表2-</w:t>
            </w:r>
            <w:r>
              <w:rPr>
                <w:rFonts w:hint="eastAsia"/>
                <w:b/>
                <w:color w:val="auto"/>
                <w:sz w:val="24"/>
              </w:rPr>
              <w:t>8</w:t>
            </w:r>
            <w:r>
              <w:rPr>
                <w:b/>
                <w:color w:val="auto"/>
                <w:sz w:val="24"/>
              </w:rPr>
              <w:t xml:space="preserve">  本项目主要设备表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65"/>
              <w:gridCol w:w="1766"/>
              <w:gridCol w:w="681"/>
              <w:gridCol w:w="692"/>
              <w:gridCol w:w="1327"/>
              <w:gridCol w:w="1211"/>
            </w:tblGrid>
            <w:tr w14:paraId="7FB32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79" w:type="pct"/>
                  <w:noWrap/>
                  <w:vAlign w:val="center"/>
                </w:tcPr>
                <w:p w14:paraId="5FDF1285">
                  <w:pPr>
                    <w:widowControl/>
                    <w:adjustRightInd w:val="0"/>
                    <w:snapToGrid w:val="0"/>
                    <w:spacing w:line="240" w:lineRule="exact"/>
                    <w:jc w:val="center"/>
                    <w:rPr>
                      <w:b/>
                      <w:color w:val="auto"/>
                      <w:kern w:val="0"/>
                      <w:szCs w:val="21"/>
                    </w:rPr>
                  </w:pPr>
                  <w:r>
                    <w:rPr>
                      <w:b/>
                      <w:color w:val="auto"/>
                      <w:kern w:val="0"/>
                      <w:szCs w:val="21"/>
                    </w:rPr>
                    <w:t>序号</w:t>
                  </w:r>
                </w:p>
              </w:tc>
              <w:tc>
                <w:tcPr>
                  <w:tcW w:w="1275" w:type="pct"/>
                  <w:noWrap/>
                  <w:vAlign w:val="center"/>
                </w:tcPr>
                <w:p w14:paraId="6A1A7D5E">
                  <w:pPr>
                    <w:widowControl/>
                    <w:adjustRightInd w:val="0"/>
                    <w:snapToGrid w:val="0"/>
                    <w:spacing w:line="240" w:lineRule="exact"/>
                    <w:jc w:val="center"/>
                    <w:rPr>
                      <w:b/>
                      <w:color w:val="auto"/>
                      <w:kern w:val="0"/>
                      <w:szCs w:val="21"/>
                    </w:rPr>
                  </w:pPr>
                  <w:r>
                    <w:rPr>
                      <w:b/>
                      <w:color w:val="auto"/>
                      <w:kern w:val="0"/>
                      <w:szCs w:val="21"/>
                    </w:rPr>
                    <w:t>名称</w:t>
                  </w:r>
                </w:p>
              </w:tc>
              <w:tc>
                <w:tcPr>
                  <w:tcW w:w="1040" w:type="pct"/>
                  <w:noWrap/>
                  <w:vAlign w:val="center"/>
                </w:tcPr>
                <w:p w14:paraId="4BF9A41D">
                  <w:pPr>
                    <w:widowControl/>
                    <w:adjustRightInd w:val="0"/>
                    <w:snapToGrid w:val="0"/>
                    <w:spacing w:line="240" w:lineRule="exact"/>
                    <w:jc w:val="center"/>
                    <w:rPr>
                      <w:b/>
                      <w:color w:val="auto"/>
                      <w:kern w:val="0"/>
                      <w:szCs w:val="21"/>
                    </w:rPr>
                  </w:pPr>
                  <w:r>
                    <w:rPr>
                      <w:b/>
                      <w:color w:val="auto"/>
                      <w:kern w:val="0"/>
                      <w:szCs w:val="21"/>
                    </w:rPr>
                    <w:t>规格</w:t>
                  </w:r>
                </w:p>
              </w:tc>
              <w:tc>
                <w:tcPr>
                  <w:tcW w:w="401" w:type="pct"/>
                  <w:noWrap/>
                  <w:vAlign w:val="center"/>
                </w:tcPr>
                <w:p w14:paraId="3E68CFA8">
                  <w:pPr>
                    <w:widowControl/>
                    <w:adjustRightInd w:val="0"/>
                    <w:snapToGrid w:val="0"/>
                    <w:spacing w:line="240" w:lineRule="exact"/>
                    <w:jc w:val="center"/>
                    <w:rPr>
                      <w:b/>
                      <w:color w:val="auto"/>
                      <w:kern w:val="0"/>
                      <w:szCs w:val="21"/>
                    </w:rPr>
                  </w:pPr>
                  <w:r>
                    <w:rPr>
                      <w:b/>
                      <w:color w:val="auto"/>
                      <w:kern w:val="0"/>
                      <w:szCs w:val="21"/>
                    </w:rPr>
                    <w:t>数量</w:t>
                  </w:r>
                </w:p>
              </w:tc>
              <w:tc>
                <w:tcPr>
                  <w:tcW w:w="407" w:type="pct"/>
                  <w:noWrap/>
                  <w:vAlign w:val="center"/>
                </w:tcPr>
                <w:p w14:paraId="67E768AE">
                  <w:pPr>
                    <w:widowControl/>
                    <w:adjustRightInd w:val="0"/>
                    <w:snapToGrid w:val="0"/>
                    <w:spacing w:line="240" w:lineRule="exact"/>
                    <w:jc w:val="center"/>
                    <w:rPr>
                      <w:b/>
                      <w:color w:val="auto"/>
                      <w:kern w:val="0"/>
                      <w:szCs w:val="21"/>
                    </w:rPr>
                  </w:pPr>
                  <w:r>
                    <w:rPr>
                      <w:b/>
                      <w:color w:val="auto"/>
                      <w:kern w:val="0"/>
                      <w:szCs w:val="21"/>
                    </w:rPr>
                    <w:t>单位</w:t>
                  </w:r>
                </w:p>
              </w:tc>
              <w:tc>
                <w:tcPr>
                  <w:tcW w:w="781" w:type="pct"/>
                  <w:vAlign w:val="center"/>
                </w:tcPr>
                <w:p w14:paraId="4FC5C6B6">
                  <w:pPr>
                    <w:widowControl/>
                    <w:adjustRightInd w:val="0"/>
                    <w:snapToGrid w:val="0"/>
                    <w:spacing w:line="240" w:lineRule="exact"/>
                    <w:jc w:val="center"/>
                    <w:rPr>
                      <w:b/>
                      <w:color w:val="auto"/>
                      <w:kern w:val="0"/>
                      <w:szCs w:val="21"/>
                    </w:rPr>
                  </w:pPr>
                  <w:r>
                    <w:rPr>
                      <w:rFonts w:hint="eastAsia"/>
                      <w:b/>
                      <w:color w:val="auto"/>
                      <w:kern w:val="0"/>
                      <w:szCs w:val="21"/>
                    </w:rPr>
                    <w:t>分类车间</w:t>
                  </w:r>
                </w:p>
              </w:tc>
              <w:tc>
                <w:tcPr>
                  <w:tcW w:w="713" w:type="pct"/>
                  <w:vAlign w:val="center"/>
                </w:tcPr>
                <w:p w14:paraId="66A23310">
                  <w:pPr>
                    <w:widowControl/>
                    <w:adjustRightInd w:val="0"/>
                    <w:snapToGrid w:val="0"/>
                    <w:spacing w:line="240" w:lineRule="exact"/>
                    <w:jc w:val="center"/>
                    <w:rPr>
                      <w:b/>
                      <w:color w:val="auto"/>
                      <w:kern w:val="0"/>
                      <w:szCs w:val="21"/>
                    </w:rPr>
                  </w:pPr>
                  <w:r>
                    <w:rPr>
                      <w:b/>
                      <w:color w:val="auto"/>
                      <w:kern w:val="0"/>
                      <w:szCs w:val="21"/>
                    </w:rPr>
                    <w:t>备注</w:t>
                  </w:r>
                </w:p>
              </w:tc>
            </w:tr>
            <w:tr w14:paraId="1E3FA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6D4C49A0">
                  <w:pPr>
                    <w:widowControl/>
                    <w:jc w:val="center"/>
                    <w:textAlignment w:val="center"/>
                    <w:rPr>
                      <w:color w:val="auto"/>
                      <w:kern w:val="0"/>
                      <w:szCs w:val="21"/>
                    </w:rPr>
                  </w:pPr>
                  <w:r>
                    <w:rPr>
                      <w:color w:val="auto"/>
                      <w:kern w:val="0"/>
                      <w:szCs w:val="21"/>
                      <w:lang w:bidi="ar"/>
                    </w:rPr>
                    <w:t>1</w:t>
                  </w:r>
                </w:p>
              </w:tc>
              <w:tc>
                <w:tcPr>
                  <w:tcW w:w="1275" w:type="pct"/>
                  <w:noWrap/>
                  <w:vAlign w:val="center"/>
                </w:tcPr>
                <w:p w14:paraId="68196A1B">
                  <w:pPr>
                    <w:widowControl/>
                    <w:jc w:val="center"/>
                    <w:textAlignment w:val="center"/>
                    <w:rPr>
                      <w:color w:val="auto"/>
                      <w:kern w:val="0"/>
                      <w:szCs w:val="21"/>
                    </w:rPr>
                  </w:pPr>
                  <w:r>
                    <w:rPr>
                      <w:color w:val="auto"/>
                      <w:kern w:val="0"/>
                      <w:szCs w:val="21"/>
                      <w:lang w:bidi="ar"/>
                    </w:rPr>
                    <w:t>宏石板材激光机</w:t>
                  </w:r>
                </w:p>
              </w:tc>
              <w:tc>
                <w:tcPr>
                  <w:tcW w:w="1040" w:type="pct"/>
                  <w:noWrap/>
                  <w:vAlign w:val="center"/>
                </w:tcPr>
                <w:p w14:paraId="5376A142">
                  <w:pPr>
                    <w:widowControl/>
                    <w:jc w:val="center"/>
                    <w:textAlignment w:val="center"/>
                    <w:rPr>
                      <w:color w:val="auto"/>
                      <w:kern w:val="0"/>
                      <w:szCs w:val="21"/>
                    </w:rPr>
                  </w:pPr>
                  <w:r>
                    <w:rPr>
                      <w:color w:val="auto"/>
                      <w:kern w:val="0"/>
                      <w:szCs w:val="21"/>
                      <w:lang w:bidi="ar"/>
                    </w:rPr>
                    <w:t>HS-G4020A</w:t>
                  </w:r>
                </w:p>
              </w:tc>
              <w:tc>
                <w:tcPr>
                  <w:tcW w:w="401" w:type="pct"/>
                  <w:noWrap/>
                  <w:vAlign w:val="center"/>
                </w:tcPr>
                <w:p w14:paraId="2784BD61">
                  <w:pPr>
                    <w:widowControl/>
                    <w:jc w:val="center"/>
                    <w:textAlignment w:val="center"/>
                    <w:rPr>
                      <w:color w:val="auto"/>
                      <w:szCs w:val="21"/>
                    </w:rPr>
                  </w:pPr>
                  <w:r>
                    <w:rPr>
                      <w:color w:val="auto"/>
                      <w:kern w:val="0"/>
                      <w:szCs w:val="21"/>
                      <w:lang w:bidi="ar"/>
                    </w:rPr>
                    <w:t>2</w:t>
                  </w:r>
                </w:p>
              </w:tc>
              <w:tc>
                <w:tcPr>
                  <w:tcW w:w="407" w:type="pct"/>
                  <w:noWrap/>
                  <w:vAlign w:val="center"/>
                </w:tcPr>
                <w:p w14:paraId="462343F8">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2424658">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7DB03EEF">
                  <w:pPr>
                    <w:widowControl/>
                    <w:jc w:val="center"/>
                    <w:textAlignment w:val="center"/>
                    <w:rPr>
                      <w:color w:val="auto"/>
                      <w:kern w:val="0"/>
                      <w:szCs w:val="21"/>
                    </w:rPr>
                  </w:pPr>
                  <w:r>
                    <w:rPr>
                      <w:rFonts w:hint="eastAsia"/>
                      <w:color w:val="auto"/>
                      <w:kern w:val="0"/>
                      <w:szCs w:val="21"/>
                      <w:lang w:bidi="ar"/>
                    </w:rPr>
                    <w:t>下料</w:t>
                  </w:r>
                </w:p>
              </w:tc>
            </w:tr>
            <w:tr w14:paraId="16813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7DBBE85E">
                  <w:pPr>
                    <w:widowControl/>
                    <w:jc w:val="center"/>
                    <w:textAlignment w:val="center"/>
                    <w:rPr>
                      <w:color w:val="auto"/>
                      <w:kern w:val="0"/>
                      <w:szCs w:val="21"/>
                    </w:rPr>
                  </w:pPr>
                  <w:r>
                    <w:rPr>
                      <w:rFonts w:hint="eastAsia"/>
                      <w:color w:val="auto"/>
                      <w:kern w:val="0"/>
                      <w:szCs w:val="21"/>
                      <w:lang w:bidi="ar"/>
                    </w:rPr>
                    <w:t>2</w:t>
                  </w:r>
                </w:p>
              </w:tc>
              <w:tc>
                <w:tcPr>
                  <w:tcW w:w="1275" w:type="pct"/>
                  <w:noWrap/>
                  <w:vAlign w:val="center"/>
                </w:tcPr>
                <w:p w14:paraId="2BE62176">
                  <w:pPr>
                    <w:widowControl/>
                    <w:jc w:val="center"/>
                    <w:textAlignment w:val="center"/>
                    <w:rPr>
                      <w:color w:val="auto"/>
                      <w:kern w:val="0"/>
                      <w:szCs w:val="21"/>
                    </w:rPr>
                  </w:pPr>
                  <w:r>
                    <w:rPr>
                      <w:color w:val="auto"/>
                      <w:kern w:val="0"/>
                      <w:szCs w:val="21"/>
                      <w:lang w:bidi="ar"/>
                    </w:rPr>
                    <w:t>数控开槽机</w:t>
                  </w:r>
                </w:p>
              </w:tc>
              <w:tc>
                <w:tcPr>
                  <w:tcW w:w="1040" w:type="pct"/>
                  <w:noWrap/>
                  <w:vAlign w:val="center"/>
                </w:tcPr>
                <w:p w14:paraId="21D8B7E6">
                  <w:pPr>
                    <w:widowControl/>
                    <w:jc w:val="center"/>
                    <w:textAlignment w:val="center"/>
                    <w:rPr>
                      <w:color w:val="auto"/>
                      <w:kern w:val="0"/>
                      <w:szCs w:val="21"/>
                    </w:rPr>
                  </w:pPr>
                  <w:r>
                    <w:rPr>
                      <w:color w:val="auto"/>
                      <w:kern w:val="0"/>
                      <w:szCs w:val="21"/>
                      <w:lang w:bidi="ar"/>
                    </w:rPr>
                    <w:t>PGNK-1250/4000</w:t>
                  </w:r>
                </w:p>
              </w:tc>
              <w:tc>
                <w:tcPr>
                  <w:tcW w:w="401" w:type="pct"/>
                  <w:noWrap/>
                  <w:vAlign w:val="center"/>
                </w:tcPr>
                <w:p w14:paraId="1A7B2635">
                  <w:pPr>
                    <w:widowControl/>
                    <w:jc w:val="center"/>
                    <w:textAlignment w:val="center"/>
                    <w:rPr>
                      <w:color w:val="auto"/>
                      <w:kern w:val="0"/>
                      <w:szCs w:val="21"/>
                    </w:rPr>
                  </w:pPr>
                  <w:r>
                    <w:rPr>
                      <w:color w:val="auto"/>
                      <w:kern w:val="0"/>
                      <w:szCs w:val="21"/>
                      <w:lang w:bidi="ar"/>
                    </w:rPr>
                    <w:t>6</w:t>
                  </w:r>
                </w:p>
              </w:tc>
              <w:tc>
                <w:tcPr>
                  <w:tcW w:w="407" w:type="pct"/>
                  <w:noWrap/>
                  <w:vAlign w:val="center"/>
                </w:tcPr>
                <w:p w14:paraId="4C5D1DAD">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0ECCC99">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56628FFB">
                  <w:pPr>
                    <w:widowControl/>
                    <w:jc w:val="center"/>
                    <w:textAlignment w:val="center"/>
                    <w:rPr>
                      <w:color w:val="auto"/>
                      <w:kern w:val="0"/>
                      <w:szCs w:val="21"/>
                    </w:rPr>
                  </w:pPr>
                  <w:r>
                    <w:rPr>
                      <w:rFonts w:hint="eastAsia"/>
                      <w:color w:val="auto"/>
                      <w:kern w:val="0"/>
                      <w:szCs w:val="21"/>
                      <w:lang w:bidi="ar"/>
                    </w:rPr>
                    <w:t>刨槽</w:t>
                  </w:r>
                </w:p>
              </w:tc>
            </w:tr>
            <w:tr w14:paraId="5FB58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79" w:type="pct"/>
                  <w:noWrap/>
                  <w:vAlign w:val="center"/>
                </w:tcPr>
                <w:p w14:paraId="0DA84628">
                  <w:pPr>
                    <w:widowControl/>
                    <w:jc w:val="center"/>
                    <w:textAlignment w:val="center"/>
                    <w:rPr>
                      <w:color w:val="auto"/>
                      <w:kern w:val="0"/>
                      <w:szCs w:val="21"/>
                    </w:rPr>
                  </w:pPr>
                  <w:r>
                    <w:rPr>
                      <w:rFonts w:hint="eastAsia"/>
                      <w:color w:val="auto"/>
                      <w:kern w:val="0"/>
                      <w:szCs w:val="21"/>
                      <w:lang w:bidi="ar"/>
                    </w:rPr>
                    <w:t>3</w:t>
                  </w:r>
                </w:p>
              </w:tc>
              <w:tc>
                <w:tcPr>
                  <w:tcW w:w="1275" w:type="pct"/>
                  <w:noWrap/>
                  <w:vAlign w:val="center"/>
                </w:tcPr>
                <w:p w14:paraId="1048E1A0">
                  <w:pPr>
                    <w:widowControl/>
                    <w:jc w:val="center"/>
                    <w:textAlignment w:val="center"/>
                    <w:rPr>
                      <w:color w:val="auto"/>
                      <w:kern w:val="0"/>
                      <w:szCs w:val="21"/>
                    </w:rPr>
                  </w:pPr>
                  <w:r>
                    <w:rPr>
                      <w:color w:val="auto"/>
                      <w:kern w:val="0"/>
                      <w:szCs w:val="21"/>
                      <w:lang w:bidi="ar"/>
                    </w:rPr>
                    <w:t>数控板料折弯机</w:t>
                  </w:r>
                </w:p>
              </w:tc>
              <w:tc>
                <w:tcPr>
                  <w:tcW w:w="1040" w:type="pct"/>
                  <w:noWrap/>
                  <w:vAlign w:val="center"/>
                </w:tcPr>
                <w:p w14:paraId="372CB98E">
                  <w:pPr>
                    <w:widowControl/>
                    <w:jc w:val="center"/>
                    <w:textAlignment w:val="center"/>
                    <w:rPr>
                      <w:color w:val="auto"/>
                      <w:kern w:val="0"/>
                      <w:szCs w:val="21"/>
                    </w:rPr>
                  </w:pPr>
                  <w:r>
                    <w:rPr>
                      <w:color w:val="auto"/>
                      <w:kern w:val="0"/>
                      <w:szCs w:val="21"/>
                      <w:lang w:bidi="ar"/>
                    </w:rPr>
                    <w:t>HB-1032</w:t>
                  </w:r>
                </w:p>
              </w:tc>
              <w:tc>
                <w:tcPr>
                  <w:tcW w:w="401" w:type="pct"/>
                  <w:noWrap/>
                  <w:vAlign w:val="center"/>
                </w:tcPr>
                <w:p w14:paraId="1C289893">
                  <w:pPr>
                    <w:widowControl/>
                    <w:jc w:val="center"/>
                    <w:textAlignment w:val="center"/>
                    <w:rPr>
                      <w:color w:val="auto"/>
                      <w:kern w:val="0"/>
                      <w:szCs w:val="21"/>
                    </w:rPr>
                  </w:pPr>
                  <w:r>
                    <w:rPr>
                      <w:color w:val="auto"/>
                      <w:kern w:val="0"/>
                      <w:szCs w:val="21"/>
                      <w:lang w:bidi="ar"/>
                    </w:rPr>
                    <w:t>55</w:t>
                  </w:r>
                </w:p>
              </w:tc>
              <w:tc>
                <w:tcPr>
                  <w:tcW w:w="407" w:type="pct"/>
                  <w:noWrap/>
                  <w:vAlign w:val="center"/>
                </w:tcPr>
                <w:p w14:paraId="399446BE">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3795762">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3CBEF003">
                  <w:pPr>
                    <w:widowControl/>
                    <w:jc w:val="center"/>
                    <w:textAlignment w:val="center"/>
                    <w:rPr>
                      <w:color w:val="auto"/>
                      <w:kern w:val="0"/>
                      <w:szCs w:val="21"/>
                    </w:rPr>
                  </w:pPr>
                  <w:r>
                    <w:rPr>
                      <w:rFonts w:hint="eastAsia"/>
                      <w:color w:val="auto"/>
                      <w:kern w:val="0"/>
                      <w:szCs w:val="21"/>
                      <w:lang w:bidi="ar"/>
                    </w:rPr>
                    <w:t>折弯</w:t>
                  </w:r>
                </w:p>
              </w:tc>
            </w:tr>
            <w:tr w14:paraId="682E3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041E44AB">
                  <w:pPr>
                    <w:widowControl/>
                    <w:jc w:val="center"/>
                    <w:textAlignment w:val="center"/>
                    <w:rPr>
                      <w:color w:val="auto"/>
                      <w:kern w:val="0"/>
                      <w:szCs w:val="21"/>
                    </w:rPr>
                  </w:pPr>
                  <w:r>
                    <w:rPr>
                      <w:rFonts w:hint="eastAsia"/>
                      <w:color w:val="auto"/>
                      <w:kern w:val="0"/>
                      <w:szCs w:val="21"/>
                      <w:lang w:bidi="ar"/>
                    </w:rPr>
                    <w:t>4</w:t>
                  </w:r>
                </w:p>
              </w:tc>
              <w:tc>
                <w:tcPr>
                  <w:tcW w:w="1275" w:type="pct"/>
                  <w:noWrap/>
                  <w:vAlign w:val="center"/>
                </w:tcPr>
                <w:p w14:paraId="7AFA29FD">
                  <w:pPr>
                    <w:widowControl/>
                    <w:jc w:val="center"/>
                    <w:textAlignment w:val="center"/>
                    <w:rPr>
                      <w:color w:val="auto"/>
                      <w:kern w:val="0"/>
                      <w:szCs w:val="21"/>
                    </w:rPr>
                  </w:pPr>
                  <w:r>
                    <w:rPr>
                      <w:color w:val="auto"/>
                      <w:kern w:val="0"/>
                      <w:szCs w:val="21"/>
                      <w:lang w:bidi="ar"/>
                    </w:rPr>
                    <w:t>冷压机</w:t>
                  </w:r>
                </w:p>
              </w:tc>
              <w:tc>
                <w:tcPr>
                  <w:tcW w:w="1040" w:type="pct"/>
                  <w:noWrap/>
                  <w:vAlign w:val="center"/>
                </w:tcPr>
                <w:p w14:paraId="5F84ED88">
                  <w:pPr>
                    <w:widowControl/>
                    <w:jc w:val="center"/>
                    <w:textAlignment w:val="center"/>
                    <w:rPr>
                      <w:color w:val="auto"/>
                      <w:kern w:val="0"/>
                      <w:szCs w:val="21"/>
                    </w:rPr>
                  </w:pPr>
                  <w:r>
                    <w:rPr>
                      <w:color w:val="auto"/>
                      <w:kern w:val="0"/>
                      <w:szCs w:val="21"/>
                      <w:lang w:bidi="ar"/>
                    </w:rPr>
                    <w:t>HLY-50</w:t>
                  </w:r>
                </w:p>
              </w:tc>
              <w:tc>
                <w:tcPr>
                  <w:tcW w:w="401" w:type="pct"/>
                  <w:noWrap/>
                  <w:vAlign w:val="center"/>
                </w:tcPr>
                <w:p w14:paraId="1A87A42E">
                  <w:pPr>
                    <w:widowControl/>
                    <w:jc w:val="center"/>
                    <w:textAlignment w:val="center"/>
                    <w:rPr>
                      <w:color w:val="auto"/>
                      <w:kern w:val="0"/>
                      <w:szCs w:val="21"/>
                    </w:rPr>
                  </w:pPr>
                  <w:r>
                    <w:rPr>
                      <w:color w:val="auto"/>
                      <w:kern w:val="0"/>
                      <w:szCs w:val="21"/>
                      <w:lang w:bidi="ar"/>
                    </w:rPr>
                    <w:t>4</w:t>
                  </w:r>
                </w:p>
              </w:tc>
              <w:tc>
                <w:tcPr>
                  <w:tcW w:w="407" w:type="pct"/>
                  <w:noWrap/>
                  <w:vAlign w:val="center"/>
                </w:tcPr>
                <w:p w14:paraId="0CB92A50">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069D965">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14D0F2C7">
                  <w:pPr>
                    <w:widowControl/>
                    <w:jc w:val="center"/>
                    <w:textAlignment w:val="center"/>
                    <w:rPr>
                      <w:color w:val="auto"/>
                      <w:kern w:val="0"/>
                      <w:szCs w:val="21"/>
                    </w:rPr>
                  </w:pPr>
                  <w:r>
                    <w:rPr>
                      <w:rFonts w:hint="eastAsia"/>
                      <w:color w:val="auto"/>
                      <w:kern w:val="0"/>
                      <w:szCs w:val="21"/>
                      <w:lang w:bidi="ar"/>
                    </w:rPr>
                    <w:t>压合</w:t>
                  </w:r>
                </w:p>
              </w:tc>
            </w:tr>
            <w:tr w14:paraId="00E4A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0E06BB99">
                  <w:pPr>
                    <w:widowControl/>
                    <w:jc w:val="center"/>
                    <w:textAlignment w:val="center"/>
                    <w:rPr>
                      <w:color w:val="auto"/>
                      <w:kern w:val="0"/>
                      <w:szCs w:val="21"/>
                    </w:rPr>
                  </w:pPr>
                  <w:r>
                    <w:rPr>
                      <w:rFonts w:hint="eastAsia"/>
                      <w:color w:val="auto"/>
                      <w:kern w:val="0"/>
                      <w:szCs w:val="21"/>
                      <w:lang w:bidi="ar"/>
                    </w:rPr>
                    <w:t>5</w:t>
                  </w:r>
                </w:p>
              </w:tc>
              <w:tc>
                <w:tcPr>
                  <w:tcW w:w="1275" w:type="pct"/>
                  <w:noWrap/>
                  <w:vAlign w:val="center"/>
                </w:tcPr>
                <w:p w14:paraId="2E81A966">
                  <w:pPr>
                    <w:widowControl/>
                    <w:jc w:val="center"/>
                    <w:textAlignment w:val="center"/>
                    <w:rPr>
                      <w:color w:val="auto"/>
                      <w:kern w:val="0"/>
                      <w:szCs w:val="21"/>
                    </w:rPr>
                  </w:pPr>
                  <w:r>
                    <w:rPr>
                      <w:color w:val="auto"/>
                      <w:kern w:val="0"/>
                      <w:szCs w:val="21"/>
                      <w:lang w:bidi="ar"/>
                    </w:rPr>
                    <w:t>瑞凌TIG弧焊机</w:t>
                  </w:r>
                </w:p>
              </w:tc>
              <w:tc>
                <w:tcPr>
                  <w:tcW w:w="1040" w:type="pct"/>
                  <w:noWrap/>
                  <w:vAlign w:val="center"/>
                </w:tcPr>
                <w:p w14:paraId="1B6D703A">
                  <w:pPr>
                    <w:widowControl/>
                    <w:jc w:val="center"/>
                    <w:textAlignment w:val="center"/>
                    <w:rPr>
                      <w:color w:val="auto"/>
                      <w:kern w:val="0"/>
                      <w:szCs w:val="21"/>
                    </w:rPr>
                  </w:pPr>
                  <w:r>
                    <w:rPr>
                      <w:color w:val="auto"/>
                      <w:kern w:val="0"/>
                      <w:szCs w:val="21"/>
                      <w:lang w:bidi="ar"/>
                    </w:rPr>
                    <w:t>WS 300S</w:t>
                  </w:r>
                </w:p>
              </w:tc>
              <w:tc>
                <w:tcPr>
                  <w:tcW w:w="401" w:type="pct"/>
                  <w:noWrap/>
                  <w:vAlign w:val="center"/>
                </w:tcPr>
                <w:p w14:paraId="4E4E8556">
                  <w:pPr>
                    <w:widowControl/>
                    <w:jc w:val="center"/>
                    <w:textAlignment w:val="center"/>
                    <w:rPr>
                      <w:color w:val="auto"/>
                      <w:kern w:val="0"/>
                      <w:szCs w:val="21"/>
                    </w:rPr>
                  </w:pPr>
                  <w:r>
                    <w:rPr>
                      <w:color w:val="auto"/>
                      <w:kern w:val="0"/>
                      <w:szCs w:val="21"/>
                      <w:lang w:bidi="ar"/>
                    </w:rPr>
                    <w:t>40</w:t>
                  </w:r>
                </w:p>
              </w:tc>
              <w:tc>
                <w:tcPr>
                  <w:tcW w:w="407" w:type="pct"/>
                  <w:noWrap/>
                  <w:vAlign w:val="center"/>
                </w:tcPr>
                <w:p w14:paraId="0FC80DFA">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C7BB448">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75EFFD71">
                  <w:pPr>
                    <w:widowControl/>
                    <w:jc w:val="center"/>
                    <w:textAlignment w:val="center"/>
                    <w:rPr>
                      <w:color w:val="auto"/>
                      <w:kern w:val="0"/>
                      <w:szCs w:val="21"/>
                    </w:rPr>
                  </w:pPr>
                  <w:r>
                    <w:rPr>
                      <w:rFonts w:hint="eastAsia"/>
                      <w:color w:val="auto"/>
                      <w:kern w:val="0"/>
                      <w:szCs w:val="21"/>
                      <w:lang w:bidi="ar"/>
                    </w:rPr>
                    <w:t>焊接</w:t>
                  </w:r>
                </w:p>
              </w:tc>
            </w:tr>
            <w:tr w14:paraId="54327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2ED0F4A5">
                  <w:pPr>
                    <w:widowControl/>
                    <w:jc w:val="center"/>
                    <w:textAlignment w:val="center"/>
                    <w:rPr>
                      <w:color w:val="auto"/>
                      <w:kern w:val="0"/>
                      <w:szCs w:val="21"/>
                    </w:rPr>
                  </w:pPr>
                  <w:r>
                    <w:rPr>
                      <w:rFonts w:hint="eastAsia"/>
                      <w:color w:val="auto"/>
                      <w:kern w:val="0"/>
                      <w:szCs w:val="21"/>
                      <w:lang w:bidi="ar"/>
                    </w:rPr>
                    <w:t>6</w:t>
                  </w:r>
                </w:p>
              </w:tc>
              <w:tc>
                <w:tcPr>
                  <w:tcW w:w="1275" w:type="pct"/>
                  <w:noWrap/>
                  <w:vAlign w:val="center"/>
                </w:tcPr>
                <w:p w14:paraId="315E82D6">
                  <w:pPr>
                    <w:widowControl/>
                    <w:jc w:val="center"/>
                    <w:textAlignment w:val="center"/>
                    <w:rPr>
                      <w:color w:val="auto"/>
                      <w:kern w:val="0"/>
                      <w:szCs w:val="21"/>
                    </w:rPr>
                  </w:pPr>
                  <w:r>
                    <w:rPr>
                      <w:color w:val="auto"/>
                      <w:kern w:val="0"/>
                      <w:szCs w:val="21"/>
                      <w:lang w:bidi="ar"/>
                    </w:rPr>
                    <w:t>打磨工位</w:t>
                  </w:r>
                </w:p>
              </w:tc>
              <w:tc>
                <w:tcPr>
                  <w:tcW w:w="1040" w:type="pct"/>
                  <w:noWrap/>
                  <w:vAlign w:val="center"/>
                </w:tcPr>
                <w:p w14:paraId="28B66818">
                  <w:pPr>
                    <w:jc w:val="center"/>
                    <w:rPr>
                      <w:color w:val="auto"/>
                      <w:kern w:val="0"/>
                      <w:szCs w:val="21"/>
                    </w:rPr>
                  </w:pPr>
                  <w:r>
                    <w:rPr>
                      <w:rFonts w:hint="eastAsia"/>
                      <w:color w:val="auto"/>
                      <w:kern w:val="0"/>
                      <w:szCs w:val="21"/>
                    </w:rPr>
                    <w:t>/</w:t>
                  </w:r>
                </w:p>
              </w:tc>
              <w:tc>
                <w:tcPr>
                  <w:tcW w:w="401" w:type="pct"/>
                  <w:noWrap/>
                  <w:vAlign w:val="center"/>
                </w:tcPr>
                <w:p w14:paraId="7C3FA92E">
                  <w:pPr>
                    <w:widowControl/>
                    <w:jc w:val="center"/>
                    <w:textAlignment w:val="center"/>
                    <w:rPr>
                      <w:color w:val="auto"/>
                      <w:kern w:val="0"/>
                      <w:szCs w:val="21"/>
                    </w:rPr>
                  </w:pPr>
                  <w:r>
                    <w:rPr>
                      <w:color w:val="auto"/>
                      <w:kern w:val="0"/>
                      <w:szCs w:val="21"/>
                      <w:lang w:bidi="ar"/>
                    </w:rPr>
                    <w:t>36</w:t>
                  </w:r>
                </w:p>
              </w:tc>
              <w:tc>
                <w:tcPr>
                  <w:tcW w:w="407" w:type="pct"/>
                  <w:noWrap/>
                  <w:vAlign w:val="center"/>
                </w:tcPr>
                <w:p w14:paraId="65D39F03">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1E25DF7">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2130B984">
                  <w:pPr>
                    <w:widowControl/>
                    <w:jc w:val="center"/>
                    <w:textAlignment w:val="center"/>
                    <w:rPr>
                      <w:color w:val="auto"/>
                      <w:kern w:val="0"/>
                      <w:szCs w:val="21"/>
                    </w:rPr>
                  </w:pPr>
                  <w:r>
                    <w:rPr>
                      <w:rFonts w:hint="eastAsia"/>
                      <w:color w:val="auto"/>
                      <w:kern w:val="0"/>
                      <w:szCs w:val="21"/>
                      <w:lang w:bidi="ar"/>
                    </w:rPr>
                    <w:t>打磨</w:t>
                  </w:r>
                </w:p>
              </w:tc>
            </w:tr>
            <w:tr w14:paraId="4CA30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B97559C">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bidi="ar"/>
                    </w:rPr>
                    <w:t>7</w:t>
                  </w:r>
                </w:p>
              </w:tc>
              <w:tc>
                <w:tcPr>
                  <w:tcW w:w="1275" w:type="pct"/>
                  <w:noWrap/>
                  <w:vAlign w:val="center"/>
                </w:tcPr>
                <w:p w14:paraId="7719BB58">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抛丸机</w:t>
                  </w:r>
                </w:p>
              </w:tc>
              <w:tc>
                <w:tcPr>
                  <w:tcW w:w="1040" w:type="pct"/>
                  <w:noWrap/>
                  <w:vAlign w:val="center"/>
                </w:tcPr>
                <w:p w14:paraId="3BC1BD97">
                  <w:pPr>
                    <w:jc w:val="center"/>
                    <w:rPr>
                      <w:rFonts w:hint="eastAsia" w:eastAsia="宋体"/>
                      <w:color w:val="auto"/>
                      <w:kern w:val="0"/>
                      <w:szCs w:val="21"/>
                      <w:lang w:val="en-US" w:eastAsia="zh-CN"/>
                    </w:rPr>
                  </w:pPr>
                  <w:r>
                    <w:rPr>
                      <w:rFonts w:hint="eastAsia"/>
                      <w:color w:val="auto"/>
                      <w:kern w:val="0"/>
                      <w:szCs w:val="21"/>
                      <w:lang w:val="en-US" w:eastAsia="zh-CN"/>
                    </w:rPr>
                    <w:t>定制</w:t>
                  </w:r>
                </w:p>
              </w:tc>
              <w:tc>
                <w:tcPr>
                  <w:tcW w:w="401" w:type="pct"/>
                  <w:noWrap/>
                  <w:vAlign w:val="center"/>
                </w:tcPr>
                <w:p w14:paraId="2E9DAB92">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1</w:t>
                  </w:r>
                </w:p>
              </w:tc>
              <w:tc>
                <w:tcPr>
                  <w:tcW w:w="407" w:type="pct"/>
                  <w:noWrap/>
                  <w:vAlign w:val="center"/>
                </w:tcPr>
                <w:p w14:paraId="4C3D38ED">
                  <w:pPr>
                    <w:widowControl/>
                    <w:adjustRightInd w:val="0"/>
                    <w:snapToGrid w:val="0"/>
                    <w:spacing w:line="240" w:lineRule="exact"/>
                    <w:jc w:val="center"/>
                    <w:rPr>
                      <w:rFonts w:hint="eastAsia" w:eastAsia="宋体"/>
                      <w:color w:val="auto"/>
                      <w:kern w:val="0"/>
                      <w:szCs w:val="21"/>
                      <w:lang w:val="en-US" w:eastAsia="zh-CN"/>
                    </w:rPr>
                  </w:pPr>
                  <w:r>
                    <w:rPr>
                      <w:rFonts w:hint="eastAsia"/>
                      <w:color w:val="auto"/>
                      <w:kern w:val="0"/>
                      <w:szCs w:val="21"/>
                      <w:lang w:val="en-US" w:eastAsia="zh-CN"/>
                    </w:rPr>
                    <w:t>台</w:t>
                  </w:r>
                </w:p>
              </w:tc>
              <w:tc>
                <w:tcPr>
                  <w:tcW w:w="781" w:type="pct"/>
                  <w:vAlign w:val="center"/>
                </w:tcPr>
                <w:p w14:paraId="44836FB2">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金属车间</w:t>
                  </w:r>
                </w:p>
              </w:tc>
              <w:tc>
                <w:tcPr>
                  <w:tcW w:w="713" w:type="pct"/>
                  <w:vAlign w:val="center"/>
                </w:tcPr>
                <w:p w14:paraId="2BA20126">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抛丸</w:t>
                  </w:r>
                </w:p>
              </w:tc>
            </w:tr>
            <w:tr w14:paraId="462F5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4A90EFD">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8</w:t>
                  </w:r>
                </w:p>
              </w:tc>
              <w:tc>
                <w:tcPr>
                  <w:tcW w:w="1275" w:type="pct"/>
                  <w:noWrap/>
                  <w:vAlign w:val="center"/>
                </w:tcPr>
                <w:p w14:paraId="3B397CE9">
                  <w:pPr>
                    <w:widowControl/>
                    <w:jc w:val="center"/>
                    <w:textAlignment w:val="center"/>
                    <w:rPr>
                      <w:color w:val="auto"/>
                      <w:kern w:val="0"/>
                      <w:szCs w:val="21"/>
                    </w:rPr>
                  </w:pPr>
                  <w:r>
                    <w:rPr>
                      <w:rFonts w:hint="eastAsia"/>
                      <w:color w:val="auto"/>
                      <w:kern w:val="0"/>
                      <w:szCs w:val="21"/>
                      <w:lang w:bidi="ar"/>
                    </w:rPr>
                    <w:t>环保湿式</w:t>
                  </w:r>
                  <w:r>
                    <w:rPr>
                      <w:color w:val="auto"/>
                      <w:kern w:val="0"/>
                      <w:szCs w:val="21"/>
                      <w:lang w:bidi="ar"/>
                    </w:rPr>
                    <w:t>抛光</w:t>
                  </w:r>
                  <w:r>
                    <w:rPr>
                      <w:rFonts w:hint="eastAsia"/>
                      <w:color w:val="auto"/>
                      <w:kern w:val="0"/>
                      <w:szCs w:val="21"/>
                      <w:lang w:bidi="ar"/>
                    </w:rPr>
                    <w:t>一体</w:t>
                  </w:r>
                  <w:r>
                    <w:rPr>
                      <w:color w:val="auto"/>
                      <w:kern w:val="0"/>
                      <w:szCs w:val="21"/>
                      <w:lang w:bidi="ar"/>
                    </w:rPr>
                    <w:t>机</w:t>
                  </w:r>
                </w:p>
              </w:tc>
              <w:tc>
                <w:tcPr>
                  <w:tcW w:w="1040" w:type="pct"/>
                  <w:noWrap/>
                  <w:vAlign w:val="center"/>
                </w:tcPr>
                <w:p w14:paraId="6C4C6791">
                  <w:pPr>
                    <w:jc w:val="center"/>
                    <w:rPr>
                      <w:color w:val="auto"/>
                      <w:kern w:val="0"/>
                      <w:szCs w:val="21"/>
                    </w:rPr>
                  </w:pPr>
                  <w:r>
                    <w:rPr>
                      <w:rFonts w:hint="eastAsia"/>
                      <w:color w:val="auto"/>
                      <w:kern w:val="0"/>
                      <w:szCs w:val="21"/>
                    </w:rPr>
                    <w:t>/</w:t>
                  </w:r>
                </w:p>
              </w:tc>
              <w:tc>
                <w:tcPr>
                  <w:tcW w:w="401" w:type="pct"/>
                  <w:noWrap/>
                  <w:vAlign w:val="center"/>
                </w:tcPr>
                <w:p w14:paraId="19C627A2">
                  <w:pPr>
                    <w:widowControl/>
                    <w:jc w:val="center"/>
                    <w:textAlignment w:val="center"/>
                    <w:rPr>
                      <w:color w:val="auto"/>
                      <w:kern w:val="0"/>
                      <w:szCs w:val="21"/>
                    </w:rPr>
                  </w:pPr>
                  <w:r>
                    <w:rPr>
                      <w:color w:val="auto"/>
                      <w:kern w:val="0"/>
                      <w:szCs w:val="21"/>
                      <w:lang w:bidi="ar"/>
                    </w:rPr>
                    <w:t>6</w:t>
                  </w:r>
                </w:p>
              </w:tc>
              <w:tc>
                <w:tcPr>
                  <w:tcW w:w="407" w:type="pct"/>
                  <w:noWrap/>
                  <w:vAlign w:val="center"/>
                </w:tcPr>
                <w:p w14:paraId="05DDD5F1">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DECD5B1">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490679A9">
                  <w:pPr>
                    <w:widowControl/>
                    <w:jc w:val="center"/>
                    <w:textAlignment w:val="center"/>
                    <w:rPr>
                      <w:color w:val="auto"/>
                      <w:kern w:val="0"/>
                      <w:szCs w:val="21"/>
                    </w:rPr>
                  </w:pPr>
                  <w:r>
                    <w:rPr>
                      <w:rFonts w:hint="eastAsia"/>
                      <w:color w:val="auto"/>
                      <w:kern w:val="0"/>
                      <w:szCs w:val="21"/>
                      <w:lang w:bidi="ar"/>
                    </w:rPr>
                    <w:t>抛光</w:t>
                  </w:r>
                </w:p>
              </w:tc>
            </w:tr>
            <w:tr w14:paraId="5A281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78506F1">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9</w:t>
                  </w:r>
                </w:p>
              </w:tc>
              <w:tc>
                <w:tcPr>
                  <w:tcW w:w="1275" w:type="pct"/>
                  <w:noWrap/>
                  <w:vAlign w:val="center"/>
                </w:tcPr>
                <w:p w14:paraId="2D88FB35">
                  <w:pPr>
                    <w:widowControl/>
                    <w:jc w:val="center"/>
                    <w:textAlignment w:val="center"/>
                    <w:rPr>
                      <w:color w:val="auto"/>
                      <w:kern w:val="0"/>
                      <w:szCs w:val="21"/>
                    </w:rPr>
                  </w:pPr>
                  <w:r>
                    <w:rPr>
                      <w:color w:val="auto"/>
                      <w:kern w:val="0"/>
                      <w:szCs w:val="21"/>
                      <w:lang w:bidi="ar"/>
                    </w:rPr>
                    <w:t>弯管机</w:t>
                  </w:r>
                </w:p>
              </w:tc>
              <w:tc>
                <w:tcPr>
                  <w:tcW w:w="1040" w:type="pct"/>
                  <w:noWrap/>
                  <w:vAlign w:val="center"/>
                </w:tcPr>
                <w:p w14:paraId="47D4D623">
                  <w:pPr>
                    <w:jc w:val="center"/>
                    <w:rPr>
                      <w:color w:val="auto"/>
                      <w:kern w:val="0"/>
                      <w:szCs w:val="21"/>
                    </w:rPr>
                  </w:pPr>
                  <w:r>
                    <w:rPr>
                      <w:rFonts w:hint="eastAsia"/>
                      <w:color w:val="auto"/>
                      <w:kern w:val="0"/>
                      <w:szCs w:val="21"/>
                    </w:rPr>
                    <w:t>/</w:t>
                  </w:r>
                </w:p>
              </w:tc>
              <w:tc>
                <w:tcPr>
                  <w:tcW w:w="401" w:type="pct"/>
                  <w:noWrap/>
                  <w:vAlign w:val="center"/>
                </w:tcPr>
                <w:p w14:paraId="0C092B00">
                  <w:pPr>
                    <w:widowControl/>
                    <w:jc w:val="center"/>
                    <w:textAlignment w:val="center"/>
                    <w:rPr>
                      <w:color w:val="auto"/>
                      <w:kern w:val="0"/>
                      <w:szCs w:val="21"/>
                    </w:rPr>
                  </w:pPr>
                  <w:r>
                    <w:rPr>
                      <w:color w:val="auto"/>
                      <w:kern w:val="0"/>
                      <w:szCs w:val="21"/>
                      <w:lang w:bidi="ar"/>
                    </w:rPr>
                    <w:t>1</w:t>
                  </w:r>
                </w:p>
              </w:tc>
              <w:tc>
                <w:tcPr>
                  <w:tcW w:w="407" w:type="pct"/>
                  <w:noWrap/>
                  <w:vAlign w:val="center"/>
                </w:tcPr>
                <w:p w14:paraId="064D380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0FB2BC4">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0D6106F3">
                  <w:pPr>
                    <w:widowControl/>
                    <w:jc w:val="center"/>
                    <w:textAlignment w:val="center"/>
                    <w:rPr>
                      <w:color w:val="auto"/>
                      <w:kern w:val="0"/>
                      <w:szCs w:val="21"/>
                    </w:rPr>
                  </w:pPr>
                  <w:r>
                    <w:rPr>
                      <w:rFonts w:hint="eastAsia"/>
                      <w:color w:val="auto"/>
                      <w:kern w:val="0"/>
                      <w:szCs w:val="21"/>
                      <w:lang w:bidi="ar"/>
                    </w:rPr>
                    <w:t>折弯</w:t>
                  </w:r>
                </w:p>
              </w:tc>
            </w:tr>
            <w:tr w14:paraId="0071C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466C9275">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0</w:t>
                  </w:r>
                </w:p>
              </w:tc>
              <w:tc>
                <w:tcPr>
                  <w:tcW w:w="1275" w:type="pct"/>
                  <w:noWrap/>
                  <w:vAlign w:val="center"/>
                </w:tcPr>
                <w:p w14:paraId="46F02E68">
                  <w:pPr>
                    <w:widowControl/>
                    <w:jc w:val="center"/>
                    <w:textAlignment w:val="center"/>
                    <w:rPr>
                      <w:color w:val="auto"/>
                      <w:kern w:val="0"/>
                      <w:szCs w:val="21"/>
                    </w:rPr>
                  </w:pPr>
                  <w:r>
                    <w:rPr>
                      <w:color w:val="auto"/>
                      <w:kern w:val="0"/>
                      <w:szCs w:val="21"/>
                      <w:lang w:bidi="ar"/>
                    </w:rPr>
                    <w:t>切管机</w:t>
                  </w:r>
                </w:p>
              </w:tc>
              <w:tc>
                <w:tcPr>
                  <w:tcW w:w="1040" w:type="pct"/>
                  <w:noWrap/>
                  <w:vAlign w:val="center"/>
                </w:tcPr>
                <w:p w14:paraId="25FBAC9D">
                  <w:pPr>
                    <w:widowControl/>
                    <w:jc w:val="center"/>
                    <w:textAlignment w:val="center"/>
                    <w:rPr>
                      <w:color w:val="auto"/>
                      <w:kern w:val="0"/>
                      <w:szCs w:val="21"/>
                    </w:rPr>
                  </w:pPr>
                  <w:r>
                    <w:rPr>
                      <w:color w:val="auto"/>
                      <w:kern w:val="0"/>
                      <w:szCs w:val="21"/>
                      <w:lang w:bidi="ar"/>
                    </w:rPr>
                    <w:t>YT-315A</w:t>
                  </w:r>
                </w:p>
              </w:tc>
              <w:tc>
                <w:tcPr>
                  <w:tcW w:w="401" w:type="pct"/>
                  <w:noWrap/>
                  <w:vAlign w:val="center"/>
                </w:tcPr>
                <w:p w14:paraId="4D4A71BE">
                  <w:pPr>
                    <w:widowControl/>
                    <w:jc w:val="center"/>
                    <w:textAlignment w:val="center"/>
                    <w:rPr>
                      <w:color w:val="auto"/>
                      <w:kern w:val="0"/>
                      <w:szCs w:val="21"/>
                    </w:rPr>
                  </w:pPr>
                  <w:r>
                    <w:rPr>
                      <w:color w:val="auto"/>
                      <w:kern w:val="0"/>
                      <w:szCs w:val="21"/>
                      <w:lang w:bidi="ar"/>
                    </w:rPr>
                    <w:t>1</w:t>
                  </w:r>
                </w:p>
              </w:tc>
              <w:tc>
                <w:tcPr>
                  <w:tcW w:w="407" w:type="pct"/>
                  <w:noWrap/>
                  <w:vAlign w:val="center"/>
                </w:tcPr>
                <w:p w14:paraId="07B6365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DDBC310">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0F20B58C">
                  <w:pPr>
                    <w:widowControl/>
                    <w:jc w:val="center"/>
                    <w:textAlignment w:val="center"/>
                    <w:rPr>
                      <w:color w:val="auto"/>
                      <w:kern w:val="0"/>
                      <w:szCs w:val="21"/>
                    </w:rPr>
                  </w:pPr>
                  <w:r>
                    <w:rPr>
                      <w:rFonts w:hint="eastAsia"/>
                      <w:color w:val="auto"/>
                      <w:kern w:val="0"/>
                      <w:szCs w:val="21"/>
                      <w:lang w:bidi="ar"/>
                    </w:rPr>
                    <w:t>下料</w:t>
                  </w:r>
                </w:p>
              </w:tc>
            </w:tr>
            <w:tr w14:paraId="48C38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32F924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1</w:t>
                  </w:r>
                </w:p>
              </w:tc>
              <w:tc>
                <w:tcPr>
                  <w:tcW w:w="1275" w:type="pct"/>
                  <w:noWrap/>
                  <w:vAlign w:val="center"/>
                </w:tcPr>
                <w:p w14:paraId="4A425B73">
                  <w:pPr>
                    <w:widowControl/>
                    <w:jc w:val="center"/>
                    <w:textAlignment w:val="center"/>
                    <w:rPr>
                      <w:color w:val="auto"/>
                      <w:kern w:val="0"/>
                      <w:szCs w:val="21"/>
                    </w:rPr>
                  </w:pPr>
                  <w:r>
                    <w:rPr>
                      <w:color w:val="auto"/>
                      <w:kern w:val="0"/>
                      <w:szCs w:val="21"/>
                      <w:lang w:bidi="ar"/>
                    </w:rPr>
                    <w:t>压铆机</w:t>
                  </w:r>
                </w:p>
              </w:tc>
              <w:tc>
                <w:tcPr>
                  <w:tcW w:w="1040" w:type="pct"/>
                  <w:noWrap/>
                  <w:vAlign w:val="center"/>
                </w:tcPr>
                <w:p w14:paraId="02EC45C0">
                  <w:pPr>
                    <w:widowControl/>
                    <w:jc w:val="center"/>
                    <w:textAlignment w:val="center"/>
                    <w:rPr>
                      <w:color w:val="auto"/>
                      <w:kern w:val="0"/>
                      <w:szCs w:val="21"/>
                    </w:rPr>
                  </w:pPr>
                  <w:r>
                    <w:rPr>
                      <w:color w:val="auto"/>
                      <w:kern w:val="0"/>
                      <w:szCs w:val="21"/>
                      <w:lang w:bidi="ar"/>
                    </w:rPr>
                    <w:t>HD06-500</w:t>
                  </w:r>
                </w:p>
              </w:tc>
              <w:tc>
                <w:tcPr>
                  <w:tcW w:w="401" w:type="pct"/>
                  <w:noWrap/>
                  <w:vAlign w:val="center"/>
                </w:tcPr>
                <w:p w14:paraId="1AE641DD">
                  <w:pPr>
                    <w:widowControl/>
                    <w:jc w:val="center"/>
                    <w:textAlignment w:val="center"/>
                    <w:rPr>
                      <w:color w:val="auto"/>
                      <w:kern w:val="0"/>
                      <w:szCs w:val="21"/>
                    </w:rPr>
                  </w:pPr>
                  <w:r>
                    <w:rPr>
                      <w:color w:val="auto"/>
                      <w:kern w:val="0"/>
                      <w:szCs w:val="21"/>
                      <w:lang w:bidi="ar"/>
                    </w:rPr>
                    <w:t>1</w:t>
                  </w:r>
                </w:p>
              </w:tc>
              <w:tc>
                <w:tcPr>
                  <w:tcW w:w="407" w:type="pct"/>
                  <w:noWrap/>
                  <w:vAlign w:val="center"/>
                </w:tcPr>
                <w:p w14:paraId="1A66B7A8">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35B7F904">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398D601E">
                  <w:pPr>
                    <w:widowControl/>
                    <w:jc w:val="center"/>
                    <w:textAlignment w:val="center"/>
                    <w:rPr>
                      <w:color w:val="auto"/>
                      <w:kern w:val="0"/>
                      <w:szCs w:val="21"/>
                    </w:rPr>
                  </w:pPr>
                  <w:r>
                    <w:rPr>
                      <w:rFonts w:hint="eastAsia"/>
                      <w:color w:val="auto"/>
                      <w:kern w:val="0"/>
                      <w:szCs w:val="21"/>
                      <w:lang w:bidi="ar"/>
                    </w:rPr>
                    <w:t>压铆</w:t>
                  </w:r>
                </w:p>
              </w:tc>
            </w:tr>
            <w:tr w14:paraId="7D6F5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4439ED49">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2</w:t>
                  </w:r>
                </w:p>
              </w:tc>
              <w:tc>
                <w:tcPr>
                  <w:tcW w:w="1275" w:type="pct"/>
                  <w:noWrap/>
                  <w:vAlign w:val="center"/>
                </w:tcPr>
                <w:p w14:paraId="4A645E4D">
                  <w:pPr>
                    <w:widowControl/>
                    <w:jc w:val="center"/>
                    <w:textAlignment w:val="center"/>
                    <w:rPr>
                      <w:color w:val="auto"/>
                      <w:kern w:val="0"/>
                      <w:szCs w:val="21"/>
                    </w:rPr>
                  </w:pPr>
                  <w:r>
                    <w:rPr>
                      <w:color w:val="auto"/>
                      <w:kern w:val="0"/>
                      <w:szCs w:val="21"/>
                      <w:lang w:bidi="ar"/>
                    </w:rPr>
                    <w:t>数控剪板机</w:t>
                  </w:r>
                </w:p>
              </w:tc>
              <w:tc>
                <w:tcPr>
                  <w:tcW w:w="1040" w:type="pct"/>
                  <w:noWrap/>
                  <w:vAlign w:val="center"/>
                </w:tcPr>
                <w:p w14:paraId="09ECD218">
                  <w:pPr>
                    <w:widowControl/>
                    <w:jc w:val="center"/>
                    <w:textAlignment w:val="center"/>
                    <w:rPr>
                      <w:color w:val="auto"/>
                      <w:kern w:val="0"/>
                      <w:szCs w:val="21"/>
                    </w:rPr>
                  </w:pPr>
                  <w:r>
                    <w:rPr>
                      <w:color w:val="auto"/>
                      <w:kern w:val="0"/>
                      <w:szCs w:val="21"/>
                      <w:lang w:bidi="ar"/>
                    </w:rPr>
                    <w:t>QC12Y-X2500</w:t>
                  </w:r>
                </w:p>
              </w:tc>
              <w:tc>
                <w:tcPr>
                  <w:tcW w:w="401" w:type="pct"/>
                  <w:noWrap/>
                  <w:vAlign w:val="center"/>
                </w:tcPr>
                <w:p w14:paraId="78697A16">
                  <w:pPr>
                    <w:widowControl/>
                    <w:jc w:val="center"/>
                    <w:textAlignment w:val="center"/>
                    <w:rPr>
                      <w:color w:val="auto"/>
                      <w:kern w:val="0"/>
                      <w:szCs w:val="21"/>
                    </w:rPr>
                  </w:pPr>
                  <w:r>
                    <w:rPr>
                      <w:color w:val="auto"/>
                      <w:kern w:val="0"/>
                      <w:szCs w:val="21"/>
                      <w:lang w:bidi="ar"/>
                    </w:rPr>
                    <w:t>1</w:t>
                  </w:r>
                </w:p>
              </w:tc>
              <w:tc>
                <w:tcPr>
                  <w:tcW w:w="407" w:type="pct"/>
                  <w:noWrap/>
                  <w:vAlign w:val="center"/>
                </w:tcPr>
                <w:p w14:paraId="5E14AF9B">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FAE3CAF">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0A50C9DE">
                  <w:pPr>
                    <w:widowControl/>
                    <w:jc w:val="center"/>
                    <w:textAlignment w:val="center"/>
                    <w:rPr>
                      <w:color w:val="auto"/>
                      <w:kern w:val="0"/>
                      <w:szCs w:val="21"/>
                    </w:rPr>
                  </w:pPr>
                  <w:r>
                    <w:rPr>
                      <w:rFonts w:hint="eastAsia"/>
                      <w:color w:val="auto"/>
                      <w:kern w:val="0"/>
                      <w:szCs w:val="21"/>
                      <w:lang w:bidi="ar"/>
                    </w:rPr>
                    <w:t>下料</w:t>
                  </w:r>
                </w:p>
              </w:tc>
            </w:tr>
            <w:tr w14:paraId="10B31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7C301C6">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3</w:t>
                  </w:r>
                </w:p>
              </w:tc>
              <w:tc>
                <w:tcPr>
                  <w:tcW w:w="1275" w:type="pct"/>
                  <w:noWrap/>
                  <w:vAlign w:val="center"/>
                </w:tcPr>
                <w:p w14:paraId="36E74F51">
                  <w:pPr>
                    <w:widowControl/>
                    <w:jc w:val="center"/>
                    <w:textAlignment w:val="center"/>
                    <w:rPr>
                      <w:color w:val="auto"/>
                      <w:kern w:val="0"/>
                      <w:szCs w:val="21"/>
                    </w:rPr>
                  </w:pPr>
                  <w:r>
                    <w:rPr>
                      <w:color w:val="auto"/>
                      <w:kern w:val="0"/>
                      <w:szCs w:val="21"/>
                      <w:lang w:bidi="ar"/>
                    </w:rPr>
                    <w:t>台式攻丝机</w:t>
                  </w:r>
                </w:p>
              </w:tc>
              <w:tc>
                <w:tcPr>
                  <w:tcW w:w="1040" w:type="pct"/>
                  <w:noWrap/>
                  <w:vAlign w:val="center"/>
                </w:tcPr>
                <w:p w14:paraId="79FDE97B">
                  <w:pPr>
                    <w:widowControl/>
                    <w:jc w:val="center"/>
                    <w:textAlignment w:val="center"/>
                    <w:rPr>
                      <w:color w:val="auto"/>
                      <w:kern w:val="0"/>
                      <w:szCs w:val="21"/>
                    </w:rPr>
                  </w:pPr>
                  <w:r>
                    <w:rPr>
                      <w:color w:val="auto"/>
                      <w:kern w:val="0"/>
                      <w:szCs w:val="21"/>
                      <w:lang w:bidi="ar"/>
                    </w:rPr>
                    <w:t>SWJ-12D</w:t>
                  </w:r>
                </w:p>
              </w:tc>
              <w:tc>
                <w:tcPr>
                  <w:tcW w:w="401" w:type="pct"/>
                  <w:noWrap/>
                  <w:vAlign w:val="center"/>
                </w:tcPr>
                <w:p w14:paraId="5E0947EE">
                  <w:pPr>
                    <w:widowControl/>
                    <w:jc w:val="center"/>
                    <w:textAlignment w:val="center"/>
                    <w:rPr>
                      <w:color w:val="auto"/>
                      <w:kern w:val="0"/>
                      <w:szCs w:val="21"/>
                    </w:rPr>
                  </w:pPr>
                  <w:r>
                    <w:rPr>
                      <w:color w:val="auto"/>
                      <w:kern w:val="0"/>
                      <w:szCs w:val="21"/>
                      <w:lang w:bidi="ar"/>
                    </w:rPr>
                    <w:t>1</w:t>
                  </w:r>
                </w:p>
              </w:tc>
              <w:tc>
                <w:tcPr>
                  <w:tcW w:w="407" w:type="pct"/>
                  <w:noWrap/>
                  <w:vAlign w:val="center"/>
                </w:tcPr>
                <w:p w14:paraId="177E3040">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301AA0BA">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7ED5AD3D">
                  <w:pPr>
                    <w:widowControl/>
                    <w:jc w:val="center"/>
                    <w:textAlignment w:val="center"/>
                    <w:rPr>
                      <w:color w:val="auto"/>
                      <w:kern w:val="0"/>
                      <w:szCs w:val="21"/>
                    </w:rPr>
                  </w:pPr>
                  <w:r>
                    <w:rPr>
                      <w:rFonts w:hint="eastAsia"/>
                      <w:color w:val="auto"/>
                      <w:kern w:val="0"/>
                      <w:szCs w:val="21"/>
                      <w:lang w:bidi="ar"/>
                    </w:rPr>
                    <w:t>攻牙</w:t>
                  </w:r>
                </w:p>
              </w:tc>
            </w:tr>
            <w:tr w14:paraId="34DD5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AB727A7">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4</w:t>
                  </w:r>
                </w:p>
              </w:tc>
              <w:tc>
                <w:tcPr>
                  <w:tcW w:w="1275" w:type="pct"/>
                  <w:noWrap/>
                  <w:vAlign w:val="center"/>
                </w:tcPr>
                <w:p w14:paraId="7262352B">
                  <w:pPr>
                    <w:widowControl/>
                    <w:jc w:val="center"/>
                    <w:textAlignment w:val="center"/>
                    <w:rPr>
                      <w:color w:val="auto"/>
                      <w:kern w:val="0"/>
                      <w:szCs w:val="21"/>
                    </w:rPr>
                  </w:pPr>
                  <w:r>
                    <w:rPr>
                      <w:color w:val="auto"/>
                      <w:kern w:val="0"/>
                      <w:szCs w:val="21"/>
                      <w:lang w:bidi="ar"/>
                    </w:rPr>
                    <w:t>滚圆机</w:t>
                  </w:r>
                </w:p>
              </w:tc>
              <w:tc>
                <w:tcPr>
                  <w:tcW w:w="1040" w:type="pct"/>
                  <w:noWrap/>
                  <w:vAlign w:val="center"/>
                </w:tcPr>
                <w:p w14:paraId="3ED001C8">
                  <w:pPr>
                    <w:jc w:val="center"/>
                    <w:rPr>
                      <w:color w:val="auto"/>
                      <w:kern w:val="0"/>
                      <w:szCs w:val="21"/>
                    </w:rPr>
                  </w:pPr>
                  <w:r>
                    <w:rPr>
                      <w:rFonts w:hint="eastAsia"/>
                      <w:color w:val="auto"/>
                      <w:kern w:val="0"/>
                      <w:szCs w:val="21"/>
                    </w:rPr>
                    <w:t>/</w:t>
                  </w:r>
                </w:p>
              </w:tc>
              <w:tc>
                <w:tcPr>
                  <w:tcW w:w="401" w:type="pct"/>
                  <w:noWrap/>
                  <w:vAlign w:val="center"/>
                </w:tcPr>
                <w:p w14:paraId="322A3CD6">
                  <w:pPr>
                    <w:widowControl/>
                    <w:jc w:val="center"/>
                    <w:textAlignment w:val="center"/>
                    <w:rPr>
                      <w:color w:val="auto"/>
                      <w:kern w:val="0"/>
                      <w:szCs w:val="21"/>
                    </w:rPr>
                  </w:pPr>
                  <w:r>
                    <w:rPr>
                      <w:color w:val="auto"/>
                      <w:kern w:val="0"/>
                      <w:szCs w:val="21"/>
                      <w:lang w:bidi="ar"/>
                    </w:rPr>
                    <w:t>1</w:t>
                  </w:r>
                </w:p>
              </w:tc>
              <w:tc>
                <w:tcPr>
                  <w:tcW w:w="407" w:type="pct"/>
                  <w:noWrap/>
                  <w:vAlign w:val="center"/>
                </w:tcPr>
                <w:p w14:paraId="1439F0A7">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3D9CC892">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13895A9D">
                  <w:pPr>
                    <w:widowControl/>
                    <w:jc w:val="center"/>
                    <w:textAlignment w:val="center"/>
                    <w:rPr>
                      <w:color w:val="auto"/>
                      <w:kern w:val="0"/>
                      <w:szCs w:val="21"/>
                    </w:rPr>
                  </w:pPr>
                  <w:r>
                    <w:rPr>
                      <w:rFonts w:hint="eastAsia"/>
                      <w:color w:val="auto"/>
                      <w:kern w:val="0"/>
                      <w:szCs w:val="21"/>
                    </w:rPr>
                    <w:t>卷圆</w:t>
                  </w:r>
                </w:p>
              </w:tc>
            </w:tr>
            <w:tr w14:paraId="39200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59BF6B0">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5</w:t>
                  </w:r>
                </w:p>
              </w:tc>
              <w:tc>
                <w:tcPr>
                  <w:tcW w:w="1275" w:type="pct"/>
                  <w:noWrap/>
                  <w:vAlign w:val="center"/>
                </w:tcPr>
                <w:p w14:paraId="6F798064">
                  <w:pPr>
                    <w:widowControl/>
                    <w:jc w:val="center"/>
                    <w:textAlignment w:val="center"/>
                    <w:rPr>
                      <w:color w:val="auto"/>
                      <w:kern w:val="0"/>
                      <w:szCs w:val="21"/>
                    </w:rPr>
                  </w:pPr>
                  <w:r>
                    <w:rPr>
                      <w:color w:val="auto"/>
                      <w:kern w:val="0"/>
                      <w:szCs w:val="21"/>
                      <w:lang w:bidi="ar"/>
                    </w:rPr>
                    <w:t>激光机切管机</w:t>
                  </w:r>
                </w:p>
              </w:tc>
              <w:tc>
                <w:tcPr>
                  <w:tcW w:w="1040" w:type="pct"/>
                  <w:noWrap/>
                  <w:vAlign w:val="center"/>
                </w:tcPr>
                <w:p w14:paraId="6C886138">
                  <w:pPr>
                    <w:widowControl/>
                    <w:jc w:val="center"/>
                    <w:textAlignment w:val="center"/>
                    <w:rPr>
                      <w:color w:val="auto"/>
                      <w:kern w:val="0"/>
                      <w:szCs w:val="21"/>
                    </w:rPr>
                  </w:pPr>
                  <w:r>
                    <w:rPr>
                      <w:color w:val="auto"/>
                      <w:kern w:val="0"/>
                      <w:szCs w:val="21"/>
                      <w:lang w:bidi="ar"/>
                    </w:rPr>
                    <w:t>HS-R3</w:t>
                  </w:r>
                </w:p>
              </w:tc>
              <w:tc>
                <w:tcPr>
                  <w:tcW w:w="401" w:type="pct"/>
                  <w:noWrap/>
                  <w:vAlign w:val="center"/>
                </w:tcPr>
                <w:p w14:paraId="31EE93E2">
                  <w:pPr>
                    <w:widowControl/>
                    <w:jc w:val="center"/>
                    <w:textAlignment w:val="center"/>
                    <w:rPr>
                      <w:color w:val="auto"/>
                      <w:kern w:val="0"/>
                      <w:szCs w:val="21"/>
                    </w:rPr>
                  </w:pPr>
                  <w:r>
                    <w:rPr>
                      <w:color w:val="auto"/>
                      <w:kern w:val="0"/>
                      <w:szCs w:val="21"/>
                      <w:lang w:bidi="ar"/>
                    </w:rPr>
                    <w:t>1</w:t>
                  </w:r>
                </w:p>
              </w:tc>
              <w:tc>
                <w:tcPr>
                  <w:tcW w:w="407" w:type="pct"/>
                  <w:noWrap/>
                  <w:vAlign w:val="center"/>
                </w:tcPr>
                <w:p w14:paraId="2B0DCE7E">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B3E67C8">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0C4ED50B">
                  <w:pPr>
                    <w:widowControl/>
                    <w:jc w:val="center"/>
                    <w:textAlignment w:val="center"/>
                    <w:rPr>
                      <w:color w:val="auto"/>
                      <w:kern w:val="0"/>
                      <w:szCs w:val="21"/>
                    </w:rPr>
                  </w:pPr>
                  <w:r>
                    <w:rPr>
                      <w:rFonts w:hint="eastAsia"/>
                      <w:color w:val="auto"/>
                      <w:kern w:val="0"/>
                      <w:szCs w:val="21"/>
                      <w:lang w:bidi="ar"/>
                    </w:rPr>
                    <w:t>下料</w:t>
                  </w:r>
                </w:p>
              </w:tc>
            </w:tr>
            <w:tr w14:paraId="06670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4CFB80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6</w:t>
                  </w:r>
                </w:p>
              </w:tc>
              <w:tc>
                <w:tcPr>
                  <w:tcW w:w="1275" w:type="pct"/>
                  <w:noWrap/>
                  <w:vAlign w:val="center"/>
                </w:tcPr>
                <w:p w14:paraId="3119BD44">
                  <w:pPr>
                    <w:widowControl/>
                    <w:jc w:val="center"/>
                    <w:textAlignment w:val="center"/>
                    <w:rPr>
                      <w:color w:val="auto"/>
                      <w:kern w:val="0"/>
                      <w:szCs w:val="21"/>
                    </w:rPr>
                  </w:pPr>
                  <w:r>
                    <w:rPr>
                      <w:color w:val="auto"/>
                      <w:kern w:val="0"/>
                      <w:szCs w:val="21"/>
                      <w:lang w:bidi="ar"/>
                    </w:rPr>
                    <w:t>台钻</w:t>
                  </w:r>
                </w:p>
              </w:tc>
              <w:tc>
                <w:tcPr>
                  <w:tcW w:w="1040" w:type="pct"/>
                  <w:noWrap/>
                  <w:vAlign w:val="center"/>
                </w:tcPr>
                <w:p w14:paraId="16B99EBF">
                  <w:pPr>
                    <w:jc w:val="center"/>
                    <w:rPr>
                      <w:color w:val="auto"/>
                      <w:kern w:val="0"/>
                      <w:szCs w:val="21"/>
                    </w:rPr>
                  </w:pPr>
                  <w:r>
                    <w:rPr>
                      <w:rFonts w:hint="eastAsia"/>
                      <w:color w:val="auto"/>
                      <w:kern w:val="0"/>
                      <w:szCs w:val="21"/>
                    </w:rPr>
                    <w:t>/</w:t>
                  </w:r>
                </w:p>
              </w:tc>
              <w:tc>
                <w:tcPr>
                  <w:tcW w:w="401" w:type="pct"/>
                  <w:noWrap/>
                  <w:vAlign w:val="center"/>
                </w:tcPr>
                <w:p w14:paraId="167BB3B1">
                  <w:pPr>
                    <w:widowControl/>
                    <w:jc w:val="center"/>
                    <w:textAlignment w:val="center"/>
                    <w:rPr>
                      <w:color w:val="auto"/>
                      <w:kern w:val="0"/>
                      <w:szCs w:val="21"/>
                    </w:rPr>
                  </w:pPr>
                  <w:r>
                    <w:rPr>
                      <w:color w:val="auto"/>
                      <w:kern w:val="0"/>
                      <w:szCs w:val="21"/>
                      <w:lang w:bidi="ar"/>
                    </w:rPr>
                    <w:t>2</w:t>
                  </w:r>
                </w:p>
              </w:tc>
              <w:tc>
                <w:tcPr>
                  <w:tcW w:w="407" w:type="pct"/>
                  <w:noWrap/>
                  <w:vAlign w:val="center"/>
                </w:tcPr>
                <w:p w14:paraId="56C17D76">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733DA38F">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379E4E00">
                  <w:pPr>
                    <w:widowControl/>
                    <w:jc w:val="center"/>
                    <w:textAlignment w:val="center"/>
                    <w:rPr>
                      <w:color w:val="auto"/>
                      <w:kern w:val="0"/>
                      <w:szCs w:val="21"/>
                    </w:rPr>
                  </w:pPr>
                  <w:r>
                    <w:rPr>
                      <w:rFonts w:hint="eastAsia"/>
                      <w:color w:val="auto"/>
                      <w:kern w:val="0"/>
                      <w:szCs w:val="21"/>
                    </w:rPr>
                    <w:t>打孔</w:t>
                  </w:r>
                </w:p>
              </w:tc>
            </w:tr>
            <w:tr w14:paraId="20A57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2EAB555">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7</w:t>
                  </w:r>
                </w:p>
              </w:tc>
              <w:tc>
                <w:tcPr>
                  <w:tcW w:w="1275" w:type="pct"/>
                  <w:noWrap/>
                  <w:vAlign w:val="center"/>
                </w:tcPr>
                <w:p w14:paraId="75076CA4">
                  <w:pPr>
                    <w:widowControl/>
                    <w:jc w:val="center"/>
                    <w:textAlignment w:val="center"/>
                    <w:rPr>
                      <w:color w:val="auto"/>
                      <w:kern w:val="0"/>
                      <w:szCs w:val="21"/>
                    </w:rPr>
                  </w:pPr>
                  <w:r>
                    <w:rPr>
                      <w:rFonts w:hint="eastAsia"/>
                      <w:color w:val="auto"/>
                      <w:kern w:val="0"/>
                      <w:szCs w:val="21"/>
                      <w:lang w:eastAsia="zh-CN" w:bidi="ar"/>
                    </w:rPr>
                    <w:t>水分</w:t>
                  </w:r>
                  <w:r>
                    <w:rPr>
                      <w:color w:val="auto"/>
                      <w:kern w:val="0"/>
                      <w:szCs w:val="21"/>
                      <w:lang w:bidi="ar"/>
                    </w:rPr>
                    <w:t>烘干炉</w:t>
                  </w:r>
                </w:p>
              </w:tc>
              <w:tc>
                <w:tcPr>
                  <w:tcW w:w="1040" w:type="pct"/>
                  <w:noWrap/>
                  <w:vAlign w:val="center"/>
                </w:tcPr>
                <w:p w14:paraId="17A79EF6">
                  <w:pPr>
                    <w:jc w:val="center"/>
                    <w:rPr>
                      <w:color w:val="auto"/>
                      <w:kern w:val="0"/>
                      <w:szCs w:val="21"/>
                    </w:rPr>
                  </w:pPr>
                  <w:r>
                    <w:rPr>
                      <w:rFonts w:hint="eastAsia"/>
                      <w:color w:val="auto"/>
                      <w:kern w:val="0"/>
                      <w:szCs w:val="21"/>
                    </w:rPr>
                    <w:t>/</w:t>
                  </w:r>
                </w:p>
              </w:tc>
              <w:tc>
                <w:tcPr>
                  <w:tcW w:w="401" w:type="pct"/>
                  <w:noWrap/>
                  <w:vAlign w:val="center"/>
                </w:tcPr>
                <w:p w14:paraId="594D13A3">
                  <w:pPr>
                    <w:widowControl/>
                    <w:jc w:val="center"/>
                    <w:textAlignment w:val="center"/>
                    <w:rPr>
                      <w:color w:val="auto"/>
                      <w:kern w:val="0"/>
                      <w:szCs w:val="21"/>
                    </w:rPr>
                  </w:pPr>
                  <w:r>
                    <w:rPr>
                      <w:color w:val="auto"/>
                      <w:kern w:val="0"/>
                      <w:szCs w:val="21"/>
                      <w:lang w:bidi="ar"/>
                    </w:rPr>
                    <w:t>1</w:t>
                  </w:r>
                </w:p>
              </w:tc>
              <w:tc>
                <w:tcPr>
                  <w:tcW w:w="407" w:type="pct"/>
                  <w:noWrap/>
                  <w:vAlign w:val="center"/>
                </w:tcPr>
                <w:p w14:paraId="381173C3">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5C7DAE0">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2818C983">
                  <w:pPr>
                    <w:widowControl/>
                    <w:jc w:val="center"/>
                    <w:textAlignment w:val="center"/>
                    <w:rPr>
                      <w:color w:val="auto"/>
                      <w:kern w:val="0"/>
                      <w:szCs w:val="21"/>
                    </w:rPr>
                  </w:pPr>
                  <w:r>
                    <w:rPr>
                      <w:rFonts w:hint="eastAsia"/>
                      <w:color w:val="auto"/>
                      <w:kern w:val="0"/>
                      <w:szCs w:val="21"/>
                      <w:lang w:bidi="ar"/>
                    </w:rPr>
                    <w:t>烘干</w:t>
                  </w:r>
                </w:p>
              </w:tc>
            </w:tr>
            <w:tr w14:paraId="2B9E2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3D08C26">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18</w:t>
                  </w:r>
                </w:p>
              </w:tc>
              <w:tc>
                <w:tcPr>
                  <w:tcW w:w="1275" w:type="pct"/>
                  <w:noWrap/>
                  <w:vAlign w:val="center"/>
                </w:tcPr>
                <w:p w14:paraId="013D156D">
                  <w:pPr>
                    <w:widowControl/>
                    <w:jc w:val="center"/>
                    <w:textAlignment w:val="center"/>
                    <w:rPr>
                      <w:color w:val="auto"/>
                      <w:kern w:val="0"/>
                      <w:szCs w:val="21"/>
                    </w:rPr>
                  </w:pPr>
                  <w:r>
                    <w:rPr>
                      <w:color w:val="auto"/>
                      <w:kern w:val="0"/>
                      <w:szCs w:val="21"/>
                      <w:lang w:bidi="ar"/>
                    </w:rPr>
                    <w:t>静电喷枪</w:t>
                  </w:r>
                </w:p>
              </w:tc>
              <w:tc>
                <w:tcPr>
                  <w:tcW w:w="1040" w:type="pct"/>
                  <w:noWrap/>
                  <w:vAlign w:val="center"/>
                </w:tcPr>
                <w:p w14:paraId="092A43D7">
                  <w:pPr>
                    <w:jc w:val="center"/>
                    <w:rPr>
                      <w:color w:val="auto"/>
                      <w:kern w:val="0"/>
                      <w:szCs w:val="21"/>
                    </w:rPr>
                  </w:pPr>
                  <w:r>
                    <w:rPr>
                      <w:rFonts w:hint="eastAsia"/>
                      <w:color w:val="auto"/>
                      <w:kern w:val="0"/>
                      <w:szCs w:val="21"/>
                    </w:rPr>
                    <w:t>/</w:t>
                  </w:r>
                </w:p>
              </w:tc>
              <w:tc>
                <w:tcPr>
                  <w:tcW w:w="401" w:type="pct"/>
                  <w:noWrap/>
                  <w:vAlign w:val="center"/>
                </w:tcPr>
                <w:p w14:paraId="17B43A08">
                  <w:pPr>
                    <w:widowControl/>
                    <w:jc w:val="center"/>
                    <w:textAlignment w:val="center"/>
                    <w:rPr>
                      <w:color w:val="auto"/>
                      <w:kern w:val="0"/>
                      <w:szCs w:val="21"/>
                    </w:rPr>
                  </w:pPr>
                  <w:r>
                    <w:rPr>
                      <w:color w:val="auto"/>
                      <w:kern w:val="0"/>
                      <w:szCs w:val="21"/>
                      <w:lang w:bidi="ar"/>
                    </w:rPr>
                    <w:t>4</w:t>
                  </w:r>
                </w:p>
              </w:tc>
              <w:tc>
                <w:tcPr>
                  <w:tcW w:w="407" w:type="pct"/>
                  <w:noWrap/>
                  <w:vAlign w:val="center"/>
                </w:tcPr>
                <w:p w14:paraId="51B529FC">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9200750">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3063DD66">
                  <w:pPr>
                    <w:widowControl/>
                    <w:jc w:val="center"/>
                    <w:textAlignment w:val="center"/>
                    <w:rPr>
                      <w:color w:val="auto"/>
                      <w:kern w:val="0"/>
                      <w:szCs w:val="21"/>
                    </w:rPr>
                  </w:pPr>
                  <w:r>
                    <w:rPr>
                      <w:rFonts w:hint="eastAsia"/>
                      <w:color w:val="auto"/>
                      <w:kern w:val="0"/>
                      <w:szCs w:val="21"/>
                    </w:rPr>
                    <w:t>喷粉</w:t>
                  </w:r>
                </w:p>
              </w:tc>
            </w:tr>
            <w:tr w14:paraId="3A891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78761AD2">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19</w:t>
                  </w:r>
                </w:p>
              </w:tc>
              <w:tc>
                <w:tcPr>
                  <w:tcW w:w="1275" w:type="pct"/>
                  <w:noWrap/>
                  <w:vAlign w:val="center"/>
                </w:tcPr>
                <w:p w14:paraId="345F0DDF">
                  <w:pPr>
                    <w:widowControl/>
                    <w:jc w:val="center"/>
                    <w:textAlignment w:val="center"/>
                    <w:rPr>
                      <w:color w:val="auto"/>
                      <w:kern w:val="0"/>
                      <w:szCs w:val="21"/>
                    </w:rPr>
                  </w:pPr>
                  <w:r>
                    <w:rPr>
                      <w:color w:val="auto"/>
                      <w:kern w:val="0"/>
                      <w:szCs w:val="21"/>
                      <w:lang w:bidi="ar"/>
                    </w:rPr>
                    <w:t>粉末固化炉</w:t>
                  </w:r>
                </w:p>
              </w:tc>
              <w:tc>
                <w:tcPr>
                  <w:tcW w:w="1040" w:type="pct"/>
                  <w:noWrap/>
                  <w:vAlign w:val="center"/>
                </w:tcPr>
                <w:p w14:paraId="2318862E">
                  <w:pPr>
                    <w:jc w:val="center"/>
                    <w:rPr>
                      <w:color w:val="auto"/>
                      <w:kern w:val="0"/>
                      <w:szCs w:val="21"/>
                    </w:rPr>
                  </w:pPr>
                  <w:r>
                    <w:rPr>
                      <w:rFonts w:hint="eastAsia"/>
                      <w:color w:val="auto"/>
                      <w:kern w:val="0"/>
                      <w:szCs w:val="21"/>
                    </w:rPr>
                    <w:t>/</w:t>
                  </w:r>
                </w:p>
              </w:tc>
              <w:tc>
                <w:tcPr>
                  <w:tcW w:w="401" w:type="pct"/>
                  <w:noWrap/>
                  <w:vAlign w:val="center"/>
                </w:tcPr>
                <w:p w14:paraId="134B876E">
                  <w:pPr>
                    <w:widowControl/>
                    <w:jc w:val="center"/>
                    <w:textAlignment w:val="center"/>
                    <w:rPr>
                      <w:color w:val="auto"/>
                      <w:kern w:val="0"/>
                      <w:szCs w:val="21"/>
                    </w:rPr>
                  </w:pPr>
                  <w:r>
                    <w:rPr>
                      <w:color w:val="auto"/>
                      <w:kern w:val="0"/>
                      <w:szCs w:val="21"/>
                      <w:lang w:bidi="ar"/>
                    </w:rPr>
                    <w:t>1</w:t>
                  </w:r>
                </w:p>
              </w:tc>
              <w:tc>
                <w:tcPr>
                  <w:tcW w:w="407" w:type="pct"/>
                  <w:noWrap/>
                  <w:vAlign w:val="center"/>
                </w:tcPr>
                <w:p w14:paraId="06752E95">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CA33B1E">
                  <w:pPr>
                    <w:widowControl/>
                    <w:jc w:val="center"/>
                    <w:textAlignment w:val="center"/>
                    <w:rPr>
                      <w:color w:val="auto"/>
                      <w:kern w:val="0"/>
                      <w:szCs w:val="21"/>
                      <w:lang w:bidi="ar"/>
                    </w:rPr>
                  </w:pPr>
                  <w:r>
                    <w:rPr>
                      <w:color w:val="auto"/>
                      <w:kern w:val="0"/>
                      <w:szCs w:val="21"/>
                      <w:lang w:bidi="ar"/>
                    </w:rPr>
                    <w:t>金属车间</w:t>
                  </w:r>
                </w:p>
              </w:tc>
              <w:tc>
                <w:tcPr>
                  <w:tcW w:w="713" w:type="pct"/>
                  <w:vAlign w:val="center"/>
                </w:tcPr>
                <w:p w14:paraId="1B71586C">
                  <w:pPr>
                    <w:widowControl/>
                    <w:jc w:val="center"/>
                    <w:textAlignment w:val="center"/>
                    <w:rPr>
                      <w:color w:val="auto"/>
                      <w:kern w:val="0"/>
                      <w:szCs w:val="21"/>
                    </w:rPr>
                  </w:pPr>
                  <w:r>
                    <w:rPr>
                      <w:rFonts w:hint="eastAsia"/>
                      <w:color w:val="auto"/>
                      <w:kern w:val="0"/>
                      <w:szCs w:val="21"/>
                    </w:rPr>
                    <w:t>烘烤固化</w:t>
                  </w:r>
                </w:p>
              </w:tc>
            </w:tr>
            <w:tr w14:paraId="19D8A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16E6D82">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0</w:t>
                  </w:r>
                </w:p>
              </w:tc>
              <w:tc>
                <w:tcPr>
                  <w:tcW w:w="1275" w:type="pct"/>
                  <w:noWrap/>
                  <w:vAlign w:val="center"/>
                </w:tcPr>
                <w:p w14:paraId="21646AAC">
                  <w:pPr>
                    <w:widowControl/>
                    <w:jc w:val="center"/>
                    <w:textAlignment w:val="center"/>
                    <w:rPr>
                      <w:color w:val="auto"/>
                      <w:kern w:val="0"/>
                      <w:szCs w:val="21"/>
                    </w:rPr>
                  </w:pPr>
                  <w:r>
                    <w:rPr>
                      <w:color w:val="auto"/>
                      <w:kern w:val="0"/>
                      <w:szCs w:val="21"/>
                      <w:lang w:bidi="ar"/>
                    </w:rPr>
                    <w:t>冷压机</w:t>
                  </w:r>
                </w:p>
              </w:tc>
              <w:tc>
                <w:tcPr>
                  <w:tcW w:w="1040" w:type="pct"/>
                  <w:noWrap/>
                  <w:vAlign w:val="center"/>
                </w:tcPr>
                <w:p w14:paraId="412FCD9A">
                  <w:pPr>
                    <w:widowControl/>
                    <w:jc w:val="center"/>
                    <w:textAlignment w:val="center"/>
                    <w:rPr>
                      <w:color w:val="auto"/>
                      <w:kern w:val="0"/>
                      <w:szCs w:val="21"/>
                    </w:rPr>
                  </w:pPr>
                  <w:r>
                    <w:rPr>
                      <w:color w:val="auto"/>
                      <w:kern w:val="0"/>
                      <w:szCs w:val="21"/>
                      <w:lang w:bidi="ar"/>
                    </w:rPr>
                    <w:t>HLY-50</w:t>
                  </w:r>
                </w:p>
              </w:tc>
              <w:tc>
                <w:tcPr>
                  <w:tcW w:w="401" w:type="pct"/>
                  <w:noWrap/>
                  <w:vAlign w:val="center"/>
                </w:tcPr>
                <w:p w14:paraId="412B2351">
                  <w:pPr>
                    <w:widowControl/>
                    <w:jc w:val="center"/>
                    <w:textAlignment w:val="center"/>
                    <w:rPr>
                      <w:color w:val="auto"/>
                      <w:kern w:val="0"/>
                      <w:szCs w:val="21"/>
                    </w:rPr>
                  </w:pPr>
                  <w:r>
                    <w:rPr>
                      <w:color w:val="auto"/>
                      <w:kern w:val="0"/>
                      <w:szCs w:val="21"/>
                      <w:lang w:bidi="ar"/>
                    </w:rPr>
                    <w:t>1</w:t>
                  </w:r>
                </w:p>
              </w:tc>
              <w:tc>
                <w:tcPr>
                  <w:tcW w:w="407" w:type="pct"/>
                  <w:noWrap/>
                  <w:vAlign w:val="center"/>
                </w:tcPr>
                <w:p w14:paraId="0FF31321">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890A5D9">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29F1C80C">
                  <w:pPr>
                    <w:widowControl/>
                    <w:jc w:val="center"/>
                    <w:textAlignment w:val="center"/>
                    <w:rPr>
                      <w:color w:val="auto"/>
                      <w:kern w:val="0"/>
                      <w:szCs w:val="21"/>
                    </w:rPr>
                  </w:pPr>
                  <w:r>
                    <w:rPr>
                      <w:rFonts w:hint="eastAsia"/>
                      <w:color w:val="auto"/>
                      <w:kern w:val="0"/>
                      <w:szCs w:val="21"/>
                    </w:rPr>
                    <w:t>压合</w:t>
                  </w:r>
                </w:p>
              </w:tc>
            </w:tr>
            <w:tr w14:paraId="726FC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9CF780C">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1</w:t>
                  </w:r>
                </w:p>
              </w:tc>
              <w:tc>
                <w:tcPr>
                  <w:tcW w:w="1275" w:type="pct"/>
                  <w:noWrap/>
                  <w:vAlign w:val="center"/>
                </w:tcPr>
                <w:p w14:paraId="40CE3047">
                  <w:pPr>
                    <w:widowControl/>
                    <w:jc w:val="center"/>
                    <w:textAlignment w:val="center"/>
                    <w:rPr>
                      <w:color w:val="auto"/>
                      <w:kern w:val="0"/>
                      <w:szCs w:val="21"/>
                    </w:rPr>
                  </w:pPr>
                  <w:r>
                    <w:rPr>
                      <w:color w:val="auto"/>
                      <w:kern w:val="0"/>
                      <w:szCs w:val="21"/>
                      <w:lang w:bidi="ar"/>
                    </w:rPr>
                    <w:t>雕刻机</w:t>
                  </w:r>
                </w:p>
              </w:tc>
              <w:tc>
                <w:tcPr>
                  <w:tcW w:w="1040" w:type="pct"/>
                  <w:noWrap/>
                  <w:vAlign w:val="center"/>
                </w:tcPr>
                <w:p w14:paraId="78A10B18">
                  <w:pPr>
                    <w:widowControl/>
                    <w:jc w:val="center"/>
                    <w:textAlignment w:val="center"/>
                    <w:rPr>
                      <w:color w:val="auto"/>
                      <w:kern w:val="0"/>
                      <w:szCs w:val="21"/>
                    </w:rPr>
                  </w:pPr>
                  <w:r>
                    <w:rPr>
                      <w:color w:val="auto"/>
                      <w:kern w:val="0"/>
                      <w:szCs w:val="21"/>
                      <w:lang w:bidi="ar"/>
                    </w:rPr>
                    <w:t>MD2030S-ATC</w:t>
                  </w:r>
                </w:p>
              </w:tc>
              <w:tc>
                <w:tcPr>
                  <w:tcW w:w="401" w:type="pct"/>
                  <w:noWrap/>
                  <w:vAlign w:val="center"/>
                </w:tcPr>
                <w:p w14:paraId="2F935CE1">
                  <w:pPr>
                    <w:widowControl/>
                    <w:jc w:val="center"/>
                    <w:textAlignment w:val="center"/>
                    <w:rPr>
                      <w:color w:val="auto"/>
                      <w:kern w:val="0"/>
                      <w:szCs w:val="21"/>
                    </w:rPr>
                  </w:pPr>
                  <w:r>
                    <w:rPr>
                      <w:color w:val="auto"/>
                      <w:kern w:val="0"/>
                      <w:szCs w:val="21"/>
                      <w:lang w:bidi="ar"/>
                    </w:rPr>
                    <w:t>5</w:t>
                  </w:r>
                </w:p>
              </w:tc>
              <w:tc>
                <w:tcPr>
                  <w:tcW w:w="407" w:type="pct"/>
                  <w:noWrap/>
                  <w:vAlign w:val="center"/>
                </w:tcPr>
                <w:p w14:paraId="2A466F0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C5B9ACD">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5997BF88">
                  <w:pPr>
                    <w:widowControl/>
                    <w:jc w:val="center"/>
                    <w:textAlignment w:val="center"/>
                    <w:rPr>
                      <w:color w:val="auto"/>
                      <w:kern w:val="0"/>
                      <w:szCs w:val="21"/>
                    </w:rPr>
                  </w:pPr>
                  <w:r>
                    <w:rPr>
                      <w:rFonts w:hint="eastAsia"/>
                      <w:color w:val="auto"/>
                      <w:kern w:val="0"/>
                      <w:szCs w:val="21"/>
                      <w:lang w:bidi="ar"/>
                    </w:rPr>
                    <w:t>下料、钻孔</w:t>
                  </w:r>
                </w:p>
              </w:tc>
            </w:tr>
            <w:tr w14:paraId="39A75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1121129">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2</w:t>
                  </w:r>
                </w:p>
              </w:tc>
              <w:tc>
                <w:tcPr>
                  <w:tcW w:w="1275" w:type="pct"/>
                  <w:noWrap/>
                  <w:vAlign w:val="center"/>
                </w:tcPr>
                <w:p w14:paraId="397A45D9">
                  <w:pPr>
                    <w:widowControl/>
                    <w:jc w:val="center"/>
                    <w:textAlignment w:val="center"/>
                    <w:rPr>
                      <w:color w:val="auto"/>
                      <w:kern w:val="0"/>
                      <w:szCs w:val="21"/>
                    </w:rPr>
                  </w:pPr>
                  <w:r>
                    <w:rPr>
                      <w:color w:val="auto"/>
                      <w:kern w:val="0"/>
                      <w:szCs w:val="21"/>
                      <w:lang w:bidi="ar"/>
                    </w:rPr>
                    <w:t>气磨机</w:t>
                  </w:r>
                </w:p>
              </w:tc>
              <w:tc>
                <w:tcPr>
                  <w:tcW w:w="1040" w:type="pct"/>
                  <w:noWrap/>
                  <w:vAlign w:val="center"/>
                </w:tcPr>
                <w:p w14:paraId="11C3BF65">
                  <w:pPr>
                    <w:widowControl/>
                    <w:jc w:val="center"/>
                    <w:textAlignment w:val="center"/>
                    <w:rPr>
                      <w:color w:val="auto"/>
                      <w:kern w:val="0"/>
                      <w:szCs w:val="21"/>
                    </w:rPr>
                  </w:pPr>
                  <w:r>
                    <w:rPr>
                      <w:color w:val="auto"/>
                      <w:kern w:val="0"/>
                      <w:szCs w:val="21"/>
                      <w:lang w:bidi="ar"/>
                    </w:rPr>
                    <w:t>5寸</w:t>
                  </w:r>
                </w:p>
              </w:tc>
              <w:tc>
                <w:tcPr>
                  <w:tcW w:w="401" w:type="pct"/>
                  <w:noWrap/>
                  <w:vAlign w:val="center"/>
                </w:tcPr>
                <w:p w14:paraId="6C5611D0">
                  <w:pPr>
                    <w:widowControl/>
                    <w:jc w:val="center"/>
                    <w:textAlignment w:val="center"/>
                    <w:rPr>
                      <w:color w:val="auto"/>
                      <w:kern w:val="0"/>
                      <w:szCs w:val="21"/>
                    </w:rPr>
                  </w:pPr>
                  <w:r>
                    <w:rPr>
                      <w:color w:val="auto"/>
                      <w:kern w:val="0"/>
                      <w:szCs w:val="21"/>
                      <w:lang w:bidi="ar"/>
                    </w:rPr>
                    <w:t>10</w:t>
                  </w:r>
                </w:p>
              </w:tc>
              <w:tc>
                <w:tcPr>
                  <w:tcW w:w="407" w:type="pct"/>
                  <w:noWrap/>
                  <w:vAlign w:val="center"/>
                </w:tcPr>
                <w:p w14:paraId="11CE76B7">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19E31EC">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608BCF61">
                  <w:pPr>
                    <w:widowControl/>
                    <w:jc w:val="center"/>
                    <w:textAlignment w:val="center"/>
                    <w:rPr>
                      <w:color w:val="auto"/>
                      <w:kern w:val="0"/>
                      <w:szCs w:val="21"/>
                    </w:rPr>
                  </w:pPr>
                  <w:r>
                    <w:rPr>
                      <w:rFonts w:hint="eastAsia"/>
                      <w:color w:val="auto"/>
                      <w:kern w:val="0"/>
                      <w:szCs w:val="21"/>
                      <w:lang w:bidi="ar"/>
                    </w:rPr>
                    <w:t>磨平</w:t>
                  </w:r>
                </w:p>
              </w:tc>
            </w:tr>
            <w:tr w14:paraId="54164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9D5BDFF">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3</w:t>
                  </w:r>
                </w:p>
              </w:tc>
              <w:tc>
                <w:tcPr>
                  <w:tcW w:w="1275" w:type="pct"/>
                  <w:noWrap/>
                  <w:vAlign w:val="center"/>
                </w:tcPr>
                <w:p w14:paraId="2053D506">
                  <w:pPr>
                    <w:widowControl/>
                    <w:jc w:val="center"/>
                    <w:textAlignment w:val="center"/>
                    <w:rPr>
                      <w:color w:val="auto"/>
                      <w:kern w:val="0"/>
                      <w:szCs w:val="21"/>
                    </w:rPr>
                  </w:pPr>
                  <w:r>
                    <w:rPr>
                      <w:color w:val="auto"/>
                      <w:kern w:val="0"/>
                      <w:szCs w:val="21"/>
                      <w:lang w:bidi="ar"/>
                    </w:rPr>
                    <w:t>精密推台锯</w:t>
                  </w:r>
                </w:p>
              </w:tc>
              <w:tc>
                <w:tcPr>
                  <w:tcW w:w="1040" w:type="pct"/>
                  <w:noWrap/>
                  <w:vAlign w:val="center"/>
                </w:tcPr>
                <w:p w14:paraId="34F1FE34">
                  <w:pPr>
                    <w:widowControl/>
                    <w:jc w:val="center"/>
                    <w:textAlignment w:val="center"/>
                    <w:rPr>
                      <w:color w:val="auto"/>
                      <w:kern w:val="0"/>
                      <w:szCs w:val="21"/>
                    </w:rPr>
                  </w:pPr>
                  <w:r>
                    <w:rPr>
                      <w:color w:val="auto"/>
                      <w:kern w:val="0"/>
                      <w:szCs w:val="21"/>
                      <w:lang w:bidi="ar"/>
                    </w:rPr>
                    <w:t>MJ1132F</w:t>
                  </w:r>
                </w:p>
              </w:tc>
              <w:tc>
                <w:tcPr>
                  <w:tcW w:w="401" w:type="pct"/>
                  <w:noWrap/>
                  <w:vAlign w:val="center"/>
                </w:tcPr>
                <w:p w14:paraId="7E0F3101">
                  <w:pPr>
                    <w:widowControl/>
                    <w:jc w:val="center"/>
                    <w:textAlignment w:val="center"/>
                    <w:rPr>
                      <w:color w:val="auto"/>
                      <w:kern w:val="0"/>
                      <w:szCs w:val="21"/>
                    </w:rPr>
                  </w:pPr>
                  <w:r>
                    <w:rPr>
                      <w:color w:val="auto"/>
                      <w:kern w:val="0"/>
                      <w:szCs w:val="21"/>
                      <w:lang w:bidi="ar"/>
                    </w:rPr>
                    <w:t>8</w:t>
                  </w:r>
                </w:p>
              </w:tc>
              <w:tc>
                <w:tcPr>
                  <w:tcW w:w="407" w:type="pct"/>
                  <w:noWrap/>
                  <w:vAlign w:val="center"/>
                </w:tcPr>
                <w:p w14:paraId="52CA5641">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D3F6377">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244844A5">
                  <w:pPr>
                    <w:widowControl/>
                    <w:jc w:val="center"/>
                    <w:textAlignment w:val="center"/>
                    <w:rPr>
                      <w:color w:val="auto"/>
                      <w:kern w:val="0"/>
                      <w:szCs w:val="21"/>
                    </w:rPr>
                  </w:pPr>
                  <w:r>
                    <w:rPr>
                      <w:rFonts w:hint="eastAsia"/>
                      <w:color w:val="auto"/>
                      <w:kern w:val="0"/>
                      <w:szCs w:val="21"/>
                      <w:lang w:bidi="ar"/>
                    </w:rPr>
                    <w:t>下料</w:t>
                  </w:r>
                </w:p>
              </w:tc>
            </w:tr>
            <w:tr w14:paraId="729CA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72C21DAC">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4</w:t>
                  </w:r>
                </w:p>
              </w:tc>
              <w:tc>
                <w:tcPr>
                  <w:tcW w:w="1275" w:type="pct"/>
                  <w:noWrap/>
                  <w:vAlign w:val="center"/>
                </w:tcPr>
                <w:p w14:paraId="6D3D9458">
                  <w:pPr>
                    <w:widowControl/>
                    <w:jc w:val="center"/>
                    <w:textAlignment w:val="center"/>
                    <w:rPr>
                      <w:color w:val="auto"/>
                      <w:kern w:val="0"/>
                      <w:szCs w:val="21"/>
                    </w:rPr>
                  </w:pPr>
                  <w:r>
                    <w:rPr>
                      <w:color w:val="auto"/>
                      <w:kern w:val="0"/>
                      <w:szCs w:val="21"/>
                      <w:lang w:bidi="ar"/>
                    </w:rPr>
                    <w:t>气钉枪</w:t>
                  </w:r>
                </w:p>
              </w:tc>
              <w:tc>
                <w:tcPr>
                  <w:tcW w:w="1040" w:type="pct"/>
                  <w:noWrap/>
                  <w:vAlign w:val="center"/>
                </w:tcPr>
                <w:p w14:paraId="2B62B316">
                  <w:pPr>
                    <w:widowControl/>
                    <w:jc w:val="center"/>
                    <w:textAlignment w:val="center"/>
                    <w:rPr>
                      <w:color w:val="auto"/>
                      <w:kern w:val="0"/>
                      <w:szCs w:val="21"/>
                    </w:rPr>
                  </w:pPr>
                  <w:r>
                    <w:rPr>
                      <w:rFonts w:hint="eastAsia"/>
                      <w:color w:val="auto"/>
                      <w:kern w:val="0"/>
                      <w:szCs w:val="21"/>
                      <w:lang w:bidi="ar"/>
                    </w:rPr>
                    <w:t>/</w:t>
                  </w:r>
                </w:p>
              </w:tc>
              <w:tc>
                <w:tcPr>
                  <w:tcW w:w="401" w:type="pct"/>
                  <w:noWrap/>
                  <w:vAlign w:val="center"/>
                </w:tcPr>
                <w:p w14:paraId="54EC6166">
                  <w:pPr>
                    <w:widowControl/>
                    <w:jc w:val="center"/>
                    <w:textAlignment w:val="center"/>
                    <w:rPr>
                      <w:color w:val="auto"/>
                      <w:kern w:val="0"/>
                      <w:szCs w:val="21"/>
                    </w:rPr>
                  </w:pPr>
                  <w:r>
                    <w:rPr>
                      <w:color w:val="auto"/>
                      <w:kern w:val="0"/>
                      <w:szCs w:val="21"/>
                      <w:lang w:bidi="ar"/>
                    </w:rPr>
                    <w:t>31</w:t>
                  </w:r>
                </w:p>
              </w:tc>
              <w:tc>
                <w:tcPr>
                  <w:tcW w:w="407" w:type="pct"/>
                  <w:noWrap/>
                  <w:vAlign w:val="center"/>
                </w:tcPr>
                <w:p w14:paraId="10B982C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A1DE7DE">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1BEB4B2E">
                  <w:pPr>
                    <w:widowControl/>
                    <w:jc w:val="center"/>
                    <w:textAlignment w:val="center"/>
                    <w:rPr>
                      <w:color w:val="auto"/>
                      <w:kern w:val="0"/>
                      <w:szCs w:val="21"/>
                    </w:rPr>
                  </w:pPr>
                  <w:r>
                    <w:rPr>
                      <w:rFonts w:hint="eastAsia"/>
                      <w:color w:val="auto"/>
                      <w:kern w:val="0"/>
                      <w:szCs w:val="21"/>
                      <w:lang w:bidi="ar"/>
                    </w:rPr>
                    <w:t>框架组装</w:t>
                  </w:r>
                </w:p>
              </w:tc>
            </w:tr>
            <w:tr w14:paraId="1F554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DAC5CFC">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5</w:t>
                  </w:r>
                </w:p>
              </w:tc>
              <w:tc>
                <w:tcPr>
                  <w:tcW w:w="1275" w:type="pct"/>
                  <w:noWrap/>
                  <w:vAlign w:val="center"/>
                </w:tcPr>
                <w:p w14:paraId="67FFDB8D">
                  <w:pPr>
                    <w:widowControl/>
                    <w:jc w:val="center"/>
                    <w:textAlignment w:val="center"/>
                    <w:rPr>
                      <w:color w:val="auto"/>
                      <w:kern w:val="0"/>
                      <w:szCs w:val="21"/>
                    </w:rPr>
                  </w:pPr>
                  <w:r>
                    <w:rPr>
                      <w:color w:val="auto"/>
                      <w:kern w:val="0"/>
                      <w:szCs w:val="21"/>
                      <w:lang w:bidi="ar"/>
                    </w:rPr>
                    <w:t>电动打磨抛光机</w:t>
                  </w:r>
                </w:p>
              </w:tc>
              <w:tc>
                <w:tcPr>
                  <w:tcW w:w="1040" w:type="pct"/>
                  <w:noWrap/>
                  <w:vAlign w:val="center"/>
                </w:tcPr>
                <w:p w14:paraId="7B1758A1">
                  <w:pPr>
                    <w:jc w:val="center"/>
                    <w:rPr>
                      <w:color w:val="auto"/>
                      <w:kern w:val="0"/>
                      <w:szCs w:val="21"/>
                    </w:rPr>
                  </w:pPr>
                  <w:r>
                    <w:rPr>
                      <w:rFonts w:hint="eastAsia"/>
                      <w:color w:val="auto"/>
                      <w:kern w:val="0"/>
                      <w:szCs w:val="21"/>
                    </w:rPr>
                    <w:t>/</w:t>
                  </w:r>
                </w:p>
              </w:tc>
              <w:tc>
                <w:tcPr>
                  <w:tcW w:w="401" w:type="pct"/>
                  <w:noWrap/>
                  <w:vAlign w:val="center"/>
                </w:tcPr>
                <w:p w14:paraId="7840EE02">
                  <w:pPr>
                    <w:widowControl/>
                    <w:jc w:val="center"/>
                    <w:textAlignment w:val="center"/>
                    <w:rPr>
                      <w:color w:val="auto"/>
                      <w:kern w:val="0"/>
                      <w:szCs w:val="21"/>
                    </w:rPr>
                  </w:pPr>
                  <w:r>
                    <w:rPr>
                      <w:color w:val="auto"/>
                      <w:kern w:val="0"/>
                      <w:szCs w:val="21"/>
                      <w:lang w:bidi="ar"/>
                    </w:rPr>
                    <w:t>4</w:t>
                  </w:r>
                </w:p>
              </w:tc>
              <w:tc>
                <w:tcPr>
                  <w:tcW w:w="407" w:type="pct"/>
                  <w:noWrap/>
                  <w:vAlign w:val="center"/>
                </w:tcPr>
                <w:p w14:paraId="09A620CA">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867A8D6">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32ED0FE2">
                  <w:pPr>
                    <w:widowControl/>
                    <w:jc w:val="center"/>
                    <w:textAlignment w:val="center"/>
                    <w:rPr>
                      <w:color w:val="auto"/>
                      <w:kern w:val="0"/>
                      <w:szCs w:val="21"/>
                    </w:rPr>
                  </w:pPr>
                  <w:r>
                    <w:rPr>
                      <w:rFonts w:hint="eastAsia"/>
                      <w:color w:val="auto"/>
                      <w:kern w:val="0"/>
                      <w:szCs w:val="21"/>
                    </w:rPr>
                    <w:t>打磨抛光</w:t>
                  </w:r>
                </w:p>
              </w:tc>
            </w:tr>
            <w:tr w14:paraId="49BCB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0DBC7DF">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6</w:t>
                  </w:r>
                </w:p>
              </w:tc>
              <w:tc>
                <w:tcPr>
                  <w:tcW w:w="1275" w:type="pct"/>
                  <w:noWrap/>
                  <w:vAlign w:val="center"/>
                </w:tcPr>
                <w:p w14:paraId="79ADC125">
                  <w:pPr>
                    <w:widowControl/>
                    <w:jc w:val="center"/>
                    <w:textAlignment w:val="center"/>
                    <w:rPr>
                      <w:color w:val="auto"/>
                      <w:kern w:val="0"/>
                      <w:szCs w:val="21"/>
                    </w:rPr>
                  </w:pPr>
                  <w:r>
                    <w:rPr>
                      <w:color w:val="auto"/>
                      <w:kern w:val="0"/>
                      <w:szCs w:val="21"/>
                      <w:lang w:bidi="ar"/>
                    </w:rPr>
                    <w:t>电动打磨</w:t>
                  </w:r>
                  <w:r>
                    <w:rPr>
                      <w:rFonts w:hint="eastAsia"/>
                      <w:color w:val="auto"/>
                      <w:kern w:val="0"/>
                      <w:szCs w:val="21"/>
                      <w:lang w:bidi="ar"/>
                    </w:rPr>
                    <w:t>砂</w:t>
                  </w:r>
                  <w:r>
                    <w:rPr>
                      <w:color w:val="auto"/>
                      <w:kern w:val="0"/>
                      <w:szCs w:val="21"/>
                      <w:lang w:bidi="ar"/>
                    </w:rPr>
                    <w:t>光机</w:t>
                  </w:r>
                </w:p>
              </w:tc>
              <w:tc>
                <w:tcPr>
                  <w:tcW w:w="1040" w:type="pct"/>
                  <w:noWrap/>
                  <w:vAlign w:val="center"/>
                </w:tcPr>
                <w:p w14:paraId="170B1F1C">
                  <w:pPr>
                    <w:widowControl/>
                    <w:jc w:val="center"/>
                    <w:textAlignment w:val="center"/>
                    <w:rPr>
                      <w:color w:val="auto"/>
                      <w:kern w:val="0"/>
                      <w:szCs w:val="21"/>
                    </w:rPr>
                  </w:pPr>
                  <w:r>
                    <w:rPr>
                      <w:rFonts w:hint="eastAsia"/>
                      <w:color w:val="auto"/>
                      <w:kern w:val="0"/>
                      <w:szCs w:val="21"/>
                    </w:rPr>
                    <w:t>/</w:t>
                  </w:r>
                </w:p>
              </w:tc>
              <w:tc>
                <w:tcPr>
                  <w:tcW w:w="401" w:type="pct"/>
                  <w:noWrap/>
                  <w:vAlign w:val="center"/>
                </w:tcPr>
                <w:p w14:paraId="7A8FF719">
                  <w:pPr>
                    <w:widowControl/>
                    <w:jc w:val="center"/>
                    <w:textAlignment w:val="center"/>
                    <w:rPr>
                      <w:color w:val="auto"/>
                      <w:kern w:val="0"/>
                      <w:szCs w:val="21"/>
                    </w:rPr>
                  </w:pPr>
                  <w:r>
                    <w:rPr>
                      <w:color w:val="auto"/>
                      <w:kern w:val="0"/>
                      <w:szCs w:val="21"/>
                      <w:lang w:bidi="ar"/>
                    </w:rPr>
                    <w:t>4</w:t>
                  </w:r>
                </w:p>
              </w:tc>
              <w:tc>
                <w:tcPr>
                  <w:tcW w:w="407" w:type="pct"/>
                  <w:noWrap/>
                  <w:vAlign w:val="center"/>
                </w:tcPr>
                <w:p w14:paraId="789A54E4">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7BA40119">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64ECD88F">
                  <w:pPr>
                    <w:widowControl/>
                    <w:jc w:val="center"/>
                    <w:textAlignment w:val="center"/>
                    <w:rPr>
                      <w:color w:val="auto"/>
                      <w:kern w:val="0"/>
                      <w:szCs w:val="21"/>
                    </w:rPr>
                  </w:pPr>
                  <w:r>
                    <w:rPr>
                      <w:rFonts w:hint="eastAsia"/>
                      <w:color w:val="auto"/>
                      <w:kern w:val="0"/>
                      <w:szCs w:val="21"/>
                      <w:lang w:bidi="ar"/>
                    </w:rPr>
                    <w:t>打磨</w:t>
                  </w:r>
                </w:p>
              </w:tc>
            </w:tr>
            <w:tr w14:paraId="0C1D7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24F611D">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27</w:t>
                  </w:r>
                </w:p>
              </w:tc>
              <w:tc>
                <w:tcPr>
                  <w:tcW w:w="1275" w:type="pct"/>
                  <w:noWrap/>
                  <w:vAlign w:val="center"/>
                </w:tcPr>
                <w:p w14:paraId="2C6FEA28">
                  <w:pPr>
                    <w:widowControl/>
                    <w:jc w:val="center"/>
                    <w:textAlignment w:val="center"/>
                    <w:rPr>
                      <w:color w:val="auto"/>
                      <w:kern w:val="0"/>
                      <w:szCs w:val="21"/>
                    </w:rPr>
                  </w:pPr>
                  <w:r>
                    <w:rPr>
                      <w:color w:val="auto"/>
                      <w:kern w:val="0"/>
                      <w:szCs w:val="21"/>
                      <w:lang w:bidi="ar"/>
                    </w:rPr>
                    <w:t>角磨机</w:t>
                  </w:r>
                </w:p>
              </w:tc>
              <w:tc>
                <w:tcPr>
                  <w:tcW w:w="1040" w:type="pct"/>
                  <w:noWrap/>
                  <w:vAlign w:val="center"/>
                </w:tcPr>
                <w:p w14:paraId="5D17985E">
                  <w:pPr>
                    <w:jc w:val="center"/>
                    <w:rPr>
                      <w:color w:val="auto"/>
                      <w:kern w:val="0"/>
                      <w:szCs w:val="21"/>
                    </w:rPr>
                  </w:pPr>
                  <w:r>
                    <w:rPr>
                      <w:rFonts w:hint="eastAsia"/>
                      <w:color w:val="auto"/>
                      <w:kern w:val="0"/>
                      <w:szCs w:val="21"/>
                    </w:rPr>
                    <w:t>/</w:t>
                  </w:r>
                </w:p>
              </w:tc>
              <w:tc>
                <w:tcPr>
                  <w:tcW w:w="401" w:type="pct"/>
                  <w:noWrap/>
                  <w:vAlign w:val="center"/>
                </w:tcPr>
                <w:p w14:paraId="141E4D40">
                  <w:pPr>
                    <w:widowControl/>
                    <w:jc w:val="center"/>
                    <w:textAlignment w:val="center"/>
                    <w:rPr>
                      <w:color w:val="auto"/>
                      <w:kern w:val="0"/>
                      <w:szCs w:val="21"/>
                    </w:rPr>
                  </w:pPr>
                  <w:r>
                    <w:rPr>
                      <w:color w:val="auto"/>
                      <w:kern w:val="0"/>
                      <w:szCs w:val="21"/>
                      <w:lang w:bidi="ar"/>
                    </w:rPr>
                    <w:t>6</w:t>
                  </w:r>
                </w:p>
              </w:tc>
              <w:tc>
                <w:tcPr>
                  <w:tcW w:w="407" w:type="pct"/>
                  <w:noWrap/>
                  <w:vAlign w:val="center"/>
                </w:tcPr>
                <w:p w14:paraId="6836B841">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0412A1B">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1214425C">
                  <w:pPr>
                    <w:widowControl/>
                    <w:jc w:val="center"/>
                    <w:textAlignment w:val="center"/>
                    <w:rPr>
                      <w:color w:val="auto"/>
                      <w:kern w:val="0"/>
                      <w:szCs w:val="21"/>
                    </w:rPr>
                  </w:pPr>
                  <w:r>
                    <w:rPr>
                      <w:rFonts w:hint="eastAsia"/>
                      <w:color w:val="auto"/>
                      <w:kern w:val="0"/>
                      <w:szCs w:val="21"/>
                    </w:rPr>
                    <w:t>磨平</w:t>
                  </w:r>
                </w:p>
              </w:tc>
            </w:tr>
            <w:tr w14:paraId="10ABB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5855E5C">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28</w:t>
                  </w:r>
                </w:p>
              </w:tc>
              <w:tc>
                <w:tcPr>
                  <w:tcW w:w="1275" w:type="pct"/>
                  <w:noWrap/>
                  <w:vAlign w:val="center"/>
                </w:tcPr>
                <w:p w14:paraId="74B09396">
                  <w:pPr>
                    <w:widowControl/>
                    <w:jc w:val="center"/>
                    <w:textAlignment w:val="center"/>
                    <w:rPr>
                      <w:color w:val="auto"/>
                      <w:kern w:val="0"/>
                      <w:szCs w:val="21"/>
                    </w:rPr>
                  </w:pPr>
                  <w:r>
                    <w:rPr>
                      <w:color w:val="auto"/>
                      <w:kern w:val="0"/>
                      <w:szCs w:val="21"/>
                      <w:lang w:bidi="ar"/>
                    </w:rPr>
                    <w:t>大修边机</w:t>
                  </w:r>
                </w:p>
              </w:tc>
              <w:tc>
                <w:tcPr>
                  <w:tcW w:w="1040" w:type="pct"/>
                  <w:noWrap/>
                  <w:vAlign w:val="center"/>
                </w:tcPr>
                <w:p w14:paraId="1484C5E2">
                  <w:pPr>
                    <w:jc w:val="center"/>
                    <w:rPr>
                      <w:color w:val="auto"/>
                      <w:kern w:val="0"/>
                      <w:szCs w:val="21"/>
                    </w:rPr>
                  </w:pPr>
                  <w:r>
                    <w:rPr>
                      <w:rFonts w:hint="eastAsia"/>
                      <w:color w:val="auto"/>
                      <w:kern w:val="0"/>
                      <w:szCs w:val="21"/>
                    </w:rPr>
                    <w:t>/</w:t>
                  </w:r>
                </w:p>
              </w:tc>
              <w:tc>
                <w:tcPr>
                  <w:tcW w:w="401" w:type="pct"/>
                  <w:noWrap/>
                  <w:vAlign w:val="center"/>
                </w:tcPr>
                <w:p w14:paraId="0BDF7FFD">
                  <w:pPr>
                    <w:widowControl/>
                    <w:jc w:val="center"/>
                    <w:textAlignment w:val="center"/>
                    <w:rPr>
                      <w:color w:val="auto"/>
                      <w:kern w:val="0"/>
                      <w:szCs w:val="21"/>
                    </w:rPr>
                  </w:pPr>
                  <w:r>
                    <w:rPr>
                      <w:color w:val="auto"/>
                      <w:kern w:val="0"/>
                      <w:szCs w:val="21"/>
                      <w:lang w:bidi="ar"/>
                    </w:rPr>
                    <w:t>3</w:t>
                  </w:r>
                </w:p>
              </w:tc>
              <w:tc>
                <w:tcPr>
                  <w:tcW w:w="407" w:type="pct"/>
                  <w:noWrap/>
                  <w:vAlign w:val="center"/>
                </w:tcPr>
                <w:p w14:paraId="6C4579A6">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8946967">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68FBD66F">
                  <w:pPr>
                    <w:widowControl/>
                    <w:jc w:val="center"/>
                    <w:textAlignment w:val="center"/>
                    <w:rPr>
                      <w:color w:val="auto"/>
                      <w:kern w:val="0"/>
                      <w:szCs w:val="21"/>
                    </w:rPr>
                  </w:pPr>
                  <w:r>
                    <w:rPr>
                      <w:rFonts w:hint="eastAsia"/>
                      <w:color w:val="auto"/>
                      <w:kern w:val="0"/>
                      <w:szCs w:val="21"/>
                      <w:lang w:bidi="ar"/>
                    </w:rPr>
                    <w:t>修边</w:t>
                  </w:r>
                </w:p>
              </w:tc>
            </w:tr>
            <w:tr w14:paraId="5BFC8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455D1EBF">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29</w:t>
                  </w:r>
                </w:p>
              </w:tc>
              <w:tc>
                <w:tcPr>
                  <w:tcW w:w="1275" w:type="pct"/>
                  <w:noWrap/>
                  <w:vAlign w:val="center"/>
                </w:tcPr>
                <w:p w14:paraId="071734CB">
                  <w:pPr>
                    <w:widowControl/>
                    <w:jc w:val="center"/>
                    <w:textAlignment w:val="center"/>
                    <w:rPr>
                      <w:color w:val="auto"/>
                      <w:kern w:val="0"/>
                      <w:szCs w:val="21"/>
                    </w:rPr>
                  </w:pPr>
                  <w:r>
                    <w:rPr>
                      <w:color w:val="auto"/>
                      <w:kern w:val="0"/>
                      <w:szCs w:val="21"/>
                      <w:lang w:bidi="ar"/>
                    </w:rPr>
                    <w:t>修边机</w:t>
                  </w:r>
                </w:p>
              </w:tc>
              <w:tc>
                <w:tcPr>
                  <w:tcW w:w="1040" w:type="pct"/>
                  <w:noWrap/>
                  <w:vAlign w:val="center"/>
                </w:tcPr>
                <w:p w14:paraId="147D2234">
                  <w:pPr>
                    <w:jc w:val="center"/>
                    <w:rPr>
                      <w:color w:val="auto"/>
                      <w:kern w:val="0"/>
                      <w:szCs w:val="21"/>
                    </w:rPr>
                  </w:pPr>
                  <w:r>
                    <w:rPr>
                      <w:rFonts w:hint="eastAsia"/>
                      <w:color w:val="auto"/>
                      <w:kern w:val="0"/>
                      <w:szCs w:val="21"/>
                    </w:rPr>
                    <w:t>/</w:t>
                  </w:r>
                </w:p>
              </w:tc>
              <w:tc>
                <w:tcPr>
                  <w:tcW w:w="401" w:type="pct"/>
                  <w:noWrap/>
                  <w:vAlign w:val="center"/>
                </w:tcPr>
                <w:p w14:paraId="4433D3D9">
                  <w:pPr>
                    <w:widowControl/>
                    <w:jc w:val="center"/>
                    <w:textAlignment w:val="center"/>
                    <w:rPr>
                      <w:color w:val="auto"/>
                      <w:kern w:val="0"/>
                      <w:szCs w:val="21"/>
                    </w:rPr>
                  </w:pPr>
                  <w:r>
                    <w:rPr>
                      <w:color w:val="auto"/>
                      <w:kern w:val="0"/>
                      <w:szCs w:val="21"/>
                      <w:lang w:bidi="ar"/>
                    </w:rPr>
                    <w:t>8</w:t>
                  </w:r>
                </w:p>
              </w:tc>
              <w:tc>
                <w:tcPr>
                  <w:tcW w:w="407" w:type="pct"/>
                  <w:noWrap/>
                  <w:vAlign w:val="center"/>
                </w:tcPr>
                <w:p w14:paraId="4447DDC4">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35D84EB">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662FF5B4">
                  <w:pPr>
                    <w:widowControl/>
                    <w:jc w:val="center"/>
                    <w:textAlignment w:val="center"/>
                    <w:rPr>
                      <w:color w:val="auto"/>
                      <w:kern w:val="0"/>
                      <w:szCs w:val="21"/>
                    </w:rPr>
                  </w:pPr>
                  <w:r>
                    <w:rPr>
                      <w:rFonts w:hint="eastAsia"/>
                      <w:color w:val="auto"/>
                      <w:kern w:val="0"/>
                      <w:szCs w:val="21"/>
                      <w:lang w:bidi="ar"/>
                    </w:rPr>
                    <w:t>修边</w:t>
                  </w:r>
                </w:p>
              </w:tc>
            </w:tr>
            <w:tr w14:paraId="5F28C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DF0DCA9">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30</w:t>
                  </w:r>
                </w:p>
              </w:tc>
              <w:tc>
                <w:tcPr>
                  <w:tcW w:w="1275" w:type="pct"/>
                  <w:noWrap/>
                  <w:vAlign w:val="center"/>
                </w:tcPr>
                <w:p w14:paraId="78ABB24A">
                  <w:pPr>
                    <w:widowControl/>
                    <w:jc w:val="center"/>
                    <w:textAlignment w:val="center"/>
                    <w:rPr>
                      <w:color w:val="auto"/>
                      <w:kern w:val="0"/>
                      <w:szCs w:val="21"/>
                    </w:rPr>
                  </w:pPr>
                  <w:r>
                    <w:rPr>
                      <w:color w:val="auto"/>
                      <w:kern w:val="0"/>
                      <w:szCs w:val="21"/>
                      <w:lang w:bidi="ar"/>
                    </w:rPr>
                    <w:t>快速下料机</w:t>
                  </w:r>
                </w:p>
              </w:tc>
              <w:tc>
                <w:tcPr>
                  <w:tcW w:w="1040" w:type="pct"/>
                  <w:noWrap/>
                  <w:vAlign w:val="center"/>
                </w:tcPr>
                <w:p w14:paraId="05E15F29">
                  <w:pPr>
                    <w:jc w:val="center"/>
                    <w:rPr>
                      <w:color w:val="auto"/>
                      <w:kern w:val="0"/>
                      <w:szCs w:val="21"/>
                    </w:rPr>
                  </w:pPr>
                  <w:r>
                    <w:rPr>
                      <w:rFonts w:hint="eastAsia"/>
                      <w:color w:val="auto"/>
                      <w:kern w:val="0"/>
                      <w:szCs w:val="21"/>
                    </w:rPr>
                    <w:t>/</w:t>
                  </w:r>
                </w:p>
              </w:tc>
              <w:tc>
                <w:tcPr>
                  <w:tcW w:w="401" w:type="pct"/>
                  <w:noWrap/>
                  <w:vAlign w:val="center"/>
                </w:tcPr>
                <w:p w14:paraId="144C0812">
                  <w:pPr>
                    <w:widowControl/>
                    <w:jc w:val="center"/>
                    <w:textAlignment w:val="center"/>
                    <w:rPr>
                      <w:color w:val="auto"/>
                      <w:kern w:val="0"/>
                      <w:szCs w:val="21"/>
                    </w:rPr>
                  </w:pPr>
                  <w:r>
                    <w:rPr>
                      <w:color w:val="auto"/>
                      <w:kern w:val="0"/>
                      <w:szCs w:val="21"/>
                      <w:lang w:bidi="ar"/>
                    </w:rPr>
                    <w:t>1</w:t>
                  </w:r>
                </w:p>
              </w:tc>
              <w:tc>
                <w:tcPr>
                  <w:tcW w:w="407" w:type="pct"/>
                  <w:noWrap/>
                  <w:vAlign w:val="center"/>
                </w:tcPr>
                <w:p w14:paraId="75249034">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21865A6">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24EFCF7A">
                  <w:pPr>
                    <w:widowControl/>
                    <w:jc w:val="center"/>
                    <w:textAlignment w:val="center"/>
                    <w:rPr>
                      <w:color w:val="auto"/>
                      <w:kern w:val="0"/>
                      <w:szCs w:val="21"/>
                    </w:rPr>
                  </w:pPr>
                  <w:r>
                    <w:rPr>
                      <w:rFonts w:hint="eastAsia"/>
                      <w:color w:val="auto"/>
                      <w:kern w:val="0"/>
                      <w:szCs w:val="21"/>
                      <w:lang w:bidi="ar"/>
                    </w:rPr>
                    <w:t>下料</w:t>
                  </w:r>
                </w:p>
              </w:tc>
            </w:tr>
            <w:tr w14:paraId="7C2AC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42914E99">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1</w:t>
                  </w:r>
                </w:p>
              </w:tc>
              <w:tc>
                <w:tcPr>
                  <w:tcW w:w="1275" w:type="pct"/>
                  <w:noWrap/>
                  <w:vAlign w:val="center"/>
                </w:tcPr>
                <w:p w14:paraId="723BD9AC">
                  <w:pPr>
                    <w:widowControl/>
                    <w:jc w:val="center"/>
                    <w:textAlignment w:val="center"/>
                    <w:rPr>
                      <w:color w:val="auto"/>
                      <w:kern w:val="0"/>
                      <w:szCs w:val="21"/>
                    </w:rPr>
                  </w:pPr>
                  <w:r>
                    <w:rPr>
                      <w:color w:val="auto"/>
                      <w:kern w:val="0"/>
                      <w:szCs w:val="21"/>
                      <w:lang w:bidi="ar"/>
                    </w:rPr>
                    <w:t>南兴全自动封边机</w:t>
                  </w:r>
                </w:p>
              </w:tc>
              <w:tc>
                <w:tcPr>
                  <w:tcW w:w="1040" w:type="pct"/>
                  <w:noWrap/>
                  <w:vAlign w:val="center"/>
                </w:tcPr>
                <w:p w14:paraId="3DF0B457">
                  <w:pPr>
                    <w:jc w:val="center"/>
                    <w:rPr>
                      <w:color w:val="auto"/>
                      <w:kern w:val="0"/>
                      <w:szCs w:val="21"/>
                    </w:rPr>
                  </w:pPr>
                  <w:r>
                    <w:rPr>
                      <w:color w:val="auto"/>
                      <w:kern w:val="0"/>
                      <w:szCs w:val="21"/>
                    </w:rPr>
                    <w:t>NBC332</w:t>
                  </w:r>
                </w:p>
              </w:tc>
              <w:tc>
                <w:tcPr>
                  <w:tcW w:w="401" w:type="pct"/>
                  <w:noWrap/>
                  <w:vAlign w:val="center"/>
                </w:tcPr>
                <w:p w14:paraId="7556747C">
                  <w:pPr>
                    <w:widowControl/>
                    <w:jc w:val="center"/>
                    <w:textAlignment w:val="center"/>
                    <w:rPr>
                      <w:color w:val="auto"/>
                      <w:kern w:val="0"/>
                      <w:szCs w:val="21"/>
                    </w:rPr>
                  </w:pPr>
                  <w:r>
                    <w:rPr>
                      <w:color w:val="auto"/>
                      <w:kern w:val="0"/>
                      <w:szCs w:val="21"/>
                      <w:lang w:bidi="ar"/>
                    </w:rPr>
                    <w:t>1</w:t>
                  </w:r>
                </w:p>
              </w:tc>
              <w:tc>
                <w:tcPr>
                  <w:tcW w:w="407" w:type="pct"/>
                  <w:noWrap/>
                  <w:vAlign w:val="center"/>
                </w:tcPr>
                <w:p w14:paraId="47F4550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EB375B8">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0EBDF786">
                  <w:pPr>
                    <w:widowControl/>
                    <w:jc w:val="center"/>
                    <w:textAlignment w:val="center"/>
                    <w:rPr>
                      <w:color w:val="auto"/>
                      <w:kern w:val="0"/>
                      <w:szCs w:val="21"/>
                    </w:rPr>
                  </w:pPr>
                  <w:r>
                    <w:rPr>
                      <w:rFonts w:hint="eastAsia"/>
                      <w:color w:val="auto"/>
                      <w:kern w:val="0"/>
                      <w:szCs w:val="21"/>
                      <w:lang w:bidi="ar"/>
                    </w:rPr>
                    <w:t>封边</w:t>
                  </w:r>
                </w:p>
              </w:tc>
            </w:tr>
            <w:tr w14:paraId="6377D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4FE123B">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2</w:t>
                  </w:r>
                </w:p>
              </w:tc>
              <w:tc>
                <w:tcPr>
                  <w:tcW w:w="1275" w:type="pct"/>
                  <w:noWrap/>
                  <w:vAlign w:val="center"/>
                </w:tcPr>
                <w:p w14:paraId="37DC593B">
                  <w:pPr>
                    <w:widowControl/>
                    <w:jc w:val="center"/>
                    <w:textAlignment w:val="center"/>
                    <w:rPr>
                      <w:color w:val="auto"/>
                      <w:kern w:val="0"/>
                      <w:szCs w:val="21"/>
                    </w:rPr>
                  </w:pPr>
                  <w:r>
                    <w:rPr>
                      <w:color w:val="auto"/>
                      <w:kern w:val="0"/>
                      <w:szCs w:val="21"/>
                      <w:lang w:bidi="ar"/>
                    </w:rPr>
                    <w:t>台钻</w:t>
                  </w:r>
                </w:p>
              </w:tc>
              <w:tc>
                <w:tcPr>
                  <w:tcW w:w="1040" w:type="pct"/>
                  <w:noWrap/>
                  <w:vAlign w:val="center"/>
                </w:tcPr>
                <w:p w14:paraId="1C08FE23">
                  <w:pPr>
                    <w:jc w:val="center"/>
                    <w:rPr>
                      <w:color w:val="auto"/>
                      <w:kern w:val="0"/>
                      <w:szCs w:val="21"/>
                    </w:rPr>
                  </w:pPr>
                  <w:r>
                    <w:rPr>
                      <w:rFonts w:hint="eastAsia"/>
                      <w:color w:val="auto"/>
                      <w:kern w:val="0"/>
                      <w:szCs w:val="21"/>
                    </w:rPr>
                    <w:t>/</w:t>
                  </w:r>
                </w:p>
              </w:tc>
              <w:tc>
                <w:tcPr>
                  <w:tcW w:w="401" w:type="pct"/>
                  <w:noWrap/>
                  <w:vAlign w:val="center"/>
                </w:tcPr>
                <w:p w14:paraId="7493440F">
                  <w:pPr>
                    <w:widowControl/>
                    <w:jc w:val="center"/>
                    <w:textAlignment w:val="center"/>
                    <w:rPr>
                      <w:color w:val="auto"/>
                      <w:kern w:val="0"/>
                      <w:szCs w:val="21"/>
                    </w:rPr>
                  </w:pPr>
                  <w:r>
                    <w:rPr>
                      <w:color w:val="auto"/>
                      <w:kern w:val="0"/>
                      <w:szCs w:val="21"/>
                      <w:lang w:bidi="ar"/>
                    </w:rPr>
                    <w:t>1</w:t>
                  </w:r>
                </w:p>
              </w:tc>
              <w:tc>
                <w:tcPr>
                  <w:tcW w:w="407" w:type="pct"/>
                  <w:noWrap/>
                  <w:vAlign w:val="center"/>
                </w:tcPr>
                <w:p w14:paraId="4893B2D4">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4E4E31A">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406FC763">
                  <w:pPr>
                    <w:widowControl/>
                    <w:jc w:val="center"/>
                    <w:textAlignment w:val="center"/>
                    <w:rPr>
                      <w:color w:val="auto"/>
                      <w:kern w:val="0"/>
                      <w:szCs w:val="21"/>
                    </w:rPr>
                  </w:pPr>
                  <w:r>
                    <w:rPr>
                      <w:rFonts w:hint="eastAsia"/>
                      <w:color w:val="auto"/>
                      <w:kern w:val="0"/>
                      <w:szCs w:val="21"/>
                      <w:lang w:bidi="ar"/>
                    </w:rPr>
                    <w:t>钻孔</w:t>
                  </w:r>
                </w:p>
              </w:tc>
            </w:tr>
            <w:tr w14:paraId="190B8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A266CF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3</w:t>
                  </w:r>
                </w:p>
              </w:tc>
              <w:tc>
                <w:tcPr>
                  <w:tcW w:w="1275" w:type="pct"/>
                  <w:noWrap/>
                  <w:vAlign w:val="center"/>
                </w:tcPr>
                <w:p w14:paraId="7CE21793">
                  <w:pPr>
                    <w:widowControl/>
                    <w:jc w:val="center"/>
                    <w:textAlignment w:val="center"/>
                    <w:rPr>
                      <w:color w:val="auto"/>
                      <w:kern w:val="0"/>
                      <w:szCs w:val="21"/>
                    </w:rPr>
                  </w:pPr>
                  <w:r>
                    <w:rPr>
                      <w:color w:val="auto"/>
                      <w:kern w:val="0"/>
                      <w:szCs w:val="21"/>
                      <w:lang w:bidi="ar"/>
                    </w:rPr>
                    <w:t>铁木皮工位</w:t>
                  </w:r>
                </w:p>
              </w:tc>
              <w:tc>
                <w:tcPr>
                  <w:tcW w:w="1040" w:type="pct"/>
                  <w:noWrap/>
                  <w:vAlign w:val="center"/>
                </w:tcPr>
                <w:p w14:paraId="240091CC">
                  <w:pPr>
                    <w:widowControl/>
                    <w:jc w:val="center"/>
                    <w:textAlignment w:val="center"/>
                    <w:rPr>
                      <w:color w:val="auto"/>
                      <w:kern w:val="0"/>
                      <w:szCs w:val="21"/>
                    </w:rPr>
                  </w:pPr>
                  <w:r>
                    <w:rPr>
                      <w:rFonts w:hint="eastAsia"/>
                      <w:color w:val="auto"/>
                      <w:kern w:val="0"/>
                      <w:szCs w:val="21"/>
                    </w:rPr>
                    <w:t>/</w:t>
                  </w:r>
                </w:p>
              </w:tc>
              <w:tc>
                <w:tcPr>
                  <w:tcW w:w="401" w:type="pct"/>
                  <w:noWrap/>
                  <w:vAlign w:val="center"/>
                </w:tcPr>
                <w:p w14:paraId="41E20408">
                  <w:pPr>
                    <w:widowControl/>
                    <w:jc w:val="center"/>
                    <w:textAlignment w:val="center"/>
                    <w:rPr>
                      <w:color w:val="auto"/>
                      <w:kern w:val="0"/>
                      <w:szCs w:val="21"/>
                    </w:rPr>
                  </w:pPr>
                  <w:r>
                    <w:rPr>
                      <w:color w:val="auto"/>
                      <w:kern w:val="0"/>
                      <w:szCs w:val="21"/>
                      <w:lang w:bidi="ar"/>
                    </w:rPr>
                    <w:t>2</w:t>
                  </w:r>
                </w:p>
              </w:tc>
              <w:tc>
                <w:tcPr>
                  <w:tcW w:w="407" w:type="pct"/>
                  <w:noWrap/>
                  <w:vAlign w:val="center"/>
                </w:tcPr>
                <w:p w14:paraId="2EA81D6D">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D51AC68">
                  <w:pPr>
                    <w:widowControl/>
                    <w:jc w:val="center"/>
                    <w:textAlignment w:val="center"/>
                    <w:rPr>
                      <w:color w:val="auto"/>
                      <w:kern w:val="0"/>
                      <w:szCs w:val="21"/>
                      <w:lang w:bidi="ar"/>
                    </w:rPr>
                  </w:pPr>
                  <w:r>
                    <w:rPr>
                      <w:color w:val="auto"/>
                      <w:kern w:val="0"/>
                      <w:szCs w:val="21"/>
                      <w:lang w:bidi="ar"/>
                    </w:rPr>
                    <w:t>木工车间</w:t>
                  </w:r>
                </w:p>
              </w:tc>
              <w:tc>
                <w:tcPr>
                  <w:tcW w:w="713" w:type="pct"/>
                  <w:vAlign w:val="center"/>
                </w:tcPr>
                <w:p w14:paraId="7145562E">
                  <w:pPr>
                    <w:widowControl/>
                    <w:jc w:val="center"/>
                    <w:textAlignment w:val="center"/>
                    <w:rPr>
                      <w:color w:val="auto"/>
                      <w:kern w:val="0"/>
                      <w:szCs w:val="21"/>
                    </w:rPr>
                  </w:pPr>
                  <w:r>
                    <w:rPr>
                      <w:rFonts w:hint="eastAsia"/>
                      <w:color w:val="auto"/>
                      <w:kern w:val="0"/>
                      <w:szCs w:val="21"/>
                      <w:lang w:bidi="ar"/>
                    </w:rPr>
                    <w:t>贴皮</w:t>
                  </w:r>
                </w:p>
              </w:tc>
            </w:tr>
            <w:tr w14:paraId="05009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2512F2E">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34</w:t>
                  </w:r>
                </w:p>
              </w:tc>
              <w:tc>
                <w:tcPr>
                  <w:tcW w:w="1275" w:type="pct"/>
                  <w:noWrap/>
                  <w:vAlign w:val="center"/>
                </w:tcPr>
                <w:p w14:paraId="5F722A97">
                  <w:pPr>
                    <w:widowControl/>
                    <w:jc w:val="center"/>
                    <w:textAlignment w:val="center"/>
                    <w:rPr>
                      <w:color w:val="auto"/>
                      <w:kern w:val="0"/>
                      <w:szCs w:val="21"/>
                    </w:rPr>
                  </w:pPr>
                  <w:r>
                    <w:rPr>
                      <w:color w:val="auto"/>
                      <w:kern w:val="0"/>
                      <w:szCs w:val="21"/>
                      <w:lang w:bidi="ar"/>
                    </w:rPr>
                    <w:t>打磨工位</w:t>
                  </w:r>
                </w:p>
              </w:tc>
              <w:tc>
                <w:tcPr>
                  <w:tcW w:w="1040" w:type="pct"/>
                  <w:noWrap/>
                  <w:vAlign w:val="center"/>
                </w:tcPr>
                <w:p w14:paraId="19496723">
                  <w:pPr>
                    <w:jc w:val="center"/>
                    <w:rPr>
                      <w:color w:val="auto"/>
                      <w:kern w:val="0"/>
                      <w:szCs w:val="21"/>
                    </w:rPr>
                  </w:pPr>
                  <w:r>
                    <w:rPr>
                      <w:rFonts w:hint="eastAsia"/>
                      <w:color w:val="auto"/>
                      <w:kern w:val="0"/>
                      <w:szCs w:val="21"/>
                    </w:rPr>
                    <w:t>/</w:t>
                  </w:r>
                </w:p>
              </w:tc>
              <w:tc>
                <w:tcPr>
                  <w:tcW w:w="401" w:type="pct"/>
                  <w:noWrap/>
                  <w:vAlign w:val="center"/>
                </w:tcPr>
                <w:p w14:paraId="19E6FE9E">
                  <w:pPr>
                    <w:widowControl/>
                    <w:jc w:val="center"/>
                    <w:textAlignment w:val="center"/>
                    <w:rPr>
                      <w:color w:val="auto"/>
                      <w:kern w:val="0"/>
                      <w:szCs w:val="21"/>
                    </w:rPr>
                  </w:pPr>
                  <w:r>
                    <w:rPr>
                      <w:color w:val="auto"/>
                      <w:kern w:val="0"/>
                      <w:szCs w:val="21"/>
                      <w:lang w:bidi="ar"/>
                    </w:rPr>
                    <w:t>18</w:t>
                  </w:r>
                </w:p>
              </w:tc>
              <w:tc>
                <w:tcPr>
                  <w:tcW w:w="407" w:type="pct"/>
                  <w:noWrap/>
                  <w:vAlign w:val="center"/>
                </w:tcPr>
                <w:p w14:paraId="2CED6EF7">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7A54F7C">
                  <w:pPr>
                    <w:widowControl/>
                    <w:jc w:val="center"/>
                    <w:textAlignment w:val="center"/>
                    <w:rPr>
                      <w:color w:val="auto"/>
                      <w:kern w:val="0"/>
                      <w:szCs w:val="21"/>
                      <w:lang w:bidi="ar"/>
                    </w:rPr>
                  </w:pPr>
                  <w:r>
                    <w:rPr>
                      <w:color w:val="auto"/>
                      <w:kern w:val="0"/>
                      <w:szCs w:val="21"/>
                      <w:lang w:bidi="ar"/>
                    </w:rPr>
                    <w:t>油漆车间</w:t>
                  </w:r>
                </w:p>
              </w:tc>
              <w:tc>
                <w:tcPr>
                  <w:tcW w:w="713" w:type="pct"/>
                  <w:vAlign w:val="center"/>
                </w:tcPr>
                <w:p w14:paraId="73BDCDA3">
                  <w:pPr>
                    <w:widowControl/>
                    <w:jc w:val="center"/>
                    <w:textAlignment w:val="center"/>
                    <w:rPr>
                      <w:color w:val="auto"/>
                      <w:kern w:val="0"/>
                      <w:szCs w:val="21"/>
                    </w:rPr>
                  </w:pPr>
                  <w:r>
                    <w:rPr>
                      <w:rFonts w:hint="eastAsia"/>
                      <w:color w:val="auto"/>
                      <w:kern w:val="0"/>
                      <w:szCs w:val="21"/>
                    </w:rPr>
                    <w:t>打磨</w:t>
                  </w:r>
                </w:p>
              </w:tc>
            </w:tr>
            <w:tr w14:paraId="308C6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ACE5D80">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35</w:t>
                  </w:r>
                </w:p>
              </w:tc>
              <w:tc>
                <w:tcPr>
                  <w:tcW w:w="1275" w:type="pct"/>
                  <w:noWrap/>
                  <w:vAlign w:val="center"/>
                </w:tcPr>
                <w:p w14:paraId="2A3FB76E">
                  <w:pPr>
                    <w:widowControl/>
                    <w:jc w:val="center"/>
                    <w:textAlignment w:val="center"/>
                    <w:rPr>
                      <w:color w:val="auto"/>
                      <w:kern w:val="0"/>
                      <w:szCs w:val="21"/>
                      <w:lang w:bidi="ar"/>
                    </w:rPr>
                  </w:pPr>
                  <w:r>
                    <w:rPr>
                      <w:rFonts w:hint="eastAsia"/>
                      <w:color w:val="auto"/>
                      <w:kern w:val="0"/>
                      <w:szCs w:val="21"/>
                      <w:lang w:bidi="ar"/>
                    </w:rPr>
                    <w:t>调漆房</w:t>
                  </w:r>
                </w:p>
              </w:tc>
              <w:tc>
                <w:tcPr>
                  <w:tcW w:w="1040" w:type="pct"/>
                  <w:noWrap/>
                  <w:vAlign w:val="center"/>
                </w:tcPr>
                <w:p w14:paraId="57F960FB">
                  <w:pPr>
                    <w:jc w:val="center"/>
                    <w:rPr>
                      <w:color w:val="auto"/>
                      <w:kern w:val="0"/>
                      <w:szCs w:val="21"/>
                    </w:rPr>
                  </w:pPr>
                  <w:r>
                    <w:rPr>
                      <w:rFonts w:hint="eastAsia"/>
                      <w:color w:val="auto"/>
                      <w:kern w:val="0"/>
                      <w:szCs w:val="21"/>
                    </w:rPr>
                    <w:t>3*9m</w:t>
                  </w:r>
                </w:p>
              </w:tc>
              <w:tc>
                <w:tcPr>
                  <w:tcW w:w="401" w:type="pct"/>
                  <w:noWrap/>
                  <w:vAlign w:val="center"/>
                </w:tcPr>
                <w:p w14:paraId="677CA431">
                  <w:pPr>
                    <w:widowControl/>
                    <w:jc w:val="center"/>
                    <w:textAlignment w:val="center"/>
                    <w:rPr>
                      <w:color w:val="auto"/>
                      <w:kern w:val="0"/>
                      <w:szCs w:val="21"/>
                      <w:lang w:bidi="ar"/>
                    </w:rPr>
                  </w:pPr>
                  <w:r>
                    <w:rPr>
                      <w:rFonts w:hint="eastAsia"/>
                      <w:color w:val="auto"/>
                      <w:kern w:val="0"/>
                      <w:szCs w:val="21"/>
                      <w:lang w:bidi="ar"/>
                    </w:rPr>
                    <w:t>1</w:t>
                  </w:r>
                </w:p>
              </w:tc>
              <w:tc>
                <w:tcPr>
                  <w:tcW w:w="407" w:type="pct"/>
                  <w:noWrap/>
                  <w:vAlign w:val="center"/>
                </w:tcPr>
                <w:p w14:paraId="58732A44">
                  <w:pPr>
                    <w:widowControl/>
                    <w:adjustRightInd w:val="0"/>
                    <w:snapToGrid w:val="0"/>
                    <w:spacing w:line="240" w:lineRule="exact"/>
                    <w:jc w:val="center"/>
                    <w:rPr>
                      <w:color w:val="auto"/>
                      <w:kern w:val="0"/>
                      <w:szCs w:val="21"/>
                    </w:rPr>
                  </w:pPr>
                  <w:r>
                    <w:rPr>
                      <w:rFonts w:hint="eastAsia"/>
                      <w:color w:val="auto"/>
                      <w:kern w:val="0"/>
                      <w:szCs w:val="21"/>
                    </w:rPr>
                    <w:t>台</w:t>
                  </w:r>
                </w:p>
              </w:tc>
              <w:tc>
                <w:tcPr>
                  <w:tcW w:w="781" w:type="pct"/>
                  <w:vAlign w:val="center"/>
                </w:tcPr>
                <w:p w14:paraId="7324A776">
                  <w:pPr>
                    <w:widowControl/>
                    <w:jc w:val="center"/>
                    <w:textAlignment w:val="center"/>
                    <w:rPr>
                      <w:color w:val="auto"/>
                      <w:kern w:val="0"/>
                      <w:szCs w:val="21"/>
                      <w:lang w:bidi="ar"/>
                    </w:rPr>
                  </w:pPr>
                  <w:r>
                    <w:rPr>
                      <w:color w:val="auto"/>
                      <w:kern w:val="0"/>
                      <w:szCs w:val="21"/>
                      <w:lang w:bidi="ar"/>
                    </w:rPr>
                    <w:t>油漆车间</w:t>
                  </w:r>
                </w:p>
              </w:tc>
              <w:tc>
                <w:tcPr>
                  <w:tcW w:w="713" w:type="pct"/>
                  <w:vAlign w:val="center"/>
                </w:tcPr>
                <w:p w14:paraId="67DB4239">
                  <w:pPr>
                    <w:widowControl/>
                    <w:jc w:val="center"/>
                    <w:textAlignment w:val="center"/>
                    <w:rPr>
                      <w:color w:val="auto"/>
                      <w:kern w:val="0"/>
                      <w:szCs w:val="21"/>
                    </w:rPr>
                  </w:pPr>
                  <w:r>
                    <w:rPr>
                      <w:rFonts w:hint="eastAsia"/>
                      <w:color w:val="auto"/>
                      <w:kern w:val="0"/>
                      <w:szCs w:val="21"/>
                    </w:rPr>
                    <w:t>调漆</w:t>
                  </w:r>
                </w:p>
              </w:tc>
            </w:tr>
            <w:tr w14:paraId="03528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296658A">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36</w:t>
                  </w:r>
                </w:p>
              </w:tc>
              <w:tc>
                <w:tcPr>
                  <w:tcW w:w="1275" w:type="pct"/>
                  <w:noWrap/>
                  <w:vAlign w:val="center"/>
                </w:tcPr>
                <w:p w14:paraId="3CF28285">
                  <w:pPr>
                    <w:widowControl/>
                    <w:jc w:val="center"/>
                    <w:textAlignment w:val="center"/>
                    <w:rPr>
                      <w:color w:val="auto"/>
                      <w:kern w:val="0"/>
                      <w:szCs w:val="21"/>
                    </w:rPr>
                  </w:pPr>
                  <w:r>
                    <w:rPr>
                      <w:color w:val="auto"/>
                      <w:kern w:val="0"/>
                      <w:szCs w:val="21"/>
                      <w:lang w:bidi="ar"/>
                    </w:rPr>
                    <w:t>底漆房</w:t>
                  </w:r>
                </w:p>
              </w:tc>
              <w:tc>
                <w:tcPr>
                  <w:tcW w:w="1040" w:type="pct"/>
                  <w:noWrap/>
                  <w:vAlign w:val="center"/>
                </w:tcPr>
                <w:p w14:paraId="3BD61087">
                  <w:pPr>
                    <w:jc w:val="center"/>
                    <w:rPr>
                      <w:color w:val="auto"/>
                      <w:kern w:val="0"/>
                      <w:szCs w:val="21"/>
                    </w:rPr>
                  </w:pPr>
                  <w:r>
                    <w:rPr>
                      <w:rFonts w:hint="eastAsia"/>
                      <w:color w:val="auto"/>
                      <w:lang w:eastAsia="zh-CN"/>
                    </w:rPr>
                    <w:t>12.</w:t>
                  </w:r>
                  <w:r>
                    <w:rPr>
                      <w:rFonts w:hint="eastAsia"/>
                      <w:color w:val="auto"/>
                    </w:rPr>
                    <w:t>9m/8*9m</w:t>
                  </w:r>
                </w:p>
              </w:tc>
              <w:tc>
                <w:tcPr>
                  <w:tcW w:w="401" w:type="pct"/>
                  <w:noWrap/>
                  <w:vAlign w:val="center"/>
                </w:tcPr>
                <w:p w14:paraId="41D206CA">
                  <w:pPr>
                    <w:widowControl/>
                    <w:jc w:val="center"/>
                    <w:textAlignment w:val="center"/>
                    <w:rPr>
                      <w:color w:val="auto"/>
                      <w:kern w:val="0"/>
                      <w:szCs w:val="21"/>
                    </w:rPr>
                  </w:pPr>
                  <w:r>
                    <w:rPr>
                      <w:color w:val="auto"/>
                      <w:kern w:val="0"/>
                      <w:szCs w:val="21"/>
                      <w:lang w:bidi="ar"/>
                    </w:rPr>
                    <w:t>2</w:t>
                  </w:r>
                </w:p>
              </w:tc>
              <w:tc>
                <w:tcPr>
                  <w:tcW w:w="407" w:type="pct"/>
                  <w:noWrap/>
                  <w:vAlign w:val="center"/>
                </w:tcPr>
                <w:p w14:paraId="2A98C14F">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9E7FCE5">
                  <w:pPr>
                    <w:widowControl/>
                    <w:jc w:val="center"/>
                    <w:textAlignment w:val="center"/>
                    <w:rPr>
                      <w:color w:val="auto"/>
                      <w:kern w:val="0"/>
                      <w:szCs w:val="21"/>
                      <w:lang w:bidi="ar"/>
                    </w:rPr>
                  </w:pPr>
                  <w:r>
                    <w:rPr>
                      <w:color w:val="auto"/>
                      <w:kern w:val="0"/>
                      <w:szCs w:val="21"/>
                      <w:lang w:bidi="ar"/>
                    </w:rPr>
                    <w:t>油漆车间</w:t>
                  </w:r>
                </w:p>
              </w:tc>
              <w:tc>
                <w:tcPr>
                  <w:tcW w:w="713" w:type="pct"/>
                  <w:vAlign w:val="center"/>
                </w:tcPr>
                <w:p w14:paraId="0C03851A">
                  <w:pPr>
                    <w:widowControl/>
                    <w:jc w:val="center"/>
                    <w:textAlignment w:val="center"/>
                    <w:rPr>
                      <w:color w:val="auto"/>
                      <w:kern w:val="0"/>
                      <w:szCs w:val="21"/>
                    </w:rPr>
                  </w:pPr>
                  <w:r>
                    <w:rPr>
                      <w:rFonts w:hint="eastAsia"/>
                      <w:color w:val="auto"/>
                      <w:kern w:val="0"/>
                      <w:szCs w:val="21"/>
                      <w:lang w:bidi="ar"/>
                    </w:rPr>
                    <w:t>喷底漆</w:t>
                  </w:r>
                </w:p>
              </w:tc>
            </w:tr>
            <w:tr w14:paraId="00560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98AEE0F">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37</w:t>
                  </w:r>
                </w:p>
              </w:tc>
              <w:tc>
                <w:tcPr>
                  <w:tcW w:w="1275" w:type="pct"/>
                  <w:noWrap/>
                  <w:vAlign w:val="center"/>
                </w:tcPr>
                <w:p w14:paraId="62868759">
                  <w:pPr>
                    <w:widowControl/>
                    <w:jc w:val="center"/>
                    <w:textAlignment w:val="center"/>
                    <w:rPr>
                      <w:color w:val="auto"/>
                      <w:kern w:val="0"/>
                      <w:szCs w:val="21"/>
                    </w:rPr>
                  </w:pPr>
                  <w:r>
                    <w:rPr>
                      <w:color w:val="auto"/>
                      <w:kern w:val="0"/>
                      <w:szCs w:val="21"/>
                      <w:lang w:bidi="ar"/>
                    </w:rPr>
                    <w:t>面</w:t>
                  </w:r>
                  <w:r>
                    <w:rPr>
                      <w:rFonts w:hint="eastAsia"/>
                      <w:color w:val="auto"/>
                      <w:kern w:val="0"/>
                      <w:szCs w:val="21"/>
                      <w:lang w:bidi="ar"/>
                    </w:rPr>
                    <w:t>漆</w:t>
                  </w:r>
                  <w:r>
                    <w:rPr>
                      <w:color w:val="auto"/>
                      <w:kern w:val="0"/>
                      <w:szCs w:val="21"/>
                      <w:lang w:bidi="ar"/>
                    </w:rPr>
                    <w:t>房</w:t>
                  </w:r>
                </w:p>
              </w:tc>
              <w:tc>
                <w:tcPr>
                  <w:tcW w:w="1040" w:type="pct"/>
                  <w:noWrap/>
                  <w:vAlign w:val="center"/>
                </w:tcPr>
                <w:p w14:paraId="0CAA2E43">
                  <w:pPr>
                    <w:jc w:val="center"/>
                    <w:rPr>
                      <w:color w:val="auto"/>
                      <w:kern w:val="0"/>
                      <w:szCs w:val="21"/>
                    </w:rPr>
                  </w:pPr>
                  <w:r>
                    <w:rPr>
                      <w:rFonts w:hint="eastAsia"/>
                      <w:color w:val="auto"/>
                      <w:kern w:val="0"/>
                      <w:szCs w:val="21"/>
                    </w:rPr>
                    <w:t>8*9m</w:t>
                  </w:r>
                </w:p>
              </w:tc>
              <w:tc>
                <w:tcPr>
                  <w:tcW w:w="401" w:type="pct"/>
                  <w:noWrap/>
                  <w:vAlign w:val="center"/>
                </w:tcPr>
                <w:p w14:paraId="1AA64F91">
                  <w:pPr>
                    <w:widowControl/>
                    <w:jc w:val="center"/>
                    <w:textAlignment w:val="center"/>
                    <w:rPr>
                      <w:color w:val="auto"/>
                      <w:kern w:val="0"/>
                      <w:szCs w:val="21"/>
                    </w:rPr>
                  </w:pPr>
                  <w:r>
                    <w:rPr>
                      <w:color w:val="auto"/>
                      <w:kern w:val="0"/>
                      <w:szCs w:val="21"/>
                      <w:lang w:bidi="ar"/>
                    </w:rPr>
                    <w:t>4</w:t>
                  </w:r>
                </w:p>
              </w:tc>
              <w:tc>
                <w:tcPr>
                  <w:tcW w:w="407" w:type="pct"/>
                  <w:noWrap/>
                  <w:vAlign w:val="center"/>
                </w:tcPr>
                <w:p w14:paraId="1CB6901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727D13C">
                  <w:pPr>
                    <w:widowControl/>
                    <w:jc w:val="center"/>
                    <w:textAlignment w:val="center"/>
                    <w:rPr>
                      <w:color w:val="auto"/>
                      <w:kern w:val="0"/>
                      <w:szCs w:val="21"/>
                      <w:lang w:bidi="ar"/>
                    </w:rPr>
                  </w:pPr>
                  <w:r>
                    <w:rPr>
                      <w:color w:val="auto"/>
                      <w:kern w:val="0"/>
                      <w:szCs w:val="21"/>
                      <w:lang w:bidi="ar"/>
                    </w:rPr>
                    <w:t>油漆车间</w:t>
                  </w:r>
                </w:p>
              </w:tc>
              <w:tc>
                <w:tcPr>
                  <w:tcW w:w="713" w:type="pct"/>
                  <w:vAlign w:val="center"/>
                </w:tcPr>
                <w:p w14:paraId="496E1CE8">
                  <w:pPr>
                    <w:widowControl/>
                    <w:jc w:val="center"/>
                    <w:textAlignment w:val="center"/>
                    <w:rPr>
                      <w:color w:val="auto"/>
                      <w:kern w:val="0"/>
                      <w:szCs w:val="21"/>
                    </w:rPr>
                  </w:pPr>
                  <w:r>
                    <w:rPr>
                      <w:rFonts w:hint="eastAsia"/>
                      <w:color w:val="auto"/>
                      <w:kern w:val="0"/>
                      <w:szCs w:val="21"/>
                      <w:lang w:bidi="ar"/>
                    </w:rPr>
                    <w:t>喷面漆</w:t>
                  </w:r>
                </w:p>
              </w:tc>
            </w:tr>
            <w:tr w14:paraId="1C72B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D9DEE14">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38</w:t>
                  </w:r>
                </w:p>
              </w:tc>
              <w:tc>
                <w:tcPr>
                  <w:tcW w:w="1275" w:type="pct"/>
                  <w:noWrap/>
                  <w:vAlign w:val="center"/>
                </w:tcPr>
                <w:p w14:paraId="0A3ED7AA">
                  <w:pPr>
                    <w:widowControl/>
                    <w:jc w:val="center"/>
                    <w:textAlignment w:val="center"/>
                    <w:rPr>
                      <w:color w:val="auto"/>
                      <w:kern w:val="0"/>
                      <w:szCs w:val="21"/>
                    </w:rPr>
                  </w:pPr>
                  <w:r>
                    <w:rPr>
                      <w:color w:val="auto"/>
                      <w:kern w:val="0"/>
                      <w:szCs w:val="21"/>
                      <w:lang w:bidi="ar"/>
                    </w:rPr>
                    <w:t>晾干房</w:t>
                  </w:r>
                </w:p>
              </w:tc>
              <w:tc>
                <w:tcPr>
                  <w:tcW w:w="1040" w:type="pct"/>
                  <w:noWrap/>
                  <w:vAlign w:val="center"/>
                </w:tcPr>
                <w:p w14:paraId="49462CFF">
                  <w:pPr>
                    <w:widowControl/>
                    <w:jc w:val="center"/>
                    <w:textAlignment w:val="center"/>
                    <w:rPr>
                      <w:color w:val="auto"/>
                      <w:kern w:val="0"/>
                      <w:szCs w:val="21"/>
                    </w:rPr>
                  </w:pPr>
                  <w:r>
                    <w:rPr>
                      <w:rFonts w:hint="eastAsia"/>
                      <w:color w:val="auto"/>
                      <w:kern w:val="0"/>
                      <w:szCs w:val="21"/>
                      <w:lang w:eastAsia="zh-CN"/>
                    </w:rPr>
                    <w:t>18.</w:t>
                  </w:r>
                  <w:r>
                    <w:rPr>
                      <w:rFonts w:hint="eastAsia"/>
                      <w:color w:val="auto"/>
                      <w:kern w:val="0"/>
                      <w:szCs w:val="21"/>
                    </w:rPr>
                    <w:t>9m</w:t>
                  </w:r>
                </w:p>
              </w:tc>
              <w:tc>
                <w:tcPr>
                  <w:tcW w:w="401" w:type="pct"/>
                  <w:noWrap/>
                  <w:vAlign w:val="center"/>
                </w:tcPr>
                <w:p w14:paraId="04BC7CE2">
                  <w:pPr>
                    <w:widowControl/>
                    <w:jc w:val="center"/>
                    <w:textAlignment w:val="center"/>
                    <w:rPr>
                      <w:color w:val="auto"/>
                      <w:kern w:val="0"/>
                      <w:szCs w:val="21"/>
                    </w:rPr>
                  </w:pPr>
                  <w:r>
                    <w:rPr>
                      <w:color w:val="auto"/>
                      <w:kern w:val="0"/>
                      <w:szCs w:val="21"/>
                      <w:lang w:bidi="ar"/>
                    </w:rPr>
                    <w:t>6</w:t>
                  </w:r>
                </w:p>
              </w:tc>
              <w:tc>
                <w:tcPr>
                  <w:tcW w:w="407" w:type="pct"/>
                  <w:noWrap/>
                  <w:vAlign w:val="center"/>
                </w:tcPr>
                <w:p w14:paraId="537F7403">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B8E7480">
                  <w:pPr>
                    <w:widowControl/>
                    <w:jc w:val="center"/>
                    <w:textAlignment w:val="center"/>
                    <w:rPr>
                      <w:color w:val="auto"/>
                      <w:kern w:val="0"/>
                      <w:szCs w:val="21"/>
                      <w:lang w:bidi="ar"/>
                    </w:rPr>
                  </w:pPr>
                  <w:r>
                    <w:rPr>
                      <w:color w:val="auto"/>
                      <w:kern w:val="0"/>
                      <w:szCs w:val="21"/>
                      <w:lang w:bidi="ar"/>
                    </w:rPr>
                    <w:t>油漆车间</w:t>
                  </w:r>
                </w:p>
              </w:tc>
              <w:tc>
                <w:tcPr>
                  <w:tcW w:w="713" w:type="pct"/>
                  <w:vAlign w:val="center"/>
                </w:tcPr>
                <w:p w14:paraId="396AF348">
                  <w:pPr>
                    <w:widowControl/>
                    <w:jc w:val="center"/>
                    <w:textAlignment w:val="center"/>
                    <w:rPr>
                      <w:color w:val="auto"/>
                      <w:kern w:val="0"/>
                      <w:szCs w:val="21"/>
                    </w:rPr>
                  </w:pPr>
                  <w:r>
                    <w:rPr>
                      <w:rFonts w:hint="eastAsia"/>
                      <w:color w:val="auto"/>
                      <w:kern w:val="0"/>
                      <w:szCs w:val="21"/>
                      <w:lang w:bidi="ar"/>
                    </w:rPr>
                    <w:t>晾干</w:t>
                  </w:r>
                </w:p>
              </w:tc>
            </w:tr>
            <w:tr w14:paraId="2E451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AC6089C">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39</w:t>
                  </w:r>
                </w:p>
              </w:tc>
              <w:tc>
                <w:tcPr>
                  <w:tcW w:w="1275" w:type="pct"/>
                  <w:noWrap/>
                  <w:vAlign w:val="center"/>
                </w:tcPr>
                <w:p w14:paraId="4923A921">
                  <w:pPr>
                    <w:widowControl/>
                    <w:jc w:val="center"/>
                    <w:textAlignment w:val="center"/>
                    <w:rPr>
                      <w:color w:val="auto"/>
                      <w:kern w:val="0"/>
                      <w:szCs w:val="21"/>
                    </w:rPr>
                  </w:pPr>
                  <w:r>
                    <w:rPr>
                      <w:color w:val="auto"/>
                      <w:kern w:val="0"/>
                      <w:szCs w:val="21"/>
                      <w:lang w:bidi="ar"/>
                    </w:rPr>
                    <w:t>气钉枪</w:t>
                  </w:r>
                </w:p>
              </w:tc>
              <w:tc>
                <w:tcPr>
                  <w:tcW w:w="1040" w:type="pct"/>
                  <w:noWrap/>
                  <w:vAlign w:val="center"/>
                </w:tcPr>
                <w:p w14:paraId="491EA182">
                  <w:pPr>
                    <w:widowControl/>
                    <w:jc w:val="center"/>
                    <w:textAlignment w:val="center"/>
                    <w:rPr>
                      <w:color w:val="auto"/>
                      <w:kern w:val="0"/>
                      <w:szCs w:val="21"/>
                    </w:rPr>
                  </w:pPr>
                  <w:r>
                    <w:rPr>
                      <w:color w:val="auto"/>
                      <w:kern w:val="0"/>
                      <w:szCs w:val="21"/>
                      <w:lang w:bidi="ar"/>
                    </w:rPr>
                    <w:t>YZ112M-4</w:t>
                  </w:r>
                </w:p>
              </w:tc>
              <w:tc>
                <w:tcPr>
                  <w:tcW w:w="401" w:type="pct"/>
                  <w:noWrap/>
                  <w:vAlign w:val="center"/>
                </w:tcPr>
                <w:p w14:paraId="3E83D42D">
                  <w:pPr>
                    <w:widowControl/>
                    <w:jc w:val="center"/>
                    <w:textAlignment w:val="center"/>
                    <w:rPr>
                      <w:color w:val="auto"/>
                      <w:kern w:val="0"/>
                      <w:szCs w:val="21"/>
                    </w:rPr>
                  </w:pPr>
                  <w:r>
                    <w:rPr>
                      <w:color w:val="auto"/>
                      <w:kern w:val="0"/>
                      <w:szCs w:val="21"/>
                      <w:lang w:bidi="ar"/>
                    </w:rPr>
                    <w:t>8</w:t>
                  </w:r>
                </w:p>
              </w:tc>
              <w:tc>
                <w:tcPr>
                  <w:tcW w:w="407" w:type="pct"/>
                  <w:noWrap/>
                  <w:vAlign w:val="center"/>
                </w:tcPr>
                <w:p w14:paraId="11BDB736">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94C8670">
                  <w:pPr>
                    <w:widowControl/>
                    <w:jc w:val="center"/>
                    <w:textAlignment w:val="center"/>
                    <w:rPr>
                      <w:color w:val="auto"/>
                      <w:kern w:val="0"/>
                      <w:szCs w:val="21"/>
                      <w:lang w:bidi="ar"/>
                    </w:rPr>
                  </w:pPr>
                  <w:r>
                    <w:rPr>
                      <w:color w:val="auto"/>
                      <w:kern w:val="0"/>
                      <w:szCs w:val="21"/>
                      <w:lang w:bidi="ar"/>
                    </w:rPr>
                    <w:t>组装车间</w:t>
                  </w:r>
                </w:p>
              </w:tc>
              <w:tc>
                <w:tcPr>
                  <w:tcW w:w="713" w:type="pct"/>
                  <w:vAlign w:val="center"/>
                </w:tcPr>
                <w:p w14:paraId="380FB094">
                  <w:pPr>
                    <w:widowControl/>
                    <w:jc w:val="center"/>
                    <w:textAlignment w:val="center"/>
                    <w:rPr>
                      <w:color w:val="auto"/>
                      <w:kern w:val="0"/>
                      <w:szCs w:val="21"/>
                    </w:rPr>
                  </w:pPr>
                  <w:r>
                    <w:rPr>
                      <w:rFonts w:hint="eastAsia"/>
                      <w:color w:val="auto"/>
                      <w:kern w:val="0"/>
                      <w:szCs w:val="21"/>
                      <w:lang w:bidi="ar"/>
                    </w:rPr>
                    <w:t>组装</w:t>
                  </w:r>
                </w:p>
              </w:tc>
            </w:tr>
            <w:tr w14:paraId="24968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3FC4BC2">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40</w:t>
                  </w:r>
                </w:p>
              </w:tc>
              <w:tc>
                <w:tcPr>
                  <w:tcW w:w="1275" w:type="pct"/>
                  <w:noWrap/>
                  <w:vAlign w:val="center"/>
                </w:tcPr>
                <w:p w14:paraId="33D6C351">
                  <w:pPr>
                    <w:widowControl/>
                    <w:jc w:val="center"/>
                    <w:textAlignment w:val="center"/>
                    <w:rPr>
                      <w:color w:val="auto"/>
                      <w:kern w:val="0"/>
                      <w:szCs w:val="21"/>
                    </w:rPr>
                  </w:pPr>
                  <w:r>
                    <w:rPr>
                      <w:color w:val="auto"/>
                      <w:kern w:val="0"/>
                      <w:szCs w:val="21"/>
                      <w:lang w:bidi="ar"/>
                    </w:rPr>
                    <w:t>数控激光切割机</w:t>
                  </w:r>
                </w:p>
              </w:tc>
              <w:tc>
                <w:tcPr>
                  <w:tcW w:w="1040" w:type="pct"/>
                  <w:noWrap/>
                  <w:vAlign w:val="center"/>
                </w:tcPr>
                <w:p w14:paraId="62A8B727">
                  <w:pPr>
                    <w:widowControl/>
                    <w:jc w:val="center"/>
                    <w:textAlignment w:val="center"/>
                    <w:rPr>
                      <w:color w:val="auto"/>
                      <w:kern w:val="0"/>
                      <w:szCs w:val="21"/>
                    </w:rPr>
                  </w:pPr>
                  <w:r>
                    <w:rPr>
                      <w:rFonts w:hint="eastAsia"/>
                      <w:color w:val="auto"/>
                      <w:kern w:val="0"/>
                      <w:szCs w:val="21"/>
                      <w:lang w:bidi="ar"/>
                    </w:rPr>
                    <w:t>130SA+CCD</w:t>
                  </w:r>
                </w:p>
              </w:tc>
              <w:tc>
                <w:tcPr>
                  <w:tcW w:w="401" w:type="pct"/>
                  <w:noWrap/>
                  <w:vAlign w:val="center"/>
                </w:tcPr>
                <w:p w14:paraId="5FE58BC2">
                  <w:pPr>
                    <w:widowControl/>
                    <w:jc w:val="center"/>
                    <w:textAlignment w:val="center"/>
                    <w:rPr>
                      <w:color w:val="auto"/>
                      <w:kern w:val="0"/>
                      <w:szCs w:val="21"/>
                    </w:rPr>
                  </w:pPr>
                  <w:r>
                    <w:rPr>
                      <w:color w:val="auto"/>
                      <w:kern w:val="0"/>
                      <w:szCs w:val="21"/>
                      <w:lang w:bidi="ar"/>
                    </w:rPr>
                    <w:t>6</w:t>
                  </w:r>
                </w:p>
              </w:tc>
              <w:tc>
                <w:tcPr>
                  <w:tcW w:w="407" w:type="pct"/>
                  <w:noWrap/>
                  <w:vAlign w:val="center"/>
                </w:tcPr>
                <w:p w14:paraId="59357AC6">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25B3D05">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311FD8D2">
                  <w:pPr>
                    <w:widowControl/>
                    <w:jc w:val="center"/>
                    <w:textAlignment w:val="center"/>
                    <w:rPr>
                      <w:color w:val="auto"/>
                      <w:kern w:val="0"/>
                      <w:szCs w:val="21"/>
                    </w:rPr>
                  </w:pPr>
                  <w:r>
                    <w:rPr>
                      <w:rFonts w:hint="eastAsia"/>
                      <w:color w:val="auto"/>
                      <w:kern w:val="0"/>
                      <w:szCs w:val="21"/>
                      <w:lang w:bidi="ar"/>
                    </w:rPr>
                    <w:t>下料</w:t>
                  </w:r>
                </w:p>
              </w:tc>
            </w:tr>
            <w:tr w14:paraId="6ACD8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FC99CF2">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41</w:t>
                  </w:r>
                </w:p>
              </w:tc>
              <w:tc>
                <w:tcPr>
                  <w:tcW w:w="1275" w:type="pct"/>
                  <w:noWrap/>
                  <w:vAlign w:val="center"/>
                </w:tcPr>
                <w:p w14:paraId="2592C846">
                  <w:pPr>
                    <w:widowControl/>
                    <w:jc w:val="center"/>
                    <w:textAlignment w:val="center"/>
                    <w:rPr>
                      <w:color w:val="auto"/>
                      <w:kern w:val="0"/>
                      <w:szCs w:val="21"/>
                    </w:rPr>
                  </w:pPr>
                  <w:r>
                    <w:rPr>
                      <w:color w:val="auto"/>
                      <w:kern w:val="0"/>
                      <w:szCs w:val="21"/>
                      <w:lang w:bidi="ar"/>
                    </w:rPr>
                    <w:t>雕刻机</w:t>
                  </w:r>
                </w:p>
              </w:tc>
              <w:tc>
                <w:tcPr>
                  <w:tcW w:w="1040" w:type="pct"/>
                  <w:noWrap/>
                  <w:vAlign w:val="center"/>
                </w:tcPr>
                <w:p w14:paraId="5192D3A3">
                  <w:pPr>
                    <w:jc w:val="center"/>
                    <w:rPr>
                      <w:color w:val="auto"/>
                      <w:kern w:val="0"/>
                      <w:szCs w:val="21"/>
                    </w:rPr>
                  </w:pPr>
                  <w:r>
                    <w:rPr>
                      <w:rFonts w:hint="eastAsia"/>
                      <w:color w:val="auto"/>
                      <w:kern w:val="0"/>
                      <w:szCs w:val="21"/>
                    </w:rPr>
                    <w:t>/</w:t>
                  </w:r>
                </w:p>
              </w:tc>
              <w:tc>
                <w:tcPr>
                  <w:tcW w:w="401" w:type="pct"/>
                  <w:noWrap/>
                  <w:vAlign w:val="center"/>
                </w:tcPr>
                <w:p w14:paraId="162B33ED">
                  <w:pPr>
                    <w:widowControl/>
                    <w:jc w:val="center"/>
                    <w:textAlignment w:val="center"/>
                    <w:rPr>
                      <w:color w:val="auto"/>
                      <w:kern w:val="0"/>
                      <w:szCs w:val="21"/>
                    </w:rPr>
                  </w:pPr>
                  <w:r>
                    <w:rPr>
                      <w:color w:val="auto"/>
                      <w:kern w:val="0"/>
                      <w:szCs w:val="21"/>
                      <w:lang w:bidi="ar"/>
                    </w:rPr>
                    <w:t>4</w:t>
                  </w:r>
                </w:p>
              </w:tc>
              <w:tc>
                <w:tcPr>
                  <w:tcW w:w="407" w:type="pct"/>
                  <w:noWrap/>
                  <w:vAlign w:val="center"/>
                </w:tcPr>
                <w:p w14:paraId="606FD26B">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544114B">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66C0960D">
                  <w:pPr>
                    <w:widowControl/>
                    <w:jc w:val="center"/>
                    <w:textAlignment w:val="center"/>
                    <w:rPr>
                      <w:color w:val="auto"/>
                      <w:kern w:val="0"/>
                      <w:szCs w:val="21"/>
                    </w:rPr>
                  </w:pPr>
                  <w:r>
                    <w:rPr>
                      <w:rFonts w:hint="eastAsia"/>
                      <w:color w:val="auto"/>
                      <w:kern w:val="0"/>
                      <w:szCs w:val="21"/>
                    </w:rPr>
                    <w:t>下料</w:t>
                  </w:r>
                </w:p>
              </w:tc>
            </w:tr>
            <w:tr w14:paraId="4948F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108CA00">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42</w:t>
                  </w:r>
                </w:p>
              </w:tc>
              <w:tc>
                <w:tcPr>
                  <w:tcW w:w="1275" w:type="pct"/>
                  <w:noWrap/>
                  <w:vAlign w:val="center"/>
                </w:tcPr>
                <w:p w14:paraId="75295405">
                  <w:pPr>
                    <w:widowControl/>
                    <w:jc w:val="center"/>
                    <w:textAlignment w:val="center"/>
                    <w:rPr>
                      <w:color w:val="auto"/>
                      <w:kern w:val="0"/>
                      <w:szCs w:val="21"/>
                    </w:rPr>
                  </w:pPr>
                  <w:r>
                    <w:rPr>
                      <w:color w:val="auto"/>
                      <w:kern w:val="0"/>
                      <w:szCs w:val="21"/>
                      <w:lang w:bidi="ar"/>
                    </w:rPr>
                    <w:t>精雕机</w:t>
                  </w:r>
                </w:p>
              </w:tc>
              <w:tc>
                <w:tcPr>
                  <w:tcW w:w="1040" w:type="pct"/>
                  <w:noWrap/>
                  <w:vAlign w:val="center"/>
                </w:tcPr>
                <w:p w14:paraId="20D781BE">
                  <w:pPr>
                    <w:jc w:val="center"/>
                    <w:rPr>
                      <w:color w:val="auto"/>
                      <w:kern w:val="0"/>
                      <w:szCs w:val="21"/>
                    </w:rPr>
                  </w:pPr>
                  <w:r>
                    <w:rPr>
                      <w:rFonts w:hint="eastAsia"/>
                      <w:color w:val="auto"/>
                      <w:kern w:val="0"/>
                      <w:szCs w:val="21"/>
                    </w:rPr>
                    <w:t>/</w:t>
                  </w:r>
                </w:p>
              </w:tc>
              <w:tc>
                <w:tcPr>
                  <w:tcW w:w="401" w:type="pct"/>
                  <w:noWrap/>
                  <w:vAlign w:val="center"/>
                </w:tcPr>
                <w:p w14:paraId="6D6B5306">
                  <w:pPr>
                    <w:widowControl/>
                    <w:jc w:val="center"/>
                    <w:textAlignment w:val="center"/>
                    <w:rPr>
                      <w:color w:val="auto"/>
                      <w:kern w:val="0"/>
                      <w:szCs w:val="21"/>
                    </w:rPr>
                  </w:pPr>
                  <w:r>
                    <w:rPr>
                      <w:color w:val="auto"/>
                      <w:kern w:val="0"/>
                      <w:szCs w:val="21"/>
                      <w:lang w:bidi="ar"/>
                    </w:rPr>
                    <w:t>2</w:t>
                  </w:r>
                </w:p>
              </w:tc>
              <w:tc>
                <w:tcPr>
                  <w:tcW w:w="407" w:type="pct"/>
                  <w:noWrap/>
                  <w:vAlign w:val="center"/>
                </w:tcPr>
                <w:p w14:paraId="4CCBB4C7">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B10C14C">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575EF77A">
                  <w:pPr>
                    <w:widowControl/>
                    <w:jc w:val="center"/>
                    <w:textAlignment w:val="center"/>
                    <w:rPr>
                      <w:color w:val="auto"/>
                      <w:kern w:val="0"/>
                      <w:szCs w:val="21"/>
                    </w:rPr>
                  </w:pPr>
                  <w:r>
                    <w:rPr>
                      <w:rFonts w:hint="eastAsia"/>
                      <w:color w:val="auto"/>
                      <w:kern w:val="0"/>
                      <w:szCs w:val="21"/>
                    </w:rPr>
                    <w:t>下料</w:t>
                  </w:r>
                </w:p>
              </w:tc>
            </w:tr>
            <w:tr w14:paraId="4E275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22FE61F6">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43</w:t>
                  </w:r>
                </w:p>
              </w:tc>
              <w:tc>
                <w:tcPr>
                  <w:tcW w:w="1275" w:type="pct"/>
                  <w:noWrap/>
                  <w:vAlign w:val="center"/>
                </w:tcPr>
                <w:p w14:paraId="69EDB5D1">
                  <w:pPr>
                    <w:widowControl/>
                    <w:jc w:val="center"/>
                    <w:textAlignment w:val="center"/>
                    <w:rPr>
                      <w:color w:val="auto"/>
                      <w:kern w:val="0"/>
                      <w:szCs w:val="21"/>
                    </w:rPr>
                  </w:pPr>
                  <w:r>
                    <w:rPr>
                      <w:color w:val="auto"/>
                      <w:kern w:val="0"/>
                      <w:szCs w:val="21"/>
                      <w:lang w:bidi="ar"/>
                    </w:rPr>
                    <w:t>气磨机</w:t>
                  </w:r>
                </w:p>
              </w:tc>
              <w:tc>
                <w:tcPr>
                  <w:tcW w:w="1040" w:type="pct"/>
                  <w:noWrap/>
                  <w:vAlign w:val="center"/>
                </w:tcPr>
                <w:p w14:paraId="0846E69B">
                  <w:pPr>
                    <w:jc w:val="center"/>
                    <w:rPr>
                      <w:color w:val="auto"/>
                      <w:kern w:val="0"/>
                      <w:szCs w:val="21"/>
                    </w:rPr>
                  </w:pPr>
                  <w:r>
                    <w:rPr>
                      <w:rFonts w:hint="eastAsia"/>
                      <w:color w:val="auto"/>
                      <w:kern w:val="0"/>
                      <w:szCs w:val="21"/>
                    </w:rPr>
                    <w:t>/</w:t>
                  </w:r>
                </w:p>
              </w:tc>
              <w:tc>
                <w:tcPr>
                  <w:tcW w:w="401" w:type="pct"/>
                  <w:noWrap/>
                  <w:vAlign w:val="center"/>
                </w:tcPr>
                <w:p w14:paraId="541B5140">
                  <w:pPr>
                    <w:widowControl/>
                    <w:jc w:val="center"/>
                    <w:textAlignment w:val="center"/>
                    <w:rPr>
                      <w:color w:val="auto"/>
                      <w:kern w:val="0"/>
                      <w:szCs w:val="21"/>
                    </w:rPr>
                  </w:pPr>
                  <w:r>
                    <w:rPr>
                      <w:color w:val="auto"/>
                      <w:kern w:val="0"/>
                      <w:szCs w:val="21"/>
                      <w:lang w:bidi="ar"/>
                    </w:rPr>
                    <w:t>5</w:t>
                  </w:r>
                </w:p>
              </w:tc>
              <w:tc>
                <w:tcPr>
                  <w:tcW w:w="407" w:type="pct"/>
                  <w:noWrap/>
                  <w:vAlign w:val="center"/>
                </w:tcPr>
                <w:p w14:paraId="429D3967">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BD8DE31">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2B34B1C6">
                  <w:pPr>
                    <w:widowControl/>
                    <w:jc w:val="center"/>
                    <w:textAlignment w:val="center"/>
                    <w:rPr>
                      <w:color w:val="auto"/>
                      <w:kern w:val="0"/>
                      <w:szCs w:val="21"/>
                    </w:rPr>
                  </w:pPr>
                  <w:r>
                    <w:rPr>
                      <w:rFonts w:hint="eastAsia"/>
                      <w:color w:val="auto"/>
                      <w:kern w:val="0"/>
                      <w:szCs w:val="21"/>
                      <w:lang w:bidi="ar"/>
                    </w:rPr>
                    <w:t>打磨</w:t>
                  </w:r>
                </w:p>
              </w:tc>
            </w:tr>
            <w:tr w14:paraId="37FE6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07CCD974">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44</w:t>
                  </w:r>
                </w:p>
              </w:tc>
              <w:tc>
                <w:tcPr>
                  <w:tcW w:w="1275" w:type="pct"/>
                  <w:noWrap/>
                  <w:vAlign w:val="center"/>
                </w:tcPr>
                <w:p w14:paraId="595135E5">
                  <w:pPr>
                    <w:widowControl/>
                    <w:jc w:val="center"/>
                    <w:textAlignment w:val="center"/>
                    <w:rPr>
                      <w:color w:val="auto"/>
                      <w:kern w:val="0"/>
                      <w:szCs w:val="21"/>
                    </w:rPr>
                  </w:pPr>
                  <w:r>
                    <w:rPr>
                      <w:rFonts w:hint="eastAsia"/>
                      <w:color w:val="auto"/>
                      <w:kern w:val="0"/>
                      <w:szCs w:val="21"/>
                      <w:lang w:bidi="ar"/>
                    </w:rPr>
                    <w:t>环保湿式</w:t>
                  </w:r>
                  <w:r>
                    <w:rPr>
                      <w:color w:val="auto"/>
                      <w:kern w:val="0"/>
                      <w:szCs w:val="21"/>
                      <w:lang w:bidi="ar"/>
                    </w:rPr>
                    <w:t>抛光</w:t>
                  </w:r>
                  <w:r>
                    <w:rPr>
                      <w:rFonts w:hint="eastAsia"/>
                      <w:color w:val="auto"/>
                      <w:kern w:val="0"/>
                      <w:szCs w:val="21"/>
                      <w:lang w:bidi="ar"/>
                    </w:rPr>
                    <w:t>一体</w:t>
                  </w:r>
                  <w:r>
                    <w:rPr>
                      <w:color w:val="auto"/>
                      <w:kern w:val="0"/>
                      <w:szCs w:val="21"/>
                      <w:lang w:bidi="ar"/>
                    </w:rPr>
                    <w:t>机</w:t>
                  </w:r>
                </w:p>
              </w:tc>
              <w:tc>
                <w:tcPr>
                  <w:tcW w:w="1040" w:type="pct"/>
                  <w:noWrap/>
                  <w:vAlign w:val="center"/>
                </w:tcPr>
                <w:p w14:paraId="7E329FEC">
                  <w:pPr>
                    <w:jc w:val="center"/>
                    <w:rPr>
                      <w:color w:val="auto"/>
                      <w:kern w:val="0"/>
                      <w:szCs w:val="21"/>
                    </w:rPr>
                  </w:pPr>
                  <w:r>
                    <w:rPr>
                      <w:rFonts w:hint="eastAsia"/>
                      <w:color w:val="auto"/>
                      <w:kern w:val="0"/>
                      <w:szCs w:val="21"/>
                    </w:rPr>
                    <w:t>/</w:t>
                  </w:r>
                </w:p>
              </w:tc>
              <w:tc>
                <w:tcPr>
                  <w:tcW w:w="401" w:type="pct"/>
                  <w:noWrap/>
                  <w:vAlign w:val="center"/>
                </w:tcPr>
                <w:p w14:paraId="6FF5D5F7">
                  <w:pPr>
                    <w:widowControl/>
                    <w:jc w:val="center"/>
                    <w:textAlignment w:val="center"/>
                    <w:rPr>
                      <w:color w:val="auto"/>
                      <w:kern w:val="0"/>
                      <w:szCs w:val="21"/>
                    </w:rPr>
                  </w:pPr>
                  <w:r>
                    <w:rPr>
                      <w:color w:val="auto"/>
                      <w:kern w:val="0"/>
                      <w:szCs w:val="21"/>
                      <w:lang w:bidi="ar"/>
                    </w:rPr>
                    <w:t>3</w:t>
                  </w:r>
                </w:p>
              </w:tc>
              <w:tc>
                <w:tcPr>
                  <w:tcW w:w="407" w:type="pct"/>
                  <w:noWrap/>
                  <w:vAlign w:val="center"/>
                </w:tcPr>
                <w:p w14:paraId="2AF8733B">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7E118FD0">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41644AEE">
                  <w:pPr>
                    <w:widowControl/>
                    <w:jc w:val="center"/>
                    <w:textAlignment w:val="center"/>
                    <w:rPr>
                      <w:color w:val="auto"/>
                      <w:kern w:val="0"/>
                      <w:szCs w:val="21"/>
                    </w:rPr>
                  </w:pPr>
                  <w:r>
                    <w:rPr>
                      <w:rFonts w:hint="eastAsia"/>
                      <w:color w:val="auto"/>
                      <w:kern w:val="0"/>
                      <w:szCs w:val="21"/>
                      <w:lang w:bidi="ar"/>
                    </w:rPr>
                    <w:t>布轮抛光</w:t>
                  </w:r>
                </w:p>
              </w:tc>
            </w:tr>
            <w:tr w14:paraId="075A4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7BAA8095">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45</w:t>
                  </w:r>
                </w:p>
              </w:tc>
              <w:tc>
                <w:tcPr>
                  <w:tcW w:w="1275" w:type="pct"/>
                  <w:noWrap/>
                  <w:vAlign w:val="center"/>
                </w:tcPr>
                <w:p w14:paraId="21E4D4BE">
                  <w:pPr>
                    <w:widowControl/>
                    <w:jc w:val="center"/>
                    <w:textAlignment w:val="center"/>
                    <w:rPr>
                      <w:color w:val="auto"/>
                      <w:kern w:val="0"/>
                      <w:szCs w:val="21"/>
                    </w:rPr>
                  </w:pPr>
                  <w:r>
                    <w:rPr>
                      <w:color w:val="auto"/>
                      <w:kern w:val="0"/>
                      <w:szCs w:val="21"/>
                      <w:lang w:bidi="ar"/>
                    </w:rPr>
                    <w:t>倒角机</w:t>
                  </w:r>
                </w:p>
              </w:tc>
              <w:tc>
                <w:tcPr>
                  <w:tcW w:w="1040" w:type="pct"/>
                  <w:noWrap/>
                  <w:vAlign w:val="center"/>
                </w:tcPr>
                <w:p w14:paraId="488E20BA">
                  <w:pPr>
                    <w:jc w:val="center"/>
                    <w:rPr>
                      <w:color w:val="auto"/>
                      <w:kern w:val="0"/>
                      <w:szCs w:val="21"/>
                    </w:rPr>
                  </w:pPr>
                  <w:r>
                    <w:rPr>
                      <w:color w:val="auto"/>
                      <w:kern w:val="0"/>
                      <w:szCs w:val="21"/>
                      <w:lang w:bidi="ar"/>
                    </w:rPr>
                    <w:t>MD2500-ATC/130SA+CCD</w:t>
                  </w:r>
                </w:p>
              </w:tc>
              <w:tc>
                <w:tcPr>
                  <w:tcW w:w="401" w:type="pct"/>
                  <w:noWrap/>
                  <w:vAlign w:val="center"/>
                </w:tcPr>
                <w:p w14:paraId="18A192F2">
                  <w:pPr>
                    <w:widowControl/>
                    <w:jc w:val="center"/>
                    <w:textAlignment w:val="center"/>
                    <w:rPr>
                      <w:color w:val="auto"/>
                      <w:kern w:val="0"/>
                      <w:szCs w:val="21"/>
                    </w:rPr>
                  </w:pPr>
                  <w:r>
                    <w:rPr>
                      <w:color w:val="auto"/>
                      <w:kern w:val="0"/>
                      <w:szCs w:val="21"/>
                      <w:lang w:bidi="ar"/>
                    </w:rPr>
                    <w:t>2</w:t>
                  </w:r>
                </w:p>
              </w:tc>
              <w:tc>
                <w:tcPr>
                  <w:tcW w:w="407" w:type="pct"/>
                  <w:noWrap/>
                  <w:vAlign w:val="center"/>
                </w:tcPr>
                <w:p w14:paraId="2D8EA1FF">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E6B588E">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6A697282">
                  <w:pPr>
                    <w:widowControl/>
                    <w:jc w:val="center"/>
                    <w:textAlignment w:val="center"/>
                    <w:rPr>
                      <w:color w:val="auto"/>
                      <w:kern w:val="0"/>
                      <w:szCs w:val="21"/>
                    </w:rPr>
                  </w:pPr>
                  <w:r>
                    <w:rPr>
                      <w:rFonts w:hint="eastAsia"/>
                      <w:color w:val="auto"/>
                      <w:kern w:val="0"/>
                      <w:szCs w:val="21"/>
                      <w:lang w:bidi="ar"/>
                    </w:rPr>
                    <w:t>修边倒角</w:t>
                  </w:r>
                </w:p>
              </w:tc>
            </w:tr>
            <w:tr w14:paraId="0547F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E35BAA1">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46</w:t>
                  </w:r>
                </w:p>
              </w:tc>
              <w:tc>
                <w:tcPr>
                  <w:tcW w:w="1275" w:type="pct"/>
                  <w:noWrap/>
                  <w:vAlign w:val="center"/>
                </w:tcPr>
                <w:p w14:paraId="13F443B3">
                  <w:pPr>
                    <w:widowControl/>
                    <w:jc w:val="center"/>
                    <w:textAlignment w:val="center"/>
                    <w:rPr>
                      <w:color w:val="auto"/>
                      <w:kern w:val="0"/>
                      <w:szCs w:val="21"/>
                    </w:rPr>
                  </w:pPr>
                  <w:r>
                    <w:rPr>
                      <w:color w:val="auto"/>
                      <w:kern w:val="0"/>
                      <w:szCs w:val="21"/>
                      <w:lang w:bidi="ar"/>
                    </w:rPr>
                    <w:t>钻石抛光机</w:t>
                  </w:r>
                </w:p>
              </w:tc>
              <w:tc>
                <w:tcPr>
                  <w:tcW w:w="1040" w:type="pct"/>
                  <w:noWrap/>
                  <w:vAlign w:val="center"/>
                </w:tcPr>
                <w:p w14:paraId="285E1B9B">
                  <w:pPr>
                    <w:jc w:val="center"/>
                    <w:rPr>
                      <w:color w:val="auto"/>
                      <w:kern w:val="0"/>
                      <w:szCs w:val="21"/>
                    </w:rPr>
                  </w:pPr>
                  <w:r>
                    <w:rPr>
                      <w:color w:val="auto"/>
                      <w:kern w:val="0"/>
                      <w:szCs w:val="21"/>
                    </w:rPr>
                    <w:t>YZ112M-4</w:t>
                  </w:r>
                </w:p>
              </w:tc>
              <w:tc>
                <w:tcPr>
                  <w:tcW w:w="401" w:type="pct"/>
                  <w:noWrap/>
                  <w:vAlign w:val="center"/>
                </w:tcPr>
                <w:p w14:paraId="2F52E77B">
                  <w:pPr>
                    <w:widowControl/>
                    <w:jc w:val="center"/>
                    <w:textAlignment w:val="center"/>
                    <w:rPr>
                      <w:color w:val="auto"/>
                      <w:kern w:val="0"/>
                      <w:szCs w:val="21"/>
                    </w:rPr>
                  </w:pPr>
                  <w:r>
                    <w:rPr>
                      <w:color w:val="auto"/>
                      <w:kern w:val="0"/>
                      <w:szCs w:val="21"/>
                      <w:lang w:bidi="ar"/>
                    </w:rPr>
                    <w:t>3</w:t>
                  </w:r>
                </w:p>
              </w:tc>
              <w:tc>
                <w:tcPr>
                  <w:tcW w:w="407" w:type="pct"/>
                  <w:noWrap/>
                  <w:vAlign w:val="center"/>
                </w:tcPr>
                <w:p w14:paraId="0D79F72E">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4171965">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1A77AC3E">
                  <w:pPr>
                    <w:widowControl/>
                    <w:jc w:val="center"/>
                    <w:textAlignment w:val="center"/>
                    <w:rPr>
                      <w:color w:val="auto"/>
                      <w:kern w:val="0"/>
                      <w:szCs w:val="21"/>
                    </w:rPr>
                  </w:pPr>
                  <w:r>
                    <w:rPr>
                      <w:rFonts w:hint="eastAsia"/>
                      <w:color w:val="auto"/>
                      <w:kern w:val="0"/>
                      <w:szCs w:val="21"/>
                    </w:rPr>
                    <w:t>钻石抛光</w:t>
                  </w:r>
                </w:p>
              </w:tc>
            </w:tr>
            <w:tr w14:paraId="07FA9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2E1DF18D">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47</w:t>
                  </w:r>
                </w:p>
              </w:tc>
              <w:tc>
                <w:tcPr>
                  <w:tcW w:w="1275" w:type="pct"/>
                  <w:noWrap/>
                  <w:vAlign w:val="center"/>
                </w:tcPr>
                <w:p w14:paraId="200DCAC4">
                  <w:pPr>
                    <w:widowControl/>
                    <w:jc w:val="center"/>
                    <w:textAlignment w:val="center"/>
                    <w:rPr>
                      <w:color w:val="auto"/>
                      <w:kern w:val="0"/>
                      <w:szCs w:val="21"/>
                    </w:rPr>
                  </w:pPr>
                  <w:r>
                    <w:rPr>
                      <w:color w:val="auto"/>
                      <w:kern w:val="0"/>
                      <w:szCs w:val="21"/>
                      <w:lang w:bidi="ar"/>
                    </w:rPr>
                    <w:t>火焰抛光机</w:t>
                  </w:r>
                </w:p>
              </w:tc>
              <w:tc>
                <w:tcPr>
                  <w:tcW w:w="1040" w:type="pct"/>
                  <w:noWrap/>
                  <w:vAlign w:val="center"/>
                </w:tcPr>
                <w:p w14:paraId="39DEA16F">
                  <w:pPr>
                    <w:jc w:val="center"/>
                    <w:rPr>
                      <w:color w:val="auto"/>
                      <w:kern w:val="0"/>
                      <w:szCs w:val="21"/>
                    </w:rPr>
                  </w:pPr>
                  <w:r>
                    <w:rPr>
                      <w:color w:val="auto"/>
                      <w:kern w:val="0"/>
                      <w:szCs w:val="21"/>
                    </w:rPr>
                    <w:t>I-2008 120AC</w:t>
                  </w:r>
                </w:p>
              </w:tc>
              <w:tc>
                <w:tcPr>
                  <w:tcW w:w="401" w:type="pct"/>
                  <w:noWrap/>
                  <w:vAlign w:val="center"/>
                </w:tcPr>
                <w:p w14:paraId="60627088">
                  <w:pPr>
                    <w:widowControl/>
                    <w:jc w:val="center"/>
                    <w:textAlignment w:val="center"/>
                    <w:rPr>
                      <w:color w:val="auto"/>
                      <w:kern w:val="0"/>
                      <w:szCs w:val="21"/>
                    </w:rPr>
                  </w:pPr>
                  <w:r>
                    <w:rPr>
                      <w:color w:val="auto"/>
                      <w:kern w:val="0"/>
                      <w:szCs w:val="21"/>
                      <w:lang w:bidi="ar"/>
                    </w:rPr>
                    <w:t>2</w:t>
                  </w:r>
                </w:p>
              </w:tc>
              <w:tc>
                <w:tcPr>
                  <w:tcW w:w="407" w:type="pct"/>
                  <w:noWrap/>
                  <w:vAlign w:val="center"/>
                </w:tcPr>
                <w:p w14:paraId="462E2885">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4675A4D2">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53E4EBCF">
                  <w:pPr>
                    <w:widowControl/>
                    <w:jc w:val="center"/>
                    <w:textAlignment w:val="center"/>
                    <w:rPr>
                      <w:color w:val="auto"/>
                      <w:kern w:val="0"/>
                      <w:szCs w:val="21"/>
                    </w:rPr>
                  </w:pPr>
                  <w:r>
                    <w:rPr>
                      <w:rFonts w:hint="eastAsia"/>
                      <w:color w:val="auto"/>
                      <w:kern w:val="0"/>
                      <w:szCs w:val="21"/>
                      <w:lang w:bidi="ar"/>
                    </w:rPr>
                    <w:t>火焰抛光</w:t>
                  </w:r>
                </w:p>
              </w:tc>
            </w:tr>
            <w:tr w14:paraId="7AD7A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6280A18">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48</w:t>
                  </w:r>
                </w:p>
              </w:tc>
              <w:tc>
                <w:tcPr>
                  <w:tcW w:w="1275" w:type="pct"/>
                  <w:noWrap/>
                  <w:vAlign w:val="center"/>
                </w:tcPr>
                <w:p w14:paraId="356EDDD9">
                  <w:pPr>
                    <w:widowControl/>
                    <w:jc w:val="center"/>
                    <w:textAlignment w:val="center"/>
                    <w:rPr>
                      <w:color w:val="auto"/>
                      <w:kern w:val="0"/>
                      <w:szCs w:val="21"/>
                    </w:rPr>
                  </w:pPr>
                  <w:r>
                    <w:rPr>
                      <w:color w:val="auto"/>
                      <w:kern w:val="0"/>
                      <w:szCs w:val="21"/>
                      <w:lang w:bidi="ar"/>
                    </w:rPr>
                    <w:t>快速下料机</w:t>
                  </w:r>
                </w:p>
              </w:tc>
              <w:tc>
                <w:tcPr>
                  <w:tcW w:w="1040" w:type="pct"/>
                  <w:noWrap/>
                  <w:vAlign w:val="center"/>
                </w:tcPr>
                <w:p w14:paraId="4E41E670">
                  <w:pPr>
                    <w:widowControl/>
                    <w:jc w:val="center"/>
                    <w:textAlignment w:val="center"/>
                    <w:rPr>
                      <w:color w:val="auto"/>
                      <w:kern w:val="0"/>
                      <w:szCs w:val="21"/>
                    </w:rPr>
                  </w:pPr>
                  <w:r>
                    <w:rPr>
                      <w:rFonts w:hint="eastAsia"/>
                      <w:color w:val="auto"/>
                      <w:kern w:val="0"/>
                      <w:szCs w:val="21"/>
                    </w:rPr>
                    <w:t>/</w:t>
                  </w:r>
                </w:p>
              </w:tc>
              <w:tc>
                <w:tcPr>
                  <w:tcW w:w="401" w:type="pct"/>
                  <w:noWrap/>
                  <w:vAlign w:val="center"/>
                </w:tcPr>
                <w:p w14:paraId="08D5B4C6">
                  <w:pPr>
                    <w:widowControl/>
                    <w:jc w:val="center"/>
                    <w:textAlignment w:val="center"/>
                    <w:rPr>
                      <w:color w:val="auto"/>
                      <w:kern w:val="0"/>
                      <w:szCs w:val="21"/>
                    </w:rPr>
                  </w:pPr>
                  <w:r>
                    <w:rPr>
                      <w:color w:val="auto"/>
                      <w:kern w:val="0"/>
                      <w:szCs w:val="21"/>
                      <w:lang w:bidi="ar"/>
                    </w:rPr>
                    <w:t>1</w:t>
                  </w:r>
                </w:p>
              </w:tc>
              <w:tc>
                <w:tcPr>
                  <w:tcW w:w="407" w:type="pct"/>
                  <w:noWrap/>
                  <w:vAlign w:val="center"/>
                </w:tcPr>
                <w:p w14:paraId="56BDB60F">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F44EBB7">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1DCE723A">
                  <w:pPr>
                    <w:widowControl/>
                    <w:jc w:val="center"/>
                    <w:textAlignment w:val="center"/>
                    <w:rPr>
                      <w:color w:val="auto"/>
                      <w:kern w:val="0"/>
                      <w:szCs w:val="21"/>
                    </w:rPr>
                  </w:pPr>
                  <w:r>
                    <w:rPr>
                      <w:rFonts w:hint="eastAsia"/>
                      <w:color w:val="auto"/>
                      <w:kern w:val="0"/>
                      <w:szCs w:val="21"/>
                    </w:rPr>
                    <w:t>下料</w:t>
                  </w:r>
                </w:p>
              </w:tc>
            </w:tr>
            <w:tr w14:paraId="7FC31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4EF85B04">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49</w:t>
                  </w:r>
                </w:p>
              </w:tc>
              <w:tc>
                <w:tcPr>
                  <w:tcW w:w="1275" w:type="pct"/>
                  <w:noWrap/>
                  <w:vAlign w:val="center"/>
                </w:tcPr>
                <w:p w14:paraId="27C95C24">
                  <w:pPr>
                    <w:widowControl/>
                    <w:jc w:val="center"/>
                    <w:textAlignment w:val="center"/>
                    <w:rPr>
                      <w:color w:val="auto"/>
                      <w:kern w:val="0"/>
                      <w:szCs w:val="21"/>
                    </w:rPr>
                  </w:pPr>
                  <w:r>
                    <w:rPr>
                      <w:color w:val="auto"/>
                      <w:kern w:val="0"/>
                      <w:szCs w:val="21"/>
                      <w:lang w:bidi="ar"/>
                    </w:rPr>
                    <w:t>激光打标机</w:t>
                  </w:r>
                </w:p>
              </w:tc>
              <w:tc>
                <w:tcPr>
                  <w:tcW w:w="1040" w:type="pct"/>
                  <w:noWrap/>
                  <w:vAlign w:val="center"/>
                </w:tcPr>
                <w:p w14:paraId="77AF9AAB">
                  <w:pPr>
                    <w:jc w:val="center"/>
                    <w:rPr>
                      <w:color w:val="auto"/>
                      <w:kern w:val="0"/>
                      <w:szCs w:val="21"/>
                    </w:rPr>
                  </w:pPr>
                  <w:r>
                    <w:rPr>
                      <w:color w:val="auto"/>
                      <w:kern w:val="0"/>
                      <w:szCs w:val="21"/>
                    </w:rPr>
                    <w:t>YLP-30-P20-600</w:t>
                  </w:r>
                </w:p>
              </w:tc>
              <w:tc>
                <w:tcPr>
                  <w:tcW w:w="401" w:type="pct"/>
                  <w:noWrap/>
                  <w:vAlign w:val="center"/>
                </w:tcPr>
                <w:p w14:paraId="101D5674">
                  <w:pPr>
                    <w:widowControl/>
                    <w:jc w:val="center"/>
                    <w:textAlignment w:val="center"/>
                    <w:rPr>
                      <w:color w:val="auto"/>
                      <w:kern w:val="0"/>
                      <w:szCs w:val="21"/>
                    </w:rPr>
                  </w:pPr>
                  <w:r>
                    <w:rPr>
                      <w:color w:val="auto"/>
                      <w:kern w:val="0"/>
                      <w:szCs w:val="21"/>
                      <w:lang w:bidi="ar"/>
                    </w:rPr>
                    <w:t>2</w:t>
                  </w:r>
                </w:p>
              </w:tc>
              <w:tc>
                <w:tcPr>
                  <w:tcW w:w="407" w:type="pct"/>
                  <w:noWrap/>
                  <w:vAlign w:val="center"/>
                </w:tcPr>
                <w:p w14:paraId="796BCBBE">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241509E">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6546CFF7">
                  <w:pPr>
                    <w:widowControl/>
                    <w:jc w:val="center"/>
                    <w:textAlignment w:val="center"/>
                    <w:rPr>
                      <w:color w:val="auto"/>
                      <w:kern w:val="0"/>
                      <w:szCs w:val="21"/>
                    </w:rPr>
                  </w:pPr>
                  <w:r>
                    <w:rPr>
                      <w:rFonts w:hint="eastAsia"/>
                      <w:color w:val="auto"/>
                      <w:kern w:val="0"/>
                      <w:szCs w:val="21"/>
                      <w:lang w:bidi="ar"/>
                    </w:rPr>
                    <w:t>镭射打标</w:t>
                  </w:r>
                </w:p>
              </w:tc>
            </w:tr>
            <w:tr w14:paraId="0EC6E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653B4FD3">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5</w:t>
                  </w:r>
                  <w:r>
                    <w:rPr>
                      <w:rFonts w:hint="eastAsia"/>
                      <w:color w:val="auto"/>
                      <w:kern w:val="0"/>
                      <w:szCs w:val="21"/>
                      <w:lang w:bidi="ar"/>
                    </w:rPr>
                    <w:t>0</w:t>
                  </w:r>
                </w:p>
              </w:tc>
              <w:tc>
                <w:tcPr>
                  <w:tcW w:w="1275" w:type="pct"/>
                  <w:noWrap/>
                  <w:vAlign w:val="center"/>
                </w:tcPr>
                <w:p w14:paraId="3AE33A9A">
                  <w:pPr>
                    <w:widowControl/>
                    <w:jc w:val="center"/>
                    <w:textAlignment w:val="center"/>
                    <w:rPr>
                      <w:color w:val="auto"/>
                      <w:kern w:val="0"/>
                      <w:szCs w:val="21"/>
                    </w:rPr>
                  </w:pPr>
                  <w:r>
                    <w:rPr>
                      <w:color w:val="auto"/>
                      <w:kern w:val="0"/>
                      <w:szCs w:val="21"/>
                      <w:lang w:bidi="ar"/>
                    </w:rPr>
                    <w:t>烫金机</w:t>
                  </w:r>
                </w:p>
              </w:tc>
              <w:tc>
                <w:tcPr>
                  <w:tcW w:w="1040" w:type="pct"/>
                  <w:noWrap/>
                  <w:vAlign w:val="center"/>
                </w:tcPr>
                <w:p w14:paraId="31889230">
                  <w:pPr>
                    <w:jc w:val="center"/>
                    <w:rPr>
                      <w:color w:val="auto"/>
                      <w:kern w:val="0"/>
                      <w:szCs w:val="21"/>
                    </w:rPr>
                  </w:pPr>
                  <w:r>
                    <w:rPr>
                      <w:rFonts w:hint="eastAsia"/>
                      <w:color w:val="auto"/>
                      <w:kern w:val="0"/>
                      <w:szCs w:val="21"/>
                    </w:rPr>
                    <w:t>/</w:t>
                  </w:r>
                </w:p>
              </w:tc>
              <w:tc>
                <w:tcPr>
                  <w:tcW w:w="401" w:type="pct"/>
                  <w:noWrap/>
                  <w:vAlign w:val="center"/>
                </w:tcPr>
                <w:p w14:paraId="617CDB98">
                  <w:pPr>
                    <w:widowControl/>
                    <w:jc w:val="center"/>
                    <w:textAlignment w:val="center"/>
                    <w:rPr>
                      <w:color w:val="auto"/>
                      <w:kern w:val="0"/>
                      <w:szCs w:val="21"/>
                    </w:rPr>
                  </w:pPr>
                  <w:r>
                    <w:rPr>
                      <w:color w:val="auto"/>
                      <w:kern w:val="0"/>
                      <w:szCs w:val="21"/>
                      <w:lang w:bidi="ar"/>
                    </w:rPr>
                    <w:t>1</w:t>
                  </w:r>
                </w:p>
              </w:tc>
              <w:tc>
                <w:tcPr>
                  <w:tcW w:w="407" w:type="pct"/>
                  <w:noWrap/>
                  <w:vAlign w:val="center"/>
                </w:tcPr>
                <w:p w14:paraId="4E73102A">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0CAF3967">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23805058">
                  <w:pPr>
                    <w:widowControl/>
                    <w:jc w:val="center"/>
                    <w:textAlignment w:val="center"/>
                    <w:rPr>
                      <w:color w:val="auto"/>
                      <w:kern w:val="0"/>
                      <w:szCs w:val="21"/>
                    </w:rPr>
                  </w:pPr>
                  <w:r>
                    <w:rPr>
                      <w:rFonts w:hint="eastAsia"/>
                      <w:color w:val="auto"/>
                      <w:kern w:val="0"/>
                      <w:szCs w:val="21"/>
                      <w:lang w:bidi="ar"/>
                    </w:rPr>
                    <w:t>烫金</w:t>
                  </w:r>
                </w:p>
              </w:tc>
            </w:tr>
            <w:tr w14:paraId="4A5FD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D78429B">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5</w:t>
                  </w:r>
                  <w:r>
                    <w:rPr>
                      <w:rFonts w:hint="eastAsia"/>
                      <w:color w:val="auto"/>
                      <w:kern w:val="0"/>
                      <w:szCs w:val="21"/>
                      <w:lang w:bidi="ar"/>
                    </w:rPr>
                    <w:t>1</w:t>
                  </w:r>
                </w:p>
              </w:tc>
              <w:tc>
                <w:tcPr>
                  <w:tcW w:w="1275" w:type="pct"/>
                  <w:noWrap/>
                  <w:vAlign w:val="center"/>
                </w:tcPr>
                <w:p w14:paraId="6BFDE3AE">
                  <w:pPr>
                    <w:widowControl/>
                    <w:jc w:val="center"/>
                    <w:textAlignment w:val="center"/>
                    <w:rPr>
                      <w:color w:val="auto"/>
                      <w:kern w:val="0"/>
                      <w:szCs w:val="21"/>
                    </w:rPr>
                  </w:pPr>
                  <w:r>
                    <w:rPr>
                      <w:color w:val="auto"/>
                      <w:kern w:val="0"/>
                      <w:szCs w:val="21"/>
                      <w:lang w:bidi="ar"/>
                    </w:rPr>
                    <w:t>热弯成型机</w:t>
                  </w:r>
                </w:p>
              </w:tc>
              <w:tc>
                <w:tcPr>
                  <w:tcW w:w="1040" w:type="pct"/>
                  <w:noWrap/>
                  <w:vAlign w:val="center"/>
                </w:tcPr>
                <w:p w14:paraId="0BEE9F17">
                  <w:pPr>
                    <w:jc w:val="center"/>
                    <w:rPr>
                      <w:color w:val="auto"/>
                      <w:kern w:val="0"/>
                      <w:szCs w:val="21"/>
                    </w:rPr>
                  </w:pPr>
                  <w:r>
                    <w:rPr>
                      <w:rFonts w:hint="eastAsia"/>
                      <w:color w:val="auto"/>
                      <w:kern w:val="0"/>
                      <w:szCs w:val="21"/>
                    </w:rPr>
                    <w:t>/</w:t>
                  </w:r>
                </w:p>
              </w:tc>
              <w:tc>
                <w:tcPr>
                  <w:tcW w:w="401" w:type="pct"/>
                  <w:noWrap/>
                  <w:vAlign w:val="center"/>
                </w:tcPr>
                <w:p w14:paraId="64D12E14">
                  <w:pPr>
                    <w:widowControl/>
                    <w:jc w:val="center"/>
                    <w:textAlignment w:val="center"/>
                    <w:rPr>
                      <w:color w:val="auto"/>
                      <w:kern w:val="0"/>
                      <w:szCs w:val="21"/>
                    </w:rPr>
                  </w:pPr>
                  <w:r>
                    <w:rPr>
                      <w:color w:val="auto"/>
                      <w:kern w:val="0"/>
                      <w:szCs w:val="21"/>
                      <w:lang w:bidi="ar"/>
                    </w:rPr>
                    <w:t>1</w:t>
                  </w:r>
                </w:p>
              </w:tc>
              <w:tc>
                <w:tcPr>
                  <w:tcW w:w="407" w:type="pct"/>
                  <w:noWrap/>
                  <w:vAlign w:val="center"/>
                </w:tcPr>
                <w:p w14:paraId="64FD1F69">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78E7E14C">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59123577">
                  <w:pPr>
                    <w:widowControl/>
                    <w:jc w:val="center"/>
                    <w:textAlignment w:val="center"/>
                    <w:rPr>
                      <w:color w:val="auto"/>
                      <w:kern w:val="0"/>
                      <w:szCs w:val="21"/>
                    </w:rPr>
                  </w:pPr>
                  <w:r>
                    <w:rPr>
                      <w:rFonts w:hint="eastAsia"/>
                      <w:color w:val="auto"/>
                      <w:kern w:val="0"/>
                      <w:szCs w:val="21"/>
                      <w:lang w:bidi="ar"/>
                    </w:rPr>
                    <w:t>热弯</w:t>
                  </w:r>
                </w:p>
              </w:tc>
            </w:tr>
            <w:tr w14:paraId="5772E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DB13075">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5</w:t>
                  </w:r>
                  <w:r>
                    <w:rPr>
                      <w:rFonts w:hint="eastAsia"/>
                      <w:color w:val="auto"/>
                      <w:kern w:val="0"/>
                      <w:szCs w:val="21"/>
                      <w:lang w:bidi="ar"/>
                    </w:rPr>
                    <w:t>2</w:t>
                  </w:r>
                </w:p>
              </w:tc>
              <w:tc>
                <w:tcPr>
                  <w:tcW w:w="1275" w:type="pct"/>
                  <w:noWrap/>
                  <w:vAlign w:val="center"/>
                </w:tcPr>
                <w:p w14:paraId="3181C4C6">
                  <w:pPr>
                    <w:widowControl/>
                    <w:jc w:val="center"/>
                    <w:textAlignment w:val="center"/>
                    <w:rPr>
                      <w:color w:val="auto"/>
                      <w:kern w:val="0"/>
                      <w:szCs w:val="21"/>
                    </w:rPr>
                  </w:pPr>
                  <w:r>
                    <w:rPr>
                      <w:color w:val="auto"/>
                      <w:kern w:val="0"/>
                      <w:szCs w:val="21"/>
                      <w:lang w:bidi="ar"/>
                    </w:rPr>
                    <w:t>UV打印机</w:t>
                  </w:r>
                </w:p>
              </w:tc>
              <w:tc>
                <w:tcPr>
                  <w:tcW w:w="1040" w:type="pct"/>
                  <w:noWrap/>
                  <w:vAlign w:val="center"/>
                </w:tcPr>
                <w:p w14:paraId="6CEDBAFD">
                  <w:pPr>
                    <w:widowControl/>
                    <w:jc w:val="center"/>
                    <w:textAlignment w:val="center"/>
                    <w:rPr>
                      <w:color w:val="auto"/>
                      <w:kern w:val="0"/>
                      <w:szCs w:val="21"/>
                    </w:rPr>
                  </w:pPr>
                  <w:r>
                    <w:rPr>
                      <w:rFonts w:hint="eastAsia"/>
                      <w:color w:val="auto"/>
                      <w:kern w:val="0"/>
                      <w:szCs w:val="21"/>
                    </w:rPr>
                    <w:t>/</w:t>
                  </w:r>
                </w:p>
              </w:tc>
              <w:tc>
                <w:tcPr>
                  <w:tcW w:w="401" w:type="pct"/>
                  <w:noWrap/>
                  <w:vAlign w:val="center"/>
                </w:tcPr>
                <w:p w14:paraId="70791901">
                  <w:pPr>
                    <w:widowControl/>
                    <w:jc w:val="center"/>
                    <w:textAlignment w:val="center"/>
                    <w:rPr>
                      <w:color w:val="auto"/>
                      <w:kern w:val="0"/>
                      <w:szCs w:val="21"/>
                    </w:rPr>
                  </w:pPr>
                  <w:r>
                    <w:rPr>
                      <w:color w:val="auto"/>
                      <w:kern w:val="0"/>
                      <w:szCs w:val="21"/>
                      <w:lang w:bidi="ar"/>
                    </w:rPr>
                    <w:t>1</w:t>
                  </w:r>
                </w:p>
              </w:tc>
              <w:tc>
                <w:tcPr>
                  <w:tcW w:w="407" w:type="pct"/>
                  <w:noWrap/>
                  <w:vAlign w:val="center"/>
                </w:tcPr>
                <w:p w14:paraId="39629DE4">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8982ECF">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22E0ED23">
                  <w:pPr>
                    <w:widowControl/>
                    <w:jc w:val="center"/>
                    <w:textAlignment w:val="center"/>
                    <w:rPr>
                      <w:color w:val="auto"/>
                      <w:kern w:val="0"/>
                      <w:szCs w:val="21"/>
                    </w:rPr>
                  </w:pPr>
                  <w:r>
                    <w:rPr>
                      <w:rFonts w:hint="eastAsia"/>
                      <w:color w:val="auto"/>
                      <w:kern w:val="0"/>
                      <w:szCs w:val="21"/>
                      <w:lang w:bidi="ar"/>
                    </w:rPr>
                    <w:t>UV丝印</w:t>
                  </w:r>
                </w:p>
              </w:tc>
            </w:tr>
            <w:tr w14:paraId="26940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1173510D">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53</w:t>
                  </w:r>
                </w:p>
              </w:tc>
              <w:tc>
                <w:tcPr>
                  <w:tcW w:w="1275" w:type="pct"/>
                  <w:noWrap/>
                  <w:vAlign w:val="center"/>
                </w:tcPr>
                <w:p w14:paraId="4B426512">
                  <w:pPr>
                    <w:widowControl/>
                    <w:jc w:val="center"/>
                    <w:textAlignment w:val="center"/>
                    <w:rPr>
                      <w:color w:val="auto"/>
                      <w:kern w:val="0"/>
                      <w:szCs w:val="21"/>
                    </w:rPr>
                  </w:pPr>
                  <w:r>
                    <w:rPr>
                      <w:color w:val="auto"/>
                      <w:kern w:val="0"/>
                      <w:szCs w:val="21"/>
                      <w:lang w:bidi="ar"/>
                    </w:rPr>
                    <w:t>烤箱（大）</w:t>
                  </w:r>
                </w:p>
              </w:tc>
              <w:tc>
                <w:tcPr>
                  <w:tcW w:w="1040" w:type="pct"/>
                  <w:noWrap/>
                  <w:vAlign w:val="center"/>
                </w:tcPr>
                <w:p w14:paraId="7A1F6517">
                  <w:pPr>
                    <w:jc w:val="center"/>
                    <w:rPr>
                      <w:color w:val="auto"/>
                      <w:kern w:val="0"/>
                      <w:szCs w:val="21"/>
                    </w:rPr>
                  </w:pPr>
                  <w:r>
                    <w:rPr>
                      <w:rFonts w:hint="eastAsia"/>
                      <w:color w:val="auto"/>
                      <w:kern w:val="0"/>
                      <w:szCs w:val="21"/>
                    </w:rPr>
                    <w:t>/</w:t>
                  </w:r>
                </w:p>
              </w:tc>
              <w:tc>
                <w:tcPr>
                  <w:tcW w:w="401" w:type="pct"/>
                  <w:noWrap/>
                  <w:vAlign w:val="center"/>
                </w:tcPr>
                <w:p w14:paraId="4482B059">
                  <w:pPr>
                    <w:widowControl/>
                    <w:jc w:val="center"/>
                    <w:textAlignment w:val="center"/>
                    <w:rPr>
                      <w:color w:val="auto"/>
                      <w:kern w:val="0"/>
                      <w:szCs w:val="21"/>
                    </w:rPr>
                  </w:pPr>
                  <w:r>
                    <w:rPr>
                      <w:color w:val="auto"/>
                      <w:kern w:val="0"/>
                      <w:szCs w:val="21"/>
                      <w:lang w:bidi="ar"/>
                    </w:rPr>
                    <w:t>1</w:t>
                  </w:r>
                </w:p>
              </w:tc>
              <w:tc>
                <w:tcPr>
                  <w:tcW w:w="407" w:type="pct"/>
                  <w:noWrap/>
                  <w:vAlign w:val="center"/>
                </w:tcPr>
                <w:p w14:paraId="23FC7232">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253023A8">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7229EB61">
                  <w:pPr>
                    <w:widowControl/>
                    <w:jc w:val="center"/>
                    <w:textAlignment w:val="center"/>
                    <w:rPr>
                      <w:color w:val="auto"/>
                      <w:kern w:val="0"/>
                      <w:szCs w:val="21"/>
                    </w:rPr>
                  </w:pPr>
                  <w:r>
                    <w:rPr>
                      <w:rFonts w:hint="eastAsia"/>
                      <w:color w:val="auto"/>
                      <w:kern w:val="0"/>
                      <w:szCs w:val="21"/>
                      <w:lang w:bidi="ar"/>
                    </w:rPr>
                    <w:t>烘烤</w:t>
                  </w:r>
                </w:p>
              </w:tc>
            </w:tr>
            <w:tr w14:paraId="299E8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3D0701F5">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54</w:t>
                  </w:r>
                </w:p>
              </w:tc>
              <w:tc>
                <w:tcPr>
                  <w:tcW w:w="1275" w:type="pct"/>
                  <w:noWrap/>
                  <w:vAlign w:val="center"/>
                </w:tcPr>
                <w:p w14:paraId="60F3CE7D">
                  <w:pPr>
                    <w:widowControl/>
                    <w:jc w:val="center"/>
                    <w:textAlignment w:val="center"/>
                    <w:rPr>
                      <w:color w:val="auto"/>
                      <w:kern w:val="0"/>
                      <w:szCs w:val="21"/>
                    </w:rPr>
                  </w:pPr>
                  <w:r>
                    <w:rPr>
                      <w:color w:val="auto"/>
                      <w:kern w:val="0"/>
                      <w:szCs w:val="21"/>
                      <w:lang w:bidi="ar"/>
                    </w:rPr>
                    <w:t>烤箱（小）</w:t>
                  </w:r>
                </w:p>
              </w:tc>
              <w:tc>
                <w:tcPr>
                  <w:tcW w:w="1040" w:type="pct"/>
                  <w:noWrap/>
                  <w:vAlign w:val="center"/>
                </w:tcPr>
                <w:p w14:paraId="6E308EB0">
                  <w:pPr>
                    <w:widowControl/>
                    <w:jc w:val="center"/>
                    <w:textAlignment w:val="center"/>
                    <w:rPr>
                      <w:color w:val="auto"/>
                      <w:kern w:val="0"/>
                      <w:szCs w:val="21"/>
                    </w:rPr>
                  </w:pPr>
                  <w:r>
                    <w:rPr>
                      <w:color w:val="auto"/>
                      <w:kern w:val="0"/>
                      <w:szCs w:val="21"/>
                      <w:lang w:bidi="ar"/>
                    </w:rPr>
                    <w:t>PGNK-1250/4000</w:t>
                  </w:r>
                </w:p>
              </w:tc>
              <w:tc>
                <w:tcPr>
                  <w:tcW w:w="401" w:type="pct"/>
                  <w:noWrap/>
                  <w:vAlign w:val="center"/>
                </w:tcPr>
                <w:p w14:paraId="395B01C9">
                  <w:pPr>
                    <w:widowControl/>
                    <w:jc w:val="center"/>
                    <w:textAlignment w:val="center"/>
                    <w:rPr>
                      <w:color w:val="auto"/>
                      <w:kern w:val="0"/>
                      <w:szCs w:val="21"/>
                    </w:rPr>
                  </w:pPr>
                  <w:r>
                    <w:rPr>
                      <w:color w:val="auto"/>
                      <w:kern w:val="0"/>
                      <w:szCs w:val="21"/>
                      <w:lang w:bidi="ar"/>
                    </w:rPr>
                    <w:t>1</w:t>
                  </w:r>
                </w:p>
              </w:tc>
              <w:tc>
                <w:tcPr>
                  <w:tcW w:w="407" w:type="pct"/>
                  <w:noWrap/>
                  <w:vAlign w:val="center"/>
                </w:tcPr>
                <w:p w14:paraId="4BB8E64F">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3334BFBE">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49E7C17F">
                  <w:pPr>
                    <w:widowControl/>
                    <w:jc w:val="center"/>
                    <w:textAlignment w:val="center"/>
                    <w:rPr>
                      <w:color w:val="auto"/>
                      <w:kern w:val="0"/>
                      <w:szCs w:val="21"/>
                    </w:rPr>
                  </w:pPr>
                  <w:r>
                    <w:rPr>
                      <w:rFonts w:hint="eastAsia"/>
                      <w:color w:val="auto"/>
                      <w:kern w:val="0"/>
                      <w:szCs w:val="21"/>
                      <w:lang w:bidi="ar"/>
                    </w:rPr>
                    <w:t>烘烤</w:t>
                  </w:r>
                </w:p>
              </w:tc>
            </w:tr>
            <w:tr w14:paraId="57E99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530BCDEB">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55</w:t>
                  </w:r>
                </w:p>
              </w:tc>
              <w:tc>
                <w:tcPr>
                  <w:tcW w:w="1275" w:type="pct"/>
                  <w:noWrap/>
                  <w:vAlign w:val="center"/>
                </w:tcPr>
                <w:p w14:paraId="47F5D13A">
                  <w:pPr>
                    <w:widowControl/>
                    <w:jc w:val="center"/>
                    <w:textAlignment w:val="center"/>
                    <w:rPr>
                      <w:color w:val="auto"/>
                      <w:kern w:val="0"/>
                      <w:szCs w:val="21"/>
                    </w:rPr>
                  </w:pPr>
                  <w:r>
                    <w:rPr>
                      <w:color w:val="auto"/>
                      <w:kern w:val="0"/>
                      <w:szCs w:val="21"/>
                      <w:lang w:bidi="ar"/>
                    </w:rPr>
                    <w:t>UV烘干机（自动）</w:t>
                  </w:r>
                </w:p>
              </w:tc>
              <w:tc>
                <w:tcPr>
                  <w:tcW w:w="1040" w:type="pct"/>
                  <w:noWrap/>
                  <w:vAlign w:val="center"/>
                </w:tcPr>
                <w:p w14:paraId="2FB0ABEC">
                  <w:pPr>
                    <w:widowControl/>
                    <w:jc w:val="center"/>
                    <w:textAlignment w:val="center"/>
                    <w:rPr>
                      <w:color w:val="auto"/>
                      <w:kern w:val="0"/>
                      <w:szCs w:val="21"/>
                    </w:rPr>
                  </w:pPr>
                  <w:r>
                    <w:rPr>
                      <w:color w:val="auto"/>
                      <w:kern w:val="0"/>
                      <w:szCs w:val="21"/>
                      <w:lang w:bidi="ar"/>
                    </w:rPr>
                    <w:t>YT400-2</w:t>
                  </w:r>
                </w:p>
              </w:tc>
              <w:tc>
                <w:tcPr>
                  <w:tcW w:w="401" w:type="pct"/>
                  <w:noWrap/>
                  <w:vAlign w:val="center"/>
                </w:tcPr>
                <w:p w14:paraId="08C2E436">
                  <w:pPr>
                    <w:widowControl/>
                    <w:jc w:val="center"/>
                    <w:textAlignment w:val="center"/>
                    <w:rPr>
                      <w:color w:val="auto"/>
                      <w:kern w:val="0"/>
                      <w:szCs w:val="21"/>
                    </w:rPr>
                  </w:pPr>
                  <w:r>
                    <w:rPr>
                      <w:color w:val="auto"/>
                      <w:kern w:val="0"/>
                      <w:szCs w:val="21"/>
                      <w:lang w:bidi="ar"/>
                    </w:rPr>
                    <w:t>1</w:t>
                  </w:r>
                </w:p>
              </w:tc>
              <w:tc>
                <w:tcPr>
                  <w:tcW w:w="407" w:type="pct"/>
                  <w:noWrap/>
                  <w:vAlign w:val="center"/>
                </w:tcPr>
                <w:p w14:paraId="19CDFC6D">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6F9C9CB0">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0C252EC9">
                  <w:pPr>
                    <w:widowControl/>
                    <w:jc w:val="center"/>
                    <w:textAlignment w:val="center"/>
                    <w:rPr>
                      <w:color w:val="auto"/>
                      <w:kern w:val="0"/>
                      <w:szCs w:val="21"/>
                    </w:rPr>
                  </w:pPr>
                  <w:r>
                    <w:rPr>
                      <w:rFonts w:hint="eastAsia"/>
                      <w:color w:val="auto"/>
                      <w:kern w:val="0"/>
                      <w:szCs w:val="21"/>
                      <w:lang w:bidi="ar"/>
                    </w:rPr>
                    <w:t>UV丝印</w:t>
                  </w:r>
                </w:p>
              </w:tc>
            </w:tr>
            <w:tr w14:paraId="3B1BC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shd w:val="clear" w:color="auto" w:fill="auto"/>
                  <w:noWrap/>
                  <w:vAlign w:val="center"/>
                </w:tcPr>
                <w:p w14:paraId="7907103D">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56</w:t>
                  </w:r>
                </w:p>
              </w:tc>
              <w:tc>
                <w:tcPr>
                  <w:tcW w:w="1275" w:type="pct"/>
                  <w:noWrap/>
                  <w:vAlign w:val="center"/>
                </w:tcPr>
                <w:p w14:paraId="7CCD61EF">
                  <w:pPr>
                    <w:widowControl/>
                    <w:jc w:val="center"/>
                    <w:textAlignment w:val="center"/>
                    <w:rPr>
                      <w:color w:val="auto"/>
                      <w:kern w:val="0"/>
                      <w:szCs w:val="21"/>
                    </w:rPr>
                  </w:pPr>
                  <w:r>
                    <w:rPr>
                      <w:color w:val="auto"/>
                      <w:kern w:val="0"/>
                      <w:szCs w:val="21"/>
                      <w:lang w:bidi="ar"/>
                    </w:rPr>
                    <w:t>组装线体</w:t>
                  </w:r>
                </w:p>
              </w:tc>
              <w:tc>
                <w:tcPr>
                  <w:tcW w:w="1040" w:type="pct"/>
                  <w:noWrap/>
                  <w:vAlign w:val="center"/>
                </w:tcPr>
                <w:p w14:paraId="6B736992">
                  <w:pPr>
                    <w:jc w:val="center"/>
                    <w:rPr>
                      <w:color w:val="auto"/>
                      <w:kern w:val="0"/>
                      <w:szCs w:val="21"/>
                    </w:rPr>
                  </w:pPr>
                  <w:r>
                    <w:rPr>
                      <w:rFonts w:hint="eastAsia"/>
                      <w:color w:val="auto"/>
                      <w:kern w:val="0"/>
                      <w:szCs w:val="21"/>
                    </w:rPr>
                    <w:t>/</w:t>
                  </w:r>
                </w:p>
              </w:tc>
              <w:tc>
                <w:tcPr>
                  <w:tcW w:w="401" w:type="pct"/>
                  <w:noWrap/>
                  <w:vAlign w:val="center"/>
                </w:tcPr>
                <w:p w14:paraId="40220AB9">
                  <w:pPr>
                    <w:widowControl/>
                    <w:jc w:val="center"/>
                    <w:textAlignment w:val="center"/>
                    <w:rPr>
                      <w:color w:val="auto"/>
                      <w:kern w:val="0"/>
                      <w:szCs w:val="21"/>
                    </w:rPr>
                  </w:pPr>
                  <w:r>
                    <w:rPr>
                      <w:color w:val="auto"/>
                      <w:kern w:val="0"/>
                      <w:szCs w:val="21"/>
                      <w:lang w:bidi="ar"/>
                    </w:rPr>
                    <w:t>4</w:t>
                  </w:r>
                </w:p>
              </w:tc>
              <w:tc>
                <w:tcPr>
                  <w:tcW w:w="407" w:type="pct"/>
                  <w:noWrap/>
                  <w:vAlign w:val="center"/>
                </w:tcPr>
                <w:p w14:paraId="550D43A0">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5DDF5AE4">
                  <w:pPr>
                    <w:widowControl/>
                    <w:jc w:val="center"/>
                    <w:textAlignment w:val="center"/>
                    <w:rPr>
                      <w:color w:val="auto"/>
                      <w:kern w:val="0"/>
                      <w:szCs w:val="21"/>
                      <w:lang w:bidi="ar"/>
                    </w:rPr>
                  </w:pPr>
                  <w:r>
                    <w:rPr>
                      <w:color w:val="auto"/>
                      <w:kern w:val="0"/>
                      <w:szCs w:val="21"/>
                      <w:lang w:bidi="ar"/>
                    </w:rPr>
                    <w:t>亚克力车间</w:t>
                  </w:r>
                </w:p>
              </w:tc>
              <w:tc>
                <w:tcPr>
                  <w:tcW w:w="713" w:type="pct"/>
                  <w:vAlign w:val="center"/>
                </w:tcPr>
                <w:p w14:paraId="1D803B48">
                  <w:pPr>
                    <w:widowControl/>
                    <w:jc w:val="center"/>
                    <w:textAlignment w:val="center"/>
                    <w:rPr>
                      <w:color w:val="auto"/>
                      <w:kern w:val="0"/>
                      <w:szCs w:val="21"/>
                    </w:rPr>
                  </w:pPr>
                  <w:r>
                    <w:rPr>
                      <w:rFonts w:hint="eastAsia"/>
                      <w:color w:val="auto"/>
                      <w:kern w:val="0"/>
                      <w:szCs w:val="21"/>
                      <w:lang w:bidi="ar"/>
                    </w:rPr>
                    <w:t>组装</w:t>
                  </w:r>
                </w:p>
              </w:tc>
            </w:tr>
            <w:tr w14:paraId="78E38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9" w:type="pct"/>
                  <w:noWrap/>
                  <w:vAlign w:val="center"/>
                </w:tcPr>
                <w:p w14:paraId="3B28BB44">
                  <w:pPr>
                    <w:widowControl/>
                    <w:jc w:val="center"/>
                    <w:textAlignment w:val="center"/>
                    <w:rPr>
                      <w:rFonts w:hint="eastAsia" w:eastAsia="宋体"/>
                      <w:color w:val="auto"/>
                      <w:kern w:val="0"/>
                      <w:szCs w:val="21"/>
                      <w:lang w:eastAsia="zh-CN"/>
                    </w:rPr>
                  </w:pPr>
                  <w:r>
                    <w:rPr>
                      <w:rFonts w:hint="eastAsia"/>
                      <w:color w:val="auto"/>
                      <w:kern w:val="0"/>
                      <w:szCs w:val="21"/>
                      <w:lang w:bidi="ar"/>
                    </w:rPr>
                    <w:t>5</w:t>
                  </w:r>
                  <w:r>
                    <w:rPr>
                      <w:rFonts w:hint="eastAsia"/>
                      <w:color w:val="auto"/>
                      <w:kern w:val="0"/>
                      <w:szCs w:val="21"/>
                      <w:lang w:val="en-US" w:eastAsia="zh-CN" w:bidi="ar"/>
                    </w:rPr>
                    <w:t>7</w:t>
                  </w:r>
                </w:p>
              </w:tc>
              <w:tc>
                <w:tcPr>
                  <w:tcW w:w="1275" w:type="pct"/>
                  <w:noWrap/>
                  <w:vAlign w:val="center"/>
                </w:tcPr>
                <w:p w14:paraId="0E8CEA22">
                  <w:pPr>
                    <w:widowControl/>
                    <w:jc w:val="center"/>
                    <w:textAlignment w:val="center"/>
                    <w:rPr>
                      <w:color w:val="auto"/>
                      <w:kern w:val="0"/>
                      <w:szCs w:val="21"/>
                    </w:rPr>
                  </w:pPr>
                  <w:r>
                    <w:rPr>
                      <w:color w:val="auto"/>
                      <w:kern w:val="0"/>
                      <w:szCs w:val="21"/>
                      <w:lang w:bidi="ar"/>
                    </w:rPr>
                    <w:t>组装线体</w:t>
                  </w:r>
                </w:p>
              </w:tc>
              <w:tc>
                <w:tcPr>
                  <w:tcW w:w="1040" w:type="pct"/>
                  <w:noWrap/>
                  <w:vAlign w:val="center"/>
                </w:tcPr>
                <w:p w14:paraId="33FBF021">
                  <w:pPr>
                    <w:jc w:val="center"/>
                    <w:rPr>
                      <w:color w:val="auto"/>
                      <w:kern w:val="0"/>
                      <w:szCs w:val="21"/>
                    </w:rPr>
                  </w:pPr>
                  <w:r>
                    <w:rPr>
                      <w:rFonts w:hint="eastAsia"/>
                      <w:color w:val="auto"/>
                      <w:kern w:val="0"/>
                      <w:szCs w:val="21"/>
                    </w:rPr>
                    <w:t>/</w:t>
                  </w:r>
                </w:p>
              </w:tc>
              <w:tc>
                <w:tcPr>
                  <w:tcW w:w="401" w:type="pct"/>
                  <w:noWrap/>
                  <w:vAlign w:val="center"/>
                </w:tcPr>
                <w:p w14:paraId="37337E4E">
                  <w:pPr>
                    <w:widowControl/>
                    <w:jc w:val="center"/>
                    <w:textAlignment w:val="center"/>
                    <w:rPr>
                      <w:color w:val="auto"/>
                      <w:kern w:val="0"/>
                      <w:szCs w:val="21"/>
                    </w:rPr>
                  </w:pPr>
                  <w:r>
                    <w:rPr>
                      <w:color w:val="auto"/>
                      <w:kern w:val="0"/>
                      <w:szCs w:val="21"/>
                      <w:lang w:bidi="ar"/>
                    </w:rPr>
                    <w:t>5</w:t>
                  </w:r>
                </w:p>
              </w:tc>
              <w:tc>
                <w:tcPr>
                  <w:tcW w:w="407" w:type="pct"/>
                  <w:noWrap/>
                  <w:vAlign w:val="center"/>
                </w:tcPr>
                <w:p w14:paraId="70B67D0F">
                  <w:pPr>
                    <w:widowControl/>
                    <w:adjustRightInd w:val="0"/>
                    <w:snapToGrid w:val="0"/>
                    <w:spacing w:line="240" w:lineRule="exact"/>
                    <w:jc w:val="center"/>
                    <w:rPr>
                      <w:color w:val="auto"/>
                      <w:kern w:val="0"/>
                      <w:szCs w:val="21"/>
                    </w:rPr>
                  </w:pPr>
                  <w:r>
                    <w:rPr>
                      <w:color w:val="auto"/>
                      <w:kern w:val="0"/>
                      <w:szCs w:val="21"/>
                    </w:rPr>
                    <w:t>台</w:t>
                  </w:r>
                </w:p>
              </w:tc>
              <w:tc>
                <w:tcPr>
                  <w:tcW w:w="781" w:type="pct"/>
                  <w:vAlign w:val="center"/>
                </w:tcPr>
                <w:p w14:paraId="13F5F12E">
                  <w:pPr>
                    <w:widowControl/>
                    <w:jc w:val="center"/>
                    <w:textAlignment w:val="center"/>
                    <w:rPr>
                      <w:color w:val="auto"/>
                      <w:kern w:val="0"/>
                      <w:szCs w:val="21"/>
                      <w:lang w:bidi="ar"/>
                    </w:rPr>
                  </w:pPr>
                  <w:r>
                    <w:rPr>
                      <w:color w:val="auto"/>
                      <w:kern w:val="0"/>
                      <w:szCs w:val="21"/>
                      <w:lang w:bidi="ar"/>
                    </w:rPr>
                    <w:t>组装车间</w:t>
                  </w:r>
                </w:p>
              </w:tc>
              <w:tc>
                <w:tcPr>
                  <w:tcW w:w="713" w:type="pct"/>
                  <w:vAlign w:val="center"/>
                </w:tcPr>
                <w:p w14:paraId="01FBA357">
                  <w:pPr>
                    <w:widowControl/>
                    <w:jc w:val="center"/>
                    <w:textAlignment w:val="center"/>
                    <w:rPr>
                      <w:color w:val="auto"/>
                      <w:kern w:val="0"/>
                      <w:szCs w:val="21"/>
                    </w:rPr>
                  </w:pPr>
                  <w:r>
                    <w:rPr>
                      <w:rFonts w:hint="eastAsia"/>
                      <w:color w:val="auto"/>
                      <w:kern w:val="0"/>
                      <w:szCs w:val="21"/>
                      <w:lang w:bidi="ar"/>
                    </w:rPr>
                    <w:t>组装</w:t>
                  </w:r>
                </w:p>
              </w:tc>
            </w:tr>
          </w:tbl>
          <w:p w14:paraId="38DA24EF">
            <w:pPr>
              <w:tabs>
                <w:tab w:val="left" w:pos="720"/>
              </w:tabs>
              <w:adjustRightInd w:val="0"/>
              <w:snapToGrid w:val="0"/>
              <w:spacing w:line="360" w:lineRule="auto"/>
              <w:ind w:firstLine="482" w:firstLineChars="200"/>
              <w:rPr>
                <w:b/>
                <w:color w:val="auto"/>
                <w:sz w:val="24"/>
              </w:rPr>
            </w:pPr>
            <w:r>
              <w:rPr>
                <w:b/>
                <w:color w:val="auto"/>
                <w:sz w:val="24"/>
              </w:rPr>
              <w:t>七、水平衡</w:t>
            </w:r>
          </w:p>
          <w:p w14:paraId="1D24A2A5">
            <w:pPr>
              <w:tabs>
                <w:tab w:val="left" w:pos="720"/>
              </w:tabs>
              <w:adjustRightInd w:val="0"/>
              <w:snapToGrid w:val="0"/>
              <w:spacing w:line="360" w:lineRule="auto"/>
              <w:ind w:firstLine="480" w:firstLineChars="200"/>
              <w:rPr>
                <w:color w:val="auto"/>
                <w:sz w:val="24"/>
              </w:rPr>
            </w:pPr>
            <w:r>
              <w:rPr>
                <w:color w:val="auto"/>
                <w:sz w:val="24"/>
              </w:rPr>
              <w:t>本项目用水主要为</w:t>
            </w:r>
            <w:r>
              <w:rPr>
                <w:rFonts w:hint="eastAsia"/>
                <w:color w:val="auto"/>
                <w:sz w:val="24"/>
              </w:rPr>
              <w:t>生产用水</w:t>
            </w:r>
            <w:r>
              <w:rPr>
                <w:color w:val="auto"/>
                <w:sz w:val="24"/>
              </w:rPr>
              <w:t>、职工生活用水</w:t>
            </w:r>
            <w:r>
              <w:rPr>
                <w:rFonts w:hint="eastAsia"/>
                <w:color w:val="auto"/>
                <w:sz w:val="24"/>
              </w:rPr>
              <w:t>、食堂用水</w:t>
            </w:r>
            <w:r>
              <w:rPr>
                <w:color w:val="auto"/>
                <w:sz w:val="24"/>
              </w:rPr>
              <w:t>。</w:t>
            </w:r>
          </w:p>
          <w:p w14:paraId="3AF59C23">
            <w:pPr>
              <w:tabs>
                <w:tab w:val="left" w:pos="720"/>
              </w:tabs>
              <w:adjustRightInd w:val="0"/>
              <w:snapToGrid w:val="0"/>
              <w:spacing w:line="360" w:lineRule="auto"/>
              <w:ind w:left="840" w:hanging="360"/>
              <w:rPr>
                <w:color w:val="auto"/>
                <w:sz w:val="24"/>
              </w:rPr>
            </w:pPr>
            <w:r>
              <w:rPr>
                <w:color w:val="auto"/>
                <w:sz w:val="24"/>
              </w:rPr>
              <w:t>①</w:t>
            </w:r>
            <w:r>
              <w:rPr>
                <w:rFonts w:hint="eastAsia"/>
                <w:color w:val="auto"/>
                <w:sz w:val="24"/>
              </w:rPr>
              <w:t>生产用</w:t>
            </w:r>
            <w:r>
              <w:rPr>
                <w:color w:val="auto"/>
                <w:sz w:val="24"/>
              </w:rPr>
              <w:t>水</w:t>
            </w:r>
          </w:p>
          <w:p w14:paraId="24EC890D">
            <w:pPr>
              <w:tabs>
                <w:tab w:val="left" w:pos="720"/>
              </w:tabs>
              <w:adjustRightInd w:val="0"/>
              <w:snapToGrid w:val="0"/>
              <w:spacing w:line="360" w:lineRule="auto"/>
              <w:ind w:firstLine="480" w:firstLineChars="200"/>
              <w:rPr>
                <w:color w:val="auto"/>
                <w:sz w:val="24"/>
              </w:rPr>
            </w:pPr>
            <w:r>
              <w:rPr>
                <w:rFonts w:hint="eastAsia"/>
                <w:color w:val="auto"/>
                <w:sz w:val="24"/>
              </w:rPr>
              <w:t>建设项目生产用水主要为金属组件工艺水洗+脱脂+水洗+防锈+陶化+水洗生产线用水、喷枪清洗用水、喷漆工序及湿式抛光工序水帘幕用水，其中对各个工序进行分别计算。</w:t>
            </w:r>
          </w:p>
          <w:p w14:paraId="52CB7ADA">
            <w:pPr>
              <w:pStyle w:val="37"/>
              <w:spacing w:before="0" w:after="0" w:line="360" w:lineRule="auto"/>
              <w:ind w:right="0" w:firstLine="482" w:firstLineChars="200"/>
              <w:rPr>
                <w:b/>
                <w:bCs/>
                <w:color w:val="auto"/>
                <w:sz w:val="24"/>
              </w:rPr>
            </w:pPr>
            <w:r>
              <w:rPr>
                <w:b/>
                <w:bCs/>
                <w:color w:val="auto"/>
                <w:sz w:val="24"/>
              </w:rPr>
              <w:t>①</w:t>
            </w:r>
            <w:r>
              <w:rPr>
                <w:rFonts w:hint="eastAsia"/>
                <w:b/>
                <w:bCs/>
                <w:color w:val="auto"/>
                <w:sz w:val="24"/>
              </w:rPr>
              <w:t>金属组件表面处理用排水：</w:t>
            </w:r>
          </w:p>
          <w:p w14:paraId="21A02FCC">
            <w:pPr>
              <w:pStyle w:val="37"/>
              <w:spacing w:before="0" w:after="0" w:line="360" w:lineRule="auto"/>
              <w:ind w:right="0" w:firstLine="480" w:firstLineChars="200"/>
              <w:rPr>
                <w:color w:val="auto"/>
                <w:kern w:val="2"/>
                <w:sz w:val="24"/>
                <w:szCs w:val="24"/>
              </w:rPr>
            </w:pPr>
            <w:r>
              <w:rPr>
                <w:rFonts w:hint="eastAsia"/>
                <w:color w:val="auto"/>
                <w:sz w:val="24"/>
              </w:rPr>
              <w:t>第一次水洗用水：通过水流的冲刷清除金属表面的灰尘、污垢</w:t>
            </w:r>
            <w:r>
              <w:rPr>
                <w:rFonts w:hint="eastAsia"/>
                <w:color w:val="auto"/>
                <w:sz w:val="24"/>
                <w:lang w:eastAsia="zh-CN"/>
              </w:rPr>
              <w:t>，为后续处理提供清洁的表面。</w:t>
            </w:r>
            <w:r>
              <w:rPr>
                <w:color w:val="auto"/>
                <w:kern w:val="2"/>
                <w:sz w:val="24"/>
                <w:szCs w:val="24"/>
              </w:rPr>
              <w:t>该工序水温为常温，使用自来水，根据企业提供信息，水洗槽有效容积为2.5</w:t>
            </w:r>
            <w:r>
              <w:rPr>
                <w:rFonts w:hint="eastAsia"/>
                <w:color w:val="auto"/>
                <w:kern w:val="2"/>
                <w:sz w:val="24"/>
                <w:szCs w:val="24"/>
              </w:rPr>
              <w:t>吨</w:t>
            </w:r>
            <w:r>
              <w:rPr>
                <w:color w:val="auto"/>
                <w:kern w:val="2"/>
                <w:sz w:val="24"/>
                <w:szCs w:val="24"/>
              </w:rPr>
              <w:t>，</w:t>
            </w:r>
            <w:r>
              <w:rPr>
                <w:rFonts w:hint="eastAsia"/>
                <w:color w:val="auto"/>
                <w:kern w:val="2"/>
                <w:sz w:val="24"/>
                <w:szCs w:val="24"/>
              </w:rPr>
              <w:t>第一次水洗</w:t>
            </w:r>
            <w:r>
              <w:rPr>
                <w:color w:val="auto"/>
                <w:kern w:val="2"/>
                <w:sz w:val="24"/>
                <w:szCs w:val="24"/>
              </w:rPr>
              <w:t>设有</w:t>
            </w:r>
            <w:r>
              <w:rPr>
                <w:rFonts w:hint="eastAsia"/>
                <w:color w:val="auto"/>
                <w:kern w:val="2"/>
                <w:sz w:val="24"/>
                <w:szCs w:val="24"/>
              </w:rPr>
              <w:t>1</w:t>
            </w:r>
            <w:r>
              <w:rPr>
                <w:color w:val="auto"/>
                <w:kern w:val="2"/>
                <w:sz w:val="24"/>
                <w:szCs w:val="24"/>
              </w:rPr>
              <w:t>个水洗槽，设置喷淋水流量为0.3m</w:t>
            </w:r>
            <w:r>
              <w:rPr>
                <w:color w:val="auto"/>
                <w:kern w:val="2"/>
                <w:sz w:val="24"/>
                <w:szCs w:val="24"/>
                <w:vertAlign w:val="superscript"/>
              </w:rPr>
              <w:t>3</w:t>
            </w:r>
            <w:r>
              <w:rPr>
                <w:color w:val="auto"/>
                <w:kern w:val="2"/>
                <w:sz w:val="24"/>
                <w:szCs w:val="24"/>
              </w:rPr>
              <w:t>/h，</w:t>
            </w:r>
            <w:r>
              <w:rPr>
                <w:rFonts w:hint="eastAsia"/>
                <w:color w:val="auto"/>
                <w:kern w:val="2"/>
                <w:sz w:val="24"/>
                <w:szCs w:val="24"/>
                <w:lang w:val="en-US" w:eastAsia="zh-CN"/>
              </w:rPr>
              <w:t>喷枪直径约40mm，喷枪流速约0.066m/s，</w:t>
            </w:r>
            <w:r>
              <w:rPr>
                <w:color w:val="auto"/>
                <w:kern w:val="2"/>
                <w:sz w:val="24"/>
                <w:szCs w:val="24"/>
              </w:rPr>
              <w:t>每天工作</w:t>
            </w:r>
            <w:r>
              <w:rPr>
                <w:rFonts w:hint="eastAsia"/>
                <w:color w:val="auto"/>
                <w:kern w:val="2"/>
                <w:sz w:val="24"/>
                <w:szCs w:val="24"/>
              </w:rPr>
              <w:t>12</w:t>
            </w:r>
            <w:r>
              <w:rPr>
                <w:color w:val="auto"/>
                <w:kern w:val="2"/>
                <w:sz w:val="24"/>
                <w:szCs w:val="24"/>
              </w:rPr>
              <w:t>小时，年工作</w:t>
            </w:r>
            <w:r>
              <w:rPr>
                <w:rFonts w:hint="eastAsia"/>
                <w:color w:val="auto"/>
                <w:kern w:val="2"/>
                <w:sz w:val="24"/>
                <w:szCs w:val="24"/>
              </w:rPr>
              <w:t>30</w:t>
            </w:r>
            <w:r>
              <w:rPr>
                <w:color w:val="auto"/>
                <w:kern w:val="2"/>
                <w:sz w:val="24"/>
                <w:szCs w:val="24"/>
              </w:rPr>
              <w:t>0天，</w:t>
            </w:r>
            <w:r>
              <w:rPr>
                <w:rFonts w:hint="eastAsia"/>
                <w:color w:val="auto"/>
                <w:kern w:val="2"/>
                <w:sz w:val="24"/>
                <w:szCs w:val="24"/>
                <w:lang w:val="en-US" w:eastAsia="zh-CN"/>
              </w:rPr>
              <w:t>则</w:t>
            </w:r>
            <w:r>
              <w:rPr>
                <w:color w:val="auto"/>
                <w:kern w:val="2"/>
                <w:sz w:val="24"/>
                <w:szCs w:val="24"/>
              </w:rPr>
              <w:t>喷淋用水量为</w:t>
            </w:r>
            <w:r>
              <w:rPr>
                <w:rFonts w:hint="eastAsia"/>
                <w:color w:val="auto"/>
                <w:kern w:val="2"/>
                <w:sz w:val="24"/>
                <w:szCs w:val="24"/>
                <w:lang w:val="en-US" w:eastAsia="zh-CN"/>
              </w:rPr>
              <w:t>π（0.04/2）</w:t>
            </w:r>
            <w:r>
              <w:rPr>
                <w:rFonts w:hint="eastAsia"/>
                <w:color w:val="auto"/>
                <w:kern w:val="2"/>
                <w:sz w:val="24"/>
                <w:szCs w:val="24"/>
                <w:vertAlign w:val="superscript"/>
                <w:lang w:val="en-US" w:eastAsia="zh-CN"/>
              </w:rPr>
              <w:t>2</w:t>
            </w:r>
            <w:r>
              <w:rPr>
                <w:rFonts w:hint="eastAsia"/>
                <w:color w:val="auto"/>
                <w:kern w:val="2"/>
                <w:sz w:val="24"/>
                <w:szCs w:val="24"/>
                <w:vertAlign w:val="baseline"/>
                <w:lang w:val="en-US" w:eastAsia="zh-CN"/>
              </w:rPr>
              <w:t>*0.066*12*300*3600</w:t>
            </w:r>
            <w:r>
              <w:rPr>
                <w:rFonts w:hint="eastAsia" w:ascii="微软雅黑" w:hAnsi="微软雅黑" w:eastAsia="微软雅黑" w:cs="微软雅黑"/>
                <w:color w:val="auto"/>
                <w:kern w:val="2"/>
                <w:sz w:val="24"/>
                <w:szCs w:val="24"/>
                <w:vertAlign w:val="baseline"/>
                <w:lang w:val="en-US" w:eastAsia="zh-CN"/>
              </w:rPr>
              <w:t>≈</w:t>
            </w:r>
            <w:r>
              <w:rPr>
                <w:rFonts w:hint="eastAsia"/>
                <w:color w:val="auto"/>
                <w:kern w:val="2"/>
                <w:sz w:val="24"/>
                <w:szCs w:val="24"/>
              </w:rPr>
              <w:t>1080</w:t>
            </w:r>
            <w:r>
              <w:rPr>
                <w:color w:val="auto"/>
                <w:kern w:val="2"/>
                <w:sz w:val="24"/>
                <w:szCs w:val="24"/>
              </w:rPr>
              <w:t>t/a，水槽水量为</w:t>
            </w:r>
            <w:r>
              <w:rPr>
                <w:rFonts w:hint="eastAsia"/>
                <w:color w:val="auto"/>
                <w:kern w:val="2"/>
                <w:sz w:val="24"/>
                <w:szCs w:val="24"/>
              </w:rPr>
              <w:t>2.</w:t>
            </w:r>
            <w:r>
              <w:rPr>
                <w:color w:val="auto"/>
                <w:kern w:val="2"/>
                <w:sz w:val="24"/>
                <w:szCs w:val="24"/>
              </w:rPr>
              <w:t>5t，根据《建筑给水排水及采暖工程设计规范》GB 50015-2015，喷淋系统中的水损应控制在10%以内</w:t>
            </w:r>
            <w:r>
              <w:rPr>
                <w:rFonts w:hint="eastAsia"/>
                <w:color w:val="auto"/>
                <w:kern w:val="2"/>
                <w:sz w:val="24"/>
                <w:szCs w:val="24"/>
              </w:rPr>
              <w:t>，本项目</w:t>
            </w:r>
            <w:r>
              <w:rPr>
                <w:color w:val="auto"/>
                <w:kern w:val="2"/>
                <w:sz w:val="24"/>
                <w:szCs w:val="24"/>
              </w:rPr>
              <w:t>喷淋水洗时水损耗</w:t>
            </w:r>
            <w:r>
              <w:rPr>
                <w:rFonts w:hint="eastAsia"/>
                <w:color w:val="auto"/>
                <w:kern w:val="2"/>
                <w:sz w:val="24"/>
                <w:szCs w:val="24"/>
              </w:rPr>
              <w:t>以</w:t>
            </w:r>
            <w:r>
              <w:rPr>
                <w:color w:val="auto"/>
                <w:kern w:val="2"/>
                <w:sz w:val="24"/>
                <w:szCs w:val="24"/>
              </w:rPr>
              <w:t>10%</w:t>
            </w:r>
            <w:r>
              <w:rPr>
                <w:rFonts w:hint="eastAsia"/>
                <w:color w:val="auto"/>
                <w:kern w:val="2"/>
                <w:sz w:val="24"/>
                <w:szCs w:val="24"/>
              </w:rPr>
              <w:t>来计</w:t>
            </w:r>
            <w:r>
              <w:rPr>
                <w:color w:val="auto"/>
                <w:kern w:val="2"/>
                <w:sz w:val="24"/>
                <w:szCs w:val="24"/>
              </w:rPr>
              <w:t>，采用连续溢流排放方式，则</w:t>
            </w:r>
            <w:r>
              <w:rPr>
                <w:rFonts w:hint="eastAsia"/>
                <w:color w:val="auto"/>
                <w:kern w:val="2"/>
                <w:sz w:val="24"/>
                <w:szCs w:val="24"/>
                <w:lang w:eastAsia="zh-CN"/>
              </w:rPr>
              <w:t>径流</w:t>
            </w:r>
            <w:r>
              <w:rPr>
                <w:color w:val="auto"/>
                <w:kern w:val="2"/>
                <w:sz w:val="24"/>
                <w:szCs w:val="24"/>
              </w:rPr>
              <w:t>排放水量为</w:t>
            </w:r>
            <w:r>
              <w:rPr>
                <w:rFonts w:hint="eastAsia"/>
                <w:color w:val="auto"/>
                <w:kern w:val="2"/>
                <w:sz w:val="24"/>
                <w:szCs w:val="24"/>
              </w:rPr>
              <w:t>972</w:t>
            </w:r>
            <w:r>
              <w:rPr>
                <w:color w:val="auto"/>
                <w:kern w:val="2"/>
                <w:sz w:val="24"/>
                <w:szCs w:val="24"/>
              </w:rPr>
              <w:t>t/a，外排至污水管网至厂区污水站</w:t>
            </w:r>
            <w:r>
              <w:rPr>
                <w:rFonts w:hint="eastAsia"/>
                <w:color w:val="auto"/>
                <w:kern w:val="2"/>
                <w:sz w:val="24"/>
                <w:szCs w:val="24"/>
              </w:rPr>
              <w:t>。</w:t>
            </w:r>
          </w:p>
          <w:p w14:paraId="08FDD542">
            <w:pPr>
              <w:tabs>
                <w:tab w:val="left" w:pos="720"/>
              </w:tabs>
              <w:adjustRightInd w:val="0"/>
              <w:snapToGrid w:val="0"/>
              <w:spacing w:line="360" w:lineRule="auto"/>
              <w:ind w:firstLine="480" w:firstLineChars="200"/>
              <w:rPr>
                <w:color w:val="auto"/>
                <w:sz w:val="24"/>
              </w:rPr>
            </w:pPr>
            <w:r>
              <w:rPr>
                <w:rFonts w:hint="eastAsia"/>
                <w:color w:val="auto"/>
                <w:sz w:val="24"/>
              </w:rPr>
              <w:t>该工序</w:t>
            </w:r>
            <w:r>
              <w:rPr>
                <w:color w:val="auto"/>
                <w:sz w:val="24"/>
              </w:rPr>
              <w:t>则共需用水</w:t>
            </w:r>
            <w:r>
              <w:rPr>
                <w:rFonts w:hint="eastAsia"/>
                <w:color w:val="auto"/>
                <w:sz w:val="24"/>
              </w:rPr>
              <w:t>1082.5</w:t>
            </w:r>
            <w:r>
              <w:rPr>
                <w:color w:val="auto"/>
                <w:sz w:val="24"/>
              </w:rPr>
              <w:t>t，该工序废水量为</w:t>
            </w:r>
            <w:r>
              <w:rPr>
                <w:rFonts w:hint="eastAsia"/>
                <w:color w:val="auto"/>
                <w:sz w:val="24"/>
              </w:rPr>
              <w:t>972</w:t>
            </w:r>
            <w:r>
              <w:rPr>
                <w:color w:val="auto"/>
                <w:sz w:val="24"/>
              </w:rPr>
              <w:t>t/a</w:t>
            </w:r>
            <w:r>
              <w:rPr>
                <w:rFonts w:hint="eastAsia"/>
                <w:color w:val="auto"/>
                <w:sz w:val="24"/>
              </w:rPr>
              <w:t>。</w:t>
            </w:r>
          </w:p>
          <w:p w14:paraId="24A8A920">
            <w:pPr>
              <w:pStyle w:val="37"/>
              <w:spacing w:before="0" w:after="0" w:line="360" w:lineRule="auto"/>
              <w:ind w:right="0" w:firstLine="480" w:firstLineChars="200"/>
              <w:rPr>
                <w:color w:val="auto"/>
                <w:kern w:val="2"/>
                <w:sz w:val="24"/>
                <w:szCs w:val="24"/>
              </w:rPr>
            </w:pPr>
            <w:r>
              <w:rPr>
                <w:rFonts w:hint="eastAsia"/>
                <w:color w:val="auto"/>
                <w:sz w:val="24"/>
              </w:rPr>
              <w:t>脱脂用水：</w:t>
            </w:r>
            <w:r>
              <w:rPr>
                <w:rFonts w:hint="eastAsia"/>
                <w:color w:val="auto"/>
                <w:sz w:val="24"/>
                <w:lang w:val="en-US" w:eastAsia="zh-CN"/>
              </w:rPr>
              <w:t>通过脱脂剂中的成分与金属表面的油脂油污等进行反应，起到去除作用，为后续的钝化工艺提供良好的表面条件。</w:t>
            </w:r>
            <w:r>
              <w:rPr>
                <w:rFonts w:hint="eastAsia"/>
                <w:color w:val="auto"/>
                <w:sz w:val="24"/>
              </w:rPr>
              <w:t>根据企业提供资料，</w:t>
            </w:r>
            <w:r>
              <w:rPr>
                <w:color w:val="auto"/>
                <w:kern w:val="2"/>
                <w:sz w:val="24"/>
                <w:szCs w:val="24"/>
              </w:rPr>
              <w:t>脱脂工段使用脱脂剂</w:t>
            </w:r>
            <w:r>
              <w:rPr>
                <w:rFonts w:hint="eastAsia"/>
                <w:color w:val="auto"/>
                <w:kern w:val="2"/>
                <w:sz w:val="24"/>
                <w:szCs w:val="24"/>
              </w:rPr>
              <w:t>共6</w:t>
            </w:r>
            <w:r>
              <w:rPr>
                <w:color w:val="auto"/>
                <w:kern w:val="2"/>
                <w:sz w:val="24"/>
                <w:szCs w:val="24"/>
              </w:rPr>
              <w:t>t/a，药剂与水配比为1</w:t>
            </w:r>
            <w:r>
              <w:rPr>
                <w:rFonts w:hint="eastAsia"/>
                <w:color w:val="auto"/>
                <w:kern w:val="2"/>
                <w:sz w:val="24"/>
                <w:szCs w:val="24"/>
                <w:lang w:eastAsia="zh-CN"/>
              </w:rPr>
              <w:t>:</w:t>
            </w:r>
            <w:r>
              <w:rPr>
                <w:rFonts w:hint="eastAsia"/>
                <w:color w:val="auto"/>
                <w:kern w:val="2"/>
                <w:sz w:val="24"/>
                <w:szCs w:val="24"/>
              </w:rPr>
              <w:t>24</w:t>
            </w:r>
            <w:r>
              <w:rPr>
                <w:color w:val="auto"/>
                <w:kern w:val="2"/>
                <w:sz w:val="24"/>
                <w:szCs w:val="24"/>
              </w:rPr>
              <w:t>，故需要配水约</w:t>
            </w:r>
            <w:r>
              <w:rPr>
                <w:rFonts w:hint="eastAsia"/>
                <w:color w:val="auto"/>
                <w:kern w:val="2"/>
                <w:sz w:val="24"/>
                <w:szCs w:val="24"/>
              </w:rPr>
              <w:t>144</w:t>
            </w:r>
            <w:r>
              <w:rPr>
                <w:color w:val="auto"/>
                <w:kern w:val="2"/>
                <w:sz w:val="24"/>
                <w:szCs w:val="24"/>
              </w:rPr>
              <w:t>t/a，</w:t>
            </w:r>
            <w:r>
              <w:rPr>
                <w:rFonts w:hint="eastAsia"/>
                <w:color w:val="auto"/>
                <w:kern w:val="2"/>
                <w:sz w:val="24"/>
                <w:szCs w:val="24"/>
              </w:rPr>
              <w:t>算上脱脂剂，脱脂液总共150t/a，</w:t>
            </w:r>
            <w:r>
              <w:rPr>
                <w:color w:val="auto"/>
                <w:kern w:val="2"/>
                <w:sz w:val="24"/>
                <w:szCs w:val="24"/>
              </w:rPr>
              <w:t>根据《建筑给水排水及采暖工程设计规范》GB 50015-2015，喷淋系统中的水损应控制在10%以内</w:t>
            </w:r>
            <w:r>
              <w:rPr>
                <w:rFonts w:hint="eastAsia"/>
                <w:color w:val="auto"/>
                <w:kern w:val="2"/>
                <w:sz w:val="24"/>
                <w:szCs w:val="24"/>
              </w:rPr>
              <w:t>，本项目高压</w:t>
            </w:r>
            <w:r>
              <w:rPr>
                <w:color w:val="auto"/>
                <w:kern w:val="2"/>
                <w:sz w:val="24"/>
                <w:szCs w:val="24"/>
              </w:rPr>
              <w:t>喷淋水洗时水损耗</w:t>
            </w:r>
            <w:r>
              <w:rPr>
                <w:rFonts w:hint="eastAsia"/>
                <w:color w:val="auto"/>
                <w:kern w:val="2"/>
                <w:sz w:val="24"/>
                <w:szCs w:val="24"/>
              </w:rPr>
              <w:t>以</w:t>
            </w:r>
            <w:r>
              <w:rPr>
                <w:color w:val="auto"/>
                <w:kern w:val="2"/>
                <w:sz w:val="24"/>
                <w:szCs w:val="24"/>
              </w:rPr>
              <w:t>10%</w:t>
            </w:r>
            <w:r>
              <w:rPr>
                <w:rFonts w:hint="eastAsia"/>
                <w:color w:val="auto"/>
                <w:kern w:val="2"/>
                <w:sz w:val="24"/>
                <w:szCs w:val="24"/>
              </w:rPr>
              <w:t>来计</w:t>
            </w:r>
            <w:r>
              <w:rPr>
                <w:color w:val="auto"/>
                <w:kern w:val="2"/>
                <w:sz w:val="24"/>
                <w:szCs w:val="24"/>
              </w:rPr>
              <w:t>，</w:t>
            </w:r>
            <w:r>
              <w:rPr>
                <w:rFonts w:hint="eastAsia"/>
                <w:color w:val="auto"/>
                <w:kern w:val="2"/>
                <w:sz w:val="24"/>
                <w:szCs w:val="24"/>
                <w:lang w:val="en-US" w:eastAsia="zh-CN"/>
              </w:rPr>
              <w:t>水损耗主要为蒸发以及物件带走损耗量，</w:t>
            </w:r>
            <w:r>
              <w:rPr>
                <w:color w:val="auto"/>
                <w:kern w:val="2"/>
                <w:sz w:val="24"/>
                <w:szCs w:val="24"/>
              </w:rPr>
              <w:t>采用</w:t>
            </w:r>
            <w:r>
              <w:rPr>
                <w:rFonts w:hint="eastAsia"/>
                <w:color w:val="auto"/>
                <w:kern w:val="2"/>
                <w:sz w:val="24"/>
                <w:szCs w:val="24"/>
                <w:lang w:val="en-US" w:eastAsia="zh-CN"/>
              </w:rPr>
              <w:t>循环使用定期</w:t>
            </w:r>
            <w:r>
              <w:rPr>
                <w:color w:val="auto"/>
                <w:kern w:val="2"/>
                <w:sz w:val="24"/>
                <w:szCs w:val="24"/>
              </w:rPr>
              <w:t>排放</w:t>
            </w:r>
            <w:r>
              <w:rPr>
                <w:rFonts w:hint="eastAsia"/>
                <w:color w:val="auto"/>
                <w:kern w:val="2"/>
                <w:sz w:val="24"/>
                <w:szCs w:val="24"/>
                <w:lang w:eastAsia="zh-CN"/>
              </w:rPr>
              <w:t>的</w:t>
            </w:r>
            <w:r>
              <w:rPr>
                <w:color w:val="auto"/>
                <w:kern w:val="2"/>
                <w:sz w:val="24"/>
                <w:szCs w:val="24"/>
              </w:rPr>
              <w:t>方式，则排放水量为</w:t>
            </w:r>
            <w:r>
              <w:rPr>
                <w:rFonts w:hint="eastAsia"/>
                <w:color w:val="auto"/>
                <w:kern w:val="2"/>
                <w:sz w:val="24"/>
                <w:szCs w:val="24"/>
              </w:rPr>
              <w:t>135</w:t>
            </w:r>
            <w:r>
              <w:rPr>
                <w:color w:val="auto"/>
                <w:kern w:val="2"/>
                <w:sz w:val="24"/>
                <w:szCs w:val="24"/>
              </w:rPr>
              <w:t>t/a，外排至污水管网至厂区污水站</w:t>
            </w:r>
            <w:r>
              <w:rPr>
                <w:rFonts w:hint="eastAsia"/>
                <w:color w:val="auto"/>
                <w:kern w:val="2"/>
                <w:sz w:val="24"/>
                <w:szCs w:val="24"/>
              </w:rPr>
              <w:t>。</w:t>
            </w:r>
          </w:p>
          <w:p w14:paraId="0D732A67">
            <w:pPr>
              <w:pStyle w:val="37"/>
              <w:spacing w:before="0" w:after="0" w:line="360" w:lineRule="auto"/>
              <w:ind w:right="0" w:firstLine="480" w:firstLineChars="200"/>
              <w:rPr>
                <w:color w:val="auto"/>
                <w:kern w:val="2"/>
                <w:sz w:val="24"/>
                <w:szCs w:val="24"/>
              </w:rPr>
            </w:pPr>
            <w:r>
              <w:rPr>
                <w:rFonts w:hint="eastAsia"/>
                <w:color w:val="auto"/>
                <w:kern w:val="2"/>
                <w:sz w:val="24"/>
                <w:szCs w:val="24"/>
              </w:rPr>
              <w:t>该工序</w:t>
            </w:r>
            <w:r>
              <w:rPr>
                <w:color w:val="auto"/>
                <w:kern w:val="2"/>
                <w:sz w:val="24"/>
                <w:szCs w:val="24"/>
              </w:rPr>
              <w:t>则共需用水</w:t>
            </w:r>
            <w:r>
              <w:rPr>
                <w:rFonts w:hint="eastAsia"/>
                <w:color w:val="auto"/>
                <w:kern w:val="2"/>
                <w:sz w:val="24"/>
                <w:szCs w:val="24"/>
              </w:rPr>
              <w:t>144</w:t>
            </w:r>
            <w:r>
              <w:rPr>
                <w:color w:val="auto"/>
                <w:kern w:val="2"/>
                <w:sz w:val="24"/>
                <w:szCs w:val="24"/>
              </w:rPr>
              <w:t>t，该工序废水量为</w:t>
            </w:r>
            <w:r>
              <w:rPr>
                <w:rFonts w:hint="eastAsia"/>
                <w:color w:val="auto"/>
                <w:kern w:val="2"/>
                <w:sz w:val="24"/>
                <w:szCs w:val="24"/>
              </w:rPr>
              <w:t>135</w:t>
            </w:r>
            <w:r>
              <w:rPr>
                <w:color w:val="auto"/>
                <w:kern w:val="2"/>
                <w:sz w:val="24"/>
                <w:szCs w:val="24"/>
              </w:rPr>
              <w:t>t/a</w:t>
            </w:r>
            <w:r>
              <w:rPr>
                <w:rFonts w:hint="eastAsia"/>
                <w:color w:val="auto"/>
                <w:kern w:val="2"/>
                <w:sz w:val="24"/>
                <w:szCs w:val="24"/>
              </w:rPr>
              <w:t>。</w:t>
            </w:r>
          </w:p>
          <w:p w14:paraId="784D16FD">
            <w:pPr>
              <w:tabs>
                <w:tab w:val="left" w:pos="720"/>
              </w:tabs>
              <w:adjustRightInd w:val="0"/>
              <w:snapToGrid w:val="0"/>
              <w:spacing w:line="360" w:lineRule="auto"/>
              <w:ind w:firstLine="480" w:firstLineChars="200"/>
              <w:rPr>
                <w:color w:val="auto"/>
                <w:sz w:val="24"/>
              </w:rPr>
            </w:pPr>
            <w:r>
              <w:rPr>
                <w:rFonts w:hint="eastAsia"/>
                <w:color w:val="auto"/>
                <w:sz w:val="24"/>
              </w:rPr>
              <w:t>脱脂后水洗用水：通过水的冲刷作用，清洗掉脱脂过程中残留的化学物质，防止污染后续处理工序。预脱脂以及主脱脂后都要进行水洗，该工序水温为常温</w:t>
            </w:r>
            <w:r>
              <w:rPr>
                <w:color w:val="auto"/>
                <w:sz w:val="24"/>
              </w:rPr>
              <w:t>，使用自来水，根据企业提供信息，水洗槽有效容积为2.5立方米，本项目设有2个水洗槽</w:t>
            </w:r>
            <w:r>
              <w:rPr>
                <w:rFonts w:hint="eastAsia"/>
                <w:color w:val="auto"/>
                <w:sz w:val="24"/>
              </w:rPr>
              <w:t>，</w:t>
            </w:r>
            <w:r>
              <w:rPr>
                <w:color w:val="auto"/>
                <w:sz w:val="24"/>
              </w:rPr>
              <w:t>工作</w:t>
            </w:r>
            <w:r>
              <w:rPr>
                <w:rFonts w:hint="eastAsia"/>
                <w:color w:val="auto"/>
                <w:sz w:val="24"/>
              </w:rPr>
              <w:t>时采用高压</w:t>
            </w:r>
            <w:r>
              <w:rPr>
                <w:color w:val="auto"/>
                <w:sz w:val="24"/>
              </w:rPr>
              <w:t>喷淋</w:t>
            </w:r>
            <w:r>
              <w:rPr>
                <w:rFonts w:hint="eastAsia"/>
                <w:color w:val="auto"/>
                <w:sz w:val="24"/>
              </w:rPr>
              <w:t>方</w:t>
            </w:r>
            <w:r>
              <w:rPr>
                <w:color w:val="auto"/>
                <w:sz w:val="24"/>
              </w:rPr>
              <w:t>式</w:t>
            </w:r>
            <w:r>
              <w:rPr>
                <w:rFonts w:hint="eastAsia"/>
                <w:color w:val="auto"/>
                <w:sz w:val="24"/>
              </w:rPr>
              <w:t>清洗挂件</w:t>
            </w:r>
            <w:r>
              <w:rPr>
                <w:color w:val="auto"/>
                <w:sz w:val="24"/>
              </w:rPr>
              <w:t>，</w:t>
            </w:r>
            <w:r>
              <w:rPr>
                <w:rFonts w:hint="eastAsia"/>
                <w:color w:val="auto"/>
                <w:sz w:val="24"/>
              </w:rPr>
              <w:t>设置喷淋水流量为0.3m</w:t>
            </w:r>
            <w:r>
              <w:rPr>
                <w:rFonts w:hint="eastAsia"/>
                <w:color w:val="auto"/>
                <w:sz w:val="24"/>
                <w:vertAlign w:val="superscript"/>
              </w:rPr>
              <w:t>3</w:t>
            </w:r>
            <w:r>
              <w:rPr>
                <w:rFonts w:hint="eastAsia"/>
                <w:color w:val="auto"/>
                <w:sz w:val="24"/>
              </w:rPr>
              <w:t>/h，每天工作12小时，年工作300天，喷淋用水量为2160t/a，</w:t>
            </w:r>
            <w:r>
              <w:rPr>
                <w:color w:val="auto"/>
                <w:sz w:val="24"/>
              </w:rPr>
              <w:t>水槽水量为5t</w:t>
            </w:r>
            <w:r>
              <w:rPr>
                <w:rFonts w:hint="eastAsia"/>
                <w:color w:val="auto"/>
                <w:sz w:val="24"/>
              </w:rPr>
              <w:t>，</w:t>
            </w:r>
            <w:r>
              <w:rPr>
                <w:color w:val="auto"/>
                <w:sz w:val="24"/>
              </w:rPr>
              <w:t>根据《建筑给水排水及采暖工程设计规范》GB 50015-2015，喷淋系统中的水损应控制在10%以内</w:t>
            </w:r>
            <w:r>
              <w:rPr>
                <w:rFonts w:hint="eastAsia"/>
                <w:color w:val="auto"/>
                <w:sz w:val="24"/>
              </w:rPr>
              <w:t>，本项目</w:t>
            </w:r>
            <w:r>
              <w:rPr>
                <w:color w:val="auto"/>
                <w:sz w:val="24"/>
              </w:rPr>
              <w:t>喷淋水洗时水损耗</w:t>
            </w:r>
            <w:r>
              <w:rPr>
                <w:rFonts w:hint="eastAsia"/>
                <w:color w:val="auto"/>
                <w:sz w:val="24"/>
              </w:rPr>
              <w:t>以</w:t>
            </w:r>
            <w:r>
              <w:rPr>
                <w:color w:val="auto"/>
                <w:sz w:val="24"/>
              </w:rPr>
              <w:t>10%</w:t>
            </w:r>
            <w:r>
              <w:rPr>
                <w:rFonts w:hint="eastAsia"/>
                <w:color w:val="auto"/>
                <w:sz w:val="24"/>
              </w:rPr>
              <w:t>来计，</w:t>
            </w:r>
            <w:r>
              <w:rPr>
                <w:rFonts w:hint="eastAsia"/>
                <w:color w:val="auto"/>
                <w:kern w:val="2"/>
                <w:sz w:val="24"/>
                <w:szCs w:val="24"/>
                <w:lang w:val="en-US" w:eastAsia="zh-CN"/>
              </w:rPr>
              <w:t>水损耗主要为蒸发以及物件带走损耗量，</w:t>
            </w:r>
            <w:r>
              <w:rPr>
                <w:rFonts w:hint="eastAsia"/>
                <w:color w:val="auto"/>
                <w:sz w:val="24"/>
              </w:rPr>
              <w:t>采用循环使用定期排放的方式，则</w:t>
            </w:r>
            <w:r>
              <w:rPr>
                <w:color w:val="auto"/>
                <w:sz w:val="24"/>
              </w:rPr>
              <w:t>排放</w:t>
            </w:r>
            <w:r>
              <w:rPr>
                <w:rFonts w:hint="eastAsia"/>
                <w:color w:val="auto"/>
                <w:sz w:val="24"/>
              </w:rPr>
              <w:t>水量为1944t/a，</w:t>
            </w:r>
            <w:r>
              <w:rPr>
                <w:color w:val="auto"/>
                <w:sz w:val="24"/>
              </w:rPr>
              <w:t>外排至污水管网至厂区污水站</w:t>
            </w:r>
            <w:r>
              <w:rPr>
                <w:rFonts w:hint="eastAsia"/>
                <w:color w:val="auto"/>
                <w:sz w:val="24"/>
              </w:rPr>
              <w:t>。</w:t>
            </w:r>
          </w:p>
          <w:p w14:paraId="4E1F8309">
            <w:pPr>
              <w:tabs>
                <w:tab w:val="left" w:pos="720"/>
              </w:tabs>
              <w:adjustRightInd w:val="0"/>
              <w:snapToGrid w:val="0"/>
              <w:spacing w:line="360" w:lineRule="auto"/>
              <w:ind w:firstLine="480" w:firstLineChars="200"/>
              <w:rPr>
                <w:color w:val="auto"/>
                <w:sz w:val="24"/>
              </w:rPr>
            </w:pPr>
            <w:r>
              <w:rPr>
                <w:rFonts w:hint="eastAsia"/>
                <w:color w:val="auto"/>
                <w:sz w:val="24"/>
              </w:rPr>
              <w:t>该工序</w:t>
            </w:r>
            <w:r>
              <w:rPr>
                <w:color w:val="auto"/>
                <w:sz w:val="24"/>
              </w:rPr>
              <w:t>则共需用水</w:t>
            </w:r>
            <w:r>
              <w:rPr>
                <w:rFonts w:hint="eastAsia"/>
                <w:color w:val="auto"/>
                <w:sz w:val="24"/>
              </w:rPr>
              <w:t>2165</w:t>
            </w:r>
            <w:r>
              <w:rPr>
                <w:color w:val="auto"/>
                <w:sz w:val="24"/>
              </w:rPr>
              <w:t>t，该工序废水量为</w:t>
            </w:r>
            <w:r>
              <w:rPr>
                <w:rFonts w:hint="eastAsia"/>
                <w:color w:val="auto"/>
                <w:sz w:val="24"/>
              </w:rPr>
              <w:t>1944</w:t>
            </w:r>
            <w:r>
              <w:rPr>
                <w:color w:val="auto"/>
                <w:sz w:val="24"/>
              </w:rPr>
              <w:t>t/a</w:t>
            </w:r>
            <w:r>
              <w:rPr>
                <w:rFonts w:hint="eastAsia"/>
                <w:color w:val="auto"/>
                <w:sz w:val="24"/>
              </w:rPr>
              <w:t>。</w:t>
            </w:r>
          </w:p>
          <w:p w14:paraId="346BB728">
            <w:pPr>
              <w:tabs>
                <w:tab w:val="left" w:pos="720"/>
              </w:tabs>
              <w:adjustRightInd w:val="0"/>
              <w:snapToGrid w:val="0"/>
              <w:spacing w:line="360" w:lineRule="auto"/>
              <w:ind w:firstLine="480" w:firstLineChars="200"/>
              <w:rPr>
                <w:color w:val="auto"/>
                <w:sz w:val="24"/>
              </w:rPr>
            </w:pPr>
            <w:r>
              <w:rPr>
                <w:rFonts w:hint="eastAsia"/>
                <w:color w:val="auto"/>
                <w:sz w:val="24"/>
              </w:rPr>
              <w:t>防锈用水：防锈剂与金属表面反应生成保护层，</w:t>
            </w:r>
            <w:r>
              <w:rPr>
                <w:rFonts w:hint="eastAsia"/>
                <w:color w:val="auto"/>
                <w:sz w:val="24"/>
                <w:lang w:val="en-US" w:eastAsia="zh-CN"/>
              </w:rPr>
              <w:t>短期内</w:t>
            </w:r>
            <w:r>
              <w:rPr>
                <w:rFonts w:hint="eastAsia"/>
                <w:color w:val="auto"/>
                <w:sz w:val="24"/>
              </w:rPr>
              <w:t>隔绝空气和水分，防止金属氧化生锈。根据企业提供资料，防锈</w:t>
            </w:r>
            <w:r>
              <w:rPr>
                <w:color w:val="auto"/>
                <w:sz w:val="24"/>
              </w:rPr>
              <w:t>工段使用</w:t>
            </w:r>
            <w:r>
              <w:rPr>
                <w:rFonts w:hint="eastAsia"/>
                <w:color w:val="auto"/>
                <w:sz w:val="24"/>
              </w:rPr>
              <w:t>防锈</w:t>
            </w:r>
            <w:r>
              <w:rPr>
                <w:color w:val="auto"/>
                <w:sz w:val="24"/>
              </w:rPr>
              <w:t>剂</w:t>
            </w:r>
            <w:r>
              <w:rPr>
                <w:rFonts w:hint="eastAsia"/>
                <w:color w:val="auto"/>
                <w:sz w:val="24"/>
              </w:rPr>
              <w:t>共3</w:t>
            </w:r>
            <w:r>
              <w:rPr>
                <w:color w:val="auto"/>
                <w:sz w:val="24"/>
              </w:rPr>
              <w:t>t/a，</w:t>
            </w:r>
            <w:r>
              <w:rPr>
                <w:rFonts w:hint="eastAsia"/>
                <w:color w:val="auto"/>
                <w:sz w:val="24"/>
                <w:lang w:val="en-US" w:eastAsia="zh-CN"/>
              </w:rPr>
              <w:t>防锈目的是工件在钝化工艺前不生锈，因此</w:t>
            </w:r>
            <w:r>
              <w:rPr>
                <w:color w:val="auto"/>
                <w:sz w:val="24"/>
              </w:rPr>
              <w:t>药剂与水配比为</w:t>
            </w:r>
            <w:r>
              <w:rPr>
                <w:rFonts w:hint="eastAsia"/>
                <w:color w:val="auto"/>
                <w:sz w:val="24"/>
              </w:rPr>
              <w:t>3</w:t>
            </w:r>
            <w:r>
              <w:rPr>
                <w:rFonts w:hint="eastAsia"/>
                <w:color w:val="auto"/>
                <w:sz w:val="24"/>
                <w:lang w:eastAsia="zh-CN"/>
              </w:rPr>
              <w:t>:</w:t>
            </w:r>
            <w:r>
              <w:rPr>
                <w:rFonts w:hint="eastAsia"/>
                <w:color w:val="auto"/>
                <w:sz w:val="24"/>
              </w:rPr>
              <w:t>997</w:t>
            </w:r>
            <w:r>
              <w:rPr>
                <w:color w:val="auto"/>
                <w:sz w:val="24"/>
              </w:rPr>
              <w:t>，故需要配水约</w:t>
            </w:r>
            <w:r>
              <w:rPr>
                <w:rFonts w:hint="eastAsia"/>
                <w:color w:val="auto"/>
                <w:sz w:val="24"/>
              </w:rPr>
              <w:t>997</w:t>
            </w:r>
            <w:r>
              <w:rPr>
                <w:color w:val="auto"/>
                <w:sz w:val="24"/>
              </w:rPr>
              <w:t>t/a，</w:t>
            </w:r>
            <w:r>
              <w:rPr>
                <w:rFonts w:hint="eastAsia"/>
                <w:color w:val="auto"/>
                <w:sz w:val="24"/>
              </w:rPr>
              <w:t>算上防锈剂，防锈液总共1000t/a，</w:t>
            </w:r>
            <w:r>
              <w:rPr>
                <w:color w:val="auto"/>
                <w:sz w:val="24"/>
              </w:rPr>
              <w:t>根据《建筑给水排水及采暖工程设计规范》GB 50015-2015，喷淋系统中的水损应控制在10%以内</w:t>
            </w:r>
            <w:r>
              <w:rPr>
                <w:rFonts w:hint="eastAsia"/>
                <w:color w:val="auto"/>
                <w:sz w:val="24"/>
              </w:rPr>
              <w:t>，本项目高压</w:t>
            </w:r>
            <w:r>
              <w:rPr>
                <w:color w:val="auto"/>
                <w:sz w:val="24"/>
              </w:rPr>
              <w:t>喷淋水洗时水损耗</w:t>
            </w:r>
            <w:r>
              <w:rPr>
                <w:rFonts w:hint="eastAsia"/>
                <w:color w:val="auto"/>
                <w:sz w:val="24"/>
              </w:rPr>
              <w:t>以</w:t>
            </w:r>
            <w:r>
              <w:rPr>
                <w:color w:val="auto"/>
                <w:sz w:val="24"/>
              </w:rPr>
              <w:t>10%</w:t>
            </w:r>
            <w:r>
              <w:rPr>
                <w:rFonts w:hint="eastAsia"/>
                <w:color w:val="auto"/>
                <w:sz w:val="24"/>
              </w:rPr>
              <w:t>来计</w:t>
            </w:r>
            <w:r>
              <w:rPr>
                <w:color w:val="auto"/>
                <w:sz w:val="24"/>
              </w:rPr>
              <w:t>，</w:t>
            </w:r>
            <w:r>
              <w:rPr>
                <w:rFonts w:hint="eastAsia"/>
                <w:color w:val="auto"/>
                <w:kern w:val="2"/>
                <w:sz w:val="24"/>
                <w:szCs w:val="24"/>
                <w:lang w:val="en-US" w:eastAsia="zh-CN"/>
              </w:rPr>
              <w:t>水损耗主要为蒸发以及物件带走损耗量，</w:t>
            </w:r>
            <w:r>
              <w:rPr>
                <w:color w:val="auto"/>
                <w:sz w:val="24"/>
              </w:rPr>
              <w:t>采用</w:t>
            </w:r>
            <w:r>
              <w:rPr>
                <w:rFonts w:hint="eastAsia"/>
                <w:color w:val="auto"/>
                <w:kern w:val="2"/>
                <w:sz w:val="24"/>
                <w:szCs w:val="24"/>
                <w:lang w:val="en-US" w:eastAsia="zh-CN"/>
              </w:rPr>
              <w:t>循环使用定期</w:t>
            </w:r>
            <w:r>
              <w:rPr>
                <w:color w:val="auto"/>
                <w:kern w:val="2"/>
                <w:sz w:val="24"/>
                <w:szCs w:val="24"/>
              </w:rPr>
              <w:t>排放</w:t>
            </w:r>
            <w:r>
              <w:rPr>
                <w:rFonts w:hint="eastAsia"/>
                <w:color w:val="auto"/>
                <w:kern w:val="2"/>
                <w:sz w:val="24"/>
                <w:szCs w:val="24"/>
                <w:lang w:eastAsia="zh-CN"/>
              </w:rPr>
              <w:t>的</w:t>
            </w:r>
            <w:r>
              <w:rPr>
                <w:color w:val="auto"/>
                <w:sz w:val="24"/>
              </w:rPr>
              <w:t>方式，则排放水量为</w:t>
            </w:r>
            <w:r>
              <w:rPr>
                <w:rFonts w:hint="eastAsia"/>
                <w:color w:val="auto"/>
                <w:sz w:val="24"/>
              </w:rPr>
              <w:t>900</w:t>
            </w:r>
            <w:r>
              <w:rPr>
                <w:color w:val="auto"/>
                <w:sz w:val="24"/>
              </w:rPr>
              <w:t>t/a，外排至污水管网至厂区污水站</w:t>
            </w:r>
            <w:r>
              <w:rPr>
                <w:rFonts w:hint="eastAsia"/>
                <w:color w:val="auto"/>
                <w:sz w:val="24"/>
              </w:rPr>
              <w:t>。根据防锈剂MSDS，成分内含有1</w:t>
            </w:r>
            <w:r>
              <w:rPr>
                <w:rFonts w:hint="eastAsia"/>
                <w:color w:val="auto"/>
                <w:sz w:val="24"/>
                <w:lang w:eastAsia="zh-CN"/>
              </w:rPr>
              <w:t>%～</w:t>
            </w:r>
            <w:r>
              <w:rPr>
                <w:rFonts w:hint="eastAsia"/>
                <w:color w:val="auto"/>
                <w:sz w:val="24"/>
              </w:rPr>
              <w:t>5%单乙醇胺</w:t>
            </w:r>
            <w:r>
              <w:rPr>
                <w:rFonts w:hint="eastAsia"/>
                <w:color w:val="auto"/>
                <w:sz w:val="24"/>
                <w:lang w:eastAsia="zh-CN"/>
              </w:rPr>
              <w:t>、</w:t>
            </w:r>
            <w:r>
              <w:rPr>
                <w:rFonts w:hint="eastAsia"/>
                <w:color w:val="auto"/>
                <w:sz w:val="24"/>
                <w:lang w:val="en-US" w:eastAsia="zh-CN"/>
              </w:rPr>
              <w:t>10%～15%二乙醇胺</w:t>
            </w:r>
            <w:r>
              <w:rPr>
                <w:rFonts w:hint="eastAsia"/>
                <w:color w:val="auto"/>
                <w:sz w:val="24"/>
              </w:rPr>
              <w:t>，单乙醇胺</w:t>
            </w:r>
            <w:r>
              <w:rPr>
                <w:rFonts w:hint="eastAsia"/>
                <w:color w:val="auto"/>
                <w:sz w:val="24"/>
                <w:lang w:eastAsia="zh-CN"/>
              </w:rPr>
              <w:t>、</w:t>
            </w:r>
            <w:r>
              <w:rPr>
                <w:rFonts w:hint="eastAsia"/>
                <w:color w:val="auto"/>
                <w:sz w:val="24"/>
                <w:lang w:val="en-US" w:eastAsia="zh-CN"/>
              </w:rPr>
              <w:t>二乙醇胺</w:t>
            </w:r>
            <w:r>
              <w:rPr>
                <w:rFonts w:hint="eastAsia"/>
                <w:color w:val="auto"/>
                <w:sz w:val="24"/>
              </w:rPr>
              <w:t>在常温下</w:t>
            </w:r>
            <w:r>
              <w:rPr>
                <w:rFonts w:hint="eastAsia"/>
                <w:color w:val="auto"/>
                <w:sz w:val="24"/>
                <w:lang w:val="en-US" w:eastAsia="zh-CN"/>
              </w:rPr>
              <w:t>不</w:t>
            </w:r>
            <w:r>
              <w:rPr>
                <w:rFonts w:hint="eastAsia"/>
                <w:color w:val="auto"/>
                <w:sz w:val="24"/>
              </w:rPr>
              <w:t>挥发，本项目使用中以防锈剂：水3:997的比例进行使用，</w:t>
            </w:r>
            <w:r>
              <w:rPr>
                <w:rFonts w:hint="eastAsia"/>
                <w:color w:val="auto"/>
                <w:sz w:val="24"/>
                <w:lang w:val="en-US" w:eastAsia="zh-CN"/>
              </w:rPr>
              <w:t>温度为常温，因此防锈剂使用过程不易产生挥发性有机物</w:t>
            </w:r>
            <w:r>
              <w:rPr>
                <w:rFonts w:hint="eastAsia"/>
                <w:color w:val="auto"/>
                <w:sz w:val="24"/>
              </w:rPr>
              <w:t>。</w:t>
            </w:r>
          </w:p>
          <w:p w14:paraId="31C22C3C">
            <w:pPr>
              <w:tabs>
                <w:tab w:val="left" w:pos="720"/>
              </w:tabs>
              <w:adjustRightInd w:val="0"/>
              <w:snapToGrid w:val="0"/>
              <w:spacing w:line="360" w:lineRule="auto"/>
              <w:ind w:firstLine="480" w:firstLineChars="200"/>
              <w:rPr>
                <w:color w:val="auto"/>
                <w:sz w:val="24"/>
              </w:rPr>
            </w:pPr>
            <w:r>
              <w:rPr>
                <w:rFonts w:hint="eastAsia"/>
                <w:color w:val="auto"/>
                <w:sz w:val="24"/>
              </w:rPr>
              <w:t>该工序</w:t>
            </w:r>
            <w:r>
              <w:rPr>
                <w:color w:val="auto"/>
                <w:sz w:val="24"/>
              </w:rPr>
              <w:t>则共需用水</w:t>
            </w:r>
            <w:r>
              <w:rPr>
                <w:rFonts w:hint="eastAsia"/>
                <w:color w:val="auto"/>
                <w:sz w:val="24"/>
              </w:rPr>
              <w:t>997</w:t>
            </w:r>
            <w:r>
              <w:rPr>
                <w:color w:val="auto"/>
                <w:sz w:val="24"/>
              </w:rPr>
              <w:t>t，该工序废水量为</w:t>
            </w:r>
            <w:r>
              <w:rPr>
                <w:rFonts w:hint="eastAsia"/>
                <w:color w:val="auto"/>
                <w:sz w:val="24"/>
              </w:rPr>
              <w:t>900</w:t>
            </w:r>
            <w:r>
              <w:rPr>
                <w:color w:val="auto"/>
                <w:sz w:val="24"/>
              </w:rPr>
              <w:t>t/a</w:t>
            </w:r>
            <w:r>
              <w:rPr>
                <w:rFonts w:hint="eastAsia"/>
                <w:color w:val="auto"/>
                <w:sz w:val="24"/>
              </w:rPr>
              <w:t>。</w:t>
            </w:r>
          </w:p>
          <w:p w14:paraId="460FE80A">
            <w:pPr>
              <w:tabs>
                <w:tab w:val="left" w:pos="720"/>
              </w:tabs>
              <w:adjustRightInd w:val="0"/>
              <w:snapToGrid w:val="0"/>
              <w:spacing w:line="360" w:lineRule="auto"/>
              <w:ind w:firstLine="480" w:firstLineChars="200"/>
              <w:rPr>
                <w:color w:val="auto"/>
                <w:sz w:val="24"/>
              </w:rPr>
            </w:pPr>
            <w:r>
              <w:rPr>
                <w:rFonts w:hint="eastAsia"/>
                <w:color w:val="auto"/>
                <w:sz w:val="24"/>
              </w:rPr>
              <w:t>陶化用水：陶化液中的化学成分与金属表面发生化学反应，生成一层陶化膜，增强金属表面的耐腐蚀性和涂层附着力。根据企业提供资料，陶化</w:t>
            </w:r>
            <w:r>
              <w:rPr>
                <w:color w:val="auto"/>
                <w:sz w:val="24"/>
              </w:rPr>
              <w:t>工段使用</w:t>
            </w:r>
            <w:r>
              <w:rPr>
                <w:rFonts w:hint="eastAsia"/>
                <w:color w:val="auto"/>
                <w:sz w:val="24"/>
              </w:rPr>
              <w:t>陶化</w:t>
            </w:r>
            <w:r>
              <w:rPr>
                <w:color w:val="auto"/>
                <w:sz w:val="24"/>
              </w:rPr>
              <w:t>剂</w:t>
            </w:r>
            <w:r>
              <w:rPr>
                <w:rFonts w:hint="eastAsia"/>
                <w:color w:val="auto"/>
                <w:sz w:val="24"/>
              </w:rPr>
              <w:t>共1</w:t>
            </w:r>
            <w:r>
              <w:rPr>
                <w:color w:val="auto"/>
                <w:sz w:val="24"/>
              </w:rPr>
              <w:t>t/a，药剂与水配比为</w:t>
            </w:r>
            <w:r>
              <w:rPr>
                <w:rFonts w:hint="eastAsia"/>
                <w:color w:val="auto"/>
                <w:sz w:val="24"/>
              </w:rPr>
              <w:t>1</w:t>
            </w:r>
            <w:r>
              <w:rPr>
                <w:rFonts w:hint="eastAsia"/>
                <w:color w:val="auto"/>
                <w:sz w:val="24"/>
                <w:lang w:eastAsia="zh-CN"/>
              </w:rPr>
              <w:t>:</w:t>
            </w:r>
            <w:r>
              <w:rPr>
                <w:rFonts w:hint="eastAsia"/>
                <w:color w:val="auto"/>
                <w:sz w:val="24"/>
              </w:rPr>
              <w:t>499</w:t>
            </w:r>
            <w:r>
              <w:rPr>
                <w:color w:val="auto"/>
                <w:sz w:val="24"/>
              </w:rPr>
              <w:t>，故需要配水约</w:t>
            </w:r>
            <w:r>
              <w:rPr>
                <w:rFonts w:hint="eastAsia"/>
                <w:color w:val="auto"/>
                <w:sz w:val="24"/>
              </w:rPr>
              <w:t>499</w:t>
            </w:r>
            <w:r>
              <w:rPr>
                <w:color w:val="auto"/>
                <w:sz w:val="24"/>
              </w:rPr>
              <w:t>t/a，</w:t>
            </w:r>
            <w:r>
              <w:rPr>
                <w:rFonts w:hint="eastAsia"/>
                <w:color w:val="auto"/>
                <w:sz w:val="24"/>
              </w:rPr>
              <w:t>算上防锈剂，防锈液总共500t/a，</w:t>
            </w:r>
            <w:r>
              <w:rPr>
                <w:color w:val="auto"/>
                <w:sz w:val="24"/>
              </w:rPr>
              <w:t>根据《建筑给水排水及采暖工程设计规范》GB 50015-2015，喷淋系统中的水损应控制在10%以内</w:t>
            </w:r>
            <w:r>
              <w:rPr>
                <w:rFonts w:hint="eastAsia"/>
                <w:color w:val="auto"/>
                <w:sz w:val="24"/>
              </w:rPr>
              <w:t>，</w:t>
            </w:r>
            <w:r>
              <w:rPr>
                <w:rFonts w:hint="eastAsia"/>
                <w:color w:val="auto"/>
                <w:kern w:val="2"/>
                <w:sz w:val="24"/>
                <w:szCs w:val="24"/>
                <w:lang w:val="en-US" w:eastAsia="zh-CN"/>
              </w:rPr>
              <w:t>水损耗主要为蒸发以及物件带走损耗量，</w:t>
            </w:r>
            <w:r>
              <w:rPr>
                <w:rFonts w:hint="eastAsia"/>
                <w:color w:val="auto"/>
                <w:sz w:val="24"/>
              </w:rPr>
              <w:t>本项目高压</w:t>
            </w:r>
            <w:r>
              <w:rPr>
                <w:color w:val="auto"/>
                <w:sz w:val="24"/>
              </w:rPr>
              <w:t>喷淋水洗时水损耗</w:t>
            </w:r>
            <w:r>
              <w:rPr>
                <w:rFonts w:hint="eastAsia"/>
                <w:color w:val="auto"/>
                <w:sz w:val="24"/>
              </w:rPr>
              <w:t>以</w:t>
            </w:r>
            <w:r>
              <w:rPr>
                <w:color w:val="auto"/>
                <w:sz w:val="24"/>
              </w:rPr>
              <w:t>10%</w:t>
            </w:r>
            <w:r>
              <w:rPr>
                <w:rFonts w:hint="eastAsia"/>
                <w:color w:val="auto"/>
                <w:sz w:val="24"/>
              </w:rPr>
              <w:t>来计</w:t>
            </w:r>
            <w:r>
              <w:rPr>
                <w:color w:val="auto"/>
                <w:sz w:val="24"/>
              </w:rPr>
              <w:t>，采用</w:t>
            </w:r>
            <w:r>
              <w:rPr>
                <w:rFonts w:hint="eastAsia"/>
                <w:color w:val="auto"/>
                <w:kern w:val="2"/>
                <w:sz w:val="24"/>
                <w:szCs w:val="24"/>
                <w:lang w:val="en-US" w:eastAsia="zh-CN"/>
              </w:rPr>
              <w:t>循环使用定期</w:t>
            </w:r>
            <w:r>
              <w:rPr>
                <w:color w:val="auto"/>
                <w:kern w:val="2"/>
                <w:sz w:val="24"/>
                <w:szCs w:val="24"/>
              </w:rPr>
              <w:t>排放</w:t>
            </w:r>
            <w:r>
              <w:rPr>
                <w:rFonts w:hint="eastAsia"/>
                <w:color w:val="auto"/>
                <w:kern w:val="2"/>
                <w:sz w:val="24"/>
                <w:szCs w:val="24"/>
                <w:lang w:eastAsia="zh-CN"/>
              </w:rPr>
              <w:t>的</w:t>
            </w:r>
            <w:r>
              <w:rPr>
                <w:color w:val="auto"/>
                <w:sz w:val="24"/>
              </w:rPr>
              <w:t>方式，则溢流排放水量为</w:t>
            </w:r>
            <w:r>
              <w:rPr>
                <w:rFonts w:hint="eastAsia"/>
                <w:color w:val="auto"/>
                <w:sz w:val="24"/>
              </w:rPr>
              <w:t>450</w:t>
            </w:r>
            <w:r>
              <w:rPr>
                <w:color w:val="auto"/>
                <w:sz w:val="24"/>
              </w:rPr>
              <w:t>t/a，外排至污水管网至厂区污水站</w:t>
            </w:r>
            <w:r>
              <w:rPr>
                <w:rFonts w:hint="eastAsia"/>
                <w:color w:val="auto"/>
                <w:sz w:val="24"/>
              </w:rPr>
              <w:t>。</w:t>
            </w:r>
          </w:p>
          <w:p w14:paraId="67AC14EA">
            <w:pPr>
              <w:tabs>
                <w:tab w:val="left" w:pos="720"/>
              </w:tabs>
              <w:adjustRightInd w:val="0"/>
              <w:snapToGrid w:val="0"/>
              <w:spacing w:line="360" w:lineRule="auto"/>
              <w:ind w:firstLine="480" w:firstLineChars="200"/>
              <w:rPr>
                <w:color w:val="auto"/>
                <w:sz w:val="24"/>
              </w:rPr>
            </w:pPr>
            <w:r>
              <w:rPr>
                <w:rFonts w:hint="eastAsia"/>
                <w:color w:val="auto"/>
                <w:sz w:val="24"/>
              </w:rPr>
              <w:t>该工序</w:t>
            </w:r>
            <w:r>
              <w:rPr>
                <w:color w:val="auto"/>
                <w:sz w:val="24"/>
              </w:rPr>
              <w:t>则共需用水</w:t>
            </w:r>
            <w:r>
              <w:rPr>
                <w:rFonts w:hint="eastAsia"/>
                <w:color w:val="auto"/>
                <w:sz w:val="24"/>
              </w:rPr>
              <w:t>499</w:t>
            </w:r>
            <w:r>
              <w:rPr>
                <w:color w:val="auto"/>
                <w:sz w:val="24"/>
              </w:rPr>
              <w:t>t，该工序废水量为</w:t>
            </w:r>
            <w:r>
              <w:rPr>
                <w:rFonts w:hint="eastAsia"/>
                <w:color w:val="auto"/>
                <w:sz w:val="24"/>
              </w:rPr>
              <w:t>450</w:t>
            </w:r>
            <w:r>
              <w:rPr>
                <w:color w:val="auto"/>
                <w:sz w:val="24"/>
              </w:rPr>
              <w:t>t/a</w:t>
            </w:r>
            <w:r>
              <w:rPr>
                <w:rFonts w:hint="eastAsia"/>
                <w:color w:val="auto"/>
                <w:sz w:val="24"/>
              </w:rPr>
              <w:t>。</w:t>
            </w:r>
          </w:p>
          <w:p w14:paraId="1EF99549">
            <w:pPr>
              <w:tabs>
                <w:tab w:val="left" w:pos="720"/>
              </w:tabs>
              <w:adjustRightInd w:val="0"/>
              <w:snapToGrid w:val="0"/>
              <w:spacing w:line="360" w:lineRule="auto"/>
              <w:ind w:firstLine="480" w:firstLineChars="200"/>
              <w:rPr>
                <w:color w:val="auto"/>
                <w:sz w:val="24"/>
              </w:rPr>
            </w:pPr>
            <w:r>
              <w:rPr>
                <w:rFonts w:hint="eastAsia"/>
                <w:color w:val="auto"/>
                <w:sz w:val="24"/>
              </w:rPr>
              <w:t>陶化后水洗用水：陶化后要进行水洗，通过水的冲刷作用，清洗掉陶化过程中残留的化学物质，防止污染后续工序。该工序水温为常温</w:t>
            </w:r>
            <w:r>
              <w:rPr>
                <w:color w:val="auto"/>
                <w:sz w:val="24"/>
              </w:rPr>
              <w:t>，使用自来水，根据企业提供信息，水洗槽有效容积为2.5立方米，本项目设有2个水洗槽</w:t>
            </w:r>
            <w:r>
              <w:rPr>
                <w:rFonts w:hint="eastAsia"/>
                <w:color w:val="auto"/>
                <w:sz w:val="24"/>
              </w:rPr>
              <w:t>，</w:t>
            </w:r>
            <w:r>
              <w:rPr>
                <w:color w:val="auto"/>
                <w:sz w:val="24"/>
              </w:rPr>
              <w:t>工作</w:t>
            </w:r>
            <w:r>
              <w:rPr>
                <w:rFonts w:hint="eastAsia"/>
                <w:color w:val="auto"/>
                <w:sz w:val="24"/>
              </w:rPr>
              <w:t>时采用高压</w:t>
            </w:r>
            <w:r>
              <w:rPr>
                <w:color w:val="auto"/>
                <w:sz w:val="24"/>
              </w:rPr>
              <w:t>喷淋</w:t>
            </w:r>
            <w:r>
              <w:rPr>
                <w:rFonts w:hint="eastAsia"/>
                <w:color w:val="auto"/>
                <w:sz w:val="24"/>
              </w:rPr>
              <w:t>方</w:t>
            </w:r>
            <w:r>
              <w:rPr>
                <w:color w:val="auto"/>
                <w:sz w:val="24"/>
              </w:rPr>
              <w:t>式</w:t>
            </w:r>
            <w:r>
              <w:rPr>
                <w:rFonts w:hint="eastAsia"/>
                <w:color w:val="auto"/>
                <w:sz w:val="24"/>
              </w:rPr>
              <w:t>清洗挂件</w:t>
            </w:r>
            <w:r>
              <w:rPr>
                <w:color w:val="auto"/>
                <w:sz w:val="24"/>
              </w:rPr>
              <w:t>，</w:t>
            </w:r>
            <w:r>
              <w:rPr>
                <w:rFonts w:hint="eastAsia"/>
                <w:color w:val="auto"/>
                <w:sz w:val="24"/>
              </w:rPr>
              <w:t>设置喷淋水流量为0.3m</w:t>
            </w:r>
            <w:r>
              <w:rPr>
                <w:rFonts w:hint="eastAsia"/>
                <w:color w:val="auto"/>
                <w:sz w:val="24"/>
                <w:vertAlign w:val="superscript"/>
              </w:rPr>
              <w:t>3</w:t>
            </w:r>
            <w:r>
              <w:rPr>
                <w:rFonts w:hint="eastAsia"/>
                <w:color w:val="auto"/>
                <w:sz w:val="24"/>
              </w:rPr>
              <w:t>/h，每天工作12小时，年工作300天，喷淋用水量为2160t/a，</w:t>
            </w:r>
            <w:r>
              <w:rPr>
                <w:color w:val="auto"/>
                <w:sz w:val="24"/>
              </w:rPr>
              <w:t>水槽水量为5t</w:t>
            </w:r>
            <w:r>
              <w:rPr>
                <w:rFonts w:hint="eastAsia"/>
                <w:color w:val="auto"/>
                <w:sz w:val="24"/>
              </w:rPr>
              <w:t>，</w:t>
            </w:r>
            <w:r>
              <w:rPr>
                <w:color w:val="auto"/>
                <w:sz w:val="24"/>
              </w:rPr>
              <w:t>根据《建筑给水排水及采暖工程设计规范》GB 50015-2015，喷淋系统中的水损应控制在10%以内</w:t>
            </w:r>
            <w:r>
              <w:rPr>
                <w:rFonts w:hint="eastAsia"/>
                <w:color w:val="auto"/>
                <w:sz w:val="24"/>
              </w:rPr>
              <w:t>，本项目</w:t>
            </w:r>
            <w:r>
              <w:rPr>
                <w:color w:val="auto"/>
                <w:sz w:val="24"/>
              </w:rPr>
              <w:t>喷淋水洗时水损耗</w:t>
            </w:r>
            <w:r>
              <w:rPr>
                <w:rFonts w:hint="eastAsia"/>
                <w:color w:val="auto"/>
                <w:sz w:val="24"/>
              </w:rPr>
              <w:t>以</w:t>
            </w:r>
            <w:r>
              <w:rPr>
                <w:color w:val="auto"/>
                <w:sz w:val="24"/>
              </w:rPr>
              <w:t>10%</w:t>
            </w:r>
            <w:r>
              <w:rPr>
                <w:rFonts w:hint="eastAsia"/>
                <w:color w:val="auto"/>
                <w:sz w:val="24"/>
              </w:rPr>
              <w:t>来计，</w:t>
            </w:r>
            <w:r>
              <w:rPr>
                <w:rFonts w:hint="eastAsia"/>
                <w:color w:val="auto"/>
                <w:kern w:val="2"/>
                <w:sz w:val="24"/>
                <w:szCs w:val="24"/>
                <w:lang w:val="en-US" w:eastAsia="zh-CN"/>
              </w:rPr>
              <w:t>水损耗主要为蒸发以及物件带走损耗量，</w:t>
            </w:r>
            <w:r>
              <w:rPr>
                <w:rFonts w:hint="eastAsia"/>
                <w:color w:val="auto"/>
                <w:sz w:val="24"/>
              </w:rPr>
              <w:t>采用循环使用定期排放的方式，则</w:t>
            </w:r>
            <w:r>
              <w:rPr>
                <w:color w:val="auto"/>
                <w:sz w:val="24"/>
              </w:rPr>
              <w:t>排放</w:t>
            </w:r>
            <w:r>
              <w:rPr>
                <w:rFonts w:hint="eastAsia"/>
                <w:color w:val="auto"/>
                <w:sz w:val="24"/>
              </w:rPr>
              <w:t>水量为1944t/a，</w:t>
            </w:r>
            <w:r>
              <w:rPr>
                <w:color w:val="auto"/>
                <w:sz w:val="24"/>
              </w:rPr>
              <w:t>外排至污水管网至厂区污水站</w:t>
            </w:r>
            <w:r>
              <w:rPr>
                <w:rFonts w:hint="eastAsia"/>
                <w:color w:val="auto"/>
                <w:sz w:val="24"/>
              </w:rPr>
              <w:t>。</w:t>
            </w:r>
          </w:p>
          <w:p w14:paraId="17C09D22">
            <w:pPr>
              <w:tabs>
                <w:tab w:val="left" w:pos="720"/>
              </w:tabs>
              <w:adjustRightInd w:val="0"/>
              <w:snapToGrid w:val="0"/>
              <w:spacing w:line="360" w:lineRule="auto"/>
              <w:ind w:firstLine="480" w:firstLineChars="200"/>
              <w:rPr>
                <w:color w:val="auto"/>
                <w:sz w:val="24"/>
              </w:rPr>
            </w:pPr>
            <w:r>
              <w:rPr>
                <w:rFonts w:hint="eastAsia"/>
                <w:color w:val="auto"/>
                <w:sz w:val="24"/>
              </w:rPr>
              <w:t>该工序</w:t>
            </w:r>
            <w:r>
              <w:rPr>
                <w:color w:val="auto"/>
                <w:sz w:val="24"/>
              </w:rPr>
              <w:t>则共需用水</w:t>
            </w:r>
            <w:r>
              <w:rPr>
                <w:rFonts w:hint="eastAsia"/>
                <w:color w:val="auto"/>
                <w:sz w:val="24"/>
              </w:rPr>
              <w:t>2165</w:t>
            </w:r>
            <w:r>
              <w:rPr>
                <w:color w:val="auto"/>
                <w:sz w:val="24"/>
              </w:rPr>
              <w:t>t，该工序废水量为</w:t>
            </w:r>
            <w:r>
              <w:rPr>
                <w:rFonts w:hint="eastAsia"/>
                <w:color w:val="auto"/>
                <w:sz w:val="24"/>
              </w:rPr>
              <w:t>1944</w:t>
            </w:r>
            <w:r>
              <w:rPr>
                <w:color w:val="auto"/>
                <w:sz w:val="24"/>
              </w:rPr>
              <w:t>t/a</w:t>
            </w:r>
            <w:r>
              <w:rPr>
                <w:rFonts w:hint="eastAsia"/>
                <w:color w:val="auto"/>
                <w:sz w:val="24"/>
              </w:rPr>
              <w:t>。</w:t>
            </w:r>
          </w:p>
          <w:p w14:paraId="00A11BCC">
            <w:pPr>
              <w:adjustRightInd w:val="0"/>
              <w:snapToGrid w:val="0"/>
              <w:spacing w:line="360" w:lineRule="auto"/>
              <w:ind w:firstLine="482" w:firstLineChars="200"/>
              <w:rPr>
                <w:b/>
                <w:bCs/>
                <w:color w:val="auto"/>
                <w:sz w:val="24"/>
              </w:rPr>
            </w:pPr>
            <w:r>
              <w:rPr>
                <w:b/>
                <w:bCs/>
                <w:color w:val="auto"/>
                <w:sz w:val="24"/>
              </w:rPr>
              <w:t>②</w:t>
            </w:r>
            <w:r>
              <w:rPr>
                <w:rFonts w:hint="eastAsia"/>
                <w:b/>
                <w:bCs/>
                <w:color w:val="auto"/>
                <w:sz w:val="24"/>
              </w:rPr>
              <w:t>喷枪清洗用水：</w:t>
            </w:r>
          </w:p>
          <w:p w14:paraId="2746156D">
            <w:pPr>
              <w:adjustRightInd w:val="0"/>
              <w:snapToGrid w:val="0"/>
              <w:spacing w:line="360" w:lineRule="auto"/>
              <w:ind w:firstLine="480" w:firstLineChars="200"/>
              <w:rPr>
                <w:color w:val="auto"/>
                <w:sz w:val="24"/>
              </w:rPr>
            </w:pPr>
            <w:r>
              <w:rPr>
                <w:rFonts w:hint="eastAsia"/>
                <w:color w:val="auto"/>
                <w:sz w:val="24"/>
              </w:rPr>
              <w:t>建设项目喷涂后需用清水清洗喷头。根据企业提供资料，喷头清洗用水量约为0.01t/次，每天清洗一次，则喷头清洗用水量约为3t/a，由于企业使用水性漆无需加水使用，因此清洗后得的水性漆漆料不可用于回用，在此视为危废处置，清洗过程中约有20%的损耗，80%进入危废，约2.4t清洗废水</w:t>
            </w:r>
            <w:r>
              <w:rPr>
                <w:rFonts w:hint="eastAsia"/>
                <w:color w:val="auto"/>
                <w:sz w:val="24"/>
                <w:lang w:eastAsia="zh-CN"/>
              </w:rPr>
              <w:t>当作</w:t>
            </w:r>
            <w:r>
              <w:rPr>
                <w:rFonts w:hint="eastAsia"/>
                <w:color w:val="auto"/>
                <w:sz w:val="24"/>
              </w:rPr>
              <w:t>危险废物废液，暂存在危废暂存间，定期交由有资质单位进行处置。</w:t>
            </w:r>
          </w:p>
          <w:p w14:paraId="3E39E766">
            <w:pPr>
              <w:tabs>
                <w:tab w:val="left" w:pos="720"/>
              </w:tabs>
              <w:adjustRightInd w:val="0"/>
              <w:snapToGrid w:val="0"/>
              <w:spacing w:line="360" w:lineRule="auto"/>
              <w:ind w:firstLine="480" w:firstLineChars="200"/>
              <w:rPr>
                <w:color w:val="auto"/>
                <w:sz w:val="24"/>
              </w:rPr>
            </w:pPr>
            <w:r>
              <w:rPr>
                <w:rFonts w:hint="eastAsia"/>
                <w:color w:val="auto"/>
                <w:sz w:val="24"/>
              </w:rPr>
              <w:t>合理性分析：本项目使用的漆有水性漆和油性漆，其中</w:t>
            </w:r>
            <w:r>
              <w:rPr>
                <w:rFonts w:hint="eastAsia"/>
                <w:color w:val="auto"/>
                <w:sz w:val="24"/>
                <w:lang w:eastAsia="zh-CN"/>
              </w:rPr>
              <w:t>水性漆</w:t>
            </w:r>
            <w:r>
              <w:rPr>
                <w:rFonts w:hint="eastAsia"/>
                <w:color w:val="auto"/>
                <w:sz w:val="24"/>
              </w:rPr>
              <w:t>对人体无害，不污染环境，漆膜丰满、晶莹透亮、</w:t>
            </w:r>
            <w:r>
              <w:rPr>
                <w:color w:val="auto"/>
              </w:rPr>
              <w:fldChar w:fldCharType="begin"/>
            </w:r>
            <w:r>
              <w:rPr>
                <w:color w:val="auto"/>
              </w:rPr>
              <w:instrText xml:space="preserve"> HYPERLINK "https://baike.baidu.com/item/%E6%9F%94%E9%9F%A7%E6%80%A7/719062?fromModule=lemma_inlink" \t "https://baike.baidu.com/item/%E6%B0%B4%E6%80%A7%E6%BC%86/_blank" </w:instrText>
            </w:r>
            <w:r>
              <w:rPr>
                <w:color w:val="auto"/>
              </w:rPr>
              <w:fldChar w:fldCharType="separate"/>
            </w:r>
            <w:r>
              <w:rPr>
                <w:rFonts w:hint="eastAsia"/>
                <w:color w:val="auto"/>
                <w:sz w:val="24"/>
              </w:rPr>
              <w:t>柔韧性</w:t>
            </w:r>
            <w:r>
              <w:rPr>
                <w:rFonts w:hint="eastAsia"/>
                <w:color w:val="auto"/>
                <w:sz w:val="24"/>
              </w:rPr>
              <w:fldChar w:fldCharType="end"/>
            </w:r>
            <w:r>
              <w:rPr>
                <w:rFonts w:hint="eastAsia"/>
                <w:color w:val="auto"/>
                <w:sz w:val="24"/>
              </w:rPr>
              <w:t>好并且具有耐水、耐磨、耐老化、耐</w:t>
            </w:r>
            <w:r>
              <w:rPr>
                <w:color w:val="auto"/>
              </w:rPr>
              <w:fldChar w:fldCharType="begin"/>
            </w:r>
            <w:r>
              <w:rPr>
                <w:color w:val="auto"/>
              </w:rPr>
              <w:instrText xml:space="preserve"> HYPERLINK "https://baike.baidu.com/item/%E9%BB%84%E5%8F%98/10903215?fromModule=lemma_inlink" \t "https://baike.baidu.com/item/%E6%B0%B4%E6%80%A7%E6%BC%86/_blank" </w:instrText>
            </w:r>
            <w:r>
              <w:rPr>
                <w:color w:val="auto"/>
              </w:rPr>
              <w:fldChar w:fldCharType="separate"/>
            </w:r>
            <w:r>
              <w:rPr>
                <w:rFonts w:hint="eastAsia"/>
                <w:color w:val="auto"/>
                <w:sz w:val="24"/>
              </w:rPr>
              <w:t>黄变</w:t>
            </w:r>
            <w:r>
              <w:rPr>
                <w:rFonts w:hint="eastAsia"/>
                <w:color w:val="auto"/>
                <w:sz w:val="24"/>
              </w:rPr>
              <w:fldChar w:fldCharType="end"/>
            </w:r>
            <w:r>
              <w:rPr>
                <w:rFonts w:hint="eastAsia"/>
                <w:color w:val="auto"/>
                <w:sz w:val="24"/>
              </w:rPr>
              <w:t>、干燥快、使用方便等特点，本项目使用的水性漆最大含水量为20%，每次喷涂完，剩余油漆不会附着在喷枪上，使用清水就可以清洗，大大减少清洗溶剂的消耗，并有效减少对施工人员的伤害；因为油性漆与稀释剂相溶，油性漆喷涂后，喷枪剩余油漆可以用稀释剂进行清洗，将使用后的喷枪直接放至10kg容量稀释剂桶内浸洗，根据企业工程经验，喷枪剩余油漆一年约0.05t，按照配比比例7:1，1桶10kg稀释剂用于清洗喷枪可行，清洗后的油漆和稀释剂转入调漆房作为原料继续进行调漆使用。</w:t>
            </w:r>
          </w:p>
          <w:p w14:paraId="41138DD2">
            <w:pPr>
              <w:tabs>
                <w:tab w:val="left" w:pos="720"/>
              </w:tabs>
              <w:adjustRightInd w:val="0"/>
              <w:snapToGrid w:val="0"/>
              <w:spacing w:line="360" w:lineRule="auto"/>
              <w:ind w:firstLine="480" w:firstLineChars="200"/>
              <w:rPr>
                <w:color w:val="auto"/>
                <w:sz w:val="24"/>
              </w:rPr>
            </w:pPr>
            <w:r>
              <w:rPr>
                <w:rFonts w:hint="eastAsia"/>
                <w:color w:val="auto"/>
                <w:sz w:val="24"/>
              </w:rPr>
              <w:t>湿式抛光工序水帘幕用水：湿式抛光工序设置环保湿式抛光一体机自带水帘幕柜收集池容量为0.3m</w:t>
            </w:r>
            <w:r>
              <w:rPr>
                <w:rFonts w:hint="eastAsia"/>
                <w:color w:val="auto"/>
                <w:sz w:val="24"/>
                <w:vertAlign w:val="superscript"/>
              </w:rPr>
              <w:t>3</w:t>
            </w:r>
            <w:r>
              <w:rPr>
                <w:rFonts w:hint="eastAsia"/>
                <w:color w:val="auto"/>
                <w:sz w:val="24"/>
              </w:rPr>
              <w:t>，水帘幕循环水量为180t/a，损耗量按循环水量的1%计为1.8t/a，每6个月更换一次，产生废液0.9t/次，年产生量为1.8t；水帘幕废液共计产生1.8t/a，水帘幕总补水量为3.6t/a。</w:t>
            </w:r>
          </w:p>
          <w:p w14:paraId="110A8C66">
            <w:pPr>
              <w:tabs>
                <w:tab w:val="left" w:pos="720"/>
              </w:tabs>
              <w:adjustRightInd w:val="0"/>
              <w:snapToGrid w:val="0"/>
              <w:spacing w:line="360" w:lineRule="auto"/>
              <w:ind w:left="840" w:hanging="360"/>
              <w:rPr>
                <w:color w:val="auto"/>
                <w:sz w:val="24"/>
              </w:rPr>
            </w:pPr>
            <w:r>
              <w:rPr>
                <w:color w:val="auto"/>
                <w:sz w:val="24"/>
              </w:rPr>
              <w:t>②生活用水</w:t>
            </w:r>
          </w:p>
          <w:p w14:paraId="1B368802">
            <w:pPr>
              <w:tabs>
                <w:tab w:val="left" w:pos="720"/>
              </w:tabs>
              <w:adjustRightInd w:val="0"/>
              <w:snapToGrid w:val="0"/>
              <w:spacing w:line="360" w:lineRule="auto"/>
              <w:ind w:firstLine="480" w:firstLineChars="200"/>
              <w:rPr>
                <w:color w:val="auto"/>
                <w:sz w:val="24"/>
              </w:rPr>
            </w:pPr>
            <w:r>
              <w:rPr>
                <w:color w:val="auto"/>
                <w:sz w:val="24"/>
              </w:rPr>
              <w:t>本</w:t>
            </w:r>
            <w:r>
              <w:rPr>
                <w:rFonts w:hint="eastAsia"/>
                <w:color w:val="auto"/>
                <w:sz w:val="24"/>
              </w:rPr>
              <w:t>公司</w:t>
            </w:r>
            <w:r>
              <w:rPr>
                <w:color w:val="auto"/>
                <w:sz w:val="24"/>
              </w:rPr>
              <w:t>职工3</w:t>
            </w:r>
            <w:r>
              <w:rPr>
                <w:rFonts w:hint="eastAsia"/>
                <w:color w:val="auto"/>
                <w:sz w:val="24"/>
              </w:rPr>
              <w:t>00</w:t>
            </w:r>
            <w:r>
              <w:rPr>
                <w:color w:val="auto"/>
                <w:sz w:val="24"/>
              </w:rPr>
              <w:t>人，</w:t>
            </w:r>
            <w:r>
              <w:rPr>
                <w:rFonts w:hint="eastAsia"/>
                <w:color w:val="auto"/>
                <w:sz w:val="24"/>
              </w:rPr>
              <w:t>年运行天数300天，</w:t>
            </w:r>
            <w:r>
              <w:rPr>
                <w:color w:val="auto"/>
                <w:sz w:val="24"/>
              </w:rPr>
              <w:t>根据《建筑给水排水设计规范》（GB50015-2019），办公车间水量合计按50L/天计算，则全年用水</w:t>
            </w:r>
            <w:r>
              <w:rPr>
                <w:rFonts w:hint="eastAsia"/>
                <w:color w:val="auto"/>
                <w:sz w:val="24"/>
              </w:rPr>
              <w:t>4500</w:t>
            </w:r>
            <w:r>
              <w:rPr>
                <w:color w:val="auto"/>
                <w:sz w:val="24"/>
              </w:rPr>
              <w:t>t/a，排污系数取0.</w:t>
            </w:r>
            <w:r>
              <w:rPr>
                <w:rFonts w:hint="eastAsia"/>
                <w:color w:val="auto"/>
                <w:sz w:val="24"/>
              </w:rPr>
              <w:t>9</w:t>
            </w:r>
            <w:r>
              <w:rPr>
                <w:color w:val="auto"/>
                <w:sz w:val="24"/>
              </w:rPr>
              <w:t>，则生活污水排放量为</w:t>
            </w:r>
            <w:r>
              <w:rPr>
                <w:rFonts w:hint="eastAsia"/>
                <w:color w:val="auto"/>
                <w:sz w:val="24"/>
              </w:rPr>
              <w:t>4050</w:t>
            </w:r>
            <w:r>
              <w:rPr>
                <w:color w:val="auto"/>
                <w:sz w:val="24"/>
              </w:rPr>
              <w:t>t/a。</w:t>
            </w:r>
          </w:p>
          <w:p w14:paraId="1AE50798">
            <w:pPr>
              <w:tabs>
                <w:tab w:val="left" w:pos="720"/>
              </w:tabs>
              <w:adjustRightInd w:val="0"/>
              <w:snapToGrid w:val="0"/>
              <w:spacing w:line="360" w:lineRule="auto"/>
              <w:ind w:firstLine="480" w:firstLineChars="200"/>
              <w:rPr>
                <w:color w:val="auto"/>
                <w:sz w:val="24"/>
              </w:rPr>
            </w:pPr>
            <w:r>
              <w:rPr>
                <w:rFonts w:hint="eastAsia"/>
                <w:color w:val="auto"/>
                <w:sz w:val="24"/>
              </w:rPr>
              <w:t>③食堂</w:t>
            </w:r>
            <w:r>
              <w:rPr>
                <w:color w:val="auto"/>
                <w:sz w:val="24"/>
              </w:rPr>
              <w:t>用水</w:t>
            </w:r>
          </w:p>
          <w:p w14:paraId="2F5C77BF">
            <w:pPr>
              <w:tabs>
                <w:tab w:val="left" w:pos="720"/>
              </w:tabs>
              <w:adjustRightInd w:val="0"/>
              <w:snapToGrid w:val="0"/>
              <w:spacing w:line="360" w:lineRule="auto"/>
              <w:ind w:firstLine="480" w:firstLineChars="200"/>
              <w:rPr>
                <w:color w:val="auto"/>
                <w:sz w:val="24"/>
              </w:rPr>
            </w:pPr>
            <w:r>
              <w:rPr>
                <w:rFonts w:hint="eastAsia"/>
                <w:color w:val="auto"/>
                <w:sz w:val="24"/>
              </w:rPr>
              <w:t>建设</w:t>
            </w:r>
            <w:r>
              <w:rPr>
                <w:color w:val="auto"/>
                <w:sz w:val="24"/>
              </w:rPr>
              <w:t>项目</w:t>
            </w:r>
            <w:r>
              <w:rPr>
                <w:rFonts w:hint="eastAsia" w:cs="宋体"/>
                <w:color w:val="auto"/>
                <w:sz w:val="24"/>
                <w:lang w:bidi="ar"/>
              </w:rPr>
              <w:t>食堂每日提供一餐，用餐人数</w:t>
            </w:r>
            <w:r>
              <w:rPr>
                <w:rFonts w:hint="eastAsia"/>
                <w:color w:val="auto"/>
                <w:sz w:val="24"/>
                <w:lang w:bidi="ar"/>
              </w:rPr>
              <w:t>30</w:t>
            </w:r>
            <w:r>
              <w:rPr>
                <w:color w:val="auto"/>
                <w:sz w:val="24"/>
                <w:lang w:bidi="ar"/>
              </w:rPr>
              <w:t>0</w:t>
            </w:r>
            <w:r>
              <w:rPr>
                <w:rFonts w:hint="eastAsia" w:cs="宋体"/>
                <w:color w:val="auto"/>
                <w:sz w:val="24"/>
                <w:lang w:bidi="ar"/>
              </w:rPr>
              <w:t>人，根据《建筑给水排水设计标准》</w:t>
            </w:r>
            <w:r>
              <w:rPr>
                <w:color w:val="auto"/>
                <w:sz w:val="24"/>
                <w:lang w:bidi="ar"/>
              </w:rPr>
              <w:t>(GB50015-2019</w:t>
            </w:r>
            <w:r>
              <w:rPr>
                <w:rFonts w:hint="eastAsia"/>
                <w:color w:val="auto"/>
                <w:sz w:val="24"/>
                <w:lang w:eastAsia="zh-CN" w:bidi="ar"/>
              </w:rPr>
              <w:t>）</w:t>
            </w:r>
            <w:r>
              <w:rPr>
                <w:rFonts w:hint="eastAsia" w:cs="宋体"/>
                <w:color w:val="auto"/>
                <w:sz w:val="24"/>
                <w:lang w:bidi="ar"/>
              </w:rPr>
              <w:t>表</w:t>
            </w:r>
            <w:r>
              <w:rPr>
                <w:color w:val="auto"/>
                <w:sz w:val="24"/>
                <w:lang w:bidi="ar"/>
              </w:rPr>
              <w:t>3.2.2</w:t>
            </w:r>
            <w:r>
              <w:rPr>
                <w:rFonts w:hint="eastAsia" w:cs="宋体"/>
                <w:color w:val="auto"/>
                <w:sz w:val="24"/>
                <w:lang w:bidi="ar"/>
              </w:rPr>
              <w:t>公共建筑生活用水定额及小时变化系数，快餐店、职工和学生食堂生活用水定额取</w:t>
            </w:r>
            <w:r>
              <w:rPr>
                <w:color w:val="auto"/>
                <w:sz w:val="24"/>
                <w:lang w:bidi="ar"/>
              </w:rPr>
              <w:t>15</w:t>
            </w:r>
            <w:r>
              <w:rPr>
                <w:rFonts w:hint="eastAsia"/>
                <w:color w:val="auto"/>
                <w:sz w:val="24"/>
                <w:lang w:eastAsia="zh-CN" w:bidi="ar"/>
              </w:rPr>
              <w:t>—</w:t>
            </w:r>
            <w:r>
              <w:rPr>
                <w:color w:val="auto"/>
                <w:sz w:val="24"/>
                <w:lang w:bidi="ar"/>
              </w:rPr>
              <w:t>20L/</w:t>
            </w:r>
            <w:r>
              <w:rPr>
                <w:rFonts w:hint="eastAsia" w:cs="宋体"/>
                <w:color w:val="auto"/>
                <w:sz w:val="24"/>
                <w:lang w:bidi="ar"/>
              </w:rPr>
              <w:t>人次（取</w:t>
            </w:r>
            <w:r>
              <w:rPr>
                <w:color w:val="auto"/>
                <w:sz w:val="24"/>
                <w:lang w:bidi="ar"/>
              </w:rPr>
              <w:t>20L/</w:t>
            </w:r>
            <w:r>
              <w:rPr>
                <w:rFonts w:hint="eastAsia" w:cs="宋体"/>
                <w:color w:val="auto"/>
                <w:sz w:val="24"/>
                <w:lang w:bidi="ar"/>
              </w:rPr>
              <w:t>人</w:t>
            </w:r>
            <w:r>
              <w:rPr>
                <w:color w:val="auto"/>
                <w:sz w:val="24"/>
                <w:lang w:bidi="ar"/>
              </w:rPr>
              <w:t>·</w:t>
            </w:r>
            <w:r>
              <w:rPr>
                <w:rFonts w:hint="eastAsia" w:cs="宋体"/>
                <w:color w:val="auto"/>
                <w:sz w:val="24"/>
                <w:lang w:bidi="ar"/>
              </w:rPr>
              <w:t>次），本项目食堂用水量</w:t>
            </w:r>
            <w:r>
              <w:rPr>
                <w:rFonts w:hint="eastAsia"/>
                <w:color w:val="auto"/>
                <w:sz w:val="24"/>
                <w:lang w:bidi="ar"/>
              </w:rPr>
              <w:t>1800</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，排污系数以</w:t>
            </w:r>
            <w:r>
              <w:rPr>
                <w:color w:val="auto"/>
                <w:sz w:val="24"/>
                <w:lang w:bidi="ar"/>
              </w:rPr>
              <w:t>0.9</w:t>
            </w:r>
            <w:r>
              <w:rPr>
                <w:rFonts w:hint="eastAsia" w:cs="宋体"/>
                <w:color w:val="auto"/>
                <w:sz w:val="24"/>
                <w:lang w:bidi="ar"/>
              </w:rPr>
              <w:t>计，则产生食堂废水为</w:t>
            </w:r>
            <w:r>
              <w:rPr>
                <w:rFonts w:hint="eastAsia"/>
                <w:color w:val="auto"/>
                <w:sz w:val="24"/>
                <w:lang w:bidi="ar"/>
              </w:rPr>
              <w:t>1620</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w:t>
            </w:r>
          </w:p>
          <w:p w14:paraId="150C2993">
            <w:pPr>
              <w:tabs>
                <w:tab w:val="left" w:pos="720"/>
              </w:tabs>
              <w:adjustRightInd w:val="0"/>
              <w:snapToGrid w:val="0"/>
              <w:spacing w:line="360" w:lineRule="auto"/>
              <w:jc w:val="center"/>
              <w:rPr>
                <w:color w:val="auto"/>
                <w:sz w:val="24"/>
              </w:rPr>
            </w:pPr>
            <w:r>
              <w:rPr>
                <w:rFonts w:hint="eastAsia"/>
                <w:color w:val="auto"/>
                <w:sz w:val="24"/>
              </w:rPr>
              <w:drawing>
                <wp:inline distT="0" distB="0" distL="114300" distR="114300">
                  <wp:extent cx="5228590" cy="5862955"/>
                  <wp:effectExtent l="0" t="0" r="0" b="0"/>
                  <wp:docPr id="1" name="ECB019B1-382A-4266-B25C-5B523AA43C14-1" descr="C:/Users/admin/AppData/Local/Temp/wps.NyAtf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AppData/Local/Temp/wps.NyAtfbwps"/>
                          <pic:cNvPicPr>
                            <a:picLocks noChangeAspect="1"/>
                          </pic:cNvPicPr>
                        </pic:nvPicPr>
                        <pic:blipFill>
                          <a:blip r:embed="rId11"/>
                          <a:stretch>
                            <a:fillRect/>
                          </a:stretch>
                        </pic:blipFill>
                        <pic:spPr>
                          <a:xfrm>
                            <a:off x="0" y="0"/>
                            <a:ext cx="5228590" cy="5862955"/>
                          </a:xfrm>
                          <a:prstGeom prst="rect">
                            <a:avLst/>
                          </a:prstGeom>
                        </pic:spPr>
                      </pic:pic>
                    </a:graphicData>
                  </a:graphic>
                </wp:inline>
              </w:drawing>
            </w:r>
          </w:p>
          <w:p w14:paraId="5296A862">
            <w:pPr>
              <w:keepNext/>
              <w:adjustRightInd w:val="0"/>
              <w:snapToGrid w:val="0"/>
              <w:jc w:val="center"/>
              <w:rPr>
                <w:b/>
                <w:color w:val="auto"/>
                <w:szCs w:val="21"/>
              </w:rPr>
            </w:pPr>
            <w:r>
              <w:rPr>
                <w:b/>
                <w:color w:val="auto"/>
                <w:sz w:val="24"/>
              </w:rPr>
              <w:t>图2-1  本项目水量平衡图（单位：m</w:t>
            </w:r>
            <w:r>
              <w:rPr>
                <w:b/>
                <w:color w:val="auto"/>
                <w:sz w:val="24"/>
                <w:vertAlign w:val="superscript"/>
              </w:rPr>
              <w:t>3</w:t>
            </w:r>
            <w:r>
              <w:rPr>
                <w:b/>
                <w:color w:val="auto"/>
                <w:sz w:val="24"/>
              </w:rPr>
              <w:t>/a）</w:t>
            </w:r>
          </w:p>
          <w:p w14:paraId="26F3CA37">
            <w:pPr>
              <w:tabs>
                <w:tab w:val="left" w:pos="720"/>
              </w:tabs>
              <w:adjustRightInd w:val="0"/>
              <w:snapToGrid w:val="0"/>
              <w:spacing w:line="360" w:lineRule="auto"/>
              <w:ind w:firstLine="482" w:firstLineChars="200"/>
              <w:rPr>
                <w:b/>
                <w:color w:val="auto"/>
                <w:sz w:val="24"/>
              </w:rPr>
            </w:pPr>
            <w:r>
              <w:rPr>
                <w:rFonts w:hint="eastAsia"/>
                <w:b/>
                <w:color w:val="auto"/>
                <w:sz w:val="24"/>
              </w:rPr>
              <w:t>八、物料平衡</w:t>
            </w:r>
          </w:p>
          <w:p w14:paraId="02EA040A">
            <w:pPr>
              <w:tabs>
                <w:tab w:val="left" w:pos="720"/>
              </w:tabs>
              <w:adjustRightInd w:val="0"/>
              <w:snapToGrid w:val="0"/>
              <w:spacing w:line="360" w:lineRule="auto"/>
              <w:ind w:firstLine="480" w:firstLineChars="200"/>
              <w:rPr>
                <w:rFonts w:hint="eastAsia"/>
                <w:color w:val="auto"/>
                <w:sz w:val="24"/>
              </w:rPr>
            </w:pPr>
            <w:r>
              <w:rPr>
                <w:color w:val="auto"/>
                <w:sz w:val="24"/>
              </w:rPr>
              <w:t>本项目使用喷枪喷涂，</w:t>
            </w:r>
            <w:r>
              <w:rPr>
                <w:rFonts w:hint="eastAsia"/>
                <w:color w:val="auto"/>
                <w:sz w:val="24"/>
              </w:rPr>
              <w:t>据傅绍燕编著的《涂装工艺及车间设计手册》7.5.5高压无气喷雾上漆率为60%，根据企业在喷漆时具体操作，操作过程人员不固定，对喷涂距离的把控存在差异，因此本项目水性漆喷涂过程中上漆率以55%计（即固份中有55%附着在工件表面形成漆膜，根据企业现有项目验收数据可知，35%的固份在喷漆过程中损耗形成漆雾，10%的固份在喷漆过程，落地形成废漆渣）。</w:t>
            </w:r>
          </w:p>
          <w:p w14:paraId="49F4EF15">
            <w:pPr>
              <w:tabs>
                <w:tab w:val="left" w:pos="720"/>
              </w:tabs>
              <w:adjustRightInd w:val="0"/>
              <w:snapToGrid w:val="0"/>
              <w:spacing w:line="360" w:lineRule="auto"/>
              <w:ind w:firstLine="480" w:firstLineChars="200"/>
              <w:rPr>
                <w:rFonts w:hint="eastAsia"/>
                <w:color w:val="auto"/>
                <w:sz w:val="24"/>
                <w:lang w:eastAsia="zh-CN"/>
              </w:rPr>
            </w:pPr>
            <w:r>
              <w:rPr>
                <w:rFonts w:hint="eastAsia"/>
                <w:color w:val="auto"/>
                <w:sz w:val="24"/>
              </w:rPr>
              <w:t>根据企业提供的经验资料，木制组件表面积约50000</w:t>
            </w:r>
            <w:r>
              <w:rPr>
                <w:rFonts w:hint="eastAsia"/>
                <w:color w:val="auto"/>
                <w:sz w:val="24"/>
                <w:lang w:eastAsia="zh-CN"/>
              </w:rPr>
              <w:t>平方米</w:t>
            </w:r>
            <w:r>
              <w:rPr>
                <w:rFonts w:hint="eastAsia"/>
                <w:color w:val="auto"/>
                <w:sz w:val="24"/>
              </w:rPr>
              <w:t>，其中约10%使用水性涂料进行涂装，90%使用油性涂料进行涂装，根据水性漆MSDS可知，水性漆由60%水溶性丙烯酸乳液、25%钛白粉、10%纯水、5%助剂组成，水性漆密度为0.98g/cm3，其中可知纯水占10%，根据水性漆检测报告可知2kg水性漆样品的VOC含量为84g/L，则挥发分含量为8.6%，则固体份含量为81.4%</w:t>
            </w:r>
            <w:r>
              <w:rPr>
                <w:rFonts w:hint="eastAsia"/>
                <w:color w:val="auto"/>
                <w:sz w:val="24"/>
                <w:lang w:eastAsia="zh-CN"/>
              </w:rPr>
              <w:t>。</w:t>
            </w:r>
          </w:p>
          <w:p w14:paraId="3CFE241E">
            <w:pPr>
              <w:tabs>
                <w:tab w:val="left" w:pos="720"/>
              </w:tabs>
              <w:adjustRightInd w:val="0"/>
              <w:snapToGrid w:val="0"/>
              <w:spacing w:line="360" w:lineRule="auto"/>
              <w:ind w:firstLine="480" w:firstLineChars="200"/>
              <w:rPr>
                <w:color w:val="auto"/>
                <w:sz w:val="24"/>
              </w:rPr>
            </w:pPr>
            <w:r>
              <w:rPr>
                <w:rFonts w:hint="eastAsia"/>
                <w:color w:val="auto"/>
                <w:sz w:val="24"/>
              </w:rPr>
              <w:t>项目油性漆与水性漆使用相同规格喷漆房进行喷漆，参考《污染源源强核算技术指南汽车制造》（HJ1097-2020），溶剂型涂料-空气喷涂，手动喷漆线上漆率取50%（即固份中有50%附着在工件表面形成漆膜，根据迪信家具有限公司年产800套新中式家具项目验收数据可知，35%的固份在喷漆过程中损耗形成漆雾，15%的固份在喷漆过程，落地形成废漆渣），根据油性漆MSDS可知，油性漆由75%醇酸树脂、16%滑石粉、8%醋酸丁酯、0.5%消泡剂、0.5%流平剂组成，根据油性漆VOC检测报告可知2kg样品VOC含量为354g/L，则油性漆VOC含量百分比约为37.6%，由于油性漆需添加稀释剂才能喷涂，根据企业提供资料，稀释剂挥发</w:t>
            </w:r>
            <w:r>
              <w:rPr>
                <w:rFonts w:hint="eastAsia"/>
                <w:color w:val="auto"/>
                <w:sz w:val="24"/>
                <w:lang w:eastAsia="zh-CN"/>
              </w:rPr>
              <w:t>分</w:t>
            </w:r>
            <w:r>
              <w:rPr>
                <w:rFonts w:hint="eastAsia"/>
                <w:color w:val="auto"/>
                <w:sz w:val="24"/>
              </w:rPr>
              <w:t>含量100%，且油性漆：稀释剂=7</w:t>
            </w:r>
            <w:r>
              <w:rPr>
                <w:rFonts w:hint="eastAsia"/>
                <w:color w:val="auto"/>
                <w:sz w:val="24"/>
                <w:lang w:eastAsia="zh-CN"/>
              </w:rPr>
              <w:t>:</w:t>
            </w:r>
            <w:r>
              <w:rPr>
                <w:rFonts w:hint="eastAsia"/>
                <w:color w:val="auto"/>
                <w:sz w:val="24"/>
              </w:rPr>
              <w:t>1，则油性涂料固体份含量约为54.5%</w:t>
            </w:r>
            <w:r>
              <w:rPr>
                <w:rFonts w:hint="eastAsia"/>
                <w:color w:val="auto"/>
                <w:sz w:val="24"/>
                <w:lang w:eastAsia="zh-CN"/>
              </w:rPr>
              <w:t>。</w:t>
            </w:r>
            <w:r>
              <w:rPr>
                <w:rFonts w:hint="eastAsia"/>
                <w:color w:val="auto"/>
                <w:sz w:val="24"/>
              </w:rPr>
              <w:t>因此项目用漆挥发分一览表</w:t>
            </w:r>
            <w:r>
              <w:rPr>
                <w:rFonts w:hint="eastAsia"/>
                <w:color w:val="auto"/>
                <w:sz w:val="24"/>
                <w:lang w:eastAsia="zh-CN"/>
              </w:rPr>
              <w:t>、</w:t>
            </w:r>
            <w:r>
              <w:rPr>
                <w:rFonts w:hint="eastAsia"/>
                <w:color w:val="auto"/>
                <w:sz w:val="24"/>
              </w:rPr>
              <w:t>喷漆物料平衡表见下：</w:t>
            </w:r>
          </w:p>
          <w:p w14:paraId="58DF855E">
            <w:pPr>
              <w:adjustRightInd w:val="0"/>
              <w:snapToGrid w:val="0"/>
              <w:jc w:val="center"/>
              <w:rPr>
                <w:b/>
                <w:color w:val="auto"/>
                <w:sz w:val="24"/>
              </w:rPr>
            </w:pPr>
            <w:r>
              <w:rPr>
                <w:b/>
                <w:color w:val="auto"/>
                <w:sz w:val="24"/>
              </w:rPr>
              <w:t>表2-</w:t>
            </w:r>
            <w:r>
              <w:rPr>
                <w:rFonts w:hint="eastAsia"/>
                <w:b/>
                <w:color w:val="auto"/>
                <w:sz w:val="24"/>
              </w:rPr>
              <w:t>9.1</w:t>
            </w:r>
            <w:r>
              <w:rPr>
                <w:b/>
                <w:color w:val="auto"/>
                <w:sz w:val="24"/>
              </w:rPr>
              <w:t>本项目水性漆挥发分一览表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887"/>
              <w:gridCol w:w="1327"/>
              <w:gridCol w:w="840"/>
              <w:gridCol w:w="1498"/>
              <w:gridCol w:w="1403"/>
              <w:gridCol w:w="1122"/>
            </w:tblGrid>
            <w:tr w14:paraId="3242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tcBorders>
                    <w:top w:val="single" w:color="auto" w:sz="12" w:space="0"/>
                  </w:tcBorders>
                  <w:vAlign w:val="center"/>
                </w:tcPr>
                <w:p w14:paraId="3BE4F460">
                  <w:pPr>
                    <w:adjustRightInd w:val="0"/>
                    <w:snapToGrid w:val="0"/>
                    <w:jc w:val="center"/>
                    <w:rPr>
                      <w:bCs/>
                      <w:color w:val="auto"/>
                      <w:szCs w:val="21"/>
                    </w:rPr>
                  </w:pPr>
                  <w:r>
                    <w:rPr>
                      <w:bCs/>
                      <w:color w:val="auto"/>
                      <w:szCs w:val="21"/>
                    </w:rPr>
                    <w:t>工序</w:t>
                  </w:r>
                </w:p>
              </w:tc>
              <w:tc>
                <w:tcPr>
                  <w:tcW w:w="523" w:type="pct"/>
                  <w:tcBorders>
                    <w:top w:val="single" w:color="auto" w:sz="12" w:space="0"/>
                  </w:tcBorders>
                  <w:vAlign w:val="center"/>
                </w:tcPr>
                <w:p w14:paraId="7F646A67">
                  <w:pPr>
                    <w:adjustRightInd w:val="0"/>
                    <w:snapToGrid w:val="0"/>
                    <w:jc w:val="center"/>
                    <w:rPr>
                      <w:bCs/>
                      <w:color w:val="auto"/>
                      <w:szCs w:val="21"/>
                    </w:rPr>
                  </w:pPr>
                  <w:r>
                    <w:rPr>
                      <w:bCs/>
                      <w:color w:val="auto"/>
                      <w:szCs w:val="21"/>
                    </w:rPr>
                    <w:t>物料</w:t>
                  </w:r>
                </w:p>
              </w:tc>
              <w:tc>
                <w:tcPr>
                  <w:tcW w:w="782" w:type="pct"/>
                  <w:tcBorders>
                    <w:top w:val="single" w:color="auto" w:sz="12" w:space="0"/>
                  </w:tcBorders>
                  <w:vAlign w:val="center"/>
                </w:tcPr>
                <w:p w14:paraId="1F31A1D7">
                  <w:pPr>
                    <w:adjustRightInd w:val="0"/>
                    <w:snapToGrid w:val="0"/>
                    <w:jc w:val="center"/>
                    <w:rPr>
                      <w:bCs/>
                      <w:color w:val="auto"/>
                      <w:szCs w:val="21"/>
                    </w:rPr>
                  </w:pPr>
                  <w:r>
                    <w:rPr>
                      <w:bCs/>
                      <w:color w:val="auto"/>
                      <w:szCs w:val="21"/>
                    </w:rPr>
                    <w:t>密度</w:t>
                  </w:r>
                </w:p>
              </w:tc>
              <w:tc>
                <w:tcPr>
                  <w:tcW w:w="495" w:type="pct"/>
                  <w:tcBorders>
                    <w:top w:val="single" w:color="auto" w:sz="12" w:space="0"/>
                  </w:tcBorders>
                  <w:vAlign w:val="center"/>
                </w:tcPr>
                <w:p w14:paraId="27206770">
                  <w:pPr>
                    <w:adjustRightInd w:val="0"/>
                    <w:snapToGrid w:val="0"/>
                    <w:jc w:val="center"/>
                    <w:rPr>
                      <w:bCs/>
                      <w:color w:val="auto"/>
                      <w:szCs w:val="21"/>
                    </w:rPr>
                  </w:pPr>
                  <w:r>
                    <w:rPr>
                      <w:bCs/>
                      <w:color w:val="auto"/>
                      <w:szCs w:val="21"/>
                    </w:rPr>
                    <w:t>使用量</w:t>
                  </w:r>
                </w:p>
              </w:tc>
              <w:tc>
                <w:tcPr>
                  <w:tcW w:w="881" w:type="pct"/>
                  <w:tcBorders>
                    <w:top w:val="single" w:color="auto" w:sz="12" w:space="0"/>
                  </w:tcBorders>
                  <w:vAlign w:val="center"/>
                </w:tcPr>
                <w:p w14:paraId="3855AA28">
                  <w:pPr>
                    <w:adjustRightInd w:val="0"/>
                    <w:snapToGrid w:val="0"/>
                    <w:jc w:val="center"/>
                    <w:rPr>
                      <w:bCs/>
                      <w:color w:val="auto"/>
                      <w:szCs w:val="21"/>
                    </w:rPr>
                  </w:pPr>
                  <w:r>
                    <w:rPr>
                      <w:bCs/>
                      <w:color w:val="auto"/>
                      <w:szCs w:val="21"/>
                    </w:rPr>
                    <w:t>挥发性有机物种类</w:t>
                  </w:r>
                </w:p>
              </w:tc>
              <w:tc>
                <w:tcPr>
                  <w:tcW w:w="827" w:type="pct"/>
                  <w:tcBorders>
                    <w:top w:val="single" w:color="auto" w:sz="12" w:space="0"/>
                  </w:tcBorders>
                  <w:vAlign w:val="center"/>
                </w:tcPr>
                <w:p w14:paraId="1C63FB5A">
                  <w:pPr>
                    <w:adjustRightInd w:val="0"/>
                    <w:snapToGrid w:val="0"/>
                    <w:jc w:val="center"/>
                    <w:rPr>
                      <w:bCs/>
                      <w:color w:val="auto"/>
                      <w:szCs w:val="21"/>
                    </w:rPr>
                  </w:pPr>
                  <w:r>
                    <w:rPr>
                      <w:bCs/>
                      <w:color w:val="auto"/>
                      <w:szCs w:val="21"/>
                    </w:rPr>
                    <w:t>VOC含量比例</w:t>
                  </w:r>
                </w:p>
              </w:tc>
              <w:tc>
                <w:tcPr>
                  <w:tcW w:w="661" w:type="pct"/>
                  <w:tcBorders>
                    <w:top w:val="single" w:color="auto" w:sz="12" w:space="0"/>
                  </w:tcBorders>
                  <w:vAlign w:val="center"/>
                </w:tcPr>
                <w:p w14:paraId="704C4430">
                  <w:pPr>
                    <w:adjustRightInd w:val="0"/>
                    <w:snapToGrid w:val="0"/>
                    <w:jc w:val="center"/>
                    <w:rPr>
                      <w:bCs/>
                      <w:color w:val="auto"/>
                      <w:szCs w:val="21"/>
                    </w:rPr>
                  </w:pPr>
                  <w:r>
                    <w:rPr>
                      <w:bCs/>
                      <w:color w:val="auto"/>
                      <w:szCs w:val="21"/>
                    </w:rPr>
                    <w:t>含量</w:t>
                  </w:r>
                </w:p>
              </w:tc>
            </w:tr>
            <w:tr w14:paraId="3BEF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Merge w:val="restart"/>
                  <w:tcBorders>
                    <w:left w:val="nil"/>
                  </w:tcBorders>
                  <w:vAlign w:val="center"/>
                </w:tcPr>
                <w:p w14:paraId="1D3DAF9F">
                  <w:pPr>
                    <w:adjustRightInd w:val="0"/>
                    <w:snapToGrid w:val="0"/>
                    <w:jc w:val="center"/>
                    <w:rPr>
                      <w:bCs/>
                      <w:color w:val="auto"/>
                      <w:szCs w:val="21"/>
                    </w:rPr>
                  </w:pPr>
                  <w:r>
                    <w:rPr>
                      <w:bCs/>
                      <w:color w:val="auto"/>
                      <w:szCs w:val="21"/>
                    </w:rPr>
                    <w:t>喷漆、晾干废气</w:t>
                  </w:r>
                </w:p>
              </w:tc>
              <w:tc>
                <w:tcPr>
                  <w:tcW w:w="523" w:type="pct"/>
                  <w:vAlign w:val="center"/>
                </w:tcPr>
                <w:p w14:paraId="7A778B94">
                  <w:pPr>
                    <w:adjustRightInd w:val="0"/>
                    <w:snapToGrid w:val="0"/>
                    <w:jc w:val="center"/>
                    <w:rPr>
                      <w:bCs/>
                      <w:color w:val="auto"/>
                      <w:szCs w:val="21"/>
                    </w:rPr>
                  </w:pPr>
                  <w:r>
                    <w:rPr>
                      <w:bCs/>
                      <w:color w:val="auto"/>
                      <w:szCs w:val="21"/>
                    </w:rPr>
                    <w:t>水性底漆</w:t>
                  </w:r>
                </w:p>
              </w:tc>
              <w:tc>
                <w:tcPr>
                  <w:tcW w:w="782" w:type="pct"/>
                  <w:vAlign w:val="center"/>
                </w:tcPr>
                <w:p w14:paraId="04E48114">
                  <w:pPr>
                    <w:adjustRightInd w:val="0"/>
                    <w:snapToGrid w:val="0"/>
                    <w:jc w:val="center"/>
                    <w:rPr>
                      <w:bCs/>
                      <w:color w:val="auto"/>
                      <w:szCs w:val="21"/>
                    </w:rPr>
                  </w:pPr>
                  <w:r>
                    <w:rPr>
                      <w:rFonts w:hint="eastAsia"/>
                      <w:bCs/>
                      <w:color w:val="auto"/>
                      <w:szCs w:val="21"/>
                    </w:rPr>
                    <w:t>0.98</w:t>
                  </w:r>
                  <w:r>
                    <w:rPr>
                      <w:rFonts w:hint="eastAsia"/>
                      <w:bCs/>
                      <w:color w:val="auto"/>
                      <w:szCs w:val="21"/>
                      <w:lang w:eastAsia="zh-CN"/>
                    </w:rPr>
                    <w:t>(</w:t>
                  </w:r>
                  <w:r>
                    <w:rPr>
                      <w:bCs/>
                      <w:color w:val="auto"/>
                      <w:szCs w:val="21"/>
                    </w:rPr>
                    <w:t>g/cm</w:t>
                  </w:r>
                  <w:r>
                    <w:rPr>
                      <w:bCs/>
                      <w:color w:val="auto"/>
                      <w:szCs w:val="21"/>
                      <w:vertAlign w:val="superscript"/>
                    </w:rPr>
                    <w:t>3</w:t>
                  </w:r>
                  <w:r>
                    <w:rPr>
                      <w:rFonts w:hint="eastAsia"/>
                      <w:bCs/>
                      <w:color w:val="auto"/>
                      <w:szCs w:val="21"/>
                      <w:vertAlign w:val="superscript"/>
                      <w:lang w:eastAsia="zh-CN"/>
                    </w:rPr>
                    <w:t>)</w:t>
                  </w:r>
                </w:p>
              </w:tc>
              <w:tc>
                <w:tcPr>
                  <w:tcW w:w="495" w:type="pct"/>
                  <w:vAlign w:val="center"/>
                </w:tcPr>
                <w:p w14:paraId="53E3493E">
                  <w:pPr>
                    <w:adjustRightInd w:val="0"/>
                    <w:snapToGrid w:val="0"/>
                    <w:jc w:val="center"/>
                    <w:rPr>
                      <w:bCs/>
                      <w:color w:val="auto"/>
                      <w:szCs w:val="21"/>
                    </w:rPr>
                  </w:pPr>
                  <w:r>
                    <w:rPr>
                      <w:rFonts w:hint="eastAsia"/>
                      <w:bCs/>
                      <w:color w:val="auto"/>
                      <w:szCs w:val="21"/>
                    </w:rPr>
                    <w:t>0.24</w:t>
                  </w:r>
                  <w:r>
                    <w:rPr>
                      <w:bCs/>
                      <w:color w:val="auto"/>
                      <w:szCs w:val="21"/>
                    </w:rPr>
                    <w:t>t/a</w:t>
                  </w:r>
                </w:p>
              </w:tc>
              <w:tc>
                <w:tcPr>
                  <w:tcW w:w="881" w:type="pct"/>
                  <w:vAlign w:val="center"/>
                </w:tcPr>
                <w:p w14:paraId="690B1C44">
                  <w:pPr>
                    <w:adjustRightInd w:val="0"/>
                    <w:snapToGrid w:val="0"/>
                    <w:jc w:val="center"/>
                    <w:rPr>
                      <w:bCs/>
                      <w:color w:val="auto"/>
                      <w:szCs w:val="21"/>
                    </w:rPr>
                  </w:pPr>
                  <w:r>
                    <w:rPr>
                      <w:bCs/>
                      <w:color w:val="auto"/>
                      <w:szCs w:val="21"/>
                    </w:rPr>
                    <w:t>非甲烷总烃</w:t>
                  </w:r>
                </w:p>
              </w:tc>
              <w:tc>
                <w:tcPr>
                  <w:tcW w:w="827" w:type="pct"/>
                  <w:vAlign w:val="center"/>
                </w:tcPr>
                <w:p w14:paraId="0365E6E1">
                  <w:pPr>
                    <w:adjustRightInd w:val="0"/>
                    <w:snapToGrid w:val="0"/>
                    <w:jc w:val="center"/>
                    <w:rPr>
                      <w:bCs/>
                      <w:color w:val="auto"/>
                      <w:szCs w:val="21"/>
                    </w:rPr>
                  </w:pPr>
                  <w:r>
                    <w:rPr>
                      <w:rFonts w:hint="eastAsia"/>
                      <w:bCs/>
                      <w:color w:val="auto"/>
                      <w:szCs w:val="21"/>
                      <w:lang w:val="en-US" w:eastAsia="zh-CN"/>
                    </w:rPr>
                    <w:t>8.6</w:t>
                  </w:r>
                  <w:r>
                    <w:rPr>
                      <w:rFonts w:hint="eastAsia"/>
                      <w:bCs/>
                      <w:color w:val="auto"/>
                      <w:szCs w:val="21"/>
                    </w:rPr>
                    <w:t>%</w:t>
                  </w:r>
                </w:p>
              </w:tc>
              <w:tc>
                <w:tcPr>
                  <w:tcW w:w="661" w:type="pct"/>
                  <w:vAlign w:val="center"/>
                </w:tcPr>
                <w:p w14:paraId="10275899">
                  <w:pPr>
                    <w:adjustRightInd w:val="0"/>
                    <w:snapToGrid w:val="0"/>
                    <w:jc w:val="center"/>
                    <w:rPr>
                      <w:bCs/>
                      <w:color w:val="auto"/>
                      <w:szCs w:val="21"/>
                    </w:rPr>
                  </w:pPr>
                  <w:r>
                    <w:rPr>
                      <w:rFonts w:hint="eastAsia"/>
                      <w:bCs/>
                      <w:color w:val="auto"/>
                      <w:szCs w:val="21"/>
                    </w:rPr>
                    <w:t>0.</w:t>
                  </w:r>
                  <w:r>
                    <w:rPr>
                      <w:rFonts w:hint="eastAsia"/>
                      <w:bCs/>
                      <w:color w:val="auto"/>
                      <w:szCs w:val="21"/>
                      <w:lang w:val="en-US" w:eastAsia="zh-CN"/>
                    </w:rPr>
                    <w:t>02064</w:t>
                  </w:r>
                  <w:r>
                    <w:rPr>
                      <w:bCs/>
                      <w:color w:val="auto"/>
                      <w:szCs w:val="21"/>
                    </w:rPr>
                    <w:t>t/a</w:t>
                  </w:r>
                </w:p>
              </w:tc>
            </w:tr>
            <w:tr w14:paraId="19BA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pct"/>
                  <w:vMerge w:val="continue"/>
                  <w:tcBorders>
                    <w:left w:val="nil"/>
                  </w:tcBorders>
                  <w:vAlign w:val="center"/>
                </w:tcPr>
                <w:p w14:paraId="33BAB78D">
                  <w:pPr>
                    <w:adjustRightInd w:val="0"/>
                    <w:snapToGrid w:val="0"/>
                    <w:jc w:val="center"/>
                    <w:rPr>
                      <w:bCs/>
                      <w:color w:val="auto"/>
                      <w:szCs w:val="21"/>
                    </w:rPr>
                  </w:pPr>
                </w:p>
              </w:tc>
              <w:tc>
                <w:tcPr>
                  <w:tcW w:w="523" w:type="pct"/>
                  <w:vAlign w:val="center"/>
                </w:tcPr>
                <w:p w14:paraId="36CAC0C7">
                  <w:pPr>
                    <w:adjustRightInd w:val="0"/>
                    <w:snapToGrid w:val="0"/>
                    <w:jc w:val="center"/>
                    <w:rPr>
                      <w:bCs/>
                      <w:color w:val="auto"/>
                      <w:szCs w:val="21"/>
                    </w:rPr>
                  </w:pPr>
                  <w:r>
                    <w:rPr>
                      <w:bCs/>
                      <w:color w:val="auto"/>
                      <w:szCs w:val="21"/>
                    </w:rPr>
                    <w:t>水性面漆</w:t>
                  </w:r>
                </w:p>
              </w:tc>
              <w:tc>
                <w:tcPr>
                  <w:tcW w:w="782" w:type="pct"/>
                  <w:vAlign w:val="center"/>
                </w:tcPr>
                <w:p w14:paraId="4FEFFF1B">
                  <w:pPr>
                    <w:adjustRightInd w:val="0"/>
                    <w:snapToGrid w:val="0"/>
                    <w:jc w:val="center"/>
                    <w:rPr>
                      <w:bCs/>
                      <w:color w:val="auto"/>
                      <w:szCs w:val="21"/>
                    </w:rPr>
                  </w:pPr>
                  <w:r>
                    <w:rPr>
                      <w:rFonts w:hint="eastAsia"/>
                      <w:bCs/>
                      <w:color w:val="auto"/>
                      <w:szCs w:val="21"/>
                    </w:rPr>
                    <w:t>0.98</w:t>
                  </w:r>
                  <w:r>
                    <w:rPr>
                      <w:rFonts w:hint="eastAsia"/>
                      <w:bCs/>
                      <w:color w:val="auto"/>
                      <w:szCs w:val="21"/>
                      <w:lang w:eastAsia="zh-CN"/>
                    </w:rPr>
                    <w:t>(</w:t>
                  </w:r>
                  <w:r>
                    <w:rPr>
                      <w:bCs/>
                      <w:color w:val="auto"/>
                      <w:szCs w:val="21"/>
                    </w:rPr>
                    <w:t>g/cm</w:t>
                  </w:r>
                  <w:r>
                    <w:rPr>
                      <w:bCs/>
                      <w:color w:val="auto"/>
                      <w:szCs w:val="21"/>
                      <w:vertAlign w:val="superscript"/>
                    </w:rPr>
                    <w:t>3</w:t>
                  </w:r>
                  <w:r>
                    <w:rPr>
                      <w:rFonts w:hint="eastAsia"/>
                      <w:bCs/>
                      <w:color w:val="auto"/>
                      <w:szCs w:val="21"/>
                      <w:vertAlign w:val="superscript"/>
                      <w:lang w:eastAsia="zh-CN"/>
                    </w:rPr>
                    <w:t>)</w:t>
                  </w:r>
                </w:p>
              </w:tc>
              <w:tc>
                <w:tcPr>
                  <w:tcW w:w="495" w:type="pct"/>
                  <w:vAlign w:val="center"/>
                </w:tcPr>
                <w:p w14:paraId="7A41B4B6">
                  <w:pPr>
                    <w:adjustRightInd w:val="0"/>
                    <w:snapToGrid w:val="0"/>
                    <w:jc w:val="center"/>
                    <w:rPr>
                      <w:bCs/>
                      <w:color w:val="auto"/>
                      <w:szCs w:val="21"/>
                    </w:rPr>
                  </w:pPr>
                  <w:r>
                    <w:rPr>
                      <w:rFonts w:hint="eastAsia"/>
                      <w:bCs/>
                      <w:color w:val="auto"/>
                      <w:szCs w:val="21"/>
                    </w:rPr>
                    <w:t>0.16</w:t>
                  </w:r>
                  <w:r>
                    <w:rPr>
                      <w:bCs/>
                      <w:color w:val="auto"/>
                      <w:szCs w:val="21"/>
                    </w:rPr>
                    <w:t>t/a</w:t>
                  </w:r>
                </w:p>
              </w:tc>
              <w:tc>
                <w:tcPr>
                  <w:tcW w:w="881" w:type="pct"/>
                  <w:vAlign w:val="center"/>
                </w:tcPr>
                <w:p w14:paraId="1CC83AF7">
                  <w:pPr>
                    <w:adjustRightInd w:val="0"/>
                    <w:snapToGrid w:val="0"/>
                    <w:jc w:val="center"/>
                    <w:rPr>
                      <w:bCs/>
                      <w:color w:val="auto"/>
                      <w:szCs w:val="21"/>
                    </w:rPr>
                  </w:pPr>
                  <w:r>
                    <w:rPr>
                      <w:bCs/>
                      <w:color w:val="auto"/>
                      <w:szCs w:val="21"/>
                    </w:rPr>
                    <w:t>非甲烷总烃</w:t>
                  </w:r>
                </w:p>
              </w:tc>
              <w:tc>
                <w:tcPr>
                  <w:tcW w:w="827" w:type="pct"/>
                  <w:vAlign w:val="center"/>
                </w:tcPr>
                <w:p w14:paraId="44DFADF3">
                  <w:pPr>
                    <w:adjustRightInd w:val="0"/>
                    <w:snapToGrid w:val="0"/>
                    <w:jc w:val="center"/>
                    <w:rPr>
                      <w:bCs/>
                      <w:color w:val="auto"/>
                      <w:szCs w:val="21"/>
                    </w:rPr>
                  </w:pPr>
                  <w:r>
                    <w:rPr>
                      <w:rFonts w:hint="eastAsia"/>
                      <w:bCs/>
                      <w:color w:val="auto"/>
                      <w:szCs w:val="21"/>
                      <w:lang w:val="en-US" w:eastAsia="zh-CN"/>
                    </w:rPr>
                    <w:t>8.6</w:t>
                  </w:r>
                  <w:r>
                    <w:rPr>
                      <w:rFonts w:hint="eastAsia"/>
                      <w:bCs/>
                      <w:color w:val="auto"/>
                      <w:szCs w:val="21"/>
                    </w:rPr>
                    <w:t>%</w:t>
                  </w:r>
                </w:p>
              </w:tc>
              <w:tc>
                <w:tcPr>
                  <w:tcW w:w="661" w:type="pct"/>
                  <w:vAlign w:val="center"/>
                </w:tcPr>
                <w:p w14:paraId="42DE63EA">
                  <w:pPr>
                    <w:adjustRightInd w:val="0"/>
                    <w:snapToGrid w:val="0"/>
                    <w:jc w:val="center"/>
                    <w:rPr>
                      <w:bCs/>
                      <w:color w:val="auto"/>
                      <w:szCs w:val="21"/>
                    </w:rPr>
                  </w:pPr>
                  <w:r>
                    <w:rPr>
                      <w:rFonts w:hint="eastAsia"/>
                      <w:bCs/>
                      <w:color w:val="auto"/>
                      <w:szCs w:val="21"/>
                    </w:rPr>
                    <w:t>0.</w:t>
                  </w:r>
                  <w:r>
                    <w:rPr>
                      <w:rFonts w:hint="eastAsia"/>
                      <w:bCs/>
                      <w:color w:val="auto"/>
                      <w:szCs w:val="21"/>
                      <w:lang w:val="en-US" w:eastAsia="zh-CN"/>
                    </w:rPr>
                    <w:t>01376</w:t>
                  </w:r>
                  <w:r>
                    <w:rPr>
                      <w:bCs/>
                      <w:color w:val="auto"/>
                      <w:szCs w:val="21"/>
                    </w:rPr>
                    <w:t>t/a</w:t>
                  </w:r>
                </w:p>
              </w:tc>
            </w:tr>
            <w:tr w14:paraId="538F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pct"/>
                  <w:gridSpan w:val="5"/>
                  <w:tcBorders>
                    <w:left w:val="nil"/>
                    <w:bottom w:val="single" w:color="auto" w:sz="12" w:space="0"/>
                  </w:tcBorders>
                  <w:vAlign w:val="center"/>
                </w:tcPr>
                <w:p w14:paraId="7F13DECF">
                  <w:pPr>
                    <w:adjustRightInd w:val="0"/>
                    <w:snapToGrid w:val="0"/>
                    <w:jc w:val="center"/>
                    <w:rPr>
                      <w:bCs/>
                      <w:color w:val="auto"/>
                      <w:szCs w:val="21"/>
                    </w:rPr>
                  </w:pPr>
                </w:p>
              </w:tc>
              <w:tc>
                <w:tcPr>
                  <w:tcW w:w="827" w:type="pct"/>
                  <w:tcBorders>
                    <w:bottom w:val="single" w:color="auto" w:sz="12" w:space="0"/>
                  </w:tcBorders>
                  <w:vAlign w:val="center"/>
                </w:tcPr>
                <w:p w14:paraId="77CBBAC8">
                  <w:pPr>
                    <w:adjustRightInd w:val="0"/>
                    <w:snapToGrid w:val="0"/>
                    <w:jc w:val="center"/>
                    <w:rPr>
                      <w:bCs/>
                      <w:color w:val="auto"/>
                      <w:szCs w:val="21"/>
                    </w:rPr>
                  </w:pPr>
                  <w:r>
                    <w:rPr>
                      <w:bCs/>
                      <w:color w:val="auto"/>
                      <w:szCs w:val="21"/>
                    </w:rPr>
                    <w:t>合计</w:t>
                  </w:r>
                </w:p>
              </w:tc>
              <w:tc>
                <w:tcPr>
                  <w:tcW w:w="661" w:type="pct"/>
                  <w:tcBorders>
                    <w:bottom w:val="single" w:color="auto" w:sz="12" w:space="0"/>
                  </w:tcBorders>
                  <w:vAlign w:val="center"/>
                </w:tcPr>
                <w:p w14:paraId="2E7A8A7F">
                  <w:pPr>
                    <w:adjustRightInd w:val="0"/>
                    <w:snapToGrid w:val="0"/>
                    <w:jc w:val="center"/>
                    <w:rPr>
                      <w:bCs/>
                      <w:color w:val="auto"/>
                      <w:szCs w:val="21"/>
                    </w:rPr>
                  </w:pPr>
                  <w:r>
                    <w:rPr>
                      <w:rFonts w:hint="eastAsia"/>
                      <w:bCs/>
                      <w:color w:val="auto"/>
                      <w:szCs w:val="21"/>
                    </w:rPr>
                    <w:t>0.</w:t>
                  </w:r>
                  <w:r>
                    <w:rPr>
                      <w:rFonts w:hint="eastAsia"/>
                      <w:bCs/>
                      <w:color w:val="auto"/>
                      <w:szCs w:val="21"/>
                      <w:lang w:val="en-US" w:eastAsia="zh-CN"/>
                    </w:rPr>
                    <w:t>0344</w:t>
                  </w:r>
                  <w:r>
                    <w:rPr>
                      <w:bCs/>
                      <w:color w:val="auto"/>
                      <w:szCs w:val="21"/>
                    </w:rPr>
                    <w:t>t/a</w:t>
                  </w:r>
                </w:p>
              </w:tc>
            </w:tr>
          </w:tbl>
          <w:p w14:paraId="2F8F770D">
            <w:pPr>
              <w:adjustRightInd w:val="0"/>
              <w:snapToGrid w:val="0"/>
              <w:jc w:val="center"/>
              <w:rPr>
                <w:b/>
                <w:color w:val="auto"/>
                <w:sz w:val="24"/>
              </w:rPr>
            </w:pPr>
            <w:r>
              <w:rPr>
                <w:b/>
                <w:color w:val="auto"/>
                <w:sz w:val="24"/>
              </w:rPr>
              <w:t>表2-</w:t>
            </w:r>
            <w:r>
              <w:rPr>
                <w:rFonts w:hint="eastAsia"/>
                <w:b/>
                <w:color w:val="auto"/>
                <w:sz w:val="24"/>
              </w:rPr>
              <w:t>9.2</w:t>
            </w:r>
            <w:r>
              <w:rPr>
                <w:b/>
                <w:color w:val="auto"/>
                <w:sz w:val="24"/>
              </w:rPr>
              <w:t>本项目</w:t>
            </w:r>
            <w:r>
              <w:rPr>
                <w:rFonts w:hint="eastAsia"/>
                <w:b/>
                <w:color w:val="auto"/>
                <w:sz w:val="24"/>
              </w:rPr>
              <w:t>油</w:t>
            </w:r>
            <w:r>
              <w:rPr>
                <w:b/>
                <w:color w:val="auto"/>
                <w:sz w:val="24"/>
              </w:rPr>
              <w:t>性漆挥发分一览表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835"/>
              <w:gridCol w:w="1508"/>
              <w:gridCol w:w="835"/>
              <w:gridCol w:w="1374"/>
              <w:gridCol w:w="1299"/>
              <w:gridCol w:w="911"/>
            </w:tblGrid>
            <w:tr w14:paraId="42DE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tcBorders>
                    <w:top w:val="single" w:color="auto" w:sz="12" w:space="0"/>
                  </w:tcBorders>
                  <w:vAlign w:val="center"/>
                </w:tcPr>
                <w:p w14:paraId="45B5931A">
                  <w:pPr>
                    <w:adjustRightInd w:val="0"/>
                    <w:snapToGrid w:val="0"/>
                    <w:jc w:val="center"/>
                    <w:rPr>
                      <w:bCs/>
                      <w:color w:val="auto"/>
                      <w:szCs w:val="21"/>
                    </w:rPr>
                  </w:pPr>
                  <w:r>
                    <w:rPr>
                      <w:bCs/>
                      <w:color w:val="auto"/>
                      <w:szCs w:val="21"/>
                    </w:rPr>
                    <w:t>工序</w:t>
                  </w:r>
                </w:p>
              </w:tc>
              <w:tc>
                <w:tcPr>
                  <w:tcW w:w="492" w:type="pct"/>
                  <w:tcBorders>
                    <w:top w:val="single" w:color="auto" w:sz="12" w:space="0"/>
                  </w:tcBorders>
                  <w:vAlign w:val="center"/>
                </w:tcPr>
                <w:p w14:paraId="4C1E61DC">
                  <w:pPr>
                    <w:adjustRightInd w:val="0"/>
                    <w:snapToGrid w:val="0"/>
                    <w:jc w:val="center"/>
                    <w:rPr>
                      <w:bCs/>
                      <w:color w:val="auto"/>
                      <w:szCs w:val="21"/>
                    </w:rPr>
                  </w:pPr>
                  <w:r>
                    <w:rPr>
                      <w:bCs/>
                      <w:color w:val="auto"/>
                      <w:szCs w:val="21"/>
                    </w:rPr>
                    <w:t>物料</w:t>
                  </w:r>
                </w:p>
              </w:tc>
              <w:tc>
                <w:tcPr>
                  <w:tcW w:w="889" w:type="pct"/>
                  <w:tcBorders>
                    <w:top w:val="single" w:color="auto" w:sz="12" w:space="0"/>
                  </w:tcBorders>
                  <w:vAlign w:val="center"/>
                </w:tcPr>
                <w:p w14:paraId="20EE3813">
                  <w:pPr>
                    <w:adjustRightInd w:val="0"/>
                    <w:snapToGrid w:val="0"/>
                    <w:jc w:val="center"/>
                    <w:rPr>
                      <w:bCs/>
                      <w:color w:val="auto"/>
                      <w:szCs w:val="21"/>
                    </w:rPr>
                  </w:pPr>
                  <w:r>
                    <w:rPr>
                      <w:bCs/>
                      <w:color w:val="auto"/>
                      <w:szCs w:val="21"/>
                    </w:rPr>
                    <w:t>密度</w:t>
                  </w:r>
                </w:p>
              </w:tc>
              <w:tc>
                <w:tcPr>
                  <w:tcW w:w="492" w:type="pct"/>
                  <w:tcBorders>
                    <w:top w:val="single" w:color="auto" w:sz="12" w:space="0"/>
                  </w:tcBorders>
                  <w:vAlign w:val="center"/>
                </w:tcPr>
                <w:p w14:paraId="216FAA85">
                  <w:pPr>
                    <w:adjustRightInd w:val="0"/>
                    <w:snapToGrid w:val="0"/>
                    <w:jc w:val="center"/>
                    <w:rPr>
                      <w:bCs/>
                      <w:color w:val="auto"/>
                      <w:szCs w:val="21"/>
                    </w:rPr>
                  </w:pPr>
                  <w:r>
                    <w:rPr>
                      <w:bCs/>
                      <w:color w:val="auto"/>
                      <w:szCs w:val="21"/>
                    </w:rPr>
                    <w:t>使用量</w:t>
                  </w:r>
                </w:p>
              </w:tc>
              <w:tc>
                <w:tcPr>
                  <w:tcW w:w="809" w:type="pct"/>
                  <w:tcBorders>
                    <w:top w:val="single" w:color="auto" w:sz="12" w:space="0"/>
                  </w:tcBorders>
                  <w:vAlign w:val="center"/>
                </w:tcPr>
                <w:p w14:paraId="2818E12A">
                  <w:pPr>
                    <w:adjustRightInd w:val="0"/>
                    <w:snapToGrid w:val="0"/>
                    <w:jc w:val="center"/>
                    <w:rPr>
                      <w:bCs/>
                      <w:color w:val="auto"/>
                      <w:szCs w:val="21"/>
                    </w:rPr>
                  </w:pPr>
                  <w:r>
                    <w:rPr>
                      <w:bCs/>
                      <w:color w:val="auto"/>
                      <w:szCs w:val="21"/>
                    </w:rPr>
                    <w:t>挥发性有机物种类</w:t>
                  </w:r>
                </w:p>
              </w:tc>
              <w:tc>
                <w:tcPr>
                  <w:tcW w:w="766" w:type="pct"/>
                  <w:tcBorders>
                    <w:top w:val="single" w:color="auto" w:sz="12" w:space="0"/>
                  </w:tcBorders>
                  <w:vAlign w:val="center"/>
                </w:tcPr>
                <w:p w14:paraId="27689744">
                  <w:pPr>
                    <w:adjustRightInd w:val="0"/>
                    <w:snapToGrid w:val="0"/>
                    <w:jc w:val="center"/>
                    <w:rPr>
                      <w:bCs/>
                      <w:color w:val="auto"/>
                      <w:szCs w:val="21"/>
                    </w:rPr>
                  </w:pPr>
                  <w:r>
                    <w:rPr>
                      <w:bCs/>
                      <w:color w:val="auto"/>
                      <w:szCs w:val="21"/>
                    </w:rPr>
                    <w:t>VOC含量比例</w:t>
                  </w:r>
                </w:p>
              </w:tc>
              <w:tc>
                <w:tcPr>
                  <w:tcW w:w="537" w:type="pct"/>
                  <w:tcBorders>
                    <w:top w:val="single" w:color="auto" w:sz="12" w:space="0"/>
                  </w:tcBorders>
                  <w:vAlign w:val="center"/>
                </w:tcPr>
                <w:p w14:paraId="12139D32">
                  <w:pPr>
                    <w:adjustRightInd w:val="0"/>
                    <w:snapToGrid w:val="0"/>
                    <w:jc w:val="center"/>
                    <w:rPr>
                      <w:bCs/>
                      <w:color w:val="auto"/>
                      <w:szCs w:val="21"/>
                    </w:rPr>
                  </w:pPr>
                  <w:r>
                    <w:rPr>
                      <w:bCs/>
                      <w:color w:val="auto"/>
                      <w:szCs w:val="21"/>
                    </w:rPr>
                    <w:t>含量</w:t>
                  </w:r>
                </w:p>
              </w:tc>
            </w:tr>
            <w:tr w14:paraId="691E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Merge w:val="restart"/>
                  <w:tcBorders>
                    <w:left w:val="nil"/>
                  </w:tcBorders>
                  <w:vAlign w:val="center"/>
                </w:tcPr>
                <w:p w14:paraId="7CD154F5">
                  <w:pPr>
                    <w:adjustRightInd w:val="0"/>
                    <w:snapToGrid w:val="0"/>
                    <w:jc w:val="center"/>
                    <w:rPr>
                      <w:bCs/>
                      <w:color w:val="auto"/>
                      <w:szCs w:val="21"/>
                    </w:rPr>
                  </w:pPr>
                  <w:r>
                    <w:rPr>
                      <w:bCs/>
                      <w:color w:val="auto"/>
                      <w:szCs w:val="21"/>
                    </w:rPr>
                    <w:t>喷漆、晾干、调漆废气</w:t>
                  </w:r>
                </w:p>
              </w:tc>
              <w:tc>
                <w:tcPr>
                  <w:tcW w:w="492" w:type="pct"/>
                  <w:vAlign w:val="center"/>
                </w:tcPr>
                <w:p w14:paraId="1CDFE92B">
                  <w:pPr>
                    <w:adjustRightInd w:val="0"/>
                    <w:snapToGrid w:val="0"/>
                    <w:jc w:val="center"/>
                    <w:rPr>
                      <w:bCs/>
                      <w:color w:val="auto"/>
                      <w:szCs w:val="21"/>
                    </w:rPr>
                  </w:pPr>
                  <w:r>
                    <w:rPr>
                      <w:rFonts w:hint="eastAsia"/>
                      <w:bCs/>
                      <w:color w:val="auto"/>
                      <w:szCs w:val="21"/>
                    </w:rPr>
                    <w:t>油</w:t>
                  </w:r>
                  <w:r>
                    <w:rPr>
                      <w:bCs/>
                      <w:color w:val="auto"/>
                      <w:szCs w:val="21"/>
                    </w:rPr>
                    <w:t>性</w:t>
                  </w:r>
                  <w:r>
                    <w:rPr>
                      <w:rFonts w:hint="eastAsia"/>
                      <w:bCs/>
                      <w:color w:val="auto"/>
                      <w:szCs w:val="21"/>
                    </w:rPr>
                    <w:t>底漆</w:t>
                  </w:r>
                </w:p>
              </w:tc>
              <w:tc>
                <w:tcPr>
                  <w:tcW w:w="889" w:type="pct"/>
                  <w:vAlign w:val="center"/>
                </w:tcPr>
                <w:p w14:paraId="2E56F4C2">
                  <w:pPr>
                    <w:adjustRightInd w:val="0"/>
                    <w:snapToGrid w:val="0"/>
                    <w:jc w:val="center"/>
                    <w:rPr>
                      <w:bCs/>
                      <w:color w:val="auto"/>
                      <w:szCs w:val="21"/>
                    </w:rPr>
                  </w:pPr>
                  <w:r>
                    <w:rPr>
                      <w:rFonts w:hint="eastAsia"/>
                      <w:bCs/>
                      <w:color w:val="auto"/>
                      <w:szCs w:val="21"/>
                    </w:rPr>
                    <w:t>0.94</w:t>
                  </w:r>
                  <w:r>
                    <w:rPr>
                      <w:rFonts w:hint="eastAsia"/>
                      <w:bCs/>
                      <w:color w:val="auto"/>
                      <w:szCs w:val="21"/>
                      <w:lang w:eastAsia="zh-CN"/>
                    </w:rPr>
                    <w:t>(</w:t>
                  </w:r>
                  <w:r>
                    <w:rPr>
                      <w:bCs/>
                      <w:color w:val="auto"/>
                      <w:szCs w:val="21"/>
                    </w:rPr>
                    <w:t>g/cm</w:t>
                  </w:r>
                  <w:r>
                    <w:rPr>
                      <w:bCs/>
                      <w:color w:val="auto"/>
                      <w:szCs w:val="21"/>
                      <w:vertAlign w:val="superscript"/>
                    </w:rPr>
                    <w:t>3</w:t>
                  </w:r>
                  <w:r>
                    <w:rPr>
                      <w:rFonts w:hint="eastAsia"/>
                      <w:bCs/>
                      <w:color w:val="auto"/>
                      <w:szCs w:val="21"/>
                      <w:vertAlign w:val="superscript"/>
                      <w:lang w:eastAsia="zh-CN"/>
                    </w:rPr>
                    <w:t>)</w:t>
                  </w:r>
                </w:p>
              </w:tc>
              <w:tc>
                <w:tcPr>
                  <w:tcW w:w="492" w:type="pct"/>
                  <w:vAlign w:val="center"/>
                </w:tcPr>
                <w:p w14:paraId="42C485CA">
                  <w:pPr>
                    <w:adjustRightInd w:val="0"/>
                    <w:snapToGrid w:val="0"/>
                    <w:jc w:val="center"/>
                    <w:rPr>
                      <w:bCs/>
                      <w:color w:val="auto"/>
                      <w:szCs w:val="21"/>
                    </w:rPr>
                  </w:pPr>
                  <w:r>
                    <w:rPr>
                      <w:rFonts w:hint="eastAsia"/>
                      <w:bCs/>
                      <w:color w:val="auto"/>
                      <w:szCs w:val="21"/>
                    </w:rPr>
                    <w:t>1.92</w:t>
                  </w:r>
                  <w:r>
                    <w:rPr>
                      <w:bCs/>
                      <w:color w:val="auto"/>
                      <w:szCs w:val="21"/>
                    </w:rPr>
                    <w:t>t/a</w:t>
                  </w:r>
                </w:p>
              </w:tc>
              <w:tc>
                <w:tcPr>
                  <w:tcW w:w="809" w:type="pct"/>
                  <w:vAlign w:val="center"/>
                </w:tcPr>
                <w:p w14:paraId="7AFD74B3">
                  <w:pPr>
                    <w:adjustRightInd w:val="0"/>
                    <w:snapToGrid w:val="0"/>
                    <w:jc w:val="center"/>
                    <w:rPr>
                      <w:bCs/>
                      <w:color w:val="auto"/>
                      <w:szCs w:val="21"/>
                    </w:rPr>
                  </w:pPr>
                  <w:r>
                    <w:rPr>
                      <w:bCs/>
                      <w:color w:val="auto"/>
                      <w:szCs w:val="21"/>
                    </w:rPr>
                    <w:t>非甲烷总烃</w:t>
                  </w:r>
                </w:p>
              </w:tc>
              <w:tc>
                <w:tcPr>
                  <w:tcW w:w="766" w:type="pct"/>
                  <w:vAlign w:val="center"/>
                </w:tcPr>
                <w:p w14:paraId="00A73F43">
                  <w:pPr>
                    <w:adjustRightInd w:val="0"/>
                    <w:snapToGrid w:val="0"/>
                    <w:jc w:val="center"/>
                    <w:rPr>
                      <w:bCs/>
                      <w:color w:val="auto"/>
                      <w:szCs w:val="21"/>
                    </w:rPr>
                  </w:pPr>
                  <w:r>
                    <w:rPr>
                      <w:rFonts w:hint="eastAsia"/>
                      <w:bCs/>
                      <w:color w:val="auto"/>
                      <w:szCs w:val="21"/>
                      <w:lang w:val="en-US" w:eastAsia="zh-CN"/>
                    </w:rPr>
                    <w:t>45.</w:t>
                  </w:r>
                  <w:r>
                    <w:rPr>
                      <w:rFonts w:hint="eastAsia"/>
                      <w:bCs/>
                      <w:color w:val="auto"/>
                      <w:szCs w:val="21"/>
                    </w:rPr>
                    <w:t>5%</w:t>
                  </w:r>
                </w:p>
              </w:tc>
              <w:tc>
                <w:tcPr>
                  <w:tcW w:w="537" w:type="pct"/>
                  <w:vAlign w:val="center"/>
                </w:tcPr>
                <w:p w14:paraId="17B0F7AC">
                  <w:pPr>
                    <w:adjustRightInd w:val="0"/>
                    <w:snapToGrid w:val="0"/>
                    <w:jc w:val="center"/>
                    <w:rPr>
                      <w:bCs/>
                      <w:color w:val="auto"/>
                      <w:szCs w:val="21"/>
                    </w:rPr>
                  </w:pPr>
                  <w:r>
                    <w:rPr>
                      <w:rFonts w:hint="eastAsia"/>
                      <w:bCs/>
                      <w:color w:val="auto"/>
                      <w:szCs w:val="21"/>
                    </w:rPr>
                    <w:t>0.</w:t>
                  </w:r>
                  <w:r>
                    <w:rPr>
                      <w:rFonts w:hint="eastAsia"/>
                      <w:bCs/>
                      <w:color w:val="auto"/>
                      <w:szCs w:val="21"/>
                      <w:lang w:val="en-US" w:eastAsia="zh-CN"/>
                    </w:rPr>
                    <w:t>8736</w:t>
                  </w:r>
                  <w:r>
                    <w:rPr>
                      <w:bCs/>
                      <w:color w:val="auto"/>
                      <w:szCs w:val="21"/>
                    </w:rPr>
                    <w:t>t/a</w:t>
                  </w:r>
                </w:p>
              </w:tc>
            </w:tr>
            <w:tr w14:paraId="1F8B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Merge w:val="continue"/>
                  <w:tcBorders>
                    <w:left w:val="nil"/>
                  </w:tcBorders>
                  <w:vAlign w:val="center"/>
                </w:tcPr>
                <w:p w14:paraId="54CA5BC9">
                  <w:pPr>
                    <w:adjustRightInd w:val="0"/>
                    <w:snapToGrid w:val="0"/>
                    <w:jc w:val="center"/>
                    <w:rPr>
                      <w:bCs/>
                      <w:color w:val="auto"/>
                      <w:szCs w:val="21"/>
                    </w:rPr>
                  </w:pPr>
                </w:p>
              </w:tc>
              <w:tc>
                <w:tcPr>
                  <w:tcW w:w="492" w:type="pct"/>
                  <w:vAlign w:val="center"/>
                </w:tcPr>
                <w:p w14:paraId="1D524F50">
                  <w:pPr>
                    <w:adjustRightInd w:val="0"/>
                    <w:snapToGrid w:val="0"/>
                    <w:jc w:val="center"/>
                    <w:rPr>
                      <w:bCs/>
                      <w:color w:val="auto"/>
                      <w:szCs w:val="21"/>
                    </w:rPr>
                  </w:pPr>
                  <w:r>
                    <w:rPr>
                      <w:rFonts w:hint="eastAsia"/>
                      <w:bCs/>
                      <w:color w:val="auto"/>
                      <w:szCs w:val="21"/>
                    </w:rPr>
                    <w:t>油</w:t>
                  </w:r>
                  <w:r>
                    <w:rPr>
                      <w:bCs/>
                      <w:color w:val="auto"/>
                      <w:szCs w:val="21"/>
                    </w:rPr>
                    <w:t>性面漆</w:t>
                  </w:r>
                </w:p>
              </w:tc>
              <w:tc>
                <w:tcPr>
                  <w:tcW w:w="889" w:type="pct"/>
                  <w:vAlign w:val="center"/>
                </w:tcPr>
                <w:p w14:paraId="518175B1">
                  <w:pPr>
                    <w:adjustRightInd w:val="0"/>
                    <w:snapToGrid w:val="0"/>
                    <w:jc w:val="center"/>
                    <w:rPr>
                      <w:bCs/>
                      <w:color w:val="auto"/>
                      <w:szCs w:val="21"/>
                    </w:rPr>
                  </w:pPr>
                  <w:r>
                    <w:rPr>
                      <w:rFonts w:hint="eastAsia"/>
                      <w:bCs/>
                      <w:color w:val="auto"/>
                      <w:szCs w:val="21"/>
                    </w:rPr>
                    <w:t>0.94</w:t>
                  </w:r>
                  <w:r>
                    <w:rPr>
                      <w:rFonts w:hint="eastAsia"/>
                      <w:bCs/>
                      <w:color w:val="auto"/>
                      <w:szCs w:val="21"/>
                      <w:lang w:eastAsia="zh-CN"/>
                    </w:rPr>
                    <w:t>(</w:t>
                  </w:r>
                  <w:r>
                    <w:rPr>
                      <w:bCs/>
                      <w:color w:val="auto"/>
                      <w:szCs w:val="21"/>
                    </w:rPr>
                    <w:t>g/cm</w:t>
                  </w:r>
                  <w:r>
                    <w:rPr>
                      <w:bCs/>
                      <w:color w:val="auto"/>
                      <w:szCs w:val="21"/>
                      <w:vertAlign w:val="superscript"/>
                    </w:rPr>
                    <w:t>3</w:t>
                  </w:r>
                  <w:r>
                    <w:rPr>
                      <w:rFonts w:hint="eastAsia"/>
                      <w:bCs/>
                      <w:color w:val="auto"/>
                      <w:szCs w:val="21"/>
                      <w:vertAlign w:val="superscript"/>
                      <w:lang w:eastAsia="zh-CN"/>
                    </w:rPr>
                    <w:t>)</w:t>
                  </w:r>
                </w:p>
              </w:tc>
              <w:tc>
                <w:tcPr>
                  <w:tcW w:w="492" w:type="pct"/>
                  <w:vAlign w:val="center"/>
                </w:tcPr>
                <w:p w14:paraId="258EDD5B">
                  <w:pPr>
                    <w:adjustRightInd w:val="0"/>
                    <w:snapToGrid w:val="0"/>
                    <w:jc w:val="center"/>
                    <w:rPr>
                      <w:bCs/>
                      <w:color w:val="auto"/>
                      <w:szCs w:val="21"/>
                    </w:rPr>
                  </w:pPr>
                  <w:r>
                    <w:rPr>
                      <w:rFonts w:hint="eastAsia"/>
                      <w:bCs/>
                      <w:color w:val="auto"/>
                      <w:szCs w:val="21"/>
                    </w:rPr>
                    <w:t>1.28</w:t>
                  </w:r>
                  <w:r>
                    <w:rPr>
                      <w:bCs/>
                      <w:color w:val="auto"/>
                      <w:szCs w:val="21"/>
                    </w:rPr>
                    <w:t>t/a</w:t>
                  </w:r>
                </w:p>
              </w:tc>
              <w:tc>
                <w:tcPr>
                  <w:tcW w:w="809" w:type="pct"/>
                  <w:vAlign w:val="center"/>
                </w:tcPr>
                <w:p w14:paraId="727EF4B9">
                  <w:pPr>
                    <w:adjustRightInd w:val="0"/>
                    <w:snapToGrid w:val="0"/>
                    <w:jc w:val="center"/>
                    <w:rPr>
                      <w:bCs/>
                      <w:color w:val="auto"/>
                      <w:szCs w:val="21"/>
                    </w:rPr>
                  </w:pPr>
                  <w:r>
                    <w:rPr>
                      <w:bCs/>
                      <w:color w:val="auto"/>
                      <w:szCs w:val="21"/>
                    </w:rPr>
                    <w:t>非甲烷总烃</w:t>
                  </w:r>
                </w:p>
              </w:tc>
              <w:tc>
                <w:tcPr>
                  <w:tcW w:w="766" w:type="pct"/>
                  <w:vAlign w:val="center"/>
                </w:tcPr>
                <w:p w14:paraId="1AB8A47C">
                  <w:pPr>
                    <w:adjustRightInd w:val="0"/>
                    <w:snapToGrid w:val="0"/>
                    <w:jc w:val="center"/>
                    <w:rPr>
                      <w:bCs/>
                      <w:color w:val="auto"/>
                      <w:szCs w:val="21"/>
                    </w:rPr>
                  </w:pPr>
                  <w:r>
                    <w:rPr>
                      <w:rFonts w:hint="eastAsia"/>
                      <w:bCs/>
                      <w:color w:val="auto"/>
                      <w:szCs w:val="21"/>
                      <w:lang w:val="en-US" w:eastAsia="zh-CN"/>
                    </w:rPr>
                    <w:t>45.</w:t>
                  </w:r>
                  <w:r>
                    <w:rPr>
                      <w:rFonts w:hint="eastAsia"/>
                      <w:bCs/>
                      <w:color w:val="auto"/>
                      <w:szCs w:val="21"/>
                    </w:rPr>
                    <w:t>5%</w:t>
                  </w:r>
                </w:p>
              </w:tc>
              <w:tc>
                <w:tcPr>
                  <w:tcW w:w="537" w:type="pct"/>
                  <w:vAlign w:val="center"/>
                </w:tcPr>
                <w:p w14:paraId="3D1E2CE3">
                  <w:pPr>
                    <w:adjustRightInd w:val="0"/>
                    <w:snapToGrid w:val="0"/>
                    <w:jc w:val="center"/>
                    <w:rPr>
                      <w:bCs/>
                      <w:color w:val="auto"/>
                      <w:szCs w:val="21"/>
                    </w:rPr>
                  </w:pPr>
                  <w:r>
                    <w:rPr>
                      <w:rFonts w:hint="eastAsia"/>
                      <w:bCs/>
                      <w:color w:val="auto"/>
                      <w:szCs w:val="21"/>
                    </w:rPr>
                    <w:t>0.</w:t>
                  </w:r>
                  <w:r>
                    <w:rPr>
                      <w:rFonts w:hint="eastAsia"/>
                      <w:bCs/>
                      <w:color w:val="auto"/>
                      <w:szCs w:val="21"/>
                      <w:lang w:val="en-US" w:eastAsia="zh-CN"/>
                    </w:rPr>
                    <w:t>5824</w:t>
                  </w:r>
                  <w:r>
                    <w:rPr>
                      <w:bCs/>
                      <w:color w:val="auto"/>
                      <w:szCs w:val="21"/>
                    </w:rPr>
                    <w:t>t/a</w:t>
                  </w:r>
                </w:p>
              </w:tc>
            </w:tr>
            <w:tr w14:paraId="0634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pct"/>
                  <w:gridSpan w:val="5"/>
                  <w:tcBorders>
                    <w:left w:val="nil"/>
                    <w:bottom w:val="single" w:color="auto" w:sz="12" w:space="0"/>
                  </w:tcBorders>
                  <w:vAlign w:val="center"/>
                </w:tcPr>
                <w:p w14:paraId="780B6920">
                  <w:pPr>
                    <w:adjustRightInd w:val="0"/>
                    <w:snapToGrid w:val="0"/>
                    <w:jc w:val="center"/>
                    <w:rPr>
                      <w:bCs/>
                      <w:color w:val="auto"/>
                      <w:szCs w:val="21"/>
                    </w:rPr>
                  </w:pPr>
                </w:p>
              </w:tc>
              <w:tc>
                <w:tcPr>
                  <w:tcW w:w="766" w:type="pct"/>
                  <w:tcBorders>
                    <w:bottom w:val="single" w:color="auto" w:sz="12" w:space="0"/>
                  </w:tcBorders>
                  <w:vAlign w:val="center"/>
                </w:tcPr>
                <w:p w14:paraId="393BE15C">
                  <w:pPr>
                    <w:adjustRightInd w:val="0"/>
                    <w:snapToGrid w:val="0"/>
                    <w:jc w:val="center"/>
                    <w:rPr>
                      <w:bCs/>
                      <w:color w:val="auto"/>
                      <w:szCs w:val="21"/>
                    </w:rPr>
                  </w:pPr>
                  <w:r>
                    <w:rPr>
                      <w:bCs/>
                      <w:color w:val="auto"/>
                      <w:szCs w:val="21"/>
                    </w:rPr>
                    <w:t>合计</w:t>
                  </w:r>
                </w:p>
              </w:tc>
              <w:tc>
                <w:tcPr>
                  <w:tcW w:w="537" w:type="pct"/>
                  <w:tcBorders>
                    <w:bottom w:val="single" w:color="auto" w:sz="12" w:space="0"/>
                  </w:tcBorders>
                  <w:vAlign w:val="center"/>
                </w:tcPr>
                <w:p w14:paraId="55408355">
                  <w:pPr>
                    <w:adjustRightInd w:val="0"/>
                    <w:snapToGrid w:val="0"/>
                    <w:jc w:val="center"/>
                    <w:rPr>
                      <w:bCs/>
                      <w:color w:val="auto"/>
                      <w:szCs w:val="21"/>
                    </w:rPr>
                  </w:pPr>
                  <w:r>
                    <w:rPr>
                      <w:rFonts w:hint="eastAsia"/>
                      <w:bCs/>
                      <w:color w:val="auto"/>
                      <w:szCs w:val="21"/>
                      <w:lang w:val="en-US" w:eastAsia="zh-CN"/>
                    </w:rPr>
                    <w:t>1.456</w:t>
                  </w:r>
                  <w:r>
                    <w:rPr>
                      <w:bCs/>
                      <w:color w:val="auto"/>
                      <w:szCs w:val="21"/>
                    </w:rPr>
                    <w:t>t/a</w:t>
                  </w:r>
                </w:p>
              </w:tc>
            </w:tr>
          </w:tbl>
          <w:p w14:paraId="02EF873B">
            <w:pPr>
              <w:adjustRightInd w:val="0"/>
              <w:snapToGrid w:val="0"/>
              <w:jc w:val="center"/>
              <w:rPr>
                <w:b/>
                <w:color w:val="auto"/>
                <w:sz w:val="24"/>
              </w:rPr>
            </w:pPr>
            <w:r>
              <w:rPr>
                <w:b/>
                <w:color w:val="auto"/>
                <w:sz w:val="24"/>
              </w:rPr>
              <w:t>表2-</w:t>
            </w:r>
            <w:r>
              <w:rPr>
                <w:rFonts w:hint="eastAsia"/>
                <w:b/>
                <w:color w:val="auto"/>
                <w:sz w:val="24"/>
              </w:rPr>
              <w:t>9.3水性漆</w:t>
            </w:r>
            <w:r>
              <w:rPr>
                <w:b/>
                <w:color w:val="auto"/>
                <w:sz w:val="24"/>
              </w:rPr>
              <w:t>喷漆物料平衡表</w:t>
            </w:r>
          </w:p>
          <w:tbl>
            <w:tblPr>
              <w:tblStyle w:val="90"/>
              <w:tblW w:w="83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71"/>
              <w:gridCol w:w="1131"/>
              <w:gridCol w:w="1608"/>
              <w:gridCol w:w="1608"/>
              <w:gridCol w:w="1931"/>
            </w:tblGrid>
            <w:tr w14:paraId="7FFDE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67" w:type="dxa"/>
                  <w:gridSpan w:val="3"/>
                  <w:tcBorders>
                    <w:tl2br w:val="nil"/>
                    <w:tr2bl w:val="nil"/>
                  </w:tcBorders>
                  <w:vAlign w:val="center"/>
                </w:tcPr>
                <w:p w14:paraId="059E86B8">
                  <w:pPr>
                    <w:pStyle w:val="368"/>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入方</w:t>
                  </w:r>
                </w:p>
              </w:tc>
              <w:tc>
                <w:tcPr>
                  <w:tcW w:w="5147" w:type="dxa"/>
                  <w:gridSpan w:val="3"/>
                  <w:tcBorders>
                    <w:tl2br w:val="nil"/>
                    <w:tr2bl w:val="nil"/>
                  </w:tcBorders>
                  <w:vAlign w:val="center"/>
                </w:tcPr>
                <w:p w14:paraId="64EBF146">
                  <w:pPr>
                    <w:pStyle w:val="368"/>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出方</w:t>
                  </w:r>
                </w:p>
              </w:tc>
            </w:tr>
            <w:tr w14:paraId="36849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tcBorders>
                    <w:tl2br w:val="nil"/>
                    <w:tr2bl w:val="nil"/>
                  </w:tcBorders>
                  <w:vAlign w:val="center"/>
                </w:tcPr>
                <w:p w14:paraId="7C267D4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原料</w:t>
                  </w:r>
                </w:p>
              </w:tc>
              <w:tc>
                <w:tcPr>
                  <w:tcW w:w="2202" w:type="dxa"/>
                  <w:gridSpan w:val="2"/>
                  <w:tcBorders>
                    <w:tl2br w:val="nil"/>
                    <w:tr2bl w:val="nil"/>
                  </w:tcBorders>
                  <w:vAlign w:val="center"/>
                </w:tcPr>
                <w:p w14:paraId="31A9E7B0">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主要成分</w:t>
                  </w:r>
                </w:p>
              </w:tc>
              <w:tc>
                <w:tcPr>
                  <w:tcW w:w="3216" w:type="dxa"/>
                  <w:gridSpan w:val="2"/>
                  <w:tcBorders>
                    <w:tl2br w:val="nil"/>
                    <w:tr2bl w:val="nil"/>
                  </w:tcBorders>
                  <w:vAlign w:val="center"/>
                </w:tcPr>
                <w:p w14:paraId="14DA4E8D">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种类</w:t>
                  </w:r>
                </w:p>
              </w:tc>
              <w:tc>
                <w:tcPr>
                  <w:tcW w:w="1931" w:type="dxa"/>
                  <w:tcBorders>
                    <w:tl2br w:val="nil"/>
                    <w:tr2bl w:val="nil"/>
                  </w:tcBorders>
                  <w:vAlign w:val="center"/>
                </w:tcPr>
                <w:p w14:paraId="3BA13F8A">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数量/t</w:t>
                  </w:r>
                </w:p>
              </w:tc>
            </w:tr>
            <w:tr w14:paraId="565C5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Merge w:val="restart"/>
                  <w:tcBorders>
                    <w:tl2br w:val="nil"/>
                    <w:tr2bl w:val="nil"/>
                  </w:tcBorders>
                  <w:vAlign w:val="center"/>
                </w:tcPr>
                <w:p w14:paraId="5492EB62">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水性底漆</w:t>
                  </w:r>
                  <w:r>
                    <w:rPr>
                      <w:rFonts w:hint="eastAsia" w:ascii="Times New Roman" w:hAnsi="Times New Roman" w:eastAsiaTheme="minorEastAsia"/>
                      <w:color w:val="auto"/>
                      <w:sz w:val="21"/>
                      <w:szCs w:val="21"/>
                    </w:rPr>
                    <w:t>0.24</w:t>
                  </w:r>
                  <w:r>
                    <w:rPr>
                      <w:rFonts w:ascii="Times New Roman" w:hAnsi="Times New Roman" w:eastAsiaTheme="minorEastAsia"/>
                      <w:color w:val="auto"/>
                      <w:sz w:val="21"/>
                      <w:szCs w:val="21"/>
                    </w:rPr>
                    <w:t>t</w:t>
                  </w:r>
                </w:p>
              </w:tc>
              <w:tc>
                <w:tcPr>
                  <w:tcW w:w="1071" w:type="dxa"/>
                  <w:vMerge w:val="restart"/>
                  <w:tcBorders>
                    <w:tl2br w:val="nil"/>
                    <w:tr2bl w:val="nil"/>
                  </w:tcBorders>
                  <w:vAlign w:val="center"/>
                </w:tcPr>
                <w:p w14:paraId="13C349C2">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固体分</w:t>
                  </w:r>
                </w:p>
              </w:tc>
              <w:tc>
                <w:tcPr>
                  <w:tcW w:w="1131" w:type="dxa"/>
                  <w:vMerge w:val="restart"/>
                  <w:tcBorders>
                    <w:tl2br w:val="nil"/>
                    <w:tr2bl w:val="nil"/>
                  </w:tcBorders>
                  <w:vAlign w:val="center"/>
                </w:tcPr>
                <w:p w14:paraId="59F7F94C">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1954</w:t>
                  </w:r>
                  <w:r>
                    <w:rPr>
                      <w:rFonts w:hint="eastAsia" w:ascii="Times New Roman" w:hAnsi="Times New Roman" w:eastAsiaTheme="minorEastAsia"/>
                      <w:color w:val="auto"/>
                      <w:sz w:val="21"/>
                      <w:szCs w:val="21"/>
                    </w:rPr>
                    <w:t>t</w:t>
                  </w:r>
                </w:p>
              </w:tc>
              <w:tc>
                <w:tcPr>
                  <w:tcW w:w="3216" w:type="dxa"/>
                  <w:gridSpan w:val="2"/>
                  <w:tcBorders>
                    <w:tl2br w:val="nil"/>
                    <w:tr2bl w:val="nil"/>
                  </w:tcBorders>
                  <w:vAlign w:val="center"/>
                </w:tcPr>
                <w:p w14:paraId="5B6EA4C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进入产品</w:t>
                  </w:r>
                </w:p>
              </w:tc>
              <w:tc>
                <w:tcPr>
                  <w:tcW w:w="1931" w:type="dxa"/>
                  <w:tcBorders>
                    <w:tl2br w:val="nil"/>
                    <w:tr2bl w:val="nil"/>
                  </w:tcBorders>
                  <w:vAlign w:val="center"/>
                </w:tcPr>
                <w:p w14:paraId="2EA90092">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0.1074</w:t>
                  </w:r>
                </w:p>
              </w:tc>
            </w:tr>
            <w:tr w14:paraId="1B88B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4132B65A">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34C9D841">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3E2ACDE1">
                  <w:pPr>
                    <w:pStyle w:val="368"/>
                    <w:rPr>
                      <w:rFonts w:ascii="Times New Roman" w:hAnsi="Times New Roman" w:eastAsiaTheme="minorEastAsia"/>
                      <w:color w:val="auto"/>
                      <w:sz w:val="21"/>
                      <w:szCs w:val="21"/>
                    </w:rPr>
                  </w:pPr>
                </w:p>
              </w:tc>
              <w:tc>
                <w:tcPr>
                  <w:tcW w:w="3216" w:type="dxa"/>
                  <w:gridSpan w:val="2"/>
                  <w:tcBorders>
                    <w:tl2br w:val="nil"/>
                    <w:tr2bl w:val="nil"/>
                  </w:tcBorders>
                  <w:vAlign w:val="center"/>
                </w:tcPr>
                <w:p w14:paraId="35CE5B7B">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漆渣</w:t>
                  </w:r>
                </w:p>
              </w:tc>
              <w:tc>
                <w:tcPr>
                  <w:tcW w:w="1931" w:type="dxa"/>
                  <w:tcBorders>
                    <w:tl2br w:val="nil"/>
                    <w:tr2bl w:val="nil"/>
                  </w:tcBorders>
                  <w:vAlign w:val="center"/>
                </w:tcPr>
                <w:p w14:paraId="79FE83BE">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0.0195</w:t>
                  </w:r>
                </w:p>
              </w:tc>
            </w:tr>
            <w:tr w14:paraId="758E6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965" w:type="dxa"/>
                  <w:vMerge w:val="continue"/>
                  <w:tcBorders>
                    <w:tl2br w:val="nil"/>
                    <w:tr2bl w:val="nil"/>
                  </w:tcBorders>
                  <w:vAlign w:val="center"/>
                </w:tcPr>
                <w:p w14:paraId="37929426">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76BD6D69">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5E3528B">
                  <w:pPr>
                    <w:pStyle w:val="368"/>
                    <w:rPr>
                      <w:rFonts w:ascii="Times New Roman" w:hAnsi="Times New Roman" w:eastAsiaTheme="minorEastAsia"/>
                      <w:color w:val="auto"/>
                      <w:sz w:val="21"/>
                      <w:szCs w:val="21"/>
                    </w:rPr>
                  </w:pPr>
                </w:p>
              </w:tc>
              <w:tc>
                <w:tcPr>
                  <w:tcW w:w="1608" w:type="dxa"/>
                  <w:vMerge w:val="restart"/>
                  <w:tcBorders>
                    <w:tl2br w:val="nil"/>
                    <w:tr2bl w:val="nil"/>
                  </w:tcBorders>
                  <w:vAlign w:val="center"/>
                </w:tcPr>
                <w:p w14:paraId="04B23F52">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颗粒物0.</w:t>
                  </w: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684</w:t>
                  </w:r>
                  <w:r>
                    <w:rPr>
                      <w:rFonts w:hint="eastAsia" w:ascii="Times New Roman" w:hAnsi="Times New Roman" w:eastAsiaTheme="minorEastAsia"/>
                      <w:color w:val="auto"/>
                      <w:sz w:val="21"/>
                      <w:szCs w:val="21"/>
                    </w:rPr>
                    <w:t>t</w:t>
                  </w:r>
                </w:p>
              </w:tc>
              <w:tc>
                <w:tcPr>
                  <w:tcW w:w="1608" w:type="dxa"/>
                  <w:tcBorders>
                    <w:tl2br w:val="nil"/>
                    <w:tr2bl w:val="nil"/>
                  </w:tcBorders>
                  <w:vAlign w:val="center"/>
                </w:tcPr>
                <w:p w14:paraId="73C6BDCB">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干式过滤器</w:t>
                  </w:r>
                </w:p>
              </w:tc>
              <w:tc>
                <w:tcPr>
                  <w:tcW w:w="1931" w:type="dxa"/>
                  <w:tcBorders>
                    <w:tl2br w:val="nil"/>
                    <w:tr2bl w:val="nil"/>
                  </w:tcBorders>
                  <w:vAlign w:val="center"/>
                </w:tcPr>
                <w:p w14:paraId="78BCCB21">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0.058</w:t>
                  </w:r>
                  <w:r>
                    <w:rPr>
                      <w:rFonts w:hint="eastAsia" w:cs="Times New Roman"/>
                      <w:i w:val="0"/>
                      <w:iCs w:val="0"/>
                      <w:color w:val="auto"/>
                      <w:kern w:val="0"/>
                      <w:sz w:val="21"/>
                      <w:szCs w:val="21"/>
                      <w:u w:val="none"/>
                      <w:lang w:val="en-US" w:eastAsia="zh-CN" w:bidi="ar"/>
                    </w:rPr>
                    <w:t>5</w:t>
                  </w:r>
                </w:p>
              </w:tc>
            </w:tr>
            <w:tr w14:paraId="4B4FD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412157A4">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50167376">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2D38711D">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342AC64F">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03B187D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2AA34EAE">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w:t>
                  </w:r>
                  <w:r>
                    <w:rPr>
                      <w:rFonts w:hint="eastAsia" w:cs="Times New Roman"/>
                      <w:i w:val="0"/>
                      <w:iCs w:val="0"/>
                      <w:color w:val="auto"/>
                      <w:kern w:val="0"/>
                      <w:sz w:val="21"/>
                      <w:szCs w:val="21"/>
                      <w:u w:val="none"/>
                      <w:lang w:val="en-US" w:eastAsia="zh-CN" w:bidi="ar"/>
                    </w:rPr>
                    <w:t>5</w:t>
                  </w:r>
                </w:p>
              </w:tc>
            </w:tr>
            <w:tr w14:paraId="12AB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3653C589">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79E88587">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735F5B5F">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1ABC0964">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5133F2A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29C5E9E8">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0.0034</w:t>
                  </w:r>
                </w:p>
              </w:tc>
            </w:tr>
            <w:tr w14:paraId="08EC0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65" w:type="dxa"/>
                  <w:vMerge w:val="continue"/>
                  <w:tcBorders>
                    <w:tl2br w:val="nil"/>
                    <w:tr2bl w:val="nil"/>
                  </w:tcBorders>
                  <w:vAlign w:val="center"/>
                </w:tcPr>
                <w:p w14:paraId="6E2D87D4">
                  <w:pPr>
                    <w:pStyle w:val="368"/>
                    <w:rPr>
                      <w:rFonts w:ascii="Times New Roman" w:hAnsi="Times New Roman" w:eastAsiaTheme="minorEastAsia"/>
                      <w:color w:val="auto"/>
                      <w:sz w:val="21"/>
                      <w:szCs w:val="21"/>
                    </w:rPr>
                  </w:pPr>
                </w:p>
              </w:tc>
              <w:tc>
                <w:tcPr>
                  <w:tcW w:w="1071" w:type="dxa"/>
                  <w:vMerge w:val="restart"/>
                  <w:tcBorders>
                    <w:tl2br w:val="nil"/>
                    <w:tr2bl w:val="nil"/>
                  </w:tcBorders>
                  <w:vAlign w:val="center"/>
                </w:tcPr>
                <w:p w14:paraId="56200A32">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挥发分</w:t>
                  </w:r>
                </w:p>
              </w:tc>
              <w:tc>
                <w:tcPr>
                  <w:tcW w:w="1131" w:type="dxa"/>
                  <w:vMerge w:val="restart"/>
                  <w:tcBorders>
                    <w:tl2br w:val="nil"/>
                    <w:tr2bl w:val="nil"/>
                  </w:tcBorders>
                  <w:vAlign w:val="center"/>
                </w:tcPr>
                <w:p w14:paraId="76217FE8">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0206</w:t>
                  </w:r>
                  <w:r>
                    <w:rPr>
                      <w:rFonts w:hint="eastAsia" w:ascii="Times New Roman" w:hAnsi="Times New Roman" w:eastAsiaTheme="minorEastAsia"/>
                      <w:color w:val="auto"/>
                      <w:sz w:val="21"/>
                      <w:szCs w:val="21"/>
                    </w:rPr>
                    <w:t>t</w:t>
                  </w:r>
                </w:p>
              </w:tc>
              <w:tc>
                <w:tcPr>
                  <w:tcW w:w="1608" w:type="dxa"/>
                  <w:vMerge w:val="restart"/>
                  <w:tcBorders>
                    <w:tl2br w:val="nil"/>
                    <w:tr2bl w:val="nil"/>
                  </w:tcBorders>
                  <w:vAlign w:val="center"/>
                </w:tcPr>
                <w:p w14:paraId="238D9513">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VOC</w:t>
                  </w:r>
                  <w:r>
                    <w:rPr>
                      <w:rFonts w:ascii="Times New Roman" w:hAnsi="Times New Roman" w:eastAsiaTheme="minorEastAsia"/>
                      <w:color w:val="auto"/>
                      <w:sz w:val="21"/>
                      <w:szCs w:val="21"/>
                      <w:vertAlign w:val="subscript"/>
                    </w:rPr>
                    <w:t>S</w:t>
                  </w:r>
                </w:p>
              </w:tc>
              <w:tc>
                <w:tcPr>
                  <w:tcW w:w="1608" w:type="dxa"/>
                  <w:tcBorders>
                    <w:tl2br w:val="nil"/>
                    <w:tr2bl w:val="nil"/>
                  </w:tcBorders>
                  <w:vAlign w:val="center"/>
                </w:tcPr>
                <w:p w14:paraId="0A9CA22D">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活性炭吸附</w:t>
                  </w:r>
                </w:p>
              </w:tc>
              <w:tc>
                <w:tcPr>
                  <w:tcW w:w="1931" w:type="dxa"/>
                  <w:tcBorders>
                    <w:tl2br w:val="nil"/>
                    <w:tr2bl w:val="nil"/>
                  </w:tcBorders>
                  <w:vAlign w:val="center"/>
                </w:tcPr>
                <w:p w14:paraId="17124811">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0.0176</w:t>
                  </w:r>
                </w:p>
              </w:tc>
            </w:tr>
            <w:tr w14:paraId="5860D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2E13256C">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0707227B">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A49BC9E">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1BB2CB34">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6B01A9D1">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71184B01">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0.0020</w:t>
                  </w:r>
                </w:p>
              </w:tc>
            </w:tr>
            <w:tr w14:paraId="5E6D0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65" w:type="dxa"/>
                  <w:vMerge w:val="continue"/>
                  <w:tcBorders>
                    <w:tl2br w:val="nil"/>
                    <w:tr2bl w:val="nil"/>
                  </w:tcBorders>
                  <w:vAlign w:val="center"/>
                </w:tcPr>
                <w:p w14:paraId="66BD0491">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26F8A479">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1843F73E">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4C9F5D63">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500B5C7D">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245046A4">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0.0010</w:t>
                  </w:r>
                </w:p>
              </w:tc>
            </w:tr>
            <w:tr w14:paraId="081CC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Merge w:val="continue"/>
                  <w:tcBorders>
                    <w:tl2br w:val="nil"/>
                    <w:tr2bl w:val="nil"/>
                  </w:tcBorders>
                  <w:vAlign w:val="center"/>
                </w:tcPr>
                <w:p w14:paraId="7B117262">
                  <w:pPr>
                    <w:pStyle w:val="368"/>
                    <w:rPr>
                      <w:rFonts w:ascii="Times New Roman" w:hAnsi="Times New Roman" w:eastAsiaTheme="minorEastAsia"/>
                      <w:color w:val="auto"/>
                      <w:sz w:val="21"/>
                      <w:szCs w:val="21"/>
                    </w:rPr>
                  </w:pPr>
                </w:p>
              </w:tc>
              <w:tc>
                <w:tcPr>
                  <w:tcW w:w="1071" w:type="dxa"/>
                  <w:tcBorders>
                    <w:tl2br w:val="nil"/>
                    <w:tr2bl w:val="nil"/>
                  </w:tcBorders>
                  <w:vAlign w:val="center"/>
                </w:tcPr>
                <w:p w14:paraId="29B4D8A7">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w:t>
                  </w:r>
                </w:p>
              </w:tc>
              <w:tc>
                <w:tcPr>
                  <w:tcW w:w="1131" w:type="dxa"/>
                  <w:tcBorders>
                    <w:tl2br w:val="nil"/>
                    <w:tr2bl w:val="nil"/>
                  </w:tcBorders>
                  <w:vAlign w:val="center"/>
                </w:tcPr>
                <w:p w14:paraId="2BFD7B1E">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0.024t</w:t>
                  </w:r>
                </w:p>
              </w:tc>
              <w:tc>
                <w:tcPr>
                  <w:tcW w:w="1608" w:type="dxa"/>
                  <w:tcBorders>
                    <w:tl2br w:val="nil"/>
                    <w:tr2bl w:val="nil"/>
                  </w:tcBorders>
                  <w:vAlign w:val="center"/>
                </w:tcPr>
                <w:p w14:paraId="1B23A32A">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水汽</w:t>
                  </w:r>
                </w:p>
              </w:tc>
              <w:tc>
                <w:tcPr>
                  <w:tcW w:w="1608" w:type="dxa"/>
                  <w:tcBorders>
                    <w:tl2br w:val="nil"/>
                    <w:tr2bl w:val="nil"/>
                  </w:tcBorders>
                  <w:vAlign w:val="center"/>
                </w:tcPr>
                <w:p w14:paraId="42C2100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931" w:type="dxa"/>
                  <w:tcBorders>
                    <w:tl2br w:val="nil"/>
                    <w:tr2bl w:val="nil"/>
                  </w:tcBorders>
                  <w:vAlign w:val="center"/>
                </w:tcPr>
                <w:p w14:paraId="21FA7525">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0.0240</w:t>
                  </w:r>
                </w:p>
              </w:tc>
            </w:tr>
            <w:tr w14:paraId="03C20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65" w:type="dxa"/>
                  <w:vMerge w:val="restart"/>
                  <w:tcBorders>
                    <w:tl2br w:val="nil"/>
                    <w:tr2bl w:val="nil"/>
                  </w:tcBorders>
                  <w:vAlign w:val="center"/>
                </w:tcPr>
                <w:p w14:paraId="127F87A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水性面漆</w:t>
                  </w:r>
                  <w:r>
                    <w:rPr>
                      <w:rFonts w:hint="eastAsia" w:ascii="Times New Roman" w:hAnsi="Times New Roman" w:eastAsiaTheme="minorEastAsia"/>
                      <w:color w:val="auto"/>
                      <w:sz w:val="21"/>
                      <w:szCs w:val="21"/>
                    </w:rPr>
                    <w:t>0.16</w:t>
                  </w:r>
                  <w:r>
                    <w:rPr>
                      <w:rFonts w:ascii="Times New Roman" w:hAnsi="Times New Roman" w:eastAsiaTheme="minorEastAsia"/>
                      <w:color w:val="auto"/>
                      <w:sz w:val="21"/>
                      <w:szCs w:val="21"/>
                    </w:rPr>
                    <w:t>t</w:t>
                  </w:r>
                </w:p>
              </w:tc>
              <w:tc>
                <w:tcPr>
                  <w:tcW w:w="1071" w:type="dxa"/>
                  <w:vMerge w:val="restart"/>
                  <w:tcBorders>
                    <w:tl2br w:val="nil"/>
                    <w:tr2bl w:val="nil"/>
                  </w:tcBorders>
                  <w:vAlign w:val="center"/>
                </w:tcPr>
                <w:p w14:paraId="50E84DD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固体分</w:t>
                  </w:r>
                </w:p>
              </w:tc>
              <w:tc>
                <w:tcPr>
                  <w:tcW w:w="1131" w:type="dxa"/>
                  <w:vMerge w:val="restart"/>
                  <w:tcBorders>
                    <w:tl2br w:val="nil"/>
                    <w:tr2bl w:val="nil"/>
                  </w:tcBorders>
                  <w:vAlign w:val="center"/>
                </w:tcPr>
                <w:p w14:paraId="0FFA7296">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1302</w:t>
                  </w:r>
                  <w:r>
                    <w:rPr>
                      <w:rFonts w:hint="eastAsia" w:ascii="Times New Roman" w:hAnsi="Times New Roman" w:eastAsiaTheme="minorEastAsia"/>
                      <w:color w:val="auto"/>
                      <w:sz w:val="21"/>
                      <w:szCs w:val="21"/>
                    </w:rPr>
                    <w:t>t</w:t>
                  </w:r>
                </w:p>
              </w:tc>
              <w:tc>
                <w:tcPr>
                  <w:tcW w:w="3216" w:type="dxa"/>
                  <w:gridSpan w:val="2"/>
                  <w:tcBorders>
                    <w:tl2br w:val="nil"/>
                    <w:tr2bl w:val="nil"/>
                  </w:tcBorders>
                  <w:vAlign w:val="center"/>
                </w:tcPr>
                <w:p w14:paraId="4B107E7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进入产品</w:t>
                  </w:r>
                </w:p>
              </w:tc>
              <w:tc>
                <w:tcPr>
                  <w:tcW w:w="1931" w:type="dxa"/>
                  <w:tcBorders>
                    <w:tl2br w:val="nil"/>
                    <w:tr2bl w:val="nil"/>
                  </w:tcBorders>
                  <w:vAlign w:val="center"/>
                </w:tcPr>
                <w:p w14:paraId="026C2CA6">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0.0716</w:t>
                  </w:r>
                </w:p>
              </w:tc>
            </w:tr>
            <w:tr w14:paraId="7E5EC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Merge w:val="continue"/>
                  <w:tcBorders>
                    <w:tl2br w:val="nil"/>
                    <w:tr2bl w:val="nil"/>
                  </w:tcBorders>
                  <w:vAlign w:val="center"/>
                </w:tcPr>
                <w:p w14:paraId="63ACC2E6">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6BF5332F">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06FD57D2">
                  <w:pPr>
                    <w:pStyle w:val="368"/>
                    <w:rPr>
                      <w:rFonts w:ascii="Times New Roman" w:hAnsi="Times New Roman" w:eastAsiaTheme="minorEastAsia"/>
                      <w:color w:val="auto"/>
                      <w:sz w:val="21"/>
                      <w:szCs w:val="21"/>
                    </w:rPr>
                  </w:pPr>
                </w:p>
              </w:tc>
              <w:tc>
                <w:tcPr>
                  <w:tcW w:w="3216" w:type="dxa"/>
                  <w:gridSpan w:val="2"/>
                  <w:tcBorders>
                    <w:tl2br w:val="nil"/>
                    <w:tr2bl w:val="nil"/>
                  </w:tcBorders>
                  <w:vAlign w:val="center"/>
                </w:tcPr>
                <w:p w14:paraId="63E29470">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漆渣</w:t>
                  </w:r>
                </w:p>
              </w:tc>
              <w:tc>
                <w:tcPr>
                  <w:tcW w:w="1931" w:type="dxa"/>
                  <w:tcBorders>
                    <w:tl2br w:val="nil"/>
                    <w:tr2bl w:val="nil"/>
                  </w:tcBorders>
                  <w:vAlign w:val="center"/>
                </w:tcPr>
                <w:p w14:paraId="59FB623B">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0.0130</w:t>
                  </w:r>
                </w:p>
              </w:tc>
            </w:tr>
            <w:tr w14:paraId="11FE4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DBC772A">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0EF6E6C8">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20666D4E">
                  <w:pPr>
                    <w:pStyle w:val="368"/>
                    <w:rPr>
                      <w:rFonts w:ascii="Times New Roman" w:hAnsi="Times New Roman" w:eastAsiaTheme="minorEastAsia"/>
                      <w:color w:val="auto"/>
                      <w:sz w:val="21"/>
                      <w:szCs w:val="21"/>
                    </w:rPr>
                  </w:pPr>
                </w:p>
              </w:tc>
              <w:tc>
                <w:tcPr>
                  <w:tcW w:w="1608" w:type="dxa"/>
                  <w:vMerge w:val="restart"/>
                  <w:tcBorders>
                    <w:tl2br w:val="nil"/>
                    <w:tr2bl w:val="nil"/>
                  </w:tcBorders>
                  <w:vAlign w:val="center"/>
                </w:tcPr>
                <w:p w14:paraId="248D52AF">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颗粒物0.</w:t>
                  </w: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456</w:t>
                  </w:r>
                  <w:r>
                    <w:rPr>
                      <w:rFonts w:hint="eastAsia" w:ascii="Times New Roman" w:hAnsi="Times New Roman" w:eastAsiaTheme="minorEastAsia"/>
                      <w:color w:val="auto"/>
                      <w:sz w:val="21"/>
                      <w:szCs w:val="21"/>
                    </w:rPr>
                    <w:t>t</w:t>
                  </w:r>
                </w:p>
              </w:tc>
              <w:tc>
                <w:tcPr>
                  <w:tcW w:w="1608" w:type="dxa"/>
                  <w:tcBorders>
                    <w:tl2br w:val="nil"/>
                    <w:tr2bl w:val="nil"/>
                  </w:tcBorders>
                  <w:vAlign w:val="center"/>
                </w:tcPr>
                <w:p w14:paraId="042ADF2F">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干式过滤器</w:t>
                  </w:r>
                </w:p>
              </w:tc>
              <w:tc>
                <w:tcPr>
                  <w:tcW w:w="1931" w:type="dxa"/>
                  <w:tcBorders>
                    <w:tl2br w:val="nil"/>
                    <w:tr2bl w:val="nil"/>
                  </w:tcBorders>
                  <w:vAlign w:val="center"/>
                </w:tcPr>
                <w:p w14:paraId="5AAA9134">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0.0390</w:t>
                  </w:r>
                </w:p>
              </w:tc>
            </w:tr>
            <w:tr w14:paraId="48C0E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5FCEF04D">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415FD88C">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6172E4FC">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2960806E">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6016DCA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3070DA95">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0.0043</w:t>
                  </w:r>
                </w:p>
              </w:tc>
            </w:tr>
            <w:tr w14:paraId="52B47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16582611">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556C51F0">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594BDD6F">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1825FA91">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79A883C7">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0A6A2F36">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0.0023</w:t>
                  </w:r>
                </w:p>
              </w:tc>
            </w:tr>
            <w:tr w14:paraId="7D522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3D78EA22">
                  <w:pPr>
                    <w:pStyle w:val="368"/>
                    <w:rPr>
                      <w:rFonts w:ascii="Times New Roman" w:hAnsi="Times New Roman" w:eastAsiaTheme="minorEastAsia"/>
                      <w:color w:val="auto"/>
                      <w:sz w:val="21"/>
                      <w:szCs w:val="21"/>
                    </w:rPr>
                  </w:pPr>
                </w:p>
              </w:tc>
              <w:tc>
                <w:tcPr>
                  <w:tcW w:w="1071" w:type="dxa"/>
                  <w:vMerge w:val="restart"/>
                  <w:tcBorders>
                    <w:tl2br w:val="nil"/>
                    <w:tr2bl w:val="nil"/>
                  </w:tcBorders>
                  <w:vAlign w:val="center"/>
                </w:tcPr>
                <w:p w14:paraId="121AEA2F">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挥发分</w:t>
                  </w:r>
                </w:p>
              </w:tc>
              <w:tc>
                <w:tcPr>
                  <w:tcW w:w="1131" w:type="dxa"/>
                  <w:vMerge w:val="restart"/>
                  <w:tcBorders>
                    <w:tl2br w:val="nil"/>
                    <w:tr2bl w:val="nil"/>
                  </w:tcBorders>
                  <w:vAlign w:val="center"/>
                </w:tcPr>
                <w:p w14:paraId="4A6BE473">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0</w:t>
                  </w:r>
                  <w:r>
                    <w:rPr>
                      <w:rFonts w:hint="eastAsia" w:ascii="Times New Roman" w:hAnsi="Times New Roman" w:eastAsiaTheme="minorEastAsia"/>
                      <w:color w:val="auto"/>
                      <w:sz w:val="21"/>
                      <w:szCs w:val="21"/>
                    </w:rPr>
                    <w:t>1</w:t>
                  </w:r>
                  <w:r>
                    <w:rPr>
                      <w:rFonts w:hint="eastAsia" w:ascii="Times New Roman" w:hAnsi="Times New Roman" w:eastAsiaTheme="minorEastAsia"/>
                      <w:color w:val="auto"/>
                      <w:sz w:val="21"/>
                      <w:szCs w:val="21"/>
                      <w:lang w:val="en-US" w:eastAsia="zh-CN"/>
                    </w:rPr>
                    <w:t>38</w:t>
                  </w:r>
                  <w:r>
                    <w:rPr>
                      <w:rFonts w:hint="eastAsia" w:ascii="Times New Roman" w:hAnsi="Times New Roman" w:eastAsiaTheme="minorEastAsia"/>
                      <w:color w:val="auto"/>
                      <w:sz w:val="21"/>
                      <w:szCs w:val="21"/>
                    </w:rPr>
                    <w:t>t</w:t>
                  </w:r>
                </w:p>
              </w:tc>
              <w:tc>
                <w:tcPr>
                  <w:tcW w:w="1608" w:type="dxa"/>
                  <w:vMerge w:val="restart"/>
                  <w:tcBorders>
                    <w:tl2br w:val="nil"/>
                    <w:tr2bl w:val="nil"/>
                  </w:tcBorders>
                  <w:vAlign w:val="center"/>
                </w:tcPr>
                <w:p w14:paraId="4DDFBA9C">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VOC</w:t>
                  </w:r>
                  <w:r>
                    <w:rPr>
                      <w:rFonts w:ascii="Times New Roman" w:hAnsi="Times New Roman" w:eastAsiaTheme="minorEastAsia"/>
                      <w:color w:val="auto"/>
                      <w:sz w:val="21"/>
                      <w:szCs w:val="21"/>
                      <w:vertAlign w:val="subscript"/>
                    </w:rPr>
                    <w:t>S</w:t>
                  </w:r>
                </w:p>
              </w:tc>
              <w:tc>
                <w:tcPr>
                  <w:tcW w:w="1608" w:type="dxa"/>
                  <w:tcBorders>
                    <w:tl2br w:val="nil"/>
                    <w:tr2bl w:val="nil"/>
                  </w:tcBorders>
                  <w:vAlign w:val="center"/>
                </w:tcPr>
                <w:p w14:paraId="0929CE13">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活性炭吸附</w:t>
                  </w:r>
                </w:p>
              </w:tc>
              <w:tc>
                <w:tcPr>
                  <w:tcW w:w="1931" w:type="dxa"/>
                  <w:tcBorders>
                    <w:tl2br w:val="nil"/>
                    <w:tr2bl w:val="nil"/>
                  </w:tcBorders>
                  <w:vAlign w:val="center"/>
                </w:tcPr>
                <w:p w14:paraId="391F501A">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0.0118</w:t>
                  </w:r>
                </w:p>
              </w:tc>
            </w:tr>
            <w:tr w14:paraId="4D625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4AC37D74">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06DAB27E">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0A6E7D35">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67213227">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58A44DB0">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4439CB38">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0.0013</w:t>
                  </w:r>
                </w:p>
              </w:tc>
            </w:tr>
            <w:tr w14:paraId="0B2B9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0C2D0ED6">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35E43845">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033EF225">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6112A7B6">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2D6970F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3B137D86">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0.0007</w:t>
                  </w:r>
                </w:p>
              </w:tc>
            </w:tr>
            <w:tr w14:paraId="1A723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4CAEB394">
                  <w:pPr>
                    <w:pStyle w:val="368"/>
                    <w:rPr>
                      <w:rFonts w:ascii="Times New Roman" w:hAnsi="Times New Roman" w:eastAsiaTheme="minorEastAsia"/>
                      <w:color w:val="auto"/>
                      <w:sz w:val="21"/>
                      <w:szCs w:val="21"/>
                    </w:rPr>
                  </w:pPr>
                </w:p>
              </w:tc>
              <w:tc>
                <w:tcPr>
                  <w:tcW w:w="1071" w:type="dxa"/>
                  <w:tcBorders>
                    <w:tl2br w:val="nil"/>
                    <w:tr2bl w:val="nil"/>
                  </w:tcBorders>
                  <w:vAlign w:val="center"/>
                </w:tcPr>
                <w:p w14:paraId="16FB2EA4">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w:t>
                  </w:r>
                </w:p>
              </w:tc>
              <w:tc>
                <w:tcPr>
                  <w:tcW w:w="1131" w:type="dxa"/>
                  <w:tcBorders>
                    <w:tl2br w:val="nil"/>
                    <w:tr2bl w:val="nil"/>
                  </w:tcBorders>
                  <w:vAlign w:val="center"/>
                </w:tcPr>
                <w:p w14:paraId="171A9C38">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0.016t</w:t>
                  </w:r>
                </w:p>
              </w:tc>
              <w:tc>
                <w:tcPr>
                  <w:tcW w:w="1608" w:type="dxa"/>
                  <w:tcBorders>
                    <w:tl2br w:val="nil"/>
                    <w:tr2bl w:val="nil"/>
                  </w:tcBorders>
                  <w:vAlign w:val="center"/>
                </w:tcPr>
                <w:p w14:paraId="7401FF53">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水汽</w:t>
                  </w:r>
                </w:p>
              </w:tc>
              <w:tc>
                <w:tcPr>
                  <w:tcW w:w="1608" w:type="dxa"/>
                  <w:tcBorders>
                    <w:tl2br w:val="nil"/>
                    <w:tr2bl w:val="nil"/>
                  </w:tcBorders>
                  <w:vAlign w:val="center"/>
                </w:tcPr>
                <w:p w14:paraId="3FA602CD">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931" w:type="dxa"/>
                  <w:tcBorders>
                    <w:tl2br w:val="nil"/>
                    <w:tr2bl w:val="nil"/>
                  </w:tcBorders>
                  <w:vAlign w:val="center"/>
                </w:tcPr>
                <w:p w14:paraId="7CA7B5E9">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0.0160</w:t>
                  </w:r>
                </w:p>
              </w:tc>
            </w:tr>
            <w:tr w14:paraId="06EF3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tcBorders>
                    <w:tl2br w:val="nil"/>
                    <w:tr2bl w:val="nil"/>
                  </w:tcBorders>
                  <w:vAlign w:val="center"/>
                </w:tcPr>
                <w:p w14:paraId="5E796CA7">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071" w:type="dxa"/>
                  <w:tcBorders>
                    <w:tl2br w:val="nil"/>
                    <w:tr2bl w:val="nil"/>
                  </w:tcBorders>
                  <w:vAlign w:val="center"/>
                </w:tcPr>
                <w:p w14:paraId="6E796DFE">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合计</w:t>
                  </w:r>
                </w:p>
              </w:tc>
              <w:tc>
                <w:tcPr>
                  <w:tcW w:w="1131" w:type="dxa"/>
                  <w:tcBorders>
                    <w:tl2br w:val="nil"/>
                    <w:tr2bl w:val="nil"/>
                  </w:tcBorders>
                  <w:vAlign w:val="center"/>
                </w:tcPr>
                <w:p w14:paraId="79F2A42B">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0.4</w:t>
                  </w:r>
                  <w:r>
                    <w:rPr>
                      <w:rFonts w:ascii="Times New Roman" w:hAnsi="Times New Roman" w:eastAsiaTheme="minorEastAsia"/>
                      <w:color w:val="auto"/>
                      <w:sz w:val="21"/>
                      <w:szCs w:val="21"/>
                    </w:rPr>
                    <w:t>t</w:t>
                  </w:r>
                </w:p>
              </w:tc>
              <w:tc>
                <w:tcPr>
                  <w:tcW w:w="1608" w:type="dxa"/>
                  <w:tcBorders>
                    <w:tl2br w:val="nil"/>
                    <w:tr2bl w:val="nil"/>
                  </w:tcBorders>
                  <w:vAlign w:val="center"/>
                </w:tcPr>
                <w:p w14:paraId="0B7C9267">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608" w:type="dxa"/>
                  <w:tcBorders>
                    <w:tl2br w:val="nil"/>
                    <w:tr2bl w:val="nil"/>
                  </w:tcBorders>
                  <w:vAlign w:val="center"/>
                </w:tcPr>
                <w:p w14:paraId="23D97B64">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931" w:type="dxa"/>
                  <w:tcBorders>
                    <w:tl2br w:val="nil"/>
                    <w:tr2bl w:val="nil"/>
                  </w:tcBorders>
                  <w:vAlign w:val="center"/>
                </w:tcPr>
                <w:p w14:paraId="75198576">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0.4</w:t>
                  </w:r>
                </w:p>
              </w:tc>
            </w:tr>
          </w:tbl>
          <w:p w14:paraId="4F245159">
            <w:pPr>
              <w:adjustRightInd w:val="0"/>
              <w:snapToGrid w:val="0"/>
              <w:jc w:val="center"/>
              <w:rPr>
                <w:b/>
                <w:color w:val="auto"/>
                <w:sz w:val="24"/>
              </w:rPr>
            </w:pPr>
            <w:r>
              <w:rPr>
                <w:b/>
                <w:color w:val="auto"/>
                <w:sz w:val="24"/>
              </w:rPr>
              <w:t>表2-</w:t>
            </w:r>
            <w:r>
              <w:rPr>
                <w:rFonts w:hint="eastAsia"/>
                <w:b/>
                <w:color w:val="auto"/>
                <w:sz w:val="24"/>
              </w:rPr>
              <w:t>9.4油性漆</w:t>
            </w:r>
            <w:r>
              <w:rPr>
                <w:b/>
                <w:color w:val="auto"/>
                <w:sz w:val="24"/>
              </w:rPr>
              <w:t>喷漆物料平衡表</w:t>
            </w:r>
          </w:p>
          <w:tbl>
            <w:tblPr>
              <w:tblStyle w:val="90"/>
              <w:tblW w:w="83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71"/>
              <w:gridCol w:w="1131"/>
              <w:gridCol w:w="1608"/>
              <w:gridCol w:w="1608"/>
              <w:gridCol w:w="1931"/>
            </w:tblGrid>
            <w:tr w14:paraId="0A936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67" w:type="dxa"/>
                  <w:gridSpan w:val="3"/>
                  <w:tcBorders>
                    <w:tl2br w:val="nil"/>
                    <w:tr2bl w:val="nil"/>
                  </w:tcBorders>
                  <w:vAlign w:val="center"/>
                </w:tcPr>
                <w:p w14:paraId="0030065E">
                  <w:pPr>
                    <w:pStyle w:val="368"/>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入方</w:t>
                  </w:r>
                </w:p>
              </w:tc>
              <w:tc>
                <w:tcPr>
                  <w:tcW w:w="5147" w:type="dxa"/>
                  <w:gridSpan w:val="3"/>
                  <w:tcBorders>
                    <w:tl2br w:val="nil"/>
                    <w:tr2bl w:val="nil"/>
                  </w:tcBorders>
                  <w:vAlign w:val="center"/>
                </w:tcPr>
                <w:p w14:paraId="23D70B0B">
                  <w:pPr>
                    <w:pStyle w:val="368"/>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出方</w:t>
                  </w:r>
                </w:p>
              </w:tc>
            </w:tr>
            <w:tr w14:paraId="3FC85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tcBorders>
                    <w:tl2br w:val="nil"/>
                    <w:tr2bl w:val="nil"/>
                  </w:tcBorders>
                  <w:vAlign w:val="center"/>
                </w:tcPr>
                <w:p w14:paraId="68006C4B">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原料</w:t>
                  </w:r>
                </w:p>
              </w:tc>
              <w:tc>
                <w:tcPr>
                  <w:tcW w:w="2202" w:type="dxa"/>
                  <w:gridSpan w:val="2"/>
                  <w:tcBorders>
                    <w:tl2br w:val="nil"/>
                    <w:tr2bl w:val="nil"/>
                  </w:tcBorders>
                  <w:vAlign w:val="center"/>
                </w:tcPr>
                <w:p w14:paraId="40C9DBE2">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主要成分</w:t>
                  </w:r>
                </w:p>
              </w:tc>
              <w:tc>
                <w:tcPr>
                  <w:tcW w:w="3216" w:type="dxa"/>
                  <w:gridSpan w:val="2"/>
                  <w:tcBorders>
                    <w:tl2br w:val="nil"/>
                    <w:tr2bl w:val="nil"/>
                  </w:tcBorders>
                  <w:vAlign w:val="center"/>
                </w:tcPr>
                <w:p w14:paraId="3D8315A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种类</w:t>
                  </w:r>
                </w:p>
              </w:tc>
              <w:tc>
                <w:tcPr>
                  <w:tcW w:w="1931" w:type="dxa"/>
                  <w:tcBorders>
                    <w:tl2br w:val="nil"/>
                    <w:tr2bl w:val="nil"/>
                  </w:tcBorders>
                  <w:vAlign w:val="center"/>
                </w:tcPr>
                <w:p w14:paraId="12F853B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数量/t</w:t>
                  </w:r>
                </w:p>
              </w:tc>
            </w:tr>
            <w:tr w14:paraId="059B9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Merge w:val="restart"/>
                  <w:tcBorders>
                    <w:tl2br w:val="nil"/>
                    <w:tr2bl w:val="nil"/>
                  </w:tcBorders>
                  <w:vAlign w:val="center"/>
                </w:tcPr>
                <w:p w14:paraId="4109E020">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油</w:t>
                  </w:r>
                  <w:r>
                    <w:rPr>
                      <w:rFonts w:ascii="Times New Roman" w:hAnsi="Times New Roman" w:eastAsiaTheme="minorEastAsia"/>
                      <w:color w:val="auto"/>
                      <w:sz w:val="21"/>
                      <w:szCs w:val="21"/>
                    </w:rPr>
                    <w:t>性底漆</w:t>
                  </w:r>
                  <w:r>
                    <w:rPr>
                      <w:rFonts w:hint="eastAsia" w:ascii="Times New Roman" w:hAnsi="Times New Roman" w:eastAsiaTheme="minorEastAsia"/>
                      <w:color w:val="auto"/>
                      <w:sz w:val="21"/>
                      <w:szCs w:val="21"/>
                    </w:rPr>
                    <w:t>1.92</w:t>
                  </w:r>
                  <w:r>
                    <w:rPr>
                      <w:rFonts w:ascii="Times New Roman" w:hAnsi="Times New Roman" w:eastAsiaTheme="minorEastAsia"/>
                      <w:color w:val="auto"/>
                      <w:sz w:val="21"/>
                      <w:szCs w:val="21"/>
                    </w:rPr>
                    <w:t>t</w:t>
                  </w:r>
                </w:p>
              </w:tc>
              <w:tc>
                <w:tcPr>
                  <w:tcW w:w="1071" w:type="dxa"/>
                  <w:vMerge w:val="restart"/>
                  <w:tcBorders>
                    <w:tl2br w:val="nil"/>
                    <w:tr2bl w:val="nil"/>
                  </w:tcBorders>
                  <w:vAlign w:val="center"/>
                </w:tcPr>
                <w:p w14:paraId="271C724F">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固体分</w:t>
                  </w:r>
                </w:p>
              </w:tc>
              <w:tc>
                <w:tcPr>
                  <w:tcW w:w="1131" w:type="dxa"/>
                  <w:vMerge w:val="restart"/>
                  <w:tcBorders>
                    <w:tl2br w:val="nil"/>
                    <w:tr2bl w:val="nil"/>
                  </w:tcBorders>
                  <w:vAlign w:val="center"/>
                </w:tcPr>
                <w:p w14:paraId="2A24CCDF">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1.</w:t>
                  </w:r>
                  <w:r>
                    <w:rPr>
                      <w:rFonts w:hint="eastAsia" w:ascii="Times New Roman" w:hAnsi="Times New Roman" w:eastAsiaTheme="minorEastAsia"/>
                      <w:color w:val="auto"/>
                      <w:sz w:val="21"/>
                      <w:szCs w:val="21"/>
                      <w:lang w:val="en-US" w:eastAsia="zh-CN"/>
                    </w:rPr>
                    <w:t>0464</w:t>
                  </w:r>
                  <w:r>
                    <w:rPr>
                      <w:rFonts w:hint="eastAsia" w:ascii="Times New Roman" w:hAnsi="Times New Roman" w:eastAsiaTheme="minorEastAsia"/>
                      <w:color w:val="auto"/>
                      <w:sz w:val="21"/>
                      <w:szCs w:val="21"/>
                    </w:rPr>
                    <w:t>t</w:t>
                  </w:r>
                </w:p>
              </w:tc>
              <w:tc>
                <w:tcPr>
                  <w:tcW w:w="3216" w:type="dxa"/>
                  <w:gridSpan w:val="2"/>
                  <w:tcBorders>
                    <w:tl2br w:val="nil"/>
                    <w:tr2bl w:val="nil"/>
                  </w:tcBorders>
                  <w:vAlign w:val="center"/>
                </w:tcPr>
                <w:p w14:paraId="2B0BE6C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进入产品</w:t>
                  </w:r>
                </w:p>
              </w:tc>
              <w:tc>
                <w:tcPr>
                  <w:tcW w:w="1931" w:type="dxa"/>
                  <w:tcBorders>
                    <w:tl2br w:val="nil"/>
                    <w:tr2bl w:val="nil"/>
                  </w:tcBorders>
                  <w:vAlign w:val="center"/>
                </w:tcPr>
                <w:p w14:paraId="4DC1679F">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0.5232</w:t>
                  </w:r>
                </w:p>
              </w:tc>
            </w:tr>
            <w:tr w14:paraId="074B0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AFC0534">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1BAB0617">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1782D85D">
                  <w:pPr>
                    <w:pStyle w:val="368"/>
                    <w:rPr>
                      <w:rFonts w:ascii="Times New Roman" w:hAnsi="Times New Roman" w:eastAsiaTheme="minorEastAsia"/>
                      <w:color w:val="auto"/>
                      <w:sz w:val="21"/>
                      <w:szCs w:val="21"/>
                    </w:rPr>
                  </w:pPr>
                </w:p>
              </w:tc>
              <w:tc>
                <w:tcPr>
                  <w:tcW w:w="3216" w:type="dxa"/>
                  <w:gridSpan w:val="2"/>
                  <w:tcBorders>
                    <w:tl2br w:val="nil"/>
                    <w:tr2bl w:val="nil"/>
                  </w:tcBorders>
                  <w:vAlign w:val="center"/>
                </w:tcPr>
                <w:p w14:paraId="5599BFE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漆渣</w:t>
                  </w:r>
                </w:p>
              </w:tc>
              <w:tc>
                <w:tcPr>
                  <w:tcW w:w="1931" w:type="dxa"/>
                  <w:tcBorders>
                    <w:tl2br w:val="nil"/>
                    <w:tr2bl w:val="nil"/>
                  </w:tcBorders>
                  <w:vAlign w:val="center"/>
                </w:tcPr>
                <w:p w14:paraId="01FAA733">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0.1570</w:t>
                  </w:r>
                </w:p>
              </w:tc>
            </w:tr>
            <w:tr w14:paraId="152B7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965" w:type="dxa"/>
                  <w:vMerge w:val="continue"/>
                  <w:tcBorders>
                    <w:tl2br w:val="nil"/>
                    <w:tr2bl w:val="nil"/>
                  </w:tcBorders>
                  <w:vAlign w:val="center"/>
                </w:tcPr>
                <w:p w14:paraId="066CDF26">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280AC79E">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5E183B9C">
                  <w:pPr>
                    <w:pStyle w:val="368"/>
                    <w:rPr>
                      <w:rFonts w:ascii="Times New Roman" w:hAnsi="Times New Roman" w:eastAsiaTheme="minorEastAsia"/>
                      <w:color w:val="auto"/>
                      <w:sz w:val="21"/>
                      <w:szCs w:val="21"/>
                    </w:rPr>
                  </w:pPr>
                </w:p>
              </w:tc>
              <w:tc>
                <w:tcPr>
                  <w:tcW w:w="1608" w:type="dxa"/>
                  <w:vMerge w:val="restart"/>
                  <w:tcBorders>
                    <w:tl2br w:val="nil"/>
                    <w:tr2bl w:val="nil"/>
                  </w:tcBorders>
                  <w:vAlign w:val="center"/>
                </w:tcPr>
                <w:p w14:paraId="07EDBFD3">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w:t>
                  </w: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3662</w:t>
                  </w:r>
                  <w:r>
                    <w:rPr>
                      <w:rFonts w:hint="eastAsia" w:ascii="Times New Roman" w:hAnsi="Times New Roman" w:eastAsiaTheme="minorEastAsia"/>
                      <w:color w:val="auto"/>
                      <w:sz w:val="21"/>
                      <w:szCs w:val="21"/>
                    </w:rPr>
                    <w:t>t</w:t>
                  </w:r>
                </w:p>
              </w:tc>
              <w:tc>
                <w:tcPr>
                  <w:tcW w:w="1608" w:type="dxa"/>
                  <w:tcBorders>
                    <w:tl2br w:val="nil"/>
                    <w:tr2bl w:val="nil"/>
                  </w:tcBorders>
                  <w:vAlign w:val="center"/>
                </w:tcPr>
                <w:p w14:paraId="323C9907">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干式过滤器</w:t>
                  </w:r>
                </w:p>
              </w:tc>
              <w:tc>
                <w:tcPr>
                  <w:tcW w:w="1931" w:type="dxa"/>
                  <w:tcBorders>
                    <w:tl2br w:val="nil"/>
                    <w:tr2bl w:val="nil"/>
                  </w:tcBorders>
                  <w:vAlign w:val="center"/>
                </w:tcPr>
                <w:p w14:paraId="2D8C455A">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0.3131</w:t>
                  </w:r>
                </w:p>
              </w:tc>
            </w:tr>
            <w:tr w14:paraId="4B37B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56C869B4">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392366E3">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24AD8FE">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18DF3DF7">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70C6B06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7752509E">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0.0348</w:t>
                  </w:r>
                </w:p>
              </w:tc>
            </w:tr>
            <w:tr w14:paraId="48383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0F797313">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7DF4DF49">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46CED02">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48175640">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6D37AE1E">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32C5DF90">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0.0183</w:t>
                  </w:r>
                </w:p>
              </w:tc>
            </w:tr>
            <w:tr w14:paraId="2DA1F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65" w:type="dxa"/>
                  <w:vMerge w:val="continue"/>
                  <w:tcBorders>
                    <w:tl2br w:val="nil"/>
                    <w:tr2bl w:val="nil"/>
                  </w:tcBorders>
                  <w:vAlign w:val="center"/>
                </w:tcPr>
                <w:p w14:paraId="10E2EFD6">
                  <w:pPr>
                    <w:pStyle w:val="368"/>
                    <w:rPr>
                      <w:rFonts w:ascii="Times New Roman" w:hAnsi="Times New Roman" w:eastAsiaTheme="minorEastAsia"/>
                      <w:color w:val="auto"/>
                      <w:sz w:val="21"/>
                      <w:szCs w:val="21"/>
                    </w:rPr>
                  </w:pPr>
                </w:p>
              </w:tc>
              <w:tc>
                <w:tcPr>
                  <w:tcW w:w="1071" w:type="dxa"/>
                  <w:vMerge w:val="restart"/>
                  <w:tcBorders>
                    <w:tl2br w:val="nil"/>
                    <w:tr2bl w:val="nil"/>
                  </w:tcBorders>
                  <w:vAlign w:val="center"/>
                </w:tcPr>
                <w:p w14:paraId="60350BF0">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挥发分</w:t>
                  </w:r>
                </w:p>
              </w:tc>
              <w:tc>
                <w:tcPr>
                  <w:tcW w:w="1131" w:type="dxa"/>
                  <w:vMerge w:val="restart"/>
                  <w:tcBorders>
                    <w:tl2br w:val="nil"/>
                    <w:tr2bl w:val="nil"/>
                  </w:tcBorders>
                  <w:vAlign w:val="center"/>
                </w:tcPr>
                <w:p w14:paraId="7AEC9212">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8736</w:t>
                  </w:r>
                  <w:r>
                    <w:rPr>
                      <w:rFonts w:hint="eastAsia" w:ascii="Times New Roman" w:hAnsi="Times New Roman" w:eastAsiaTheme="minorEastAsia"/>
                      <w:color w:val="auto"/>
                      <w:sz w:val="21"/>
                      <w:szCs w:val="21"/>
                    </w:rPr>
                    <w:t>t</w:t>
                  </w:r>
                </w:p>
              </w:tc>
              <w:tc>
                <w:tcPr>
                  <w:tcW w:w="1608" w:type="dxa"/>
                  <w:vMerge w:val="restart"/>
                  <w:tcBorders>
                    <w:tl2br w:val="nil"/>
                    <w:tr2bl w:val="nil"/>
                  </w:tcBorders>
                  <w:vAlign w:val="center"/>
                </w:tcPr>
                <w:p w14:paraId="1763BF75">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VOC</w:t>
                  </w:r>
                  <w:r>
                    <w:rPr>
                      <w:rFonts w:ascii="Times New Roman" w:hAnsi="Times New Roman" w:eastAsiaTheme="minorEastAsia"/>
                      <w:color w:val="auto"/>
                      <w:sz w:val="21"/>
                      <w:szCs w:val="21"/>
                      <w:vertAlign w:val="subscript"/>
                    </w:rPr>
                    <w:t>S</w:t>
                  </w:r>
                </w:p>
              </w:tc>
              <w:tc>
                <w:tcPr>
                  <w:tcW w:w="1608" w:type="dxa"/>
                  <w:tcBorders>
                    <w:tl2br w:val="nil"/>
                    <w:tr2bl w:val="nil"/>
                  </w:tcBorders>
                  <w:vAlign w:val="center"/>
                </w:tcPr>
                <w:p w14:paraId="6F5A252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活性炭吸附</w:t>
                  </w:r>
                </w:p>
              </w:tc>
              <w:tc>
                <w:tcPr>
                  <w:tcW w:w="1931" w:type="dxa"/>
                  <w:tcBorders>
                    <w:tl2br w:val="nil"/>
                    <w:tr2bl w:val="nil"/>
                  </w:tcBorders>
                  <w:vAlign w:val="center"/>
                </w:tcPr>
                <w:p w14:paraId="3BC77C20">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0.7469</w:t>
                  </w:r>
                </w:p>
              </w:tc>
            </w:tr>
            <w:tr w14:paraId="0090C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D578D65">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27D71E07">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12AE24B2">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638C0D06">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38625600">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57F2F72D">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0.0830</w:t>
                  </w:r>
                </w:p>
              </w:tc>
            </w:tr>
            <w:tr w14:paraId="33209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65" w:type="dxa"/>
                  <w:vMerge w:val="continue"/>
                  <w:tcBorders>
                    <w:tl2br w:val="nil"/>
                    <w:tr2bl w:val="nil"/>
                  </w:tcBorders>
                  <w:vAlign w:val="center"/>
                </w:tcPr>
                <w:p w14:paraId="644EF245">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532F8B4D">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0B097119">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7BE54045">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435BB15C">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0D147E62">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0.0437</w:t>
                  </w:r>
                </w:p>
              </w:tc>
            </w:tr>
            <w:tr w14:paraId="70DF0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65" w:type="dxa"/>
                  <w:vMerge w:val="restart"/>
                  <w:tcBorders>
                    <w:tl2br w:val="nil"/>
                    <w:tr2bl w:val="nil"/>
                  </w:tcBorders>
                  <w:vAlign w:val="center"/>
                </w:tcPr>
                <w:p w14:paraId="59316220">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油</w:t>
                  </w:r>
                  <w:r>
                    <w:rPr>
                      <w:rFonts w:ascii="Times New Roman" w:hAnsi="Times New Roman" w:eastAsiaTheme="minorEastAsia"/>
                      <w:color w:val="auto"/>
                      <w:sz w:val="21"/>
                      <w:szCs w:val="21"/>
                    </w:rPr>
                    <w:t>性面漆</w:t>
                  </w:r>
                  <w:r>
                    <w:rPr>
                      <w:rFonts w:hint="eastAsia" w:ascii="Times New Roman" w:hAnsi="Times New Roman" w:eastAsiaTheme="minorEastAsia"/>
                      <w:color w:val="auto"/>
                      <w:sz w:val="21"/>
                      <w:szCs w:val="21"/>
                    </w:rPr>
                    <w:t>1.28</w:t>
                  </w:r>
                  <w:r>
                    <w:rPr>
                      <w:rFonts w:ascii="Times New Roman" w:hAnsi="Times New Roman" w:eastAsiaTheme="minorEastAsia"/>
                      <w:color w:val="auto"/>
                      <w:sz w:val="21"/>
                      <w:szCs w:val="21"/>
                    </w:rPr>
                    <w:t>t</w:t>
                  </w:r>
                </w:p>
              </w:tc>
              <w:tc>
                <w:tcPr>
                  <w:tcW w:w="1071" w:type="dxa"/>
                  <w:vMerge w:val="restart"/>
                  <w:tcBorders>
                    <w:tl2br w:val="nil"/>
                    <w:tr2bl w:val="nil"/>
                  </w:tcBorders>
                  <w:vAlign w:val="center"/>
                </w:tcPr>
                <w:p w14:paraId="157F0FE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固体分</w:t>
                  </w:r>
                </w:p>
              </w:tc>
              <w:tc>
                <w:tcPr>
                  <w:tcW w:w="1131" w:type="dxa"/>
                  <w:vMerge w:val="restart"/>
                  <w:tcBorders>
                    <w:tl2br w:val="nil"/>
                    <w:tr2bl w:val="nil"/>
                  </w:tcBorders>
                  <w:vAlign w:val="center"/>
                </w:tcPr>
                <w:p w14:paraId="57436AC5">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lang w:val="en-US" w:eastAsia="zh-CN"/>
                    </w:rPr>
                    <w:t>0.6976</w:t>
                  </w:r>
                  <w:r>
                    <w:rPr>
                      <w:rFonts w:hint="eastAsia" w:ascii="Times New Roman" w:hAnsi="Times New Roman" w:eastAsiaTheme="minorEastAsia"/>
                      <w:color w:val="auto"/>
                      <w:sz w:val="21"/>
                      <w:szCs w:val="21"/>
                    </w:rPr>
                    <w:t>t</w:t>
                  </w:r>
                </w:p>
              </w:tc>
              <w:tc>
                <w:tcPr>
                  <w:tcW w:w="3216" w:type="dxa"/>
                  <w:gridSpan w:val="2"/>
                  <w:tcBorders>
                    <w:tl2br w:val="nil"/>
                    <w:tr2bl w:val="nil"/>
                  </w:tcBorders>
                  <w:vAlign w:val="center"/>
                </w:tcPr>
                <w:p w14:paraId="1CFE3BD1">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进入产品</w:t>
                  </w:r>
                </w:p>
              </w:tc>
              <w:tc>
                <w:tcPr>
                  <w:tcW w:w="1931" w:type="dxa"/>
                  <w:tcBorders>
                    <w:tl2br w:val="nil"/>
                    <w:tr2bl w:val="nil"/>
                  </w:tcBorders>
                  <w:vAlign w:val="center"/>
                </w:tcPr>
                <w:p w14:paraId="7F0A1558">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0.3488</w:t>
                  </w:r>
                </w:p>
              </w:tc>
            </w:tr>
            <w:tr w14:paraId="308C5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Merge w:val="continue"/>
                  <w:tcBorders>
                    <w:tl2br w:val="nil"/>
                    <w:tr2bl w:val="nil"/>
                  </w:tcBorders>
                  <w:vAlign w:val="center"/>
                </w:tcPr>
                <w:p w14:paraId="7E02520E">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405279D7">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3B2A4C49">
                  <w:pPr>
                    <w:pStyle w:val="368"/>
                    <w:rPr>
                      <w:rFonts w:ascii="Times New Roman" w:hAnsi="Times New Roman" w:eastAsiaTheme="minorEastAsia"/>
                      <w:color w:val="auto"/>
                      <w:sz w:val="21"/>
                      <w:szCs w:val="21"/>
                    </w:rPr>
                  </w:pPr>
                </w:p>
              </w:tc>
              <w:tc>
                <w:tcPr>
                  <w:tcW w:w="3216" w:type="dxa"/>
                  <w:gridSpan w:val="2"/>
                  <w:tcBorders>
                    <w:tl2br w:val="nil"/>
                    <w:tr2bl w:val="nil"/>
                  </w:tcBorders>
                  <w:vAlign w:val="center"/>
                </w:tcPr>
                <w:p w14:paraId="4269D7B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漆渣</w:t>
                  </w:r>
                </w:p>
              </w:tc>
              <w:tc>
                <w:tcPr>
                  <w:tcW w:w="1931" w:type="dxa"/>
                  <w:tcBorders>
                    <w:tl2br w:val="nil"/>
                    <w:tr2bl w:val="nil"/>
                  </w:tcBorders>
                  <w:vAlign w:val="center"/>
                </w:tcPr>
                <w:p w14:paraId="7A6481D3">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0.1046</w:t>
                  </w:r>
                </w:p>
              </w:tc>
            </w:tr>
            <w:tr w14:paraId="0EC89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51A71DC6">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4B8793F4">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2446D1D9">
                  <w:pPr>
                    <w:pStyle w:val="368"/>
                    <w:rPr>
                      <w:rFonts w:ascii="Times New Roman" w:hAnsi="Times New Roman" w:eastAsiaTheme="minorEastAsia"/>
                      <w:color w:val="auto"/>
                      <w:sz w:val="21"/>
                      <w:szCs w:val="21"/>
                    </w:rPr>
                  </w:pPr>
                </w:p>
              </w:tc>
              <w:tc>
                <w:tcPr>
                  <w:tcW w:w="1608" w:type="dxa"/>
                  <w:vMerge w:val="restart"/>
                  <w:tcBorders>
                    <w:tl2br w:val="nil"/>
                    <w:tr2bl w:val="nil"/>
                  </w:tcBorders>
                  <w:vAlign w:val="center"/>
                </w:tcPr>
                <w:p w14:paraId="5C725BA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w:t>
                  </w: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2442</w:t>
                  </w:r>
                  <w:r>
                    <w:rPr>
                      <w:rFonts w:hint="eastAsia" w:ascii="Times New Roman" w:hAnsi="Times New Roman" w:eastAsiaTheme="minorEastAsia"/>
                      <w:color w:val="auto"/>
                      <w:sz w:val="21"/>
                      <w:szCs w:val="21"/>
                    </w:rPr>
                    <w:t>t</w:t>
                  </w:r>
                </w:p>
              </w:tc>
              <w:tc>
                <w:tcPr>
                  <w:tcW w:w="1608" w:type="dxa"/>
                  <w:tcBorders>
                    <w:tl2br w:val="nil"/>
                    <w:tr2bl w:val="nil"/>
                  </w:tcBorders>
                  <w:vAlign w:val="center"/>
                </w:tcPr>
                <w:p w14:paraId="0B37DD9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干式过滤器</w:t>
                  </w:r>
                </w:p>
              </w:tc>
              <w:tc>
                <w:tcPr>
                  <w:tcW w:w="1931" w:type="dxa"/>
                  <w:tcBorders>
                    <w:tl2br w:val="nil"/>
                    <w:tr2bl w:val="nil"/>
                  </w:tcBorders>
                  <w:vAlign w:val="center"/>
                </w:tcPr>
                <w:p w14:paraId="62449031">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0.2088</w:t>
                  </w:r>
                </w:p>
              </w:tc>
            </w:tr>
            <w:tr w14:paraId="280B4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148CC472">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4694F660">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25A90FA6">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0F41EF7C">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4512BF0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67105499">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0.0232</w:t>
                  </w:r>
                </w:p>
              </w:tc>
            </w:tr>
            <w:tr w14:paraId="45DCC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38AF21C5">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5CC6CB87">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0C9E0A82">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74EE1D4B">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31D1C7F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11BA5A16">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0.0122</w:t>
                  </w:r>
                </w:p>
              </w:tc>
            </w:tr>
            <w:tr w14:paraId="0C293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14B387B">
                  <w:pPr>
                    <w:pStyle w:val="368"/>
                    <w:rPr>
                      <w:rFonts w:ascii="Times New Roman" w:hAnsi="Times New Roman" w:eastAsiaTheme="minorEastAsia"/>
                      <w:color w:val="auto"/>
                      <w:sz w:val="21"/>
                      <w:szCs w:val="21"/>
                    </w:rPr>
                  </w:pPr>
                </w:p>
              </w:tc>
              <w:tc>
                <w:tcPr>
                  <w:tcW w:w="1071" w:type="dxa"/>
                  <w:vMerge w:val="restart"/>
                  <w:tcBorders>
                    <w:tl2br w:val="nil"/>
                    <w:tr2bl w:val="nil"/>
                  </w:tcBorders>
                  <w:vAlign w:val="center"/>
                </w:tcPr>
                <w:p w14:paraId="55452C83">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挥发分</w:t>
                  </w:r>
                </w:p>
              </w:tc>
              <w:tc>
                <w:tcPr>
                  <w:tcW w:w="1131" w:type="dxa"/>
                  <w:vMerge w:val="restart"/>
                  <w:tcBorders>
                    <w:tl2br w:val="nil"/>
                    <w:tr2bl w:val="nil"/>
                  </w:tcBorders>
                  <w:vAlign w:val="center"/>
                </w:tcPr>
                <w:p w14:paraId="74A6D4DD">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0.</w:t>
                  </w:r>
                  <w:r>
                    <w:rPr>
                      <w:rFonts w:hint="eastAsia" w:ascii="Times New Roman" w:hAnsi="Times New Roman" w:eastAsiaTheme="minorEastAsia"/>
                      <w:color w:val="auto"/>
                      <w:sz w:val="21"/>
                      <w:szCs w:val="21"/>
                      <w:lang w:val="en-US" w:eastAsia="zh-CN"/>
                    </w:rPr>
                    <w:t>5824</w:t>
                  </w:r>
                  <w:r>
                    <w:rPr>
                      <w:rFonts w:hint="eastAsia" w:ascii="Times New Roman" w:hAnsi="Times New Roman" w:eastAsiaTheme="minorEastAsia"/>
                      <w:color w:val="auto"/>
                      <w:sz w:val="21"/>
                      <w:szCs w:val="21"/>
                    </w:rPr>
                    <w:t>t</w:t>
                  </w:r>
                </w:p>
              </w:tc>
              <w:tc>
                <w:tcPr>
                  <w:tcW w:w="1608" w:type="dxa"/>
                  <w:vMerge w:val="restart"/>
                  <w:tcBorders>
                    <w:tl2br w:val="nil"/>
                    <w:tr2bl w:val="nil"/>
                  </w:tcBorders>
                  <w:vAlign w:val="center"/>
                </w:tcPr>
                <w:p w14:paraId="3361BDB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VOC</w:t>
                  </w:r>
                  <w:r>
                    <w:rPr>
                      <w:rFonts w:ascii="Times New Roman" w:hAnsi="Times New Roman" w:eastAsiaTheme="minorEastAsia"/>
                      <w:color w:val="auto"/>
                      <w:sz w:val="21"/>
                      <w:szCs w:val="21"/>
                      <w:vertAlign w:val="subscript"/>
                    </w:rPr>
                    <w:t>S</w:t>
                  </w:r>
                </w:p>
              </w:tc>
              <w:tc>
                <w:tcPr>
                  <w:tcW w:w="1608" w:type="dxa"/>
                  <w:tcBorders>
                    <w:tl2br w:val="nil"/>
                    <w:tr2bl w:val="nil"/>
                  </w:tcBorders>
                  <w:vAlign w:val="center"/>
                </w:tcPr>
                <w:p w14:paraId="5E2BC97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活性炭吸附</w:t>
                  </w:r>
                </w:p>
              </w:tc>
              <w:tc>
                <w:tcPr>
                  <w:tcW w:w="1931" w:type="dxa"/>
                  <w:tcBorders>
                    <w:tl2br w:val="nil"/>
                    <w:tr2bl w:val="nil"/>
                  </w:tcBorders>
                  <w:vAlign w:val="center"/>
                </w:tcPr>
                <w:p w14:paraId="1D82C196">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0.4980</w:t>
                  </w:r>
                </w:p>
              </w:tc>
            </w:tr>
            <w:tr w14:paraId="41B0B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01E6D5E">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04389E68">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1DFDDA2">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273B032A">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75FD387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有组织</w:t>
                  </w:r>
                </w:p>
              </w:tc>
              <w:tc>
                <w:tcPr>
                  <w:tcW w:w="1931" w:type="dxa"/>
                  <w:tcBorders>
                    <w:tl2br w:val="nil"/>
                    <w:tr2bl w:val="nil"/>
                  </w:tcBorders>
                  <w:vAlign w:val="center"/>
                </w:tcPr>
                <w:p w14:paraId="5A436621">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0.0553</w:t>
                  </w:r>
                </w:p>
              </w:tc>
            </w:tr>
            <w:tr w14:paraId="1A24F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vMerge w:val="continue"/>
                  <w:tcBorders>
                    <w:tl2br w:val="nil"/>
                    <w:tr2bl w:val="nil"/>
                  </w:tcBorders>
                  <w:vAlign w:val="center"/>
                </w:tcPr>
                <w:p w14:paraId="7F107289">
                  <w:pPr>
                    <w:pStyle w:val="368"/>
                    <w:rPr>
                      <w:rFonts w:ascii="Times New Roman" w:hAnsi="Times New Roman" w:eastAsiaTheme="minorEastAsia"/>
                      <w:color w:val="auto"/>
                      <w:sz w:val="21"/>
                      <w:szCs w:val="21"/>
                    </w:rPr>
                  </w:pPr>
                </w:p>
              </w:tc>
              <w:tc>
                <w:tcPr>
                  <w:tcW w:w="1071" w:type="dxa"/>
                  <w:vMerge w:val="continue"/>
                  <w:tcBorders>
                    <w:tl2br w:val="nil"/>
                    <w:tr2bl w:val="nil"/>
                  </w:tcBorders>
                  <w:vAlign w:val="center"/>
                </w:tcPr>
                <w:p w14:paraId="0A9FD82B">
                  <w:pPr>
                    <w:pStyle w:val="368"/>
                    <w:rPr>
                      <w:rFonts w:ascii="Times New Roman" w:hAnsi="Times New Roman" w:eastAsiaTheme="minorEastAsia"/>
                      <w:color w:val="auto"/>
                      <w:sz w:val="21"/>
                      <w:szCs w:val="21"/>
                    </w:rPr>
                  </w:pPr>
                </w:p>
              </w:tc>
              <w:tc>
                <w:tcPr>
                  <w:tcW w:w="1131" w:type="dxa"/>
                  <w:vMerge w:val="continue"/>
                  <w:tcBorders>
                    <w:tl2br w:val="nil"/>
                    <w:tr2bl w:val="nil"/>
                  </w:tcBorders>
                  <w:vAlign w:val="center"/>
                </w:tcPr>
                <w:p w14:paraId="421FC761">
                  <w:pPr>
                    <w:pStyle w:val="368"/>
                    <w:rPr>
                      <w:rFonts w:ascii="Times New Roman" w:hAnsi="Times New Roman" w:eastAsiaTheme="minorEastAsia"/>
                      <w:color w:val="auto"/>
                      <w:sz w:val="21"/>
                      <w:szCs w:val="21"/>
                    </w:rPr>
                  </w:pPr>
                </w:p>
              </w:tc>
              <w:tc>
                <w:tcPr>
                  <w:tcW w:w="1608" w:type="dxa"/>
                  <w:vMerge w:val="continue"/>
                  <w:tcBorders>
                    <w:tl2br w:val="nil"/>
                    <w:tr2bl w:val="nil"/>
                  </w:tcBorders>
                  <w:vAlign w:val="center"/>
                </w:tcPr>
                <w:p w14:paraId="0BAEC857">
                  <w:pPr>
                    <w:pStyle w:val="368"/>
                    <w:rPr>
                      <w:rFonts w:ascii="Times New Roman" w:hAnsi="Times New Roman" w:eastAsiaTheme="minorEastAsia"/>
                      <w:color w:val="auto"/>
                      <w:sz w:val="21"/>
                      <w:szCs w:val="21"/>
                    </w:rPr>
                  </w:pPr>
                </w:p>
              </w:tc>
              <w:tc>
                <w:tcPr>
                  <w:tcW w:w="1608" w:type="dxa"/>
                  <w:tcBorders>
                    <w:tl2br w:val="nil"/>
                    <w:tr2bl w:val="nil"/>
                  </w:tcBorders>
                  <w:vAlign w:val="center"/>
                </w:tcPr>
                <w:p w14:paraId="58474D09">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无组织</w:t>
                  </w:r>
                </w:p>
              </w:tc>
              <w:tc>
                <w:tcPr>
                  <w:tcW w:w="1931" w:type="dxa"/>
                  <w:tcBorders>
                    <w:tl2br w:val="nil"/>
                    <w:tr2bl w:val="nil"/>
                  </w:tcBorders>
                  <w:vAlign w:val="center"/>
                </w:tcPr>
                <w:p w14:paraId="62F61849">
                  <w:pPr>
                    <w:keepNext w:val="0"/>
                    <w:keepLines w:val="0"/>
                    <w:widowControl/>
                    <w:suppressLineNumbers w:val="0"/>
                    <w:jc w:val="center"/>
                    <w:textAlignment w:val="center"/>
                    <w:rPr>
                      <w:rFonts w:ascii="Times New Roman" w:hAnsi="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0.0291</w:t>
                  </w:r>
                </w:p>
              </w:tc>
            </w:tr>
            <w:tr w14:paraId="18163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5" w:type="dxa"/>
                  <w:tcBorders>
                    <w:tl2br w:val="nil"/>
                    <w:tr2bl w:val="nil"/>
                  </w:tcBorders>
                  <w:vAlign w:val="center"/>
                </w:tcPr>
                <w:p w14:paraId="12DA481E">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071" w:type="dxa"/>
                  <w:tcBorders>
                    <w:tl2br w:val="nil"/>
                    <w:tr2bl w:val="nil"/>
                  </w:tcBorders>
                  <w:vAlign w:val="center"/>
                </w:tcPr>
                <w:p w14:paraId="388A9BC8">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合计</w:t>
                  </w:r>
                </w:p>
              </w:tc>
              <w:tc>
                <w:tcPr>
                  <w:tcW w:w="1131" w:type="dxa"/>
                  <w:tcBorders>
                    <w:tl2br w:val="nil"/>
                    <w:tr2bl w:val="nil"/>
                  </w:tcBorders>
                  <w:vAlign w:val="center"/>
                </w:tcPr>
                <w:p w14:paraId="6A092EED">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3.2</w:t>
                  </w:r>
                  <w:r>
                    <w:rPr>
                      <w:rFonts w:ascii="Times New Roman" w:hAnsi="Times New Roman" w:eastAsiaTheme="minorEastAsia"/>
                      <w:color w:val="auto"/>
                      <w:sz w:val="21"/>
                      <w:szCs w:val="21"/>
                    </w:rPr>
                    <w:t>t</w:t>
                  </w:r>
                </w:p>
              </w:tc>
              <w:tc>
                <w:tcPr>
                  <w:tcW w:w="1608" w:type="dxa"/>
                  <w:tcBorders>
                    <w:tl2br w:val="nil"/>
                    <w:tr2bl w:val="nil"/>
                  </w:tcBorders>
                  <w:vAlign w:val="center"/>
                </w:tcPr>
                <w:p w14:paraId="494F601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608" w:type="dxa"/>
                  <w:tcBorders>
                    <w:tl2br w:val="nil"/>
                    <w:tr2bl w:val="nil"/>
                  </w:tcBorders>
                  <w:vAlign w:val="center"/>
                </w:tcPr>
                <w:p w14:paraId="3B99CC36">
                  <w:pPr>
                    <w:pStyle w:val="368"/>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931" w:type="dxa"/>
                  <w:tcBorders>
                    <w:tl2br w:val="nil"/>
                    <w:tr2bl w:val="nil"/>
                  </w:tcBorders>
                  <w:vAlign w:val="center"/>
                </w:tcPr>
                <w:p w14:paraId="7825B1C3">
                  <w:pPr>
                    <w:pStyle w:val="368"/>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3.2</w:t>
                  </w:r>
                </w:p>
              </w:tc>
            </w:tr>
          </w:tbl>
          <w:p w14:paraId="7D190CA1">
            <w:pPr>
              <w:pStyle w:val="37"/>
              <w:rPr>
                <w:color w:val="auto"/>
              </w:rPr>
            </w:pPr>
            <w:r>
              <w:rPr>
                <w:color w:val="auto"/>
                <w:sz w:val="24"/>
              </w:rPr>
              <w:object>
                <v:shape id="_x0000_i1025" o:spt="75" type="#_x0000_t75" style="height:188.25pt;width:414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r>
              <w:rPr>
                <w:color w:val="auto"/>
                <w:sz w:val="24"/>
              </w:rPr>
              <w:object>
                <v:shape id="_x0000_i1026" o:spt="75" type="#_x0000_t75" style="height:188.25pt;width:414pt;" o:ole="t" filled="f" o:preferrelative="t" stroked="f" coordsize="21600,21600">
                  <v:path/>
                  <v:fill on="f" focussize="0,0"/>
                  <v:stroke on="f"/>
                  <v:imagedata r:id="rId15" o:title=""/>
                  <o:lock v:ext="edit" aspectratio="t"/>
                  <w10:wrap type="none"/>
                  <w10:anchorlock/>
                </v:shape>
                <o:OLEObject Type="Embed" ProgID="Visio.Drawing.11" ShapeID="_x0000_i1026" DrawAspect="Content" ObjectID="_1468075726" r:id="rId14">
                  <o:LockedField>false</o:LockedField>
                </o:OLEObject>
              </w:object>
            </w:r>
          </w:p>
          <w:p w14:paraId="5E54D47D">
            <w:pPr>
              <w:pStyle w:val="37"/>
              <w:jc w:val="center"/>
              <w:rPr>
                <w:b/>
                <w:color w:val="auto"/>
                <w:sz w:val="24"/>
              </w:rPr>
            </w:pPr>
            <w:r>
              <w:rPr>
                <w:b/>
                <w:color w:val="auto"/>
                <w:sz w:val="24"/>
              </w:rPr>
              <w:t>图2-</w:t>
            </w:r>
            <w:r>
              <w:rPr>
                <w:rFonts w:hint="eastAsia"/>
                <w:b/>
                <w:color w:val="auto"/>
                <w:sz w:val="24"/>
              </w:rPr>
              <w:t>2.1</w:t>
            </w:r>
            <w:r>
              <w:rPr>
                <w:b/>
                <w:color w:val="auto"/>
                <w:sz w:val="24"/>
              </w:rPr>
              <w:t xml:space="preserve"> 本项目</w:t>
            </w:r>
            <w:r>
              <w:rPr>
                <w:rFonts w:hint="eastAsia"/>
                <w:b/>
                <w:color w:val="auto"/>
                <w:sz w:val="24"/>
              </w:rPr>
              <w:t>水性漆物料</w:t>
            </w:r>
            <w:r>
              <w:rPr>
                <w:b/>
                <w:color w:val="auto"/>
                <w:sz w:val="24"/>
              </w:rPr>
              <w:t>平衡图（单位：</w:t>
            </w:r>
            <w:r>
              <w:rPr>
                <w:rFonts w:hint="eastAsia"/>
                <w:b/>
                <w:color w:val="auto"/>
                <w:sz w:val="24"/>
              </w:rPr>
              <w:t>t</w:t>
            </w:r>
            <w:r>
              <w:rPr>
                <w:b/>
                <w:color w:val="auto"/>
                <w:sz w:val="24"/>
              </w:rPr>
              <w:t>/a）</w:t>
            </w:r>
          </w:p>
          <w:p w14:paraId="5D55BEB8">
            <w:pPr>
              <w:rPr>
                <w:color w:val="auto"/>
              </w:rPr>
            </w:pPr>
            <w:r>
              <w:rPr>
                <w:color w:val="auto"/>
                <w:kern w:val="0"/>
                <w:sz w:val="24"/>
                <w:szCs w:val="20"/>
              </w:rPr>
              <w:object>
                <v:shape id="_x0000_i1027" o:spt="75" type="#_x0000_t75" style="height:188.25pt;width:414pt;" o:ole="t" filled="f" o:preferrelative="t" stroked="f" coordsize="21600,21600">
                  <v:path/>
                  <v:fill on="f" focussize="0,0"/>
                  <v:stroke on="f"/>
                  <v:imagedata r:id="rId17" o:title=""/>
                  <o:lock v:ext="edit" aspectratio="t"/>
                  <w10:wrap type="none"/>
                  <w10:anchorlock/>
                </v:shape>
                <o:OLEObject Type="Embed" ProgID="Visio.Drawing.11" ShapeID="_x0000_i1027" DrawAspect="Content" ObjectID="_1468075727" r:id="rId16">
                  <o:LockedField>false</o:LockedField>
                </o:OLEObject>
              </w:object>
            </w:r>
            <w:r>
              <w:rPr>
                <w:color w:val="auto"/>
                <w:kern w:val="0"/>
                <w:sz w:val="24"/>
                <w:szCs w:val="20"/>
              </w:rPr>
              <w:object>
                <v:shape id="_x0000_i1028" o:spt="75" type="#_x0000_t75" style="height:188.25pt;width:414pt;" o:ole="t" filled="f" o:preferrelative="t" stroked="f" coordsize="21600,21600">
                  <v:path/>
                  <v:fill on="f" focussize="0,0"/>
                  <v:stroke on="f"/>
                  <v:imagedata r:id="rId19" o:title=""/>
                  <o:lock v:ext="edit" aspectratio="t"/>
                  <w10:wrap type="none"/>
                  <w10:anchorlock/>
                </v:shape>
                <o:OLEObject Type="Embed" ProgID="Visio.Drawing.11" ShapeID="_x0000_i1028" DrawAspect="Content" ObjectID="_1468075728" r:id="rId18">
                  <o:LockedField>false</o:LockedField>
                </o:OLEObject>
              </w:object>
            </w:r>
          </w:p>
          <w:p w14:paraId="29BE9CE7">
            <w:pPr>
              <w:jc w:val="center"/>
              <w:rPr>
                <w:color w:val="auto"/>
              </w:rPr>
            </w:pPr>
            <w:r>
              <w:rPr>
                <w:b/>
                <w:color w:val="auto"/>
                <w:sz w:val="24"/>
              </w:rPr>
              <w:t>图2-</w:t>
            </w:r>
            <w:r>
              <w:rPr>
                <w:rFonts w:hint="eastAsia"/>
                <w:b/>
                <w:color w:val="auto"/>
                <w:sz w:val="24"/>
              </w:rPr>
              <w:t>2.2</w:t>
            </w:r>
            <w:r>
              <w:rPr>
                <w:b/>
                <w:color w:val="auto"/>
                <w:sz w:val="24"/>
              </w:rPr>
              <w:t xml:space="preserve"> 本项目</w:t>
            </w:r>
            <w:r>
              <w:rPr>
                <w:rFonts w:hint="eastAsia"/>
                <w:b/>
                <w:color w:val="auto"/>
                <w:sz w:val="24"/>
              </w:rPr>
              <w:t>油性漆物料</w:t>
            </w:r>
            <w:r>
              <w:rPr>
                <w:b/>
                <w:color w:val="auto"/>
                <w:sz w:val="24"/>
              </w:rPr>
              <w:t>平衡图（单位：</w:t>
            </w:r>
            <w:r>
              <w:rPr>
                <w:rFonts w:hint="eastAsia"/>
                <w:b/>
                <w:color w:val="auto"/>
                <w:sz w:val="24"/>
              </w:rPr>
              <w:t>t</w:t>
            </w:r>
            <w:r>
              <w:rPr>
                <w:b/>
                <w:color w:val="auto"/>
                <w:sz w:val="24"/>
              </w:rPr>
              <w:t>/a）</w:t>
            </w:r>
          </w:p>
          <w:p w14:paraId="3EB5A6CF">
            <w:pPr>
              <w:tabs>
                <w:tab w:val="left" w:pos="720"/>
              </w:tabs>
              <w:adjustRightInd w:val="0"/>
              <w:snapToGrid w:val="0"/>
              <w:spacing w:line="360" w:lineRule="auto"/>
              <w:ind w:firstLine="482" w:firstLineChars="200"/>
              <w:rPr>
                <w:b/>
                <w:color w:val="auto"/>
                <w:sz w:val="24"/>
              </w:rPr>
            </w:pPr>
            <w:r>
              <w:rPr>
                <w:rFonts w:hint="eastAsia"/>
                <w:b/>
                <w:color w:val="auto"/>
                <w:sz w:val="24"/>
              </w:rPr>
              <w:t>九</w:t>
            </w:r>
            <w:r>
              <w:rPr>
                <w:b/>
                <w:color w:val="auto"/>
                <w:sz w:val="24"/>
              </w:rPr>
              <w:t>、平面布置情况</w:t>
            </w:r>
          </w:p>
          <w:p w14:paraId="6003E5B1">
            <w:pPr>
              <w:tabs>
                <w:tab w:val="left" w:pos="720"/>
              </w:tabs>
              <w:adjustRightInd w:val="0"/>
              <w:snapToGrid w:val="0"/>
              <w:spacing w:line="360" w:lineRule="auto"/>
              <w:ind w:firstLine="480" w:firstLineChars="200"/>
              <w:rPr>
                <w:color w:val="auto"/>
                <w:sz w:val="24"/>
              </w:rPr>
            </w:pPr>
            <w:r>
              <w:rPr>
                <w:rFonts w:hint="eastAsia"/>
                <w:color w:val="auto"/>
                <w:sz w:val="24"/>
              </w:rPr>
              <w:t>江苏柯德展示道具有限公司购置</w:t>
            </w:r>
            <w:r>
              <w:rPr>
                <w:bCs/>
                <w:color w:val="auto"/>
                <w:sz w:val="24"/>
              </w:rPr>
              <w:t>江苏省淮安市涟水县</w:t>
            </w:r>
            <w:r>
              <w:rPr>
                <w:rFonts w:hint="eastAsia"/>
                <w:bCs/>
                <w:color w:val="auto"/>
                <w:sz w:val="24"/>
              </w:rPr>
              <w:t>经济开发区蒋庵东路东侧、清涟大道北侧86115.76平方米土地进行规划建设</w:t>
            </w:r>
            <w:r>
              <w:rPr>
                <w:rFonts w:hint="eastAsia"/>
                <w:color w:val="auto"/>
                <w:sz w:val="24"/>
              </w:rPr>
              <w:t>。</w:t>
            </w:r>
          </w:p>
          <w:p w14:paraId="6F73F73A">
            <w:pPr>
              <w:tabs>
                <w:tab w:val="left" w:pos="720"/>
              </w:tabs>
              <w:adjustRightInd w:val="0"/>
              <w:snapToGrid w:val="0"/>
              <w:spacing w:line="360" w:lineRule="auto"/>
              <w:ind w:firstLine="480" w:firstLineChars="200"/>
              <w:rPr>
                <w:color w:val="auto"/>
                <w:sz w:val="24"/>
              </w:rPr>
            </w:pPr>
            <w:r>
              <w:rPr>
                <w:rFonts w:hint="eastAsia"/>
                <w:color w:val="auto"/>
                <w:sz w:val="24"/>
              </w:rPr>
              <w:t>企业</w:t>
            </w:r>
            <w:r>
              <w:rPr>
                <w:rFonts w:hint="eastAsia" w:hAnsi="宋体"/>
                <w:bCs/>
                <w:color w:val="auto"/>
                <w:sz w:val="24"/>
              </w:rPr>
              <w:t>厂区西半幅自南向北自西向东分别为停车场、景观区、1#厂房、门卫2、仓库、3#厂房、5#厂房，东半幅自南向北自西向东分别为门卫1、停车场、办公楼、2#厂房、4#厂房、6#厂房，其中1#厂房为组装车间主要涉及亚克力组件的生产工艺，2#厂房为金属车间主要涉及金属组件的生产工艺，3#厂房为油漆车间主要涉及木制组件的喷涂及大理石组件的打磨组装，4#厂房为木工车间主要涉及木制组件的下料打磨及大理石组件的下料工艺，5#、6#厂房均为新建空厂房留作备用，具</w:t>
            </w:r>
            <w:r>
              <w:rPr>
                <w:rFonts w:hAnsi="宋体"/>
                <w:color w:val="auto"/>
                <w:kern w:val="0"/>
                <w:sz w:val="24"/>
                <w:szCs w:val="20"/>
              </w:rPr>
              <w:t>体平面布置图见</w:t>
            </w:r>
            <w:r>
              <w:rPr>
                <w:rFonts w:hAnsi="宋体"/>
                <w:b/>
                <w:color w:val="auto"/>
                <w:kern w:val="0"/>
                <w:sz w:val="24"/>
                <w:szCs w:val="20"/>
              </w:rPr>
              <w:t>附图</w:t>
            </w:r>
            <w:r>
              <w:rPr>
                <w:rFonts w:hint="eastAsia" w:hAnsi="宋体"/>
                <w:b/>
                <w:color w:val="auto"/>
                <w:kern w:val="0"/>
                <w:sz w:val="24"/>
                <w:szCs w:val="20"/>
              </w:rPr>
              <w:t>2</w:t>
            </w:r>
            <w:r>
              <w:rPr>
                <w:rFonts w:hAnsi="宋体"/>
                <w:b/>
                <w:color w:val="auto"/>
                <w:kern w:val="0"/>
                <w:sz w:val="24"/>
                <w:szCs w:val="20"/>
              </w:rPr>
              <w:t>。</w:t>
            </w:r>
          </w:p>
          <w:p w14:paraId="5377A79B">
            <w:pPr>
              <w:tabs>
                <w:tab w:val="left" w:pos="720"/>
              </w:tabs>
              <w:adjustRightInd w:val="0"/>
              <w:snapToGrid w:val="0"/>
              <w:spacing w:line="360" w:lineRule="auto"/>
              <w:ind w:firstLine="482" w:firstLineChars="200"/>
              <w:rPr>
                <w:b/>
                <w:color w:val="auto"/>
                <w:sz w:val="24"/>
              </w:rPr>
            </w:pPr>
            <w:r>
              <w:rPr>
                <w:rFonts w:hint="eastAsia"/>
                <w:b/>
                <w:color w:val="auto"/>
                <w:sz w:val="24"/>
              </w:rPr>
              <w:t>十</w:t>
            </w:r>
            <w:r>
              <w:rPr>
                <w:b/>
                <w:color w:val="auto"/>
                <w:sz w:val="24"/>
              </w:rPr>
              <w:t>、周边环境概况</w:t>
            </w:r>
          </w:p>
          <w:p w14:paraId="4F1B1078">
            <w:pPr>
              <w:tabs>
                <w:tab w:val="left" w:pos="720"/>
              </w:tabs>
              <w:adjustRightInd w:val="0"/>
              <w:snapToGrid w:val="0"/>
              <w:spacing w:line="360" w:lineRule="auto"/>
              <w:ind w:firstLine="480" w:firstLineChars="200"/>
              <w:rPr>
                <w:bCs/>
                <w:color w:val="auto"/>
                <w:szCs w:val="21"/>
              </w:rPr>
            </w:pPr>
            <w:r>
              <w:rPr>
                <w:rFonts w:hint="eastAsia" w:hAnsi="宋体"/>
                <w:bCs/>
                <w:color w:val="auto"/>
                <w:sz w:val="24"/>
              </w:rPr>
              <w:t>本项目位于</w:t>
            </w:r>
            <w:r>
              <w:rPr>
                <w:bCs/>
                <w:color w:val="auto"/>
                <w:sz w:val="24"/>
              </w:rPr>
              <w:t>江苏省淮安市涟水县</w:t>
            </w:r>
            <w:r>
              <w:rPr>
                <w:rFonts w:hint="eastAsia"/>
                <w:bCs/>
                <w:color w:val="auto"/>
                <w:sz w:val="24"/>
              </w:rPr>
              <w:t>经济开发区蒋庵东路东侧、清涟大道北侧</w:t>
            </w:r>
            <w:r>
              <w:rPr>
                <w:rFonts w:hint="eastAsia" w:hAnsi="宋体"/>
                <w:bCs/>
                <w:color w:val="auto"/>
                <w:sz w:val="24"/>
              </w:rPr>
              <w:t>，厂区北侧为空地；南侧为清涟大道，路南为蒋老庄小区；西侧为</w:t>
            </w:r>
            <w:r>
              <w:rPr>
                <w:rFonts w:hint="eastAsia"/>
                <w:bCs/>
                <w:color w:val="auto"/>
                <w:sz w:val="24"/>
              </w:rPr>
              <w:t>蒋庵东路，路西为空地</w:t>
            </w:r>
            <w:r>
              <w:rPr>
                <w:rFonts w:hint="eastAsia" w:hAnsi="宋体"/>
                <w:bCs/>
                <w:color w:val="auto"/>
                <w:sz w:val="24"/>
              </w:rPr>
              <w:t>；东侧为无名路，路东为空地。周边环境概况图见</w:t>
            </w:r>
            <w:r>
              <w:rPr>
                <w:rFonts w:hint="eastAsia" w:hAnsi="宋体"/>
                <w:b/>
                <w:color w:val="auto"/>
                <w:sz w:val="24"/>
              </w:rPr>
              <w:t>附图</w:t>
            </w:r>
            <w:r>
              <w:rPr>
                <w:rFonts w:hint="eastAsia"/>
                <w:b/>
                <w:color w:val="auto"/>
                <w:sz w:val="24"/>
              </w:rPr>
              <w:t>3</w:t>
            </w:r>
            <w:r>
              <w:rPr>
                <w:bCs/>
                <w:color w:val="auto"/>
                <w:sz w:val="24"/>
              </w:rPr>
              <w:t>。</w:t>
            </w:r>
          </w:p>
        </w:tc>
      </w:tr>
      <w:tr w14:paraId="58D62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196" w:type="pct"/>
            <w:vAlign w:val="center"/>
          </w:tcPr>
          <w:p w14:paraId="237F18EE">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4803" w:type="pct"/>
          </w:tcPr>
          <w:p w14:paraId="1A10BB19">
            <w:pPr>
              <w:tabs>
                <w:tab w:val="left" w:pos="720"/>
              </w:tabs>
              <w:adjustRightInd w:val="0"/>
              <w:snapToGrid w:val="0"/>
              <w:spacing w:line="360" w:lineRule="auto"/>
              <w:ind w:firstLine="482" w:firstLineChars="200"/>
              <w:rPr>
                <w:b/>
                <w:bCs/>
                <w:color w:val="auto"/>
                <w:sz w:val="24"/>
              </w:rPr>
            </w:pPr>
            <w:r>
              <w:rPr>
                <w:b/>
                <w:bCs/>
                <w:color w:val="auto"/>
                <w:sz w:val="24"/>
              </w:rPr>
              <w:t>一、工艺流程</w:t>
            </w:r>
          </w:p>
          <w:p w14:paraId="1B2F58DF">
            <w:pPr>
              <w:tabs>
                <w:tab w:val="left" w:pos="720"/>
              </w:tabs>
              <w:adjustRightInd w:val="0"/>
              <w:snapToGrid w:val="0"/>
              <w:spacing w:line="360" w:lineRule="auto"/>
              <w:ind w:firstLine="480" w:firstLineChars="200"/>
              <w:rPr>
                <w:bCs/>
                <w:color w:val="auto"/>
                <w:sz w:val="24"/>
              </w:rPr>
            </w:pPr>
            <w:r>
              <w:rPr>
                <w:bCs/>
                <w:color w:val="auto"/>
                <w:sz w:val="24"/>
              </w:rPr>
              <w:t>本项目</w:t>
            </w:r>
            <w:r>
              <w:rPr>
                <w:rFonts w:hint="eastAsia"/>
                <w:bCs/>
                <w:color w:val="auto"/>
                <w:sz w:val="24"/>
              </w:rPr>
              <w:t>产品为高端展示道具，涉及多类材质组件，因此分别对木制组件生产流程、金属组件生产流程、亚克力组件生产流程、大理石组件生产流程进行详细介绍。</w:t>
            </w:r>
          </w:p>
          <w:p w14:paraId="036D6B28">
            <w:pPr>
              <w:tabs>
                <w:tab w:val="left" w:pos="720"/>
              </w:tabs>
              <w:adjustRightInd w:val="0"/>
              <w:snapToGrid w:val="0"/>
              <w:spacing w:line="360" w:lineRule="auto"/>
              <w:ind w:firstLine="482" w:firstLineChars="200"/>
              <w:rPr>
                <w:bCs/>
                <w:color w:val="auto"/>
                <w:sz w:val="24"/>
              </w:rPr>
            </w:pPr>
            <w:r>
              <w:rPr>
                <w:rFonts w:hint="eastAsia"/>
                <w:b/>
                <w:color w:val="auto"/>
                <w:sz w:val="24"/>
                <w:lang w:eastAsia="zh-CN"/>
              </w:rPr>
              <w:t>1.</w:t>
            </w:r>
            <w:r>
              <w:rPr>
                <w:rFonts w:hint="eastAsia"/>
                <w:bCs/>
                <w:color w:val="auto"/>
                <w:sz w:val="24"/>
              </w:rPr>
              <w:t>木制组件</w:t>
            </w:r>
            <w:r>
              <w:rPr>
                <w:bCs/>
                <w:color w:val="auto"/>
                <w:sz w:val="24"/>
              </w:rPr>
              <w:t>工艺流程图见下图2-2。</w:t>
            </w:r>
          </w:p>
          <w:p w14:paraId="68996FAA">
            <w:pPr>
              <w:tabs>
                <w:tab w:val="left" w:pos="720"/>
              </w:tabs>
              <w:adjustRightInd w:val="0"/>
              <w:snapToGrid w:val="0"/>
              <w:spacing w:line="360" w:lineRule="auto"/>
              <w:ind w:firstLine="420" w:firstLineChars="200"/>
              <w:jc w:val="left"/>
              <w:rPr>
                <w:color w:val="auto"/>
              </w:rPr>
            </w:pPr>
            <w:r>
              <w:rPr>
                <w:rFonts w:hint="eastAsia"/>
                <w:color w:val="auto"/>
              </w:rPr>
              <w:drawing>
                <wp:inline distT="0" distB="0" distL="114300" distR="114300">
                  <wp:extent cx="3907155" cy="6495415"/>
                  <wp:effectExtent l="0" t="0" r="0" b="0"/>
                  <wp:docPr id="8" name="ECB019B1-382A-4266-B25C-5B523AA43C14-2" descr="C:/Users/admin/AppData/Local/Temp/wps.Bipvx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admin/AppData/Local/Temp/wps.BipvxNwps"/>
                          <pic:cNvPicPr>
                            <a:picLocks noChangeAspect="1"/>
                          </pic:cNvPicPr>
                        </pic:nvPicPr>
                        <pic:blipFill>
                          <a:blip r:embed="rId20"/>
                          <a:stretch>
                            <a:fillRect/>
                          </a:stretch>
                        </pic:blipFill>
                        <pic:spPr>
                          <a:xfrm>
                            <a:off x="0" y="0"/>
                            <a:ext cx="3907155" cy="6495415"/>
                          </a:xfrm>
                          <a:prstGeom prst="rect">
                            <a:avLst/>
                          </a:prstGeom>
                          <a:noFill/>
                          <a:ln>
                            <a:noFill/>
                          </a:ln>
                        </pic:spPr>
                      </pic:pic>
                    </a:graphicData>
                  </a:graphic>
                </wp:inline>
              </w:drawing>
            </w:r>
          </w:p>
          <w:p w14:paraId="591738DE">
            <w:pPr>
              <w:widowControl/>
              <w:adjustRightInd w:val="0"/>
              <w:snapToGrid w:val="0"/>
              <w:spacing w:line="360" w:lineRule="auto"/>
              <w:ind w:firstLine="482" w:firstLineChars="200"/>
              <w:jc w:val="center"/>
              <w:rPr>
                <w:b/>
                <w:bCs/>
                <w:color w:val="auto"/>
                <w:kern w:val="0"/>
                <w:sz w:val="24"/>
              </w:rPr>
            </w:pPr>
            <w:r>
              <w:rPr>
                <w:b/>
                <w:bCs/>
                <w:color w:val="auto"/>
                <w:kern w:val="0"/>
                <w:sz w:val="24"/>
              </w:rPr>
              <w:t xml:space="preserve">图2-2 </w:t>
            </w:r>
            <w:r>
              <w:rPr>
                <w:rFonts w:hint="eastAsia"/>
                <w:b/>
                <w:bCs/>
                <w:color w:val="auto"/>
                <w:kern w:val="0"/>
                <w:sz w:val="24"/>
              </w:rPr>
              <w:t>木制组件</w:t>
            </w:r>
            <w:r>
              <w:rPr>
                <w:b/>
                <w:bCs/>
                <w:color w:val="auto"/>
                <w:kern w:val="0"/>
                <w:sz w:val="24"/>
              </w:rPr>
              <w:t>工艺流程及产污环节图</w:t>
            </w:r>
          </w:p>
          <w:p w14:paraId="3A6B73E1">
            <w:pPr>
              <w:tabs>
                <w:tab w:val="left" w:pos="720"/>
              </w:tabs>
              <w:adjustRightInd w:val="0"/>
              <w:snapToGrid w:val="0"/>
              <w:spacing w:line="360" w:lineRule="auto"/>
              <w:ind w:firstLine="480" w:firstLineChars="200"/>
              <w:rPr>
                <w:color w:val="auto"/>
                <w:sz w:val="24"/>
              </w:rPr>
            </w:pPr>
            <w:r>
              <w:rPr>
                <w:color w:val="auto"/>
                <w:sz w:val="24"/>
              </w:rPr>
              <w:t>主要工艺说明：</w:t>
            </w:r>
          </w:p>
          <w:p w14:paraId="133B4607">
            <w:pPr>
              <w:tabs>
                <w:tab w:val="left" w:pos="720"/>
              </w:tabs>
              <w:adjustRightInd w:val="0"/>
              <w:snapToGrid w:val="0"/>
              <w:spacing w:line="360" w:lineRule="auto"/>
              <w:ind w:firstLine="480" w:firstLineChars="200"/>
              <w:rPr>
                <w:color w:val="auto"/>
                <w:sz w:val="24"/>
              </w:rPr>
            </w:pPr>
            <w:r>
              <w:rPr>
                <w:color w:val="auto"/>
                <w:sz w:val="24"/>
              </w:rPr>
              <w:t>（1）</w:t>
            </w:r>
            <w:r>
              <w:rPr>
                <w:rFonts w:hint="eastAsia"/>
                <w:color w:val="auto"/>
                <w:sz w:val="24"/>
              </w:rPr>
              <w:t>下料</w:t>
            </w:r>
            <w:r>
              <w:rPr>
                <w:color w:val="auto"/>
                <w:sz w:val="24"/>
              </w:rPr>
              <w:t>：</w:t>
            </w:r>
            <w:r>
              <w:rPr>
                <w:rFonts w:hint="eastAsia"/>
                <w:color w:val="auto"/>
                <w:sz w:val="24"/>
              </w:rPr>
              <w:t>根据产品需求，利用雕刻机、推台锯、自动下料机等设备对外购的木材原料进行开料、裁板，得到符合要求尺寸的板料，其中雕刻机使用刀头雕刻下料，刀头使用过程中会损坏。该工序产生的污染物主要为下料粉尘G1-1、边角料S1-1、废刀头S1-2和噪声N。</w:t>
            </w:r>
          </w:p>
          <w:p w14:paraId="1A843754">
            <w:pPr>
              <w:adjustRightInd w:val="0"/>
              <w:snapToGrid w:val="0"/>
              <w:spacing w:line="360" w:lineRule="auto"/>
              <w:ind w:firstLine="435"/>
              <w:rPr>
                <w:color w:val="auto"/>
                <w:sz w:val="24"/>
              </w:rPr>
            </w:pPr>
            <w:r>
              <w:rPr>
                <w:rFonts w:hint="eastAsia"/>
                <w:color w:val="auto"/>
                <w:sz w:val="24"/>
                <w:lang w:eastAsia="zh-CN"/>
              </w:rPr>
              <w:t>(2)</w:t>
            </w:r>
            <w:r>
              <w:rPr>
                <w:rFonts w:hint="eastAsia"/>
                <w:color w:val="auto"/>
                <w:sz w:val="24"/>
              </w:rPr>
              <w:t>压合</w:t>
            </w:r>
            <w:r>
              <w:rPr>
                <w:color w:val="auto"/>
                <w:sz w:val="24"/>
              </w:rPr>
              <w:t>：</w:t>
            </w:r>
            <w:r>
              <w:rPr>
                <w:rFonts w:hint="eastAsia"/>
                <w:color w:val="auto"/>
                <w:sz w:val="24"/>
              </w:rPr>
              <w:t>根据订单要求，展示道具部分框架需要厚的多层板作为展台门，原料多层板厚度不满足生产需求，需要对外购多层板进行加厚处理。本项目处理方式为冷压，将适量白乳胶涂在多层板后，将另一块多层板盖在涂过白乳胶多层板上，然后放入冷压机上，常温下进行压合，该工序使用白乳胶作粘结剂，压合过程产生少量压合废气G1-2、废液压油S1-3和噪声N。</w:t>
            </w:r>
          </w:p>
          <w:p w14:paraId="336686DE">
            <w:pPr>
              <w:adjustRightInd w:val="0"/>
              <w:snapToGrid w:val="0"/>
              <w:spacing w:line="360" w:lineRule="auto"/>
              <w:ind w:firstLine="435"/>
              <w:rPr>
                <w:color w:val="auto"/>
                <w:sz w:val="24"/>
              </w:rPr>
            </w:pPr>
            <w:r>
              <w:rPr>
                <w:rFonts w:hint="eastAsia"/>
                <w:color w:val="auto"/>
                <w:sz w:val="24"/>
              </w:rPr>
              <w:t>本工序产生木制半成品门作为木制组件用于后续组装工序。</w:t>
            </w:r>
          </w:p>
          <w:p w14:paraId="6D34ACC9">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封边</w:t>
            </w:r>
            <w:r>
              <w:rPr>
                <w:color w:val="auto"/>
                <w:sz w:val="24"/>
              </w:rPr>
              <w:t>：</w:t>
            </w:r>
            <w:r>
              <w:rPr>
                <w:rFonts w:hint="eastAsia"/>
                <w:color w:val="auto"/>
                <w:sz w:val="24"/>
              </w:rPr>
              <w:t>为了对下料后的板材断面进行保护、装饰和美化，并使加工后的板材显现外观一致的整体效果，本项目在框架组装前对板材断面处进行封边处理。</w:t>
            </w:r>
          </w:p>
          <w:p w14:paraId="5403D812">
            <w:pPr>
              <w:tabs>
                <w:tab w:val="left" w:pos="720"/>
              </w:tabs>
              <w:adjustRightInd w:val="0"/>
              <w:snapToGrid w:val="0"/>
              <w:spacing w:line="360" w:lineRule="auto"/>
              <w:ind w:firstLine="480" w:firstLineChars="200"/>
              <w:rPr>
                <w:color w:val="auto"/>
                <w:sz w:val="24"/>
              </w:rPr>
            </w:pPr>
            <w:r>
              <w:rPr>
                <w:rFonts w:hint="eastAsia"/>
                <w:color w:val="auto"/>
                <w:sz w:val="24"/>
              </w:rPr>
              <w:t>本项目封边采用直线封边法，首先将装有封边胶的封边机进行通电加热，温度设定为80℃，随后胶轮装上封边条，板材对准输送带，并紧靠90度导轨挡板，然后平行均匀推进。封边的过程中要平行均匀</w:t>
            </w:r>
            <w:r>
              <w:rPr>
                <w:rFonts w:hint="eastAsia"/>
                <w:color w:val="auto"/>
                <w:sz w:val="24"/>
                <w:lang w:eastAsia="zh-CN"/>
              </w:rPr>
              <w:t>地</w:t>
            </w:r>
            <w:r>
              <w:rPr>
                <w:rFonts w:hint="eastAsia"/>
                <w:color w:val="auto"/>
                <w:sz w:val="24"/>
              </w:rPr>
              <w:t>推进，以免造成褶皱。</w:t>
            </w:r>
          </w:p>
          <w:p w14:paraId="3477C08B">
            <w:pPr>
              <w:tabs>
                <w:tab w:val="left" w:pos="720"/>
              </w:tabs>
              <w:adjustRightInd w:val="0"/>
              <w:snapToGrid w:val="0"/>
              <w:spacing w:line="360" w:lineRule="auto"/>
              <w:ind w:firstLine="480" w:firstLineChars="200"/>
              <w:rPr>
                <w:color w:val="auto"/>
                <w:sz w:val="24"/>
              </w:rPr>
            </w:pPr>
            <w:r>
              <w:rPr>
                <w:rFonts w:hint="eastAsia"/>
                <w:color w:val="auto"/>
                <w:sz w:val="24"/>
              </w:rPr>
              <w:t>该过程由于加热封边胶产生少量封边废气G1-3，同时封边过程产生少量的废封边条S1-4，本过程产生噪声N。</w:t>
            </w:r>
          </w:p>
          <w:p w14:paraId="09F23160">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倒角/钻孔</w:t>
            </w:r>
            <w:r>
              <w:rPr>
                <w:color w:val="auto"/>
                <w:sz w:val="24"/>
              </w:rPr>
              <w:t>：</w:t>
            </w:r>
            <w:r>
              <w:rPr>
                <w:rFonts w:hint="eastAsia"/>
                <w:color w:val="auto"/>
                <w:sz w:val="24"/>
              </w:rPr>
              <w:t>根据订单要求，使用雕刻机对板材进行倒角及钻孔工艺，其中雕刻机使用刀头进行倒角，刀头使用过程中会损坏，因此本工序产生钻孔粉尘G1-4、边角料S1-5、废刀头S1-6和噪声N。</w:t>
            </w:r>
          </w:p>
          <w:p w14:paraId="40DBF10D">
            <w:pPr>
              <w:tabs>
                <w:tab w:val="left" w:pos="720"/>
              </w:tabs>
              <w:adjustRightInd w:val="0"/>
              <w:snapToGrid w:val="0"/>
              <w:spacing w:line="360" w:lineRule="auto"/>
              <w:ind w:firstLine="480" w:firstLineChars="200"/>
              <w:rPr>
                <w:color w:val="auto"/>
                <w:sz w:val="24"/>
              </w:rPr>
            </w:pPr>
            <w:r>
              <w:rPr>
                <w:rFonts w:hint="eastAsia"/>
                <w:color w:val="auto"/>
                <w:sz w:val="24"/>
                <w:lang w:eastAsia="zh-CN"/>
              </w:rPr>
              <w:t>(5)</w:t>
            </w:r>
            <w:r>
              <w:rPr>
                <w:rFonts w:hint="eastAsia"/>
                <w:color w:val="auto"/>
                <w:sz w:val="24"/>
              </w:rPr>
              <w:t>框架组装</w:t>
            </w:r>
            <w:r>
              <w:rPr>
                <w:color w:val="auto"/>
                <w:sz w:val="24"/>
              </w:rPr>
              <w:t>：</w:t>
            </w:r>
            <w:r>
              <w:rPr>
                <w:rFonts w:hint="eastAsia"/>
                <w:color w:val="auto"/>
                <w:sz w:val="24"/>
              </w:rPr>
              <w:t>根据订单要求，对封边过后的板材进行组装，本项目使用钉枪对板材进行组装，枪钉通过气泵提供动力，框架组装过程无需用胶。对板材组装后，得到展示道具的木质零件</w:t>
            </w:r>
            <w:r>
              <w:rPr>
                <w:color w:val="auto"/>
                <w:sz w:val="24"/>
              </w:rPr>
              <w:t>。</w:t>
            </w:r>
          </w:p>
          <w:p w14:paraId="43C8FC9A">
            <w:pPr>
              <w:tabs>
                <w:tab w:val="left" w:pos="720"/>
              </w:tabs>
              <w:adjustRightInd w:val="0"/>
              <w:snapToGrid w:val="0"/>
              <w:spacing w:line="360" w:lineRule="auto"/>
              <w:ind w:firstLine="480" w:firstLineChars="200"/>
              <w:rPr>
                <w:color w:val="auto"/>
                <w:sz w:val="24"/>
              </w:rPr>
            </w:pPr>
            <w:r>
              <w:rPr>
                <w:rFonts w:hint="eastAsia"/>
                <w:color w:val="auto"/>
                <w:sz w:val="24"/>
                <w:lang w:eastAsia="zh-CN"/>
              </w:rPr>
              <w:t>(6)</w:t>
            </w:r>
            <w:r>
              <w:rPr>
                <w:rFonts w:hint="eastAsia"/>
                <w:color w:val="auto"/>
                <w:sz w:val="24"/>
              </w:rPr>
              <w:t>贴皮：木制零件板材表面需要贴皮，贴皮使用白乳胶，该工序产生贴皮废气G1-5、废木皮S1-7、废胶桶S1-8。</w:t>
            </w:r>
          </w:p>
          <w:p w14:paraId="3C56ECA7">
            <w:pPr>
              <w:tabs>
                <w:tab w:val="left" w:pos="720"/>
              </w:tabs>
              <w:adjustRightInd w:val="0"/>
              <w:snapToGrid w:val="0"/>
              <w:spacing w:line="360" w:lineRule="auto"/>
              <w:ind w:firstLine="480" w:firstLineChars="200"/>
              <w:rPr>
                <w:color w:val="auto"/>
                <w:sz w:val="24"/>
              </w:rPr>
            </w:pPr>
            <w:r>
              <w:rPr>
                <w:rFonts w:hint="eastAsia"/>
                <w:color w:val="auto"/>
                <w:sz w:val="24"/>
                <w:lang w:eastAsia="zh-CN"/>
              </w:rPr>
              <w:t>(7)</w:t>
            </w:r>
            <w:r>
              <w:rPr>
                <w:rFonts w:hint="eastAsia"/>
                <w:color w:val="auto"/>
                <w:sz w:val="24"/>
              </w:rPr>
              <w:t>修边：员工使用修边机对板材进行修边，去除板材切边粗糙、毛边等现象，该工序产生修边粉尘G1-6、边角料S1-9和噪声N。</w:t>
            </w:r>
          </w:p>
          <w:p w14:paraId="2DDEB9F7">
            <w:pPr>
              <w:tabs>
                <w:tab w:val="left" w:pos="720"/>
              </w:tabs>
              <w:adjustRightInd w:val="0"/>
              <w:snapToGrid w:val="0"/>
              <w:spacing w:line="360" w:lineRule="auto"/>
              <w:ind w:firstLine="480" w:firstLineChars="200"/>
              <w:rPr>
                <w:color w:val="auto"/>
                <w:sz w:val="24"/>
              </w:rPr>
            </w:pPr>
            <w:r>
              <w:rPr>
                <w:rFonts w:hint="eastAsia"/>
                <w:color w:val="auto"/>
                <w:sz w:val="24"/>
                <w:lang w:eastAsia="zh-CN"/>
              </w:rPr>
              <w:t>(8)</w:t>
            </w:r>
            <w:r>
              <w:rPr>
                <w:rFonts w:hint="eastAsia"/>
                <w:color w:val="auto"/>
                <w:sz w:val="24"/>
              </w:rPr>
              <w:t>预搭：根据订单要求，将修边后的各个木质零件人工预先搭建、组合起来，检查能否顺利搭建组合。</w:t>
            </w:r>
          </w:p>
          <w:p w14:paraId="20FB8587">
            <w:pPr>
              <w:tabs>
                <w:tab w:val="left" w:pos="720"/>
              </w:tabs>
              <w:adjustRightInd w:val="0"/>
              <w:snapToGrid w:val="0"/>
              <w:spacing w:line="360" w:lineRule="auto"/>
              <w:ind w:firstLine="480" w:firstLineChars="200"/>
              <w:rPr>
                <w:color w:val="auto"/>
                <w:sz w:val="24"/>
              </w:rPr>
            </w:pPr>
            <w:r>
              <w:rPr>
                <w:rFonts w:hint="eastAsia"/>
                <w:color w:val="auto"/>
                <w:sz w:val="24"/>
                <w:lang w:eastAsia="zh-CN"/>
              </w:rPr>
              <w:t>(9)</w:t>
            </w:r>
            <w:r>
              <w:rPr>
                <w:rFonts w:hint="eastAsia"/>
                <w:color w:val="auto"/>
                <w:sz w:val="24"/>
              </w:rPr>
              <w:t>磨平：人工使用砂纸、</w:t>
            </w:r>
            <w:r>
              <w:rPr>
                <w:rFonts w:hint="eastAsia"/>
                <w:color w:val="auto"/>
                <w:sz w:val="24"/>
                <w:lang w:eastAsia="zh-CN"/>
              </w:rPr>
              <w:t>球磨机</w:t>
            </w:r>
            <w:r>
              <w:rPr>
                <w:rFonts w:hint="eastAsia"/>
                <w:color w:val="auto"/>
                <w:sz w:val="24"/>
              </w:rPr>
              <w:t>打磨预搭后的组合，去除接边粗糙、毛边以及木板拼接缝不平整处，此工序产生磨平粉尘G1-7、废砂纸S1-10和噪声N。</w:t>
            </w:r>
          </w:p>
          <w:p w14:paraId="64D3708A">
            <w:pPr>
              <w:tabs>
                <w:tab w:val="left" w:pos="720"/>
              </w:tabs>
              <w:adjustRightInd w:val="0"/>
              <w:snapToGrid w:val="0"/>
              <w:spacing w:line="360" w:lineRule="auto"/>
              <w:ind w:firstLine="480" w:firstLineChars="200"/>
              <w:rPr>
                <w:color w:val="auto"/>
                <w:sz w:val="24"/>
              </w:rPr>
            </w:pPr>
            <w:r>
              <w:rPr>
                <w:color w:val="auto"/>
                <w:sz w:val="24"/>
              </w:rPr>
              <w:t>（</w:t>
            </w:r>
            <w:r>
              <w:rPr>
                <w:rFonts w:hint="eastAsia"/>
                <w:color w:val="auto"/>
                <w:sz w:val="24"/>
              </w:rPr>
              <w:t>10</w:t>
            </w:r>
            <w:r>
              <w:rPr>
                <w:color w:val="auto"/>
                <w:sz w:val="24"/>
              </w:rPr>
              <w:t>）</w:t>
            </w:r>
            <w:r>
              <w:rPr>
                <w:rFonts w:hint="eastAsia"/>
                <w:color w:val="auto"/>
                <w:sz w:val="24"/>
              </w:rPr>
              <w:t>批灰：将预搭好的组合拆回各个木质零件形态，人工使用刮刀将原子灰涂刮在板材表面上，填补木材表面的小缝隙和凹坑，增强木材表面的平整度、美观度和均匀度，涂抹后自然晾干约40分钟（夏季高温情况时可能缩短至20</w:t>
            </w:r>
            <w:r>
              <w:rPr>
                <w:rFonts w:hint="eastAsia"/>
                <w:color w:val="auto"/>
                <w:sz w:val="24"/>
                <w:lang w:eastAsia="zh-CN"/>
              </w:rPr>
              <w:t>～</w:t>
            </w:r>
            <w:r>
              <w:rPr>
                <w:rFonts w:hint="eastAsia"/>
                <w:color w:val="auto"/>
                <w:sz w:val="24"/>
              </w:rPr>
              <w:t>30分钟，冬季低温情况时可能延长至60</w:t>
            </w:r>
            <w:r>
              <w:rPr>
                <w:rFonts w:hint="eastAsia"/>
                <w:color w:val="auto"/>
                <w:sz w:val="24"/>
                <w:lang w:eastAsia="zh-CN"/>
              </w:rPr>
              <w:t>～</w:t>
            </w:r>
            <w:r>
              <w:rPr>
                <w:rFonts w:hint="eastAsia"/>
                <w:color w:val="auto"/>
                <w:sz w:val="24"/>
              </w:rPr>
              <w:t>80分钟，此处以常温20-25</w:t>
            </w:r>
            <w:r>
              <w:rPr>
                <w:color w:val="auto"/>
                <w:sz w:val="24"/>
              </w:rPr>
              <w:t>℃</w:t>
            </w:r>
            <w:r>
              <w:rPr>
                <w:rFonts w:hint="eastAsia"/>
                <w:color w:val="auto"/>
                <w:sz w:val="24"/>
              </w:rPr>
              <w:t>考虑），此工序产生批灰废气G1-8和废灰桶S1-11。</w:t>
            </w:r>
          </w:p>
          <w:p w14:paraId="0C06140A">
            <w:pPr>
              <w:tabs>
                <w:tab w:val="left" w:pos="720"/>
              </w:tabs>
              <w:adjustRightInd w:val="0"/>
              <w:snapToGrid w:val="0"/>
              <w:spacing w:line="360" w:lineRule="auto"/>
              <w:ind w:firstLine="480" w:firstLineChars="200"/>
              <w:rPr>
                <w:color w:val="auto"/>
                <w:sz w:val="24"/>
              </w:rPr>
            </w:pPr>
            <w:r>
              <w:rPr>
                <w:rFonts w:hint="eastAsia"/>
                <w:color w:val="auto"/>
                <w:sz w:val="24"/>
                <w:lang w:eastAsia="zh-CN"/>
              </w:rPr>
              <w:t>(11)</w:t>
            </w:r>
            <w:r>
              <w:rPr>
                <w:rFonts w:hint="eastAsia"/>
                <w:color w:val="auto"/>
                <w:sz w:val="24"/>
              </w:rPr>
              <w:t>打磨：人工使用气磨机、砂纸对木板表面腻子层进行打磨平整，本工艺会产生打磨粉尘G1-9、废砂纸S1-12和噪声N。</w:t>
            </w:r>
          </w:p>
          <w:p w14:paraId="26D91CBC">
            <w:pPr>
              <w:tabs>
                <w:tab w:val="left" w:pos="720"/>
              </w:tabs>
              <w:adjustRightInd w:val="0"/>
              <w:snapToGrid w:val="0"/>
              <w:spacing w:line="360" w:lineRule="auto"/>
              <w:ind w:firstLine="480" w:firstLineChars="200"/>
              <w:rPr>
                <w:color w:val="auto"/>
                <w:sz w:val="24"/>
              </w:rPr>
            </w:pPr>
            <w:r>
              <w:rPr>
                <w:rFonts w:hint="eastAsia"/>
                <w:color w:val="auto"/>
                <w:sz w:val="24"/>
                <w:lang w:eastAsia="zh-CN"/>
              </w:rPr>
              <w:t>(12)</w:t>
            </w:r>
            <w:r>
              <w:rPr>
                <w:rFonts w:hint="eastAsia"/>
                <w:color w:val="auto"/>
                <w:sz w:val="24"/>
              </w:rPr>
              <w:t>调漆、喷底漆：</w:t>
            </w:r>
          </w:p>
          <w:p w14:paraId="56340CCB">
            <w:pPr>
              <w:tabs>
                <w:tab w:val="left" w:pos="720"/>
              </w:tabs>
              <w:adjustRightInd w:val="0"/>
              <w:snapToGrid w:val="0"/>
              <w:spacing w:line="360" w:lineRule="auto"/>
              <w:ind w:firstLine="480" w:firstLineChars="200"/>
              <w:rPr>
                <w:color w:val="auto"/>
                <w:sz w:val="24"/>
              </w:rPr>
            </w:pPr>
            <w:r>
              <w:rPr>
                <w:rFonts w:hint="eastAsia"/>
                <w:color w:val="auto"/>
                <w:sz w:val="24"/>
              </w:rPr>
              <w:t>调漆：本项目新建油漆车间内设有调漆房，调漆工艺在密闭的调漆房中进行，本项目涉及水性漆及油性漆两种漆类，此处分别对调漆工艺进行说明，根据企业实际情况，企业水性漆不需要进行调漆，直接使用购买的水性漆进行喷涂；企业油性漆根据企业及厂家提供资料，油性漆到厂后使用需自行添加稀释剂兑稀，油性漆：稀释剂的比例为6</w:t>
            </w:r>
            <w:r>
              <w:rPr>
                <w:rFonts w:hint="eastAsia"/>
                <w:color w:val="auto"/>
                <w:sz w:val="24"/>
                <w:lang w:eastAsia="zh-CN"/>
              </w:rPr>
              <w:t>:</w:t>
            </w:r>
            <w:r>
              <w:rPr>
                <w:rFonts w:hint="eastAsia"/>
                <w:color w:val="auto"/>
                <w:sz w:val="24"/>
              </w:rPr>
              <w:t>1，调漆过程会产生调漆废气G1-10。</w:t>
            </w:r>
          </w:p>
          <w:p w14:paraId="7BD7397D">
            <w:pPr>
              <w:tabs>
                <w:tab w:val="left" w:pos="720"/>
              </w:tabs>
              <w:adjustRightInd w:val="0"/>
              <w:snapToGrid w:val="0"/>
              <w:spacing w:line="360" w:lineRule="auto"/>
              <w:ind w:firstLine="480" w:firstLineChars="200"/>
              <w:rPr>
                <w:color w:val="auto"/>
                <w:sz w:val="24"/>
              </w:rPr>
            </w:pPr>
            <w:r>
              <w:rPr>
                <w:rFonts w:hint="eastAsia"/>
                <w:color w:val="auto"/>
                <w:sz w:val="24"/>
              </w:rPr>
              <w:t>喷底漆：本项目新建油漆车间内设有两间底漆房，按照订单需求喷涂水性涂料或者油性涂料，</w:t>
            </w:r>
            <w:r>
              <w:rPr>
                <w:color w:val="auto"/>
                <w:sz w:val="24"/>
              </w:rPr>
              <w:t>喷涂均采用</w:t>
            </w:r>
            <w:r>
              <w:rPr>
                <w:rFonts w:hint="eastAsia"/>
                <w:color w:val="auto"/>
                <w:sz w:val="24"/>
              </w:rPr>
              <w:t>高</w:t>
            </w:r>
            <w:r>
              <w:rPr>
                <w:color w:val="auto"/>
                <w:sz w:val="24"/>
              </w:rPr>
              <w:t>压</w:t>
            </w:r>
            <w:r>
              <w:rPr>
                <w:rFonts w:hint="eastAsia"/>
                <w:color w:val="auto"/>
                <w:sz w:val="24"/>
              </w:rPr>
              <w:t>无气</w:t>
            </w:r>
            <w:r>
              <w:rPr>
                <w:color w:val="auto"/>
                <w:sz w:val="24"/>
              </w:rPr>
              <w:t>喷枪。</w:t>
            </w:r>
            <w:r>
              <w:rPr>
                <w:rFonts w:hint="eastAsia"/>
                <w:color w:val="auto"/>
                <w:sz w:val="24"/>
              </w:rPr>
              <w:t>根据本报告上文“二、建设项目工程分析</w:t>
            </w:r>
            <w:r>
              <w:rPr>
                <w:rFonts w:hint="eastAsia"/>
                <w:color w:val="auto"/>
                <w:sz w:val="24"/>
                <w:lang w:eastAsia="zh-CN"/>
              </w:rPr>
              <w:t>－</w:t>
            </w:r>
            <w:r>
              <w:rPr>
                <w:rFonts w:hint="eastAsia"/>
                <w:color w:val="auto"/>
                <w:sz w:val="24"/>
              </w:rPr>
              <w:t>五、主要原辅料消耗及理化性质</w:t>
            </w:r>
            <w:r>
              <w:rPr>
                <w:rFonts w:hint="eastAsia"/>
                <w:color w:val="auto"/>
                <w:sz w:val="24"/>
                <w:lang w:eastAsia="zh-CN"/>
              </w:rPr>
              <w:t>－</w:t>
            </w:r>
            <w:r>
              <w:rPr>
                <w:rFonts w:hint="eastAsia"/>
                <w:color w:val="auto"/>
                <w:sz w:val="24"/>
              </w:rPr>
              <w:t>（4）产品喷漆参数章节”内容可知，企业在水性漆喷涂、油性漆喷涂的上漆率数据，水性漆上漆率为55%</w:t>
            </w:r>
            <w:r>
              <w:rPr>
                <w:color w:val="auto"/>
                <w:sz w:val="24"/>
              </w:rPr>
              <w:t>，</w:t>
            </w:r>
            <w:r>
              <w:rPr>
                <w:rFonts w:hint="eastAsia"/>
                <w:color w:val="auto"/>
                <w:sz w:val="24"/>
              </w:rPr>
              <w:t>油性漆上漆率为50%，</w:t>
            </w:r>
            <w:r>
              <w:rPr>
                <w:color w:val="auto"/>
                <w:sz w:val="24"/>
              </w:rPr>
              <w:t>喷漆工作时保持</w:t>
            </w:r>
            <w:r>
              <w:rPr>
                <w:rFonts w:hint="eastAsia"/>
                <w:color w:val="auto"/>
                <w:sz w:val="24"/>
              </w:rPr>
              <w:t>底</w:t>
            </w:r>
            <w:r>
              <w:rPr>
                <w:color w:val="auto"/>
                <w:sz w:val="24"/>
              </w:rPr>
              <w:t>漆室处于密闭状态。喷漆工序连续进行，在喷底漆过程中会产生喷漆废气G</w:t>
            </w:r>
            <w:r>
              <w:rPr>
                <w:rFonts w:hint="eastAsia"/>
                <w:color w:val="auto"/>
                <w:sz w:val="24"/>
              </w:rPr>
              <w:t>1-11</w:t>
            </w:r>
            <w:r>
              <w:rPr>
                <w:color w:val="auto"/>
                <w:sz w:val="24"/>
              </w:rPr>
              <w:t>、废漆渣S</w:t>
            </w:r>
            <w:r>
              <w:rPr>
                <w:rFonts w:hint="eastAsia"/>
                <w:color w:val="auto"/>
                <w:sz w:val="24"/>
              </w:rPr>
              <w:t>1-13</w:t>
            </w:r>
            <w:r>
              <w:rPr>
                <w:color w:val="auto"/>
                <w:sz w:val="24"/>
              </w:rPr>
              <w:t>、废漆桶S</w:t>
            </w:r>
            <w:r>
              <w:rPr>
                <w:rFonts w:hint="eastAsia"/>
                <w:color w:val="auto"/>
                <w:sz w:val="24"/>
              </w:rPr>
              <w:t>1-14</w:t>
            </w:r>
            <w:r>
              <w:rPr>
                <w:color w:val="auto"/>
                <w:sz w:val="24"/>
              </w:rPr>
              <w:t>、噪声N。</w:t>
            </w:r>
          </w:p>
          <w:p w14:paraId="11B615CF">
            <w:pPr>
              <w:tabs>
                <w:tab w:val="left" w:pos="720"/>
              </w:tabs>
              <w:adjustRightInd w:val="0"/>
              <w:snapToGrid w:val="0"/>
              <w:spacing w:line="360" w:lineRule="auto"/>
              <w:ind w:firstLine="480" w:firstLineChars="200"/>
              <w:rPr>
                <w:color w:val="auto"/>
                <w:sz w:val="24"/>
              </w:rPr>
            </w:pPr>
            <w:r>
              <w:rPr>
                <w:rFonts w:hint="eastAsia"/>
                <w:color w:val="auto"/>
                <w:sz w:val="24"/>
                <w:lang w:eastAsia="zh-CN"/>
              </w:rPr>
              <w:t>(13)</w:t>
            </w:r>
            <w:r>
              <w:rPr>
                <w:rFonts w:hint="eastAsia"/>
                <w:color w:val="auto"/>
                <w:sz w:val="24"/>
              </w:rPr>
              <w:t>晾干：本项目新建油漆车间内设有6间晾干房，其中一间晾干房设置有面包炉，喷漆后的工件大部分在新建的晾干房内进行晾干，晾干房内设置送风风扇，与废气处理设施的吸风风机产生对流形成换风空间，因此晾干过程产生的少量水分通过换风过程自然逸散，晾干过程产生的晾干废气通过废气处理设施风机收集。少部分工件由于订单要求，在带有面包炉的晾干房进行烘干，烘干方式为电加热产生热风，利用电源加热散发的热量，通过抽风风机不断</w:t>
            </w:r>
            <w:r>
              <w:rPr>
                <w:rFonts w:hint="eastAsia"/>
                <w:color w:val="auto"/>
                <w:sz w:val="24"/>
                <w:lang w:eastAsia="zh-CN"/>
              </w:rPr>
              <w:t>地</w:t>
            </w:r>
            <w:r>
              <w:rPr>
                <w:rFonts w:hint="eastAsia"/>
                <w:color w:val="auto"/>
                <w:sz w:val="24"/>
              </w:rPr>
              <w:t>吸风而产生的热循环过程。烘干温度设置在220℃，烘干过程中工件表面的溶剂基本全部挥发。本工艺产生晾干/烘干废气G1-12。</w:t>
            </w:r>
          </w:p>
          <w:p w14:paraId="6BDF83E8">
            <w:pPr>
              <w:tabs>
                <w:tab w:val="left" w:pos="720"/>
              </w:tabs>
              <w:adjustRightInd w:val="0"/>
              <w:snapToGrid w:val="0"/>
              <w:spacing w:line="360" w:lineRule="auto"/>
              <w:ind w:firstLine="480" w:firstLineChars="200"/>
              <w:rPr>
                <w:color w:val="auto"/>
                <w:sz w:val="24"/>
              </w:rPr>
            </w:pPr>
            <w:r>
              <w:rPr>
                <w:rFonts w:hint="eastAsia"/>
                <w:color w:val="auto"/>
                <w:sz w:val="24"/>
                <w:lang w:eastAsia="zh-CN"/>
              </w:rPr>
              <w:t>(14)</w:t>
            </w:r>
            <w:r>
              <w:rPr>
                <w:rFonts w:hint="eastAsia"/>
                <w:color w:val="auto"/>
                <w:sz w:val="24"/>
              </w:rPr>
              <w:t>打磨：底漆晾干后，人工使用砂纸对喷漆后的板材表面漆面不规整、毛糙处进行打磨，本工序产生少量打磨粉尘G1-13、噪声N。</w:t>
            </w:r>
          </w:p>
          <w:p w14:paraId="1DF4E217">
            <w:pPr>
              <w:tabs>
                <w:tab w:val="left" w:pos="720"/>
              </w:tabs>
              <w:adjustRightInd w:val="0"/>
              <w:snapToGrid w:val="0"/>
              <w:spacing w:line="360" w:lineRule="auto"/>
              <w:ind w:firstLine="480" w:firstLineChars="200"/>
              <w:rPr>
                <w:color w:val="auto"/>
                <w:sz w:val="24"/>
              </w:rPr>
            </w:pPr>
            <w:r>
              <w:rPr>
                <w:rFonts w:hint="eastAsia"/>
                <w:color w:val="auto"/>
                <w:sz w:val="24"/>
                <w:lang w:eastAsia="zh-CN"/>
              </w:rPr>
              <w:t>(15)</w:t>
            </w:r>
            <w:r>
              <w:rPr>
                <w:rFonts w:hint="eastAsia"/>
                <w:color w:val="auto"/>
                <w:sz w:val="24"/>
              </w:rPr>
              <w:t>调漆、喷面漆：</w:t>
            </w:r>
          </w:p>
          <w:p w14:paraId="2740B487">
            <w:pPr>
              <w:tabs>
                <w:tab w:val="left" w:pos="720"/>
              </w:tabs>
              <w:adjustRightInd w:val="0"/>
              <w:snapToGrid w:val="0"/>
              <w:spacing w:line="360" w:lineRule="auto"/>
              <w:ind w:firstLine="480" w:firstLineChars="200"/>
              <w:rPr>
                <w:color w:val="auto"/>
                <w:sz w:val="24"/>
              </w:rPr>
            </w:pPr>
            <w:r>
              <w:rPr>
                <w:rFonts w:hint="eastAsia"/>
                <w:color w:val="auto"/>
                <w:sz w:val="24"/>
              </w:rPr>
              <w:t>调漆：本项目新建油漆车间内设有调漆房，调漆工艺在密闭的调漆房中进行，本项目涉及水性漆及油性漆两种漆类，此处分别对调漆工艺进行说明，根据企业实际情况，企业水性漆不需要进行调漆，直接使用购买的水性漆进行喷涂；企业油性漆根据企业及厂家提供资料，油性漆到厂后使用需自行添加稀释剂兑稀，油性漆：稀释剂的比例为6</w:t>
            </w:r>
            <w:r>
              <w:rPr>
                <w:rFonts w:hint="eastAsia"/>
                <w:color w:val="auto"/>
                <w:sz w:val="24"/>
                <w:lang w:eastAsia="zh-CN"/>
              </w:rPr>
              <w:t>:</w:t>
            </w:r>
            <w:r>
              <w:rPr>
                <w:rFonts w:hint="eastAsia"/>
                <w:color w:val="auto"/>
                <w:sz w:val="24"/>
              </w:rPr>
              <w:t>1，调漆过程会产生调漆废气G1-14。</w:t>
            </w:r>
          </w:p>
          <w:p w14:paraId="1092F4FE">
            <w:pPr>
              <w:tabs>
                <w:tab w:val="left" w:pos="720"/>
              </w:tabs>
              <w:adjustRightInd w:val="0"/>
              <w:snapToGrid w:val="0"/>
              <w:spacing w:line="360" w:lineRule="auto"/>
              <w:ind w:firstLine="480" w:firstLineChars="200"/>
              <w:rPr>
                <w:color w:val="auto"/>
                <w:sz w:val="24"/>
              </w:rPr>
            </w:pPr>
            <w:r>
              <w:rPr>
                <w:rFonts w:hint="eastAsia"/>
                <w:color w:val="auto"/>
                <w:sz w:val="24"/>
              </w:rPr>
              <w:t>喷面漆：本项目新建油漆车间内设有四间面漆房，按照订单需求喷涂水性涂料或者油性涂料，</w:t>
            </w:r>
            <w:r>
              <w:rPr>
                <w:color w:val="auto"/>
                <w:sz w:val="24"/>
              </w:rPr>
              <w:t>喷涂均采用</w:t>
            </w:r>
            <w:r>
              <w:rPr>
                <w:rFonts w:hint="eastAsia"/>
                <w:color w:val="auto"/>
                <w:sz w:val="24"/>
              </w:rPr>
              <w:t>高压无气喷枪。根据本报告上文“二、建设项目工程分析</w:t>
            </w:r>
            <w:r>
              <w:rPr>
                <w:rFonts w:hint="eastAsia"/>
                <w:color w:val="auto"/>
                <w:sz w:val="24"/>
                <w:lang w:eastAsia="zh-CN"/>
              </w:rPr>
              <w:t>－</w:t>
            </w:r>
            <w:r>
              <w:rPr>
                <w:rFonts w:hint="eastAsia"/>
                <w:color w:val="auto"/>
                <w:sz w:val="24"/>
              </w:rPr>
              <w:t>五、主要原辅料消耗及理化性质</w:t>
            </w:r>
            <w:r>
              <w:rPr>
                <w:rFonts w:hint="eastAsia"/>
                <w:color w:val="auto"/>
                <w:sz w:val="24"/>
                <w:lang w:eastAsia="zh-CN"/>
              </w:rPr>
              <w:t>－</w:t>
            </w:r>
            <w:r>
              <w:rPr>
                <w:rFonts w:hint="eastAsia"/>
                <w:color w:val="auto"/>
                <w:sz w:val="24"/>
              </w:rPr>
              <w:t>（4）产品喷漆参数章节”内容可知，企业在水性漆喷涂、油性漆喷涂的上漆率数据，水性漆上漆率为55%，油性漆上漆率为50%</w:t>
            </w:r>
            <w:r>
              <w:rPr>
                <w:color w:val="auto"/>
                <w:sz w:val="24"/>
              </w:rPr>
              <w:t>，喷漆工作时保持</w:t>
            </w:r>
            <w:r>
              <w:rPr>
                <w:rFonts w:hint="eastAsia"/>
                <w:color w:val="auto"/>
                <w:sz w:val="24"/>
              </w:rPr>
              <w:t>底</w:t>
            </w:r>
            <w:r>
              <w:rPr>
                <w:color w:val="auto"/>
                <w:sz w:val="24"/>
              </w:rPr>
              <w:t>漆室处于密闭状态。喷漆工序连续进行，在喷底漆过程中会产生喷漆废气G</w:t>
            </w:r>
            <w:r>
              <w:rPr>
                <w:rFonts w:hint="eastAsia"/>
                <w:color w:val="auto"/>
                <w:sz w:val="24"/>
              </w:rPr>
              <w:t>1-15</w:t>
            </w:r>
            <w:r>
              <w:rPr>
                <w:color w:val="auto"/>
                <w:sz w:val="24"/>
              </w:rPr>
              <w:t>、废漆渣S</w:t>
            </w:r>
            <w:r>
              <w:rPr>
                <w:rFonts w:hint="eastAsia"/>
                <w:color w:val="auto"/>
                <w:sz w:val="24"/>
              </w:rPr>
              <w:t>1-15</w:t>
            </w:r>
            <w:r>
              <w:rPr>
                <w:color w:val="auto"/>
                <w:sz w:val="24"/>
              </w:rPr>
              <w:t>、废漆桶S</w:t>
            </w:r>
            <w:r>
              <w:rPr>
                <w:rFonts w:hint="eastAsia"/>
                <w:color w:val="auto"/>
                <w:sz w:val="24"/>
              </w:rPr>
              <w:t>1-16</w:t>
            </w:r>
            <w:r>
              <w:rPr>
                <w:color w:val="auto"/>
                <w:sz w:val="24"/>
              </w:rPr>
              <w:t>、噪声N。</w:t>
            </w:r>
          </w:p>
          <w:p w14:paraId="37B155E2">
            <w:pPr>
              <w:tabs>
                <w:tab w:val="left" w:pos="720"/>
              </w:tabs>
              <w:adjustRightInd w:val="0"/>
              <w:snapToGrid w:val="0"/>
              <w:spacing w:line="360" w:lineRule="auto"/>
              <w:ind w:firstLine="480" w:firstLineChars="200"/>
              <w:rPr>
                <w:color w:val="auto"/>
                <w:sz w:val="24"/>
              </w:rPr>
            </w:pPr>
            <w:r>
              <w:rPr>
                <w:rFonts w:hint="eastAsia"/>
                <w:color w:val="auto"/>
                <w:sz w:val="24"/>
                <w:lang w:eastAsia="zh-CN"/>
              </w:rPr>
              <w:t>(16)</w:t>
            </w:r>
            <w:r>
              <w:rPr>
                <w:rFonts w:hint="eastAsia"/>
                <w:color w:val="auto"/>
                <w:sz w:val="24"/>
              </w:rPr>
              <w:t>晾干：本项目底漆晾干和面漆晾干工艺一致，新建油漆车间内设有6间晾干房，其中一间晾干房设置有面包炉，喷漆后的工件大部分在新建的晾干房内进行晾干，晾干房内设置送风风扇，与废气处理设施的吸风风机产生对流形成换风空间，因此晾干过程产生的少量水分通过换风过程自然逸散，晾干过程产生的晾干废气通过废气处理设施风机收集，烘干过程中工件表面的溶剂基本全部挥发</w:t>
            </w:r>
            <w:r>
              <w:rPr>
                <w:rFonts w:hint="eastAsia"/>
                <w:color w:val="auto"/>
                <w:sz w:val="24"/>
                <w:lang w:eastAsia="zh-CN"/>
              </w:rPr>
              <w:t>。</w:t>
            </w:r>
            <w:r>
              <w:rPr>
                <w:rFonts w:hint="eastAsia"/>
                <w:color w:val="auto"/>
                <w:sz w:val="24"/>
              </w:rPr>
              <w:t>少部分工件由于订单要求，在带有面包炉的晾干房进行烘干，烘干方式为电加热产生热风，利用电源加热散发的热量，通过抽风风机不断</w:t>
            </w:r>
            <w:r>
              <w:rPr>
                <w:rFonts w:hint="eastAsia"/>
                <w:color w:val="auto"/>
                <w:sz w:val="24"/>
                <w:lang w:eastAsia="zh-CN"/>
              </w:rPr>
              <w:t>地</w:t>
            </w:r>
            <w:r>
              <w:rPr>
                <w:rFonts w:hint="eastAsia"/>
                <w:color w:val="auto"/>
                <w:sz w:val="24"/>
              </w:rPr>
              <w:t>吸风而产生的热循环过程。烘干温度设置在220℃，烘干过程中工件表面的溶剂基本全部挥发。本工艺产生晾干/烘干废气G1-16。</w:t>
            </w:r>
          </w:p>
          <w:p w14:paraId="05BAF5AF">
            <w:pPr>
              <w:tabs>
                <w:tab w:val="left" w:pos="720"/>
              </w:tabs>
              <w:adjustRightInd w:val="0"/>
              <w:snapToGrid w:val="0"/>
              <w:spacing w:line="360" w:lineRule="auto"/>
              <w:ind w:firstLine="480" w:firstLineChars="200"/>
              <w:rPr>
                <w:color w:val="auto"/>
                <w:sz w:val="24"/>
              </w:rPr>
            </w:pPr>
            <w:r>
              <w:rPr>
                <w:rFonts w:hint="eastAsia"/>
                <w:color w:val="auto"/>
                <w:sz w:val="24"/>
              </w:rPr>
              <w:t>最终本工艺制作出的木制组件将</w:t>
            </w:r>
            <w:r>
              <w:rPr>
                <w:rFonts w:hint="eastAsia"/>
                <w:color w:val="auto"/>
                <w:sz w:val="24"/>
                <w:lang w:eastAsia="zh-CN"/>
              </w:rPr>
              <w:t>与</w:t>
            </w:r>
            <w:r>
              <w:rPr>
                <w:rFonts w:hint="eastAsia"/>
                <w:color w:val="auto"/>
                <w:sz w:val="24"/>
              </w:rPr>
              <w:t>其他材质组件一起组装形成本项目产品高端展示道具。</w:t>
            </w:r>
          </w:p>
          <w:p w14:paraId="48AD8685">
            <w:pPr>
              <w:tabs>
                <w:tab w:val="left" w:pos="720"/>
              </w:tabs>
              <w:adjustRightInd w:val="0"/>
              <w:snapToGrid w:val="0"/>
              <w:spacing w:line="360" w:lineRule="auto"/>
              <w:ind w:firstLine="482" w:firstLineChars="200"/>
              <w:rPr>
                <w:bCs/>
                <w:color w:val="auto"/>
                <w:sz w:val="24"/>
              </w:rPr>
            </w:pPr>
            <w:r>
              <w:rPr>
                <w:rFonts w:hint="eastAsia"/>
                <w:b/>
                <w:color w:val="auto"/>
                <w:sz w:val="24"/>
                <w:lang w:eastAsia="zh-CN"/>
              </w:rPr>
              <w:t>2.</w:t>
            </w:r>
            <w:r>
              <w:rPr>
                <w:rFonts w:hint="eastAsia"/>
                <w:bCs/>
                <w:color w:val="auto"/>
                <w:sz w:val="24"/>
              </w:rPr>
              <w:t>大理石组件</w:t>
            </w:r>
            <w:r>
              <w:rPr>
                <w:bCs/>
                <w:color w:val="auto"/>
                <w:sz w:val="24"/>
              </w:rPr>
              <w:t>工艺流程图见下图2-</w:t>
            </w:r>
            <w:r>
              <w:rPr>
                <w:rFonts w:hint="eastAsia"/>
                <w:bCs/>
                <w:color w:val="auto"/>
                <w:sz w:val="24"/>
              </w:rPr>
              <w:t>3</w:t>
            </w:r>
            <w:r>
              <w:rPr>
                <w:bCs/>
                <w:color w:val="auto"/>
                <w:sz w:val="24"/>
              </w:rPr>
              <w:t>。</w:t>
            </w:r>
          </w:p>
          <w:p w14:paraId="3B51CEEC">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4696460" cy="4589780"/>
                  <wp:effectExtent l="0" t="0" r="0" b="0"/>
                  <wp:docPr id="9" name="ECB019B1-382A-4266-B25C-5B523AA43C14-3" descr="C:/Users/1/AppData/Local/Temp/wps.TVDSE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3" descr="C:/Users/1/AppData/Local/Temp/wps.TVDSEUwps"/>
                          <pic:cNvPicPr>
                            <a:picLocks noChangeAspect="1"/>
                          </pic:cNvPicPr>
                        </pic:nvPicPr>
                        <pic:blipFill>
                          <a:blip r:embed="rId21"/>
                          <a:stretch>
                            <a:fillRect/>
                          </a:stretch>
                        </pic:blipFill>
                        <pic:spPr>
                          <a:xfrm>
                            <a:off x="0" y="0"/>
                            <a:ext cx="4696460" cy="4589780"/>
                          </a:xfrm>
                          <a:prstGeom prst="rect">
                            <a:avLst/>
                          </a:prstGeom>
                          <a:noFill/>
                          <a:ln>
                            <a:noFill/>
                          </a:ln>
                        </pic:spPr>
                      </pic:pic>
                    </a:graphicData>
                  </a:graphic>
                </wp:inline>
              </w:drawing>
            </w:r>
          </w:p>
          <w:p w14:paraId="0A0BD1CD">
            <w:pPr>
              <w:tabs>
                <w:tab w:val="left" w:pos="720"/>
              </w:tabs>
              <w:adjustRightInd w:val="0"/>
              <w:snapToGrid w:val="0"/>
              <w:spacing w:line="360" w:lineRule="auto"/>
              <w:jc w:val="center"/>
              <w:rPr>
                <w:b/>
                <w:bCs/>
                <w:color w:val="auto"/>
                <w:kern w:val="0"/>
                <w:sz w:val="24"/>
              </w:rPr>
            </w:pPr>
            <w:r>
              <w:rPr>
                <w:b/>
                <w:bCs/>
                <w:color w:val="auto"/>
                <w:kern w:val="0"/>
                <w:sz w:val="24"/>
              </w:rPr>
              <w:t>图2-</w:t>
            </w:r>
            <w:r>
              <w:rPr>
                <w:rFonts w:hint="eastAsia"/>
                <w:b/>
                <w:bCs/>
                <w:color w:val="auto"/>
                <w:kern w:val="0"/>
                <w:sz w:val="24"/>
              </w:rPr>
              <w:t>3</w:t>
            </w:r>
            <w:r>
              <w:rPr>
                <w:b/>
                <w:bCs/>
                <w:color w:val="auto"/>
                <w:kern w:val="0"/>
                <w:sz w:val="24"/>
              </w:rPr>
              <w:t xml:space="preserve"> </w:t>
            </w:r>
            <w:r>
              <w:rPr>
                <w:rFonts w:hint="eastAsia"/>
                <w:b/>
                <w:bCs/>
                <w:color w:val="auto"/>
                <w:kern w:val="0"/>
                <w:sz w:val="24"/>
              </w:rPr>
              <w:t>大理石组件</w:t>
            </w:r>
            <w:r>
              <w:rPr>
                <w:b/>
                <w:bCs/>
                <w:color w:val="auto"/>
                <w:kern w:val="0"/>
                <w:sz w:val="24"/>
              </w:rPr>
              <w:t>工艺流程及产污环节图</w:t>
            </w:r>
          </w:p>
          <w:p w14:paraId="33071CFC">
            <w:pPr>
              <w:tabs>
                <w:tab w:val="left" w:pos="720"/>
              </w:tabs>
              <w:adjustRightInd w:val="0"/>
              <w:snapToGrid w:val="0"/>
              <w:spacing w:line="360" w:lineRule="auto"/>
              <w:ind w:firstLine="480" w:firstLineChars="200"/>
              <w:rPr>
                <w:color w:val="auto"/>
                <w:sz w:val="24"/>
              </w:rPr>
            </w:pPr>
            <w:r>
              <w:rPr>
                <w:color w:val="auto"/>
                <w:sz w:val="24"/>
              </w:rPr>
              <w:t>主要工艺说明：</w:t>
            </w:r>
          </w:p>
          <w:p w14:paraId="64B0F41C">
            <w:pPr>
              <w:tabs>
                <w:tab w:val="left" w:pos="720"/>
              </w:tabs>
              <w:adjustRightInd w:val="0"/>
              <w:snapToGrid w:val="0"/>
              <w:spacing w:line="360" w:lineRule="auto"/>
              <w:ind w:firstLine="480" w:firstLineChars="200"/>
              <w:rPr>
                <w:color w:val="auto"/>
                <w:sz w:val="24"/>
              </w:rPr>
            </w:pPr>
            <w:r>
              <w:rPr>
                <w:color w:val="auto"/>
                <w:sz w:val="24"/>
              </w:rPr>
              <w:t>（1）</w:t>
            </w:r>
            <w:r>
              <w:rPr>
                <w:rFonts w:hint="eastAsia"/>
                <w:color w:val="auto"/>
                <w:sz w:val="24"/>
              </w:rPr>
              <w:t>下料</w:t>
            </w:r>
            <w:r>
              <w:rPr>
                <w:color w:val="auto"/>
                <w:sz w:val="24"/>
              </w:rPr>
              <w:t>：</w:t>
            </w:r>
            <w:r>
              <w:rPr>
                <w:rFonts w:hint="eastAsia"/>
                <w:color w:val="auto"/>
                <w:sz w:val="24"/>
              </w:rPr>
              <w:t>根据产品需要，将外购大理石使用推台锯锯切成所需的尺寸，并使用雕刻机将锯切好的大理石雕刻出需要的形状，其中雕刻机使用刀头雕刻下料，刀头使用过程中会损坏。此工序会产生下料粉尘G2-1、大理石废料S2-1、废刀头S2-2和噪声N。</w:t>
            </w:r>
          </w:p>
          <w:p w14:paraId="4EDE4140">
            <w:pPr>
              <w:adjustRightInd w:val="0"/>
              <w:snapToGrid w:val="0"/>
              <w:spacing w:line="360" w:lineRule="auto"/>
              <w:ind w:firstLine="435"/>
              <w:rPr>
                <w:color w:val="auto"/>
                <w:sz w:val="24"/>
              </w:rPr>
            </w:pPr>
            <w:r>
              <w:rPr>
                <w:rFonts w:hint="eastAsia"/>
                <w:color w:val="auto"/>
                <w:sz w:val="24"/>
                <w:lang w:eastAsia="zh-CN"/>
              </w:rPr>
              <w:t>(2)</w:t>
            </w:r>
            <w:r>
              <w:rPr>
                <w:rFonts w:hint="eastAsia"/>
                <w:color w:val="auto"/>
                <w:sz w:val="24"/>
              </w:rPr>
              <w:t>粘接</w:t>
            </w:r>
            <w:r>
              <w:rPr>
                <w:color w:val="auto"/>
                <w:sz w:val="24"/>
              </w:rPr>
              <w:t>：</w:t>
            </w:r>
            <w:r>
              <w:rPr>
                <w:rFonts w:hint="eastAsia"/>
                <w:color w:val="auto"/>
                <w:sz w:val="24"/>
                <w:szCs w:val="32"/>
              </w:rPr>
              <w:t>根据客户要求，用胶枪将胶挤涂至下料后的大理石板材上部或边缘处进行粘接，使其呈现出不同的造型。该工序会产生粘接废气G2</w:t>
            </w:r>
            <w:r>
              <w:rPr>
                <w:color w:val="auto"/>
                <w:sz w:val="24"/>
                <w:szCs w:val="32"/>
              </w:rPr>
              <w:t>-</w:t>
            </w:r>
            <w:r>
              <w:rPr>
                <w:rFonts w:hint="eastAsia"/>
                <w:color w:val="auto"/>
                <w:sz w:val="24"/>
                <w:szCs w:val="32"/>
              </w:rPr>
              <w:t>2、废胶瓶S2</w:t>
            </w:r>
            <w:r>
              <w:rPr>
                <w:color w:val="auto"/>
                <w:sz w:val="24"/>
                <w:szCs w:val="32"/>
              </w:rPr>
              <w:t>-</w:t>
            </w:r>
            <w:r>
              <w:rPr>
                <w:rFonts w:hint="eastAsia"/>
                <w:color w:val="auto"/>
                <w:sz w:val="24"/>
                <w:szCs w:val="32"/>
              </w:rPr>
              <w:t>3。</w:t>
            </w:r>
          </w:p>
          <w:p w14:paraId="42E7B0C6">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修边</w:t>
            </w:r>
            <w:r>
              <w:rPr>
                <w:color w:val="auto"/>
                <w:sz w:val="24"/>
              </w:rPr>
              <w:t>：</w:t>
            </w:r>
            <w:r>
              <w:rPr>
                <w:rFonts w:hint="eastAsia"/>
                <w:color w:val="auto"/>
                <w:sz w:val="24"/>
                <w:szCs w:val="32"/>
              </w:rPr>
              <w:t>根据产品需要，用修边机对不同造型的大理石展台进行修边倒角，使板材及其造型花纹的边缘处呈现不同的角度。此工序会产生修边粉尘G2</w:t>
            </w:r>
            <w:r>
              <w:rPr>
                <w:color w:val="auto"/>
                <w:sz w:val="24"/>
                <w:szCs w:val="32"/>
              </w:rPr>
              <w:t>-</w:t>
            </w:r>
            <w:r>
              <w:rPr>
                <w:rFonts w:hint="eastAsia"/>
                <w:color w:val="auto"/>
                <w:sz w:val="24"/>
                <w:szCs w:val="32"/>
              </w:rPr>
              <w:t>3、大理石废料S2</w:t>
            </w:r>
            <w:r>
              <w:rPr>
                <w:color w:val="auto"/>
                <w:sz w:val="24"/>
                <w:szCs w:val="32"/>
              </w:rPr>
              <w:t>-</w:t>
            </w:r>
            <w:r>
              <w:rPr>
                <w:rFonts w:hint="eastAsia"/>
                <w:color w:val="auto"/>
                <w:sz w:val="24"/>
                <w:szCs w:val="32"/>
              </w:rPr>
              <w:t>4、废刀头S2</w:t>
            </w:r>
            <w:r>
              <w:rPr>
                <w:color w:val="auto"/>
                <w:sz w:val="24"/>
                <w:szCs w:val="32"/>
              </w:rPr>
              <w:t>-</w:t>
            </w:r>
            <w:r>
              <w:rPr>
                <w:rFonts w:hint="eastAsia"/>
                <w:color w:val="auto"/>
                <w:sz w:val="24"/>
                <w:szCs w:val="32"/>
              </w:rPr>
              <w:t>5和噪声N。</w:t>
            </w:r>
          </w:p>
          <w:p w14:paraId="5ADE6C91">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szCs w:val="32"/>
              </w:rPr>
              <w:t>打磨：用角磨机、气磨机对修边后的大理石展台进行打磨加工，从而使整体大理石展台表面及边缘处更平整、光滑，使用电动打磨砂光机对大理石展台表面进行收光。此工序会产生打磨粉尘G2</w:t>
            </w:r>
            <w:r>
              <w:rPr>
                <w:color w:val="auto"/>
                <w:sz w:val="24"/>
                <w:szCs w:val="32"/>
              </w:rPr>
              <w:t>-</w:t>
            </w:r>
            <w:r>
              <w:rPr>
                <w:rFonts w:hint="eastAsia"/>
                <w:color w:val="auto"/>
                <w:sz w:val="24"/>
                <w:szCs w:val="32"/>
              </w:rPr>
              <w:t>4、废砂纸S2</w:t>
            </w:r>
            <w:r>
              <w:rPr>
                <w:color w:val="auto"/>
                <w:sz w:val="24"/>
                <w:szCs w:val="32"/>
              </w:rPr>
              <w:t>-</w:t>
            </w:r>
            <w:r>
              <w:rPr>
                <w:rFonts w:hint="eastAsia"/>
                <w:color w:val="auto"/>
                <w:sz w:val="24"/>
                <w:szCs w:val="32"/>
              </w:rPr>
              <w:t>6、废切割片S2-7和噪声N</w:t>
            </w:r>
            <w:r>
              <w:rPr>
                <w:rFonts w:hint="eastAsia"/>
                <w:color w:val="auto"/>
                <w:sz w:val="24"/>
              </w:rPr>
              <w:t>。</w:t>
            </w:r>
          </w:p>
          <w:p w14:paraId="67F816E8">
            <w:pPr>
              <w:tabs>
                <w:tab w:val="left" w:pos="720"/>
              </w:tabs>
              <w:adjustRightInd w:val="0"/>
              <w:snapToGrid w:val="0"/>
              <w:spacing w:line="360" w:lineRule="auto"/>
              <w:ind w:firstLine="480" w:firstLineChars="200"/>
              <w:rPr>
                <w:color w:val="auto"/>
                <w:sz w:val="24"/>
              </w:rPr>
            </w:pPr>
            <w:r>
              <w:rPr>
                <w:rFonts w:hint="eastAsia"/>
                <w:color w:val="auto"/>
                <w:sz w:val="24"/>
              </w:rPr>
              <w:t>最终本工艺制作出的大理石组件将</w:t>
            </w:r>
            <w:r>
              <w:rPr>
                <w:rFonts w:hint="eastAsia"/>
                <w:color w:val="auto"/>
                <w:sz w:val="24"/>
                <w:lang w:eastAsia="zh-CN"/>
              </w:rPr>
              <w:t>与</w:t>
            </w:r>
            <w:r>
              <w:rPr>
                <w:rFonts w:hint="eastAsia"/>
                <w:color w:val="auto"/>
                <w:sz w:val="24"/>
              </w:rPr>
              <w:t>其他材质组件一起组装形成本项目产品高端展示道具。</w:t>
            </w:r>
          </w:p>
          <w:p w14:paraId="5621753A">
            <w:pPr>
              <w:tabs>
                <w:tab w:val="left" w:pos="720"/>
              </w:tabs>
              <w:adjustRightInd w:val="0"/>
              <w:snapToGrid w:val="0"/>
              <w:spacing w:line="360" w:lineRule="auto"/>
              <w:ind w:firstLine="482" w:firstLineChars="200"/>
              <w:rPr>
                <w:bCs/>
                <w:color w:val="auto"/>
                <w:sz w:val="24"/>
              </w:rPr>
            </w:pPr>
            <w:r>
              <w:rPr>
                <w:rFonts w:hint="eastAsia"/>
                <w:b/>
                <w:color w:val="auto"/>
                <w:sz w:val="24"/>
                <w:lang w:eastAsia="zh-CN"/>
              </w:rPr>
              <w:t>3.</w:t>
            </w:r>
            <w:r>
              <w:rPr>
                <w:rFonts w:hint="eastAsia"/>
                <w:bCs/>
                <w:color w:val="auto"/>
                <w:sz w:val="24"/>
              </w:rPr>
              <w:t>金属组件</w:t>
            </w:r>
            <w:r>
              <w:rPr>
                <w:bCs/>
                <w:color w:val="auto"/>
                <w:sz w:val="24"/>
              </w:rPr>
              <w:t>工艺流程图见下图2-</w:t>
            </w:r>
            <w:r>
              <w:rPr>
                <w:rFonts w:hint="eastAsia"/>
                <w:bCs/>
                <w:color w:val="auto"/>
                <w:sz w:val="24"/>
              </w:rPr>
              <w:t>4</w:t>
            </w:r>
            <w:r>
              <w:rPr>
                <w:bCs/>
                <w:color w:val="auto"/>
                <w:sz w:val="24"/>
              </w:rPr>
              <w:t>。</w:t>
            </w:r>
          </w:p>
          <w:p w14:paraId="1817E4AF">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5186045" cy="7208520"/>
                  <wp:effectExtent l="0" t="0" r="0" b="0"/>
                  <wp:docPr id="16" name="ECB019B1-382A-4266-B25C-5B523AA43C14-4" descr="C:/Users/admin/AppData/Local/Temp/wps.Tokky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4" descr="C:/Users/admin/AppData/Local/Temp/wps.TokkyFwps"/>
                          <pic:cNvPicPr>
                            <a:picLocks noChangeAspect="1"/>
                          </pic:cNvPicPr>
                        </pic:nvPicPr>
                        <pic:blipFill>
                          <a:blip r:embed="rId22"/>
                          <a:stretch>
                            <a:fillRect/>
                          </a:stretch>
                        </pic:blipFill>
                        <pic:spPr>
                          <a:xfrm>
                            <a:off x="0" y="0"/>
                            <a:ext cx="5186045" cy="7208520"/>
                          </a:xfrm>
                          <a:prstGeom prst="rect">
                            <a:avLst/>
                          </a:prstGeom>
                        </pic:spPr>
                      </pic:pic>
                    </a:graphicData>
                  </a:graphic>
                </wp:inline>
              </w:drawing>
            </w:r>
          </w:p>
          <w:p w14:paraId="13EA84A5">
            <w:pPr>
              <w:tabs>
                <w:tab w:val="left" w:pos="720"/>
              </w:tabs>
              <w:adjustRightInd w:val="0"/>
              <w:snapToGrid w:val="0"/>
              <w:spacing w:line="360" w:lineRule="auto"/>
              <w:jc w:val="center"/>
              <w:rPr>
                <w:b/>
                <w:bCs/>
                <w:color w:val="auto"/>
                <w:kern w:val="0"/>
                <w:sz w:val="24"/>
              </w:rPr>
            </w:pPr>
            <w:r>
              <w:rPr>
                <w:b/>
                <w:bCs/>
                <w:color w:val="auto"/>
                <w:kern w:val="0"/>
                <w:sz w:val="24"/>
              </w:rPr>
              <w:t>图2-</w:t>
            </w:r>
            <w:r>
              <w:rPr>
                <w:rFonts w:hint="eastAsia"/>
                <w:b/>
                <w:bCs/>
                <w:color w:val="auto"/>
                <w:kern w:val="0"/>
                <w:sz w:val="24"/>
              </w:rPr>
              <w:t>4</w:t>
            </w:r>
            <w:r>
              <w:rPr>
                <w:b/>
                <w:bCs/>
                <w:color w:val="auto"/>
                <w:kern w:val="0"/>
                <w:sz w:val="24"/>
              </w:rPr>
              <w:t xml:space="preserve"> </w:t>
            </w:r>
            <w:r>
              <w:rPr>
                <w:rFonts w:hint="eastAsia"/>
                <w:b/>
                <w:bCs/>
                <w:color w:val="auto"/>
                <w:kern w:val="0"/>
                <w:sz w:val="24"/>
              </w:rPr>
              <w:t>金属组件</w:t>
            </w:r>
            <w:r>
              <w:rPr>
                <w:b/>
                <w:bCs/>
                <w:color w:val="auto"/>
                <w:kern w:val="0"/>
                <w:sz w:val="24"/>
              </w:rPr>
              <w:t>工艺流程及产污环节图</w:t>
            </w:r>
          </w:p>
          <w:p w14:paraId="74576EF5">
            <w:pPr>
              <w:tabs>
                <w:tab w:val="left" w:pos="720"/>
              </w:tabs>
              <w:adjustRightInd w:val="0"/>
              <w:snapToGrid w:val="0"/>
              <w:spacing w:line="360" w:lineRule="auto"/>
              <w:ind w:firstLine="480" w:firstLineChars="200"/>
              <w:rPr>
                <w:color w:val="auto"/>
                <w:sz w:val="24"/>
              </w:rPr>
            </w:pPr>
          </w:p>
          <w:p w14:paraId="249FDB7E">
            <w:pPr>
              <w:tabs>
                <w:tab w:val="left" w:pos="720"/>
              </w:tabs>
              <w:adjustRightInd w:val="0"/>
              <w:snapToGrid w:val="0"/>
              <w:spacing w:line="360" w:lineRule="auto"/>
              <w:ind w:firstLine="480" w:firstLineChars="200"/>
              <w:rPr>
                <w:color w:val="auto"/>
                <w:sz w:val="24"/>
              </w:rPr>
            </w:pPr>
          </w:p>
          <w:p w14:paraId="70C857CD">
            <w:pPr>
              <w:tabs>
                <w:tab w:val="left" w:pos="720"/>
              </w:tabs>
              <w:adjustRightInd w:val="0"/>
              <w:snapToGrid w:val="0"/>
              <w:spacing w:line="360" w:lineRule="auto"/>
              <w:ind w:firstLine="480" w:firstLineChars="200"/>
              <w:rPr>
                <w:color w:val="auto"/>
                <w:sz w:val="24"/>
              </w:rPr>
            </w:pPr>
            <w:r>
              <w:rPr>
                <w:rFonts w:hint="eastAsia"/>
                <w:color w:val="auto"/>
                <w:sz w:val="24"/>
              </w:rPr>
              <w:t>本项目金属组件原料主要为金属板材和金属管材，两类金属材下料工艺不同，金属板材下料工艺为：</w:t>
            </w:r>
          </w:p>
          <w:p w14:paraId="449ED9BE">
            <w:pPr>
              <w:tabs>
                <w:tab w:val="left" w:pos="720"/>
              </w:tabs>
              <w:adjustRightInd w:val="0"/>
              <w:snapToGrid w:val="0"/>
              <w:spacing w:line="360" w:lineRule="auto"/>
              <w:ind w:firstLine="480" w:firstLineChars="200"/>
              <w:rPr>
                <w:color w:val="auto"/>
                <w:sz w:val="24"/>
              </w:rPr>
            </w:pPr>
            <w:r>
              <w:rPr>
                <w:color w:val="auto"/>
                <w:sz w:val="24"/>
              </w:rPr>
              <w:t>（1）</w:t>
            </w:r>
            <w:r>
              <w:rPr>
                <w:rFonts w:hint="eastAsia"/>
                <w:color w:val="auto"/>
                <w:sz w:val="24"/>
              </w:rPr>
              <w:t>下料</w:t>
            </w:r>
            <w:r>
              <w:rPr>
                <w:color w:val="auto"/>
                <w:sz w:val="24"/>
              </w:rPr>
              <w:t>：</w:t>
            </w:r>
            <w:r>
              <w:rPr>
                <w:rFonts w:hint="eastAsia"/>
                <w:color w:val="auto"/>
                <w:sz w:val="24"/>
              </w:rPr>
              <w:t>根据产品需要，使用激光切割机将金属板材切割成需要的尺寸，此工序会产生下料粉尘G3-1，金属废边角料S3-1和噪声N。</w:t>
            </w:r>
          </w:p>
          <w:p w14:paraId="0D89FDA0">
            <w:pPr>
              <w:adjustRightInd w:val="0"/>
              <w:snapToGrid w:val="0"/>
              <w:spacing w:line="360" w:lineRule="auto"/>
              <w:ind w:firstLine="435"/>
              <w:rPr>
                <w:color w:val="auto"/>
                <w:sz w:val="24"/>
              </w:rPr>
            </w:pPr>
            <w:r>
              <w:rPr>
                <w:rFonts w:hint="eastAsia"/>
                <w:color w:val="auto"/>
                <w:sz w:val="24"/>
                <w:lang w:eastAsia="zh-CN"/>
              </w:rPr>
              <w:t>(2)</w:t>
            </w:r>
            <w:r>
              <w:rPr>
                <w:rFonts w:hint="eastAsia"/>
                <w:color w:val="auto"/>
                <w:sz w:val="24"/>
              </w:rPr>
              <w:t>刨槽</w:t>
            </w:r>
            <w:r>
              <w:rPr>
                <w:color w:val="auto"/>
                <w:sz w:val="24"/>
              </w:rPr>
              <w:t>：</w:t>
            </w:r>
            <w:r>
              <w:rPr>
                <w:rFonts w:hint="eastAsia" w:cs="宋体"/>
                <w:color w:val="auto"/>
                <w:sz w:val="24"/>
                <w:lang w:bidi="ar"/>
              </w:rPr>
              <w:t>在需要弯曲成形的弯曲线处利用数控开槽机将不锈钢材刨切出</w:t>
            </w:r>
            <w:r>
              <w:rPr>
                <w:rFonts w:cs="宋体"/>
                <w:color w:val="auto"/>
                <w:sz w:val="24"/>
                <w:lang w:bidi="ar"/>
              </w:rPr>
              <w:t>V</w:t>
            </w:r>
            <w:r>
              <w:rPr>
                <w:rFonts w:hint="eastAsia" w:cs="宋体"/>
                <w:color w:val="auto"/>
                <w:sz w:val="24"/>
                <w:lang w:bidi="ar"/>
              </w:rPr>
              <w:t>型槽，使材料易于折弯成形且弯曲角外</w:t>
            </w:r>
            <w:r>
              <w:rPr>
                <w:rFonts w:cs="宋体"/>
                <w:color w:val="auto"/>
                <w:sz w:val="24"/>
                <w:lang w:bidi="ar"/>
              </w:rPr>
              <w:t>R</w:t>
            </w:r>
            <w:r>
              <w:rPr>
                <w:rFonts w:hint="eastAsia" w:cs="宋体"/>
                <w:color w:val="auto"/>
                <w:sz w:val="24"/>
                <w:lang w:bidi="ar"/>
              </w:rPr>
              <w:t>能达到最小化，根据企业实际生产经验，刨槽工艺产生</w:t>
            </w:r>
            <w:r>
              <w:rPr>
                <w:rFonts w:hint="eastAsia"/>
                <w:color w:val="auto"/>
                <w:sz w:val="24"/>
              </w:rPr>
              <w:t>金属碎屑粉尘自身比重较大，产生后在短时间内即在操作设备区域</w:t>
            </w:r>
            <w:r>
              <w:rPr>
                <w:rFonts w:hint="eastAsia"/>
                <w:color w:val="auto"/>
                <w:sz w:val="24"/>
                <w:lang w:eastAsia="zh-CN"/>
              </w:rPr>
              <w:t>附近</w:t>
            </w:r>
            <w:r>
              <w:rPr>
                <w:rFonts w:hint="eastAsia"/>
                <w:color w:val="auto"/>
                <w:sz w:val="24"/>
              </w:rPr>
              <w:t>自然沉降，基本不会形成飘尘现象，沉降粉尘及时清理后作为固废处理收集</w:t>
            </w:r>
            <w:r>
              <w:rPr>
                <w:rFonts w:hint="eastAsia"/>
                <w:color w:val="auto"/>
              </w:rPr>
              <w:t>；</w:t>
            </w:r>
            <w:r>
              <w:rPr>
                <w:rFonts w:hint="eastAsia" w:cs="宋体"/>
                <w:color w:val="auto"/>
                <w:sz w:val="24"/>
                <w:lang w:bidi="ar"/>
              </w:rPr>
              <w:t>此工序产生金属废边角料</w:t>
            </w:r>
            <w:r>
              <w:rPr>
                <w:rFonts w:cs="宋体"/>
                <w:color w:val="auto"/>
                <w:sz w:val="24"/>
                <w:lang w:bidi="ar"/>
              </w:rPr>
              <w:t>S</w:t>
            </w:r>
            <w:r>
              <w:rPr>
                <w:rFonts w:hint="eastAsia" w:cs="宋体"/>
                <w:color w:val="auto"/>
                <w:sz w:val="24"/>
                <w:lang w:bidi="ar"/>
              </w:rPr>
              <w:t>3-2、废切削液S3-3和</w:t>
            </w:r>
            <w:r>
              <w:rPr>
                <w:rFonts w:cs="宋体"/>
                <w:color w:val="auto"/>
                <w:sz w:val="24"/>
              </w:rPr>
              <w:t>噪声N</w:t>
            </w:r>
            <w:r>
              <w:rPr>
                <w:color w:val="auto"/>
                <w:sz w:val="24"/>
              </w:rPr>
              <w:t>。</w:t>
            </w:r>
          </w:p>
          <w:p w14:paraId="5598CA53">
            <w:pPr>
              <w:tabs>
                <w:tab w:val="left" w:pos="720"/>
              </w:tabs>
              <w:adjustRightInd w:val="0"/>
              <w:snapToGrid w:val="0"/>
              <w:spacing w:line="360" w:lineRule="auto"/>
              <w:ind w:firstLine="480" w:firstLineChars="200"/>
              <w:rPr>
                <w:color w:val="auto"/>
                <w:sz w:val="24"/>
              </w:rPr>
            </w:pPr>
            <w:r>
              <w:rPr>
                <w:color w:val="auto"/>
                <w:sz w:val="24"/>
              </w:rPr>
              <w:t>（3）</w:t>
            </w:r>
            <w:r>
              <w:rPr>
                <w:rFonts w:hint="eastAsia"/>
                <w:color w:val="auto"/>
                <w:sz w:val="24"/>
              </w:rPr>
              <w:t>折弯</w:t>
            </w:r>
            <w:r>
              <w:rPr>
                <w:color w:val="auto"/>
                <w:sz w:val="24"/>
              </w:rPr>
              <w:t>：</w:t>
            </w:r>
            <w:r>
              <w:rPr>
                <w:rFonts w:hint="eastAsia"/>
                <w:color w:val="auto"/>
                <w:sz w:val="24"/>
              </w:rPr>
              <w:t>使用数控板料折弯机对下料好的钢板进行折弯，此工序会产生废液压油S3-4和噪声N。</w:t>
            </w:r>
          </w:p>
          <w:p w14:paraId="63BD0243">
            <w:pPr>
              <w:tabs>
                <w:tab w:val="left" w:pos="720"/>
              </w:tabs>
              <w:adjustRightInd w:val="0"/>
              <w:snapToGrid w:val="0"/>
              <w:spacing w:line="360" w:lineRule="auto"/>
              <w:ind w:firstLine="480" w:firstLineChars="200"/>
              <w:rPr>
                <w:color w:val="auto"/>
                <w:sz w:val="24"/>
              </w:rPr>
            </w:pPr>
            <w:r>
              <w:rPr>
                <w:rFonts w:hint="eastAsia"/>
                <w:color w:val="auto"/>
                <w:sz w:val="24"/>
              </w:rPr>
              <w:t>金属管材下料工艺为：</w:t>
            </w:r>
          </w:p>
          <w:p w14:paraId="7D8B146D">
            <w:pPr>
              <w:tabs>
                <w:tab w:val="left" w:pos="720"/>
              </w:tabs>
              <w:adjustRightInd w:val="0"/>
              <w:snapToGrid w:val="0"/>
              <w:spacing w:line="360" w:lineRule="auto"/>
              <w:ind w:firstLine="480" w:firstLineChars="200"/>
              <w:rPr>
                <w:color w:val="auto"/>
                <w:sz w:val="24"/>
              </w:rPr>
            </w:pPr>
            <w:r>
              <w:rPr>
                <w:color w:val="auto"/>
                <w:sz w:val="24"/>
              </w:rPr>
              <w:t>（</w:t>
            </w:r>
            <w:r>
              <w:rPr>
                <w:rFonts w:hint="eastAsia"/>
                <w:color w:val="auto"/>
                <w:sz w:val="24"/>
              </w:rPr>
              <w:t>1</w:t>
            </w:r>
            <w:r>
              <w:rPr>
                <w:color w:val="auto"/>
                <w:sz w:val="24"/>
              </w:rPr>
              <w:t>）</w:t>
            </w:r>
            <w:r>
              <w:rPr>
                <w:rFonts w:hint="eastAsia"/>
                <w:color w:val="auto"/>
                <w:sz w:val="24"/>
              </w:rPr>
              <w:t>下料：根据产品需要，使用</w:t>
            </w:r>
            <w:r>
              <w:rPr>
                <w:rFonts w:hint="eastAsia"/>
                <w:color w:val="auto"/>
                <w:sz w:val="24"/>
                <w:lang w:eastAsia="zh-CN"/>
              </w:rPr>
              <w:t>激光切割机</w:t>
            </w:r>
            <w:r>
              <w:rPr>
                <w:rFonts w:hint="eastAsia"/>
                <w:color w:val="auto"/>
                <w:sz w:val="24"/>
              </w:rPr>
              <w:t>和切管机将金属管材切割成需要的尺寸，此工序会产生下料粉尘G3-3、金属废边角料S3-6、废切削液S3-7和噪声N。</w:t>
            </w:r>
          </w:p>
          <w:p w14:paraId="72518BBD">
            <w:pPr>
              <w:tabs>
                <w:tab w:val="left" w:pos="720"/>
              </w:tabs>
              <w:adjustRightInd w:val="0"/>
              <w:snapToGrid w:val="0"/>
              <w:spacing w:line="360" w:lineRule="auto"/>
              <w:ind w:firstLine="480" w:firstLineChars="200"/>
              <w:rPr>
                <w:color w:val="auto"/>
                <w:sz w:val="24"/>
              </w:rPr>
            </w:pPr>
            <w:r>
              <w:rPr>
                <w:rFonts w:hint="eastAsia"/>
                <w:color w:val="auto"/>
                <w:sz w:val="24"/>
                <w:lang w:eastAsia="zh-CN"/>
              </w:rPr>
              <w:t>(2)</w:t>
            </w:r>
            <w:r>
              <w:rPr>
                <w:rFonts w:hint="eastAsia"/>
                <w:color w:val="auto"/>
                <w:sz w:val="24"/>
              </w:rPr>
              <w:t>压铆：按照市场客户要求，使用压铆机将切割好的金属管材连接，过程产生废液压油S3-8和噪声N。</w:t>
            </w:r>
          </w:p>
          <w:p w14:paraId="066EEFAA">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攻牙：使用台式攻丝机对管材进行切削，本工序产生金属碎屑S3-9和噪声N。</w:t>
            </w:r>
          </w:p>
          <w:p w14:paraId="12DA30AD">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打孔：</w:t>
            </w:r>
            <w:r>
              <w:rPr>
                <w:color w:val="auto"/>
                <w:sz w:val="24"/>
              </w:rPr>
              <w:t>使用</w:t>
            </w:r>
            <w:r>
              <w:rPr>
                <w:rFonts w:hint="eastAsia"/>
                <w:color w:val="auto"/>
                <w:sz w:val="24"/>
              </w:rPr>
              <w:t>台钻</w:t>
            </w:r>
            <w:r>
              <w:rPr>
                <w:color w:val="auto"/>
                <w:sz w:val="24"/>
              </w:rPr>
              <w:t>对</w:t>
            </w:r>
            <w:r>
              <w:rPr>
                <w:rFonts w:hint="eastAsia"/>
                <w:color w:val="auto"/>
                <w:sz w:val="24"/>
              </w:rPr>
              <w:t>管材</w:t>
            </w:r>
            <w:r>
              <w:rPr>
                <w:color w:val="auto"/>
                <w:sz w:val="24"/>
              </w:rPr>
              <w:t>进行打孔，在打孔过程中会产生</w:t>
            </w:r>
            <w:r>
              <w:rPr>
                <w:rFonts w:hint="eastAsia"/>
                <w:color w:val="auto"/>
                <w:sz w:val="24"/>
              </w:rPr>
              <w:t>金属碎屑S3-10</w:t>
            </w:r>
            <w:r>
              <w:rPr>
                <w:color w:val="auto"/>
                <w:sz w:val="24"/>
              </w:rPr>
              <w:t>和噪声N。</w:t>
            </w:r>
          </w:p>
          <w:p w14:paraId="5A026518">
            <w:pPr>
              <w:tabs>
                <w:tab w:val="left" w:pos="720"/>
              </w:tabs>
              <w:adjustRightInd w:val="0"/>
              <w:snapToGrid w:val="0"/>
              <w:spacing w:line="360" w:lineRule="auto"/>
              <w:ind w:firstLine="480" w:firstLineChars="200"/>
              <w:rPr>
                <w:color w:val="auto"/>
                <w:sz w:val="24"/>
              </w:rPr>
            </w:pPr>
            <w:r>
              <w:rPr>
                <w:rFonts w:hint="eastAsia"/>
                <w:color w:val="auto"/>
                <w:sz w:val="24"/>
                <w:lang w:eastAsia="zh-CN"/>
              </w:rPr>
              <w:t>(5)</w:t>
            </w:r>
            <w:r>
              <w:rPr>
                <w:rFonts w:hint="eastAsia"/>
                <w:color w:val="auto"/>
                <w:sz w:val="24"/>
              </w:rPr>
              <w:t>卷圆：使用滚圆机将管材弯曲成圆形或弧形，本工序产生噪声N。</w:t>
            </w:r>
          </w:p>
          <w:p w14:paraId="475150D5">
            <w:pPr>
              <w:tabs>
                <w:tab w:val="left" w:pos="720"/>
              </w:tabs>
              <w:adjustRightInd w:val="0"/>
              <w:snapToGrid w:val="0"/>
              <w:spacing w:line="360" w:lineRule="auto"/>
              <w:ind w:firstLine="480" w:firstLineChars="200"/>
              <w:rPr>
                <w:color w:val="auto"/>
                <w:sz w:val="24"/>
              </w:rPr>
            </w:pPr>
            <w:r>
              <w:rPr>
                <w:rFonts w:hint="eastAsia"/>
                <w:color w:val="auto"/>
                <w:sz w:val="24"/>
              </w:rPr>
              <w:t>金属材料下料后通过四种不同的生产工序分别制作成四类不同的金属组件，根据四类不同的金属组件分别对</w:t>
            </w:r>
            <w:r>
              <w:rPr>
                <w:color w:val="auto"/>
                <w:sz w:val="24"/>
              </w:rPr>
              <w:t>主要工艺</w:t>
            </w:r>
            <w:r>
              <w:rPr>
                <w:rFonts w:hint="eastAsia"/>
                <w:color w:val="auto"/>
                <w:sz w:val="24"/>
              </w:rPr>
              <w:t>进行</w:t>
            </w:r>
            <w:r>
              <w:rPr>
                <w:color w:val="auto"/>
                <w:sz w:val="24"/>
              </w:rPr>
              <w:t>说明：</w:t>
            </w:r>
          </w:p>
          <w:p w14:paraId="7E6C2DAC">
            <w:pPr>
              <w:tabs>
                <w:tab w:val="left" w:pos="720"/>
              </w:tabs>
              <w:adjustRightInd w:val="0"/>
              <w:snapToGrid w:val="0"/>
              <w:spacing w:line="360" w:lineRule="auto"/>
              <w:ind w:firstLine="480" w:firstLineChars="200"/>
              <w:rPr>
                <w:color w:val="auto"/>
                <w:sz w:val="24"/>
              </w:rPr>
            </w:pPr>
            <w:r>
              <w:rPr>
                <w:color w:val="auto"/>
                <w:sz w:val="24"/>
              </w:rPr>
              <w:t>①</w:t>
            </w:r>
            <w:r>
              <w:rPr>
                <w:rFonts w:hint="eastAsia"/>
                <w:color w:val="auto"/>
                <w:sz w:val="24"/>
              </w:rPr>
              <w:t>不锈钢板组件</w:t>
            </w:r>
          </w:p>
          <w:p w14:paraId="1A3D3A49">
            <w:pPr>
              <w:tabs>
                <w:tab w:val="left" w:pos="720"/>
              </w:tabs>
              <w:adjustRightInd w:val="0"/>
              <w:snapToGrid w:val="0"/>
              <w:spacing w:line="360" w:lineRule="auto"/>
              <w:ind w:firstLine="480" w:firstLineChars="200"/>
              <w:rPr>
                <w:color w:val="auto"/>
                <w:sz w:val="24"/>
              </w:rPr>
            </w:pPr>
            <w:r>
              <w:rPr>
                <w:rFonts w:hint="eastAsia"/>
                <w:color w:val="auto"/>
                <w:sz w:val="24"/>
              </w:rPr>
              <w:t>不锈钢板组件由金属板材下料后通过冷压机压合成一定厚度的板材。</w:t>
            </w:r>
          </w:p>
          <w:p w14:paraId="376B0C6F">
            <w:pPr>
              <w:tabs>
                <w:tab w:val="left" w:pos="720"/>
              </w:tabs>
              <w:adjustRightInd w:val="0"/>
              <w:snapToGrid w:val="0"/>
              <w:spacing w:line="360" w:lineRule="auto"/>
              <w:ind w:firstLine="480" w:firstLineChars="200"/>
              <w:rPr>
                <w:color w:val="auto"/>
                <w:sz w:val="24"/>
              </w:rPr>
            </w:pPr>
            <w:r>
              <w:rPr>
                <w:rFonts w:hint="eastAsia"/>
                <w:color w:val="auto"/>
                <w:sz w:val="24"/>
              </w:rPr>
              <w:t>压合</w:t>
            </w:r>
            <w:r>
              <w:rPr>
                <w:color w:val="auto"/>
                <w:sz w:val="24"/>
              </w:rPr>
              <w:t>：</w:t>
            </w:r>
            <w:r>
              <w:rPr>
                <w:rFonts w:hint="eastAsia"/>
                <w:color w:val="auto"/>
                <w:sz w:val="24"/>
              </w:rPr>
              <w:t>对部分钢材涂抹聚氨酯胶通过冷压机进行常温压合，此工序会产生压合废气G3-2、废液压油S3-5和噪声N</w:t>
            </w:r>
            <w:r>
              <w:rPr>
                <w:color w:val="auto"/>
                <w:sz w:val="24"/>
              </w:rPr>
              <w:t>。</w:t>
            </w:r>
          </w:p>
          <w:p w14:paraId="3D13B231">
            <w:pPr>
              <w:tabs>
                <w:tab w:val="left" w:pos="720"/>
              </w:tabs>
              <w:adjustRightInd w:val="0"/>
              <w:snapToGrid w:val="0"/>
              <w:spacing w:line="360" w:lineRule="auto"/>
              <w:ind w:firstLine="480" w:firstLineChars="200"/>
              <w:rPr>
                <w:color w:val="auto"/>
                <w:sz w:val="24"/>
              </w:rPr>
            </w:pPr>
            <w:r>
              <w:rPr>
                <w:rFonts w:hint="eastAsia"/>
                <w:color w:val="auto"/>
                <w:sz w:val="24"/>
              </w:rPr>
              <w:t>压合后获得不锈钢板，可作为金属组件用于后续组装工序；</w:t>
            </w:r>
          </w:p>
          <w:p w14:paraId="585A3971">
            <w:pPr>
              <w:tabs>
                <w:tab w:val="left" w:pos="720"/>
              </w:tabs>
              <w:adjustRightInd w:val="0"/>
              <w:snapToGrid w:val="0"/>
              <w:spacing w:line="360" w:lineRule="auto"/>
              <w:ind w:firstLine="480" w:firstLineChars="200"/>
              <w:rPr>
                <w:color w:val="auto"/>
                <w:sz w:val="24"/>
              </w:rPr>
            </w:pPr>
            <w:r>
              <w:rPr>
                <w:rFonts w:hint="eastAsia"/>
                <w:color w:val="auto"/>
                <w:sz w:val="24"/>
              </w:rPr>
              <w:t>②烤粉金属件工艺流程：</w:t>
            </w:r>
          </w:p>
          <w:p w14:paraId="43953316">
            <w:pPr>
              <w:tabs>
                <w:tab w:val="left" w:pos="720"/>
              </w:tabs>
              <w:adjustRightInd w:val="0"/>
              <w:snapToGrid w:val="0"/>
              <w:spacing w:line="360" w:lineRule="auto"/>
              <w:ind w:firstLine="480" w:firstLineChars="200"/>
              <w:rPr>
                <w:color w:val="auto"/>
                <w:sz w:val="24"/>
              </w:rPr>
            </w:pPr>
            <w:r>
              <w:rPr>
                <w:rFonts w:hint="eastAsia"/>
                <w:color w:val="auto"/>
                <w:sz w:val="24"/>
              </w:rPr>
              <w:t>烤粉金属件是由下料后的金属板材和管材焊接形成所需形状，后通过打磨等表面处理以达到表面光亮和耐磨度。具体工艺如下：</w:t>
            </w:r>
          </w:p>
          <w:p w14:paraId="6637376F">
            <w:pPr>
              <w:tabs>
                <w:tab w:val="left" w:pos="720"/>
              </w:tabs>
              <w:adjustRightInd w:val="0"/>
              <w:snapToGrid w:val="0"/>
              <w:spacing w:line="360" w:lineRule="auto"/>
              <w:ind w:firstLine="480" w:firstLineChars="200"/>
              <w:rPr>
                <w:color w:val="auto"/>
                <w:sz w:val="24"/>
              </w:rPr>
            </w:pPr>
            <w:r>
              <w:rPr>
                <w:rFonts w:hint="eastAsia"/>
                <w:color w:val="auto"/>
                <w:sz w:val="24"/>
                <w:lang w:eastAsia="zh-CN"/>
              </w:rPr>
              <w:t>(1)</w:t>
            </w:r>
            <w:r>
              <w:rPr>
                <w:rFonts w:hint="eastAsia"/>
                <w:color w:val="auto"/>
                <w:sz w:val="24"/>
              </w:rPr>
              <w:t>焊接：</w:t>
            </w:r>
            <w:r>
              <w:rPr>
                <w:color w:val="auto"/>
                <w:sz w:val="24"/>
              </w:rPr>
              <w:t>将不同零部件拼装成型，使用</w:t>
            </w:r>
            <w:r>
              <w:rPr>
                <w:rFonts w:hint="eastAsia"/>
                <w:color w:val="auto"/>
                <w:sz w:val="24"/>
              </w:rPr>
              <w:t>弧</w:t>
            </w:r>
            <w:r>
              <w:rPr>
                <w:color w:val="auto"/>
                <w:sz w:val="24"/>
              </w:rPr>
              <w:t>焊机将不同部件用焊丝焊接成半成品，焊接保护气体主要为</w:t>
            </w:r>
            <w:r>
              <w:rPr>
                <w:rFonts w:hint="eastAsia"/>
                <w:color w:val="auto"/>
                <w:sz w:val="24"/>
              </w:rPr>
              <w:t>氩气</w:t>
            </w:r>
            <w:r>
              <w:rPr>
                <w:color w:val="auto"/>
                <w:sz w:val="24"/>
              </w:rPr>
              <w:t>，在焊接过程中会产生焊接</w:t>
            </w:r>
            <w:r>
              <w:rPr>
                <w:rFonts w:hint="eastAsia"/>
                <w:color w:val="auto"/>
                <w:sz w:val="24"/>
              </w:rPr>
              <w:t>废气G3-4、废焊渣S3-11、废焊丝S3-12和</w:t>
            </w:r>
            <w:r>
              <w:rPr>
                <w:color w:val="auto"/>
                <w:sz w:val="24"/>
              </w:rPr>
              <w:t>噪声N。</w:t>
            </w:r>
          </w:p>
          <w:p w14:paraId="2D52B237">
            <w:pPr>
              <w:tabs>
                <w:tab w:val="left" w:pos="720"/>
              </w:tabs>
              <w:adjustRightInd w:val="0"/>
              <w:snapToGrid w:val="0"/>
              <w:spacing w:line="360" w:lineRule="auto"/>
              <w:ind w:firstLine="480" w:firstLineChars="200"/>
              <w:rPr>
                <w:color w:val="auto"/>
                <w:sz w:val="24"/>
              </w:rPr>
            </w:pPr>
            <w:r>
              <w:rPr>
                <w:rFonts w:hint="eastAsia"/>
                <w:color w:val="auto"/>
                <w:sz w:val="24"/>
                <w:lang w:eastAsia="zh-CN"/>
              </w:rPr>
              <w:t>(2)</w:t>
            </w:r>
            <w:r>
              <w:rPr>
                <w:rFonts w:hint="eastAsia"/>
                <w:color w:val="auto"/>
                <w:sz w:val="24"/>
              </w:rPr>
              <w:t>打磨</w:t>
            </w:r>
            <w:r>
              <w:rPr>
                <w:rFonts w:hint="eastAsia"/>
                <w:color w:val="auto"/>
                <w:sz w:val="24"/>
                <w:lang w:val="en-US" w:eastAsia="zh-CN"/>
              </w:rPr>
              <w:t>/抛丸</w:t>
            </w:r>
            <w:r>
              <w:rPr>
                <w:rFonts w:hint="eastAsia"/>
                <w:color w:val="auto"/>
                <w:sz w:val="24"/>
              </w:rPr>
              <w:t>：根据工件材料和加工要求，</w:t>
            </w:r>
            <w:r>
              <w:rPr>
                <w:rFonts w:hint="eastAsia"/>
                <w:color w:val="auto"/>
                <w:sz w:val="24"/>
                <w:lang w:val="en-US" w:eastAsia="zh-CN"/>
              </w:rPr>
              <w:t>部分工件</w:t>
            </w:r>
            <w:r>
              <w:rPr>
                <w:rFonts w:hint="eastAsia"/>
                <w:color w:val="auto"/>
                <w:sz w:val="24"/>
              </w:rPr>
              <w:t>使用角磨机将焊接好的金属件进行打磨，去除工件表面较大不平整部分，进一步提高表面平整度，</w:t>
            </w:r>
            <w:r>
              <w:rPr>
                <w:rFonts w:hint="eastAsia"/>
                <w:color w:val="auto"/>
                <w:sz w:val="24"/>
                <w:lang w:val="en-US" w:eastAsia="zh-CN"/>
              </w:rPr>
              <w:t>剩余工件使用抛丸机进行抛丸，</w:t>
            </w:r>
            <w:r>
              <w:rPr>
                <w:rFonts w:hint="eastAsia"/>
                <w:color w:val="auto"/>
                <w:sz w:val="24"/>
              </w:rPr>
              <w:t>本工序产生打磨</w:t>
            </w:r>
            <w:r>
              <w:rPr>
                <w:rFonts w:hint="eastAsia"/>
                <w:color w:val="auto"/>
                <w:sz w:val="24"/>
                <w:lang w:val="en-US" w:eastAsia="zh-CN"/>
              </w:rPr>
              <w:t>/抛丸</w:t>
            </w:r>
            <w:r>
              <w:rPr>
                <w:rFonts w:hint="eastAsia"/>
                <w:color w:val="auto"/>
                <w:sz w:val="24"/>
              </w:rPr>
              <w:t>粉尘G3-5</w:t>
            </w:r>
            <w:r>
              <w:rPr>
                <w:rFonts w:hint="eastAsia"/>
                <w:color w:val="auto"/>
                <w:sz w:val="24"/>
                <w:lang w:eastAsia="zh-CN"/>
              </w:rPr>
              <w:t>、</w:t>
            </w:r>
            <w:r>
              <w:rPr>
                <w:rFonts w:hint="eastAsia"/>
                <w:color w:val="auto"/>
                <w:sz w:val="24"/>
                <w:lang w:val="en-US" w:eastAsia="zh-CN"/>
              </w:rPr>
              <w:t>废钢丸S3-13</w:t>
            </w:r>
            <w:r>
              <w:rPr>
                <w:rFonts w:hint="eastAsia"/>
                <w:color w:val="auto"/>
                <w:sz w:val="24"/>
              </w:rPr>
              <w:t>和噪声N。</w:t>
            </w:r>
          </w:p>
          <w:p w14:paraId="097933A3">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水洗（第一次）：将打磨后的金属件使用喷淋的方式进行冲洗，确保金属表面的灰尘、磨屑等杂质被完全冲洗掉，为后续脱脂工序提供干净的表面，本工序产生清洗废水W3-1。</w:t>
            </w:r>
          </w:p>
          <w:p w14:paraId="4F4DA6E3">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脱脂：</w:t>
            </w:r>
            <w:r>
              <w:rPr>
                <w:color w:val="auto"/>
                <w:sz w:val="24"/>
              </w:rPr>
              <w:t>配比脱脂剂占比4％比例形成脱脂液，采用喷淋的方式，使用脱脂液为金属件进行处理，去除金属表面的油污、油脂和其他有机污染物，确保表面清洁，本工序产生脱脂废水W3-2。</w:t>
            </w:r>
          </w:p>
          <w:p w14:paraId="754EBCA5">
            <w:pPr>
              <w:tabs>
                <w:tab w:val="left" w:pos="720"/>
              </w:tabs>
              <w:adjustRightInd w:val="0"/>
              <w:snapToGrid w:val="0"/>
              <w:spacing w:line="360" w:lineRule="auto"/>
              <w:ind w:firstLine="480" w:firstLineChars="200"/>
              <w:rPr>
                <w:color w:val="auto"/>
                <w:sz w:val="24"/>
              </w:rPr>
            </w:pPr>
            <w:r>
              <w:rPr>
                <w:rFonts w:hint="eastAsia"/>
                <w:color w:val="auto"/>
                <w:sz w:val="24"/>
                <w:lang w:eastAsia="zh-CN"/>
              </w:rPr>
              <w:t>(5)</w:t>
            </w:r>
            <w:r>
              <w:rPr>
                <w:color w:val="auto"/>
                <w:sz w:val="24"/>
              </w:rPr>
              <w:t>水洗（第二次）：使用清水将脱脂后的金属件使用喷淋的方式进行冲洗，去除表面残留的脱脂液，防止其对后续陶化工序产生干扰，本工序产生脱脂后清洗废水W3-3。</w:t>
            </w:r>
          </w:p>
          <w:p w14:paraId="74EB1051">
            <w:pPr>
              <w:tabs>
                <w:tab w:val="left" w:pos="720"/>
              </w:tabs>
              <w:adjustRightInd w:val="0"/>
              <w:snapToGrid w:val="0"/>
              <w:spacing w:line="360" w:lineRule="auto"/>
              <w:ind w:firstLine="480" w:firstLineChars="200"/>
              <w:rPr>
                <w:color w:val="auto"/>
                <w:sz w:val="24"/>
              </w:rPr>
            </w:pPr>
            <w:r>
              <w:rPr>
                <w:rFonts w:hint="eastAsia"/>
                <w:color w:val="auto"/>
                <w:sz w:val="24"/>
                <w:lang w:eastAsia="zh-CN"/>
              </w:rPr>
              <w:t>(6)</w:t>
            </w:r>
            <w:r>
              <w:rPr>
                <w:color w:val="auto"/>
                <w:sz w:val="24"/>
              </w:rPr>
              <w:t>防锈：配比防锈剂占比3‰的比例形成防锈液，采用喷淋的方式，使用防锈液为金属件进行处理，起到防锈的作用，本工序产生防锈废水W3-4。</w:t>
            </w:r>
          </w:p>
          <w:p w14:paraId="589D0423">
            <w:pPr>
              <w:tabs>
                <w:tab w:val="left" w:pos="720"/>
              </w:tabs>
              <w:adjustRightInd w:val="0"/>
              <w:snapToGrid w:val="0"/>
              <w:spacing w:line="360" w:lineRule="auto"/>
              <w:ind w:firstLine="480" w:firstLineChars="200"/>
              <w:rPr>
                <w:color w:val="auto"/>
                <w:sz w:val="24"/>
              </w:rPr>
            </w:pPr>
            <w:r>
              <w:rPr>
                <w:rFonts w:hint="eastAsia"/>
                <w:color w:val="auto"/>
                <w:sz w:val="24"/>
                <w:lang w:eastAsia="zh-CN"/>
              </w:rPr>
              <w:t>(7)</w:t>
            </w:r>
            <w:r>
              <w:rPr>
                <w:color w:val="auto"/>
                <w:sz w:val="24"/>
              </w:rPr>
              <w:t>陶化：配比陶化剂占比2‰的比例形成陶化液，采用</w:t>
            </w:r>
            <w:r>
              <w:rPr>
                <w:rFonts w:hint="eastAsia"/>
                <w:color w:val="auto"/>
                <w:sz w:val="24"/>
                <w:lang w:val="en-US" w:eastAsia="zh-CN"/>
              </w:rPr>
              <w:t>高压</w:t>
            </w:r>
            <w:r>
              <w:rPr>
                <w:color w:val="auto"/>
                <w:sz w:val="24"/>
              </w:rPr>
              <w:t>喷淋的方式，使用陶化液为金属件进行处理，在金属表面形成一层致密的陶化膜，提高表面</w:t>
            </w:r>
            <w:r>
              <w:rPr>
                <w:rFonts w:hint="eastAsia"/>
                <w:color w:val="auto"/>
                <w:sz w:val="24"/>
              </w:rPr>
              <w:t>的耐腐蚀性和涂层附着力，本工序产生陶化废水W3-5。</w:t>
            </w:r>
          </w:p>
          <w:p w14:paraId="47361BA3">
            <w:pPr>
              <w:tabs>
                <w:tab w:val="left" w:pos="720"/>
              </w:tabs>
              <w:adjustRightInd w:val="0"/>
              <w:snapToGrid w:val="0"/>
              <w:spacing w:line="360" w:lineRule="auto"/>
              <w:ind w:firstLine="480" w:firstLineChars="200"/>
              <w:rPr>
                <w:color w:val="auto"/>
                <w:sz w:val="24"/>
              </w:rPr>
            </w:pPr>
            <w:r>
              <w:rPr>
                <w:rFonts w:hint="eastAsia"/>
                <w:color w:val="auto"/>
                <w:sz w:val="24"/>
                <w:lang w:eastAsia="zh-CN"/>
              </w:rPr>
              <w:t>(8)</w:t>
            </w:r>
            <w:r>
              <w:rPr>
                <w:rFonts w:hint="eastAsia"/>
                <w:color w:val="auto"/>
                <w:sz w:val="24"/>
              </w:rPr>
              <w:t>水洗（第三次）：使用清水将陶化后的金属件使用喷淋的方式进行冲洗，去除表面残留的陶化液，确保金属表面清洁，为后续的喷粉工艺做好准备，本工序产生陶化后清洗废水W3-6。</w:t>
            </w:r>
          </w:p>
          <w:p w14:paraId="6FF630CC">
            <w:pPr>
              <w:tabs>
                <w:tab w:val="left" w:pos="720"/>
              </w:tabs>
              <w:adjustRightInd w:val="0"/>
              <w:snapToGrid w:val="0"/>
              <w:spacing w:line="360" w:lineRule="auto"/>
              <w:ind w:firstLine="480" w:firstLineChars="200"/>
              <w:rPr>
                <w:color w:val="auto"/>
                <w:sz w:val="24"/>
              </w:rPr>
            </w:pPr>
            <w:r>
              <w:rPr>
                <w:rFonts w:hint="eastAsia"/>
                <w:color w:val="auto"/>
                <w:sz w:val="24"/>
                <w:lang w:eastAsia="zh-CN"/>
              </w:rPr>
              <w:t>(9)</w:t>
            </w:r>
            <w:r>
              <w:rPr>
                <w:rFonts w:hint="eastAsia"/>
                <w:color w:val="auto"/>
                <w:sz w:val="24"/>
              </w:rPr>
              <w:t>烘干：将经过陶化处理后且水洗过的金属件放置在烘干炉中，烘干炉一般设定烘干温度为1</w:t>
            </w:r>
            <w:r>
              <w:rPr>
                <w:color w:val="auto"/>
                <w:sz w:val="24"/>
              </w:rPr>
              <w:t>80℃</w:t>
            </w:r>
            <w:r>
              <w:rPr>
                <w:rFonts w:hint="eastAsia"/>
                <w:color w:val="auto"/>
                <w:sz w:val="24"/>
              </w:rPr>
              <w:t>，时间</w:t>
            </w:r>
            <w:r>
              <w:rPr>
                <w:rFonts w:hint="eastAsia"/>
                <w:color w:val="auto"/>
                <w:sz w:val="24"/>
                <w:lang w:eastAsia="zh-CN"/>
              </w:rPr>
              <w:t>5～6分钟</w:t>
            </w:r>
            <w:r>
              <w:rPr>
                <w:rFonts w:hint="eastAsia"/>
                <w:color w:val="auto"/>
                <w:sz w:val="24"/>
              </w:rPr>
              <w:t>，通过热风循环系统，确保金属件表面水分快速蒸发，防止</w:t>
            </w:r>
            <w:r>
              <w:rPr>
                <w:rFonts w:hint="eastAsia"/>
                <w:color w:val="auto"/>
                <w:sz w:val="24"/>
                <w:lang w:val="en-US" w:eastAsia="zh-CN"/>
              </w:rPr>
              <w:t>陶化膜</w:t>
            </w:r>
            <w:r>
              <w:rPr>
                <w:rFonts w:hint="eastAsia"/>
                <w:color w:val="auto"/>
                <w:sz w:val="24"/>
              </w:rPr>
              <w:t>附着力下降或</w:t>
            </w:r>
            <w:r>
              <w:rPr>
                <w:rFonts w:hint="eastAsia"/>
                <w:color w:val="auto"/>
                <w:sz w:val="24"/>
                <w:lang w:val="en-US" w:eastAsia="zh-CN"/>
              </w:rPr>
              <w:t>陶化膜</w:t>
            </w:r>
            <w:r>
              <w:rPr>
                <w:rFonts w:hint="eastAsia"/>
                <w:color w:val="auto"/>
                <w:sz w:val="24"/>
              </w:rPr>
              <w:t>起泡，为喷粉工序提供干燥的表面，减少粉末的吸附缺陷，本工序产生天然气燃烧废气G3-6和噪声N。</w:t>
            </w:r>
          </w:p>
          <w:p w14:paraId="22871939">
            <w:pPr>
              <w:tabs>
                <w:tab w:val="left" w:pos="720"/>
              </w:tabs>
              <w:adjustRightInd w:val="0"/>
              <w:snapToGrid w:val="0"/>
              <w:spacing w:line="360" w:lineRule="auto"/>
              <w:ind w:firstLine="480" w:firstLineChars="200"/>
              <w:rPr>
                <w:color w:val="auto"/>
                <w:sz w:val="24"/>
              </w:rPr>
            </w:pPr>
            <w:r>
              <w:rPr>
                <w:rFonts w:hint="eastAsia"/>
                <w:color w:val="auto"/>
                <w:sz w:val="24"/>
                <w:lang w:eastAsia="zh-CN"/>
              </w:rPr>
              <w:t>(10)</w:t>
            </w:r>
            <w:r>
              <w:rPr>
                <w:rFonts w:hint="eastAsia"/>
                <w:color w:val="auto"/>
                <w:sz w:val="24"/>
              </w:rPr>
              <w:t>喷粉：将金属件挂在喷涂轨道上，进入封闭喷粉房内，采用静电喷枪把粉末涂料喷涂到工件的表面，在静电作用下，粉末会均匀</w:t>
            </w:r>
            <w:r>
              <w:rPr>
                <w:rFonts w:hint="eastAsia"/>
                <w:color w:val="auto"/>
                <w:sz w:val="24"/>
                <w:lang w:eastAsia="zh-CN"/>
              </w:rPr>
              <w:t>地</w:t>
            </w:r>
            <w:r>
              <w:rPr>
                <w:rFonts w:hint="eastAsia"/>
                <w:color w:val="auto"/>
                <w:sz w:val="24"/>
              </w:rPr>
              <w:t>吸附于工件表面，形成粉状的涂层，部分粉末可能未吸附到工件表面，通过回收系统回收，企业使用大旋风喷粉房回收系统，回收系统由喷粉房、大旋风回收装置、二级回收装置、回收风机、供粉系统等组成，喷粉房内的喷枪将粉末喷涂到工件表面。未附着在工件上的粉末在引风机的作用下，形成一定的负压风速（0.4～0.5 m/s），被吸入回收系统，含有粉末的空气进入大旋风回收装置。在大旋风内部，气流以较高的速度（12～25m/s）沿外圆筒的切线方向进入，形成旋转运动。由于旋转产生的离心力，较粗大的粉末被甩向器壁，沉降到下部的回收粉桶内，通过底部的回收粉泵进入</w:t>
            </w:r>
            <w:r>
              <w:rPr>
                <w:rFonts w:hint="eastAsia"/>
                <w:color w:val="auto"/>
                <w:sz w:val="24"/>
                <w:lang w:eastAsia="zh-CN"/>
              </w:rPr>
              <w:t>振动筛</w:t>
            </w:r>
            <w:r>
              <w:rPr>
                <w:rFonts w:hint="eastAsia"/>
                <w:color w:val="auto"/>
                <w:sz w:val="24"/>
              </w:rPr>
              <w:t>，筛分后的粉末重新进入供粉系统，进行二次喷粉，细小的粉末通过大旋风顶部的风口进入二级回收装置，回收的粉末经过筛分和处理后，重新进入供粉系统，实现粉末的循环利用，提高粉末的利用率，此工序产生喷涂废气G3-7、喷涂渣S3-1</w:t>
            </w:r>
            <w:r>
              <w:rPr>
                <w:rFonts w:hint="eastAsia"/>
                <w:color w:val="auto"/>
                <w:sz w:val="24"/>
                <w:lang w:val="en-US" w:eastAsia="zh-CN"/>
              </w:rPr>
              <w:t>4</w:t>
            </w:r>
            <w:r>
              <w:rPr>
                <w:rFonts w:hint="eastAsia"/>
                <w:color w:val="auto"/>
                <w:sz w:val="24"/>
              </w:rPr>
              <w:t>和噪声N。</w:t>
            </w:r>
          </w:p>
          <w:p w14:paraId="57043DDF">
            <w:pPr>
              <w:tabs>
                <w:tab w:val="left" w:pos="720"/>
              </w:tabs>
              <w:adjustRightInd w:val="0"/>
              <w:snapToGrid w:val="0"/>
              <w:spacing w:line="360" w:lineRule="auto"/>
              <w:ind w:firstLine="480" w:firstLineChars="200"/>
              <w:rPr>
                <w:color w:val="auto"/>
                <w:sz w:val="24"/>
              </w:rPr>
            </w:pPr>
            <w:r>
              <w:rPr>
                <w:rFonts w:hint="eastAsia"/>
                <w:color w:val="auto"/>
                <w:sz w:val="24"/>
                <w:lang w:eastAsia="zh-CN"/>
              </w:rPr>
              <w:t>(11)</w:t>
            </w:r>
            <w:r>
              <w:rPr>
                <w:rFonts w:hint="eastAsia"/>
                <w:color w:val="auto"/>
                <w:sz w:val="24"/>
              </w:rPr>
              <w:t>烘烤固化：使用粉末固化炉对喷粉后的金属件进行烘烤固化，一般温度为200</w:t>
            </w:r>
            <w:r>
              <w:rPr>
                <w:color w:val="auto"/>
                <w:sz w:val="24"/>
              </w:rPr>
              <w:t>℃</w:t>
            </w:r>
            <w:r>
              <w:rPr>
                <w:rFonts w:hint="eastAsia"/>
                <w:color w:val="auto"/>
                <w:sz w:val="24"/>
              </w:rPr>
              <w:t>，烘烤固化15</w:t>
            </w:r>
            <w:r>
              <w:rPr>
                <w:rFonts w:hint="eastAsia"/>
                <w:color w:val="auto"/>
                <w:sz w:val="24"/>
                <w:lang w:eastAsia="zh-CN"/>
              </w:rPr>
              <w:t>～</w:t>
            </w:r>
            <w:r>
              <w:rPr>
                <w:rFonts w:hint="eastAsia"/>
                <w:color w:val="auto"/>
                <w:sz w:val="24"/>
              </w:rPr>
              <w:t>20分钟，确保粉末完全熔化并流平，形成坚硬的保护膜，保护膜具有良好的耐腐蚀性和耐磨性且表面光滑、无气泡、无颗粒，厚度均匀，本工序产生天然气燃烧废气G3-8和烘烤固化废气G3-9。</w:t>
            </w:r>
          </w:p>
          <w:p w14:paraId="5DA0CB8E">
            <w:pPr>
              <w:tabs>
                <w:tab w:val="left" w:pos="720"/>
              </w:tabs>
              <w:adjustRightInd w:val="0"/>
              <w:snapToGrid w:val="0"/>
              <w:spacing w:line="360" w:lineRule="auto"/>
              <w:ind w:firstLine="480" w:firstLineChars="200"/>
              <w:rPr>
                <w:color w:val="auto"/>
                <w:sz w:val="24"/>
              </w:rPr>
            </w:pPr>
            <w:r>
              <w:rPr>
                <w:rFonts w:hint="eastAsia"/>
                <w:color w:val="auto"/>
                <w:sz w:val="24"/>
              </w:rPr>
              <w:t>固化后得到烤粉金属件，可作为金属组件用于后续组装工序；</w:t>
            </w:r>
          </w:p>
          <w:p w14:paraId="441F91A1">
            <w:pPr>
              <w:tabs>
                <w:tab w:val="left" w:pos="720"/>
              </w:tabs>
              <w:adjustRightInd w:val="0"/>
              <w:snapToGrid w:val="0"/>
              <w:spacing w:line="360" w:lineRule="auto"/>
              <w:ind w:firstLine="480" w:firstLineChars="200"/>
              <w:rPr>
                <w:color w:val="auto"/>
                <w:sz w:val="24"/>
              </w:rPr>
            </w:pPr>
            <w:r>
              <w:rPr>
                <w:rFonts w:hint="eastAsia"/>
                <w:color w:val="auto"/>
                <w:sz w:val="24"/>
              </w:rPr>
              <w:t>③拉丝不锈钢工艺流程：</w:t>
            </w:r>
          </w:p>
          <w:p w14:paraId="2BDA9FB6">
            <w:pPr>
              <w:tabs>
                <w:tab w:val="left" w:pos="720"/>
              </w:tabs>
              <w:adjustRightInd w:val="0"/>
              <w:snapToGrid w:val="0"/>
              <w:spacing w:line="360" w:lineRule="auto"/>
              <w:ind w:firstLine="480" w:firstLineChars="200"/>
              <w:rPr>
                <w:color w:val="auto"/>
                <w:sz w:val="24"/>
              </w:rPr>
            </w:pPr>
            <w:r>
              <w:rPr>
                <w:rFonts w:hint="eastAsia"/>
                <w:color w:val="auto"/>
                <w:sz w:val="24"/>
              </w:rPr>
              <w:t>拉丝不锈钢金属件是由下料后的金属板材和管材焊接形成所需形状，后通过拉丝处理以达到表面所需纹理，起到装饰效果。</w:t>
            </w:r>
          </w:p>
          <w:p w14:paraId="35179F45">
            <w:pPr>
              <w:tabs>
                <w:tab w:val="left" w:pos="720"/>
              </w:tabs>
              <w:adjustRightInd w:val="0"/>
              <w:snapToGrid w:val="0"/>
              <w:spacing w:line="360" w:lineRule="auto"/>
              <w:ind w:firstLine="480" w:firstLineChars="200"/>
              <w:rPr>
                <w:color w:val="auto"/>
                <w:sz w:val="24"/>
              </w:rPr>
            </w:pPr>
            <w:r>
              <w:rPr>
                <w:rFonts w:hint="eastAsia"/>
                <w:color w:val="auto"/>
                <w:sz w:val="24"/>
              </w:rPr>
              <w:t>拉丝轮拉丝（机械拉丝）：将拉丝轮安装在拉丝机或角磨机上，调整拉丝轮与工件表面的接触角度和压力，启动设备，使拉丝轮高速旋转，对焊缝及其周围表面进行摩擦处理，拉丝方向可根据设计要求选择直线拉丝或螺旋拉丝，直线拉丝适用于规则表面，螺旋拉丝可增加装饰效果。</w:t>
            </w:r>
          </w:p>
          <w:p w14:paraId="6C8670A2">
            <w:pPr>
              <w:tabs>
                <w:tab w:val="left" w:pos="720"/>
              </w:tabs>
              <w:adjustRightInd w:val="0"/>
              <w:snapToGrid w:val="0"/>
              <w:spacing w:line="360" w:lineRule="auto"/>
              <w:ind w:firstLine="480" w:firstLineChars="200"/>
              <w:rPr>
                <w:color w:val="auto"/>
                <w:sz w:val="24"/>
              </w:rPr>
            </w:pPr>
            <w:r>
              <w:rPr>
                <w:rFonts w:hint="eastAsia"/>
                <w:color w:val="auto"/>
                <w:sz w:val="24"/>
              </w:rPr>
              <w:t>拉丝布拉丝（手工拉丝）：对于复杂形状或小面积区域，可使用拉丝布进行手工拉丝，将拉丝布固定在工件表面，沿预定方向反复摩擦，直至达到所需的纹理效果。</w:t>
            </w:r>
          </w:p>
          <w:p w14:paraId="1413669E">
            <w:pPr>
              <w:tabs>
                <w:tab w:val="left" w:pos="720"/>
              </w:tabs>
              <w:adjustRightInd w:val="0"/>
              <w:snapToGrid w:val="0"/>
              <w:spacing w:line="360" w:lineRule="auto"/>
              <w:ind w:firstLine="480" w:firstLineChars="200"/>
              <w:rPr>
                <w:color w:val="auto"/>
                <w:sz w:val="24"/>
              </w:rPr>
            </w:pPr>
            <w:r>
              <w:rPr>
                <w:rFonts w:hint="eastAsia"/>
                <w:color w:val="auto"/>
                <w:sz w:val="24"/>
              </w:rPr>
              <w:t>拉丝过程中需定期检查表面质量，确保拉丝纹理均匀一致，如发现拉丝纹理不均匀或有残留缺陷，需调整拉丝轮的压力、速度或更换拉丝布</w:t>
            </w:r>
            <w:r>
              <w:rPr>
                <w:color w:val="auto"/>
                <w:sz w:val="24"/>
              </w:rPr>
              <w:t>，在</w:t>
            </w:r>
            <w:r>
              <w:rPr>
                <w:rFonts w:hint="eastAsia"/>
                <w:color w:val="auto"/>
                <w:sz w:val="24"/>
              </w:rPr>
              <w:t>拉丝</w:t>
            </w:r>
            <w:r>
              <w:rPr>
                <w:color w:val="auto"/>
                <w:sz w:val="24"/>
              </w:rPr>
              <w:t>过程中会产生</w:t>
            </w:r>
            <w:r>
              <w:rPr>
                <w:rFonts w:hint="eastAsia"/>
                <w:color w:val="auto"/>
                <w:sz w:val="24"/>
              </w:rPr>
              <w:t>金属碎屑S3-1</w:t>
            </w:r>
            <w:r>
              <w:rPr>
                <w:rFonts w:hint="eastAsia"/>
                <w:color w:val="auto"/>
                <w:sz w:val="24"/>
                <w:lang w:val="en-US" w:eastAsia="zh-CN"/>
              </w:rPr>
              <w:t>5</w:t>
            </w:r>
            <w:r>
              <w:rPr>
                <w:rFonts w:hint="eastAsia"/>
                <w:color w:val="auto"/>
                <w:sz w:val="24"/>
              </w:rPr>
              <w:t>和</w:t>
            </w:r>
            <w:r>
              <w:rPr>
                <w:color w:val="auto"/>
                <w:sz w:val="24"/>
              </w:rPr>
              <w:t>噪声N。</w:t>
            </w:r>
          </w:p>
          <w:p w14:paraId="64420A57">
            <w:pPr>
              <w:tabs>
                <w:tab w:val="left" w:pos="720"/>
              </w:tabs>
              <w:adjustRightInd w:val="0"/>
              <w:snapToGrid w:val="0"/>
              <w:spacing w:line="360" w:lineRule="auto"/>
              <w:ind w:firstLine="480" w:firstLineChars="200"/>
              <w:rPr>
                <w:color w:val="auto"/>
                <w:sz w:val="24"/>
              </w:rPr>
            </w:pPr>
            <w:r>
              <w:rPr>
                <w:rFonts w:hint="eastAsia"/>
                <w:color w:val="auto"/>
                <w:sz w:val="24"/>
              </w:rPr>
              <w:t>拉丝后得到拉丝不锈钢，可作为金属组件用于后续组装工序；</w:t>
            </w:r>
          </w:p>
          <w:p w14:paraId="338CF50A">
            <w:pPr>
              <w:tabs>
                <w:tab w:val="left" w:pos="720"/>
              </w:tabs>
              <w:adjustRightInd w:val="0"/>
              <w:snapToGrid w:val="0"/>
              <w:spacing w:line="360" w:lineRule="auto"/>
              <w:ind w:firstLine="480" w:firstLineChars="200"/>
              <w:rPr>
                <w:color w:val="auto"/>
                <w:sz w:val="24"/>
              </w:rPr>
            </w:pPr>
            <w:r>
              <w:rPr>
                <w:rFonts w:hint="eastAsia"/>
                <w:color w:val="auto"/>
                <w:sz w:val="24"/>
              </w:rPr>
              <w:t>④镜面不锈钢工艺流程：</w:t>
            </w:r>
          </w:p>
          <w:p w14:paraId="373B53C2">
            <w:pPr>
              <w:tabs>
                <w:tab w:val="left" w:pos="720"/>
              </w:tabs>
              <w:adjustRightInd w:val="0"/>
              <w:snapToGrid w:val="0"/>
              <w:spacing w:line="360" w:lineRule="auto"/>
              <w:ind w:firstLine="480" w:firstLineChars="200"/>
              <w:rPr>
                <w:color w:val="auto"/>
                <w:sz w:val="24"/>
              </w:rPr>
            </w:pPr>
            <w:r>
              <w:rPr>
                <w:rFonts w:hint="eastAsia"/>
                <w:color w:val="auto"/>
                <w:sz w:val="24"/>
              </w:rPr>
              <w:t>镜面不锈钢金属件是由下料后的金属板材和管材焊接形成所需形状，后通过抛光以达到表面光亮度的要求。</w:t>
            </w:r>
          </w:p>
          <w:p w14:paraId="56720CB1">
            <w:pPr>
              <w:tabs>
                <w:tab w:val="left" w:pos="720"/>
              </w:tabs>
              <w:adjustRightInd w:val="0"/>
              <w:snapToGrid w:val="0"/>
              <w:spacing w:line="360" w:lineRule="auto"/>
              <w:ind w:firstLine="480" w:firstLineChars="200"/>
              <w:rPr>
                <w:color w:val="auto"/>
                <w:sz w:val="24"/>
              </w:rPr>
            </w:pPr>
            <w:r>
              <w:rPr>
                <w:rFonts w:hint="eastAsia"/>
                <w:color w:val="auto"/>
                <w:sz w:val="24"/>
              </w:rPr>
              <w:t>抛光：1、表面清洁：先使用抹布去除金属表面明显的油污、灰尘和焊接残留物。</w:t>
            </w:r>
          </w:p>
          <w:p w14:paraId="17682F01">
            <w:pPr>
              <w:tabs>
                <w:tab w:val="left" w:pos="720"/>
              </w:tabs>
              <w:adjustRightInd w:val="0"/>
              <w:snapToGrid w:val="0"/>
              <w:spacing w:line="360" w:lineRule="auto"/>
              <w:ind w:firstLine="480" w:firstLineChars="200"/>
              <w:rPr>
                <w:color w:val="auto"/>
                <w:sz w:val="24"/>
              </w:rPr>
            </w:pPr>
            <w:r>
              <w:rPr>
                <w:rFonts w:hint="eastAsia"/>
                <w:color w:val="auto"/>
                <w:sz w:val="24"/>
                <w:lang w:eastAsia="zh-CN"/>
              </w:rPr>
              <w:t>2.</w:t>
            </w:r>
            <w:r>
              <w:rPr>
                <w:rFonts w:hint="eastAsia"/>
                <w:color w:val="auto"/>
                <w:sz w:val="24"/>
              </w:rPr>
              <w:t>粗抛光：将抛光蜡均匀涂抹在抛光麻布轮表面，启动环保湿式一体抛光机，调整转速至中等（约1500-2000rpm），将抛光麻布轮轻压在金属表面，沿焊缝或划痕方向进行抛光，逐步调整压力和角度，确保抛光均匀，避免局部过热或划痕加深，使用抛光麻布轮是因为其质地较硬，适合去除较深的划痕和焊接痕迹。</w:t>
            </w:r>
          </w:p>
          <w:p w14:paraId="5CD25D93">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细抛光：将抛光麻布轮更换为抛光布轮，涂抹细抛光蜡，启动环保湿式一体抛光机，调整转速至较高（约2500-3500rpm），将抛光布轮轻压在金属表面，进行全方位抛光，抛光方向应与粗抛光方向一致，以避免产生新的划痕。</w:t>
            </w:r>
          </w:p>
          <w:p w14:paraId="542A6306">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最终抛光：继续使用抛光布轮，涂抹少量抛光蜡，调整环保湿式一体抛光机转速至最高（约3500-5000rpm），轻压抛光布轮在金属表面，进行均匀抛光，直至表面达到镜面效果，注意控制压力和速度，避免过热导致表面变色或损伤。</w:t>
            </w:r>
          </w:p>
          <w:p w14:paraId="2C3EB971">
            <w:pPr>
              <w:tabs>
                <w:tab w:val="left" w:pos="720"/>
              </w:tabs>
              <w:adjustRightInd w:val="0"/>
              <w:snapToGrid w:val="0"/>
              <w:spacing w:line="360" w:lineRule="auto"/>
              <w:ind w:firstLine="480" w:firstLineChars="200"/>
              <w:rPr>
                <w:color w:val="auto"/>
                <w:sz w:val="24"/>
              </w:rPr>
            </w:pPr>
            <w:r>
              <w:rPr>
                <w:rFonts w:hint="eastAsia"/>
                <w:color w:val="auto"/>
                <w:sz w:val="24"/>
                <w:lang w:eastAsia="zh-CN"/>
              </w:rPr>
              <w:t>5.</w:t>
            </w:r>
            <w:r>
              <w:rPr>
                <w:rFonts w:hint="eastAsia"/>
                <w:color w:val="auto"/>
                <w:sz w:val="24"/>
              </w:rPr>
              <w:t>清洁：使用干净的软布清理抛光后的表面，去除残留的抛光蜡，检查金属表面的光洁度和光泽，确保无划痕、麻点或其他缺陷。</w:t>
            </w:r>
          </w:p>
          <w:p w14:paraId="19BD09AD">
            <w:pPr>
              <w:tabs>
                <w:tab w:val="left" w:pos="720"/>
              </w:tabs>
              <w:adjustRightInd w:val="0"/>
              <w:snapToGrid w:val="0"/>
              <w:spacing w:line="360" w:lineRule="auto"/>
              <w:ind w:firstLine="480" w:firstLineChars="200"/>
              <w:rPr>
                <w:color w:val="auto"/>
                <w:sz w:val="24"/>
              </w:rPr>
            </w:pPr>
            <w:r>
              <w:rPr>
                <w:rFonts w:hint="eastAsia"/>
                <w:color w:val="auto"/>
                <w:sz w:val="24"/>
              </w:rPr>
              <w:t>由于环保湿式一体抛光机通过水帘幕系统，将抛光打磨产生的金属粉尘沉降在底部，避免粉尘扩散到空气中，因此抛光工艺产生抛光废气G3-10、废抹布S3-1</w:t>
            </w:r>
            <w:r>
              <w:rPr>
                <w:rFonts w:hint="eastAsia"/>
                <w:color w:val="auto"/>
                <w:sz w:val="24"/>
                <w:lang w:val="en-US" w:eastAsia="zh-CN"/>
              </w:rPr>
              <w:t>6</w:t>
            </w:r>
            <w:r>
              <w:rPr>
                <w:rFonts w:hint="eastAsia"/>
                <w:color w:val="auto"/>
                <w:sz w:val="24"/>
              </w:rPr>
              <w:t>、废抛光轮S3-1</w:t>
            </w:r>
            <w:r>
              <w:rPr>
                <w:rFonts w:hint="eastAsia"/>
                <w:color w:val="auto"/>
                <w:sz w:val="24"/>
                <w:lang w:val="en-US" w:eastAsia="zh-CN"/>
              </w:rPr>
              <w:t>7</w:t>
            </w:r>
            <w:r>
              <w:rPr>
                <w:rFonts w:hint="eastAsia"/>
                <w:color w:val="auto"/>
                <w:sz w:val="24"/>
              </w:rPr>
              <w:t>和噪声N。</w:t>
            </w:r>
          </w:p>
          <w:p w14:paraId="37F052BC">
            <w:pPr>
              <w:tabs>
                <w:tab w:val="left" w:pos="720"/>
              </w:tabs>
              <w:adjustRightInd w:val="0"/>
              <w:snapToGrid w:val="0"/>
              <w:spacing w:line="360" w:lineRule="auto"/>
              <w:ind w:firstLine="480" w:firstLineChars="200"/>
              <w:rPr>
                <w:color w:val="auto"/>
                <w:sz w:val="24"/>
              </w:rPr>
            </w:pPr>
            <w:r>
              <w:rPr>
                <w:rFonts w:hint="eastAsia"/>
                <w:color w:val="auto"/>
                <w:sz w:val="24"/>
              </w:rPr>
              <w:t>抛光后得到镜面不锈钢，可作为金属组件用于后续组装工序；</w:t>
            </w:r>
          </w:p>
          <w:p w14:paraId="1BE60B2E">
            <w:pPr>
              <w:tabs>
                <w:tab w:val="left" w:pos="720"/>
              </w:tabs>
              <w:adjustRightInd w:val="0"/>
              <w:snapToGrid w:val="0"/>
              <w:spacing w:line="360" w:lineRule="auto"/>
              <w:ind w:firstLine="480" w:firstLineChars="200"/>
              <w:rPr>
                <w:color w:val="auto"/>
                <w:sz w:val="24"/>
              </w:rPr>
            </w:pPr>
            <w:r>
              <w:rPr>
                <w:rFonts w:hint="eastAsia"/>
                <w:color w:val="auto"/>
                <w:sz w:val="24"/>
              </w:rPr>
              <w:t>综上，金属工艺可得到四类金属件，均用于后续组装工序。</w:t>
            </w:r>
          </w:p>
          <w:p w14:paraId="128E16D5">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4.</w:t>
            </w:r>
            <w:r>
              <w:rPr>
                <w:rFonts w:hint="eastAsia"/>
                <w:bCs/>
                <w:color w:val="auto"/>
                <w:sz w:val="24"/>
              </w:rPr>
              <w:t>亚克力组件</w:t>
            </w:r>
            <w:r>
              <w:rPr>
                <w:bCs/>
                <w:color w:val="auto"/>
                <w:sz w:val="24"/>
              </w:rPr>
              <w:t>工艺流程图见下图2-</w:t>
            </w:r>
            <w:r>
              <w:rPr>
                <w:rFonts w:hint="eastAsia"/>
                <w:bCs/>
                <w:color w:val="auto"/>
                <w:sz w:val="24"/>
              </w:rPr>
              <w:t>5</w:t>
            </w:r>
            <w:r>
              <w:rPr>
                <w:bCs/>
                <w:color w:val="auto"/>
                <w:sz w:val="24"/>
              </w:rPr>
              <w:t>。</w:t>
            </w:r>
          </w:p>
          <w:p w14:paraId="55A639F3">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3969385" cy="7649210"/>
                  <wp:effectExtent l="0" t="0" r="0" b="0"/>
                  <wp:docPr id="15" name="ECB019B1-382A-4266-B25C-5B523AA43C14-5" descr="C:/Users/admin/AppData/Local/Temp/wps.xgmoK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5" descr="C:/Users/admin/AppData/Local/Temp/wps.xgmoKDwps"/>
                          <pic:cNvPicPr>
                            <a:picLocks noChangeAspect="1"/>
                          </pic:cNvPicPr>
                        </pic:nvPicPr>
                        <pic:blipFill>
                          <a:blip r:embed="rId23"/>
                          <a:stretch>
                            <a:fillRect/>
                          </a:stretch>
                        </pic:blipFill>
                        <pic:spPr>
                          <a:xfrm>
                            <a:off x="0" y="0"/>
                            <a:ext cx="3969385" cy="7649210"/>
                          </a:xfrm>
                          <a:prstGeom prst="rect">
                            <a:avLst/>
                          </a:prstGeom>
                        </pic:spPr>
                      </pic:pic>
                    </a:graphicData>
                  </a:graphic>
                </wp:inline>
              </w:drawing>
            </w:r>
          </w:p>
          <w:p w14:paraId="0D445762">
            <w:pPr>
              <w:tabs>
                <w:tab w:val="left" w:pos="720"/>
              </w:tabs>
              <w:adjustRightInd w:val="0"/>
              <w:snapToGrid w:val="0"/>
              <w:spacing w:line="360" w:lineRule="auto"/>
              <w:jc w:val="center"/>
              <w:rPr>
                <w:b/>
                <w:bCs/>
                <w:color w:val="auto"/>
                <w:kern w:val="0"/>
                <w:sz w:val="24"/>
              </w:rPr>
            </w:pPr>
            <w:r>
              <w:rPr>
                <w:b/>
                <w:bCs/>
                <w:color w:val="auto"/>
                <w:kern w:val="0"/>
                <w:sz w:val="24"/>
              </w:rPr>
              <w:t>图2-</w:t>
            </w:r>
            <w:r>
              <w:rPr>
                <w:rFonts w:hint="eastAsia"/>
                <w:b/>
                <w:bCs/>
                <w:color w:val="auto"/>
                <w:kern w:val="0"/>
                <w:sz w:val="24"/>
              </w:rPr>
              <w:t>5</w:t>
            </w:r>
            <w:r>
              <w:rPr>
                <w:b/>
                <w:bCs/>
                <w:color w:val="auto"/>
                <w:kern w:val="0"/>
                <w:sz w:val="24"/>
              </w:rPr>
              <w:t xml:space="preserve"> </w:t>
            </w:r>
            <w:r>
              <w:rPr>
                <w:rFonts w:hint="eastAsia"/>
                <w:b/>
                <w:bCs/>
                <w:color w:val="auto"/>
                <w:kern w:val="0"/>
                <w:sz w:val="24"/>
              </w:rPr>
              <w:t>亚克力组件</w:t>
            </w:r>
            <w:r>
              <w:rPr>
                <w:b/>
                <w:bCs/>
                <w:color w:val="auto"/>
                <w:kern w:val="0"/>
                <w:sz w:val="24"/>
              </w:rPr>
              <w:t>工艺流程及产污环节图</w:t>
            </w:r>
          </w:p>
          <w:p w14:paraId="768CDF65">
            <w:pPr>
              <w:tabs>
                <w:tab w:val="left" w:pos="720"/>
              </w:tabs>
              <w:adjustRightInd w:val="0"/>
              <w:snapToGrid w:val="0"/>
              <w:spacing w:line="360" w:lineRule="auto"/>
              <w:ind w:firstLine="480" w:firstLineChars="200"/>
              <w:rPr>
                <w:color w:val="auto"/>
                <w:sz w:val="24"/>
              </w:rPr>
            </w:pPr>
            <w:r>
              <w:rPr>
                <w:color w:val="auto"/>
                <w:sz w:val="24"/>
              </w:rPr>
              <w:t>主要工艺说明：</w:t>
            </w:r>
          </w:p>
          <w:p w14:paraId="44F03CA8">
            <w:pPr>
              <w:tabs>
                <w:tab w:val="left" w:pos="720"/>
              </w:tabs>
              <w:adjustRightInd w:val="0"/>
              <w:snapToGrid w:val="0"/>
              <w:spacing w:line="360" w:lineRule="auto"/>
              <w:ind w:firstLine="480" w:firstLineChars="200"/>
              <w:rPr>
                <w:color w:val="auto"/>
                <w:sz w:val="24"/>
              </w:rPr>
            </w:pPr>
            <w:r>
              <w:rPr>
                <w:color w:val="auto"/>
                <w:sz w:val="24"/>
              </w:rPr>
              <w:t>（1）</w:t>
            </w:r>
            <w:r>
              <w:rPr>
                <w:rFonts w:hint="eastAsia"/>
                <w:color w:val="auto"/>
                <w:sz w:val="24"/>
              </w:rPr>
              <w:t>下料</w:t>
            </w:r>
            <w:r>
              <w:rPr>
                <w:color w:val="auto"/>
                <w:sz w:val="24"/>
              </w:rPr>
              <w:t>：</w:t>
            </w:r>
            <w:r>
              <w:rPr>
                <w:rFonts w:hint="eastAsia"/>
                <w:color w:val="auto"/>
                <w:sz w:val="24"/>
              </w:rPr>
              <w:t>根据产品需要，将外购亚克力板材使用推台锯、激光切割机、雕刻机、自动下料机切成所需的尺寸，激光切割为激光束局部加热材料，通过精确控制能量实现切割下料功能，亚克力在激光切割的高温情况下会产生非甲烷总烃，根据企业实际生产经验，亚克力材质使用推台锯、雕刻机等机器切割时只会产生亚克力材质碎屑不涉及废气的产生，因此此工序会产生下料废气G4-1、边角料S4-1和噪声N。</w:t>
            </w:r>
          </w:p>
          <w:p w14:paraId="5CF808A1">
            <w:pPr>
              <w:adjustRightInd w:val="0"/>
              <w:snapToGrid w:val="0"/>
              <w:spacing w:line="360" w:lineRule="auto"/>
              <w:ind w:firstLine="435"/>
              <w:rPr>
                <w:color w:val="auto"/>
                <w:sz w:val="24"/>
              </w:rPr>
            </w:pPr>
            <w:r>
              <w:rPr>
                <w:rFonts w:hint="eastAsia"/>
                <w:color w:val="auto"/>
                <w:sz w:val="24"/>
                <w:lang w:eastAsia="zh-CN"/>
              </w:rPr>
              <w:t>(2)</w:t>
            </w:r>
            <w:r>
              <w:rPr>
                <w:rFonts w:hint="eastAsia"/>
                <w:color w:val="auto"/>
                <w:sz w:val="24"/>
              </w:rPr>
              <w:t>钻石抛光</w:t>
            </w:r>
            <w:r>
              <w:rPr>
                <w:color w:val="auto"/>
                <w:sz w:val="24"/>
              </w:rPr>
              <w:t>：</w:t>
            </w:r>
            <w:r>
              <w:rPr>
                <w:rFonts w:hint="eastAsia"/>
                <w:color w:val="auto"/>
                <w:sz w:val="24"/>
                <w:szCs w:val="32"/>
              </w:rPr>
              <w:t>根据客户要求，使用钻石抛光机，配备专用的亚克力钻石刀具，对亚克力板材的表面进行抛光，使亚克力表面光滑如镜，透明度和光泽度显著提升，无划痕和瑕疵，该工序会产生边角料S4</w:t>
            </w:r>
            <w:r>
              <w:rPr>
                <w:color w:val="auto"/>
                <w:sz w:val="24"/>
                <w:szCs w:val="32"/>
              </w:rPr>
              <w:t>-</w:t>
            </w:r>
            <w:r>
              <w:rPr>
                <w:rFonts w:hint="eastAsia"/>
                <w:color w:val="auto"/>
                <w:sz w:val="24"/>
                <w:szCs w:val="32"/>
              </w:rPr>
              <w:t>2和噪声N。</w:t>
            </w:r>
          </w:p>
          <w:p w14:paraId="581D4A73">
            <w:pPr>
              <w:tabs>
                <w:tab w:val="left" w:pos="720"/>
              </w:tabs>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打磨</w:t>
            </w:r>
            <w:r>
              <w:rPr>
                <w:color w:val="auto"/>
                <w:sz w:val="24"/>
              </w:rPr>
              <w:t>：</w:t>
            </w:r>
            <w:r>
              <w:rPr>
                <w:rFonts w:hint="eastAsia"/>
                <w:color w:val="auto"/>
                <w:sz w:val="24"/>
                <w:szCs w:val="32"/>
              </w:rPr>
              <w:t>使用砂纸对亚克力板材进行手工打磨，打磨方向应保持一致，避免交叉划痕，此工序会产生废砂纸S4</w:t>
            </w:r>
            <w:r>
              <w:rPr>
                <w:color w:val="auto"/>
                <w:sz w:val="24"/>
                <w:szCs w:val="32"/>
              </w:rPr>
              <w:t>-</w:t>
            </w:r>
            <w:r>
              <w:rPr>
                <w:rFonts w:hint="eastAsia"/>
                <w:color w:val="auto"/>
                <w:sz w:val="24"/>
                <w:szCs w:val="32"/>
              </w:rPr>
              <w:t>3和噪声N。</w:t>
            </w:r>
          </w:p>
          <w:p w14:paraId="1AF73B24">
            <w:pPr>
              <w:tabs>
                <w:tab w:val="left" w:pos="720"/>
              </w:tabs>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szCs w:val="32"/>
              </w:rPr>
              <w:t>布轮抛光：将抛光蜡均匀涂抹在布轮上，启动</w:t>
            </w:r>
            <w:r>
              <w:rPr>
                <w:rFonts w:hint="eastAsia"/>
                <w:color w:val="auto"/>
                <w:sz w:val="24"/>
              </w:rPr>
              <w:t>环保湿式一体抛光机</w:t>
            </w:r>
            <w:r>
              <w:rPr>
                <w:rFonts w:hint="eastAsia"/>
                <w:color w:val="auto"/>
                <w:sz w:val="24"/>
                <w:szCs w:val="32"/>
              </w:rPr>
              <w:t>，对亚克力板材表面进行抛光，</w:t>
            </w:r>
            <w:r>
              <w:rPr>
                <w:rFonts w:hint="eastAsia"/>
                <w:color w:val="auto"/>
                <w:sz w:val="24"/>
              </w:rPr>
              <w:t>通过水帘幕系统，将抛光打磨产生的粉尘沉降在底部，避免粉尘扩散到空气中，</w:t>
            </w:r>
            <w:r>
              <w:rPr>
                <w:rFonts w:hint="eastAsia"/>
                <w:color w:val="auto"/>
                <w:sz w:val="24"/>
                <w:szCs w:val="32"/>
              </w:rPr>
              <w:t>根据需要调整布轮转速和压力，确保抛光均匀，使亚克力板材表面光泽度提高，透明度变好，此工序会产生布轮抛光粉尘G4</w:t>
            </w:r>
            <w:r>
              <w:rPr>
                <w:color w:val="auto"/>
                <w:sz w:val="24"/>
                <w:szCs w:val="32"/>
              </w:rPr>
              <w:t>-</w:t>
            </w:r>
            <w:r>
              <w:rPr>
                <w:rFonts w:hint="eastAsia"/>
                <w:color w:val="auto"/>
                <w:sz w:val="24"/>
                <w:szCs w:val="32"/>
              </w:rPr>
              <w:t>2、废布轮S4</w:t>
            </w:r>
            <w:r>
              <w:rPr>
                <w:color w:val="auto"/>
                <w:sz w:val="24"/>
                <w:szCs w:val="32"/>
              </w:rPr>
              <w:t>-</w:t>
            </w:r>
            <w:r>
              <w:rPr>
                <w:rFonts w:hint="eastAsia"/>
                <w:color w:val="auto"/>
                <w:sz w:val="24"/>
                <w:szCs w:val="32"/>
              </w:rPr>
              <w:t>4和噪声N</w:t>
            </w:r>
            <w:r>
              <w:rPr>
                <w:rFonts w:hint="eastAsia"/>
                <w:color w:val="auto"/>
                <w:sz w:val="24"/>
              </w:rPr>
              <w:t>。</w:t>
            </w:r>
          </w:p>
          <w:p w14:paraId="0DAB0E43">
            <w:pPr>
              <w:tabs>
                <w:tab w:val="left" w:pos="720"/>
              </w:tabs>
              <w:adjustRightInd w:val="0"/>
              <w:snapToGrid w:val="0"/>
              <w:spacing w:line="360" w:lineRule="auto"/>
              <w:ind w:firstLine="480" w:firstLineChars="200"/>
              <w:rPr>
                <w:b/>
                <w:bCs/>
                <w:color w:val="auto"/>
                <w:kern w:val="0"/>
                <w:sz w:val="24"/>
              </w:rPr>
            </w:pPr>
            <w:r>
              <w:rPr>
                <w:rFonts w:hint="eastAsia"/>
                <w:color w:val="auto"/>
                <w:sz w:val="24"/>
                <w:lang w:eastAsia="zh-CN"/>
              </w:rPr>
              <w:t>(5)</w:t>
            </w:r>
            <w:r>
              <w:rPr>
                <w:rFonts w:hint="eastAsia"/>
                <w:color w:val="auto"/>
                <w:sz w:val="24"/>
                <w:szCs w:val="32"/>
              </w:rPr>
              <w:t>修边倒角：使用倒角机对亚克力板材的边缘进行修整和倒角处理，根据设计要求选择合适的倒角角度和尺寸，使亚克力板材边缘光滑圆润，无毛刺，提升美观度和安全性，此工序会产生倒角粉尘G4</w:t>
            </w:r>
            <w:r>
              <w:rPr>
                <w:color w:val="auto"/>
                <w:sz w:val="24"/>
                <w:szCs w:val="32"/>
              </w:rPr>
              <w:t>-</w:t>
            </w:r>
            <w:r>
              <w:rPr>
                <w:rFonts w:hint="eastAsia"/>
                <w:color w:val="auto"/>
                <w:sz w:val="24"/>
                <w:szCs w:val="32"/>
              </w:rPr>
              <w:t>3、废刀头S4</w:t>
            </w:r>
            <w:r>
              <w:rPr>
                <w:color w:val="auto"/>
                <w:sz w:val="24"/>
                <w:szCs w:val="32"/>
              </w:rPr>
              <w:t>-</w:t>
            </w:r>
            <w:r>
              <w:rPr>
                <w:rFonts w:hint="eastAsia"/>
                <w:color w:val="auto"/>
                <w:sz w:val="24"/>
                <w:szCs w:val="32"/>
              </w:rPr>
              <w:t>5和噪声N</w:t>
            </w:r>
            <w:r>
              <w:rPr>
                <w:rFonts w:hint="eastAsia"/>
                <w:color w:val="auto"/>
                <w:sz w:val="24"/>
              </w:rPr>
              <w:t>。</w:t>
            </w:r>
          </w:p>
          <w:p w14:paraId="1D940127">
            <w:pPr>
              <w:tabs>
                <w:tab w:val="left" w:pos="720"/>
              </w:tabs>
              <w:adjustRightInd w:val="0"/>
              <w:snapToGrid w:val="0"/>
              <w:spacing w:line="360" w:lineRule="auto"/>
              <w:ind w:firstLine="480" w:firstLineChars="200"/>
              <w:rPr>
                <w:color w:val="auto"/>
                <w:sz w:val="24"/>
              </w:rPr>
            </w:pPr>
            <w:r>
              <w:rPr>
                <w:rFonts w:hint="eastAsia"/>
                <w:color w:val="auto"/>
                <w:sz w:val="24"/>
                <w:lang w:eastAsia="zh-CN"/>
              </w:rPr>
              <w:t>(6)</w:t>
            </w:r>
            <w:r>
              <w:rPr>
                <w:rFonts w:hint="eastAsia"/>
                <w:color w:val="auto"/>
                <w:sz w:val="24"/>
                <w:szCs w:val="32"/>
              </w:rPr>
              <w:t>镭射打标：使用激光打标机在亚克力板材表面进行标记，激光能量使亚克力表面局部熔化或碳化，形成永久性标记，如文字、图案或二维码，此工序会产生打标废气G4</w:t>
            </w:r>
            <w:r>
              <w:rPr>
                <w:color w:val="auto"/>
                <w:sz w:val="24"/>
                <w:szCs w:val="32"/>
              </w:rPr>
              <w:t>-</w:t>
            </w:r>
            <w:r>
              <w:rPr>
                <w:rFonts w:hint="eastAsia"/>
                <w:color w:val="auto"/>
                <w:sz w:val="24"/>
                <w:szCs w:val="32"/>
              </w:rPr>
              <w:t>4和噪声N</w:t>
            </w:r>
            <w:r>
              <w:rPr>
                <w:rFonts w:hint="eastAsia"/>
                <w:color w:val="auto"/>
                <w:sz w:val="24"/>
              </w:rPr>
              <w:t>。</w:t>
            </w:r>
          </w:p>
          <w:p w14:paraId="75719988">
            <w:pPr>
              <w:tabs>
                <w:tab w:val="left" w:pos="720"/>
              </w:tabs>
              <w:adjustRightInd w:val="0"/>
              <w:snapToGrid w:val="0"/>
              <w:spacing w:line="360" w:lineRule="auto"/>
              <w:ind w:firstLine="480" w:firstLineChars="200"/>
              <w:rPr>
                <w:color w:val="auto"/>
                <w:sz w:val="24"/>
              </w:rPr>
            </w:pPr>
            <w:r>
              <w:rPr>
                <w:rFonts w:hint="eastAsia"/>
                <w:color w:val="auto"/>
                <w:sz w:val="24"/>
                <w:lang w:eastAsia="zh-CN"/>
              </w:rPr>
              <w:t>(7)</w:t>
            </w:r>
            <w:r>
              <w:rPr>
                <w:rFonts w:hint="eastAsia"/>
                <w:color w:val="auto"/>
                <w:sz w:val="24"/>
              </w:rPr>
              <w:t>UV丝印：在亚克力板材表面涂覆UV油墨，通过丝网印刷技术将图案或文字印在板材上，印刷完成后，使用UV烘干机（自动），使油墨快速固化，丝印网版使用后，将丝印网版浸泡在洗网水中，让洗网水充分渗透油墨和残留物。</w:t>
            </w:r>
            <w:r>
              <w:rPr>
                <w:rFonts w:hint="eastAsia"/>
                <w:color w:val="auto"/>
                <w:sz w:val="24"/>
                <w:szCs w:val="32"/>
              </w:rPr>
              <w:t>此工序会产生丝印废气G4</w:t>
            </w:r>
            <w:r>
              <w:rPr>
                <w:color w:val="auto"/>
                <w:sz w:val="24"/>
                <w:szCs w:val="32"/>
              </w:rPr>
              <w:t>-</w:t>
            </w:r>
            <w:r>
              <w:rPr>
                <w:rFonts w:hint="eastAsia"/>
                <w:color w:val="auto"/>
                <w:sz w:val="24"/>
                <w:szCs w:val="32"/>
              </w:rPr>
              <w:t>5、</w:t>
            </w:r>
            <w:r>
              <w:rPr>
                <w:rFonts w:hint="eastAsia"/>
                <w:color w:val="auto"/>
                <w:sz w:val="24"/>
                <w:lang w:val="en-US" w:eastAsia="zh-CN"/>
              </w:rPr>
              <w:t>烘干废气G4-6、</w:t>
            </w:r>
            <w:r>
              <w:rPr>
                <w:rFonts w:hint="eastAsia"/>
                <w:color w:val="auto"/>
                <w:sz w:val="24"/>
                <w:szCs w:val="32"/>
              </w:rPr>
              <w:t>洗网水废气G4</w:t>
            </w:r>
            <w:r>
              <w:rPr>
                <w:color w:val="auto"/>
                <w:sz w:val="24"/>
                <w:szCs w:val="32"/>
              </w:rPr>
              <w:t>-</w:t>
            </w:r>
            <w:r>
              <w:rPr>
                <w:rFonts w:hint="eastAsia"/>
                <w:color w:val="auto"/>
                <w:sz w:val="24"/>
                <w:szCs w:val="32"/>
                <w:lang w:val="en-US" w:eastAsia="zh-CN"/>
              </w:rPr>
              <w:t>7</w:t>
            </w:r>
            <w:r>
              <w:rPr>
                <w:rFonts w:hint="eastAsia"/>
                <w:color w:val="auto"/>
                <w:sz w:val="24"/>
                <w:szCs w:val="32"/>
              </w:rPr>
              <w:t>、废油墨桶S4</w:t>
            </w:r>
            <w:r>
              <w:rPr>
                <w:color w:val="auto"/>
                <w:sz w:val="24"/>
                <w:szCs w:val="32"/>
              </w:rPr>
              <w:t>-</w:t>
            </w:r>
            <w:r>
              <w:rPr>
                <w:rFonts w:hint="eastAsia"/>
                <w:color w:val="auto"/>
                <w:sz w:val="24"/>
                <w:szCs w:val="32"/>
              </w:rPr>
              <w:t>6、废油墨S4-7、废洗网水S4-8</w:t>
            </w:r>
            <w:r>
              <w:rPr>
                <w:rFonts w:hint="eastAsia"/>
                <w:color w:val="auto"/>
                <w:sz w:val="24"/>
              </w:rPr>
              <w:t>。</w:t>
            </w:r>
          </w:p>
          <w:p w14:paraId="3412EA65">
            <w:pPr>
              <w:tabs>
                <w:tab w:val="left" w:pos="720"/>
              </w:tabs>
              <w:adjustRightInd w:val="0"/>
              <w:snapToGrid w:val="0"/>
              <w:spacing w:line="360" w:lineRule="auto"/>
              <w:ind w:firstLine="480" w:firstLineChars="200"/>
              <w:rPr>
                <w:color w:val="auto"/>
                <w:sz w:val="24"/>
              </w:rPr>
            </w:pPr>
            <w:r>
              <w:rPr>
                <w:rFonts w:hint="eastAsia"/>
                <w:color w:val="auto"/>
                <w:sz w:val="24"/>
                <w:lang w:eastAsia="zh-CN"/>
              </w:rPr>
              <w:t>(8)</w:t>
            </w:r>
            <w:r>
              <w:rPr>
                <w:rFonts w:hint="eastAsia"/>
                <w:color w:val="auto"/>
                <w:sz w:val="24"/>
              </w:rPr>
              <w:t>火焰抛光：使用火焰抛光机，对亚克力板材表面进行快速加热，火焰温度需控制在合适范围（约200</w:t>
            </w:r>
            <w:r>
              <w:rPr>
                <w:color w:val="auto"/>
                <w:sz w:val="24"/>
              </w:rPr>
              <w:t>℃</w:t>
            </w:r>
            <w:r>
              <w:rPr>
                <w:rFonts w:hint="eastAsia"/>
                <w:color w:val="auto"/>
                <w:sz w:val="24"/>
              </w:rPr>
              <w:t>），避免板材烧焦或变形，由于此工序火焰加热时间极短约1</w:t>
            </w:r>
            <w:r>
              <w:rPr>
                <w:rFonts w:hint="eastAsia"/>
                <w:color w:val="auto"/>
                <w:sz w:val="24"/>
                <w:lang w:eastAsia="zh-CN"/>
              </w:rPr>
              <w:t>—</w:t>
            </w:r>
            <w:r>
              <w:rPr>
                <w:rFonts w:hint="eastAsia"/>
                <w:color w:val="auto"/>
                <w:sz w:val="24"/>
              </w:rPr>
              <w:t>3s，根据企业现有项目验收经验，本工序不产生有机废气。</w:t>
            </w:r>
          </w:p>
          <w:p w14:paraId="622422E3">
            <w:pPr>
              <w:tabs>
                <w:tab w:val="left" w:pos="720"/>
              </w:tabs>
              <w:adjustRightInd w:val="0"/>
              <w:snapToGrid w:val="0"/>
              <w:spacing w:line="360" w:lineRule="auto"/>
              <w:ind w:firstLine="480" w:firstLineChars="200"/>
              <w:rPr>
                <w:color w:val="auto"/>
                <w:sz w:val="24"/>
              </w:rPr>
            </w:pPr>
            <w:r>
              <w:rPr>
                <w:rFonts w:hint="eastAsia"/>
                <w:color w:val="auto"/>
                <w:sz w:val="24"/>
                <w:lang w:eastAsia="zh-CN"/>
              </w:rPr>
              <w:t>(9)</w:t>
            </w:r>
            <w:r>
              <w:rPr>
                <w:rFonts w:hint="eastAsia"/>
                <w:color w:val="auto"/>
                <w:sz w:val="24"/>
              </w:rPr>
              <w:t>烫金：使用烫金机，将烫金膜通过高温和压力烫印在亚克力板材表面，根据设计图案调整烫金温度和压力，烫金出来的图案金属光泽明显，质感强，</w:t>
            </w:r>
            <w:r>
              <w:rPr>
                <w:rFonts w:hint="eastAsia"/>
                <w:color w:val="auto"/>
                <w:sz w:val="24"/>
                <w:szCs w:val="32"/>
              </w:rPr>
              <w:t>此工序会产生烫金废气G4</w:t>
            </w:r>
            <w:r>
              <w:rPr>
                <w:color w:val="auto"/>
                <w:sz w:val="24"/>
                <w:szCs w:val="32"/>
              </w:rPr>
              <w:t>-</w:t>
            </w:r>
            <w:r>
              <w:rPr>
                <w:rFonts w:hint="eastAsia"/>
                <w:color w:val="auto"/>
                <w:sz w:val="24"/>
                <w:szCs w:val="32"/>
                <w:lang w:val="en-US" w:eastAsia="zh-CN"/>
              </w:rPr>
              <w:t>8</w:t>
            </w:r>
            <w:r>
              <w:rPr>
                <w:rFonts w:hint="eastAsia"/>
                <w:color w:val="auto"/>
                <w:sz w:val="24"/>
              </w:rPr>
              <w:t>。</w:t>
            </w:r>
          </w:p>
          <w:p w14:paraId="6B7FA9AF">
            <w:pPr>
              <w:tabs>
                <w:tab w:val="left" w:pos="720"/>
              </w:tabs>
              <w:adjustRightInd w:val="0"/>
              <w:snapToGrid w:val="0"/>
              <w:spacing w:line="360" w:lineRule="auto"/>
              <w:ind w:firstLine="480" w:firstLineChars="200"/>
              <w:rPr>
                <w:color w:val="auto"/>
                <w:sz w:val="24"/>
              </w:rPr>
            </w:pPr>
            <w:r>
              <w:rPr>
                <w:rFonts w:hint="eastAsia"/>
                <w:color w:val="auto"/>
                <w:sz w:val="24"/>
                <w:lang w:eastAsia="zh-CN"/>
              </w:rPr>
              <w:t>(10)</w:t>
            </w:r>
            <w:r>
              <w:rPr>
                <w:rFonts w:hint="eastAsia"/>
                <w:color w:val="auto"/>
                <w:sz w:val="24"/>
              </w:rPr>
              <w:t>热弯：使用弯管机将亚克力板材加热至软化温</w:t>
            </w:r>
            <w:r>
              <w:rPr>
                <w:color w:val="auto"/>
                <w:sz w:val="24"/>
              </w:rPr>
              <w:t>度（约100℃-160℃）</w:t>
            </w:r>
            <w:r>
              <w:rPr>
                <w:rFonts w:hint="eastAsia"/>
                <w:color w:val="auto"/>
                <w:sz w:val="24"/>
              </w:rPr>
              <w:t>，然后根据设计要求，将软化的板材弯曲成所需形状，冷却后定型，这样可以实现复杂形状的弯曲，如弧形、折角等，</w:t>
            </w:r>
            <w:r>
              <w:rPr>
                <w:color w:val="auto"/>
                <w:sz w:val="24"/>
                <w:szCs w:val="32"/>
              </w:rPr>
              <w:t>此工序会产生</w:t>
            </w:r>
            <w:r>
              <w:rPr>
                <w:rFonts w:hint="eastAsia"/>
                <w:color w:val="auto"/>
                <w:sz w:val="24"/>
                <w:szCs w:val="32"/>
              </w:rPr>
              <w:t>热弯</w:t>
            </w:r>
            <w:r>
              <w:rPr>
                <w:color w:val="auto"/>
                <w:sz w:val="24"/>
                <w:szCs w:val="32"/>
              </w:rPr>
              <w:t>废气G</w:t>
            </w:r>
            <w:r>
              <w:rPr>
                <w:rFonts w:hint="eastAsia"/>
                <w:color w:val="auto"/>
                <w:sz w:val="24"/>
                <w:szCs w:val="32"/>
              </w:rPr>
              <w:t>4</w:t>
            </w:r>
            <w:r>
              <w:rPr>
                <w:color w:val="auto"/>
                <w:sz w:val="24"/>
                <w:szCs w:val="32"/>
              </w:rPr>
              <w:t>-</w:t>
            </w:r>
            <w:r>
              <w:rPr>
                <w:rFonts w:hint="eastAsia"/>
                <w:color w:val="auto"/>
                <w:sz w:val="24"/>
                <w:szCs w:val="32"/>
                <w:lang w:val="en-US" w:eastAsia="zh-CN"/>
              </w:rPr>
              <w:t>9</w:t>
            </w:r>
            <w:r>
              <w:rPr>
                <w:color w:val="auto"/>
                <w:sz w:val="24"/>
              </w:rPr>
              <w:t>。</w:t>
            </w:r>
          </w:p>
          <w:p w14:paraId="58E2B30D">
            <w:pPr>
              <w:tabs>
                <w:tab w:val="left" w:pos="720"/>
              </w:tabs>
              <w:adjustRightInd w:val="0"/>
              <w:snapToGrid w:val="0"/>
              <w:spacing w:line="360" w:lineRule="auto"/>
              <w:ind w:firstLine="480" w:firstLineChars="200"/>
              <w:rPr>
                <w:color w:val="auto"/>
                <w:sz w:val="24"/>
              </w:rPr>
            </w:pPr>
            <w:r>
              <w:rPr>
                <w:rFonts w:hint="eastAsia"/>
                <w:color w:val="auto"/>
                <w:sz w:val="24"/>
                <w:lang w:eastAsia="zh-CN"/>
              </w:rPr>
              <w:t>(11)</w:t>
            </w:r>
            <w:r>
              <w:rPr>
                <w:color w:val="auto"/>
                <w:sz w:val="24"/>
              </w:rPr>
              <w:t>烘烤去应力：将热弯后的亚克力制品放入烤箱，设置较低温度（约80℃）进行缓慢冷却，通过退火处理，消除板材内部的应力，提高制品的稳定性和耐久性，减少应力裂纹</w:t>
            </w:r>
            <w:r>
              <w:rPr>
                <w:rFonts w:hint="eastAsia"/>
                <w:color w:val="auto"/>
                <w:sz w:val="24"/>
                <w:lang w:eastAsia="zh-CN"/>
              </w:rPr>
              <w:t>，</w:t>
            </w:r>
            <w:r>
              <w:rPr>
                <w:rFonts w:hint="eastAsia"/>
                <w:color w:val="auto"/>
                <w:sz w:val="24"/>
                <w:lang w:val="en-US" w:eastAsia="zh-CN"/>
              </w:rPr>
              <w:t>由于该工序温度较低，对亚克力板材不会产生影响，因此本处不易产生废气</w:t>
            </w:r>
            <w:r>
              <w:rPr>
                <w:color w:val="auto"/>
                <w:sz w:val="24"/>
              </w:rPr>
              <w:t>。</w:t>
            </w:r>
          </w:p>
          <w:p w14:paraId="2AF1689A">
            <w:pPr>
              <w:tabs>
                <w:tab w:val="left" w:pos="720"/>
              </w:tabs>
              <w:adjustRightInd w:val="0"/>
              <w:snapToGrid w:val="0"/>
              <w:spacing w:line="360" w:lineRule="auto"/>
              <w:ind w:firstLine="480" w:firstLineChars="200"/>
              <w:rPr>
                <w:color w:val="auto"/>
                <w:sz w:val="24"/>
              </w:rPr>
            </w:pPr>
            <w:r>
              <w:rPr>
                <w:rFonts w:hint="eastAsia"/>
                <w:color w:val="auto"/>
                <w:sz w:val="24"/>
                <w:lang w:eastAsia="zh-CN"/>
              </w:rPr>
              <w:t>(12)</w:t>
            </w:r>
            <w:r>
              <w:rPr>
                <w:rFonts w:hint="eastAsia"/>
                <w:color w:val="auto"/>
                <w:sz w:val="24"/>
              </w:rPr>
              <w:t>粘接</w:t>
            </w:r>
            <w:r>
              <w:rPr>
                <w:color w:val="auto"/>
                <w:sz w:val="24"/>
              </w:rPr>
              <w:t>：使用专用的亚克力胶水，将板材的边缘或部件进行粘接</w:t>
            </w:r>
            <w:r>
              <w:rPr>
                <w:rFonts w:hint="eastAsia"/>
                <w:color w:val="auto"/>
                <w:sz w:val="24"/>
              </w:rPr>
              <w:t>，粘接后的制品牢固美观，透明度高</w:t>
            </w:r>
            <w:r>
              <w:rPr>
                <w:color w:val="auto"/>
                <w:sz w:val="24"/>
              </w:rPr>
              <w:t>，</w:t>
            </w:r>
            <w:r>
              <w:rPr>
                <w:color w:val="auto"/>
                <w:sz w:val="24"/>
                <w:szCs w:val="32"/>
              </w:rPr>
              <w:t>此工序会产生</w:t>
            </w:r>
            <w:r>
              <w:rPr>
                <w:rFonts w:hint="eastAsia"/>
                <w:color w:val="auto"/>
                <w:sz w:val="24"/>
                <w:szCs w:val="32"/>
              </w:rPr>
              <w:t>粘接</w:t>
            </w:r>
            <w:r>
              <w:rPr>
                <w:color w:val="auto"/>
                <w:sz w:val="24"/>
                <w:szCs w:val="32"/>
              </w:rPr>
              <w:t>废气G4-</w:t>
            </w:r>
            <w:r>
              <w:rPr>
                <w:rFonts w:hint="eastAsia"/>
                <w:color w:val="auto"/>
                <w:sz w:val="24"/>
                <w:szCs w:val="32"/>
              </w:rPr>
              <w:t>1</w:t>
            </w:r>
            <w:r>
              <w:rPr>
                <w:rFonts w:hint="eastAsia"/>
                <w:color w:val="auto"/>
                <w:sz w:val="24"/>
                <w:szCs w:val="32"/>
                <w:lang w:val="en-US" w:eastAsia="zh-CN"/>
              </w:rPr>
              <w:t>0</w:t>
            </w:r>
            <w:r>
              <w:rPr>
                <w:rFonts w:hint="eastAsia"/>
                <w:color w:val="auto"/>
                <w:sz w:val="24"/>
                <w:szCs w:val="32"/>
              </w:rPr>
              <w:t>和废胶水瓶S4-9</w:t>
            </w:r>
            <w:r>
              <w:rPr>
                <w:color w:val="auto"/>
                <w:sz w:val="24"/>
              </w:rPr>
              <w:t>。</w:t>
            </w:r>
          </w:p>
          <w:p w14:paraId="66DAED4C">
            <w:pPr>
              <w:tabs>
                <w:tab w:val="left" w:pos="720"/>
              </w:tabs>
              <w:adjustRightInd w:val="0"/>
              <w:snapToGrid w:val="0"/>
              <w:spacing w:line="360" w:lineRule="auto"/>
              <w:ind w:firstLine="480" w:firstLineChars="200"/>
              <w:rPr>
                <w:color w:val="auto"/>
                <w:sz w:val="24"/>
              </w:rPr>
            </w:pPr>
            <w:r>
              <w:rPr>
                <w:rFonts w:hint="eastAsia"/>
                <w:color w:val="auto"/>
                <w:sz w:val="24"/>
                <w:lang w:eastAsia="zh-CN"/>
              </w:rPr>
              <w:t>(13)</w:t>
            </w:r>
            <w:r>
              <w:rPr>
                <w:rFonts w:hint="eastAsia"/>
                <w:color w:val="auto"/>
                <w:sz w:val="24"/>
              </w:rPr>
              <w:t>清洗</w:t>
            </w:r>
            <w:r>
              <w:rPr>
                <w:color w:val="auto"/>
                <w:sz w:val="24"/>
              </w:rPr>
              <w:t>：</w:t>
            </w:r>
            <w:r>
              <w:rPr>
                <w:rFonts w:hint="eastAsia"/>
                <w:color w:val="auto"/>
                <w:sz w:val="24"/>
              </w:rPr>
              <w:t>使用碳氢清洗剂对亚克力粘接过程中</w:t>
            </w:r>
            <w:r>
              <w:rPr>
                <w:color w:val="auto"/>
                <w:sz w:val="24"/>
              </w:rPr>
              <w:t>将残留的胶水、灰尘、指纹、油污等杂质</w:t>
            </w:r>
            <w:r>
              <w:rPr>
                <w:rFonts w:hint="eastAsia"/>
                <w:color w:val="auto"/>
                <w:sz w:val="24"/>
              </w:rPr>
              <w:t>进行清洗后，使用抹布擦净，</w:t>
            </w:r>
            <w:r>
              <w:rPr>
                <w:color w:val="auto"/>
                <w:sz w:val="24"/>
                <w:szCs w:val="32"/>
              </w:rPr>
              <w:t>此工序会产生</w:t>
            </w:r>
            <w:r>
              <w:rPr>
                <w:rFonts w:hint="eastAsia"/>
                <w:color w:val="auto"/>
                <w:sz w:val="24"/>
                <w:szCs w:val="32"/>
              </w:rPr>
              <w:t>清洗</w:t>
            </w:r>
            <w:r>
              <w:rPr>
                <w:color w:val="auto"/>
                <w:sz w:val="24"/>
                <w:szCs w:val="32"/>
              </w:rPr>
              <w:t>废气G4-</w:t>
            </w:r>
            <w:r>
              <w:rPr>
                <w:rFonts w:hint="eastAsia"/>
                <w:color w:val="auto"/>
                <w:sz w:val="24"/>
                <w:szCs w:val="32"/>
              </w:rPr>
              <w:t>1</w:t>
            </w:r>
            <w:r>
              <w:rPr>
                <w:rFonts w:hint="eastAsia"/>
                <w:color w:val="auto"/>
                <w:sz w:val="24"/>
                <w:szCs w:val="32"/>
                <w:lang w:val="en-US" w:eastAsia="zh-CN"/>
              </w:rPr>
              <w:t>1</w:t>
            </w:r>
            <w:r>
              <w:rPr>
                <w:rFonts w:hint="eastAsia"/>
                <w:color w:val="auto"/>
                <w:sz w:val="24"/>
                <w:szCs w:val="32"/>
              </w:rPr>
              <w:t>和废抹布S4-10</w:t>
            </w:r>
            <w:r>
              <w:rPr>
                <w:color w:val="auto"/>
                <w:sz w:val="24"/>
              </w:rPr>
              <w:t>。</w:t>
            </w:r>
          </w:p>
          <w:p w14:paraId="2782A60D">
            <w:pPr>
              <w:tabs>
                <w:tab w:val="left" w:pos="720"/>
              </w:tabs>
              <w:adjustRightInd w:val="0"/>
              <w:snapToGrid w:val="0"/>
              <w:spacing w:line="360" w:lineRule="auto"/>
              <w:ind w:firstLine="480" w:firstLineChars="200"/>
              <w:rPr>
                <w:color w:val="auto"/>
                <w:sz w:val="24"/>
              </w:rPr>
            </w:pPr>
            <w:r>
              <w:rPr>
                <w:rFonts w:hint="eastAsia"/>
                <w:color w:val="auto"/>
                <w:sz w:val="24"/>
              </w:rPr>
              <w:t>清洗后获得亚克力组件，可用于后续组装工序。</w:t>
            </w:r>
          </w:p>
          <w:p w14:paraId="3077717B">
            <w:pPr>
              <w:tabs>
                <w:tab w:val="left" w:pos="720"/>
              </w:tabs>
              <w:adjustRightInd w:val="0"/>
              <w:snapToGrid w:val="0"/>
              <w:spacing w:line="360" w:lineRule="auto"/>
              <w:ind w:firstLine="480" w:firstLineChars="200"/>
              <w:rPr>
                <w:color w:val="auto"/>
                <w:sz w:val="24"/>
              </w:rPr>
            </w:pPr>
            <w:r>
              <w:rPr>
                <w:rFonts w:hint="eastAsia"/>
                <w:color w:val="auto"/>
                <w:sz w:val="24"/>
              </w:rPr>
              <w:t>5、所有组件得到后进行组装，螺杆、螺母、滑轨等用在最终组装工艺，本工艺为人工组装，不涉及任何</w:t>
            </w:r>
            <w:r>
              <w:rPr>
                <w:rFonts w:hint="eastAsia"/>
                <w:color w:val="auto"/>
                <w:sz w:val="24"/>
                <w:lang w:eastAsia="zh-CN"/>
              </w:rPr>
              <w:t>产物</w:t>
            </w:r>
            <w:r>
              <w:rPr>
                <w:rFonts w:hint="eastAsia"/>
                <w:color w:val="auto"/>
                <w:sz w:val="24"/>
              </w:rPr>
              <w:t>。</w:t>
            </w:r>
          </w:p>
          <w:p w14:paraId="5CE4443B">
            <w:pPr>
              <w:tabs>
                <w:tab w:val="left" w:pos="720"/>
              </w:tabs>
              <w:adjustRightInd w:val="0"/>
              <w:snapToGrid w:val="0"/>
              <w:spacing w:line="360" w:lineRule="auto"/>
              <w:ind w:firstLine="480" w:firstLineChars="200"/>
              <w:rPr>
                <w:color w:val="auto"/>
                <w:sz w:val="24"/>
              </w:rPr>
            </w:pPr>
            <w:r>
              <w:rPr>
                <w:color w:val="auto"/>
                <w:sz w:val="24"/>
              </w:rPr>
              <w:t>6、</w:t>
            </w:r>
            <w:r>
              <w:rPr>
                <w:rFonts w:hint="eastAsia"/>
                <w:color w:val="auto"/>
                <w:sz w:val="24"/>
              </w:rPr>
              <w:t>本项目其他产污环节有：生活、食堂污水W</w:t>
            </w:r>
            <w:r>
              <w:rPr>
                <w:rFonts w:hint="eastAsia"/>
                <w:color w:val="auto"/>
                <w:sz w:val="24"/>
                <w:vertAlign w:val="subscript"/>
              </w:rPr>
              <w:t>1</w:t>
            </w:r>
            <w:r>
              <w:rPr>
                <w:rFonts w:hint="eastAsia"/>
                <w:color w:val="auto"/>
                <w:sz w:val="24"/>
              </w:rPr>
              <w:t>、化粪池污泥S5-1、设备维修产生的废机油S5-2、废油桶S5-3、生产过程产生的不合格品S5-4、废气处理设备产生的废活性炭S5-5、喷枪清洗用水S5-6、水幕帘废液S5-7、职工生活产生的生活垃圾S5-8、废包装袋S5-9。</w:t>
            </w:r>
          </w:p>
          <w:p w14:paraId="0A647FC4">
            <w:pPr>
              <w:tabs>
                <w:tab w:val="left" w:pos="720"/>
              </w:tabs>
              <w:adjustRightInd w:val="0"/>
              <w:snapToGrid w:val="0"/>
              <w:spacing w:line="360" w:lineRule="auto"/>
              <w:ind w:firstLine="482" w:firstLineChars="200"/>
              <w:rPr>
                <w:b/>
                <w:color w:val="auto"/>
                <w:sz w:val="24"/>
              </w:rPr>
            </w:pPr>
            <w:r>
              <w:rPr>
                <w:b/>
                <w:color w:val="auto"/>
                <w:sz w:val="24"/>
              </w:rPr>
              <w:t>二、主要产污环节分析</w:t>
            </w:r>
          </w:p>
          <w:p w14:paraId="772336BF">
            <w:pPr>
              <w:tabs>
                <w:tab w:val="left" w:pos="720"/>
              </w:tabs>
              <w:adjustRightInd w:val="0"/>
              <w:snapToGrid w:val="0"/>
              <w:spacing w:line="360" w:lineRule="auto"/>
              <w:ind w:firstLine="480" w:firstLineChars="200"/>
              <w:rPr>
                <w:color w:val="auto"/>
                <w:sz w:val="24"/>
              </w:rPr>
            </w:pPr>
            <w:r>
              <w:rPr>
                <w:color w:val="auto"/>
                <w:sz w:val="24"/>
              </w:rPr>
              <w:t>本项目主要产污环节见下表。</w:t>
            </w:r>
          </w:p>
          <w:p w14:paraId="1F3D3CF9">
            <w:pPr>
              <w:keepNext/>
              <w:adjustRightInd w:val="0"/>
              <w:snapToGrid w:val="0"/>
              <w:jc w:val="center"/>
              <w:rPr>
                <w:b/>
                <w:color w:val="auto"/>
                <w:szCs w:val="21"/>
              </w:rPr>
            </w:pPr>
            <w:r>
              <w:rPr>
                <w:b/>
                <w:color w:val="auto"/>
                <w:sz w:val="24"/>
              </w:rPr>
              <w:t>表2-</w:t>
            </w:r>
            <w:r>
              <w:rPr>
                <w:rFonts w:hint="eastAsia"/>
                <w:b/>
                <w:color w:val="auto"/>
                <w:sz w:val="24"/>
              </w:rPr>
              <w:t>8</w:t>
            </w:r>
            <w:r>
              <w:rPr>
                <w:b/>
                <w:color w:val="auto"/>
                <w:sz w:val="24"/>
              </w:rPr>
              <w:t xml:space="preserve">  本项目主要产污环节一览表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0"/>
              <w:gridCol w:w="600"/>
              <w:gridCol w:w="703"/>
              <w:gridCol w:w="2106"/>
              <w:gridCol w:w="960"/>
              <w:gridCol w:w="3661"/>
            </w:tblGrid>
            <w:tr w14:paraId="7DC12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tcBorders>
                    <w:tl2br w:val="nil"/>
                    <w:tr2bl w:val="nil"/>
                  </w:tcBorders>
                  <w:vAlign w:val="center"/>
                </w:tcPr>
                <w:p w14:paraId="6759A9FE">
                  <w:pPr>
                    <w:pStyle w:val="477"/>
                    <w:spacing w:after="0"/>
                    <w:rPr>
                      <w:b/>
                      <w:color w:val="auto"/>
                      <w:szCs w:val="21"/>
                    </w:rPr>
                  </w:pPr>
                  <w:r>
                    <w:rPr>
                      <w:b/>
                      <w:color w:val="auto"/>
                      <w:szCs w:val="21"/>
                    </w:rPr>
                    <w:t>污染源</w:t>
                  </w:r>
                </w:p>
              </w:tc>
              <w:tc>
                <w:tcPr>
                  <w:tcW w:w="2007" w:type="pct"/>
                  <w:gridSpan w:val="3"/>
                  <w:tcBorders>
                    <w:tl2br w:val="nil"/>
                    <w:tr2bl w:val="nil"/>
                  </w:tcBorders>
                  <w:vAlign w:val="center"/>
                </w:tcPr>
                <w:p w14:paraId="4D5106E3">
                  <w:pPr>
                    <w:pStyle w:val="477"/>
                    <w:spacing w:after="0"/>
                    <w:rPr>
                      <w:b/>
                      <w:color w:val="auto"/>
                      <w:szCs w:val="21"/>
                    </w:rPr>
                  </w:pPr>
                  <w:r>
                    <w:rPr>
                      <w:b/>
                      <w:color w:val="auto"/>
                      <w:szCs w:val="21"/>
                    </w:rPr>
                    <w:t>产污工序/装置</w:t>
                  </w:r>
                </w:p>
              </w:tc>
              <w:tc>
                <w:tcPr>
                  <w:tcW w:w="565" w:type="pct"/>
                  <w:tcBorders>
                    <w:tl2br w:val="nil"/>
                    <w:tr2bl w:val="nil"/>
                  </w:tcBorders>
                  <w:vAlign w:val="center"/>
                </w:tcPr>
                <w:p w14:paraId="1BC0BC5D">
                  <w:pPr>
                    <w:pStyle w:val="477"/>
                    <w:spacing w:after="0"/>
                    <w:rPr>
                      <w:b/>
                      <w:color w:val="auto"/>
                      <w:szCs w:val="21"/>
                    </w:rPr>
                  </w:pPr>
                  <w:r>
                    <w:rPr>
                      <w:b/>
                      <w:color w:val="auto"/>
                      <w:szCs w:val="21"/>
                    </w:rPr>
                    <w:t>主要污染物</w:t>
                  </w:r>
                </w:p>
              </w:tc>
              <w:tc>
                <w:tcPr>
                  <w:tcW w:w="2156" w:type="pct"/>
                  <w:tcBorders>
                    <w:tl2br w:val="nil"/>
                    <w:tr2bl w:val="nil"/>
                  </w:tcBorders>
                  <w:vAlign w:val="center"/>
                </w:tcPr>
                <w:p w14:paraId="146A8FD1">
                  <w:pPr>
                    <w:pStyle w:val="477"/>
                    <w:spacing w:after="0"/>
                    <w:rPr>
                      <w:b/>
                      <w:color w:val="auto"/>
                      <w:szCs w:val="21"/>
                    </w:rPr>
                  </w:pPr>
                  <w:r>
                    <w:rPr>
                      <w:b/>
                      <w:color w:val="auto"/>
                      <w:szCs w:val="21"/>
                    </w:rPr>
                    <w:t>处理处置方式</w:t>
                  </w:r>
                </w:p>
              </w:tc>
            </w:tr>
            <w:tr w14:paraId="1A79D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7" w:hRule="atLeast"/>
                <w:jc w:val="center"/>
              </w:trPr>
              <w:tc>
                <w:tcPr>
                  <w:tcW w:w="270" w:type="pct"/>
                  <w:vMerge w:val="restart"/>
                  <w:tcBorders>
                    <w:tl2br w:val="nil"/>
                    <w:tr2bl w:val="nil"/>
                  </w:tcBorders>
                  <w:vAlign w:val="center"/>
                </w:tcPr>
                <w:p w14:paraId="685F9FD4">
                  <w:pPr>
                    <w:pStyle w:val="477"/>
                    <w:spacing w:after="0"/>
                    <w:rPr>
                      <w:color w:val="auto"/>
                      <w:szCs w:val="21"/>
                    </w:rPr>
                  </w:pPr>
                  <w:r>
                    <w:rPr>
                      <w:color w:val="auto"/>
                      <w:szCs w:val="21"/>
                    </w:rPr>
                    <w:t>废气</w:t>
                  </w:r>
                </w:p>
              </w:tc>
              <w:tc>
                <w:tcPr>
                  <w:tcW w:w="353" w:type="pct"/>
                  <w:tcBorders>
                    <w:tl2br w:val="nil"/>
                    <w:tr2bl w:val="nil"/>
                  </w:tcBorders>
                  <w:vAlign w:val="center"/>
                </w:tcPr>
                <w:p w14:paraId="1DBAFAFE">
                  <w:pPr>
                    <w:pStyle w:val="477"/>
                    <w:spacing w:after="0"/>
                    <w:rPr>
                      <w:color w:val="auto"/>
                      <w:szCs w:val="21"/>
                    </w:rPr>
                  </w:pPr>
                  <w:r>
                    <w:rPr>
                      <w:color w:val="auto"/>
                      <w:szCs w:val="21"/>
                    </w:rPr>
                    <w:t>G1-1</w:t>
                  </w:r>
                </w:p>
              </w:tc>
              <w:tc>
                <w:tcPr>
                  <w:tcW w:w="414" w:type="pct"/>
                  <w:tcBorders>
                    <w:tl2br w:val="nil"/>
                    <w:tr2bl w:val="nil"/>
                  </w:tcBorders>
                  <w:vAlign w:val="center"/>
                </w:tcPr>
                <w:p w14:paraId="68EC2F53">
                  <w:pPr>
                    <w:pStyle w:val="477"/>
                    <w:spacing w:after="0"/>
                    <w:rPr>
                      <w:color w:val="auto"/>
                      <w:szCs w:val="21"/>
                    </w:rPr>
                  </w:pPr>
                  <w:r>
                    <w:rPr>
                      <w:color w:val="auto"/>
                      <w:szCs w:val="21"/>
                    </w:rPr>
                    <w:t>下料</w:t>
                  </w:r>
                </w:p>
              </w:tc>
              <w:tc>
                <w:tcPr>
                  <w:tcW w:w="1240" w:type="pct"/>
                  <w:tcBorders>
                    <w:tl2br w:val="nil"/>
                    <w:tr2bl w:val="nil"/>
                  </w:tcBorders>
                  <w:vAlign w:val="center"/>
                </w:tcPr>
                <w:p w14:paraId="57C044FB">
                  <w:pPr>
                    <w:pStyle w:val="477"/>
                    <w:spacing w:after="0"/>
                    <w:rPr>
                      <w:color w:val="auto"/>
                      <w:szCs w:val="21"/>
                    </w:rPr>
                  </w:pPr>
                  <w:r>
                    <w:rPr>
                      <w:color w:val="auto"/>
                      <w:szCs w:val="21"/>
                    </w:rPr>
                    <w:t>雕刻机、推台锯、自动下料机</w:t>
                  </w:r>
                </w:p>
              </w:tc>
              <w:tc>
                <w:tcPr>
                  <w:tcW w:w="565" w:type="pct"/>
                  <w:tcBorders>
                    <w:tl2br w:val="nil"/>
                    <w:tr2bl w:val="nil"/>
                  </w:tcBorders>
                  <w:vAlign w:val="center"/>
                </w:tcPr>
                <w:p w14:paraId="21F4DB58">
                  <w:pPr>
                    <w:pStyle w:val="477"/>
                    <w:spacing w:after="0"/>
                    <w:rPr>
                      <w:color w:val="auto"/>
                      <w:szCs w:val="21"/>
                    </w:rPr>
                  </w:pPr>
                  <w:r>
                    <w:rPr>
                      <w:color w:val="auto"/>
                      <w:szCs w:val="21"/>
                    </w:rPr>
                    <w:t>下料粉尘</w:t>
                  </w:r>
                </w:p>
              </w:tc>
              <w:tc>
                <w:tcPr>
                  <w:tcW w:w="2156" w:type="pct"/>
                  <w:tcBorders>
                    <w:tl2br w:val="nil"/>
                    <w:tr2bl w:val="nil"/>
                  </w:tcBorders>
                  <w:vAlign w:val="center"/>
                </w:tcPr>
                <w:p w14:paraId="249794EF">
                  <w:pPr>
                    <w:pStyle w:val="477"/>
                    <w:spacing w:after="0"/>
                    <w:rPr>
                      <w:color w:val="auto"/>
                      <w:szCs w:val="21"/>
                    </w:rPr>
                  </w:pPr>
                  <w:r>
                    <w:rPr>
                      <w:color w:val="auto"/>
                      <w:szCs w:val="21"/>
                    </w:rPr>
                    <w:t>集气罩收集+布袋除尘</w:t>
                  </w:r>
                  <w:r>
                    <w:rPr>
                      <w:bCs/>
                      <w:color w:val="auto"/>
                      <w:szCs w:val="21"/>
                    </w:rPr>
                    <w:t>+15m高排气筒（DA001）排放</w:t>
                  </w:r>
                </w:p>
              </w:tc>
            </w:tr>
            <w:tr w14:paraId="36D27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270" w:type="pct"/>
                  <w:vMerge w:val="continue"/>
                  <w:tcBorders>
                    <w:tl2br w:val="nil"/>
                    <w:tr2bl w:val="nil"/>
                  </w:tcBorders>
                  <w:vAlign w:val="center"/>
                </w:tcPr>
                <w:p w14:paraId="026ED506">
                  <w:pPr>
                    <w:pStyle w:val="477"/>
                    <w:spacing w:after="0"/>
                    <w:rPr>
                      <w:color w:val="auto"/>
                      <w:szCs w:val="21"/>
                    </w:rPr>
                  </w:pPr>
                </w:p>
              </w:tc>
              <w:tc>
                <w:tcPr>
                  <w:tcW w:w="353" w:type="pct"/>
                  <w:tcBorders>
                    <w:tl2br w:val="nil"/>
                    <w:tr2bl w:val="nil"/>
                  </w:tcBorders>
                  <w:vAlign w:val="center"/>
                </w:tcPr>
                <w:p w14:paraId="525A89E4">
                  <w:pPr>
                    <w:pStyle w:val="477"/>
                    <w:spacing w:after="0"/>
                    <w:rPr>
                      <w:color w:val="auto"/>
                      <w:szCs w:val="21"/>
                    </w:rPr>
                  </w:pPr>
                  <w:r>
                    <w:rPr>
                      <w:color w:val="auto"/>
                      <w:szCs w:val="21"/>
                    </w:rPr>
                    <w:t>G1-2</w:t>
                  </w:r>
                </w:p>
              </w:tc>
              <w:tc>
                <w:tcPr>
                  <w:tcW w:w="414" w:type="pct"/>
                  <w:tcBorders>
                    <w:tl2br w:val="nil"/>
                    <w:tr2bl w:val="nil"/>
                  </w:tcBorders>
                  <w:vAlign w:val="center"/>
                </w:tcPr>
                <w:p w14:paraId="38F20640">
                  <w:pPr>
                    <w:pStyle w:val="477"/>
                    <w:spacing w:after="0"/>
                    <w:rPr>
                      <w:color w:val="auto"/>
                      <w:szCs w:val="21"/>
                    </w:rPr>
                  </w:pPr>
                  <w:r>
                    <w:rPr>
                      <w:color w:val="auto"/>
                      <w:szCs w:val="21"/>
                    </w:rPr>
                    <w:t>压合</w:t>
                  </w:r>
                </w:p>
              </w:tc>
              <w:tc>
                <w:tcPr>
                  <w:tcW w:w="1240" w:type="pct"/>
                  <w:tcBorders>
                    <w:tl2br w:val="nil"/>
                    <w:tr2bl w:val="nil"/>
                  </w:tcBorders>
                  <w:vAlign w:val="center"/>
                </w:tcPr>
                <w:p w14:paraId="6044C402">
                  <w:pPr>
                    <w:pStyle w:val="477"/>
                    <w:spacing w:after="0"/>
                    <w:rPr>
                      <w:color w:val="auto"/>
                      <w:szCs w:val="21"/>
                    </w:rPr>
                  </w:pPr>
                  <w:r>
                    <w:rPr>
                      <w:color w:val="auto"/>
                      <w:szCs w:val="21"/>
                    </w:rPr>
                    <w:t>冷压机</w:t>
                  </w:r>
                </w:p>
              </w:tc>
              <w:tc>
                <w:tcPr>
                  <w:tcW w:w="565" w:type="pct"/>
                  <w:tcBorders>
                    <w:tl2br w:val="nil"/>
                    <w:tr2bl w:val="nil"/>
                  </w:tcBorders>
                  <w:vAlign w:val="center"/>
                </w:tcPr>
                <w:p w14:paraId="7B9188B8">
                  <w:pPr>
                    <w:pStyle w:val="477"/>
                    <w:spacing w:after="0"/>
                    <w:rPr>
                      <w:color w:val="auto"/>
                      <w:szCs w:val="21"/>
                    </w:rPr>
                  </w:pPr>
                  <w:r>
                    <w:rPr>
                      <w:color w:val="auto"/>
                      <w:szCs w:val="21"/>
                    </w:rPr>
                    <w:t>压合废气</w:t>
                  </w:r>
                </w:p>
              </w:tc>
              <w:tc>
                <w:tcPr>
                  <w:tcW w:w="2156" w:type="pct"/>
                  <w:tcBorders>
                    <w:tl2br w:val="nil"/>
                    <w:tr2bl w:val="nil"/>
                  </w:tcBorders>
                  <w:shd w:val="clear" w:color="auto" w:fill="auto"/>
                  <w:vAlign w:val="center"/>
                </w:tcPr>
                <w:p w14:paraId="72BB1677">
                  <w:pPr>
                    <w:pStyle w:val="477"/>
                    <w:spacing w:after="0"/>
                    <w:rPr>
                      <w:color w:val="auto"/>
                      <w:szCs w:val="21"/>
                    </w:rPr>
                  </w:pPr>
                  <w:r>
                    <w:rPr>
                      <w:color w:val="auto"/>
                      <w:szCs w:val="21"/>
                    </w:rPr>
                    <w:t>/</w:t>
                  </w:r>
                </w:p>
              </w:tc>
            </w:tr>
            <w:tr w14:paraId="36E6F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57833AC">
                  <w:pPr>
                    <w:pStyle w:val="477"/>
                    <w:spacing w:after="0"/>
                    <w:rPr>
                      <w:color w:val="auto"/>
                      <w:szCs w:val="21"/>
                    </w:rPr>
                  </w:pPr>
                </w:p>
              </w:tc>
              <w:tc>
                <w:tcPr>
                  <w:tcW w:w="353" w:type="pct"/>
                  <w:tcBorders>
                    <w:tl2br w:val="nil"/>
                    <w:tr2bl w:val="nil"/>
                  </w:tcBorders>
                  <w:vAlign w:val="center"/>
                </w:tcPr>
                <w:p w14:paraId="65953EDB">
                  <w:pPr>
                    <w:pStyle w:val="477"/>
                    <w:spacing w:after="0"/>
                    <w:rPr>
                      <w:color w:val="auto"/>
                      <w:szCs w:val="21"/>
                    </w:rPr>
                  </w:pPr>
                  <w:r>
                    <w:rPr>
                      <w:color w:val="auto"/>
                      <w:szCs w:val="21"/>
                    </w:rPr>
                    <w:t>G1-3</w:t>
                  </w:r>
                </w:p>
              </w:tc>
              <w:tc>
                <w:tcPr>
                  <w:tcW w:w="414" w:type="pct"/>
                  <w:tcBorders>
                    <w:tl2br w:val="nil"/>
                    <w:tr2bl w:val="nil"/>
                  </w:tcBorders>
                  <w:vAlign w:val="center"/>
                </w:tcPr>
                <w:p w14:paraId="4D60FF15">
                  <w:pPr>
                    <w:pStyle w:val="477"/>
                    <w:spacing w:after="0"/>
                    <w:rPr>
                      <w:color w:val="auto"/>
                      <w:szCs w:val="21"/>
                    </w:rPr>
                  </w:pPr>
                  <w:r>
                    <w:rPr>
                      <w:color w:val="auto"/>
                      <w:szCs w:val="21"/>
                    </w:rPr>
                    <w:t>封边</w:t>
                  </w:r>
                </w:p>
              </w:tc>
              <w:tc>
                <w:tcPr>
                  <w:tcW w:w="1240" w:type="pct"/>
                  <w:tcBorders>
                    <w:tl2br w:val="nil"/>
                    <w:tr2bl w:val="nil"/>
                  </w:tcBorders>
                  <w:vAlign w:val="center"/>
                </w:tcPr>
                <w:p w14:paraId="7A1BC1FA">
                  <w:pPr>
                    <w:pStyle w:val="477"/>
                    <w:spacing w:after="0"/>
                    <w:rPr>
                      <w:color w:val="auto"/>
                      <w:szCs w:val="21"/>
                    </w:rPr>
                  </w:pPr>
                  <w:r>
                    <w:rPr>
                      <w:color w:val="auto"/>
                      <w:szCs w:val="21"/>
                    </w:rPr>
                    <w:t>封边机</w:t>
                  </w:r>
                </w:p>
              </w:tc>
              <w:tc>
                <w:tcPr>
                  <w:tcW w:w="565" w:type="pct"/>
                  <w:tcBorders>
                    <w:tl2br w:val="nil"/>
                    <w:tr2bl w:val="nil"/>
                  </w:tcBorders>
                  <w:vAlign w:val="center"/>
                </w:tcPr>
                <w:p w14:paraId="0E098CB6">
                  <w:pPr>
                    <w:pStyle w:val="477"/>
                    <w:spacing w:after="0"/>
                    <w:rPr>
                      <w:color w:val="auto"/>
                      <w:szCs w:val="21"/>
                    </w:rPr>
                  </w:pPr>
                  <w:r>
                    <w:rPr>
                      <w:color w:val="auto"/>
                      <w:szCs w:val="21"/>
                    </w:rPr>
                    <w:t>封边废气</w:t>
                  </w:r>
                </w:p>
              </w:tc>
              <w:tc>
                <w:tcPr>
                  <w:tcW w:w="2156" w:type="pct"/>
                  <w:tcBorders>
                    <w:tl2br w:val="nil"/>
                    <w:tr2bl w:val="nil"/>
                  </w:tcBorders>
                  <w:shd w:val="clear" w:color="auto" w:fill="auto"/>
                  <w:vAlign w:val="center"/>
                </w:tcPr>
                <w:p w14:paraId="507FE2D2">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DA001</w:t>
                  </w:r>
                  <w:r>
                    <w:rPr>
                      <w:bCs/>
                      <w:color w:val="auto"/>
                      <w:szCs w:val="21"/>
                    </w:rPr>
                    <w:t>）排放</w:t>
                  </w:r>
                </w:p>
              </w:tc>
            </w:tr>
            <w:tr w14:paraId="7309C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C540900">
                  <w:pPr>
                    <w:pStyle w:val="477"/>
                    <w:spacing w:after="0"/>
                    <w:rPr>
                      <w:color w:val="auto"/>
                      <w:szCs w:val="21"/>
                    </w:rPr>
                  </w:pPr>
                </w:p>
              </w:tc>
              <w:tc>
                <w:tcPr>
                  <w:tcW w:w="353" w:type="pct"/>
                  <w:tcBorders>
                    <w:tl2br w:val="nil"/>
                    <w:tr2bl w:val="nil"/>
                  </w:tcBorders>
                  <w:vAlign w:val="center"/>
                </w:tcPr>
                <w:p w14:paraId="4BCCBE1E">
                  <w:pPr>
                    <w:pStyle w:val="477"/>
                    <w:spacing w:after="0"/>
                    <w:rPr>
                      <w:color w:val="auto"/>
                      <w:szCs w:val="21"/>
                    </w:rPr>
                  </w:pPr>
                  <w:r>
                    <w:rPr>
                      <w:color w:val="auto"/>
                      <w:szCs w:val="21"/>
                    </w:rPr>
                    <w:t>G1-4</w:t>
                  </w:r>
                </w:p>
              </w:tc>
              <w:tc>
                <w:tcPr>
                  <w:tcW w:w="414" w:type="pct"/>
                  <w:tcBorders>
                    <w:tl2br w:val="nil"/>
                    <w:tr2bl w:val="nil"/>
                  </w:tcBorders>
                  <w:vAlign w:val="center"/>
                </w:tcPr>
                <w:p w14:paraId="50274416">
                  <w:pPr>
                    <w:pStyle w:val="477"/>
                    <w:spacing w:after="0"/>
                    <w:rPr>
                      <w:color w:val="auto"/>
                      <w:szCs w:val="21"/>
                    </w:rPr>
                  </w:pPr>
                  <w:r>
                    <w:rPr>
                      <w:color w:val="auto"/>
                      <w:szCs w:val="21"/>
                    </w:rPr>
                    <w:t>倒角/钻孔</w:t>
                  </w:r>
                </w:p>
              </w:tc>
              <w:tc>
                <w:tcPr>
                  <w:tcW w:w="1240" w:type="pct"/>
                  <w:tcBorders>
                    <w:tl2br w:val="nil"/>
                    <w:tr2bl w:val="nil"/>
                  </w:tcBorders>
                  <w:vAlign w:val="center"/>
                </w:tcPr>
                <w:p w14:paraId="4F64969D">
                  <w:pPr>
                    <w:pStyle w:val="477"/>
                    <w:spacing w:after="0"/>
                    <w:rPr>
                      <w:color w:val="auto"/>
                      <w:szCs w:val="21"/>
                    </w:rPr>
                  </w:pPr>
                  <w:r>
                    <w:rPr>
                      <w:color w:val="auto"/>
                      <w:szCs w:val="21"/>
                    </w:rPr>
                    <w:t>雕刻机</w:t>
                  </w:r>
                </w:p>
              </w:tc>
              <w:tc>
                <w:tcPr>
                  <w:tcW w:w="565" w:type="pct"/>
                  <w:tcBorders>
                    <w:tl2br w:val="nil"/>
                    <w:tr2bl w:val="nil"/>
                  </w:tcBorders>
                  <w:vAlign w:val="center"/>
                </w:tcPr>
                <w:p w14:paraId="04B10874">
                  <w:pPr>
                    <w:pStyle w:val="477"/>
                    <w:spacing w:after="0"/>
                    <w:rPr>
                      <w:color w:val="auto"/>
                      <w:szCs w:val="21"/>
                    </w:rPr>
                  </w:pPr>
                  <w:r>
                    <w:rPr>
                      <w:rFonts w:hint="eastAsia"/>
                      <w:color w:val="auto"/>
                      <w:szCs w:val="21"/>
                    </w:rPr>
                    <w:t>钻孔</w:t>
                  </w:r>
                  <w:r>
                    <w:rPr>
                      <w:color w:val="auto"/>
                      <w:szCs w:val="21"/>
                    </w:rPr>
                    <w:t>粉尘</w:t>
                  </w:r>
                </w:p>
              </w:tc>
              <w:tc>
                <w:tcPr>
                  <w:tcW w:w="2156" w:type="pct"/>
                  <w:tcBorders>
                    <w:tl2br w:val="nil"/>
                    <w:tr2bl w:val="nil"/>
                  </w:tcBorders>
                  <w:shd w:val="clear" w:color="auto" w:fill="auto"/>
                  <w:vAlign w:val="center"/>
                </w:tcPr>
                <w:p w14:paraId="788AB5C3">
                  <w:pPr>
                    <w:pStyle w:val="477"/>
                    <w:spacing w:after="0"/>
                    <w:rPr>
                      <w:color w:val="auto"/>
                      <w:szCs w:val="21"/>
                    </w:rPr>
                  </w:pPr>
                  <w:r>
                    <w:rPr>
                      <w:bCs/>
                      <w:color w:val="auto"/>
                      <w:szCs w:val="21"/>
                    </w:rPr>
                    <w:t>设备管道收集+布袋除尘处理+15m高排气筒（DA001）排放</w:t>
                  </w:r>
                </w:p>
              </w:tc>
            </w:tr>
            <w:tr w14:paraId="1CBD8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ABC6B70">
                  <w:pPr>
                    <w:pStyle w:val="477"/>
                    <w:spacing w:after="0"/>
                    <w:rPr>
                      <w:color w:val="auto"/>
                      <w:szCs w:val="21"/>
                    </w:rPr>
                  </w:pPr>
                </w:p>
              </w:tc>
              <w:tc>
                <w:tcPr>
                  <w:tcW w:w="353" w:type="pct"/>
                  <w:tcBorders>
                    <w:tl2br w:val="nil"/>
                    <w:tr2bl w:val="nil"/>
                  </w:tcBorders>
                  <w:vAlign w:val="center"/>
                </w:tcPr>
                <w:p w14:paraId="5909FDA8">
                  <w:pPr>
                    <w:pStyle w:val="477"/>
                    <w:spacing w:after="0"/>
                    <w:rPr>
                      <w:color w:val="auto"/>
                      <w:szCs w:val="21"/>
                    </w:rPr>
                  </w:pPr>
                  <w:r>
                    <w:rPr>
                      <w:color w:val="auto"/>
                      <w:szCs w:val="21"/>
                    </w:rPr>
                    <w:t>G1-5</w:t>
                  </w:r>
                </w:p>
              </w:tc>
              <w:tc>
                <w:tcPr>
                  <w:tcW w:w="414" w:type="pct"/>
                  <w:tcBorders>
                    <w:tl2br w:val="nil"/>
                    <w:tr2bl w:val="nil"/>
                  </w:tcBorders>
                  <w:vAlign w:val="center"/>
                </w:tcPr>
                <w:p w14:paraId="35A6E44C">
                  <w:pPr>
                    <w:pStyle w:val="477"/>
                    <w:spacing w:after="0"/>
                    <w:rPr>
                      <w:color w:val="auto"/>
                      <w:szCs w:val="21"/>
                    </w:rPr>
                  </w:pPr>
                  <w:r>
                    <w:rPr>
                      <w:color w:val="auto"/>
                      <w:szCs w:val="21"/>
                    </w:rPr>
                    <w:t>贴皮</w:t>
                  </w:r>
                </w:p>
              </w:tc>
              <w:tc>
                <w:tcPr>
                  <w:tcW w:w="1240" w:type="pct"/>
                  <w:tcBorders>
                    <w:tl2br w:val="nil"/>
                    <w:tr2bl w:val="nil"/>
                  </w:tcBorders>
                  <w:vAlign w:val="center"/>
                </w:tcPr>
                <w:p w14:paraId="234B56E9">
                  <w:pPr>
                    <w:pStyle w:val="477"/>
                    <w:spacing w:after="0"/>
                    <w:rPr>
                      <w:color w:val="auto"/>
                      <w:szCs w:val="21"/>
                    </w:rPr>
                  </w:pPr>
                  <w:r>
                    <w:rPr>
                      <w:color w:val="auto"/>
                      <w:szCs w:val="21"/>
                    </w:rPr>
                    <w:t>/</w:t>
                  </w:r>
                </w:p>
              </w:tc>
              <w:tc>
                <w:tcPr>
                  <w:tcW w:w="565" w:type="pct"/>
                  <w:tcBorders>
                    <w:tl2br w:val="nil"/>
                    <w:tr2bl w:val="nil"/>
                  </w:tcBorders>
                  <w:vAlign w:val="center"/>
                </w:tcPr>
                <w:p w14:paraId="00DBB30F">
                  <w:pPr>
                    <w:pStyle w:val="477"/>
                    <w:spacing w:after="0"/>
                    <w:rPr>
                      <w:color w:val="auto"/>
                      <w:szCs w:val="21"/>
                    </w:rPr>
                  </w:pPr>
                  <w:r>
                    <w:rPr>
                      <w:color w:val="auto"/>
                      <w:szCs w:val="21"/>
                    </w:rPr>
                    <w:t>贴皮废气</w:t>
                  </w:r>
                </w:p>
              </w:tc>
              <w:tc>
                <w:tcPr>
                  <w:tcW w:w="2156" w:type="pct"/>
                  <w:tcBorders>
                    <w:tl2br w:val="nil"/>
                    <w:tr2bl w:val="nil"/>
                  </w:tcBorders>
                  <w:shd w:val="clear" w:color="auto" w:fill="auto"/>
                  <w:vAlign w:val="center"/>
                </w:tcPr>
                <w:p w14:paraId="13D1968D">
                  <w:pPr>
                    <w:pStyle w:val="477"/>
                    <w:tabs>
                      <w:tab w:val="center" w:pos="981"/>
                      <w:tab w:val="right" w:pos="1842"/>
                    </w:tabs>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DA001</w:t>
                  </w:r>
                  <w:r>
                    <w:rPr>
                      <w:bCs/>
                      <w:color w:val="auto"/>
                      <w:szCs w:val="21"/>
                    </w:rPr>
                    <w:t>）排放</w:t>
                  </w:r>
                </w:p>
              </w:tc>
            </w:tr>
            <w:tr w14:paraId="64B55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647D3ABF">
                  <w:pPr>
                    <w:pStyle w:val="477"/>
                    <w:spacing w:after="0"/>
                    <w:rPr>
                      <w:color w:val="auto"/>
                      <w:szCs w:val="21"/>
                    </w:rPr>
                  </w:pPr>
                </w:p>
              </w:tc>
              <w:tc>
                <w:tcPr>
                  <w:tcW w:w="353" w:type="pct"/>
                  <w:tcBorders>
                    <w:tl2br w:val="nil"/>
                    <w:tr2bl w:val="nil"/>
                  </w:tcBorders>
                  <w:vAlign w:val="center"/>
                </w:tcPr>
                <w:p w14:paraId="08063584">
                  <w:pPr>
                    <w:pStyle w:val="477"/>
                    <w:spacing w:after="0"/>
                    <w:rPr>
                      <w:color w:val="auto"/>
                      <w:szCs w:val="21"/>
                    </w:rPr>
                  </w:pPr>
                  <w:r>
                    <w:rPr>
                      <w:color w:val="auto"/>
                      <w:szCs w:val="21"/>
                    </w:rPr>
                    <w:t>G1-6</w:t>
                  </w:r>
                </w:p>
              </w:tc>
              <w:tc>
                <w:tcPr>
                  <w:tcW w:w="414" w:type="pct"/>
                  <w:tcBorders>
                    <w:tl2br w:val="nil"/>
                    <w:tr2bl w:val="nil"/>
                  </w:tcBorders>
                  <w:vAlign w:val="center"/>
                </w:tcPr>
                <w:p w14:paraId="15D80235">
                  <w:pPr>
                    <w:pStyle w:val="477"/>
                    <w:spacing w:after="0"/>
                    <w:rPr>
                      <w:color w:val="auto"/>
                      <w:szCs w:val="21"/>
                    </w:rPr>
                  </w:pPr>
                  <w:r>
                    <w:rPr>
                      <w:color w:val="auto"/>
                      <w:szCs w:val="21"/>
                    </w:rPr>
                    <w:t>修边</w:t>
                  </w:r>
                </w:p>
              </w:tc>
              <w:tc>
                <w:tcPr>
                  <w:tcW w:w="1240" w:type="pct"/>
                  <w:tcBorders>
                    <w:tl2br w:val="nil"/>
                    <w:tr2bl w:val="nil"/>
                  </w:tcBorders>
                  <w:vAlign w:val="center"/>
                </w:tcPr>
                <w:p w14:paraId="4CFEFA09">
                  <w:pPr>
                    <w:pStyle w:val="477"/>
                    <w:spacing w:after="0"/>
                    <w:rPr>
                      <w:color w:val="auto"/>
                      <w:szCs w:val="21"/>
                    </w:rPr>
                  </w:pPr>
                  <w:r>
                    <w:rPr>
                      <w:color w:val="auto"/>
                      <w:szCs w:val="21"/>
                    </w:rPr>
                    <w:t>修边机</w:t>
                  </w:r>
                </w:p>
              </w:tc>
              <w:tc>
                <w:tcPr>
                  <w:tcW w:w="565" w:type="pct"/>
                  <w:tcBorders>
                    <w:tl2br w:val="nil"/>
                    <w:tr2bl w:val="nil"/>
                  </w:tcBorders>
                  <w:vAlign w:val="center"/>
                </w:tcPr>
                <w:p w14:paraId="3A42F6DE">
                  <w:pPr>
                    <w:pStyle w:val="477"/>
                    <w:spacing w:after="0"/>
                    <w:rPr>
                      <w:color w:val="auto"/>
                      <w:szCs w:val="21"/>
                    </w:rPr>
                  </w:pPr>
                  <w:r>
                    <w:rPr>
                      <w:color w:val="auto"/>
                      <w:szCs w:val="21"/>
                    </w:rPr>
                    <w:t>修边粉尘</w:t>
                  </w:r>
                </w:p>
              </w:tc>
              <w:tc>
                <w:tcPr>
                  <w:tcW w:w="2156" w:type="pct"/>
                  <w:tcBorders>
                    <w:tl2br w:val="nil"/>
                    <w:tr2bl w:val="nil"/>
                  </w:tcBorders>
                  <w:shd w:val="clear" w:color="auto" w:fill="auto"/>
                  <w:vAlign w:val="center"/>
                </w:tcPr>
                <w:p w14:paraId="6FF44ABE">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68692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26383700">
                  <w:pPr>
                    <w:pStyle w:val="477"/>
                    <w:spacing w:after="0"/>
                    <w:rPr>
                      <w:color w:val="auto"/>
                      <w:szCs w:val="21"/>
                    </w:rPr>
                  </w:pPr>
                </w:p>
              </w:tc>
              <w:tc>
                <w:tcPr>
                  <w:tcW w:w="353" w:type="pct"/>
                  <w:tcBorders>
                    <w:tl2br w:val="nil"/>
                    <w:tr2bl w:val="nil"/>
                  </w:tcBorders>
                  <w:vAlign w:val="center"/>
                </w:tcPr>
                <w:p w14:paraId="07834F03">
                  <w:pPr>
                    <w:pStyle w:val="477"/>
                    <w:spacing w:after="0"/>
                    <w:rPr>
                      <w:color w:val="auto"/>
                      <w:szCs w:val="21"/>
                    </w:rPr>
                  </w:pPr>
                  <w:r>
                    <w:rPr>
                      <w:color w:val="auto"/>
                      <w:szCs w:val="21"/>
                    </w:rPr>
                    <w:t>G1-7</w:t>
                  </w:r>
                </w:p>
              </w:tc>
              <w:tc>
                <w:tcPr>
                  <w:tcW w:w="414" w:type="pct"/>
                  <w:tcBorders>
                    <w:tl2br w:val="nil"/>
                    <w:tr2bl w:val="nil"/>
                  </w:tcBorders>
                  <w:vAlign w:val="center"/>
                </w:tcPr>
                <w:p w14:paraId="38C6E565">
                  <w:pPr>
                    <w:pStyle w:val="477"/>
                    <w:spacing w:after="0"/>
                    <w:rPr>
                      <w:color w:val="auto"/>
                      <w:szCs w:val="21"/>
                    </w:rPr>
                  </w:pPr>
                  <w:r>
                    <w:rPr>
                      <w:color w:val="auto"/>
                      <w:szCs w:val="21"/>
                    </w:rPr>
                    <w:t>磨平</w:t>
                  </w:r>
                </w:p>
              </w:tc>
              <w:tc>
                <w:tcPr>
                  <w:tcW w:w="1240" w:type="pct"/>
                  <w:tcBorders>
                    <w:tl2br w:val="nil"/>
                    <w:tr2bl w:val="nil"/>
                  </w:tcBorders>
                  <w:vAlign w:val="center"/>
                </w:tcPr>
                <w:p w14:paraId="32D57F6B">
                  <w:pPr>
                    <w:pStyle w:val="477"/>
                    <w:spacing w:after="0"/>
                    <w:rPr>
                      <w:color w:val="auto"/>
                      <w:szCs w:val="21"/>
                    </w:rPr>
                  </w:pPr>
                  <w:r>
                    <w:rPr>
                      <w:color w:val="auto"/>
                      <w:szCs w:val="21"/>
                    </w:rPr>
                    <w:t>砂纸、气磨机</w:t>
                  </w:r>
                </w:p>
              </w:tc>
              <w:tc>
                <w:tcPr>
                  <w:tcW w:w="565" w:type="pct"/>
                  <w:tcBorders>
                    <w:tl2br w:val="nil"/>
                    <w:tr2bl w:val="nil"/>
                  </w:tcBorders>
                  <w:vAlign w:val="center"/>
                </w:tcPr>
                <w:p w14:paraId="3849DC82">
                  <w:pPr>
                    <w:pStyle w:val="477"/>
                    <w:spacing w:after="0"/>
                    <w:rPr>
                      <w:color w:val="auto"/>
                      <w:szCs w:val="21"/>
                    </w:rPr>
                  </w:pPr>
                  <w:r>
                    <w:rPr>
                      <w:color w:val="auto"/>
                      <w:szCs w:val="21"/>
                    </w:rPr>
                    <w:t>磨平粉尘</w:t>
                  </w:r>
                </w:p>
              </w:tc>
              <w:tc>
                <w:tcPr>
                  <w:tcW w:w="2156" w:type="pct"/>
                  <w:tcBorders>
                    <w:tl2br w:val="nil"/>
                    <w:tr2bl w:val="nil"/>
                  </w:tcBorders>
                  <w:shd w:val="clear" w:color="auto" w:fill="auto"/>
                  <w:vAlign w:val="center"/>
                </w:tcPr>
                <w:p w14:paraId="0145CC2B">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69B69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6284AE2">
                  <w:pPr>
                    <w:pStyle w:val="477"/>
                    <w:spacing w:after="0"/>
                    <w:rPr>
                      <w:color w:val="auto"/>
                      <w:szCs w:val="21"/>
                    </w:rPr>
                  </w:pPr>
                </w:p>
              </w:tc>
              <w:tc>
                <w:tcPr>
                  <w:tcW w:w="353" w:type="pct"/>
                  <w:tcBorders>
                    <w:tl2br w:val="nil"/>
                    <w:tr2bl w:val="nil"/>
                  </w:tcBorders>
                  <w:vAlign w:val="center"/>
                </w:tcPr>
                <w:p w14:paraId="39976DFB">
                  <w:pPr>
                    <w:pStyle w:val="477"/>
                    <w:spacing w:after="0"/>
                    <w:rPr>
                      <w:color w:val="auto"/>
                      <w:szCs w:val="21"/>
                    </w:rPr>
                  </w:pPr>
                  <w:r>
                    <w:rPr>
                      <w:color w:val="auto"/>
                      <w:szCs w:val="21"/>
                    </w:rPr>
                    <w:t>G1-8</w:t>
                  </w:r>
                </w:p>
              </w:tc>
              <w:tc>
                <w:tcPr>
                  <w:tcW w:w="414" w:type="pct"/>
                  <w:tcBorders>
                    <w:tl2br w:val="nil"/>
                    <w:tr2bl w:val="nil"/>
                  </w:tcBorders>
                  <w:vAlign w:val="center"/>
                </w:tcPr>
                <w:p w14:paraId="734378E5">
                  <w:pPr>
                    <w:pStyle w:val="477"/>
                    <w:spacing w:after="0"/>
                    <w:rPr>
                      <w:color w:val="auto"/>
                      <w:szCs w:val="21"/>
                    </w:rPr>
                  </w:pPr>
                  <w:r>
                    <w:rPr>
                      <w:color w:val="auto"/>
                      <w:szCs w:val="21"/>
                    </w:rPr>
                    <w:t>批灰</w:t>
                  </w:r>
                </w:p>
              </w:tc>
              <w:tc>
                <w:tcPr>
                  <w:tcW w:w="1240" w:type="pct"/>
                  <w:tcBorders>
                    <w:tl2br w:val="nil"/>
                    <w:tr2bl w:val="nil"/>
                  </w:tcBorders>
                  <w:vAlign w:val="center"/>
                </w:tcPr>
                <w:p w14:paraId="68ECDC53">
                  <w:pPr>
                    <w:pStyle w:val="477"/>
                    <w:spacing w:after="0"/>
                    <w:rPr>
                      <w:color w:val="auto"/>
                      <w:szCs w:val="21"/>
                    </w:rPr>
                  </w:pPr>
                  <w:r>
                    <w:rPr>
                      <w:color w:val="auto"/>
                      <w:szCs w:val="21"/>
                    </w:rPr>
                    <w:t>/</w:t>
                  </w:r>
                </w:p>
              </w:tc>
              <w:tc>
                <w:tcPr>
                  <w:tcW w:w="565" w:type="pct"/>
                  <w:tcBorders>
                    <w:tl2br w:val="nil"/>
                    <w:tr2bl w:val="nil"/>
                  </w:tcBorders>
                  <w:vAlign w:val="center"/>
                </w:tcPr>
                <w:p w14:paraId="16F758BB">
                  <w:pPr>
                    <w:pStyle w:val="477"/>
                    <w:spacing w:after="0"/>
                    <w:rPr>
                      <w:color w:val="auto"/>
                      <w:szCs w:val="21"/>
                    </w:rPr>
                  </w:pPr>
                  <w:r>
                    <w:rPr>
                      <w:color w:val="auto"/>
                      <w:szCs w:val="21"/>
                    </w:rPr>
                    <w:t>批灰废气</w:t>
                  </w:r>
                </w:p>
              </w:tc>
              <w:tc>
                <w:tcPr>
                  <w:tcW w:w="2156" w:type="pct"/>
                  <w:tcBorders>
                    <w:tl2br w:val="nil"/>
                    <w:tr2bl w:val="nil"/>
                  </w:tcBorders>
                  <w:shd w:val="clear" w:color="auto" w:fill="auto"/>
                  <w:vAlign w:val="center"/>
                </w:tcPr>
                <w:p w14:paraId="682950AA">
                  <w:pPr>
                    <w:pStyle w:val="477"/>
                    <w:spacing w:after="0"/>
                    <w:rPr>
                      <w:color w:val="auto"/>
                      <w:szCs w:val="21"/>
                    </w:rPr>
                  </w:pPr>
                  <w:r>
                    <w:rPr>
                      <w:bCs/>
                      <w:color w:val="auto"/>
                      <w:szCs w:val="21"/>
                    </w:rPr>
                    <w:t>集气罩收</w:t>
                  </w:r>
                  <w:r>
                    <w:rPr>
                      <w:color w:val="auto"/>
                      <w:szCs w:val="21"/>
                    </w:rPr>
                    <w:t>集+干式过滤器+二级活性炭处理</w:t>
                  </w:r>
                  <w:r>
                    <w:rPr>
                      <w:bCs/>
                      <w:color w:val="auto"/>
                      <w:szCs w:val="21"/>
                    </w:rPr>
                    <w:t>+15m高排气筒（</w:t>
                  </w:r>
                  <w:r>
                    <w:rPr>
                      <w:rFonts w:hint="eastAsia"/>
                      <w:bCs/>
                      <w:color w:val="auto"/>
                      <w:szCs w:val="21"/>
                    </w:rPr>
                    <w:t>DA003</w:t>
                  </w:r>
                  <w:r>
                    <w:rPr>
                      <w:bCs/>
                      <w:color w:val="auto"/>
                      <w:szCs w:val="21"/>
                    </w:rPr>
                    <w:t>）排放</w:t>
                  </w:r>
                </w:p>
              </w:tc>
            </w:tr>
            <w:tr w14:paraId="486B2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A6664DE">
                  <w:pPr>
                    <w:pStyle w:val="477"/>
                    <w:spacing w:after="0"/>
                    <w:rPr>
                      <w:color w:val="auto"/>
                      <w:szCs w:val="21"/>
                    </w:rPr>
                  </w:pPr>
                </w:p>
              </w:tc>
              <w:tc>
                <w:tcPr>
                  <w:tcW w:w="353" w:type="pct"/>
                  <w:tcBorders>
                    <w:tl2br w:val="nil"/>
                    <w:tr2bl w:val="nil"/>
                  </w:tcBorders>
                  <w:vAlign w:val="center"/>
                </w:tcPr>
                <w:p w14:paraId="440B8D79">
                  <w:pPr>
                    <w:pStyle w:val="477"/>
                    <w:spacing w:after="0"/>
                    <w:rPr>
                      <w:color w:val="auto"/>
                      <w:szCs w:val="21"/>
                    </w:rPr>
                  </w:pPr>
                  <w:r>
                    <w:rPr>
                      <w:color w:val="auto"/>
                      <w:szCs w:val="21"/>
                    </w:rPr>
                    <w:t>G1-9</w:t>
                  </w:r>
                </w:p>
              </w:tc>
              <w:tc>
                <w:tcPr>
                  <w:tcW w:w="414" w:type="pct"/>
                  <w:tcBorders>
                    <w:tl2br w:val="nil"/>
                    <w:tr2bl w:val="nil"/>
                  </w:tcBorders>
                  <w:vAlign w:val="center"/>
                </w:tcPr>
                <w:p w14:paraId="7622AC8C">
                  <w:pPr>
                    <w:pStyle w:val="477"/>
                    <w:spacing w:after="0"/>
                    <w:rPr>
                      <w:color w:val="auto"/>
                      <w:szCs w:val="21"/>
                    </w:rPr>
                  </w:pPr>
                  <w:r>
                    <w:rPr>
                      <w:color w:val="auto"/>
                      <w:szCs w:val="21"/>
                    </w:rPr>
                    <w:t>打磨</w:t>
                  </w:r>
                </w:p>
              </w:tc>
              <w:tc>
                <w:tcPr>
                  <w:tcW w:w="1240" w:type="pct"/>
                  <w:tcBorders>
                    <w:tl2br w:val="nil"/>
                    <w:tr2bl w:val="nil"/>
                  </w:tcBorders>
                  <w:vAlign w:val="center"/>
                </w:tcPr>
                <w:p w14:paraId="0424EDC6">
                  <w:pPr>
                    <w:pStyle w:val="477"/>
                    <w:spacing w:after="0"/>
                    <w:rPr>
                      <w:color w:val="auto"/>
                      <w:szCs w:val="21"/>
                    </w:rPr>
                  </w:pPr>
                  <w:r>
                    <w:rPr>
                      <w:color w:val="auto"/>
                      <w:szCs w:val="21"/>
                    </w:rPr>
                    <w:t>砂纸、气磨机</w:t>
                  </w:r>
                </w:p>
              </w:tc>
              <w:tc>
                <w:tcPr>
                  <w:tcW w:w="565" w:type="pct"/>
                  <w:tcBorders>
                    <w:tl2br w:val="nil"/>
                    <w:tr2bl w:val="nil"/>
                  </w:tcBorders>
                  <w:vAlign w:val="center"/>
                </w:tcPr>
                <w:p w14:paraId="14CC8C08">
                  <w:pPr>
                    <w:pStyle w:val="477"/>
                    <w:spacing w:after="0"/>
                    <w:rPr>
                      <w:color w:val="auto"/>
                      <w:szCs w:val="21"/>
                    </w:rPr>
                  </w:pPr>
                  <w:r>
                    <w:rPr>
                      <w:color w:val="auto"/>
                      <w:szCs w:val="21"/>
                    </w:rPr>
                    <w:t>打磨废气</w:t>
                  </w:r>
                </w:p>
              </w:tc>
              <w:tc>
                <w:tcPr>
                  <w:tcW w:w="2156" w:type="pct"/>
                  <w:tcBorders>
                    <w:tl2br w:val="nil"/>
                    <w:tr2bl w:val="nil"/>
                  </w:tcBorders>
                  <w:shd w:val="clear" w:color="auto" w:fill="auto"/>
                  <w:vAlign w:val="center"/>
                </w:tcPr>
                <w:p w14:paraId="3741754F">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272AB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A987E87">
                  <w:pPr>
                    <w:pStyle w:val="477"/>
                    <w:spacing w:after="0"/>
                    <w:rPr>
                      <w:color w:val="auto"/>
                      <w:szCs w:val="21"/>
                    </w:rPr>
                  </w:pPr>
                </w:p>
              </w:tc>
              <w:tc>
                <w:tcPr>
                  <w:tcW w:w="353" w:type="pct"/>
                  <w:tcBorders>
                    <w:tl2br w:val="nil"/>
                    <w:tr2bl w:val="nil"/>
                  </w:tcBorders>
                  <w:vAlign w:val="center"/>
                </w:tcPr>
                <w:p w14:paraId="2CB6BC84">
                  <w:pPr>
                    <w:pStyle w:val="477"/>
                    <w:spacing w:after="0"/>
                    <w:rPr>
                      <w:color w:val="auto"/>
                      <w:szCs w:val="21"/>
                    </w:rPr>
                  </w:pPr>
                  <w:r>
                    <w:rPr>
                      <w:color w:val="auto"/>
                      <w:szCs w:val="21"/>
                    </w:rPr>
                    <w:t>G1-10</w:t>
                  </w:r>
                </w:p>
              </w:tc>
              <w:tc>
                <w:tcPr>
                  <w:tcW w:w="414" w:type="pct"/>
                  <w:tcBorders>
                    <w:tl2br w:val="nil"/>
                    <w:tr2bl w:val="nil"/>
                  </w:tcBorders>
                  <w:vAlign w:val="center"/>
                </w:tcPr>
                <w:p w14:paraId="351D8903">
                  <w:pPr>
                    <w:pStyle w:val="477"/>
                    <w:spacing w:after="0"/>
                    <w:rPr>
                      <w:color w:val="auto"/>
                      <w:szCs w:val="21"/>
                    </w:rPr>
                  </w:pPr>
                  <w:r>
                    <w:rPr>
                      <w:color w:val="auto"/>
                      <w:szCs w:val="21"/>
                    </w:rPr>
                    <w:t>调漆</w:t>
                  </w:r>
                </w:p>
              </w:tc>
              <w:tc>
                <w:tcPr>
                  <w:tcW w:w="1240" w:type="pct"/>
                  <w:tcBorders>
                    <w:tl2br w:val="nil"/>
                    <w:tr2bl w:val="nil"/>
                  </w:tcBorders>
                  <w:vAlign w:val="center"/>
                </w:tcPr>
                <w:p w14:paraId="033B09D8">
                  <w:pPr>
                    <w:pStyle w:val="477"/>
                    <w:spacing w:after="0"/>
                    <w:rPr>
                      <w:color w:val="auto"/>
                      <w:szCs w:val="21"/>
                    </w:rPr>
                  </w:pPr>
                  <w:r>
                    <w:rPr>
                      <w:color w:val="auto"/>
                      <w:szCs w:val="21"/>
                    </w:rPr>
                    <w:t>调漆房</w:t>
                  </w:r>
                </w:p>
              </w:tc>
              <w:tc>
                <w:tcPr>
                  <w:tcW w:w="565" w:type="pct"/>
                  <w:tcBorders>
                    <w:tl2br w:val="nil"/>
                    <w:tr2bl w:val="nil"/>
                  </w:tcBorders>
                  <w:vAlign w:val="center"/>
                </w:tcPr>
                <w:p w14:paraId="02043AA9">
                  <w:pPr>
                    <w:pStyle w:val="477"/>
                    <w:spacing w:after="0"/>
                    <w:rPr>
                      <w:color w:val="auto"/>
                      <w:szCs w:val="21"/>
                    </w:rPr>
                  </w:pPr>
                  <w:r>
                    <w:rPr>
                      <w:color w:val="auto"/>
                      <w:szCs w:val="21"/>
                    </w:rPr>
                    <w:t>调漆废气</w:t>
                  </w:r>
                </w:p>
              </w:tc>
              <w:tc>
                <w:tcPr>
                  <w:tcW w:w="2156" w:type="pct"/>
                  <w:vMerge w:val="restart"/>
                  <w:tcBorders>
                    <w:tl2br w:val="nil"/>
                    <w:tr2bl w:val="nil"/>
                  </w:tcBorders>
                  <w:vAlign w:val="center"/>
                </w:tcPr>
                <w:p w14:paraId="736B5B11">
                  <w:pPr>
                    <w:pStyle w:val="477"/>
                    <w:spacing w:after="0"/>
                    <w:rPr>
                      <w:color w:val="auto"/>
                      <w:szCs w:val="21"/>
                    </w:rPr>
                  </w:pPr>
                  <w:r>
                    <w:rPr>
                      <w:bCs/>
                      <w:color w:val="auto"/>
                      <w:szCs w:val="21"/>
                    </w:rPr>
                    <w:t>集气罩收</w:t>
                  </w:r>
                  <w:r>
                    <w:rPr>
                      <w:color w:val="auto"/>
                      <w:szCs w:val="21"/>
                    </w:rPr>
                    <w:t>集+干式过滤器+二级活性炭处理</w:t>
                  </w:r>
                  <w:r>
                    <w:rPr>
                      <w:bCs/>
                      <w:color w:val="auto"/>
                      <w:szCs w:val="21"/>
                    </w:rPr>
                    <w:t>+15m高排气筒（</w:t>
                  </w:r>
                  <w:r>
                    <w:rPr>
                      <w:rFonts w:hint="eastAsia"/>
                      <w:bCs/>
                      <w:color w:val="auto"/>
                      <w:szCs w:val="21"/>
                    </w:rPr>
                    <w:t>DA003</w:t>
                  </w:r>
                  <w:r>
                    <w:rPr>
                      <w:bCs/>
                      <w:color w:val="auto"/>
                      <w:szCs w:val="21"/>
                    </w:rPr>
                    <w:t>）排放</w:t>
                  </w:r>
                </w:p>
              </w:tc>
            </w:tr>
            <w:tr w14:paraId="20278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9146D14">
                  <w:pPr>
                    <w:pStyle w:val="477"/>
                    <w:spacing w:after="0"/>
                    <w:rPr>
                      <w:color w:val="auto"/>
                      <w:szCs w:val="21"/>
                    </w:rPr>
                  </w:pPr>
                </w:p>
              </w:tc>
              <w:tc>
                <w:tcPr>
                  <w:tcW w:w="353" w:type="pct"/>
                  <w:tcBorders>
                    <w:tl2br w:val="nil"/>
                    <w:tr2bl w:val="nil"/>
                  </w:tcBorders>
                  <w:vAlign w:val="center"/>
                </w:tcPr>
                <w:p w14:paraId="2F18EA3C">
                  <w:pPr>
                    <w:pStyle w:val="477"/>
                    <w:spacing w:after="0"/>
                    <w:rPr>
                      <w:color w:val="auto"/>
                      <w:szCs w:val="21"/>
                    </w:rPr>
                  </w:pPr>
                  <w:r>
                    <w:rPr>
                      <w:color w:val="auto"/>
                      <w:szCs w:val="21"/>
                    </w:rPr>
                    <w:t>G1-11</w:t>
                  </w:r>
                </w:p>
              </w:tc>
              <w:tc>
                <w:tcPr>
                  <w:tcW w:w="414" w:type="pct"/>
                  <w:tcBorders>
                    <w:tl2br w:val="nil"/>
                    <w:tr2bl w:val="nil"/>
                  </w:tcBorders>
                  <w:vAlign w:val="center"/>
                </w:tcPr>
                <w:p w14:paraId="46BB38CC">
                  <w:pPr>
                    <w:pStyle w:val="477"/>
                    <w:spacing w:after="0"/>
                    <w:rPr>
                      <w:color w:val="auto"/>
                      <w:szCs w:val="21"/>
                    </w:rPr>
                  </w:pPr>
                  <w:r>
                    <w:rPr>
                      <w:color w:val="auto"/>
                      <w:szCs w:val="21"/>
                    </w:rPr>
                    <w:t>喷底漆</w:t>
                  </w:r>
                </w:p>
              </w:tc>
              <w:tc>
                <w:tcPr>
                  <w:tcW w:w="1240" w:type="pct"/>
                  <w:tcBorders>
                    <w:tl2br w:val="nil"/>
                    <w:tr2bl w:val="nil"/>
                  </w:tcBorders>
                  <w:vAlign w:val="center"/>
                </w:tcPr>
                <w:p w14:paraId="5FAAE1DB">
                  <w:pPr>
                    <w:pStyle w:val="477"/>
                    <w:spacing w:after="0"/>
                    <w:rPr>
                      <w:color w:val="auto"/>
                      <w:szCs w:val="21"/>
                    </w:rPr>
                  </w:pPr>
                  <w:r>
                    <w:rPr>
                      <w:color w:val="auto"/>
                      <w:szCs w:val="21"/>
                    </w:rPr>
                    <w:t>底漆房</w:t>
                  </w:r>
                </w:p>
              </w:tc>
              <w:tc>
                <w:tcPr>
                  <w:tcW w:w="565" w:type="pct"/>
                  <w:tcBorders>
                    <w:tl2br w:val="nil"/>
                    <w:tr2bl w:val="nil"/>
                  </w:tcBorders>
                  <w:vAlign w:val="center"/>
                </w:tcPr>
                <w:p w14:paraId="5186F27C">
                  <w:pPr>
                    <w:pStyle w:val="477"/>
                    <w:spacing w:after="0"/>
                    <w:rPr>
                      <w:color w:val="auto"/>
                      <w:szCs w:val="21"/>
                    </w:rPr>
                  </w:pPr>
                  <w:r>
                    <w:rPr>
                      <w:color w:val="auto"/>
                      <w:szCs w:val="21"/>
                    </w:rPr>
                    <w:t>喷漆废气</w:t>
                  </w:r>
                </w:p>
              </w:tc>
              <w:tc>
                <w:tcPr>
                  <w:tcW w:w="2156" w:type="pct"/>
                  <w:vMerge w:val="continue"/>
                  <w:tcBorders>
                    <w:tl2br w:val="nil"/>
                    <w:tr2bl w:val="nil"/>
                  </w:tcBorders>
                  <w:vAlign w:val="center"/>
                </w:tcPr>
                <w:p w14:paraId="4BA5F1A0">
                  <w:pPr>
                    <w:pStyle w:val="477"/>
                    <w:spacing w:after="0"/>
                    <w:rPr>
                      <w:color w:val="auto"/>
                      <w:szCs w:val="21"/>
                    </w:rPr>
                  </w:pPr>
                </w:p>
              </w:tc>
            </w:tr>
            <w:tr w14:paraId="48778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6B1E280">
                  <w:pPr>
                    <w:pStyle w:val="477"/>
                    <w:spacing w:after="0"/>
                    <w:rPr>
                      <w:color w:val="auto"/>
                      <w:szCs w:val="21"/>
                    </w:rPr>
                  </w:pPr>
                </w:p>
              </w:tc>
              <w:tc>
                <w:tcPr>
                  <w:tcW w:w="353" w:type="pct"/>
                  <w:tcBorders>
                    <w:tl2br w:val="nil"/>
                    <w:tr2bl w:val="nil"/>
                  </w:tcBorders>
                  <w:vAlign w:val="center"/>
                </w:tcPr>
                <w:p w14:paraId="72044C54">
                  <w:pPr>
                    <w:pStyle w:val="477"/>
                    <w:spacing w:after="0"/>
                    <w:rPr>
                      <w:color w:val="auto"/>
                      <w:szCs w:val="21"/>
                    </w:rPr>
                  </w:pPr>
                  <w:r>
                    <w:rPr>
                      <w:color w:val="auto"/>
                      <w:szCs w:val="21"/>
                    </w:rPr>
                    <w:t>G1-12</w:t>
                  </w:r>
                </w:p>
              </w:tc>
              <w:tc>
                <w:tcPr>
                  <w:tcW w:w="414" w:type="pct"/>
                  <w:tcBorders>
                    <w:tl2br w:val="nil"/>
                    <w:tr2bl w:val="nil"/>
                  </w:tcBorders>
                  <w:vAlign w:val="center"/>
                </w:tcPr>
                <w:p w14:paraId="655B1600">
                  <w:pPr>
                    <w:pStyle w:val="477"/>
                    <w:spacing w:after="0"/>
                    <w:rPr>
                      <w:color w:val="auto"/>
                      <w:szCs w:val="21"/>
                    </w:rPr>
                  </w:pPr>
                  <w:r>
                    <w:rPr>
                      <w:color w:val="auto"/>
                      <w:szCs w:val="21"/>
                    </w:rPr>
                    <w:t>晾干</w:t>
                  </w:r>
                </w:p>
              </w:tc>
              <w:tc>
                <w:tcPr>
                  <w:tcW w:w="1240" w:type="pct"/>
                  <w:tcBorders>
                    <w:tl2br w:val="nil"/>
                    <w:tr2bl w:val="nil"/>
                  </w:tcBorders>
                  <w:vAlign w:val="center"/>
                </w:tcPr>
                <w:p w14:paraId="6628D63D">
                  <w:pPr>
                    <w:pStyle w:val="477"/>
                    <w:spacing w:after="0"/>
                    <w:rPr>
                      <w:color w:val="auto"/>
                      <w:szCs w:val="21"/>
                    </w:rPr>
                  </w:pPr>
                  <w:r>
                    <w:rPr>
                      <w:color w:val="auto"/>
                      <w:szCs w:val="21"/>
                    </w:rPr>
                    <w:t>晾干房</w:t>
                  </w:r>
                </w:p>
              </w:tc>
              <w:tc>
                <w:tcPr>
                  <w:tcW w:w="565" w:type="pct"/>
                  <w:tcBorders>
                    <w:tl2br w:val="nil"/>
                    <w:tr2bl w:val="nil"/>
                  </w:tcBorders>
                  <w:vAlign w:val="center"/>
                </w:tcPr>
                <w:p w14:paraId="58979BA0">
                  <w:pPr>
                    <w:pStyle w:val="477"/>
                    <w:spacing w:after="0"/>
                    <w:rPr>
                      <w:color w:val="auto"/>
                      <w:szCs w:val="21"/>
                    </w:rPr>
                  </w:pPr>
                  <w:r>
                    <w:rPr>
                      <w:color w:val="auto"/>
                      <w:szCs w:val="21"/>
                    </w:rPr>
                    <w:t>晾干</w:t>
                  </w:r>
                  <w:r>
                    <w:rPr>
                      <w:rFonts w:hint="eastAsia"/>
                      <w:color w:val="auto"/>
                      <w:szCs w:val="21"/>
                    </w:rPr>
                    <w:t>/烘干</w:t>
                  </w:r>
                  <w:r>
                    <w:rPr>
                      <w:color w:val="auto"/>
                      <w:szCs w:val="21"/>
                    </w:rPr>
                    <w:t>废气</w:t>
                  </w:r>
                </w:p>
              </w:tc>
              <w:tc>
                <w:tcPr>
                  <w:tcW w:w="2156" w:type="pct"/>
                  <w:vMerge w:val="continue"/>
                  <w:tcBorders>
                    <w:tl2br w:val="nil"/>
                    <w:tr2bl w:val="nil"/>
                  </w:tcBorders>
                  <w:vAlign w:val="center"/>
                </w:tcPr>
                <w:p w14:paraId="70BBB256">
                  <w:pPr>
                    <w:pStyle w:val="477"/>
                    <w:spacing w:after="0"/>
                    <w:rPr>
                      <w:color w:val="auto"/>
                      <w:szCs w:val="21"/>
                    </w:rPr>
                  </w:pPr>
                </w:p>
              </w:tc>
            </w:tr>
            <w:tr w14:paraId="7683D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D909110">
                  <w:pPr>
                    <w:pStyle w:val="477"/>
                    <w:spacing w:after="0"/>
                    <w:rPr>
                      <w:color w:val="auto"/>
                      <w:szCs w:val="21"/>
                    </w:rPr>
                  </w:pPr>
                </w:p>
              </w:tc>
              <w:tc>
                <w:tcPr>
                  <w:tcW w:w="353" w:type="pct"/>
                  <w:tcBorders>
                    <w:tl2br w:val="nil"/>
                    <w:tr2bl w:val="nil"/>
                  </w:tcBorders>
                  <w:vAlign w:val="center"/>
                </w:tcPr>
                <w:p w14:paraId="74A19EE4">
                  <w:pPr>
                    <w:pStyle w:val="477"/>
                    <w:spacing w:after="0"/>
                    <w:rPr>
                      <w:color w:val="auto"/>
                      <w:szCs w:val="21"/>
                    </w:rPr>
                  </w:pPr>
                  <w:r>
                    <w:rPr>
                      <w:color w:val="auto"/>
                      <w:szCs w:val="21"/>
                    </w:rPr>
                    <w:t>G1-13</w:t>
                  </w:r>
                </w:p>
              </w:tc>
              <w:tc>
                <w:tcPr>
                  <w:tcW w:w="414" w:type="pct"/>
                  <w:tcBorders>
                    <w:tl2br w:val="nil"/>
                    <w:tr2bl w:val="nil"/>
                  </w:tcBorders>
                  <w:vAlign w:val="center"/>
                </w:tcPr>
                <w:p w14:paraId="431359E5">
                  <w:pPr>
                    <w:pStyle w:val="477"/>
                    <w:spacing w:after="0"/>
                    <w:rPr>
                      <w:color w:val="auto"/>
                      <w:szCs w:val="21"/>
                    </w:rPr>
                  </w:pPr>
                  <w:r>
                    <w:rPr>
                      <w:color w:val="auto"/>
                      <w:szCs w:val="21"/>
                    </w:rPr>
                    <w:t>打磨</w:t>
                  </w:r>
                </w:p>
              </w:tc>
              <w:tc>
                <w:tcPr>
                  <w:tcW w:w="1240" w:type="pct"/>
                  <w:tcBorders>
                    <w:tl2br w:val="nil"/>
                    <w:tr2bl w:val="nil"/>
                  </w:tcBorders>
                  <w:vAlign w:val="center"/>
                </w:tcPr>
                <w:p w14:paraId="4FDB188A">
                  <w:pPr>
                    <w:pStyle w:val="477"/>
                    <w:spacing w:after="0"/>
                    <w:rPr>
                      <w:color w:val="auto"/>
                      <w:szCs w:val="21"/>
                    </w:rPr>
                  </w:pPr>
                  <w:r>
                    <w:rPr>
                      <w:color w:val="auto"/>
                      <w:szCs w:val="21"/>
                    </w:rPr>
                    <w:t>砂纸</w:t>
                  </w:r>
                </w:p>
              </w:tc>
              <w:tc>
                <w:tcPr>
                  <w:tcW w:w="565" w:type="pct"/>
                  <w:tcBorders>
                    <w:tl2br w:val="nil"/>
                    <w:tr2bl w:val="nil"/>
                  </w:tcBorders>
                  <w:vAlign w:val="center"/>
                </w:tcPr>
                <w:p w14:paraId="382101A7">
                  <w:pPr>
                    <w:pStyle w:val="477"/>
                    <w:spacing w:after="0"/>
                    <w:rPr>
                      <w:color w:val="auto"/>
                      <w:szCs w:val="21"/>
                    </w:rPr>
                  </w:pPr>
                  <w:r>
                    <w:rPr>
                      <w:color w:val="auto"/>
                      <w:szCs w:val="21"/>
                    </w:rPr>
                    <w:t>打磨粉尘</w:t>
                  </w:r>
                </w:p>
              </w:tc>
              <w:tc>
                <w:tcPr>
                  <w:tcW w:w="2156" w:type="pct"/>
                  <w:tcBorders>
                    <w:tl2br w:val="nil"/>
                    <w:tr2bl w:val="nil"/>
                  </w:tcBorders>
                  <w:vAlign w:val="center"/>
                </w:tcPr>
                <w:p w14:paraId="7E63E605">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36596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EE80877">
                  <w:pPr>
                    <w:pStyle w:val="477"/>
                    <w:spacing w:after="0"/>
                    <w:rPr>
                      <w:color w:val="auto"/>
                      <w:szCs w:val="21"/>
                    </w:rPr>
                  </w:pPr>
                </w:p>
              </w:tc>
              <w:tc>
                <w:tcPr>
                  <w:tcW w:w="353" w:type="pct"/>
                  <w:tcBorders>
                    <w:tl2br w:val="nil"/>
                    <w:tr2bl w:val="nil"/>
                  </w:tcBorders>
                  <w:vAlign w:val="center"/>
                </w:tcPr>
                <w:p w14:paraId="550AA47C">
                  <w:pPr>
                    <w:pStyle w:val="477"/>
                    <w:spacing w:after="0"/>
                    <w:rPr>
                      <w:color w:val="auto"/>
                      <w:szCs w:val="21"/>
                    </w:rPr>
                  </w:pPr>
                  <w:r>
                    <w:rPr>
                      <w:color w:val="auto"/>
                      <w:szCs w:val="21"/>
                    </w:rPr>
                    <w:t>G1-14</w:t>
                  </w:r>
                </w:p>
              </w:tc>
              <w:tc>
                <w:tcPr>
                  <w:tcW w:w="414" w:type="pct"/>
                  <w:tcBorders>
                    <w:tl2br w:val="nil"/>
                    <w:tr2bl w:val="nil"/>
                  </w:tcBorders>
                  <w:vAlign w:val="center"/>
                </w:tcPr>
                <w:p w14:paraId="0C60059C">
                  <w:pPr>
                    <w:pStyle w:val="477"/>
                    <w:spacing w:after="0"/>
                    <w:rPr>
                      <w:color w:val="auto"/>
                      <w:szCs w:val="21"/>
                    </w:rPr>
                  </w:pPr>
                  <w:r>
                    <w:rPr>
                      <w:color w:val="auto"/>
                      <w:szCs w:val="21"/>
                    </w:rPr>
                    <w:t>调漆</w:t>
                  </w:r>
                </w:p>
              </w:tc>
              <w:tc>
                <w:tcPr>
                  <w:tcW w:w="1240" w:type="pct"/>
                  <w:tcBorders>
                    <w:tl2br w:val="nil"/>
                    <w:tr2bl w:val="nil"/>
                  </w:tcBorders>
                  <w:vAlign w:val="center"/>
                </w:tcPr>
                <w:p w14:paraId="3474F02A">
                  <w:pPr>
                    <w:pStyle w:val="477"/>
                    <w:spacing w:after="0"/>
                    <w:rPr>
                      <w:color w:val="auto"/>
                      <w:szCs w:val="21"/>
                    </w:rPr>
                  </w:pPr>
                  <w:r>
                    <w:rPr>
                      <w:color w:val="auto"/>
                      <w:szCs w:val="21"/>
                    </w:rPr>
                    <w:t>调漆房</w:t>
                  </w:r>
                </w:p>
              </w:tc>
              <w:tc>
                <w:tcPr>
                  <w:tcW w:w="565" w:type="pct"/>
                  <w:tcBorders>
                    <w:tl2br w:val="nil"/>
                    <w:tr2bl w:val="nil"/>
                  </w:tcBorders>
                  <w:vAlign w:val="center"/>
                </w:tcPr>
                <w:p w14:paraId="18FB5B11">
                  <w:pPr>
                    <w:pStyle w:val="477"/>
                    <w:spacing w:after="0"/>
                    <w:rPr>
                      <w:color w:val="auto"/>
                      <w:szCs w:val="21"/>
                    </w:rPr>
                  </w:pPr>
                  <w:r>
                    <w:rPr>
                      <w:color w:val="auto"/>
                      <w:szCs w:val="21"/>
                    </w:rPr>
                    <w:t>调漆废气</w:t>
                  </w:r>
                </w:p>
              </w:tc>
              <w:tc>
                <w:tcPr>
                  <w:tcW w:w="2156" w:type="pct"/>
                  <w:vMerge w:val="restart"/>
                  <w:tcBorders>
                    <w:tl2br w:val="nil"/>
                    <w:tr2bl w:val="nil"/>
                  </w:tcBorders>
                  <w:vAlign w:val="center"/>
                </w:tcPr>
                <w:p w14:paraId="3031A562">
                  <w:pPr>
                    <w:pStyle w:val="477"/>
                    <w:spacing w:after="0"/>
                    <w:rPr>
                      <w:color w:val="auto"/>
                      <w:szCs w:val="21"/>
                    </w:rPr>
                  </w:pPr>
                  <w:r>
                    <w:rPr>
                      <w:bCs/>
                      <w:color w:val="auto"/>
                      <w:szCs w:val="21"/>
                    </w:rPr>
                    <w:t>集气罩收</w:t>
                  </w:r>
                  <w:r>
                    <w:rPr>
                      <w:color w:val="auto"/>
                      <w:szCs w:val="21"/>
                    </w:rPr>
                    <w:t>集+干式过滤器+二级活性炭处理</w:t>
                  </w:r>
                  <w:r>
                    <w:rPr>
                      <w:bCs/>
                      <w:color w:val="auto"/>
                      <w:szCs w:val="21"/>
                    </w:rPr>
                    <w:t>+15m高排气筒（</w:t>
                  </w:r>
                  <w:r>
                    <w:rPr>
                      <w:rFonts w:hint="eastAsia"/>
                      <w:bCs/>
                      <w:color w:val="auto"/>
                      <w:szCs w:val="21"/>
                    </w:rPr>
                    <w:t>DA003</w:t>
                  </w:r>
                  <w:r>
                    <w:rPr>
                      <w:bCs/>
                      <w:color w:val="auto"/>
                      <w:szCs w:val="21"/>
                    </w:rPr>
                    <w:t>）排放</w:t>
                  </w:r>
                </w:p>
              </w:tc>
            </w:tr>
            <w:tr w14:paraId="018D7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68C24C1">
                  <w:pPr>
                    <w:pStyle w:val="477"/>
                    <w:spacing w:after="0"/>
                    <w:rPr>
                      <w:color w:val="auto"/>
                      <w:szCs w:val="21"/>
                    </w:rPr>
                  </w:pPr>
                </w:p>
              </w:tc>
              <w:tc>
                <w:tcPr>
                  <w:tcW w:w="353" w:type="pct"/>
                  <w:tcBorders>
                    <w:tl2br w:val="nil"/>
                    <w:tr2bl w:val="nil"/>
                  </w:tcBorders>
                  <w:vAlign w:val="center"/>
                </w:tcPr>
                <w:p w14:paraId="41D50777">
                  <w:pPr>
                    <w:pStyle w:val="477"/>
                    <w:spacing w:after="0"/>
                    <w:rPr>
                      <w:color w:val="auto"/>
                      <w:szCs w:val="21"/>
                    </w:rPr>
                  </w:pPr>
                  <w:r>
                    <w:rPr>
                      <w:color w:val="auto"/>
                      <w:szCs w:val="21"/>
                    </w:rPr>
                    <w:t>G1-15</w:t>
                  </w:r>
                </w:p>
              </w:tc>
              <w:tc>
                <w:tcPr>
                  <w:tcW w:w="414" w:type="pct"/>
                  <w:tcBorders>
                    <w:tl2br w:val="nil"/>
                    <w:tr2bl w:val="nil"/>
                  </w:tcBorders>
                  <w:vAlign w:val="center"/>
                </w:tcPr>
                <w:p w14:paraId="4106EE6A">
                  <w:pPr>
                    <w:pStyle w:val="477"/>
                    <w:spacing w:after="0"/>
                    <w:rPr>
                      <w:color w:val="auto"/>
                      <w:szCs w:val="21"/>
                    </w:rPr>
                  </w:pPr>
                  <w:r>
                    <w:rPr>
                      <w:color w:val="auto"/>
                      <w:szCs w:val="21"/>
                    </w:rPr>
                    <w:t>喷面漆</w:t>
                  </w:r>
                </w:p>
              </w:tc>
              <w:tc>
                <w:tcPr>
                  <w:tcW w:w="1240" w:type="pct"/>
                  <w:tcBorders>
                    <w:tl2br w:val="nil"/>
                    <w:tr2bl w:val="nil"/>
                  </w:tcBorders>
                  <w:vAlign w:val="center"/>
                </w:tcPr>
                <w:p w14:paraId="2125B8DA">
                  <w:pPr>
                    <w:pStyle w:val="477"/>
                    <w:spacing w:after="0"/>
                    <w:rPr>
                      <w:color w:val="auto"/>
                      <w:szCs w:val="21"/>
                    </w:rPr>
                  </w:pPr>
                  <w:r>
                    <w:rPr>
                      <w:color w:val="auto"/>
                      <w:szCs w:val="21"/>
                    </w:rPr>
                    <w:t>喷漆房</w:t>
                  </w:r>
                </w:p>
              </w:tc>
              <w:tc>
                <w:tcPr>
                  <w:tcW w:w="565" w:type="pct"/>
                  <w:tcBorders>
                    <w:tl2br w:val="nil"/>
                    <w:tr2bl w:val="nil"/>
                  </w:tcBorders>
                  <w:vAlign w:val="center"/>
                </w:tcPr>
                <w:p w14:paraId="09D50744">
                  <w:pPr>
                    <w:pStyle w:val="477"/>
                    <w:spacing w:after="0"/>
                    <w:rPr>
                      <w:color w:val="auto"/>
                      <w:szCs w:val="21"/>
                    </w:rPr>
                  </w:pPr>
                  <w:r>
                    <w:rPr>
                      <w:color w:val="auto"/>
                      <w:szCs w:val="21"/>
                    </w:rPr>
                    <w:t>喷漆废气</w:t>
                  </w:r>
                </w:p>
              </w:tc>
              <w:tc>
                <w:tcPr>
                  <w:tcW w:w="2156" w:type="pct"/>
                  <w:vMerge w:val="continue"/>
                  <w:tcBorders>
                    <w:tl2br w:val="nil"/>
                    <w:tr2bl w:val="nil"/>
                  </w:tcBorders>
                  <w:vAlign w:val="center"/>
                </w:tcPr>
                <w:p w14:paraId="3240C960">
                  <w:pPr>
                    <w:pStyle w:val="477"/>
                    <w:spacing w:after="0"/>
                    <w:rPr>
                      <w:color w:val="auto"/>
                      <w:szCs w:val="21"/>
                    </w:rPr>
                  </w:pPr>
                </w:p>
              </w:tc>
            </w:tr>
            <w:tr w14:paraId="3F91E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CC8787B">
                  <w:pPr>
                    <w:pStyle w:val="477"/>
                    <w:spacing w:after="0"/>
                    <w:rPr>
                      <w:color w:val="auto"/>
                      <w:szCs w:val="21"/>
                    </w:rPr>
                  </w:pPr>
                </w:p>
              </w:tc>
              <w:tc>
                <w:tcPr>
                  <w:tcW w:w="353" w:type="pct"/>
                  <w:tcBorders>
                    <w:tl2br w:val="nil"/>
                    <w:tr2bl w:val="nil"/>
                  </w:tcBorders>
                  <w:vAlign w:val="center"/>
                </w:tcPr>
                <w:p w14:paraId="074D6C70">
                  <w:pPr>
                    <w:pStyle w:val="477"/>
                    <w:spacing w:after="0"/>
                    <w:rPr>
                      <w:color w:val="auto"/>
                      <w:szCs w:val="21"/>
                    </w:rPr>
                  </w:pPr>
                  <w:r>
                    <w:rPr>
                      <w:color w:val="auto"/>
                      <w:szCs w:val="21"/>
                    </w:rPr>
                    <w:t>G1-16</w:t>
                  </w:r>
                </w:p>
              </w:tc>
              <w:tc>
                <w:tcPr>
                  <w:tcW w:w="414" w:type="pct"/>
                  <w:tcBorders>
                    <w:tl2br w:val="nil"/>
                    <w:tr2bl w:val="nil"/>
                  </w:tcBorders>
                  <w:vAlign w:val="center"/>
                </w:tcPr>
                <w:p w14:paraId="226B64AD">
                  <w:pPr>
                    <w:pStyle w:val="477"/>
                    <w:spacing w:after="0"/>
                    <w:rPr>
                      <w:color w:val="auto"/>
                      <w:szCs w:val="21"/>
                    </w:rPr>
                  </w:pPr>
                  <w:r>
                    <w:rPr>
                      <w:color w:val="auto"/>
                      <w:szCs w:val="21"/>
                    </w:rPr>
                    <w:t>晾干</w:t>
                  </w:r>
                </w:p>
              </w:tc>
              <w:tc>
                <w:tcPr>
                  <w:tcW w:w="1240" w:type="pct"/>
                  <w:tcBorders>
                    <w:tl2br w:val="nil"/>
                    <w:tr2bl w:val="nil"/>
                  </w:tcBorders>
                  <w:vAlign w:val="center"/>
                </w:tcPr>
                <w:p w14:paraId="2E1179F9">
                  <w:pPr>
                    <w:pStyle w:val="477"/>
                    <w:spacing w:after="0"/>
                    <w:rPr>
                      <w:color w:val="auto"/>
                      <w:szCs w:val="21"/>
                    </w:rPr>
                  </w:pPr>
                  <w:r>
                    <w:rPr>
                      <w:color w:val="auto"/>
                      <w:szCs w:val="21"/>
                    </w:rPr>
                    <w:t>晾干房</w:t>
                  </w:r>
                </w:p>
              </w:tc>
              <w:tc>
                <w:tcPr>
                  <w:tcW w:w="565" w:type="pct"/>
                  <w:tcBorders>
                    <w:tl2br w:val="nil"/>
                    <w:tr2bl w:val="nil"/>
                  </w:tcBorders>
                  <w:vAlign w:val="center"/>
                </w:tcPr>
                <w:p w14:paraId="2E24801F">
                  <w:pPr>
                    <w:pStyle w:val="477"/>
                    <w:spacing w:after="0"/>
                    <w:rPr>
                      <w:color w:val="auto"/>
                      <w:szCs w:val="21"/>
                    </w:rPr>
                  </w:pPr>
                  <w:r>
                    <w:rPr>
                      <w:color w:val="auto"/>
                      <w:szCs w:val="21"/>
                    </w:rPr>
                    <w:t>晾干</w:t>
                  </w:r>
                  <w:r>
                    <w:rPr>
                      <w:rFonts w:hint="eastAsia"/>
                      <w:color w:val="auto"/>
                      <w:szCs w:val="21"/>
                    </w:rPr>
                    <w:t>/烘干</w:t>
                  </w:r>
                  <w:r>
                    <w:rPr>
                      <w:color w:val="auto"/>
                      <w:szCs w:val="21"/>
                    </w:rPr>
                    <w:t>废气</w:t>
                  </w:r>
                </w:p>
              </w:tc>
              <w:tc>
                <w:tcPr>
                  <w:tcW w:w="2156" w:type="pct"/>
                  <w:vMerge w:val="continue"/>
                  <w:tcBorders>
                    <w:tl2br w:val="nil"/>
                    <w:tr2bl w:val="nil"/>
                  </w:tcBorders>
                  <w:vAlign w:val="center"/>
                </w:tcPr>
                <w:p w14:paraId="34A6D7FE">
                  <w:pPr>
                    <w:pStyle w:val="477"/>
                    <w:spacing w:after="0"/>
                    <w:rPr>
                      <w:color w:val="auto"/>
                      <w:szCs w:val="21"/>
                    </w:rPr>
                  </w:pPr>
                </w:p>
              </w:tc>
            </w:tr>
            <w:tr w14:paraId="6A2C2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EA19E15">
                  <w:pPr>
                    <w:pStyle w:val="477"/>
                    <w:spacing w:after="0"/>
                    <w:rPr>
                      <w:color w:val="auto"/>
                      <w:szCs w:val="21"/>
                    </w:rPr>
                  </w:pPr>
                </w:p>
              </w:tc>
              <w:tc>
                <w:tcPr>
                  <w:tcW w:w="353" w:type="pct"/>
                  <w:tcBorders>
                    <w:tl2br w:val="nil"/>
                    <w:tr2bl w:val="nil"/>
                  </w:tcBorders>
                  <w:vAlign w:val="center"/>
                </w:tcPr>
                <w:p w14:paraId="352E4832">
                  <w:pPr>
                    <w:pStyle w:val="477"/>
                    <w:spacing w:after="0"/>
                    <w:rPr>
                      <w:color w:val="auto"/>
                      <w:szCs w:val="21"/>
                    </w:rPr>
                  </w:pPr>
                  <w:r>
                    <w:rPr>
                      <w:color w:val="auto"/>
                      <w:szCs w:val="21"/>
                    </w:rPr>
                    <w:t>G2-1</w:t>
                  </w:r>
                </w:p>
              </w:tc>
              <w:tc>
                <w:tcPr>
                  <w:tcW w:w="414" w:type="pct"/>
                  <w:tcBorders>
                    <w:tl2br w:val="nil"/>
                    <w:tr2bl w:val="nil"/>
                  </w:tcBorders>
                  <w:vAlign w:val="center"/>
                </w:tcPr>
                <w:p w14:paraId="78D073BB">
                  <w:pPr>
                    <w:pStyle w:val="477"/>
                    <w:spacing w:after="0"/>
                    <w:rPr>
                      <w:color w:val="auto"/>
                      <w:szCs w:val="21"/>
                    </w:rPr>
                  </w:pPr>
                  <w:r>
                    <w:rPr>
                      <w:color w:val="auto"/>
                      <w:szCs w:val="21"/>
                    </w:rPr>
                    <w:t>下料</w:t>
                  </w:r>
                </w:p>
              </w:tc>
              <w:tc>
                <w:tcPr>
                  <w:tcW w:w="1240" w:type="pct"/>
                  <w:tcBorders>
                    <w:tl2br w:val="nil"/>
                    <w:tr2bl w:val="nil"/>
                  </w:tcBorders>
                  <w:vAlign w:val="center"/>
                </w:tcPr>
                <w:p w14:paraId="7C9F5C60">
                  <w:pPr>
                    <w:pStyle w:val="477"/>
                    <w:spacing w:after="0"/>
                    <w:rPr>
                      <w:color w:val="auto"/>
                      <w:szCs w:val="21"/>
                    </w:rPr>
                  </w:pPr>
                  <w:r>
                    <w:rPr>
                      <w:color w:val="auto"/>
                      <w:szCs w:val="21"/>
                    </w:rPr>
                    <w:t>推台锯、雕刻机</w:t>
                  </w:r>
                </w:p>
              </w:tc>
              <w:tc>
                <w:tcPr>
                  <w:tcW w:w="565" w:type="pct"/>
                  <w:tcBorders>
                    <w:tl2br w:val="nil"/>
                    <w:tr2bl w:val="nil"/>
                  </w:tcBorders>
                  <w:vAlign w:val="center"/>
                </w:tcPr>
                <w:p w14:paraId="44A62295">
                  <w:pPr>
                    <w:pStyle w:val="477"/>
                    <w:spacing w:after="0"/>
                    <w:rPr>
                      <w:color w:val="auto"/>
                      <w:szCs w:val="21"/>
                    </w:rPr>
                  </w:pPr>
                  <w:r>
                    <w:rPr>
                      <w:color w:val="auto"/>
                      <w:szCs w:val="21"/>
                    </w:rPr>
                    <w:t>下料粉尘</w:t>
                  </w:r>
                </w:p>
              </w:tc>
              <w:tc>
                <w:tcPr>
                  <w:tcW w:w="2156" w:type="pct"/>
                  <w:tcBorders>
                    <w:tl2br w:val="nil"/>
                    <w:tr2bl w:val="nil"/>
                  </w:tcBorders>
                  <w:vAlign w:val="center"/>
                </w:tcPr>
                <w:p w14:paraId="484C64D8">
                  <w:pPr>
                    <w:pStyle w:val="477"/>
                    <w:spacing w:after="0"/>
                    <w:rPr>
                      <w:color w:val="auto"/>
                      <w:szCs w:val="21"/>
                    </w:rPr>
                  </w:pPr>
                  <w:r>
                    <w:rPr>
                      <w:bCs/>
                      <w:color w:val="auto"/>
                      <w:szCs w:val="21"/>
                    </w:rPr>
                    <w:t>采用集气罩收集+布袋除尘处理+15m高排气筒（DA001）排放</w:t>
                  </w:r>
                </w:p>
              </w:tc>
            </w:tr>
            <w:tr w14:paraId="65DD6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86F6D9B">
                  <w:pPr>
                    <w:pStyle w:val="477"/>
                    <w:spacing w:after="0"/>
                    <w:rPr>
                      <w:color w:val="auto"/>
                      <w:szCs w:val="21"/>
                    </w:rPr>
                  </w:pPr>
                </w:p>
              </w:tc>
              <w:tc>
                <w:tcPr>
                  <w:tcW w:w="353" w:type="pct"/>
                  <w:tcBorders>
                    <w:tl2br w:val="nil"/>
                    <w:tr2bl w:val="nil"/>
                  </w:tcBorders>
                  <w:vAlign w:val="center"/>
                </w:tcPr>
                <w:p w14:paraId="6EDB9D09">
                  <w:pPr>
                    <w:pStyle w:val="477"/>
                    <w:spacing w:after="0"/>
                    <w:rPr>
                      <w:color w:val="auto"/>
                      <w:szCs w:val="21"/>
                    </w:rPr>
                  </w:pPr>
                  <w:r>
                    <w:rPr>
                      <w:color w:val="auto"/>
                      <w:szCs w:val="21"/>
                    </w:rPr>
                    <w:t>G2-2</w:t>
                  </w:r>
                </w:p>
              </w:tc>
              <w:tc>
                <w:tcPr>
                  <w:tcW w:w="414" w:type="pct"/>
                  <w:tcBorders>
                    <w:tl2br w:val="nil"/>
                    <w:tr2bl w:val="nil"/>
                  </w:tcBorders>
                  <w:vAlign w:val="center"/>
                </w:tcPr>
                <w:p w14:paraId="3F9A5B6C">
                  <w:pPr>
                    <w:pStyle w:val="477"/>
                    <w:spacing w:after="0"/>
                    <w:rPr>
                      <w:color w:val="auto"/>
                      <w:szCs w:val="21"/>
                    </w:rPr>
                  </w:pPr>
                  <w:r>
                    <w:rPr>
                      <w:color w:val="auto"/>
                      <w:szCs w:val="21"/>
                    </w:rPr>
                    <w:t>粘接</w:t>
                  </w:r>
                </w:p>
              </w:tc>
              <w:tc>
                <w:tcPr>
                  <w:tcW w:w="1240" w:type="pct"/>
                  <w:tcBorders>
                    <w:tl2br w:val="nil"/>
                    <w:tr2bl w:val="nil"/>
                  </w:tcBorders>
                  <w:vAlign w:val="center"/>
                </w:tcPr>
                <w:p w14:paraId="36B0CAB5">
                  <w:pPr>
                    <w:pStyle w:val="477"/>
                    <w:spacing w:after="0"/>
                    <w:rPr>
                      <w:color w:val="auto"/>
                      <w:szCs w:val="21"/>
                    </w:rPr>
                  </w:pPr>
                  <w:r>
                    <w:rPr>
                      <w:color w:val="auto"/>
                      <w:szCs w:val="21"/>
                    </w:rPr>
                    <w:t>/</w:t>
                  </w:r>
                </w:p>
              </w:tc>
              <w:tc>
                <w:tcPr>
                  <w:tcW w:w="565" w:type="pct"/>
                  <w:tcBorders>
                    <w:tl2br w:val="nil"/>
                    <w:tr2bl w:val="nil"/>
                  </w:tcBorders>
                  <w:vAlign w:val="center"/>
                </w:tcPr>
                <w:p w14:paraId="6E2D789B">
                  <w:pPr>
                    <w:pStyle w:val="477"/>
                    <w:spacing w:after="0"/>
                    <w:rPr>
                      <w:color w:val="auto"/>
                      <w:szCs w:val="21"/>
                    </w:rPr>
                  </w:pPr>
                  <w:r>
                    <w:rPr>
                      <w:color w:val="auto"/>
                      <w:szCs w:val="21"/>
                    </w:rPr>
                    <w:t>粘接废气</w:t>
                  </w:r>
                </w:p>
              </w:tc>
              <w:tc>
                <w:tcPr>
                  <w:tcW w:w="2156" w:type="pct"/>
                  <w:tcBorders>
                    <w:tl2br w:val="nil"/>
                    <w:tr2bl w:val="nil"/>
                  </w:tcBorders>
                  <w:vAlign w:val="center"/>
                </w:tcPr>
                <w:p w14:paraId="0DFE5AF9">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DA001</w:t>
                  </w:r>
                  <w:r>
                    <w:rPr>
                      <w:bCs/>
                      <w:color w:val="auto"/>
                      <w:szCs w:val="21"/>
                    </w:rPr>
                    <w:t>）排放</w:t>
                  </w:r>
                </w:p>
              </w:tc>
            </w:tr>
            <w:tr w14:paraId="13B03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26DF0544">
                  <w:pPr>
                    <w:pStyle w:val="477"/>
                    <w:spacing w:after="0"/>
                    <w:rPr>
                      <w:color w:val="auto"/>
                      <w:szCs w:val="21"/>
                    </w:rPr>
                  </w:pPr>
                </w:p>
              </w:tc>
              <w:tc>
                <w:tcPr>
                  <w:tcW w:w="353" w:type="pct"/>
                  <w:tcBorders>
                    <w:tl2br w:val="nil"/>
                    <w:tr2bl w:val="nil"/>
                  </w:tcBorders>
                  <w:vAlign w:val="center"/>
                </w:tcPr>
                <w:p w14:paraId="7869D681">
                  <w:pPr>
                    <w:pStyle w:val="477"/>
                    <w:spacing w:after="0"/>
                    <w:rPr>
                      <w:color w:val="auto"/>
                      <w:szCs w:val="21"/>
                    </w:rPr>
                  </w:pPr>
                  <w:r>
                    <w:rPr>
                      <w:color w:val="auto"/>
                      <w:szCs w:val="21"/>
                    </w:rPr>
                    <w:t>G2-3</w:t>
                  </w:r>
                </w:p>
              </w:tc>
              <w:tc>
                <w:tcPr>
                  <w:tcW w:w="414" w:type="pct"/>
                  <w:tcBorders>
                    <w:tl2br w:val="nil"/>
                    <w:tr2bl w:val="nil"/>
                  </w:tcBorders>
                  <w:vAlign w:val="center"/>
                </w:tcPr>
                <w:p w14:paraId="61AA0CAF">
                  <w:pPr>
                    <w:pStyle w:val="477"/>
                    <w:spacing w:after="0"/>
                    <w:rPr>
                      <w:color w:val="auto"/>
                      <w:szCs w:val="21"/>
                    </w:rPr>
                  </w:pPr>
                  <w:r>
                    <w:rPr>
                      <w:color w:val="auto"/>
                      <w:szCs w:val="21"/>
                    </w:rPr>
                    <w:t>修边</w:t>
                  </w:r>
                </w:p>
              </w:tc>
              <w:tc>
                <w:tcPr>
                  <w:tcW w:w="1240" w:type="pct"/>
                  <w:tcBorders>
                    <w:tl2br w:val="nil"/>
                    <w:tr2bl w:val="nil"/>
                  </w:tcBorders>
                  <w:vAlign w:val="center"/>
                </w:tcPr>
                <w:p w14:paraId="5159FE53">
                  <w:pPr>
                    <w:pStyle w:val="477"/>
                    <w:spacing w:after="0"/>
                    <w:rPr>
                      <w:color w:val="auto"/>
                      <w:szCs w:val="21"/>
                    </w:rPr>
                  </w:pPr>
                  <w:r>
                    <w:rPr>
                      <w:color w:val="auto"/>
                      <w:szCs w:val="21"/>
                    </w:rPr>
                    <w:t>修边机</w:t>
                  </w:r>
                </w:p>
              </w:tc>
              <w:tc>
                <w:tcPr>
                  <w:tcW w:w="565" w:type="pct"/>
                  <w:tcBorders>
                    <w:tl2br w:val="nil"/>
                    <w:tr2bl w:val="nil"/>
                  </w:tcBorders>
                  <w:vAlign w:val="center"/>
                </w:tcPr>
                <w:p w14:paraId="7226347C">
                  <w:pPr>
                    <w:pStyle w:val="477"/>
                    <w:spacing w:after="0"/>
                    <w:rPr>
                      <w:color w:val="auto"/>
                      <w:szCs w:val="21"/>
                    </w:rPr>
                  </w:pPr>
                  <w:r>
                    <w:rPr>
                      <w:color w:val="auto"/>
                      <w:szCs w:val="21"/>
                    </w:rPr>
                    <w:t>修边粉尘</w:t>
                  </w:r>
                </w:p>
              </w:tc>
              <w:tc>
                <w:tcPr>
                  <w:tcW w:w="2156" w:type="pct"/>
                  <w:tcBorders>
                    <w:tl2br w:val="nil"/>
                    <w:tr2bl w:val="nil"/>
                  </w:tcBorders>
                  <w:vAlign w:val="center"/>
                </w:tcPr>
                <w:p w14:paraId="6CCCBF07">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0AC4D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5B7F6CC8">
                  <w:pPr>
                    <w:pStyle w:val="477"/>
                    <w:spacing w:after="0"/>
                    <w:rPr>
                      <w:color w:val="auto"/>
                      <w:szCs w:val="21"/>
                    </w:rPr>
                  </w:pPr>
                </w:p>
              </w:tc>
              <w:tc>
                <w:tcPr>
                  <w:tcW w:w="353" w:type="pct"/>
                  <w:tcBorders>
                    <w:tl2br w:val="nil"/>
                    <w:tr2bl w:val="nil"/>
                  </w:tcBorders>
                  <w:vAlign w:val="center"/>
                </w:tcPr>
                <w:p w14:paraId="08821194">
                  <w:pPr>
                    <w:pStyle w:val="477"/>
                    <w:spacing w:after="0"/>
                    <w:rPr>
                      <w:color w:val="auto"/>
                      <w:szCs w:val="21"/>
                    </w:rPr>
                  </w:pPr>
                  <w:r>
                    <w:rPr>
                      <w:color w:val="auto"/>
                      <w:szCs w:val="21"/>
                    </w:rPr>
                    <w:t>G2-4</w:t>
                  </w:r>
                </w:p>
              </w:tc>
              <w:tc>
                <w:tcPr>
                  <w:tcW w:w="414" w:type="pct"/>
                  <w:tcBorders>
                    <w:tl2br w:val="nil"/>
                    <w:tr2bl w:val="nil"/>
                  </w:tcBorders>
                  <w:vAlign w:val="center"/>
                </w:tcPr>
                <w:p w14:paraId="5AD201BF">
                  <w:pPr>
                    <w:pStyle w:val="477"/>
                    <w:spacing w:after="0"/>
                    <w:rPr>
                      <w:color w:val="auto"/>
                      <w:szCs w:val="21"/>
                    </w:rPr>
                  </w:pPr>
                  <w:r>
                    <w:rPr>
                      <w:color w:val="auto"/>
                      <w:szCs w:val="21"/>
                    </w:rPr>
                    <w:t>打磨</w:t>
                  </w:r>
                </w:p>
              </w:tc>
              <w:tc>
                <w:tcPr>
                  <w:tcW w:w="1240" w:type="pct"/>
                  <w:tcBorders>
                    <w:tl2br w:val="nil"/>
                    <w:tr2bl w:val="nil"/>
                  </w:tcBorders>
                  <w:vAlign w:val="center"/>
                </w:tcPr>
                <w:p w14:paraId="23C27F6B">
                  <w:pPr>
                    <w:pStyle w:val="477"/>
                    <w:spacing w:after="0"/>
                    <w:rPr>
                      <w:color w:val="auto"/>
                      <w:szCs w:val="21"/>
                    </w:rPr>
                  </w:pPr>
                  <w:r>
                    <w:rPr>
                      <w:color w:val="auto"/>
                      <w:szCs w:val="21"/>
                    </w:rPr>
                    <w:t>角磨机、气磨机</w:t>
                  </w:r>
                </w:p>
              </w:tc>
              <w:tc>
                <w:tcPr>
                  <w:tcW w:w="565" w:type="pct"/>
                  <w:tcBorders>
                    <w:tl2br w:val="nil"/>
                    <w:tr2bl w:val="nil"/>
                  </w:tcBorders>
                  <w:vAlign w:val="center"/>
                </w:tcPr>
                <w:p w14:paraId="6FFA114B">
                  <w:pPr>
                    <w:pStyle w:val="477"/>
                    <w:spacing w:after="0"/>
                    <w:rPr>
                      <w:color w:val="auto"/>
                      <w:szCs w:val="21"/>
                    </w:rPr>
                  </w:pPr>
                  <w:r>
                    <w:rPr>
                      <w:color w:val="auto"/>
                      <w:szCs w:val="21"/>
                    </w:rPr>
                    <w:t>打磨粉尘</w:t>
                  </w:r>
                </w:p>
              </w:tc>
              <w:tc>
                <w:tcPr>
                  <w:tcW w:w="2156" w:type="pct"/>
                  <w:tcBorders>
                    <w:tl2br w:val="nil"/>
                    <w:tr2bl w:val="nil"/>
                  </w:tcBorders>
                  <w:vAlign w:val="center"/>
                </w:tcPr>
                <w:p w14:paraId="1ED9B0C0">
                  <w:pPr>
                    <w:pStyle w:val="477"/>
                    <w:spacing w:after="0"/>
                    <w:rPr>
                      <w:color w:val="auto"/>
                      <w:szCs w:val="21"/>
                    </w:rPr>
                  </w:pPr>
                  <w:r>
                    <w:rPr>
                      <w:bCs/>
                      <w:color w:val="auto"/>
                      <w:szCs w:val="21"/>
                    </w:rPr>
                    <w:t>集气罩收集+布袋除尘处理+15m高排气筒（</w:t>
                  </w:r>
                  <w:r>
                    <w:rPr>
                      <w:rFonts w:hint="eastAsia"/>
                      <w:bCs/>
                      <w:color w:val="auto"/>
                      <w:szCs w:val="21"/>
                    </w:rPr>
                    <w:t>DA002</w:t>
                  </w:r>
                  <w:r>
                    <w:rPr>
                      <w:bCs/>
                      <w:color w:val="auto"/>
                      <w:szCs w:val="21"/>
                    </w:rPr>
                    <w:t>）排放</w:t>
                  </w:r>
                </w:p>
              </w:tc>
            </w:tr>
            <w:tr w14:paraId="592E6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FA6D114">
                  <w:pPr>
                    <w:pStyle w:val="477"/>
                    <w:spacing w:after="0"/>
                    <w:rPr>
                      <w:color w:val="auto"/>
                      <w:szCs w:val="21"/>
                    </w:rPr>
                  </w:pPr>
                </w:p>
              </w:tc>
              <w:tc>
                <w:tcPr>
                  <w:tcW w:w="353" w:type="pct"/>
                  <w:tcBorders>
                    <w:tl2br w:val="nil"/>
                    <w:tr2bl w:val="nil"/>
                  </w:tcBorders>
                  <w:vAlign w:val="center"/>
                </w:tcPr>
                <w:p w14:paraId="0CBAA6AF">
                  <w:pPr>
                    <w:pStyle w:val="477"/>
                    <w:spacing w:after="0"/>
                    <w:rPr>
                      <w:color w:val="auto"/>
                      <w:szCs w:val="21"/>
                    </w:rPr>
                  </w:pPr>
                  <w:r>
                    <w:rPr>
                      <w:color w:val="auto"/>
                      <w:szCs w:val="21"/>
                    </w:rPr>
                    <w:t>G3-1</w:t>
                  </w:r>
                </w:p>
              </w:tc>
              <w:tc>
                <w:tcPr>
                  <w:tcW w:w="414" w:type="pct"/>
                  <w:tcBorders>
                    <w:tl2br w:val="nil"/>
                    <w:tr2bl w:val="nil"/>
                  </w:tcBorders>
                  <w:vAlign w:val="center"/>
                </w:tcPr>
                <w:p w14:paraId="0D27B4A9">
                  <w:pPr>
                    <w:pStyle w:val="477"/>
                    <w:spacing w:after="0"/>
                    <w:rPr>
                      <w:color w:val="auto"/>
                      <w:szCs w:val="21"/>
                    </w:rPr>
                  </w:pPr>
                  <w:r>
                    <w:rPr>
                      <w:color w:val="auto"/>
                      <w:szCs w:val="21"/>
                    </w:rPr>
                    <w:t>下料</w:t>
                  </w:r>
                </w:p>
              </w:tc>
              <w:tc>
                <w:tcPr>
                  <w:tcW w:w="1240" w:type="pct"/>
                  <w:tcBorders>
                    <w:tl2br w:val="nil"/>
                    <w:tr2bl w:val="nil"/>
                  </w:tcBorders>
                  <w:vAlign w:val="center"/>
                </w:tcPr>
                <w:p w14:paraId="70FEEDDA">
                  <w:pPr>
                    <w:pStyle w:val="477"/>
                    <w:spacing w:after="0"/>
                    <w:rPr>
                      <w:color w:val="auto"/>
                      <w:szCs w:val="21"/>
                    </w:rPr>
                  </w:pPr>
                  <w:r>
                    <w:rPr>
                      <w:color w:val="auto"/>
                      <w:szCs w:val="21"/>
                    </w:rPr>
                    <w:t>激光切割机</w:t>
                  </w:r>
                </w:p>
              </w:tc>
              <w:tc>
                <w:tcPr>
                  <w:tcW w:w="565" w:type="pct"/>
                  <w:tcBorders>
                    <w:tl2br w:val="nil"/>
                    <w:tr2bl w:val="nil"/>
                  </w:tcBorders>
                  <w:vAlign w:val="center"/>
                </w:tcPr>
                <w:p w14:paraId="195741B0">
                  <w:pPr>
                    <w:pStyle w:val="477"/>
                    <w:spacing w:after="0"/>
                    <w:rPr>
                      <w:color w:val="auto"/>
                      <w:szCs w:val="21"/>
                    </w:rPr>
                  </w:pPr>
                  <w:r>
                    <w:rPr>
                      <w:color w:val="auto"/>
                      <w:szCs w:val="21"/>
                    </w:rPr>
                    <w:t>下料粉尘</w:t>
                  </w:r>
                </w:p>
              </w:tc>
              <w:tc>
                <w:tcPr>
                  <w:tcW w:w="2156" w:type="pct"/>
                  <w:tcBorders>
                    <w:tl2br w:val="nil"/>
                    <w:tr2bl w:val="nil"/>
                  </w:tcBorders>
                  <w:vAlign w:val="center"/>
                </w:tcPr>
                <w:p w14:paraId="4E212A7A">
                  <w:pPr>
                    <w:pStyle w:val="477"/>
                    <w:spacing w:after="0"/>
                    <w:rPr>
                      <w:color w:val="auto"/>
                      <w:szCs w:val="21"/>
                    </w:rPr>
                  </w:pPr>
                  <w:r>
                    <w:rPr>
                      <w:bCs/>
                      <w:color w:val="auto"/>
                      <w:szCs w:val="21"/>
                    </w:rPr>
                    <w:t>集气罩收集+</w:t>
                  </w:r>
                  <w:r>
                    <w:rPr>
                      <w:rFonts w:hint="eastAsia"/>
                      <w:bCs/>
                      <w:color w:val="auto"/>
                      <w:szCs w:val="21"/>
                    </w:rPr>
                    <w:t>布袋除尘</w:t>
                  </w:r>
                  <w:r>
                    <w:rPr>
                      <w:bCs/>
                      <w:color w:val="auto"/>
                      <w:szCs w:val="21"/>
                    </w:rPr>
                    <w:t>处理+15m高排气筒（</w:t>
                  </w:r>
                  <w:r>
                    <w:rPr>
                      <w:rFonts w:hint="eastAsia"/>
                      <w:bCs/>
                      <w:color w:val="auto"/>
                      <w:szCs w:val="21"/>
                    </w:rPr>
                    <w:t>DA004</w:t>
                  </w:r>
                  <w:r>
                    <w:rPr>
                      <w:bCs/>
                      <w:color w:val="auto"/>
                      <w:szCs w:val="21"/>
                    </w:rPr>
                    <w:t>）排放，</w:t>
                  </w:r>
                </w:p>
              </w:tc>
            </w:tr>
            <w:tr w14:paraId="2C67F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BCF696B">
                  <w:pPr>
                    <w:pStyle w:val="477"/>
                    <w:spacing w:after="0"/>
                    <w:rPr>
                      <w:color w:val="auto"/>
                      <w:szCs w:val="21"/>
                    </w:rPr>
                  </w:pPr>
                </w:p>
              </w:tc>
              <w:tc>
                <w:tcPr>
                  <w:tcW w:w="353" w:type="pct"/>
                  <w:tcBorders>
                    <w:tl2br w:val="nil"/>
                    <w:tr2bl w:val="nil"/>
                  </w:tcBorders>
                  <w:vAlign w:val="center"/>
                </w:tcPr>
                <w:p w14:paraId="3CA1BB6E">
                  <w:pPr>
                    <w:pStyle w:val="477"/>
                    <w:spacing w:after="0"/>
                    <w:rPr>
                      <w:color w:val="auto"/>
                      <w:szCs w:val="21"/>
                    </w:rPr>
                  </w:pPr>
                  <w:r>
                    <w:rPr>
                      <w:color w:val="auto"/>
                      <w:szCs w:val="21"/>
                    </w:rPr>
                    <w:t>G3-2</w:t>
                  </w:r>
                </w:p>
              </w:tc>
              <w:tc>
                <w:tcPr>
                  <w:tcW w:w="414" w:type="pct"/>
                  <w:tcBorders>
                    <w:tl2br w:val="nil"/>
                    <w:tr2bl w:val="nil"/>
                  </w:tcBorders>
                  <w:vAlign w:val="center"/>
                </w:tcPr>
                <w:p w14:paraId="7AA110D2">
                  <w:pPr>
                    <w:pStyle w:val="477"/>
                    <w:spacing w:after="0"/>
                    <w:rPr>
                      <w:color w:val="auto"/>
                      <w:szCs w:val="21"/>
                    </w:rPr>
                  </w:pPr>
                  <w:r>
                    <w:rPr>
                      <w:color w:val="auto"/>
                      <w:szCs w:val="21"/>
                    </w:rPr>
                    <w:t>压合</w:t>
                  </w:r>
                </w:p>
              </w:tc>
              <w:tc>
                <w:tcPr>
                  <w:tcW w:w="1240" w:type="pct"/>
                  <w:tcBorders>
                    <w:tl2br w:val="nil"/>
                    <w:tr2bl w:val="nil"/>
                  </w:tcBorders>
                  <w:vAlign w:val="center"/>
                </w:tcPr>
                <w:p w14:paraId="7EC8EE89">
                  <w:pPr>
                    <w:pStyle w:val="477"/>
                    <w:spacing w:after="0"/>
                    <w:rPr>
                      <w:color w:val="auto"/>
                      <w:szCs w:val="21"/>
                    </w:rPr>
                  </w:pPr>
                  <w:r>
                    <w:rPr>
                      <w:color w:val="auto"/>
                      <w:szCs w:val="21"/>
                    </w:rPr>
                    <w:t>冷压机</w:t>
                  </w:r>
                </w:p>
              </w:tc>
              <w:tc>
                <w:tcPr>
                  <w:tcW w:w="565" w:type="pct"/>
                  <w:tcBorders>
                    <w:tl2br w:val="nil"/>
                    <w:tr2bl w:val="nil"/>
                  </w:tcBorders>
                  <w:vAlign w:val="center"/>
                </w:tcPr>
                <w:p w14:paraId="76AA30D6">
                  <w:pPr>
                    <w:pStyle w:val="477"/>
                    <w:spacing w:after="0"/>
                    <w:rPr>
                      <w:color w:val="auto"/>
                      <w:szCs w:val="21"/>
                    </w:rPr>
                  </w:pPr>
                  <w:r>
                    <w:rPr>
                      <w:color w:val="auto"/>
                      <w:szCs w:val="21"/>
                    </w:rPr>
                    <w:t>压合废气</w:t>
                  </w:r>
                </w:p>
              </w:tc>
              <w:tc>
                <w:tcPr>
                  <w:tcW w:w="2156" w:type="pct"/>
                  <w:tcBorders>
                    <w:tl2br w:val="nil"/>
                    <w:tr2bl w:val="nil"/>
                  </w:tcBorders>
                  <w:vAlign w:val="center"/>
                </w:tcPr>
                <w:p w14:paraId="4FF9123F">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DA005</w:t>
                  </w:r>
                  <w:r>
                    <w:rPr>
                      <w:bCs/>
                      <w:color w:val="auto"/>
                      <w:szCs w:val="21"/>
                    </w:rPr>
                    <w:t>）排放</w:t>
                  </w:r>
                </w:p>
              </w:tc>
            </w:tr>
            <w:tr w14:paraId="4164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2442CD8">
                  <w:pPr>
                    <w:pStyle w:val="477"/>
                    <w:spacing w:after="0"/>
                    <w:rPr>
                      <w:color w:val="auto"/>
                      <w:szCs w:val="21"/>
                    </w:rPr>
                  </w:pPr>
                </w:p>
              </w:tc>
              <w:tc>
                <w:tcPr>
                  <w:tcW w:w="353" w:type="pct"/>
                  <w:tcBorders>
                    <w:tl2br w:val="nil"/>
                    <w:tr2bl w:val="nil"/>
                  </w:tcBorders>
                  <w:vAlign w:val="center"/>
                </w:tcPr>
                <w:p w14:paraId="4BD907EB">
                  <w:pPr>
                    <w:pStyle w:val="477"/>
                    <w:spacing w:after="0"/>
                    <w:rPr>
                      <w:color w:val="auto"/>
                      <w:szCs w:val="21"/>
                    </w:rPr>
                  </w:pPr>
                  <w:r>
                    <w:rPr>
                      <w:color w:val="auto"/>
                      <w:szCs w:val="21"/>
                    </w:rPr>
                    <w:t>G3-3</w:t>
                  </w:r>
                </w:p>
              </w:tc>
              <w:tc>
                <w:tcPr>
                  <w:tcW w:w="414" w:type="pct"/>
                  <w:tcBorders>
                    <w:tl2br w:val="nil"/>
                    <w:tr2bl w:val="nil"/>
                  </w:tcBorders>
                  <w:vAlign w:val="center"/>
                </w:tcPr>
                <w:p w14:paraId="1B697511">
                  <w:pPr>
                    <w:pStyle w:val="477"/>
                    <w:spacing w:after="0"/>
                    <w:rPr>
                      <w:color w:val="auto"/>
                      <w:szCs w:val="21"/>
                    </w:rPr>
                  </w:pPr>
                  <w:r>
                    <w:rPr>
                      <w:color w:val="auto"/>
                      <w:szCs w:val="21"/>
                    </w:rPr>
                    <w:t>下料</w:t>
                  </w:r>
                </w:p>
              </w:tc>
              <w:tc>
                <w:tcPr>
                  <w:tcW w:w="1240" w:type="pct"/>
                  <w:tcBorders>
                    <w:tl2br w:val="nil"/>
                    <w:tr2bl w:val="nil"/>
                  </w:tcBorders>
                  <w:vAlign w:val="center"/>
                </w:tcPr>
                <w:p w14:paraId="5F7536FC">
                  <w:pPr>
                    <w:pStyle w:val="477"/>
                    <w:spacing w:after="0"/>
                    <w:rPr>
                      <w:color w:val="auto"/>
                      <w:szCs w:val="21"/>
                    </w:rPr>
                  </w:pPr>
                  <w:r>
                    <w:rPr>
                      <w:color w:val="auto"/>
                      <w:szCs w:val="21"/>
                    </w:rPr>
                    <w:t>激光切管机、切管机</w:t>
                  </w:r>
                </w:p>
              </w:tc>
              <w:tc>
                <w:tcPr>
                  <w:tcW w:w="565" w:type="pct"/>
                  <w:tcBorders>
                    <w:tl2br w:val="nil"/>
                    <w:tr2bl w:val="nil"/>
                  </w:tcBorders>
                  <w:vAlign w:val="center"/>
                </w:tcPr>
                <w:p w14:paraId="662DEB59">
                  <w:pPr>
                    <w:pStyle w:val="477"/>
                    <w:spacing w:after="0"/>
                    <w:rPr>
                      <w:color w:val="auto"/>
                      <w:szCs w:val="21"/>
                    </w:rPr>
                  </w:pPr>
                  <w:r>
                    <w:rPr>
                      <w:color w:val="auto"/>
                      <w:szCs w:val="21"/>
                    </w:rPr>
                    <w:t>下料粉尘</w:t>
                  </w:r>
                </w:p>
              </w:tc>
              <w:tc>
                <w:tcPr>
                  <w:tcW w:w="2156" w:type="pct"/>
                  <w:tcBorders>
                    <w:tl2br w:val="nil"/>
                    <w:tr2bl w:val="nil"/>
                  </w:tcBorders>
                  <w:vAlign w:val="center"/>
                </w:tcPr>
                <w:p w14:paraId="1F90A304">
                  <w:pPr>
                    <w:pStyle w:val="477"/>
                    <w:spacing w:after="0"/>
                    <w:rPr>
                      <w:color w:val="auto"/>
                      <w:szCs w:val="21"/>
                    </w:rPr>
                  </w:pPr>
                  <w:r>
                    <w:rPr>
                      <w:bCs/>
                      <w:color w:val="auto"/>
                      <w:szCs w:val="21"/>
                    </w:rPr>
                    <w:t>集气罩收集+</w:t>
                  </w:r>
                  <w:r>
                    <w:rPr>
                      <w:rFonts w:hint="eastAsia"/>
                      <w:bCs/>
                      <w:color w:val="auto"/>
                      <w:szCs w:val="21"/>
                    </w:rPr>
                    <w:t>布袋除尘</w:t>
                  </w:r>
                  <w:r>
                    <w:rPr>
                      <w:bCs/>
                      <w:color w:val="auto"/>
                      <w:szCs w:val="21"/>
                    </w:rPr>
                    <w:t>处理+15m高排气筒（</w:t>
                  </w:r>
                  <w:r>
                    <w:rPr>
                      <w:rFonts w:hint="eastAsia"/>
                      <w:bCs/>
                      <w:color w:val="auto"/>
                      <w:szCs w:val="21"/>
                    </w:rPr>
                    <w:t>DA004</w:t>
                  </w:r>
                  <w:r>
                    <w:rPr>
                      <w:bCs/>
                      <w:color w:val="auto"/>
                      <w:szCs w:val="21"/>
                    </w:rPr>
                    <w:t>）排放</w:t>
                  </w:r>
                </w:p>
              </w:tc>
            </w:tr>
            <w:tr w14:paraId="69852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3BC0FA6">
                  <w:pPr>
                    <w:pStyle w:val="477"/>
                    <w:spacing w:after="0"/>
                    <w:rPr>
                      <w:color w:val="auto"/>
                      <w:szCs w:val="21"/>
                    </w:rPr>
                  </w:pPr>
                </w:p>
              </w:tc>
              <w:tc>
                <w:tcPr>
                  <w:tcW w:w="353" w:type="pct"/>
                  <w:tcBorders>
                    <w:tl2br w:val="nil"/>
                    <w:tr2bl w:val="nil"/>
                  </w:tcBorders>
                  <w:vAlign w:val="center"/>
                </w:tcPr>
                <w:p w14:paraId="5BE5BE34">
                  <w:pPr>
                    <w:pStyle w:val="477"/>
                    <w:spacing w:after="0"/>
                    <w:rPr>
                      <w:color w:val="auto"/>
                      <w:szCs w:val="21"/>
                    </w:rPr>
                  </w:pPr>
                  <w:r>
                    <w:rPr>
                      <w:color w:val="auto"/>
                      <w:szCs w:val="21"/>
                    </w:rPr>
                    <w:t>G3-4</w:t>
                  </w:r>
                </w:p>
              </w:tc>
              <w:tc>
                <w:tcPr>
                  <w:tcW w:w="414" w:type="pct"/>
                  <w:tcBorders>
                    <w:tl2br w:val="nil"/>
                    <w:tr2bl w:val="nil"/>
                  </w:tcBorders>
                  <w:vAlign w:val="center"/>
                </w:tcPr>
                <w:p w14:paraId="523D2B2B">
                  <w:pPr>
                    <w:pStyle w:val="477"/>
                    <w:spacing w:after="0"/>
                    <w:rPr>
                      <w:color w:val="auto"/>
                      <w:szCs w:val="21"/>
                    </w:rPr>
                  </w:pPr>
                  <w:r>
                    <w:rPr>
                      <w:color w:val="auto"/>
                      <w:szCs w:val="21"/>
                    </w:rPr>
                    <w:t>焊接</w:t>
                  </w:r>
                </w:p>
              </w:tc>
              <w:tc>
                <w:tcPr>
                  <w:tcW w:w="1240" w:type="pct"/>
                  <w:tcBorders>
                    <w:tl2br w:val="nil"/>
                    <w:tr2bl w:val="nil"/>
                  </w:tcBorders>
                  <w:vAlign w:val="center"/>
                </w:tcPr>
                <w:p w14:paraId="0D87BFE1">
                  <w:pPr>
                    <w:pStyle w:val="477"/>
                    <w:spacing w:after="0"/>
                    <w:rPr>
                      <w:color w:val="auto"/>
                      <w:szCs w:val="21"/>
                    </w:rPr>
                  </w:pPr>
                  <w:r>
                    <w:rPr>
                      <w:color w:val="auto"/>
                      <w:szCs w:val="21"/>
                    </w:rPr>
                    <w:t>弧焊机</w:t>
                  </w:r>
                </w:p>
              </w:tc>
              <w:tc>
                <w:tcPr>
                  <w:tcW w:w="565" w:type="pct"/>
                  <w:tcBorders>
                    <w:tl2br w:val="nil"/>
                    <w:tr2bl w:val="nil"/>
                  </w:tcBorders>
                  <w:vAlign w:val="center"/>
                </w:tcPr>
                <w:p w14:paraId="032FE674">
                  <w:pPr>
                    <w:pStyle w:val="477"/>
                    <w:spacing w:after="0"/>
                    <w:rPr>
                      <w:color w:val="auto"/>
                      <w:szCs w:val="21"/>
                    </w:rPr>
                  </w:pPr>
                  <w:r>
                    <w:rPr>
                      <w:color w:val="auto"/>
                      <w:szCs w:val="21"/>
                    </w:rPr>
                    <w:t>焊接废气</w:t>
                  </w:r>
                </w:p>
              </w:tc>
              <w:tc>
                <w:tcPr>
                  <w:tcW w:w="2156" w:type="pct"/>
                  <w:tcBorders>
                    <w:tl2br w:val="nil"/>
                    <w:tr2bl w:val="nil"/>
                  </w:tcBorders>
                  <w:vAlign w:val="center"/>
                </w:tcPr>
                <w:p w14:paraId="3A642BB0">
                  <w:pPr>
                    <w:pStyle w:val="477"/>
                    <w:spacing w:after="0"/>
                    <w:rPr>
                      <w:color w:val="auto"/>
                      <w:szCs w:val="21"/>
                    </w:rPr>
                  </w:pPr>
                  <w:r>
                    <w:rPr>
                      <w:rFonts w:hint="eastAsia"/>
                      <w:color w:val="auto"/>
                      <w:szCs w:val="21"/>
                    </w:rPr>
                    <w:t>移动式焊接除尘器</w:t>
                  </w:r>
                </w:p>
              </w:tc>
            </w:tr>
            <w:tr w14:paraId="6EFD2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CE8D9F3">
                  <w:pPr>
                    <w:pStyle w:val="477"/>
                    <w:spacing w:after="0"/>
                    <w:rPr>
                      <w:color w:val="auto"/>
                      <w:szCs w:val="21"/>
                    </w:rPr>
                  </w:pPr>
                </w:p>
              </w:tc>
              <w:tc>
                <w:tcPr>
                  <w:tcW w:w="353" w:type="pct"/>
                  <w:tcBorders>
                    <w:tl2br w:val="nil"/>
                    <w:tr2bl w:val="nil"/>
                  </w:tcBorders>
                  <w:vAlign w:val="center"/>
                </w:tcPr>
                <w:p w14:paraId="67BF1BBC">
                  <w:pPr>
                    <w:pStyle w:val="477"/>
                    <w:spacing w:after="0"/>
                    <w:rPr>
                      <w:color w:val="auto"/>
                      <w:szCs w:val="21"/>
                    </w:rPr>
                  </w:pPr>
                  <w:r>
                    <w:rPr>
                      <w:color w:val="auto"/>
                      <w:szCs w:val="21"/>
                    </w:rPr>
                    <w:t>G3-5</w:t>
                  </w:r>
                </w:p>
              </w:tc>
              <w:tc>
                <w:tcPr>
                  <w:tcW w:w="414" w:type="pct"/>
                  <w:tcBorders>
                    <w:tl2br w:val="nil"/>
                    <w:tr2bl w:val="nil"/>
                  </w:tcBorders>
                  <w:vAlign w:val="center"/>
                </w:tcPr>
                <w:p w14:paraId="5868B0B7">
                  <w:pPr>
                    <w:pStyle w:val="477"/>
                    <w:spacing w:after="0"/>
                    <w:rPr>
                      <w:rFonts w:hint="default" w:eastAsia="宋体"/>
                      <w:color w:val="auto"/>
                      <w:szCs w:val="21"/>
                      <w:lang w:val="en-US" w:eastAsia="zh-CN"/>
                    </w:rPr>
                  </w:pPr>
                  <w:r>
                    <w:rPr>
                      <w:color w:val="auto"/>
                      <w:szCs w:val="21"/>
                    </w:rPr>
                    <w:t>打磨</w:t>
                  </w:r>
                  <w:r>
                    <w:rPr>
                      <w:rFonts w:hint="eastAsia"/>
                      <w:color w:val="auto"/>
                      <w:szCs w:val="21"/>
                      <w:lang w:val="en-US" w:eastAsia="zh-CN"/>
                    </w:rPr>
                    <w:t>/抛丸</w:t>
                  </w:r>
                </w:p>
              </w:tc>
              <w:tc>
                <w:tcPr>
                  <w:tcW w:w="1240" w:type="pct"/>
                  <w:tcBorders>
                    <w:tl2br w:val="nil"/>
                    <w:tr2bl w:val="nil"/>
                  </w:tcBorders>
                  <w:vAlign w:val="center"/>
                </w:tcPr>
                <w:p w14:paraId="5272123D">
                  <w:pPr>
                    <w:pStyle w:val="477"/>
                    <w:spacing w:after="0"/>
                    <w:rPr>
                      <w:rFonts w:hint="default" w:eastAsia="宋体"/>
                      <w:color w:val="auto"/>
                      <w:szCs w:val="21"/>
                      <w:lang w:val="en-US" w:eastAsia="zh-CN"/>
                    </w:rPr>
                  </w:pPr>
                  <w:r>
                    <w:rPr>
                      <w:color w:val="auto"/>
                      <w:szCs w:val="21"/>
                    </w:rPr>
                    <w:t>打磨工位</w:t>
                  </w:r>
                  <w:r>
                    <w:rPr>
                      <w:rFonts w:hint="eastAsia"/>
                      <w:color w:val="auto"/>
                      <w:szCs w:val="21"/>
                      <w:lang w:val="en-US" w:eastAsia="zh-CN"/>
                    </w:rPr>
                    <w:t>/抛丸机</w:t>
                  </w:r>
                </w:p>
              </w:tc>
              <w:tc>
                <w:tcPr>
                  <w:tcW w:w="565" w:type="pct"/>
                  <w:tcBorders>
                    <w:tl2br w:val="nil"/>
                    <w:tr2bl w:val="nil"/>
                  </w:tcBorders>
                  <w:vAlign w:val="center"/>
                </w:tcPr>
                <w:p w14:paraId="1B8A754B">
                  <w:pPr>
                    <w:pStyle w:val="477"/>
                    <w:spacing w:after="0"/>
                    <w:rPr>
                      <w:color w:val="auto"/>
                      <w:szCs w:val="21"/>
                    </w:rPr>
                  </w:pPr>
                  <w:r>
                    <w:rPr>
                      <w:color w:val="auto"/>
                      <w:szCs w:val="21"/>
                    </w:rPr>
                    <w:t>打磨</w:t>
                  </w:r>
                  <w:r>
                    <w:rPr>
                      <w:rFonts w:hint="eastAsia"/>
                      <w:color w:val="auto"/>
                      <w:szCs w:val="21"/>
                      <w:lang w:val="en-US" w:eastAsia="zh-CN"/>
                    </w:rPr>
                    <w:t>/抛洒</w:t>
                  </w:r>
                  <w:r>
                    <w:rPr>
                      <w:color w:val="auto"/>
                      <w:szCs w:val="21"/>
                    </w:rPr>
                    <w:t>粉尘</w:t>
                  </w:r>
                </w:p>
              </w:tc>
              <w:tc>
                <w:tcPr>
                  <w:tcW w:w="2156" w:type="pct"/>
                  <w:tcBorders>
                    <w:tl2br w:val="nil"/>
                    <w:tr2bl w:val="nil"/>
                  </w:tcBorders>
                  <w:vAlign w:val="center"/>
                </w:tcPr>
                <w:p w14:paraId="13FC0341">
                  <w:pPr>
                    <w:pStyle w:val="477"/>
                    <w:spacing w:after="0"/>
                    <w:rPr>
                      <w:color w:val="auto"/>
                      <w:szCs w:val="21"/>
                    </w:rPr>
                  </w:pPr>
                  <w:r>
                    <w:rPr>
                      <w:bCs/>
                      <w:color w:val="auto"/>
                      <w:szCs w:val="21"/>
                    </w:rPr>
                    <w:t>集气罩收集+</w:t>
                  </w:r>
                  <w:r>
                    <w:rPr>
                      <w:rFonts w:hint="eastAsia"/>
                      <w:bCs/>
                      <w:color w:val="auto"/>
                      <w:szCs w:val="21"/>
                    </w:rPr>
                    <w:t>布袋除尘</w:t>
                  </w:r>
                  <w:r>
                    <w:rPr>
                      <w:bCs/>
                      <w:color w:val="auto"/>
                      <w:szCs w:val="21"/>
                    </w:rPr>
                    <w:t>处理+15m高排气筒（</w:t>
                  </w:r>
                  <w:r>
                    <w:rPr>
                      <w:rFonts w:hint="eastAsia"/>
                      <w:bCs/>
                      <w:color w:val="auto"/>
                      <w:szCs w:val="21"/>
                    </w:rPr>
                    <w:t>DA004</w:t>
                  </w:r>
                  <w:r>
                    <w:rPr>
                      <w:bCs/>
                      <w:color w:val="auto"/>
                      <w:szCs w:val="21"/>
                    </w:rPr>
                    <w:t>）排放</w:t>
                  </w:r>
                </w:p>
              </w:tc>
            </w:tr>
            <w:tr w14:paraId="07C18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A18DD8C">
                  <w:pPr>
                    <w:pStyle w:val="477"/>
                    <w:spacing w:after="0"/>
                    <w:rPr>
                      <w:color w:val="auto"/>
                      <w:szCs w:val="21"/>
                    </w:rPr>
                  </w:pPr>
                </w:p>
              </w:tc>
              <w:tc>
                <w:tcPr>
                  <w:tcW w:w="353" w:type="pct"/>
                  <w:tcBorders>
                    <w:tl2br w:val="nil"/>
                    <w:tr2bl w:val="nil"/>
                  </w:tcBorders>
                  <w:vAlign w:val="center"/>
                </w:tcPr>
                <w:p w14:paraId="22955FAF">
                  <w:pPr>
                    <w:pStyle w:val="477"/>
                    <w:spacing w:after="0"/>
                    <w:rPr>
                      <w:color w:val="auto"/>
                      <w:szCs w:val="21"/>
                    </w:rPr>
                  </w:pPr>
                  <w:r>
                    <w:rPr>
                      <w:color w:val="auto"/>
                      <w:szCs w:val="21"/>
                    </w:rPr>
                    <w:t>G3-6</w:t>
                  </w:r>
                </w:p>
              </w:tc>
              <w:tc>
                <w:tcPr>
                  <w:tcW w:w="414" w:type="pct"/>
                  <w:tcBorders>
                    <w:tl2br w:val="nil"/>
                    <w:tr2bl w:val="nil"/>
                  </w:tcBorders>
                  <w:vAlign w:val="center"/>
                </w:tcPr>
                <w:p w14:paraId="28EBDC07">
                  <w:pPr>
                    <w:pStyle w:val="477"/>
                    <w:spacing w:after="0"/>
                    <w:rPr>
                      <w:color w:val="auto"/>
                      <w:szCs w:val="21"/>
                    </w:rPr>
                  </w:pPr>
                  <w:r>
                    <w:rPr>
                      <w:color w:val="auto"/>
                      <w:szCs w:val="21"/>
                    </w:rPr>
                    <w:t>烘干</w:t>
                  </w:r>
                </w:p>
              </w:tc>
              <w:tc>
                <w:tcPr>
                  <w:tcW w:w="1240" w:type="pct"/>
                  <w:tcBorders>
                    <w:tl2br w:val="nil"/>
                    <w:tr2bl w:val="nil"/>
                  </w:tcBorders>
                  <w:vAlign w:val="center"/>
                </w:tcPr>
                <w:p w14:paraId="62B6FC0E">
                  <w:pPr>
                    <w:pStyle w:val="477"/>
                    <w:spacing w:after="0"/>
                    <w:rPr>
                      <w:color w:val="auto"/>
                      <w:szCs w:val="21"/>
                    </w:rPr>
                  </w:pPr>
                  <w:r>
                    <w:rPr>
                      <w:color w:val="auto"/>
                      <w:szCs w:val="21"/>
                    </w:rPr>
                    <w:t>烘干炉</w:t>
                  </w:r>
                </w:p>
              </w:tc>
              <w:tc>
                <w:tcPr>
                  <w:tcW w:w="565" w:type="pct"/>
                  <w:tcBorders>
                    <w:tl2br w:val="nil"/>
                    <w:tr2bl w:val="nil"/>
                  </w:tcBorders>
                  <w:vAlign w:val="center"/>
                </w:tcPr>
                <w:p w14:paraId="0E032015">
                  <w:pPr>
                    <w:pStyle w:val="477"/>
                    <w:spacing w:after="0"/>
                    <w:rPr>
                      <w:color w:val="auto"/>
                      <w:szCs w:val="21"/>
                    </w:rPr>
                  </w:pPr>
                  <w:r>
                    <w:rPr>
                      <w:color w:val="auto"/>
                      <w:szCs w:val="21"/>
                    </w:rPr>
                    <w:t>天然气燃烧废气</w:t>
                  </w:r>
                </w:p>
              </w:tc>
              <w:tc>
                <w:tcPr>
                  <w:tcW w:w="2156" w:type="pct"/>
                  <w:tcBorders>
                    <w:tl2br w:val="nil"/>
                    <w:tr2bl w:val="nil"/>
                  </w:tcBorders>
                  <w:vAlign w:val="center"/>
                </w:tcPr>
                <w:p w14:paraId="3DCBA188">
                  <w:pPr>
                    <w:pStyle w:val="477"/>
                    <w:spacing w:after="0"/>
                    <w:rPr>
                      <w:color w:val="auto"/>
                      <w:szCs w:val="21"/>
                    </w:rPr>
                  </w:pPr>
                  <w:r>
                    <w:rPr>
                      <w:color w:val="auto"/>
                      <w:szCs w:val="21"/>
                    </w:rPr>
                    <w:t>管道百分百收集后经过15m高</w:t>
                  </w:r>
                  <w:r>
                    <w:rPr>
                      <w:rFonts w:hint="eastAsia"/>
                      <w:color w:val="auto"/>
                      <w:szCs w:val="21"/>
                    </w:rPr>
                    <w:t>DA005</w:t>
                  </w:r>
                  <w:r>
                    <w:rPr>
                      <w:color w:val="auto"/>
                      <w:szCs w:val="21"/>
                    </w:rPr>
                    <w:t>直接排出</w:t>
                  </w:r>
                </w:p>
              </w:tc>
            </w:tr>
            <w:tr w14:paraId="399B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838F889">
                  <w:pPr>
                    <w:pStyle w:val="477"/>
                    <w:spacing w:after="0"/>
                    <w:rPr>
                      <w:color w:val="auto"/>
                      <w:szCs w:val="21"/>
                    </w:rPr>
                  </w:pPr>
                </w:p>
              </w:tc>
              <w:tc>
                <w:tcPr>
                  <w:tcW w:w="353" w:type="pct"/>
                  <w:tcBorders>
                    <w:tl2br w:val="nil"/>
                    <w:tr2bl w:val="nil"/>
                  </w:tcBorders>
                  <w:vAlign w:val="center"/>
                </w:tcPr>
                <w:p w14:paraId="13366D33">
                  <w:pPr>
                    <w:pStyle w:val="477"/>
                    <w:spacing w:after="0"/>
                    <w:rPr>
                      <w:color w:val="auto"/>
                      <w:szCs w:val="21"/>
                    </w:rPr>
                  </w:pPr>
                  <w:r>
                    <w:rPr>
                      <w:color w:val="auto"/>
                      <w:szCs w:val="21"/>
                    </w:rPr>
                    <w:t>G3-7</w:t>
                  </w:r>
                </w:p>
              </w:tc>
              <w:tc>
                <w:tcPr>
                  <w:tcW w:w="414" w:type="pct"/>
                  <w:tcBorders>
                    <w:tl2br w:val="nil"/>
                    <w:tr2bl w:val="nil"/>
                  </w:tcBorders>
                  <w:vAlign w:val="center"/>
                </w:tcPr>
                <w:p w14:paraId="123E06B0">
                  <w:pPr>
                    <w:pStyle w:val="477"/>
                    <w:spacing w:after="0"/>
                    <w:rPr>
                      <w:color w:val="auto"/>
                      <w:szCs w:val="21"/>
                    </w:rPr>
                  </w:pPr>
                  <w:r>
                    <w:rPr>
                      <w:color w:val="auto"/>
                      <w:szCs w:val="21"/>
                    </w:rPr>
                    <w:t>喷粉</w:t>
                  </w:r>
                </w:p>
              </w:tc>
              <w:tc>
                <w:tcPr>
                  <w:tcW w:w="1240" w:type="pct"/>
                  <w:tcBorders>
                    <w:tl2br w:val="nil"/>
                    <w:tr2bl w:val="nil"/>
                  </w:tcBorders>
                  <w:vAlign w:val="center"/>
                </w:tcPr>
                <w:p w14:paraId="1EFD842D">
                  <w:pPr>
                    <w:pStyle w:val="477"/>
                    <w:spacing w:after="0"/>
                    <w:rPr>
                      <w:color w:val="auto"/>
                      <w:szCs w:val="21"/>
                    </w:rPr>
                  </w:pPr>
                  <w:r>
                    <w:rPr>
                      <w:color w:val="auto"/>
                      <w:szCs w:val="21"/>
                    </w:rPr>
                    <w:t>喷粉房</w:t>
                  </w:r>
                </w:p>
              </w:tc>
              <w:tc>
                <w:tcPr>
                  <w:tcW w:w="565" w:type="pct"/>
                  <w:tcBorders>
                    <w:tl2br w:val="nil"/>
                    <w:tr2bl w:val="nil"/>
                  </w:tcBorders>
                  <w:vAlign w:val="center"/>
                </w:tcPr>
                <w:p w14:paraId="43CDCE72">
                  <w:pPr>
                    <w:pStyle w:val="477"/>
                    <w:spacing w:after="0"/>
                    <w:rPr>
                      <w:color w:val="auto"/>
                      <w:szCs w:val="21"/>
                    </w:rPr>
                  </w:pPr>
                  <w:r>
                    <w:rPr>
                      <w:color w:val="auto"/>
                      <w:szCs w:val="21"/>
                    </w:rPr>
                    <w:t>喷涂废气</w:t>
                  </w:r>
                </w:p>
              </w:tc>
              <w:tc>
                <w:tcPr>
                  <w:tcW w:w="2156" w:type="pct"/>
                  <w:tcBorders>
                    <w:tl2br w:val="nil"/>
                    <w:tr2bl w:val="nil"/>
                  </w:tcBorders>
                  <w:vAlign w:val="center"/>
                </w:tcPr>
                <w:p w14:paraId="2FFB4A90">
                  <w:pPr>
                    <w:pStyle w:val="477"/>
                    <w:spacing w:after="0"/>
                    <w:rPr>
                      <w:color w:val="auto"/>
                      <w:szCs w:val="21"/>
                    </w:rPr>
                  </w:pPr>
                  <w:r>
                    <w:rPr>
                      <w:color w:val="auto"/>
                      <w:szCs w:val="21"/>
                    </w:rPr>
                    <w:t>管道收集+</w:t>
                  </w:r>
                  <w:r>
                    <w:rPr>
                      <w:rFonts w:hint="eastAsia"/>
                      <w:color w:val="auto"/>
                      <w:szCs w:val="21"/>
                    </w:rPr>
                    <w:t>喷粉回收处置系统处理</w:t>
                  </w:r>
                  <w:r>
                    <w:rPr>
                      <w:color w:val="auto"/>
                      <w:szCs w:val="21"/>
                    </w:rPr>
                    <w:t>+15m高排气筒（</w:t>
                  </w:r>
                  <w:r>
                    <w:rPr>
                      <w:rFonts w:hint="eastAsia"/>
                      <w:color w:val="auto"/>
                      <w:szCs w:val="21"/>
                    </w:rPr>
                    <w:t>DA005</w:t>
                  </w:r>
                  <w:r>
                    <w:rPr>
                      <w:color w:val="auto"/>
                      <w:szCs w:val="21"/>
                    </w:rPr>
                    <w:t>）排出</w:t>
                  </w:r>
                </w:p>
              </w:tc>
            </w:tr>
            <w:tr w14:paraId="4290D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77472AB">
                  <w:pPr>
                    <w:pStyle w:val="477"/>
                    <w:spacing w:after="0"/>
                    <w:rPr>
                      <w:color w:val="auto"/>
                      <w:szCs w:val="21"/>
                    </w:rPr>
                  </w:pPr>
                </w:p>
              </w:tc>
              <w:tc>
                <w:tcPr>
                  <w:tcW w:w="353" w:type="pct"/>
                  <w:tcBorders>
                    <w:tl2br w:val="nil"/>
                    <w:tr2bl w:val="nil"/>
                  </w:tcBorders>
                  <w:vAlign w:val="center"/>
                </w:tcPr>
                <w:p w14:paraId="3A14A5AD">
                  <w:pPr>
                    <w:pStyle w:val="477"/>
                    <w:spacing w:after="0"/>
                    <w:rPr>
                      <w:color w:val="auto"/>
                      <w:szCs w:val="21"/>
                    </w:rPr>
                  </w:pPr>
                  <w:r>
                    <w:rPr>
                      <w:color w:val="auto"/>
                      <w:szCs w:val="21"/>
                    </w:rPr>
                    <w:t>G3-8</w:t>
                  </w:r>
                </w:p>
              </w:tc>
              <w:tc>
                <w:tcPr>
                  <w:tcW w:w="414" w:type="pct"/>
                  <w:vMerge w:val="restart"/>
                  <w:tcBorders>
                    <w:tl2br w:val="nil"/>
                    <w:tr2bl w:val="nil"/>
                  </w:tcBorders>
                  <w:vAlign w:val="center"/>
                </w:tcPr>
                <w:p w14:paraId="37B981CF">
                  <w:pPr>
                    <w:pStyle w:val="477"/>
                    <w:spacing w:after="0"/>
                    <w:rPr>
                      <w:color w:val="auto"/>
                      <w:szCs w:val="21"/>
                    </w:rPr>
                  </w:pPr>
                  <w:r>
                    <w:rPr>
                      <w:color w:val="auto"/>
                      <w:szCs w:val="21"/>
                    </w:rPr>
                    <w:t>烘烤固化</w:t>
                  </w:r>
                </w:p>
              </w:tc>
              <w:tc>
                <w:tcPr>
                  <w:tcW w:w="1240" w:type="pct"/>
                  <w:vMerge w:val="restart"/>
                  <w:tcBorders>
                    <w:tl2br w:val="nil"/>
                    <w:tr2bl w:val="nil"/>
                  </w:tcBorders>
                  <w:vAlign w:val="center"/>
                </w:tcPr>
                <w:p w14:paraId="581681DD">
                  <w:pPr>
                    <w:pStyle w:val="477"/>
                    <w:spacing w:after="0"/>
                    <w:rPr>
                      <w:color w:val="auto"/>
                      <w:szCs w:val="21"/>
                    </w:rPr>
                  </w:pPr>
                  <w:r>
                    <w:rPr>
                      <w:color w:val="auto"/>
                      <w:szCs w:val="21"/>
                    </w:rPr>
                    <w:t>粉末固化炉</w:t>
                  </w:r>
                </w:p>
              </w:tc>
              <w:tc>
                <w:tcPr>
                  <w:tcW w:w="565" w:type="pct"/>
                  <w:tcBorders>
                    <w:tl2br w:val="nil"/>
                    <w:tr2bl w:val="nil"/>
                  </w:tcBorders>
                  <w:vAlign w:val="center"/>
                </w:tcPr>
                <w:p w14:paraId="29F7CE9F">
                  <w:pPr>
                    <w:pStyle w:val="477"/>
                    <w:spacing w:after="0"/>
                    <w:rPr>
                      <w:color w:val="auto"/>
                      <w:szCs w:val="21"/>
                    </w:rPr>
                  </w:pPr>
                  <w:r>
                    <w:rPr>
                      <w:color w:val="auto"/>
                      <w:szCs w:val="21"/>
                    </w:rPr>
                    <w:t>天然气燃烧废气</w:t>
                  </w:r>
                </w:p>
              </w:tc>
              <w:tc>
                <w:tcPr>
                  <w:tcW w:w="2156" w:type="pct"/>
                  <w:vMerge w:val="restart"/>
                  <w:tcBorders>
                    <w:tl2br w:val="nil"/>
                    <w:tr2bl w:val="nil"/>
                  </w:tcBorders>
                  <w:vAlign w:val="center"/>
                </w:tcPr>
                <w:p w14:paraId="50251813">
                  <w:pPr>
                    <w:pStyle w:val="477"/>
                    <w:spacing w:after="0"/>
                    <w:rPr>
                      <w:color w:val="auto"/>
                      <w:szCs w:val="21"/>
                    </w:rPr>
                  </w:pPr>
                  <w:r>
                    <w:rPr>
                      <w:color w:val="auto"/>
                      <w:szCs w:val="21"/>
                    </w:rPr>
                    <w:t>管道收集+</w:t>
                  </w:r>
                  <w:r>
                    <w:rPr>
                      <w:rFonts w:hint="eastAsia"/>
                      <w:color w:val="auto"/>
                      <w:szCs w:val="21"/>
                    </w:rPr>
                    <w:t>二级活性炭</w:t>
                  </w:r>
                  <w:r>
                    <w:rPr>
                      <w:color w:val="auto"/>
                      <w:szCs w:val="21"/>
                    </w:rPr>
                    <w:t>+15m高排气筒（</w:t>
                  </w:r>
                  <w:r>
                    <w:rPr>
                      <w:rFonts w:hint="eastAsia"/>
                      <w:color w:val="auto"/>
                      <w:szCs w:val="21"/>
                    </w:rPr>
                    <w:t>DA005</w:t>
                  </w:r>
                  <w:r>
                    <w:rPr>
                      <w:color w:val="auto"/>
                      <w:szCs w:val="21"/>
                    </w:rPr>
                    <w:t>）排出</w:t>
                  </w:r>
                </w:p>
              </w:tc>
            </w:tr>
            <w:tr w14:paraId="09ED4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7AF85F9">
                  <w:pPr>
                    <w:pStyle w:val="477"/>
                    <w:spacing w:after="0"/>
                    <w:rPr>
                      <w:color w:val="auto"/>
                      <w:szCs w:val="21"/>
                    </w:rPr>
                  </w:pPr>
                </w:p>
              </w:tc>
              <w:tc>
                <w:tcPr>
                  <w:tcW w:w="353" w:type="pct"/>
                  <w:tcBorders>
                    <w:tl2br w:val="nil"/>
                    <w:tr2bl w:val="nil"/>
                  </w:tcBorders>
                  <w:vAlign w:val="center"/>
                </w:tcPr>
                <w:p w14:paraId="39840996">
                  <w:pPr>
                    <w:pStyle w:val="477"/>
                    <w:spacing w:after="0"/>
                    <w:rPr>
                      <w:color w:val="auto"/>
                      <w:szCs w:val="21"/>
                    </w:rPr>
                  </w:pPr>
                  <w:r>
                    <w:rPr>
                      <w:color w:val="auto"/>
                      <w:szCs w:val="21"/>
                    </w:rPr>
                    <w:t>G3-9</w:t>
                  </w:r>
                </w:p>
              </w:tc>
              <w:tc>
                <w:tcPr>
                  <w:tcW w:w="414" w:type="pct"/>
                  <w:vMerge w:val="continue"/>
                  <w:tcBorders>
                    <w:tl2br w:val="nil"/>
                    <w:tr2bl w:val="nil"/>
                  </w:tcBorders>
                  <w:vAlign w:val="center"/>
                </w:tcPr>
                <w:p w14:paraId="2777AC1C">
                  <w:pPr>
                    <w:pStyle w:val="477"/>
                    <w:spacing w:after="0"/>
                    <w:rPr>
                      <w:color w:val="auto"/>
                      <w:szCs w:val="21"/>
                    </w:rPr>
                  </w:pPr>
                </w:p>
              </w:tc>
              <w:tc>
                <w:tcPr>
                  <w:tcW w:w="1240" w:type="pct"/>
                  <w:vMerge w:val="continue"/>
                  <w:tcBorders>
                    <w:tl2br w:val="nil"/>
                    <w:tr2bl w:val="nil"/>
                  </w:tcBorders>
                  <w:vAlign w:val="center"/>
                </w:tcPr>
                <w:p w14:paraId="015E3409">
                  <w:pPr>
                    <w:pStyle w:val="477"/>
                    <w:spacing w:after="0"/>
                    <w:rPr>
                      <w:color w:val="auto"/>
                      <w:szCs w:val="21"/>
                    </w:rPr>
                  </w:pPr>
                </w:p>
              </w:tc>
              <w:tc>
                <w:tcPr>
                  <w:tcW w:w="565" w:type="pct"/>
                  <w:tcBorders>
                    <w:tl2br w:val="nil"/>
                    <w:tr2bl w:val="nil"/>
                  </w:tcBorders>
                  <w:vAlign w:val="center"/>
                </w:tcPr>
                <w:p w14:paraId="50ECA76C">
                  <w:pPr>
                    <w:pStyle w:val="477"/>
                    <w:spacing w:after="0"/>
                    <w:rPr>
                      <w:color w:val="auto"/>
                      <w:szCs w:val="21"/>
                    </w:rPr>
                  </w:pPr>
                  <w:r>
                    <w:rPr>
                      <w:color w:val="auto"/>
                      <w:szCs w:val="21"/>
                    </w:rPr>
                    <w:t>烘烤固化废气</w:t>
                  </w:r>
                </w:p>
              </w:tc>
              <w:tc>
                <w:tcPr>
                  <w:tcW w:w="2156" w:type="pct"/>
                  <w:vMerge w:val="continue"/>
                  <w:tcBorders>
                    <w:tl2br w:val="nil"/>
                    <w:tr2bl w:val="nil"/>
                  </w:tcBorders>
                  <w:vAlign w:val="center"/>
                </w:tcPr>
                <w:p w14:paraId="7AD1935B">
                  <w:pPr>
                    <w:pStyle w:val="477"/>
                    <w:spacing w:after="0"/>
                    <w:rPr>
                      <w:color w:val="auto"/>
                      <w:szCs w:val="21"/>
                    </w:rPr>
                  </w:pPr>
                </w:p>
              </w:tc>
            </w:tr>
            <w:tr w14:paraId="00873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6EEF2379">
                  <w:pPr>
                    <w:pStyle w:val="477"/>
                    <w:spacing w:after="0"/>
                    <w:rPr>
                      <w:color w:val="auto"/>
                      <w:szCs w:val="21"/>
                    </w:rPr>
                  </w:pPr>
                </w:p>
              </w:tc>
              <w:tc>
                <w:tcPr>
                  <w:tcW w:w="353" w:type="pct"/>
                  <w:tcBorders>
                    <w:tl2br w:val="nil"/>
                    <w:tr2bl w:val="nil"/>
                  </w:tcBorders>
                  <w:vAlign w:val="center"/>
                </w:tcPr>
                <w:p w14:paraId="1222C3DD">
                  <w:pPr>
                    <w:pStyle w:val="477"/>
                    <w:spacing w:after="0"/>
                    <w:rPr>
                      <w:color w:val="auto"/>
                      <w:szCs w:val="21"/>
                    </w:rPr>
                  </w:pPr>
                  <w:r>
                    <w:rPr>
                      <w:color w:val="auto"/>
                      <w:szCs w:val="21"/>
                    </w:rPr>
                    <w:t>G3-10</w:t>
                  </w:r>
                </w:p>
              </w:tc>
              <w:tc>
                <w:tcPr>
                  <w:tcW w:w="414" w:type="pct"/>
                  <w:tcBorders>
                    <w:tl2br w:val="nil"/>
                    <w:tr2bl w:val="nil"/>
                  </w:tcBorders>
                  <w:vAlign w:val="center"/>
                </w:tcPr>
                <w:p w14:paraId="25DE5273">
                  <w:pPr>
                    <w:pStyle w:val="477"/>
                    <w:spacing w:after="0"/>
                    <w:rPr>
                      <w:color w:val="auto"/>
                      <w:szCs w:val="21"/>
                    </w:rPr>
                  </w:pPr>
                  <w:r>
                    <w:rPr>
                      <w:color w:val="auto"/>
                      <w:szCs w:val="21"/>
                    </w:rPr>
                    <w:t>抛光</w:t>
                  </w:r>
                </w:p>
              </w:tc>
              <w:tc>
                <w:tcPr>
                  <w:tcW w:w="1240" w:type="pct"/>
                  <w:tcBorders>
                    <w:tl2br w:val="nil"/>
                    <w:tr2bl w:val="nil"/>
                  </w:tcBorders>
                  <w:vAlign w:val="center"/>
                </w:tcPr>
                <w:p w14:paraId="3AEBE5E3">
                  <w:pPr>
                    <w:pStyle w:val="477"/>
                    <w:spacing w:after="0"/>
                    <w:rPr>
                      <w:color w:val="auto"/>
                      <w:szCs w:val="21"/>
                    </w:rPr>
                  </w:pPr>
                  <w:r>
                    <w:rPr>
                      <w:color w:val="auto"/>
                      <w:szCs w:val="21"/>
                    </w:rPr>
                    <w:t>抛光轮</w:t>
                  </w:r>
                </w:p>
              </w:tc>
              <w:tc>
                <w:tcPr>
                  <w:tcW w:w="565" w:type="pct"/>
                  <w:tcBorders>
                    <w:tl2br w:val="nil"/>
                    <w:tr2bl w:val="nil"/>
                  </w:tcBorders>
                  <w:vAlign w:val="center"/>
                </w:tcPr>
                <w:p w14:paraId="0EFBB002">
                  <w:pPr>
                    <w:pStyle w:val="477"/>
                    <w:spacing w:after="0"/>
                    <w:rPr>
                      <w:color w:val="auto"/>
                      <w:szCs w:val="21"/>
                    </w:rPr>
                  </w:pPr>
                  <w:r>
                    <w:rPr>
                      <w:color w:val="auto"/>
                      <w:szCs w:val="21"/>
                    </w:rPr>
                    <w:t>抛光粉尘</w:t>
                  </w:r>
                </w:p>
              </w:tc>
              <w:tc>
                <w:tcPr>
                  <w:tcW w:w="2156" w:type="pct"/>
                  <w:tcBorders>
                    <w:tl2br w:val="nil"/>
                    <w:tr2bl w:val="nil"/>
                  </w:tcBorders>
                  <w:vAlign w:val="center"/>
                </w:tcPr>
                <w:p w14:paraId="7738685B">
                  <w:pPr>
                    <w:pStyle w:val="477"/>
                    <w:spacing w:after="0"/>
                    <w:rPr>
                      <w:color w:val="auto"/>
                      <w:szCs w:val="21"/>
                    </w:rPr>
                  </w:pPr>
                  <w:r>
                    <w:rPr>
                      <w:color w:val="auto"/>
                      <w:szCs w:val="21"/>
                    </w:rPr>
                    <w:t>环保湿式抛光一体机（水帘幕除尘）</w:t>
                  </w:r>
                </w:p>
              </w:tc>
            </w:tr>
            <w:tr w14:paraId="21369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9BFEAE7">
                  <w:pPr>
                    <w:pStyle w:val="477"/>
                    <w:spacing w:after="0"/>
                    <w:rPr>
                      <w:color w:val="auto"/>
                      <w:szCs w:val="21"/>
                    </w:rPr>
                  </w:pPr>
                </w:p>
              </w:tc>
              <w:tc>
                <w:tcPr>
                  <w:tcW w:w="353" w:type="pct"/>
                  <w:tcBorders>
                    <w:tl2br w:val="nil"/>
                    <w:tr2bl w:val="nil"/>
                  </w:tcBorders>
                  <w:vAlign w:val="center"/>
                </w:tcPr>
                <w:p w14:paraId="2BA7DDC3">
                  <w:pPr>
                    <w:pStyle w:val="477"/>
                    <w:spacing w:after="0"/>
                    <w:rPr>
                      <w:color w:val="auto"/>
                      <w:szCs w:val="21"/>
                    </w:rPr>
                  </w:pPr>
                  <w:r>
                    <w:rPr>
                      <w:color w:val="auto"/>
                      <w:szCs w:val="21"/>
                    </w:rPr>
                    <w:t>G4-1</w:t>
                  </w:r>
                </w:p>
              </w:tc>
              <w:tc>
                <w:tcPr>
                  <w:tcW w:w="414" w:type="pct"/>
                  <w:tcBorders>
                    <w:tl2br w:val="nil"/>
                    <w:tr2bl w:val="nil"/>
                  </w:tcBorders>
                  <w:vAlign w:val="center"/>
                </w:tcPr>
                <w:p w14:paraId="1271BEC7">
                  <w:pPr>
                    <w:pStyle w:val="477"/>
                    <w:spacing w:after="0"/>
                    <w:rPr>
                      <w:color w:val="auto"/>
                      <w:szCs w:val="21"/>
                    </w:rPr>
                  </w:pPr>
                  <w:r>
                    <w:rPr>
                      <w:color w:val="auto"/>
                      <w:szCs w:val="21"/>
                    </w:rPr>
                    <w:t>下料</w:t>
                  </w:r>
                </w:p>
              </w:tc>
              <w:tc>
                <w:tcPr>
                  <w:tcW w:w="1240" w:type="pct"/>
                  <w:tcBorders>
                    <w:tl2br w:val="nil"/>
                    <w:tr2bl w:val="nil"/>
                  </w:tcBorders>
                  <w:vAlign w:val="center"/>
                </w:tcPr>
                <w:p w14:paraId="426C09D3">
                  <w:pPr>
                    <w:pStyle w:val="477"/>
                    <w:spacing w:after="0"/>
                    <w:rPr>
                      <w:color w:val="auto"/>
                      <w:szCs w:val="21"/>
                    </w:rPr>
                  </w:pPr>
                  <w:r>
                    <w:rPr>
                      <w:color w:val="auto"/>
                      <w:szCs w:val="21"/>
                    </w:rPr>
                    <w:t>推台锯、激光切割机、雕刻机、自动下料机</w:t>
                  </w:r>
                </w:p>
              </w:tc>
              <w:tc>
                <w:tcPr>
                  <w:tcW w:w="565" w:type="pct"/>
                  <w:tcBorders>
                    <w:tl2br w:val="nil"/>
                    <w:tr2bl w:val="nil"/>
                  </w:tcBorders>
                  <w:vAlign w:val="center"/>
                </w:tcPr>
                <w:p w14:paraId="1E4512D7">
                  <w:pPr>
                    <w:pStyle w:val="477"/>
                    <w:spacing w:after="0"/>
                    <w:rPr>
                      <w:color w:val="auto"/>
                      <w:szCs w:val="21"/>
                    </w:rPr>
                  </w:pPr>
                  <w:r>
                    <w:rPr>
                      <w:color w:val="auto"/>
                      <w:szCs w:val="21"/>
                    </w:rPr>
                    <w:t>下料废气</w:t>
                  </w:r>
                </w:p>
              </w:tc>
              <w:tc>
                <w:tcPr>
                  <w:tcW w:w="2156" w:type="pct"/>
                  <w:tcBorders>
                    <w:tl2br w:val="nil"/>
                    <w:tr2bl w:val="nil"/>
                  </w:tcBorders>
                  <w:vAlign w:val="center"/>
                </w:tcPr>
                <w:p w14:paraId="3200CE03">
                  <w:pPr>
                    <w:pStyle w:val="477"/>
                    <w:spacing w:after="0"/>
                    <w:rPr>
                      <w:color w:val="auto"/>
                      <w:szCs w:val="21"/>
                    </w:rPr>
                  </w:pPr>
                  <w:r>
                    <w:rPr>
                      <w:color w:val="auto"/>
                      <w:szCs w:val="21"/>
                    </w:rPr>
                    <w:t>集气罩收集+二级活性炭+15m高排气筒（</w:t>
                  </w:r>
                  <w:r>
                    <w:rPr>
                      <w:rFonts w:hint="eastAsia"/>
                      <w:color w:val="auto"/>
                      <w:szCs w:val="21"/>
                    </w:rPr>
                    <w:t>DA006</w:t>
                  </w:r>
                  <w:r>
                    <w:rPr>
                      <w:color w:val="auto"/>
                      <w:szCs w:val="21"/>
                    </w:rPr>
                    <w:t>）排放</w:t>
                  </w:r>
                </w:p>
              </w:tc>
            </w:tr>
            <w:tr w14:paraId="17CA7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65C06A3">
                  <w:pPr>
                    <w:pStyle w:val="477"/>
                    <w:spacing w:after="0"/>
                    <w:rPr>
                      <w:color w:val="auto"/>
                      <w:szCs w:val="21"/>
                    </w:rPr>
                  </w:pPr>
                </w:p>
              </w:tc>
              <w:tc>
                <w:tcPr>
                  <w:tcW w:w="353" w:type="pct"/>
                  <w:tcBorders>
                    <w:tl2br w:val="nil"/>
                    <w:tr2bl w:val="nil"/>
                  </w:tcBorders>
                  <w:vAlign w:val="center"/>
                </w:tcPr>
                <w:p w14:paraId="2914618E">
                  <w:pPr>
                    <w:pStyle w:val="477"/>
                    <w:spacing w:after="0"/>
                    <w:rPr>
                      <w:color w:val="auto"/>
                      <w:szCs w:val="21"/>
                    </w:rPr>
                  </w:pPr>
                  <w:r>
                    <w:rPr>
                      <w:color w:val="auto"/>
                      <w:szCs w:val="21"/>
                    </w:rPr>
                    <w:t>G4-2</w:t>
                  </w:r>
                </w:p>
              </w:tc>
              <w:tc>
                <w:tcPr>
                  <w:tcW w:w="414" w:type="pct"/>
                  <w:tcBorders>
                    <w:tl2br w:val="nil"/>
                    <w:tr2bl w:val="nil"/>
                  </w:tcBorders>
                  <w:vAlign w:val="center"/>
                </w:tcPr>
                <w:p w14:paraId="4692A5FC">
                  <w:pPr>
                    <w:pStyle w:val="477"/>
                    <w:spacing w:after="0"/>
                    <w:rPr>
                      <w:color w:val="auto"/>
                      <w:szCs w:val="21"/>
                    </w:rPr>
                  </w:pPr>
                  <w:r>
                    <w:rPr>
                      <w:color w:val="auto"/>
                      <w:szCs w:val="21"/>
                    </w:rPr>
                    <w:t>布轮抛光</w:t>
                  </w:r>
                </w:p>
              </w:tc>
              <w:tc>
                <w:tcPr>
                  <w:tcW w:w="1240" w:type="pct"/>
                  <w:tcBorders>
                    <w:tl2br w:val="nil"/>
                    <w:tr2bl w:val="nil"/>
                  </w:tcBorders>
                  <w:vAlign w:val="center"/>
                </w:tcPr>
                <w:p w14:paraId="47432FE2">
                  <w:pPr>
                    <w:pStyle w:val="477"/>
                    <w:spacing w:after="0"/>
                    <w:rPr>
                      <w:color w:val="auto"/>
                      <w:szCs w:val="21"/>
                    </w:rPr>
                  </w:pPr>
                  <w:r>
                    <w:rPr>
                      <w:color w:val="auto"/>
                      <w:szCs w:val="21"/>
                    </w:rPr>
                    <w:t>布轮抛光机</w:t>
                  </w:r>
                </w:p>
              </w:tc>
              <w:tc>
                <w:tcPr>
                  <w:tcW w:w="565" w:type="pct"/>
                  <w:tcBorders>
                    <w:tl2br w:val="nil"/>
                    <w:tr2bl w:val="nil"/>
                  </w:tcBorders>
                  <w:vAlign w:val="center"/>
                </w:tcPr>
                <w:p w14:paraId="1C5DF7A2">
                  <w:pPr>
                    <w:pStyle w:val="477"/>
                    <w:spacing w:after="0"/>
                    <w:rPr>
                      <w:color w:val="auto"/>
                      <w:szCs w:val="21"/>
                    </w:rPr>
                  </w:pPr>
                  <w:r>
                    <w:rPr>
                      <w:color w:val="auto"/>
                      <w:szCs w:val="21"/>
                    </w:rPr>
                    <w:t>布轮抛光粉尘</w:t>
                  </w:r>
                </w:p>
              </w:tc>
              <w:tc>
                <w:tcPr>
                  <w:tcW w:w="2156" w:type="pct"/>
                  <w:tcBorders>
                    <w:tl2br w:val="nil"/>
                    <w:tr2bl w:val="nil"/>
                  </w:tcBorders>
                  <w:vAlign w:val="center"/>
                </w:tcPr>
                <w:p w14:paraId="192F7DC7">
                  <w:pPr>
                    <w:pStyle w:val="477"/>
                    <w:spacing w:after="0"/>
                    <w:rPr>
                      <w:color w:val="auto"/>
                      <w:szCs w:val="21"/>
                    </w:rPr>
                  </w:pPr>
                  <w:r>
                    <w:rPr>
                      <w:color w:val="auto"/>
                      <w:szCs w:val="21"/>
                    </w:rPr>
                    <w:t>环保湿式抛光一体机（水帘幕除尘）</w:t>
                  </w:r>
                </w:p>
              </w:tc>
            </w:tr>
            <w:tr w14:paraId="04191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5D655078">
                  <w:pPr>
                    <w:pStyle w:val="477"/>
                    <w:spacing w:after="0"/>
                    <w:rPr>
                      <w:color w:val="auto"/>
                      <w:szCs w:val="21"/>
                    </w:rPr>
                  </w:pPr>
                </w:p>
              </w:tc>
              <w:tc>
                <w:tcPr>
                  <w:tcW w:w="353" w:type="pct"/>
                  <w:tcBorders>
                    <w:tl2br w:val="nil"/>
                    <w:tr2bl w:val="nil"/>
                  </w:tcBorders>
                  <w:vAlign w:val="center"/>
                </w:tcPr>
                <w:p w14:paraId="3C6E4685">
                  <w:pPr>
                    <w:pStyle w:val="477"/>
                    <w:spacing w:after="0"/>
                    <w:rPr>
                      <w:color w:val="auto"/>
                      <w:szCs w:val="21"/>
                    </w:rPr>
                  </w:pPr>
                  <w:r>
                    <w:rPr>
                      <w:color w:val="auto"/>
                      <w:szCs w:val="21"/>
                    </w:rPr>
                    <w:t>G4-3</w:t>
                  </w:r>
                </w:p>
              </w:tc>
              <w:tc>
                <w:tcPr>
                  <w:tcW w:w="414" w:type="pct"/>
                  <w:tcBorders>
                    <w:tl2br w:val="nil"/>
                    <w:tr2bl w:val="nil"/>
                  </w:tcBorders>
                  <w:vAlign w:val="center"/>
                </w:tcPr>
                <w:p w14:paraId="2501FB25">
                  <w:pPr>
                    <w:pStyle w:val="477"/>
                    <w:spacing w:after="0"/>
                    <w:rPr>
                      <w:color w:val="auto"/>
                      <w:szCs w:val="21"/>
                    </w:rPr>
                  </w:pPr>
                  <w:r>
                    <w:rPr>
                      <w:color w:val="auto"/>
                      <w:szCs w:val="21"/>
                    </w:rPr>
                    <w:t>修边倒角</w:t>
                  </w:r>
                </w:p>
              </w:tc>
              <w:tc>
                <w:tcPr>
                  <w:tcW w:w="1240" w:type="pct"/>
                  <w:tcBorders>
                    <w:tl2br w:val="nil"/>
                    <w:tr2bl w:val="nil"/>
                  </w:tcBorders>
                  <w:vAlign w:val="center"/>
                </w:tcPr>
                <w:p w14:paraId="320D71CC">
                  <w:pPr>
                    <w:pStyle w:val="477"/>
                    <w:spacing w:after="0"/>
                    <w:rPr>
                      <w:color w:val="auto"/>
                      <w:szCs w:val="21"/>
                    </w:rPr>
                  </w:pPr>
                  <w:r>
                    <w:rPr>
                      <w:color w:val="auto"/>
                      <w:szCs w:val="21"/>
                    </w:rPr>
                    <w:t>倒角机</w:t>
                  </w:r>
                </w:p>
              </w:tc>
              <w:tc>
                <w:tcPr>
                  <w:tcW w:w="565" w:type="pct"/>
                  <w:tcBorders>
                    <w:tl2br w:val="nil"/>
                    <w:tr2bl w:val="nil"/>
                  </w:tcBorders>
                  <w:vAlign w:val="center"/>
                </w:tcPr>
                <w:p w14:paraId="73B3EF36">
                  <w:pPr>
                    <w:pStyle w:val="477"/>
                    <w:spacing w:after="0"/>
                    <w:rPr>
                      <w:color w:val="auto"/>
                      <w:szCs w:val="21"/>
                    </w:rPr>
                  </w:pPr>
                  <w:r>
                    <w:rPr>
                      <w:color w:val="auto"/>
                      <w:szCs w:val="21"/>
                    </w:rPr>
                    <w:t>倒角粉尘</w:t>
                  </w:r>
                </w:p>
              </w:tc>
              <w:tc>
                <w:tcPr>
                  <w:tcW w:w="2156" w:type="pct"/>
                  <w:tcBorders>
                    <w:tl2br w:val="nil"/>
                    <w:tr2bl w:val="nil"/>
                  </w:tcBorders>
                  <w:vAlign w:val="center"/>
                </w:tcPr>
                <w:p w14:paraId="527261EB">
                  <w:pPr>
                    <w:pStyle w:val="477"/>
                    <w:spacing w:after="0"/>
                    <w:rPr>
                      <w:color w:val="auto"/>
                      <w:szCs w:val="21"/>
                    </w:rPr>
                  </w:pPr>
                  <w:r>
                    <w:rPr>
                      <w:color w:val="auto"/>
                      <w:szCs w:val="21"/>
                    </w:rPr>
                    <w:t>集气罩收集+布袋除尘处理+15m高排气筒（</w:t>
                  </w:r>
                  <w:r>
                    <w:rPr>
                      <w:rFonts w:hint="eastAsia"/>
                      <w:color w:val="auto"/>
                      <w:szCs w:val="21"/>
                    </w:rPr>
                    <w:t>DA006</w:t>
                  </w:r>
                  <w:r>
                    <w:rPr>
                      <w:color w:val="auto"/>
                      <w:szCs w:val="21"/>
                    </w:rPr>
                    <w:t>）排放</w:t>
                  </w:r>
                </w:p>
              </w:tc>
            </w:tr>
            <w:tr w14:paraId="2BFD1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D1C6ADF">
                  <w:pPr>
                    <w:pStyle w:val="477"/>
                    <w:spacing w:after="0"/>
                    <w:rPr>
                      <w:color w:val="auto"/>
                      <w:szCs w:val="21"/>
                    </w:rPr>
                  </w:pPr>
                </w:p>
              </w:tc>
              <w:tc>
                <w:tcPr>
                  <w:tcW w:w="353" w:type="pct"/>
                  <w:tcBorders>
                    <w:tl2br w:val="nil"/>
                    <w:tr2bl w:val="nil"/>
                  </w:tcBorders>
                  <w:vAlign w:val="center"/>
                </w:tcPr>
                <w:p w14:paraId="4D04C561">
                  <w:pPr>
                    <w:pStyle w:val="477"/>
                    <w:spacing w:after="0"/>
                    <w:rPr>
                      <w:color w:val="auto"/>
                      <w:szCs w:val="21"/>
                    </w:rPr>
                  </w:pPr>
                  <w:r>
                    <w:rPr>
                      <w:color w:val="auto"/>
                      <w:szCs w:val="21"/>
                    </w:rPr>
                    <w:t>G4-4</w:t>
                  </w:r>
                </w:p>
              </w:tc>
              <w:tc>
                <w:tcPr>
                  <w:tcW w:w="414" w:type="pct"/>
                  <w:tcBorders>
                    <w:tl2br w:val="nil"/>
                    <w:tr2bl w:val="nil"/>
                  </w:tcBorders>
                  <w:vAlign w:val="center"/>
                </w:tcPr>
                <w:p w14:paraId="28493999">
                  <w:pPr>
                    <w:pStyle w:val="477"/>
                    <w:spacing w:after="0"/>
                    <w:rPr>
                      <w:color w:val="auto"/>
                      <w:szCs w:val="21"/>
                    </w:rPr>
                  </w:pPr>
                  <w:r>
                    <w:rPr>
                      <w:color w:val="auto"/>
                      <w:szCs w:val="21"/>
                    </w:rPr>
                    <w:t>镭射打标</w:t>
                  </w:r>
                </w:p>
              </w:tc>
              <w:tc>
                <w:tcPr>
                  <w:tcW w:w="1240" w:type="pct"/>
                  <w:tcBorders>
                    <w:tl2br w:val="nil"/>
                    <w:tr2bl w:val="nil"/>
                  </w:tcBorders>
                  <w:vAlign w:val="center"/>
                </w:tcPr>
                <w:p w14:paraId="1F9445DC">
                  <w:pPr>
                    <w:pStyle w:val="477"/>
                    <w:spacing w:after="0"/>
                    <w:rPr>
                      <w:color w:val="auto"/>
                      <w:szCs w:val="21"/>
                    </w:rPr>
                  </w:pPr>
                  <w:r>
                    <w:rPr>
                      <w:color w:val="auto"/>
                      <w:szCs w:val="21"/>
                    </w:rPr>
                    <w:t>激光打标机</w:t>
                  </w:r>
                </w:p>
              </w:tc>
              <w:tc>
                <w:tcPr>
                  <w:tcW w:w="565" w:type="pct"/>
                  <w:tcBorders>
                    <w:tl2br w:val="nil"/>
                    <w:tr2bl w:val="nil"/>
                  </w:tcBorders>
                  <w:vAlign w:val="center"/>
                </w:tcPr>
                <w:p w14:paraId="33086E53">
                  <w:pPr>
                    <w:pStyle w:val="477"/>
                    <w:spacing w:after="0"/>
                    <w:rPr>
                      <w:color w:val="auto"/>
                      <w:szCs w:val="21"/>
                    </w:rPr>
                  </w:pPr>
                  <w:r>
                    <w:rPr>
                      <w:color w:val="auto"/>
                      <w:szCs w:val="21"/>
                    </w:rPr>
                    <w:t>打标废气</w:t>
                  </w:r>
                </w:p>
              </w:tc>
              <w:tc>
                <w:tcPr>
                  <w:tcW w:w="2156" w:type="pct"/>
                  <w:tcBorders>
                    <w:tl2br w:val="nil"/>
                    <w:tr2bl w:val="nil"/>
                  </w:tcBorders>
                  <w:vAlign w:val="center"/>
                </w:tcPr>
                <w:p w14:paraId="11C634E5">
                  <w:pPr>
                    <w:pStyle w:val="477"/>
                    <w:spacing w:after="0"/>
                    <w:rPr>
                      <w:color w:val="auto"/>
                      <w:szCs w:val="21"/>
                    </w:rPr>
                  </w:pPr>
                  <w:r>
                    <w:rPr>
                      <w:color w:val="auto"/>
                      <w:szCs w:val="21"/>
                    </w:rPr>
                    <w:t>集气罩收集+二级活性炭+15m高排气筒（</w:t>
                  </w:r>
                  <w:r>
                    <w:rPr>
                      <w:rFonts w:hint="eastAsia"/>
                      <w:color w:val="auto"/>
                      <w:szCs w:val="21"/>
                    </w:rPr>
                    <w:t>DA006</w:t>
                  </w:r>
                  <w:r>
                    <w:rPr>
                      <w:color w:val="auto"/>
                      <w:szCs w:val="21"/>
                    </w:rPr>
                    <w:t>）排放</w:t>
                  </w:r>
                </w:p>
              </w:tc>
            </w:tr>
            <w:tr w14:paraId="0E7B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4847CD3">
                  <w:pPr>
                    <w:pStyle w:val="477"/>
                    <w:spacing w:after="0"/>
                    <w:rPr>
                      <w:color w:val="auto"/>
                      <w:szCs w:val="21"/>
                    </w:rPr>
                  </w:pPr>
                </w:p>
              </w:tc>
              <w:tc>
                <w:tcPr>
                  <w:tcW w:w="353" w:type="pct"/>
                  <w:tcBorders>
                    <w:tl2br w:val="nil"/>
                    <w:tr2bl w:val="nil"/>
                  </w:tcBorders>
                  <w:vAlign w:val="center"/>
                </w:tcPr>
                <w:p w14:paraId="670C58F1">
                  <w:pPr>
                    <w:pStyle w:val="477"/>
                    <w:spacing w:after="0"/>
                    <w:rPr>
                      <w:color w:val="auto"/>
                      <w:szCs w:val="21"/>
                    </w:rPr>
                  </w:pPr>
                  <w:r>
                    <w:rPr>
                      <w:color w:val="auto"/>
                      <w:szCs w:val="21"/>
                    </w:rPr>
                    <w:t>G4-5</w:t>
                  </w:r>
                </w:p>
              </w:tc>
              <w:tc>
                <w:tcPr>
                  <w:tcW w:w="414" w:type="pct"/>
                  <w:vMerge w:val="restart"/>
                  <w:tcBorders>
                    <w:tl2br w:val="nil"/>
                    <w:tr2bl w:val="nil"/>
                  </w:tcBorders>
                  <w:vAlign w:val="center"/>
                </w:tcPr>
                <w:p w14:paraId="7D443F70">
                  <w:pPr>
                    <w:pStyle w:val="477"/>
                    <w:spacing w:after="0"/>
                    <w:rPr>
                      <w:color w:val="auto"/>
                      <w:szCs w:val="21"/>
                    </w:rPr>
                  </w:pPr>
                  <w:r>
                    <w:rPr>
                      <w:color w:val="auto"/>
                      <w:szCs w:val="21"/>
                    </w:rPr>
                    <w:t>UV丝印</w:t>
                  </w:r>
                </w:p>
              </w:tc>
              <w:tc>
                <w:tcPr>
                  <w:tcW w:w="1240" w:type="pct"/>
                  <w:tcBorders>
                    <w:tl2br w:val="nil"/>
                    <w:tr2bl w:val="nil"/>
                  </w:tcBorders>
                  <w:vAlign w:val="center"/>
                </w:tcPr>
                <w:p w14:paraId="058E65D3">
                  <w:pPr>
                    <w:pStyle w:val="477"/>
                    <w:spacing w:after="0"/>
                    <w:rPr>
                      <w:color w:val="auto"/>
                      <w:szCs w:val="21"/>
                    </w:rPr>
                  </w:pPr>
                  <w:r>
                    <w:rPr>
                      <w:color w:val="auto"/>
                      <w:szCs w:val="21"/>
                    </w:rPr>
                    <w:t>UV烘干机</w:t>
                  </w:r>
                </w:p>
              </w:tc>
              <w:tc>
                <w:tcPr>
                  <w:tcW w:w="565" w:type="pct"/>
                  <w:tcBorders>
                    <w:tl2br w:val="nil"/>
                    <w:tr2bl w:val="nil"/>
                  </w:tcBorders>
                  <w:vAlign w:val="center"/>
                </w:tcPr>
                <w:p w14:paraId="01D056AD">
                  <w:pPr>
                    <w:pStyle w:val="477"/>
                    <w:spacing w:after="0"/>
                    <w:rPr>
                      <w:color w:val="auto"/>
                      <w:szCs w:val="21"/>
                    </w:rPr>
                  </w:pPr>
                  <w:r>
                    <w:rPr>
                      <w:color w:val="auto"/>
                      <w:szCs w:val="21"/>
                    </w:rPr>
                    <w:t>丝印废气</w:t>
                  </w:r>
                </w:p>
              </w:tc>
              <w:tc>
                <w:tcPr>
                  <w:tcW w:w="2156" w:type="pct"/>
                  <w:vMerge w:val="restart"/>
                  <w:tcBorders>
                    <w:tl2br w:val="nil"/>
                    <w:tr2bl w:val="nil"/>
                  </w:tcBorders>
                  <w:vAlign w:val="center"/>
                </w:tcPr>
                <w:p w14:paraId="7D44C06B">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DA006</w:t>
                  </w:r>
                  <w:r>
                    <w:rPr>
                      <w:bCs/>
                      <w:color w:val="auto"/>
                      <w:szCs w:val="21"/>
                    </w:rPr>
                    <w:t>）排放</w:t>
                  </w:r>
                </w:p>
              </w:tc>
            </w:tr>
            <w:tr w14:paraId="11103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88D1234">
                  <w:pPr>
                    <w:pStyle w:val="477"/>
                    <w:spacing w:after="0"/>
                    <w:rPr>
                      <w:color w:val="auto"/>
                      <w:szCs w:val="21"/>
                    </w:rPr>
                  </w:pPr>
                </w:p>
              </w:tc>
              <w:tc>
                <w:tcPr>
                  <w:tcW w:w="353" w:type="pct"/>
                  <w:tcBorders>
                    <w:tl2br w:val="nil"/>
                    <w:tr2bl w:val="nil"/>
                  </w:tcBorders>
                  <w:shd w:val="clear" w:color="auto" w:fill="auto"/>
                  <w:vAlign w:val="center"/>
                </w:tcPr>
                <w:p w14:paraId="6716E7D2">
                  <w:pPr>
                    <w:pStyle w:val="477"/>
                    <w:spacing w:after="0"/>
                    <w:rPr>
                      <w:rFonts w:ascii="Times New Roman" w:hAnsi="Times New Roman" w:eastAsia="宋体" w:cs="Times New Roman"/>
                      <w:color w:val="auto"/>
                      <w:kern w:val="2"/>
                      <w:sz w:val="21"/>
                      <w:szCs w:val="21"/>
                      <w:lang w:val="en-US" w:eastAsia="zh-CN" w:bidi="ar-SA"/>
                    </w:rPr>
                  </w:pPr>
                  <w:r>
                    <w:rPr>
                      <w:color w:val="auto"/>
                      <w:szCs w:val="21"/>
                    </w:rPr>
                    <w:t>G4-6</w:t>
                  </w:r>
                </w:p>
              </w:tc>
              <w:tc>
                <w:tcPr>
                  <w:tcW w:w="414" w:type="pct"/>
                  <w:vMerge w:val="continue"/>
                  <w:tcBorders>
                    <w:tl2br w:val="nil"/>
                    <w:tr2bl w:val="nil"/>
                  </w:tcBorders>
                  <w:vAlign w:val="center"/>
                </w:tcPr>
                <w:p w14:paraId="44829720">
                  <w:pPr>
                    <w:pStyle w:val="477"/>
                    <w:spacing w:after="0"/>
                    <w:rPr>
                      <w:color w:val="auto"/>
                      <w:szCs w:val="21"/>
                    </w:rPr>
                  </w:pPr>
                </w:p>
              </w:tc>
              <w:tc>
                <w:tcPr>
                  <w:tcW w:w="1240" w:type="pct"/>
                  <w:tcBorders>
                    <w:tl2br w:val="nil"/>
                    <w:tr2bl w:val="nil"/>
                  </w:tcBorders>
                  <w:vAlign w:val="center"/>
                </w:tcPr>
                <w:p w14:paraId="14B1A72B">
                  <w:pPr>
                    <w:pStyle w:val="477"/>
                    <w:spacing w:after="0"/>
                    <w:rPr>
                      <w:color w:val="auto"/>
                      <w:szCs w:val="21"/>
                    </w:rPr>
                  </w:pPr>
                  <w:r>
                    <w:rPr>
                      <w:color w:val="auto"/>
                      <w:szCs w:val="21"/>
                    </w:rPr>
                    <w:t>UV烘干机</w:t>
                  </w:r>
                </w:p>
              </w:tc>
              <w:tc>
                <w:tcPr>
                  <w:tcW w:w="565" w:type="pct"/>
                  <w:tcBorders>
                    <w:tl2br w:val="nil"/>
                    <w:tr2bl w:val="nil"/>
                  </w:tcBorders>
                  <w:vAlign w:val="center"/>
                </w:tcPr>
                <w:p w14:paraId="0C32F098">
                  <w:pPr>
                    <w:pStyle w:val="477"/>
                    <w:spacing w:after="0"/>
                    <w:rPr>
                      <w:rFonts w:hint="eastAsia" w:eastAsia="宋体"/>
                      <w:color w:val="auto"/>
                      <w:szCs w:val="21"/>
                      <w:lang w:val="en-US" w:eastAsia="zh-CN"/>
                    </w:rPr>
                  </w:pPr>
                  <w:r>
                    <w:rPr>
                      <w:rFonts w:hint="eastAsia"/>
                      <w:color w:val="auto"/>
                      <w:szCs w:val="21"/>
                      <w:lang w:val="en-US" w:eastAsia="zh-CN"/>
                    </w:rPr>
                    <w:t>烘干废气</w:t>
                  </w:r>
                </w:p>
              </w:tc>
              <w:tc>
                <w:tcPr>
                  <w:tcW w:w="2156" w:type="pct"/>
                  <w:vMerge w:val="continue"/>
                  <w:tcBorders>
                    <w:tl2br w:val="nil"/>
                    <w:tr2bl w:val="nil"/>
                  </w:tcBorders>
                  <w:vAlign w:val="center"/>
                </w:tcPr>
                <w:p w14:paraId="4ED1E08E">
                  <w:pPr>
                    <w:pStyle w:val="477"/>
                    <w:spacing w:after="0"/>
                    <w:rPr>
                      <w:bCs/>
                      <w:color w:val="auto"/>
                      <w:szCs w:val="21"/>
                    </w:rPr>
                  </w:pPr>
                </w:p>
              </w:tc>
            </w:tr>
            <w:tr w14:paraId="5CC89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529C0E0F">
                  <w:pPr>
                    <w:pStyle w:val="477"/>
                    <w:spacing w:after="0"/>
                    <w:rPr>
                      <w:color w:val="auto"/>
                      <w:szCs w:val="21"/>
                    </w:rPr>
                  </w:pPr>
                </w:p>
              </w:tc>
              <w:tc>
                <w:tcPr>
                  <w:tcW w:w="353" w:type="pct"/>
                  <w:tcBorders>
                    <w:tl2br w:val="nil"/>
                    <w:tr2bl w:val="nil"/>
                  </w:tcBorders>
                  <w:shd w:val="clear" w:color="auto" w:fill="auto"/>
                  <w:vAlign w:val="center"/>
                </w:tcPr>
                <w:p w14:paraId="7A365CEC">
                  <w:pPr>
                    <w:pStyle w:val="477"/>
                    <w:spacing w:after="0"/>
                    <w:rPr>
                      <w:rFonts w:ascii="Times New Roman" w:hAnsi="Times New Roman" w:eastAsia="宋体" w:cs="Times New Roman"/>
                      <w:color w:val="auto"/>
                      <w:kern w:val="2"/>
                      <w:sz w:val="21"/>
                      <w:szCs w:val="21"/>
                      <w:lang w:val="en-US" w:eastAsia="zh-CN" w:bidi="ar-SA"/>
                    </w:rPr>
                  </w:pPr>
                  <w:r>
                    <w:rPr>
                      <w:color w:val="auto"/>
                      <w:szCs w:val="21"/>
                    </w:rPr>
                    <w:t>G4-7</w:t>
                  </w:r>
                </w:p>
              </w:tc>
              <w:tc>
                <w:tcPr>
                  <w:tcW w:w="414" w:type="pct"/>
                  <w:vMerge w:val="continue"/>
                  <w:tcBorders>
                    <w:tl2br w:val="nil"/>
                    <w:tr2bl w:val="nil"/>
                  </w:tcBorders>
                  <w:vAlign w:val="center"/>
                </w:tcPr>
                <w:p w14:paraId="32A6EDF0">
                  <w:pPr>
                    <w:pStyle w:val="477"/>
                    <w:spacing w:after="0"/>
                    <w:rPr>
                      <w:color w:val="auto"/>
                      <w:szCs w:val="21"/>
                    </w:rPr>
                  </w:pPr>
                </w:p>
              </w:tc>
              <w:tc>
                <w:tcPr>
                  <w:tcW w:w="1240" w:type="pct"/>
                  <w:tcBorders>
                    <w:tl2br w:val="nil"/>
                    <w:tr2bl w:val="nil"/>
                  </w:tcBorders>
                  <w:vAlign w:val="center"/>
                </w:tcPr>
                <w:p w14:paraId="638CE0AD">
                  <w:pPr>
                    <w:pStyle w:val="477"/>
                    <w:spacing w:after="0"/>
                    <w:rPr>
                      <w:color w:val="auto"/>
                      <w:szCs w:val="21"/>
                    </w:rPr>
                  </w:pPr>
                  <w:r>
                    <w:rPr>
                      <w:color w:val="auto"/>
                      <w:szCs w:val="21"/>
                    </w:rPr>
                    <w:t>洗网水</w:t>
                  </w:r>
                </w:p>
              </w:tc>
              <w:tc>
                <w:tcPr>
                  <w:tcW w:w="565" w:type="pct"/>
                  <w:tcBorders>
                    <w:tl2br w:val="nil"/>
                    <w:tr2bl w:val="nil"/>
                  </w:tcBorders>
                  <w:vAlign w:val="center"/>
                </w:tcPr>
                <w:p w14:paraId="3656C9CD">
                  <w:pPr>
                    <w:pStyle w:val="477"/>
                    <w:spacing w:after="0"/>
                    <w:rPr>
                      <w:color w:val="auto"/>
                      <w:szCs w:val="21"/>
                    </w:rPr>
                  </w:pPr>
                  <w:r>
                    <w:rPr>
                      <w:color w:val="auto"/>
                      <w:szCs w:val="21"/>
                    </w:rPr>
                    <w:t>洗网水废气</w:t>
                  </w:r>
                </w:p>
              </w:tc>
              <w:tc>
                <w:tcPr>
                  <w:tcW w:w="2156" w:type="pct"/>
                  <w:vMerge w:val="continue"/>
                  <w:tcBorders>
                    <w:tl2br w:val="nil"/>
                    <w:tr2bl w:val="nil"/>
                  </w:tcBorders>
                  <w:vAlign w:val="center"/>
                </w:tcPr>
                <w:p w14:paraId="324D6A1F">
                  <w:pPr>
                    <w:pStyle w:val="477"/>
                    <w:spacing w:after="0"/>
                    <w:rPr>
                      <w:color w:val="auto"/>
                      <w:szCs w:val="21"/>
                    </w:rPr>
                  </w:pPr>
                </w:p>
              </w:tc>
            </w:tr>
            <w:tr w14:paraId="78F2C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572D6D8">
                  <w:pPr>
                    <w:pStyle w:val="477"/>
                    <w:spacing w:after="0"/>
                    <w:rPr>
                      <w:color w:val="auto"/>
                      <w:szCs w:val="21"/>
                    </w:rPr>
                  </w:pPr>
                </w:p>
              </w:tc>
              <w:tc>
                <w:tcPr>
                  <w:tcW w:w="353" w:type="pct"/>
                  <w:tcBorders>
                    <w:tl2br w:val="nil"/>
                    <w:tr2bl w:val="nil"/>
                  </w:tcBorders>
                  <w:shd w:val="clear" w:color="auto" w:fill="auto"/>
                  <w:vAlign w:val="center"/>
                </w:tcPr>
                <w:p w14:paraId="521F47E3">
                  <w:pPr>
                    <w:pStyle w:val="477"/>
                    <w:spacing w:after="0"/>
                    <w:rPr>
                      <w:rFonts w:ascii="Times New Roman" w:hAnsi="Times New Roman" w:eastAsia="宋体" w:cs="Times New Roman"/>
                      <w:color w:val="auto"/>
                      <w:kern w:val="2"/>
                      <w:sz w:val="21"/>
                      <w:szCs w:val="21"/>
                      <w:lang w:val="en-US" w:eastAsia="zh-CN" w:bidi="ar-SA"/>
                    </w:rPr>
                  </w:pPr>
                  <w:r>
                    <w:rPr>
                      <w:color w:val="auto"/>
                      <w:szCs w:val="21"/>
                    </w:rPr>
                    <w:t>G4-8</w:t>
                  </w:r>
                </w:p>
              </w:tc>
              <w:tc>
                <w:tcPr>
                  <w:tcW w:w="414" w:type="pct"/>
                  <w:tcBorders>
                    <w:tl2br w:val="nil"/>
                    <w:tr2bl w:val="nil"/>
                  </w:tcBorders>
                  <w:vAlign w:val="center"/>
                </w:tcPr>
                <w:p w14:paraId="3CB13DD6">
                  <w:pPr>
                    <w:pStyle w:val="477"/>
                    <w:spacing w:after="0"/>
                    <w:rPr>
                      <w:color w:val="auto"/>
                      <w:szCs w:val="21"/>
                    </w:rPr>
                  </w:pPr>
                  <w:r>
                    <w:rPr>
                      <w:color w:val="auto"/>
                      <w:szCs w:val="21"/>
                    </w:rPr>
                    <w:t>烫金</w:t>
                  </w:r>
                </w:p>
              </w:tc>
              <w:tc>
                <w:tcPr>
                  <w:tcW w:w="1240" w:type="pct"/>
                  <w:tcBorders>
                    <w:tl2br w:val="nil"/>
                    <w:tr2bl w:val="nil"/>
                  </w:tcBorders>
                  <w:vAlign w:val="center"/>
                </w:tcPr>
                <w:p w14:paraId="01D8C407">
                  <w:pPr>
                    <w:pStyle w:val="477"/>
                    <w:spacing w:after="0"/>
                    <w:rPr>
                      <w:color w:val="auto"/>
                      <w:szCs w:val="21"/>
                    </w:rPr>
                  </w:pPr>
                  <w:r>
                    <w:rPr>
                      <w:color w:val="auto"/>
                      <w:szCs w:val="21"/>
                    </w:rPr>
                    <w:t>烫金机</w:t>
                  </w:r>
                </w:p>
              </w:tc>
              <w:tc>
                <w:tcPr>
                  <w:tcW w:w="565" w:type="pct"/>
                  <w:tcBorders>
                    <w:tl2br w:val="nil"/>
                    <w:tr2bl w:val="nil"/>
                  </w:tcBorders>
                  <w:vAlign w:val="center"/>
                </w:tcPr>
                <w:p w14:paraId="6B4322E2">
                  <w:pPr>
                    <w:pStyle w:val="477"/>
                    <w:spacing w:after="0"/>
                    <w:rPr>
                      <w:color w:val="auto"/>
                      <w:szCs w:val="21"/>
                    </w:rPr>
                  </w:pPr>
                  <w:r>
                    <w:rPr>
                      <w:color w:val="auto"/>
                      <w:szCs w:val="21"/>
                    </w:rPr>
                    <w:t>烫金废气</w:t>
                  </w:r>
                </w:p>
              </w:tc>
              <w:tc>
                <w:tcPr>
                  <w:tcW w:w="2156" w:type="pct"/>
                  <w:tcBorders>
                    <w:tl2br w:val="nil"/>
                    <w:tr2bl w:val="nil"/>
                  </w:tcBorders>
                  <w:vAlign w:val="center"/>
                </w:tcPr>
                <w:p w14:paraId="1086F09C">
                  <w:pPr>
                    <w:pStyle w:val="477"/>
                    <w:spacing w:after="0"/>
                    <w:rPr>
                      <w:color w:val="auto"/>
                      <w:szCs w:val="21"/>
                    </w:rPr>
                  </w:pPr>
                  <w:r>
                    <w:rPr>
                      <w:color w:val="auto"/>
                      <w:szCs w:val="21"/>
                    </w:rPr>
                    <w:t>/</w:t>
                  </w:r>
                </w:p>
              </w:tc>
            </w:tr>
            <w:tr w14:paraId="2D255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2B4F920A">
                  <w:pPr>
                    <w:pStyle w:val="477"/>
                    <w:spacing w:after="0"/>
                    <w:rPr>
                      <w:color w:val="auto"/>
                      <w:szCs w:val="21"/>
                    </w:rPr>
                  </w:pPr>
                </w:p>
              </w:tc>
              <w:tc>
                <w:tcPr>
                  <w:tcW w:w="353" w:type="pct"/>
                  <w:tcBorders>
                    <w:tl2br w:val="nil"/>
                    <w:tr2bl w:val="nil"/>
                  </w:tcBorders>
                  <w:shd w:val="clear" w:color="auto" w:fill="auto"/>
                  <w:vAlign w:val="center"/>
                </w:tcPr>
                <w:p w14:paraId="402D6276">
                  <w:pPr>
                    <w:pStyle w:val="477"/>
                    <w:spacing w:after="0"/>
                    <w:rPr>
                      <w:rFonts w:ascii="Times New Roman" w:hAnsi="Times New Roman" w:eastAsia="宋体" w:cs="Times New Roman"/>
                      <w:color w:val="auto"/>
                      <w:kern w:val="2"/>
                      <w:sz w:val="21"/>
                      <w:szCs w:val="21"/>
                      <w:lang w:val="en-US" w:eastAsia="zh-CN" w:bidi="ar-SA"/>
                    </w:rPr>
                  </w:pPr>
                  <w:r>
                    <w:rPr>
                      <w:color w:val="auto"/>
                      <w:szCs w:val="21"/>
                    </w:rPr>
                    <w:t>G4-9</w:t>
                  </w:r>
                </w:p>
              </w:tc>
              <w:tc>
                <w:tcPr>
                  <w:tcW w:w="414" w:type="pct"/>
                  <w:tcBorders>
                    <w:tl2br w:val="nil"/>
                    <w:tr2bl w:val="nil"/>
                  </w:tcBorders>
                  <w:vAlign w:val="center"/>
                </w:tcPr>
                <w:p w14:paraId="7BEE883E">
                  <w:pPr>
                    <w:pStyle w:val="477"/>
                    <w:spacing w:after="0"/>
                    <w:rPr>
                      <w:color w:val="auto"/>
                      <w:szCs w:val="21"/>
                    </w:rPr>
                  </w:pPr>
                  <w:r>
                    <w:rPr>
                      <w:color w:val="auto"/>
                      <w:szCs w:val="21"/>
                    </w:rPr>
                    <w:t>热弯</w:t>
                  </w:r>
                </w:p>
              </w:tc>
              <w:tc>
                <w:tcPr>
                  <w:tcW w:w="1240" w:type="pct"/>
                  <w:tcBorders>
                    <w:tl2br w:val="nil"/>
                    <w:tr2bl w:val="nil"/>
                  </w:tcBorders>
                  <w:vAlign w:val="center"/>
                </w:tcPr>
                <w:p w14:paraId="2AE3B0C4">
                  <w:pPr>
                    <w:pStyle w:val="477"/>
                    <w:spacing w:after="0"/>
                    <w:rPr>
                      <w:color w:val="auto"/>
                      <w:szCs w:val="21"/>
                    </w:rPr>
                  </w:pPr>
                  <w:r>
                    <w:rPr>
                      <w:color w:val="auto"/>
                      <w:szCs w:val="21"/>
                    </w:rPr>
                    <w:t>弯管机</w:t>
                  </w:r>
                </w:p>
              </w:tc>
              <w:tc>
                <w:tcPr>
                  <w:tcW w:w="565" w:type="pct"/>
                  <w:tcBorders>
                    <w:tl2br w:val="nil"/>
                    <w:tr2bl w:val="nil"/>
                  </w:tcBorders>
                  <w:vAlign w:val="center"/>
                </w:tcPr>
                <w:p w14:paraId="2BCCE224">
                  <w:pPr>
                    <w:pStyle w:val="477"/>
                    <w:spacing w:after="0"/>
                    <w:rPr>
                      <w:color w:val="auto"/>
                      <w:szCs w:val="21"/>
                    </w:rPr>
                  </w:pPr>
                  <w:r>
                    <w:rPr>
                      <w:color w:val="auto"/>
                      <w:szCs w:val="21"/>
                    </w:rPr>
                    <w:t>热弯废气</w:t>
                  </w:r>
                </w:p>
              </w:tc>
              <w:tc>
                <w:tcPr>
                  <w:tcW w:w="2156" w:type="pct"/>
                  <w:tcBorders>
                    <w:tl2br w:val="nil"/>
                    <w:tr2bl w:val="nil"/>
                  </w:tcBorders>
                  <w:vAlign w:val="center"/>
                </w:tcPr>
                <w:p w14:paraId="3B35E851">
                  <w:pPr>
                    <w:pStyle w:val="477"/>
                    <w:spacing w:after="0"/>
                    <w:rPr>
                      <w:color w:val="auto"/>
                      <w:szCs w:val="21"/>
                    </w:rPr>
                  </w:pPr>
                  <w:r>
                    <w:rPr>
                      <w:color w:val="auto"/>
                      <w:szCs w:val="21"/>
                    </w:rPr>
                    <w:t>集气罩收集+二级活性炭+15m高排气筒（</w:t>
                  </w:r>
                  <w:r>
                    <w:rPr>
                      <w:rFonts w:hint="eastAsia"/>
                      <w:color w:val="auto"/>
                      <w:szCs w:val="21"/>
                    </w:rPr>
                    <w:t>DA006</w:t>
                  </w:r>
                  <w:r>
                    <w:rPr>
                      <w:color w:val="auto"/>
                      <w:szCs w:val="21"/>
                    </w:rPr>
                    <w:t>）排放</w:t>
                  </w:r>
                </w:p>
              </w:tc>
            </w:tr>
            <w:tr w14:paraId="1333F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F7E0300">
                  <w:pPr>
                    <w:pStyle w:val="477"/>
                    <w:spacing w:after="0"/>
                    <w:rPr>
                      <w:color w:val="auto"/>
                      <w:szCs w:val="21"/>
                    </w:rPr>
                  </w:pPr>
                </w:p>
              </w:tc>
              <w:tc>
                <w:tcPr>
                  <w:tcW w:w="353" w:type="pct"/>
                  <w:tcBorders>
                    <w:tl2br w:val="nil"/>
                    <w:tr2bl w:val="nil"/>
                  </w:tcBorders>
                  <w:shd w:val="clear" w:color="auto" w:fill="auto"/>
                  <w:vAlign w:val="center"/>
                </w:tcPr>
                <w:p w14:paraId="7AE2D056">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G4-1</w:t>
                  </w:r>
                  <w:r>
                    <w:rPr>
                      <w:rFonts w:hint="eastAsia"/>
                      <w:color w:val="auto"/>
                      <w:szCs w:val="21"/>
                      <w:lang w:val="en-US" w:eastAsia="zh-CN"/>
                    </w:rPr>
                    <w:t>0</w:t>
                  </w:r>
                </w:p>
              </w:tc>
              <w:tc>
                <w:tcPr>
                  <w:tcW w:w="414" w:type="pct"/>
                  <w:tcBorders>
                    <w:tl2br w:val="nil"/>
                    <w:tr2bl w:val="nil"/>
                  </w:tcBorders>
                  <w:vAlign w:val="center"/>
                </w:tcPr>
                <w:p w14:paraId="4E26D70C">
                  <w:pPr>
                    <w:pStyle w:val="477"/>
                    <w:spacing w:after="0"/>
                    <w:rPr>
                      <w:color w:val="auto"/>
                      <w:szCs w:val="21"/>
                    </w:rPr>
                  </w:pPr>
                  <w:r>
                    <w:rPr>
                      <w:color w:val="auto"/>
                      <w:szCs w:val="21"/>
                    </w:rPr>
                    <w:t>粘接</w:t>
                  </w:r>
                </w:p>
              </w:tc>
              <w:tc>
                <w:tcPr>
                  <w:tcW w:w="1240" w:type="pct"/>
                  <w:tcBorders>
                    <w:tl2br w:val="nil"/>
                    <w:tr2bl w:val="nil"/>
                  </w:tcBorders>
                  <w:vAlign w:val="center"/>
                </w:tcPr>
                <w:p w14:paraId="77D94762">
                  <w:pPr>
                    <w:pStyle w:val="477"/>
                    <w:spacing w:after="0"/>
                    <w:rPr>
                      <w:color w:val="auto"/>
                      <w:szCs w:val="21"/>
                    </w:rPr>
                  </w:pPr>
                  <w:r>
                    <w:rPr>
                      <w:color w:val="auto"/>
                      <w:szCs w:val="21"/>
                    </w:rPr>
                    <w:t>/</w:t>
                  </w:r>
                </w:p>
              </w:tc>
              <w:tc>
                <w:tcPr>
                  <w:tcW w:w="565" w:type="pct"/>
                  <w:tcBorders>
                    <w:tl2br w:val="nil"/>
                    <w:tr2bl w:val="nil"/>
                  </w:tcBorders>
                  <w:vAlign w:val="center"/>
                </w:tcPr>
                <w:p w14:paraId="3C599A35">
                  <w:pPr>
                    <w:pStyle w:val="477"/>
                    <w:spacing w:after="0"/>
                    <w:rPr>
                      <w:color w:val="auto"/>
                      <w:szCs w:val="21"/>
                    </w:rPr>
                  </w:pPr>
                  <w:r>
                    <w:rPr>
                      <w:color w:val="auto"/>
                      <w:szCs w:val="21"/>
                    </w:rPr>
                    <w:t>粘接废气</w:t>
                  </w:r>
                </w:p>
              </w:tc>
              <w:tc>
                <w:tcPr>
                  <w:tcW w:w="2156" w:type="pct"/>
                  <w:tcBorders>
                    <w:tl2br w:val="nil"/>
                    <w:tr2bl w:val="nil"/>
                  </w:tcBorders>
                  <w:vAlign w:val="center"/>
                </w:tcPr>
                <w:p w14:paraId="3E021F43">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DA006</w:t>
                  </w:r>
                  <w:r>
                    <w:rPr>
                      <w:bCs/>
                      <w:color w:val="auto"/>
                      <w:szCs w:val="21"/>
                    </w:rPr>
                    <w:t>）排放</w:t>
                  </w:r>
                </w:p>
              </w:tc>
            </w:tr>
            <w:tr w14:paraId="52707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5ED7318">
                  <w:pPr>
                    <w:pStyle w:val="477"/>
                    <w:spacing w:after="0"/>
                    <w:rPr>
                      <w:color w:val="auto"/>
                      <w:szCs w:val="21"/>
                    </w:rPr>
                  </w:pPr>
                </w:p>
              </w:tc>
              <w:tc>
                <w:tcPr>
                  <w:tcW w:w="353" w:type="pct"/>
                  <w:tcBorders>
                    <w:tl2br w:val="nil"/>
                    <w:tr2bl w:val="nil"/>
                  </w:tcBorders>
                  <w:vAlign w:val="center"/>
                </w:tcPr>
                <w:p w14:paraId="0AC87D0E">
                  <w:pPr>
                    <w:pStyle w:val="477"/>
                    <w:spacing w:after="0"/>
                    <w:rPr>
                      <w:rFonts w:hint="eastAsia" w:eastAsia="宋体"/>
                      <w:color w:val="auto"/>
                      <w:szCs w:val="21"/>
                      <w:lang w:eastAsia="zh-CN"/>
                    </w:rPr>
                  </w:pPr>
                  <w:r>
                    <w:rPr>
                      <w:color w:val="auto"/>
                      <w:szCs w:val="21"/>
                    </w:rPr>
                    <w:t>G4-1</w:t>
                  </w:r>
                  <w:r>
                    <w:rPr>
                      <w:rFonts w:hint="eastAsia"/>
                      <w:color w:val="auto"/>
                      <w:szCs w:val="21"/>
                      <w:lang w:val="en-US" w:eastAsia="zh-CN"/>
                    </w:rPr>
                    <w:t>1</w:t>
                  </w:r>
                </w:p>
              </w:tc>
              <w:tc>
                <w:tcPr>
                  <w:tcW w:w="414" w:type="pct"/>
                  <w:tcBorders>
                    <w:tl2br w:val="nil"/>
                    <w:tr2bl w:val="nil"/>
                  </w:tcBorders>
                  <w:vAlign w:val="center"/>
                </w:tcPr>
                <w:p w14:paraId="01D95203">
                  <w:pPr>
                    <w:pStyle w:val="477"/>
                    <w:spacing w:after="0"/>
                    <w:rPr>
                      <w:color w:val="auto"/>
                      <w:szCs w:val="21"/>
                    </w:rPr>
                  </w:pPr>
                  <w:r>
                    <w:rPr>
                      <w:color w:val="auto"/>
                      <w:szCs w:val="21"/>
                    </w:rPr>
                    <w:t>清洗</w:t>
                  </w:r>
                </w:p>
              </w:tc>
              <w:tc>
                <w:tcPr>
                  <w:tcW w:w="1240" w:type="pct"/>
                  <w:tcBorders>
                    <w:tl2br w:val="nil"/>
                    <w:tr2bl w:val="nil"/>
                  </w:tcBorders>
                  <w:vAlign w:val="center"/>
                </w:tcPr>
                <w:p w14:paraId="067180FC">
                  <w:pPr>
                    <w:pStyle w:val="477"/>
                    <w:spacing w:after="0"/>
                    <w:rPr>
                      <w:color w:val="auto"/>
                      <w:szCs w:val="21"/>
                    </w:rPr>
                  </w:pPr>
                  <w:r>
                    <w:rPr>
                      <w:color w:val="auto"/>
                      <w:szCs w:val="21"/>
                    </w:rPr>
                    <w:t>/</w:t>
                  </w:r>
                </w:p>
              </w:tc>
              <w:tc>
                <w:tcPr>
                  <w:tcW w:w="565" w:type="pct"/>
                  <w:tcBorders>
                    <w:tl2br w:val="nil"/>
                    <w:tr2bl w:val="nil"/>
                  </w:tcBorders>
                  <w:vAlign w:val="center"/>
                </w:tcPr>
                <w:p w14:paraId="426D6558">
                  <w:pPr>
                    <w:pStyle w:val="477"/>
                    <w:spacing w:after="0"/>
                    <w:rPr>
                      <w:color w:val="auto"/>
                      <w:szCs w:val="21"/>
                    </w:rPr>
                  </w:pPr>
                  <w:r>
                    <w:rPr>
                      <w:color w:val="auto"/>
                      <w:szCs w:val="21"/>
                    </w:rPr>
                    <w:t>清洗废气</w:t>
                  </w:r>
                </w:p>
              </w:tc>
              <w:tc>
                <w:tcPr>
                  <w:tcW w:w="2156" w:type="pct"/>
                  <w:tcBorders>
                    <w:tl2br w:val="nil"/>
                    <w:tr2bl w:val="nil"/>
                  </w:tcBorders>
                  <w:vAlign w:val="center"/>
                </w:tcPr>
                <w:p w14:paraId="39552AB8">
                  <w:pPr>
                    <w:pStyle w:val="477"/>
                    <w:spacing w:after="0"/>
                    <w:rPr>
                      <w:color w:val="auto"/>
                      <w:szCs w:val="21"/>
                    </w:rPr>
                  </w:pPr>
                  <w:r>
                    <w:rPr>
                      <w:bCs/>
                      <w:color w:val="auto"/>
                      <w:szCs w:val="21"/>
                    </w:rPr>
                    <w:t>集气罩收</w:t>
                  </w:r>
                  <w:r>
                    <w:rPr>
                      <w:color w:val="auto"/>
                      <w:szCs w:val="21"/>
                    </w:rPr>
                    <w:t>集+二级活性炭处理</w:t>
                  </w:r>
                  <w:r>
                    <w:rPr>
                      <w:bCs/>
                      <w:color w:val="auto"/>
                      <w:szCs w:val="21"/>
                    </w:rPr>
                    <w:t>+15m高排气筒（</w:t>
                  </w:r>
                  <w:r>
                    <w:rPr>
                      <w:rFonts w:hint="eastAsia"/>
                      <w:bCs/>
                      <w:color w:val="auto"/>
                      <w:szCs w:val="21"/>
                    </w:rPr>
                    <w:t>DA006</w:t>
                  </w:r>
                  <w:r>
                    <w:rPr>
                      <w:bCs/>
                      <w:color w:val="auto"/>
                      <w:szCs w:val="21"/>
                    </w:rPr>
                    <w:t>）排放</w:t>
                  </w:r>
                </w:p>
              </w:tc>
            </w:tr>
            <w:tr w14:paraId="66FD3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270" w:type="pct"/>
                  <w:vMerge w:val="restart"/>
                  <w:tcBorders>
                    <w:tl2br w:val="nil"/>
                    <w:tr2bl w:val="nil"/>
                  </w:tcBorders>
                  <w:vAlign w:val="center"/>
                </w:tcPr>
                <w:p w14:paraId="73B08AD9">
                  <w:pPr>
                    <w:pStyle w:val="477"/>
                    <w:spacing w:after="0"/>
                    <w:rPr>
                      <w:color w:val="auto"/>
                      <w:szCs w:val="21"/>
                    </w:rPr>
                  </w:pPr>
                  <w:r>
                    <w:rPr>
                      <w:color w:val="auto"/>
                      <w:szCs w:val="21"/>
                    </w:rPr>
                    <w:t>废水</w:t>
                  </w:r>
                </w:p>
              </w:tc>
              <w:tc>
                <w:tcPr>
                  <w:tcW w:w="353" w:type="pct"/>
                  <w:tcBorders>
                    <w:tl2br w:val="nil"/>
                    <w:tr2bl w:val="nil"/>
                  </w:tcBorders>
                  <w:vAlign w:val="center"/>
                </w:tcPr>
                <w:p w14:paraId="7301849E">
                  <w:pPr>
                    <w:pStyle w:val="477"/>
                    <w:spacing w:after="0"/>
                    <w:rPr>
                      <w:color w:val="auto"/>
                      <w:szCs w:val="21"/>
                    </w:rPr>
                  </w:pPr>
                  <w:r>
                    <w:rPr>
                      <w:color w:val="auto"/>
                      <w:szCs w:val="21"/>
                    </w:rPr>
                    <w:t>W1</w:t>
                  </w:r>
                </w:p>
              </w:tc>
              <w:tc>
                <w:tcPr>
                  <w:tcW w:w="1654" w:type="pct"/>
                  <w:gridSpan w:val="2"/>
                  <w:tcBorders>
                    <w:tl2br w:val="nil"/>
                    <w:tr2bl w:val="nil"/>
                  </w:tcBorders>
                  <w:vAlign w:val="center"/>
                </w:tcPr>
                <w:p w14:paraId="67675F22">
                  <w:pPr>
                    <w:pStyle w:val="477"/>
                    <w:spacing w:after="0"/>
                    <w:rPr>
                      <w:color w:val="auto"/>
                      <w:szCs w:val="21"/>
                    </w:rPr>
                  </w:pPr>
                  <w:r>
                    <w:rPr>
                      <w:color w:val="auto"/>
                      <w:szCs w:val="21"/>
                    </w:rPr>
                    <w:t>职工生活</w:t>
                  </w:r>
                  <w:r>
                    <w:rPr>
                      <w:rFonts w:hint="eastAsia"/>
                      <w:color w:val="auto"/>
                      <w:szCs w:val="21"/>
                      <w:lang w:eastAsia="zh-CN"/>
                    </w:rPr>
                    <w:t>生产</w:t>
                  </w:r>
                </w:p>
              </w:tc>
              <w:tc>
                <w:tcPr>
                  <w:tcW w:w="565" w:type="pct"/>
                  <w:tcBorders>
                    <w:tl2br w:val="nil"/>
                    <w:tr2bl w:val="nil"/>
                  </w:tcBorders>
                  <w:vAlign w:val="center"/>
                </w:tcPr>
                <w:p w14:paraId="428D3281">
                  <w:pPr>
                    <w:pStyle w:val="477"/>
                    <w:spacing w:after="0"/>
                    <w:rPr>
                      <w:color w:val="auto"/>
                      <w:szCs w:val="21"/>
                    </w:rPr>
                  </w:pPr>
                  <w:r>
                    <w:rPr>
                      <w:color w:val="auto"/>
                      <w:szCs w:val="21"/>
                    </w:rPr>
                    <w:t>生活、食堂污水</w:t>
                  </w:r>
                </w:p>
              </w:tc>
              <w:tc>
                <w:tcPr>
                  <w:tcW w:w="2156" w:type="pct"/>
                  <w:tcBorders>
                    <w:tl2br w:val="nil"/>
                    <w:tr2bl w:val="nil"/>
                  </w:tcBorders>
                  <w:vAlign w:val="center"/>
                </w:tcPr>
                <w:p w14:paraId="7E328E66">
                  <w:pPr>
                    <w:pStyle w:val="477"/>
                    <w:spacing w:after="0"/>
                    <w:rPr>
                      <w:color w:val="auto"/>
                      <w:szCs w:val="21"/>
                    </w:rPr>
                  </w:pPr>
                  <w:r>
                    <w:rPr>
                      <w:color w:val="auto"/>
                      <w:szCs w:val="21"/>
                    </w:rPr>
                    <w:t>隔油池+化粪池</w:t>
                  </w:r>
                </w:p>
              </w:tc>
            </w:tr>
            <w:tr w14:paraId="21DA8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1" w:hRule="atLeast"/>
                <w:jc w:val="center"/>
              </w:trPr>
              <w:tc>
                <w:tcPr>
                  <w:tcW w:w="270" w:type="pct"/>
                  <w:vMerge w:val="continue"/>
                  <w:tcBorders>
                    <w:tl2br w:val="nil"/>
                    <w:tr2bl w:val="nil"/>
                  </w:tcBorders>
                  <w:vAlign w:val="center"/>
                </w:tcPr>
                <w:p w14:paraId="0F0D17A4">
                  <w:pPr>
                    <w:pStyle w:val="477"/>
                    <w:spacing w:after="0"/>
                    <w:rPr>
                      <w:color w:val="auto"/>
                      <w:szCs w:val="21"/>
                    </w:rPr>
                  </w:pPr>
                </w:p>
              </w:tc>
              <w:tc>
                <w:tcPr>
                  <w:tcW w:w="353" w:type="pct"/>
                  <w:tcBorders>
                    <w:tl2br w:val="nil"/>
                    <w:tr2bl w:val="nil"/>
                  </w:tcBorders>
                  <w:vAlign w:val="center"/>
                </w:tcPr>
                <w:p w14:paraId="1E2697D1">
                  <w:pPr>
                    <w:pStyle w:val="477"/>
                    <w:spacing w:after="0"/>
                    <w:rPr>
                      <w:color w:val="auto"/>
                      <w:szCs w:val="21"/>
                    </w:rPr>
                  </w:pPr>
                  <w:r>
                    <w:rPr>
                      <w:color w:val="auto"/>
                      <w:szCs w:val="21"/>
                    </w:rPr>
                    <w:t>W3-1</w:t>
                  </w:r>
                </w:p>
              </w:tc>
              <w:tc>
                <w:tcPr>
                  <w:tcW w:w="414" w:type="pct"/>
                  <w:tcBorders>
                    <w:tl2br w:val="nil"/>
                    <w:tr2bl w:val="nil"/>
                  </w:tcBorders>
                  <w:vAlign w:val="center"/>
                </w:tcPr>
                <w:p w14:paraId="382A0C58">
                  <w:pPr>
                    <w:pStyle w:val="477"/>
                    <w:spacing w:after="0"/>
                    <w:rPr>
                      <w:color w:val="auto"/>
                      <w:szCs w:val="21"/>
                    </w:rPr>
                  </w:pPr>
                  <w:r>
                    <w:rPr>
                      <w:color w:val="auto"/>
                      <w:szCs w:val="21"/>
                    </w:rPr>
                    <w:t>水洗</w:t>
                  </w:r>
                </w:p>
              </w:tc>
              <w:tc>
                <w:tcPr>
                  <w:tcW w:w="1240" w:type="pct"/>
                  <w:tcBorders>
                    <w:tl2br w:val="nil"/>
                    <w:tr2bl w:val="nil"/>
                  </w:tcBorders>
                  <w:vAlign w:val="center"/>
                </w:tcPr>
                <w:p w14:paraId="24A02F2B">
                  <w:pPr>
                    <w:pStyle w:val="477"/>
                    <w:spacing w:after="0"/>
                    <w:rPr>
                      <w:color w:val="auto"/>
                      <w:szCs w:val="21"/>
                    </w:rPr>
                  </w:pPr>
                  <w:r>
                    <w:rPr>
                      <w:color w:val="auto"/>
                      <w:szCs w:val="21"/>
                    </w:rPr>
                    <w:t>/</w:t>
                  </w:r>
                </w:p>
              </w:tc>
              <w:tc>
                <w:tcPr>
                  <w:tcW w:w="565" w:type="pct"/>
                  <w:tcBorders>
                    <w:tl2br w:val="nil"/>
                    <w:tr2bl w:val="nil"/>
                  </w:tcBorders>
                  <w:vAlign w:val="center"/>
                </w:tcPr>
                <w:p w14:paraId="51059266">
                  <w:pPr>
                    <w:pStyle w:val="477"/>
                    <w:spacing w:after="0"/>
                    <w:rPr>
                      <w:color w:val="auto"/>
                      <w:szCs w:val="21"/>
                    </w:rPr>
                  </w:pPr>
                  <w:r>
                    <w:rPr>
                      <w:color w:val="auto"/>
                      <w:szCs w:val="21"/>
                    </w:rPr>
                    <w:t>清洗废水</w:t>
                  </w:r>
                </w:p>
              </w:tc>
              <w:tc>
                <w:tcPr>
                  <w:tcW w:w="2156" w:type="pct"/>
                  <w:tcBorders>
                    <w:tl2br w:val="nil"/>
                    <w:tr2bl w:val="nil"/>
                  </w:tcBorders>
                  <w:vAlign w:val="center"/>
                </w:tcPr>
                <w:p w14:paraId="1C5EBF08">
                  <w:pPr>
                    <w:pStyle w:val="477"/>
                    <w:spacing w:after="0"/>
                    <w:rPr>
                      <w:color w:val="auto"/>
                      <w:szCs w:val="21"/>
                    </w:rPr>
                  </w:pPr>
                  <w:r>
                    <w:rPr>
                      <w:rFonts w:hint="eastAsia"/>
                      <w:color w:val="auto"/>
                      <w:szCs w:val="21"/>
                    </w:rPr>
                    <w:t>调节（调水质和PH）+混凝沉淀+斜管沉淀</w:t>
                  </w:r>
                </w:p>
              </w:tc>
            </w:tr>
            <w:tr w14:paraId="377A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70" w:type="pct"/>
                  <w:vMerge w:val="continue"/>
                  <w:tcBorders>
                    <w:tl2br w:val="nil"/>
                    <w:tr2bl w:val="nil"/>
                  </w:tcBorders>
                  <w:vAlign w:val="center"/>
                </w:tcPr>
                <w:p w14:paraId="4F92D147">
                  <w:pPr>
                    <w:pStyle w:val="477"/>
                    <w:spacing w:after="0"/>
                    <w:rPr>
                      <w:color w:val="auto"/>
                      <w:szCs w:val="21"/>
                    </w:rPr>
                  </w:pPr>
                </w:p>
              </w:tc>
              <w:tc>
                <w:tcPr>
                  <w:tcW w:w="353" w:type="pct"/>
                  <w:tcBorders>
                    <w:tl2br w:val="nil"/>
                    <w:tr2bl w:val="nil"/>
                  </w:tcBorders>
                  <w:vAlign w:val="center"/>
                </w:tcPr>
                <w:p w14:paraId="146877A5">
                  <w:pPr>
                    <w:pStyle w:val="477"/>
                    <w:spacing w:after="0"/>
                    <w:rPr>
                      <w:color w:val="auto"/>
                      <w:szCs w:val="21"/>
                    </w:rPr>
                  </w:pPr>
                  <w:r>
                    <w:rPr>
                      <w:color w:val="auto"/>
                      <w:szCs w:val="21"/>
                    </w:rPr>
                    <w:t>W3-2</w:t>
                  </w:r>
                </w:p>
              </w:tc>
              <w:tc>
                <w:tcPr>
                  <w:tcW w:w="414" w:type="pct"/>
                  <w:tcBorders>
                    <w:tl2br w:val="nil"/>
                    <w:tr2bl w:val="nil"/>
                  </w:tcBorders>
                  <w:vAlign w:val="center"/>
                </w:tcPr>
                <w:p w14:paraId="5ED60698">
                  <w:pPr>
                    <w:pStyle w:val="477"/>
                    <w:spacing w:after="0"/>
                    <w:rPr>
                      <w:color w:val="auto"/>
                      <w:szCs w:val="21"/>
                    </w:rPr>
                  </w:pPr>
                  <w:r>
                    <w:rPr>
                      <w:color w:val="auto"/>
                      <w:szCs w:val="21"/>
                    </w:rPr>
                    <w:t>脱脂</w:t>
                  </w:r>
                </w:p>
              </w:tc>
              <w:tc>
                <w:tcPr>
                  <w:tcW w:w="1240" w:type="pct"/>
                  <w:tcBorders>
                    <w:tl2br w:val="nil"/>
                    <w:tr2bl w:val="nil"/>
                  </w:tcBorders>
                  <w:vAlign w:val="center"/>
                </w:tcPr>
                <w:p w14:paraId="2C11833D">
                  <w:pPr>
                    <w:pStyle w:val="477"/>
                    <w:spacing w:after="0"/>
                    <w:rPr>
                      <w:color w:val="auto"/>
                      <w:szCs w:val="21"/>
                    </w:rPr>
                  </w:pPr>
                  <w:r>
                    <w:rPr>
                      <w:color w:val="auto"/>
                      <w:szCs w:val="21"/>
                    </w:rPr>
                    <w:t>/</w:t>
                  </w:r>
                </w:p>
              </w:tc>
              <w:tc>
                <w:tcPr>
                  <w:tcW w:w="565" w:type="pct"/>
                  <w:tcBorders>
                    <w:tl2br w:val="nil"/>
                    <w:tr2bl w:val="nil"/>
                  </w:tcBorders>
                  <w:vAlign w:val="center"/>
                </w:tcPr>
                <w:p w14:paraId="4CDEE4B8">
                  <w:pPr>
                    <w:pStyle w:val="477"/>
                    <w:spacing w:after="0"/>
                    <w:rPr>
                      <w:color w:val="auto"/>
                      <w:szCs w:val="21"/>
                    </w:rPr>
                  </w:pPr>
                  <w:r>
                    <w:rPr>
                      <w:color w:val="auto"/>
                      <w:szCs w:val="21"/>
                    </w:rPr>
                    <w:t>脱脂废水</w:t>
                  </w:r>
                </w:p>
              </w:tc>
              <w:tc>
                <w:tcPr>
                  <w:tcW w:w="2156" w:type="pct"/>
                  <w:tcBorders>
                    <w:tl2br w:val="nil"/>
                    <w:tr2bl w:val="nil"/>
                  </w:tcBorders>
                  <w:vAlign w:val="center"/>
                </w:tcPr>
                <w:p w14:paraId="434F78CC">
                  <w:pPr>
                    <w:pStyle w:val="477"/>
                    <w:spacing w:after="0"/>
                    <w:rPr>
                      <w:color w:val="auto"/>
                      <w:szCs w:val="21"/>
                    </w:rPr>
                  </w:pPr>
                  <w:r>
                    <w:rPr>
                      <w:rFonts w:hint="eastAsia"/>
                      <w:color w:val="auto"/>
                      <w:szCs w:val="21"/>
                    </w:rPr>
                    <w:t>调节（调水质和PH）+混凝沉淀+斜管沉淀</w:t>
                  </w:r>
                </w:p>
              </w:tc>
            </w:tr>
            <w:tr w14:paraId="01C76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270" w:type="pct"/>
                  <w:vMerge w:val="continue"/>
                  <w:tcBorders>
                    <w:tl2br w:val="nil"/>
                    <w:tr2bl w:val="nil"/>
                  </w:tcBorders>
                  <w:vAlign w:val="center"/>
                </w:tcPr>
                <w:p w14:paraId="559B02AE">
                  <w:pPr>
                    <w:pStyle w:val="477"/>
                    <w:spacing w:after="0"/>
                    <w:rPr>
                      <w:color w:val="auto"/>
                      <w:szCs w:val="21"/>
                    </w:rPr>
                  </w:pPr>
                </w:p>
              </w:tc>
              <w:tc>
                <w:tcPr>
                  <w:tcW w:w="353" w:type="pct"/>
                  <w:tcBorders>
                    <w:tl2br w:val="nil"/>
                    <w:tr2bl w:val="nil"/>
                  </w:tcBorders>
                  <w:vAlign w:val="center"/>
                </w:tcPr>
                <w:p w14:paraId="7A088939">
                  <w:pPr>
                    <w:pStyle w:val="477"/>
                    <w:spacing w:after="0"/>
                    <w:rPr>
                      <w:color w:val="auto"/>
                      <w:szCs w:val="21"/>
                    </w:rPr>
                  </w:pPr>
                  <w:r>
                    <w:rPr>
                      <w:color w:val="auto"/>
                      <w:szCs w:val="21"/>
                    </w:rPr>
                    <w:t>W3-3</w:t>
                  </w:r>
                </w:p>
              </w:tc>
              <w:tc>
                <w:tcPr>
                  <w:tcW w:w="414" w:type="pct"/>
                  <w:tcBorders>
                    <w:tl2br w:val="nil"/>
                    <w:tr2bl w:val="nil"/>
                  </w:tcBorders>
                  <w:shd w:val="clear" w:color="auto" w:fill="auto"/>
                  <w:vAlign w:val="center"/>
                </w:tcPr>
                <w:p w14:paraId="326D25A3">
                  <w:pPr>
                    <w:pStyle w:val="477"/>
                    <w:spacing w:after="0"/>
                    <w:rPr>
                      <w:color w:val="auto"/>
                      <w:szCs w:val="21"/>
                    </w:rPr>
                  </w:pPr>
                  <w:r>
                    <w:rPr>
                      <w:color w:val="auto"/>
                      <w:szCs w:val="21"/>
                    </w:rPr>
                    <w:t>脱脂后水洗</w:t>
                  </w:r>
                </w:p>
              </w:tc>
              <w:tc>
                <w:tcPr>
                  <w:tcW w:w="1240" w:type="pct"/>
                  <w:tcBorders>
                    <w:tl2br w:val="nil"/>
                    <w:tr2bl w:val="nil"/>
                  </w:tcBorders>
                  <w:shd w:val="clear" w:color="auto" w:fill="auto"/>
                  <w:vAlign w:val="center"/>
                </w:tcPr>
                <w:p w14:paraId="698C5F59">
                  <w:pPr>
                    <w:pStyle w:val="477"/>
                    <w:spacing w:after="0"/>
                    <w:rPr>
                      <w:color w:val="auto"/>
                      <w:szCs w:val="21"/>
                    </w:rPr>
                  </w:pPr>
                  <w:r>
                    <w:rPr>
                      <w:color w:val="auto"/>
                      <w:szCs w:val="21"/>
                    </w:rPr>
                    <w:t>/</w:t>
                  </w:r>
                </w:p>
              </w:tc>
              <w:tc>
                <w:tcPr>
                  <w:tcW w:w="565" w:type="pct"/>
                  <w:tcBorders>
                    <w:tl2br w:val="nil"/>
                    <w:tr2bl w:val="nil"/>
                  </w:tcBorders>
                  <w:shd w:val="clear" w:color="auto" w:fill="auto"/>
                  <w:vAlign w:val="center"/>
                </w:tcPr>
                <w:p w14:paraId="309D44CE">
                  <w:pPr>
                    <w:pStyle w:val="477"/>
                    <w:spacing w:after="0"/>
                    <w:rPr>
                      <w:color w:val="auto"/>
                      <w:szCs w:val="21"/>
                    </w:rPr>
                  </w:pPr>
                  <w:r>
                    <w:rPr>
                      <w:color w:val="auto"/>
                      <w:szCs w:val="21"/>
                    </w:rPr>
                    <w:t>脱脂后清洗废水</w:t>
                  </w:r>
                </w:p>
              </w:tc>
              <w:tc>
                <w:tcPr>
                  <w:tcW w:w="2156" w:type="pct"/>
                  <w:tcBorders>
                    <w:tl2br w:val="nil"/>
                    <w:tr2bl w:val="nil"/>
                  </w:tcBorders>
                  <w:vAlign w:val="center"/>
                </w:tcPr>
                <w:p w14:paraId="00A81E23">
                  <w:pPr>
                    <w:pStyle w:val="477"/>
                    <w:spacing w:after="0"/>
                    <w:rPr>
                      <w:color w:val="auto"/>
                      <w:szCs w:val="21"/>
                    </w:rPr>
                  </w:pPr>
                  <w:r>
                    <w:rPr>
                      <w:rFonts w:hint="eastAsia"/>
                      <w:color w:val="auto"/>
                      <w:szCs w:val="21"/>
                    </w:rPr>
                    <w:t>调节（调水质和PH）+混凝沉淀+斜管沉淀</w:t>
                  </w:r>
                </w:p>
              </w:tc>
            </w:tr>
            <w:tr w14:paraId="08763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270" w:type="pct"/>
                  <w:vMerge w:val="continue"/>
                  <w:tcBorders>
                    <w:tl2br w:val="nil"/>
                    <w:tr2bl w:val="nil"/>
                  </w:tcBorders>
                  <w:vAlign w:val="center"/>
                </w:tcPr>
                <w:p w14:paraId="05FA0DCA">
                  <w:pPr>
                    <w:pStyle w:val="477"/>
                    <w:spacing w:after="0"/>
                    <w:rPr>
                      <w:color w:val="auto"/>
                      <w:szCs w:val="21"/>
                    </w:rPr>
                  </w:pPr>
                </w:p>
              </w:tc>
              <w:tc>
                <w:tcPr>
                  <w:tcW w:w="353" w:type="pct"/>
                  <w:tcBorders>
                    <w:tl2br w:val="nil"/>
                    <w:tr2bl w:val="nil"/>
                  </w:tcBorders>
                  <w:vAlign w:val="center"/>
                </w:tcPr>
                <w:p w14:paraId="50FAA7ED">
                  <w:pPr>
                    <w:pStyle w:val="477"/>
                    <w:spacing w:after="0"/>
                    <w:rPr>
                      <w:color w:val="auto"/>
                      <w:szCs w:val="21"/>
                    </w:rPr>
                  </w:pPr>
                  <w:r>
                    <w:rPr>
                      <w:color w:val="auto"/>
                      <w:szCs w:val="21"/>
                    </w:rPr>
                    <w:t>W3-4</w:t>
                  </w:r>
                </w:p>
              </w:tc>
              <w:tc>
                <w:tcPr>
                  <w:tcW w:w="414" w:type="pct"/>
                  <w:tcBorders>
                    <w:tl2br w:val="nil"/>
                    <w:tr2bl w:val="nil"/>
                  </w:tcBorders>
                  <w:vAlign w:val="center"/>
                </w:tcPr>
                <w:p w14:paraId="008A6569">
                  <w:pPr>
                    <w:pStyle w:val="477"/>
                    <w:spacing w:after="0"/>
                    <w:rPr>
                      <w:color w:val="auto"/>
                      <w:szCs w:val="21"/>
                    </w:rPr>
                  </w:pPr>
                  <w:r>
                    <w:rPr>
                      <w:color w:val="auto"/>
                      <w:szCs w:val="21"/>
                    </w:rPr>
                    <w:t>防锈</w:t>
                  </w:r>
                </w:p>
              </w:tc>
              <w:tc>
                <w:tcPr>
                  <w:tcW w:w="1240" w:type="pct"/>
                  <w:tcBorders>
                    <w:tl2br w:val="nil"/>
                    <w:tr2bl w:val="nil"/>
                  </w:tcBorders>
                  <w:vAlign w:val="center"/>
                </w:tcPr>
                <w:p w14:paraId="338444CD">
                  <w:pPr>
                    <w:pStyle w:val="477"/>
                    <w:spacing w:after="0"/>
                    <w:rPr>
                      <w:color w:val="auto"/>
                      <w:szCs w:val="21"/>
                    </w:rPr>
                  </w:pPr>
                  <w:r>
                    <w:rPr>
                      <w:color w:val="auto"/>
                      <w:szCs w:val="21"/>
                    </w:rPr>
                    <w:t>/</w:t>
                  </w:r>
                </w:p>
              </w:tc>
              <w:tc>
                <w:tcPr>
                  <w:tcW w:w="565" w:type="pct"/>
                  <w:tcBorders>
                    <w:tl2br w:val="nil"/>
                    <w:tr2bl w:val="nil"/>
                  </w:tcBorders>
                  <w:vAlign w:val="center"/>
                </w:tcPr>
                <w:p w14:paraId="014CE1E5">
                  <w:pPr>
                    <w:pStyle w:val="477"/>
                    <w:spacing w:after="0"/>
                    <w:rPr>
                      <w:color w:val="auto"/>
                      <w:szCs w:val="21"/>
                    </w:rPr>
                  </w:pPr>
                  <w:r>
                    <w:rPr>
                      <w:color w:val="auto"/>
                      <w:szCs w:val="21"/>
                    </w:rPr>
                    <w:t>防锈废水</w:t>
                  </w:r>
                </w:p>
              </w:tc>
              <w:tc>
                <w:tcPr>
                  <w:tcW w:w="2156" w:type="pct"/>
                  <w:tcBorders>
                    <w:tl2br w:val="nil"/>
                    <w:tr2bl w:val="nil"/>
                  </w:tcBorders>
                  <w:vAlign w:val="center"/>
                </w:tcPr>
                <w:p w14:paraId="7BAC3D90">
                  <w:pPr>
                    <w:pStyle w:val="477"/>
                    <w:spacing w:after="0"/>
                    <w:rPr>
                      <w:color w:val="auto"/>
                      <w:szCs w:val="21"/>
                    </w:rPr>
                  </w:pPr>
                  <w:r>
                    <w:rPr>
                      <w:rFonts w:hint="eastAsia"/>
                      <w:color w:val="auto"/>
                      <w:szCs w:val="21"/>
                    </w:rPr>
                    <w:t>调节（调水质和PH）+混凝沉淀+斜管沉淀</w:t>
                  </w:r>
                </w:p>
              </w:tc>
            </w:tr>
            <w:tr w14:paraId="6FF48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270" w:type="pct"/>
                  <w:vMerge w:val="continue"/>
                  <w:tcBorders>
                    <w:tl2br w:val="nil"/>
                    <w:tr2bl w:val="nil"/>
                  </w:tcBorders>
                  <w:vAlign w:val="center"/>
                </w:tcPr>
                <w:p w14:paraId="0052D325">
                  <w:pPr>
                    <w:pStyle w:val="477"/>
                    <w:spacing w:after="0"/>
                    <w:rPr>
                      <w:color w:val="auto"/>
                      <w:szCs w:val="21"/>
                    </w:rPr>
                  </w:pPr>
                </w:p>
              </w:tc>
              <w:tc>
                <w:tcPr>
                  <w:tcW w:w="353" w:type="pct"/>
                  <w:tcBorders>
                    <w:tl2br w:val="nil"/>
                    <w:tr2bl w:val="nil"/>
                  </w:tcBorders>
                  <w:vAlign w:val="center"/>
                </w:tcPr>
                <w:p w14:paraId="7607D098">
                  <w:pPr>
                    <w:pStyle w:val="477"/>
                    <w:spacing w:after="0"/>
                    <w:rPr>
                      <w:color w:val="auto"/>
                      <w:szCs w:val="21"/>
                    </w:rPr>
                  </w:pPr>
                  <w:r>
                    <w:rPr>
                      <w:color w:val="auto"/>
                      <w:szCs w:val="21"/>
                    </w:rPr>
                    <w:t>W3-5</w:t>
                  </w:r>
                </w:p>
              </w:tc>
              <w:tc>
                <w:tcPr>
                  <w:tcW w:w="414" w:type="pct"/>
                  <w:tcBorders>
                    <w:tl2br w:val="nil"/>
                    <w:tr2bl w:val="nil"/>
                  </w:tcBorders>
                  <w:vAlign w:val="center"/>
                </w:tcPr>
                <w:p w14:paraId="29D1D429">
                  <w:pPr>
                    <w:pStyle w:val="477"/>
                    <w:spacing w:after="0"/>
                    <w:rPr>
                      <w:color w:val="auto"/>
                      <w:szCs w:val="21"/>
                    </w:rPr>
                  </w:pPr>
                  <w:r>
                    <w:rPr>
                      <w:color w:val="auto"/>
                      <w:szCs w:val="21"/>
                    </w:rPr>
                    <w:t>陶化</w:t>
                  </w:r>
                </w:p>
              </w:tc>
              <w:tc>
                <w:tcPr>
                  <w:tcW w:w="1240" w:type="pct"/>
                  <w:tcBorders>
                    <w:tl2br w:val="nil"/>
                    <w:tr2bl w:val="nil"/>
                  </w:tcBorders>
                  <w:vAlign w:val="center"/>
                </w:tcPr>
                <w:p w14:paraId="3AC0BA96">
                  <w:pPr>
                    <w:pStyle w:val="477"/>
                    <w:spacing w:after="0"/>
                    <w:rPr>
                      <w:color w:val="auto"/>
                      <w:szCs w:val="21"/>
                    </w:rPr>
                  </w:pPr>
                  <w:r>
                    <w:rPr>
                      <w:color w:val="auto"/>
                      <w:szCs w:val="21"/>
                    </w:rPr>
                    <w:t>/</w:t>
                  </w:r>
                </w:p>
              </w:tc>
              <w:tc>
                <w:tcPr>
                  <w:tcW w:w="565" w:type="pct"/>
                  <w:tcBorders>
                    <w:tl2br w:val="nil"/>
                    <w:tr2bl w:val="nil"/>
                  </w:tcBorders>
                  <w:vAlign w:val="center"/>
                </w:tcPr>
                <w:p w14:paraId="6685D43B">
                  <w:pPr>
                    <w:pStyle w:val="477"/>
                    <w:spacing w:after="0"/>
                    <w:rPr>
                      <w:color w:val="auto"/>
                      <w:szCs w:val="21"/>
                    </w:rPr>
                  </w:pPr>
                  <w:r>
                    <w:rPr>
                      <w:color w:val="auto"/>
                      <w:szCs w:val="21"/>
                    </w:rPr>
                    <w:t>陶化废水</w:t>
                  </w:r>
                </w:p>
              </w:tc>
              <w:tc>
                <w:tcPr>
                  <w:tcW w:w="2156" w:type="pct"/>
                  <w:tcBorders>
                    <w:tl2br w:val="nil"/>
                    <w:tr2bl w:val="nil"/>
                  </w:tcBorders>
                  <w:vAlign w:val="center"/>
                </w:tcPr>
                <w:p w14:paraId="496C3F60">
                  <w:pPr>
                    <w:pStyle w:val="477"/>
                    <w:spacing w:after="0"/>
                    <w:rPr>
                      <w:color w:val="auto"/>
                      <w:szCs w:val="21"/>
                    </w:rPr>
                  </w:pPr>
                  <w:r>
                    <w:rPr>
                      <w:rFonts w:hint="eastAsia"/>
                      <w:color w:val="auto"/>
                      <w:szCs w:val="21"/>
                    </w:rPr>
                    <w:t>调节（调水质和PH）+混凝沉淀+斜管沉淀</w:t>
                  </w:r>
                </w:p>
              </w:tc>
            </w:tr>
            <w:tr w14:paraId="7E3AD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270" w:type="pct"/>
                  <w:vMerge w:val="continue"/>
                  <w:tcBorders>
                    <w:tl2br w:val="nil"/>
                    <w:tr2bl w:val="nil"/>
                  </w:tcBorders>
                  <w:vAlign w:val="center"/>
                </w:tcPr>
                <w:p w14:paraId="164B9C43">
                  <w:pPr>
                    <w:pStyle w:val="477"/>
                    <w:spacing w:after="0"/>
                    <w:rPr>
                      <w:color w:val="auto"/>
                      <w:szCs w:val="21"/>
                    </w:rPr>
                  </w:pPr>
                </w:p>
              </w:tc>
              <w:tc>
                <w:tcPr>
                  <w:tcW w:w="353" w:type="pct"/>
                  <w:tcBorders>
                    <w:tl2br w:val="nil"/>
                    <w:tr2bl w:val="nil"/>
                  </w:tcBorders>
                  <w:vAlign w:val="center"/>
                </w:tcPr>
                <w:p w14:paraId="63FB3CDA">
                  <w:pPr>
                    <w:pStyle w:val="477"/>
                    <w:spacing w:after="0"/>
                    <w:rPr>
                      <w:color w:val="auto"/>
                      <w:szCs w:val="21"/>
                    </w:rPr>
                  </w:pPr>
                  <w:r>
                    <w:rPr>
                      <w:color w:val="auto"/>
                      <w:szCs w:val="21"/>
                    </w:rPr>
                    <w:t>W3-6</w:t>
                  </w:r>
                </w:p>
              </w:tc>
              <w:tc>
                <w:tcPr>
                  <w:tcW w:w="414" w:type="pct"/>
                  <w:tcBorders>
                    <w:tl2br w:val="nil"/>
                    <w:tr2bl w:val="nil"/>
                  </w:tcBorders>
                  <w:vAlign w:val="center"/>
                </w:tcPr>
                <w:p w14:paraId="76957B3A">
                  <w:pPr>
                    <w:pStyle w:val="477"/>
                    <w:spacing w:after="0"/>
                    <w:rPr>
                      <w:color w:val="auto"/>
                      <w:szCs w:val="21"/>
                    </w:rPr>
                  </w:pPr>
                  <w:r>
                    <w:rPr>
                      <w:color w:val="auto"/>
                      <w:szCs w:val="21"/>
                    </w:rPr>
                    <w:t>陶化后水洗</w:t>
                  </w:r>
                </w:p>
              </w:tc>
              <w:tc>
                <w:tcPr>
                  <w:tcW w:w="1240" w:type="pct"/>
                  <w:tcBorders>
                    <w:tl2br w:val="nil"/>
                    <w:tr2bl w:val="nil"/>
                  </w:tcBorders>
                  <w:vAlign w:val="center"/>
                </w:tcPr>
                <w:p w14:paraId="3C1F9637">
                  <w:pPr>
                    <w:pStyle w:val="477"/>
                    <w:spacing w:after="0"/>
                    <w:rPr>
                      <w:color w:val="auto"/>
                      <w:szCs w:val="21"/>
                    </w:rPr>
                  </w:pPr>
                  <w:r>
                    <w:rPr>
                      <w:color w:val="auto"/>
                      <w:szCs w:val="21"/>
                    </w:rPr>
                    <w:t>/</w:t>
                  </w:r>
                </w:p>
              </w:tc>
              <w:tc>
                <w:tcPr>
                  <w:tcW w:w="565" w:type="pct"/>
                  <w:tcBorders>
                    <w:tl2br w:val="nil"/>
                    <w:tr2bl w:val="nil"/>
                  </w:tcBorders>
                  <w:vAlign w:val="center"/>
                </w:tcPr>
                <w:p w14:paraId="5DDA7925">
                  <w:pPr>
                    <w:pStyle w:val="477"/>
                    <w:spacing w:after="0"/>
                    <w:rPr>
                      <w:color w:val="auto"/>
                      <w:szCs w:val="21"/>
                    </w:rPr>
                  </w:pPr>
                  <w:r>
                    <w:rPr>
                      <w:color w:val="auto"/>
                      <w:szCs w:val="21"/>
                    </w:rPr>
                    <w:t>陶化后清洗废水</w:t>
                  </w:r>
                </w:p>
              </w:tc>
              <w:tc>
                <w:tcPr>
                  <w:tcW w:w="2156" w:type="pct"/>
                  <w:tcBorders>
                    <w:tl2br w:val="nil"/>
                    <w:tr2bl w:val="nil"/>
                  </w:tcBorders>
                  <w:vAlign w:val="center"/>
                </w:tcPr>
                <w:p w14:paraId="1C6C2CC2">
                  <w:pPr>
                    <w:pStyle w:val="477"/>
                    <w:spacing w:after="0"/>
                    <w:rPr>
                      <w:color w:val="auto"/>
                      <w:szCs w:val="21"/>
                    </w:rPr>
                  </w:pPr>
                  <w:r>
                    <w:rPr>
                      <w:rFonts w:hint="eastAsia"/>
                      <w:color w:val="auto"/>
                      <w:szCs w:val="21"/>
                    </w:rPr>
                    <w:t>调节（调水质和PH）+混凝沉淀+斜管沉淀</w:t>
                  </w:r>
                </w:p>
              </w:tc>
            </w:tr>
            <w:tr w14:paraId="21508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restart"/>
                  <w:tcBorders>
                    <w:tl2br w:val="nil"/>
                    <w:tr2bl w:val="nil"/>
                  </w:tcBorders>
                  <w:vAlign w:val="center"/>
                </w:tcPr>
                <w:p w14:paraId="3D907435">
                  <w:pPr>
                    <w:pStyle w:val="477"/>
                    <w:spacing w:after="0"/>
                    <w:rPr>
                      <w:color w:val="auto"/>
                      <w:szCs w:val="21"/>
                    </w:rPr>
                  </w:pPr>
                  <w:r>
                    <w:rPr>
                      <w:color w:val="auto"/>
                      <w:szCs w:val="21"/>
                    </w:rPr>
                    <w:t>固废</w:t>
                  </w:r>
                </w:p>
              </w:tc>
              <w:tc>
                <w:tcPr>
                  <w:tcW w:w="353" w:type="pct"/>
                  <w:tcBorders>
                    <w:tl2br w:val="nil"/>
                    <w:tr2bl w:val="nil"/>
                  </w:tcBorders>
                  <w:vAlign w:val="center"/>
                </w:tcPr>
                <w:p w14:paraId="6F2ED75D">
                  <w:pPr>
                    <w:pStyle w:val="477"/>
                    <w:spacing w:after="0"/>
                    <w:rPr>
                      <w:color w:val="auto"/>
                      <w:szCs w:val="21"/>
                    </w:rPr>
                  </w:pPr>
                  <w:r>
                    <w:rPr>
                      <w:color w:val="auto"/>
                      <w:szCs w:val="21"/>
                    </w:rPr>
                    <w:t>S1-1</w:t>
                  </w:r>
                </w:p>
              </w:tc>
              <w:tc>
                <w:tcPr>
                  <w:tcW w:w="1654" w:type="pct"/>
                  <w:gridSpan w:val="2"/>
                  <w:vMerge w:val="restart"/>
                  <w:tcBorders>
                    <w:tl2br w:val="nil"/>
                    <w:tr2bl w:val="nil"/>
                  </w:tcBorders>
                  <w:vAlign w:val="center"/>
                </w:tcPr>
                <w:p w14:paraId="201D1DF8">
                  <w:pPr>
                    <w:pStyle w:val="477"/>
                    <w:spacing w:after="0"/>
                    <w:rPr>
                      <w:color w:val="auto"/>
                      <w:szCs w:val="21"/>
                    </w:rPr>
                  </w:pPr>
                  <w:r>
                    <w:rPr>
                      <w:color w:val="auto"/>
                      <w:szCs w:val="21"/>
                    </w:rPr>
                    <w:t>下料</w:t>
                  </w:r>
                </w:p>
              </w:tc>
              <w:tc>
                <w:tcPr>
                  <w:tcW w:w="565" w:type="pct"/>
                  <w:tcBorders>
                    <w:tl2br w:val="nil"/>
                    <w:tr2bl w:val="nil"/>
                  </w:tcBorders>
                  <w:vAlign w:val="center"/>
                </w:tcPr>
                <w:p w14:paraId="3E3658A9">
                  <w:pPr>
                    <w:pStyle w:val="477"/>
                    <w:spacing w:after="0"/>
                    <w:rPr>
                      <w:color w:val="auto"/>
                      <w:szCs w:val="21"/>
                    </w:rPr>
                  </w:pPr>
                  <w:r>
                    <w:rPr>
                      <w:color w:val="auto"/>
                      <w:szCs w:val="21"/>
                    </w:rPr>
                    <w:t>边角料</w:t>
                  </w:r>
                </w:p>
              </w:tc>
              <w:tc>
                <w:tcPr>
                  <w:tcW w:w="2156" w:type="pct"/>
                  <w:tcBorders>
                    <w:tl2br w:val="nil"/>
                    <w:tr2bl w:val="nil"/>
                  </w:tcBorders>
                  <w:vAlign w:val="center"/>
                </w:tcPr>
                <w:p w14:paraId="3F208667">
                  <w:pPr>
                    <w:pStyle w:val="477"/>
                    <w:spacing w:after="0"/>
                    <w:rPr>
                      <w:color w:val="auto"/>
                      <w:szCs w:val="21"/>
                    </w:rPr>
                  </w:pPr>
                  <w:r>
                    <w:rPr>
                      <w:color w:val="auto"/>
                      <w:szCs w:val="21"/>
                    </w:rPr>
                    <w:t>收集后统一处理</w:t>
                  </w:r>
                </w:p>
              </w:tc>
            </w:tr>
            <w:tr w14:paraId="6D49C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920EB16">
                  <w:pPr>
                    <w:pStyle w:val="477"/>
                    <w:spacing w:after="0"/>
                    <w:rPr>
                      <w:color w:val="auto"/>
                      <w:szCs w:val="21"/>
                    </w:rPr>
                  </w:pPr>
                </w:p>
              </w:tc>
              <w:tc>
                <w:tcPr>
                  <w:tcW w:w="353" w:type="pct"/>
                  <w:tcBorders>
                    <w:tl2br w:val="nil"/>
                    <w:tr2bl w:val="nil"/>
                  </w:tcBorders>
                  <w:vAlign w:val="center"/>
                </w:tcPr>
                <w:p w14:paraId="235B3344">
                  <w:pPr>
                    <w:pStyle w:val="477"/>
                    <w:spacing w:after="0"/>
                    <w:rPr>
                      <w:color w:val="auto"/>
                      <w:szCs w:val="21"/>
                    </w:rPr>
                  </w:pPr>
                  <w:r>
                    <w:rPr>
                      <w:color w:val="auto"/>
                      <w:szCs w:val="21"/>
                    </w:rPr>
                    <w:t>S1-2</w:t>
                  </w:r>
                </w:p>
              </w:tc>
              <w:tc>
                <w:tcPr>
                  <w:tcW w:w="1654" w:type="pct"/>
                  <w:gridSpan w:val="2"/>
                  <w:vMerge w:val="continue"/>
                  <w:tcBorders>
                    <w:tl2br w:val="nil"/>
                    <w:tr2bl w:val="nil"/>
                  </w:tcBorders>
                  <w:vAlign w:val="center"/>
                </w:tcPr>
                <w:p w14:paraId="6577C6BE">
                  <w:pPr>
                    <w:pStyle w:val="477"/>
                    <w:spacing w:after="0"/>
                    <w:rPr>
                      <w:color w:val="auto"/>
                      <w:szCs w:val="21"/>
                    </w:rPr>
                  </w:pPr>
                </w:p>
              </w:tc>
              <w:tc>
                <w:tcPr>
                  <w:tcW w:w="565" w:type="pct"/>
                  <w:tcBorders>
                    <w:tl2br w:val="nil"/>
                    <w:tr2bl w:val="nil"/>
                  </w:tcBorders>
                  <w:vAlign w:val="center"/>
                </w:tcPr>
                <w:p w14:paraId="5B43FD78">
                  <w:pPr>
                    <w:pStyle w:val="477"/>
                    <w:spacing w:after="0"/>
                    <w:rPr>
                      <w:color w:val="auto"/>
                      <w:szCs w:val="21"/>
                    </w:rPr>
                  </w:pPr>
                  <w:r>
                    <w:rPr>
                      <w:color w:val="auto"/>
                      <w:szCs w:val="21"/>
                    </w:rPr>
                    <w:t>废刀头</w:t>
                  </w:r>
                </w:p>
              </w:tc>
              <w:tc>
                <w:tcPr>
                  <w:tcW w:w="2156" w:type="pct"/>
                  <w:tcBorders>
                    <w:tl2br w:val="nil"/>
                    <w:tr2bl w:val="nil"/>
                  </w:tcBorders>
                  <w:vAlign w:val="center"/>
                </w:tcPr>
                <w:p w14:paraId="474A3034">
                  <w:pPr>
                    <w:pStyle w:val="477"/>
                    <w:spacing w:after="0"/>
                    <w:rPr>
                      <w:color w:val="auto"/>
                      <w:szCs w:val="21"/>
                    </w:rPr>
                  </w:pPr>
                  <w:r>
                    <w:rPr>
                      <w:color w:val="auto"/>
                      <w:szCs w:val="21"/>
                    </w:rPr>
                    <w:t>收集后统一处理</w:t>
                  </w:r>
                </w:p>
              </w:tc>
            </w:tr>
            <w:tr w14:paraId="32309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E1EBF98">
                  <w:pPr>
                    <w:pStyle w:val="477"/>
                    <w:spacing w:after="0"/>
                    <w:rPr>
                      <w:color w:val="auto"/>
                      <w:szCs w:val="21"/>
                    </w:rPr>
                  </w:pPr>
                </w:p>
              </w:tc>
              <w:tc>
                <w:tcPr>
                  <w:tcW w:w="353" w:type="pct"/>
                  <w:tcBorders>
                    <w:tl2br w:val="nil"/>
                    <w:tr2bl w:val="nil"/>
                  </w:tcBorders>
                  <w:vAlign w:val="center"/>
                </w:tcPr>
                <w:p w14:paraId="5B74F808">
                  <w:pPr>
                    <w:pStyle w:val="477"/>
                    <w:spacing w:after="0"/>
                    <w:rPr>
                      <w:color w:val="auto"/>
                      <w:szCs w:val="21"/>
                    </w:rPr>
                  </w:pPr>
                  <w:r>
                    <w:rPr>
                      <w:color w:val="auto"/>
                      <w:szCs w:val="21"/>
                    </w:rPr>
                    <w:t>S1-3</w:t>
                  </w:r>
                </w:p>
              </w:tc>
              <w:tc>
                <w:tcPr>
                  <w:tcW w:w="1654" w:type="pct"/>
                  <w:gridSpan w:val="2"/>
                  <w:tcBorders>
                    <w:tl2br w:val="nil"/>
                    <w:tr2bl w:val="nil"/>
                  </w:tcBorders>
                  <w:vAlign w:val="center"/>
                </w:tcPr>
                <w:p w14:paraId="61F26E0A">
                  <w:pPr>
                    <w:pStyle w:val="477"/>
                    <w:spacing w:after="0"/>
                    <w:rPr>
                      <w:color w:val="auto"/>
                      <w:szCs w:val="21"/>
                    </w:rPr>
                  </w:pPr>
                  <w:r>
                    <w:rPr>
                      <w:color w:val="auto"/>
                      <w:szCs w:val="21"/>
                    </w:rPr>
                    <w:t>压合</w:t>
                  </w:r>
                </w:p>
              </w:tc>
              <w:tc>
                <w:tcPr>
                  <w:tcW w:w="565" w:type="pct"/>
                  <w:tcBorders>
                    <w:tl2br w:val="nil"/>
                    <w:tr2bl w:val="nil"/>
                  </w:tcBorders>
                  <w:vAlign w:val="center"/>
                </w:tcPr>
                <w:p w14:paraId="524771A6">
                  <w:pPr>
                    <w:pStyle w:val="477"/>
                    <w:spacing w:after="0"/>
                    <w:rPr>
                      <w:color w:val="auto"/>
                      <w:szCs w:val="21"/>
                    </w:rPr>
                  </w:pPr>
                  <w:r>
                    <w:rPr>
                      <w:color w:val="auto"/>
                      <w:szCs w:val="21"/>
                    </w:rPr>
                    <w:t>废液压油</w:t>
                  </w:r>
                </w:p>
              </w:tc>
              <w:tc>
                <w:tcPr>
                  <w:tcW w:w="2156" w:type="pct"/>
                  <w:tcBorders>
                    <w:tl2br w:val="nil"/>
                    <w:tr2bl w:val="nil"/>
                  </w:tcBorders>
                  <w:vAlign w:val="center"/>
                </w:tcPr>
                <w:p w14:paraId="38E442C5">
                  <w:pPr>
                    <w:pStyle w:val="477"/>
                    <w:spacing w:after="0"/>
                    <w:rPr>
                      <w:color w:val="auto"/>
                      <w:szCs w:val="21"/>
                    </w:rPr>
                  </w:pPr>
                  <w:r>
                    <w:rPr>
                      <w:rFonts w:hint="eastAsia"/>
                      <w:color w:val="auto"/>
                      <w:szCs w:val="21"/>
                    </w:rPr>
                    <w:t>暂存在危废暂存间，定期交由有资质单位进行处置</w:t>
                  </w:r>
                </w:p>
              </w:tc>
            </w:tr>
            <w:tr w14:paraId="60E37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DAB661A">
                  <w:pPr>
                    <w:pStyle w:val="477"/>
                    <w:spacing w:after="0"/>
                    <w:rPr>
                      <w:color w:val="auto"/>
                      <w:szCs w:val="21"/>
                    </w:rPr>
                  </w:pPr>
                </w:p>
              </w:tc>
              <w:tc>
                <w:tcPr>
                  <w:tcW w:w="353" w:type="pct"/>
                  <w:tcBorders>
                    <w:tl2br w:val="nil"/>
                    <w:tr2bl w:val="nil"/>
                  </w:tcBorders>
                  <w:vAlign w:val="center"/>
                </w:tcPr>
                <w:p w14:paraId="2FA68180">
                  <w:pPr>
                    <w:pStyle w:val="477"/>
                    <w:spacing w:after="0"/>
                    <w:rPr>
                      <w:color w:val="auto"/>
                      <w:szCs w:val="21"/>
                    </w:rPr>
                  </w:pPr>
                  <w:r>
                    <w:rPr>
                      <w:color w:val="auto"/>
                      <w:szCs w:val="21"/>
                    </w:rPr>
                    <w:t>S1-4</w:t>
                  </w:r>
                </w:p>
              </w:tc>
              <w:tc>
                <w:tcPr>
                  <w:tcW w:w="1654" w:type="pct"/>
                  <w:gridSpan w:val="2"/>
                  <w:tcBorders>
                    <w:tl2br w:val="nil"/>
                    <w:tr2bl w:val="nil"/>
                  </w:tcBorders>
                  <w:vAlign w:val="center"/>
                </w:tcPr>
                <w:p w14:paraId="36B7B47A">
                  <w:pPr>
                    <w:pStyle w:val="477"/>
                    <w:spacing w:after="0"/>
                    <w:rPr>
                      <w:color w:val="auto"/>
                      <w:szCs w:val="21"/>
                    </w:rPr>
                  </w:pPr>
                  <w:r>
                    <w:rPr>
                      <w:color w:val="auto"/>
                      <w:szCs w:val="21"/>
                    </w:rPr>
                    <w:t>封边</w:t>
                  </w:r>
                </w:p>
              </w:tc>
              <w:tc>
                <w:tcPr>
                  <w:tcW w:w="565" w:type="pct"/>
                  <w:tcBorders>
                    <w:tl2br w:val="nil"/>
                    <w:tr2bl w:val="nil"/>
                  </w:tcBorders>
                  <w:vAlign w:val="center"/>
                </w:tcPr>
                <w:p w14:paraId="2E9E8A52">
                  <w:pPr>
                    <w:pStyle w:val="477"/>
                    <w:spacing w:after="0"/>
                    <w:rPr>
                      <w:color w:val="auto"/>
                      <w:szCs w:val="21"/>
                    </w:rPr>
                  </w:pPr>
                  <w:r>
                    <w:rPr>
                      <w:color w:val="auto"/>
                      <w:szCs w:val="21"/>
                    </w:rPr>
                    <w:t>废封边条</w:t>
                  </w:r>
                </w:p>
              </w:tc>
              <w:tc>
                <w:tcPr>
                  <w:tcW w:w="2156" w:type="pct"/>
                  <w:tcBorders>
                    <w:tl2br w:val="nil"/>
                    <w:tr2bl w:val="nil"/>
                  </w:tcBorders>
                  <w:vAlign w:val="center"/>
                </w:tcPr>
                <w:p w14:paraId="5F200994">
                  <w:pPr>
                    <w:pStyle w:val="477"/>
                    <w:spacing w:after="0"/>
                    <w:rPr>
                      <w:color w:val="auto"/>
                      <w:szCs w:val="21"/>
                    </w:rPr>
                  </w:pPr>
                  <w:r>
                    <w:rPr>
                      <w:color w:val="auto"/>
                      <w:szCs w:val="21"/>
                    </w:rPr>
                    <w:t>收集后统一处理</w:t>
                  </w:r>
                </w:p>
              </w:tc>
            </w:tr>
            <w:tr w14:paraId="235AA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7DB98FC">
                  <w:pPr>
                    <w:pStyle w:val="477"/>
                    <w:spacing w:after="0"/>
                    <w:rPr>
                      <w:color w:val="auto"/>
                      <w:szCs w:val="21"/>
                    </w:rPr>
                  </w:pPr>
                </w:p>
              </w:tc>
              <w:tc>
                <w:tcPr>
                  <w:tcW w:w="353" w:type="pct"/>
                  <w:tcBorders>
                    <w:tl2br w:val="nil"/>
                    <w:tr2bl w:val="nil"/>
                  </w:tcBorders>
                  <w:vAlign w:val="center"/>
                </w:tcPr>
                <w:p w14:paraId="1B104F74">
                  <w:pPr>
                    <w:pStyle w:val="477"/>
                    <w:spacing w:after="0"/>
                    <w:rPr>
                      <w:color w:val="auto"/>
                      <w:szCs w:val="21"/>
                    </w:rPr>
                  </w:pPr>
                  <w:r>
                    <w:rPr>
                      <w:color w:val="auto"/>
                      <w:szCs w:val="21"/>
                    </w:rPr>
                    <w:t>S1-5</w:t>
                  </w:r>
                </w:p>
              </w:tc>
              <w:tc>
                <w:tcPr>
                  <w:tcW w:w="1654" w:type="pct"/>
                  <w:gridSpan w:val="2"/>
                  <w:vMerge w:val="restart"/>
                  <w:tcBorders>
                    <w:tl2br w:val="nil"/>
                    <w:tr2bl w:val="nil"/>
                  </w:tcBorders>
                  <w:vAlign w:val="center"/>
                </w:tcPr>
                <w:p w14:paraId="4EBBDBB7">
                  <w:pPr>
                    <w:pStyle w:val="477"/>
                    <w:spacing w:after="0"/>
                    <w:rPr>
                      <w:color w:val="auto"/>
                      <w:szCs w:val="21"/>
                    </w:rPr>
                  </w:pPr>
                  <w:r>
                    <w:rPr>
                      <w:color w:val="auto"/>
                      <w:szCs w:val="21"/>
                    </w:rPr>
                    <w:t>倒角/钻孔</w:t>
                  </w:r>
                </w:p>
              </w:tc>
              <w:tc>
                <w:tcPr>
                  <w:tcW w:w="565" w:type="pct"/>
                  <w:tcBorders>
                    <w:tl2br w:val="nil"/>
                    <w:tr2bl w:val="nil"/>
                  </w:tcBorders>
                  <w:vAlign w:val="center"/>
                </w:tcPr>
                <w:p w14:paraId="6698BB84">
                  <w:pPr>
                    <w:pStyle w:val="477"/>
                    <w:spacing w:after="0"/>
                    <w:rPr>
                      <w:color w:val="auto"/>
                      <w:szCs w:val="21"/>
                    </w:rPr>
                  </w:pPr>
                  <w:r>
                    <w:rPr>
                      <w:color w:val="auto"/>
                      <w:szCs w:val="21"/>
                    </w:rPr>
                    <w:t>边角料</w:t>
                  </w:r>
                </w:p>
              </w:tc>
              <w:tc>
                <w:tcPr>
                  <w:tcW w:w="2156" w:type="pct"/>
                  <w:tcBorders>
                    <w:tl2br w:val="nil"/>
                    <w:tr2bl w:val="nil"/>
                  </w:tcBorders>
                  <w:vAlign w:val="center"/>
                </w:tcPr>
                <w:p w14:paraId="1DFA8AD3">
                  <w:pPr>
                    <w:pStyle w:val="477"/>
                    <w:spacing w:after="0"/>
                    <w:rPr>
                      <w:color w:val="auto"/>
                      <w:szCs w:val="21"/>
                    </w:rPr>
                  </w:pPr>
                  <w:r>
                    <w:rPr>
                      <w:color w:val="auto"/>
                      <w:szCs w:val="21"/>
                    </w:rPr>
                    <w:t>收集后统一处理</w:t>
                  </w:r>
                </w:p>
              </w:tc>
            </w:tr>
            <w:tr w14:paraId="33C3B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193ED57">
                  <w:pPr>
                    <w:pStyle w:val="477"/>
                    <w:spacing w:after="0"/>
                    <w:rPr>
                      <w:color w:val="auto"/>
                      <w:szCs w:val="21"/>
                    </w:rPr>
                  </w:pPr>
                </w:p>
              </w:tc>
              <w:tc>
                <w:tcPr>
                  <w:tcW w:w="353" w:type="pct"/>
                  <w:tcBorders>
                    <w:tl2br w:val="nil"/>
                    <w:tr2bl w:val="nil"/>
                  </w:tcBorders>
                  <w:vAlign w:val="center"/>
                </w:tcPr>
                <w:p w14:paraId="0B7B3E5B">
                  <w:pPr>
                    <w:pStyle w:val="477"/>
                    <w:spacing w:after="0"/>
                    <w:rPr>
                      <w:color w:val="auto"/>
                      <w:szCs w:val="21"/>
                    </w:rPr>
                  </w:pPr>
                  <w:r>
                    <w:rPr>
                      <w:color w:val="auto"/>
                      <w:szCs w:val="21"/>
                    </w:rPr>
                    <w:t>S1-6</w:t>
                  </w:r>
                </w:p>
              </w:tc>
              <w:tc>
                <w:tcPr>
                  <w:tcW w:w="1654" w:type="pct"/>
                  <w:gridSpan w:val="2"/>
                  <w:vMerge w:val="continue"/>
                  <w:tcBorders>
                    <w:tl2br w:val="nil"/>
                    <w:tr2bl w:val="nil"/>
                  </w:tcBorders>
                  <w:vAlign w:val="center"/>
                </w:tcPr>
                <w:p w14:paraId="1C69B61A">
                  <w:pPr>
                    <w:pStyle w:val="477"/>
                    <w:spacing w:after="0"/>
                    <w:rPr>
                      <w:color w:val="auto"/>
                      <w:szCs w:val="21"/>
                    </w:rPr>
                  </w:pPr>
                </w:p>
              </w:tc>
              <w:tc>
                <w:tcPr>
                  <w:tcW w:w="565" w:type="pct"/>
                  <w:tcBorders>
                    <w:tl2br w:val="nil"/>
                    <w:tr2bl w:val="nil"/>
                  </w:tcBorders>
                  <w:vAlign w:val="center"/>
                </w:tcPr>
                <w:p w14:paraId="0941AE8F">
                  <w:pPr>
                    <w:pStyle w:val="477"/>
                    <w:spacing w:after="0"/>
                    <w:rPr>
                      <w:color w:val="auto"/>
                      <w:szCs w:val="21"/>
                    </w:rPr>
                  </w:pPr>
                  <w:r>
                    <w:rPr>
                      <w:color w:val="auto"/>
                      <w:szCs w:val="21"/>
                    </w:rPr>
                    <w:t>废刀头</w:t>
                  </w:r>
                </w:p>
              </w:tc>
              <w:tc>
                <w:tcPr>
                  <w:tcW w:w="2156" w:type="pct"/>
                  <w:tcBorders>
                    <w:tl2br w:val="nil"/>
                    <w:tr2bl w:val="nil"/>
                  </w:tcBorders>
                  <w:vAlign w:val="center"/>
                </w:tcPr>
                <w:p w14:paraId="1BFF2DAF">
                  <w:pPr>
                    <w:pStyle w:val="477"/>
                    <w:spacing w:after="0"/>
                    <w:rPr>
                      <w:color w:val="auto"/>
                      <w:szCs w:val="21"/>
                    </w:rPr>
                  </w:pPr>
                  <w:r>
                    <w:rPr>
                      <w:color w:val="auto"/>
                      <w:szCs w:val="21"/>
                    </w:rPr>
                    <w:t>收集后统一处理</w:t>
                  </w:r>
                </w:p>
              </w:tc>
            </w:tr>
            <w:tr w14:paraId="423DA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F5662D4">
                  <w:pPr>
                    <w:pStyle w:val="477"/>
                    <w:spacing w:after="0"/>
                    <w:rPr>
                      <w:color w:val="auto"/>
                      <w:szCs w:val="21"/>
                    </w:rPr>
                  </w:pPr>
                </w:p>
              </w:tc>
              <w:tc>
                <w:tcPr>
                  <w:tcW w:w="353" w:type="pct"/>
                  <w:tcBorders>
                    <w:tl2br w:val="nil"/>
                    <w:tr2bl w:val="nil"/>
                  </w:tcBorders>
                  <w:vAlign w:val="center"/>
                </w:tcPr>
                <w:p w14:paraId="1209BA0B">
                  <w:pPr>
                    <w:pStyle w:val="477"/>
                    <w:spacing w:after="0"/>
                    <w:rPr>
                      <w:color w:val="auto"/>
                      <w:szCs w:val="21"/>
                    </w:rPr>
                  </w:pPr>
                  <w:r>
                    <w:rPr>
                      <w:color w:val="auto"/>
                      <w:szCs w:val="21"/>
                    </w:rPr>
                    <w:t>S1-7</w:t>
                  </w:r>
                </w:p>
              </w:tc>
              <w:tc>
                <w:tcPr>
                  <w:tcW w:w="1654" w:type="pct"/>
                  <w:gridSpan w:val="2"/>
                  <w:vMerge w:val="restart"/>
                  <w:tcBorders>
                    <w:tl2br w:val="nil"/>
                    <w:tr2bl w:val="nil"/>
                  </w:tcBorders>
                  <w:vAlign w:val="center"/>
                </w:tcPr>
                <w:p w14:paraId="2897DFFE">
                  <w:pPr>
                    <w:pStyle w:val="477"/>
                    <w:spacing w:after="0"/>
                    <w:rPr>
                      <w:color w:val="auto"/>
                      <w:szCs w:val="21"/>
                    </w:rPr>
                  </w:pPr>
                  <w:r>
                    <w:rPr>
                      <w:color w:val="auto"/>
                      <w:szCs w:val="21"/>
                    </w:rPr>
                    <w:t>贴皮</w:t>
                  </w:r>
                </w:p>
              </w:tc>
              <w:tc>
                <w:tcPr>
                  <w:tcW w:w="565" w:type="pct"/>
                  <w:tcBorders>
                    <w:tl2br w:val="nil"/>
                    <w:tr2bl w:val="nil"/>
                  </w:tcBorders>
                  <w:vAlign w:val="center"/>
                </w:tcPr>
                <w:p w14:paraId="43C75939">
                  <w:pPr>
                    <w:pStyle w:val="477"/>
                    <w:spacing w:after="0"/>
                    <w:rPr>
                      <w:color w:val="auto"/>
                      <w:szCs w:val="21"/>
                    </w:rPr>
                  </w:pPr>
                  <w:r>
                    <w:rPr>
                      <w:rFonts w:hint="eastAsia"/>
                      <w:color w:val="auto"/>
                      <w:szCs w:val="21"/>
                    </w:rPr>
                    <w:t>废木皮</w:t>
                  </w:r>
                </w:p>
              </w:tc>
              <w:tc>
                <w:tcPr>
                  <w:tcW w:w="2156" w:type="pct"/>
                  <w:tcBorders>
                    <w:tl2br w:val="nil"/>
                    <w:tr2bl w:val="nil"/>
                  </w:tcBorders>
                  <w:vAlign w:val="center"/>
                </w:tcPr>
                <w:p w14:paraId="05EFC80C">
                  <w:pPr>
                    <w:pStyle w:val="477"/>
                    <w:spacing w:after="0"/>
                    <w:rPr>
                      <w:color w:val="auto"/>
                      <w:szCs w:val="21"/>
                    </w:rPr>
                  </w:pPr>
                  <w:r>
                    <w:rPr>
                      <w:color w:val="auto"/>
                      <w:szCs w:val="21"/>
                    </w:rPr>
                    <w:t>收集后统一处理</w:t>
                  </w:r>
                </w:p>
              </w:tc>
            </w:tr>
            <w:tr w14:paraId="44396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CED7CA8">
                  <w:pPr>
                    <w:pStyle w:val="477"/>
                    <w:spacing w:after="0"/>
                    <w:rPr>
                      <w:color w:val="auto"/>
                      <w:szCs w:val="21"/>
                    </w:rPr>
                  </w:pPr>
                </w:p>
              </w:tc>
              <w:tc>
                <w:tcPr>
                  <w:tcW w:w="353" w:type="pct"/>
                  <w:tcBorders>
                    <w:tl2br w:val="nil"/>
                    <w:tr2bl w:val="nil"/>
                  </w:tcBorders>
                  <w:vAlign w:val="center"/>
                </w:tcPr>
                <w:p w14:paraId="247E7995">
                  <w:pPr>
                    <w:pStyle w:val="477"/>
                    <w:spacing w:after="0"/>
                    <w:rPr>
                      <w:color w:val="auto"/>
                      <w:szCs w:val="21"/>
                    </w:rPr>
                  </w:pPr>
                  <w:r>
                    <w:rPr>
                      <w:color w:val="auto"/>
                      <w:szCs w:val="21"/>
                    </w:rPr>
                    <w:t>S1-8</w:t>
                  </w:r>
                </w:p>
              </w:tc>
              <w:tc>
                <w:tcPr>
                  <w:tcW w:w="1654" w:type="pct"/>
                  <w:gridSpan w:val="2"/>
                  <w:vMerge w:val="continue"/>
                  <w:tcBorders>
                    <w:tl2br w:val="nil"/>
                    <w:tr2bl w:val="nil"/>
                  </w:tcBorders>
                  <w:vAlign w:val="center"/>
                </w:tcPr>
                <w:p w14:paraId="6CCD6699">
                  <w:pPr>
                    <w:pStyle w:val="477"/>
                    <w:spacing w:after="0"/>
                    <w:rPr>
                      <w:color w:val="auto"/>
                      <w:szCs w:val="21"/>
                    </w:rPr>
                  </w:pPr>
                </w:p>
              </w:tc>
              <w:tc>
                <w:tcPr>
                  <w:tcW w:w="565" w:type="pct"/>
                  <w:tcBorders>
                    <w:tl2br w:val="nil"/>
                    <w:tr2bl w:val="nil"/>
                  </w:tcBorders>
                  <w:vAlign w:val="center"/>
                </w:tcPr>
                <w:p w14:paraId="516D2ED9">
                  <w:pPr>
                    <w:pStyle w:val="477"/>
                    <w:spacing w:after="0"/>
                    <w:rPr>
                      <w:color w:val="auto"/>
                      <w:szCs w:val="21"/>
                    </w:rPr>
                  </w:pPr>
                  <w:r>
                    <w:rPr>
                      <w:color w:val="auto"/>
                      <w:szCs w:val="21"/>
                    </w:rPr>
                    <w:t>废胶桶</w:t>
                  </w:r>
                </w:p>
              </w:tc>
              <w:tc>
                <w:tcPr>
                  <w:tcW w:w="2156" w:type="pct"/>
                  <w:tcBorders>
                    <w:tl2br w:val="nil"/>
                    <w:tr2bl w:val="nil"/>
                  </w:tcBorders>
                  <w:vAlign w:val="center"/>
                </w:tcPr>
                <w:p w14:paraId="3B275FAF">
                  <w:pPr>
                    <w:pStyle w:val="477"/>
                    <w:spacing w:after="0"/>
                    <w:rPr>
                      <w:color w:val="auto"/>
                      <w:szCs w:val="21"/>
                    </w:rPr>
                  </w:pPr>
                  <w:r>
                    <w:rPr>
                      <w:rFonts w:hint="eastAsia"/>
                      <w:color w:val="auto"/>
                      <w:szCs w:val="21"/>
                    </w:rPr>
                    <w:t>暂存在危废暂存间，定期交由有资质单位进行处置</w:t>
                  </w:r>
                </w:p>
              </w:tc>
            </w:tr>
            <w:tr w14:paraId="33BDD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4B3B51F">
                  <w:pPr>
                    <w:pStyle w:val="477"/>
                    <w:spacing w:after="0"/>
                    <w:rPr>
                      <w:color w:val="auto"/>
                      <w:szCs w:val="21"/>
                    </w:rPr>
                  </w:pPr>
                </w:p>
              </w:tc>
              <w:tc>
                <w:tcPr>
                  <w:tcW w:w="353" w:type="pct"/>
                  <w:tcBorders>
                    <w:tl2br w:val="nil"/>
                    <w:tr2bl w:val="nil"/>
                  </w:tcBorders>
                  <w:vAlign w:val="center"/>
                </w:tcPr>
                <w:p w14:paraId="6ED9A916">
                  <w:pPr>
                    <w:pStyle w:val="477"/>
                    <w:spacing w:after="0"/>
                    <w:rPr>
                      <w:color w:val="auto"/>
                      <w:szCs w:val="21"/>
                    </w:rPr>
                  </w:pPr>
                  <w:r>
                    <w:rPr>
                      <w:color w:val="auto"/>
                      <w:szCs w:val="21"/>
                    </w:rPr>
                    <w:t>S1-9</w:t>
                  </w:r>
                </w:p>
              </w:tc>
              <w:tc>
                <w:tcPr>
                  <w:tcW w:w="1654" w:type="pct"/>
                  <w:gridSpan w:val="2"/>
                  <w:tcBorders>
                    <w:tl2br w:val="nil"/>
                    <w:tr2bl w:val="nil"/>
                  </w:tcBorders>
                  <w:vAlign w:val="center"/>
                </w:tcPr>
                <w:p w14:paraId="524342EF">
                  <w:pPr>
                    <w:pStyle w:val="477"/>
                    <w:spacing w:after="0"/>
                    <w:rPr>
                      <w:color w:val="auto"/>
                      <w:szCs w:val="21"/>
                    </w:rPr>
                  </w:pPr>
                  <w:r>
                    <w:rPr>
                      <w:color w:val="auto"/>
                      <w:szCs w:val="21"/>
                    </w:rPr>
                    <w:t>修边</w:t>
                  </w:r>
                </w:p>
              </w:tc>
              <w:tc>
                <w:tcPr>
                  <w:tcW w:w="565" w:type="pct"/>
                  <w:tcBorders>
                    <w:tl2br w:val="nil"/>
                    <w:tr2bl w:val="nil"/>
                  </w:tcBorders>
                  <w:vAlign w:val="center"/>
                </w:tcPr>
                <w:p w14:paraId="20A1FD2B">
                  <w:pPr>
                    <w:pStyle w:val="477"/>
                    <w:spacing w:after="0"/>
                    <w:rPr>
                      <w:color w:val="auto"/>
                      <w:szCs w:val="21"/>
                    </w:rPr>
                  </w:pPr>
                  <w:r>
                    <w:rPr>
                      <w:color w:val="auto"/>
                      <w:szCs w:val="21"/>
                    </w:rPr>
                    <w:t>边角料</w:t>
                  </w:r>
                </w:p>
              </w:tc>
              <w:tc>
                <w:tcPr>
                  <w:tcW w:w="2156" w:type="pct"/>
                  <w:tcBorders>
                    <w:tl2br w:val="nil"/>
                    <w:tr2bl w:val="nil"/>
                  </w:tcBorders>
                  <w:vAlign w:val="center"/>
                </w:tcPr>
                <w:p w14:paraId="18ABBBC0">
                  <w:pPr>
                    <w:pStyle w:val="477"/>
                    <w:spacing w:after="0"/>
                    <w:rPr>
                      <w:color w:val="auto"/>
                      <w:szCs w:val="21"/>
                    </w:rPr>
                  </w:pPr>
                  <w:r>
                    <w:rPr>
                      <w:color w:val="auto"/>
                      <w:szCs w:val="21"/>
                    </w:rPr>
                    <w:t>收集后统一处理</w:t>
                  </w:r>
                </w:p>
              </w:tc>
            </w:tr>
            <w:tr w14:paraId="36840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F5DF722">
                  <w:pPr>
                    <w:pStyle w:val="477"/>
                    <w:spacing w:after="0"/>
                    <w:rPr>
                      <w:color w:val="auto"/>
                      <w:szCs w:val="21"/>
                    </w:rPr>
                  </w:pPr>
                </w:p>
              </w:tc>
              <w:tc>
                <w:tcPr>
                  <w:tcW w:w="353" w:type="pct"/>
                  <w:tcBorders>
                    <w:tl2br w:val="nil"/>
                    <w:tr2bl w:val="nil"/>
                  </w:tcBorders>
                  <w:vAlign w:val="center"/>
                </w:tcPr>
                <w:p w14:paraId="74A40291">
                  <w:pPr>
                    <w:pStyle w:val="477"/>
                    <w:spacing w:after="0"/>
                    <w:rPr>
                      <w:color w:val="auto"/>
                      <w:szCs w:val="21"/>
                    </w:rPr>
                  </w:pPr>
                  <w:r>
                    <w:rPr>
                      <w:color w:val="auto"/>
                      <w:szCs w:val="21"/>
                    </w:rPr>
                    <w:t>S1-10</w:t>
                  </w:r>
                </w:p>
              </w:tc>
              <w:tc>
                <w:tcPr>
                  <w:tcW w:w="1654" w:type="pct"/>
                  <w:gridSpan w:val="2"/>
                  <w:tcBorders>
                    <w:tl2br w:val="nil"/>
                    <w:tr2bl w:val="nil"/>
                  </w:tcBorders>
                  <w:vAlign w:val="center"/>
                </w:tcPr>
                <w:p w14:paraId="5EA617D5">
                  <w:pPr>
                    <w:pStyle w:val="477"/>
                    <w:spacing w:after="0"/>
                    <w:rPr>
                      <w:color w:val="auto"/>
                      <w:szCs w:val="21"/>
                    </w:rPr>
                  </w:pPr>
                  <w:r>
                    <w:rPr>
                      <w:color w:val="auto"/>
                      <w:szCs w:val="21"/>
                    </w:rPr>
                    <w:t>磨平</w:t>
                  </w:r>
                </w:p>
              </w:tc>
              <w:tc>
                <w:tcPr>
                  <w:tcW w:w="565" w:type="pct"/>
                  <w:tcBorders>
                    <w:tl2br w:val="nil"/>
                    <w:tr2bl w:val="nil"/>
                  </w:tcBorders>
                  <w:vAlign w:val="center"/>
                </w:tcPr>
                <w:p w14:paraId="4BC07A3C">
                  <w:pPr>
                    <w:pStyle w:val="477"/>
                    <w:spacing w:after="0"/>
                    <w:rPr>
                      <w:color w:val="auto"/>
                      <w:szCs w:val="21"/>
                    </w:rPr>
                  </w:pPr>
                  <w:r>
                    <w:rPr>
                      <w:color w:val="auto"/>
                      <w:szCs w:val="21"/>
                    </w:rPr>
                    <w:t>废砂纸</w:t>
                  </w:r>
                </w:p>
              </w:tc>
              <w:tc>
                <w:tcPr>
                  <w:tcW w:w="2156" w:type="pct"/>
                  <w:tcBorders>
                    <w:tl2br w:val="nil"/>
                    <w:tr2bl w:val="nil"/>
                  </w:tcBorders>
                  <w:vAlign w:val="center"/>
                </w:tcPr>
                <w:p w14:paraId="0D9B900A">
                  <w:pPr>
                    <w:pStyle w:val="477"/>
                    <w:spacing w:after="0"/>
                    <w:rPr>
                      <w:color w:val="auto"/>
                      <w:szCs w:val="21"/>
                    </w:rPr>
                  </w:pPr>
                  <w:r>
                    <w:rPr>
                      <w:color w:val="auto"/>
                      <w:szCs w:val="21"/>
                    </w:rPr>
                    <w:t>收集后统一处理</w:t>
                  </w:r>
                </w:p>
              </w:tc>
            </w:tr>
            <w:tr w14:paraId="4872B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75D3D26">
                  <w:pPr>
                    <w:pStyle w:val="477"/>
                    <w:spacing w:after="0"/>
                    <w:rPr>
                      <w:color w:val="auto"/>
                      <w:szCs w:val="21"/>
                    </w:rPr>
                  </w:pPr>
                </w:p>
              </w:tc>
              <w:tc>
                <w:tcPr>
                  <w:tcW w:w="353" w:type="pct"/>
                  <w:tcBorders>
                    <w:tl2br w:val="nil"/>
                    <w:tr2bl w:val="nil"/>
                  </w:tcBorders>
                  <w:vAlign w:val="center"/>
                </w:tcPr>
                <w:p w14:paraId="3B80DD5A">
                  <w:pPr>
                    <w:pStyle w:val="477"/>
                    <w:spacing w:after="0"/>
                    <w:rPr>
                      <w:color w:val="auto"/>
                      <w:szCs w:val="21"/>
                    </w:rPr>
                  </w:pPr>
                  <w:r>
                    <w:rPr>
                      <w:color w:val="auto"/>
                      <w:szCs w:val="21"/>
                    </w:rPr>
                    <w:t>S1-11</w:t>
                  </w:r>
                </w:p>
              </w:tc>
              <w:tc>
                <w:tcPr>
                  <w:tcW w:w="1654" w:type="pct"/>
                  <w:gridSpan w:val="2"/>
                  <w:tcBorders>
                    <w:tl2br w:val="nil"/>
                    <w:tr2bl w:val="nil"/>
                  </w:tcBorders>
                  <w:vAlign w:val="center"/>
                </w:tcPr>
                <w:p w14:paraId="20F0E6BB">
                  <w:pPr>
                    <w:pStyle w:val="477"/>
                    <w:spacing w:after="0"/>
                    <w:rPr>
                      <w:color w:val="auto"/>
                      <w:szCs w:val="21"/>
                    </w:rPr>
                  </w:pPr>
                  <w:r>
                    <w:rPr>
                      <w:color w:val="auto"/>
                      <w:szCs w:val="21"/>
                    </w:rPr>
                    <w:t>批灰</w:t>
                  </w:r>
                </w:p>
              </w:tc>
              <w:tc>
                <w:tcPr>
                  <w:tcW w:w="565" w:type="pct"/>
                  <w:tcBorders>
                    <w:tl2br w:val="nil"/>
                    <w:tr2bl w:val="nil"/>
                  </w:tcBorders>
                  <w:vAlign w:val="center"/>
                </w:tcPr>
                <w:p w14:paraId="5536E492">
                  <w:pPr>
                    <w:pStyle w:val="477"/>
                    <w:spacing w:after="0"/>
                    <w:rPr>
                      <w:color w:val="auto"/>
                      <w:szCs w:val="21"/>
                    </w:rPr>
                  </w:pPr>
                  <w:r>
                    <w:rPr>
                      <w:color w:val="auto"/>
                      <w:szCs w:val="21"/>
                    </w:rPr>
                    <w:t>废灰桶</w:t>
                  </w:r>
                </w:p>
              </w:tc>
              <w:tc>
                <w:tcPr>
                  <w:tcW w:w="2156" w:type="pct"/>
                  <w:tcBorders>
                    <w:tl2br w:val="nil"/>
                    <w:tr2bl w:val="nil"/>
                  </w:tcBorders>
                  <w:vAlign w:val="center"/>
                </w:tcPr>
                <w:p w14:paraId="383333CA">
                  <w:pPr>
                    <w:pStyle w:val="477"/>
                    <w:spacing w:after="0"/>
                    <w:rPr>
                      <w:color w:val="auto"/>
                      <w:szCs w:val="21"/>
                    </w:rPr>
                  </w:pPr>
                  <w:r>
                    <w:rPr>
                      <w:rFonts w:hint="eastAsia"/>
                      <w:color w:val="auto"/>
                      <w:szCs w:val="21"/>
                    </w:rPr>
                    <w:t>暂存在危废暂存间，定期交由有资质单位进行处置</w:t>
                  </w:r>
                </w:p>
              </w:tc>
            </w:tr>
            <w:tr w14:paraId="1050C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A08D8A1">
                  <w:pPr>
                    <w:pStyle w:val="477"/>
                    <w:spacing w:after="0"/>
                    <w:rPr>
                      <w:color w:val="auto"/>
                      <w:szCs w:val="21"/>
                    </w:rPr>
                  </w:pPr>
                </w:p>
              </w:tc>
              <w:tc>
                <w:tcPr>
                  <w:tcW w:w="353" w:type="pct"/>
                  <w:tcBorders>
                    <w:tl2br w:val="nil"/>
                    <w:tr2bl w:val="nil"/>
                  </w:tcBorders>
                  <w:vAlign w:val="center"/>
                </w:tcPr>
                <w:p w14:paraId="6BDB19A3">
                  <w:pPr>
                    <w:pStyle w:val="477"/>
                    <w:spacing w:after="0"/>
                    <w:rPr>
                      <w:color w:val="auto"/>
                      <w:szCs w:val="21"/>
                    </w:rPr>
                  </w:pPr>
                  <w:r>
                    <w:rPr>
                      <w:color w:val="auto"/>
                      <w:szCs w:val="21"/>
                    </w:rPr>
                    <w:t>S1-12</w:t>
                  </w:r>
                </w:p>
              </w:tc>
              <w:tc>
                <w:tcPr>
                  <w:tcW w:w="1654" w:type="pct"/>
                  <w:gridSpan w:val="2"/>
                  <w:tcBorders>
                    <w:tl2br w:val="nil"/>
                    <w:tr2bl w:val="nil"/>
                  </w:tcBorders>
                  <w:vAlign w:val="center"/>
                </w:tcPr>
                <w:p w14:paraId="41874DAA">
                  <w:pPr>
                    <w:pStyle w:val="477"/>
                    <w:spacing w:after="0"/>
                    <w:rPr>
                      <w:color w:val="auto"/>
                      <w:szCs w:val="21"/>
                    </w:rPr>
                  </w:pPr>
                  <w:r>
                    <w:rPr>
                      <w:color w:val="auto"/>
                      <w:szCs w:val="21"/>
                    </w:rPr>
                    <w:t>打磨</w:t>
                  </w:r>
                </w:p>
              </w:tc>
              <w:tc>
                <w:tcPr>
                  <w:tcW w:w="565" w:type="pct"/>
                  <w:tcBorders>
                    <w:tl2br w:val="nil"/>
                    <w:tr2bl w:val="nil"/>
                  </w:tcBorders>
                  <w:vAlign w:val="center"/>
                </w:tcPr>
                <w:p w14:paraId="704397C4">
                  <w:pPr>
                    <w:pStyle w:val="477"/>
                    <w:spacing w:after="0"/>
                    <w:rPr>
                      <w:color w:val="auto"/>
                      <w:szCs w:val="21"/>
                    </w:rPr>
                  </w:pPr>
                  <w:r>
                    <w:rPr>
                      <w:color w:val="auto"/>
                      <w:szCs w:val="21"/>
                    </w:rPr>
                    <w:t>废砂纸</w:t>
                  </w:r>
                </w:p>
              </w:tc>
              <w:tc>
                <w:tcPr>
                  <w:tcW w:w="2156" w:type="pct"/>
                  <w:tcBorders>
                    <w:tl2br w:val="nil"/>
                    <w:tr2bl w:val="nil"/>
                  </w:tcBorders>
                  <w:vAlign w:val="center"/>
                </w:tcPr>
                <w:p w14:paraId="75BF8797">
                  <w:pPr>
                    <w:pStyle w:val="477"/>
                    <w:spacing w:after="0"/>
                    <w:rPr>
                      <w:color w:val="auto"/>
                      <w:szCs w:val="21"/>
                    </w:rPr>
                  </w:pPr>
                  <w:r>
                    <w:rPr>
                      <w:color w:val="auto"/>
                      <w:szCs w:val="21"/>
                    </w:rPr>
                    <w:t>收集后统一处理</w:t>
                  </w:r>
                </w:p>
              </w:tc>
            </w:tr>
            <w:tr w14:paraId="68A1D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BEFA4FC">
                  <w:pPr>
                    <w:pStyle w:val="477"/>
                    <w:spacing w:after="0"/>
                    <w:rPr>
                      <w:color w:val="auto"/>
                      <w:szCs w:val="21"/>
                    </w:rPr>
                  </w:pPr>
                </w:p>
              </w:tc>
              <w:tc>
                <w:tcPr>
                  <w:tcW w:w="353" w:type="pct"/>
                  <w:tcBorders>
                    <w:tl2br w:val="nil"/>
                    <w:tr2bl w:val="nil"/>
                  </w:tcBorders>
                  <w:vAlign w:val="center"/>
                </w:tcPr>
                <w:p w14:paraId="3BFD2C8A">
                  <w:pPr>
                    <w:pStyle w:val="477"/>
                    <w:spacing w:after="0"/>
                    <w:rPr>
                      <w:color w:val="auto"/>
                      <w:szCs w:val="21"/>
                    </w:rPr>
                  </w:pPr>
                  <w:r>
                    <w:rPr>
                      <w:color w:val="auto"/>
                      <w:szCs w:val="21"/>
                    </w:rPr>
                    <w:t>S1-13</w:t>
                  </w:r>
                </w:p>
              </w:tc>
              <w:tc>
                <w:tcPr>
                  <w:tcW w:w="1654" w:type="pct"/>
                  <w:gridSpan w:val="2"/>
                  <w:vMerge w:val="restart"/>
                  <w:tcBorders>
                    <w:tl2br w:val="nil"/>
                    <w:tr2bl w:val="nil"/>
                  </w:tcBorders>
                  <w:vAlign w:val="center"/>
                </w:tcPr>
                <w:p w14:paraId="6E9024B3">
                  <w:pPr>
                    <w:pStyle w:val="477"/>
                    <w:spacing w:after="0"/>
                    <w:rPr>
                      <w:color w:val="auto"/>
                      <w:szCs w:val="21"/>
                    </w:rPr>
                  </w:pPr>
                  <w:r>
                    <w:rPr>
                      <w:color w:val="auto"/>
                      <w:szCs w:val="21"/>
                    </w:rPr>
                    <w:t>调漆、喷底漆</w:t>
                  </w:r>
                </w:p>
              </w:tc>
              <w:tc>
                <w:tcPr>
                  <w:tcW w:w="565" w:type="pct"/>
                  <w:tcBorders>
                    <w:tl2br w:val="nil"/>
                    <w:tr2bl w:val="nil"/>
                  </w:tcBorders>
                  <w:vAlign w:val="center"/>
                </w:tcPr>
                <w:p w14:paraId="3FDBA214">
                  <w:pPr>
                    <w:pStyle w:val="477"/>
                    <w:spacing w:after="0"/>
                    <w:rPr>
                      <w:color w:val="auto"/>
                      <w:szCs w:val="21"/>
                    </w:rPr>
                  </w:pPr>
                  <w:r>
                    <w:rPr>
                      <w:color w:val="auto"/>
                      <w:szCs w:val="21"/>
                    </w:rPr>
                    <w:t>废漆渣</w:t>
                  </w:r>
                </w:p>
              </w:tc>
              <w:tc>
                <w:tcPr>
                  <w:tcW w:w="2156" w:type="pct"/>
                  <w:tcBorders>
                    <w:tl2br w:val="nil"/>
                    <w:tr2bl w:val="nil"/>
                  </w:tcBorders>
                  <w:vAlign w:val="center"/>
                </w:tcPr>
                <w:p w14:paraId="636B731A">
                  <w:pPr>
                    <w:pStyle w:val="477"/>
                    <w:spacing w:after="0"/>
                    <w:rPr>
                      <w:color w:val="auto"/>
                      <w:szCs w:val="21"/>
                    </w:rPr>
                  </w:pPr>
                  <w:r>
                    <w:rPr>
                      <w:rFonts w:hint="eastAsia"/>
                      <w:color w:val="auto"/>
                      <w:szCs w:val="21"/>
                    </w:rPr>
                    <w:t>暂存在危废暂存间，定期交由有资质单位进行处置</w:t>
                  </w:r>
                </w:p>
              </w:tc>
            </w:tr>
            <w:tr w14:paraId="41A4B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A8E3900">
                  <w:pPr>
                    <w:pStyle w:val="477"/>
                    <w:spacing w:after="0"/>
                    <w:rPr>
                      <w:color w:val="auto"/>
                      <w:szCs w:val="21"/>
                    </w:rPr>
                  </w:pPr>
                </w:p>
              </w:tc>
              <w:tc>
                <w:tcPr>
                  <w:tcW w:w="353" w:type="pct"/>
                  <w:tcBorders>
                    <w:tl2br w:val="nil"/>
                    <w:tr2bl w:val="nil"/>
                  </w:tcBorders>
                  <w:vAlign w:val="center"/>
                </w:tcPr>
                <w:p w14:paraId="5491A32E">
                  <w:pPr>
                    <w:pStyle w:val="477"/>
                    <w:spacing w:after="0"/>
                    <w:rPr>
                      <w:color w:val="auto"/>
                      <w:szCs w:val="21"/>
                    </w:rPr>
                  </w:pPr>
                  <w:r>
                    <w:rPr>
                      <w:color w:val="auto"/>
                      <w:szCs w:val="21"/>
                    </w:rPr>
                    <w:t>S1-14</w:t>
                  </w:r>
                </w:p>
              </w:tc>
              <w:tc>
                <w:tcPr>
                  <w:tcW w:w="1654" w:type="pct"/>
                  <w:gridSpan w:val="2"/>
                  <w:vMerge w:val="continue"/>
                  <w:tcBorders>
                    <w:tl2br w:val="nil"/>
                    <w:tr2bl w:val="nil"/>
                  </w:tcBorders>
                  <w:vAlign w:val="center"/>
                </w:tcPr>
                <w:p w14:paraId="593E15AC">
                  <w:pPr>
                    <w:pStyle w:val="477"/>
                    <w:spacing w:after="0"/>
                    <w:rPr>
                      <w:color w:val="auto"/>
                      <w:szCs w:val="21"/>
                    </w:rPr>
                  </w:pPr>
                </w:p>
              </w:tc>
              <w:tc>
                <w:tcPr>
                  <w:tcW w:w="565" w:type="pct"/>
                  <w:tcBorders>
                    <w:tl2br w:val="nil"/>
                    <w:tr2bl w:val="nil"/>
                  </w:tcBorders>
                  <w:vAlign w:val="center"/>
                </w:tcPr>
                <w:p w14:paraId="5C726543">
                  <w:pPr>
                    <w:pStyle w:val="477"/>
                    <w:spacing w:after="0"/>
                    <w:rPr>
                      <w:color w:val="auto"/>
                      <w:szCs w:val="21"/>
                    </w:rPr>
                  </w:pPr>
                  <w:r>
                    <w:rPr>
                      <w:color w:val="auto"/>
                      <w:szCs w:val="21"/>
                    </w:rPr>
                    <w:t>废漆桶</w:t>
                  </w:r>
                </w:p>
              </w:tc>
              <w:tc>
                <w:tcPr>
                  <w:tcW w:w="2156" w:type="pct"/>
                  <w:tcBorders>
                    <w:tl2br w:val="nil"/>
                    <w:tr2bl w:val="nil"/>
                  </w:tcBorders>
                  <w:vAlign w:val="center"/>
                </w:tcPr>
                <w:p w14:paraId="621E58C8">
                  <w:pPr>
                    <w:pStyle w:val="477"/>
                    <w:spacing w:after="0"/>
                    <w:rPr>
                      <w:color w:val="auto"/>
                      <w:szCs w:val="21"/>
                    </w:rPr>
                  </w:pPr>
                  <w:r>
                    <w:rPr>
                      <w:rFonts w:hint="eastAsia"/>
                      <w:color w:val="auto"/>
                      <w:szCs w:val="21"/>
                    </w:rPr>
                    <w:t>暂存在危废暂存间，定期交由有资质单位进行处置</w:t>
                  </w:r>
                </w:p>
              </w:tc>
            </w:tr>
            <w:tr w14:paraId="48B3F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627525C">
                  <w:pPr>
                    <w:pStyle w:val="477"/>
                    <w:spacing w:after="0"/>
                    <w:rPr>
                      <w:color w:val="auto"/>
                      <w:szCs w:val="21"/>
                    </w:rPr>
                  </w:pPr>
                </w:p>
              </w:tc>
              <w:tc>
                <w:tcPr>
                  <w:tcW w:w="353" w:type="pct"/>
                  <w:tcBorders>
                    <w:tl2br w:val="nil"/>
                    <w:tr2bl w:val="nil"/>
                  </w:tcBorders>
                  <w:vAlign w:val="center"/>
                </w:tcPr>
                <w:p w14:paraId="01DDC4C0">
                  <w:pPr>
                    <w:pStyle w:val="477"/>
                    <w:spacing w:after="0"/>
                    <w:rPr>
                      <w:color w:val="auto"/>
                      <w:szCs w:val="21"/>
                    </w:rPr>
                  </w:pPr>
                  <w:r>
                    <w:rPr>
                      <w:color w:val="auto"/>
                      <w:szCs w:val="21"/>
                    </w:rPr>
                    <w:t>S1-15</w:t>
                  </w:r>
                </w:p>
              </w:tc>
              <w:tc>
                <w:tcPr>
                  <w:tcW w:w="1654" w:type="pct"/>
                  <w:gridSpan w:val="2"/>
                  <w:vMerge w:val="restart"/>
                  <w:tcBorders>
                    <w:tl2br w:val="nil"/>
                    <w:tr2bl w:val="nil"/>
                  </w:tcBorders>
                  <w:vAlign w:val="center"/>
                </w:tcPr>
                <w:p w14:paraId="15199E50">
                  <w:pPr>
                    <w:pStyle w:val="477"/>
                    <w:spacing w:after="0"/>
                    <w:rPr>
                      <w:color w:val="auto"/>
                      <w:szCs w:val="21"/>
                    </w:rPr>
                  </w:pPr>
                  <w:r>
                    <w:rPr>
                      <w:color w:val="auto"/>
                      <w:szCs w:val="21"/>
                    </w:rPr>
                    <w:t>调漆、喷面漆</w:t>
                  </w:r>
                </w:p>
              </w:tc>
              <w:tc>
                <w:tcPr>
                  <w:tcW w:w="565" w:type="pct"/>
                  <w:tcBorders>
                    <w:tl2br w:val="nil"/>
                    <w:tr2bl w:val="nil"/>
                  </w:tcBorders>
                  <w:vAlign w:val="center"/>
                </w:tcPr>
                <w:p w14:paraId="583430F0">
                  <w:pPr>
                    <w:pStyle w:val="477"/>
                    <w:spacing w:after="0"/>
                    <w:rPr>
                      <w:color w:val="auto"/>
                      <w:szCs w:val="21"/>
                    </w:rPr>
                  </w:pPr>
                  <w:r>
                    <w:rPr>
                      <w:color w:val="auto"/>
                      <w:szCs w:val="21"/>
                    </w:rPr>
                    <w:t>废漆渣</w:t>
                  </w:r>
                </w:p>
              </w:tc>
              <w:tc>
                <w:tcPr>
                  <w:tcW w:w="2156" w:type="pct"/>
                  <w:tcBorders>
                    <w:tl2br w:val="nil"/>
                    <w:tr2bl w:val="nil"/>
                  </w:tcBorders>
                  <w:vAlign w:val="center"/>
                </w:tcPr>
                <w:p w14:paraId="26E73A53">
                  <w:pPr>
                    <w:pStyle w:val="477"/>
                    <w:spacing w:after="0"/>
                    <w:rPr>
                      <w:color w:val="auto"/>
                      <w:szCs w:val="21"/>
                    </w:rPr>
                  </w:pPr>
                  <w:r>
                    <w:rPr>
                      <w:rFonts w:hint="eastAsia"/>
                      <w:color w:val="auto"/>
                      <w:szCs w:val="21"/>
                    </w:rPr>
                    <w:t>暂存在危废暂存间，定期交由有资质单位进行处置</w:t>
                  </w:r>
                </w:p>
              </w:tc>
            </w:tr>
            <w:tr w14:paraId="23884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BC54A02">
                  <w:pPr>
                    <w:pStyle w:val="477"/>
                    <w:spacing w:after="0"/>
                    <w:rPr>
                      <w:color w:val="auto"/>
                      <w:szCs w:val="21"/>
                    </w:rPr>
                  </w:pPr>
                </w:p>
              </w:tc>
              <w:tc>
                <w:tcPr>
                  <w:tcW w:w="353" w:type="pct"/>
                  <w:tcBorders>
                    <w:tl2br w:val="nil"/>
                    <w:tr2bl w:val="nil"/>
                  </w:tcBorders>
                  <w:vAlign w:val="center"/>
                </w:tcPr>
                <w:p w14:paraId="0903F150">
                  <w:pPr>
                    <w:pStyle w:val="477"/>
                    <w:spacing w:after="0"/>
                    <w:rPr>
                      <w:color w:val="auto"/>
                      <w:szCs w:val="21"/>
                    </w:rPr>
                  </w:pPr>
                  <w:r>
                    <w:rPr>
                      <w:color w:val="auto"/>
                      <w:szCs w:val="21"/>
                    </w:rPr>
                    <w:t>S1-16</w:t>
                  </w:r>
                </w:p>
              </w:tc>
              <w:tc>
                <w:tcPr>
                  <w:tcW w:w="1654" w:type="pct"/>
                  <w:gridSpan w:val="2"/>
                  <w:vMerge w:val="continue"/>
                  <w:tcBorders>
                    <w:tl2br w:val="nil"/>
                    <w:tr2bl w:val="nil"/>
                  </w:tcBorders>
                  <w:vAlign w:val="center"/>
                </w:tcPr>
                <w:p w14:paraId="0B1557D7">
                  <w:pPr>
                    <w:pStyle w:val="477"/>
                    <w:spacing w:after="0"/>
                    <w:rPr>
                      <w:color w:val="auto"/>
                      <w:szCs w:val="21"/>
                    </w:rPr>
                  </w:pPr>
                </w:p>
              </w:tc>
              <w:tc>
                <w:tcPr>
                  <w:tcW w:w="565" w:type="pct"/>
                  <w:tcBorders>
                    <w:tl2br w:val="nil"/>
                    <w:tr2bl w:val="nil"/>
                  </w:tcBorders>
                  <w:vAlign w:val="center"/>
                </w:tcPr>
                <w:p w14:paraId="68E37077">
                  <w:pPr>
                    <w:pStyle w:val="477"/>
                    <w:spacing w:after="0"/>
                    <w:rPr>
                      <w:color w:val="auto"/>
                      <w:szCs w:val="21"/>
                    </w:rPr>
                  </w:pPr>
                  <w:r>
                    <w:rPr>
                      <w:color w:val="auto"/>
                      <w:szCs w:val="21"/>
                    </w:rPr>
                    <w:t>废漆桶</w:t>
                  </w:r>
                </w:p>
              </w:tc>
              <w:tc>
                <w:tcPr>
                  <w:tcW w:w="2156" w:type="pct"/>
                  <w:tcBorders>
                    <w:tl2br w:val="nil"/>
                    <w:tr2bl w:val="nil"/>
                  </w:tcBorders>
                  <w:vAlign w:val="center"/>
                </w:tcPr>
                <w:p w14:paraId="521476F4">
                  <w:pPr>
                    <w:pStyle w:val="477"/>
                    <w:spacing w:after="0"/>
                    <w:rPr>
                      <w:color w:val="auto"/>
                      <w:szCs w:val="21"/>
                    </w:rPr>
                  </w:pPr>
                  <w:r>
                    <w:rPr>
                      <w:rFonts w:hint="eastAsia"/>
                      <w:color w:val="auto"/>
                      <w:szCs w:val="21"/>
                    </w:rPr>
                    <w:t>暂存在危废暂存间，定期交由有资质单位进行处置</w:t>
                  </w:r>
                </w:p>
              </w:tc>
            </w:tr>
            <w:tr w14:paraId="09393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5544664">
                  <w:pPr>
                    <w:pStyle w:val="477"/>
                    <w:spacing w:after="0"/>
                    <w:rPr>
                      <w:color w:val="auto"/>
                      <w:szCs w:val="21"/>
                    </w:rPr>
                  </w:pPr>
                </w:p>
              </w:tc>
              <w:tc>
                <w:tcPr>
                  <w:tcW w:w="353" w:type="pct"/>
                  <w:tcBorders>
                    <w:tl2br w:val="nil"/>
                    <w:tr2bl w:val="nil"/>
                  </w:tcBorders>
                  <w:vAlign w:val="center"/>
                </w:tcPr>
                <w:p w14:paraId="120E0C85">
                  <w:pPr>
                    <w:pStyle w:val="477"/>
                    <w:spacing w:after="0"/>
                    <w:rPr>
                      <w:color w:val="auto"/>
                      <w:szCs w:val="21"/>
                    </w:rPr>
                  </w:pPr>
                  <w:r>
                    <w:rPr>
                      <w:color w:val="auto"/>
                      <w:szCs w:val="21"/>
                    </w:rPr>
                    <w:t>S2-1</w:t>
                  </w:r>
                </w:p>
              </w:tc>
              <w:tc>
                <w:tcPr>
                  <w:tcW w:w="1654" w:type="pct"/>
                  <w:gridSpan w:val="2"/>
                  <w:vMerge w:val="restart"/>
                  <w:tcBorders>
                    <w:tl2br w:val="nil"/>
                    <w:tr2bl w:val="nil"/>
                  </w:tcBorders>
                  <w:vAlign w:val="center"/>
                </w:tcPr>
                <w:p w14:paraId="3D03A77C">
                  <w:pPr>
                    <w:pStyle w:val="477"/>
                    <w:spacing w:after="0"/>
                    <w:rPr>
                      <w:color w:val="auto"/>
                      <w:szCs w:val="21"/>
                    </w:rPr>
                  </w:pPr>
                  <w:r>
                    <w:rPr>
                      <w:color w:val="auto"/>
                      <w:szCs w:val="21"/>
                    </w:rPr>
                    <w:t>下料</w:t>
                  </w:r>
                </w:p>
              </w:tc>
              <w:tc>
                <w:tcPr>
                  <w:tcW w:w="565" w:type="pct"/>
                  <w:tcBorders>
                    <w:tl2br w:val="nil"/>
                    <w:tr2bl w:val="nil"/>
                  </w:tcBorders>
                  <w:vAlign w:val="center"/>
                </w:tcPr>
                <w:p w14:paraId="3C2F6C51">
                  <w:pPr>
                    <w:pStyle w:val="477"/>
                    <w:spacing w:after="0"/>
                    <w:rPr>
                      <w:color w:val="auto"/>
                      <w:szCs w:val="21"/>
                    </w:rPr>
                  </w:pPr>
                  <w:r>
                    <w:rPr>
                      <w:color w:val="auto"/>
                      <w:szCs w:val="21"/>
                    </w:rPr>
                    <w:t>大理石废料</w:t>
                  </w:r>
                </w:p>
              </w:tc>
              <w:tc>
                <w:tcPr>
                  <w:tcW w:w="2156" w:type="pct"/>
                  <w:tcBorders>
                    <w:tl2br w:val="nil"/>
                    <w:tr2bl w:val="nil"/>
                  </w:tcBorders>
                  <w:vAlign w:val="center"/>
                </w:tcPr>
                <w:p w14:paraId="114BF06C">
                  <w:pPr>
                    <w:pStyle w:val="477"/>
                    <w:spacing w:after="0"/>
                    <w:rPr>
                      <w:color w:val="auto"/>
                      <w:szCs w:val="21"/>
                    </w:rPr>
                  </w:pPr>
                  <w:r>
                    <w:rPr>
                      <w:color w:val="auto"/>
                      <w:szCs w:val="21"/>
                    </w:rPr>
                    <w:t>收集后统一处理</w:t>
                  </w:r>
                </w:p>
              </w:tc>
            </w:tr>
            <w:tr w14:paraId="43799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42DDA45">
                  <w:pPr>
                    <w:pStyle w:val="477"/>
                    <w:spacing w:after="0"/>
                    <w:rPr>
                      <w:color w:val="auto"/>
                      <w:szCs w:val="21"/>
                    </w:rPr>
                  </w:pPr>
                </w:p>
              </w:tc>
              <w:tc>
                <w:tcPr>
                  <w:tcW w:w="353" w:type="pct"/>
                  <w:tcBorders>
                    <w:tl2br w:val="nil"/>
                    <w:tr2bl w:val="nil"/>
                  </w:tcBorders>
                  <w:vAlign w:val="center"/>
                </w:tcPr>
                <w:p w14:paraId="5E06F94F">
                  <w:pPr>
                    <w:pStyle w:val="477"/>
                    <w:spacing w:after="0"/>
                    <w:rPr>
                      <w:color w:val="auto"/>
                      <w:szCs w:val="21"/>
                    </w:rPr>
                  </w:pPr>
                  <w:r>
                    <w:rPr>
                      <w:color w:val="auto"/>
                      <w:szCs w:val="21"/>
                    </w:rPr>
                    <w:t>S2-2</w:t>
                  </w:r>
                </w:p>
              </w:tc>
              <w:tc>
                <w:tcPr>
                  <w:tcW w:w="1654" w:type="pct"/>
                  <w:gridSpan w:val="2"/>
                  <w:vMerge w:val="continue"/>
                  <w:tcBorders>
                    <w:tl2br w:val="nil"/>
                    <w:tr2bl w:val="nil"/>
                  </w:tcBorders>
                  <w:vAlign w:val="center"/>
                </w:tcPr>
                <w:p w14:paraId="279F1CB7">
                  <w:pPr>
                    <w:pStyle w:val="477"/>
                    <w:spacing w:after="0"/>
                    <w:rPr>
                      <w:color w:val="auto"/>
                      <w:szCs w:val="21"/>
                    </w:rPr>
                  </w:pPr>
                </w:p>
              </w:tc>
              <w:tc>
                <w:tcPr>
                  <w:tcW w:w="565" w:type="pct"/>
                  <w:tcBorders>
                    <w:tl2br w:val="nil"/>
                    <w:tr2bl w:val="nil"/>
                  </w:tcBorders>
                  <w:vAlign w:val="center"/>
                </w:tcPr>
                <w:p w14:paraId="604D6732">
                  <w:pPr>
                    <w:pStyle w:val="477"/>
                    <w:spacing w:after="0"/>
                    <w:rPr>
                      <w:color w:val="auto"/>
                      <w:szCs w:val="21"/>
                    </w:rPr>
                  </w:pPr>
                  <w:r>
                    <w:rPr>
                      <w:color w:val="auto"/>
                      <w:szCs w:val="21"/>
                    </w:rPr>
                    <w:t>废刀头</w:t>
                  </w:r>
                </w:p>
              </w:tc>
              <w:tc>
                <w:tcPr>
                  <w:tcW w:w="2156" w:type="pct"/>
                  <w:tcBorders>
                    <w:tl2br w:val="nil"/>
                    <w:tr2bl w:val="nil"/>
                  </w:tcBorders>
                  <w:vAlign w:val="center"/>
                </w:tcPr>
                <w:p w14:paraId="2564FED1">
                  <w:pPr>
                    <w:pStyle w:val="477"/>
                    <w:spacing w:after="0"/>
                    <w:rPr>
                      <w:color w:val="auto"/>
                      <w:szCs w:val="21"/>
                    </w:rPr>
                  </w:pPr>
                  <w:r>
                    <w:rPr>
                      <w:color w:val="auto"/>
                      <w:szCs w:val="21"/>
                    </w:rPr>
                    <w:t>收集后统一处理</w:t>
                  </w:r>
                </w:p>
              </w:tc>
            </w:tr>
            <w:tr w14:paraId="207AF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083E392">
                  <w:pPr>
                    <w:pStyle w:val="477"/>
                    <w:spacing w:after="0"/>
                    <w:rPr>
                      <w:color w:val="auto"/>
                      <w:szCs w:val="21"/>
                    </w:rPr>
                  </w:pPr>
                </w:p>
              </w:tc>
              <w:tc>
                <w:tcPr>
                  <w:tcW w:w="353" w:type="pct"/>
                  <w:tcBorders>
                    <w:tl2br w:val="nil"/>
                    <w:tr2bl w:val="nil"/>
                  </w:tcBorders>
                  <w:vAlign w:val="center"/>
                </w:tcPr>
                <w:p w14:paraId="58351535">
                  <w:pPr>
                    <w:pStyle w:val="477"/>
                    <w:spacing w:after="0"/>
                    <w:rPr>
                      <w:color w:val="auto"/>
                      <w:szCs w:val="21"/>
                    </w:rPr>
                  </w:pPr>
                  <w:r>
                    <w:rPr>
                      <w:color w:val="auto"/>
                      <w:szCs w:val="21"/>
                    </w:rPr>
                    <w:t>S2-3</w:t>
                  </w:r>
                </w:p>
              </w:tc>
              <w:tc>
                <w:tcPr>
                  <w:tcW w:w="1654" w:type="pct"/>
                  <w:gridSpan w:val="2"/>
                  <w:tcBorders>
                    <w:tl2br w:val="nil"/>
                    <w:tr2bl w:val="nil"/>
                  </w:tcBorders>
                  <w:vAlign w:val="center"/>
                </w:tcPr>
                <w:p w14:paraId="41B631F6">
                  <w:pPr>
                    <w:pStyle w:val="477"/>
                    <w:spacing w:after="0"/>
                    <w:rPr>
                      <w:color w:val="auto"/>
                      <w:szCs w:val="21"/>
                    </w:rPr>
                  </w:pPr>
                  <w:r>
                    <w:rPr>
                      <w:color w:val="auto"/>
                      <w:szCs w:val="21"/>
                    </w:rPr>
                    <w:t>粘接</w:t>
                  </w:r>
                </w:p>
              </w:tc>
              <w:tc>
                <w:tcPr>
                  <w:tcW w:w="565" w:type="pct"/>
                  <w:tcBorders>
                    <w:tl2br w:val="nil"/>
                    <w:tr2bl w:val="nil"/>
                  </w:tcBorders>
                  <w:vAlign w:val="center"/>
                </w:tcPr>
                <w:p w14:paraId="5704C2C9">
                  <w:pPr>
                    <w:pStyle w:val="477"/>
                    <w:spacing w:after="0"/>
                    <w:rPr>
                      <w:color w:val="auto"/>
                      <w:szCs w:val="21"/>
                    </w:rPr>
                  </w:pPr>
                  <w:r>
                    <w:rPr>
                      <w:color w:val="auto"/>
                      <w:szCs w:val="21"/>
                    </w:rPr>
                    <w:t>废胶瓶</w:t>
                  </w:r>
                </w:p>
              </w:tc>
              <w:tc>
                <w:tcPr>
                  <w:tcW w:w="2156" w:type="pct"/>
                  <w:tcBorders>
                    <w:tl2br w:val="nil"/>
                    <w:tr2bl w:val="nil"/>
                  </w:tcBorders>
                  <w:vAlign w:val="center"/>
                </w:tcPr>
                <w:p w14:paraId="0655353D">
                  <w:pPr>
                    <w:pStyle w:val="477"/>
                    <w:spacing w:after="0"/>
                    <w:rPr>
                      <w:color w:val="auto"/>
                      <w:szCs w:val="21"/>
                    </w:rPr>
                  </w:pPr>
                  <w:r>
                    <w:rPr>
                      <w:rFonts w:hint="eastAsia"/>
                      <w:color w:val="auto"/>
                      <w:szCs w:val="21"/>
                    </w:rPr>
                    <w:t>暂存在危废暂存间，定期交由有资质单位进行处置</w:t>
                  </w:r>
                </w:p>
              </w:tc>
            </w:tr>
            <w:tr w14:paraId="1B54A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270" w:type="pct"/>
                  <w:vMerge w:val="continue"/>
                  <w:tcBorders>
                    <w:tl2br w:val="nil"/>
                    <w:tr2bl w:val="nil"/>
                  </w:tcBorders>
                  <w:vAlign w:val="center"/>
                </w:tcPr>
                <w:p w14:paraId="2D869D79">
                  <w:pPr>
                    <w:pStyle w:val="477"/>
                    <w:spacing w:after="0"/>
                    <w:rPr>
                      <w:color w:val="auto"/>
                      <w:szCs w:val="21"/>
                    </w:rPr>
                  </w:pPr>
                </w:p>
              </w:tc>
              <w:tc>
                <w:tcPr>
                  <w:tcW w:w="353" w:type="pct"/>
                  <w:tcBorders>
                    <w:tl2br w:val="nil"/>
                    <w:tr2bl w:val="nil"/>
                  </w:tcBorders>
                  <w:vAlign w:val="center"/>
                </w:tcPr>
                <w:p w14:paraId="6B09C24B">
                  <w:pPr>
                    <w:pStyle w:val="477"/>
                    <w:spacing w:after="0"/>
                    <w:rPr>
                      <w:color w:val="auto"/>
                      <w:szCs w:val="21"/>
                    </w:rPr>
                  </w:pPr>
                  <w:r>
                    <w:rPr>
                      <w:color w:val="auto"/>
                      <w:szCs w:val="21"/>
                    </w:rPr>
                    <w:t>S2-4</w:t>
                  </w:r>
                </w:p>
              </w:tc>
              <w:tc>
                <w:tcPr>
                  <w:tcW w:w="1654" w:type="pct"/>
                  <w:gridSpan w:val="2"/>
                  <w:vMerge w:val="restart"/>
                  <w:tcBorders>
                    <w:tl2br w:val="nil"/>
                    <w:tr2bl w:val="nil"/>
                  </w:tcBorders>
                  <w:vAlign w:val="center"/>
                </w:tcPr>
                <w:p w14:paraId="5D32BCE3">
                  <w:pPr>
                    <w:pStyle w:val="477"/>
                    <w:spacing w:after="0"/>
                    <w:rPr>
                      <w:color w:val="auto"/>
                      <w:szCs w:val="21"/>
                    </w:rPr>
                  </w:pPr>
                  <w:r>
                    <w:rPr>
                      <w:color w:val="auto"/>
                      <w:szCs w:val="21"/>
                    </w:rPr>
                    <w:t>修边</w:t>
                  </w:r>
                </w:p>
              </w:tc>
              <w:tc>
                <w:tcPr>
                  <w:tcW w:w="565" w:type="pct"/>
                  <w:tcBorders>
                    <w:tl2br w:val="nil"/>
                    <w:tr2bl w:val="nil"/>
                  </w:tcBorders>
                  <w:vAlign w:val="center"/>
                </w:tcPr>
                <w:p w14:paraId="69D24BDA">
                  <w:pPr>
                    <w:pStyle w:val="477"/>
                    <w:spacing w:after="0"/>
                    <w:rPr>
                      <w:color w:val="auto"/>
                      <w:szCs w:val="21"/>
                    </w:rPr>
                  </w:pPr>
                  <w:r>
                    <w:rPr>
                      <w:color w:val="auto"/>
                      <w:szCs w:val="21"/>
                    </w:rPr>
                    <w:t>大理石废料</w:t>
                  </w:r>
                </w:p>
              </w:tc>
              <w:tc>
                <w:tcPr>
                  <w:tcW w:w="2156" w:type="pct"/>
                  <w:tcBorders>
                    <w:tl2br w:val="nil"/>
                    <w:tr2bl w:val="nil"/>
                  </w:tcBorders>
                  <w:vAlign w:val="center"/>
                </w:tcPr>
                <w:p w14:paraId="49892581">
                  <w:pPr>
                    <w:pStyle w:val="477"/>
                    <w:spacing w:after="0"/>
                    <w:rPr>
                      <w:color w:val="auto"/>
                      <w:szCs w:val="21"/>
                    </w:rPr>
                  </w:pPr>
                  <w:r>
                    <w:rPr>
                      <w:color w:val="auto"/>
                      <w:szCs w:val="21"/>
                    </w:rPr>
                    <w:t>收集后统一处理</w:t>
                  </w:r>
                </w:p>
              </w:tc>
            </w:tr>
            <w:tr w14:paraId="65D9A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A6E0CD3">
                  <w:pPr>
                    <w:pStyle w:val="477"/>
                    <w:spacing w:after="0"/>
                    <w:rPr>
                      <w:color w:val="auto"/>
                      <w:szCs w:val="21"/>
                    </w:rPr>
                  </w:pPr>
                </w:p>
              </w:tc>
              <w:tc>
                <w:tcPr>
                  <w:tcW w:w="353" w:type="pct"/>
                  <w:tcBorders>
                    <w:tl2br w:val="nil"/>
                    <w:tr2bl w:val="nil"/>
                  </w:tcBorders>
                  <w:vAlign w:val="center"/>
                </w:tcPr>
                <w:p w14:paraId="7E097652">
                  <w:pPr>
                    <w:pStyle w:val="477"/>
                    <w:spacing w:after="0"/>
                    <w:rPr>
                      <w:color w:val="auto"/>
                      <w:szCs w:val="21"/>
                    </w:rPr>
                  </w:pPr>
                  <w:r>
                    <w:rPr>
                      <w:color w:val="auto"/>
                      <w:szCs w:val="21"/>
                    </w:rPr>
                    <w:t>S2-5</w:t>
                  </w:r>
                </w:p>
              </w:tc>
              <w:tc>
                <w:tcPr>
                  <w:tcW w:w="1654" w:type="pct"/>
                  <w:gridSpan w:val="2"/>
                  <w:vMerge w:val="continue"/>
                  <w:tcBorders>
                    <w:tl2br w:val="nil"/>
                    <w:tr2bl w:val="nil"/>
                  </w:tcBorders>
                  <w:vAlign w:val="center"/>
                </w:tcPr>
                <w:p w14:paraId="0AEE607A">
                  <w:pPr>
                    <w:pStyle w:val="477"/>
                    <w:spacing w:after="0"/>
                    <w:rPr>
                      <w:color w:val="auto"/>
                      <w:szCs w:val="21"/>
                    </w:rPr>
                  </w:pPr>
                </w:p>
              </w:tc>
              <w:tc>
                <w:tcPr>
                  <w:tcW w:w="565" w:type="pct"/>
                  <w:tcBorders>
                    <w:tl2br w:val="nil"/>
                    <w:tr2bl w:val="nil"/>
                  </w:tcBorders>
                  <w:vAlign w:val="center"/>
                </w:tcPr>
                <w:p w14:paraId="6D95B74B">
                  <w:pPr>
                    <w:pStyle w:val="477"/>
                    <w:spacing w:after="0"/>
                    <w:rPr>
                      <w:color w:val="auto"/>
                      <w:szCs w:val="21"/>
                    </w:rPr>
                  </w:pPr>
                  <w:r>
                    <w:rPr>
                      <w:color w:val="auto"/>
                      <w:szCs w:val="21"/>
                    </w:rPr>
                    <w:t>废刀头</w:t>
                  </w:r>
                </w:p>
              </w:tc>
              <w:tc>
                <w:tcPr>
                  <w:tcW w:w="2156" w:type="pct"/>
                  <w:tcBorders>
                    <w:tl2br w:val="nil"/>
                    <w:tr2bl w:val="nil"/>
                  </w:tcBorders>
                  <w:vAlign w:val="center"/>
                </w:tcPr>
                <w:p w14:paraId="23065E76">
                  <w:pPr>
                    <w:pStyle w:val="477"/>
                    <w:spacing w:after="0"/>
                    <w:rPr>
                      <w:color w:val="auto"/>
                      <w:szCs w:val="21"/>
                    </w:rPr>
                  </w:pPr>
                  <w:r>
                    <w:rPr>
                      <w:color w:val="auto"/>
                      <w:szCs w:val="21"/>
                    </w:rPr>
                    <w:t>收集后统一处理</w:t>
                  </w:r>
                </w:p>
              </w:tc>
            </w:tr>
            <w:tr w14:paraId="197CA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5572808">
                  <w:pPr>
                    <w:pStyle w:val="477"/>
                    <w:spacing w:after="0"/>
                    <w:rPr>
                      <w:color w:val="auto"/>
                      <w:szCs w:val="21"/>
                    </w:rPr>
                  </w:pPr>
                </w:p>
              </w:tc>
              <w:tc>
                <w:tcPr>
                  <w:tcW w:w="353" w:type="pct"/>
                  <w:tcBorders>
                    <w:tl2br w:val="nil"/>
                    <w:tr2bl w:val="nil"/>
                  </w:tcBorders>
                  <w:vAlign w:val="center"/>
                </w:tcPr>
                <w:p w14:paraId="7E1F4E1A">
                  <w:pPr>
                    <w:pStyle w:val="477"/>
                    <w:spacing w:after="0"/>
                    <w:rPr>
                      <w:color w:val="auto"/>
                      <w:szCs w:val="21"/>
                    </w:rPr>
                  </w:pPr>
                  <w:r>
                    <w:rPr>
                      <w:color w:val="auto"/>
                      <w:szCs w:val="21"/>
                    </w:rPr>
                    <w:t>S2-6</w:t>
                  </w:r>
                </w:p>
              </w:tc>
              <w:tc>
                <w:tcPr>
                  <w:tcW w:w="1654" w:type="pct"/>
                  <w:gridSpan w:val="2"/>
                  <w:vMerge w:val="restart"/>
                  <w:tcBorders>
                    <w:tl2br w:val="nil"/>
                    <w:tr2bl w:val="nil"/>
                  </w:tcBorders>
                  <w:vAlign w:val="center"/>
                </w:tcPr>
                <w:p w14:paraId="40DB4D6D">
                  <w:pPr>
                    <w:pStyle w:val="477"/>
                    <w:spacing w:after="0"/>
                    <w:rPr>
                      <w:color w:val="auto"/>
                      <w:szCs w:val="21"/>
                    </w:rPr>
                  </w:pPr>
                  <w:r>
                    <w:rPr>
                      <w:color w:val="auto"/>
                      <w:szCs w:val="21"/>
                    </w:rPr>
                    <w:t>打磨</w:t>
                  </w:r>
                </w:p>
              </w:tc>
              <w:tc>
                <w:tcPr>
                  <w:tcW w:w="565" w:type="pct"/>
                  <w:tcBorders>
                    <w:tl2br w:val="nil"/>
                    <w:tr2bl w:val="nil"/>
                  </w:tcBorders>
                  <w:vAlign w:val="center"/>
                </w:tcPr>
                <w:p w14:paraId="0EB7A0F8">
                  <w:pPr>
                    <w:pStyle w:val="477"/>
                    <w:spacing w:after="0"/>
                    <w:rPr>
                      <w:color w:val="auto"/>
                      <w:szCs w:val="21"/>
                    </w:rPr>
                  </w:pPr>
                  <w:r>
                    <w:rPr>
                      <w:color w:val="auto"/>
                      <w:szCs w:val="21"/>
                    </w:rPr>
                    <w:t>废砂纸</w:t>
                  </w:r>
                </w:p>
              </w:tc>
              <w:tc>
                <w:tcPr>
                  <w:tcW w:w="2156" w:type="pct"/>
                  <w:tcBorders>
                    <w:tl2br w:val="nil"/>
                    <w:tr2bl w:val="nil"/>
                  </w:tcBorders>
                  <w:vAlign w:val="center"/>
                </w:tcPr>
                <w:p w14:paraId="51211220">
                  <w:pPr>
                    <w:pStyle w:val="477"/>
                    <w:spacing w:after="0"/>
                    <w:rPr>
                      <w:color w:val="auto"/>
                      <w:szCs w:val="21"/>
                    </w:rPr>
                  </w:pPr>
                  <w:r>
                    <w:rPr>
                      <w:color w:val="auto"/>
                      <w:szCs w:val="21"/>
                    </w:rPr>
                    <w:t>收集后统一处理</w:t>
                  </w:r>
                </w:p>
              </w:tc>
            </w:tr>
            <w:tr w14:paraId="7CB15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1973BB8">
                  <w:pPr>
                    <w:pStyle w:val="477"/>
                    <w:spacing w:after="0"/>
                    <w:rPr>
                      <w:color w:val="auto"/>
                      <w:szCs w:val="21"/>
                    </w:rPr>
                  </w:pPr>
                </w:p>
              </w:tc>
              <w:tc>
                <w:tcPr>
                  <w:tcW w:w="353" w:type="pct"/>
                  <w:tcBorders>
                    <w:tl2br w:val="nil"/>
                    <w:tr2bl w:val="nil"/>
                  </w:tcBorders>
                  <w:vAlign w:val="center"/>
                </w:tcPr>
                <w:p w14:paraId="34D1E49E">
                  <w:pPr>
                    <w:pStyle w:val="477"/>
                    <w:spacing w:after="0"/>
                    <w:rPr>
                      <w:color w:val="auto"/>
                      <w:szCs w:val="21"/>
                    </w:rPr>
                  </w:pPr>
                  <w:r>
                    <w:rPr>
                      <w:color w:val="auto"/>
                      <w:szCs w:val="21"/>
                    </w:rPr>
                    <w:t>S2-7</w:t>
                  </w:r>
                </w:p>
              </w:tc>
              <w:tc>
                <w:tcPr>
                  <w:tcW w:w="1654" w:type="pct"/>
                  <w:gridSpan w:val="2"/>
                  <w:vMerge w:val="continue"/>
                  <w:tcBorders>
                    <w:tl2br w:val="nil"/>
                    <w:tr2bl w:val="nil"/>
                  </w:tcBorders>
                  <w:vAlign w:val="center"/>
                </w:tcPr>
                <w:p w14:paraId="1D67518D">
                  <w:pPr>
                    <w:pStyle w:val="477"/>
                    <w:spacing w:after="0"/>
                    <w:rPr>
                      <w:color w:val="auto"/>
                      <w:szCs w:val="21"/>
                    </w:rPr>
                  </w:pPr>
                </w:p>
              </w:tc>
              <w:tc>
                <w:tcPr>
                  <w:tcW w:w="565" w:type="pct"/>
                  <w:tcBorders>
                    <w:tl2br w:val="nil"/>
                    <w:tr2bl w:val="nil"/>
                  </w:tcBorders>
                  <w:vAlign w:val="center"/>
                </w:tcPr>
                <w:p w14:paraId="6D028D1C">
                  <w:pPr>
                    <w:pStyle w:val="477"/>
                    <w:spacing w:after="0"/>
                    <w:rPr>
                      <w:color w:val="auto"/>
                      <w:szCs w:val="21"/>
                    </w:rPr>
                  </w:pPr>
                  <w:r>
                    <w:rPr>
                      <w:color w:val="auto"/>
                      <w:szCs w:val="21"/>
                    </w:rPr>
                    <w:t>废切割片</w:t>
                  </w:r>
                </w:p>
              </w:tc>
              <w:tc>
                <w:tcPr>
                  <w:tcW w:w="2156" w:type="pct"/>
                  <w:tcBorders>
                    <w:tl2br w:val="nil"/>
                    <w:tr2bl w:val="nil"/>
                  </w:tcBorders>
                  <w:vAlign w:val="center"/>
                </w:tcPr>
                <w:p w14:paraId="75D1501D">
                  <w:pPr>
                    <w:pStyle w:val="477"/>
                    <w:spacing w:after="0"/>
                    <w:rPr>
                      <w:color w:val="auto"/>
                      <w:szCs w:val="21"/>
                    </w:rPr>
                  </w:pPr>
                  <w:r>
                    <w:rPr>
                      <w:color w:val="auto"/>
                      <w:szCs w:val="21"/>
                    </w:rPr>
                    <w:t>收集后统一处理</w:t>
                  </w:r>
                </w:p>
              </w:tc>
            </w:tr>
            <w:tr w14:paraId="1FCE7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1E6673F">
                  <w:pPr>
                    <w:pStyle w:val="477"/>
                    <w:spacing w:after="0"/>
                    <w:rPr>
                      <w:color w:val="auto"/>
                      <w:szCs w:val="21"/>
                    </w:rPr>
                  </w:pPr>
                </w:p>
              </w:tc>
              <w:tc>
                <w:tcPr>
                  <w:tcW w:w="353" w:type="pct"/>
                  <w:tcBorders>
                    <w:tl2br w:val="nil"/>
                    <w:tr2bl w:val="nil"/>
                  </w:tcBorders>
                  <w:vAlign w:val="center"/>
                </w:tcPr>
                <w:p w14:paraId="5E903304">
                  <w:pPr>
                    <w:pStyle w:val="477"/>
                    <w:spacing w:after="0"/>
                    <w:rPr>
                      <w:color w:val="auto"/>
                      <w:szCs w:val="21"/>
                    </w:rPr>
                  </w:pPr>
                  <w:r>
                    <w:rPr>
                      <w:color w:val="auto"/>
                      <w:szCs w:val="21"/>
                    </w:rPr>
                    <w:t>S3-1</w:t>
                  </w:r>
                </w:p>
              </w:tc>
              <w:tc>
                <w:tcPr>
                  <w:tcW w:w="1654" w:type="pct"/>
                  <w:gridSpan w:val="2"/>
                  <w:tcBorders>
                    <w:tl2br w:val="nil"/>
                    <w:tr2bl w:val="nil"/>
                  </w:tcBorders>
                  <w:vAlign w:val="center"/>
                </w:tcPr>
                <w:p w14:paraId="66165246">
                  <w:pPr>
                    <w:pStyle w:val="477"/>
                    <w:spacing w:after="0"/>
                    <w:rPr>
                      <w:color w:val="auto"/>
                      <w:szCs w:val="21"/>
                    </w:rPr>
                  </w:pPr>
                  <w:r>
                    <w:rPr>
                      <w:color w:val="auto"/>
                      <w:szCs w:val="21"/>
                    </w:rPr>
                    <w:t>下料</w:t>
                  </w:r>
                </w:p>
              </w:tc>
              <w:tc>
                <w:tcPr>
                  <w:tcW w:w="565" w:type="pct"/>
                  <w:tcBorders>
                    <w:tl2br w:val="nil"/>
                    <w:tr2bl w:val="nil"/>
                  </w:tcBorders>
                  <w:vAlign w:val="center"/>
                </w:tcPr>
                <w:p w14:paraId="7FA3D149">
                  <w:pPr>
                    <w:pStyle w:val="477"/>
                    <w:spacing w:after="0"/>
                    <w:rPr>
                      <w:color w:val="auto"/>
                      <w:szCs w:val="21"/>
                    </w:rPr>
                  </w:pPr>
                  <w:r>
                    <w:rPr>
                      <w:color w:val="auto"/>
                      <w:szCs w:val="21"/>
                    </w:rPr>
                    <w:t>金属废边角料</w:t>
                  </w:r>
                </w:p>
              </w:tc>
              <w:tc>
                <w:tcPr>
                  <w:tcW w:w="2156" w:type="pct"/>
                  <w:tcBorders>
                    <w:tl2br w:val="nil"/>
                    <w:tr2bl w:val="nil"/>
                  </w:tcBorders>
                  <w:vAlign w:val="center"/>
                </w:tcPr>
                <w:p w14:paraId="344E0757">
                  <w:pPr>
                    <w:pStyle w:val="477"/>
                    <w:spacing w:after="0"/>
                    <w:rPr>
                      <w:color w:val="auto"/>
                      <w:szCs w:val="21"/>
                    </w:rPr>
                  </w:pPr>
                  <w:r>
                    <w:rPr>
                      <w:color w:val="auto"/>
                      <w:szCs w:val="21"/>
                    </w:rPr>
                    <w:t>收集后统一处理</w:t>
                  </w:r>
                </w:p>
              </w:tc>
            </w:tr>
            <w:tr w14:paraId="0B9E5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732EAD8">
                  <w:pPr>
                    <w:pStyle w:val="477"/>
                    <w:spacing w:after="0"/>
                    <w:rPr>
                      <w:color w:val="auto"/>
                      <w:szCs w:val="21"/>
                    </w:rPr>
                  </w:pPr>
                </w:p>
              </w:tc>
              <w:tc>
                <w:tcPr>
                  <w:tcW w:w="353" w:type="pct"/>
                  <w:tcBorders>
                    <w:tl2br w:val="nil"/>
                    <w:tr2bl w:val="nil"/>
                  </w:tcBorders>
                  <w:vAlign w:val="center"/>
                </w:tcPr>
                <w:p w14:paraId="3D88D4BA">
                  <w:pPr>
                    <w:pStyle w:val="477"/>
                    <w:spacing w:after="0"/>
                    <w:rPr>
                      <w:color w:val="auto"/>
                      <w:szCs w:val="21"/>
                    </w:rPr>
                  </w:pPr>
                  <w:r>
                    <w:rPr>
                      <w:color w:val="auto"/>
                      <w:szCs w:val="21"/>
                    </w:rPr>
                    <w:t>S3-2</w:t>
                  </w:r>
                </w:p>
              </w:tc>
              <w:tc>
                <w:tcPr>
                  <w:tcW w:w="1654" w:type="pct"/>
                  <w:gridSpan w:val="2"/>
                  <w:vMerge w:val="restart"/>
                  <w:tcBorders>
                    <w:tl2br w:val="nil"/>
                    <w:tr2bl w:val="nil"/>
                  </w:tcBorders>
                  <w:vAlign w:val="center"/>
                </w:tcPr>
                <w:p w14:paraId="7EC98ED3">
                  <w:pPr>
                    <w:pStyle w:val="477"/>
                    <w:spacing w:after="0"/>
                    <w:rPr>
                      <w:color w:val="auto"/>
                      <w:szCs w:val="21"/>
                    </w:rPr>
                  </w:pPr>
                  <w:r>
                    <w:rPr>
                      <w:color w:val="auto"/>
                      <w:szCs w:val="21"/>
                    </w:rPr>
                    <w:t>刨槽</w:t>
                  </w:r>
                </w:p>
              </w:tc>
              <w:tc>
                <w:tcPr>
                  <w:tcW w:w="565" w:type="pct"/>
                  <w:tcBorders>
                    <w:tl2br w:val="nil"/>
                    <w:tr2bl w:val="nil"/>
                  </w:tcBorders>
                  <w:vAlign w:val="center"/>
                </w:tcPr>
                <w:p w14:paraId="7BA3F05A">
                  <w:pPr>
                    <w:pStyle w:val="477"/>
                    <w:spacing w:after="0"/>
                    <w:rPr>
                      <w:color w:val="auto"/>
                      <w:szCs w:val="21"/>
                    </w:rPr>
                  </w:pPr>
                  <w:r>
                    <w:rPr>
                      <w:color w:val="auto"/>
                      <w:szCs w:val="21"/>
                    </w:rPr>
                    <w:t>金属废边角料</w:t>
                  </w:r>
                </w:p>
              </w:tc>
              <w:tc>
                <w:tcPr>
                  <w:tcW w:w="2156" w:type="pct"/>
                  <w:tcBorders>
                    <w:tl2br w:val="nil"/>
                    <w:tr2bl w:val="nil"/>
                  </w:tcBorders>
                  <w:vAlign w:val="center"/>
                </w:tcPr>
                <w:p w14:paraId="03BBAD96">
                  <w:pPr>
                    <w:pStyle w:val="477"/>
                    <w:spacing w:after="0"/>
                    <w:rPr>
                      <w:color w:val="auto"/>
                      <w:szCs w:val="21"/>
                    </w:rPr>
                  </w:pPr>
                  <w:r>
                    <w:rPr>
                      <w:color w:val="auto"/>
                      <w:szCs w:val="21"/>
                    </w:rPr>
                    <w:t>收集后统一处理</w:t>
                  </w:r>
                </w:p>
              </w:tc>
            </w:tr>
            <w:tr w14:paraId="61C9B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ED41C6A">
                  <w:pPr>
                    <w:pStyle w:val="477"/>
                    <w:spacing w:after="0"/>
                    <w:rPr>
                      <w:color w:val="auto"/>
                      <w:szCs w:val="21"/>
                    </w:rPr>
                  </w:pPr>
                </w:p>
              </w:tc>
              <w:tc>
                <w:tcPr>
                  <w:tcW w:w="353" w:type="pct"/>
                  <w:tcBorders>
                    <w:tl2br w:val="nil"/>
                    <w:tr2bl w:val="nil"/>
                  </w:tcBorders>
                  <w:vAlign w:val="center"/>
                </w:tcPr>
                <w:p w14:paraId="1FF3BA1D">
                  <w:pPr>
                    <w:pStyle w:val="477"/>
                    <w:spacing w:after="0"/>
                    <w:rPr>
                      <w:color w:val="auto"/>
                      <w:szCs w:val="21"/>
                    </w:rPr>
                  </w:pPr>
                  <w:r>
                    <w:rPr>
                      <w:color w:val="auto"/>
                      <w:szCs w:val="21"/>
                    </w:rPr>
                    <w:t>S3-3</w:t>
                  </w:r>
                </w:p>
              </w:tc>
              <w:tc>
                <w:tcPr>
                  <w:tcW w:w="1654" w:type="pct"/>
                  <w:gridSpan w:val="2"/>
                  <w:vMerge w:val="continue"/>
                  <w:tcBorders>
                    <w:tl2br w:val="nil"/>
                    <w:tr2bl w:val="nil"/>
                  </w:tcBorders>
                  <w:vAlign w:val="center"/>
                </w:tcPr>
                <w:p w14:paraId="463B7DAC">
                  <w:pPr>
                    <w:pStyle w:val="477"/>
                    <w:spacing w:after="0"/>
                    <w:rPr>
                      <w:color w:val="auto"/>
                      <w:szCs w:val="21"/>
                    </w:rPr>
                  </w:pPr>
                </w:p>
              </w:tc>
              <w:tc>
                <w:tcPr>
                  <w:tcW w:w="565" w:type="pct"/>
                  <w:tcBorders>
                    <w:tl2br w:val="nil"/>
                    <w:tr2bl w:val="nil"/>
                  </w:tcBorders>
                  <w:vAlign w:val="center"/>
                </w:tcPr>
                <w:p w14:paraId="54A44C3E">
                  <w:pPr>
                    <w:pStyle w:val="477"/>
                    <w:spacing w:after="0"/>
                    <w:rPr>
                      <w:color w:val="auto"/>
                      <w:szCs w:val="21"/>
                    </w:rPr>
                  </w:pPr>
                  <w:r>
                    <w:rPr>
                      <w:color w:val="auto"/>
                      <w:szCs w:val="21"/>
                    </w:rPr>
                    <w:t>废切削液</w:t>
                  </w:r>
                </w:p>
              </w:tc>
              <w:tc>
                <w:tcPr>
                  <w:tcW w:w="2156" w:type="pct"/>
                  <w:tcBorders>
                    <w:tl2br w:val="nil"/>
                    <w:tr2bl w:val="nil"/>
                  </w:tcBorders>
                  <w:shd w:val="clear" w:color="auto" w:fill="auto"/>
                  <w:vAlign w:val="center"/>
                </w:tcPr>
                <w:p w14:paraId="5EC3BA6B">
                  <w:pPr>
                    <w:pStyle w:val="477"/>
                    <w:spacing w:after="0"/>
                    <w:rPr>
                      <w:color w:val="auto"/>
                      <w:szCs w:val="21"/>
                    </w:rPr>
                  </w:pPr>
                  <w:r>
                    <w:rPr>
                      <w:rFonts w:hint="eastAsia"/>
                      <w:color w:val="auto"/>
                      <w:szCs w:val="21"/>
                    </w:rPr>
                    <w:t>暂存在危废暂存间，定期交由有资质单位进行处置</w:t>
                  </w:r>
                </w:p>
              </w:tc>
            </w:tr>
            <w:tr w14:paraId="00A1F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AAB8F27">
                  <w:pPr>
                    <w:pStyle w:val="477"/>
                    <w:spacing w:after="0"/>
                    <w:rPr>
                      <w:color w:val="auto"/>
                      <w:szCs w:val="21"/>
                    </w:rPr>
                  </w:pPr>
                </w:p>
              </w:tc>
              <w:tc>
                <w:tcPr>
                  <w:tcW w:w="353" w:type="pct"/>
                  <w:tcBorders>
                    <w:tl2br w:val="nil"/>
                    <w:tr2bl w:val="nil"/>
                  </w:tcBorders>
                  <w:vAlign w:val="center"/>
                </w:tcPr>
                <w:p w14:paraId="2A381F6F">
                  <w:pPr>
                    <w:pStyle w:val="477"/>
                    <w:spacing w:after="0"/>
                    <w:rPr>
                      <w:color w:val="auto"/>
                      <w:szCs w:val="21"/>
                    </w:rPr>
                  </w:pPr>
                  <w:r>
                    <w:rPr>
                      <w:color w:val="auto"/>
                      <w:szCs w:val="21"/>
                    </w:rPr>
                    <w:t>S3-4</w:t>
                  </w:r>
                </w:p>
              </w:tc>
              <w:tc>
                <w:tcPr>
                  <w:tcW w:w="1654" w:type="pct"/>
                  <w:gridSpan w:val="2"/>
                  <w:tcBorders>
                    <w:tl2br w:val="nil"/>
                    <w:tr2bl w:val="nil"/>
                  </w:tcBorders>
                  <w:vAlign w:val="center"/>
                </w:tcPr>
                <w:p w14:paraId="2147B6D1">
                  <w:pPr>
                    <w:pStyle w:val="477"/>
                    <w:spacing w:after="0"/>
                    <w:rPr>
                      <w:color w:val="auto"/>
                      <w:szCs w:val="21"/>
                    </w:rPr>
                  </w:pPr>
                  <w:r>
                    <w:rPr>
                      <w:color w:val="auto"/>
                      <w:szCs w:val="21"/>
                    </w:rPr>
                    <w:t>折弯</w:t>
                  </w:r>
                </w:p>
              </w:tc>
              <w:tc>
                <w:tcPr>
                  <w:tcW w:w="565" w:type="pct"/>
                  <w:tcBorders>
                    <w:tl2br w:val="nil"/>
                    <w:tr2bl w:val="nil"/>
                  </w:tcBorders>
                  <w:vAlign w:val="center"/>
                </w:tcPr>
                <w:p w14:paraId="3AECA317">
                  <w:pPr>
                    <w:pStyle w:val="477"/>
                    <w:spacing w:after="0"/>
                    <w:rPr>
                      <w:color w:val="auto"/>
                      <w:szCs w:val="21"/>
                    </w:rPr>
                  </w:pPr>
                  <w:r>
                    <w:rPr>
                      <w:color w:val="auto"/>
                      <w:szCs w:val="21"/>
                    </w:rPr>
                    <w:t>废液压油</w:t>
                  </w:r>
                </w:p>
              </w:tc>
              <w:tc>
                <w:tcPr>
                  <w:tcW w:w="2156" w:type="pct"/>
                  <w:tcBorders>
                    <w:tl2br w:val="nil"/>
                    <w:tr2bl w:val="nil"/>
                  </w:tcBorders>
                  <w:vAlign w:val="center"/>
                </w:tcPr>
                <w:p w14:paraId="204C3CCC">
                  <w:pPr>
                    <w:pStyle w:val="477"/>
                    <w:spacing w:after="0"/>
                    <w:rPr>
                      <w:color w:val="auto"/>
                      <w:szCs w:val="21"/>
                    </w:rPr>
                  </w:pPr>
                  <w:r>
                    <w:rPr>
                      <w:rFonts w:hint="eastAsia"/>
                      <w:color w:val="auto"/>
                      <w:szCs w:val="21"/>
                    </w:rPr>
                    <w:t>暂存在危废暂存间，定期交由有资质单位进行处置</w:t>
                  </w:r>
                </w:p>
              </w:tc>
            </w:tr>
            <w:tr w14:paraId="317E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05EAD40">
                  <w:pPr>
                    <w:pStyle w:val="477"/>
                    <w:spacing w:after="0"/>
                    <w:rPr>
                      <w:color w:val="auto"/>
                      <w:szCs w:val="21"/>
                    </w:rPr>
                  </w:pPr>
                </w:p>
              </w:tc>
              <w:tc>
                <w:tcPr>
                  <w:tcW w:w="353" w:type="pct"/>
                  <w:tcBorders>
                    <w:tl2br w:val="nil"/>
                    <w:tr2bl w:val="nil"/>
                  </w:tcBorders>
                  <w:vAlign w:val="center"/>
                </w:tcPr>
                <w:p w14:paraId="7FD6A403">
                  <w:pPr>
                    <w:pStyle w:val="477"/>
                    <w:spacing w:after="0"/>
                    <w:rPr>
                      <w:color w:val="auto"/>
                      <w:szCs w:val="21"/>
                    </w:rPr>
                  </w:pPr>
                  <w:r>
                    <w:rPr>
                      <w:color w:val="auto"/>
                      <w:szCs w:val="21"/>
                    </w:rPr>
                    <w:t>S3-5</w:t>
                  </w:r>
                </w:p>
              </w:tc>
              <w:tc>
                <w:tcPr>
                  <w:tcW w:w="1654" w:type="pct"/>
                  <w:gridSpan w:val="2"/>
                  <w:tcBorders>
                    <w:tl2br w:val="nil"/>
                    <w:tr2bl w:val="nil"/>
                  </w:tcBorders>
                  <w:vAlign w:val="center"/>
                </w:tcPr>
                <w:p w14:paraId="32C7693B">
                  <w:pPr>
                    <w:pStyle w:val="477"/>
                    <w:spacing w:after="0"/>
                    <w:rPr>
                      <w:color w:val="auto"/>
                      <w:szCs w:val="21"/>
                    </w:rPr>
                  </w:pPr>
                  <w:r>
                    <w:rPr>
                      <w:color w:val="auto"/>
                      <w:szCs w:val="21"/>
                    </w:rPr>
                    <w:t>压合</w:t>
                  </w:r>
                </w:p>
              </w:tc>
              <w:tc>
                <w:tcPr>
                  <w:tcW w:w="565" w:type="pct"/>
                  <w:tcBorders>
                    <w:tl2br w:val="nil"/>
                    <w:tr2bl w:val="nil"/>
                  </w:tcBorders>
                  <w:vAlign w:val="center"/>
                </w:tcPr>
                <w:p w14:paraId="38A18B92">
                  <w:pPr>
                    <w:pStyle w:val="477"/>
                    <w:spacing w:after="0"/>
                    <w:rPr>
                      <w:color w:val="auto"/>
                      <w:szCs w:val="21"/>
                    </w:rPr>
                  </w:pPr>
                  <w:r>
                    <w:rPr>
                      <w:color w:val="auto"/>
                      <w:szCs w:val="21"/>
                    </w:rPr>
                    <w:t>废液压油</w:t>
                  </w:r>
                </w:p>
              </w:tc>
              <w:tc>
                <w:tcPr>
                  <w:tcW w:w="2156" w:type="pct"/>
                  <w:tcBorders>
                    <w:tl2br w:val="nil"/>
                    <w:tr2bl w:val="nil"/>
                  </w:tcBorders>
                  <w:vAlign w:val="center"/>
                </w:tcPr>
                <w:p w14:paraId="17175F46">
                  <w:pPr>
                    <w:pStyle w:val="477"/>
                    <w:spacing w:after="0"/>
                    <w:rPr>
                      <w:color w:val="auto"/>
                      <w:szCs w:val="21"/>
                    </w:rPr>
                  </w:pPr>
                  <w:r>
                    <w:rPr>
                      <w:rFonts w:hint="eastAsia"/>
                      <w:color w:val="auto"/>
                      <w:szCs w:val="21"/>
                    </w:rPr>
                    <w:t>暂存在危废暂存间，定期交由有资质单位进行处置</w:t>
                  </w:r>
                </w:p>
              </w:tc>
            </w:tr>
            <w:tr w14:paraId="721E0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16FDDC0">
                  <w:pPr>
                    <w:pStyle w:val="477"/>
                    <w:spacing w:after="0"/>
                    <w:rPr>
                      <w:color w:val="auto"/>
                      <w:szCs w:val="21"/>
                    </w:rPr>
                  </w:pPr>
                </w:p>
              </w:tc>
              <w:tc>
                <w:tcPr>
                  <w:tcW w:w="353" w:type="pct"/>
                  <w:tcBorders>
                    <w:tl2br w:val="nil"/>
                    <w:tr2bl w:val="nil"/>
                  </w:tcBorders>
                  <w:vAlign w:val="center"/>
                </w:tcPr>
                <w:p w14:paraId="748D6681">
                  <w:pPr>
                    <w:pStyle w:val="477"/>
                    <w:spacing w:after="0"/>
                    <w:rPr>
                      <w:color w:val="auto"/>
                      <w:szCs w:val="21"/>
                    </w:rPr>
                  </w:pPr>
                  <w:r>
                    <w:rPr>
                      <w:color w:val="auto"/>
                      <w:szCs w:val="21"/>
                    </w:rPr>
                    <w:t>S3-6</w:t>
                  </w:r>
                </w:p>
              </w:tc>
              <w:tc>
                <w:tcPr>
                  <w:tcW w:w="1654" w:type="pct"/>
                  <w:gridSpan w:val="2"/>
                  <w:vMerge w:val="restart"/>
                  <w:tcBorders>
                    <w:tl2br w:val="nil"/>
                    <w:tr2bl w:val="nil"/>
                  </w:tcBorders>
                  <w:vAlign w:val="center"/>
                </w:tcPr>
                <w:p w14:paraId="46548979">
                  <w:pPr>
                    <w:pStyle w:val="477"/>
                    <w:spacing w:after="0"/>
                    <w:rPr>
                      <w:color w:val="auto"/>
                      <w:szCs w:val="21"/>
                    </w:rPr>
                  </w:pPr>
                  <w:r>
                    <w:rPr>
                      <w:color w:val="auto"/>
                      <w:szCs w:val="21"/>
                    </w:rPr>
                    <w:t>下料</w:t>
                  </w:r>
                </w:p>
              </w:tc>
              <w:tc>
                <w:tcPr>
                  <w:tcW w:w="565" w:type="pct"/>
                  <w:tcBorders>
                    <w:tl2br w:val="nil"/>
                    <w:tr2bl w:val="nil"/>
                  </w:tcBorders>
                  <w:vAlign w:val="center"/>
                </w:tcPr>
                <w:p w14:paraId="0C7382FE">
                  <w:pPr>
                    <w:pStyle w:val="477"/>
                    <w:spacing w:after="0"/>
                    <w:rPr>
                      <w:color w:val="auto"/>
                      <w:szCs w:val="21"/>
                    </w:rPr>
                  </w:pPr>
                  <w:r>
                    <w:rPr>
                      <w:color w:val="auto"/>
                      <w:szCs w:val="21"/>
                    </w:rPr>
                    <w:t>金属废边角料</w:t>
                  </w:r>
                </w:p>
              </w:tc>
              <w:tc>
                <w:tcPr>
                  <w:tcW w:w="2156" w:type="pct"/>
                  <w:tcBorders>
                    <w:tl2br w:val="nil"/>
                    <w:tr2bl w:val="nil"/>
                  </w:tcBorders>
                  <w:vAlign w:val="center"/>
                </w:tcPr>
                <w:p w14:paraId="51095257">
                  <w:pPr>
                    <w:pStyle w:val="477"/>
                    <w:spacing w:after="0"/>
                    <w:rPr>
                      <w:color w:val="auto"/>
                      <w:szCs w:val="21"/>
                    </w:rPr>
                  </w:pPr>
                  <w:r>
                    <w:rPr>
                      <w:color w:val="auto"/>
                      <w:szCs w:val="21"/>
                    </w:rPr>
                    <w:t>收集后统一处理</w:t>
                  </w:r>
                </w:p>
              </w:tc>
            </w:tr>
            <w:tr w14:paraId="5A520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083D4F2">
                  <w:pPr>
                    <w:pStyle w:val="477"/>
                    <w:spacing w:after="0"/>
                    <w:rPr>
                      <w:color w:val="auto"/>
                      <w:szCs w:val="21"/>
                    </w:rPr>
                  </w:pPr>
                </w:p>
              </w:tc>
              <w:tc>
                <w:tcPr>
                  <w:tcW w:w="353" w:type="pct"/>
                  <w:tcBorders>
                    <w:tl2br w:val="nil"/>
                    <w:tr2bl w:val="nil"/>
                  </w:tcBorders>
                  <w:vAlign w:val="center"/>
                </w:tcPr>
                <w:p w14:paraId="74C790EB">
                  <w:pPr>
                    <w:pStyle w:val="477"/>
                    <w:spacing w:after="0"/>
                    <w:rPr>
                      <w:color w:val="auto"/>
                      <w:szCs w:val="21"/>
                    </w:rPr>
                  </w:pPr>
                  <w:r>
                    <w:rPr>
                      <w:color w:val="auto"/>
                      <w:szCs w:val="21"/>
                    </w:rPr>
                    <w:t>S3-7</w:t>
                  </w:r>
                </w:p>
              </w:tc>
              <w:tc>
                <w:tcPr>
                  <w:tcW w:w="1654" w:type="pct"/>
                  <w:gridSpan w:val="2"/>
                  <w:vMerge w:val="continue"/>
                  <w:tcBorders>
                    <w:tl2br w:val="nil"/>
                    <w:tr2bl w:val="nil"/>
                  </w:tcBorders>
                  <w:vAlign w:val="center"/>
                </w:tcPr>
                <w:p w14:paraId="6D80FF4A">
                  <w:pPr>
                    <w:pStyle w:val="477"/>
                    <w:spacing w:after="0"/>
                    <w:rPr>
                      <w:color w:val="auto"/>
                      <w:szCs w:val="21"/>
                    </w:rPr>
                  </w:pPr>
                </w:p>
              </w:tc>
              <w:tc>
                <w:tcPr>
                  <w:tcW w:w="565" w:type="pct"/>
                  <w:tcBorders>
                    <w:tl2br w:val="nil"/>
                    <w:tr2bl w:val="nil"/>
                  </w:tcBorders>
                  <w:vAlign w:val="center"/>
                </w:tcPr>
                <w:p w14:paraId="5C75203B">
                  <w:pPr>
                    <w:pStyle w:val="477"/>
                    <w:spacing w:after="0"/>
                    <w:rPr>
                      <w:color w:val="auto"/>
                      <w:szCs w:val="21"/>
                    </w:rPr>
                  </w:pPr>
                  <w:r>
                    <w:rPr>
                      <w:color w:val="auto"/>
                      <w:szCs w:val="21"/>
                    </w:rPr>
                    <w:t>废切削液</w:t>
                  </w:r>
                </w:p>
              </w:tc>
              <w:tc>
                <w:tcPr>
                  <w:tcW w:w="2156" w:type="pct"/>
                  <w:tcBorders>
                    <w:tl2br w:val="nil"/>
                    <w:tr2bl w:val="nil"/>
                  </w:tcBorders>
                  <w:vAlign w:val="center"/>
                </w:tcPr>
                <w:p w14:paraId="56CB0BE1">
                  <w:pPr>
                    <w:pStyle w:val="477"/>
                    <w:spacing w:after="0"/>
                    <w:rPr>
                      <w:color w:val="auto"/>
                      <w:szCs w:val="21"/>
                    </w:rPr>
                  </w:pPr>
                  <w:r>
                    <w:rPr>
                      <w:rFonts w:hint="eastAsia"/>
                      <w:color w:val="auto"/>
                      <w:szCs w:val="21"/>
                    </w:rPr>
                    <w:t>暂存在危废暂存间，定期交由有资质单位进行处置</w:t>
                  </w:r>
                </w:p>
              </w:tc>
            </w:tr>
            <w:tr w14:paraId="182AF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3214D76">
                  <w:pPr>
                    <w:pStyle w:val="477"/>
                    <w:spacing w:after="0"/>
                    <w:rPr>
                      <w:color w:val="auto"/>
                      <w:szCs w:val="21"/>
                    </w:rPr>
                  </w:pPr>
                </w:p>
              </w:tc>
              <w:tc>
                <w:tcPr>
                  <w:tcW w:w="353" w:type="pct"/>
                  <w:tcBorders>
                    <w:tl2br w:val="nil"/>
                    <w:tr2bl w:val="nil"/>
                  </w:tcBorders>
                  <w:vAlign w:val="center"/>
                </w:tcPr>
                <w:p w14:paraId="4FED1C86">
                  <w:pPr>
                    <w:pStyle w:val="477"/>
                    <w:spacing w:after="0"/>
                    <w:rPr>
                      <w:color w:val="auto"/>
                      <w:szCs w:val="21"/>
                    </w:rPr>
                  </w:pPr>
                  <w:r>
                    <w:rPr>
                      <w:color w:val="auto"/>
                      <w:szCs w:val="21"/>
                    </w:rPr>
                    <w:t>S3-8</w:t>
                  </w:r>
                </w:p>
              </w:tc>
              <w:tc>
                <w:tcPr>
                  <w:tcW w:w="1654" w:type="pct"/>
                  <w:gridSpan w:val="2"/>
                  <w:tcBorders>
                    <w:tl2br w:val="nil"/>
                    <w:tr2bl w:val="nil"/>
                  </w:tcBorders>
                  <w:vAlign w:val="center"/>
                </w:tcPr>
                <w:p w14:paraId="17C08640">
                  <w:pPr>
                    <w:pStyle w:val="477"/>
                    <w:spacing w:after="0"/>
                    <w:rPr>
                      <w:color w:val="auto"/>
                      <w:szCs w:val="21"/>
                    </w:rPr>
                  </w:pPr>
                  <w:r>
                    <w:rPr>
                      <w:color w:val="auto"/>
                      <w:szCs w:val="21"/>
                    </w:rPr>
                    <w:t>压铆</w:t>
                  </w:r>
                </w:p>
              </w:tc>
              <w:tc>
                <w:tcPr>
                  <w:tcW w:w="565" w:type="pct"/>
                  <w:tcBorders>
                    <w:tl2br w:val="nil"/>
                    <w:tr2bl w:val="nil"/>
                  </w:tcBorders>
                  <w:vAlign w:val="center"/>
                </w:tcPr>
                <w:p w14:paraId="0FE1383E">
                  <w:pPr>
                    <w:pStyle w:val="477"/>
                    <w:spacing w:after="0"/>
                    <w:rPr>
                      <w:color w:val="auto"/>
                      <w:szCs w:val="21"/>
                    </w:rPr>
                  </w:pPr>
                  <w:r>
                    <w:rPr>
                      <w:color w:val="auto"/>
                      <w:szCs w:val="21"/>
                    </w:rPr>
                    <w:t>废液压油</w:t>
                  </w:r>
                </w:p>
              </w:tc>
              <w:tc>
                <w:tcPr>
                  <w:tcW w:w="2156" w:type="pct"/>
                  <w:tcBorders>
                    <w:tl2br w:val="nil"/>
                    <w:tr2bl w:val="nil"/>
                  </w:tcBorders>
                  <w:vAlign w:val="center"/>
                </w:tcPr>
                <w:p w14:paraId="4C3FE3EC">
                  <w:pPr>
                    <w:pStyle w:val="477"/>
                    <w:spacing w:after="0"/>
                    <w:rPr>
                      <w:color w:val="auto"/>
                      <w:szCs w:val="21"/>
                    </w:rPr>
                  </w:pPr>
                  <w:r>
                    <w:rPr>
                      <w:rFonts w:hint="eastAsia"/>
                      <w:color w:val="auto"/>
                      <w:szCs w:val="21"/>
                    </w:rPr>
                    <w:t>暂存在危废暂存间，定期交由有资质单位进行处置</w:t>
                  </w:r>
                </w:p>
              </w:tc>
            </w:tr>
            <w:tr w14:paraId="039E3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B3865F4">
                  <w:pPr>
                    <w:pStyle w:val="477"/>
                    <w:spacing w:after="0"/>
                    <w:rPr>
                      <w:color w:val="auto"/>
                      <w:szCs w:val="21"/>
                    </w:rPr>
                  </w:pPr>
                </w:p>
              </w:tc>
              <w:tc>
                <w:tcPr>
                  <w:tcW w:w="353" w:type="pct"/>
                  <w:tcBorders>
                    <w:tl2br w:val="nil"/>
                    <w:tr2bl w:val="nil"/>
                  </w:tcBorders>
                  <w:vAlign w:val="center"/>
                </w:tcPr>
                <w:p w14:paraId="2F70C4E2">
                  <w:pPr>
                    <w:pStyle w:val="477"/>
                    <w:spacing w:after="0"/>
                    <w:rPr>
                      <w:color w:val="auto"/>
                      <w:szCs w:val="21"/>
                    </w:rPr>
                  </w:pPr>
                  <w:r>
                    <w:rPr>
                      <w:color w:val="auto"/>
                      <w:szCs w:val="21"/>
                    </w:rPr>
                    <w:t>S3-9</w:t>
                  </w:r>
                </w:p>
              </w:tc>
              <w:tc>
                <w:tcPr>
                  <w:tcW w:w="1654" w:type="pct"/>
                  <w:gridSpan w:val="2"/>
                  <w:tcBorders>
                    <w:tl2br w:val="nil"/>
                    <w:tr2bl w:val="nil"/>
                  </w:tcBorders>
                  <w:vAlign w:val="center"/>
                </w:tcPr>
                <w:p w14:paraId="137A1A88">
                  <w:pPr>
                    <w:pStyle w:val="477"/>
                    <w:spacing w:after="0"/>
                    <w:rPr>
                      <w:color w:val="auto"/>
                      <w:szCs w:val="21"/>
                    </w:rPr>
                  </w:pPr>
                  <w:r>
                    <w:rPr>
                      <w:color w:val="auto"/>
                      <w:szCs w:val="21"/>
                    </w:rPr>
                    <w:t>攻牙</w:t>
                  </w:r>
                </w:p>
              </w:tc>
              <w:tc>
                <w:tcPr>
                  <w:tcW w:w="565" w:type="pct"/>
                  <w:tcBorders>
                    <w:tl2br w:val="nil"/>
                    <w:tr2bl w:val="nil"/>
                  </w:tcBorders>
                  <w:vAlign w:val="center"/>
                </w:tcPr>
                <w:p w14:paraId="3F5C5635">
                  <w:pPr>
                    <w:pStyle w:val="477"/>
                    <w:spacing w:after="0"/>
                    <w:rPr>
                      <w:color w:val="auto"/>
                      <w:szCs w:val="21"/>
                    </w:rPr>
                  </w:pPr>
                  <w:r>
                    <w:rPr>
                      <w:color w:val="auto"/>
                      <w:szCs w:val="21"/>
                    </w:rPr>
                    <w:t>金属碎屑</w:t>
                  </w:r>
                </w:p>
              </w:tc>
              <w:tc>
                <w:tcPr>
                  <w:tcW w:w="2156" w:type="pct"/>
                  <w:tcBorders>
                    <w:tl2br w:val="nil"/>
                    <w:tr2bl w:val="nil"/>
                  </w:tcBorders>
                  <w:vAlign w:val="center"/>
                </w:tcPr>
                <w:p w14:paraId="5BD536CE">
                  <w:pPr>
                    <w:pStyle w:val="477"/>
                    <w:spacing w:after="0"/>
                    <w:rPr>
                      <w:color w:val="auto"/>
                      <w:szCs w:val="21"/>
                    </w:rPr>
                  </w:pPr>
                  <w:r>
                    <w:rPr>
                      <w:color w:val="auto"/>
                      <w:szCs w:val="21"/>
                    </w:rPr>
                    <w:t>收集后统一处理</w:t>
                  </w:r>
                </w:p>
              </w:tc>
            </w:tr>
            <w:tr w14:paraId="31946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5877D1D">
                  <w:pPr>
                    <w:pStyle w:val="477"/>
                    <w:spacing w:after="0"/>
                    <w:rPr>
                      <w:color w:val="auto"/>
                      <w:szCs w:val="21"/>
                    </w:rPr>
                  </w:pPr>
                </w:p>
              </w:tc>
              <w:tc>
                <w:tcPr>
                  <w:tcW w:w="353" w:type="pct"/>
                  <w:tcBorders>
                    <w:tl2br w:val="nil"/>
                    <w:tr2bl w:val="nil"/>
                  </w:tcBorders>
                  <w:vAlign w:val="center"/>
                </w:tcPr>
                <w:p w14:paraId="6B35DF22">
                  <w:pPr>
                    <w:pStyle w:val="477"/>
                    <w:spacing w:after="0"/>
                    <w:rPr>
                      <w:color w:val="auto"/>
                      <w:szCs w:val="21"/>
                    </w:rPr>
                  </w:pPr>
                  <w:r>
                    <w:rPr>
                      <w:color w:val="auto"/>
                      <w:szCs w:val="21"/>
                    </w:rPr>
                    <w:t>S3-10</w:t>
                  </w:r>
                </w:p>
              </w:tc>
              <w:tc>
                <w:tcPr>
                  <w:tcW w:w="1654" w:type="pct"/>
                  <w:gridSpan w:val="2"/>
                  <w:tcBorders>
                    <w:tl2br w:val="nil"/>
                    <w:tr2bl w:val="nil"/>
                  </w:tcBorders>
                  <w:vAlign w:val="center"/>
                </w:tcPr>
                <w:p w14:paraId="7B942C21">
                  <w:pPr>
                    <w:pStyle w:val="477"/>
                    <w:spacing w:after="0"/>
                    <w:rPr>
                      <w:color w:val="auto"/>
                      <w:szCs w:val="21"/>
                    </w:rPr>
                  </w:pPr>
                  <w:r>
                    <w:rPr>
                      <w:color w:val="auto"/>
                      <w:szCs w:val="21"/>
                    </w:rPr>
                    <w:t>打孔</w:t>
                  </w:r>
                </w:p>
              </w:tc>
              <w:tc>
                <w:tcPr>
                  <w:tcW w:w="565" w:type="pct"/>
                  <w:tcBorders>
                    <w:tl2br w:val="nil"/>
                    <w:tr2bl w:val="nil"/>
                  </w:tcBorders>
                  <w:vAlign w:val="center"/>
                </w:tcPr>
                <w:p w14:paraId="6F6DF06F">
                  <w:pPr>
                    <w:pStyle w:val="477"/>
                    <w:spacing w:after="0"/>
                    <w:rPr>
                      <w:color w:val="auto"/>
                      <w:szCs w:val="21"/>
                    </w:rPr>
                  </w:pPr>
                  <w:r>
                    <w:rPr>
                      <w:color w:val="auto"/>
                      <w:szCs w:val="21"/>
                    </w:rPr>
                    <w:t>金属碎屑</w:t>
                  </w:r>
                </w:p>
              </w:tc>
              <w:tc>
                <w:tcPr>
                  <w:tcW w:w="2156" w:type="pct"/>
                  <w:tcBorders>
                    <w:tl2br w:val="nil"/>
                    <w:tr2bl w:val="nil"/>
                  </w:tcBorders>
                  <w:vAlign w:val="center"/>
                </w:tcPr>
                <w:p w14:paraId="7D9EBC79">
                  <w:pPr>
                    <w:pStyle w:val="477"/>
                    <w:spacing w:after="0"/>
                    <w:rPr>
                      <w:color w:val="auto"/>
                      <w:szCs w:val="21"/>
                    </w:rPr>
                  </w:pPr>
                  <w:r>
                    <w:rPr>
                      <w:color w:val="auto"/>
                      <w:szCs w:val="21"/>
                    </w:rPr>
                    <w:t>收集后统一处理</w:t>
                  </w:r>
                </w:p>
              </w:tc>
            </w:tr>
            <w:tr w14:paraId="40DA8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8387412">
                  <w:pPr>
                    <w:pStyle w:val="477"/>
                    <w:spacing w:after="0"/>
                    <w:rPr>
                      <w:color w:val="auto"/>
                      <w:szCs w:val="21"/>
                    </w:rPr>
                  </w:pPr>
                </w:p>
              </w:tc>
              <w:tc>
                <w:tcPr>
                  <w:tcW w:w="353" w:type="pct"/>
                  <w:tcBorders>
                    <w:tl2br w:val="nil"/>
                    <w:tr2bl w:val="nil"/>
                  </w:tcBorders>
                  <w:vAlign w:val="center"/>
                </w:tcPr>
                <w:p w14:paraId="6AE18A5E">
                  <w:pPr>
                    <w:pStyle w:val="477"/>
                    <w:spacing w:after="0"/>
                    <w:rPr>
                      <w:color w:val="auto"/>
                      <w:szCs w:val="21"/>
                    </w:rPr>
                  </w:pPr>
                  <w:r>
                    <w:rPr>
                      <w:color w:val="auto"/>
                      <w:szCs w:val="21"/>
                    </w:rPr>
                    <w:t>S3-11</w:t>
                  </w:r>
                </w:p>
              </w:tc>
              <w:tc>
                <w:tcPr>
                  <w:tcW w:w="1654" w:type="pct"/>
                  <w:gridSpan w:val="2"/>
                  <w:vMerge w:val="restart"/>
                  <w:tcBorders>
                    <w:tl2br w:val="nil"/>
                    <w:tr2bl w:val="nil"/>
                  </w:tcBorders>
                  <w:vAlign w:val="center"/>
                </w:tcPr>
                <w:p w14:paraId="5ACC906E">
                  <w:pPr>
                    <w:pStyle w:val="477"/>
                    <w:spacing w:after="0"/>
                    <w:rPr>
                      <w:color w:val="auto"/>
                      <w:szCs w:val="21"/>
                    </w:rPr>
                  </w:pPr>
                  <w:r>
                    <w:rPr>
                      <w:color w:val="auto"/>
                      <w:szCs w:val="21"/>
                    </w:rPr>
                    <w:t>焊接</w:t>
                  </w:r>
                </w:p>
              </w:tc>
              <w:tc>
                <w:tcPr>
                  <w:tcW w:w="565" w:type="pct"/>
                  <w:tcBorders>
                    <w:tl2br w:val="nil"/>
                    <w:tr2bl w:val="nil"/>
                  </w:tcBorders>
                  <w:vAlign w:val="center"/>
                </w:tcPr>
                <w:p w14:paraId="5C01E000">
                  <w:pPr>
                    <w:pStyle w:val="477"/>
                    <w:spacing w:after="0"/>
                    <w:rPr>
                      <w:color w:val="auto"/>
                      <w:szCs w:val="21"/>
                    </w:rPr>
                  </w:pPr>
                  <w:r>
                    <w:rPr>
                      <w:color w:val="auto"/>
                      <w:szCs w:val="21"/>
                    </w:rPr>
                    <w:t>废焊渣</w:t>
                  </w:r>
                </w:p>
              </w:tc>
              <w:tc>
                <w:tcPr>
                  <w:tcW w:w="2156" w:type="pct"/>
                  <w:tcBorders>
                    <w:tl2br w:val="nil"/>
                    <w:tr2bl w:val="nil"/>
                  </w:tcBorders>
                  <w:vAlign w:val="center"/>
                </w:tcPr>
                <w:p w14:paraId="07C42FF3">
                  <w:pPr>
                    <w:pStyle w:val="477"/>
                    <w:spacing w:after="0"/>
                    <w:rPr>
                      <w:color w:val="auto"/>
                      <w:szCs w:val="21"/>
                    </w:rPr>
                  </w:pPr>
                  <w:r>
                    <w:rPr>
                      <w:color w:val="auto"/>
                      <w:szCs w:val="21"/>
                    </w:rPr>
                    <w:t>收集后统一处理</w:t>
                  </w:r>
                </w:p>
              </w:tc>
            </w:tr>
            <w:tr w14:paraId="69694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C88C937">
                  <w:pPr>
                    <w:pStyle w:val="477"/>
                    <w:spacing w:after="0"/>
                    <w:rPr>
                      <w:color w:val="auto"/>
                      <w:szCs w:val="21"/>
                    </w:rPr>
                  </w:pPr>
                </w:p>
              </w:tc>
              <w:tc>
                <w:tcPr>
                  <w:tcW w:w="353" w:type="pct"/>
                  <w:tcBorders>
                    <w:tl2br w:val="nil"/>
                    <w:tr2bl w:val="nil"/>
                  </w:tcBorders>
                  <w:vAlign w:val="center"/>
                </w:tcPr>
                <w:p w14:paraId="118638A1">
                  <w:pPr>
                    <w:pStyle w:val="477"/>
                    <w:spacing w:after="0"/>
                    <w:rPr>
                      <w:color w:val="auto"/>
                      <w:szCs w:val="21"/>
                    </w:rPr>
                  </w:pPr>
                  <w:r>
                    <w:rPr>
                      <w:color w:val="auto"/>
                      <w:szCs w:val="21"/>
                    </w:rPr>
                    <w:t>S3-12</w:t>
                  </w:r>
                </w:p>
              </w:tc>
              <w:tc>
                <w:tcPr>
                  <w:tcW w:w="1654" w:type="pct"/>
                  <w:gridSpan w:val="2"/>
                  <w:vMerge w:val="continue"/>
                  <w:tcBorders>
                    <w:tl2br w:val="nil"/>
                    <w:tr2bl w:val="nil"/>
                  </w:tcBorders>
                  <w:vAlign w:val="center"/>
                </w:tcPr>
                <w:p w14:paraId="541B5192">
                  <w:pPr>
                    <w:pStyle w:val="477"/>
                    <w:spacing w:after="0"/>
                    <w:rPr>
                      <w:color w:val="auto"/>
                      <w:szCs w:val="21"/>
                    </w:rPr>
                  </w:pPr>
                </w:p>
              </w:tc>
              <w:tc>
                <w:tcPr>
                  <w:tcW w:w="565" w:type="pct"/>
                  <w:tcBorders>
                    <w:tl2br w:val="nil"/>
                    <w:tr2bl w:val="nil"/>
                  </w:tcBorders>
                  <w:vAlign w:val="center"/>
                </w:tcPr>
                <w:p w14:paraId="2B899DC0">
                  <w:pPr>
                    <w:pStyle w:val="477"/>
                    <w:spacing w:after="0"/>
                    <w:rPr>
                      <w:color w:val="auto"/>
                      <w:szCs w:val="21"/>
                    </w:rPr>
                  </w:pPr>
                  <w:r>
                    <w:rPr>
                      <w:color w:val="auto"/>
                      <w:szCs w:val="21"/>
                    </w:rPr>
                    <w:t>废焊丝</w:t>
                  </w:r>
                </w:p>
              </w:tc>
              <w:tc>
                <w:tcPr>
                  <w:tcW w:w="2156" w:type="pct"/>
                  <w:tcBorders>
                    <w:tl2br w:val="nil"/>
                    <w:tr2bl w:val="nil"/>
                  </w:tcBorders>
                  <w:vAlign w:val="center"/>
                </w:tcPr>
                <w:p w14:paraId="150A3F49">
                  <w:pPr>
                    <w:pStyle w:val="477"/>
                    <w:spacing w:after="0"/>
                    <w:rPr>
                      <w:color w:val="auto"/>
                      <w:szCs w:val="21"/>
                    </w:rPr>
                  </w:pPr>
                  <w:r>
                    <w:rPr>
                      <w:color w:val="auto"/>
                      <w:szCs w:val="21"/>
                    </w:rPr>
                    <w:t>收集后统一处理</w:t>
                  </w:r>
                </w:p>
              </w:tc>
            </w:tr>
            <w:tr w14:paraId="4F43D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0A0F8DD">
                  <w:pPr>
                    <w:pStyle w:val="477"/>
                    <w:spacing w:after="0"/>
                    <w:rPr>
                      <w:color w:val="auto"/>
                      <w:szCs w:val="21"/>
                    </w:rPr>
                  </w:pPr>
                </w:p>
              </w:tc>
              <w:tc>
                <w:tcPr>
                  <w:tcW w:w="353" w:type="pct"/>
                  <w:tcBorders>
                    <w:tl2br w:val="nil"/>
                    <w:tr2bl w:val="nil"/>
                  </w:tcBorders>
                  <w:shd w:val="clear" w:color="auto" w:fill="auto"/>
                  <w:vAlign w:val="center"/>
                </w:tcPr>
                <w:p w14:paraId="3B2DEEE0">
                  <w:pPr>
                    <w:pStyle w:val="477"/>
                    <w:spacing w:after="0"/>
                    <w:rPr>
                      <w:rFonts w:ascii="Times New Roman" w:hAnsi="Times New Roman" w:eastAsia="宋体" w:cs="Times New Roman"/>
                      <w:color w:val="auto"/>
                      <w:kern w:val="2"/>
                      <w:sz w:val="21"/>
                      <w:szCs w:val="21"/>
                      <w:lang w:val="en-US" w:eastAsia="zh-CN" w:bidi="ar-SA"/>
                    </w:rPr>
                  </w:pPr>
                  <w:r>
                    <w:rPr>
                      <w:color w:val="auto"/>
                      <w:szCs w:val="21"/>
                    </w:rPr>
                    <w:t>S3-13</w:t>
                  </w:r>
                </w:p>
              </w:tc>
              <w:tc>
                <w:tcPr>
                  <w:tcW w:w="1654" w:type="pct"/>
                  <w:gridSpan w:val="2"/>
                  <w:tcBorders>
                    <w:tl2br w:val="nil"/>
                    <w:tr2bl w:val="nil"/>
                  </w:tcBorders>
                  <w:vAlign w:val="center"/>
                </w:tcPr>
                <w:p w14:paraId="7D4F57B2">
                  <w:pPr>
                    <w:pStyle w:val="477"/>
                    <w:spacing w:after="0"/>
                    <w:rPr>
                      <w:rFonts w:hint="default" w:eastAsia="宋体"/>
                      <w:color w:val="auto"/>
                      <w:szCs w:val="21"/>
                      <w:lang w:val="en-US" w:eastAsia="zh-CN"/>
                    </w:rPr>
                  </w:pPr>
                  <w:r>
                    <w:rPr>
                      <w:rFonts w:hint="eastAsia"/>
                      <w:color w:val="auto"/>
                      <w:szCs w:val="21"/>
                      <w:lang w:val="en-US" w:eastAsia="zh-CN"/>
                    </w:rPr>
                    <w:t>打磨/抛丸</w:t>
                  </w:r>
                </w:p>
              </w:tc>
              <w:tc>
                <w:tcPr>
                  <w:tcW w:w="565" w:type="pct"/>
                  <w:tcBorders>
                    <w:tl2br w:val="nil"/>
                    <w:tr2bl w:val="nil"/>
                  </w:tcBorders>
                  <w:vAlign w:val="center"/>
                </w:tcPr>
                <w:p w14:paraId="0C815E47">
                  <w:pPr>
                    <w:pStyle w:val="477"/>
                    <w:spacing w:after="0"/>
                    <w:rPr>
                      <w:rFonts w:hint="eastAsia" w:eastAsia="宋体"/>
                      <w:color w:val="auto"/>
                      <w:szCs w:val="21"/>
                      <w:lang w:val="en-US" w:eastAsia="zh-CN"/>
                    </w:rPr>
                  </w:pPr>
                  <w:r>
                    <w:rPr>
                      <w:rFonts w:hint="eastAsia"/>
                      <w:color w:val="auto"/>
                      <w:szCs w:val="21"/>
                      <w:lang w:val="en-US" w:eastAsia="zh-CN"/>
                    </w:rPr>
                    <w:t>废钢丸</w:t>
                  </w:r>
                </w:p>
              </w:tc>
              <w:tc>
                <w:tcPr>
                  <w:tcW w:w="2156" w:type="pct"/>
                  <w:tcBorders>
                    <w:tl2br w:val="nil"/>
                    <w:tr2bl w:val="nil"/>
                  </w:tcBorders>
                  <w:vAlign w:val="center"/>
                </w:tcPr>
                <w:p w14:paraId="2DC50B0C">
                  <w:pPr>
                    <w:pStyle w:val="477"/>
                    <w:spacing w:after="0"/>
                    <w:rPr>
                      <w:color w:val="auto"/>
                      <w:szCs w:val="21"/>
                    </w:rPr>
                  </w:pPr>
                  <w:r>
                    <w:rPr>
                      <w:color w:val="auto"/>
                      <w:szCs w:val="21"/>
                    </w:rPr>
                    <w:t>收集后统一处理</w:t>
                  </w:r>
                </w:p>
              </w:tc>
            </w:tr>
            <w:tr w14:paraId="6E651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1E3EB9C">
                  <w:pPr>
                    <w:pStyle w:val="477"/>
                    <w:spacing w:after="0"/>
                    <w:rPr>
                      <w:color w:val="auto"/>
                      <w:szCs w:val="21"/>
                    </w:rPr>
                  </w:pPr>
                </w:p>
              </w:tc>
              <w:tc>
                <w:tcPr>
                  <w:tcW w:w="353" w:type="pct"/>
                  <w:tcBorders>
                    <w:tl2br w:val="nil"/>
                    <w:tr2bl w:val="nil"/>
                  </w:tcBorders>
                  <w:shd w:val="clear" w:color="auto" w:fill="auto"/>
                  <w:vAlign w:val="center"/>
                </w:tcPr>
                <w:p w14:paraId="79D6EB9A">
                  <w:pPr>
                    <w:pStyle w:val="477"/>
                    <w:spacing w:after="0"/>
                    <w:rPr>
                      <w:rFonts w:ascii="Times New Roman" w:hAnsi="Times New Roman" w:eastAsia="宋体" w:cs="Times New Roman"/>
                      <w:color w:val="auto"/>
                      <w:kern w:val="2"/>
                      <w:sz w:val="21"/>
                      <w:szCs w:val="21"/>
                      <w:lang w:val="en-US" w:eastAsia="zh-CN" w:bidi="ar-SA"/>
                    </w:rPr>
                  </w:pPr>
                  <w:r>
                    <w:rPr>
                      <w:color w:val="auto"/>
                      <w:szCs w:val="21"/>
                    </w:rPr>
                    <w:t>S3-1</w:t>
                  </w:r>
                  <w:r>
                    <w:rPr>
                      <w:rFonts w:hint="eastAsia"/>
                      <w:color w:val="auto"/>
                      <w:szCs w:val="21"/>
                    </w:rPr>
                    <w:t>4</w:t>
                  </w:r>
                </w:p>
              </w:tc>
              <w:tc>
                <w:tcPr>
                  <w:tcW w:w="1654" w:type="pct"/>
                  <w:gridSpan w:val="2"/>
                  <w:tcBorders>
                    <w:tl2br w:val="nil"/>
                    <w:tr2bl w:val="nil"/>
                  </w:tcBorders>
                  <w:vAlign w:val="center"/>
                </w:tcPr>
                <w:p w14:paraId="072E7717">
                  <w:pPr>
                    <w:pStyle w:val="477"/>
                    <w:spacing w:after="0"/>
                    <w:rPr>
                      <w:color w:val="auto"/>
                      <w:szCs w:val="21"/>
                    </w:rPr>
                  </w:pPr>
                  <w:r>
                    <w:rPr>
                      <w:color w:val="auto"/>
                      <w:szCs w:val="21"/>
                    </w:rPr>
                    <w:t>喷粉</w:t>
                  </w:r>
                </w:p>
              </w:tc>
              <w:tc>
                <w:tcPr>
                  <w:tcW w:w="565" w:type="pct"/>
                  <w:tcBorders>
                    <w:tl2br w:val="nil"/>
                    <w:tr2bl w:val="nil"/>
                  </w:tcBorders>
                  <w:vAlign w:val="center"/>
                </w:tcPr>
                <w:p w14:paraId="3DF32826">
                  <w:pPr>
                    <w:pStyle w:val="477"/>
                    <w:spacing w:after="0"/>
                    <w:rPr>
                      <w:color w:val="auto"/>
                      <w:szCs w:val="21"/>
                    </w:rPr>
                  </w:pPr>
                  <w:r>
                    <w:rPr>
                      <w:color w:val="auto"/>
                      <w:szCs w:val="21"/>
                    </w:rPr>
                    <w:t>喷涂渣</w:t>
                  </w:r>
                </w:p>
              </w:tc>
              <w:tc>
                <w:tcPr>
                  <w:tcW w:w="2156" w:type="pct"/>
                  <w:tcBorders>
                    <w:tl2br w:val="nil"/>
                    <w:tr2bl w:val="nil"/>
                  </w:tcBorders>
                  <w:vAlign w:val="center"/>
                </w:tcPr>
                <w:p w14:paraId="0B877D4C">
                  <w:pPr>
                    <w:pStyle w:val="477"/>
                    <w:spacing w:after="0"/>
                    <w:rPr>
                      <w:color w:val="auto"/>
                      <w:szCs w:val="21"/>
                    </w:rPr>
                  </w:pPr>
                  <w:r>
                    <w:rPr>
                      <w:rFonts w:hint="eastAsia"/>
                      <w:color w:val="auto"/>
                      <w:szCs w:val="21"/>
                    </w:rPr>
                    <w:t>暂存在危废暂存间，定期交由有资质单位进行处置</w:t>
                  </w:r>
                </w:p>
              </w:tc>
            </w:tr>
            <w:tr w14:paraId="7C277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9AED4B4">
                  <w:pPr>
                    <w:pStyle w:val="477"/>
                    <w:spacing w:after="0"/>
                    <w:rPr>
                      <w:color w:val="auto"/>
                      <w:szCs w:val="21"/>
                    </w:rPr>
                  </w:pPr>
                </w:p>
              </w:tc>
              <w:tc>
                <w:tcPr>
                  <w:tcW w:w="353" w:type="pct"/>
                  <w:tcBorders>
                    <w:tl2br w:val="nil"/>
                    <w:tr2bl w:val="nil"/>
                  </w:tcBorders>
                  <w:shd w:val="clear" w:color="auto" w:fill="auto"/>
                  <w:vAlign w:val="center"/>
                </w:tcPr>
                <w:p w14:paraId="3E79AF8A">
                  <w:pPr>
                    <w:pStyle w:val="477"/>
                    <w:spacing w:after="0"/>
                    <w:rPr>
                      <w:rFonts w:ascii="Times New Roman" w:hAnsi="Times New Roman" w:eastAsia="宋体" w:cs="Times New Roman"/>
                      <w:color w:val="auto"/>
                      <w:kern w:val="2"/>
                      <w:sz w:val="21"/>
                      <w:szCs w:val="21"/>
                      <w:lang w:val="en-US" w:eastAsia="zh-CN" w:bidi="ar-SA"/>
                    </w:rPr>
                  </w:pPr>
                  <w:r>
                    <w:rPr>
                      <w:color w:val="auto"/>
                      <w:szCs w:val="21"/>
                    </w:rPr>
                    <w:t>S3-1</w:t>
                  </w:r>
                  <w:r>
                    <w:rPr>
                      <w:rFonts w:hint="eastAsia"/>
                      <w:color w:val="auto"/>
                      <w:szCs w:val="21"/>
                    </w:rPr>
                    <w:t>5</w:t>
                  </w:r>
                </w:p>
              </w:tc>
              <w:tc>
                <w:tcPr>
                  <w:tcW w:w="1654" w:type="pct"/>
                  <w:gridSpan w:val="2"/>
                  <w:tcBorders>
                    <w:tl2br w:val="nil"/>
                    <w:tr2bl w:val="nil"/>
                  </w:tcBorders>
                  <w:vAlign w:val="center"/>
                </w:tcPr>
                <w:p w14:paraId="158C2996">
                  <w:pPr>
                    <w:pStyle w:val="477"/>
                    <w:spacing w:after="0"/>
                    <w:rPr>
                      <w:color w:val="auto"/>
                      <w:szCs w:val="21"/>
                    </w:rPr>
                  </w:pPr>
                  <w:r>
                    <w:rPr>
                      <w:color w:val="auto"/>
                      <w:szCs w:val="21"/>
                    </w:rPr>
                    <w:t>拉丝</w:t>
                  </w:r>
                </w:p>
              </w:tc>
              <w:tc>
                <w:tcPr>
                  <w:tcW w:w="565" w:type="pct"/>
                  <w:tcBorders>
                    <w:tl2br w:val="nil"/>
                    <w:tr2bl w:val="nil"/>
                  </w:tcBorders>
                  <w:vAlign w:val="center"/>
                </w:tcPr>
                <w:p w14:paraId="09DA1ADC">
                  <w:pPr>
                    <w:pStyle w:val="477"/>
                    <w:spacing w:after="0"/>
                    <w:rPr>
                      <w:color w:val="auto"/>
                      <w:szCs w:val="21"/>
                    </w:rPr>
                  </w:pPr>
                  <w:r>
                    <w:rPr>
                      <w:color w:val="auto"/>
                      <w:szCs w:val="21"/>
                    </w:rPr>
                    <w:t>金属碎屑</w:t>
                  </w:r>
                </w:p>
              </w:tc>
              <w:tc>
                <w:tcPr>
                  <w:tcW w:w="2156" w:type="pct"/>
                  <w:tcBorders>
                    <w:tl2br w:val="nil"/>
                    <w:tr2bl w:val="nil"/>
                  </w:tcBorders>
                  <w:vAlign w:val="center"/>
                </w:tcPr>
                <w:p w14:paraId="2E477625">
                  <w:pPr>
                    <w:pStyle w:val="477"/>
                    <w:spacing w:after="0"/>
                    <w:rPr>
                      <w:color w:val="auto"/>
                      <w:szCs w:val="21"/>
                    </w:rPr>
                  </w:pPr>
                  <w:r>
                    <w:rPr>
                      <w:color w:val="auto"/>
                      <w:szCs w:val="21"/>
                    </w:rPr>
                    <w:t>收集后统一处理</w:t>
                  </w:r>
                </w:p>
              </w:tc>
            </w:tr>
            <w:tr w14:paraId="39723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57A4235">
                  <w:pPr>
                    <w:pStyle w:val="477"/>
                    <w:spacing w:after="0"/>
                    <w:rPr>
                      <w:color w:val="auto"/>
                      <w:szCs w:val="21"/>
                    </w:rPr>
                  </w:pPr>
                </w:p>
              </w:tc>
              <w:tc>
                <w:tcPr>
                  <w:tcW w:w="353" w:type="pct"/>
                  <w:tcBorders>
                    <w:tl2br w:val="nil"/>
                    <w:tr2bl w:val="nil"/>
                  </w:tcBorders>
                  <w:shd w:val="clear" w:color="auto" w:fill="auto"/>
                  <w:vAlign w:val="center"/>
                </w:tcPr>
                <w:p w14:paraId="676FF106">
                  <w:pPr>
                    <w:pStyle w:val="477"/>
                    <w:spacing w:after="0"/>
                    <w:rPr>
                      <w:rFonts w:ascii="Times New Roman" w:hAnsi="Times New Roman" w:eastAsia="宋体" w:cs="Times New Roman"/>
                      <w:color w:val="auto"/>
                      <w:kern w:val="2"/>
                      <w:sz w:val="21"/>
                      <w:szCs w:val="21"/>
                      <w:lang w:val="en-US" w:eastAsia="zh-CN" w:bidi="ar-SA"/>
                    </w:rPr>
                  </w:pPr>
                  <w:r>
                    <w:rPr>
                      <w:color w:val="auto"/>
                      <w:szCs w:val="21"/>
                    </w:rPr>
                    <w:t>S3-1</w:t>
                  </w:r>
                  <w:r>
                    <w:rPr>
                      <w:rFonts w:hint="eastAsia"/>
                      <w:color w:val="auto"/>
                      <w:szCs w:val="21"/>
                    </w:rPr>
                    <w:t>6</w:t>
                  </w:r>
                </w:p>
              </w:tc>
              <w:tc>
                <w:tcPr>
                  <w:tcW w:w="1654" w:type="pct"/>
                  <w:gridSpan w:val="2"/>
                  <w:vMerge w:val="restart"/>
                  <w:tcBorders>
                    <w:tl2br w:val="nil"/>
                    <w:tr2bl w:val="nil"/>
                  </w:tcBorders>
                  <w:vAlign w:val="center"/>
                </w:tcPr>
                <w:p w14:paraId="346A233B">
                  <w:pPr>
                    <w:pStyle w:val="477"/>
                    <w:spacing w:after="0"/>
                    <w:rPr>
                      <w:color w:val="auto"/>
                      <w:szCs w:val="21"/>
                    </w:rPr>
                  </w:pPr>
                  <w:r>
                    <w:rPr>
                      <w:color w:val="auto"/>
                      <w:szCs w:val="21"/>
                    </w:rPr>
                    <w:t>抛光</w:t>
                  </w:r>
                </w:p>
              </w:tc>
              <w:tc>
                <w:tcPr>
                  <w:tcW w:w="565" w:type="pct"/>
                  <w:tcBorders>
                    <w:tl2br w:val="nil"/>
                    <w:tr2bl w:val="nil"/>
                  </w:tcBorders>
                  <w:vAlign w:val="center"/>
                </w:tcPr>
                <w:p w14:paraId="3DA98347">
                  <w:pPr>
                    <w:pStyle w:val="477"/>
                    <w:spacing w:after="0"/>
                    <w:rPr>
                      <w:color w:val="auto"/>
                      <w:szCs w:val="21"/>
                    </w:rPr>
                  </w:pPr>
                  <w:r>
                    <w:rPr>
                      <w:color w:val="auto"/>
                      <w:szCs w:val="21"/>
                    </w:rPr>
                    <w:t>废抹布</w:t>
                  </w:r>
                </w:p>
              </w:tc>
              <w:tc>
                <w:tcPr>
                  <w:tcW w:w="2156" w:type="pct"/>
                  <w:tcBorders>
                    <w:tl2br w:val="nil"/>
                    <w:tr2bl w:val="nil"/>
                  </w:tcBorders>
                  <w:vAlign w:val="center"/>
                </w:tcPr>
                <w:p w14:paraId="34AB69FD">
                  <w:pPr>
                    <w:pStyle w:val="477"/>
                    <w:spacing w:after="0"/>
                    <w:rPr>
                      <w:color w:val="auto"/>
                      <w:szCs w:val="21"/>
                    </w:rPr>
                  </w:pPr>
                  <w:r>
                    <w:rPr>
                      <w:rFonts w:hint="eastAsia"/>
                      <w:color w:val="auto"/>
                      <w:szCs w:val="21"/>
                    </w:rPr>
                    <w:t>暂存在危废暂存间，定期交由有资质单位进行处置</w:t>
                  </w:r>
                </w:p>
              </w:tc>
            </w:tr>
            <w:tr w14:paraId="454EE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3690216">
                  <w:pPr>
                    <w:pStyle w:val="477"/>
                    <w:spacing w:after="0"/>
                    <w:rPr>
                      <w:color w:val="auto"/>
                      <w:szCs w:val="21"/>
                    </w:rPr>
                  </w:pPr>
                </w:p>
              </w:tc>
              <w:tc>
                <w:tcPr>
                  <w:tcW w:w="353" w:type="pct"/>
                  <w:tcBorders>
                    <w:tl2br w:val="nil"/>
                    <w:tr2bl w:val="nil"/>
                  </w:tcBorders>
                  <w:vAlign w:val="center"/>
                </w:tcPr>
                <w:p w14:paraId="1B66908E">
                  <w:pPr>
                    <w:pStyle w:val="477"/>
                    <w:spacing w:after="0"/>
                    <w:rPr>
                      <w:rFonts w:hint="eastAsia" w:eastAsia="宋体"/>
                      <w:color w:val="auto"/>
                      <w:szCs w:val="21"/>
                      <w:lang w:eastAsia="zh-CN"/>
                    </w:rPr>
                  </w:pPr>
                  <w:r>
                    <w:rPr>
                      <w:color w:val="auto"/>
                      <w:szCs w:val="21"/>
                    </w:rPr>
                    <w:t>S3-1</w:t>
                  </w:r>
                  <w:r>
                    <w:rPr>
                      <w:rFonts w:hint="eastAsia"/>
                      <w:color w:val="auto"/>
                      <w:szCs w:val="21"/>
                      <w:lang w:val="en-US" w:eastAsia="zh-CN"/>
                    </w:rPr>
                    <w:t>7</w:t>
                  </w:r>
                </w:p>
              </w:tc>
              <w:tc>
                <w:tcPr>
                  <w:tcW w:w="1654" w:type="pct"/>
                  <w:gridSpan w:val="2"/>
                  <w:vMerge w:val="continue"/>
                  <w:tcBorders>
                    <w:tl2br w:val="nil"/>
                    <w:tr2bl w:val="nil"/>
                  </w:tcBorders>
                  <w:vAlign w:val="center"/>
                </w:tcPr>
                <w:p w14:paraId="3ECA827D">
                  <w:pPr>
                    <w:pStyle w:val="477"/>
                    <w:spacing w:after="0"/>
                    <w:rPr>
                      <w:color w:val="auto"/>
                      <w:szCs w:val="21"/>
                    </w:rPr>
                  </w:pPr>
                </w:p>
              </w:tc>
              <w:tc>
                <w:tcPr>
                  <w:tcW w:w="565" w:type="pct"/>
                  <w:tcBorders>
                    <w:tl2br w:val="nil"/>
                    <w:tr2bl w:val="nil"/>
                  </w:tcBorders>
                  <w:vAlign w:val="center"/>
                </w:tcPr>
                <w:p w14:paraId="5E01ACA3">
                  <w:pPr>
                    <w:pStyle w:val="477"/>
                    <w:spacing w:after="0"/>
                    <w:rPr>
                      <w:color w:val="auto"/>
                      <w:szCs w:val="21"/>
                    </w:rPr>
                  </w:pPr>
                  <w:r>
                    <w:rPr>
                      <w:color w:val="auto"/>
                      <w:szCs w:val="21"/>
                    </w:rPr>
                    <w:t>废抛光轮</w:t>
                  </w:r>
                </w:p>
              </w:tc>
              <w:tc>
                <w:tcPr>
                  <w:tcW w:w="2156" w:type="pct"/>
                  <w:tcBorders>
                    <w:tl2br w:val="nil"/>
                    <w:tr2bl w:val="nil"/>
                  </w:tcBorders>
                  <w:vAlign w:val="center"/>
                </w:tcPr>
                <w:p w14:paraId="34E04340">
                  <w:pPr>
                    <w:pStyle w:val="477"/>
                    <w:spacing w:after="0"/>
                    <w:rPr>
                      <w:color w:val="auto"/>
                      <w:szCs w:val="21"/>
                    </w:rPr>
                  </w:pPr>
                  <w:r>
                    <w:rPr>
                      <w:color w:val="auto"/>
                      <w:szCs w:val="21"/>
                    </w:rPr>
                    <w:t>收集后统一处理</w:t>
                  </w:r>
                </w:p>
              </w:tc>
            </w:tr>
            <w:tr w14:paraId="3C035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683349D">
                  <w:pPr>
                    <w:pStyle w:val="477"/>
                    <w:spacing w:after="0"/>
                    <w:rPr>
                      <w:color w:val="auto"/>
                      <w:szCs w:val="21"/>
                    </w:rPr>
                  </w:pPr>
                </w:p>
              </w:tc>
              <w:tc>
                <w:tcPr>
                  <w:tcW w:w="353" w:type="pct"/>
                  <w:tcBorders>
                    <w:tl2br w:val="nil"/>
                    <w:tr2bl w:val="nil"/>
                  </w:tcBorders>
                  <w:vAlign w:val="center"/>
                </w:tcPr>
                <w:p w14:paraId="5CE23259">
                  <w:pPr>
                    <w:pStyle w:val="477"/>
                    <w:spacing w:after="0"/>
                    <w:rPr>
                      <w:color w:val="auto"/>
                      <w:szCs w:val="21"/>
                    </w:rPr>
                  </w:pPr>
                  <w:r>
                    <w:rPr>
                      <w:color w:val="auto"/>
                      <w:szCs w:val="21"/>
                    </w:rPr>
                    <w:t>S4-1</w:t>
                  </w:r>
                </w:p>
              </w:tc>
              <w:tc>
                <w:tcPr>
                  <w:tcW w:w="1654" w:type="pct"/>
                  <w:gridSpan w:val="2"/>
                  <w:tcBorders>
                    <w:tl2br w:val="nil"/>
                    <w:tr2bl w:val="nil"/>
                  </w:tcBorders>
                  <w:vAlign w:val="center"/>
                </w:tcPr>
                <w:p w14:paraId="3A2CF461">
                  <w:pPr>
                    <w:pStyle w:val="477"/>
                    <w:spacing w:after="0"/>
                    <w:rPr>
                      <w:color w:val="auto"/>
                      <w:szCs w:val="21"/>
                    </w:rPr>
                  </w:pPr>
                  <w:r>
                    <w:rPr>
                      <w:color w:val="auto"/>
                      <w:szCs w:val="21"/>
                    </w:rPr>
                    <w:t>下料</w:t>
                  </w:r>
                </w:p>
              </w:tc>
              <w:tc>
                <w:tcPr>
                  <w:tcW w:w="565" w:type="pct"/>
                  <w:tcBorders>
                    <w:tl2br w:val="nil"/>
                    <w:tr2bl w:val="nil"/>
                  </w:tcBorders>
                  <w:vAlign w:val="center"/>
                </w:tcPr>
                <w:p w14:paraId="7F24BFB8">
                  <w:pPr>
                    <w:pStyle w:val="477"/>
                    <w:spacing w:after="0"/>
                    <w:rPr>
                      <w:color w:val="auto"/>
                      <w:szCs w:val="21"/>
                    </w:rPr>
                  </w:pPr>
                  <w:r>
                    <w:rPr>
                      <w:color w:val="auto"/>
                      <w:szCs w:val="21"/>
                    </w:rPr>
                    <w:t>边角料</w:t>
                  </w:r>
                </w:p>
              </w:tc>
              <w:tc>
                <w:tcPr>
                  <w:tcW w:w="2156" w:type="pct"/>
                  <w:tcBorders>
                    <w:tl2br w:val="nil"/>
                    <w:tr2bl w:val="nil"/>
                  </w:tcBorders>
                  <w:vAlign w:val="center"/>
                </w:tcPr>
                <w:p w14:paraId="40A69912">
                  <w:pPr>
                    <w:pStyle w:val="477"/>
                    <w:spacing w:after="0"/>
                    <w:rPr>
                      <w:color w:val="auto"/>
                      <w:szCs w:val="21"/>
                    </w:rPr>
                  </w:pPr>
                  <w:r>
                    <w:rPr>
                      <w:color w:val="auto"/>
                      <w:szCs w:val="21"/>
                    </w:rPr>
                    <w:t>收集后统一处理</w:t>
                  </w:r>
                </w:p>
              </w:tc>
            </w:tr>
            <w:tr w14:paraId="32EC8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A48B958">
                  <w:pPr>
                    <w:pStyle w:val="477"/>
                    <w:spacing w:after="0"/>
                    <w:rPr>
                      <w:color w:val="auto"/>
                      <w:szCs w:val="21"/>
                    </w:rPr>
                  </w:pPr>
                </w:p>
              </w:tc>
              <w:tc>
                <w:tcPr>
                  <w:tcW w:w="353" w:type="pct"/>
                  <w:tcBorders>
                    <w:tl2br w:val="nil"/>
                    <w:tr2bl w:val="nil"/>
                  </w:tcBorders>
                  <w:vAlign w:val="center"/>
                </w:tcPr>
                <w:p w14:paraId="7E08D7E2">
                  <w:pPr>
                    <w:pStyle w:val="477"/>
                    <w:spacing w:after="0"/>
                    <w:rPr>
                      <w:color w:val="auto"/>
                      <w:szCs w:val="21"/>
                    </w:rPr>
                  </w:pPr>
                  <w:r>
                    <w:rPr>
                      <w:color w:val="auto"/>
                      <w:szCs w:val="21"/>
                    </w:rPr>
                    <w:t>S4-2</w:t>
                  </w:r>
                </w:p>
              </w:tc>
              <w:tc>
                <w:tcPr>
                  <w:tcW w:w="1654" w:type="pct"/>
                  <w:gridSpan w:val="2"/>
                  <w:tcBorders>
                    <w:tl2br w:val="nil"/>
                    <w:tr2bl w:val="nil"/>
                  </w:tcBorders>
                  <w:vAlign w:val="center"/>
                </w:tcPr>
                <w:p w14:paraId="22420849">
                  <w:pPr>
                    <w:pStyle w:val="477"/>
                    <w:spacing w:after="0"/>
                    <w:rPr>
                      <w:color w:val="auto"/>
                      <w:szCs w:val="21"/>
                    </w:rPr>
                  </w:pPr>
                  <w:r>
                    <w:rPr>
                      <w:color w:val="auto"/>
                      <w:szCs w:val="21"/>
                    </w:rPr>
                    <w:t>钻石抛光</w:t>
                  </w:r>
                </w:p>
              </w:tc>
              <w:tc>
                <w:tcPr>
                  <w:tcW w:w="565" w:type="pct"/>
                  <w:tcBorders>
                    <w:tl2br w:val="nil"/>
                    <w:tr2bl w:val="nil"/>
                  </w:tcBorders>
                  <w:vAlign w:val="center"/>
                </w:tcPr>
                <w:p w14:paraId="3A22ECEB">
                  <w:pPr>
                    <w:pStyle w:val="477"/>
                    <w:spacing w:after="0"/>
                    <w:rPr>
                      <w:color w:val="auto"/>
                      <w:szCs w:val="21"/>
                    </w:rPr>
                  </w:pPr>
                  <w:r>
                    <w:rPr>
                      <w:color w:val="auto"/>
                      <w:szCs w:val="21"/>
                    </w:rPr>
                    <w:t>边角料</w:t>
                  </w:r>
                </w:p>
              </w:tc>
              <w:tc>
                <w:tcPr>
                  <w:tcW w:w="2156" w:type="pct"/>
                  <w:tcBorders>
                    <w:tl2br w:val="nil"/>
                    <w:tr2bl w:val="nil"/>
                  </w:tcBorders>
                  <w:vAlign w:val="center"/>
                </w:tcPr>
                <w:p w14:paraId="4F97B2A5">
                  <w:pPr>
                    <w:pStyle w:val="477"/>
                    <w:spacing w:after="0"/>
                    <w:rPr>
                      <w:color w:val="auto"/>
                      <w:szCs w:val="21"/>
                    </w:rPr>
                  </w:pPr>
                  <w:r>
                    <w:rPr>
                      <w:color w:val="auto"/>
                      <w:szCs w:val="21"/>
                    </w:rPr>
                    <w:t>收集后统一处理</w:t>
                  </w:r>
                </w:p>
              </w:tc>
            </w:tr>
            <w:tr w14:paraId="51928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6D05DE6">
                  <w:pPr>
                    <w:pStyle w:val="477"/>
                    <w:spacing w:after="0"/>
                    <w:rPr>
                      <w:color w:val="auto"/>
                      <w:szCs w:val="21"/>
                    </w:rPr>
                  </w:pPr>
                </w:p>
              </w:tc>
              <w:tc>
                <w:tcPr>
                  <w:tcW w:w="353" w:type="pct"/>
                  <w:tcBorders>
                    <w:tl2br w:val="nil"/>
                    <w:tr2bl w:val="nil"/>
                  </w:tcBorders>
                  <w:vAlign w:val="center"/>
                </w:tcPr>
                <w:p w14:paraId="45E5AD6C">
                  <w:pPr>
                    <w:pStyle w:val="477"/>
                    <w:spacing w:after="0"/>
                    <w:rPr>
                      <w:color w:val="auto"/>
                      <w:szCs w:val="21"/>
                    </w:rPr>
                  </w:pPr>
                  <w:r>
                    <w:rPr>
                      <w:color w:val="auto"/>
                      <w:szCs w:val="21"/>
                    </w:rPr>
                    <w:t>S4-3</w:t>
                  </w:r>
                </w:p>
              </w:tc>
              <w:tc>
                <w:tcPr>
                  <w:tcW w:w="1654" w:type="pct"/>
                  <w:gridSpan w:val="2"/>
                  <w:tcBorders>
                    <w:tl2br w:val="nil"/>
                    <w:tr2bl w:val="nil"/>
                  </w:tcBorders>
                  <w:vAlign w:val="center"/>
                </w:tcPr>
                <w:p w14:paraId="70378094">
                  <w:pPr>
                    <w:pStyle w:val="477"/>
                    <w:spacing w:after="0"/>
                    <w:rPr>
                      <w:color w:val="auto"/>
                      <w:szCs w:val="21"/>
                    </w:rPr>
                  </w:pPr>
                  <w:r>
                    <w:rPr>
                      <w:color w:val="auto"/>
                      <w:szCs w:val="21"/>
                    </w:rPr>
                    <w:t>打磨</w:t>
                  </w:r>
                </w:p>
              </w:tc>
              <w:tc>
                <w:tcPr>
                  <w:tcW w:w="565" w:type="pct"/>
                  <w:tcBorders>
                    <w:tl2br w:val="nil"/>
                    <w:tr2bl w:val="nil"/>
                  </w:tcBorders>
                  <w:vAlign w:val="center"/>
                </w:tcPr>
                <w:p w14:paraId="41B797E3">
                  <w:pPr>
                    <w:pStyle w:val="477"/>
                    <w:spacing w:after="0"/>
                    <w:rPr>
                      <w:color w:val="auto"/>
                      <w:szCs w:val="21"/>
                    </w:rPr>
                  </w:pPr>
                  <w:r>
                    <w:rPr>
                      <w:color w:val="auto"/>
                      <w:szCs w:val="21"/>
                    </w:rPr>
                    <w:t>废砂纸</w:t>
                  </w:r>
                </w:p>
              </w:tc>
              <w:tc>
                <w:tcPr>
                  <w:tcW w:w="2156" w:type="pct"/>
                  <w:tcBorders>
                    <w:tl2br w:val="nil"/>
                    <w:tr2bl w:val="nil"/>
                  </w:tcBorders>
                  <w:vAlign w:val="center"/>
                </w:tcPr>
                <w:p w14:paraId="6D1C1B3D">
                  <w:pPr>
                    <w:pStyle w:val="477"/>
                    <w:spacing w:after="0"/>
                    <w:rPr>
                      <w:color w:val="auto"/>
                      <w:szCs w:val="21"/>
                    </w:rPr>
                  </w:pPr>
                  <w:r>
                    <w:rPr>
                      <w:rFonts w:hint="eastAsia"/>
                      <w:color w:val="auto"/>
                      <w:szCs w:val="21"/>
                    </w:rPr>
                    <w:t>暂存在危废暂存间，定期交由有资质单位进行处置</w:t>
                  </w:r>
                </w:p>
              </w:tc>
            </w:tr>
            <w:tr w14:paraId="6B6C2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D67524A">
                  <w:pPr>
                    <w:pStyle w:val="477"/>
                    <w:spacing w:after="0"/>
                    <w:rPr>
                      <w:color w:val="auto"/>
                      <w:szCs w:val="21"/>
                    </w:rPr>
                  </w:pPr>
                </w:p>
              </w:tc>
              <w:tc>
                <w:tcPr>
                  <w:tcW w:w="353" w:type="pct"/>
                  <w:tcBorders>
                    <w:tl2br w:val="nil"/>
                    <w:tr2bl w:val="nil"/>
                  </w:tcBorders>
                  <w:vAlign w:val="center"/>
                </w:tcPr>
                <w:p w14:paraId="303B0AF3">
                  <w:pPr>
                    <w:pStyle w:val="477"/>
                    <w:spacing w:after="0"/>
                    <w:rPr>
                      <w:color w:val="auto"/>
                      <w:szCs w:val="21"/>
                    </w:rPr>
                  </w:pPr>
                  <w:r>
                    <w:rPr>
                      <w:color w:val="auto"/>
                      <w:szCs w:val="21"/>
                    </w:rPr>
                    <w:t>S4-4</w:t>
                  </w:r>
                </w:p>
              </w:tc>
              <w:tc>
                <w:tcPr>
                  <w:tcW w:w="1654" w:type="pct"/>
                  <w:gridSpan w:val="2"/>
                  <w:tcBorders>
                    <w:tl2br w:val="nil"/>
                    <w:tr2bl w:val="nil"/>
                  </w:tcBorders>
                  <w:vAlign w:val="center"/>
                </w:tcPr>
                <w:p w14:paraId="2854D025">
                  <w:pPr>
                    <w:pStyle w:val="477"/>
                    <w:spacing w:after="0"/>
                    <w:rPr>
                      <w:color w:val="auto"/>
                      <w:szCs w:val="21"/>
                    </w:rPr>
                  </w:pPr>
                  <w:r>
                    <w:rPr>
                      <w:color w:val="auto"/>
                      <w:szCs w:val="21"/>
                    </w:rPr>
                    <w:t>布轮抛光</w:t>
                  </w:r>
                </w:p>
              </w:tc>
              <w:tc>
                <w:tcPr>
                  <w:tcW w:w="565" w:type="pct"/>
                  <w:tcBorders>
                    <w:tl2br w:val="nil"/>
                    <w:tr2bl w:val="nil"/>
                  </w:tcBorders>
                  <w:vAlign w:val="center"/>
                </w:tcPr>
                <w:p w14:paraId="16261BD9">
                  <w:pPr>
                    <w:pStyle w:val="477"/>
                    <w:spacing w:after="0"/>
                    <w:rPr>
                      <w:color w:val="auto"/>
                      <w:szCs w:val="21"/>
                    </w:rPr>
                  </w:pPr>
                  <w:r>
                    <w:rPr>
                      <w:color w:val="auto"/>
                      <w:szCs w:val="21"/>
                    </w:rPr>
                    <w:t>废布轮</w:t>
                  </w:r>
                </w:p>
              </w:tc>
              <w:tc>
                <w:tcPr>
                  <w:tcW w:w="2156" w:type="pct"/>
                  <w:tcBorders>
                    <w:tl2br w:val="nil"/>
                    <w:tr2bl w:val="nil"/>
                  </w:tcBorders>
                  <w:vAlign w:val="center"/>
                </w:tcPr>
                <w:p w14:paraId="0667D94E">
                  <w:pPr>
                    <w:pStyle w:val="477"/>
                    <w:spacing w:after="0"/>
                    <w:rPr>
                      <w:color w:val="auto"/>
                      <w:szCs w:val="21"/>
                    </w:rPr>
                  </w:pPr>
                  <w:r>
                    <w:rPr>
                      <w:color w:val="auto"/>
                      <w:szCs w:val="21"/>
                    </w:rPr>
                    <w:t>收集后统一处理</w:t>
                  </w:r>
                </w:p>
              </w:tc>
            </w:tr>
            <w:tr w14:paraId="6136C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A3B9A4C">
                  <w:pPr>
                    <w:pStyle w:val="477"/>
                    <w:spacing w:after="0"/>
                    <w:rPr>
                      <w:color w:val="auto"/>
                      <w:szCs w:val="21"/>
                    </w:rPr>
                  </w:pPr>
                </w:p>
              </w:tc>
              <w:tc>
                <w:tcPr>
                  <w:tcW w:w="353" w:type="pct"/>
                  <w:tcBorders>
                    <w:tl2br w:val="nil"/>
                    <w:tr2bl w:val="nil"/>
                  </w:tcBorders>
                  <w:vAlign w:val="center"/>
                </w:tcPr>
                <w:p w14:paraId="50487CF9">
                  <w:pPr>
                    <w:pStyle w:val="477"/>
                    <w:spacing w:after="0"/>
                    <w:rPr>
                      <w:color w:val="auto"/>
                      <w:szCs w:val="21"/>
                    </w:rPr>
                  </w:pPr>
                  <w:r>
                    <w:rPr>
                      <w:color w:val="auto"/>
                      <w:szCs w:val="21"/>
                    </w:rPr>
                    <w:t>S4-5</w:t>
                  </w:r>
                </w:p>
              </w:tc>
              <w:tc>
                <w:tcPr>
                  <w:tcW w:w="1654" w:type="pct"/>
                  <w:gridSpan w:val="2"/>
                  <w:tcBorders>
                    <w:tl2br w:val="nil"/>
                    <w:tr2bl w:val="nil"/>
                  </w:tcBorders>
                  <w:vAlign w:val="center"/>
                </w:tcPr>
                <w:p w14:paraId="0CCE6626">
                  <w:pPr>
                    <w:pStyle w:val="477"/>
                    <w:spacing w:after="0"/>
                    <w:rPr>
                      <w:color w:val="auto"/>
                      <w:szCs w:val="21"/>
                    </w:rPr>
                  </w:pPr>
                  <w:r>
                    <w:rPr>
                      <w:color w:val="auto"/>
                      <w:szCs w:val="21"/>
                    </w:rPr>
                    <w:t>修边倒角</w:t>
                  </w:r>
                </w:p>
              </w:tc>
              <w:tc>
                <w:tcPr>
                  <w:tcW w:w="565" w:type="pct"/>
                  <w:tcBorders>
                    <w:tl2br w:val="nil"/>
                    <w:tr2bl w:val="nil"/>
                  </w:tcBorders>
                  <w:vAlign w:val="center"/>
                </w:tcPr>
                <w:p w14:paraId="6FA65219">
                  <w:pPr>
                    <w:pStyle w:val="477"/>
                    <w:spacing w:after="0"/>
                    <w:rPr>
                      <w:color w:val="auto"/>
                      <w:szCs w:val="21"/>
                    </w:rPr>
                  </w:pPr>
                  <w:r>
                    <w:rPr>
                      <w:color w:val="auto"/>
                      <w:szCs w:val="21"/>
                    </w:rPr>
                    <w:t>废刀头</w:t>
                  </w:r>
                </w:p>
              </w:tc>
              <w:tc>
                <w:tcPr>
                  <w:tcW w:w="2156" w:type="pct"/>
                  <w:tcBorders>
                    <w:tl2br w:val="nil"/>
                    <w:tr2bl w:val="nil"/>
                  </w:tcBorders>
                  <w:vAlign w:val="center"/>
                </w:tcPr>
                <w:p w14:paraId="4D9AF7F8">
                  <w:pPr>
                    <w:pStyle w:val="477"/>
                    <w:spacing w:after="0"/>
                    <w:rPr>
                      <w:color w:val="auto"/>
                      <w:szCs w:val="21"/>
                    </w:rPr>
                  </w:pPr>
                  <w:r>
                    <w:rPr>
                      <w:color w:val="auto"/>
                      <w:szCs w:val="21"/>
                    </w:rPr>
                    <w:t>收集后统一处理</w:t>
                  </w:r>
                </w:p>
              </w:tc>
            </w:tr>
            <w:tr w14:paraId="211D7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13BA454">
                  <w:pPr>
                    <w:pStyle w:val="477"/>
                    <w:spacing w:after="0"/>
                    <w:rPr>
                      <w:color w:val="auto"/>
                      <w:szCs w:val="21"/>
                    </w:rPr>
                  </w:pPr>
                </w:p>
              </w:tc>
              <w:tc>
                <w:tcPr>
                  <w:tcW w:w="353" w:type="pct"/>
                  <w:tcBorders>
                    <w:tl2br w:val="nil"/>
                    <w:tr2bl w:val="nil"/>
                  </w:tcBorders>
                  <w:vAlign w:val="center"/>
                </w:tcPr>
                <w:p w14:paraId="6789C9C1">
                  <w:pPr>
                    <w:pStyle w:val="477"/>
                    <w:spacing w:after="0"/>
                    <w:rPr>
                      <w:color w:val="auto"/>
                      <w:szCs w:val="21"/>
                    </w:rPr>
                  </w:pPr>
                  <w:r>
                    <w:rPr>
                      <w:color w:val="auto"/>
                      <w:szCs w:val="21"/>
                    </w:rPr>
                    <w:t>S4-6</w:t>
                  </w:r>
                </w:p>
              </w:tc>
              <w:tc>
                <w:tcPr>
                  <w:tcW w:w="1654" w:type="pct"/>
                  <w:gridSpan w:val="2"/>
                  <w:vMerge w:val="restart"/>
                  <w:tcBorders>
                    <w:tl2br w:val="nil"/>
                    <w:tr2bl w:val="nil"/>
                  </w:tcBorders>
                  <w:vAlign w:val="center"/>
                </w:tcPr>
                <w:p w14:paraId="724DB63A">
                  <w:pPr>
                    <w:pStyle w:val="477"/>
                    <w:spacing w:after="0"/>
                    <w:rPr>
                      <w:color w:val="auto"/>
                      <w:szCs w:val="21"/>
                    </w:rPr>
                  </w:pPr>
                  <w:r>
                    <w:rPr>
                      <w:color w:val="auto"/>
                      <w:szCs w:val="21"/>
                    </w:rPr>
                    <w:t>UV丝印</w:t>
                  </w:r>
                </w:p>
              </w:tc>
              <w:tc>
                <w:tcPr>
                  <w:tcW w:w="565" w:type="pct"/>
                  <w:tcBorders>
                    <w:tl2br w:val="nil"/>
                    <w:tr2bl w:val="nil"/>
                  </w:tcBorders>
                  <w:vAlign w:val="center"/>
                </w:tcPr>
                <w:p w14:paraId="37B8BB9A">
                  <w:pPr>
                    <w:pStyle w:val="477"/>
                    <w:spacing w:after="0"/>
                    <w:rPr>
                      <w:color w:val="auto"/>
                      <w:szCs w:val="21"/>
                    </w:rPr>
                  </w:pPr>
                  <w:r>
                    <w:rPr>
                      <w:color w:val="auto"/>
                      <w:szCs w:val="21"/>
                    </w:rPr>
                    <w:t>废油墨桶</w:t>
                  </w:r>
                </w:p>
              </w:tc>
              <w:tc>
                <w:tcPr>
                  <w:tcW w:w="2156" w:type="pct"/>
                  <w:tcBorders>
                    <w:tl2br w:val="nil"/>
                    <w:tr2bl w:val="nil"/>
                  </w:tcBorders>
                  <w:vAlign w:val="center"/>
                </w:tcPr>
                <w:p w14:paraId="15736C8F">
                  <w:pPr>
                    <w:pStyle w:val="477"/>
                    <w:spacing w:after="0"/>
                    <w:rPr>
                      <w:color w:val="auto"/>
                      <w:szCs w:val="21"/>
                    </w:rPr>
                  </w:pPr>
                  <w:r>
                    <w:rPr>
                      <w:rFonts w:hint="eastAsia"/>
                      <w:color w:val="auto"/>
                      <w:szCs w:val="21"/>
                    </w:rPr>
                    <w:t>暂存在危废暂存间，定期交由有资质单位进行处置</w:t>
                  </w:r>
                </w:p>
              </w:tc>
            </w:tr>
            <w:tr w14:paraId="2715A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E477580">
                  <w:pPr>
                    <w:pStyle w:val="477"/>
                    <w:spacing w:after="0"/>
                    <w:rPr>
                      <w:color w:val="auto"/>
                      <w:szCs w:val="21"/>
                    </w:rPr>
                  </w:pPr>
                </w:p>
              </w:tc>
              <w:tc>
                <w:tcPr>
                  <w:tcW w:w="353" w:type="pct"/>
                  <w:tcBorders>
                    <w:tl2br w:val="nil"/>
                    <w:tr2bl w:val="nil"/>
                  </w:tcBorders>
                  <w:vAlign w:val="center"/>
                </w:tcPr>
                <w:p w14:paraId="0ED0552C">
                  <w:pPr>
                    <w:pStyle w:val="477"/>
                    <w:spacing w:after="0"/>
                    <w:rPr>
                      <w:color w:val="auto"/>
                      <w:szCs w:val="21"/>
                    </w:rPr>
                  </w:pPr>
                  <w:r>
                    <w:rPr>
                      <w:color w:val="auto"/>
                      <w:szCs w:val="21"/>
                    </w:rPr>
                    <w:t>S4-7</w:t>
                  </w:r>
                </w:p>
              </w:tc>
              <w:tc>
                <w:tcPr>
                  <w:tcW w:w="1654" w:type="pct"/>
                  <w:gridSpan w:val="2"/>
                  <w:vMerge w:val="continue"/>
                  <w:tcBorders>
                    <w:tl2br w:val="nil"/>
                    <w:tr2bl w:val="nil"/>
                  </w:tcBorders>
                  <w:vAlign w:val="center"/>
                </w:tcPr>
                <w:p w14:paraId="2C2A4EAA">
                  <w:pPr>
                    <w:pStyle w:val="477"/>
                    <w:spacing w:after="0"/>
                    <w:rPr>
                      <w:color w:val="auto"/>
                      <w:szCs w:val="21"/>
                    </w:rPr>
                  </w:pPr>
                </w:p>
              </w:tc>
              <w:tc>
                <w:tcPr>
                  <w:tcW w:w="565" w:type="pct"/>
                  <w:tcBorders>
                    <w:tl2br w:val="nil"/>
                    <w:tr2bl w:val="nil"/>
                  </w:tcBorders>
                  <w:vAlign w:val="center"/>
                </w:tcPr>
                <w:p w14:paraId="5CC2270C">
                  <w:pPr>
                    <w:pStyle w:val="477"/>
                    <w:spacing w:after="0"/>
                    <w:rPr>
                      <w:color w:val="auto"/>
                      <w:szCs w:val="21"/>
                    </w:rPr>
                  </w:pPr>
                  <w:r>
                    <w:rPr>
                      <w:color w:val="auto"/>
                      <w:szCs w:val="21"/>
                    </w:rPr>
                    <w:t>废</w:t>
                  </w:r>
                  <w:r>
                    <w:rPr>
                      <w:rFonts w:hint="eastAsia"/>
                      <w:color w:val="auto"/>
                      <w:szCs w:val="21"/>
                    </w:rPr>
                    <w:t>油墨</w:t>
                  </w:r>
                </w:p>
              </w:tc>
              <w:tc>
                <w:tcPr>
                  <w:tcW w:w="2156" w:type="pct"/>
                  <w:tcBorders>
                    <w:tl2br w:val="nil"/>
                    <w:tr2bl w:val="nil"/>
                  </w:tcBorders>
                  <w:vAlign w:val="center"/>
                </w:tcPr>
                <w:p w14:paraId="32D6A285">
                  <w:pPr>
                    <w:pStyle w:val="477"/>
                    <w:spacing w:after="0"/>
                    <w:rPr>
                      <w:color w:val="auto"/>
                      <w:szCs w:val="21"/>
                    </w:rPr>
                  </w:pPr>
                  <w:r>
                    <w:rPr>
                      <w:rFonts w:hint="eastAsia"/>
                      <w:color w:val="auto"/>
                      <w:szCs w:val="21"/>
                    </w:rPr>
                    <w:t>暂存在危废暂存间，定期交由有资质单位进行处置</w:t>
                  </w:r>
                </w:p>
              </w:tc>
            </w:tr>
            <w:tr w14:paraId="6825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CFE9897">
                  <w:pPr>
                    <w:pStyle w:val="477"/>
                    <w:spacing w:after="0"/>
                    <w:rPr>
                      <w:color w:val="auto"/>
                      <w:szCs w:val="21"/>
                    </w:rPr>
                  </w:pPr>
                </w:p>
              </w:tc>
              <w:tc>
                <w:tcPr>
                  <w:tcW w:w="353" w:type="pct"/>
                  <w:tcBorders>
                    <w:tl2br w:val="nil"/>
                    <w:tr2bl w:val="nil"/>
                  </w:tcBorders>
                  <w:vAlign w:val="center"/>
                </w:tcPr>
                <w:p w14:paraId="3B3A72D6">
                  <w:pPr>
                    <w:pStyle w:val="477"/>
                    <w:spacing w:after="0"/>
                    <w:rPr>
                      <w:color w:val="auto"/>
                      <w:szCs w:val="21"/>
                    </w:rPr>
                  </w:pPr>
                  <w:r>
                    <w:rPr>
                      <w:color w:val="auto"/>
                      <w:szCs w:val="21"/>
                    </w:rPr>
                    <w:t>S4-8</w:t>
                  </w:r>
                </w:p>
              </w:tc>
              <w:tc>
                <w:tcPr>
                  <w:tcW w:w="1654" w:type="pct"/>
                  <w:gridSpan w:val="2"/>
                  <w:vMerge w:val="continue"/>
                  <w:tcBorders>
                    <w:tl2br w:val="nil"/>
                    <w:tr2bl w:val="nil"/>
                  </w:tcBorders>
                  <w:vAlign w:val="center"/>
                </w:tcPr>
                <w:p w14:paraId="2F11642B">
                  <w:pPr>
                    <w:pStyle w:val="477"/>
                    <w:spacing w:after="0"/>
                    <w:rPr>
                      <w:color w:val="auto"/>
                      <w:szCs w:val="21"/>
                    </w:rPr>
                  </w:pPr>
                </w:p>
              </w:tc>
              <w:tc>
                <w:tcPr>
                  <w:tcW w:w="565" w:type="pct"/>
                  <w:tcBorders>
                    <w:tl2br w:val="nil"/>
                    <w:tr2bl w:val="nil"/>
                  </w:tcBorders>
                  <w:vAlign w:val="center"/>
                </w:tcPr>
                <w:p w14:paraId="59D314C8">
                  <w:pPr>
                    <w:pStyle w:val="477"/>
                    <w:spacing w:after="0"/>
                    <w:rPr>
                      <w:color w:val="auto"/>
                      <w:szCs w:val="21"/>
                    </w:rPr>
                  </w:pPr>
                  <w:r>
                    <w:rPr>
                      <w:color w:val="auto"/>
                      <w:szCs w:val="21"/>
                    </w:rPr>
                    <w:t>废洗网水</w:t>
                  </w:r>
                </w:p>
              </w:tc>
              <w:tc>
                <w:tcPr>
                  <w:tcW w:w="2156" w:type="pct"/>
                  <w:tcBorders>
                    <w:tl2br w:val="nil"/>
                    <w:tr2bl w:val="nil"/>
                  </w:tcBorders>
                  <w:vAlign w:val="center"/>
                </w:tcPr>
                <w:p w14:paraId="1A9CEC28">
                  <w:pPr>
                    <w:pStyle w:val="477"/>
                    <w:spacing w:after="0"/>
                    <w:rPr>
                      <w:color w:val="auto"/>
                      <w:szCs w:val="21"/>
                    </w:rPr>
                  </w:pPr>
                  <w:r>
                    <w:rPr>
                      <w:rFonts w:hint="eastAsia"/>
                      <w:color w:val="auto"/>
                      <w:szCs w:val="21"/>
                    </w:rPr>
                    <w:t>暂存在危废暂存间，定期交由有资质单位进行处置</w:t>
                  </w:r>
                </w:p>
              </w:tc>
            </w:tr>
            <w:tr w14:paraId="310E7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70" w:type="pct"/>
                  <w:vMerge w:val="continue"/>
                  <w:tcBorders>
                    <w:tl2br w:val="nil"/>
                    <w:tr2bl w:val="nil"/>
                  </w:tcBorders>
                  <w:vAlign w:val="center"/>
                </w:tcPr>
                <w:p w14:paraId="4A26E833">
                  <w:pPr>
                    <w:pStyle w:val="477"/>
                    <w:spacing w:after="0"/>
                    <w:rPr>
                      <w:color w:val="auto"/>
                      <w:szCs w:val="21"/>
                    </w:rPr>
                  </w:pPr>
                </w:p>
              </w:tc>
              <w:tc>
                <w:tcPr>
                  <w:tcW w:w="353" w:type="pct"/>
                  <w:tcBorders>
                    <w:tl2br w:val="nil"/>
                    <w:tr2bl w:val="nil"/>
                  </w:tcBorders>
                  <w:vAlign w:val="center"/>
                </w:tcPr>
                <w:p w14:paraId="57C46968">
                  <w:pPr>
                    <w:pStyle w:val="477"/>
                    <w:spacing w:after="0"/>
                    <w:rPr>
                      <w:color w:val="auto"/>
                      <w:szCs w:val="21"/>
                    </w:rPr>
                  </w:pPr>
                  <w:r>
                    <w:rPr>
                      <w:color w:val="auto"/>
                      <w:szCs w:val="21"/>
                    </w:rPr>
                    <w:t>S4-9</w:t>
                  </w:r>
                </w:p>
              </w:tc>
              <w:tc>
                <w:tcPr>
                  <w:tcW w:w="1654" w:type="pct"/>
                  <w:gridSpan w:val="2"/>
                  <w:tcBorders>
                    <w:tl2br w:val="nil"/>
                    <w:tr2bl w:val="nil"/>
                  </w:tcBorders>
                  <w:vAlign w:val="center"/>
                </w:tcPr>
                <w:p w14:paraId="1D0DC616">
                  <w:pPr>
                    <w:pStyle w:val="477"/>
                    <w:spacing w:after="0"/>
                    <w:rPr>
                      <w:color w:val="auto"/>
                      <w:szCs w:val="21"/>
                    </w:rPr>
                  </w:pPr>
                  <w:r>
                    <w:rPr>
                      <w:color w:val="auto"/>
                      <w:szCs w:val="21"/>
                    </w:rPr>
                    <w:t>粘接</w:t>
                  </w:r>
                </w:p>
              </w:tc>
              <w:tc>
                <w:tcPr>
                  <w:tcW w:w="565" w:type="pct"/>
                  <w:tcBorders>
                    <w:tl2br w:val="nil"/>
                    <w:tr2bl w:val="nil"/>
                  </w:tcBorders>
                  <w:vAlign w:val="center"/>
                </w:tcPr>
                <w:p w14:paraId="266F34B5">
                  <w:pPr>
                    <w:pStyle w:val="477"/>
                    <w:spacing w:after="0"/>
                    <w:rPr>
                      <w:color w:val="auto"/>
                      <w:szCs w:val="21"/>
                    </w:rPr>
                  </w:pPr>
                  <w:r>
                    <w:rPr>
                      <w:color w:val="auto"/>
                      <w:szCs w:val="21"/>
                    </w:rPr>
                    <w:t>废胶水瓶</w:t>
                  </w:r>
                </w:p>
              </w:tc>
              <w:tc>
                <w:tcPr>
                  <w:tcW w:w="2156" w:type="pct"/>
                  <w:tcBorders>
                    <w:tl2br w:val="nil"/>
                    <w:tr2bl w:val="nil"/>
                  </w:tcBorders>
                  <w:vAlign w:val="center"/>
                </w:tcPr>
                <w:p w14:paraId="3E776CD2">
                  <w:pPr>
                    <w:pStyle w:val="477"/>
                    <w:spacing w:after="0"/>
                    <w:rPr>
                      <w:color w:val="auto"/>
                      <w:szCs w:val="21"/>
                    </w:rPr>
                  </w:pPr>
                  <w:r>
                    <w:rPr>
                      <w:rFonts w:hint="eastAsia"/>
                      <w:color w:val="auto"/>
                      <w:szCs w:val="21"/>
                    </w:rPr>
                    <w:t>暂存在危废暂存间，定期交由有资质单位进行处置</w:t>
                  </w:r>
                </w:p>
              </w:tc>
            </w:tr>
            <w:tr w14:paraId="19447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840BE85">
                  <w:pPr>
                    <w:pStyle w:val="477"/>
                    <w:spacing w:after="0"/>
                    <w:rPr>
                      <w:color w:val="auto"/>
                      <w:szCs w:val="21"/>
                    </w:rPr>
                  </w:pPr>
                </w:p>
              </w:tc>
              <w:tc>
                <w:tcPr>
                  <w:tcW w:w="353" w:type="pct"/>
                  <w:tcBorders>
                    <w:tl2br w:val="nil"/>
                    <w:tr2bl w:val="nil"/>
                  </w:tcBorders>
                  <w:vAlign w:val="center"/>
                </w:tcPr>
                <w:p w14:paraId="2702058F">
                  <w:pPr>
                    <w:pStyle w:val="477"/>
                    <w:spacing w:after="0"/>
                    <w:rPr>
                      <w:color w:val="auto"/>
                      <w:szCs w:val="21"/>
                    </w:rPr>
                  </w:pPr>
                  <w:r>
                    <w:rPr>
                      <w:color w:val="auto"/>
                      <w:szCs w:val="21"/>
                    </w:rPr>
                    <w:t>S4-10</w:t>
                  </w:r>
                </w:p>
              </w:tc>
              <w:tc>
                <w:tcPr>
                  <w:tcW w:w="1654" w:type="pct"/>
                  <w:gridSpan w:val="2"/>
                  <w:tcBorders>
                    <w:tl2br w:val="nil"/>
                    <w:tr2bl w:val="nil"/>
                  </w:tcBorders>
                  <w:vAlign w:val="center"/>
                </w:tcPr>
                <w:p w14:paraId="7D3F0F70">
                  <w:pPr>
                    <w:pStyle w:val="477"/>
                    <w:spacing w:after="0"/>
                    <w:rPr>
                      <w:color w:val="auto"/>
                      <w:szCs w:val="21"/>
                    </w:rPr>
                  </w:pPr>
                  <w:r>
                    <w:rPr>
                      <w:color w:val="auto"/>
                      <w:szCs w:val="21"/>
                    </w:rPr>
                    <w:t>清洗</w:t>
                  </w:r>
                </w:p>
              </w:tc>
              <w:tc>
                <w:tcPr>
                  <w:tcW w:w="565" w:type="pct"/>
                  <w:tcBorders>
                    <w:tl2br w:val="nil"/>
                    <w:tr2bl w:val="nil"/>
                  </w:tcBorders>
                  <w:vAlign w:val="center"/>
                </w:tcPr>
                <w:p w14:paraId="5C2ADE64">
                  <w:pPr>
                    <w:pStyle w:val="477"/>
                    <w:spacing w:after="0"/>
                    <w:rPr>
                      <w:color w:val="auto"/>
                      <w:szCs w:val="21"/>
                    </w:rPr>
                  </w:pPr>
                  <w:r>
                    <w:rPr>
                      <w:color w:val="auto"/>
                      <w:szCs w:val="21"/>
                    </w:rPr>
                    <w:t>废抹布</w:t>
                  </w:r>
                </w:p>
              </w:tc>
              <w:tc>
                <w:tcPr>
                  <w:tcW w:w="2156" w:type="pct"/>
                  <w:tcBorders>
                    <w:tl2br w:val="nil"/>
                    <w:tr2bl w:val="nil"/>
                  </w:tcBorders>
                  <w:vAlign w:val="center"/>
                </w:tcPr>
                <w:p w14:paraId="22840953">
                  <w:pPr>
                    <w:pStyle w:val="477"/>
                    <w:spacing w:after="0"/>
                    <w:rPr>
                      <w:color w:val="auto"/>
                      <w:szCs w:val="21"/>
                    </w:rPr>
                  </w:pPr>
                  <w:r>
                    <w:rPr>
                      <w:rFonts w:hint="eastAsia"/>
                      <w:color w:val="auto"/>
                      <w:szCs w:val="21"/>
                    </w:rPr>
                    <w:t>暂存在危废暂存间，定期交由有资质单位进行处置</w:t>
                  </w:r>
                </w:p>
              </w:tc>
            </w:tr>
            <w:tr w14:paraId="61FBB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067AA37">
                  <w:pPr>
                    <w:pStyle w:val="477"/>
                    <w:spacing w:after="0"/>
                    <w:rPr>
                      <w:color w:val="auto"/>
                      <w:szCs w:val="21"/>
                    </w:rPr>
                  </w:pPr>
                </w:p>
              </w:tc>
              <w:tc>
                <w:tcPr>
                  <w:tcW w:w="353" w:type="pct"/>
                  <w:tcBorders>
                    <w:tl2br w:val="nil"/>
                    <w:tr2bl w:val="nil"/>
                  </w:tcBorders>
                  <w:vAlign w:val="center"/>
                </w:tcPr>
                <w:p w14:paraId="706EE286">
                  <w:pPr>
                    <w:pStyle w:val="477"/>
                    <w:spacing w:after="0"/>
                    <w:rPr>
                      <w:color w:val="auto"/>
                      <w:szCs w:val="21"/>
                    </w:rPr>
                  </w:pPr>
                  <w:r>
                    <w:rPr>
                      <w:color w:val="auto"/>
                      <w:szCs w:val="21"/>
                    </w:rPr>
                    <w:t>S5-1</w:t>
                  </w:r>
                </w:p>
              </w:tc>
              <w:tc>
                <w:tcPr>
                  <w:tcW w:w="1654" w:type="pct"/>
                  <w:gridSpan w:val="2"/>
                  <w:tcBorders>
                    <w:tl2br w:val="nil"/>
                    <w:tr2bl w:val="nil"/>
                  </w:tcBorders>
                  <w:vAlign w:val="center"/>
                </w:tcPr>
                <w:p w14:paraId="4C022E3F">
                  <w:pPr>
                    <w:pStyle w:val="477"/>
                    <w:spacing w:after="0"/>
                    <w:rPr>
                      <w:color w:val="auto"/>
                      <w:szCs w:val="21"/>
                    </w:rPr>
                  </w:pPr>
                  <w:r>
                    <w:rPr>
                      <w:rFonts w:hint="eastAsia"/>
                      <w:color w:val="auto"/>
                      <w:szCs w:val="21"/>
                    </w:rPr>
                    <w:t>化粪池</w:t>
                  </w:r>
                </w:p>
              </w:tc>
              <w:tc>
                <w:tcPr>
                  <w:tcW w:w="565" w:type="pct"/>
                  <w:tcBorders>
                    <w:tl2br w:val="nil"/>
                    <w:tr2bl w:val="nil"/>
                  </w:tcBorders>
                  <w:vAlign w:val="center"/>
                </w:tcPr>
                <w:p w14:paraId="6B924DCE">
                  <w:pPr>
                    <w:pStyle w:val="477"/>
                    <w:spacing w:after="0"/>
                    <w:rPr>
                      <w:color w:val="auto"/>
                      <w:szCs w:val="21"/>
                    </w:rPr>
                  </w:pPr>
                  <w:r>
                    <w:rPr>
                      <w:rFonts w:hint="eastAsia"/>
                      <w:color w:val="auto"/>
                      <w:szCs w:val="21"/>
                    </w:rPr>
                    <w:t>化粪池</w:t>
                  </w:r>
                  <w:r>
                    <w:rPr>
                      <w:color w:val="auto"/>
                      <w:szCs w:val="21"/>
                    </w:rPr>
                    <w:t>污泥</w:t>
                  </w:r>
                </w:p>
              </w:tc>
              <w:tc>
                <w:tcPr>
                  <w:tcW w:w="2156" w:type="pct"/>
                  <w:tcBorders>
                    <w:tl2br w:val="nil"/>
                    <w:tr2bl w:val="nil"/>
                  </w:tcBorders>
                  <w:vAlign w:val="center"/>
                </w:tcPr>
                <w:p w14:paraId="2821BDF1">
                  <w:pPr>
                    <w:pStyle w:val="477"/>
                    <w:spacing w:after="0"/>
                    <w:rPr>
                      <w:color w:val="auto"/>
                      <w:szCs w:val="21"/>
                    </w:rPr>
                  </w:pPr>
                  <w:r>
                    <w:rPr>
                      <w:color w:val="auto"/>
                      <w:szCs w:val="21"/>
                    </w:rPr>
                    <w:t>环卫清运</w:t>
                  </w:r>
                </w:p>
              </w:tc>
            </w:tr>
            <w:tr w14:paraId="0F99D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A59ADB5">
                  <w:pPr>
                    <w:pStyle w:val="477"/>
                    <w:spacing w:after="0"/>
                    <w:rPr>
                      <w:color w:val="auto"/>
                      <w:szCs w:val="21"/>
                    </w:rPr>
                  </w:pPr>
                </w:p>
              </w:tc>
              <w:tc>
                <w:tcPr>
                  <w:tcW w:w="353" w:type="pct"/>
                  <w:tcBorders>
                    <w:tl2br w:val="nil"/>
                    <w:tr2bl w:val="nil"/>
                  </w:tcBorders>
                  <w:vAlign w:val="center"/>
                </w:tcPr>
                <w:p w14:paraId="621E6402">
                  <w:pPr>
                    <w:pStyle w:val="477"/>
                    <w:spacing w:after="0"/>
                    <w:rPr>
                      <w:color w:val="auto"/>
                      <w:szCs w:val="21"/>
                    </w:rPr>
                  </w:pPr>
                  <w:r>
                    <w:rPr>
                      <w:color w:val="auto"/>
                      <w:szCs w:val="21"/>
                    </w:rPr>
                    <w:t>S5-2</w:t>
                  </w:r>
                </w:p>
              </w:tc>
              <w:tc>
                <w:tcPr>
                  <w:tcW w:w="1654" w:type="pct"/>
                  <w:gridSpan w:val="2"/>
                  <w:tcBorders>
                    <w:tl2br w:val="nil"/>
                    <w:tr2bl w:val="nil"/>
                  </w:tcBorders>
                  <w:vAlign w:val="center"/>
                </w:tcPr>
                <w:p w14:paraId="7ED710B2">
                  <w:pPr>
                    <w:pStyle w:val="477"/>
                    <w:spacing w:after="0"/>
                    <w:rPr>
                      <w:color w:val="auto"/>
                      <w:szCs w:val="21"/>
                    </w:rPr>
                  </w:pPr>
                  <w:r>
                    <w:rPr>
                      <w:color w:val="auto"/>
                      <w:szCs w:val="21"/>
                    </w:rPr>
                    <w:t>设备维修</w:t>
                  </w:r>
                </w:p>
              </w:tc>
              <w:tc>
                <w:tcPr>
                  <w:tcW w:w="565" w:type="pct"/>
                  <w:tcBorders>
                    <w:tl2br w:val="nil"/>
                    <w:tr2bl w:val="nil"/>
                  </w:tcBorders>
                  <w:vAlign w:val="center"/>
                </w:tcPr>
                <w:p w14:paraId="793E0F70">
                  <w:pPr>
                    <w:pStyle w:val="477"/>
                    <w:spacing w:after="0"/>
                    <w:rPr>
                      <w:color w:val="auto"/>
                      <w:szCs w:val="21"/>
                    </w:rPr>
                  </w:pPr>
                  <w:r>
                    <w:rPr>
                      <w:color w:val="auto"/>
                      <w:szCs w:val="21"/>
                    </w:rPr>
                    <w:t>废机油</w:t>
                  </w:r>
                </w:p>
              </w:tc>
              <w:tc>
                <w:tcPr>
                  <w:tcW w:w="2156" w:type="pct"/>
                  <w:tcBorders>
                    <w:tl2br w:val="nil"/>
                    <w:tr2bl w:val="nil"/>
                  </w:tcBorders>
                  <w:vAlign w:val="center"/>
                </w:tcPr>
                <w:p w14:paraId="1BCA04BD">
                  <w:pPr>
                    <w:pStyle w:val="477"/>
                    <w:spacing w:after="0"/>
                    <w:rPr>
                      <w:color w:val="auto"/>
                      <w:szCs w:val="21"/>
                    </w:rPr>
                  </w:pPr>
                  <w:r>
                    <w:rPr>
                      <w:rFonts w:hint="eastAsia"/>
                      <w:color w:val="auto"/>
                      <w:szCs w:val="21"/>
                    </w:rPr>
                    <w:t>暂存在危废暂存间，定期交由有资质单位进行处置</w:t>
                  </w:r>
                </w:p>
              </w:tc>
            </w:tr>
            <w:tr w14:paraId="6F281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2CF8158">
                  <w:pPr>
                    <w:pStyle w:val="477"/>
                    <w:spacing w:after="0"/>
                    <w:rPr>
                      <w:color w:val="auto"/>
                      <w:szCs w:val="21"/>
                    </w:rPr>
                  </w:pPr>
                </w:p>
              </w:tc>
              <w:tc>
                <w:tcPr>
                  <w:tcW w:w="353" w:type="pct"/>
                  <w:tcBorders>
                    <w:tl2br w:val="nil"/>
                    <w:tr2bl w:val="nil"/>
                  </w:tcBorders>
                  <w:vAlign w:val="center"/>
                </w:tcPr>
                <w:p w14:paraId="27A047FF">
                  <w:pPr>
                    <w:pStyle w:val="477"/>
                    <w:spacing w:after="0"/>
                    <w:rPr>
                      <w:color w:val="auto"/>
                      <w:szCs w:val="21"/>
                    </w:rPr>
                  </w:pPr>
                  <w:r>
                    <w:rPr>
                      <w:color w:val="auto"/>
                      <w:szCs w:val="21"/>
                    </w:rPr>
                    <w:t>S5-3</w:t>
                  </w:r>
                </w:p>
              </w:tc>
              <w:tc>
                <w:tcPr>
                  <w:tcW w:w="1654" w:type="pct"/>
                  <w:gridSpan w:val="2"/>
                  <w:tcBorders>
                    <w:tl2br w:val="nil"/>
                    <w:tr2bl w:val="nil"/>
                  </w:tcBorders>
                  <w:vAlign w:val="center"/>
                </w:tcPr>
                <w:p w14:paraId="20841CF1">
                  <w:pPr>
                    <w:pStyle w:val="477"/>
                    <w:spacing w:after="0"/>
                    <w:rPr>
                      <w:color w:val="auto"/>
                      <w:szCs w:val="21"/>
                    </w:rPr>
                  </w:pPr>
                  <w:r>
                    <w:rPr>
                      <w:color w:val="auto"/>
                      <w:szCs w:val="21"/>
                    </w:rPr>
                    <w:t>设备维修</w:t>
                  </w:r>
                </w:p>
              </w:tc>
              <w:tc>
                <w:tcPr>
                  <w:tcW w:w="565" w:type="pct"/>
                  <w:tcBorders>
                    <w:tl2br w:val="nil"/>
                    <w:tr2bl w:val="nil"/>
                  </w:tcBorders>
                  <w:vAlign w:val="center"/>
                </w:tcPr>
                <w:p w14:paraId="3AF23F7B">
                  <w:pPr>
                    <w:pStyle w:val="477"/>
                    <w:spacing w:after="0"/>
                    <w:rPr>
                      <w:color w:val="auto"/>
                      <w:szCs w:val="21"/>
                    </w:rPr>
                  </w:pPr>
                  <w:r>
                    <w:rPr>
                      <w:color w:val="auto"/>
                      <w:szCs w:val="21"/>
                    </w:rPr>
                    <w:t>废油桶</w:t>
                  </w:r>
                </w:p>
              </w:tc>
              <w:tc>
                <w:tcPr>
                  <w:tcW w:w="2156" w:type="pct"/>
                  <w:tcBorders>
                    <w:tl2br w:val="nil"/>
                    <w:tr2bl w:val="nil"/>
                  </w:tcBorders>
                  <w:vAlign w:val="center"/>
                </w:tcPr>
                <w:p w14:paraId="46F3358F">
                  <w:pPr>
                    <w:pStyle w:val="477"/>
                    <w:spacing w:after="0"/>
                    <w:rPr>
                      <w:color w:val="auto"/>
                      <w:szCs w:val="21"/>
                    </w:rPr>
                  </w:pPr>
                  <w:r>
                    <w:rPr>
                      <w:rFonts w:hint="eastAsia"/>
                      <w:color w:val="auto"/>
                      <w:szCs w:val="21"/>
                    </w:rPr>
                    <w:t>暂存在危废暂存间，定期交由有资质单位进行处置</w:t>
                  </w:r>
                </w:p>
              </w:tc>
            </w:tr>
            <w:tr w14:paraId="7241D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BAB2E75">
                  <w:pPr>
                    <w:pStyle w:val="477"/>
                    <w:spacing w:after="0"/>
                    <w:rPr>
                      <w:color w:val="auto"/>
                      <w:szCs w:val="21"/>
                    </w:rPr>
                  </w:pPr>
                </w:p>
              </w:tc>
              <w:tc>
                <w:tcPr>
                  <w:tcW w:w="353" w:type="pct"/>
                  <w:tcBorders>
                    <w:tl2br w:val="nil"/>
                    <w:tr2bl w:val="nil"/>
                  </w:tcBorders>
                  <w:vAlign w:val="center"/>
                </w:tcPr>
                <w:p w14:paraId="5EA54EC7">
                  <w:pPr>
                    <w:pStyle w:val="477"/>
                    <w:spacing w:after="0"/>
                    <w:rPr>
                      <w:color w:val="auto"/>
                      <w:szCs w:val="21"/>
                    </w:rPr>
                  </w:pPr>
                  <w:r>
                    <w:rPr>
                      <w:color w:val="auto"/>
                      <w:szCs w:val="21"/>
                    </w:rPr>
                    <w:t>S5-</w:t>
                  </w:r>
                  <w:r>
                    <w:rPr>
                      <w:rFonts w:hint="eastAsia"/>
                      <w:color w:val="auto"/>
                      <w:szCs w:val="21"/>
                    </w:rPr>
                    <w:t>4</w:t>
                  </w:r>
                </w:p>
              </w:tc>
              <w:tc>
                <w:tcPr>
                  <w:tcW w:w="1654" w:type="pct"/>
                  <w:gridSpan w:val="2"/>
                  <w:tcBorders>
                    <w:tl2br w:val="nil"/>
                    <w:tr2bl w:val="nil"/>
                  </w:tcBorders>
                  <w:vAlign w:val="center"/>
                </w:tcPr>
                <w:p w14:paraId="3FB737C6">
                  <w:pPr>
                    <w:pStyle w:val="477"/>
                    <w:spacing w:after="0"/>
                    <w:rPr>
                      <w:color w:val="auto"/>
                      <w:szCs w:val="21"/>
                    </w:rPr>
                  </w:pPr>
                  <w:r>
                    <w:rPr>
                      <w:color w:val="auto"/>
                      <w:szCs w:val="21"/>
                    </w:rPr>
                    <w:t>检验</w:t>
                  </w:r>
                </w:p>
              </w:tc>
              <w:tc>
                <w:tcPr>
                  <w:tcW w:w="565" w:type="pct"/>
                  <w:tcBorders>
                    <w:tl2br w:val="nil"/>
                    <w:tr2bl w:val="nil"/>
                  </w:tcBorders>
                  <w:vAlign w:val="center"/>
                </w:tcPr>
                <w:p w14:paraId="294A63AA">
                  <w:pPr>
                    <w:pStyle w:val="477"/>
                    <w:spacing w:after="0"/>
                    <w:rPr>
                      <w:color w:val="auto"/>
                      <w:szCs w:val="21"/>
                    </w:rPr>
                  </w:pPr>
                  <w:r>
                    <w:rPr>
                      <w:color w:val="auto"/>
                      <w:szCs w:val="21"/>
                    </w:rPr>
                    <w:t>不合格品</w:t>
                  </w:r>
                </w:p>
              </w:tc>
              <w:tc>
                <w:tcPr>
                  <w:tcW w:w="2156" w:type="pct"/>
                  <w:tcBorders>
                    <w:tl2br w:val="nil"/>
                    <w:tr2bl w:val="nil"/>
                  </w:tcBorders>
                  <w:vAlign w:val="center"/>
                </w:tcPr>
                <w:p w14:paraId="7E02215B">
                  <w:pPr>
                    <w:pStyle w:val="477"/>
                    <w:spacing w:after="0"/>
                    <w:rPr>
                      <w:color w:val="auto"/>
                      <w:szCs w:val="21"/>
                    </w:rPr>
                  </w:pPr>
                  <w:r>
                    <w:rPr>
                      <w:color w:val="auto"/>
                      <w:szCs w:val="21"/>
                    </w:rPr>
                    <w:t>收集后统一处理</w:t>
                  </w:r>
                </w:p>
              </w:tc>
            </w:tr>
            <w:tr w14:paraId="0EF9A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88AB50C">
                  <w:pPr>
                    <w:pStyle w:val="477"/>
                    <w:spacing w:after="0"/>
                    <w:rPr>
                      <w:color w:val="auto"/>
                      <w:szCs w:val="21"/>
                    </w:rPr>
                  </w:pPr>
                </w:p>
              </w:tc>
              <w:tc>
                <w:tcPr>
                  <w:tcW w:w="353" w:type="pct"/>
                  <w:tcBorders>
                    <w:tl2br w:val="nil"/>
                    <w:tr2bl w:val="nil"/>
                  </w:tcBorders>
                  <w:vAlign w:val="center"/>
                </w:tcPr>
                <w:p w14:paraId="2E8280D7">
                  <w:pPr>
                    <w:pStyle w:val="477"/>
                    <w:spacing w:after="0"/>
                    <w:rPr>
                      <w:color w:val="auto"/>
                      <w:szCs w:val="21"/>
                    </w:rPr>
                  </w:pPr>
                  <w:r>
                    <w:rPr>
                      <w:color w:val="auto"/>
                      <w:szCs w:val="21"/>
                    </w:rPr>
                    <w:t>S5-</w:t>
                  </w:r>
                  <w:r>
                    <w:rPr>
                      <w:rFonts w:hint="eastAsia"/>
                      <w:color w:val="auto"/>
                      <w:szCs w:val="21"/>
                    </w:rPr>
                    <w:t>5</w:t>
                  </w:r>
                </w:p>
              </w:tc>
              <w:tc>
                <w:tcPr>
                  <w:tcW w:w="1654" w:type="pct"/>
                  <w:gridSpan w:val="2"/>
                  <w:tcBorders>
                    <w:tl2br w:val="nil"/>
                    <w:tr2bl w:val="nil"/>
                  </w:tcBorders>
                  <w:vAlign w:val="center"/>
                </w:tcPr>
                <w:p w14:paraId="40CF46CF">
                  <w:pPr>
                    <w:pStyle w:val="477"/>
                    <w:spacing w:after="0"/>
                    <w:rPr>
                      <w:color w:val="auto"/>
                      <w:szCs w:val="21"/>
                    </w:rPr>
                  </w:pPr>
                  <w:r>
                    <w:rPr>
                      <w:color w:val="auto"/>
                      <w:szCs w:val="21"/>
                    </w:rPr>
                    <w:t>废气处理设施</w:t>
                  </w:r>
                </w:p>
              </w:tc>
              <w:tc>
                <w:tcPr>
                  <w:tcW w:w="565" w:type="pct"/>
                  <w:tcBorders>
                    <w:tl2br w:val="nil"/>
                    <w:tr2bl w:val="nil"/>
                  </w:tcBorders>
                  <w:vAlign w:val="center"/>
                </w:tcPr>
                <w:p w14:paraId="23A88B8F">
                  <w:pPr>
                    <w:pStyle w:val="477"/>
                    <w:spacing w:after="0"/>
                    <w:rPr>
                      <w:color w:val="auto"/>
                      <w:szCs w:val="21"/>
                    </w:rPr>
                  </w:pPr>
                  <w:r>
                    <w:rPr>
                      <w:color w:val="auto"/>
                      <w:szCs w:val="21"/>
                    </w:rPr>
                    <w:t>废活性炭</w:t>
                  </w:r>
                </w:p>
              </w:tc>
              <w:tc>
                <w:tcPr>
                  <w:tcW w:w="2156" w:type="pct"/>
                  <w:tcBorders>
                    <w:tl2br w:val="nil"/>
                    <w:tr2bl w:val="nil"/>
                  </w:tcBorders>
                  <w:vAlign w:val="center"/>
                </w:tcPr>
                <w:p w14:paraId="54AE7B03">
                  <w:pPr>
                    <w:pStyle w:val="477"/>
                    <w:spacing w:after="0"/>
                    <w:rPr>
                      <w:color w:val="auto"/>
                      <w:szCs w:val="21"/>
                    </w:rPr>
                  </w:pPr>
                  <w:r>
                    <w:rPr>
                      <w:rFonts w:hint="eastAsia"/>
                      <w:color w:val="auto"/>
                      <w:szCs w:val="21"/>
                    </w:rPr>
                    <w:t>暂存在危废暂存间，定期交由有资质单位进行处置</w:t>
                  </w:r>
                </w:p>
              </w:tc>
            </w:tr>
            <w:tr w14:paraId="76AAF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F33DF08">
                  <w:pPr>
                    <w:pStyle w:val="477"/>
                    <w:spacing w:after="0"/>
                    <w:rPr>
                      <w:color w:val="auto"/>
                      <w:szCs w:val="21"/>
                    </w:rPr>
                  </w:pPr>
                </w:p>
              </w:tc>
              <w:tc>
                <w:tcPr>
                  <w:tcW w:w="353" w:type="pct"/>
                  <w:tcBorders>
                    <w:tl2br w:val="nil"/>
                    <w:tr2bl w:val="nil"/>
                  </w:tcBorders>
                  <w:vAlign w:val="center"/>
                </w:tcPr>
                <w:p w14:paraId="3CC90408">
                  <w:pPr>
                    <w:pStyle w:val="477"/>
                    <w:spacing w:after="0"/>
                    <w:rPr>
                      <w:color w:val="auto"/>
                      <w:szCs w:val="21"/>
                    </w:rPr>
                  </w:pPr>
                  <w:r>
                    <w:rPr>
                      <w:color w:val="auto"/>
                      <w:szCs w:val="21"/>
                    </w:rPr>
                    <w:t>S5-</w:t>
                  </w:r>
                  <w:r>
                    <w:rPr>
                      <w:rFonts w:hint="eastAsia"/>
                      <w:color w:val="auto"/>
                      <w:szCs w:val="21"/>
                    </w:rPr>
                    <w:t>6</w:t>
                  </w:r>
                </w:p>
              </w:tc>
              <w:tc>
                <w:tcPr>
                  <w:tcW w:w="1654" w:type="pct"/>
                  <w:gridSpan w:val="2"/>
                  <w:tcBorders>
                    <w:tl2br w:val="nil"/>
                    <w:tr2bl w:val="nil"/>
                  </w:tcBorders>
                  <w:vAlign w:val="center"/>
                </w:tcPr>
                <w:p w14:paraId="1F25A28A">
                  <w:pPr>
                    <w:pStyle w:val="477"/>
                    <w:spacing w:after="0"/>
                    <w:rPr>
                      <w:color w:val="auto"/>
                      <w:szCs w:val="21"/>
                    </w:rPr>
                  </w:pPr>
                  <w:r>
                    <w:rPr>
                      <w:color w:val="auto"/>
                      <w:szCs w:val="21"/>
                    </w:rPr>
                    <w:t>喷枪清洗</w:t>
                  </w:r>
                </w:p>
              </w:tc>
              <w:tc>
                <w:tcPr>
                  <w:tcW w:w="565" w:type="pct"/>
                  <w:tcBorders>
                    <w:tl2br w:val="nil"/>
                    <w:tr2bl w:val="nil"/>
                  </w:tcBorders>
                  <w:vAlign w:val="center"/>
                </w:tcPr>
                <w:p w14:paraId="597BD404">
                  <w:pPr>
                    <w:pStyle w:val="477"/>
                    <w:spacing w:after="0"/>
                    <w:rPr>
                      <w:color w:val="auto"/>
                      <w:szCs w:val="21"/>
                    </w:rPr>
                  </w:pPr>
                  <w:r>
                    <w:rPr>
                      <w:color w:val="auto"/>
                      <w:szCs w:val="21"/>
                    </w:rPr>
                    <w:t>喷枪清洗废液</w:t>
                  </w:r>
                </w:p>
              </w:tc>
              <w:tc>
                <w:tcPr>
                  <w:tcW w:w="2156" w:type="pct"/>
                  <w:tcBorders>
                    <w:tl2br w:val="nil"/>
                    <w:tr2bl w:val="nil"/>
                  </w:tcBorders>
                  <w:vAlign w:val="center"/>
                </w:tcPr>
                <w:p w14:paraId="634F45A8">
                  <w:pPr>
                    <w:pStyle w:val="477"/>
                    <w:spacing w:after="0"/>
                    <w:rPr>
                      <w:color w:val="auto"/>
                      <w:szCs w:val="21"/>
                    </w:rPr>
                  </w:pPr>
                  <w:r>
                    <w:rPr>
                      <w:rFonts w:hint="eastAsia"/>
                      <w:color w:val="auto"/>
                      <w:szCs w:val="21"/>
                    </w:rPr>
                    <w:t>暂存在危废暂存间，定期交由有资质单位进行处置</w:t>
                  </w:r>
                </w:p>
              </w:tc>
            </w:tr>
            <w:tr w14:paraId="1AEEC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5C0E3B5">
                  <w:pPr>
                    <w:pStyle w:val="477"/>
                    <w:spacing w:after="0"/>
                    <w:rPr>
                      <w:color w:val="auto"/>
                      <w:szCs w:val="21"/>
                    </w:rPr>
                  </w:pPr>
                </w:p>
              </w:tc>
              <w:tc>
                <w:tcPr>
                  <w:tcW w:w="353" w:type="pct"/>
                  <w:tcBorders>
                    <w:tl2br w:val="nil"/>
                    <w:tr2bl w:val="nil"/>
                  </w:tcBorders>
                  <w:vAlign w:val="center"/>
                </w:tcPr>
                <w:p w14:paraId="0F3812DB">
                  <w:pPr>
                    <w:pStyle w:val="477"/>
                    <w:spacing w:after="0"/>
                    <w:rPr>
                      <w:color w:val="auto"/>
                      <w:szCs w:val="21"/>
                    </w:rPr>
                  </w:pPr>
                  <w:r>
                    <w:rPr>
                      <w:color w:val="auto"/>
                      <w:szCs w:val="21"/>
                    </w:rPr>
                    <w:t>S5-</w:t>
                  </w:r>
                  <w:r>
                    <w:rPr>
                      <w:rFonts w:hint="eastAsia"/>
                      <w:color w:val="auto"/>
                      <w:szCs w:val="21"/>
                    </w:rPr>
                    <w:t>7</w:t>
                  </w:r>
                </w:p>
              </w:tc>
              <w:tc>
                <w:tcPr>
                  <w:tcW w:w="1654" w:type="pct"/>
                  <w:gridSpan w:val="2"/>
                  <w:tcBorders>
                    <w:tl2br w:val="nil"/>
                    <w:tr2bl w:val="nil"/>
                  </w:tcBorders>
                  <w:vAlign w:val="center"/>
                </w:tcPr>
                <w:p w14:paraId="6929F6F1">
                  <w:pPr>
                    <w:pStyle w:val="477"/>
                    <w:spacing w:after="0"/>
                    <w:rPr>
                      <w:color w:val="auto"/>
                      <w:szCs w:val="21"/>
                    </w:rPr>
                  </w:pPr>
                  <w:r>
                    <w:rPr>
                      <w:color w:val="auto"/>
                      <w:szCs w:val="21"/>
                    </w:rPr>
                    <w:t>水幕帘</w:t>
                  </w:r>
                </w:p>
              </w:tc>
              <w:tc>
                <w:tcPr>
                  <w:tcW w:w="565" w:type="pct"/>
                  <w:tcBorders>
                    <w:tl2br w:val="nil"/>
                    <w:tr2bl w:val="nil"/>
                  </w:tcBorders>
                  <w:vAlign w:val="center"/>
                </w:tcPr>
                <w:p w14:paraId="422F084A">
                  <w:pPr>
                    <w:pStyle w:val="477"/>
                    <w:spacing w:after="0"/>
                    <w:rPr>
                      <w:color w:val="auto"/>
                      <w:szCs w:val="21"/>
                    </w:rPr>
                  </w:pPr>
                  <w:r>
                    <w:rPr>
                      <w:color w:val="auto"/>
                      <w:szCs w:val="21"/>
                    </w:rPr>
                    <w:t>水幕帘废液</w:t>
                  </w:r>
                </w:p>
              </w:tc>
              <w:tc>
                <w:tcPr>
                  <w:tcW w:w="2156" w:type="pct"/>
                  <w:tcBorders>
                    <w:tl2br w:val="nil"/>
                    <w:tr2bl w:val="nil"/>
                  </w:tcBorders>
                  <w:vAlign w:val="center"/>
                </w:tcPr>
                <w:p w14:paraId="5CA7C19F">
                  <w:pPr>
                    <w:pStyle w:val="477"/>
                    <w:spacing w:after="0"/>
                    <w:rPr>
                      <w:color w:val="auto"/>
                      <w:szCs w:val="21"/>
                    </w:rPr>
                  </w:pPr>
                  <w:r>
                    <w:rPr>
                      <w:rFonts w:hint="eastAsia"/>
                      <w:color w:val="auto"/>
                      <w:szCs w:val="21"/>
                    </w:rPr>
                    <w:t>暂存在危废暂存间，定期交由有资质单位进行处置</w:t>
                  </w:r>
                </w:p>
              </w:tc>
            </w:tr>
            <w:tr w14:paraId="7176B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F5AA284">
                  <w:pPr>
                    <w:pStyle w:val="477"/>
                    <w:spacing w:after="0"/>
                    <w:rPr>
                      <w:color w:val="auto"/>
                      <w:szCs w:val="21"/>
                    </w:rPr>
                  </w:pPr>
                </w:p>
              </w:tc>
              <w:tc>
                <w:tcPr>
                  <w:tcW w:w="353" w:type="pct"/>
                  <w:tcBorders>
                    <w:tl2br w:val="nil"/>
                    <w:tr2bl w:val="nil"/>
                  </w:tcBorders>
                  <w:vAlign w:val="center"/>
                </w:tcPr>
                <w:p w14:paraId="7EF2CDE8">
                  <w:pPr>
                    <w:pStyle w:val="477"/>
                    <w:spacing w:after="0"/>
                    <w:rPr>
                      <w:color w:val="auto"/>
                      <w:szCs w:val="21"/>
                    </w:rPr>
                  </w:pPr>
                  <w:r>
                    <w:rPr>
                      <w:color w:val="auto"/>
                      <w:szCs w:val="21"/>
                    </w:rPr>
                    <w:t>S5-</w:t>
                  </w:r>
                  <w:r>
                    <w:rPr>
                      <w:rFonts w:hint="eastAsia"/>
                      <w:color w:val="auto"/>
                      <w:szCs w:val="21"/>
                    </w:rPr>
                    <w:t>8</w:t>
                  </w:r>
                </w:p>
              </w:tc>
              <w:tc>
                <w:tcPr>
                  <w:tcW w:w="1654" w:type="pct"/>
                  <w:gridSpan w:val="2"/>
                  <w:tcBorders>
                    <w:tl2br w:val="nil"/>
                    <w:tr2bl w:val="nil"/>
                  </w:tcBorders>
                  <w:vAlign w:val="center"/>
                </w:tcPr>
                <w:p w14:paraId="09B3FA30">
                  <w:pPr>
                    <w:pStyle w:val="477"/>
                    <w:spacing w:after="0"/>
                    <w:rPr>
                      <w:color w:val="auto"/>
                      <w:szCs w:val="21"/>
                    </w:rPr>
                  </w:pPr>
                  <w:r>
                    <w:rPr>
                      <w:color w:val="auto"/>
                      <w:szCs w:val="21"/>
                    </w:rPr>
                    <w:t>职工生活</w:t>
                  </w:r>
                </w:p>
              </w:tc>
              <w:tc>
                <w:tcPr>
                  <w:tcW w:w="565" w:type="pct"/>
                  <w:tcBorders>
                    <w:tl2br w:val="nil"/>
                    <w:tr2bl w:val="nil"/>
                  </w:tcBorders>
                  <w:vAlign w:val="center"/>
                </w:tcPr>
                <w:p w14:paraId="19C177A3">
                  <w:pPr>
                    <w:pStyle w:val="477"/>
                    <w:spacing w:after="0"/>
                    <w:rPr>
                      <w:color w:val="auto"/>
                      <w:szCs w:val="21"/>
                    </w:rPr>
                  </w:pPr>
                  <w:r>
                    <w:rPr>
                      <w:color w:val="auto"/>
                      <w:szCs w:val="21"/>
                    </w:rPr>
                    <w:t>生活垃圾</w:t>
                  </w:r>
                </w:p>
              </w:tc>
              <w:tc>
                <w:tcPr>
                  <w:tcW w:w="2156" w:type="pct"/>
                  <w:tcBorders>
                    <w:tl2br w:val="nil"/>
                    <w:tr2bl w:val="nil"/>
                  </w:tcBorders>
                  <w:vAlign w:val="center"/>
                </w:tcPr>
                <w:p w14:paraId="545D5EE4">
                  <w:pPr>
                    <w:pStyle w:val="477"/>
                    <w:spacing w:after="0"/>
                    <w:rPr>
                      <w:color w:val="auto"/>
                      <w:szCs w:val="21"/>
                    </w:rPr>
                  </w:pPr>
                  <w:r>
                    <w:rPr>
                      <w:color w:val="auto"/>
                      <w:szCs w:val="21"/>
                    </w:rPr>
                    <w:t>环卫清运</w:t>
                  </w:r>
                </w:p>
              </w:tc>
            </w:tr>
            <w:tr w14:paraId="6C379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12574A8">
                  <w:pPr>
                    <w:pStyle w:val="477"/>
                    <w:spacing w:after="0"/>
                    <w:rPr>
                      <w:color w:val="auto"/>
                      <w:szCs w:val="21"/>
                    </w:rPr>
                  </w:pPr>
                </w:p>
              </w:tc>
              <w:tc>
                <w:tcPr>
                  <w:tcW w:w="353" w:type="pct"/>
                  <w:tcBorders>
                    <w:tl2br w:val="nil"/>
                    <w:tr2bl w:val="nil"/>
                  </w:tcBorders>
                  <w:vAlign w:val="center"/>
                </w:tcPr>
                <w:p w14:paraId="0DEDDE05">
                  <w:pPr>
                    <w:pStyle w:val="477"/>
                    <w:spacing w:after="0"/>
                    <w:rPr>
                      <w:color w:val="auto"/>
                      <w:szCs w:val="21"/>
                    </w:rPr>
                  </w:pPr>
                  <w:r>
                    <w:rPr>
                      <w:color w:val="auto"/>
                      <w:szCs w:val="21"/>
                    </w:rPr>
                    <w:t>S5-</w:t>
                  </w:r>
                  <w:r>
                    <w:rPr>
                      <w:rFonts w:hint="eastAsia"/>
                      <w:color w:val="auto"/>
                      <w:szCs w:val="21"/>
                    </w:rPr>
                    <w:t>9</w:t>
                  </w:r>
                </w:p>
              </w:tc>
              <w:tc>
                <w:tcPr>
                  <w:tcW w:w="1654" w:type="pct"/>
                  <w:gridSpan w:val="2"/>
                  <w:tcBorders>
                    <w:tl2br w:val="nil"/>
                    <w:tr2bl w:val="nil"/>
                  </w:tcBorders>
                  <w:vAlign w:val="center"/>
                </w:tcPr>
                <w:p w14:paraId="76667D22">
                  <w:pPr>
                    <w:pStyle w:val="477"/>
                    <w:spacing w:after="0"/>
                    <w:rPr>
                      <w:color w:val="auto"/>
                      <w:szCs w:val="21"/>
                    </w:rPr>
                  </w:pPr>
                  <w:r>
                    <w:rPr>
                      <w:rFonts w:hint="eastAsia"/>
                      <w:color w:val="auto"/>
                      <w:szCs w:val="21"/>
                    </w:rPr>
                    <w:t>废包装袋</w:t>
                  </w:r>
                </w:p>
              </w:tc>
              <w:tc>
                <w:tcPr>
                  <w:tcW w:w="565" w:type="pct"/>
                  <w:tcBorders>
                    <w:tl2br w:val="nil"/>
                    <w:tr2bl w:val="nil"/>
                  </w:tcBorders>
                  <w:vAlign w:val="center"/>
                </w:tcPr>
                <w:p w14:paraId="6319740B">
                  <w:pPr>
                    <w:pStyle w:val="477"/>
                    <w:spacing w:after="0"/>
                    <w:rPr>
                      <w:color w:val="auto"/>
                      <w:szCs w:val="21"/>
                    </w:rPr>
                  </w:pPr>
                  <w:r>
                    <w:rPr>
                      <w:rFonts w:hint="eastAsia"/>
                      <w:color w:val="auto"/>
                      <w:szCs w:val="21"/>
                    </w:rPr>
                    <w:t>废包装袋</w:t>
                  </w:r>
                </w:p>
              </w:tc>
              <w:tc>
                <w:tcPr>
                  <w:tcW w:w="2156" w:type="pct"/>
                  <w:tcBorders>
                    <w:tl2br w:val="nil"/>
                    <w:tr2bl w:val="nil"/>
                  </w:tcBorders>
                  <w:vAlign w:val="center"/>
                </w:tcPr>
                <w:p w14:paraId="087F0009">
                  <w:pPr>
                    <w:pStyle w:val="477"/>
                    <w:spacing w:after="0"/>
                    <w:rPr>
                      <w:color w:val="auto"/>
                      <w:szCs w:val="21"/>
                    </w:rPr>
                  </w:pPr>
                  <w:r>
                    <w:rPr>
                      <w:color w:val="auto"/>
                      <w:szCs w:val="21"/>
                    </w:rPr>
                    <w:t>收集后统一处理</w:t>
                  </w:r>
                </w:p>
              </w:tc>
            </w:tr>
          </w:tbl>
          <w:p w14:paraId="04C6B1AE">
            <w:pPr>
              <w:tabs>
                <w:tab w:val="left" w:pos="720"/>
              </w:tabs>
              <w:adjustRightInd w:val="0"/>
              <w:snapToGrid w:val="0"/>
              <w:spacing w:line="360" w:lineRule="auto"/>
              <w:ind w:firstLine="420" w:firstLineChars="200"/>
              <w:rPr>
                <w:bCs/>
                <w:color w:val="auto"/>
                <w:szCs w:val="21"/>
              </w:rPr>
            </w:pPr>
          </w:p>
        </w:tc>
      </w:tr>
    </w:tbl>
    <w:p w14:paraId="04085E49">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br w:type="page"/>
      </w:r>
    </w:p>
    <w:p w14:paraId="2B42F25E">
      <w:pPr>
        <w:pStyle w:val="84"/>
        <w:adjustRightInd w:val="0"/>
        <w:snapToGrid w:val="0"/>
        <w:spacing w:before="0" w:beforeAutospacing="0" w:after="0" w:afterAutospacing="0"/>
        <w:jc w:val="center"/>
        <w:rPr>
          <w:rFonts w:ascii="Times New Roman" w:hAnsi="Times New Roman"/>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2712"/>
      </w:tblGrid>
      <w:tr w14:paraId="6E54D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95" w:type="pct"/>
            <w:vAlign w:val="center"/>
          </w:tcPr>
          <w:p w14:paraId="3F76A32F">
            <w:pPr>
              <w:pStyle w:val="8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与项目有关的原有环境污染问题</w:t>
            </w:r>
          </w:p>
        </w:tc>
        <w:tc>
          <w:tcPr>
            <w:tcW w:w="4804" w:type="pct"/>
            <w:vAlign w:val="center"/>
          </w:tcPr>
          <w:p w14:paraId="1F1E452F">
            <w:pPr>
              <w:adjustRightInd w:val="0"/>
              <w:snapToGrid w:val="0"/>
              <w:spacing w:line="360" w:lineRule="auto"/>
              <w:ind w:firstLine="480" w:firstLineChars="200"/>
              <w:jc w:val="left"/>
              <w:rPr>
                <w:color w:val="auto"/>
                <w:sz w:val="24"/>
              </w:rPr>
            </w:pPr>
            <w:r>
              <w:rPr>
                <w:rFonts w:hint="eastAsia"/>
                <w:color w:val="auto"/>
                <w:sz w:val="24"/>
              </w:rPr>
              <w:t>原厂区在淮安市涟水县经济开发区祥云路北侧</w:t>
            </w:r>
            <w:r>
              <w:rPr>
                <w:bCs/>
                <w:color w:val="auto"/>
                <w:sz w:val="24"/>
              </w:rPr>
              <w:t>投资建设</w:t>
            </w:r>
            <w:r>
              <w:rPr>
                <w:rFonts w:ascii="宋体" w:hAnsi="宋体"/>
                <w:bCs/>
                <w:color w:val="auto"/>
                <w:sz w:val="24"/>
              </w:rPr>
              <w:t>“</w:t>
            </w:r>
            <w:r>
              <w:rPr>
                <w:rFonts w:hint="eastAsia" w:ascii="宋体" w:hAnsi="宋体"/>
                <w:bCs/>
                <w:color w:val="auto"/>
                <w:sz w:val="24"/>
              </w:rPr>
              <w:t>展示</w:t>
            </w:r>
            <w:r>
              <w:rPr>
                <w:rFonts w:hint="eastAsia" w:ascii="宋体" w:hAnsi="宋体"/>
                <w:bCs/>
                <w:color w:val="auto"/>
                <w:sz w:val="24"/>
                <w:lang w:eastAsia="zh-CN"/>
              </w:rPr>
              <w:t>刀具</w:t>
            </w:r>
            <w:r>
              <w:rPr>
                <w:rFonts w:hint="eastAsia" w:ascii="宋体" w:hAnsi="宋体"/>
                <w:bCs/>
                <w:color w:val="auto"/>
                <w:sz w:val="24"/>
              </w:rPr>
              <w:t>加工项目</w:t>
            </w:r>
            <w:r>
              <w:rPr>
                <w:rFonts w:ascii="宋体" w:hAnsi="宋体"/>
                <w:bCs/>
                <w:color w:val="auto"/>
                <w:sz w:val="24"/>
              </w:rPr>
              <w:t>”</w:t>
            </w:r>
            <w:r>
              <w:rPr>
                <w:rFonts w:hint="eastAsia"/>
                <w:color w:val="auto"/>
                <w:sz w:val="24"/>
              </w:rPr>
              <w:t>，</w:t>
            </w:r>
            <w:r>
              <w:rPr>
                <w:bCs/>
                <w:color w:val="auto"/>
                <w:sz w:val="24"/>
              </w:rPr>
              <w:t>该项目于</w:t>
            </w:r>
            <w:r>
              <w:rPr>
                <w:rFonts w:hint="eastAsia"/>
                <w:bCs/>
                <w:color w:val="auto"/>
                <w:sz w:val="24"/>
              </w:rPr>
              <w:t>2017年6月7日取得涟水县发展和改革委员会的备案通知（备案文号为：涟发改投资备〔2017〕192号），并于2017年10月11日取得</w:t>
            </w:r>
            <w:r>
              <w:rPr>
                <w:rFonts w:hint="eastAsia"/>
                <w:color w:val="auto"/>
                <w:sz w:val="24"/>
              </w:rPr>
              <w:t>原</w:t>
            </w:r>
            <w:r>
              <w:rPr>
                <w:rFonts w:hint="eastAsia"/>
                <w:bCs/>
                <w:color w:val="auto"/>
                <w:sz w:val="24"/>
              </w:rPr>
              <w:t>涟水县环境保护局出具的批复文件（批复文号：涟环表复〔2017〕73号），建设内容为年加工展示柜60000件，2</w:t>
            </w:r>
            <w:r>
              <w:rPr>
                <w:bCs/>
                <w:color w:val="auto"/>
                <w:sz w:val="24"/>
              </w:rPr>
              <w:t>021</w:t>
            </w:r>
            <w:r>
              <w:rPr>
                <w:rFonts w:hint="eastAsia"/>
                <w:bCs/>
                <w:color w:val="auto"/>
                <w:sz w:val="24"/>
              </w:rPr>
              <w:t>年2月，企业针对</w:t>
            </w:r>
            <w:r>
              <w:rPr>
                <w:color w:val="auto"/>
                <w:sz w:val="24"/>
              </w:rPr>
              <w:t>实际建设与环评设计</w:t>
            </w:r>
            <w:r>
              <w:rPr>
                <w:rFonts w:hint="eastAsia"/>
                <w:color w:val="auto"/>
                <w:sz w:val="24"/>
              </w:rPr>
              <w:t>不一致的地方，编制完成了《江苏柯德展示道具有限公司展示道具加工项目一般环境影响变动分析报告》，</w:t>
            </w:r>
            <w:r>
              <w:rPr>
                <w:rFonts w:hint="eastAsia"/>
                <w:bCs/>
                <w:color w:val="auto"/>
                <w:sz w:val="24"/>
              </w:rPr>
              <w:t>20</w:t>
            </w:r>
            <w:r>
              <w:rPr>
                <w:bCs/>
                <w:color w:val="auto"/>
                <w:sz w:val="24"/>
              </w:rPr>
              <w:t>22</w:t>
            </w:r>
            <w:r>
              <w:rPr>
                <w:rFonts w:hint="eastAsia"/>
                <w:bCs/>
                <w:color w:val="auto"/>
                <w:sz w:val="24"/>
              </w:rPr>
              <w:t>年</w:t>
            </w:r>
            <w:r>
              <w:rPr>
                <w:bCs/>
                <w:color w:val="auto"/>
                <w:sz w:val="24"/>
              </w:rPr>
              <w:t>1</w:t>
            </w:r>
            <w:r>
              <w:rPr>
                <w:rFonts w:hint="eastAsia"/>
                <w:bCs/>
                <w:color w:val="auto"/>
                <w:sz w:val="24"/>
              </w:rPr>
              <w:t>月</w:t>
            </w:r>
            <w:r>
              <w:rPr>
                <w:bCs/>
                <w:color w:val="auto"/>
                <w:sz w:val="24"/>
              </w:rPr>
              <w:t>29</w:t>
            </w:r>
            <w:r>
              <w:rPr>
                <w:rFonts w:hint="eastAsia"/>
                <w:bCs/>
                <w:color w:val="auto"/>
                <w:sz w:val="24"/>
              </w:rPr>
              <w:t>日，“</w:t>
            </w:r>
            <w:r>
              <w:rPr>
                <w:rFonts w:hint="eastAsia" w:ascii="宋体" w:hAnsi="宋体"/>
                <w:bCs/>
                <w:color w:val="auto"/>
                <w:sz w:val="24"/>
              </w:rPr>
              <w:t>展示道具加工项目</w:t>
            </w:r>
            <w:r>
              <w:rPr>
                <w:rFonts w:hint="eastAsia"/>
                <w:bCs/>
                <w:color w:val="auto"/>
                <w:sz w:val="24"/>
              </w:rPr>
              <w:t>”通过竣工环境保护验收</w:t>
            </w:r>
            <w:r>
              <w:rPr>
                <w:rFonts w:hint="eastAsia"/>
                <w:color w:val="auto"/>
                <w:sz w:val="24"/>
              </w:rPr>
              <w:t>，</w:t>
            </w:r>
            <w:r>
              <w:rPr>
                <w:rFonts w:hint="eastAsia"/>
                <w:bCs/>
                <w:color w:val="auto"/>
                <w:sz w:val="24"/>
              </w:rPr>
              <w:t>验收内容为“年加工展示柜60000件”，取消托盘加工项目和酸洗工序。企业年加工60000件展示柜，分别为木质、铁质、亚克力材质展示柜，2024年11月企业委托江苏卓学环境科技有限公司编写《江苏柯德展示道具有限公司展示道具加工技改项目环境影响报告表》，同年12月4日取得涟水县生态环境局下达的批复文件（批复文号：淮（涟）环表复〔2024〕64号）。</w:t>
            </w:r>
          </w:p>
          <w:p w14:paraId="2FBC179F">
            <w:pPr>
              <w:adjustRightInd w:val="0"/>
              <w:snapToGrid w:val="0"/>
              <w:spacing w:line="360" w:lineRule="auto"/>
              <w:ind w:firstLine="480" w:firstLineChars="200"/>
              <w:jc w:val="left"/>
              <w:rPr>
                <w:color w:val="auto"/>
              </w:rPr>
            </w:pPr>
            <w:r>
              <w:rPr>
                <w:rFonts w:hint="eastAsia"/>
                <w:color w:val="auto"/>
                <w:sz w:val="24"/>
              </w:rPr>
              <w:t>本项目为新建项目，场地原为空地，故没有与本项目有关的原有污染情况及主要环境问题。</w:t>
            </w:r>
          </w:p>
          <w:p w14:paraId="1799E22C">
            <w:pPr>
              <w:adjustRightInd w:val="0"/>
              <w:snapToGrid w:val="0"/>
              <w:spacing w:line="360" w:lineRule="auto"/>
              <w:ind w:firstLine="482" w:firstLineChars="200"/>
              <w:jc w:val="left"/>
              <w:rPr>
                <w:b/>
                <w:bCs/>
                <w:color w:val="auto"/>
                <w:sz w:val="24"/>
              </w:rPr>
            </w:pPr>
            <w:r>
              <w:rPr>
                <w:rFonts w:hint="eastAsia"/>
                <w:b/>
                <w:bCs/>
                <w:color w:val="auto"/>
                <w:sz w:val="24"/>
              </w:rPr>
              <w:t>一、现有项目产品方案</w:t>
            </w:r>
          </w:p>
          <w:p w14:paraId="4690606C">
            <w:pPr>
              <w:adjustRightInd w:val="0"/>
              <w:snapToGrid w:val="0"/>
              <w:spacing w:line="360" w:lineRule="auto"/>
              <w:ind w:firstLine="480" w:firstLineChars="200"/>
              <w:jc w:val="left"/>
              <w:rPr>
                <w:color w:val="auto"/>
                <w:sz w:val="24"/>
              </w:rPr>
            </w:pPr>
            <w:r>
              <w:rPr>
                <w:rFonts w:hint="eastAsia"/>
                <w:color w:val="auto"/>
                <w:sz w:val="24"/>
              </w:rPr>
              <w:t>现有项目产能为60000件/年，分为木质展示柜、铁质展示柜、亚克力展示柜、石质展示柜。其中现有厂区建设了木质展示柜、铁质展示柜、亚克力展示柜生产线，目前已通过</w:t>
            </w:r>
            <w:r>
              <w:rPr>
                <w:rFonts w:hint="eastAsia" w:ascii="宋体" w:hAnsi="宋体"/>
                <w:color w:val="auto"/>
                <w:sz w:val="24"/>
              </w:rPr>
              <w:t>环保“三同时”验收；石质展示柜项目</w:t>
            </w:r>
            <w:r>
              <w:rPr>
                <w:color w:val="auto"/>
                <w:sz w:val="24"/>
              </w:rPr>
              <w:t>于2024年</w:t>
            </w:r>
            <w:r>
              <w:rPr>
                <w:rFonts w:hint="eastAsia"/>
                <w:bCs/>
                <w:color w:val="auto"/>
                <w:sz w:val="24"/>
              </w:rPr>
              <w:t>12月4日取得涟水县生态环境局下达的批复文件（批复文号：淮（涟）环表复〔2024〕64号），目前尚未进行验收，因此各类产品方案见下表。</w:t>
            </w:r>
          </w:p>
          <w:p w14:paraId="693E5E6B">
            <w:pPr>
              <w:adjustRightInd w:val="0"/>
              <w:snapToGrid w:val="0"/>
              <w:spacing w:line="360" w:lineRule="auto"/>
              <w:jc w:val="center"/>
              <w:rPr>
                <w:color w:val="auto"/>
                <w:sz w:val="24"/>
              </w:rPr>
            </w:pPr>
            <w:r>
              <w:rPr>
                <w:b/>
                <w:color w:val="auto"/>
                <w:sz w:val="24"/>
              </w:rPr>
              <w:t>表2-</w:t>
            </w:r>
            <w:r>
              <w:rPr>
                <w:rFonts w:hint="eastAsia"/>
                <w:b/>
                <w:color w:val="auto"/>
                <w:sz w:val="24"/>
              </w:rPr>
              <w:t>9</w:t>
            </w:r>
            <w:r>
              <w:rPr>
                <w:b/>
                <w:color w:val="auto"/>
                <w:sz w:val="24"/>
              </w:rPr>
              <w:t xml:space="preserve">  </w:t>
            </w:r>
            <w:r>
              <w:rPr>
                <w:rFonts w:hint="eastAsia"/>
                <w:b/>
                <w:color w:val="auto"/>
                <w:sz w:val="24"/>
              </w:rPr>
              <w:t>现有厂区项目产品方案</w:t>
            </w:r>
            <w:r>
              <w:rPr>
                <w:b/>
                <w:color w:val="auto"/>
                <w:sz w:val="24"/>
              </w:rPr>
              <w:t>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72"/>
              <w:gridCol w:w="1970"/>
              <w:gridCol w:w="1925"/>
              <w:gridCol w:w="1710"/>
              <w:gridCol w:w="2255"/>
              <w:gridCol w:w="1688"/>
              <w:gridCol w:w="1273"/>
              <w:gridCol w:w="1303"/>
            </w:tblGrid>
            <w:tr w14:paraId="63598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9" w:type="pct"/>
                  <w:vMerge w:val="restart"/>
                  <w:tcMar>
                    <w:left w:w="0" w:type="dxa"/>
                    <w:right w:w="0" w:type="dxa"/>
                  </w:tcMar>
                  <w:vAlign w:val="center"/>
                </w:tcPr>
                <w:p w14:paraId="450545AB">
                  <w:pPr>
                    <w:adjustRightInd w:val="0"/>
                    <w:jc w:val="center"/>
                    <w:rPr>
                      <w:color w:val="auto"/>
                      <w:szCs w:val="21"/>
                      <w:lang w:val="zh-CN"/>
                    </w:rPr>
                  </w:pPr>
                  <w:r>
                    <w:rPr>
                      <w:rFonts w:hint="eastAsia"/>
                      <w:color w:val="auto"/>
                      <w:szCs w:val="21"/>
                      <w:lang w:val="zh-CN"/>
                    </w:rPr>
                    <w:t>序号</w:t>
                  </w:r>
                </w:p>
              </w:tc>
              <w:tc>
                <w:tcPr>
                  <w:tcW w:w="788" w:type="pct"/>
                  <w:vMerge w:val="restart"/>
                  <w:tcMar>
                    <w:left w:w="0" w:type="dxa"/>
                    <w:right w:w="0" w:type="dxa"/>
                  </w:tcMar>
                  <w:vAlign w:val="center"/>
                </w:tcPr>
                <w:p w14:paraId="072D2B6E">
                  <w:pPr>
                    <w:adjustRightInd w:val="0"/>
                    <w:jc w:val="center"/>
                    <w:rPr>
                      <w:color w:val="auto"/>
                      <w:szCs w:val="21"/>
                      <w:lang w:val="zh-CN"/>
                    </w:rPr>
                  </w:pPr>
                  <w:r>
                    <w:rPr>
                      <w:rFonts w:hint="eastAsia"/>
                      <w:color w:val="auto"/>
                      <w:szCs w:val="21"/>
                      <w:lang w:val="zh-CN"/>
                    </w:rPr>
                    <w:t>工程名称（车间或生产线）</w:t>
                  </w:r>
                </w:p>
              </w:tc>
              <w:tc>
                <w:tcPr>
                  <w:tcW w:w="769" w:type="pct"/>
                  <w:vMerge w:val="restart"/>
                  <w:tcMar>
                    <w:left w:w="0" w:type="dxa"/>
                    <w:right w:w="0" w:type="dxa"/>
                  </w:tcMar>
                  <w:vAlign w:val="center"/>
                </w:tcPr>
                <w:p w14:paraId="7B16C2E1">
                  <w:pPr>
                    <w:adjustRightInd w:val="0"/>
                    <w:jc w:val="center"/>
                    <w:rPr>
                      <w:color w:val="auto"/>
                      <w:szCs w:val="21"/>
                      <w:lang w:val="zh-CN"/>
                    </w:rPr>
                  </w:pPr>
                  <w:r>
                    <w:rPr>
                      <w:rFonts w:hint="eastAsia"/>
                      <w:color w:val="auto"/>
                      <w:szCs w:val="21"/>
                      <w:lang w:val="zh-CN"/>
                    </w:rPr>
                    <w:t>产品</w:t>
                  </w:r>
                </w:p>
              </w:tc>
              <w:tc>
                <w:tcPr>
                  <w:tcW w:w="2261" w:type="pct"/>
                  <w:gridSpan w:val="3"/>
                  <w:tcMar>
                    <w:left w:w="0" w:type="dxa"/>
                    <w:right w:w="0" w:type="dxa"/>
                  </w:tcMar>
                  <w:vAlign w:val="center"/>
                </w:tcPr>
                <w:p w14:paraId="51614499">
                  <w:pPr>
                    <w:adjustRightInd w:val="0"/>
                    <w:jc w:val="center"/>
                    <w:rPr>
                      <w:color w:val="auto"/>
                      <w:szCs w:val="21"/>
                      <w:lang w:val="zh-CN"/>
                    </w:rPr>
                  </w:pPr>
                  <w:r>
                    <w:rPr>
                      <w:rFonts w:hint="eastAsia"/>
                      <w:color w:val="auto"/>
                      <w:szCs w:val="21"/>
                      <w:lang w:val="zh-CN"/>
                    </w:rPr>
                    <w:t>设计生产/处理能力</w:t>
                  </w:r>
                </w:p>
              </w:tc>
              <w:tc>
                <w:tcPr>
                  <w:tcW w:w="509" w:type="pct"/>
                  <w:vMerge w:val="restart"/>
                  <w:tcMar>
                    <w:left w:w="0" w:type="dxa"/>
                    <w:right w:w="0" w:type="dxa"/>
                  </w:tcMar>
                  <w:vAlign w:val="center"/>
                </w:tcPr>
                <w:p w14:paraId="07B57DC7">
                  <w:pPr>
                    <w:adjustRightInd w:val="0"/>
                    <w:jc w:val="center"/>
                    <w:rPr>
                      <w:color w:val="auto"/>
                      <w:szCs w:val="21"/>
                      <w:lang w:val="zh-CN"/>
                    </w:rPr>
                  </w:pPr>
                  <w:r>
                    <w:rPr>
                      <w:rFonts w:hint="eastAsia"/>
                      <w:color w:val="auto"/>
                      <w:szCs w:val="21"/>
                      <w:lang w:val="zh-CN"/>
                    </w:rPr>
                    <w:t>运行时间（h/a）</w:t>
                  </w:r>
                </w:p>
              </w:tc>
              <w:tc>
                <w:tcPr>
                  <w:tcW w:w="521" w:type="pct"/>
                  <w:vMerge w:val="restart"/>
                  <w:vAlign w:val="center"/>
                </w:tcPr>
                <w:p w14:paraId="7F4777F3">
                  <w:pPr>
                    <w:adjustRightInd w:val="0"/>
                    <w:jc w:val="center"/>
                    <w:rPr>
                      <w:color w:val="auto"/>
                      <w:szCs w:val="21"/>
                      <w:lang w:val="zh-CN"/>
                    </w:rPr>
                  </w:pPr>
                  <w:r>
                    <w:rPr>
                      <w:rFonts w:hint="eastAsia"/>
                      <w:color w:val="auto"/>
                      <w:szCs w:val="21"/>
                      <w:lang w:val="zh-CN"/>
                    </w:rPr>
                    <w:t>备注</w:t>
                  </w:r>
                </w:p>
              </w:tc>
            </w:tr>
            <w:tr w14:paraId="71268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9" w:type="pct"/>
                  <w:vMerge w:val="continue"/>
                  <w:tcMar>
                    <w:left w:w="0" w:type="dxa"/>
                    <w:right w:w="0" w:type="dxa"/>
                  </w:tcMar>
                  <w:vAlign w:val="center"/>
                </w:tcPr>
                <w:p w14:paraId="24AB2EB7">
                  <w:pPr>
                    <w:adjustRightInd w:val="0"/>
                    <w:jc w:val="center"/>
                    <w:rPr>
                      <w:color w:val="auto"/>
                      <w:szCs w:val="21"/>
                      <w:lang w:val="zh-CN"/>
                    </w:rPr>
                  </w:pPr>
                </w:p>
              </w:tc>
              <w:tc>
                <w:tcPr>
                  <w:tcW w:w="788" w:type="pct"/>
                  <w:vMerge w:val="continue"/>
                  <w:tcMar>
                    <w:left w:w="0" w:type="dxa"/>
                    <w:right w:w="0" w:type="dxa"/>
                  </w:tcMar>
                  <w:vAlign w:val="center"/>
                </w:tcPr>
                <w:p w14:paraId="7499A2BD">
                  <w:pPr>
                    <w:adjustRightInd w:val="0"/>
                    <w:jc w:val="center"/>
                    <w:rPr>
                      <w:color w:val="auto"/>
                      <w:szCs w:val="21"/>
                      <w:lang w:val="zh-CN"/>
                    </w:rPr>
                  </w:pPr>
                </w:p>
              </w:tc>
              <w:tc>
                <w:tcPr>
                  <w:tcW w:w="769" w:type="pct"/>
                  <w:vMerge w:val="continue"/>
                  <w:tcMar>
                    <w:left w:w="0" w:type="dxa"/>
                    <w:right w:w="0" w:type="dxa"/>
                  </w:tcMar>
                  <w:vAlign w:val="center"/>
                </w:tcPr>
                <w:p w14:paraId="1DB249E0">
                  <w:pPr>
                    <w:adjustRightInd w:val="0"/>
                    <w:jc w:val="center"/>
                    <w:rPr>
                      <w:color w:val="auto"/>
                      <w:szCs w:val="21"/>
                      <w:lang w:val="zh-CN"/>
                    </w:rPr>
                  </w:pPr>
                </w:p>
              </w:tc>
              <w:tc>
                <w:tcPr>
                  <w:tcW w:w="684" w:type="pct"/>
                  <w:tcMar>
                    <w:left w:w="0" w:type="dxa"/>
                    <w:right w:w="0" w:type="dxa"/>
                  </w:tcMar>
                  <w:vAlign w:val="center"/>
                </w:tcPr>
                <w:p w14:paraId="42A140A6">
                  <w:pPr>
                    <w:adjustRightInd w:val="0"/>
                    <w:jc w:val="center"/>
                    <w:rPr>
                      <w:color w:val="auto"/>
                      <w:szCs w:val="21"/>
                      <w:lang w:val="zh-CN"/>
                    </w:rPr>
                  </w:pPr>
                  <w:r>
                    <w:rPr>
                      <w:rFonts w:hint="eastAsia"/>
                      <w:color w:val="auto"/>
                      <w:szCs w:val="21"/>
                    </w:rPr>
                    <w:t>改</w:t>
                  </w:r>
                  <w:r>
                    <w:rPr>
                      <w:rFonts w:hint="eastAsia"/>
                      <w:color w:val="auto"/>
                      <w:szCs w:val="21"/>
                      <w:lang w:val="zh-CN"/>
                    </w:rPr>
                    <w:t>建前</w:t>
                  </w:r>
                </w:p>
              </w:tc>
              <w:tc>
                <w:tcPr>
                  <w:tcW w:w="902" w:type="pct"/>
                  <w:vAlign w:val="center"/>
                </w:tcPr>
                <w:p w14:paraId="2B6EF631">
                  <w:pPr>
                    <w:adjustRightInd w:val="0"/>
                    <w:jc w:val="center"/>
                    <w:rPr>
                      <w:color w:val="auto"/>
                      <w:szCs w:val="21"/>
                      <w:lang w:val="zh-CN"/>
                    </w:rPr>
                  </w:pPr>
                  <w:r>
                    <w:rPr>
                      <w:rFonts w:hint="eastAsia"/>
                      <w:color w:val="auto"/>
                      <w:szCs w:val="21"/>
                      <w:lang w:val="zh-CN"/>
                    </w:rPr>
                    <w:t>改建后</w:t>
                  </w:r>
                </w:p>
              </w:tc>
              <w:tc>
                <w:tcPr>
                  <w:tcW w:w="674" w:type="pct"/>
                  <w:vAlign w:val="center"/>
                </w:tcPr>
                <w:p w14:paraId="64D32DAE">
                  <w:pPr>
                    <w:adjustRightInd w:val="0"/>
                    <w:jc w:val="center"/>
                    <w:rPr>
                      <w:color w:val="auto"/>
                      <w:szCs w:val="21"/>
                      <w:lang w:val="zh-CN"/>
                    </w:rPr>
                  </w:pPr>
                  <w:r>
                    <w:rPr>
                      <w:rFonts w:hint="eastAsia"/>
                      <w:color w:val="auto"/>
                      <w:szCs w:val="21"/>
                      <w:lang w:val="zh-CN"/>
                    </w:rPr>
                    <w:t>增减量</w:t>
                  </w:r>
                </w:p>
              </w:tc>
              <w:tc>
                <w:tcPr>
                  <w:tcW w:w="509" w:type="pct"/>
                  <w:vMerge w:val="continue"/>
                  <w:tcMar>
                    <w:left w:w="0" w:type="dxa"/>
                    <w:right w:w="0" w:type="dxa"/>
                  </w:tcMar>
                  <w:vAlign w:val="center"/>
                </w:tcPr>
                <w:p w14:paraId="44C3F227">
                  <w:pPr>
                    <w:adjustRightInd w:val="0"/>
                    <w:jc w:val="center"/>
                    <w:rPr>
                      <w:color w:val="auto"/>
                      <w:szCs w:val="21"/>
                      <w:lang w:val="zh-CN"/>
                    </w:rPr>
                  </w:pPr>
                </w:p>
              </w:tc>
              <w:tc>
                <w:tcPr>
                  <w:tcW w:w="521" w:type="pct"/>
                  <w:vMerge w:val="continue"/>
                  <w:vAlign w:val="center"/>
                </w:tcPr>
                <w:p w14:paraId="6D8C993D">
                  <w:pPr>
                    <w:adjustRightInd w:val="0"/>
                    <w:jc w:val="center"/>
                    <w:rPr>
                      <w:color w:val="auto"/>
                      <w:szCs w:val="21"/>
                      <w:lang w:val="zh-CN"/>
                    </w:rPr>
                  </w:pPr>
                </w:p>
              </w:tc>
            </w:tr>
            <w:tr w14:paraId="014EC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49" w:type="pct"/>
                  <w:vMerge w:val="restart"/>
                  <w:tcMar>
                    <w:left w:w="0" w:type="dxa"/>
                    <w:right w:w="0" w:type="dxa"/>
                  </w:tcMar>
                  <w:vAlign w:val="center"/>
                </w:tcPr>
                <w:p w14:paraId="3778F612">
                  <w:pPr>
                    <w:adjustRightInd w:val="0"/>
                    <w:jc w:val="center"/>
                    <w:rPr>
                      <w:color w:val="auto"/>
                      <w:szCs w:val="21"/>
                      <w:lang w:val="zh-CN"/>
                    </w:rPr>
                  </w:pPr>
                  <w:r>
                    <w:rPr>
                      <w:rFonts w:hint="eastAsia"/>
                      <w:color w:val="auto"/>
                      <w:szCs w:val="21"/>
                      <w:lang w:val="zh-CN"/>
                    </w:rPr>
                    <w:t>1</w:t>
                  </w:r>
                </w:p>
              </w:tc>
              <w:tc>
                <w:tcPr>
                  <w:tcW w:w="788" w:type="pct"/>
                  <w:vMerge w:val="restart"/>
                  <w:tcMar>
                    <w:left w:w="0" w:type="dxa"/>
                    <w:right w:w="0" w:type="dxa"/>
                  </w:tcMar>
                  <w:vAlign w:val="center"/>
                </w:tcPr>
                <w:p w14:paraId="6ED0B88D">
                  <w:pPr>
                    <w:adjustRightInd w:val="0"/>
                    <w:jc w:val="center"/>
                    <w:rPr>
                      <w:color w:val="auto"/>
                      <w:szCs w:val="21"/>
                      <w:lang w:val="zh-CN"/>
                    </w:rPr>
                  </w:pPr>
                  <w:r>
                    <w:rPr>
                      <w:rFonts w:hint="eastAsia"/>
                      <w:color w:val="auto"/>
                      <w:szCs w:val="21"/>
                    </w:rPr>
                    <w:t>展示柜生产线</w:t>
                  </w:r>
                </w:p>
              </w:tc>
              <w:tc>
                <w:tcPr>
                  <w:tcW w:w="769" w:type="pct"/>
                  <w:tcMar>
                    <w:left w:w="0" w:type="dxa"/>
                    <w:right w:w="0" w:type="dxa"/>
                  </w:tcMar>
                  <w:vAlign w:val="center"/>
                </w:tcPr>
                <w:p w14:paraId="5A016DA7">
                  <w:pPr>
                    <w:adjustRightInd w:val="0"/>
                    <w:jc w:val="center"/>
                    <w:rPr>
                      <w:color w:val="auto"/>
                      <w:szCs w:val="21"/>
                      <w:lang w:val="zh-CN"/>
                    </w:rPr>
                  </w:pPr>
                  <w:r>
                    <w:rPr>
                      <w:rFonts w:hint="eastAsia"/>
                      <w:color w:val="auto"/>
                      <w:szCs w:val="21"/>
                    </w:rPr>
                    <w:t>木质展示柜</w:t>
                  </w:r>
                </w:p>
              </w:tc>
              <w:tc>
                <w:tcPr>
                  <w:tcW w:w="684" w:type="pct"/>
                  <w:tcMar>
                    <w:left w:w="0" w:type="dxa"/>
                    <w:right w:w="0" w:type="dxa"/>
                  </w:tcMar>
                  <w:vAlign w:val="center"/>
                </w:tcPr>
                <w:p w14:paraId="313EB7AB">
                  <w:pPr>
                    <w:adjustRightInd w:val="0"/>
                    <w:jc w:val="center"/>
                    <w:rPr>
                      <w:color w:val="auto"/>
                      <w:szCs w:val="21"/>
                      <w:lang w:val="zh-CN"/>
                    </w:rPr>
                  </w:pPr>
                  <w:r>
                    <w:rPr>
                      <w:rFonts w:hint="eastAsia"/>
                      <w:color w:val="auto"/>
                      <w:szCs w:val="21"/>
                    </w:rPr>
                    <w:t>45000件/年</w:t>
                  </w:r>
                </w:p>
              </w:tc>
              <w:tc>
                <w:tcPr>
                  <w:tcW w:w="902" w:type="pct"/>
                  <w:vAlign w:val="center"/>
                </w:tcPr>
                <w:p w14:paraId="2B05141B">
                  <w:pPr>
                    <w:adjustRightInd w:val="0"/>
                    <w:jc w:val="center"/>
                    <w:rPr>
                      <w:color w:val="auto"/>
                      <w:szCs w:val="21"/>
                      <w:lang w:val="zh-CN"/>
                    </w:rPr>
                  </w:pPr>
                  <w:r>
                    <w:rPr>
                      <w:rFonts w:hint="eastAsia"/>
                      <w:color w:val="auto"/>
                      <w:szCs w:val="21"/>
                    </w:rPr>
                    <w:t>40000件/年</w:t>
                  </w:r>
                </w:p>
              </w:tc>
              <w:tc>
                <w:tcPr>
                  <w:tcW w:w="674" w:type="pct"/>
                  <w:vAlign w:val="center"/>
                </w:tcPr>
                <w:p w14:paraId="5F0C72A8">
                  <w:pPr>
                    <w:adjustRightInd w:val="0"/>
                    <w:jc w:val="center"/>
                    <w:rPr>
                      <w:color w:val="auto"/>
                      <w:szCs w:val="21"/>
                      <w:lang w:val="zh-CN"/>
                    </w:rPr>
                  </w:pPr>
                  <w:r>
                    <w:rPr>
                      <w:rFonts w:hint="eastAsia"/>
                      <w:color w:val="auto"/>
                      <w:szCs w:val="21"/>
                      <w:lang w:val="zh-CN"/>
                    </w:rPr>
                    <w:t>-5000件/年</w:t>
                  </w:r>
                </w:p>
              </w:tc>
              <w:tc>
                <w:tcPr>
                  <w:tcW w:w="509" w:type="pct"/>
                  <w:vMerge w:val="restart"/>
                  <w:tcMar>
                    <w:left w:w="0" w:type="dxa"/>
                    <w:right w:w="0" w:type="dxa"/>
                  </w:tcMar>
                  <w:vAlign w:val="center"/>
                </w:tcPr>
                <w:p w14:paraId="5167F903">
                  <w:pPr>
                    <w:adjustRightInd w:val="0"/>
                    <w:jc w:val="center"/>
                    <w:rPr>
                      <w:color w:val="auto"/>
                      <w:szCs w:val="21"/>
                      <w:lang w:val="zh-CN"/>
                    </w:rPr>
                  </w:pPr>
                  <w:r>
                    <w:rPr>
                      <w:rFonts w:hint="eastAsia"/>
                      <w:color w:val="auto"/>
                      <w:szCs w:val="21"/>
                      <w:lang w:val="zh-CN"/>
                    </w:rPr>
                    <w:t>7200</w:t>
                  </w:r>
                </w:p>
              </w:tc>
              <w:tc>
                <w:tcPr>
                  <w:tcW w:w="521" w:type="pct"/>
                  <w:vMerge w:val="restart"/>
                  <w:vAlign w:val="center"/>
                </w:tcPr>
                <w:p w14:paraId="46CCCDE7">
                  <w:pPr>
                    <w:adjustRightInd w:val="0"/>
                    <w:jc w:val="center"/>
                    <w:rPr>
                      <w:color w:val="auto"/>
                      <w:szCs w:val="21"/>
                      <w:lang w:val="zh-CN"/>
                    </w:rPr>
                  </w:pPr>
                  <w:r>
                    <w:rPr>
                      <w:rFonts w:hint="eastAsia"/>
                      <w:color w:val="auto"/>
                      <w:szCs w:val="21"/>
                    </w:rPr>
                    <w:t>已验收</w:t>
                  </w:r>
                  <w:r>
                    <w:rPr>
                      <w:rFonts w:hint="eastAsia"/>
                      <w:color w:val="auto"/>
                      <w:szCs w:val="21"/>
                      <w:lang w:val="zh-CN"/>
                    </w:rPr>
                    <w:t>项目</w:t>
                  </w:r>
                </w:p>
              </w:tc>
            </w:tr>
            <w:tr w14:paraId="308D0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49" w:type="pct"/>
                  <w:vMerge w:val="continue"/>
                  <w:tcMar>
                    <w:left w:w="0" w:type="dxa"/>
                    <w:right w:w="0" w:type="dxa"/>
                  </w:tcMar>
                  <w:vAlign w:val="center"/>
                </w:tcPr>
                <w:p w14:paraId="22B13B51">
                  <w:pPr>
                    <w:adjustRightInd w:val="0"/>
                    <w:jc w:val="center"/>
                    <w:rPr>
                      <w:color w:val="auto"/>
                      <w:szCs w:val="21"/>
                      <w:lang w:val="zh-CN"/>
                    </w:rPr>
                  </w:pPr>
                </w:p>
              </w:tc>
              <w:tc>
                <w:tcPr>
                  <w:tcW w:w="788" w:type="pct"/>
                  <w:vMerge w:val="continue"/>
                  <w:tcMar>
                    <w:left w:w="0" w:type="dxa"/>
                    <w:right w:w="0" w:type="dxa"/>
                  </w:tcMar>
                  <w:vAlign w:val="center"/>
                </w:tcPr>
                <w:p w14:paraId="2D3CE149">
                  <w:pPr>
                    <w:adjustRightInd w:val="0"/>
                    <w:jc w:val="center"/>
                    <w:rPr>
                      <w:color w:val="auto"/>
                      <w:szCs w:val="21"/>
                    </w:rPr>
                  </w:pPr>
                </w:p>
              </w:tc>
              <w:tc>
                <w:tcPr>
                  <w:tcW w:w="769" w:type="pct"/>
                  <w:tcMar>
                    <w:left w:w="0" w:type="dxa"/>
                    <w:right w:w="0" w:type="dxa"/>
                  </w:tcMar>
                  <w:vAlign w:val="center"/>
                </w:tcPr>
                <w:p w14:paraId="04271B9A">
                  <w:pPr>
                    <w:adjustRightInd w:val="0"/>
                    <w:jc w:val="center"/>
                    <w:rPr>
                      <w:color w:val="auto"/>
                      <w:szCs w:val="21"/>
                    </w:rPr>
                  </w:pPr>
                  <w:r>
                    <w:rPr>
                      <w:rFonts w:hint="eastAsia"/>
                      <w:color w:val="auto"/>
                      <w:szCs w:val="21"/>
                    </w:rPr>
                    <w:t>铁质展示柜</w:t>
                  </w:r>
                </w:p>
              </w:tc>
              <w:tc>
                <w:tcPr>
                  <w:tcW w:w="684" w:type="pct"/>
                  <w:tcMar>
                    <w:left w:w="0" w:type="dxa"/>
                    <w:right w:w="0" w:type="dxa"/>
                  </w:tcMar>
                  <w:vAlign w:val="center"/>
                </w:tcPr>
                <w:p w14:paraId="65A78931">
                  <w:pPr>
                    <w:adjustRightInd w:val="0"/>
                    <w:jc w:val="center"/>
                    <w:rPr>
                      <w:color w:val="auto"/>
                      <w:szCs w:val="21"/>
                    </w:rPr>
                  </w:pPr>
                  <w:r>
                    <w:rPr>
                      <w:rFonts w:hint="eastAsia"/>
                      <w:color w:val="auto"/>
                      <w:szCs w:val="21"/>
                    </w:rPr>
                    <w:t>9000件/年</w:t>
                  </w:r>
                </w:p>
              </w:tc>
              <w:tc>
                <w:tcPr>
                  <w:tcW w:w="902" w:type="pct"/>
                  <w:vAlign w:val="center"/>
                </w:tcPr>
                <w:p w14:paraId="6D1A18C1">
                  <w:pPr>
                    <w:adjustRightInd w:val="0"/>
                    <w:jc w:val="center"/>
                    <w:rPr>
                      <w:color w:val="auto"/>
                      <w:szCs w:val="21"/>
                    </w:rPr>
                  </w:pPr>
                  <w:r>
                    <w:rPr>
                      <w:rFonts w:hint="eastAsia"/>
                      <w:color w:val="auto"/>
                      <w:szCs w:val="21"/>
                    </w:rPr>
                    <w:t>9000件/年</w:t>
                  </w:r>
                </w:p>
              </w:tc>
              <w:tc>
                <w:tcPr>
                  <w:tcW w:w="674" w:type="pct"/>
                  <w:vAlign w:val="center"/>
                </w:tcPr>
                <w:p w14:paraId="6C014AFB">
                  <w:pPr>
                    <w:adjustRightInd w:val="0"/>
                    <w:jc w:val="center"/>
                    <w:rPr>
                      <w:color w:val="auto"/>
                      <w:szCs w:val="21"/>
                    </w:rPr>
                  </w:pPr>
                  <w:r>
                    <w:rPr>
                      <w:rFonts w:hint="eastAsia"/>
                      <w:color w:val="auto"/>
                      <w:szCs w:val="21"/>
                    </w:rPr>
                    <w:t>0</w:t>
                  </w:r>
                </w:p>
              </w:tc>
              <w:tc>
                <w:tcPr>
                  <w:tcW w:w="509" w:type="pct"/>
                  <w:vMerge w:val="continue"/>
                  <w:tcMar>
                    <w:left w:w="0" w:type="dxa"/>
                    <w:right w:w="0" w:type="dxa"/>
                  </w:tcMar>
                  <w:vAlign w:val="center"/>
                </w:tcPr>
                <w:p w14:paraId="7D084F6C">
                  <w:pPr>
                    <w:adjustRightInd w:val="0"/>
                    <w:jc w:val="center"/>
                    <w:rPr>
                      <w:color w:val="auto"/>
                      <w:szCs w:val="21"/>
                      <w:lang w:val="zh-CN"/>
                    </w:rPr>
                  </w:pPr>
                </w:p>
              </w:tc>
              <w:tc>
                <w:tcPr>
                  <w:tcW w:w="521" w:type="pct"/>
                  <w:vMerge w:val="continue"/>
                  <w:vAlign w:val="center"/>
                </w:tcPr>
                <w:p w14:paraId="03FA0C3E">
                  <w:pPr>
                    <w:adjustRightInd w:val="0"/>
                    <w:jc w:val="center"/>
                    <w:rPr>
                      <w:color w:val="auto"/>
                      <w:szCs w:val="21"/>
                      <w:lang w:val="zh-CN"/>
                    </w:rPr>
                  </w:pPr>
                </w:p>
              </w:tc>
            </w:tr>
            <w:tr w14:paraId="7498D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49" w:type="pct"/>
                  <w:vMerge w:val="continue"/>
                  <w:tcMar>
                    <w:left w:w="0" w:type="dxa"/>
                    <w:right w:w="0" w:type="dxa"/>
                  </w:tcMar>
                  <w:vAlign w:val="center"/>
                </w:tcPr>
                <w:p w14:paraId="7B910338">
                  <w:pPr>
                    <w:adjustRightInd w:val="0"/>
                    <w:jc w:val="center"/>
                    <w:rPr>
                      <w:color w:val="auto"/>
                      <w:szCs w:val="21"/>
                      <w:lang w:val="zh-CN"/>
                    </w:rPr>
                  </w:pPr>
                </w:p>
              </w:tc>
              <w:tc>
                <w:tcPr>
                  <w:tcW w:w="788" w:type="pct"/>
                  <w:vMerge w:val="continue"/>
                  <w:tcMar>
                    <w:left w:w="0" w:type="dxa"/>
                    <w:right w:w="0" w:type="dxa"/>
                  </w:tcMar>
                  <w:vAlign w:val="center"/>
                </w:tcPr>
                <w:p w14:paraId="157CAD27">
                  <w:pPr>
                    <w:adjustRightInd w:val="0"/>
                    <w:jc w:val="center"/>
                    <w:rPr>
                      <w:color w:val="auto"/>
                      <w:szCs w:val="21"/>
                    </w:rPr>
                  </w:pPr>
                </w:p>
              </w:tc>
              <w:tc>
                <w:tcPr>
                  <w:tcW w:w="769" w:type="pct"/>
                  <w:tcMar>
                    <w:left w:w="0" w:type="dxa"/>
                    <w:right w:w="0" w:type="dxa"/>
                  </w:tcMar>
                  <w:vAlign w:val="center"/>
                </w:tcPr>
                <w:p w14:paraId="7B2AD9D8">
                  <w:pPr>
                    <w:adjustRightInd w:val="0"/>
                    <w:jc w:val="center"/>
                    <w:rPr>
                      <w:color w:val="auto"/>
                      <w:szCs w:val="21"/>
                    </w:rPr>
                  </w:pPr>
                  <w:r>
                    <w:rPr>
                      <w:rFonts w:hint="eastAsia"/>
                      <w:color w:val="auto"/>
                      <w:szCs w:val="21"/>
                    </w:rPr>
                    <w:t>亚克力展示柜</w:t>
                  </w:r>
                </w:p>
              </w:tc>
              <w:tc>
                <w:tcPr>
                  <w:tcW w:w="684" w:type="pct"/>
                  <w:tcMar>
                    <w:left w:w="0" w:type="dxa"/>
                    <w:right w:w="0" w:type="dxa"/>
                  </w:tcMar>
                  <w:vAlign w:val="center"/>
                </w:tcPr>
                <w:p w14:paraId="46B25A1B">
                  <w:pPr>
                    <w:adjustRightInd w:val="0"/>
                    <w:jc w:val="center"/>
                    <w:rPr>
                      <w:color w:val="auto"/>
                      <w:szCs w:val="21"/>
                    </w:rPr>
                  </w:pPr>
                  <w:r>
                    <w:rPr>
                      <w:rFonts w:hint="eastAsia"/>
                      <w:color w:val="auto"/>
                      <w:szCs w:val="21"/>
                    </w:rPr>
                    <w:t>6000件/年</w:t>
                  </w:r>
                </w:p>
              </w:tc>
              <w:tc>
                <w:tcPr>
                  <w:tcW w:w="902" w:type="pct"/>
                  <w:vAlign w:val="center"/>
                </w:tcPr>
                <w:p w14:paraId="607A7F60">
                  <w:pPr>
                    <w:adjustRightInd w:val="0"/>
                    <w:jc w:val="center"/>
                    <w:rPr>
                      <w:color w:val="auto"/>
                      <w:szCs w:val="21"/>
                    </w:rPr>
                  </w:pPr>
                  <w:r>
                    <w:rPr>
                      <w:rFonts w:hint="eastAsia"/>
                      <w:color w:val="auto"/>
                      <w:szCs w:val="21"/>
                    </w:rPr>
                    <w:t>6000件/年</w:t>
                  </w:r>
                </w:p>
              </w:tc>
              <w:tc>
                <w:tcPr>
                  <w:tcW w:w="674" w:type="pct"/>
                  <w:vAlign w:val="center"/>
                </w:tcPr>
                <w:p w14:paraId="42F1134A">
                  <w:pPr>
                    <w:adjustRightInd w:val="0"/>
                    <w:jc w:val="center"/>
                    <w:rPr>
                      <w:color w:val="auto"/>
                      <w:szCs w:val="21"/>
                    </w:rPr>
                  </w:pPr>
                  <w:r>
                    <w:rPr>
                      <w:rFonts w:hint="eastAsia"/>
                      <w:color w:val="auto"/>
                      <w:szCs w:val="21"/>
                    </w:rPr>
                    <w:t>0</w:t>
                  </w:r>
                </w:p>
              </w:tc>
              <w:tc>
                <w:tcPr>
                  <w:tcW w:w="509" w:type="pct"/>
                  <w:vMerge w:val="continue"/>
                  <w:tcMar>
                    <w:left w:w="0" w:type="dxa"/>
                    <w:right w:w="0" w:type="dxa"/>
                  </w:tcMar>
                  <w:vAlign w:val="center"/>
                </w:tcPr>
                <w:p w14:paraId="648FF6F7">
                  <w:pPr>
                    <w:adjustRightInd w:val="0"/>
                    <w:jc w:val="center"/>
                    <w:rPr>
                      <w:color w:val="auto"/>
                      <w:szCs w:val="21"/>
                      <w:lang w:val="zh-CN"/>
                    </w:rPr>
                  </w:pPr>
                </w:p>
              </w:tc>
              <w:tc>
                <w:tcPr>
                  <w:tcW w:w="521" w:type="pct"/>
                  <w:vMerge w:val="continue"/>
                  <w:vAlign w:val="center"/>
                </w:tcPr>
                <w:p w14:paraId="6237D592">
                  <w:pPr>
                    <w:adjustRightInd w:val="0"/>
                    <w:jc w:val="center"/>
                    <w:rPr>
                      <w:color w:val="auto"/>
                      <w:szCs w:val="21"/>
                      <w:lang w:val="zh-CN"/>
                    </w:rPr>
                  </w:pPr>
                </w:p>
              </w:tc>
            </w:tr>
            <w:tr w14:paraId="0E739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9" w:type="pct"/>
                  <w:tcMar>
                    <w:left w:w="0" w:type="dxa"/>
                    <w:right w:w="0" w:type="dxa"/>
                  </w:tcMar>
                  <w:vAlign w:val="center"/>
                </w:tcPr>
                <w:p w14:paraId="4DDC9034">
                  <w:pPr>
                    <w:adjustRightInd w:val="0"/>
                    <w:jc w:val="center"/>
                    <w:rPr>
                      <w:color w:val="auto"/>
                      <w:szCs w:val="21"/>
                      <w:lang w:val="zh-CN"/>
                    </w:rPr>
                  </w:pPr>
                  <w:r>
                    <w:rPr>
                      <w:rFonts w:hint="eastAsia"/>
                      <w:color w:val="auto"/>
                      <w:szCs w:val="21"/>
                      <w:lang w:val="zh-CN"/>
                    </w:rPr>
                    <w:t>2</w:t>
                  </w:r>
                </w:p>
              </w:tc>
              <w:tc>
                <w:tcPr>
                  <w:tcW w:w="788" w:type="pct"/>
                  <w:vMerge w:val="continue"/>
                  <w:tcMar>
                    <w:left w:w="0" w:type="dxa"/>
                    <w:right w:w="0" w:type="dxa"/>
                  </w:tcMar>
                  <w:vAlign w:val="center"/>
                </w:tcPr>
                <w:p w14:paraId="65F9FEC1">
                  <w:pPr>
                    <w:adjustRightInd w:val="0"/>
                    <w:jc w:val="center"/>
                    <w:rPr>
                      <w:color w:val="auto"/>
                      <w:szCs w:val="21"/>
                      <w:lang w:val="zh-CN"/>
                    </w:rPr>
                  </w:pPr>
                </w:p>
              </w:tc>
              <w:tc>
                <w:tcPr>
                  <w:tcW w:w="769" w:type="pct"/>
                  <w:tcMar>
                    <w:left w:w="0" w:type="dxa"/>
                    <w:right w:w="0" w:type="dxa"/>
                  </w:tcMar>
                  <w:vAlign w:val="center"/>
                </w:tcPr>
                <w:p w14:paraId="678CF09E">
                  <w:pPr>
                    <w:adjustRightInd w:val="0"/>
                    <w:jc w:val="center"/>
                    <w:rPr>
                      <w:color w:val="auto"/>
                      <w:szCs w:val="21"/>
                      <w:lang w:val="zh-CN"/>
                    </w:rPr>
                  </w:pPr>
                  <w:r>
                    <w:rPr>
                      <w:rFonts w:hint="eastAsia"/>
                      <w:color w:val="auto"/>
                      <w:szCs w:val="21"/>
                      <w:lang w:val="zh-CN"/>
                    </w:rPr>
                    <w:t>石制展示柜</w:t>
                  </w:r>
                </w:p>
              </w:tc>
              <w:tc>
                <w:tcPr>
                  <w:tcW w:w="684" w:type="pct"/>
                  <w:tcMar>
                    <w:left w:w="0" w:type="dxa"/>
                    <w:right w:w="0" w:type="dxa"/>
                  </w:tcMar>
                  <w:vAlign w:val="center"/>
                </w:tcPr>
                <w:p w14:paraId="16801A17">
                  <w:pPr>
                    <w:adjustRightInd w:val="0"/>
                    <w:jc w:val="center"/>
                    <w:rPr>
                      <w:color w:val="auto"/>
                      <w:szCs w:val="21"/>
                      <w:lang w:val="zh-CN"/>
                    </w:rPr>
                  </w:pPr>
                  <w:r>
                    <w:rPr>
                      <w:rFonts w:hint="eastAsia"/>
                      <w:color w:val="auto"/>
                      <w:szCs w:val="21"/>
                      <w:lang w:val="zh-CN"/>
                    </w:rPr>
                    <w:t>0</w:t>
                  </w:r>
                </w:p>
              </w:tc>
              <w:tc>
                <w:tcPr>
                  <w:tcW w:w="902" w:type="pct"/>
                  <w:vAlign w:val="center"/>
                </w:tcPr>
                <w:p w14:paraId="2B2E8D26">
                  <w:pPr>
                    <w:adjustRightInd w:val="0"/>
                    <w:jc w:val="center"/>
                    <w:rPr>
                      <w:color w:val="auto"/>
                      <w:szCs w:val="21"/>
                      <w:lang w:val="zh-CN"/>
                    </w:rPr>
                  </w:pPr>
                  <w:r>
                    <w:rPr>
                      <w:rFonts w:hint="eastAsia"/>
                      <w:color w:val="auto"/>
                      <w:szCs w:val="21"/>
                      <w:lang w:val="zh-CN"/>
                    </w:rPr>
                    <w:t>5000件/年</w:t>
                  </w:r>
                </w:p>
              </w:tc>
              <w:tc>
                <w:tcPr>
                  <w:tcW w:w="674" w:type="pct"/>
                  <w:vAlign w:val="center"/>
                </w:tcPr>
                <w:p w14:paraId="51BD5621">
                  <w:pPr>
                    <w:adjustRightInd w:val="0"/>
                    <w:jc w:val="center"/>
                    <w:rPr>
                      <w:color w:val="auto"/>
                      <w:szCs w:val="21"/>
                      <w:lang w:val="zh-CN"/>
                    </w:rPr>
                  </w:pPr>
                  <w:r>
                    <w:rPr>
                      <w:rFonts w:hint="eastAsia"/>
                      <w:color w:val="auto"/>
                      <w:szCs w:val="21"/>
                      <w:lang w:val="zh-CN"/>
                    </w:rPr>
                    <w:t>+5000件/年</w:t>
                  </w:r>
                </w:p>
              </w:tc>
              <w:tc>
                <w:tcPr>
                  <w:tcW w:w="509" w:type="pct"/>
                  <w:tcMar>
                    <w:left w:w="0" w:type="dxa"/>
                    <w:right w:w="0" w:type="dxa"/>
                  </w:tcMar>
                  <w:vAlign w:val="center"/>
                </w:tcPr>
                <w:p w14:paraId="110E5851">
                  <w:pPr>
                    <w:adjustRightInd w:val="0"/>
                    <w:jc w:val="center"/>
                    <w:rPr>
                      <w:color w:val="auto"/>
                      <w:szCs w:val="21"/>
                      <w:lang w:val="zh-CN"/>
                    </w:rPr>
                  </w:pPr>
                  <w:r>
                    <w:rPr>
                      <w:rFonts w:hint="eastAsia"/>
                      <w:color w:val="auto"/>
                      <w:szCs w:val="21"/>
                      <w:lang w:val="zh-CN"/>
                    </w:rPr>
                    <w:t>2400</w:t>
                  </w:r>
                </w:p>
              </w:tc>
              <w:tc>
                <w:tcPr>
                  <w:tcW w:w="521" w:type="pct"/>
                  <w:vAlign w:val="center"/>
                </w:tcPr>
                <w:p w14:paraId="57278429">
                  <w:pPr>
                    <w:adjustRightInd w:val="0"/>
                    <w:jc w:val="center"/>
                    <w:rPr>
                      <w:color w:val="auto"/>
                      <w:szCs w:val="21"/>
                      <w:lang w:val="zh-CN"/>
                    </w:rPr>
                  </w:pPr>
                  <w:r>
                    <w:rPr>
                      <w:rFonts w:hint="eastAsia"/>
                      <w:color w:val="auto"/>
                      <w:szCs w:val="21"/>
                    </w:rPr>
                    <w:t>未验收</w:t>
                  </w:r>
                  <w:r>
                    <w:rPr>
                      <w:rFonts w:hint="eastAsia"/>
                      <w:color w:val="auto"/>
                      <w:szCs w:val="21"/>
                      <w:lang w:val="zh-CN"/>
                    </w:rPr>
                    <w:t>项目</w:t>
                  </w:r>
                </w:p>
              </w:tc>
            </w:tr>
            <w:tr w14:paraId="74BC5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07" w:type="pct"/>
                  <w:gridSpan w:val="3"/>
                  <w:tcMar>
                    <w:left w:w="0" w:type="dxa"/>
                    <w:right w:w="0" w:type="dxa"/>
                  </w:tcMar>
                  <w:vAlign w:val="center"/>
                </w:tcPr>
                <w:p w14:paraId="5C901DA8">
                  <w:pPr>
                    <w:adjustRightInd w:val="0"/>
                    <w:jc w:val="center"/>
                    <w:rPr>
                      <w:color w:val="auto"/>
                      <w:szCs w:val="21"/>
                      <w:lang w:val="zh-CN"/>
                    </w:rPr>
                  </w:pPr>
                  <w:r>
                    <w:rPr>
                      <w:rFonts w:hint="eastAsia"/>
                      <w:color w:val="auto"/>
                      <w:szCs w:val="21"/>
                      <w:lang w:val="zh-CN"/>
                    </w:rPr>
                    <w:t>合计</w:t>
                  </w:r>
                </w:p>
              </w:tc>
              <w:tc>
                <w:tcPr>
                  <w:tcW w:w="684" w:type="pct"/>
                  <w:tcMar>
                    <w:left w:w="0" w:type="dxa"/>
                    <w:right w:w="0" w:type="dxa"/>
                  </w:tcMar>
                  <w:vAlign w:val="center"/>
                </w:tcPr>
                <w:p w14:paraId="116B0241">
                  <w:pPr>
                    <w:adjustRightInd w:val="0"/>
                    <w:jc w:val="center"/>
                    <w:rPr>
                      <w:color w:val="auto"/>
                      <w:szCs w:val="21"/>
                      <w:lang w:val="zh-CN"/>
                    </w:rPr>
                  </w:pPr>
                  <w:r>
                    <w:rPr>
                      <w:rFonts w:hint="eastAsia"/>
                      <w:color w:val="auto"/>
                      <w:szCs w:val="21"/>
                    </w:rPr>
                    <w:t>60000件/年</w:t>
                  </w:r>
                </w:p>
              </w:tc>
              <w:tc>
                <w:tcPr>
                  <w:tcW w:w="902" w:type="pct"/>
                  <w:vAlign w:val="center"/>
                </w:tcPr>
                <w:p w14:paraId="25C52C42">
                  <w:pPr>
                    <w:adjustRightInd w:val="0"/>
                    <w:jc w:val="center"/>
                    <w:rPr>
                      <w:color w:val="auto"/>
                      <w:szCs w:val="21"/>
                      <w:lang w:val="zh-CN"/>
                    </w:rPr>
                  </w:pPr>
                  <w:r>
                    <w:rPr>
                      <w:rFonts w:hint="eastAsia"/>
                      <w:color w:val="auto"/>
                      <w:szCs w:val="21"/>
                    </w:rPr>
                    <w:t>60000件/年</w:t>
                  </w:r>
                </w:p>
              </w:tc>
              <w:tc>
                <w:tcPr>
                  <w:tcW w:w="674" w:type="pct"/>
                  <w:vAlign w:val="center"/>
                </w:tcPr>
                <w:p w14:paraId="3D679E7A">
                  <w:pPr>
                    <w:adjustRightInd w:val="0"/>
                    <w:jc w:val="center"/>
                    <w:rPr>
                      <w:color w:val="auto"/>
                      <w:szCs w:val="21"/>
                      <w:lang w:val="zh-CN"/>
                    </w:rPr>
                  </w:pPr>
                  <w:r>
                    <w:rPr>
                      <w:rFonts w:hint="eastAsia"/>
                      <w:color w:val="auto"/>
                      <w:szCs w:val="21"/>
                      <w:lang w:val="zh-CN"/>
                    </w:rPr>
                    <w:t>0</w:t>
                  </w:r>
                </w:p>
              </w:tc>
              <w:tc>
                <w:tcPr>
                  <w:tcW w:w="509" w:type="pct"/>
                  <w:tcMar>
                    <w:left w:w="0" w:type="dxa"/>
                    <w:right w:w="0" w:type="dxa"/>
                  </w:tcMar>
                  <w:vAlign w:val="center"/>
                </w:tcPr>
                <w:p w14:paraId="59262712">
                  <w:pPr>
                    <w:adjustRightInd w:val="0"/>
                    <w:jc w:val="center"/>
                    <w:rPr>
                      <w:color w:val="auto"/>
                      <w:szCs w:val="21"/>
                      <w:lang w:val="zh-CN"/>
                    </w:rPr>
                  </w:pPr>
                  <w:r>
                    <w:rPr>
                      <w:rFonts w:hint="eastAsia"/>
                      <w:color w:val="auto"/>
                      <w:szCs w:val="21"/>
                      <w:lang w:val="zh-CN"/>
                    </w:rPr>
                    <w:t>/</w:t>
                  </w:r>
                </w:p>
              </w:tc>
              <w:tc>
                <w:tcPr>
                  <w:tcW w:w="521" w:type="pct"/>
                  <w:vAlign w:val="center"/>
                </w:tcPr>
                <w:p w14:paraId="65E6F53A">
                  <w:pPr>
                    <w:adjustRightInd w:val="0"/>
                    <w:jc w:val="center"/>
                    <w:rPr>
                      <w:color w:val="auto"/>
                      <w:szCs w:val="21"/>
                      <w:lang w:val="zh-CN"/>
                    </w:rPr>
                  </w:pPr>
                  <w:r>
                    <w:rPr>
                      <w:rFonts w:hint="eastAsia"/>
                      <w:color w:val="auto"/>
                      <w:szCs w:val="21"/>
                      <w:lang w:val="zh-CN"/>
                    </w:rPr>
                    <w:t>/</w:t>
                  </w:r>
                </w:p>
              </w:tc>
            </w:tr>
          </w:tbl>
          <w:p w14:paraId="1228E602">
            <w:pPr>
              <w:adjustRightInd w:val="0"/>
              <w:snapToGrid w:val="0"/>
              <w:spacing w:line="360" w:lineRule="auto"/>
              <w:ind w:firstLine="482" w:firstLineChars="200"/>
              <w:jc w:val="left"/>
              <w:rPr>
                <w:color w:val="auto"/>
                <w:sz w:val="24"/>
              </w:rPr>
            </w:pPr>
            <w:r>
              <w:rPr>
                <w:rFonts w:hint="eastAsia" w:ascii="宋体" w:hAnsi="宋体"/>
                <w:b/>
                <w:bCs/>
                <w:color w:val="auto"/>
                <w:sz w:val="24"/>
              </w:rPr>
              <w:t>二、现有厂区项目原辅材料消耗</w:t>
            </w:r>
          </w:p>
          <w:p w14:paraId="3F94CD97">
            <w:pPr>
              <w:pStyle w:val="8"/>
              <w:numPr>
                <w:ilvl w:val="1"/>
                <w:numId w:val="0"/>
              </w:numPr>
              <w:tabs>
                <w:tab w:val="left" w:pos="1049"/>
              </w:tabs>
              <w:adjustRightInd w:val="0"/>
              <w:snapToGrid w:val="0"/>
              <w:ind w:left="-105" w:firstLine="480"/>
              <w:jc w:val="center"/>
              <w:rPr>
                <w:rFonts w:ascii="Times New Roman" w:hAnsi="Times New Roman" w:cs="Times New Roman"/>
                <w:color w:val="auto"/>
              </w:rPr>
            </w:pPr>
            <w:r>
              <w:rPr>
                <w:rFonts w:ascii="Times New Roman" w:hAnsi="Times New Roman" w:cs="Times New Roman"/>
                <w:b/>
                <w:color w:val="auto"/>
                <w:kern w:val="2"/>
                <w:sz w:val="24"/>
              </w:rPr>
              <w:t>表2-</w:t>
            </w:r>
            <w:r>
              <w:rPr>
                <w:rFonts w:hint="eastAsia" w:ascii="Times New Roman" w:hAnsi="Times New Roman" w:cs="Times New Roman"/>
                <w:b/>
                <w:color w:val="auto"/>
                <w:kern w:val="2"/>
                <w:sz w:val="24"/>
              </w:rPr>
              <w:t>10</w:t>
            </w:r>
            <w:r>
              <w:rPr>
                <w:rFonts w:ascii="Times New Roman" w:hAnsi="Times New Roman" w:cs="Times New Roman"/>
                <w:b/>
                <w:color w:val="auto"/>
                <w:kern w:val="2"/>
                <w:sz w:val="24"/>
              </w:rPr>
              <w:t xml:space="preserve"> 生产原</w:t>
            </w:r>
            <w:r>
              <w:rPr>
                <w:rFonts w:hint="eastAsia" w:ascii="Times New Roman" w:hAnsi="Times New Roman" w:cs="Times New Roman"/>
                <w:b/>
                <w:color w:val="auto"/>
                <w:kern w:val="2"/>
                <w:sz w:val="24"/>
              </w:rPr>
              <w:t>辅</w:t>
            </w:r>
            <w:r>
              <w:rPr>
                <w:rFonts w:ascii="Times New Roman" w:hAnsi="Times New Roman" w:cs="Times New Roman"/>
                <w:b/>
                <w:color w:val="auto"/>
                <w:kern w:val="2"/>
                <w:sz w:val="24"/>
              </w:rPr>
              <w:t>材料</w:t>
            </w:r>
            <w:r>
              <w:rPr>
                <w:rFonts w:hint="eastAsia" w:ascii="Times New Roman" w:hAnsi="Times New Roman" w:cs="Times New Roman"/>
                <w:b/>
                <w:color w:val="auto"/>
                <w:kern w:val="2"/>
                <w:sz w:val="24"/>
              </w:rPr>
              <w:t>及能源</w:t>
            </w:r>
            <w:r>
              <w:rPr>
                <w:rFonts w:ascii="Times New Roman" w:hAnsi="Times New Roman" w:cs="Times New Roman"/>
                <w:b/>
                <w:color w:val="auto"/>
                <w:kern w:val="2"/>
                <w:sz w:val="24"/>
              </w:rPr>
              <w:t>消耗一览表</w:t>
            </w:r>
            <w:r>
              <w:rPr>
                <w:rFonts w:ascii="Times New Roman" w:hAnsi="Times New Roman" w:cs="Times New Roman"/>
                <w:color w:val="auto"/>
              </w:rPr>
              <w:t xml:space="preserve"> </w:t>
            </w:r>
          </w:p>
          <w:tbl>
            <w:tblPr>
              <w:tblStyle w:val="90"/>
              <w:tblW w:w="5000" w:type="pct"/>
              <w:tblInd w:w="0"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765"/>
              <w:gridCol w:w="4854"/>
              <w:gridCol w:w="1223"/>
              <w:gridCol w:w="1604"/>
              <w:gridCol w:w="1131"/>
              <w:gridCol w:w="1136"/>
              <w:gridCol w:w="1121"/>
            </w:tblGrid>
            <w:tr w14:paraId="31C89A7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F38EBC3">
                  <w:pPr>
                    <w:adjustRightInd w:val="0"/>
                    <w:jc w:val="center"/>
                    <w:rPr>
                      <w:b/>
                      <w:bCs/>
                      <w:color w:val="auto"/>
                      <w:szCs w:val="21"/>
                    </w:rPr>
                  </w:pPr>
                  <w:r>
                    <w:rPr>
                      <w:rFonts w:hint="eastAsia"/>
                      <w:b/>
                      <w:bCs/>
                      <w:color w:val="auto"/>
                      <w:szCs w:val="21"/>
                    </w:rPr>
                    <w:t>序号</w:t>
                  </w:r>
                </w:p>
              </w:tc>
              <w:tc>
                <w:tcPr>
                  <w:tcW w:w="306" w:type="pct"/>
                  <w:vAlign w:val="center"/>
                </w:tcPr>
                <w:p w14:paraId="4DB5B59C">
                  <w:pPr>
                    <w:adjustRightInd w:val="0"/>
                    <w:jc w:val="center"/>
                    <w:rPr>
                      <w:b/>
                      <w:bCs/>
                      <w:color w:val="auto"/>
                      <w:szCs w:val="21"/>
                    </w:rPr>
                  </w:pPr>
                  <w:r>
                    <w:rPr>
                      <w:rFonts w:hint="eastAsia"/>
                      <w:b/>
                      <w:bCs/>
                      <w:color w:val="auto"/>
                      <w:szCs w:val="21"/>
                    </w:rPr>
                    <w:t>名称</w:t>
                  </w:r>
                </w:p>
              </w:tc>
              <w:tc>
                <w:tcPr>
                  <w:tcW w:w="1942" w:type="pct"/>
                  <w:vAlign w:val="center"/>
                </w:tcPr>
                <w:p w14:paraId="53BF480B">
                  <w:pPr>
                    <w:adjustRightInd w:val="0"/>
                    <w:jc w:val="center"/>
                    <w:rPr>
                      <w:b/>
                      <w:bCs/>
                      <w:color w:val="auto"/>
                      <w:szCs w:val="21"/>
                    </w:rPr>
                  </w:pPr>
                  <w:r>
                    <w:rPr>
                      <w:rFonts w:hint="eastAsia"/>
                      <w:b/>
                      <w:bCs/>
                      <w:color w:val="auto"/>
                      <w:szCs w:val="21"/>
                    </w:rPr>
                    <w:t>规格参数</w:t>
                  </w:r>
                </w:p>
              </w:tc>
              <w:tc>
                <w:tcPr>
                  <w:tcW w:w="489" w:type="pct"/>
                  <w:vAlign w:val="center"/>
                </w:tcPr>
                <w:p w14:paraId="71416732">
                  <w:pPr>
                    <w:adjustRightInd w:val="0"/>
                    <w:jc w:val="center"/>
                    <w:rPr>
                      <w:b/>
                      <w:bCs/>
                      <w:color w:val="auto"/>
                      <w:szCs w:val="21"/>
                    </w:rPr>
                  </w:pPr>
                  <w:r>
                    <w:rPr>
                      <w:rFonts w:hint="eastAsia"/>
                      <w:b/>
                      <w:bCs/>
                      <w:color w:val="auto"/>
                      <w:szCs w:val="21"/>
                    </w:rPr>
                    <w:t>型号</w:t>
                  </w:r>
                </w:p>
              </w:tc>
              <w:tc>
                <w:tcPr>
                  <w:tcW w:w="641" w:type="pct"/>
                  <w:vAlign w:val="center"/>
                </w:tcPr>
                <w:p w14:paraId="4D49B3FF">
                  <w:pPr>
                    <w:adjustRightInd w:val="0"/>
                    <w:jc w:val="center"/>
                    <w:rPr>
                      <w:b/>
                      <w:bCs/>
                      <w:color w:val="auto"/>
                      <w:szCs w:val="21"/>
                    </w:rPr>
                  </w:pPr>
                  <w:r>
                    <w:rPr>
                      <w:rFonts w:hint="eastAsia"/>
                      <w:b/>
                      <w:bCs/>
                      <w:color w:val="auto"/>
                      <w:szCs w:val="21"/>
                    </w:rPr>
                    <w:t>消耗量</w:t>
                  </w:r>
                </w:p>
              </w:tc>
              <w:tc>
                <w:tcPr>
                  <w:tcW w:w="452" w:type="pct"/>
                  <w:vAlign w:val="center"/>
                </w:tcPr>
                <w:p w14:paraId="1D6CC564">
                  <w:pPr>
                    <w:adjustRightInd w:val="0"/>
                    <w:jc w:val="center"/>
                    <w:rPr>
                      <w:b/>
                      <w:bCs/>
                      <w:color w:val="auto"/>
                      <w:szCs w:val="21"/>
                    </w:rPr>
                  </w:pPr>
                  <w:r>
                    <w:rPr>
                      <w:rFonts w:hint="eastAsia"/>
                      <w:b/>
                      <w:bCs/>
                      <w:color w:val="auto"/>
                      <w:szCs w:val="21"/>
                    </w:rPr>
                    <w:t>最大暂存量</w:t>
                  </w:r>
                </w:p>
              </w:tc>
              <w:tc>
                <w:tcPr>
                  <w:tcW w:w="454" w:type="pct"/>
                  <w:vAlign w:val="center"/>
                </w:tcPr>
                <w:p w14:paraId="52B88348">
                  <w:pPr>
                    <w:adjustRightInd w:val="0"/>
                    <w:jc w:val="center"/>
                    <w:rPr>
                      <w:b/>
                      <w:bCs/>
                      <w:color w:val="auto"/>
                      <w:szCs w:val="21"/>
                    </w:rPr>
                  </w:pPr>
                  <w:r>
                    <w:rPr>
                      <w:rFonts w:hint="eastAsia"/>
                      <w:b/>
                      <w:bCs/>
                      <w:color w:val="auto"/>
                      <w:szCs w:val="21"/>
                    </w:rPr>
                    <w:t>储存位置</w:t>
                  </w:r>
                </w:p>
              </w:tc>
              <w:tc>
                <w:tcPr>
                  <w:tcW w:w="448" w:type="pct"/>
                  <w:vAlign w:val="center"/>
                </w:tcPr>
                <w:p w14:paraId="23BCD137">
                  <w:pPr>
                    <w:adjustRightInd w:val="0"/>
                    <w:jc w:val="center"/>
                    <w:rPr>
                      <w:b/>
                      <w:bCs/>
                      <w:color w:val="auto"/>
                      <w:szCs w:val="21"/>
                    </w:rPr>
                  </w:pPr>
                  <w:r>
                    <w:rPr>
                      <w:rFonts w:hint="eastAsia"/>
                      <w:b/>
                      <w:bCs/>
                      <w:color w:val="auto"/>
                      <w:szCs w:val="21"/>
                    </w:rPr>
                    <w:t>备注</w:t>
                  </w:r>
                </w:p>
              </w:tc>
            </w:tr>
            <w:tr w14:paraId="49997C7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98B831A">
                  <w:pPr>
                    <w:adjustRightInd w:val="0"/>
                    <w:jc w:val="center"/>
                    <w:rPr>
                      <w:color w:val="auto"/>
                      <w:szCs w:val="21"/>
                    </w:rPr>
                  </w:pPr>
                  <w:r>
                    <w:rPr>
                      <w:rFonts w:hint="eastAsia"/>
                      <w:color w:val="auto"/>
                      <w:szCs w:val="21"/>
                    </w:rPr>
                    <w:t>1</w:t>
                  </w:r>
                </w:p>
              </w:tc>
              <w:tc>
                <w:tcPr>
                  <w:tcW w:w="306" w:type="pct"/>
                  <w:vAlign w:val="center"/>
                </w:tcPr>
                <w:p w14:paraId="0E6A856A">
                  <w:pPr>
                    <w:adjustRightInd w:val="0"/>
                    <w:jc w:val="center"/>
                    <w:rPr>
                      <w:color w:val="auto"/>
                      <w:szCs w:val="21"/>
                    </w:rPr>
                  </w:pPr>
                  <w:r>
                    <w:rPr>
                      <w:rFonts w:hint="eastAsia"/>
                      <w:color w:val="auto"/>
                      <w:szCs w:val="21"/>
                    </w:rPr>
                    <w:t>大理石</w:t>
                  </w:r>
                </w:p>
              </w:tc>
              <w:tc>
                <w:tcPr>
                  <w:tcW w:w="1942" w:type="pct"/>
                  <w:vAlign w:val="center"/>
                </w:tcPr>
                <w:p w14:paraId="7A473558">
                  <w:pPr>
                    <w:adjustRightInd w:val="0"/>
                    <w:jc w:val="center"/>
                    <w:rPr>
                      <w:color w:val="auto"/>
                      <w:szCs w:val="21"/>
                    </w:rPr>
                  </w:pPr>
                  <w:r>
                    <w:rPr>
                      <w:rFonts w:hint="eastAsia"/>
                      <w:color w:val="auto"/>
                      <w:szCs w:val="21"/>
                    </w:rPr>
                    <w:t>760*2500*6/12</w:t>
                  </w:r>
                </w:p>
              </w:tc>
              <w:tc>
                <w:tcPr>
                  <w:tcW w:w="489" w:type="pct"/>
                  <w:vAlign w:val="center"/>
                </w:tcPr>
                <w:p w14:paraId="50D799D8">
                  <w:pPr>
                    <w:adjustRightInd w:val="0"/>
                    <w:jc w:val="center"/>
                    <w:rPr>
                      <w:color w:val="auto"/>
                      <w:szCs w:val="21"/>
                    </w:rPr>
                  </w:pPr>
                  <w:r>
                    <w:rPr>
                      <w:rFonts w:hint="eastAsia"/>
                      <w:color w:val="auto"/>
                      <w:szCs w:val="21"/>
                    </w:rPr>
                    <w:t>-</w:t>
                  </w:r>
                </w:p>
              </w:tc>
              <w:tc>
                <w:tcPr>
                  <w:tcW w:w="641" w:type="pct"/>
                  <w:vAlign w:val="center"/>
                </w:tcPr>
                <w:p w14:paraId="4A78FDB3">
                  <w:pPr>
                    <w:adjustRightInd w:val="0"/>
                    <w:jc w:val="center"/>
                    <w:rPr>
                      <w:color w:val="auto"/>
                      <w:szCs w:val="21"/>
                    </w:rPr>
                  </w:pPr>
                  <w:r>
                    <w:rPr>
                      <w:rFonts w:hint="eastAsia"/>
                      <w:color w:val="auto"/>
                      <w:szCs w:val="21"/>
                    </w:rPr>
                    <w:t>960张/年</w:t>
                  </w:r>
                </w:p>
              </w:tc>
              <w:tc>
                <w:tcPr>
                  <w:tcW w:w="452" w:type="pct"/>
                  <w:vAlign w:val="center"/>
                </w:tcPr>
                <w:p w14:paraId="2C2302FB">
                  <w:pPr>
                    <w:adjustRightInd w:val="0"/>
                    <w:jc w:val="center"/>
                    <w:rPr>
                      <w:color w:val="auto"/>
                      <w:szCs w:val="21"/>
                    </w:rPr>
                  </w:pPr>
                  <w:r>
                    <w:rPr>
                      <w:rFonts w:hint="eastAsia"/>
                      <w:color w:val="auto"/>
                      <w:szCs w:val="21"/>
                    </w:rPr>
                    <w:t>400张</w:t>
                  </w:r>
                </w:p>
              </w:tc>
              <w:tc>
                <w:tcPr>
                  <w:tcW w:w="454" w:type="pct"/>
                  <w:vAlign w:val="center"/>
                </w:tcPr>
                <w:p w14:paraId="0D1468DD">
                  <w:pPr>
                    <w:adjustRightInd w:val="0"/>
                    <w:jc w:val="center"/>
                    <w:rPr>
                      <w:color w:val="auto"/>
                      <w:szCs w:val="21"/>
                    </w:rPr>
                  </w:pPr>
                  <w:r>
                    <w:rPr>
                      <w:rFonts w:hint="eastAsia"/>
                      <w:color w:val="auto"/>
                      <w:szCs w:val="21"/>
                    </w:rPr>
                    <w:t>车间边仓</w:t>
                  </w:r>
                </w:p>
              </w:tc>
              <w:tc>
                <w:tcPr>
                  <w:tcW w:w="448" w:type="pct"/>
                  <w:vAlign w:val="center"/>
                </w:tcPr>
                <w:p w14:paraId="15A956C8">
                  <w:pPr>
                    <w:adjustRightInd w:val="0"/>
                    <w:jc w:val="center"/>
                    <w:rPr>
                      <w:color w:val="auto"/>
                      <w:szCs w:val="21"/>
                    </w:rPr>
                  </w:pPr>
                  <w:r>
                    <w:rPr>
                      <w:rFonts w:hint="eastAsia"/>
                      <w:color w:val="auto"/>
                      <w:szCs w:val="21"/>
                    </w:rPr>
                    <w:t>外购</w:t>
                  </w:r>
                </w:p>
              </w:tc>
            </w:tr>
            <w:tr w14:paraId="2D4B3F2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00F1DF4">
                  <w:pPr>
                    <w:adjustRightInd w:val="0"/>
                    <w:jc w:val="center"/>
                    <w:rPr>
                      <w:color w:val="auto"/>
                      <w:szCs w:val="21"/>
                    </w:rPr>
                  </w:pPr>
                  <w:r>
                    <w:rPr>
                      <w:rFonts w:hint="eastAsia"/>
                      <w:color w:val="auto"/>
                      <w:szCs w:val="21"/>
                    </w:rPr>
                    <w:t>2</w:t>
                  </w:r>
                </w:p>
              </w:tc>
              <w:tc>
                <w:tcPr>
                  <w:tcW w:w="306" w:type="pct"/>
                  <w:vAlign w:val="center"/>
                </w:tcPr>
                <w:p w14:paraId="09FBA08C">
                  <w:pPr>
                    <w:adjustRightInd w:val="0"/>
                    <w:jc w:val="center"/>
                    <w:rPr>
                      <w:color w:val="auto"/>
                      <w:szCs w:val="21"/>
                    </w:rPr>
                  </w:pPr>
                  <w:r>
                    <w:rPr>
                      <w:rFonts w:hint="eastAsia"/>
                      <w:color w:val="auto"/>
                      <w:szCs w:val="21"/>
                    </w:rPr>
                    <w:t>大理石胶</w:t>
                  </w:r>
                </w:p>
              </w:tc>
              <w:tc>
                <w:tcPr>
                  <w:tcW w:w="1942" w:type="pct"/>
                  <w:vAlign w:val="center"/>
                </w:tcPr>
                <w:p w14:paraId="173EC172">
                  <w:pPr>
                    <w:adjustRightInd w:val="0"/>
                    <w:jc w:val="center"/>
                    <w:rPr>
                      <w:color w:val="auto"/>
                      <w:szCs w:val="21"/>
                    </w:rPr>
                  </w:pPr>
                  <w:r>
                    <w:rPr>
                      <w:rFonts w:hint="eastAsia"/>
                      <w:color w:val="auto"/>
                      <w:szCs w:val="21"/>
                    </w:rPr>
                    <w:t>/</w:t>
                  </w:r>
                </w:p>
              </w:tc>
              <w:tc>
                <w:tcPr>
                  <w:tcW w:w="489" w:type="pct"/>
                  <w:vAlign w:val="center"/>
                </w:tcPr>
                <w:p w14:paraId="7BD34970">
                  <w:pPr>
                    <w:adjustRightInd w:val="0"/>
                    <w:jc w:val="center"/>
                    <w:rPr>
                      <w:color w:val="auto"/>
                      <w:szCs w:val="21"/>
                    </w:rPr>
                  </w:pPr>
                  <w:r>
                    <w:rPr>
                      <w:rFonts w:hint="eastAsia"/>
                      <w:color w:val="auto"/>
                      <w:szCs w:val="21"/>
                    </w:rPr>
                    <w:t>水基胶黏剂，VOCs含量≤50g/L</w:t>
                  </w:r>
                </w:p>
              </w:tc>
              <w:tc>
                <w:tcPr>
                  <w:tcW w:w="641" w:type="pct"/>
                  <w:vAlign w:val="center"/>
                </w:tcPr>
                <w:p w14:paraId="0F17458B">
                  <w:pPr>
                    <w:adjustRightInd w:val="0"/>
                    <w:jc w:val="center"/>
                    <w:rPr>
                      <w:color w:val="auto"/>
                      <w:szCs w:val="21"/>
                    </w:rPr>
                  </w:pPr>
                  <w:r>
                    <w:rPr>
                      <w:rFonts w:hint="eastAsia"/>
                      <w:color w:val="auto"/>
                      <w:szCs w:val="21"/>
                    </w:rPr>
                    <w:t>6000支</w:t>
                  </w:r>
                </w:p>
              </w:tc>
              <w:tc>
                <w:tcPr>
                  <w:tcW w:w="452" w:type="pct"/>
                  <w:vAlign w:val="center"/>
                </w:tcPr>
                <w:p w14:paraId="68ABA93E">
                  <w:pPr>
                    <w:adjustRightInd w:val="0"/>
                    <w:jc w:val="center"/>
                    <w:rPr>
                      <w:color w:val="auto"/>
                      <w:szCs w:val="21"/>
                    </w:rPr>
                  </w:pPr>
                  <w:r>
                    <w:rPr>
                      <w:rFonts w:hint="eastAsia"/>
                      <w:color w:val="auto"/>
                      <w:szCs w:val="21"/>
                    </w:rPr>
                    <w:t>0.1t</w:t>
                  </w:r>
                </w:p>
              </w:tc>
              <w:tc>
                <w:tcPr>
                  <w:tcW w:w="454" w:type="pct"/>
                  <w:vAlign w:val="center"/>
                </w:tcPr>
                <w:p w14:paraId="69B11CA8">
                  <w:pPr>
                    <w:adjustRightInd w:val="0"/>
                    <w:jc w:val="center"/>
                    <w:rPr>
                      <w:color w:val="auto"/>
                      <w:szCs w:val="21"/>
                    </w:rPr>
                  </w:pPr>
                  <w:r>
                    <w:rPr>
                      <w:rFonts w:hint="eastAsia"/>
                      <w:color w:val="auto"/>
                      <w:szCs w:val="21"/>
                    </w:rPr>
                    <w:t>仓库</w:t>
                  </w:r>
                </w:p>
              </w:tc>
              <w:tc>
                <w:tcPr>
                  <w:tcW w:w="448" w:type="pct"/>
                  <w:vAlign w:val="center"/>
                </w:tcPr>
                <w:p w14:paraId="4FD8581D">
                  <w:pPr>
                    <w:adjustRightInd w:val="0"/>
                    <w:jc w:val="center"/>
                    <w:rPr>
                      <w:color w:val="auto"/>
                      <w:szCs w:val="21"/>
                    </w:rPr>
                  </w:pPr>
                  <w:r>
                    <w:rPr>
                      <w:rFonts w:hint="eastAsia"/>
                      <w:color w:val="auto"/>
                      <w:szCs w:val="21"/>
                    </w:rPr>
                    <w:t>外购</w:t>
                  </w:r>
                </w:p>
              </w:tc>
            </w:tr>
            <w:tr w14:paraId="015B54C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837A542">
                  <w:pPr>
                    <w:adjustRightInd w:val="0"/>
                    <w:jc w:val="center"/>
                    <w:rPr>
                      <w:color w:val="auto"/>
                      <w:szCs w:val="21"/>
                    </w:rPr>
                  </w:pPr>
                  <w:r>
                    <w:rPr>
                      <w:rFonts w:hint="eastAsia"/>
                      <w:color w:val="auto"/>
                      <w:szCs w:val="21"/>
                    </w:rPr>
                    <w:t>3</w:t>
                  </w:r>
                </w:p>
              </w:tc>
              <w:tc>
                <w:tcPr>
                  <w:tcW w:w="306" w:type="pct"/>
                  <w:vAlign w:val="center"/>
                </w:tcPr>
                <w:p w14:paraId="3A92C687">
                  <w:pPr>
                    <w:adjustRightInd w:val="0"/>
                    <w:jc w:val="center"/>
                    <w:rPr>
                      <w:color w:val="auto"/>
                      <w:szCs w:val="21"/>
                    </w:rPr>
                  </w:pPr>
                  <w:r>
                    <w:rPr>
                      <w:rFonts w:hint="eastAsia"/>
                      <w:color w:val="auto"/>
                      <w:szCs w:val="21"/>
                    </w:rPr>
                    <w:t>砂纸</w:t>
                  </w:r>
                </w:p>
              </w:tc>
              <w:tc>
                <w:tcPr>
                  <w:tcW w:w="1942" w:type="pct"/>
                  <w:vAlign w:val="center"/>
                </w:tcPr>
                <w:p w14:paraId="050EFB6D">
                  <w:pPr>
                    <w:adjustRightInd w:val="0"/>
                    <w:jc w:val="center"/>
                    <w:rPr>
                      <w:color w:val="auto"/>
                      <w:szCs w:val="21"/>
                    </w:rPr>
                  </w:pPr>
                  <w:r>
                    <w:rPr>
                      <w:rFonts w:hint="eastAsia"/>
                      <w:color w:val="auto"/>
                      <w:szCs w:val="21"/>
                    </w:rPr>
                    <w:t>/</w:t>
                  </w:r>
                </w:p>
              </w:tc>
              <w:tc>
                <w:tcPr>
                  <w:tcW w:w="489" w:type="pct"/>
                  <w:vAlign w:val="center"/>
                </w:tcPr>
                <w:p w14:paraId="4546C17B">
                  <w:pPr>
                    <w:adjustRightInd w:val="0"/>
                    <w:jc w:val="center"/>
                    <w:rPr>
                      <w:color w:val="auto"/>
                      <w:szCs w:val="21"/>
                    </w:rPr>
                  </w:pPr>
                  <w:r>
                    <w:rPr>
                      <w:rFonts w:hint="eastAsia"/>
                      <w:color w:val="auto"/>
                      <w:szCs w:val="21"/>
                    </w:rPr>
                    <w:t>-</w:t>
                  </w:r>
                </w:p>
              </w:tc>
              <w:tc>
                <w:tcPr>
                  <w:tcW w:w="641" w:type="pct"/>
                  <w:vAlign w:val="center"/>
                </w:tcPr>
                <w:p w14:paraId="1D13F4B3">
                  <w:pPr>
                    <w:adjustRightInd w:val="0"/>
                    <w:jc w:val="center"/>
                    <w:rPr>
                      <w:color w:val="auto"/>
                      <w:szCs w:val="21"/>
                    </w:rPr>
                  </w:pPr>
                  <w:r>
                    <w:rPr>
                      <w:rFonts w:hint="eastAsia"/>
                      <w:color w:val="auto"/>
                      <w:szCs w:val="21"/>
                    </w:rPr>
                    <w:t>33000张</w:t>
                  </w:r>
                </w:p>
              </w:tc>
              <w:tc>
                <w:tcPr>
                  <w:tcW w:w="452" w:type="pct"/>
                  <w:vAlign w:val="center"/>
                </w:tcPr>
                <w:p w14:paraId="14464342">
                  <w:pPr>
                    <w:adjustRightInd w:val="0"/>
                    <w:jc w:val="center"/>
                    <w:rPr>
                      <w:color w:val="auto"/>
                      <w:szCs w:val="21"/>
                    </w:rPr>
                  </w:pPr>
                  <w:r>
                    <w:rPr>
                      <w:rFonts w:hint="eastAsia"/>
                      <w:color w:val="auto"/>
                      <w:szCs w:val="21"/>
                    </w:rPr>
                    <w:t>0.02t</w:t>
                  </w:r>
                </w:p>
              </w:tc>
              <w:tc>
                <w:tcPr>
                  <w:tcW w:w="454" w:type="pct"/>
                  <w:vAlign w:val="center"/>
                </w:tcPr>
                <w:p w14:paraId="59767E33">
                  <w:pPr>
                    <w:adjustRightInd w:val="0"/>
                    <w:jc w:val="center"/>
                    <w:rPr>
                      <w:color w:val="auto"/>
                      <w:szCs w:val="21"/>
                    </w:rPr>
                  </w:pPr>
                  <w:r>
                    <w:rPr>
                      <w:rFonts w:hint="eastAsia"/>
                      <w:color w:val="auto"/>
                      <w:szCs w:val="21"/>
                    </w:rPr>
                    <w:t>仓库</w:t>
                  </w:r>
                </w:p>
              </w:tc>
              <w:tc>
                <w:tcPr>
                  <w:tcW w:w="448" w:type="pct"/>
                  <w:vAlign w:val="center"/>
                </w:tcPr>
                <w:p w14:paraId="40E9D9E9">
                  <w:pPr>
                    <w:adjustRightInd w:val="0"/>
                    <w:jc w:val="center"/>
                    <w:rPr>
                      <w:color w:val="auto"/>
                      <w:szCs w:val="21"/>
                    </w:rPr>
                  </w:pPr>
                  <w:r>
                    <w:rPr>
                      <w:rFonts w:hint="eastAsia"/>
                      <w:color w:val="auto"/>
                      <w:szCs w:val="21"/>
                    </w:rPr>
                    <w:t>外购</w:t>
                  </w:r>
                </w:p>
              </w:tc>
            </w:tr>
            <w:tr w14:paraId="44BF8B0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25AF2F3">
                  <w:pPr>
                    <w:adjustRightInd w:val="0"/>
                    <w:jc w:val="center"/>
                    <w:rPr>
                      <w:color w:val="auto"/>
                      <w:szCs w:val="21"/>
                    </w:rPr>
                  </w:pPr>
                  <w:r>
                    <w:rPr>
                      <w:rFonts w:hint="eastAsia"/>
                      <w:color w:val="auto"/>
                      <w:szCs w:val="21"/>
                    </w:rPr>
                    <w:t>4</w:t>
                  </w:r>
                </w:p>
              </w:tc>
              <w:tc>
                <w:tcPr>
                  <w:tcW w:w="306" w:type="pct"/>
                  <w:vAlign w:val="center"/>
                </w:tcPr>
                <w:p w14:paraId="31426340">
                  <w:pPr>
                    <w:adjustRightInd w:val="0"/>
                    <w:jc w:val="center"/>
                    <w:rPr>
                      <w:color w:val="auto"/>
                      <w:szCs w:val="21"/>
                    </w:rPr>
                  </w:pPr>
                  <w:r>
                    <w:rPr>
                      <w:rFonts w:hint="eastAsia"/>
                      <w:color w:val="auto"/>
                      <w:szCs w:val="21"/>
                    </w:rPr>
                    <w:t>刀头</w:t>
                  </w:r>
                </w:p>
              </w:tc>
              <w:tc>
                <w:tcPr>
                  <w:tcW w:w="1942" w:type="pct"/>
                  <w:vAlign w:val="center"/>
                </w:tcPr>
                <w:p w14:paraId="77D70D2A">
                  <w:pPr>
                    <w:adjustRightInd w:val="0"/>
                    <w:jc w:val="center"/>
                    <w:rPr>
                      <w:color w:val="auto"/>
                      <w:szCs w:val="21"/>
                    </w:rPr>
                  </w:pPr>
                  <w:r>
                    <w:rPr>
                      <w:rFonts w:hint="eastAsia"/>
                      <w:color w:val="auto"/>
                      <w:szCs w:val="21"/>
                    </w:rPr>
                    <w:t>/</w:t>
                  </w:r>
                </w:p>
              </w:tc>
              <w:tc>
                <w:tcPr>
                  <w:tcW w:w="489" w:type="pct"/>
                  <w:vAlign w:val="center"/>
                </w:tcPr>
                <w:p w14:paraId="10D30E88">
                  <w:pPr>
                    <w:adjustRightInd w:val="0"/>
                    <w:jc w:val="center"/>
                    <w:rPr>
                      <w:color w:val="auto"/>
                      <w:szCs w:val="21"/>
                    </w:rPr>
                  </w:pPr>
                  <w:r>
                    <w:rPr>
                      <w:rFonts w:hint="eastAsia"/>
                      <w:color w:val="auto"/>
                      <w:szCs w:val="21"/>
                    </w:rPr>
                    <w:t>-</w:t>
                  </w:r>
                </w:p>
              </w:tc>
              <w:tc>
                <w:tcPr>
                  <w:tcW w:w="641" w:type="pct"/>
                  <w:vAlign w:val="center"/>
                </w:tcPr>
                <w:p w14:paraId="292F4691">
                  <w:pPr>
                    <w:adjustRightInd w:val="0"/>
                    <w:jc w:val="center"/>
                    <w:rPr>
                      <w:color w:val="auto"/>
                      <w:szCs w:val="21"/>
                    </w:rPr>
                  </w:pPr>
                  <w:r>
                    <w:rPr>
                      <w:rFonts w:hint="eastAsia"/>
                      <w:color w:val="auto"/>
                      <w:szCs w:val="21"/>
                    </w:rPr>
                    <w:t>200只</w:t>
                  </w:r>
                </w:p>
              </w:tc>
              <w:tc>
                <w:tcPr>
                  <w:tcW w:w="452" w:type="pct"/>
                  <w:vAlign w:val="center"/>
                </w:tcPr>
                <w:p w14:paraId="2049385E">
                  <w:pPr>
                    <w:adjustRightInd w:val="0"/>
                    <w:jc w:val="center"/>
                    <w:rPr>
                      <w:color w:val="auto"/>
                      <w:szCs w:val="21"/>
                    </w:rPr>
                  </w:pPr>
                  <w:r>
                    <w:rPr>
                      <w:rFonts w:hint="eastAsia"/>
                      <w:color w:val="auto"/>
                      <w:szCs w:val="21"/>
                    </w:rPr>
                    <w:t>200只</w:t>
                  </w:r>
                </w:p>
              </w:tc>
              <w:tc>
                <w:tcPr>
                  <w:tcW w:w="454" w:type="pct"/>
                  <w:vAlign w:val="center"/>
                </w:tcPr>
                <w:p w14:paraId="664C19CE">
                  <w:pPr>
                    <w:adjustRightInd w:val="0"/>
                    <w:jc w:val="center"/>
                    <w:rPr>
                      <w:color w:val="auto"/>
                      <w:szCs w:val="21"/>
                    </w:rPr>
                  </w:pPr>
                  <w:r>
                    <w:rPr>
                      <w:rFonts w:hint="eastAsia"/>
                      <w:color w:val="auto"/>
                      <w:szCs w:val="21"/>
                    </w:rPr>
                    <w:t>仓库</w:t>
                  </w:r>
                </w:p>
              </w:tc>
              <w:tc>
                <w:tcPr>
                  <w:tcW w:w="448" w:type="pct"/>
                  <w:vAlign w:val="center"/>
                </w:tcPr>
                <w:p w14:paraId="0BE0458B">
                  <w:pPr>
                    <w:adjustRightInd w:val="0"/>
                    <w:jc w:val="center"/>
                    <w:rPr>
                      <w:color w:val="auto"/>
                      <w:szCs w:val="21"/>
                    </w:rPr>
                  </w:pPr>
                  <w:r>
                    <w:rPr>
                      <w:rFonts w:hint="eastAsia"/>
                      <w:color w:val="auto"/>
                      <w:szCs w:val="21"/>
                    </w:rPr>
                    <w:t>外购</w:t>
                  </w:r>
                </w:p>
              </w:tc>
            </w:tr>
            <w:tr w14:paraId="50E18FE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2D4016C6">
                  <w:pPr>
                    <w:adjustRightInd w:val="0"/>
                    <w:jc w:val="center"/>
                    <w:rPr>
                      <w:color w:val="auto"/>
                      <w:szCs w:val="21"/>
                    </w:rPr>
                  </w:pPr>
                  <w:r>
                    <w:rPr>
                      <w:rFonts w:hint="eastAsia"/>
                      <w:color w:val="auto"/>
                      <w:szCs w:val="21"/>
                    </w:rPr>
                    <w:t>5</w:t>
                  </w:r>
                </w:p>
              </w:tc>
              <w:tc>
                <w:tcPr>
                  <w:tcW w:w="306" w:type="pct"/>
                  <w:vAlign w:val="center"/>
                </w:tcPr>
                <w:p w14:paraId="101C973F">
                  <w:pPr>
                    <w:adjustRightInd w:val="0"/>
                    <w:jc w:val="center"/>
                    <w:rPr>
                      <w:color w:val="auto"/>
                      <w:szCs w:val="21"/>
                    </w:rPr>
                  </w:pPr>
                  <w:r>
                    <w:rPr>
                      <w:rFonts w:hint="eastAsia"/>
                      <w:color w:val="auto"/>
                      <w:szCs w:val="21"/>
                    </w:rPr>
                    <w:t>多层板</w:t>
                  </w:r>
                </w:p>
              </w:tc>
              <w:tc>
                <w:tcPr>
                  <w:tcW w:w="1942" w:type="pct"/>
                  <w:vAlign w:val="center"/>
                </w:tcPr>
                <w:p w14:paraId="4FDAFEF1">
                  <w:pPr>
                    <w:adjustRightInd w:val="0"/>
                    <w:jc w:val="center"/>
                    <w:rPr>
                      <w:color w:val="auto"/>
                      <w:szCs w:val="21"/>
                    </w:rPr>
                  </w:pPr>
                  <w:r>
                    <w:rPr>
                      <w:rFonts w:hint="eastAsia"/>
                      <w:color w:val="auto"/>
                      <w:szCs w:val="21"/>
                    </w:rPr>
                    <w:t>2140*800*15mm</w:t>
                  </w:r>
                </w:p>
              </w:tc>
              <w:tc>
                <w:tcPr>
                  <w:tcW w:w="489" w:type="pct"/>
                  <w:vAlign w:val="center"/>
                </w:tcPr>
                <w:p w14:paraId="1A758694">
                  <w:pPr>
                    <w:adjustRightInd w:val="0"/>
                    <w:jc w:val="center"/>
                    <w:rPr>
                      <w:color w:val="auto"/>
                      <w:szCs w:val="21"/>
                    </w:rPr>
                  </w:pPr>
                  <w:r>
                    <w:rPr>
                      <w:rFonts w:hint="eastAsia"/>
                      <w:color w:val="auto"/>
                      <w:szCs w:val="21"/>
                    </w:rPr>
                    <w:t>-</w:t>
                  </w:r>
                </w:p>
              </w:tc>
              <w:tc>
                <w:tcPr>
                  <w:tcW w:w="641" w:type="pct"/>
                  <w:vAlign w:val="center"/>
                </w:tcPr>
                <w:p w14:paraId="148231F1">
                  <w:pPr>
                    <w:adjustRightInd w:val="0"/>
                    <w:jc w:val="center"/>
                    <w:rPr>
                      <w:color w:val="auto"/>
                      <w:szCs w:val="21"/>
                    </w:rPr>
                  </w:pPr>
                  <w:r>
                    <w:rPr>
                      <w:rFonts w:hint="eastAsia"/>
                      <w:color w:val="auto"/>
                      <w:szCs w:val="21"/>
                    </w:rPr>
                    <w:t>9500张/年</w:t>
                  </w:r>
                </w:p>
              </w:tc>
              <w:tc>
                <w:tcPr>
                  <w:tcW w:w="452" w:type="pct"/>
                  <w:vAlign w:val="center"/>
                </w:tcPr>
                <w:p w14:paraId="29753715">
                  <w:pPr>
                    <w:adjustRightInd w:val="0"/>
                    <w:jc w:val="center"/>
                    <w:rPr>
                      <w:color w:val="auto"/>
                      <w:szCs w:val="21"/>
                    </w:rPr>
                  </w:pPr>
                  <w:r>
                    <w:rPr>
                      <w:rFonts w:hint="eastAsia"/>
                      <w:color w:val="auto"/>
                      <w:szCs w:val="21"/>
                    </w:rPr>
                    <w:t>750张</w:t>
                  </w:r>
                </w:p>
              </w:tc>
              <w:tc>
                <w:tcPr>
                  <w:tcW w:w="454" w:type="pct"/>
                  <w:vAlign w:val="center"/>
                </w:tcPr>
                <w:p w14:paraId="0BA73C3F">
                  <w:pPr>
                    <w:adjustRightInd w:val="0"/>
                    <w:jc w:val="center"/>
                    <w:rPr>
                      <w:color w:val="auto"/>
                      <w:szCs w:val="21"/>
                    </w:rPr>
                  </w:pPr>
                  <w:r>
                    <w:rPr>
                      <w:rFonts w:hint="eastAsia"/>
                      <w:color w:val="auto"/>
                      <w:szCs w:val="21"/>
                    </w:rPr>
                    <w:t>车间边仓</w:t>
                  </w:r>
                </w:p>
              </w:tc>
              <w:tc>
                <w:tcPr>
                  <w:tcW w:w="448" w:type="pct"/>
                  <w:vAlign w:val="center"/>
                </w:tcPr>
                <w:p w14:paraId="4F280BD9">
                  <w:pPr>
                    <w:adjustRightInd w:val="0"/>
                    <w:jc w:val="center"/>
                    <w:rPr>
                      <w:color w:val="auto"/>
                      <w:szCs w:val="21"/>
                    </w:rPr>
                  </w:pPr>
                  <w:r>
                    <w:rPr>
                      <w:rFonts w:hint="eastAsia"/>
                      <w:color w:val="auto"/>
                      <w:szCs w:val="21"/>
                    </w:rPr>
                    <w:t>外购</w:t>
                  </w:r>
                </w:p>
              </w:tc>
            </w:tr>
            <w:tr w14:paraId="506992D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C5981AF">
                  <w:pPr>
                    <w:adjustRightInd w:val="0"/>
                    <w:jc w:val="center"/>
                    <w:rPr>
                      <w:color w:val="auto"/>
                      <w:szCs w:val="21"/>
                    </w:rPr>
                  </w:pPr>
                  <w:r>
                    <w:rPr>
                      <w:rFonts w:hint="eastAsia"/>
                      <w:color w:val="auto"/>
                      <w:szCs w:val="21"/>
                    </w:rPr>
                    <w:t>6</w:t>
                  </w:r>
                </w:p>
              </w:tc>
              <w:tc>
                <w:tcPr>
                  <w:tcW w:w="306" w:type="pct"/>
                  <w:vAlign w:val="center"/>
                </w:tcPr>
                <w:p w14:paraId="25FD46F4">
                  <w:pPr>
                    <w:adjustRightInd w:val="0"/>
                    <w:jc w:val="center"/>
                    <w:rPr>
                      <w:color w:val="auto"/>
                      <w:szCs w:val="21"/>
                    </w:rPr>
                  </w:pPr>
                  <w:r>
                    <w:rPr>
                      <w:rFonts w:hint="eastAsia"/>
                      <w:color w:val="auto"/>
                      <w:szCs w:val="21"/>
                    </w:rPr>
                    <w:t>密度板</w:t>
                  </w:r>
                </w:p>
              </w:tc>
              <w:tc>
                <w:tcPr>
                  <w:tcW w:w="1942" w:type="pct"/>
                  <w:vAlign w:val="center"/>
                </w:tcPr>
                <w:p w14:paraId="4860AAB5">
                  <w:pPr>
                    <w:adjustRightInd w:val="0"/>
                    <w:jc w:val="center"/>
                    <w:rPr>
                      <w:color w:val="auto"/>
                      <w:szCs w:val="21"/>
                    </w:rPr>
                  </w:pPr>
                  <w:r>
                    <w:rPr>
                      <w:rFonts w:hint="eastAsia"/>
                      <w:color w:val="auto"/>
                      <w:szCs w:val="21"/>
                    </w:rPr>
                    <w:t>2140*800*15mm</w:t>
                  </w:r>
                </w:p>
              </w:tc>
              <w:tc>
                <w:tcPr>
                  <w:tcW w:w="489" w:type="pct"/>
                  <w:vAlign w:val="center"/>
                </w:tcPr>
                <w:p w14:paraId="3F6BDCE0">
                  <w:pPr>
                    <w:adjustRightInd w:val="0"/>
                    <w:jc w:val="center"/>
                    <w:rPr>
                      <w:color w:val="auto"/>
                      <w:szCs w:val="21"/>
                    </w:rPr>
                  </w:pPr>
                  <w:r>
                    <w:rPr>
                      <w:rFonts w:hint="eastAsia"/>
                      <w:color w:val="auto"/>
                      <w:szCs w:val="21"/>
                    </w:rPr>
                    <w:t>-</w:t>
                  </w:r>
                </w:p>
              </w:tc>
              <w:tc>
                <w:tcPr>
                  <w:tcW w:w="641" w:type="pct"/>
                  <w:vAlign w:val="center"/>
                </w:tcPr>
                <w:p w14:paraId="3F500843">
                  <w:pPr>
                    <w:adjustRightInd w:val="0"/>
                    <w:jc w:val="center"/>
                    <w:rPr>
                      <w:color w:val="auto"/>
                      <w:szCs w:val="21"/>
                    </w:rPr>
                  </w:pPr>
                  <w:r>
                    <w:rPr>
                      <w:rFonts w:hint="eastAsia"/>
                      <w:color w:val="auto"/>
                      <w:szCs w:val="21"/>
                    </w:rPr>
                    <w:t>8550张/年</w:t>
                  </w:r>
                </w:p>
              </w:tc>
              <w:tc>
                <w:tcPr>
                  <w:tcW w:w="452" w:type="pct"/>
                  <w:vAlign w:val="center"/>
                </w:tcPr>
                <w:p w14:paraId="1F923070">
                  <w:pPr>
                    <w:adjustRightInd w:val="0"/>
                    <w:jc w:val="center"/>
                    <w:rPr>
                      <w:color w:val="auto"/>
                      <w:szCs w:val="21"/>
                    </w:rPr>
                  </w:pPr>
                  <w:r>
                    <w:rPr>
                      <w:rFonts w:hint="eastAsia"/>
                      <w:color w:val="auto"/>
                      <w:szCs w:val="21"/>
                    </w:rPr>
                    <w:t>600张</w:t>
                  </w:r>
                </w:p>
              </w:tc>
              <w:tc>
                <w:tcPr>
                  <w:tcW w:w="454" w:type="pct"/>
                  <w:vAlign w:val="center"/>
                </w:tcPr>
                <w:p w14:paraId="0D3C9E63">
                  <w:pPr>
                    <w:adjustRightInd w:val="0"/>
                    <w:jc w:val="center"/>
                    <w:rPr>
                      <w:color w:val="auto"/>
                      <w:szCs w:val="21"/>
                    </w:rPr>
                  </w:pPr>
                  <w:r>
                    <w:rPr>
                      <w:rFonts w:hint="eastAsia"/>
                      <w:color w:val="auto"/>
                      <w:szCs w:val="21"/>
                    </w:rPr>
                    <w:t>车间边仓</w:t>
                  </w:r>
                </w:p>
              </w:tc>
              <w:tc>
                <w:tcPr>
                  <w:tcW w:w="448" w:type="pct"/>
                  <w:vAlign w:val="center"/>
                </w:tcPr>
                <w:p w14:paraId="0C200C0C">
                  <w:pPr>
                    <w:adjustRightInd w:val="0"/>
                    <w:jc w:val="center"/>
                    <w:rPr>
                      <w:color w:val="auto"/>
                      <w:szCs w:val="21"/>
                    </w:rPr>
                  </w:pPr>
                  <w:r>
                    <w:rPr>
                      <w:rFonts w:hint="eastAsia"/>
                      <w:color w:val="auto"/>
                      <w:szCs w:val="21"/>
                    </w:rPr>
                    <w:t>外购</w:t>
                  </w:r>
                </w:p>
              </w:tc>
            </w:tr>
            <w:tr w14:paraId="70C3A74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9A93544">
                  <w:pPr>
                    <w:adjustRightInd w:val="0"/>
                    <w:jc w:val="center"/>
                    <w:rPr>
                      <w:color w:val="auto"/>
                      <w:szCs w:val="21"/>
                    </w:rPr>
                  </w:pPr>
                  <w:r>
                    <w:rPr>
                      <w:rFonts w:hint="eastAsia"/>
                      <w:color w:val="auto"/>
                      <w:szCs w:val="21"/>
                    </w:rPr>
                    <w:t>7</w:t>
                  </w:r>
                </w:p>
              </w:tc>
              <w:tc>
                <w:tcPr>
                  <w:tcW w:w="306" w:type="pct"/>
                  <w:vAlign w:val="center"/>
                </w:tcPr>
                <w:p w14:paraId="651F4E96">
                  <w:pPr>
                    <w:adjustRightInd w:val="0"/>
                    <w:jc w:val="center"/>
                    <w:rPr>
                      <w:color w:val="auto"/>
                      <w:szCs w:val="21"/>
                    </w:rPr>
                  </w:pPr>
                  <w:r>
                    <w:rPr>
                      <w:rFonts w:hint="eastAsia"/>
                      <w:color w:val="auto"/>
                      <w:szCs w:val="21"/>
                    </w:rPr>
                    <w:t>封边条</w:t>
                  </w:r>
                </w:p>
              </w:tc>
              <w:tc>
                <w:tcPr>
                  <w:tcW w:w="1942" w:type="pct"/>
                  <w:vAlign w:val="center"/>
                </w:tcPr>
                <w:p w14:paraId="178B5780">
                  <w:pPr>
                    <w:adjustRightInd w:val="0"/>
                    <w:jc w:val="center"/>
                    <w:rPr>
                      <w:color w:val="auto"/>
                      <w:szCs w:val="21"/>
                    </w:rPr>
                  </w:pPr>
                  <w:r>
                    <w:rPr>
                      <w:rFonts w:hint="eastAsia"/>
                      <w:color w:val="auto"/>
                      <w:szCs w:val="21"/>
                    </w:rPr>
                    <w:t>50米/卷</w:t>
                  </w:r>
                </w:p>
              </w:tc>
              <w:tc>
                <w:tcPr>
                  <w:tcW w:w="489" w:type="pct"/>
                  <w:vAlign w:val="center"/>
                </w:tcPr>
                <w:p w14:paraId="476669E6">
                  <w:pPr>
                    <w:adjustRightInd w:val="0"/>
                    <w:jc w:val="center"/>
                    <w:rPr>
                      <w:color w:val="auto"/>
                      <w:szCs w:val="21"/>
                    </w:rPr>
                  </w:pPr>
                  <w:r>
                    <w:rPr>
                      <w:rFonts w:hint="eastAsia"/>
                      <w:color w:val="auto"/>
                      <w:szCs w:val="21"/>
                    </w:rPr>
                    <w:t>-</w:t>
                  </w:r>
                </w:p>
              </w:tc>
              <w:tc>
                <w:tcPr>
                  <w:tcW w:w="641" w:type="pct"/>
                  <w:vAlign w:val="center"/>
                </w:tcPr>
                <w:p w14:paraId="53A90094">
                  <w:pPr>
                    <w:adjustRightInd w:val="0"/>
                    <w:jc w:val="center"/>
                    <w:rPr>
                      <w:color w:val="auto"/>
                      <w:szCs w:val="21"/>
                    </w:rPr>
                  </w:pPr>
                  <w:r>
                    <w:rPr>
                      <w:rFonts w:hint="eastAsia"/>
                      <w:color w:val="auto"/>
                      <w:szCs w:val="21"/>
                      <w:lang w:eastAsia="zh-CN"/>
                    </w:rPr>
                    <w:t>95.</w:t>
                  </w:r>
                  <w:r>
                    <w:rPr>
                      <w:rFonts w:hint="eastAsia"/>
                      <w:color w:val="auto"/>
                      <w:szCs w:val="21"/>
                    </w:rPr>
                    <w:t>卷</w:t>
                  </w:r>
                </w:p>
              </w:tc>
              <w:tc>
                <w:tcPr>
                  <w:tcW w:w="452" w:type="pct"/>
                  <w:vAlign w:val="center"/>
                </w:tcPr>
                <w:p w14:paraId="5C524DC7">
                  <w:pPr>
                    <w:adjustRightInd w:val="0"/>
                    <w:jc w:val="center"/>
                    <w:rPr>
                      <w:color w:val="auto"/>
                      <w:szCs w:val="21"/>
                    </w:rPr>
                  </w:pPr>
                  <w:r>
                    <w:rPr>
                      <w:rFonts w:hint="eastAsia"/>
                      <w:color w:val="auto"/>
                      <w:szCs w:val="21"/>
                      <w:lang w:eastAsia="zh-CN"/>
                    </w:rPr>
                    <w:t>10.</w:t>
                  </w:r>
                  <w:r>
                    <w:rPr>
                      <w:rFonts w:hint="eastAsia"/>
                      <w:color w:val="auto"/>
                      <w:szCs w:val="21"/>
                    </w:rPr>
                    <w:t>卷</w:t>
                  </w:r>
                </w:p>
              </w:tc>
              <w:tc>
                <w:tcPr>
                  <w:tcW w:w="454" w:type="pct"/>
                  <w:vAlign w:val="center"/>
                </w:tcPr>
                <w:p w14:paraId="232448B5">
                  <w:pPr>
                    <w:adjustRightInd w:val="0"/>
                    <w:jc w:val="center"/>
                    <w:rPr>
                      <w:color w:val="auto"/>
                      <w:szCs w:val="21"/>
                    </w:rPr>
                  </w:pPr>
                  <w:r>
                    <w:rPr>
                      <w:rFonts w:hint="eastAsia"/>
                      <w:color w:val="auto"/>
                      <w:szCs w:val="21"/>
                    </w:rPr>
                    <w:t>车间边仓</w:t>
                  </w:r>
                </w:p>
              </w:tc>
              <w:tc>
                <w:tcPr>
                  <w:tcW w:w="448" w:type="pct"/>
                  <w:vAlign w:val="center"/>
                </w:tcPr>
                <w:p w14:paraId="2A229793">
                  <w:pPr>
                    <w:adjustRightInd w:val="0"/>
                    <w:jc w:val="center"/>
                    <w:rPr>
                      <w:color w:val="auto"/>
                      <w:szCs w:val="21"/>
                    </w:rPr>
                  </w:pPr>
                  <w:r>
                    <w:rPr>
                      <w:rFonts w:hint="eastAsia"/>
                      <w:color w:val="auto"/>
                      <w:szCs w:val="21"/>
                    </w:rPr>
                    <w:t>外购</w:t>
                  </w:r>
                </w:p>
              </w:tc>
            </w:tr>
            <w:tr w14:paraId="790DBE1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B9E68FA">
                  <w:pPr>
                    <w:adjustRightInd w:val="0"/>
                    <w:jc w:val="center"/>
                    <w:rPr>
                      <w:color w:val="auto"/>
                      <w:szCs w:val="21"/>
                    </w:rPr>
                  </w:pPr>
                  <w:r>
                    <w:rPr>
                      <w:rFonts w:hint="eastAsia"/>
                      <w:color w:val="auto"/>
                      <w:szCs w:val="21"/>
                    </w:rPr>
                    <w:t>8</w:t>
                  </w:r>
                </w:p>
              </w:tc>
              <w:tc>
                <w:tcPr>
                  <w:tcW w:w="306" w:type="pct"/>
                  <w:vAlign w:val="center"/>
                </w:tcPr>
                <w:p w14:paraId="32EE3295">
                  <w:pPr>
                    <w:adjustRightInd w:val="0"/>
                    <w:jc w:val="center"/>
                    <w:rPr>
                      <w:color w:val="auto"/>
                      <w:szCs w:val="21"/>
                    </w:rPr>
                  </w:pPr>
                  <w:r>
                    <w:rPr>
                      <w:rFonts w:hint="eastAsia"/>
                      <w:color w:val="auto"/>
                      <w:szCs w:val="21"/>
                    </w:rPr>
                    <w:t>封边胶</w:t>
                  </w:r>
                </w:p>
              </w:tc>
              <w:tc>
                <w:tcPr>
                  <w:tcW w:w="1942" w:type="pct"/>
                  <w:vAlign w:val="center"/>
                </w:tcPr>
                <w:p w14:paraId="78496211">
                  <w:pPr>
                    <w:adjustRightInd w:val="0"/>
                    <w:jc w:val="center"/>
                    <w:rPr>
                      <w:color w:val="auto"/>
                      <w:szCs w:val="21"/>
                    </w:rPr>
                  </w:pPr>
                  <w:r>
                    <w:rPr>
                      <w:rFonts w:hint="eastAsia"/>
                      <w:color w:val="auto"/>
                      <w:szCs w:val="21"/>
                    </w:rPr>
                    <w:t>乙烯-乙酸乙烯共聚物35%、松香脂20%、松香衍生物20%、聚乙烯蜡10%、碳酸钙14%、抗氧化剂1%</w:t>
                  </w:r>
                </w:p>
              </w:tc>
              <w:tc>
                <w:tcPr>
                  <w:tcW w:w="489" w:type="pct"/>
                  <w:vAlign w:val="center"/>
                </w:tcPr>
                <w:p w14:paraId="6CF18C2F">
                  <w:pPr>
                    <w:adjustRightInd w:val="0"/>
                    <w:jc w:val="center"/>
                    <w:rPr>
                      <w:color w:val="auto"/>
                      <w:szCs w:val="21"/>
                    </w:rPr>
                  </w:pPr>
                  <w:r>
                    <w:rPr>
                      <w:rFonts w:hint="eastAsia"/>
                      <w:color w:val="auto"/>
                      <w:szCs w:val="21"/>
                    </w:rPr>
                    <w:t>-</w:t>
                  </w:r>
                </w:p>
              </w:tc>
              <w:tc>
                <w:tcPr>
                  <w:tcW w:w="641" w:type="pct"/>
                  <w:vAlign w:val="center"/>
                </w:tcPr>
                <w:p w14:paraId="79E02A3F">
                  <w:pPr>
                    <w:adjustRightInd w:val="0"/>
                    <w:jc w:val="center"/>
                    <w:rPr>
                      <w:color w:val="auto"/>
                      <w:szCs w:val="21"/>
                    </w:rPr>
                  </w:pPr>
                  <w:r>
                    <w:rPr>
                      <w:rFonts w:hint="eastAsia"/>
                      <w:color w:val="auto"/>
                      <w:szCs w:val="21"/>
                    </w:rPr>
                    <w:t>0.095t/a</w:t>
                  </w:r>
                </w:p>
              </w:tc>
              <w:tc>
                <w:tcPr>
                  <w:tcW w:w="452" w:type="pct"/>
                  <w:vAlign w:val="center"/>
                </w:tcPr>
                <w:p w14:paraId="3289C046">
                  <w:pPr>
                    <w:adjustRightInd w:val="0"/>
                    <w:jc w:val="center"/>
                    <w:rPr>
                      <w:color w:val="auto"/>
                      <w:szCs w:val="21"/>
                    </w:rPr>
                  </w:pPr>
                  <w:r>
                    <w:rPr>
                      <w:rFonts w:hint="eastAsia"/>
                      <w:color w:val="auto"/>
                      <w:szCs w:val="21"/>
                    </w:rPr>
                    <w:t>0.02t/a</w:t>
                  </w:r>
                </w:p>
              </w:tc>
              <w:tc>
                <w:tcPr>
                  <w:tcW w:w="454" w:type="pct"/>
                  <w:vAlign w:val="center"/>
                </w:tcPr>
                <w:p w14:paraId="681D5541">
                  <w:pPr>
                    <w:adjustRightInd w:val="0"/>
                    <w:jc w:val="center"/>
                    <w:rPr>
                      <w:color w:val="auto"/>
                      <w:szCs w:val="21"/>
                    </w:rPr>
                  </w:pPr>
                  <w:r>
                    <w:rPr>
                      <w:rFonts w:hint="eastAsia"/>
                      <w:color w:val="auto"/>
                      <w:szCs w:val="21"/>
                    </w:rPr>
                    <w:t>油漆库房</w:t>
                  </w:r>
                </w:p>
              </w:tc>
              <w:tc>
                <w:tcPr>
                  <w:tcW w:w="448" w:type="pct"/>
                  <w:vAlign w:val="center"/>
                </w:tcPr>
                <w:p w14:paraId="5A9895C1">
                  <w:pPr>
                    <w:adjustRightInd w:val="0"/>
                    <w:jc w:val="center"/>
                    <w:rPr>
                      <w:color w:val="auto"/>
                      <w:szCs w:val="21"/>
                    </w:rPr>
                  </w:pPr>
                  <w:r>
                    <w:rPr>
                      <w:rFonts w:hint="eastAsia"/>
                      <w:color w:val="auto"/>
                      <w:szCs w:val="21"/>
                    </w:rPr>
                    <w:t>外购</w:t>
                  </w:r>
                </w:p>
              </w:tc>
            </w:tr>
            <w:tr w14:paraId="5B5C604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D01DFAC">
                  <w:pPr>
                    <w:adjustRightInd w:val="0"/>
                    <w:jc w:val="center"/>
                    <w:rPr>
                      <w:color w:val="auto"/>
                      <w:szCs w:val="21"/>
                    </w:rPr>
                  </w:pPr>
                  <w:r>
                    <w:rPr>
                      <w:rFonts w:hint="eastAsia"/>
                      <w:color w:val="auto"/>
                      <w:szCs w:val="21"/>
                    </w:rPr>
                    <w:t>9</w:t>
                  </w:r>
                </w:p>
              </w:tc>
              <w:tc>
                <w:tcPr>
                  <w:tcW w:w="306" w:type="pct"/>
                  <w:vAlign w:val="center"/>
                </w:tcPr>
                <w:p w14:paraId="326DC901">
                  <w:pPr>
                    <w:adjustRightInd w:val="0"/>
                    <w:jc w:val="center"/>
                    <w:rPr>
                      <w:color w:val="auto"/>
                      <w:szCs w:val="21"/>
                    </w:rPr>
                  </w:pPr>
                  <w:r>
                    <w:rPr>
                      <w:rFonts w:hint="eastAsia"/>
                      <w:color w:val="auto"/>
                      <w:szCs w:val="21"/>
                    </w:rPr>
                    <w:t>白乳胶</w:t>
                  </w:r>
                </w:p>
              </w:tc>
              <w:tc>
                <w:tcPr>
                  <w:tcW w:w="1942" w:type="pct"/>
                  <w:vAlign w:val="center"/>
                </w:tcPr>
                <w:p w14:paraId="14FB85DF">
                  <w:pPr>
                    <w:adjustRightInd w:val="0"/>
                    <w:jc w:val="center"/>
                    <w:rPr>
                      <w:color w:val="auto"/>
                      <w:szCs w:val="21"/>
                    </w:rPr>
                  </w:pPr>
                  <w:r>
                    <w:rPr>
                      <w:rFonts w:hint="eastAsia"/>
                      <w:color w:val="auto"/>
                      <w:szCs w:val="21"/>
                    </w:rPr>
                    <w:t>聚乙酸乙烯酯45%、聚乙烯醇5%、水50%</w:t>
                  </w:r>
                </w:p>
              </w:tc>
              <w:tc>
                <w:tcPr>
                  <w:tcW w:w="489" w:type="pct"/>
                  <w:vAlign w:val="center"/>
                </w:tcPr>
                <w:p w14:paraId="400745BA">
                  <w:pPr>
                    <w:adjustRightInd w:val="0"/>
                    <w:jc w:val="center"/>
                    <w:rPr>
                      <w:color w:val="auto"/>
                      <w:szCs w:val="21"/>
                    </w:rPr>
                  </w:pPr>
                  <w:r>
                    <w:rPr>
                      <w:rFonts w:hint="eastAsia"/>
                      <w:color w:val="auto"/>
                      <w:szCs w:val="21"/>
                    </w:rPr>
                    <w:t>VOCs含量≤50g/L</w:t>
                  </w:r>
                </w:p>
              </w:tc>
              <w:tc>
                <w:tcPr>
                  <w:tcW w:w="641" w:type="pct"/>
                  <w:vAlign w:val="center"/>
                </w:tcPr>
                <w:p w14:paraId="3DAAEB9F">
                  <w:pPr>
                    <w:adjustRightInd w:val="0"/>
                    <w:jc w:val="center"/>
                    <w:rPr>
                      <w:color w:val="auto"/>
                      <w:szCs w:val="21"/>
                    </w:rPr>
                  </w:pPr>
                  <w:r>
                    <w:rPr>
                      <w:rFonts w:hint="eastAsia"/>
                      <w:color w:val="auto"/>
                      <w:szCs w:val="21"/>
                    </w:rPr>
                    <w:t>0.43t/a</w:t>
                  </w:r>
                </w:p>
              </w:tc>
              <w:tc>
                <w:tcPr>
                  <w:tcW w:w="452" w:type="pct"/>
                  <w:vAlign w:val="center"/>
                </w:tcPr>
                <w:p w14:paraId="612841CF">
                  <w:pPr>
                    <w:adjustRightInd w:val="0"/>
                    <w:jc w:val="center"/>
                    <w:rPr>
                      <w:color w:val="auto"/>
                      <w:szCs w:val="21"/>
                    </w:rPr>
                  </w:pPr>
                  <w:r>
                    <w:rPr>
                      <w:rFonts w:hint="eastAsia"/>
                      <w:color w:val="auto"/>
                      <w:szCs w:val="21"/>
                    </w:rPr>
                    <w:t>0.05t</w:t>
                  </w:r>
                </w:p>
              </w:tc>
              <w:tc>
                <w:tcPr>
                  <w:tcW w:w="454" w:type="pct"/>
                  <w:vAlign w:val="center"/>
                </w:tcPr>
                <w:p w14:paraId="40CA895F">
                  <w:pPr>
                    <w:adjustRightInd w:val="0"/>
                    <w:jc w:val="center"/>
                    <w:rPr>
                      <w:color w:val="auto"/>
                      <w:szCs w:val="21"/>
                    </w:rPr>
                  </w:pPr>
                  <w:r>
                    <w:rPr>
                      <w:rFonts w:hint="eastAsia"/>
                      <w:color w:val="auto"/>
                      <w:szCs w:val="21"/>
                    </w:rPr>
                    <w:t>油漆库房</w:t>
                  </w:r>
                </w:p>
              </w:tc>
              <w:tc>
                <w:tcPr>
                  <w:tcW w:w="448" w:type="pct"/>
                  <w:vAlign w:val="center"/>
                </w:tcPr>
                <w:p w14:paraId="36BBA848">
                  <w:pPr>
                    <w:adjustRightInd w:val="0"/>
                    <w:jc w:val="center"/>
                    <w:rPr>
                      <w:color w:val="auto"/>
                      <w:szCs w:val="21"/>
                    </w:rPr>
                  </w:pPr>
                  <w:r>
                    <w:rPr>
                      <w:rFonts w:hint="eastAsia"/>
                      <w:color w:val="auto"/>
                      <w:szCs w:val="21"/>
                    </w:rPr>
                    <w:t>外购</w:t>
                  </w:r>
                </w:p>
              </w:tc>
            </w:tr>
            <w:tr w14:paraId="364A9CF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E0649BA">
                  <w:pPr>
                    <w:adjustRightInd w:val="0"/>
                    <w:jc w:val="center"/>
                    <w:rPr>
                      <w:color w:val="auto"/>
                      <w:szCs w:val="21"/>
                    </w:rPr>
                  </w:pPr>
                  <w:r>
                    <w:rPr>
                      <w:rFonts w:hint="eastAsia"/>
                      <w:color w:val="auto"/>
                      <w:szCs w:val="21"/>
                    </w:rPr>
                    <w:t>10</w:t>
                  </w:r>
                </w:p>
              </w:tc>
              <w:tc>
                <w:tcPr>
                  <w:tcW w:w="306" w:type="pct"/>
                  <w:vAlign w:val="center"/>
                </w:tcPr>
                <w:p w14:paraId="26CB6134">
                  <w:pPr>
                    <w:adjustRightInd w:val="0"/>
                    <w:jc w:val="center"/>
                    <w:rPr>
                      <w:color w:val="auto"/>
                      <w:szCs w:val="21"/>
                    </w:rPr>
                  </w:pPr>
                  <w:r>
                    <w:rPr>
                      <w:rFonts w:hint="eastAsia"/>
                      <w:color w:val="auto"/>
                      <w:szCs w:val="21"/>
                    </w:rPr>
                    <w:t>水性底漆</w:t>
                  </w:r>
                </w:p>
              </w:tc>
              <w:tc>
                <w:tcPr>
                  <w:tcW w:w="1942" w:type="pct"/>
                  <w:vAlign w:val="center"/>
                </w:tcPr>
                <w:p w14:paraId="64CC0BB9">
                  <w:pPr>
                    <w:adjustRightInd w:val="0"/>
                    <w:jc w:val="center"/>
                    <w:rPr>
                      <w:color w:val="auto"/>
                      <w:szCs w:val="21"/>
                    </w:rPr>
                  </w:pPr>
                  <w:r>
                    <w:rPr>
                      <w:rFonts w:hint="eastAsia"/>
                      <w:color w:val="auto"/>
                      <w:szCs w:val="21"/>
                    </w:rPr>
                    <w:t>水性聚氨酯树脂60%；三丙二醇甲醚、二丙二醇甲醚、二丙二醇丁醚等有机溶剂3.8%；填料（二氧化硅等）、助剂（膨润土和有机膨润土颜料分散剂、丙烯酸酯类流平剂等）2%；水34.2%</w:t>
                  </w:r>
                </w:p>
              </w:tc>
              <w:tc>
                <w:tcPr>
                  <w:tcW w:w="489" w:type="pct"/>
                  <w:vAlign w:val="center"/>
                </w:tcPr>
                <w:p w14:paraId="7C5E474F">
                  <w:pPr>
                    <w:adjustRightInd w:val="0"/>
                    <w:jc w:val="center"/>
                    <w:rPr>
                      <w:color w:val="auto"/>
                      <w:szCs w:val="21"/>
                    </w:rPr>
                  </w:pPr>
                  <w:r>
                    <w:rPr>
                      <w:rFonts w:hint="eastAsia"/>
                      <w:color w:val="auto"/>
                      <w:szCs w:val="21"/>
                    </w:rPr>
                    <w:t>VOCs含量≤270g/L</w:t>
                  </w:r>
                </w:p>
              </w:tc>
              <w:tc>
                <w:tcPr>
                  <w:tcW w:w="641" w:type="pct"/>
                  <w:vAlign w:val="center"/>
                </w:tcPr>
                <w:p w14:paraId="532275E1">
                  <w:pPr>
                    <w:adjustRightInd w:val="0"/>
                    <w:jc w:val="center"/>
                    <w:rPr>
                      <w:color w:val="auto"/>
                      <w:szCs w:val="21"/>
                    </w:rPr>
                  </w:pPr>
                  <w:r>
                    <w:rPr>
                      <w:rFonts w:hint="eastAsia"/>
                      <w:color w:val="auto"/>
                      <w:szCs w:val="21"/>
                    </w:rPr>
                    <w:t>5.3t/a</w:t>
                  </w:r>
                </w:p>
              </w:tc>
              <w:tc>
                <w:tcPr>
                  <w:tcW w:w="452" w:type="pct"/>
                  <w:vAlign w:val="center"/>
                </w:tcPr>
                <w:p w14:paraId="49D1DD7F">
                  <w:pPr>
                    <w:adjustRightInd w:val="0"/>
                    <w:jc w:val="center"/>
                    <w:rPr>
                      <w:color w:val="auto"/>
                      <w:szCs w:val="21"/>
                    </w:rPr>
                  </w:pPr>
                  <w:r>
                    <w:rPr>
                      <w:rFonts w:hint="eastAsia"/>
                      <w:color w:val="auto"/>
                      <w:szCs w:val="21"/>
                    </w:rPr>
                    <w:t>0.5t</w:t>
                  </w:r>
                </w:p>
              </w:tc>
              <w:tc>
                <w:tcPr>
                  <w:tcW w:w="454" w:type="pct"/>
                  <w:vAlign w:val="center"/>
                </w:tcPr>
                <w:p w14:paraId="6D85B8DF">
                  <w:pPr>
                    <w:adjustRightInd w:val="0"/>
                    <w:jc w:val="center"/>
                    <w:rPr>
                      <w:color w:val="auto"/>
                      <w:szCs w:val="21"/>
                    </w:rPr>
                  </w:pPr>
                  <w:r>
                    <w:rPr>
                      <w:rFonts w:hint="eastAsia"/>
                      <w:color w:val="auto"/>
                      <w:szCs w:val="21"/>
                    </w:rPr>
                    <w:t>油漆库房</w:t>
                  </w:r>
                </w:p>
              </w:tc>
              <w:tc>
                <w:tcPr>
                  <w:tcW w:w="448" w:type="pct"/>
                  <w:vAlign w:val="center"/>
                </w:tcPr>
                <w:p w14:paraId="1AA06269">
                  <w:pPr>
                    <w:adjustRightInd w:val="0"/>
                    <w:jc w:val="center"/>
                    <w:rPr>
                      <w:color w:val="auto"/>
                      <w:szCs w:val="21"/>
                    </w:rPr>
                  </w:pPr>
                  <w:r>
                    <w:rPr>
                      <w:rFonts w:hint="eastAsia"/>
                      <w:color w:val="auto"/>
                      <w:szCs w:val="21"/>
                    </w:rPr>
                    <w:t>外购</w:t>
                  </w:r>
                </w:p>
              </w:tc>
            </w:tr>
            <w:tr w14:paraId="74E0DA3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2703DAC6">
                  <w:pPr>
                    <w:adjustRightInd w:val="0"/>
                    <w:jc w:val="center"/>
                    <w:rPr>
                      <w:color w:val="auto"/>
                      <w:szCs w:val="21"/>
                    </w:rPr>
                  </w:pPr>
                  <w:r>
                    <w:rPr>
                      <w:rFonts w:hint="eastAsia"/>
                      <w:color w:val="auto"/>
                      <w:szCs w:val="21"/>
                    </w:rPr>
                    <w:t>11</w:t>
                  </w:r>
                </w:p>
              </w:tc>
              <w:tc>
                <w:tcPr>
                  <w:tcW w:w="306" w:type="pct"/>
                  <w:vAlign w:val="center"/>
                </w:tcPr>
                <w:p w14:paraId="22D8F32B">
                  <w:pPr>
                    <w:adjustRightInd w:val="0"/>
                    <w:jc w:val="center"/>
                    <w:rPr>
                      <w:color w:val="auto"/>
                      <w:szCs w:val="21"/>
                    </w:rPr>
                  </w:pPr>
                  <w:r>
                    <w:rPr>
                      <w:rFonts w:hint="eastAsia"/>
                      <w:color w:val="auto"/>
                      <w:szCs w:val="21"/>
                    </w:rPr>
                    <w:t>水性面漆</w:t>
                  </w:r>
                </w:p>
              </w:tc>
              <w:tc>
                <w:tcPr>
                  <w:tcW w:w="1942" w:type="pct"/>
                  <w:vAlign w:val="center"/>
                </w:tcPr>
                <w:p w14:paraId="59E50971">
                  <w:pPr>
                    <w:adjustRightInd w:val="0"/>
                    <w:jc w:val="center"/>
                    <w:rPr>
                      <w:color w:val="auto"/>
                      <w:szCs w:val="21"/>
                    </w:rPr>
                  </w:pPr>
                  <w:r>
                    <w:rPr>
                      <w:rFonts w:hint="eastAsia"/>
                      <w:color w:val="auto"/>
                      <w:szCs w:val="21"/>
                    </w:rPr>
                    <w:t>水性聚氨酯树脂60%；三丙二醇甲醚、二丙二醇甲醚、二丙二醇丁醚等有机溶剂9.8%；填料（二氧化硅等）、助剂（膨润土和有机膨润土颜料分散剂、丙烯酸酯类流平剂等）0.5%；水29.7%</w:t>
                  </w:r>
                </w:p>
              </w:tc>
              <w:tc>
                <w:tcPr>
                  <w:tcW w:w="489" w:type="pct"/>
                  <w:vAlign w:val="center"/>
                </w:tcPr>
                <w:p w14:paraId="0637B17B">
                  <w:pPr>
                    <w:adjustRightInd w:val="0"/>
                    <w:jc w:val="center"/>
                    <w:rPr>
                      <w:color w:val="auto"/>
                      <w:szCs w:val="21"/>
                    </w:rPr>
                  </w:pPr>
                  <w:r>
                    <w:rPr>
                      <w:rFonts w:hint="eastAsia"/>
                      <w:color w:val="auto"/>
                      <w:szCs w:val="21"/>
                    </w:rPr>
                    <w:t>VOCs含量≤270g/L</w:t>
                  </w:r>
                </w:p>
              </w:tc>
              <w:tc>
                <w:tcPr>
                  <w:tcW w:w="641" w:type="pct"/>
                  <w:vAlign w:val="center"/>
                </w:tcPr>
                <w:p w14:paraId="4F2B11F1">
                  <w:pPr>
                    <w:adjustRightInd w:val="0"/>
                    <w:jc w:val="center"/>
                    <w:rPr>
                      <w:color w:val="auto"/>
                      <w:szCs w:val="21"/>
                    </w:rPr>
                  </w:pPr>
                  <w:r>
                    <w:rPr>
                      <w:rFonts w:hint="eastAsia"/>
                      <w:color w:val="auto"/>
                      <w:szCs w:val="21"/>
                    </w:rPr>
                    <w:t>5.5t/a</w:t>
                  </w:r>
                </w:p>
              </w:tc>
              <w:tc>
                <w:tcPr>
                  <w:tcW w:w="452" w:type="pct"/>
                  <w:vAlign w:val="center"/>
                </w:tcPr>
                <w:p w14:paraId="0CE51F9B">
                  <w:pPr>
                    <w:adjustRightInd w:val="0"/>
                    <w:jc w:val="center"/>
                    <w:rPr>
                      <w:color w:val="auto"/>
                      <w:szCs w:val="21"/>
                    </w:rPr>
                  </w:pPr>
                  <w:r>
                    <w:rPr>
                      <w:rFonts w:hint="eastAsia"/>
                      <w:color w:val="auto"/>
                      <w:szCs w:val="21"/>
                    </w:rPr>
                    <w:t>0.6t</w:t>
                  </w:r>
                </w:p>
              </w:tc>
              <w:tc>
                <w:tcPr>
                  <w:tcW w:w="454" w:type="pct"/>
                  <w:vAlign w:val="center"/>
                </w:tcPr>
                <w:p w14:paraId="22643C7E">
                  <w:pPr>
                    <w:adjustRightInd w:val="0"/>
                    <w:jc w:val="center"/>
                    <w:rPr>
                      <w:color w:val="auto"/>
                      <w:szCs w:val="21"/>
                    </w:rPr>
                  </w:pPr>
                  <w:r>
                    <w:rPr>
                      <w:rFonts w:hint="eastAsia"/>
                      <w:color w:val="auto"/>
                      <w:szCs w:val="21"/>
                    </w:rPr>
                    <w:t>油漆库房</w:t>
                  </w:r>
                </w:p>
              </w:tc>
              <w:tc>
                <w:tcPr>
                  <w:tcW w:w="448" w:type="pct"/>
                  <w:vAlign w:val="center"/>
                </w:tcPr>
                <w:p w14:paraId="15823DB2">
                  <w:pPr>
                    <w:adjustRightInd w:val="0"/>
                    <w:jc w:val="center"/>
                    <w:rPr>
                      <w:color w:val="auto"/>
                      <w:szCs w:val="21"/>
                    </w:rPr>
                  </w:pPr>
                  <w:r>
                    <w:rPr>
                      <w:rFonts w:hint="eastAsia"/>
                      <w:color w:val="auto"/>
                      <w:szCs w:val="21"/>
                    </w:rPr>
                    <w:t>外购</w:t>
                  </w:r>
                </w:p>
              </w:tc>
            </w:tr>
            <w:tr w14:paraId="0393467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08061E8">
                  <w:pPr>
                    <w:adjustRightInd w:val="0"/>
                    <w:jc w:val="center"/>
                    <w:rPr>
                      <w:color w:val="auto"/>
                      <w:szCs w:val="21"/>
                    </w:rPr>
                  </w:pPr>
                  <w:r>
                    <w:rPr>
                      <w:rFonts w:hint="eastAsia"/>
                      <w:color w:val="auto"/>
                      <w:szCs w:val="21"/>
                    </w:rPr>
                    <w:t>12</w:t>
                  </w:r>
                </w:p>
              </w:tc>
              <w:tc>
                <w:tcPr>
                  <w:tcW w:w="306" w:type="pct"/>
                  <w:vAlign w:val="center"/>
                </w:tcPr>
                <w:p w14:paraId="68DF9554">
                  <w:pPr>
                    <w:adjustRightInd w:val="0"/>
                    <w:jc w:val="center"/>
                    <w:rPr>
                      <w:color w:val="auto"/>
                      <w:szCs w:val="21"/>
                    </w:rPr>
                  </w:pPr>
                  <w:r>
                    <w:rPr>
                      <w:rFonts w:hint="eastAsia"/>
                      <w:color w:val="auto"/>
                      <w:szCs w:val="21"/>
                    </w:rPr>
                    <w:t>铁件</w:t>
                  </w:r>
                </w:p>
              </w:tc>
              <w:tc>
                <w:tcPr>
                  <w:tcW w:w="1942" w:type="pct"/>
                  <w:vAlign w:val="center"/>
                </w:tcPr>
                <w:p w14:paraId="2AD93D13">
                  <w:pPr>
                    <w:adjustRightInd w:val="0"/>
                    <w:jc w:val="center"/>
                    <w:rPr>
                      <w:color w:val="auto"/>
                      <w:szCs w:val="21"/>
                    </w:rPr>
                  </w:pPr>
                  <w:r>
                    <w:rPr>
                      <w:rFonts w:hint="eastAsia"/>
                      <w:color w:val="auto"/>
                      <w:szCs w:val="21"/>
                    </w:rPr>
                    <w:t>方管，25*22mm，2200mm/根</w:t>
                  </w:r>
                </w:p>
              </w:tc>
              <w:tc>
                <w:tcPr>
                  <w:tcW w:w="489" w:type="pct"/>
                  <w:vAlign w:val="center"/>
                </w:tcPr>
                <w:p w14:paraId="420368D4">
                  <w:pPr>
                    <w:adjustRightInd w:val="0"/>
                    <w:jc w:val="center"/>
                    <w:rPr>
                      <w:color w:val="auto"/>
                      <w:szCs w:val="21"/>
                    </w:rPr>
                  </w:pPr>
                  <w:r>
                    <w:rPr>
                      <w:rFonts w:hint="eastAsia"/>
                      <w:color w:val="auto"/>
                      <w:szCs w:val="21"/>
                    </w:rPr>
                    <w:t>-</w:t>
                  </w:r>
                </w:p>
              </w:tc>
              <w:tc>
                <w:tcPr>
                  <w:tcW w:w="641" w:type="pct"/>
                  <w:vAlign w:val="center"/>
                </w:tcPr>
                <w:p w14:paraId="5BD63C98">
                  <w:pPr>
                    <w:adjustRightInd w:val="0"/>
                    <w:jc w:val="center"/>
                    <w:rPr>
                      <w:color w:val="auto"/>
                      <w:szCs w:val="21"/>
                    </w:rPr>
                  </w:pPr>
                  <w:r>
                    <w:rPr>
                      <w:rFonts w:hint="eastAsia"/>
                      <w:color w:val="auto"/>
                      <w:szCs w:val="21"/>
                    </w:rPr>
                    <w:t>180000根/年</w:t>
                  </w:r>
                </w:p>
              </w:tc>
              <w:tc>
                <w:tcPr>
                  <w:tcW w:w="452" w:type="pct"/>
                  <w:vAlign w:val="center"/>
                </w:tcPr>
                <w:p w14:paraId="0BA2FB99">
                  <w:pPr>
                    <w:adjustRightInd w:val="0"/>
                    <w:jc w:val="center"/>
                    <w:rPr>
                      <w:color w:val="auto"/>
                      <w:szCs w:val="21"/>
                    </w:rPr>
                  </w:pPr>
                  <w:r>
                    <w:rPr>
                      <w:rFonts w:hint="eastAsia"/>
                      <w:color w:val="auto"/>
                      <w:szCs w:val="21"/>
                    </w:rPr>
                    <w:t>20000</w:t>
                  </w:r>
                </w:p>
              </w:tc>
              <w:tc>
                <w:tcPr>
                  <w:tcW w:w="454" w:type="pct"/>
                  <w:vAlign w:val="center"/>
                </w:tcPr>
                <w:p w14:paraId="59339130">
                  <w:pPr>
                    <w:adjustRightInd w:val="0"/>
                    <w:jc w:val="center"/>
                    <w:rPr>
                      <w:color w:val="auto"/>
                      <w:szCs w:val="21"/>
                    </w:rPr>
                  </w:pPr>
                  <w:r>
                    <w:rPr>
                      <w:rFonts w:hint="eastAsia"/>
                      <w:color w:val="auto"/>
                      <w:szCs w:val="21"/>
                    </w:rPr>
                    <w:t>车间边仓</w:t>
                  </w:r>
                </w:p>
              </w:tc>
              <w:tc>
                <w:tcPr>
                  <w:tcW w:w="448" w:type="pct"/>
                  <w:vAlign w:val="center"/>
                </w:tcPr>
                <w:p w14:paraId="1B99D56A">
                  <w:pPr>
                    <w:adjustRightInd w:val="0"/>
                    <w:jc w:val="center"/>
                    <w:rPr>
                      <w:color w:val="auto"/>
                      <w:szCs w:val="21"/>
                    </w:rPr>
                  </w:pPr>
                  <w:r>
                    <w:rPr>
                      <w:rFonts w:hint="eastAsia"/>
                      <w:color w:val="auto"/>
                      <w:szCs w:val="21"/>
                    </w:rPr>
                    <w:t>外购</w:t>
                  </w:r>
                </w:p>
              </w:tc>
            </w:tr>
            <w:tr w14:paraId="55DBC196">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48BEACA">
                  <w:pPr>
                    <w:adjustRightInd w:val="0"/>
                    <w:jc w:val="center"/>
                    <w:rPr>
                      <w:color w:val="auto"/>
                      <w:szCs w:val="21"/>
                    </w:rPr>
                  </w:pPr>
                  <w:r>
                    <w:rPr>
                      <w:rFonts w:hint="eastAsia"/>
                      <w:color w:val="auto"/>
                      <w:szCs w:val="21"/>
                    </w:rPr>
                    <w:t>13</w:t>
                  </w:r>
                </w:p>
              </w:tc>
              <w:tc>
                <w:tcPr>
                  <w:tcW w:w="306" w:type="pct"/>
                  <w:vAlign w:val="center"/>
                </w:tcPr>
                <w:p w14:paraId="3FECB73A">
                  <w:pPr>
                    <w:adjustRightInd w:val="0"/>
                    <w:jc w:val="center"/>
                    <w:rPr>
                      <w:color w:val="auto"/>
                      <w:szCs w:val="21"/>
                    </w:rPr>
                  </w:pPr>
                  <w:r>
                    <w:rPr>
                      <w:rFonts w:hint="eastAsia"/>
                      <w:color w:val="auto"/>
                      <w:szCs w:val="21"/>
                    </w:rPr>
                    <w:t>脱脂剂</w:t>
                  </w:r>
                </w:p>
              </w:tc>
              <w:tc>
                <w:tcPr>
                  <w:tcW w:w="1942" w:type="pct"/>
                  <w:vAlign w:val="center"/>
                </w:tcPr>
                <w:p w14:paraId="421AFF7F">
                  <w:pPr>
                    <w:adjustRightInd w:val="0"/>
                    <w:jc w:val="center"/>
                    <w:rPr>
                      <w:color w:val="auto"/>
                      <w:szCs w:val="21"/>
                    </w:rPr>
                  </w:pPr>
                  <w:r>
                    <w:rPr>
                      <w:rFonts w:hint="eastAsia"/>
                      <w:color w:val="auto"/>
                      <w:szCs w:val="21"/>
                    </w:rPr>
                    <w:t>硅酸钠16%、乙二醇单甲醚4%、十二烷基苯磺酸钠12%、苯甲酸钠5%、6501 18%、OP-10 6%、消泡剂0.5%、水39%</w:t>
                  </w:r>
                </w:p>
              </w:tc>
              <w:tc>
                <w:tcPr>
                  <w:tcW w:w="489" w:type="pct"/>
                  <w:vAlign w:val="center"/>
                </w:tcPr>
                <w:p w14:paraId="51C683A7">
                  <w:pPr>
                    <w:adjustRightInd w:val="0"/>
                    <w:jc w:val="center"/>
                    <w:rPr>
                      <w:color w:val="auto"/>
                      <w:szCs w:val="21"/>
                    </w:rPr>
                  </w:pPr>
                  <w:r>
                    <w:rPr>
                      <w:rFonts w:hint="eastAsia"/>
                      <w:color w:val="auto"/>
                      <w:szCs w:val="21"/>
                    </w:rPr>
                    <w:t>-</w:t>
                  </w:r>
                </w:p>
              </w:tc>
              <w:tc>
                <w:tcPr>
                  <w:tcW w:w="641" w:type="pct"/>
                  <w:vAlign w:val="center"/>
                </w:tcPr>
                <w:p w14:paraId="662E2D1C">
                  <w:pPr>
                    <w:adjustRightInd w:val="0"/>
                    <w:jc w:val="center"/>
                    <w:rPr>
                      <w:color w:val="auto"/>
                      <w:szCs w:val="21"/>
                    </w:rPr>
                  </w:pPr>
                  <w:r>
                    <w:rPr>
                      <w:rFonts w:hint="eastAsia"/>
                      <w:color w:val="auto"/>
                      <w:szCs w:val="21"/>
                      <w:lang w:eastAsia="zh-CN"/>
                    </w:rPr>
                    <w:t>2.</w:t>
                  </w:r>
                  <w:r>
                    <w:rPr>
                      <w:rFonts w:hint="eastAsia"/>
                      <w:color w:val="auto"/>
                      <w:szCs w:val="21"/>
                    </w:rPr>
                    <w:t>t/a</w:t>
                  </w:r>
                </w:p>
              </w:tc>
              <w:tc>
                <w:tcPr>
                  <w:tcW w:w="452" w:type="pct"/>
                  <w:vAlign w:val="center"/>
                </w:tcPr>
                <w:p w14:paraId="17C271D5">
                  <w:pPr>
                    <w:adjustRightInd w:val="0"/>
                    <w:jc w:val="center"/>
                    <w:rPr>
                      <w:color w:val="auto"/>
                      <w:szCs w:val="21"/>
                    </w:rPr>
                  </w:pPr>
                  <w:r>
                    <w:rPr>
                      <w:rFonts w:hint="eastAsia"/>
                      <w:color w:val="auto"/>
                      <w:szCs w:val="21"/>
                    </w:rPr>
                    <w:t>0.4t</w:t>
                  </w:r>
                </w:p>
              </w:tc>
              <w:tc>
                <w:tcPr>
                  <w:tcW w:w="454" w:type="pct"/>
                  <w:vAlign w:val="center"/>
                </w:tcPr>
                <w:p w14:paraId="480A0A3F">
                  <w:pPr>
                    <w:adjustRightInd w:val="0"/>
                    <w:jc w:val="center"/>
                    <w:rPr>
                      <w:color w:val="auto"/>
                      <w:szCs w:val="21"/>
                    </w:rPr>
                  </w:pPr>
                  <w:r>
                    <w:rPr>
                      <w:rFonts w:hint="eastAsia"/>
                      <w:color w:val="auto"/>
                      <w:szCs w:val="21"/>
                    </w:rPr>
                    <w:t>车间边仓</w:t>
                  </w:r>
                </w:p>
              </w:tc>
              <w:tc>
                <w:tcPr>
                  <w:tcW w:w="448" w:type="pct"/>
                  <w:vAlign w:val="center"/>
                </w:tcPr>
                <w:p w14:paraId="30F617EE">
                  <w:pPr>
                    <w:adjustRightInd w:val="0"/>
                    <w:jc w:val="center"/>
                    <w:rPr>
                      <w:color w:val="auto"/>
                      <w:szCs w:val="21"/>
                    </w:rPr>
                  </w:pPr>
                  <w:r>
                    <w:rPr>
                      <w:rFonts w:hint="eastAsia"/>
                      <w:color w:val="auto"/>
                      <w:szCs w:val="21"/>
                    </w:rPr>
                    <w:t>外购</w:t>
                  </w:r>
                </w:p>
              </w:tc>
            </w:tr>
            <w:tr w14:paraId="4FEA500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1CC1593">
                  <w:pPr>
                    <w:adjustRightInd w:val="0"/>
                    <w:jc w:val="center"/>
                    <w:rPr>
                      <w:color w:val="auto"/>
                      <w:szCs w:val="21"/>
                    </w:rPr>
                  </w:pPr>
                  <w:r>
                    <w:rPr>
                      <w:rFonts w:hint="eastAsia"/>
                      <w:color w:val="auto"/>
                      <w:szCs w:val="21"/>
                    </w:rPr>
                    <w:t>14</w:t>
                  </w:r>
                </w:p>
              </w:tc>
              <w:tc>
                <w:tcPr>
                  <w:tcW w:w="306" w:type="pct"/>
                  <w:vAlign w:val="center"/>
                </w:tcPr>
                <w:p w14:paraId="4A7037F2">
                  <w:pPr>
                    <w:adjustRightInd w:val="0"/>
                    <w:jc w:val="center"/>
                    <w:rPr>
                      <w:color w:val="auto"/>
                      <w:szCs w:val="21"/>
                    </w:rPr>
                  </w:pPr>
                  <w:r>
                    <w:rPr>
                      <w:rFonts w:hint="eastAsia"/>
                      <w:color w:val="auto"/>
                      <w:szCs w:val="21"/>
                    </w:rPr>
                    <w:t>陶化剂</w:t>
                  </w:r>
                </w:p>
              </w:tc>
              <w:tc>
                <w:tcPr>
                  <w:tcW w:w="1942" w:type="pct"/>
                  <w:vAlign w:val="center"/>
                </w:tcPr>
                <w:p w14:paraId="2ED0EE02">
                  <w:pPr>
                    <w:adjustRightInd w:val="0"/>
                    <w:jc w:val="center"/>
                    <w:rPr>
                      <w:color w:val="auto"/>
                      <w:szCs w:val="21"/>
                    </w:rPr>
                  </w:pPr>
                  <w:r>
                    <w:rPr>
                      <w:rFonts w:hint="eastAsia"/>
                      <w:color w:val="auto"/>
                      <w:szCs w:val="21"/>
                    </w:rPr>
                    <w:t>氟锆酸20～50g/L、硅烷偶联剂10～15g/L、氟钛酸32~35 g/L、氟化锆15～20g/L、酒石酸5～10g/L、硝酸钠5～10g/L</w:t>
                  </w:r>
                </w:p>
              </w:tc>
              <w:tc>
                <w:tcPr>
                  <w:tcW w:w="489" w:type="pct"/>
                  <w:vAlign w:val="center"/>
                </w:tcPr>
                <w:p w14:paraId="4876E87D">
                  <w:pPr>
                    <w:adjustRightInd w:val="0"/>
                    <w:jc w:val="center"/>
                    <w:rPr>
                      <w:color w:val="auto"/>
                      <w:szCs w:val="21"/>
                    </w:rPr>
                  </w:pPr>
                  <w:r>
                    <w:rPr>
                      <w:rFonts w:hint="eastAsia"/>
                      <w:color w:val="auto"/>
                      <w:szCs w:val="21"/>
                    </w:rPr>
                    <w:t>-</w:t>
                  </w:r>
                </w:p>
              </w:tc>
              <w:tc>
                <w:tcPr>
                  <w:tcW w:w="641" w:type="pct"/>
                  <w:vAlign w:val="center"/>
                </w:tcPr>
                <w:p w14:paraId="1CAFE029">
                  <w:pPr>
                    <w:adjustRightInd w:val="0"/>
                    <w:jc w:val="center"/>
                    <w:rPr>
                      <w:color w:val="auto"/>
                      <w:szCs w:val="21"/>
                    </w:rPr>
                  </w:pPr>
                  <w:r>
                    <w:rPr>
                      <w:rFonts w:hint="eastAsia"/>
                      <w:color w:val="auto"/>
                      <w:szCs w:val="21"/>
                      <w:lang w:eastAsia="zh-CN"/>
                    </w:rPr>
                    <w:t>5.</w:t>
                  </w:r>
                  <w:r>
                    <w:rPr>
                      <w:rFonts w:hint="eastAsia"/>
                      <w:color w:val="auto"/>
                      <w:szCs w:val="21"/>
                    </w:rPr>
                    <w:t>t/a</w:t>
                  </w:r>
                </w:p>
              </w:tc>
              <w:tc>
                <w:tcPr>
                  <w:tcW w:w="452" w:type="pct"/>
                  <w:vAlign w:val="center"/>
                </w:tcPr>
                <w:p w14:paraId="31E2B3DD">
                  <w:pPr>
                    <w:adjustRightInd w:val="0"/>
                    <w:jc w:val="center"/>
                    <w:rPr>
                      <w:color w:val="auto"/>
                      <w:szCs w:val="21"/>
                    </w:rPr>
                  </w:pPr>
                  <w:r>
                    <w:rPr>
                      <w:rFonts w:hint="eastAsia"/>
                      <w:color w:val="auto"/>
                      <w:szCs w:val="21"/>
                    </w:rPr>
                    <w:t>0.5tt</w:t>
                  </w:r>
                </w:p>
              </w:tc>
              <w:tc>
                <w:tcPr>
                  <w:tcW w:w="454" w:type="pct"/>
                  <w:vAlign w:val="center"/>
                </w:tcPr>
                <w:p w14:paraId="1E1AC86E">
                  <w:pPr>
                    <w:adjustRightInd w:val="0"/>
                    <w:jc w:val="center"/>
                    <w:rPr>
                      <w:color w:val="auto"/>
                      <w:szCs w:val="21"/>
                    </w:rPr>
                  </w:pPr>
                  <w:r>
                    <w:rPr>
                      <w:rFonts w:hint="eastAsia"/>
                      <w:color w:val="auto"/>
                      <w:szCs w:val="21"/>
                    </w:rPr>
                    <w:t>车间边仓</w:t>
                  </w:r>
                </w:p>
              </w:tc>
              <w:tc>
                <w:tcPr>
                  <w:tcW w:w="448" w:type="pct"/>
                  <w:vAlign w:val="center"/>
                </w:tcPr>
                <w:p w14:paraId="6E26255E">
                  <w:pPr>
                    <w:adjustRightInd w:val="0"/>
                    <w:jc w:val="center"/>
                    <w:rPr>
                      <w:color w:val="auto"/>
                      <w:szCs w:val="21"/>
                    </w:rPr>
                  </w:pPr>
                  <w:r>
                    <w:rPr>
                      <w:rFonts w:hint="eastAsia"/>
                      <w:color w:val="auto"/>
                      <w:szCs w:val="21"/>
                    </w:rPr>
                    <w:t>外购</w:t>
                  </w:r>
                </w:p>
              </w:tc>
            </w:tr>
            <w:tr w14:paraId="7379328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473ECFCC">
                  <w:pPr>
                    <w:adjustRightInd w:val="0"/>
                    <w:jc w:val="center"/>
                    <w:rPr>
                      <w:color w:val="auto"/>
                      <w:szCs w:val="21"/>
                    </w:rPr>
                  </w:pPr>
                  <w:r>
                    <w:rPr>
                      <w:rFonts w:hint="eastAsia"/>
                      <w:color w:val="auto"/>
                      <w:szCs w:val="21"/>
                    </w:rPr>
                    <w:t>15</w:t>
                  </w:r>
                </w:p>
              </w:tc>
              <w:tc>
                <w:tcPr>
                  <w:tcW w:w="306" w:type="pct"/>
                  <w:vAlign w:val="center"/>
                </w:tcPr>
                <w:p w14:paraId="02EB4A7E">
                  <w:pPr>
                    <w:adjustRightInd w:val="0"/>
                    <w:jc w:val="center"/>
                    <w:rPr>
                      <w:color w:val="auto"/>
                      <w:szCs w:val="21"/>
                    </w:rPr>
                  </w:pPr>
                  <w:r>
                    <w:rPr>
                      <w:rFonts w:hint="eastAsia"/>
                      <w:color w:val="auto"/>
                      <w:szCs w:val="21"/>
                    </w:rPr>
                    <w:t>塑粉</w:t>
                  </w:r>
                </w:p>
              </w:tc>
              <w:tc>
                <w:tcPr>
                  <w:tcW w:w="1942" w:type="pct"/>
                  <w:vAlign w:val="center"/>
                </w:tcPr>
                <w:p w14:paraId="6478830C">
                  <w:pPr>
                    <w:adjustRightInd w:val="0"/>
                    <w:jc w:val="center"/>
                    <w:rPr>
                      <w:color w:val="auto"/>
                      <w:szCs w:val="21"/>
                    </w:rPr>
                  </w:pPr>
                  <w:r>
                    <w:rPr>
                      <w:rFonts w:hint="eastAsia"/>
                      <w:color w:val="auto"/>
                      <w:szCs w:val="21"/>
                      <w:lang w:eastAsia="zh-CN"/>
                    </w:rPr>
                    <w:t>55.</w:t>
                  </w:r>
                  <w:r>
                    <w:rPr>
                      <w:rFonts w:hint="eastAsia"/>
                      <w:color w:val="auto"/>
                      <w:szCs w:val="21"/>
                    </w:rPr>
                    <w:t>聚酯树脂粉末、20%钛白粉、25%颜料</w:t>
                  </w:r>
                </w:p>
              </w:tc>
              <w:tc>
                <w:tcPr>
                  <w:tcW w:w="489" w:type="pct"/>
                  <w:vAlign w:val="center"/>
                </w:tcPr>
                <w:p w14:paraId="7A9EE166">
                  <w:pPr>
                    <w:adjustRightInd w:val="0"/>
                    <w:jc w:val="center"/>
                    <w:rPr>
                      <w:color w:val="auto"/>
                      <w:szCs w:val="21"/>
                    </w:rPr>
                  </w:pPr>
                  <w:r>
                    <w:rPr>
                      <w:rFonts w:hint="eastAsia"/>
                      <w:color w:val="auto"/>
                      <w:szCs w:val="21"/>
                    </w:rPr>
                    <w:t>-</w:t>
                  </w:r>
                </w:p>
              </w:tc>
              <w:tc>
                <w:tcPr>
                  <w:tcW w:w="641" w:type="pct"/>
                  <w:vAlign w:val="center"/>
                </w:tcPr>
                <w:p w14:paraId="1929F89F">
                  <w:pPr>
                    <w:adjustRightInd w:val="0"/>
                    <w:jc w:val="center"/>
                    <w:rPr>
                      <w:color w:val="auto"/>
                      <w:szCs w:val="21"/>
                    </w:rPr>
                  </w:pPr>
                  <w:r>
                    <w:rPr>
                      <w:rFonts w:hint="eastAsia"/>
                      <w:color w:val="auto"/>
                      <w:szCs w:val="21"/>
                      <w:lang w:eastAsia="zh-CN"/>
                    </w:rPr>
                    <w:t>70.</w:t>
                  </w:r>
                  <w:r>
                    <w:rPr>
                      <w:rFonts w:hint="eastAsia"/>
                      <w:color w:val="auto"/>
                      <w:szCs w:val="21"/>
                    </w:rPr>
                    <w:t>t/a</w:t>
                  </w:r>
                </w:p>
              </w:tc>
              <w:tc>
                <w:tcPr>
                  <w:tcW w:w="452" w:type="pct"/>
                  <w:vAlign w:val="center"/>
                </w:tcPr>
                <w:p w14:paraId="410FADF7">
                  <w:pPr>
                    <w:adjustRightInd w:val="0"/>
                    <w:jc w:val="center"/>
                    <w:rPr>
                      <w:color w:val="auto"/>
                      <w:szCs w:val="21"/>
                    </w:rPr>
                  </w:pPr>
                  <w:r>
                    <w:rPr>
                      <w:rFonts w:hint="eastAsia"/>
                      <w:color w:val="auto"/>
                      <w:szCs w:val="21"/>
                      <w:lang w:eastAsia="zh-CN"/>
                    </w:rPr>
                    <w:t>6.</w:t>
                  </w:r>
                  <w:r>
                    <w:rPr>
                      <w:rFonts w:hint="eastAsia"/>
                      <w:color w:val="auto"/>
                      <w:szCs w:val="21"/>
                    </w:rPr>
                    <w:t>t</w:t>
                  </w:r>
                </w:p>
              </w:tc>
              <w:tc>
                <w:tcPr>
                  <w:tcW w:w="454" w:type="pct"/>
                  <w:vAlign w:val="center"/>
                </w:tcPr>
                <w:p w14:paraId="4863DF7F">
                  <w:pPr>
                    <w:adjustRightInd w:val="0"/>
                    <w:jc w:val="center"/>
                    <w:rPr>
                      <w:color w:val="auto"/>
                      <w:szCs w:val="21"/>
                    </w:rPr>
                  </w:pPr>
                  <w:r>
                    <w:rPr>
                      <w:rFonts w:hint="eastAsia"/>
                      <w:color w:val="auto"/>
                      <w:szCs w:val="21"/>
                    </w:rPr>
                    <w:t>车间边仓</w:t>
                  </w:r>
                </w:p>
              </w:tc>
              <w:tc>
                <w:tcPr>
                  <w:tcW w:w="448" w:type="pct"/>
                  <w:vAlign w:val="center"/>
                </w:tcPr>
                <w:p w14:paraId="20427A53">
                  <w:pPr>
                    <w:adjustRightInd w:val="0"/>
                    <w:jc w:val="center"/>
                    <w:rPr>
                      <w:color w:val="auto"/>
                      <w:szCs w:val="21"/>
                    </w:rPr>
                  </w:pPr>
                  <w:r>
                    <w:rPr>
                      <w:rFonts w:hint="eastAsia"/>
                      <w:color w:val="auto"/>
                      <w:szCs w:val="21"/>
                    </w:rPr>
                    <w:t>外购</w:t>
                  </w:r>
                </w:p>
              </w:tc>
            </w:tr>
            <w:tr w14:paraId="4798380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7450984">
                  <w:pPr>
                    <w:adjustRightInd w:val="0"/>
                    <w:jc w:val="center"/>
                    <w:rPr>
                      <w:color w:val="auto"/>
                      <w:szCs w:val="21"/>
                    </w:rPr>
                  </w:pPr>
                  <w:r>
                    <w:rPr>
                      <w:rFonts w:hint="eastAsia"/>
                      <w:color w:val="auto"/>
                      <w:szCs w:val="21"/>
                    </w:rPr>
                    <w:t>16</w:t>
                  </w:r>
                </w:p>
              </w:tc>
              <w:tc>
                <w:tcPr>
                  <w:tcW w:w="306" w:type="pct"/>
                  <w:vAlign w:val="center"/>
                </w:tcPr>
                <w:p w14:paraId="067AEB5C">
                  <w:pPr>
                    <w:adjustRightInd w:val="0"/>
                    <w:jc w:val="center"/>
                    <w:rPr>
                      <w:color w:val="auto"/>
                      <w:szCs w:val="21"/>
                    </w:rPr>
                  </w:pPr>
                  <w:r>
                    <w:rPr>
                      <w:rFonts w:hint="eastAsia"/>
                      <w:color w:val="auto"/>
                      <w:szCs w:val="21"/>
                    </w:rPr>
                    <w:t>亚克力板材</w:t>
                  </w:r>
                </w:p>
              </w:tc>
              <w:tc>
                <w:tcPr>
                  <w:tcW w:w="1942" w:type="pct"/>
                  <w:vAlign w:val="center"/>
                </w:tcPr>
                <w:p w14:paraId="68F2F5E3">
                  <w:pPr>
                    <w:adjustRightInd w:val="0"/>
                    <w:jc w:val="center"/>
                    <w:rPr>
                      <w:color w:val="auto"/>
                      <w:szCs w:val="21"/>
                    </w:rPr>
                  </w:pPr>
                  <w:r>
                    <w:rPr>
                      <w:rFonts w:hint="eastAsia"/>
                      <w:color w:val="auto"/>
                      <w:szCs w:val="21"/>
                    </w:rPr>
                    <w:t>1220*2440*3mm</w:t>
                  </w:r>
                </w:p>
              </w:tc>
              <w:tc>
                <w:tcPr>
                  <w:tcW w:w="489" w:type="pct"/>
                  <w:vAlign w:val="center"/>
                </w:tcPr>
                <w:p w14:paraId="73307923">
                  <w:pPr>
                    <w:adjustRightInd w:val="0"/>
                    <w:jc w:val="center"/>
                    <w:rPr>
                      <w:color w:val="auto"/>
                      <w:szCs w:val="21"/>
                    </w:rPr>
                  </w:pPr>
                  <w:r>
                    <w:rPr>
                      <w:rFonts w:hint="eastAsia"/>
                      <w:color w:val="auto"/>
                      <w:szCs w:val="21"/>
                    </w:rPr>
                    <w:t>-</w:t>
                  </w:r>
                </w:p>
              </w:tc>
              <w:tc>
                <w:tcPr>
                  <w:tcW w:w="641" w:type="pct"/>
                  <w:vAlign w:val="center"/>
                </w:tcPr>
                <w:p w14:paraId="12123A9E">
                  <w:pPr>
                    <w:adjustRightInd w:val="0"/>
                    <w:jc w:val="center"/>
                    <w:rPr>
                      <w:color w:val="auto"/>
                      <w:szCs w:val="21"/>
                    </w:rPr>
                  </w:pPr>
                  <w:r>
                    <w:rPr>
                      <w:rFonts w:hint="eastAsia"/>
                      <w:color w:val="auto"/>
                      <w:szCs w:val="21"/>
                    </w:rPr>
                    <w:t>2500张/年</w:t>
                  </w:r>
                </w:p>
              </w:tc>
              <w:tc>
                <w:tcPr>
                  <w:tcW w:w="452" w:type="pct"/>
                  <w:vAlign w:val="center"/>
                </w:tcPr>
                <w:p w14:paraId="593E370E">
                  <w:pPr>
                    <w:adjustRightInd w:val="0"/>
                    <w:jc w:val="center"/>
                    <w:rPr>
                      <w:color w:val="auto"/>
                      <w:szCs w:val="21"/>
                    </w:rPr>
                  </w:pPr>
                  <w:r>
                    <w:rPr>
                      <w:rFonts w:hint="eastAsia"/>
                      <w:color w:val="auto"/>
                      <w:szCs w:val="21"/>
                    </w:rPr>
                    <w:t>300张</w:t>
                  </w:r>
                </w:p>
              </w:tc>
              <w:tc>
                <w:tcPr>
                  <w:tcW w:w="454" w:type="pct"/>
                  <w:vAlign w:val="center"/>
                </w:tcPr>
                <w:p w14:paraId="5ADC877C">
                  <w:pPr>
                    <w:adjustRightInd w:val="0"/>
                    <w:jc w:val="center"/>
                    <w:rPr>
                      <w:color w:val="auto"/>
                      <w:szCs w:val="21"/>
                    </w:rPr>
                  </w:pPr>
                  <w:r>
                    <w:rPr>
                      <w:rFonts w:hint="eastAsia"/>
                      <w:color w:val="auto"/>
                      <w:szCs w:val="21"/>
                    </w:rPr>
                    <w:t>车间边仓</w:t>
                  </w:r>
                </w:p>
              </w:tc>
              <w:tc>
                <w:tcPr>
                  <w:tcW w:w="448" w:type="pct"/>
                  <w:vAlign w:val="center"/>
                </w:tcPr>
                <w:p w14:paraId="66C76A36">
                  <w:pPr>
                    <w:adjustRightInd w:val="0"/>
                    <w:jc w:val="center"/>
                    <w:rPr>
                      <w:color w:val="auto"/>
                      <w:szCs w:val="21"/>
                    </w:rPr>
                  </w:pPr>
                  <w:r>
                    <w:rPr>
                      <w:rFonts w:hint="eastAsia"/>
                      <w:color w:val="auto"/>
                      <w:szCs w:val="21"/>
                    </w:rPr>
                    <w:t>外购</w:t>
                  </w:r>
                </w:p>
              </w:tc>
            </w:tr>
            <w:tr w14:paraId="4924D7F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234A7896">
                  <w:pPr>
                    <w:adjustRightInd w:val="0"/>
                    <w:jc w:val="center"/>
                    <w:rPr>
                      <w:color w:val="auto"/>
                      <w:szCs w:val="21"/>
                    </w:rPr>
                  </w:pPr>
                  <w:r>
                    <w:rPr>
                      <w:rFonts w:hint="eastAsia"/>
                      <w:color w:val="auto"/>
                      <w:szCs w:val="21"/>
                    </w:rPr>
                    <w:t>17</w:t>
                  </w:r>
                </w:p>
              </w:tc>
              <w:tc>
                <w:tcPr>
                  <w:tcW w:w="306" w:type="pct"/>
                  <w:vAlign w:val="center"/>
                </w:tcPr>
                <w:p w14:paraId="13932EAD">
                  <w:pPr>
                    <w:adjustRightInd w:val="0"/>
                    <w:jc w:val="center"/>
                    <w:rPr>
                      <w:color w:val="auto"/>
                      <w:szCs w:val="21"/>
                    </w:rPr>
                  </w:pPr>
                  <w:r>
                    <w:rPr>
                      <w:rFonts w:hint="eastAsia"/>
                      <w:color w:val="auto"/>
                      <w:szCs w:val="21"/>
                    </w:rPr>
                    <w:t>水性油墨</w:t>
                  </w:r>
                </w:p>
              </w:tc>
              <w:tc>
                <w:tcPr>
                  <w:tcW w:w="1942" w:type="pct"/>
                  <w:vAlign w:val="center"/>
                </w:tcPr>
                <w:p w14:paraId="7FF4AA33">
                  <w:pPr>
                    <w:adjustRightInd w:val="0"/>
                    <w:jc w:val="center"/>
                    <w:rPr>
                      <w:color w:val="auto"/>
                      <w:szCs w:val="21"/>
                    </w:rPr>
                  </w:pPr>
                  <w:r>
                    <w:rPr>
                      <w:rFonts w:hint="eastAsia"/>
                      <w:color w:val="auto"/>
                      <w:szCs w:val="21"/>
                    </w:rPr>
                    <w:t>丙烯酸树脂60%、乙醇8%、颜料10%、助剂（水性蜡、消泡剂）2%、水20%</w:t>
                  </w:r>
                </w:p>
              </w:tc>
              <w:tc>
                <w:tcPr>
                  <w:tcW w:w="489" w:type="pct"/>
                  <w:vAlign w:val="center"/>
                </w:tcPr>
                <w:p w14:paraId="7224809D">
                  <w:pPr>
                    <w:adjustRightInd w:val="0"/>
                    <w:jc w:val="center"/>
                    <w:rPr>
                      <w:color w:val="auto"/>
                      <w:szCs w:val="21"/>
                    </w:rPr>
                  </w:pPr>
                  <w:r>
                    <w:rPr>
                      <w:rFonts w:hint="eastAsia"/>
                      <w:color w:val="auto"/>
                      <w:szCs w:val="21"/>
                    </w:rPr>
                    <w:t>溶剂含量＜5%</w:t>
                  </w:r>
                </w:p>
              </w:tc>
              <w:tc>
                <w:tcPr>
                  <w:tcW w:w="641" w:type="pct"/>
                  <w:vAlign w:val="center"/>
                </w:tcPr>
                <w:p w14:paraId="4D40F97B">
                  <w:pPr>
                    <w:adjustRightInd w:val="0"/>
                    <w:jc w:val="center"/>
                    <w:rPr>
                      <w:color w:val="auto"/>
                      <w:szCs w:val="21"/>
                    </w:rPr>
                  </w:pPr>
                  <w:r>
                    <w:rPr>
                      <w:rFonts w:hint="eastAsia"/>
                      <w:color w:val="auto"/>
                      <w:szCs w:val="21"/>
                    </w:rPr>
                    <w:t>0.4t/a</w:t>
                  </w:r>
                </w:p>
              </w:tc>
              <w:tc>
                <w:tcPr>
                  <w:tcW w:w="452" w:type="pct"/>
                  <w:vAlign w:val="center"/>
                </w:tcPr>
                <w:p w14:paraId="45321B13">
                  <w:pPr>
                    <w:adjustRightInd w:val="0"/>
                    <w:jc w:val="center"/>
                    <w:rPr>
                      <w:color w:val="auto"/>
                      <w:szCs w:val="21"/>
                    </w:rPr>
                  </w:pPr>
                  <w:r>
                    <w:rPr>
                      <w:rFonts w:hint="eastAsia"/>
                      <w:color w:val="auto"/>
                      <w:szCs w:val="21"/>
                    </w:rPr>
                    <w:t>0.1</w:t>
                  </w:r>
                </w:p>
              </w:tc>
              <w:tc>
                <w:tcPr>
                  <w:tcW w:w="454" w:type="pct"/>
                  <w:vAlign w:val="center"/>
                </w:tcPr>
                <w:p w14:paraId="6F3C942C">
                  <w:pPr>
                    <w:adjustRightInd w:val="0"/>
                    <w:jc w:val="center"/>
                    <w:rPr>
                      <w:color w:val="auto"/>
                      <w:szCs w:val="21"/>
                    </w:rPr>
                  </w:pPr>
                  <w:r>
                    <w:rPr>
                      <w:rFonts w:hint="eastAsia"/>
                      <w:color w:val="auto"/>
                      <w:szCs w:val="21"/>
                    </w:rPr>
                    <w:t>车间边仓</w:t>
                  </w:r>
                </w:p>
              </w:tc>
              <w:tc>
                <w:tcPr>
                  <w:tcW w:w="448" w:type="pct"/>
                  <w:vAlign w:val="center"/>
                </w:tcPr>
                <w:p w14:paraId="6C3FC596">
                  <w:pPr>
                    <w:adjustRightInd w:val="0"/>
                    <w:jc w:val="center"/>
                    <w:rPr>
                      <w:color w:val="auto"/>
                      <w:szCs w:val="21"/>
                    </w:rPr>
                  </w:pPr>
                  <w:r>
                    <w:rPr>
                      <w:rFonts w:hint="eastAsia"/>
                      <w:color w:val="auto"/>
                      <w:szCs w:val="21"/>
                    </w:rPr>
                    <w:t>外购</w:t>
                  </w:r>
                </w:p>
              </w:tc>
            </w:tr>
            <w:tr w14:paraId="201370F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51E33451">
                  <w:pPr>
                    <w:adjustRightInd w:val="0"/>
                    <w:jc w:val="center"/>
                    <w:rPr>
                      <w:color w:val="auto"/>
                      <w:szCs w:val="21"/>
                    </w:rPr>
                  </w:pPr>
                  <w:r>
                    <w:rPr>
                      <w:rFonts w:hint="eastAsia"/>
                      <w:color w:val="auto"/>
                      <w:szCs w:val="21"/>
                    </w:rPr>
                    <w:t>18</w:t>
                  </w:r>
                </w:p>
              </w:tc>
              <w:tc>
                <w:tcPr>
                  <w:tcW w:w="306" w:type="pct"/>
                  <w:vAlign w:val="center"/>
                </w:tcPr>
                <w:p w14:paraId="761C192D">
                  <w:pPr>
                    <w:adjustRightInd w:val="0"/>
                    <w:jc w:val="center"/>
                    <w:rPr>
                      <w:color w:val="auto"/>
                      <w:szCs w:val="21"/>
                    </w:rPr>
                  </w:pPr>
                  <w:r>
                    <w:rPr>
                      <w:rFonts w:hint="eastAsia"/>
                      <w:color w:val="auto"/>
                      <w:szCs w:val="21"/>
                    </w:rPr>
                    <w:t>烫金膜</w:t>
                  </w:r>
                </w:p>
              </w:tc>
              <w:tc>
                <w:tcPr>
                  <w:tcW w:w="1942" w:type="pct"/>
                  <w:vAlign w:val="center"/>
                </w:tcPr>
                <w:p w14:paraId="552E2828">
                  <w:pPr>
                    <w:adjustRightInd w:val="0"/>
                    <w:jc w:val="center"/>
                    <w:rPr>
                      <w:color w:val="auto"/>
                      <w:szCs w:val="21"/>
                    </w:rPr>
                  </w:pPr>
                  <w:r>
                    <w:rPr>
                      <w:rFonts w:hint="eastAsia"/>
                      <w:color w:val="auto"/>
                      <w:szCs w:val="21"/>
                    </w:rPr>
                    <w:t>/</w:t>
                  </w:r>
                </w:p>
              </w:tc>
              <w:tc>
                <w:tcPr>
                  <w:tcW w:w="489" w:type="pct"/>
                  <w:vAlign w:val="center"/>
                </w:tcPr>
                <w:p w14:paraId="55D595EC">
                  <w:pPr>
                    <w:adjustRightInd w:val="0"/>
                    <w:jc w:val="center"/>
                    <w:rPr>
                      <w:color w:val="auto"/>
                      <w:szCs w:val="21"/>
                    </w:rPr>
                  </w:pPr>
                  <w:r>
                    <w:rPr>
                      <w:rFonts w:hint="eastAsia"/>
                      <w:color w:val="auto"/>
                      <w:szCs w:val="21"/>
                    </w:rPr>
                    <w:t>-</w:t>
                  </w:r>
                </w:p>
              </w:tc>
              <w:tc>
                <w:tcPr>
                  <w:tcW w:w="641" w:type="pct"/>
                  <w:vAlign w:val="center"/>
                </w:tcPr>
                <w:p w14:paraId="0AB9489A">
                  <w:pPr>
                    <w:adjustRightInd w:val="0"/>
                    <w:jc w:val="center"/>
                    <w:rPr>
                      <w:color w:val="auto"/>
                      <w:szCs w:val="21"/>
                    </w:rPr>
                  </w:pPr>
                  <w:r>
                    <w:rPr>
                      <w:rFonts w:hint="eastAsia"/>
                      <w:color w:val="auto"/>
                      <w:szCs w:val="21"/>
                    </w:rPr>
                    <w:t>50卷/年</w:t>
                  </w:r>
                </w:p>
              </w:tc>
              <w:tc>
                <w:tcPr>
                  <w:tcW w:w="452" w:type="pct"/>
                  <w:vAlign w:val="center"/>
                </w:tcPr>
                <w:p w14:paraId="6358A6AC">
                  <w:pPr>
                    <w:adjustRightInd w:val="0"/>
                    <w:jc w:val="center"/>
                    <w:rPr>
                      <w:color w:val="auto"/>
                      <w:szCs w:val="21"/>
                    </w:rPr>
                  </w:pPr>
                  <w:r>
                    <w:rPr>
                      <w:rFonts w:hint="eastAsia"/>
                      <w:color w:val="auto"/>
                      <w:szCs w:val="21"/>
                      <w:lang w:eastAsia="zh-CN"/>
                    </w:rPr>
                    <w:t>5.</w:t>
                  </w:r>
                  <w:r>
                    <w:rPr>
                      <w:rFonts w:hint="eastAsia"/>
                      <w:color w:val="auto"/>
                      <w:szCs w:val="21"/>
                    </w:rPr>
                    <w:t>卷</w:t>
                  </w:r>
                </w:p>
              </w:tc>
              <w:tc>
                <w:tcPr>
                  <w:tcW w:w="454" w:type="pct"/>
                  <w:vAlign w:val="center"/>
                </w:tcPr>
                <w:p w14:paraId="6FA338EA">
                  <w:pPr>
                    <w:adjustRightInd w:val="0"/>
                    <w:jc w:val="center"/>
                    <w:rPr>
                      <w:color w:val="auto"/>
                      <w:szCs w:val="21"/>
                    </w:rPr>
                  </w:pPr>
                  <w:r>
                    <w:rPr>
                      <w:rFonts w:hint="eastAsia"/>
                      <w:color w:val="auto"/>
                      <w:szCs w:val="21"/>
                    </w:rPr>
                    <w:t>车间边仓</w:t>
                  </w:r>
                </w:p>
              </w:tc>
              <w:tc>
                <w:tcPr>
                  <w:tcW w:w="448" w:type="pct"/>
                  <w:vAlign w:val="center"/>
                </w:tcPr>
                <w:p w14:paraId="381DF0B0">
                  <w:pPr>
                    <w:adjustRightInd w:val="0"/>
                    <w:jc w:val="center"/>
                    <w:rPr>
                      <w:color w:val="auto"/>
                      <w:szCs w:val="21"/>
                    </w:rPr>
                  </w:pPr>
                  <w:r>
                    <w:rPr>
                      <w:rFonts w:hint="eastAsia"/>
                      <w:color w:val="auto"/>
                      <w:szCs w:val="21"/>
                    </w:rPr>
                    <w:t>外购</w:t>
                  </w:r>
                </w:p>
              </w:tc>
            </w:tr>
            <w:tr w14:paraId="3202EF7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C4A4495">
                  <w:pPr>
                    <w:adjustRightInd w:val="0"/>
                    <w:jc w:val="center"/>
                    <w:rPr>
                      <w:color w:val="auto"/>
                      <w:szCs w:val="21"/>
                    </w:rPr>
                  </w:pPr>
                  <w:r>
                    <w:rPr>
                      <w:rFonts w:hint="eastAsia"/>
                      <w:color w:val="auto"/>
                      <w:szCs w:val="21"/>
                    </w:rPr>
                    <w:t>19</w:t>
                  </w:r>
                </w:p>
              </w:tc>
              <w:tc>
                <w:tcPr>
                  <w:tcW w:w="306" w:type="pct"/>
                  <w:vAlign w:val="center"/>
                </w:tcPr>
                <w:p w14:paraId="3F82D92E">
                  <w:pPr>
                    <w:adjustRightInd w:val="0"/>
                    <w:jc w:val="center"/>
                    <w:rPr>
                      <w:color w:val="auto"/>
                      <w:szCs w:val="21"/>
                    </w:rPr>
                  </w:pPr>
                  <w:r>
                    <w:rPr>
                      <w:rFonts w:hint="eastAsia"/>
                      <w:color w:val="auto"/>
                      <w:szCs w:val="21"/>
                    </w:rPr>
                    <w:t>螺杆+螺母</w:t>
                  </w:r>
                </w:p>
              </w:tc>
              <w:tc>
                <w:tcPr>
                  <w:tcW w:w="1942" w:type="pct"/>
                  <w:vAlign w:val="center"/>
                </w:tcPr>
                <w:p w14:paraId="651A78DA">
                  <w:pPr>
                    <w:adjustRightInd w:val="0"/>
                    <w:jc w:val="center"/>
                    <w:rPr>
                      <w:color w:val="auto"/>
                      <w:szCs w:val="21"/>
                    </w:rPr>
                  </w:pPr>
                  <w:r>
                    <w:rPr>
                      <w:rFonts w:hint="eastAsia"/>
                      <w:color w:val="auto"/>
                      <w:szCs w:val="21"/>
                    </w:rPr>
                    <w:t>/</w:t>
                  </w:r>
                </w:p>
              </w:tc>
              <w:tc>
                <w:tcPr>
                  <w:tcW w:w="489" w:type="pct"/>
                  <w:vAlign w:val="center"/>
                </w:tcPr>
                <w:p w14:paraId="033AA322">
                  <w:pPr>
                    <w:adjustRightInd w:val="0"/>
                    <w:jc w:val="center"/>
                    <w:rPr>
                      <w:color w:val="auto"/>
                      <w:szCs w:val="21"/>
                    </w:rPr>
                  </w:pPr>
                  <w:r>
                    <w:rPr>
                      <w:rFonts w:hint="eastAsia"/>
                      <w:color w:val="auto"/>
                      <w:szCs w:val="21"/>
                    </w:rPr>
                    <w:t>-</w:t>
                  </w:r>
                </w:p>
              </w:tc>
              <w:tc>
                <w:tcPr>
                  <w:tcW w:w="641" w:type="pct"/>
                  <w:vAlign w:val="center"/>
                </w:tcPr>
                <w:p w14:paraId="04BF2B06">
                  <w:pPr>
                    <w:adjustRightInd w:val="0"/>
                    <w:jc w:val="center"/>
                    <w:rPr>
                      <w:color w:val="auto"/>
                      <w:szCs w:val="21"/>
                    </w:rPr>
                  </w:pPr>
                  <w:r>
                    <w:rPr>
                      <w:rFonts w:hint="eastAsia"/>
                      <w:color w:val="auto"/>
                      <w:szCs w:val="21"/>
                    </w:rPr>
                    <w:t>48万套/年</w:t>
                  </w:r>
                </w:p>
              </w:tc>
              <w:tc>
                <w:tcPr>
                  <w:tcW w:w="452" w:type="pct"/>
                  <w:vAlign w:val="center"/>
                </w:tcPr>
                <w:p w14:paraId="714217F2">
                  <w:pPr>
                    <w:adjustRightInd w:val="0"/>
                    <w:jc w:val="center"/>
                    <w:rPr>
                      <w:color w:val="auto"/>
                      <w:szCs w:val="21"/>
                    </w:rPr>
                  </w:pPr>
                  <w:r>
                    <w:rPr>
                      <w:rFonts w:hint="eastAsia"/>
                      <w:color w:val="auto"/>
                      <w:szCs w:val="21"/>
                    </w:rPr>
                    <w:t>5万套</w:t>
                  </w:r>
                </w:p>
              </w:tc>
              <w:tc>
                <w:tcPr>
                  <w:tcW w:w="454" w:type="pct"/>
                  <w:vAlign w:val="center"/>
                </w:tcPr>
                <w:p w14:paraId="05BBF79F">
                  <w:pPr>
                    <w:adjustRightInd w:val="0"/>
                    <w:jc w:val="center"/>
                    <w:rPr>
                      <w:color w:val="auto"/>
                      <w:szCs w:val="21"/>
                    </w:rPr>
                  </w:pPr>
                  <w:r>
                    <w:rPr>
                      <w:rFonts w:hint="eastAsia"/>
                      <w:color w:val="auto"/>
                      <w:szCs w:val="21"/>
                    </w:rPr>
                    <w:t>车间边仓</w:t>
                  </w:r>
                </w:p>
              </w:tc>
              <w:tc>
                <w:tcPr>
                  <w:tcW w:w="448" w:type="pct"/>
                  <w:vAlign w:val="center"/>
                </w:tcPr>
                <w:p w14:paraId="1BACD707">
                  <w:pPr>
                    <w:adjustRightInd w:val="0"/>
                    <w:jc w:val="center"/>
                    <w:rPr>
                      <w:color w:val="auto"/>
                      <w:szCs w:val="21"/>
                    </w:rPr>
                  </w:pPr>
                  <w:r>
                    <w:rPr>
                      <w:rFonts w:hint="eastAsia"/>
                      <w:color w:val="auto"/>
                      <w:szCs w:val="21"/>
                    </w:rPr>
                    <w:t>外购</w:t>
                  </w:r>
                </w:p>
              </w:tc>
            </w:tr>
            <w:tr w14:paraId="25AF1DE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A298BFD">
                  <w:pPr>
                    <w:adjustRightInd w:val="0"/>
                    <w:jc w:val="center"/>
                    <w:rPr>
                      <w:color w:val="auto"/>
                      <w:szCs w:val="21"/>
                    </w:rPr>
                  </w:pPr>
                  <w:r>
                    <w:rPr>
                      <w:rFonts w:hint="eastAsia"/>
                      <w:color w:val="auto"/>
                      <w:szCs w:val="21"/>
                    </w:rPr>
                    <w:t>20</w:t>
                  </w:r>
                </w:p>
              </w:tc>
              <w:tc>
                <w:tcPr>
                  <w:tcW w:w="306" w:type="pct"/>
                  <w:vAlign w:val="center"/>
                </w:tcPr>
                <w:p w14:paraId="111A8C5E">
                  <w:pPr>
                    <w:adjustRightInd w:val="0"/>
                    <w:jc w:val="center"/>
                    <w:rPr>
                      <w:color w:val="auto"/>
                      <w:szCs w:val="21"/>
                    </w:rPr>
                  </w:pPr>
                  <w:r>
                    <w:rPr>
                      <w:rFonts w:hint="eastAsia"/>
                      <w:color w:val="auto"/>
                      <w:szCs w:val="21"/>
                    </w:rPr>
                    <w:t>滑轨</w:t>
                  </w:r>
                </w:p>
              </w:tc>
              <w:tc>
                <w:tcPr>
                  <w:tcW w:w="1942" w:type="pct"/>
                  <w:vAlign w:val="center"/>
                </w:tcPr>
                <w:p w14:paraId="60B77932">
                  <w:pPr>
                    <w:adjustRightInd w:val="0"/>
                    <w:jc w:val="center"/>
                    <w:rPr>
                      <w:color w:val="auto"/>
                      <w:szCs w:val="21"/>
                    </w:rPr>
                  </w:pPr>
                  <w:r>
                    <w:rPr>
                      <w:rFonts w:hint="eastAsia"/>
                      <w:color w:val="auto"/>
                      <w:szCs w:val="21"/>
                    </w:rPr>
                    <w:t>45型</w:t>
                  </w:r>
                </w:p>
              </w:tc>
              <w:tc>
                <w:tcPr>
                  <w:tcW w:w="489" w:type="pct"/>
                  <w:vAlign w:val="center"/>
                </w:tcPr>
                <w:p w14:paraId="1C3A5890">
                  <w:pPr>
                    <w:adjustRightInd w:val="0"/>
                    <w:jc w:val="center"/>
                    <w:rPr>
                      <w:color w:val="auto"/>
                      <w:szCs w:val="21"/>
                    </w:rPr>
                  </w:pPr>
                  <w:r>
                    <w:rPr>
                      <w:rFonts w:hint="eastAsia"/>
                      <w:color w:val="auto"/>
                      <w:szCs w:val="21"/>
                    </w:rPr>
                    <w:t>-</w:t>
                  </w:r>
                </w:p>
              </w:tc>
              <w:tc>
                <w:tcPr>
                  <w:tcW w:w="641" w:type="pct"/>
                  <w:vAlign w:val="center"/>
                </w:tcPr>
                <w:p w14:paraId="1FA3CD87">
                  <w:pPr>
                    <w:adjustRightInd w:val="0"/>
                    <w:jc w:val="center"/>
                    <w:rPr>
                      <w:color w:val="auto"/>
                      <w:szCs w:val="21"/>
                    </w:rPr>
                  </w:pPr>
                  <w:r>
                    <w:rPr>
                      <w:rFonts w:hint="eastAsia"/>
                      <w:color w:val="auto"/>
                      <w:szCs w:val="21"/>
                    </w:rPr>
                    <w:t>24万套/年</w:t>
                  </w:r>
                </w:p>
              </w:tc>
              <w:tc>
                <w:tcPr>
                  <w:tcW w:w="452" w:type="pct"/>
                  <w:vAlign w:val="center"/>
                </w:tcPr>
                <w:p w14:paraId="4D5ECD29">
                  <w:pPr>
                    <w:adjustRightInd w:val="0"/>
                    <w:jc w:val="center"/>
                    <w:rPr>
                      <w:color w:val="auto"/>
                      <w:szCs w:val="21"/>
                    </w:rPr>
                  </w:pPr>
                  <w:r>
                    <w:rPr>
                      <w:rFonts w:hint="eastAsia"/>
                      <w:color w:val="auto"/>
                      <w:szCs w:val="21"/>
                    </w:rPr>
                    <w:t>3万套</w:t>
                  </w:r>
                </w:p>
              </w:tc>
              <w:tc>
                <w:tcPr>
                  <w:tcW w:w="454" w:type="pct"/>
                  <w:vAlign w:val="center"/>
                </w:tcPr>
                <w:p w14:paraId="071FA377">
                  <w:pPr>
                    <w:adjustRightInd w:val="0"/>
                    <w:jc w:val="center"/>
                    <w:rPr>
                      <w:color w:val="auto"/>
                      <w:szCs w:val="21"/>
                    </w:rPr>
                  </w:pPr>
                  <w:r>
                    <w:rPr>
                      <w:rFonts w:hint="eastAsia"/>
                      <w:color w:val="auto"/>
                      <w:szCs w:val="21"/>
                    </w:rPr>
                    <w:t>车间边仓</w:t>
                  </w:r>
                </w:p>
              </w:tc>
              <w:tc>
                <w:tcPr>
                  <w:tcW w:w="448" w:type="pct"/>
                  <w:vAlign w:val="center"/>
                </w:tcPr>
                <w:p w14:paraId="142A46D2">
                  <w:pPr>
                    <w:adjustRightInd w:val="0"/>
                    <w:jc w:val="center"/>
                    <w:rPr>
                      <w:color w:val="auto"/>
                      <w:szCs w:val="21"/>
                    </w:rPr>
                  </w:pPr>
                  <w:r>
                    <w:rPr>
                      <w:rFonts w:hint="eastAsia"/>
                      <w:color w:val="auto"/>
                      <w:szCs w:val="21"/>
                    </w:rPr>
                    <w:t>外购</w:t>
                  </w:r>
                </w:p>
              </w:tc>
            </w:tr>
            <w:tr w14:paraId="02C4441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81A4936">
                  <w:pPr>
                    <w:adjustRightInd w:val="0"/>
                    <w:jc w:val="center"/>
                    <w:rPr>
                      <w:color w:val="auto"/>
                      <w:szCs w:val="21"/>
                    </w:rPr>
                  </w:pPr>
                  <w:r>
                    <w:rPr>
                      <w:rFonts w:hint="eastAsia"/>
                      <w:color w:val="auto"/>
                      <w:szCs w:val="21"/>
                    </w:rPr>
                    <w:t>21</w:t>
                  </w:r>
                </w:p>
              </w:tc>
              <w:tc>
                <w:tcPr>
                  <w:tcW w:w="306" w:type="pct"/>
                  <w:vAlign w:val="center"/>
                </w:tcPr>
                <w:p w14:paraId="7B337C4B">
                  <w:pPr>
                    <w:adjustRightInd w:val="0"/>
                    <w:jc w:val="center"/>
                    <w:rPr>
                      <w:color w:val="auto"/>
                      <w:szCs w:val="21"/>
                    </w:rPr>
                  </w:pPr>
                  <w:r>
                    <w:rPr>
                      <w:rFonts w:hint="eastAsia"/>
                      <w:color w:val="auto"/>
                      <w:szCs w:val="21"/>
                    </w:rPr>
                    <w:t>装饰件</w:t>
                  </w:r>
                </w:p>
              </w:tc>
              <w:tc>
                <w:tcPr>
                  <w:tcW w:w="1942" w:type="pct"/>
                  <w:vAlign w:val="center"/>
                </w:tcPr>
                <w:p w14:paraId="540E1D99">
                  <w:pPr>
                    <w:adjustRightInd w:val="0"/>
                    <w:jc w:val="center"/>
                    <w:rPr>
                      <w:color w:val="auto"/>
                      <w:szCs w:val="21"/>
                    </w:rPr>
                  </w:pPr>
                  <w:r>
                    <w:rPr>
                      <w:rFonts w:hint="eastAsia"/>
                      <w:color w:val="auto"/>
                      <w:szCs w:val="21"/>
                    </w:rPr>
                    <w:t>/</w:t>
                  </w:r>
                </w:p>
              </w:tc>
              <w:tc>
                <w:tcPr>
                  <w:tcW w:w="489" w:type="pct"/>
                  <w:vAlign w:val="center"/>
                </w:tcPr>
                <w:p w14:paraId="1E3CADBC">
                  <w:pPr>
                    <w:adjustRightInd w:val="0"/>
                    <w:jc w:val="center"/>
                    <w:rPr>
                      <w:color w:val="auto"/>
                      <w:szCs w:val="21"/>
                    </w:rPr>
                  </w:pPr>
                  <w:r>
                    <w:rPr>
                      <w:rFonts w:hint="eastAsia"/>
                      <w:color w:val="auto"/>
                      <w:szCs w:val="21"/>
                    </w:rPr>
                    <w:t>-</w:t>
                  </w:r>
                </w:p>
              </w:tc>
              <w:tc>
                <w:tcPr>
                  <w:tcW w:w="641" w:type="pct"/>
                  <w:vAlign w:val="center"/>
                </w:tcPr>
                <w:p w14:paraId="113115F3">
                  <w:pPr>
                    <w:adjustRightInd w:val="0"/>
                    <w:jc w:val="center"/>
                    <w:rPr>
                      <w:color w:val="auto"/>
                      <w:szCs w:val="21"/>
                    </w:rPr>
                  </w:pPr>
                  <w:r>
                    <w:rPr>
                      <w:rFonts w:hint="eastAsia"/>
                      <w:color w:val="auto"/>
                      <w:szCs w:val="21"/>
                    </w:rPr>
                    <w:t>6万套/年</w:t>
                  </w:r>
                </w:p>
              </w:tc>
              <w:tc>
                <w:tcPr>
                  <w:tcW w:w="452" w:type="pct"/>
                  <w:vAlign w:val="center"/>
                </w:tcPr>
                <w:p w14:paraId="0B84DCE7">
                  <w:pPr>
                    <w:adjustRightInd w:val="0"/>
                    <w:jc w:val="center"/>
                    <w:rPr>
                      <w:color w:val="auto"/>
                      <w:szCs w:val="21"/>
                    </w:rPr>
                  </w:pPr>
                  <w:r>
                    <w:rPr>
                      <w:rFonts w:hint="eastAsia"/>
                      <w:color w:val="auto"/>
                      <w:szCs w:val="21"/>
                    </w:rPr>
                    <w:t>0.5万套</w:t>
                  </w:r>
                </w:p>
              </w:tc>
              <w:tc>
                <w:tcPr>
                  <w:tcW w:w="454" w:type="pct"/>
                  <w:vAlign w:val="center"/>
                </w:tcPr>
                <w:p w14:paraId="30DD1BD7">
                  <w:pPr>
                    <w:adjustRightInd w:val="0"/>
                    <w:jc w:val="center"/>
                    <w:rPr>
                      <w:color w:val="auto"/>
                      <w:szCs w:val="21"/>
                    </w:rPr>
                  </w:pPr>
                  <w:r>
                    <w:rPr>
                      <w:rFonts w:hint="eastAsia"/>
                      <w:color w:val="auto"/>
                      <w:szCs w:val="21"/>
                    </w:rPr>
                    <w:t>车间边仓</w:t>
                  </w:r>
                </w:p>
              </w:tc>
              <w:tc>
                <w:tcPr>
                  <w:tcW w:w="448" w:type="pct"/>
                  <w:vAlign w:val="center"/>
                </w:tcPr>
                <w:p w14:paraId="16BEC0C4">
                  <w:pPr>
                    <w:adjustRightInd w:val="0"/>
                    <w:jc w:val="center"/>
                    <w:rPr>
                      <w:color w:val="auto"/>
                      <w:szCs w:val="21"/>
                    </w:rPr>
                  </w:pPr>
                  <w:r>
                    <w:rPr>
                      <w:rFonts w:hint="eastAsia"/>
                      <w:color w:val="auto"/>
                      <w:szCs w:val="21"/>
                    </w:rPr>
                    <w:t>外购</w:t>
                  </w:r>
                </w:p>
              </w:tc>
            </w:tr>
            <w:tr w14:paraId="3C18D56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6B805B3">
                  <w:pPr>
                    <w:adjustRightInd w:val="0"/>
                    <w:jc w:val="center"/>
                    <w:rPr>
                      <w:color w:val="auto"/>
                      <w:szCs w:val="21"/>
                    </w:rPr>
                  </w:pPr>
                  <w:r>
                    <w:rPr>
                      <w:rFonts w:hint="eastAsia"/>
                      <w:color w:val="auto"/>
                      <w:szCs w:val="21"/>
                    </w:rPr>
                    <w:t>22</w:t>
                  </w:r>
                </w:p>
              </w:tc>
              <w:tc>
                <w:tcPr>
                  <w:tcW w:w="306" w:type="pct"/>
                  <w:vAlign w:val="center"/>
                </w:tcPr>
                <w:p w14:paraId="57D8EAA3">
                  <w:pPr>
                    <w:adjustRightInd w:val="0"/>
                    <w:jc w:val="center"/>
                    <w:rPr>
                      <w:color w:val="auto"/>
                      <w:szCs w:val="21"/>
                    </w:rPr>
                  </w:pPr>
                  <w:r>
                    <w:rPr>
                      <w:rFonts w:hint="eastAsia"/>
                      <w:color w:val="auto"/>
                      <w:szCs w:val="21"/>
                    </w:rPr>
                    <w:t>托盘</w:t>
                  </w:r>
                </w:p>
              </w:tc>
              <w:tc>
                <w:tcPr>
                  <w:tcW w:w="1942" w:type="pct"/>
                  <w:vAlign w:val="center"/>
                </w:tcPr>
                <w:p w14:paraId="1DDFF9B8">
                  <w:pPr>
                    <w:adjustRightInd w:val="0"/>
                    <w:jc w:val="center"/>
                    <w:rPr>
                      <w:color w:val="auto"/>
                      <w:szCs w:val="21"/>
                    </w:rPr>
                  </w:pPr>
                  <w:r>
                    <w:rPr>
                      <w:rFonts w:hint="eastAsia"/>
                      <w:color w:val="auto"/>
                      <w:szCs w:val="21"/>
                    </w:rPr>
                    <w:t>/</w:t>
                  </w:r>
                </w:p>
              </w:tc>
              <w:tc>
                <w:tcPr>
                  <w:tcW w:w="489" w:type="pct"/>
                  <w:vAlign w:val="center"/>
                </w:tcPr>
                <w:p w14:paraId="00473CFF">
                  <w:pPr>
                    <w:adjustRightInd w:val="0"/>
                    <w:jc w:val="center"/>
                    <w:rPr>
                      <w:color w:val="auto"/>
                      <w:szCs w:val="21"/>
                    </w:rPr>
                  </w:pPr>
                  <w:r>
                    <w:rPr>
                      <w:rFonts w:hint="eastAsia"/>
                      <w:color w:val="auto"/>
                      <w:szCs w:val="21"/>
                    </w:rPr>
                    <w:t>-</w:t>
                  </w:r>
                </w:p>
              </w:tc>
              <w:tc>
                <w:tcPr>
                  <w:tcW w:w="641" w:type="pct"/>
                  <w:vAlign w:val="center"/>
                </w:tcPr>
                <w:p w14:paraId="331E23D9">
                  <w:pPr>
                    <w:adjustRightInd w:val="0"/>
                    <w:jc w:val="center"/>
                    <w:rPr>
                      <w:color w:val="auto"/>
                      <w:szCs w:val="21"/>
                    </w:rPr>
                  </w:pPr>
                  <w:r>
                    <w:rPr>
                      <w:rFonts w:hint="eastAsia"/>
                      <w:color w:val="auto"/>
                      <w:szCs w:val="21"/>
                    </w:rPr>
                    <w:t>300个/年</w:t>
                  </w:r>
                </w:p>
              </w:tc>
              <w:tc>
                <w:tcPr>
                  <w:tcW w:w="452" w:type="pct"/>
                  <w:vAlign w:val="center"/>
                </w:tcPr>
                <w:p w14:paraId="47ADEE9D">
                  <w:pPr>
                    <w:adjustRightInd w:val="0"/>
                    <w:jc w:val="center"/>
                    <w:rPr>
                      <w:color w:val="auto"/>
                      <w:szCs w:val="21"/>
                    </w:rPr>
                  </w:pPr>
                  <w:r>
                    <w:rPr>
                      <w:rFonts w:hint="eastAsia"/>
                      <w:color w:val="auto"/>
                      <w:szCs w:val="21"/>
                    </w:rPr>
                    <w:t>25个</w:t>
                  </w:r>
                </w:p>
              </w:tc>
              <w:tc>
                <w:tcPr>
                  <w:tcW w:w="454" w:type="pct"/>
                  <w:vAlign w:val="center"/>
                </w:tcPr>
                <w:p w14:paraId="62C5A935">
                  <w:pPr>
                    <w:adjustRightInd w:val="0"/>
                    <w:jc w:val="center"/>
                    <w:rPr>
                      <w:color w:val="auto"/>
                      <w:szCs w:val="21"/>
                    </w:rPr>
                  </w:pPr>
                  <w:r>
                    <w:rPr>
                      <w:rFonts w:hint="eastAsia"/>
                      <w:color w:val="auto"/>
                      <w:szCs w:val="21"/>
                    </w:rPr>
                    <w:t>车间边仓</w:t>
                  </w:r>
                </w:p>
              </w:tc>
              <w:tc>
                <w:tcPr>
                  <w:tcW w:w="448" w:type="pct"/>
                  <w:vAlign w:val="center"/>
                </w:tcPr>
                <w:p w14:paraId="199AE3F1">
                  <w:pPr>
                    <w:adjustRightInd w:val="0"/>
                    <w:jc w:val="center"/>
                    <w:rPr>
                      <w:color w:val="auto"/>
                      <w:szCs w:val="21"/>
                    </w:rPr>
                  </w:pPr>
                  <w:r>
                    <w:rPr>
                      <w:rFonts w:hint="eastAsia"/>
                      <w:color w:val="auto"/>
                      <w:szCs w:val="21"/>
                    </w:rPr>
                    <w:t>外购</w:t>
                  </w:r>
                </w:p>
              </w:tc>
            </w:tr>
            <w:tr w14:paraId="67DE8B1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57D35A7">
                  <w:pPr>
                    <w:adjustRightInd w:val="0"/>
                    <w:jc w:val="center"/>
                    <w:rPr>
                      <w:color w:val="auto"/>
                      <w:szCs w:val="21"/>
                    </w:rPr>
                  </w:pPr>
                  <w:r>
                    <w:rPr>
                      <w:rFonts w:hint="eastAsia"/>
                      <w:color w:val="auto"/>
                      <w:szCs w:val="21"/>
                    </w:rPr>
                    <w:t>23</w:t>
                  </w:r>
                </w:p>
              </w:tc>
              <w:tc>
                <w:tcPr>
                  <w:tcW w:w="306" w:type="pct"/>
                  <w:vAlign w:val="center"/>
                </w:tcPr>
                <w:p w14:paraId="6E30911D">
                  <w:pPr>
                    <w:adjustRightInd w:val="0"/>
                    <w:jc w:val="center"/>
                    <w:rPr>
                      <w:color w:val="auto"/>
                      <w:szCs w:val="21"/>
                    </w:rPr>
                  </w:pPr>
                  <w:r>
                    <w:rPr>
                      <w:rFonts w:hint="eastAsia"/>
                      <w:color w:val="auto"/>
                      <w:szCs w:val="21"/>
                    </w:rPr>
                    <w:t>电</w:t>
                  </w:r>
                </w:p>
              </w:tc>
              <w:tc>
                <w:tcPr>
                  <w:tcW w:w="1942" w:type="pct"/>
                  <w:vAlign w:val="center"/>
                </w:tcPr>
                <w:p w14:paraId="3CAAF997">
                  <w:pPr>
                    <w:adjustRightInd w:val="0"/>
                    <w:jc w:val="center"/>
                    <w:rPr>
                      <w:color w:val="auto"/>
                      <w:szCs w:val="21"/>
                    </w:rPr>
                  </w:pPr>
                  <w:r>
                    <w:rPr>
                      <w:rFonts w:hint="eastAsia"/>
                      <w:color w:val="auto"/>
                      <w:szCs w:val="21"/>
                    </w:rPr>
                    <w:t>/</w:t>
                  </w:r>
                </w:p>
              </w:tc>
              <w:tc>
                <w:tcPr>
                  <w:tcW w:w="489" w:type="pct"/>
                  <w:vAlign w:val="center"/>
                </w:tcPr>
                <w:p w14:paraId="074A266C">
                  <w:pPr>
                    <w:adjustRightInd w:val="0"/>
                    <w:jc w:val="center"/>
                    <w:rPr>
                      <w:color w:val="auto"/>
                      <w:szCs w:val="21"/>
                    </w:rPr>
                  </w:pPr>
                  <w:r>
                    <w:rPr>
                      <w:rFonts w:hint="eastAsia"/>
                      <w:color w:val="auto"/>
                      <w:szCs w:val="21"/>
                    </w:rPr>
                    <w:t>-</w:t>
                  </w:r>
                </w:p>
              </w:tc>
              <w:tc>
                <w:tcPr>
                  <w:tcW w:w="641" w:type="pct"/>
                  <w:vAlign w:val="center"/>
                </w:tcPr>
                <w:p w14:paraId="131CE33D">
                  <w:pPr>
                    <w:adjustRightInd w:val="0"/>
                    <w:jc w:val="center"/>
                    <w:rPr>
                      <w:color w:val="auto"/>
                      <w:szCs w:val="21"/>
                    </w:rPr>
                  </w:pPr>
                  <w:r>
                    <w:rPr>
                      <w:rFonts w:hint="eastAsia"/>
                      <w:color w:val="auto"/>
                      <w:szCs w:val="21"/>
                    </w:rPr>
                    <w:t>87.5万千瓦时/年</w:t>
                  </w:r>
                </w:p>
              </w:tc>
              <w:tc>
                <w:tcPr>
                  <w:tcW w:w="452" w:type="pct"/>
                  <w:vAlign w:val="center"/>
                </w:tcPr>
                <w:p w14:paraId="0A7291E7">
                  <w:pPr>
                    <w:adjustRightInd w:val="0"/>
                    <w:jc w:val="center"/>
                    <w:rPr>
                      <w:color w:val="auto"/>
                      <w:szCs w:val="21"/>
                    </w:rPr>
                  </w:pPr>
                  <w:r>
                    <w:rPr>
                      <w:rFonts w:hint="eastAsia"/>
                      <w:color w:val="auto"/>
                      <w:szCs w:val="21"/>
                    </w:rPr>
                    <w:t>-</w:t>
                  </w:r>
                </w:p>
              </w:tc>
              <w:tc>
                <w:tcPr>
                  <w:tcW w:w="454" w:type="pct"/>
                  <w:vAlign w:val="center"/>
                </w:tcPr>
                <w:p w14:paraId="6F07A427">
                  <w:pPr>
                    <w:adjustRightInd w:val="0"/>
                    <w:jc w:val="center"/>
                    <w:rPr>
                      <w:color w:val="auto"/>
                      <w:szCs w:val="21"/>
                    </w:rPr>
                  </w:pPr>
                  <w:r>
                    <w:rPr>
                      <w:rFonts w:hint="eastAsia"/>
                      <w:color w:val="auto"/>
                      <w:szCs w:val="21"/>
                    </w:rPr>
                    <w:t>-</w:t>
                  </w:r>
                </w:p>
              </w:tc>
              <w:tc>
                <w:tcPr>
                  <w:tcW w:w="448" w:type="pct"/>
                  <w:vAlign w:val="center"/>
                </w:tcPr>
                <w:p w14:paraId="6D4734E1">
                  <w:pPr>
                    <w:adjustRightInd w:val="0"/>
                    <w:jc w:val="center"/>
                    <w:rPr>
                      <w:color w:val="auto"/>
                      <w:szCs w:val="21"/>
                    </w:rPr>
                  </w:pPr>
                  <w:r>
                    <w:rPr>
                      <w:rFonts w:hint="eastAsia"/>
                      <w:color w:val="auto"/>
                      <w:szCs w:val="21"/>
                    </w:rPr>
                    <w:t>市政电网</w:t>
                  </w:r>
                </w:p>
              </w:tc>
            </w:tr>
            <w:tr w14:paraId="737831C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A4FACF0">
                  <w:pPr>
                    <w:adjustRightInd w:val="0"/>
                    <w:jc w:val="center"/>
                    <w:rPr>
                      <w:color w:val="auto"/>
                      <w:szCs w:val="21"/>
                    </w:rPr>
                  </w:pPr>
                  <w:r>
                    <w:rPr>
                      <w:rFonts w:hint="eastAsia"/>
                      <w:color w:val="auto"/>
                      <w:szCs w:val="21"/>
                    </w:rPr>
                    <w:t>24</w:t>
                  </w:r>
                </w:p>
              </w:tc>
              <w:tc>
                <w:tcPr>
                  <w:tcW w:w="306" w:type="pct"/>
                  <w:vAlign w:val="center"/>
                </w:tcPr>
                <w:p w14:paraId="4BE5356C">
                  <w:pPr>
                    <w:adjustRightInd w:val="0"/>
                    <w:jc w:val="center"/>
                    <w:rPr>
                      <w:color w:val="auto"/>
                      <w:szCs w:val="21"/>
                    </w:rPr>
                  </w:pPr>
                  <w:r>
                    <w:rPr>
                      <w:rFonts w:hint="eastAsia"/>
                      <w:color w:val="auto"/>
                      <w:szCs w:val="21"/>
                    </w:rPr>
                    <w:t>天然气</w:t>
                  </w:r>
                </w:p>
              </w:tc>
              <w:tc>
                <w:tcPr>
                  <w:tcW w:w="1942" w:type="pct"/>
                  <w:vAlign w:val="center"/>
                </w:tcPr>
                <w:p w14:paraId="39834329">
                  <w:pPr>
                    <w:adjustRightInd w:val="0"/>
                    <w:jc w:val="center"/>
                    <w:rPr>
                      <w:color w:val="auto"/>
                      <w:szCs w:val="21"/>
                    </w:rPr>
                  </w:pPr>
                  <w:r>
                    <w:rPr>
                      <w:rFonts w:hint="eastAsia"/>
                      <w:color w:val="auto"/>
                      <w:szCs w:val="21"/>
                    </w:rPr>
                    <w:t>/</w:t>
                  </w:r>
                </w:p>
              </w:tc>
              <w:tc>
                <w:tcPr>
                  <w:tcW w:w="489" w:type="pct"/>
                  <w:vAlign w:val="center"/>
                </w:tcPr>
                <w:p w14:paraId="5531F30B">
                  <w:pPr>
                    <w:adjustRightInd w:val="0"/>
                    <w:jc w:val="center"/>
                    <w:rPr>
                      <w:color w:val="auto"/>
                      <w:szCs w:val="21"/>
                    </w:rPr>
                  </w:pPr>
                  <w:r>
                    <w:rPr>
                      <w:rFonts w:hint="eastAsia"/>
                      <w:color w:val="auto"/>
                      <w:szCs w:val="21"/>
                    </w:rPr>
                    <w:t>-</w:t>
                  </w:r>
                </w:p>
              </w:tc>
              <w:tc>
                <w:tcPr>
                  <w:tcW w:w="641" w:type="pct"/>
                  <w:vAlign w:val="center"/>
                </w:tcPr>
                <w:p w14:paraId="2A056342">
                  <w:pPr>
                    <w:adjustRightInd w:val="0"/>
                    <w:jc w:val="center"/>
                    <w:rPr>
                      <w:color w:val="auto"/>
                      <w:szCs w:val="21"/>
                    </w:rPr>
                  </w:pPr>
                  <w:r>
                    <w:rPr>
                      <w:rFonts w:hint="eastAsia"/>
                      <w:color w:val="auto"/>
                      <w:szCs w:val="21"/>
                    </w:rPr>
                    <w:t>24万立方米/年</w:t>
                  </w:r>
                </w:p>
              </w:tc>
              <w:tc>
                <w:tcPr>
                  <w:tcW w:w="452" w:type="pct"/>
                  <w:vAlign w:val="center"/>
                </w:tcPr>
                <w:p w14:paraId="5CE7A67C">
                  <w:pPr>
                    <w:adjustRightInd w:val="0"/>
                    <w:jc w:val="center"/>
                    <w:rPr>
                      <w:color w:val="auto"/>
                      <w:szCs w:val="21"/>
                    </w:rPr>
                  </w:pPr>
                  <w:r>
                    <w:rPr>
                      <w:rFonts w:hint="eastAsia"/>
                      <w:color w:val="auto"/>
                      <w:szCs w:val="21"/>
                    </w:rPr>
                    <w:t>-</w:t>
                  </w:r>
                </w:p>
              </w:tc>
              <w:tc>
                <w:tcPr>
                  <w:tcW w:w="454" w:type="pct"/>
                  <w:vAlign w:val="center"/>
                </w:tcPr>
                <w:p w14:paraId="6C7C6956">
                  <w:pPr>
                    <w:adjustRightInd w:val="0"/>
                    <w:jc w:val="center"/>
                    <w:rPr>
                      <w:color w:val="auto"/>
                      <w:szCs w:val="21"/>
                    </w:rPr>
                  </w:pPr>
                  <w:r>
                    <w:rPr>
                      <w:rFonts w:hint="eastAsia"/>
                      <w:color w:val="auto"/>
                      <w:szCs w:val="21"/>
                    </w:rPr>
                    <w:t>-</w:t>
                  </w:r>
                </w:p>
              </w:tc>
              <w:tc>
                <w:tcPr>
                  <w:tcW w:w="448" w:type="pct"/>
                  <w:vAlign w:val="center"/>
                </w:tcPr>
                <w:p w14:paraId="6FB680A5">
                  <w:pPr>
                    <w:adjustRightInd w:val="0"/>
                    <w:jc w:val="center"/>
                    <w:rPr>
                      <w:color w:val="auto"/>
                      <w:szCs w:val="21"/>
                    </w:rPr>
                  </w:pPr>
                  <w:r>
                    <w:rPr>
                      <w:rFonts w:hint="eastAsia"/>
                      <w:color w:val="auto"/>
                      <w:szCs w:val="21"/>
                    </w:rPr>
                    <w:t>涟水经济开发区天然气管道</w:t>
                  </w:r>
                </w:p>
              </w:tc>
            </w:tr>
            <w:tr w14:paraId="686CF598">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15AA7E6">
                  <w:pPr>
                    <w:adjustRightInd w:val="0"/>
                    <w:jc w:val="center"/>
                    <w:rPr>
                      <w:color w:val="auto"/>
                      <w:szCs w:val="21"/>
                    </w:rPr>
                  </w:pPr>
                  <w:r>
                    <w:rPr>
                      <w:rFonts w:hint="eastAsia"/>
                      <w:color w:val="auto"/>
                      <w:szCs w:val="21"/>
                    </w:rPr>
                    <w:t>25</w:t>
                  </w:r>
                </w:p>
              </w:tc>
              <w:tc>
                <w:tcPr>
                  <w:tcW w:w="306" w:type="pct"/>
                  <w:vAlign w:val="center"/>
                </w:tcPr>
                <w:p w14:paraId="1D0B51E8">
                  <w:pPr>
                    <w:adjustRightInd w:val="0"/>
                    <w:jc w:val="center"/>
                    <w:rPr>
                      <w:color w:val="auto"/>
                      <w:szCs w:val="21"/>
                    </w:rPr>
                  </w:pPr>
                  <w:r>
                    <w:rPr>
                      <w:rFonts w:hint="eastAsia"/>
                      <w:color w:val="auto"/>
                      <w:szCs w:val="21"/>
                    </w:rPr>
                    <w:t>水</w:t>
                  </w:r>
                </w:p>
              </w:tc>
              <w:tc>
                <w:tcPr>
                  <w:tcW w:w="1942" w:type="pct"/>
                  <w:vAlign w:val="center"/>
                </w:tcPr>
                <w:p w14:paraId="6CB04B81">
                  <w:pPr>
                    <w:adjustRightInd w:val="0"/>
                    <w:jc w:val="center"/>
                    <w:rPr>
                      <w:color w:val="auto"/>
                      <w:szCs w:val="21"/>
                    </w:rPr>
                  </w:pPr>
                  <w:r>
                    <w:rPr>
                      <w:rFonts w:hint="eastAsia"/>
                      <w:color w:val="auto"/>
                      <w:szCs w:val="21"/>
                    </w:rPr>
                    <w:t>/</w:t>
                  </w:r>
                </w:p>
              </w:tc>
              <w:tc>
                <w:tcPr>
                  <w:tcW w:w="489" w:type="pct"/>
                  <w:vAlign w:val="center"/>
                </w:tcPr>
                <w:p w14:paraId="4FDCC65F">
                  <w:pPr>
                    <w:adjustRightInd w:val="0"/>
                    <w:jc w:val="center"/>
                    <w:rPr>
                      <w:color w:val="auto"/>
                      <w:szCs w:val="21"/>
                    </w:rPr>
                  </w:pPr>
                  <w:r>
                    <w:rPr>
                      <w:rFonts w:hint="eastAsia"/>
                      <w:color w:val="auto"/>
                      <w:szCs w:val="21"/>
                    </w:rPr>
                    <w:t>-</w:t>
                  </w:r>
                </w:p>
              </w:tc>
              <w:tc>
                <w:tcPr>
                  <w:tcW w:w="641" w:type="pct"/>
                  <w:vAlign w:val="center"/>
                </w:tcPr>
                <w:p w14:paraId="50DFE0F0">
                  <w:pPr>
                    <w:adjustRightInd w:val="0"/>
                    <w:jc w:val="center"/>
                    <w:rPr>
                      <w:color w:val="auto"/>
                      <w:szCs w:val="21"/>
                    </w:rPr>
                  </w:pPr>
                  <w:r>
                    <w:rPr>
                      <w:rFonts w:hint="eastAsia"/>
                      <w:color w:val="auto"/>
                      <w:szCs w:val="21"/>
                    </w:rPr>
                    <w:t>3691t/a</w:t>
                  </w:r>
                </w:p>
              </w:tc>
              <w:tc>
                <w:tcPr>
                  <w:tcW w:w="452" w:type="pct"/>
                  <w:vAlign w:val="center"/>
                </w:tcPr>
                <w:p w14:paraId="67C3B3DF">
                  <w:pPr>
                    <w:adjustRightInd w:val="0"/>
                    <w:jc w:val="center"/>
                    <w:rPr>
                      <w:color w:val="auto"/>
                      <w:szCs w:val="21"/>
                    </w:rPr>
                  </w:pPr>
                  <w:r>
                    <w:rPr>
                      <w:rFonts w:hint="eastAsia"/>
                      <w:color w:val="auto"/>
                      <w:szCs w:val="21"/>
                    </w:rPr>
                    <w:t>-</w:t>
                  </w:r>
                </w:p>
              </w:tc>
              <w:tc>
                <w:tcPr>
                  <w:tcW w:w="454" w:type="pct"/>
                  <w:vAlign w:val="center"/>
                </w:tcPr>
                <w:p w14:paraId="3478F1A2">
                  <w:pPr>
                    <w:adjustRightInd w:val="0"/>
                    <w:jc w:val="center"/>
                    <w:rPr>
                      <w:color w:val="auto"/>
                      <w:szCs w:val="21"/>
                    </w:rPr>
                  </w:pPr>
                  <w:r>
                    <w:rPr>
                      <w:rFonts w:hint="eastAsia"/>
                      <w:color w:val="auto"/>
                      <w:szCs w:val="21"/>
                    </w:rPr>
                    <w:t>-</w:t>
                  </w:r>
                </w:p>
              </w:tc>
              <w:tc>
                <w:tcPr>
                  <w:tcW w:w="448" w:type="pct"/>
                  <w:vAlign w:val="center"/>
                </w:tcPr>
                <w:p w14:paraId="60065D9B">
                  <w:pPr>
                    <w:adjustRightInd w:val="0"/>
                    <w:jc w:val="center"/>
                    <w:rPr>
                      <w:color w:val="auto"/>
                      <w:szCs w:val="21"/>
                    </w:rPr>
                  </w:pPr>
                  <w:r>
                    <w:rPr>
                      <w:rFonts w:hint="eastAsia"/>
                      <w:color w:val="auto"/>
                      <w:szCs w:val="21"/>
                    </w:rPr>
                    <w:t>园区给水管网</w:t>
                  </w:r>
                </w:p>
              </w:tc>
            </w:tr>
          </w:tbl>
          <w:p w14:paraId="51184BD9">
            <w:pPr>
              <w:adjustRightInd w:val="0"/>
              <w:snapToGrid w:val="0"/>
              <w:spacing w:line="360" w:lineRule="auto"/>
              <w:ind w:firstLine="482" w:firstLineChars="200"/>
              <w:rPr>
                <w:rFonts w:hint="eastAsia" w:ascii="宋体" w:hAnsi="宋体"/>
                <w:b/>
                <w:bCs/>
                <w:color w:val="auto"/>
                <w:sz w:val="24"/>
              </w:rPr>
            </w:pPr>
            <w:r>
              <w:rPr>
                <w:rFonts w:hint="eastAsia" w:ascii="宋体" w:hAnsi="宋体"/>
                <w:b/>
                <w:bCs/>
                <w:color w:val="auto"/>
                <w:sz w:val="24"/>
              </w:rPr>
              <w:t>三、现有厂区项目设备清单</w:t>
            </w:r>
          </w:p>
          <w:p w14:paraId="6605C4B4">
            <w:pPr>
              <w:snapToGrid w:val="0"/>
              <w:spacing w:before="120" w:beforeLines="50" w:line="360" w:lineRule="auto"/>
              <w:jc w:val="center"/>
              <w:rPr>
                <w:b/>
                <w:bCs/>
                <w:color w:val="auto"/>
                <w:sz w:val="24"/>
                <w:szCs w:val="32"/>
              </w:rPr>
            </w:pPr>
            <w:r>
              <w:rPr>
                <w:b/>
                <w:color w:val="auto"/>
                <w:sz w:val="24"/>
              </w:rPr>
              <w:t>表2-</w:t>
            </w:r>
            <w:r>
              <w:rPr>
                <w:rFonts w:hint="eastAsia"/>
                <w:b/>
                <w:color w:val="auto"/>
                <w:sz w:val="24"/>
              </w:rPr>
              <w:t>11</w:t>
            </w:r>
            <w:r>
              <w:rPr>
                <w:b/>
                <w:color w:val="auto"/>
                <w:sz w:val="24"/>
              </w:rPr>
              <w:t xml:space="preserve"> </w:t>
            </w:r>
            <w:r>
              <w:rPr>
                <w:rFonts w:hint="eastAsia"/>
                <w:b/>
                <w:color w:val="auto"/>
                <w:sz w:val="24"/>
              </w:rPr>
              <w:t>现有项目全场设备情况</w:t>
            </w:r>
            <w:r>
              <w:rPr>
                <w:rFonts w:hint="eastAsia"/>
                <w:b/>
                <w:bCs/>
                <w:color w:val="auto"/>
                <w:sz w:val="24"/>
                <w:szCs w:val="32"/>
              </w:rPr>
              <w:t>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473"/>
              <w:gridCol w:w="2478"/>
              <w:gridCol w:w="2430"/>
              <w:gridCol w:w="4005"/>
            </w:tblGrid>
            <w:tr w14:paraId="7F6E2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0C4B5CB">
                  <w:pPr>
                    <w:pStyle w:val="37"/>
                    <w:keepNext w:val="0"/>
                    <w:keepLines w:val="0"/>
                    <w:pageBreakBefore w:val="0"/>
                    <w:kinsoku/>
                    <w:wordWrap/>
                    <w:overflowPunct/>
                    <w:topLinePunct w:val="0"/>
                    <w:autoSpaceDE/>
                    <w:autoSpaceDN/>
                    <w:bidi w:val="0"/>
                    <w:spacing w:line="240" w:lineRule="auto"/>
                    <w:jc w:val="center"/>
                    <w:textAlignment w:val="auto"/>
                    <w:rPr>
                      <w:b/>
                      <w:bCs/>
                      <w:color w:val="auto"/>
                      <w:sz w:val="21"/>
                      <w:szCs w:val="21"/>
                    </w:rPr>
                  </w:pPr>
                  <w:r>
                    <w:rPr>
                      <w:rFonts w:hint="eastAsia"/>
                      <w:b/>
                      <w:bCs/>
                      <w:color w:val="auto"/>
                      <w:sz w:val="21"/>
                      <w:szCs w:val="21"/>
                    </w:rPr>
                    <w:t>序号</w:t>
                  </w:r>
                </w:p>
              </w:tc>
              <w:tc>
                <w:tcPr>
                  <w:tcW w:w="989" w:type="pct"/>
                  <w:tcBorders>
                    <w:tl2br w:val="nil"/>
                    <w:tr2bl w:val="nil"/>
                  </w:tcBorders>
                  <w:vAlign w:val="center"/>
                </w:tcPr>
                <w:p w14:paraId="74FF7666">
                  <w:pPr>
                    <w:pStyle w:val="37"/>
                    <w:keepNext w:val="0"/>
                    <w:keepLines w:val="0"/>
                    <w:pageBreakBefore w:val="0"/>
                    <w:kinsoku/>
                    <w:wordWrap/>
                    <w:overflowPunct/>
                    <w:topLinePunct w:val="0"/>
                    <w:autoSpaceDE/>
                    <w:autoSpaceDN/>
                    <w:bidi w:val="0"/>
                    <w:spacing w:line="240" w:lineRule="auto"/>
                    <w:jc w:val="center"/>
                    <w:textAlignment w:val="auto"/>
                    <w:rPr>
                      <w:b/>
                      <w:bCs/>
                      <w:color w:val="auto"/>
                      <w:sz w:val="21"/>
                      <w:szCs w:val="21"/>
                    </w:rPr>
                  </w:pPr>
                  <w:r>
                    <w:rPr>
                      <w:rFonts w:hint="eastAsia"/>
                      <w:b/>
                      <w:bCs/>
                      <w:color w:val="auto"/>
                      <w:sz w:val="21"/>
                      <w:szCs w:val="21"/>
                    </w:rPr>
                    <w:t>名称</w:t>
                  </w:r>
                </w:p>
              </w:tc>
              <w:tc>
                <w:tcPr>
                  <w:tcW w:w="991" w:type="pct"/>
                  <w:tcBorders>
                    <w:tl2br w:val="nil"/>
                    <w:tr2bl w:val="nil"/>
                  </w:tcBorders>
                  <w:vAlign w:val="center"/>
                </w:tcPr>
                <w:p w14:paraId="5B617C90">
                  <w:pPr>
                    <w:pStyle w:val="37"/>
                    <w:keepNext w:val="0"/>
                    <w:keepLines w:val="0"/>
                    <w:pageBreakBefore w:val="0"/>
                    <w:kinsoku/>
                    <w:wordWrap/>
                    <w:overflowPunct/>
                    <w:topLinePunct w:val="0"/>
                    <w:autoSpaceDE/>
                    <w:autoSpaceDN/>
                    <w:bidi w:val="0"/>
                    <w:spacing w:line="240" w:lineRule="auto"/>
                    <w:jc w:val="center"/>
                    <w:textAlignment w:val="auto"/>
                    <w:rPr>
                      <w:b/>
                      <w:bCs/>
                      <w:color w:val="auto"/>
                      <w:sz w:val="21"/>
                      <w:szCs w:val="21"/>
                    </w:rPr>
                  </w:pPr>
                  <w:r>
                    <w:rPr>
                      <w:rFonts w:hint="eastAsia"/>
                      <w:b/>
                      <w:bCs/>
                      <w:color w:val="auto"/>
                      <w:sz w:val="21"/>
                      <w:szCs w:val="21"/>
                    </w:rPr>
                    <w:t>规格</w:t>
                  </w:r>
                  <w:r>
                    <w:rPr>
                      <w:b/>
                      <w:bCs/>
                      <w:color w:val="auto"/>
                      <w:sz w:val="21"/>
                      <w:szCs w:val="21"/>
                    </w:rPr>
                    <w:t>（</w:t>
                  </w:r>
                  <w:r>
                    <w:rPr>
                      <w:rFonts w:hint="eastAsia"/>
                      <w:b/>
                      <w:bCs/>
                      <w:color w:val="auto"/>
                      <w:sz w:val="21"/>
                      <w:szCs w:val="21"/>
                    </w:rPr>
                    <w:t>型号</w:t>
                  </w:r>
                  <w:r>
                    <w:rPr>
                      <w:b/>
                      <w:bCs/>
                      <w:color w:val="auto"/>
                      <w:sz w:val="21"/>
                      <w:szCs w:val="21"/>
                    </w:rPr>
                    <w:t>）</w:t>
                  </w:r>
                </w:p>
              </w:tc>
              <w:tc>
                <w:tcPr>
                  <w:tcW w:w="972" w:type="pct"/>
                  <w:tcBorders>
                    <w:tl2br w:val="nil"/>
                    <w:tr2bl w:val="nil"/>
                  </w:tcBorders>
                  <w:vAlign w:val="center"/>
                </w:tcPr>
                <w:p w14:paraId="24E9BF84">
                  <w:pPr>
                    <w:pStyle w:val="37"/>
                    <w:keepNext w:val="0"/>
                    <w:keepLines w:val="0"/>
                    <w:pageBreakBefore w:val="0"/>
                    <w:kinsoku/>
                    <w:wordWrap/>
                    <w:overflowPunct/>
                    <w:topLinePunct w:val="0"/>
                    <w:autoSpaceDE/>
                    <w:autoSpaceDN/>
                    <w:bidi w:val="0"/>
                    <w:spacing w:line="240" w:lineRule="auto"/>
                    <w:jc w:val="center"/>
                    <w:textAlignment w:val="auto"/>
                    <w:rPr>
                      <w:b/>
                      <w:bCs/>
                      <w:color w:val="auto"/>
                      <w:sz w:val="21"/>
                      <w:szCs w:val="21"/>
                    </w:rPr>
                  </w:pPr>
                  <w:r>
                    <w:rPr>
                      <w:b/>
                      <w:bCs/>
                      <w:color w:val="auto"/>
                      <w:sz w:val="21"/>
                      <w:szCs w:val="21"/>
                    </w:rPr>
                    <w:t>数量（</w:t>
                  </w:r>
                  <w:r>
                    <w:rPr>
                      <w:rFonts w:hint="eastAsia"/>
                      <w:b/>
                      <w:bCs/>
                      <w:color w:val="auto"/>
                      <w:sz w:val="21"/>
                      <w:szCs w:val="21"/>
                    </w:rPr>
                    <w:t>台/套</w:t>
                  </w:r>
                  <w:r>
                    <w:rPr>
                      <w:b/>
                      <w:bCs/>
                      <w:color w:val="auto"/>
                      <w:sz w:val="21"/>
                      <w:szCs w:val="21"/>
                    </w:rPr>
                    <w:t>）</w:t>
                  </w:r>
                </w:p>
              </w:tc>
              <w:tc>
                <w:tcPr>
                  <w:tcW w:w="1602" w:type="pct"/>
                  <w:vMerge w:val="restart"/>
                  <w:tcBorders>
                    <w:tl2br w:val="nil"/>
                    <w:tr2bl w:val="nil"/>
                  </w:tcBorders>
                  <w:vAlign w:val="center"/>
                </w:tcPr>
                <w:p w14:paraId="224075FD">
                  <w:pPr>
                    <w:pStyle w:val="37"/>
                    <w:keepNext w:val="0"/>
                    <w:keepLines w:val="0"/>
                    <w:pageBreakBefore w:val="0"/>
                    <w:kinsoku/>
                    <w:wordWrap/>
                    <w:overflowPunct/>
                    <w:topLinePunct w:val="0"/>
                    <w:autoSpaceDE/>
                    <w:autoSpaceDN/>
                    <w:bidi w:val="0"/>
                    <w:spacing w:line="240" w:lineRule="auto"/>
                    <w:jc w:val="center"/>
                    <w:textAlignment w:val="auto"/>
                    <w:rPr>
                      <w:b/>
                      <w:bCs/>
                      <w:color w:val="auto"/>
                      <w:sz w:val="21"/>
                      <w:szCs w:val="21"/>
                    </w:rPr>
                  </w:pPr>
                  <w:r>
                    <w:rPr>
                      <w:rFonts w:hint="eastAsia"/>
                      <w:b/>
                      <w:bCs/>
                      <w:color w:val="auto"/>
                      <w:sz w:val="21"/>
                      <w:szCs w:val="21"/>
                    </w:rPr>
                    <w:t>备注</w:t>
                  </w:r>
                </w:p>
              </w:tc>
            </w:tr>
            <w:tr w14:paraId="46EAD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49C2181">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w:t>
                  </w:r>
                </w:p>
              </w:tc>
              <w:tc>
                <w:tcPr>
                  <w:tcW w:w="989" w:type="pct"/>
                  <w:tcBorders>
                    <w:tl2br w:val="nil"/>
                    <w:tr2bl w:val="nil"/>
                  </w:tcBorders>
                  <w:shd w:val="clear" w:color="auto" w:fill="auto"/>
                  <w:vAlign w:val="center"/>
                </w:tcPr>
                <w:p w14:paraId="080BE0A0">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钻床</w:t>
                  </w:r>
                </w:p>
              </w:tc>
              <w:tc>
                <w:tcPr>
                  <w:tcW w:w="991" w:type="pct"/>
                  <w:tcBorders>
                    <w:tl2br w:val="nil"/>
                    <w:tr2bl w:val="nil"/>
                  </w:tcBorders>
                  <w:shd w:val="clear" w:color="auto" w:fill="auto"/>
                  <w:vAlign w:val="center"/>
                </w:tcPr>
                <w:p w14:paraId="0B0BEA46">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49C23AC6">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6</w:t>
                  </w:r>
                </w:p>
              </w:tc>
              <w:tc>
                <w:tcPr>
                  <w:tcW w:w="1602" w:type="pct"/>
                  <w:vMerge w:val="restart"/>
                  <w:tcBorders>
                    <w:tl2br w:val="nil"/>
                    <w:tr2bl w:val="nil"/>
                  </w:tcBorders>
                  <w:vAlign w:val="center"/>
                </w:tcPr>
                <w:p w14:paraId="64349B38">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5#厂房（金属</w:t>
                  </w:r>
                  <w:r>
                    <w:rPr>
                      <w:color w:val="auto"/>
                      <w:sz w:val="21"/>
                      <w:szCs w:val="21"/>
                    </w:rPr>
                    <w:t>车间</w:t>
                  </w:r>
                  <w:r>
                    <w:rPr>
                      <w:rFonts w:hint="eastAsia"/>
                      <w:color w:val="auto"/>
                      <w:sz w:val="21"/>
                      <w:szCs w:val="21"/>
                    </w:rPr>
                    <w:t>）</w:t>
                  </w:r>
                </w:p>
              </w:tc>
            </w:tr>
            <w:tr w14:paraId="6A62D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4A506336">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w:t>
                  </w:r>
                </w:p>
              </w:tc>
              <w:tc>
                <w:tcPr>
                  <w:tcW w:w="989" w:type="pct"/>
                  <w:tcBorders>
                    <w:tl2br w:val="nil"/>
                    <w:tr2bl w:val="nil"/>
                  </w:tcBorders>
                  <w:shd w:val="clear" w:color="auto" w:fill="auto"/>
                  <w:vAlign w:val="center"/>
                </w:tcPr>
                <w:p w14:paraId="16305C71">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焊接机</w:t>
                  </w:r>
                </w:p>
              </w:tc>
              <w:tc>
                <w:tcPr>
                  <w:tcW w:w="991" w:type="pct"/>
                  <w:tcBorders>
                    <w:tl2br w:val="nil"/>
                    <w:tr2bl w:val="nil"/>
                  </w:tcBorders>
                  <w:shd w:val="clear" w:color="auto" w:fill="auto"/>
                  <w:vAlign w:val="center"/>
                </w:tcPr>
                <w:p w14:paraId="259294F4">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w:t>
                  </w:r>
                </w:p>
              </w:tc>
              <w:tc>
                <w:tcPr>
                  <w:tcW w:w="972" w:type="pct"/>
                  <w:tcBorders>
                    <w:tl2br w:val="nil"/>
                    <w:tr2bl w:val="nil"/>
                  </w:tcBorders>
                  <w:shd w:val="clear" w:color="auto" w:fill="auto"/>
                  <w:vAlign w:val="center"/>
                </w:tcPr>
                <w:p w14:paraId="4206FD37">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r>
                    <w:rPr>
                      <w:color w:val="auto"/>
                      <w:szCs w:val="21"/>
                    </w:rPr>
                    <w:t>2</w:t>
                  </w:r>
                </w:p>
              </w:tc>
              <w:tc>
                <w:tcPr>
                  <w:tcW w:w="1602" w:type="pct"/>
                  <w:vMerge w:val="continue"/>
                  <w:tcBorders>
                    <w:tl2br w:val="nil"/>
                    <w:tr2bl w:val="nil"/>
                  </w:tcBorders>
                  <w:vAlign w:val="center"/>
                </w:tcPr>
                <w:p w14:paraId="198A4233">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79B9D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4F3E5417">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3</w:t>
                  </w:r>
                </w:p>
              </w:tc>
              <w:tc>
                <w:tcPr>
                  <w:tcW w:w="989" w:type="pct"/>
                  <w:tcBorders>
                    <w:tl2br w:val="nil"/>
                    <w:tr2bl w:val="nil"/>
                  </w:tcBorders>
                  <w:shd w:val="clear" w:color="auto" w:fill="auto"/>
                  <w:vAlign w:val="center"/>
                </w:tcPr>
                <w:p w14:paraId="1391C0AC">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激光机</w:t>
                  </w:r>
                </w:p>
              </w:tc>
              <w:tc>
                <w:tcPr>
                  <w:tcW w:w="991" w:type="pct"/>
                  <w:tcBorders>
                    <w:tl2br w:val="nil"/>
                    <w:tr2bl w:val="nil"/>
                  </w:tcBorders>
                  <w:shd w:val="clear" w:color="auto" w:fill="auto"/>
                  <w:vAlign w:val="center"/>
                </w:tcPr>
                <w:p w14:paraId="0A518EE1">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w:t>
                  </w:r>
                </w:p>
              </w:tc>
              <w:tc>
                <w:tcPr>
                  <w:tcW w:w="972" w:type="pct"/>
                  <w:tcBorders>
                    <w:tl2br w:val="nil"/>
                    <w:tr2bl w:val="nil"/>
                  </w:tcBorders>
                  <w:shd w:val="clear" w:color="auto" w:fill="auto"/>
                  <w:vAlign w:val="center"/>
                </w:tcPr>
                <w:p w14:paraId="4439F8F9">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1EB3DC54">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19D2F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5F90B640">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4</w:t>
                  </w:r>
                </w:p>
              </w:tc>
              <w:tc>
                <w:tcPr>
                  <w:tcW w:w="989" w:type="pct"/>
                  <w:tcBorders>
                    <w:tl2br w:val="nil"/>
                    <w:tr2bl w:val="nil"/>
                  </w:tcBorders>
                  <w:shd w:val="clear" w:color="auto" w:fill="auto"/>
                  <w:vAlign w:val="center"/>
                </w:tcPr>
                <w:p w14:paraId="448A620D">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数控</w:t>
                  </w:r>
                  <w:r>
                    <w:rPr>
                      <w:color w:val="auto"/>
                      <w:szCs w:val="21"/>
                    </w:rPr>
                    <w:t>板料</w:t>
                  </w:r>
                  <w:r>
                    <w:rPr>
                      <w:rFonts w:hint="eastAsia"/>
                      <w:color w:val="auto"/>
                      <w:szCs w:val="21"/>
                    </w:rPr>
                    <w:t>折弯机</w:t>
                  </w:r>
                </w:p>
              </w:tc>
              <w:tc>
                <w:tcPr>
                  <w:tcW w:w="991" w:type="pct"/>
                  <w:tcBorders>
                    <w:tl2br w:val="nil"/>
                    <w:tr2bl w:val="nil"/>
                  </w:tcBorders>
                  <w:shd w:val="clear" w:color="auto" w:fill="auto"/>
                  <w:vAlign w:val="center"/>
                </w:tcPr>
                <w:p w14:paraId="2854572E">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w:t>
                  </w:r>
                </w:p>
              </w:tc>
              <w:tc>
                <w:tcPr>
                  <w:tcW w:w="972" w:type="pct"/>
                  <w:tcBorders>
                    <w:tl2br w:val="nil"/>
                    <w:tr2bl w:val="nil"/>
                  </w:tcBorders>
                  <w:shd w:val="clear" w:color="auto" w:fill="auto"/>
                  <w:vAlign w:val="center"/>
                </w:tcPr>
                <w:p w14:paraId="06078478">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2</w:t>
                  </w:r>
                </w:p>
              </w:tc>
              <w:tc>
                <w:tcPr>
                  <w:tcW w:w="1602" w:type="pct"/>
                  <w:vMerge w:val="continue"/>
                  <w:tcBorders>
                    <w:tl2br w:val="nil"/>
                    <w:tr2bl w:val="nil"/>
                  </w:tcBorders>
                  <w:vAlign w:val="center"/>
                </w:tcPr>
                <w:p w14:paraId="68C20007">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68C61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701FFD87">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5</w:t>
                  </w:r>
                </w:p>
              </w:tc>
              <w:tc>
                <w:tcPr>
                  <w:tcW w:w="989" w:type="pct"/>
                  <w:tcBorders>
                    <w:tl2br w:val="nil"/>
                    <w:tr2bl w:val="nil"/>
                  </w:tcBorders>
                  <w:shd w:val="clear" w:color="auto" w:fill="auto"/>
                  <w:vAlign w:val="center"/>
                </w:tcPr>
                <w:p w14:paraId="5581CCFE">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数控剪板机</w:t>
                  </w:r>
                </w:p>
              </w:tc>
              <w:tc>
                <w:tcPr>
                  <w:tcW w:w="991" w:type="pct"/>
                  <w:tcBorders>
                    <w:tl2br w:val="nil"/>
                    <w:tr2bl w:val="nil"/>
                  </w:tcBorders>
                  <w:shd w:val="clear" w:color="auto" w:fill="auto"/>
                  <w:vAlign w:val="center"/>
                </w:tcPr>
                <w:p w14:paraId="49AC91AE">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QC12Y-X2500</w:t>
                  </w:r>
                </w:p>
              </w:tc>
              <w:tc>
                <w:tcPr>
                  <w:tcW w:w="972" w:type="pct"/>
                  <w:tcBorders>
                    <w:tl2br w:val="nil"/>
                    <w:tr2bl w:val="nil"/>
                  </w:tcBorders>
                  <w:shd w:val="clear" w:color="auto" w:fill="auto"/>
                  <w:vAlign w:val="center"/>
                </w:tcPr>
                <w:p w14:paraId="7C98EA5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4F62E86D">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45F97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196FB32">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6</w:t>
                  </w:r>
                </w:p>
              </w:tc>
              <w:tc>
                <w:tcPr>
                  <w:tcW w:w="989" w:type="pct"/>
                  <w:tcBorders>
                    <w:tl2br w:val="nil"/>
                    <w:tr2bl w:val="nil"/>
                  </w:tcBorders>
                  <w:shd w:val="clear" w:color="auto" w:fill="auto"/>
                  <w:vAlign w:val="center"/>
                </w:tcPr>
                <w:p w14:paraId="73FA6C3A">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锯床</w:t>
                  </w:r>
                </w:p>
              </w:tc>
              <w:tc>
                <w:tcPr>
                  <w:tcW w:w="991" w:type="pct"/>
                  <w:tcBorders>
                    <w:tl2br w:val="nil"/>
                    <w:tr2bl w:val="nil"/>
                  </w:tcBorders>
                  <w:shd w:val="clear" w:color="auto" w:fill="auto"/>
                  <w:vAlign w:val="center"/>
                </w:tcPr>
                <w:p w14:paraId="62D0118A">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315B</w:t>
                  </w:r>
                </w:p>
              </w:tc>
              <w:tc>
                <w:tcPr>
                  <w:tcW w:w="972" w:type="pct"/>
                  <w:tcBorders>
                    <w:tl2br w:val="nil"/>
                    <w:tr2bl w:val="nil"/>
                  </w:tcBorders>
                  <w:shd w:val="clear" w:color="auto" w:fill="auto"/>
                  <w:vAlign w:val="center"/>
                </w:tcPr>
                <w:p w14:paraId="2E8C135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3</w:t>
                  </w:r>
                </w:p>
              </w:tc>
              <w:tc>
                <w:tcPr>
                  <w:tcW w:w="1602" w:type="pct"/>
                  <w:vMerge w:val="continue"/>
                  <w:tcBorders>
                    <w:tl2br w:val="nil"/>
                    <w:tr2bl w:val="nil"/>
                  </w:tcBorders>
                  <w:vAlign w:val="center"/>
                </w:tcPr>
                <w:p w14:paraId="2CE1B723">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6E3C5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3E7678C1">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7</w:t>
                  </w:r>
                </w:p>
              </w:tc>
              <w:tc>
                <w:tcPr>
                  <w:tcW w:w="989" w:type="pct"/>
                  <w:tcBorders>
                    <w:tl2br w:val="nil"/>
                    <w:tr2bl w:val="nil"/>
                  </w:tcBorders>
                  <w:shd w:val="clear" w:color="auto" w:fill="auto"/>
                  <w:vAlign w:val="center"/>
                </w:tcPr>
                <w:p w14:paraId="703EE15F">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砂</w:t>
                  </w:r>
                  <w:r>
                    <w:rPr>
                      <w:color w:val="auto"/>
                      <w:szCs w:val="21"/>
                    </w:rPr>
                    <w:t>带机</w:t>
                  </w:r>
                </w:p>
              </w:tc>
              <w:tc>
                <w:tcPr>
                  <w:tcW w:w="991" w:type="pct"/>
                  <w:tcBorders>
                    <w:tl2br w:val="nil"/>
                    <w:tr2bl w:val="nil"/>
                  </w:tcBorders>
                  <w:shd w:val="clear" w:color="auto" w:fill="auto"/>
                  <w:vAlign w:val="center"/>
                </w:tcPr>
                <w:p w14:paraId="2C52BCB0">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2100X50C</w:t>
                  </w:r>
                </w:p>
              </w:tc>
              <w:tc>
                <w:tcPr>
                  <w:tcW w:w="972" w:type="pct"/>
                  <w:tcBorders>
                    <w:tl2br w:val="nil"/>
                    <w:tr2bl w:val="nil"/>
                  </w:tcBorders>
                  <w:shd w:val="clear" w:color="auto" w:fill="auto"/>
                  <w:vAlign w:val="center"/>
                </w:tcPr>
                <w:p w14:paraId="34811713">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6959278E">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27474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14BD8E01">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8</w:t>
                  </w:r>
                </w:p>
              </w:tc>
              <w:tc>
                <w:tcPr>
                  <w:tcW w:w="989" w:type="pct"/>
                  <w:tcBorders>
                    <w:tl2br w:val="nil"/>
                    <w:tr2bl w:val="nil"/>
                  </w:tcBorders>
                  <w:shd w:val="clear" w:color="auto" w:fill="auto"/>
                  <w:vAlign w:val="center"/>
                </w:tcPr>
                <w:p w14:paraId="7C2F5634">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滚圆机</w:t>
                  </w:r>
                </w:p>
              </w:tc>
              <w:tc>
                <w:tcPr>
                  <w:tcW w:w="991" w:type="pct"/>
                  <w:tcBorders>
                    <w:tl2br w:val="nil"/>
                    <w:tr2bl w:val="nil"/>
                  </w:tcBorders>
                  <w:shd w:val="clear" w:color="auto" w:fill="auto"/>
                  <w:vAlign w:val="center"/>
                </w:tcPr>
                <w:p w14:paraId="497D6D41">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w:t>
                  </w:r>
                </w:p>
              </w:tc>
              <w:tc>
                <w:tcPr>
                  <w:tcW w:w="972" w:type="pct"/>
                  <w:tcBorders>
                    <w:tl2br w:val="nil"/>
                    <w:tr2bl w:val="nil"/>
                  </w:tcBorders>
                  <w:shd w:val="clear" w:color="auto" w:fill="auto"/>
                  <w:vAlign w:val="center"/>
                </w:tcPr>
                <w:p w14:paraId="2DD2099F">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7A0380B6">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595C4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E2FA050">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9</w:t>
                  </w:r>
                </w:p>
              </w:tc>
              <w:tc>
                <w:tcPr>
                  <w:tcW w:w="989" w:type="pct"/>
                  <w:tcBorders>
                    <w:tl2br w:val="nil"/>
                    <w:tr2bl w:val="nil"/>
                  </w:tcBorders>
                  <w:shd w:val="clear" w:color="auto" w:fill="auto"/>
                  <w:vAlign w:val="center"/>
                </w:tcPr>
                <w:p w14:paraId="5D837B11">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数控开槽机</w:t>
                  </w:r>
                </w:p>
              </w:tc>
              <w:tc>
                <w:tcPr>
                  <w:tcW w:w="991" w:type="pct"/>
                  <w:tcBorders>
                    <w:tl2br w:val="nil"/>
                    <w:tr2bl w:val="nil"/>
                  </w:tcBorders>
                  <w:shd w:val="clear" w:color="auto" w:fill="auto"/>
                  <w:vAlign w:val="center"/>
                </w:tcPr>
                <w:p w14:paraId="05C5B1E4">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w:t>
                  </w:r>
                </w:p>
              </w:tc>
              <w:tc>
                <w:tcPr>
                  <w:tcW w:w="972" w:type="pct"/>
                  <w:tcBorders>
                    <w:tl2br w:val="nil"/>
                    <w:tr2bl w:val="nil"/>
                  </w:tcBorders>
                  <w:shd w:val="clear" w:color="auto" w:fill="auto"/>
                  <w:vAlign w:val="center"/>
                </w:tcPr>
                <w:p w14:paraId="65FBAF80">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3</w:t>
                  </w:r>
                </w:p>
              </w:tc>
              <w:tc>
                <w:tcPr>
                  <w:tcW w:w="1602" w:type="pct"/>
                  <w:vMerge w:val="continue"/>
                  <w:tcBorders>
                    <w:tl2br w:val="nil"/>
                    <w:tr2bl w:val="nil"/>
                  </w:tcBorders>
                  <w:vAlign w:val="center"/>
                </w:tcPr>
                <w:p w14:paraId="4FA77B4D">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52531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7086506D">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10</w:t>
                  </w:r>
                </w:p>
              </w:tc>
              <w:tc>
                <w:tcPr>
                  <w:tcW w:w="989" w:type="pct"/>
                  <w:tcBorders>
                    <w:tl2br w:val="nil"/>
                    <w:tr2bl w:val="nil"/>
                  </w:tcBorders>
                  <w:vAlign w:val="center"/>
                </w:tcPr>
                <w:p w14:paraId="366D753C">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脱脂槽</w:t>
                  </w:r>
                </w:p>
              </w:tc>
              <w:tc>
                <w:tcPr>
                  <w:tcW w:w="991" w:type="pct"/>
                  <w:tcBorders>
                    <w:tl2br w:val="nil"/>
                    <w:tr2bl w:val="nil"/>
                  </w:tcBorders>
                  <w:vAlign w:val="center"/>
                </w:tcPr>
                <w:p w14:paraId="64504C06">
                  <w:pPr>
                    <w:keepNext w:val="0"/>
                    <w:keepLines w:val="0"/>
                    <w:pageBreakBefore w:val="0"/>
                    <w:kinsoku/>
                    <w:wordWrap/>
                    <w:overflowPunct/>
                    <w:topLinePunct w:val="0"/>
                    <w:autoSpaceDE/>
                    <w:autoSpaceDN/>
                    <w:bidi w:val="0"/>
                    <w:spacing w:line="240" w:lineRule="auto"/>
                    <w:jc w:val="center"/>
                    <w:textAlignment w:val="auto"/>
                    <w:rPr>
                      <w:color w:val="auto"/>
                    </w:rPr>
                  </w:pPr>
                  <w:r>
                    <w:rPr>
                      <w:color w:val="auto"/>
                      <w:szCs w:val="21"/>
                    </w:rPr>
                    <w:t>—</w:t>
                  </w:r>
                </w:p>
              </w:tc>
              <w:tc>
                <w:tcPr>
                  <w:tcW w:w="972" w:type="pct"/>
                  <w:tcBorders>
                    <w:tl2br w:val="nil"/>
                    <w:tr2bl w:val="nil"/>
                  </w:tcBorders>
                  <w:shd w:val="clear" w:color="auto" w:fill="auto"/>
                  <w:vAlign w:val="center"/>
                </w:tcPr>
                <w:p w14:paraId="097F665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restart"/>
                  <w:tcBorders>
                    <w:tl2br w:val="nil"/>
                    <w:tr2bl w:val="nil"/>
                  </w:tcBorders>
                  <w:vAlign w:val="center"/>
                </w:tcPr>
                <w:p w14:paraId="0310B488">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lang w:eastAsia="zh-CN"/>
                    </w:rPr>
                    <w:t>6.</w:t>
                  </w:r>
                  <w:r>
                    <w:rPr>
                      <w:rFonts w:hint="eastAsia"/>
                      <w:color w:val="auto"/>
                      <w:sz w:val="21"/>
                      <w:szCs w:val="21"/>
                    </w:rPr>
                    <w:t>厂房</w:t>
                  </w:r>
                </w:p>
              </w:tc>
            </w:tr>
            <w:tr w14:paraId="4CACB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376577C9">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11</w:t>
                  </w:r>
                </w:p>
              </w:tc>
              <w:tc>
                <w:tcPr>
                  <w:tcW w:w="989" w:type="pct"/>
                  <w:tcBorders>
                    <w:tl2br w:val="nil"/>
                    <w:tr2bl w:val="nil"/>
                  </w:tcBorders>
                  <w:shd w:val="clear" w:color="auto" w:fill="auto"/>
                  <w:vAlign w:val="center"/>
                </w:tcPr>
                <w:p w14:paraId="34F6CA02">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陶化槽</w:t>
                  </w:r>
                </w:p>
              </w:tc>
              <w:tc>
                <w:tcPr>
                  <w:tcW w:w="991" w:type="pct"/>
                  <w:tcBorders>
                    <w:tl2br w:val="nil"/>
                    <w:tr2bl w:val="nil"/>
                  </w:tcBorders>
                  <w:shd w:val="clear" w:color="auto" w:fill="auto"/>
                  <w:vAlign w:val="center"/>
                </w:tcPr>
                <w:p w14:paraId="302A610F">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6771749E">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3F60A646">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6B772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A9CE4F9">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12</w:t>
                  </w:r>
                </w:p>
              </w:tc>
              <w:tc>
                <w:tcPr>
                  <w:tcW w:w="989" w:type="pct"/>
                  <w:tcBorders>
                    <w:tl2br w:val="nil"/>
                    <w:tr2bl w:val="nil"/>
                  </w:tcBorders>
                  <w:shd w:val="clear" w:color="auto" w:fill="auto"/>
                  <w:vAlign w:val="center"/>
                </w:tcPr>
                <w:p w14:paraId="389D72B6">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水洗槽</w:t>
                  </w:r>
                </w:p>
              </w:tc>
              <w:tc>
                <w:tcPr>
                  <w:tcW w:w="991" w:type="pct"/>
                  <w:tcBorders>
                    <w:tl2br w:val="nil"/>
                    <w:tr2bl w:val="nil"/>
                  </w:tcBorders>
                  <w:shd w:val="clear" w:color="auto" w:fill="auto"/>
                  <w:vAlign w:val="center"/>
                </w:tcPr>
                <w:p w14:paraId="3734147D">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60224133">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5</w:t>
                  </w:r>
                </w:p>
              </w:tc>
              <w:tc>
                <w:tcPr>
                  <w:tcW w:w="1602" w:type="pct"/>
                  <w:vMerge w:val="continue"/>
                  <w:tcBorders>
                    <w:tl2br w:val="nil"/>
                    <w:tr2bl w:val="nil"/>
                  </w:tcBorders>
                  <w:vAlign w:val="center"/>
                </w:tcPr>
                <w:p w14:paraId="5872C8F0">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41986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B8A81B1">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13</w:t>
                  </w:r>
                </w:p>
              </w:tc>
              <w:tc>
                <w:tcPr>
                  <w:tcW w:w="989" w:type="pct"/>
                  <w:tcBorders>
                    <w:tl2br w:val="nil"/>
                    <w:tr2bl w:val="nil"/>
                  </w:tcBorders>
                  <w:shd w:val="clear" w:color="auto" w:fill="auto"/>
                  <w:vAlign w:val="center"/>
                </w:tcPr>
                <w:p w14:paraId="4B8431D3">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喷粉</w:t>
                  </w:r>
                  <w:r>
                    <w:rPr>
                      <w:color w:val="auto"/>
                      <w:szCs w:val="21"/>
                    </w:rPr>
                    <w:t>房</w:t>
                  </w:r>
                </w:p>
              </w:tc>
              <w:tc>
                <w:tcPr>
                  <w:tcW w:w="991" w:type="pct"/>
                  <w:tcBorders>
                    <w:tl2br w:val="nil"/>
                    <w:tr2bl w:val="nil"/>
                  </w:tcBorders>
                  <w:shd w:val="clear" w:color="auto" w:fill="auto"/>
                  <w:vAlign w:val="center"/>
                </w:tcPr>
                <w:p w14:paraId="0BF86387">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2AB4AAF6">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45E00F7B">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11A6B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ECB1CAA">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14</w:t>
                  </w:r>
                </w:p>
              </w:tc>
              <w:tc>
                <w:tcPr>
                  <w:tcW w:w="989" w:type="pct"/>
                  <w:tcBorders>
                    <w:tl2br w:val="nil"/>
                    <w:tr2bl w:val="nil"/>
                  </w:tcBorders>
                  <w:shd w:val="clear" w:color="auto" w:fill="auto"/>
                  <w:vAlign w:val="center"/>
                </w:tcPr>
                <w:p w14:paraId="7F34303D">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固化炉</w:t>
                  </w:r>
                </w:p>
              </w:tc>
              <w:tc>
                <w:tcPr>
                  <w:tcW w:w="991" w:type="pct"/>
                  <w:tcBorders>
                    <w:tl2br w:val="nil"/>
                    <w:tr2bl w:val="nil"/>
                  </w:tcBorders>
                  <w:shd w:val="clear" w:color="auto" w:fill="auto"/>
                  <w:vAlign w:val="center"/>
                </w:tcPr>
                <w:p w14:paraId="43FCFCC2">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6D862EF0">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1D4530B5">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p>
              </w:tc>
            </w:tr>
            <w:tr w14:paraId="78A99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7D172BE9">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15</w:t>
                  </w:r>
                </w:p>
              </w:tc>
              <w:tc>
                <w:tcPr>
                  <w:tcW w:w="989" w:type="pct"/>
                  <w:tcBorders>
                    <w:tl2br w:val="nil"/>
                    <w:tr2bl w:val="nil"/>
                  </w:tcBorders>
                  <w:vAlign w:val="center"/>
                </w:tcPr>
                <w:p w14:paraId="1ECD3990">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南兴推台锯</w:t>
                  </w:r>
                </w:p>
              </w:tc>
              <w:tc>
                <w:tcPr>
                  <w:tcW w:w="991" w:type="pct"/>
                  <w:tcBorders>
                    <w:tl2br w:val="nil"/>
                    <w:tr2bl w:val="nil"/>
                  </w:tcBorders>
                  <w:vAlign w:val="center"/>
                </w:tcPr>
                <w:p w14:paraId="6B814963">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MJ1132F</w:t>
                  </w:r>
                </w:p>
              </w:tc>
              <w:tc>
                <w:tcPr>
                  <w:tcW w:w="972" w:type="pct"/>
                  <w:tcBorders>
                    <w:tl2br w:val="nil"/>
                    <w:tr2bl w:val="nil"/>
                  </w:tcBorders>
                  <w:shd w:val="clear" w:color="auto" w:fill="auto"/>
                  <w:vAlign w:val="center"/>
                </w:tcPr>
                <w:p w14:paraId="547964A3">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5</w:t>
                  </w:r>
                </w:p>
              </w:tc>
              <w:tc>
                <w:tcPr>
                  <w:tcW w:w="1602" w:type="pct"/>
                  <w:vMerge w:val="restart"/>
                  <w:tcBorders>
                    <w:tl2br w:val="nil"/>
                    <w:tr2bl w:val="nil"/>
                  </w:tcBorders>
                  <w:vAlign w:val="center"/>
                </w:tcPr>
                <w:p w14:paraId="52755C15">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3#厂房（木工</w:t>
                  </w:r>
                  <w:r>
                    <w:rPr>
                      <w:color w:val="auto"/>
                      <w:szCs w:val="21"/>
                    </w:rPr>
                    <w:t>车间</w:t>
                  </w:r>
                  <w:r>
                    <w:rPr>
                      <w:rFonts w:hint="eastAsia"/>
                      <w:color w:val="auto"/>
                      <w:szCs w:val="21"/>
                    </w:rPr>
                    <w:t>）</w:t>
                  </w:r>
                </w:p>
              </w:tc>
            </w:tr>
            <w:tr w14:paraId="54E91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6AFEA8AB">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16</w:t>
                  </w:r>
                </w:p>
              </w:tc>
              <w:tc>
                <w:tcPr>
                  <w:tcW w:w="989" w:type="pct"/>
                  <w:tcBorders>
                    <w:tl2br w:val="nil"/>
                    <w:tr2bl w:val="nil"/>
                  </w:tcBorders>
                  <w:vAlign w:val="center"/>
                </w:tcPr>
                <w:p w14:paraId="358ED422">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冷压机</w:t>
                  </w:r>
                </w:p>
              </w:tc>
              <w:tc>
                <w:tcPr>
                  <w:tcW w:w="991" w:type="pct"/>
                  <w:tcBorders>
                    <w:tl2br w:val="nil"/>
                    <w:tr2bl w:val="nil"/>
                  </w:tcBorders>
                  <w:vAlign w:val="center"/>
                </w:tcPr>
                <w:p w14:paraId="7A2B0F36">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曲阜</w:t>
                  </w:r>
                  <w:r>
                    <w:rPr>
                      <w:color w:val="auto"/>
                      <w:szCs w:val="21"/>
                    </w:rPr>
                    <w:t>三元</w:t>
                  </w:r>
                </w:p>
              </w:tc>
              <w:tc>
                <w:tcPr>
                  <w:tcW w:w="972" w:type="pct"/>
                  <w:tcBorders>
                    <w:tl2br w:val="nil"/>
                    <w:tr2bl w:val="nil"/>
                  </w:tcBorders>
                  <w:shd w:val="clear" w:color="auto" w:fill="auto"/>
                  <w:vAlign w:val="center"/>
                </w:tcPr>
                <w:p w14:paraId="6D738CB6">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2</w:t>
                  </w:r>
                </w:p>
              </w:tc>
              <w:tc>
                <w:tcPr>
                  <w:tcW w:w="1602" w:type="pct"/>
                  <w:vMerge w:val="continue"/>
                  <w:tcBorders>
                    <w:tl2br w:val="nil"/>
                    <w:tr2bl w:val="nil"/>
                  </w:tcBorders>
                  <w:vAlign w:val="center"/>
                </w:tcPr>
                <w:p w14:paraId="2A14EAE4">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02E8C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30AEE110">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17</w:t>
                  </w:r>
                </w:p>
              </w:tc>
              <w:tc>
                <w:tcPr>
                  <w:tcW w:w="989" w:type="pct"/>
                  <w:tcBorders>
                    <w:tl2br w:val="nil"/>
                    <w:tr2bl w:val="nil"/>
                  </w:tcBorders>
                  <w:shd w:val="clear" w:color="auto" w:fill="auto"/>
                  <w:vAlign w:val="center"/>
                </w:tcPr>
                <w:p w14:paraId="16A2309A">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雕刻机</w:t>
                  </w:r>
                </w:p>
              </w:tc>
              <w:tc>
                <w:tcPr>
                  <w:tcW w:w="991" w:type="pct"/>
                  <w:tcBorders>
                    <w:tl2br w:val="nil"/>
                    <w:tr2bl w:val="nil"/>
                  </w:tcBorders>
                  <w:shd w:val="clear" w:color="auto" w:fill="auto"/>
                  <w:vAlign w:val="center"/>
                </w:tcPr>
                <w:p w14:paraId="16FD780C">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w:t>
                  </w:r>
                </w:p>
              </w:tc>
              <w:tc>
                <w:tcPr>
                  <w:tcW w:w="972" w:type="pct"/>
                  <w:tcBorders>
                    <w:tl2br w:val="nil"/>
                    <w:tr2bl w:val="nil"/>
                  </w:tcBorders>
                  <w:shd w:val="clear" w:color="auto" w:fill="auto"/>
                  <w:vAlign w:val="center"/>
                </w:tcPr>
                <w:p w14:paraId="0A8F7154">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4</w:t>
                  </w:r>
                </w:p>
              </w:tc>
              <w:tc>
                <w:tcPr>
                  <w:tcW w:w="1602" w:type="pct"/>
                  <w:vMerge w:val="continue"/>
                  <w:tcBorders>
                    <w:tl2br w:val="nil"/>
                    <w:tr2bl w:val="nil"/>
                  </w:tcBorders>
                  <w:vAlign w:val="center"/>
                </w:tcPr>
                <w:p w14:paraId="7CE3F2AC">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7A7B2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714DD08">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18</w:t>
                  </w:r>
                </w:p>
              </w:tc>
              <w:tc>
                <w:tcPr>
                  <w:tcW w:w="989" w:type="pct"/>
                  <w:tcBorders>
                    <w:tl2br w:val="nil"/>
                    <w:tr2bl w:val="nil"/>
                  </w:tcBorders>
                  <w:shd w:val="clear" w:color="auto" w:fill="auto"/>
                  <w:vAlign w:val="center"/>
                </w:tcPr>
                <w:p w14:paraId="793C99E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封边机</w:t>
                  </w:r>
                </w:p>
              </w:tc>
              <w:tc>
                <w:tcPr>
                  <w:tcW w:w="991" w:type="pct"/>
                  <w:tcBorders>
                    <w:tl2br w:val="nil"/>
                    <w:tr2bl w:val="nil"/>
                  </w:tcBorders>
                  <w:shd w:val="clear" w:color="auto" w:fill="auto"/>
                  <w:vAlign w:val="center"/>
                </w:tcPr>
                <w:p w14:paraId="3A2563CE">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LD QMF-518C</w:t>
                  </w:r>
                </w:p>
              </w:tc>
              <w:tc>
                <w:tcPr>
                  <w:tcW w:w="972" w:type="pct"/>
                  <w:tcBorders>
                    <w:tl2br w:val="nil"/>
                    <w:tr2bl w:val="nil"/>
                  </w:tcBorders>
                  <w:shd w:val="clear" w:color="auto" w:fill="auto"/>
                  <w:vAlign w:val="center"/>
                </w:tcPr>
                <w:p w14:paraId="06D4421E">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1</w:t>
                  </w:r>
                </w:p>
              </w:tc>
              <w:tc>
                <w:tcPr>
                  <w:tcW w:w="1602" w:type="pct"/>
                  <w:vMerge w:val="continue"/>
                  <w:tcBorders>
                    <w:tl2br w:val="nil"/>
                    <w:tr2bl w:val="nil"/>
                  </w:tcBorders>
                  <w:vAlign w:val="center"/>
                </w:tcPr>
                <w:p w14:paraId="2D3244D3">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6BB9A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0B6E866">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19</w:t>
                  </w:r>
                </w:p>
              </w:tc>
              <w:tc>
                <w:tcPr>
                  <w:tcW w:w="989" w:type="pct"/>
                  <w:tcBorders>
                    <w:tl2br w:val="nil"/>
                    <w:tr2bl w:val="nil"/>
                  </w:tcBorders>
                  <w:vAlign w:val="center"/>
                </w:tcPr>
                <w:p w14:paraId="049CA35B">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喷枪</w:t>
                  </w:r>
                </w:p>
              </w:tc>
              <w:tc>
                <w:tcPr>
                  <w:tcW w:w="991" w:type="pct"/>
                  <w:tcBorders>
                    <w:tl2br w:val="nil"/>
                    <w:tr2bl w:val="nil"/>
                  </w:tcBorders>
                  <w:vAlign w:val="center"/>
                </w:tcPr>
                <w:p w14:paraId="4FAEE4EA">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38A004D7">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2</w:t>
                  </w:r>
                </w:p>
              </w:tc>
              <w:tc>
                <w:tcPr>
                  <w:tcW w:w="1602" w:type="pct"/>
                  <w:vMerge w:val="restart"/>
                  <w:tcBorders>
                    <w:tl2br w:val="nil"/>
                    <w:tr2bl w:val="nil"/>
                  </w:tcBorders>
                  <w:vAlign w:val="center"/>
                </w:tcPr>
                <w:p w14:paraId="64D0BEDA">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4#厂房（喷涂车间）</w:t>
                  </w:r>
                </w:p>
              </w:tc>
            </w:tr>
            <w:tr w14:paraId="0CC3C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1B4AD223">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20</w:t>
                  </w:r>
                </w:p>
              </w:tc>
              <w:tc>
                <w:tcPr>
                  <w:tcW w:w="989" w:type="pct"/>
                  <w:tcBorders>
                    <w:tl2br w:val="nil"/>
                    <w:tr2bl w:val="nil"/>
                  </w:tcBorders>
                  <w:vAlign w:val="center"/>
                </w:tcPr>
                <w:p w14:paraId="15D5B0DF">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板材</w:t>
                  </w:r>
                  <w:r>
                    <w:rPr>
                      <w:color w:val="auto"/>
                      <w:szCs w:val="21"/>
                    </w:rPr>
                    <w:t>手动砂光机</w:t>
                  </w:r>
                </w:p>
              </w:tc>
              <w:tc>
                <w:tcPr>
                  <w:tcW w:w="991" w:type="pct"/>
                  <w:tcBorders>
                    <w:tl2br w:val="nil"/>
                    <w:tr2bl w:val="nil"/>
                  </w:tcBorders>
                  <w:vAlign w:val="center"/>
                </w:tcPr>
                <w:p w14:paraId="108C9C22">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6D38DDC1">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2</w:t>
                  </w:r>
                </w:p>
              </w:tc>
              <w:tc>
                <w:tcPr>
                  <w:tcW w:w="1602" w:type="pct"/>
                  <w:vMerge w:val="continue"/>
                  <w:tcBorders>
                    <w:tl2br w:val="nil"/>
                    <w:tr2bl w:val="nil"/>
                  </w:tcBorders>
                  <w:vAlign w:val="center"/>
                </w:tcPr>
                <w:p w14:paraId="3832F56A">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3DFA7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159DD426">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21</w:t>
                  </w:r>
                </w:p>
              </w:tc>
              <w:tc>
                <w:tcPr>
                  <w:tcW w:w="989" w:type="pct"/>
                  <w:tcBorders>
                    <w:tl2br w:val="nil"/>
                    <w:tr2bl w:val="nil"/>
                  </w:tcBorders>
                  <w:vAlign w:val="center"/>
                </w:tcPr>
                <w:p w14:paraId="406D08D0">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抛光机（铁件）</w:t>
                  </w:r>
                </w:p>
              </w:tc>
              <w:tc>
                <w:tcPr>
                  <w:tcW w:w="991" w:type="pct"/>
                  <w:tcBorders>
                    <w:tl2br w:val="nil"/>
                    <w:tr2bl w:val="nil"/>
                  </w:tcBorders>
                  <w:vAlign w:val="center"/>
                </w:tcPr>
                <w:p w14:paraId="3451B336">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w:t>
                  </w:r>
                </w:p>
              </w:tc>
              <w:tc>
                <w:tcPr>
                  <w:tcW w:w="972" w:type="pct"/>
                  <w:tcBorders>
                    <w:tl2br w:val="nil"/>
                    <w:tr2bl w:val="nil"/>
                  </w:tcBorders>
                  <w:shd w:val="clear" w:color="auto" w:fill="auto"/>
                  <w:vAlign w:val="center"/>
                </w:tcPr>
                <w:p w14:paraId="6A06E0E4">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9</w:t>
                  </w:r>
                </w:p>
              </w:tc>
              <w:tc>
                <w:tcPr>
                  <w:tcW w:w="1602" w:type="pct"/>
                  <w:vMerge w:val="continue"/>
                  <w:tcBorders>
                    <w:tl2br w:val="nil"/>
                    <w:tr2bl w:val="nil"/>
                  </w:tcBorders>
                  <w:vAlign w:val="center"/>
                </w:tcPr>
                <w:p w14:paraId="53B4A5C6">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0C7D7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8AC24DF">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22</w:t>
                  </w:r>
                </w:p>
              </w:tc>
              <w:tc>
                <w:tcPr>
                  <w:tcW w:w="989" w:type="pct"/>
                  <w:tcBorders>
                    <w:tl2br w:val="nil"/>
                    <w:tr2bl w:val="nil"/>
                  </w:tcBorders>
                  <w:vAlign w:val="center"/>
                </w:tcPr>
                <w:p w14:paraId="63F15CBC">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修边机</w:t>
                  </w:r>
                </w:p>
              </w:tc>
              <w:tc>
                <w:tcPr>
                  <w:tcW w:w="991" w:type="pct"/>
                  <w:tcBorders>
                    <w:tl2br w:val="nil"/>
                    <w:tr2bl w:val="nil"/>
                  </w:tcBorders>
                  <w:vAlign w:val="center"/>
                </w:tcPr>
                <w:p w14:paraId="67971011">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东成</w:t>
                  </w:r>
                </w:p>
              </w:tc>
              <w:tc>
                <w:tcPr>
                  <w:tcW w:w="972" w:type="pct"/>
                  <w:tcBorders>
                    <w:tl2br w:val="nil"/>
                    <w:tr2bl w:val="nil"/>
                  </w:tcBorders>
                  <w:shd w:val="clear" w:color="auto" w:fill="auto"/>
                  <w:vAlign w:val="center"/>
                </w:tcPr>
                <w:p w14:paraId="2631C52A">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1C734375">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004EC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0A05285E">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23</w:t>
                  </w:r>
                </w:p>
              </w:tc>
              <w:tc>
                <w:tcPr>
                  <w:tcW w:w="989" w:type="pct"/>
                  <w:tcBorders>
                    <w:tl2br w:val="nil"/>
                    <w:tr2bl w:val="nil"/>
                  </w:tcBorders>
                  <w:vAlign w:val="center"/>
                </w:tcPr>
                <w:p w14:paraId="50E68B7F">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角磨机</w:t>
                  </w:r>
                </w:p>
              </w:tc>
              <w:tc>
                <w:tcPr>
                  <w:tcW w:w="991" w:type="pct"/>
                  <w:tcBorders>
                    <w:tl2br w:val="nil"/>
                    <w:tr2bl w:val="nil"/>
                  </w:tcBorders>
                  <w:vAlign w:val="center"/>
                </w:tcPr>
                <w:p w14:paraId="3A1D84E7">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S1M-FF05-100B</w:t>
                  </w:r>
                </w:p>
              </w:tc>
              <w:tc>
                <w:tcPr>
                  <w:tcW w:w="972" w:type="pct"/>
                  <w:tcBorders>
                    <w:tl2br w:val="nil"/>
                    <w:tr2bl w:val="nil"/>
                  </w:tcBorders>
                  <w:shd w:val="clear" w:color="auto" w:fill="auto"/>
                  <w:vAlign w:val="center"/>
                </w:tcPr>
                <w:p w14:paraId="6A0AAE6E">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5EB7EFBC">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7016F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5F6F388E">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24</w:t>
                  </w:r>
                </w:p>
              </w:tc>
              <w:tc>
                <w:tcPr>
                  <w:tcW w:w="989" w:type="pct"/>
                  <w:tcBorders>
                    <w:tl2br w:val="nil"/>
                    <w:tr2bl w:val="nil"/>
                  </w:tcBorders>
                  <w:vAlign w:val="center"/>
                </w:tcPr>
                <w:p w14:paraId="4EDBCD97">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气磨机</w:t>
                  </w:r>
                </w:p>
              </w:tc>
              <w:tc>
                <w:tcPr>
                  <w:tcW w:w="991" w:type="pct"/>
                  <w:tcBorders>
                    <w:tl2br w:val="nil"/>
                    <w:tr2bl w:val="nil"/>
                  </w:tcBorders>
                  <w:vAlign w:val="center"/>
                </w:tcPr>
                <w:p w14:paraId="3198A0A3">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ETSEC150/5EQ</w:t>
                  </w:r>
                </w:p>
              </w:tc>
              <w:tc>
                <w:tcPr>
                  <w:tcW w:w="972" w:type="pct"/>
                  <w:tcBorders>
                    <w:tl2br w:val="nil"/>
                    <w:tr2bl w:val="nil"/>
                  </w:tcBorders>
                  <w:shd w:val="clear" w:color="auto" w:fill="auto"/>
                  <w:vAlign w:val="center"/>
                </w:tcPr>
                <w:p w14:paraId="4B50DE21">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4</w:t>
                  </w:r>
                </w:p>
              </w:tc>
              <w:tc>
                <w:tcPr>
                  <w:tcW w:w="1602" w:type="pct"/>
                  <w:vMerge w:val="continue"/>
                  <w:tcBorders>
                    <w:tl2br w:val="nil"/>
                    <w:tr2bl w:val="nil"/>
                  </w:tcBorders>
                  <w:vAlign w:val="center"/>
                </w:tcPr>
                <w:p w14:paraId="2FA75E24">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39AAC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9D638F8">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25</w:t>
                  </w:r>
                </w:p>
              </w:tc>
              <w:tc>
                <w:tcPr>
                  <w:tcW w:w="989" w:type="pct"/>
                  <w:tcBorders>
                    <w:tl2br w:val="nil"/>
                    <w:tr2bl w:val="nil"/>
                  </w:tcBorders>
                  <w:vAlign w:val="center"/>
                </w:tcPr>
                <w:p w14:paraId="2EE7F2FB">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胶枪</w:t>
                  </w:r>
                </w:p>
              </w:tc>
              <w:tc>
                <w:tcPr>
                  <w:tcW w:w="991" w:type="pct"/>
                  <w:tcBorders>
                    <w:tl2br w:val="nil"/>
                    <w:tr2bl w:val="nil"/>
                  </w:tcBorders>
                  <w:vAlign w:val="center"/>
                </w:tcPr>
                <w:p w14:paraId="0508876E">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w:t>
                  </w:r>
                </w:p>
              </w:tc>
              <w:tc>
                <w:tcPr>
                  <w:tcW w:w="972" w:type="pct"/>
                  <w:tcBorders>
                    <w:tl2br w:val="nil"/>
                    <w:tr2bl w:val="nil"/>
                  </w:tcBorders>
                  <w:shd w:val="clear" w:color="auto" w:fill="auto"/>
                  <w:vAlign w:val="center"/>
                </w:tcPr>
                <w:p w14:paraId="28352A52">
                  <w:pPr>
                    <w:keepNext w:val="0"/>
                    <w:keepLines w:val="0"/>
                    <w:pageBreakBefore w:val="0"/>
                    <w:kinsoku/>
                    <w:wordWrap/>
                    <w:overflowPunct/>
                    <w:topLinePunct w:val="0"/>
                    <w:autoSpaceDE/>
                    <w:autoSpaceDN/>
                    <w:bidi w:val="0"/>
                    <w:adjustRightInd w:val="0"/>
                    <w:spacing w:line="240" w:lineRule="auto"/>
                    <w:jc w:val="center"/>
                    <w:textAlignment w:val="auto"/>
                    <w:rPr>
                      <w:color w:val="auto"/>
                      <w:szCs w:val="21"/>
                    </w:rPr>
                  </w:pPr>
                  <w:r>
                    <w:rPr>
                      <w:rFonts w:hint="eastAsia"/>
                      <w:color w:val="auto"/>
                      <w:szCs w:val="21"/>
                    </w:rPr>
                    <w:t>4</w:t>
                  </w:r>
                </w:p>
              </w:tc>
              <w:tc>
                <w:tcPr>
                  <w:tcW w:w="1602" w:type="pct"/>
                  <w:vMerge w:val="continue"/>
                  <w:tcBorders>
                    <w:tl2br w:val="nil"/>
                    <w:tr2bl w:val="nil"/>
                  </w:tcBorders>
                  <w:vAlign w:val="center"/>
                </w:tcPr>
                <w:p w14:paraId="1D910B68">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58027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49BB4D49">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26</w:t>
                  </w:r>
                </w:p>
              </w:tc>
              <w:tc>
                <w:tcPr>
                  <w:tcW w:w="989" w:type="pct"/>
                  <w:tcBorders>
                    <w:tl2br w:val="nil"/>
                    <w:tr2bl w:val="nil"/>
                  </w:tcBorders>
                  <w:shd w:val="clear" w:color="auto" w:fill="auto"/>
                  <w:vAlign w:val="center"/>
                </w:tcPr>
                <w:p w14:paraId="1C3F7719">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rPr>
                    <w:t>裁板机</w:t>
                  </w:r>
                </w:p>
              </w:tc>
              <w:tc>
                <w:tcPr>
                  <w:tcW w:w="991" w:type="pct"/>
                  <w:tcBorders>
                    <w:tl2br w:val="nil"/>
                    <w:tr2bl w:val="nil"/>
                  </w:tcBorders>
                  <w:shd w:val="clear" w:color="auto" w:fill="auto"/>
                  <w:vAlign w:val="center"/>
                </w:tcPr>
                <w:p w14:paraId="427A1C71">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5E3ED00F">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restart"/>
                  <w:tcBorders>
                    <w:tl2br w:val="nil"/>
                    <w:tr2bl w:val="nil"/>
                  </w:tcBorders>
                  <w:vAlign w:val="center"/>
                </w:tcPr>
                <w:p w14:paraId="3CF3B059">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lang w:eastAsia="zh-CN"/>
                    </w:rPr>
                    <w:t>1.</w:t>
                  </w:r>
                  <w:r>
                    <w:rPr>
                      <w:rFonts w:hint="eastAsia"/>
                      <w:color w:val="auto"/>
                    </w:rPr>
                    <w:t>厂房一层（</w:t>
                  </w:r>
                  <w:r>
                    <w:rPr>
                      <w:color w:val="auto"/>
                    </w:rPr>
                    <w:t>亚克力车间</w:t>
                  </w:r>
                  <w:r>
                    <w:rPr>
                      <w:rFonts w:hint="eastAsia"/>
                      <w:color w:val="auto"/>
                    </w:rPr>
                    <w:t>）</w:t>
                  </w:r>
                </w:p>
              </w:tc>
            </w:tr>
            <w:tr w14:paraId="781C3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1A813E8A">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27</w:t>
                  </w:r>
                </w:p>
              </w:tc>
              <w:tc>
                <w:tcPr>
                  <w:tcW w:w="989" w:type="pct"/>
                  <w:tcBorders>
                    <w:tl2br w:val="nil"/>
                    <w:tr2bl w:val="nil"/>
                  </w:tcBorders>
                  <w:shd w:val="clear" w:color="auto" w:fill="auto"/>
                  <w:vAlign w:val="center"/>
                </w:tcPr>
                <w:p w14:paraId="0C1F4A47">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激光</w:t>
                  </w:r>
                  <w:r>
                    <w:rPr>
                      <w:color w:val="auto"/>
                      <w:szCs w:val="21"/>
                    </w:rPr>
                    <w:t>切割机</w:t>
                  </w:r>
                </w:p>
              </w:tc>
              <w:tc>
                <w:tcPr>
                  <w:tcW w:w="991" w:type="pct"/>
                  <w:tcBorders>
                    <w:tl2br w:val="nil"/>
                    <w:tr2bl w:val="nil"/>
                  </w:tcBorders>
                  <w:shd w:val="clear" w:color="auto" w:fill="auto"/>
                  <w:vAlign w:val="center"/>
                </w:tcPr>
                <w:p w14:paraId="757CFF3D">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274E1E9A">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3</w:t>
                  </w:r>
                </w:p>
              </w:tc>
              <w:tc>
                <w:tcPr>
                  <w:tcW w:w="1602" w:type="pct"/>
                  <w:vMerge w:val="continue"/>
                  <w:tcBorders>
                    <w:tl2br w:val="nil"/>
                    <w:tr2bl w:val="nil"/>
                  </w:tcBorders>
                  <w:vAlign w:val="center"/>
                </w:tcPr>
                <w:p w14:paraId="7F8A4540">
                  <w:pPr>
                    <w:keepNext w:val="0"/>
                    <w:keepLines w:val="0"/>
                    <w:pageBreakBefore w:val="0"/>
                    <w:kinsoku/>
                    <w:wordWrap/>
                    <w:overflowPunct/>
                    <w:topLinePunct w:val="0"/>
                    <w:autoSpaceDE/>
                    <w:autoSpaceDN/>
                    <w:bidi w:val="0"/>
                    <w:spacing w:line="240" w:lineRule="auto"/>
                    <w:jc w:val="center"/>
                    <w:textAlignment w:val="auto"/>
                    <w:rPr>
                      <w:color w:val="auto"/>
                    </w:rPr>
                  </w:pPr>
                </w:p>
              </w:tc>
            </w:tr>
            <w:tr w14:paraId="7F69C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4" w:type="pct"/>
                  <w:tcBorders>
                    <w:tl2br w:val="nil"/>
                    <w:tr2bl w:val="nil"/>
                  </w:tcBorders>
                  <w:vAlign w:val="center"/>
                </w:tcPr>
                <w:p w14:paraId="10F0B081">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28</w:t>
                  </w:r>
                </w:p>
              </w:tc>
              <w:tc>
                <w:tcPr>
                  <w:tcW w:w="989" w:type="pct"/>
                  <w:tcBorders>
                    <w:tl2br w:val="nil"/>
                    <w:tr2bl w:val="nil"/>
                  </w:tcBorders>
                  <w:shd w:val="clear" w:color="auto" w:fill="auto"/>
                  <w:vAlign w:val="center"/>
                </w:tcPr>
                <w:p w14:paraId="20657EB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抛光机</w:t>
                  </w:r>
                </w:p>
              </w:tc>
              <w:tc>
                <w:tcPr>
                  <w:tcW w:w="991" w:type="pct"/>
                  <w:tcBorders>
                    <w:tl2br w:val="nil"/>
                    <w:tr2bl w:val="nil"/>
                  </w:tcBorders>
                  <w:shd w:val="clear" w:color="auto" w:fill="auto"/>
                  <w:vAlign w:val="center"/>
                </w:tcPr>
                <w:p w14:paraId="3D3E07FF">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77735D3B">
                  <w:pPr>
                    <w:keepNext w:val="0"/>
                    <w:keepLines w:val="0"/>
                    <w:pageBreakBefore w:val="0"/>
                    <w:kinsoku/>
                    <w:wordWrap/>
                    <w:overflowPunct/>
                    <w:topLinePunct w:val="0"/>
                    <w:autoSpaceDE/>
                    <w:autoSpaceDN/>
                    <w:bidi w:val="0"/>
                    <w:spacing w:line="240" w:lineRule="auto"/>
                    <w:jc w:val="center"/>
                    <w:textAlignment w:val="auto"/>
                    <w:rPr>
                      <w:color w:val="auto"/>
                      <w:szCs w:val="21"/>
                    </w:rPr>
                  </w:pPr>
                  <w:r>
                    <w:rPr>
                      <w:color w:val="auto"/>
                      <w:szCs w:val="21"/>
                    </w:rPr>
                    <w:t>4</w:t>
                  </w:r>
                </w:p>
              </w:tc>
              <w:tc>
                <w:tcPr>
                  <w:tcW w:w="1602" w:type="pct"/>
                  <w:vMerge w:val="continue"/>
                  <w:tcBorders>
                    <w:tl2br w:val="nil"/>
                    <w:tr2bl w:val="nil"/>
                  </w:tcBorders>
                  <w:vAlign w:val="center"/>
                </w:tcPr>
                <w:p w14:paraId="0DBA6F11">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73E0D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235EBF6B">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29</w:t>
                  </w:r>
                </w:p>
              </w:tc>
              <w:tc>
                <w:tcPr>
                  <w:tcW w:w="989" w:type="pct"/>
                  <w:tcBorders>
                    <w:tl2br w:val="nil"/>
                    <w:tr2bl w:val="nil"/>
                  </w:tcBorders>
                  <w:shd w:val="clear" w:color="auto" w:fill="auto"/>
                  <w:vAlign w:val="center"/>
                </w:tcPr>
                <w:p w14:paraId="3D889568">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印刷机</w:t>
                  </w:r>
                </w:p>
              </w:tc>
              <w:tc>
                <w:tcPr>
                  <w:tcW w:w="991" w:type="pct"/>
                  <w:tcBorders>
                    <w:tl2br w:val="nil"/>
                    <w:tr2bl w:val="nil"/>
                  </w:tcBorders>
                  <w:shd w:val="clear" w:color="auto" w:fill="auto"/>
                  <w:vAlign w:val="center"/>
                </w:tcPr>
                <w:p w14:paraId="17E93482">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4E0C11B3">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0A3C0074">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r w14:paraId="28911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 w:type="pct"/>
                  <w:tcBorders>
                    <w:tl2br w:val="nil"/>
                    <w:tr2bl w:val="nil"/>
                  </w:tcBorders>
                  <w:vAlign w:val="center"/>
                </w:tcPr>
                <w:p w14:paraId="7CC8E04D">
                  <w:pPr>
                    <w:pStyle w:val="37"/>
                    <w:keepNext w:val="0"/>
                    <w:keepLines w:val="0"/>
                    <w:pageBreakBefore w:val="0"/>
                    <w:kinsoku/>
                    <w:wordWrap/>
                    <w:overflowPunct/>
                    <w:topLinePunct w:val="0"/>
                    <w:autoSpaceDE/>
                    <w:autoSpaceDN/>
                    <w:bidi w:val="0"/>
                    <w:spacing w:line="240" w:lineRule="auto"/>
                    <w:jc w:val="center"/>
                    <w:textAlignment w:val="auto"/>
                    <w:rPr>
                      <w:color w:val="auto"/>
                      <w:sz w:val="21"/>
                      <w:szCs w:val="21"/>
                    </w:rPr>
                  </w:pPr>
                  <w:r>
                    <w:rPr>
                      <w:rFonts w:hint="eastAsia"/>
                      <w:color w:val="auto"/>
                      <w:sz w:val="21"/>
                      <w:szCs w:val="21"/>
                    </w:rPr>
                    <w:t>30</w:t>
                  </w:r>
                </w:p>
              </w:tc>
              <w:tc>
                <w:tcPr>
                  <w:tcW w:w="989" w:type="pct"/>
                  <w:tcBorders>
                    <w:tl2br w:val="nil"/>
                    <w:tr2bl w:val="nil"/>
                  </w:tcBorders>
                  <w:shd w:val="clear" w:color="auto" w:fill="auto"/>
                  <w:vAlign w:val="center"/>
                </w:tcPr>
                <w:p w14:paraId="0BDA9664">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烫金机</w:t>
                  </w:r>
                </w:p>
              </w:tc>
              <w:tc>
                <w:tcPr>
                  <w:tcW w:w="991" w:type="pct"/>
                  <w:tcBorders>
                    <w:tl2br w:val="nil"/>
                    <w:tr2bl w:val="nil"/>
                  </w:tcBorders>
                  <w:shd w:val="clear" w:color="auto" w:fill="auto"/>
                  <w:vAlign w:val="center"/>
                </w:tcPr>
                <w:p w14:paraId="12ECC7D2">
                  <w:pPr>
                    <w:keepNext w:val="0"/>
                    <w:keepLines w:val="0"/>
                    <w:pageBreakBefore w:val="0"/>
                    <w:kinsoku/>
                    <w:wordWrap/>
                    <w:overflowPunct/>
                    <w:topLinePunct w:val="0"/>
                    <w:autoSpaceDE/>
                    <w:autoSpaceDN/>
                    <w:bidi w:val="0"/>
                    <w:spacing w:line="240" w:lineRule="auto"/>
                    <w:jc w:val="center"/>
                    <w:textAlignment w:val="auto"/>
                    <w:rPr>
                      <w:color w:val="auto"/>
                    </w:rPr>
                  </w:pPr>
                  <w:r>
                    <w:rPr>
                      <w:rFonts w:hint="eastAsia"/>
                      <w:color w:val="auto"/>
                      <w:szCs w:val="21"/>
                    </w:rPr>
                    <w:t>—</w:t>
                  </w:r>
                </w:p>
              </w:tc>
              <w:tc>
                <w:tcPr>
                  <w:tcW w:w="972" w:type="pct"/>
                  <w:tcBorders>
                    <w:tl2br w:val="nil"/>
                    <w:tr2bl w:val="nil"/>
                  </w:tcBorders>
                  <w:shd w:val="clear" w:color="auto" w:fill="auto"/>
                  <w:vAlign w:val="center"/>
                </w:tcPr>
                <w:p w14:paraId="47CCBF54">
                  <w:pPr>
                    <w:keepNext w:val="0"/>
                    <w:keepLines w:val="0"/>
                    <w:pageBreakBefore w:val="0"/>
                    <w:kinsoku/>
                    <w:wordWrap/>
                    <w:overflowPunct/>
                    <w:topLinePunct w:val="0"/>
                    <w:autoSpaceDE/>
                    <w:autoSpaceDN/>
                    <w:bidi w:val="0"/>
                    <w:spacing w:line="240" w:lineRule="auto"/>
                    <w:jc w:val="center"/>
                    <w:textAlignment w:val="auto"/>
                    <w:rPr>
                      <w:color w:val="auto"/>
                      <w:szCs w:val="21"/>
                    </w:rPr>
                  </w:pPr>
                  <w:r>
                    <w:rPr>
                      <w:rFonts w:hint="eastAsia"/>
                      <w:color w:val="auto"/>
                      <w:szCs w:val="21"/>
                    </w:rPr>
                    <w:t>1</w:t>
                  </w:r>
                </w:p>
              </w:tc>
              <w:tc>
                <w:tcPr>
                  <w:tcW w:w="1602" w:type="pct"/>
                  <w:vMerge w:val="continue"/>
                  <w:tcBorders>
                    <w:tl2br w:val="nil"/>
                    <w:tr2bl w:val="nil"/>
                  </w:tcBorders>
                  <w:vAlign w:val="center"/>
                </w:tcPr>
                <w:p w14:paraId="02285710">
                  <w:pPr>
                    <w:keepNext w:val="0"/>
                    <w:keepLines w:val="0"/>
                    <w:pageBreakBefore w:val="0"/>
                    <w:kinsoku/>
                    <w:wordWrap/>
                    <w:overflowPunct/>
                    <w:topLinePunct w:val="0"/>
                    <w:autoSpaceDE/>
                    <w:autoSpaceDN/>
                    <w:bidi w:val="0"/>
                    <w:spacing w:line="240" w:lineRule="auto"/>
                    <w:jc w:val="center"/>
                    <w:textAlignment w:val="auto"/>
                    <w:rPr>
                      <w:color w:val="auto"/>
                      <w:szCs w:val="21"/>
                    </w:rPr>
                  </w:pPr>
                </w:p>
              </w:tc>
            </w:tr>
          </w:tbl>
          <w:p w14:paraId="30B8A29B">
            <w:pPr>
              <w:adjustRightInd w:val="0"/>
              <w:snapToGrid w:val="0"/>
              <w:spacing w:line="360" w:lineRule="auto"/>
              <w:ind w:firstLine="482" w:firstLineChars="200"/>
              <w:rPr>
                <w:rFonts w:hint="eastAsia" w:ascii="宋体" w:hAnsi="宋体"/>
                <w:b/>
                <w:bCs/>
                <w:color w:val="auto"/>
                <w:sz w:val="24"/>
              </w:rPr>
            </w:pPr>
          </w:p>
          <w:p w14:paraId="5FB4DAB2">
            <w:pPr>
              <w:adjustRightInd w:val="0"/>
              <w:snapToGrid w:val="0"/>
              <w:spacing w:line="360" w:lineRule="auto"/>
              <w:ind w:firstLine="482" w:firstLineChars="200"/>
              <w:rPr>
                <w:color w:val="auto"/>
                <w:sz w:val="24"/>
              </w:rPr>
            </w:pPr>
            <w:r>
              <w:rPr>
                <w:rFonts w:hint="eastAsia" w:ascii="宋体" w:hAnsi="宋体"/>
                <w:b/>
                <w:bCs/>
                <w:color w:val="auto"/>
                <w:sz w:val="24"/>
              </w:rPr>
              <w:t>四、现有项目</w:t>
            </w:r>
            <w:r>
              <w:rPr>
                <w:rFonts w:hint="eastAsia" w:ascii="宋体" w:hAnsi="宋体"/>
                <w:b/>
                <w:bCs/>
                <w:color w:val="auto"/>
                <w:sz w:val="24"/>
                <w:lang w:eastAsia="zh-CN"/>
              </w:rPr>
              <w:t>设计</w:t>
            </w:r>
            <w:r>
              <w:rPr>
                <w:rFonts w:hint="eastAsia" w:ascii="宋体" w:hAnsi="宋体"/>
                <w:b/>
                <w:bCs/>
                <w:color w:val="auto"/>
                <w:sz w:val="24"/>
              </w:rPr>
              <w:t>生产工艺</w:t>
            </w:r>
          </w:p>
          <w:p w14:paraId="63A2AC6A">
            <w:pPr>
              <w:adjustRightInd w:val="0"/>
              <w:snapToGrid w:val="0"/>
              <w:spacing w:line="360" w:lineRule="auto"/>
              <w:ind w:firstLine="480" w:firstLineChars="200"/>
              <w:jc w:val="left"/>
              <w:rPr>
                <w:color w:val="auto"/>
                <w:sz w:val="24"/>
              </w:rPr>
            </w:pPr>
            <w:r>
              <w:rPr>
                <w:rFonts w:hint="eastAsia"/>
                <w:color w:val="auto"/>
                <w:sz w:val="24"/>
              </w:rPr>
              <w:t>项目现有厂区项目总体生产工艺流程图见图2-6。</w:t>
            </w:r>
          </w:p>
          <w:p w14:paraId="3CA23316">
            <w:pPr>
              <w:adjustRightInd w:val="0"/>
              <w:snapToGrid w:val="0"/>
              <w:spacing w:line="360" w:lineRule="auto"/>
              <w:ind w:firstLine="420" w:firstLineChars="200"/>
              <w:jc w:val="left"/>
              <w:rPr>
                <w:color w:val="auto"/>
              </w:rPr>
            </w:pPr>
          </w:p>
          <w:p w14:paraId="731A35AF">
            <w:pPr>
              <w:adjustRightInd w:val="0"/>
              <w:snapToGrid w:val="0"/>
              <w:spacing w:line="360" w:lineRule="auto"/>
              <w:ind w:firstLine="420" w:firstLineChars="200"/>
              <w:jc w:val="left"/>
              <w:rPr>
                <w:color w:val="auto"/>
                <w:sz w:val="24"/>
              </w:rPr>
            </w:pPr>
            <w:r>
              <w:rPr>
                <w:rFonts w:hint="eastAsia"/>
                <w:color w:val="auto"/>
              </w:rPr>
              <w:drawing>
                <wp:inline distT="0" distB="0" distL="114300" distR="114300">
                  <wp:extent cx="7486015" cy="4290060"/>
                  <wp:effectExtent l="0" t="0" r="0" b="0"/>
                  <wp:docPr id="224" name="图片 224" descr="56db1bc74dae524c36f02ed38b17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56db1bc74dae524c36f02ed38b17c0f"/>
                          <pic:cNvPicPr>
                            <a:picLocks noChangeAspect="1"/>
                          </pic:cNvPicPr>
                        </pic:nvPicPr>
                        <pic:blipFill>
                          <a:blip r:embed="rId24"/>
                          <a:srcRect r="716" b="5590"/>
                          <a:stretch>
                            <a:fillRect/>
                          </a:stretch>
                        </pic:blipFill>
                        <pic:spPr>
                          <a:xfrm>
                            <a:off x="0" y="0"/>
                            <a:ext cx="7486015" cy="4290060"/>
                          </a:xfrm>
                          <a:prstGeom prst="rect">
                            <a:avLst/>
                          </a:prstGeom>
                        </pic:spPr>
                      </pic:pic>
                    </a:graphicData>
                  </a:graphic>
                </wp:inline>
              </w:drawing>
            </w:r>
          </w:p>
          <w:p w14:paraId="58268228">
            <w:pPr>
              <w:adjustRightInd w:val="0"/>
              <w:snapToGrid w:val="0"/>
              <w:spacing w:line="360" w:lineRule="auto"/>
              <w:jc w:val="center"/>
              <w:rPr>
                <w:color w:val="auto"/>
                <w:sz w:val="24"/>
              </w:rPr>
            </w:pPr>
            <w:r>
              <w:rPr>
                <w:b/>
                <w:bCs/>
                <w:color w:val="auto"/>
                <w:kern w:val="0"/>
                <w:sz w:val="24"/>
              </w:rPr>
              <w:t>图2-</w:t>
            </w:r>
            <w:r>
              <w:rPr>
                <w:rFonts w:hint="eastAsia"/>
                <w:b/>
                <w:bCs/>
                <w:color w:val="auto"/>
                <w:kern w:val="0"/>
                <w:sz w:val="24"/>
              </w:rPr>
              <w:t>6</w:t>
            </w:r>
            <w:r>
              <w:rPr>
                <w:b/>
                <w:bCs/>
                <w:color w:val="auto"/>
                <w:kern w:val="0"/>
                <w:sz w:val="24"/>
              </w:rPr>
              <w:t xml:space="preserve"> </w:t>
            </w:r>
            <w:r>
              <w:rPr>
                <w:rFonts w:hint="eastAsia"/>
                <w:b/>
                <w:bCs/>
                <w:color w:val="auto"/>
                <w:kern w:val="0"/>
                <w:sz w:val="24"/>
              </w:rPr>
              <w:t>现有厂区项目工艺流程图</w:t>
            </w:r>
          </w:p>
          <w:p w14:paraId="5AC8F489">
            <w:pPr>
              <w:adjustRightInd w:val="0"/>
              <w:snapToGrid w:val="0"/>
              <w:spacing w:line="360" w:lineRule="auto"/>
              <w:ind w:firstLine="482" w:firstLineChars="200"/>
              <w:jc w:val="left"/>
              <w:rPr>
                <w:color w:val="auto"/>
                <w:sz w:val="24"/>
              </w:rPr>
            </w:pPr>
            <w:r>
              <w:rPr>
                <w:rFonts w:hint="eastAsia" w:ascii="宋体" w:hAnsi="宋体"/>
                <w:b/>
                <w:bCs/>
                <w:color w:val="auto"/>
                <w:sz w:val="24"/>
              </w:rPr>
              <w:t>五、现有厂区项目污染物产生情况</w:t>
            </w:r>
          </w:p>
          <w:p w14:paraId="2C2EB1F6">
            <w:pPr>
              <w:adjustRightInd w:val="0"/>
              <w:snapToGrid w:val="0"/>
              <w:spacing w:line="360" w:lineRule="auto"/>
              <w:ind w:firstLine="482" w:firstLineChars="200"/>
              <w:rPr>
                <w:rFonts w:cs="FangSong_GB2312-Identity-H"/>
                <w:b/>
                <w:color w:val="auto"/>
                <w:sz w:val="24"/>
                <w:szCs w:val="32"/>
              </w:rPr>
            </w:pPr>
            <w:r>
              <w:rPr>
                <w:rFonts w:hint="eastAsia" w:cs="FangSong_GB2312-Identity-H"/>
                <w:b/>
                <w:color w:val="auto"/>
                <w:sz w:val="24"/>
                <w:szCs w:val="32"/>
                <w:lang w:eastAsia="zh-CN"/>
              </w:rPr>
              <w:t>(1)</w:t>
            </w:r>
            <w:r>
              <w:rPr>
                <w:rFonts w:hint="eastAsia" w:cs="FangSong_GB2312-Identity-H"/>
                <w:b/>
                <w:color w:val="auto"/>
                <w:sz w:val="24"/>
                <w:szCs w:val="32"/>
              </w:rPr>
              <w:t>废水</w:t>
            </w:r>
          </w:p>
          <w:p w14:paraId="4A741217">
            <w:pPr>
              <w:adjustRightInd w:val="0"/>
              <w:snapToGrid w:val="0"/>
              <w:spacing w:line="360" w:lineRule="auto"/>
              <w:ind w:firstLine="480" w:firstLineChars="200"/>
              <w:jc w:val="left"/>
              <w:rPr>
                <w:color w:val="auto"/>
                <w:sz w:val="24"/>
              </w:rPr>
            </w:pPr>
            <w:r>
              <w:rPr>
                <w:rFonts w:hint="eastAsia"/>
                <w:color w:val="auto"/>
                <w:sz w:val="24"/>
              </w:rPr>
              <w:t>企业现有项目</w:t>
            </w:r>
            <w:r>
              <w:rPr>
                <w:color w:val="auto"/>
                <w:sz w:val="24"/>
              </w:rPr>
              <w:t>生产</w:t>
            </w:r>
            <w:r>
              <w:rPr>
                <w:rFonts w:hint="eastAsia"/>
                <w:color w:val="auto"/>
                <w:sz w:val="24"/>
              </w:rPr>
              <w:t>过程</w:t>
            </w:r>
            <w:r>
              <w:rPr>
                <w:color w:val="auto"/>
                <w:sz w:val="24"/>
              </w:rPr>
              <w:t>中废水主要为清洗废水、水帘机外排循环水</w:t>
            </w:r>
            <w:r>
              <w:rPr>
                <w:rFonts w:hint="eastAsia"/>
                <w:color w:val="auto"/>
                <w:sz w:val="24"/>
              </w:rPr>
              <w:t>以及生活污水</w:t>
            </w:r>
            <w:r>
              <w:rPr>
                <w:color w:val="auto"/>
                <w:sz w:val="24"/>
              </w:rPr>
              <w:t>。</w:t>
            </w:r>
            <w:r>
              <w:rPr>
                <w:rFonts w:hint="eastAsia"/>
                <w:color w:val="auto"/>
                <w:sz w:val="24"/>
              </w:rPr>
              <w:t>其中</w:t>
            </w:r>
            <w:r>
              <w:rPr>
                <w:color w:val="auto"/>
                <w:sz w:val="24"/>
              </w:rPr>
              <w:t>清洗废水主要为</w:t>
            </w:r>
            <w:r>
              <w:rPr>
                <w:rFonts w:hint="eastAsia"/>
                <w:color w:val="auto"/>
                <w:sz w:val="24"/>
              </w:rPr>
              <w:t>脱脂后</w:t>
            </w:r>
            <w:r>
              <w:rPr>
                <w:color w:val="auto"/>
                <w:sz w:val="24"/>
              </w:rPr>
              <w:t>清洗废水</w:t>
            </w:r>
            <w:r>
              <w:rPr>
                <w:rFonts w:hint="eastAsia"/>
                <w:color w:val="auto"/>
                <w:sz w:val="24"/>
              </w:rPr>
              <w:t>与</w:t>
            </w:r>
            <w:r>
              <w:rPr>
                <w:color w:val="auto"/>
                <w:sz w:val="24"/>
              </w:rPr>
              <w:t>陶化后清洗废水</w:t>
            </w:r>
            <w:r>
              <w:rPr>
                <w:rFonts w:hint="eastAsia"/>
                <w:color w:val="auto"/>
                <w:sz w:val="24"/>
              </w:rPr>
              <w:t>，经厂区</w:t>
            </w:r>
            <w:r>
              <w:rPr>
                <w:color w:val="auto"/>
                <w:sz w:val="24"/>
              </w:rPr>
              <w:t>污水</w:t>
            </w:r>
            <w:r>
              <w:rPr>
                <w:rFonts w:hint="eastAsia"/>
                <w:color w:val="auto"/>
                <w:sz w:val="24"/>
              </w:rPr>
              <w:t>处理设施</w:t>
            </w:r>
            <w:r>
              <w:rPr>
                <w:color w:val="auto"/>
                <w:sz w:val="24"/>
              </w:rPr>
              <w:t>（调节池</w:t>
            </w:r>
            <w:r>
              <w:rPr>
                <w:rFonts w:hint="eastAsia"/>
                <w:color w:val="auto"/>
                <w:sz w:val="24"/>
              </w:rPr>
              <w:t>+混凝</w:t>
            </w:r>
            <w:r>
              <w:rPr>
                <w:color w:val="auto"/>
                <w:sz w:val="24"/>
              </w:rPr>
              <w:t>沉淀</w:t>
            </w:r>
            <w:r>
              <w:rPr>
                <w:rFonts w:hint="eastAsia"/>
                <w:color w:val="auto"/>
                <w:sz w:val="24"/>
              </w:rPr>
              <w:t>+pH回调</w:t>
            </w:r>
            <w:r>
              <w:rPr>
                <w:color w:val="auto"/>
                <w:sz w:val="24"/>
              </w:rPr>
              <w:t>处理）</w:t>
            </w:r>
            <w:r>
              <w:rPr>
                <w:rFonts w:hint="eastAsia"/>
                <w:color w:val="auto"/>
                <w:sz w:val="24"/>
              </w:rPr>
              <w:t>处理</w:t>
            </w:r>
            <w:r>
              <w:rPr>
                <w:color w:val="auto"/>
                <w:sz w:val="24"/>
              </w:rPr>
              <w:t>，水帘机外排循环水经厂区污水处理设施（</w:t>
            </w:r>
            <w:r>
              <w:rPr>
                <w:rFonts w:hint="eastAsia"/>
                <w:color w:val="auto"/>
                <w:sz w:val="24"/>
              </w:rPr>
              <w:t>序批式</w:t>
            </w:r>
            <w:r>
              <w:rPr>
                <w:color w:val="auto"/>
                <w:sz w:val="24"/>
              </w:rPr>
              <w:t>絮凝沉淀池）</w:t>
            </w:r>
            <w:r>
              <w:rPr>
                <w:rFonts w:hint="eastAsia"/>
                <w:color w:val="auto"/>
                <w:sz w:val="24"/>
              </w:rPr>
              <w:t>处理</w:t>
            </w:r>
            <w:r>
              <w:rPr>
                <w:color w:val="auto"/>
                <w:sz w:val="24"/>
              </w:rPr>
              <w:t>，生活污水经厂区化粪池处理。</w:t>
            </w:r>
            <w:r>
              <w:rPr>
                <w:rFonts w:hint="eastAsia"/>
                <w:color w:val="auto"/>
                <w:sz w:val="24"/>
              </w:rPr>
              <w:t>经过处理后</w:t>
            </w:r>
            <w:r>
              <w:rPr>
                <w:color w:val="auto"/>
                <w:sz w:val="24"/>
              </w:rPr>
              <w:t>一同接管开发区西区污水处理厂。</w:t>
            </w:r>
            <w:r>
              <w:rPr>
                <w:rFonts w:hint="eastAsia" w:cs="FangSong_GB2312-Identity-H"/>
                <w:bCs/>
                <w:color w:val="auto"/>
                <w:sz w:val="24"/>
                <w:szCs w:val="32"/>
              </w:rPr>
              <w:t>现有厂区现有项目废水主要信息一览表见表2-12。</w:t>
            </w:r>
          </w:p>
          <w:p w14:paraId="660F61C8">
            <w:pPr>
              <w:snapToGrid w:val="0"/>
              <w:spacing w:before="120" w:beforeLines="50" w:line="360" w:lineRule="auto"/>
              <w:jc w:val="center"/>
              <w:rPr>
                <w:b/>
                <w:color w:val="auto"/>
                <w:spacing w:val="16"/>
                <w:sz w:val="24"/>
              </w:rPr>
            </w:pPr>
            <w:r>
              <w:rPr>
                <w:rFonts w:hint="eastAsia"/>
                <w:b/>
                <w:color w:val="auto"/>
                <w:sz w:val="24"/>
              </w:rPr>
              <w:t>表</w:t>
            </w:r>
            <w:r>
              <w:rPr>
                <w:b/>
                <w:color w:val="auto"/>
                <w:sz w:val="24"/>
              </w:rPr>
              <w:t>2-</w:t>
            </w:r>
            <w:r>
              <w:rPr>
                <w:rFonts w:hint="eastAsia"/>
                <w:b/>
                <w:color w:val="auto"/>
                <w:sz w:val="24"/>
              </w:rPr>
              <w:t>12  现有项目</w:t>
            </w:r>
            <w:r>
              <w:rPr>
                <w:b/>
                <w:color w:val="auto"/>
                <w:sz w:val="24"/>
              </w:rPr>
              <w:t>废水主要信息一览表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90"/>
              <w:gridCol w:w="3335"/>
              <w:gridCol w:w="858"/>
              <w:gridCol w:w="1303"/>
              <w:gridCol w:w="1853"/>
              <w:gridCol w:w="2000"/>
            </w:tblGrid>
            <w:tr w14:paraId="1AD9E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3" w:type="pct"/>
                  <w:vAlign w:val="center"/>
                </w:tcPr>
                <w:p w14:paraId="4102A5A0">
                  <w:pPr>
                    <w:adjustRightInd w:val="0"/>
                    <w:jc w:val="center"/>
                    <w:rPr>
                      <w:b/>
                      <w:bCs/>
                      <w:color w:val="auto"/>
                      <w:szCs w:val="21"/>
                    </w:rPr>
                  </w:pPr>
                  <w:r>
                    <w:rPr>
                      <w:rFonts w:hint="eastAsia"/>
                      <w:b/>
                      <w:bCs/>
                      <w:color w:val="auto"/>
                      <w:szCs w:val="21"/>
                    </w:rPr>
                    <w:t>废水类别</w:t>
                  </w:r>
                </w:p>
              </w:tc>
              <w:tc>
                <w:tcPr>
                  <w:tcW w:w="916" w:type="pct"/>
                  <w:tcMar>
                    <w:top w:w="0" w:type="dxa"/>
                    <w:left w:w="0" w:type="dxa"/>
                    <w:right w:w="0" w:type="dxa"/>
                  </w:tcMar>
                  <w:vAlign w:val="center"/>
                </w:tcPr>
                <w:p w14:paraId="11CB54ED">
                  <w:pPr>
                    <w:adjustRightInd w:val="0"/>
                    <w:jc w:val="center"/>
                    <w:rPr>
                      <w:b/>
                      <w:bCs/>
                      <w:color w:val="auto"/>
                      <w:szCs w:val="21"/>
                    </w:rPr>
                  </w:pPr>
                  <w:r>
                    <w:rPr>
                      <w:rFonts w:hint="eastAsia"/>
                      <w:b/>
                      <w:bCs/>
                      <w:color w:val="auto"/>
                      <w:szCs w:val="21"/>
                    </w:rPr>
                    <w:t>来源</w:t>
                  </w:r>
                </w:p>
              </w:tc>
              <w:tc>
                <w:tcPr>
                  <w:tcW w:w="1334" w:type="pct"/>
                  <w:vAlign w:val="center"/>
                </w:tcPr>
                <w:p w14:paraId="743B7E7B">
                  <w:pPr>
                    <w:adjustRightInd w:val="0"/>
                    <w:jc w:val="center"/>
                    <w:rPr>
                      <w:b/>
                      <w:bCs/>
                      <w:color w:val="auto"/>
                      <w:szCs w:val="21"/>
                    </w:rPr>
                  </w:pPr>
                  <w:r>
                    <w:rPr>
                      <w:rFonts w:hint="eastAsia"/>
                      <w:b/>
                      <w:bCs/>
                      <w:color w:val="auto"/>
                      <w:szCs w:val="21"/>
                    </w:rPr>
                    <w:t>污染物种类</w:t>
                  </w:r>
                </w:p>
              </w:tc>
              <w:tc>
                <w:tcPr>
                  <w:tcW w:w="343" w:type="pct"/>
                  <w:vAlign w:val="center"/>
                </w:tcPr>
                <w:p w14:paraId="58165FDF">
                  <w:pPr>
                    <w:adjustRightInd w:val="0"/>
                    <w:jc w:val="center"/>
                    <w:rPr>
                      <w:b/>
                      <w:bCs/>
                      <w:color w:val="auto"/>
                      <w:szCs w:val="21"/>
                    </w:rPr>
                  </w:pPr>
                  <w:r>
                    <w:rPr>
                      <w:rFonts w:hint="eastAsia"/>
                      <w:b/>
                      <w:bCs/>
                      <w:color w:val="auto"/>
                      <w:szCs w:val="21"/>
                    </w:rPr>
                    <w:t>排放规律</w:t>
                  </w:r>
                </w:p>
              </w:tc>
              <w:tc>
                <w:tcPr>
                  <w:tcW w:w="521" w:type="pct"/>
                  <w:vAlign w:val="center"/>
                </w:tcPr>
                <w:p w14:paraId="6DF9E436">
                  <w:pPr>
                    <w:adjustRightInd w:val="0"/>
                    <w:jc w:val="center"/>
                    <w:rPr>
                      <w:b/>
                      <w:bCs/>
                      <w:color w:val="auto"/>
                      <w:szCs w:val="21"/>
                    </w:rPr>
                  </w:pPr>
                  <w:r>
                    <w:rPr>
                      <w:rFonts w:hint="eastAsia"/>
                      <w:b/>
                      <w:bCs/>
                      <w:color w:val="auto"/>
                      <w:szCs w:val="21"/>
                    </w:rPr>
                    <w:t>排放量（t/a）</w:t>
                  </w:r>
                </w:p>
              </w:tc>
              <w:tc>
                <w:tcPr>
                  <w:tcW w:w="741" w:type="pct"/>
                  <w:vAlign w:val="center"/>
                </w:tcPr>
                <w:p w14:paraId="243CE9AE">
                  <w:pPr>
                    <w:adjustRightInd w:val="0"/>
                    <w:jc w:val="center"/>
                    <w:rPr>
                      <w:b/>
                      <w:bCs/>
                      <w:color w:val="auto"/>
                      <w:szCs w:val="21"/>
                    </w:rPr>
                  </w:pPr>
                  <w:r>
                    <w:rPr>
                      <w:rFonts w:hint="eastAsia"/>
                      <w:b/>
                      <w:bCs/>
                      <w:color w:val="auto"/>
                      <w:szCs w:val="21"/>
                    </w:rPr>
                    <w:t>治理措施</w:t>
                  </w:r>
                </w:p>
              </w:tc>
              <w:tc>
                <w:tcPr>
                  <w:tcW w:w="800" w:type="pct"/>
                  <w:vAlign w:val="center"/>
                </w:tcPr>
                <w:p w14:paraId="69510144">
                  <w:pPr>
                    <w:adjustRightInd w:val="0"/>
                    <w:jc w:val="center"/>
                    <w:rPr>
                      <w:b/>
                      <w:bCs/>
                      <w:color w:val="auto"/>
                      <w:szCs w:val="21"/>
                    </w:rPr>
                  </w:pPr>
                  <w:r>
                    <w:rPr>
                      <w:rFonts w:hint="eastAsia"/>
                      <w:b/>
                      <w:bCs/>
                      <w:color w:val="auto"/>
                      <w:szCs w:val="21"/>
                    </w:rPr>
                    <w:t>排放去向</w:t>
                  </w:r>
                </w:p>
              </w:tc>
            </w:tr>
            <w:tr w14:paraId="1FDED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3" w:type="pct"/>
                  <w:vMerge w:val="restart"/>
                  <w:vAlign w:val="center"/>
                </w:tcPr>
                <w:p w14:paraId="20FC083D">
                  <w:pPr>
                    <w:adjustRightInd w:val="0"/>
                    <w:jc w:val="center"/>
                    <w:rPr>
                      <w:color w:val="auto"/>
                      <w:szCs w:val="21"/>
                    </w:rPr>
                  </w:pPr>
                  <w:r>
                    <w:rPr>
                      <w:rFonts w:hint="eastAsia"/>
                      <w:color w:val="auto"/>
                      <w:szCs w:val="21"/>
                    </w:rPr>
                    <w:t>生产废水</w:t>
                  </w:r>
                </w:p>
              </w:tc>
              <w:tc>
                <w:tcPr>
                  <w:tcW w:w="916" w:type="pct"/>
                  <w:tcMar>
                    <w:top w:w="0" w:type="dxa"/>
                    <w:left w:w="0" w:type="dxa"/>
                    <w:right w:w="0" w:type="dxa"/>
                  </w:tcMar>
                  <w:vAlign w:val="center"/>
                </w:tcPr>
                <w:p w14:paraId="02BD4C65">
                  <w:pPr>
                    <w:adjustRightInd w:val="0"/>
                    <w:jc w:val="center"/>
                    <w:rPr>
                      <w:color w:val="auto"/>
                      <w:szCs w:val="21"/>
                    </w:rPr>
                  </w:pPr>
                  <w:r>
                    <w:rPr>
                      <w:rFonts w:hint="eastAsia"/>
                      <w:color w:val="auto"/>
                      <w:szCs w:val="21"/>
                    </w:rPr>
                    <w:t>脱脂后清洗废水、陶化后清洗废水</w:t>
                  </w:r>
                </w:p>
              </w:tc>
              <w:tc>
                <w:tcPr>
                  <w:tcW w:w="1334" w:type="pct"/>
                  <w:vAlign w:val="center"/>
                </w:tcPr>
                <w:p w14:paraId="519A5E84">
                  <w:pPr>
                    <w:adjustRightInd w:val="0"/>
                    <w:jc w:val="center"/>
                    <w:rPr>
                      <w:color w:val="auto"/>
                      <w:szCs w:val="21"/>
                    </w:rPr>
                  </w:pPr>
                  <w:r>
                    <w:rPr>
                      <w:rFonts w:hint="eastAsia"/>
                      <w:color w:val="auto"/>
                      <w:szCs w:val="21"/>
                    </w:rPr>
                    <w:t>pH、COD、SS、LAS、总磷、石油类、氟化物</w:t>
                  </w:r>
                </w:p>
              </w:tc>
              <w:tc>
                <w:tcPr>
                  <w:tcW w:w="343" w:type="pct"/>
                  <w:vAlign w:val="center"/>
                </w:tcPr>
                <w:p w14:paraId="6B1AD88F">
                  <w:pPr>
                    <w:adjustRightInd w:val="0"/>
                    <w:jc w:val="center"/>
                    <w:rPr>
                      <w:color w:val="auto"/>
                      <w:szCs w:val="21"/>
                    </w:rPr>
                  </w:pPr>
                  <w:r>
                    <w:rPr>
                      <w:rFonts w:hint="eastAsia"/>
                      <w:color w:val="auto"/>
                      <w:szCs w:val="21"/>
                    </w:rPr>
                    <w:t>间断排放</w:t>
                  </w:r>
                </w:p>
              </w:tc>
              <w:tc>
                <w:tcPr>
                  <w:tcW w:w="521" w:type="pct"/>
                  <w:vAlign w:val="center"/>
                </w:tcPr>
                <w:p w14:paraId="71E2C60E">
                  <w:pPr>
                    <w:adjustRightInd w:val="0"/>
                    <w:jc w:val="center"/>
                    <w:rPr>
                      <w:color w:val="auto"/>
                      <w:szCs w:val="21"/>
                    </w:rPr>
                  </w:pPr>
                  <w:r>
                    <w:rPr>
                      <w:rFonts w:hint="eastAsia"/>
                      <w:color w:val="auto"/>
                      <w:szCs w:val="21"/>
                    </w:rPr>
                    <w:t>1170</w:t>
                  </w:r>
                </w:p>
              </w:tc>
              <w:tc>
                <w:tcPr>
                  <w:tcW w:w="741" w:type="pct"/>
                  <w:vAlign w:val="center"/>
                </w:tcPr>
                <w:p w14:paraId="29C427C7">
                  <w:pPr>
                    <w:adjustRightInd w:val="0"/>
                    <w:jc w:val="center"/>
                    <w:rPr>
                      <w:color w:val="auto"/>
                      <w:szCs w:val="21"/>
                    </w:rPr>
                  </w:pPr>
                  <w:r>
                    <w:rPr>
                      <w:rFonts w:hint="eastAsia"/>
                      <w:color w:val="auto"/>
                      <w:szCs w:val="21"/>
                    </w:rPr>
                    <w:t>调节+混凝沉淀+pH回调</w:t>
                  </w:r>
                </w:p>
              </w:tc>
              <w:tc>
                <w:tcPr>
                  <w:tcW w:w="800" w:type="pct"/>
                  <w:vMerge w:val="restart"/>
                  <w:vAlign w:val="center"/>
                </w:tcPr>
                <w:p w14:paraId="77A3E75B">
                  <w:pPr>
                    <w:adjustRightInd w:val="0"/>
                    <w:jc w:val="center"/>
                    <w:rPr>
                      <w:color w:val="auto"/>
                      <w:szCs w:val="21"/>
                    </w:rPr>
                  </w:pPr>
                  <w:r>
                    <w:rPr>
                      <w:rFonts w:hint="eastAsia"/>
                      <w:color w:val="auto"/>
                      <w:szCs w:val="21"/>
                    </w:rPr>
                    <w:t>接管开发区西区污水处理厂</w:t>
                  </w:r>
                </w:p>
              </w:tc>
            </w:tr>
            <w:tr w14:paraId="5771A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3" w:type="pct"/>
                  <w:vMerge w:val="continue"/>
                  <w:vAlign w:val="center"/>
                </w:tcPr>
                <w:p w14:paraId="7A5F41C5">
                  <w:pPr>
                    <w:adjustRightInd w:val="0"/>
                    <w:jc w:val="center"/>
                    <w:rPr>
                      <w:color w:val="auto"/>
                      <w:szCs w:val="21"/>
                    </w:rPr>
                  </w:pPr>
                </w:p>
              </w:tc>
              <w:tc>
                <w:tcPr>
                  <w:tcW w:w="916" w:type="pct"/>
                  <w:tcMar>
                    <w:top w:w="0" w:type="dxa"/>
                    <w:left w:w="0" w:type="dxa"/>
                    <w:right w:w="0" w:type="dxa"/>
                  </w:tcMar>
                  <w:vAlign w:val="center"/>
                </w:tcPr>
                <w:p w14:paraId="4C51182F">
                  <w:pPr>
                    <w:adjustRightInd w:val="0"/>
                    <w:jc w:val="center"/>
                    <w:rPr>
                      <w:color w:val="auto"/>
                      <w:szCs w:val="21"/>
                    </w:rPr>
                  </w:pPr>
                  <w:r>
                    <w:rPr>
                      <w:rFonts w:hint="eastAsia"/>
                      <w:color w:val="auto"/>
                      <w:szCs w:val="21"/>
                    </w:rPr>
                    <w:t>水帘机外排循环水</w:t>
                  </w:r>
                </w:p>
              </w:tc>
              <w:tc>
                <w:tcPr>
                  <w:tcW w:w="1334" w:type="pct"/>
                  <w:vAlign w:val="center"/>
                </w:tcPr>
                <w:p w14:paraId="13117D41">
                  <w:pPr>
                    <w:adjustRightInd w:val="0"/>
                    <w:jc w:val="center"/>
                    <w:rPr>
                      <w:color w:val="auto"/>
                      <w:szCs w:val="21"/>
                    </w:rPr>
                  </w:pPr>
                  <w:r>
                    <w:rPr>
                      <w:rFonts w:hint="eastAsia"/>
                      <w:color w:val="auto"/>
                      <w:szCs w:val="21"/>
                    </w:rPr>
                    <w:t xml:space="preserve">COD、SS </w:t>
                  </w:r>
                </w:p>
              </w:tc>
              <w:tc>
                <w:tcPr>
                  <w:tcW w:w="343" w:type="pct"/>
                  <w:vAlign w:val="center"/>
                </w:tcPr>
                <w:p w14:paraId="03DAFA95">
                  <w:pPr>
                    <w:adjustRightInd w:val="0"/>
                    <w:jc w:val="center"/>
                    <w:rPr>
                      <w:color w:val="auto"/>
                      <w:szCs w:val="21"/>
                    </w:rPr>
                  </w:pPr>
                  <w:r>
                    <w:rPr>
                      <w:rFonts w:hint="eastAsia"/>
                      <w:color w:val="auto"/>
                      <w:szCs w:val="21"/>
                    </w:rPr>
                    <w:t>间断排放</w:t>
                  </w:r>
                </w:p>
              </w:tc>
              <w:tc>
                <w:tcPr>
                  <w:tcW w:w="521" w:type="pct"/>
                  <w:vAlign w:val="center"/>
                </w:tcPr>
                <w:p w14:paraId="3587D054">
                  <w:pPr>
                    <w:adjustRightInd w:val="0"/>
                    <w:jc w:val="center"/>
                    <w:rPr>
                      <w:color w:val="auto"/>
                      <w:szCs w:val="21"/>
                    </w:rPr>
                  </w:pPr>
                  <w:r>
                    <w:rPr>
                      <w:rFonts w:hint="eastAsia"/>
                      <w:color w:val="auto"/>
                      <w:szCs w:val="21"/>
                    </w:rPr>
                    <w:t>600</w:t>
                  </w:r>
                </w:p>
              </w:tc>
              <w:tc>
                <w:tcPr>
                  <w:tcW w:w="741" w:type="pct"/>
                  <w:vAlign w:val="center"/>
                </w:tcPr>
                <w:p w14:paraId="3223B868">
                  <w:pPr>
                    <w:adjustRightInd w:val="0"/>
                    <w:jc w:val="center"/>
                    <w:rPr>
                      <w:color w:val="auto"/>
                      <w:szCs w:val="21"/>
                    </w:rPr>
                  </w:pPr>
                  <w:r>
                    <w:rPr>
                      <w:rFonts w:hint="eastAsia"/>
                      <w:color w:val="auto"/>
                      <w:szCs w:val="21"/>
                    </w:rPr>
                    <w:t>序批式絮凝沉淀</w:t>
                  </w:r>
                </w:p>
              </w:tc>
              <w:tc>
                <w:tcPr>
                  <w:tcW w:w="800" w:type="pct"/>
                  <w:vMerge w:val="continue"/>
                  <w:vAlign w:val="center"/>
                </w:tcPr>
                <w:p w14:paraId="15C6E737">
                  <w:pPr>
                    <w:ind w:firstLine="422"/>
                    <w:jc w:val="center"/>
                    <w:rPr>
                      <w:color w:val="auto"/>
                      <w:szCs w:val="21"/>
                    </w:rPr>
                  </w:pPr>
                </w:p>
              </w:tc>
            </w:tr>
            <w:tr w14:paraId="7AC88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3" w:type="pct"/>
                  <w:vAlign w:val="center"/>
                </w:tcPr>
                <w:p w14:paraId="19AC1254">
                  <w:pPr>
                    <w:adjustRightInd w:val="0"/>
                    <w:jc w:val="center"/>
                    <w:rPr>
                      <w:color w:val="auto"/>
                      <w:szCs w:val="21"/>
                    </w:rPr>
                  </w:pPr>
                  <w:r>
                    <w:rPr>
                      <w:rFonts w:hint="eastAsia"/>
                      <w:color w:val="auto"/>
                      <w:szCs w:val="21"/>
                    </w:rPr>
                    <w:t>生活污水</w:t>
                  </w:r>
                </w:p>
              </w:tc>
              <w:tc>
                <w:tcPr>
                  <w:tcW w:w="916" w:type="pct"/>
                  <w:tcMar>
                    <w:top w:w="0" w:type="dxa"/>
                    <w:left w:w="0" w:type="dxa"/>
                    <w:right w:w="0" w:type="dxa"/>
                  </w:tcMar>
                  <w:vAlign w:val="center"/>
                </w:tcPr>
                <w:p w14:paraId="36BC1A78">
                  <w:pPr>
                    <w:adjustRightInd w:val="0"/>
                    <w:jc w:val="center"/>
                    <w:rPr>
                      <w:color w:val="auto"/>
                      <w:szCs w:val="21"/>
                    </w:rPr>
                  </w:pPr>
                  <w:r>
                    <w:rPr>
                      <w:rFonts w:hint="eastAsia"/>
                      <w:color w:val="auto"/>
                      <w:szCs w:val="21"/>
                    </w:rPr>
                    <w:t>员工生活</w:t>
                  </w:r>
                </w:p>
              </w:tc>
              <w:tc>
                <w:tcPr>
                  <w:tcW w:w="1334" w:type="pct"/>
                  <w:vAlign w:val="center"/>
                </w:tcPr>
                <w:p w14:paraId="5E04B2A7">
                  <w:pPr>
                    <w:adjustRightInd w:val="0"/>
                    <w:jc w:val="center"/>
                    <w:rPr>
                      <w:color w:val="auto"/>
                      <w:szCs w:val="21"/>
                    </w:rPr>
                  </w:pPr>
                  <w:r>
                    <w:rPr>
                      <w:rFonts w:hint="eastAsia"/>
                      <w:color w:val="auto"/>
                      <w:szCs w:val="21"/>
                    </w:rPr>
                    <w:t>pH、COD、SS、氨氮、总磷</w:t>
                  </w:r>
                </w:p>
              </w:tc>
              <w:tc>
                <w:tcPr>
                  <w:tcW w:w="343" w:type="pct"/>
                  <w:vAlign w:val="center"/>
                </w:tcPr>
                <w:p w14:paraId="01948079">
                  <w:pPr>
                    <w:adjustRightInd w:val="0"/>
                    <w:jc w:val="center"/>
                    <w:rPr>
                      <w:color w:val="auto"/>
                      <w:szCs w:val="21"/>
                    </w:rPr>
                  </w:pPr>
                  <w:r>
                    <w:rPr>
                      <w:rFonts w:hint="eastAsia"/>
                      <w:color w:val="auto"/>
                      <w:szCs w:val="21"/>
                    </w:rPr>
                    <w:t>间断排放</w:t>
                  </w:r>
                </w:p>
              </w:tc>
              <w:tc>
                <w:tcPr>
                  <w:tcW w:w="521" w:type="pct"/>
                  <w:vAlign w:val="center"/>
                </w:tcPr>
                <w:p w14:paraId="3E29537A">
                  <w:pPr>
                    <w:adjustRightInd w:val="0"/>
                    <w:jc w:val="center"/>
                    <w:rPr>
                      <w:color w:val="auto"/>
                      <w:szCs w:val="21"/>
                    </w:rPr>
                  </w:pPr>
                  <w:r>
                    <w:rPr>
                      <w:rFonts w:hint="eastAsia"/>
                      <w:color w:val="auto"/>
                      <w:szCs w:val="21"/>
                    </w:rPr>
                    <w:t>1440</w:t>
                  </w:r>
                </w:p>
              </w:tc>
              <w:tc>
                <w:tcPr>
                  <w:tcW w:w="741" w:type="pct"/>
                  <w:vAlign w:val="center"/>
                </w:tcPr>
                <w:p w14:paraId="59410806">
                  <w:pPr>
                    <w:adjustRightInd w:val="0"/>
                    <w:jc w:val="center"/>
                    <w:rPr>
                      <w:color w:val="auto"/>
                      <w:szCs w:val="21"/>
                    </w:rPr>
                  </w:pPr>
                  <w:r>
                    <w:rPr>
                      <w:rFonts w:hint="eastAsia"/>
                      <w:color w:val="auto"/>
                      <w:szCs w:val="21"/>
                    </w:rPr>
                    <w:t>化粪池</w:t>
                  </w:r>
                </w:p>
              </w:tc>
              <w:tc>
                <w:tcPr>
                  <w:tcW w:w="800" w:type="pct"/>
                  <w:vMerge w:val="continue"/>
                  <w:vAlign w:val="center"/>
                </w:tcPr>
                <w:p w14:paraId="42D48D15">
                  <w:pPr>
                    <w:ind w:firstLine="422"/>
                    <w:jc w:val="center"/>
                    <w:rPr>
                      <w:bCs/>
                      <w:color w:val="auto"/>
                      <w:szCs w:val="18"/>
                    </w:rPr>
                  </w:pPr>
                </w:p>
              </w:tc>
            </w:tr>
          </w:tbl>
          <w:p w14:paraId="224EF56F">
            <w:pPr>
              <w:adjustRightInd w:val="0"/>
              <w:snapToGrid w:val="0"/>
              <w:spacing w:before="120" w:beforeLines="50" w:line="360" w:lineRule="auto"/>
              <w:ind w:firstLine="482" w:firstLineChars="200"/>
              <w:rPr>
                <w:rFonts w:cs="FangSong_GB2312-Identity-H"/>
                <w:b/>
                <w:color w:val="auto"/>
                <w:sz w:val="24"/>
                <w:szCs w:val="32"/>
              </w:rPr>
            </w:pPr>
            <w:r>
              <w:rPr>
                <w:rFonts w:hint="eastAsia" w:cs="FangSong_GB2312-Identity-H"/>
                <w:b/>
                <w:color w:val="auto"/>
                <w:sz w:val="24"/>
                <w:szCs w:val="32"/>
                <w:lang w:eastAsia="zh-CN"/>
              </w:rPr>
              <w:t>(2)</w:t>
            </w:r>
            <w:r>
              <w:rPr>
                <w:rFonts w:hint="eastAsia" w:cs="FangSong_GB2312-Identity-H"/>
                <w:b/>
                <w:color w:val="auto"/>
                <w:sz w:val="24"/>
                <w:szCs w:val="32"/>
              </w:rPr>
              <w:t>废气</w:t>
            </w:r>
          </w:p>
          <w:p w14:paraId="6271E3FF">
            <w:pPr>
              <w:adjustRightInd w:val="0"/>
              <w:snapToGrid w:val="0"/>
              <w:spacing w:line="360" w:lineRule="auto"/>
              <w:ind w:firstLine="480" w:firstLineChars="200"/>
              <w:jc w:val="left"/>
              <w:rPr>
                <w:color w:val="auto"/>
                <w:sz w:val="24"/>
              </w:rPr>
            </w:pPr>
            <w:r>
              <w:rPr>
                <w:rFonts w:hint="eastAsia" w:cs="FangSong_GB2312-Identity-H"/>
                <w:bCs/>
                <w:color w:val="auto"/>
                <w:sz w:val="24"/>
                <w:szCs w:val="32"/>
              </w:rPr>
              <w:t>现有厂区项目有组织废气实际排放、折算满负荷排放及达标情况统计表见表2</w:t>
            </w:r>
            <w:r>
              <w:rPr>
                <w:rFonts w:cs="FangSong_GB2312-Identity-H"/>
                <w:bCs/>
                <w:color w:val="auto"/>
                <w:sz w:val="24"/>
                <w:szCs w:val="32"/>
              </w:rPr>
              <w:t>-1</w:t>
            </w:r>
            <w:r>
              <w:rPr>
                <w:rFonts w:hint="eastAsia" w:cs="FangSong_GB2312-Identity-H"/>
                <w:bCs/>
                <w:color w:val="auto"/>
                <w:sz w:val="24"/>
                <w:szCs w:val="32"/>
              </w:rPr>
              <w:t>3。</w:t>
            </w:r>
          </w:p>
          <w:p w14:paraId="60F7A105">
            <w:pPr>
              <w:adjustRightInd w:val="0"/>
              <w:snapToGrid w:val="0"/>
              <w:spacing w:line="288" w:lineRule="auto"/>
              <w:ind w:firstLine="482" w:firstLineChars="200"/>
              <w:jc w:val="center"/>
              <w:rPr>
                <w:b/>
                <w:bCs/>
                <w:color w:val="auto"/>
                <w:sz w:val="24"/>
              </w:rPr>
            </w:pPr>
            <w:r>
              <w:rPr>
                <w:b/>
                <w:bCs/>
                <w:color w:val="auto"/>
                <w:sz w:val="24"/>
              </w:rPr>
              <w:t>表2-1</w:t>
            </w:r>
            <w:r>
              <w:rPr>
                <w:rFonts w:hint="eastAsia"/>
                <w:b/>
                <w:bCs/>
                <w:color w:val="auto"/>
                <w:sz w:val="24"/>
              </w:rPr>
              <w:t>3</w:t>
            </w:r>
            <w:r>
              <w:rPr>
                <w:b/>
                <w:bCs/>
                <w:color w:val="auto"/>
                <w:sz w:val="24"/>
              </w:rPr>
              <w:t xml:space="preserve">  </w:t>
            </w:r>
            <w:r>
              <w:rPr>
                <w:rFonts w:hint="eastAsia"/>
                <w:b/>
                <w:bCs/>
                <w:color w:val="auto"/>
                <w:sz w:val="24"/>
              </w:rPr>
              <w:t>现有项目有组织废气实际排放、折算满负荷排放及达标情况统计表</w:t>
            </w:r>
          </w:p>
          <w:tbl>
            <w:tblPr>
              <w:tblStyle w:val="9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594"/>
              <w:gridCol w:w="1574"/>
              <w:gridCol w:w="1727"/>
              <w:gridCol w:w="2079"/>
              <w:gridCol w:w="3878"/>
            </w:tblGrid>
            <w:tr w14:paraId="143D7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56" w:type="pct"/>
                  <w:tcBorders>
                    <w:tl2br w:val="nil"/>
                    <w:tr2bl w:val="nil"/>
                  </w:tcBorders>
                  <w:vAlign w:val="center"/>
                </w:tcPr>
                <w:p w14:paraId="1D75036B">
                  <w:pPr>
                    <w:adjustRightInd w:val="0"/>
                    <w:jc w:val="center"/>
                    <w:rPr>
                      <w:b/>
                      <w:bCs/>
                      <w:color w:val="auto"/>
                      <w:szCs w:val="21"/>
                    </w:rPr>
                  </w:pPr>
                  <w:r>
                    <w:rPr>
                      <w:rFonts w:hint="eastAsia"/>
                      <w:b/>
                      <w:bCs/>
                      <w:color w:val="auto"/>
                      <w:szCs w:val="21"/>
                    </w:rPr>
                    <w:t>排气筒</w:t>
                  </w:r>
                </w:p>
              </w:tc>
              <w:tc>
                <w:tcPr>
                  <w:tcW w:w="638" w:type="pct"/>
                  <w:tcBorders>
                    <w:tl2br w:val="nil"/>
                    <w:tr2bl w:val="nil"/>
                  </w:tcBorders>
                  <w:vAlign w:val="center"/>
                </w:tcPr>
                <w:p w14:paraId="668ED57D">
                  <w:pPr>
                    <w:adjustRightInd w:val="0"/>
                    <w:jc w:val="center"/>
                    <w:rPr>
                      <w:b/>
                      <w:bCs/>
                      <w:color w:val="auto"/>
                      <w:szCs w:val="21"/>
                    </w:rPr>
                  </w:pPr>
                  <w:r>
                    <w:rPr>
                      <w:rFonts w:hint="eastAsia"/>
                      <w:b/>
                      <w:bCs/>
                      <w:color w:val="auto"/>
                      <w:szCs w:val="21"/>
                    </w:rPr>
                    <w:t>污染物</w:t>
                  </w:r>
                </w:p>
              </w:tc>
              <w:tc>
                <w:tcPr>
                  <w:tcW w:w="630" w:type="pct"/>
                  <w:tcBorders>
                    <w:tl2br w:val="nil"/>
                    <w:tr2bl w:val="nil"/>
                  </w:tcBorders>
                  <w:vAlign w:val="center"/>
                </w:tcPr>
                <w:p w14:paraId="3DD34B61">
                  <w:pPr>
                    <w:adjustRightInd w:val="0"/>
                    <w:jc w:val="center"/>
                    <w:rPr>
                      <w:b/>
                      <w:bCs/>
                      <w:color w:val="auto"/>
                      <w:szCs w:val="21"/>
                    </w:rPr>
                  </w:pPr>
                  <w:r>
                    <w:rPr>
                      <w:rFonts w:hint="eastAsia"/>
                      <w:b/>
                      <w:bCs/>
                      <w:color w:val="auto"/>
                      <w:szCs w:val="21"/>
                    </w:rPr>
                    <w:t>速率（kg/h）</w:t>
                  </w:r>
                </w:p>
              </w:tc>
              <w:tc>
                <w:tcPr>
                  <w:tcW w:w="690" w:type="pct"/>
                  <w:tcBorders>
                    <w:tl2br w:val="nil"/>
                    <w:tr2bl w:val="nil"/>
                  </w:tcBorders>
                  <w:vAlign w:val="center"/>
                </w:tcPr>
                <w:p w14:paraId="3C20003D">
                  <w:pPr>
                    <w:adjustRightInd w:val="0"/>
                    <w:jc w:val="center"/>
                    <w:rPr>
                      <w:b/>
                      <w:bCs/>
                      <w:color w:val="auto"/>
                      <w:szCs w:val="21"/>
                    </w:rPr>
                  </w:pPr>
                  <w:r>
                    <w:rPr>
                      <w:rFonts w:hint="eastAsia"/>
                      <w:b/>
                      <w:bCs/>
                      <w:color w:val="auto"/>
                      <w:szCs w:val="21"/>
                    </w:rPr>
                    <w:t>工作时间（h）</w:t>
                  </w:r>
                </w:p>
              </w:tc>
              <w:tc>
                <w:tcPr>
                  <w:tcW w:w="832" w:type="pct"/>
                  <w:tcBorders>
                    <w:tl2br w:val="nil"/>
                    <w:tr2bl w:val="nil"/>
                  </w:tcBorders>
                  <w:vAlign w:val="center"/>
                </w:tcPr>
                <w:p w14:paraId="7F4D349A">
                  <w:pPr>
                    <w:adjustRightInd w:val="0"/>
                    <w:jc w:val="center"/>
                    <w:rPr>
                      <w:b/>
                      <w:bCs/>
                      <w:color w:val="auto"/>
                      <w:szCs w:val="21"/>
                    </w:rPr>
                  </w:pPr>
                  <w:r>
                    <w:rPr>
                      <w:rFonts w:hint="eastAsia"/>
                      <w:b/>
                      <w:bCs/>
                      <w:color w:val="auto"/>
                      <w:szCs w:val="21"/>
                    </w:rPr>
                    <w:t>实际排放量（t/a）</w:t>
                  </w:r>
                </w:p>
              </w:tc>
              <w:tc>
                <w:tcPr>
                  <w:tcW w:w="1552" w:type="pct"/>
                  <w:tcBorders>
                    <w:tl2br w:val="nil"/>
                    <w:tr2bl w:val="nil"/>
                  </w:tcBorders>
                  <w:vAlign w:val="center"/>
                </w:tcPr>
                <w:p w14:paraId="14486835">
                  <w:pPr>
                    <w:adjustRightInd w:val="0"/>
                    <w:jc w:val="center"/>
                    <w:rPr>
                      <w:b/>
                      <w:bCs/>
                      <w:color w:val="auto"/>
                      <w:szCs w:val="21"/>
                    </w:rPr>
                  </w:pPr>
                  <w:r>
                    <w:rPr>
                      <w:rFonts w:hint="eastAsia"/>
                      <w:b/>
                      <w:bCs/>
                      <w:color w:val="auto"/>
                      <w:szCs w:val="21"/>
                    </w:rPr>
                    <w:t>折算为满负荷状态下排放总量（吨）</w:t>
                  </w:r>
                </w:p>
              </w:tc>
            </w:tr>
            <w:tr w14:paraId="333EC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restart"/>
                  <w:tcBorders>
                    <w:tl2br w:val="nil"/>
                    <w:tr2bl w:val="nil"/>
                  </w:tcBorders>
                  <w:vAlign w:val="center"/>
                </w:tcPr>
                <w:p w14:paraId="5A261091">
                  <w:pPr>
                    <w:adjustRightInd w:val="0"/>
                    <w:jc w:val="center"/>
                    <w:rPr>
                      <w:color w:val="auto"/>
                      <w:szCs w:val="21"/>
                    </w:rPr>
                  </w:pPr>
                  <w:r>
                    <w:rPr>
                      <w:rFonts w:hint="eastAsia"/>
                      <w:color w:val="auto"/>
                      <w:szCs w:val="21"/>
                    </w:rPr>
                    <w:t>DA001排气筒</w:t>
                  </w:r>
                </w:p>
              </w:tc>
              <w:tc>
                <w:tcPr>
                  <w:tcW w:w="638" w:type="pct"/>
                  <w:tcBorders>
                    <w:tl2br w:val="nil"/>
                    <w:tr2bl w:val="nil"/>
                  </w:tcBorders>
                  <w:vAlign w:val="center"/>
                </w:tcPr>
                <w:p w14:paraId="3BACFDA6">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307E2571">
                  <w:pPr>
                    <w:widowControl/>
                    <w:jc w:val="center"/>
                    <w:textAlignment w:val="center"/>
                    <w:rPr>
                      <w:color w:val="auto"/>
                      <w:szCs w:val="21"/>
                    </w:rPr>
                  </w:pPr>
                  <w:r>
                    <w:rPr>
                      <w:color w:val="auto"/>
                      <w:kern w:val="0"/>
                      <w:szCs w:val="21"/>
                      <w:lang w:bidi="ar"/>
                    </w:rPr>
                    <w:t>0.0324</w:t>
                  </w:r>
                </w:p>
              </w:tc>
              <w:tc>
                <w:tcPr>
                  <w:tcW w:w="690" w:type="pct"/>
                  <w:vMerge w:val="restart"/>
                  <w:tcBorders>
                    <w:tl2br w:val="nil"/>
                    <w:tr2bl w:val="nil"/>
                  </w:tcBorders>
                  <w:vAlign w:val="center"/>
                </w:tcPr>
                <w:p w14:paraId="3F03259D">
                  <w:pPr>
                    <w:adjustRightInd w:val="0"/>
                    <w:jc w:val="center"/>
                    <w:rPr>
                      <w:color w:val="auto"/>
                      <w:szCs w:val="21"/>
                    </w:rPr>
                  </w:pPr>
                  <w:r>
                    <w:rPr>
                      <w:rFonts w:hint="eastAsia"/>
                      <w:color w:val="auto"/>
                      <w:szCs w:val="21"/>
                    </w:rPr>
                    <w:t>1200</w:t>
                  </w:r>
                </w:p>
              </w:tc>
              <w:tc>
                <w:tcPr>
                  <w:tcW w:w="832" w:type="pct"/>
                  <w:tcBorders>
                    <w:tl2br w:val="nil"/>
                    <w:tr2bl w:val="nil"/>
                  </w:tcBorders>
                  <w:vAlign w:val="center"/>
                </w:tcPr>
                <w:p w14:paraId="271E6F92">
                  <w:pPr>
                    <w:widowControl/>
                    <w:jc w:val="center"/>
                    <w:textAlignment w:val="center"/>
                    <w:rPr>
                      <w:color w:val="auto"/>
                      <w:szCs w:val="21"/>
                    </w:rPr>
                  </w:pPr>
                  <w:r>
                    <w:rPr>
                      <w:color w:val="auto"/>
                      <w:kern w:val="0"/>
                      <w:szCs w:val="21"/>
                      <w:lang w:bidi="ar"/>
                    </w:rPr>
                    <w:t xml:space="preserve">0.0389 </w:t>
                  </w:r>
                </w:p>
              </w:tc>
              <w:tc>
                <w:tcPr>
                  <w:tcW w:w="1552" w:type="pct"/>
                  <w:tcBorders>
                    <w:tl2br w:val="nil"/>
                    <w:tr2bl w:val="nil"/>
                  </w:tcBorders>
                  <w:vAlign w:val="center"/>
                </w:tcPr>
                <w:p w14:paraId="50E8F136">
                  <w:pPr>
                    <w:widowControl/>
                    <w:jc w:val="center"/>
                    <w:textAlignment w:val="center"/>
                    <w:rPr>
                      <w:color w:val="auto"/>
                      <w:kern w:val="0"/>
                      <w:szCs w:val="21"/>
                      <w:lang w:bidi="ar"/>
                    </w:rPr>
                  </w:pPr>
                  <w:r>
                    <w:rPr>
                      <w:rFonts w:hint="eastAsia"/>
                      <w:color w:val="auto"/>
                      <w:kern w:val="0"/>
                      <w:szCs w:val="21"/>
                      <w:lang w:bidi="ar"/>
                    </w:rPr>
                    <w:t>0.0864</w:t>
                  </w:r>
                </w:p>
              </w:tc>
            </w:tr>
            <w:tr w14:paraId="19BC2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continue"/>
                  <w:tcBorders>
                    <w:tl2br w:val="nil"/>
                    <w:tr2bl w:val="nil"/>
                  </w:tcBorders>
                  <w:vAlign w:val="center"/>
                </w:tcPr>
                <w:p w14:paraId="63A4437B">
                  <w:pPr>
                    <w:adjustRightInd w:val="0"/>
                    <w:jc w:val="center"/>
                    <w:rPr>
                      <w:color w:val="auto"/>
                      <w:szCs w:val="21"/>
                    </w:rPr>
                  </w:pPr>
                </w:p>
              </w:tc>
              <w:tc>
                <w:tcPr>
                  <w:tcW w:w="638" w:type="pct"/>
                  <w:tcBorders>
                    <w:tl2br w:val="nil"/>
                    <w:tr2bl w:val="nil"/>
                  </w:tcBorders>
                  <w:vAlign w:val="center"/>
                </w:tcPr>
                <w:p w14:paraId="5BC97E5C">
                  <w:pPr>
                    <w:adjustRightInd w:val="0"/>
                    <w:jc w:val="center"/>
                    <w:rPr>
                      <w:color w:val="auto"/>
                      <w:szCs w:val="21"/>
                    </w:rPr>
                  </w:pPr>
                  <w:r>
                    <w:rPr>
                      <w:rFonts w:hint="eastAsia"/>
                      <w:color w:val="auto"/>
                      <w:szCs w:val="21"/>
                    </w:rPr>
                    <w:t>挥发性有机物</w:t>
                  </w:r>
                </w:p>
              </w:tc>
              <w:tc>
                <w:tcPr>
                  <w:tcW w:w="630" w:type="pct"/>
                  <w:tcBorders>
                    <w:tl2br w:val="nil"/>
                    <w:tr2bl w:val="nil"/>
                  </w:tcBorders>
                  <w:vAlign w:val="center"/>
                </w:tcPr>
                <w:p w14:paraId="1AF71A15">
                  <w:pPr>
                    <w:widowControl/>
                    <w:jc w:val="center"/>
                    <w:textAlignment w:val="center"/>
                    <w:rPr>
                      <w:color w:val="auto"/>
                      <w:szCs w:val="21"/>
                    </w:rPr>
                  </w:pPr>
                  <w:r>
                    <w:rPr>
                      <w:color w:val="auto"/>
                      <w:kern w:val="0"/>
                      <w:szCs w:val="21"/>
                      <w:lang w:bidi="ar"/>
                    </w:rPr>
                    <w:t>0.0153</w:t>
                  </w:r>
                </w:p>
              </w:tc>
              <w:tc>
                <w:tcPr>
                  <w:tcW w:w="690" w:type="pct"/>
                  <w:vMerge w:val="continue"/>
                  <w:tcBorders>
                    <w:tl2br w:val="nil"/>
                    <w:tr2bl w:val="nil"/>
                  </w:tcBorders>
                  <w:vAlign w:val="center"/>
                </w:tcPr>
                <w:p w14:paraId="1C72F1F0">
                  <w:pPr>
                    <w:adjustRightInd w:val="0"/>
                    <w:jc w:val="center"/>
                    <w:rPr>
                      <w:color w:val="auto"/>
                      <w:szCs w:val="21"/>
                    </w:rPr>
                  </w:pPr>
                </w:p>
              </w:tc>
              <w:tc>
                <w:tcPr>
                  <w:tcW w:w="832" w:type="pct"/>
                  <w:tcBorders>
                    <w:tl2br w:val="nil"/>
                    <w:tr2bl w:val="nil"/>
                  </w:tcBorders>
                  <w:vAlign w:val="center"/>
                </w:tcPr>
                <w:p w14:paraId="12CAC2B9">
                  <w:pPr>
                    <w:widowControl/>
                    <w:jc w:val="center"/>
                    <w:textAlignment w:val="center"/>
                    <w:rPr>
                      <w:color w:val="auto"/>
                      <w:szCs w:val="21"/>
                    </w:rPr>
                  </w:pPr>
                  <w:r>
                    <w:rPr>
                      <w:color w:val="auto"/>
                      <w:kern w:val="0"/>
                      <w:szCs w:val="21"/>
                      <w:lang w:bidi="ar"/>
                    </w:rPr>
                    <w:t xml:space="preserve">0.0184 </w:t>
                  </w:r>
                </w:p>
              </w:tc>
              <w:tc>
                <w:tcPr>
                  <w:tcW w:w="1552" w:type="pct"/>
                  <w:tcBorders>
                    <w:tl2br w:val="nil"/>
                    <w:tr2bl w:val="nil"/>
                  </w:tcBorders>
                  <w:vAlign w:val="center"/>
                </w:tcPr>
                <w:p w14:paraId="37E39933">
                  <w:pPr>
                    <w:widowControl/>
                    <w:jc w:val="center"/>
                    <w:textAlignment w:val="center"/>
                    <w:rPr>
                      <w:color w:val="auto"/>
                      <w:kern w:val="0"/>
                      <w:szCs w:val="21"/>
                      <w:lang w:bidi="ar"/>
                    </w:rPr>
                  </w:pPr>
                  <w:r>
                    <w:rPr>
                      <w:rFonts w:hint="eastAsia"/>
                      <w:color w:val="auto"/>
                      <w:kern w:val="0"/>
                      <w:szCs w:val="21"/>
                      <w:lang w:bidi="ar"/>
                    </w:rPr>
                    <w:t>0.0409</w:t>
                  </w:r>
                </w:p>
              </w:tc>
            </w:tr>
            <w:tr w14:paraId="31C10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tcBorders>
                    <w:tl2br w:val="nil"/>
                    <w:tr2bl w:val="nil"/>
                  </w:tcBorders>
                  <w:vAlign w:val="center"/>
                </w:tcPr>
                <w:p w14:paraId="20373040">
                  <w:pPr>
                    <w:adjustRightInd w:val="0"/>
                    <w:jc w:val="center"/>
                    <w:rPr>
                      <w:color w:val="auto"/>
                      <w:szCs w:val="21"/>
                    </w:rPr>
                  </w:pPr>
                  <w:r>
                    <w:rPr>
                      <w:rFonts w:hint="eastAsia"/>
                      <w:color w:val="auto"/>
                      <w:szCs w:val="21"/>
                    </w:rPr>
                    <w:t>DA001排气筒</w:t>
                  </w:r>
                </w:p>
              </w:tc>
              <w:tc>
                <w:tcPr>
                  <w:tcW w:w="638" w:type="pct"/>
                  <w:tcBorders>
                    <w:tl2br w:val="nil"/>
                    <w:tr2bl w:val="nil"/>
                  </w:tcBorders>
                  <w:vAlign w:val="center"/>
                </w:tcPr>
                <w:p w14:paraId="41715D31">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1B54C15B">
                  <w:pPr>
                    <w:widowControl/>
                    <w:jc w:val="center"/>
                    <w:textAlignment w:val="center"/>
                    <w:rPr>
                      <w:color w:val="auto"/>
                      <w:szCs w:val="21"/>
                    </w:rPr>
                  </w:pPr>
                  <w:r>
                    <w:rPr>
                      <w:color w:val="auto"/>
                      <w:kern w:val="0"/>
                      <w:szCs w:val="21"/>
                      <w:lang w:bidi="ar"/>
                    </w:rPr>
                    <w:t>0.0179</w:t>
                  </w:r>
                </w:p>
              </w:tc>
              <w:tc>
                <w:tcPr>
                  <w:tcW w:w="690" w:type="pct"/>
                  <w:tcBorders>
                    <w:tl2br w:val="nil"/>
                    <w:tr2bl w:val="nil"/>
                  </w:tcBorders>
                  <w:vAlign w:val="center"/>
                </w:tcPr>
                <w:p w14:paraId="608E74B5">
                  <w:pPr>
                    <w:adjustRightInd w:val="0"/>
                    <w:jc w:val="center"/>
                    <w:rPr>
                      <w:color w:val="auto"/>
                      <w:szCs w:val="21"/>
                    </w:rPr>
                  </w:pPr>
                  <w:r>
                    <w:rPr>
                      <w:rFonts w:hint="eastAsia"/>
                      <w:color w:val="auto"/>
                      <w:szCs w:val="21"/>
                    </w:rPr>
                    <w:t>2400</w:t>
                  </w:r>
                </w:p>
              </w:tc>
              <w:tc>
                <w:tcPr>
                  <w:tcW w:w="832" w:type="pct"/>
                  <w:tcBorders>
                    <w:tl2br w:val="nil"/>
                    <w:tr2bl w:val="nil"/>
                  </w:tcBorders>
                  <w:vAlign w:val="center"/>
                </w:tcPr>
                <w:p w14:paraId="644A71DD">
                  <w:pPr>
                    <w:widowControl/>
                    <w:jc w:val="center"/>
                    <w:textAlignment w:val="center"/>
                    <w:rPr>
                      <w:color w:val="auto"/>
                      <w:szCs w:val="21"/>
                    </w:rPr>
                  </w:pPr>
                  <w:r>
                    <w:rPr>
                      <w:color w:val="auto"/>
                      <w:kern w:val="0"/>
                      <w:szCs w:val="21"/>
                      <w:lang w:bidi="ar"/>
                    </w:rPr>
                    <w:t xml:space="preserve">0.0430 </w:t>
                  </w:r>
                </w:p>
              </w:tc>
              <w:tc>
                <w:tcPr>
                  <w:tcW w:w="1552" w:type="pct"/>
                  <w:tcBorders>
                    <w:tl2br w:val="nil"/>
                    <w:tr2bl w:val="nil"/>
                  </w:tcBorders>
                  <w:vAlign w:val="center"/>
                </w:tcPr>
                <w:p w14:paraId="4C931D78">
                  <w:pPr>
                    <w:widowControl/>
                    <w:jc w:val="center"/>
                    <w:textAlignment w:val="center"/>
                    <w:rPr>
                      <w:color w:val="auto"/>
                      <w:kern w:val="0"/>
                      <w:szCs w:val="21"/>
                      <w:lang w:bidi="ar"/>
                    </w:rPr>
                  </w:pPr>
                  <w:r>
                    <w:rPr>
                      <w:rFonts w:hint="eastAsia"/>
                      <w:color w:val="auto"/>
                      <w:kern w:val="0"/>
                      <w:szCs w:val="21"/>
                      <w:lang w:bidi="ar"/>
                    </w:rPr>
                    <w:t>0.0956</w:t>
                  </w:r>
                </w:p>
              </w:tc>
            </w:tr>
            <w:tr w14:paraId="5E2CA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56" w:type="pct"/>
                  <w:vMerge w:val="restart"/>
                  <w:tcBorders>
                    <w:tl2br w:val="nil"/>
                    <w:tr2bl w:val="nil"/>
                  </w:tcBorders>
                  <w:vAlign w:val="center"/>
                </w:tcPr>
                <w:p w14:paraId="6A1C3626">
                  <w:pPr>
                    <w:adjustRightInd w:val="0"/>
                    <w:jc w:val="center"/>
                    <w:rPr>
                      <w:color w:val="auto"/>
                      <w:szCs w:val="21"/>
                    </w:rPr>
                  </w:pPr>
                  <w:r>
                    <w:rPr>
                      <w:rFonts w:hint="eastAsia"/>
                      <w:color w:val="auto"/>
                      <w:szCs w:val="21"/>
                    </w:rPr>
                    <w:t>DA002排气筒</w:t>
                  </w:r>
                </w:p>
              </w:tc>
              <w:tc>
                <w:tcPr>
                  <w:tcW w:w="638" w:type="pct"/>
                  <w:tcBorders>
                    <w:tl2br w:val="nil"/>
                    <w:tr2bl w:val="nil"/>
                  </w:tcBorders>
                  <w:vAlign w:val="center"/>
                </w:tcPr>
                <w:p w14:paraId="0CB04A64">
                  <w:pPr>
                    <w:adjustRightInd w:val="0"/>
                    <w:jc w:val="center"/>
                    <w:rPr>
                      <w:color w:val="auto"/>
                      <w:szCs w:val="21"/>
                    </w:rPr>
                  </w:pPr>
                  <w:r>
                    <w:rPr>
                      <w:rFonts w:hint="eastAsia"/>
                      <w:color w:val="auto"/>
                      <w:szCs w:val="21"/>
                    </w:rPr>
                    <w:t>挥发性有机物</w:t>
                  </w:r>
                </w:p>
              </w:tc>
              <w:tc>
                <w:tcPr>
                  <w:tcW w:w="630" w:type="pct"/>
                  <w:tcBorders>
                    <w:tl2br w:val="nil"/>
                    <w:tr2bl w:val="nil"/>
                  </w:tcBorders>
                  <w:vAlign w:val="center"/>
                </w:tcPr>
                <w:p w14:paraId="03C4FC2B">
                  <w:pPr>
                    <w:widowControl/>
                    <w:jc w:val="center"/>
                    <w:textAlignment w:val="center"/>
                    <w:rPr>
                      <w:color w:val="auto"/>
                      <w:szCs w:val="21"/>
                    </w:rPr>
                  </w:pPr>
                  <w:r>
                    <w:rPr>
                      <w:color w:val="auto"/>
                      <w:kern w:val="0"/>
                      <w:szCs w:val="21"/>
                      <w:lang w:bidi="ar"/>
                    </w:rPr>
                    <w:t>0.0028</w:t>
                  </w:r>
                </w:p>
              </w:tc>
              <w:tc>
                <w:tcPr>
                  <w:tcW w:w="690" w:type="pct"/>
                  <w:vMerge w:val="restart"/>
                  <w:tcBorders>
                    <w:tl2br w:val="nil"/>
                    <w:tr2bl w:val="nil"/>
                  </w:tcBorders>
                  <w:vAlign w:val="center"/>
                </w:tcPr>
                <w:p w14:paraId="72A3DC2D">
                  <w:pPr>
                    <w:adjustRightInd w:val="0"/>
                    <w:jc w:val="center"/>
                    <w:rPr>
                      <w:color w:val="auto"/>
                      <w:szCs w:val="21"/>
                    </w:rPr>
                  </w:pPr>
                  <w:r>
                    <w:rPr>
                      <w:rFonts w:hint="eastAsia"/>
                      <w:color w:val="auto"/>
                      <w:szCs w:val="21"/>
                    </w:rPr>
                    <w:t>3600</w:t>
                  </w:r>
                </w:p>
              </w:tc>
              <w:tc>
                <w:tcPr>
                  <w:tcW w:w="832" w:type="pct"/>
                  <w:tcBorders>
                    <w:tl2br w:val="nil"/>
                    <w:tr2bl w:val="nil"/>
                  </w:tcBorders>
                  <w:vAlign w:val="center"/>
                </w:tcPr>
                <w:p w14:paraId="31D7C5A2">
                  <w:pPr>
                    <w:widowControl/>
                    <w:jc w:val="center"/>
                    <w:textAlignment w:val="center"/>
                    <w:rPr>
                      <w:color w:val="auto"/>
                      <w:szCs w:val="21"/>
                    </w:rPr>
                  </w:pPr>
                  <w:r>
                    <w:rPr>
                      <w:color w:val="auto"/>
                      <w:kern w:val="0"/>
                      <w:szCs w:val="21"/>
                      <w:lang w:bidi="ar"/>
                    </w:rPr>
                    <w:t xml:space="preserve">0.0101 </w:t>
                  </w:r>
                </w:p>
              </w:tc>
              <w:tc>
                <w:tcPr>
                  <w:tcW w:w="1552" w:type="pct"/>
                  <w:tcBorders>
                    <w:tl2br w:val="nil"/>
                    <w:tr2bl w:val="nil"/>
                  </w:tcBorders>
                  <w:vAlign w:val="center"/>
                </w:tcPr>
                <w:p w14:paraId="6BB0C249">
                  <w:pPr>
                    <w:widowControl/>
                    <w:jc w:val="center"/>
                    <w:textAlignment w:val="center"/>
                    <w:rPr>
                      <w:color w:val="auto"/>
                      <w:kern w:val="0"/>
                      <w:szCs w:val="21"/>
                      <w:lang w:bidi="ar"/>
                    </w:rPr>
                  </w:pPr>
                  <w:r>
                    <w:rPr>
                      <w:rFonts w:hint="eastAsia"/>
                      <w:color w:val="auto"/>
                      <w:kern w:val="0"/>
                      <w:szCs w:val="21"/>
                      <w:lang w:bidi="ar"/>
                    </w:rPr>
                    <w:t>0.0224</w:t>
                  </w:r>
                </w:p>
              </w:tc>
            </w:tr>
            <w:tr w14:paraId="0758C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56" w:type="pct"/>
                  <w:vMerge w:val="continue"/>
                  <w:tcBorders>
                    <w:tl2br w:val="nil"/>
                    <w:tr2bl w:val="nil"/>
                  </w:tcBorders>
                  <w:vAlign w:val="center"/>
                </w:tcPr>
                <w:p w14:paraId="3891B685">
                  <w:pPr>
                    <w:adjustRightInd w:val="0"/>
                    <w:jc w:val="center"/>
                    <w:rPr>
                      <w:color w:val="auto"/>
                      <w:szCs w:val="21"/>
                    </w:rPr>
                  </w:pPr>
                </w:p>
              </w:tc>
              <w:tc>
                <w:tcPr>
                  <w:tcW w:w="638" w:type="pct"/>
                  <w:tcBorders>
                    <w:tl2br w:val="nil"/>
                    <w:tr2bl w:val="nil"/>
                  </w:tcBorders>
                  <w:vAlign w:val="center"/>
                </w:tcPr>
                <w:p w14:paraId="3283E435">
                  <w:pPr>
                    <w:adjustRightInd w:val="0"/>
                    <w:jc w:val="center"/>
                    <w:rPr>
                      <w:color w:val="auto"/>
                      <w:szCs w:val="21"/>
                    </w:rPr>
                  </w:pPr>
                  <w:r>
                    <w:rPr>
                      <w:rFonts w:hint="eastAsia"/>
                      <w:color w:val="auto"/>
                      <w:szCs w:val="21"/>
                    </w:rPr>
                    <w:t>SO</w:t>
                  </w:r>
                  <w:r>
                    <w:rPr>
                      <w:rFonts w:hint="eastAsia"/>
                      <w:color w:val="auto"/>
                      <w:szCs w:val="21"/>
                      <w:vertAlign w:val="subscript"/>
                    </w:rPr>
                    <w:t>2</w:t>
                  </w:r>
                </w:p>
              </w:tc>
              <w:tc>
                <w:tcPr>
                  <w:tcW w:w="630" w:type="pct"/>
                  <w:tcBorders>
                    <w:tl2br w:val="nil"/>
                    <w:tr2bl w:val="nil"/>
                  </w:tcBorders>
                  <w:vAlign w:val="center"/>
                </w:tcPr>
                <w:p w14:paraId="351498FC">
                  <w:pPr>
                    <w:widowControl/>
                    <w:jc w:val="center"/>
                    <w:textAlignment w:val="center"/>
                    <w:rPr>
                      <w:color w:val="auto"/>
                      <w:szCs w:val="21"/>
                    </w:rPr>
                  </w:pPr>
                  <w:r>
                    <w:rPr>
                      <w:rFonts w:hint="eastAsia"/>
                      <w:color w:val="auto"/>
                      <w:kern w:val="0"/>
                      <w:szCs w:val="21"/>
                      <w:lang w:bidi="ar"/>
                    </w:rPr>
                    <w:t>/</w:t>
                  </w:r>
                </w:p>
              </w:tc>
              <w:tc>
                <w:tcPr>
                  <w:tcW w:w="690" w:type="pct"/>
                  <w:vMerge w:val="continue"/>
                  <w:tcBorders>
                    <w:tl2br w:val="nil"/>
                    <w:tr2bl w:val="nil"/>
                  </w:tcBorders>
                  <w:vAlign w:val="center"/>
                </w:tcPr>
                <w:p w14:paraId="750A85DE">
                  <w:pPr>
                    <w:adjustRightInd w:val="0"/>
                    <w:jc w:val="center"/>
                    <w:rPr>
                      <w:color w:val="auto"/>
                      <w:szCs w:val="21"/>
                    </w:rPr>
                  </w:pPr>
                </w:p>
              </w:tc>
              <w:tc>
                <w:tcPr>
                  <w:tcW w:w="832" w:type="pct"/>
                  <w:tcBorders>
                    <w:tl2br w:val="nil"/>
                    <w:tr2bl w:val="nil"/>
                  </w:tcBorders>
                  <w:vAlign w:val="center"/>
                </w:tcPr>
                <w:p w14:paraId="29FE6052">
                  <w:pPr>
                    <w:widowControl/>
                    <w:jc w:val="center"/>
                    <w:textAlignment w:val="center"/>
                    <w:rPr>
                      <w:color w:val="auto"/>
                      <w:szCs w:val="21"/>
                    </w:rPr>
                  </w:pPr>
                  <w:r>
                    <w:rPr>
                      <w:rFonts w:hint="eastAsia"/>
                      <w:color w:val="auto"/>
                      <w:kern w:val="0"/>
                      <w:szCs w:val="21"/>
                      <w:lang w:bidi="ar"/>
                    </w:rPr>
                    <w:t>/</w:t>
                  </w:r>
                </w:p>
              </w:tc>
              <w:tc>
                <w:tcPr>
                  <w:tcW w:w="1552" w:type="pct"/>
                  <w:tcBorders>
                    <w:tl2br w:val="nil"/>
                    <w:tr2bl w:val="nil"/>
                  </w:tcBorders>
                  <w:vAlign w:val="center"/>
                </w:tcPr>
                <w:p w14:paraId="74DC6BB0">
                  <w:pPr>
                    <w:widowControl/>
                    <w:jc w:val="center"/>
                    <w:textAlignment w:val="center"/>
                    <w:rPr>
                      <w:color w:val="auto"/>
                      <w:kern w:val="0"/>
                      <w:szCs w:val="21"/>
                      <w:lang w:bidi="ar"/>
                    </w:rPr>
                  </w:pPr>
                  <w:r>
                    <w:rPr>
                      <w:rFonts w:hint="eastAsia"/>
                      <w:color w:val="auto"/>
                      <w:kern w:val="0"/>
                      <w:szCs w:val="21"/>
                      <w:lang w:bidi="ar"/>
                    </w:rPr>
                    <w:t>/</w:t>
                  </w:r>
                </w:p>
              </w:tc>
            </w:tr>
            <w:tr w14:paraId="61E21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56" w:type="pct"/>
                  <w:vMerge w:val="continue"/>
                  <w:tcBorders>
                    <w:tl2br w:val="nil"/>
                    <w:tr2bl w:val="nil"/>
                  </w:tcBorders>
                  <w:vAlign w:val="center"/>
                </w:tcPr>
                <w:p w14:paraId="59D04BA5">
                  <w:pPr>
                    <w:adjustRightInd w:val="0"/>
                    <w:jc w:val="center"/>
                    <w:rPr>
                      <w:color w:val="auto"/>
                      <w:szCs w:val="21"/>
                    </w:rPr>
                  </w:pPr>
                </w:p>
              </w:tc>
              <w:tc>
                <w:tcPr>
                  <w:tcW w:w="638" w:type="pct"/>
                  <w:tcBorders>
                    <w:tl2br w:val="nil"/>
                    <w:tr2bl w:val="nil"/>
                  </w:tcBorders>
                  <w:vAlign w:val="center"/>
                </w:tcPr>
                <w:p w14:paraId="18FAEDFD">
                  <w:pPr>
                    <w:adjustRightInd w:val="0"/>
                    <w:jc w:val="center"/>
                    <w:rPr>
                      <w:color w:val="auto"/>
                      <w:szCs w:val="21"/>
                    </w:rPr>
                  </w:pPr>
                  <w:r>
                    <w:rPr>
                      <w:rFonts w:hint="eastAsia"/>
                      <w:color w:val="auto"/>
                      <w:szCs w:val="21"/>
                    </w:rPr>
                    <w:t>NO</w:t>
                  </w:r>
                  <w:r>
                    <w:rPr>
                      <w:rFonts w:hint="eastAsia"/>
                      <w:color w:val="auto"/>
                      <w:szCs w:val="21"/>
                      <w:vertAlign w:val="subscript"/>
                    </w:rPr>
                    <w:t>X</w:t>
                  </w:r>
                </w:p>
              </w:tc>
              <w:tc>
                <w:tcPr>
                  <w:tcW w:w="630" w:type="pct"/>
                  <w:tcBorders>
                    <w:tl2br w:val="nil"/>
                    <w:tr2bl w:val="nil"/>
                  </w:tcBorders>
                  <w:vAlign w:val="center"/>
                </w:tcPr>
                <w:p w14:paraId="29602C70">
                  <w:pPr>
                    <w:widowControl/>
                    <w:jc w:val="center"/>
                    <w:textAlignment w:val="center"/>
                    <w:rPr>
                      <w:color w:val="auto"/>
                      <w:szCs w:val="21"/>
                    </w:rPr>
                  </w:pPr>
                  <w:r>
                    <w:rPr>
                      <w:rFonts w:hint="eastAsia"/>
                      <w:color w:val="auto"/>
                      <w:kern w:val="0"/>
                      <w:szCs w:val="21"/>
                      <w:lang w:bidi="ar"/>
                    </w:rPr>
                    <w:t>/</w:t>
                  </w:r>
                </w:p>
              </w:tc>
              <w:tc>
                <w:tcPr>
                  <w:tcW w:w="690" w:type="pct"/>
                  <w:vMerge w:val="continue"/>
                  <w:tcBorders>
                    <w:tl2br w:val="nil"/>
                    <w:tr2bl w:val="nil"/>
                  </w:tcBorders>
                  <w:vAlign w:val="center"/>
                </w:tcPr>
                <w:p w14:paraId="1F846AC8">
                  <w:pPr>
                    <w:adjustRightInd w:val="0"/>
                    <w:jc w:val="center"/>
                    <w:rPr>
                      <w:color w:val="auto"/>
                      <w:szCs w:val="21"/>
                    </w:rPr>
                  </w:pPr>
                </w:p>
              </w:tc>
              <w:tc>
                <w:tcPr>
                  <w:tcW w:w="832" w:type="pct"/>
                  <w:tcBorders>
                    <w:tl2br w:val="nil"/>
                    <w:tr2bl w:val="nil"/>
                  </w:tcBorders>
                  <w:vAlign w:val="center"/>
                </w:tcPr>
                <w:p w14:paraId="7F5A7EF7">
                  <w:pPr>
                    <w:widowControl/>
                    <w:jc w:val="center"/>
                    <w:textAlignment w:val="center"/>
                    <w:rPr>
                      <w:color w:val="auto"/>
                      <w:szCs w:val="21"/>
                    </w:rPr>
                  </w:pPr>
                  <w:r>
                    <w:rPr>
                      <w:rFonts w:hint="eastAsia"/>
                      <w:color w:val="auto"/>
                      <w:kern w:val="0"/>
                      <w:szCs w:val="21"/>
                      <w:lang w:bidi="ar"/>
                    </w:rPr>
                    <w:t>/</w:t>
                  </w:r>
                </w:p>
              </w:tc>
              <w:tc>
                <w:tcPr>
                  <w:tcW w:w="1552" w:type="pct"/>
                  <w:tcBorders>
                    <w:tl2br w:val="nil"/>
                    <w:tr2bl w:val="nil"/>
                  </w:tcBorders>
                  <w:vAlign w:val="center"/>
                </w:tcPr>
                <w:p w14:paraId="6CA267C5">
                  <w:pPr>
                    <w:widowControl/>
                    <w:jc w:val="center"/>
                    <w:textAlignment w:val="center"/>
                    <w:rPr>
                      <w:color w:val="auto"/>
                      <w:kern w:val="0"/>
                      <w:szCs w:val="21"/>
                      <w:lang w:bidi="ar"/>
                    </w:rPr>
                  </w:pPr>
                  <w:r>
                    <w:rPr>
                      <w:rFonts w:hint="eastAsia"/>
                      <w:color w:val="auto"/>
                      <w:kern w:val="0"/>
                      <w:szCs w:val="21"/>
                      <w:lang w:bidi="ar"/>
                    </w:rPr>
                    <w:t>/</w:t>
                  </w:r>
                </w:p>
              </w:tc>
            </w:tr>
            <w:tr w14:paraId="74454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pct"/>
                  <w:vMerge w:val="continue"/>
                  <w:tcBorders>
                    <w:tl2br w:val="nil"/>
                    <w:tr2bl w:val="nil"/>
                  </w:tcBorders>
                  <w:vAlign w:val="center"/>
                </w:tcPr>
                <w:p w14:paraId="5600F14E">
                  <w:pPr>
                    <w:adjustRightInd w:val="0"/>
                    <w:jc w:val="center"/>
                    <w:rPr>
                      <w:color w:val="auto"/>
                      <w:szCs w:val="21"/>
                    </w:rPr>
                  </w:pPr>
                </w:p>
              </w:tc>
              <w:tc>
                <w:tcPr>
                  <w:tcW w:w="638" w:type="pct"/>
                  <w:tcBorders>
                    <w:tl2br w:val="nil"/>
                    <w:tr2bl w:val="nil"/>
                  </w:tcBorders>
                  <w:vAlign w:val="center"/>
                </w:tcPr>
                <w:p w14:paraId="481C851A">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11EFC204">
                  <w:pPr>
                    <w:widowControl/>
                    <w:jc w:val="center"/>
                    <w:textAlignment w:val="center"/>
                    <w:rPr>
                      <w:color w:val="auto"/>
                      <w:szCs w:val="21"/>
                    </w:rPr>
                  </w:pPr>
                  <w:r>
                    <w:rPr>
                      <w:color w:val="auto"/>
                      <w:kern w:val="0"/>
                      <w:szCs w:val="21"/>
                      <w:lang w:bidi="ar"/>
                    </w:rPr>
                    <w:t>0.0061</w:t>
                  </w:r>
                </w:p>
              </w:tc>
              <w:tc>
                <w:tcPr>
                  <w:tcW w:w="690" w:type="pct"/>
                  <w:vMerge w:val="continue"/>
                  <w:tcBorders>
                    <w:tl2br w:val="nil"/>
                    <w:tr2bl w:val="nil"/>
                  </w:tcBorders>
                  <w:vAlign w:val="center"/>
                </w:tcPr>
                <w:p w14:paraId="2C95E90F">
                  <w:pPr>
                    <w:adjustRightInd w:val="0"/>
                    <w:jc w:val="center"/>
                    <w:rPr>
                      <w:color w:val="auto"/>
                      <w:szCs w:val="21"/>
                    </w:rPr>
                  </w:pPr>
                </w:p>
              </w:tc>
              <w:tc>
                <w:tcPr>
                  <w:tcW w:w="832" w:type="pct"/>
                  <w:tcBorders>
                    <w:tl2br w:val="nil"/>
                    <w:tr2bl w:val="nil"/>
                  </w:tcBorders>
                  <w:vAlign w:val="center"/>
                </w:tcPr>
                <w:p w14:paraId="1889850B">
                  <w:pPr>
                    <w:widowControl/>
                    <w:jc w:val="center"/>
                    <w:textAlignment w:val="center"/>
                    <w:rPr>
                      <w:color w:val="auto"/>
                      <w:szCs w:val="21"/>
                    </w:rPr>
                  </w:pPr>
                  <w:r>
                    <w:rPr>
                      <w:color w:val="auto"/>
                      <w:kern w:val="0"/>
                      <w:szCs w:val="21"/>
                      <w:lang w:bidi="ar"/>
                    </w:rPr>
                    <w:t xml:space="preserve">0.0220 </w:t>
                  </w:r>
                </w:p>
              </w:tc>
              <w:tc>
                <w:tcPr>
                  <w:tcW w:w="1552" w:type="pct"/>
                  <w:tcBorders>
                    <w:tl2br w:val="nil"/>
                    <w:tr2bl w:val="nil"/>
                  </w:tcBorders>
                  <w:vAlign w:val="center"/>
                </w:tcPr>
                <w:p w14:paraId="02F1D098">
                  <w:pPr>
                    <w:widowControl/>
                    <w:jc w:val="center"/>
                    <w:textAlignment w:val="center"/>
                    <w:rPr>
                      <w:color w:val="auto"/>
                      <w:kern w:val="0"/>
                      <w:szCs w:val="21"/>
                      <w:lang w:bidi="ar"/>
                    </w:rPr>
                  </w:pPr>
                  <w:r>
                    <w:rPr>
                      <w:rFonts w:hint="eastAsia"/>
                      <w:color w:val="auto"/>
                      <w:kern w:val="0"/>
                      <w:szCs w:val="21"/>
                      <w:lang w:bidi="ar"/>
                    </w:rPr>
                    <w:t>0.0489</w:t>
                  </w:r>
                </w:p>
              </w:tc>
            </w:tr>
            <w:tr w14:paraId="1DD1C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tcBorders>
                    <w:tl2br w:val="nil"/>
                    <w:tr2bl w:val="nil"/>
                  </w:tcBorders>
                  <w:vAlign w:val="center"/>
                </w:tcPr>
                <w:p w14:paraId="10524A70">
                  <w:pPr>
                    <w:adjustRightInd w:val="0"/>
                    <w:jc w:val="center"/>
                    <w:rPr>
                      <w:color w:val="auto"/>
                      <w:szCs w:val="21"/>
                    </w:rPr>
                  </w:pPr>
                  <w:r>
                    <w:rPr>
                      <w:rFonts w:hint="eastAsia"/>
                      <w:color w:val="auto"/>
                      <w:szCs w:val="21"/>
                    </w:rPr>
                    <w:t>DA003排气筒</w:t>
                  </w:r>
                </w:p>
              </w:tc>
              <w:tc>
                <w:tcPr>
                  <w:tcW w:w="638" w:type="pct"/>
                  <w:tcBorders>
                    <w:tl2br w:val="nil"/>
                    <w:tr2bl w:val="nil"/>
                  </w:tcBorders>
                  <w:vAlign w:val="center"/>
                </w:tcPr>
                <w:p w14:paraId="4B90F9EF">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14F36E89">
                  <w:pPr>
                    <w:widowControl/>
                    <w:jc w:val="center"/>
                    <w:textAlignment w:val="center"/>
                    <w:rPr>
                      <w:color w:val="auto"/>
                      <w:szCs w:val="21"/>
                    </w:rPr>
                  </w:pPr>
                  <w:r>
                    <w:rPr>
                      <w:color w:val="auto"/>
                      <w:kern w:val="0"/>
                      <w:szCs w:val="21"/>
                      <w:lang w:bidi="ar"/>
                    </w:rPr>
                    <w:t>0.0256</w:t>
                  </w:r>
                </w:p>
              </w:tc>
              <w:tc>
                <w:tcPr>
                  <w:tcW w:w="690" w:type="pct"/>
                  <w:tcBorders>
                    <w:tl2br w:val="nil"/>
                    <w:tr2bl w:val="nil"/>
                  </w:tcBorders>
                  <w:vAlign w:val="center"/>
                </w:tcPr>
                <w:p w14:paraId="6F63BD5E">
                  <w:pPr>
                    <w:adjustRightInd w:val="0"/>
                    <w:jc w:val="center"/>
                    <w:rPr>
                      <w:color w:val="auto"/>
                      <w:szCs w:val="21"/>
                    </w:rPr>
                  </w:pPr>
                  <w:r>
                    <w:rPr>
                      <w:rFonts w:hint="eastAsia"/>
                      <w:color w:val="auto"/>
                      <w:szCs w:val="21"/>
                    </w:rPr>
                    <w:t>4800</w:t>
                  </w:r>
                </w:p>
              </w:tc>
              <w:tc>
                <w:tcPr>
                  <w:tcW w:w="832" w:type="pct"/>
                  <w:tcBorders>
                    <w:tl2br w:val="nil"/>
                    <w:tr2bl w:val="nil"/>
                  </w:tcBorders>
                  <w:vAlign w:val="center"/>
                </w:tcPr>
                <w:p w14:paraId="4A760630">
                  <w:pPr>
                    <w:widowControl/>
                    <w:jc w:val="center"/>
                    <w:textAlignment w:val="center"/>
                    <w:rPr>
                      <w:color w:val="auto"/>
                      <w:szCs w:val="21"/>
                    </w:rPr>
                  </w:pPr>
                  <w:r>
                    <w:rPr>
                      <w:color w:val="auto"/>
                      <w:kern w:val="0"/>
                      <w:szCs w:val="21"/>
                      <w:lang w:bidi="ar"/>
                    </w:rPr>
                    <w:t xml:space="preserve">0.1229 </w:t>
                  </w:r>
                </w:p>
              </w:tc>
              <w:tc>
                <w:tcPr>
                  <w:tcW w:w="1552" w:type="pct"/>
                  <w:tcBorders>
                    <w:tl2br w:val="nil"/>
                    <w:tr2bl w:val="nil"/>
                  </w:tcBorders>
                  <w:vAlign w:val="center"/>
                </w:tcPr>
                <w:p w14:paraId="629AE80F">
                  <w:pPr>
                    <w:widowControl/>
                    <w:jc w:val="center"/>
                    <w:textAlignment w:val="center"/>
                    <w:rPr>
                      <w:color w:val="auto"/>
                      <w:kern w:val="0"/>
                      <w:szCs w:val="21"/>
                      <w:lang w:bidi="ar"/>
                    </w:rPr>
                  </w:pPr>
                  <w:r>
                    <w:rPr>
                      <w:rFonts w:hint="eastAsia"/>
                      <w:color w:val="auto"/>
                      <w:kern w:val="0"/>
                      <w:szCs w:val="21"/>
                      <w:lang w:bidi="ar"/>
                    </w:rPr>
                    <w:t>0.2731</w:t>
                  </w:r>
                </w:p>
              </w:tc>
            </w:tr>
            <w:tr w14:paraId="06588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tcBorders>
                    <w:tl2br w:val="nil"/>
                    <w:tr2bl w:val="nil"/>
                  </w:tcBorders>
                  <w:vAlign w:val="center"/>
                </w:tcPr>
                <w:p w14:paraId="51381670">
                  <w:pPr>
                    <w:adjustRightInd w:val="0"/>
                    <w:jc w:val="center"/>
                    <w:rPr>
                      <w:color w:val="auto"/>
                      <w:szCs w:val="21"/>
                    </w:rPr>
                  </w:pPr>
                  <w:r>
                    <w:rPr>
                      <w:rFonts w:hint="eastAsia"/>
                      <w:color w:val="auto"/>
                      <w:szCs w:val="21"/>
                    </w:rPr>
                    <w:t>DA004排气筒</w:t>
                  </w:r>
                </w:p>
              </w:tc>
              <w:tc>
                <w:tcPr>
                  <w:tcW w:w="638" w:type="pct"/>
                  <w:tcBorders>
                    <w:tl2br w:val="nil"/>
                    <w:tr2bl w:val="nil"/>
                  </w:tcBorders>
                  <w:vAlign w:val="center"/>
                </w:tcPr>
                <w:p w14:paraId="25BAF963">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10E42D09">
                  <w:pPr>
                    <w:widowControl/>
                    <w:jc w:val="center"/>
                    <w:textAlignment w:val="center"/>
                    <w:rPr>
                      <w:color w:val="auto"/>
                      <w:szCs w:val="21"/>
                    </w:rPr>
                  </w:pPr>
                  <w:r>
                    <w:rPr>
                      <w:color w:val="auto"/>
                      <w:kern w:val="0"/>
                      <w:szCs w:val="21"/>
                      <w:lang w:bidi="ar"/>
                    </w:rPr>
                    <w:t>0.1097</w:t>
                  </w:r>
                </w:p>
              </w:tc>
              <w:tc>
                <w:tcPr>
                  <w:tcW w:w="690" w:type="pct"/>
                  <w:tcBorders>
                    <w:tl2br w:val="nil"/>
                    <w:tr2bl w:val="nil"/>
                  </w:tcBorders>
                  <w:vAlign w:val="center"/>
                </w:tcPr>
                <w:p w14:paraId="1ED5B9D2">
                  <w:pPr>
                    <w:adjustRightInd w:val="0"/>
                    <w:jc w:val="center"/>
                    <w:rPr>
                      <w:color w:val="auto"/>
                      <w:szCs w:val="21"/>
                    </w:rPr>
                  </w:pPr>
                  <w:r>
                    <w:rPr>
                      <w:rFonts w:hint="eastAsia"/>
                      <w:color w:val="auto"/>
                      <w:szCs w:val="21"/>
                    </w:rPr>
                    <w:t>600</w:t>
                  </w:r>
                </w:p>
              </w:tc>
              <w:tc>
                <w:tcPr>
                  <w:tcW w:w="832" w:type="pct"/>
                  <w:tcBorders>
                    <w:tl2br w:val="nil"/>
                    <w:tr2bl w:val="nil"/>
                  </w:tcBorders>
                  <w:vAlign w:val="center"/>
                </w:tcPr>
                <w:p w14:paraId="176715A1">
                  <w:pPr>
                    <w:widowControl/>
                    <w:jc w:val="center"/>
                    <w:textAlignment w:val="center"/>
                    <w:rPr>
                      <w:color w:val="auto"/>
                      <w:szCs w:val="21"/>
                    </w:rPr>
                  </w:pPr>
                  <w:r>
                    <w:rPr>
                      <w:color w:val="auto"/>
                      <w:kern w:val="0"/>
                      <w:szCs w:val="21"/>
                      <w:lang w:bidi="ar"/>
                    </w:rPr>
                    <w:t xml:space="preserve">0.0658 </w:t>
                  </w:r>
                </w:p>
              </w:tc>
              <w:tc>
                <w:tcPr>
                  <w:tcW w:w="1552" w:type="pct"/>
                  <w:tcBorders>
                    <w:tl2br w:val="nil"/>
                    <w:tr2bl w:val="nil"/>
                  </w:tcBorders>
                  <w:vAlign w:val="center"/>
                </w:tcPr>
                <w:p w14:paraId="54A70C9D">
                  <w:pPr>
                    <w:widowControl/>
                    <w:jc w:val="center"/>
                    <w:textAlignment w:val="center"/>
                    <w:rPr>
                      <w:color w:val="auto"/>
                      <w:kern w:val="0"/>
                      <w:szCs w:val="21"/>
                      <w:lang w:bidi="ar"/>
                    </w:rPr>
                  </w:pPr>
                  <w:r>
                    <w:rPr>
                      <w:rFonts w:hint="eastAsia"/>
                      <w:color w:val="auto"/>
                      <w:kern w:val="0"/>
                      <w:szCs w:val="21"/>
                      <w:lang w:bidi="ar"/>
                    </w:rPr>
                    <w:t>0.1462</w:t>
                  </w:r>
                </w:p>
              </w:tc>
            </w:tr>
            <w:tr w14:paraId="5F0E7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restart"/>
                  <w:tcBorders>
                    <w:tl2br w:val="nil"/>
                    <w:tr2bl w:val="nil"/>
                  </w:tcBorders>
                  <w:vAlign w:val="center"/>
                </w:tcPr>
                <w:p w14:paraId="59E7DF01">
                  <w:pPr>
                    <w:adjustRightInd w:val="0"/>
                    <w:jc w:val="center"/>
                    <w:rPr>
                      <w:color w:val="auto"/>
                      <w:szCs w:val="21"/>
                    </w:rPr>
                  </w:pPr>
                  <w:r>
                    <w:rPr>
                      <w:rFonts w:hint="eastAsia"/>
                      <w:color w:val="auto"/>
                      <w:szCs w:val="21"/>
                    </w:rPr>
                    <w:t>DA005排气筒</w:t>
                  </w:r>
                </w:p>
              </w:tc>
              <w:tc>
                <w:tcPr>
                  <w:tcW w:w="638" w:type="pct"/>
                  <w:tcBorders>
                    <w:tl2br w:val="nil"/>
                    <w:tr2bl w:val="nil"/>
                  </w:tcBorders>
                  <w:vAlign w:val="center"/>
                </w:tcPr>
                <w:p w14:paraId="602D5513">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1BC1C1F3">
                  <w:pPr>
                    <w:widowControl/>
                    <w:jc w:val="center"/>
                    <w:textAlignment w:val="center"/>
                    <w:rPr>
                      <w:color w:val="auto"/>
                      <w:szCs w:val="21"/>
                    </w:rPr>
                  </w:pPr>
                  <w:r>
                    <w:rPr>
                      <w:color w:val="auto"/>
                      <w:kern w:val="0"/>
                      <w:szCs w:val="21"/>
                      <w:lang w:bidi="ar"/>
                    </w:rPr>
                    <w:t>0.0301</w:t>
                  </w:r>
                </w:p>
              </w:tc>
              <w:tc>
                <w:tcPr>
                  <w:tcW w:w="690" w:type="pct"/>
                  <w:vMerge w:val="restart"/>
                  <w:tcBorders>
                    <w:tl2br w:val="nil"/>
                    <w:tr2bl w:val="nil"/>
                  </w:tcBorders>
                  <w:vAlign w:val="center"/>
                </w:tcPr>
                <w:p w14:paraId="300D73D2">
                  <w:pPr>
                    <w:adjustRightInd w:val="0"/>
                    <w:jc w:val="center"/>
                    <w:rPr>
                      <w:color w:val="auto"/>
                      <w:szCs w:val="21"/>
                    </w:rPr>
                  </w:pPr>
                  <w:r>
                    <w:rPr>
                      <w:rFonts w:hint="eastAsia"/>
                      <w:color w:val="auto"/>
                      <w:szCs w:val="21"/>
                    </w:rPr>
                    <w:t>1200</w:t>
                  </w:r>
                </w:p>
              </w:tc>
              <w:tc>
                <w:tcPr>
                  <w:tcW w:w="832" w:type="pct"/>
                  <w:tcBorders>
                    <w:tl2br w:val="nil"/>
                    <w:tr2bl w:val="nil"/>
                  </w:tcBorders>
                  <w:vAlign w:val="center"/>
                </w:tcPr>
                <w:p w14:paraId="4AC69106">
                  <w:pPr>
                    <w:widowControl/>
                    <w:jc w:val="center"/>
                    <w:textAlignment w:val="center"/>
                    <w:rPr>
                      <w:color w:val="auto"/>
                      <w:szCs w:val="21"/>
                    </w:rPr>
                  </w:pPr>
                  <w:r>
                    <w:rPr>
                      <w:color w:val="auto"/>
                      <w:kern w:val="0"/>
                      <w:szCs w:val="21"/>
                      <w:lang w:bidi="ar"/>
                    </w:rPr>
                    <w:t xml:space="preserve">0.0361 </w:t>
                  </w:r>
                </w:p>
              </w:tc>
              <w:tc>
                <w:tcPr>
                  <w:tcW w:w="1552" w:type="pct"/>
                  <w:tcBorders>
                    <w:tl2br w:val="nil"/>
                    <w:tr2bl w:val="nil"/>
                  </w:tcBorders>
                  <w:vAlign w:val="center"/>
                </w:tcPr>
                <w:p w14:paraId="0E788251">
                  <w:pPr>
                    <w:widowControl/>
                    <w:jc w:val="center"/>
                    <w:textAlignment w:val="center"/>
                    <w:rPr>
                      <w:color w:val="auto"/>
                      <w:kern w:val="0"/>
                      <w:szCs w:val="21"/>
                      <w:lang w:bidi="ar"/>
                    </w:rPr>
                  </w:pPr>
                  <w:r>
                    <w:rPr>
                      <w:rFonts w:hint="eastAsia"/>
                      <w:color w:val="auto"/>
                      <w:kern w:val="0"/>
                      <w:szCs w:val="21"/>
                      <w:lang w:bidi="ar"/>
                    </w:rPr>
                    <w:t>0.0802</w:t>
                  </w:r>
                </w:p>
              </w:tc>
            </w:tr>
            <w:tr w14:paraId="4D51A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continue"/>
                  <w:tcBorders>
                    <w:tl2br w:val="nil"/>
                    <w:tr2bl w:val="nil"/>
                  </w:tcBorders>
                  <w:vAlign w:val="center"/>
                </w:tcPr>
                <w:p w14:paraId="25F18816">
                  <w:pPr>
                    <w:adjustRightInd w:val="0"/>
                    <w:jc w:val="center"/>
                    <w:rPr>
                      <w:color w:val="auto"/>
                      <w:szCs w:val="21"/>
                    </w:rPr>
                  </w:pPr>
                </w:p>
              </w:tc>
              <w:tc>
                <w:tcPr>
                  <w:tcW w:w="638" w:type="pct"/>
                  <w:tcBorders>
                    <w:tl2br w:val="nil"/>
                    <w:tr2bl w:val="nil"/>
                  </w:tcBorders>
                  <w:vAlign w:val="center"/>
                </w:tcPr>
                <w:p w14:paraId="269EB164">
                  <w:pPr>
                    <w:adjustRightInd w:val="0"/>
                    <w:jc w:val="center"/>
                    <w:rPr>
                      <w:color w:val="auto"/>
                      <w:szCs w:val="21"/>
                    </w:rPr>
                  </w:pPr>
                  <w:r>
                    <w:rPr>
                      <w:rFonts w:hint="eastAsia"/>
                      <w:color w:val="auto"/>
                      <w:szCs w:val="21"/>
                    </w:rPr>
                    <w:t>挥发性有机物</w:t>
                  </w:r>
                </w:p>
              </w:tc>
              <w:tc>
                <w:tcPr>
                  <w:tcW w:w="630" w:type="pct"/>
                  <w:tcBorders>
                    <w:tl2br w:val="nil"/>
                    <w:tr2bl w:val="nil"/>
                  </w:tcBorders>
                  <w:vAlign w:val="center"/>
                </w:tcPr>
                <w:p w14:paraId="457E0C3C">
                  <w:pPr>
                    <w:widowControl/>
                    <w:jc w:val="center"/>
                    <w:textAlignment w:val="center"/>
                    <w:rPr>
                      <w:color w:val="auto"/>
                      <w:szCs w:val="21"/>
                    </w:rPr>
                  </w:pPr>
                  <w:r>
                    <w:rPr>
                      <w:color w:val="auto"/>
                      <w:kern w:val="0"/>
                      <w:szCs w:val="21"/>
                      <w:lang w:bidi="ar"/>
                    </w:rPr>
                    <w:t>0.0317</w:t>
                  </w:r>
                </w:p>
              </w:tc>
              <w:tc>
                <w:tcPr>
                  <w:tcW w:w="690" w:type="pct"/>
                  <w:vMerge w:val="continue"/>
                  <w:tcBorders>
                    <w:tl2br w:val="nil"/>
                    <w:tr2bl w:val="nil"/>
                  </w:tcBorders>
                  <w:vAlign w:val="center"/>
                </w:tcPr>
                <w:p w14:paraId="74DBDD91">
                  <w:pPr>
                    <w:adjustRightInd w:val="0"/>
                    <w:jc w:val="center"/>
                    <w:rPr>
                      <w:color w:val="auto"/>
                      <w:szCs w:val="21"/>
                    </w:rPr>
                  </w:pPr>
                </w:p>
              </w:tc>
              <w:tc>
                <w:tcPr>
                  <w:tcW w:w="832" w:type="pct"/>
                  <w:tcBorders>
                    <w:tl2br w:val="nil"/>
                    <w:tr2bl w:val="nil"/>
                  </w:tcBorders>
                  <w:vAlign w:val="center"/>
                </w:tcPr>
                <w:p w14:paraId="70CF5A46">
                  <w:pPr>
                    <w:widowControl/>
                    <w:jc w:val="center"/>
                    <w:textAlignment w:val="center"/>
                    <w:rPr>
                      <w:color w:val="auto"/>
                      <w:szCs w:val="21"/>
                    </w:rPr>
                  </w:pPr>
                  <w:r>
                    <w:rPr>
                      <w:color w:val="auto"/>
                      <w:kern w:val="0"/>
                      <w:szCs w:val="21"/>
                      <w:lang w:bidi="ar"/>
                    </w:rPr>
                    <w:t xml:space="preserve">0.0380 </w:t>
                  </w:r>
                </w:p>
              </w:tc>
              <w:tc>
                <w:tcPr>
                  <w:tcW w:w="1552" w:type="pct"/>
                  <w:tcBorders>
                    <w:tl2br w:val="nil"/>
                    <w:tr2bl w:val="nil"/>
                  </w:tcBorders>
                  <w:vAlign w:val="center"/>
                </w:tcPr>
                <w:p w14:paraId="576316DB">
                  <w:pPr>
                    <w:widowControl/>
                    <w:jc w:val="center"/>
                    <w:textAlignment w:val="center"/>
                    <w:rPr>
                      <w:color w:val="auto"/>
                      <w:kern w:val="0"/>
                      <w:szCs w:val="21"/>
                      <w:lang w:bidi="ar"/>
                    </w:rPr>
                  </w:pPr>
                  <w:r>
                    <w:rPr>
                      <w:rFonts w:hint="eastAsia"/>
                      <w:color w:val="auto"/>
                      <w:kern w:val="0"/>
                      <w:szCs w:val="21"/>
                      <w:lang w:bidi="ar"/>
                    </w:rPr>
                    <w:t>0.0844</w:t>
                  </w:r>
                </w:p>
              </w:tc>
            </w:tr>
            <w:tr w14:paraId="79457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tcBorders>
                    <w:tl2br w:val="nil"/>
                    <w:tr2bl w:val="nil"/>
                  </w:tcBorders>
                  <w:vAlign w:val="center"/>
                </w:tcPr>
                <w:p w14:paraId="4AE64971">
                  <w:pPr>
                    <w:adjustRightInd w:val="0"/>
                    <w:jc w:val="center"/>
                    <w:rPr>
                      <w:color w:val="auto"/>
                      <w:szCs w:val="21"/>
                    </w:rPr>
                  </w:pPr>
                  <w:r>
                    <w:rPr>
                      <w:rFonts w:hint="eastAsia"/>
                      <w:color w:val="auto"/>
                      <w:szCs w:val="21"/>
                    </w:rPr>
                    <w:t>DA006排气筒</w:t>
                  </w:r>
                </w:p>
              </w:tc>
              <w:tc>
                <w:tcPr>
                  <w:tcW w:w="638" w:type="pct"/>
                  <w:tcBorders>
                    <w:tl2br w:val="nil"/>
                    <w:tr2bl w:val="nil"/>
                  </w:tcBorders>
                  <w:vAlign w:val="center"/>
                </w:tcPr>
                <w:p w14:paraId="53428568">
                  <w:pPr>
                    <w:adjustRightInd w:val="0"/>
                    <w:jc w:val="center"/>
                    <w:rPr>
                      <w:color w:val="auto"/>
                      <w:szCs w:val="21"/>
                    </w:rPr>
                  </w:pPr>
                  <w:r>
                    <w:rPr>
                      <w:rFonts w:hint="eastAsia"/>
                      <w:color w:val="auto"/>
                      <w:szCs w:val="21"/>
                    </w:rPr>
                    <w:t>挥发性有机物</w:t>
                  </w:r>
                </w:p>
              </w:tc>
              <w:tc>
                <w:tcPr>
                  <w:tcW w:w="630" w:type="pct"/>
                  <w:tcBorders>
                    <w:tl2br w:val="nil"/>
                    <w:tr2bl w:val="nil"/>
                  </w:tcBorders>
                  <w:vAlign w:val="center"/>
                </w:tcPr>
                <w:p w14:paraId="0E0A24FB">
                  <w:pPr>
                    <w:widowControl/>
                    <w:jc w:val="center"/>
                    <w:textAlignment w:val="center"/>
                    <w:rPr>
                      <w:color w:val="auto"/>
                      <w:szCs w:val="21"/>
                    </w:rPr>
                  </w:pPr>
                  <w:r>
                    <w:rPr>
                      <w:color w:val="auto"/>
                      <w:kern w:val="0"/>
                      <w:szCs w:val="21"/>
                      <w:lang w:bidi="ar"/>
                    </w:rPr>
                    <w:t>0.003</w:t>
                  </w:r>
                </w:p>
              </w:tc>
              <w:tc>
                <w:tcPr>
                  <w:tcW w:w="690" w:type="pct"/>
                  <w:tcBorders>
                    <w:tl2br w:val="nil"/>
                    <w:tr2bl w:val="nil"/>
                  </w:tcBorders>
                  <w:vAlign w:val="center"/>
                </w:tcPr>
                <w:p w14:paraId="5B09A6A6">
                  <w:pPr>
                    <w:adjustRightInd w:val="0"/>
                    <w:jc w:val="center"/>
                    <w:rPr>
                      <w:color w:val="auto"/>
                      <w:szCs w:val="21"/>
                    </w:rPr>
                  </w:pPr>
                  <w:r>
                    <w:rPr>
                      <w:rFonts w:hint="eastAsia"/>
                      <w:color w:val="auto"/>
                      <w:szCs w:val="21"/>
                    </w:rPr>
                    <w:t>2400</w:t>
                  </w:r>
                </w:p>
              </w:tc>
              <w:tc>
                <w:tcPr>
                  <w:tcW w:w="832" w:type="pct"/>
                  <w:tcBorders>
                    <w:tl2br w:val="nil"/>
                    <w:tr2bl w:val="nil"/>
                  </w:tcBorders>
                  <w:vAlign w:val="center"/>
                </w:tcPr>
                <w:p w14:paraId="18CAD227">
                  <w:pPr>
                    <w:widowControl/>
                    <w:jc w:val="center"/>
                    <w:textAlignment w:val="center"/>
                    <w:rPr>
                      <w:color w:val="auto"/>
                      <w:szCs w:val="21"/>
                    </w:rPr>
                  </w:pPr>
                  <w:r>
                    <w:rPr>
                      <w:color w:val="auto"/>
                      <w:kern w:val="0"/>
                      <w:szCs w:val="21"/>
                      <w:lang w:bidi="ar"/>
                    </w:rPr>
                    <w:t xml:space="preserve">0.0072 </w:t>
                  </w:r>
                </w:p>
              </w:tc>
              <w:tc>
                <w:tcPr>
                  <w:tcW w:w="1552" w:type="pct"/>
                  <w:tcBorders>
                    <w:tl2br w:val="nil"/>
                    <w:tr2bl w:val="nil"/>
                  </w:tcBorders>
                  <w:vAlign w:val="center"/>
                </w:tcPr>
                <w:p w14:paraId="3058EBBF">
                  <w:pPr>
                    <w:widowControl/>
                    <w:jc w:val="center"/>
                    <w:textAlignment w:val="center"/>
                    <w:rPr>
                      <w:color w:val="auto"/>
                      <w:kern w:val="0"/>
                      <w:szCs w:val="21"/>
                      <w:lang w:bidi="ar"/>
                    </w:rPr>
                  </w:pPr>
                  <w:r>
                    <w:rPr>
                      <w:rFonts w:hint="eastAsia"/>
                      <w:color w:val="auto"/>
                      <w:kern w:val="0"/>
                      <w:szCs w:val="21"/>
                      <w:lang w:bidi="ar"/>
                    </w:rPr>
                    <w:t>0.016</w:t>
                  </w:r>
                </w:p>
              </w:tc>
            </w:tr>
            <w:tr w14:paraId="20DD6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tcBorders>
                    <w:tl2br w:val="nil"/>
                    <w:tr2bl w:val="nil"/>
                  </w:tcBorders>
                  <w:vAlign w:val="center"/>
                </w:tcPr>
                <w:p w14:paraId="5B60C81E">
                  <w:pPr>
                    <w:adjustRightInd w:val="0"/>
                    <w:jc w:val="center"/>
                    <w:rPr>
                      <w:color w:val="auto"/>
                      <w:szCs w:val="21"/>
                    </w:rPr>
                  </w:pPr>
                  <w:r>
                    <w:rPr>
                      <w:rFonts w:hint="eastAsia"/>
                      <w:color w:val="auto"/>
                      <w:szCs w:val="21"/>
                    </w:rPr>
                    <w:t>DA008排气筒</w:t>
                  </w:r>
                </w:p>
              </w:tc>
              <w:tc>
                <w:tcPr>
                  <w:tcW w:w="638" w:type="pct"/>
                  <w:tcBorders>
                    <w:tl2br w:val="nil"/>
                    <w:tr2bl w:val="nil"/>
                  </w:tcBorders>
                  <w:vAlign w:val="center"/>
                </w:tcPr>
                <w:p w14:paraId="57135CFB">
                  <w:pPr>
                    <w:adjustRightInd w:val="0"/>
                    <w:jc w:val="center"/>
                    <w:rPr>
                      <w:color w:val="auto"/>
                      <w:szCs w:val="21"/>
                    </w:rPr>
                  </w:pPr>
                  <w:r>
                    <w:rPr>
                      <w:rFonts w:hint="eastAsia"/>
                      <w:color w:val="auto"/>
                      <w:szCs w:val="21"/>
                    </w:rPr>
                    <w:t>颗粒物</w:t>
                  </w:r>
                </w:p>
              </w:tc>
              <w:tc>
                <w:tcPr>
                  <w:tcW w:w="630" w:type="pct"/>
                  <w:tcBorders>
                    <w:tl2br w:val="nil"/>
                    <w:tr2bl w:val="nil"/>
                  </w:tcBorders>
                  <w:vAlign w:val="center"/>
                </w:tcPr>
                <w:p w14:paraId="22FEEFA0">
                  <w:pPr>
                    <w:widowControl/>
                    <w:jc w:val="center"/>
                    <w:textAlignment w:val="center"/>
                    <w:rPr>
                      <w:color w:val="auto"/>
                      <w:szCs w:val="21"/>
                    </w:rPr>
                  </w:pPr>
                  <w:r>
                    <w:rPr>
                      <w:color w:val="auto"/>
                      <w:kern w:val="0"/>
                      <w:szCs w:val="21"/>
                      <w:lang w:bidi="ar"/>
                    </w:rPr>
                    <w:t>0.0081</w:t>
                  </w:r>
                </w:p>
              </w:tc>
              <w:tc>
                <w:tcPr>
                  <w:tcW w:w="690" w:type="pct"/>
                  <w:tcBorders>
                    <w:tl2br w:val="nil"/>
                    <w:tr2bl w:val="nil"/>
                  </w:tcBorders>
                  <w:vAlign w:val="center"/>
                </w:tcPr>
                <w:p w14:paraId="405EACEC">
                  <w:pPr>
                    <w:adjustRightInd w:val="0"/>
                    <w:jc w:val="center"/>
                    <w:rPr>
                      <w:color w:val="auto"/>
                      <w:szCs w:val="21"/>
                    </w:rPr>
                  </w:pPr>
                  <w:r>
                    <w:rPr>
                      <w:rFonts w:hint="eastAsia"/>
                      <w:color w:val="auto"/>
                      <w:szCs w:val="21"/>
                    </w:rPr>
                    <w:t>2400</w:t>
                  </w:r>
                </w:p>
              </w:tc>
              <w:tc>
                <w:tcPr>
                  <w:tcW w:w="832" w:type="pct"/>
                  <w:tcBorders>
                    <w:tl2br w:val="nil"/>
                    <w:tr2bl w:val="nil"/>
                  </w:tcBorders>
                  <w:vAlign w:val="center"/>
                </w:tcPr>
                <w:p w14:paraId="21F47BCE">
                  <w:pPr>
                    <w:widowControl/>
                    <w:jc w:val="center"/>
                    <w:textAlignment w:val="center"/>
                    <w:rPr>
                      <w:color w:val="auto"/>
                      <w:szCs w:val="21"/>
                    </w:rPr>
                  </w:pPr>
                  <w:r>
                    <w:rPr>
                      <w:color w:val="auto"/>
                      <w:kern w:val="0"/>
                      <w:szCs w:val="21"/>
                      <w:lang w:bidi="ar"/>
                    </w:rPr>
                    <w:t xml:space="preserve">0.0194 </w:t>
                  </w:r>
                </w:p>
              </w:tc>
              <w:tc>
                <w:tcPr>
                  <w:tcW w:w="1552" w:type="pct"/>
                  <w:tcBorders>
                    <w:tl2br w:val="nil"/>
                    <w:tr2bl w:val="nil"/>
                  </w:tcBorders>
                  <w:vAlign w:val="center"/>
                </w:tcPr>
                <w:p w14:paraId="72F8B458">
                  <w:pPr>
                    <w:widowControl/>
                    <w:jc w:val="center"/>
                    <w:textAlignment w:val="center"/>
                    <w:rPr>
                      <w:color w:val="auto"/>
                      <w:kern w:val="0"/>
                      <w:szCs w:val="21"/>
                      <w:lang w:bidi="ar"/>
                    </w:rPr>
                  </w:pPr>
                  <w:r>
                    <w:rPr>
                      <w:rFonts w:hint="eastAsia"/>
                      <w:color w:val="auto"/>
                      <w:kern w:val="0"/>
                      <w:szCs w:val="21"/>
                      <w:lang w:bidi="ar"/>
                    </w:rPr>
                    <w:t>0.0431</w:t>
                  </w:r>
                </w:p>
              </w:tc>
            </w:tr>
            <w:tr w14:paraId="47AAD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6" w:type="pct"/>
                  <w:vMerge w:val="restart"/>
                  <w:tcBorders>
                    <w:tl2br w:val="nil"/>
                    <w:tr2bl w:val="nil"/>
                  </w:tcBorders>
                  <w:vAlign w:val="center"/>
                </w:tcPr>
                <w:p w14:paraId="0B3A44F7">
                  <w:pPr>
                    <w:adjustRightInd w:val="0"/>
                    <w:jc w:val="center"/>
                    <w:rPr>
                      <w:color w:val="auto"/>
                      <w:szCs w:val="21"/>
                    </w:rPr>
                  </w:pPr>
                  <w:r>
                    <w:rPr>
                      <w:rFonts w:hint="eastAsia"/>
                      <w:color w:val="auto"/>
                      <w:szCs w:val="21"/>
                    </w:rPr>
                    <w:t>有组织总计</w:t>
                  </w:r>
                </w:p>
              </w:tc>
              <w:tc>
                <w:tcPr>
                  <w:tcW w:w="1959" w:type="pct"/>
                  <w:gridSpan w:val="3"/>
                  <w:tcBorders>
                    <w:tl2br w:val="nil"/>
                    <w:tr2bl w:val="nil"/>
                  </w:tcBorders>
                  <w:vAlign w:val="center"/>
                </w:tcPr>
                <w:p w14:paraId="12288EBE">
                  <w:pPr>
                    <w:adjustRightInd w:val="0"/>
                    <w:jc w:val="center"/>
                    <w:rPr>
                      <w:color w:val="auto"/>
                      <w:szCs w:val="21"/>
                    </w:rPr>
                  </w:pPr>
                  <w:r>
                    <w:rPr>
                      <w:rFonts w:hint="eastAsia"/>
                      <w:color w:val="auto"/>
                      <w:szCs w:val="21"/>
                    </w:rPr>
                    <w:t>颗粒物</w:t>
                  </w:r>
                </w:p>
              </w:tc>
              <w:tc>
                <w:tcPr>
                  <w:tcW w:w="832" w:type="pct"/>
                  <w:tcBorders>
                    <w:tl2br w:val="nil"/>
                    <w:tr2bl w:val="nil"/>
                  </w:tcBorders>
                  <w:vAlign w:val="center"/>
                </w:tcPr>
                <w:p w14:paraId="25AEEE93">
                  <w:pPr>
                    <w:widowControl/>
                    <w:jc w:val="center"/>
                    <w:textAlignment w:val="center"/>
                    <w:rPr>
                      <w:color w:val="auto"/>
                      <w:szCs w:val="21"/>
                    </w:rPr>
                  </w:pPr>
                  <w:r>
                    <w:rPr>
                      <w:color w:val="auto"/>
                      <w:kern w:val="0"/>
                      <w:szCs w:val="21"/>
                      <w:lang w:bidi="ar"/>
                    </w:rPr>
                    <w:t xml:space="preserve">0.3481 </w:t>
                  </w:r>
                </w:p>
              </w:tc>
              <w:tc>
                <w:tcPr>
                  <w:tcW w:w="1552" w:type="pct"/>
                  <w:tcBorders>
                    <w:tl2br w:val="nil"/>
                    <w:tr2bl w:val="nil"/>
                  </w:tcBorders>
                  <w:vAlign w:val="center"/>
                </w:tcPr>
                <w:p w14:paraId="36E5983A">
                  <w:pPr>
                    <w:widowControl/>
                    <w:jc w:val="center"/>
                    <w:textAlignment w:val="center"/>
                    <w:rPr>
                      <w:color w:val="auto"/>
                      <w:kern w:val="0"/>
                      <w:szCs w:val="21"/>
                      <w:lang w:bidi="ar"/>
                    </w:rPr>
                  </w:pPr>
                  <w:r>
                    <w:rPr>
                      <w:color w:val="auto"/>
                      <w:kern w:val="0"/>
                      <w:szCs w:val="21"/>
                      <w:lang w:bidi="ar"/>
                    </w:rPr>
                    <w:t>0.7735</w:t>
                  </w:r>
                </w:p>
              </w:tc>
            </w:tr>
            <w:tr w14:paraId="4E8D6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6" w:type="pct"/>
                  <w:vMerge w:val="continue"/>
                  <w:tcBorders>
                    <w:tl2br w:val="nil"/>
                    <w:tr2bl w:val="nil"/>
                  </w:tcBorders>
                  <w:vAlign w:val="center"/>
                </w:tcPr>
                <w:p w14:paraId="18059722">
                  <w:pPr>
                    <w:adjustRightInd w:val="0"/>
                    <w:jc w:val="center"/>
                    <w:rPr>
                      <w:color w:val="auto"/>
                      <w:szCs w:val="21"/>
                    </w:rPr>
                  </w:pPr>
                </w:p>
              </w:tc>
              <w:tc>
                <w:tcPr>
                  <w:tcW w:w="1959" w:type="pct"/>
                  <w:gridSpan w:val="3"/>
                  <w:tcBorders>
                    <w:tl2br w:val="nil"/>
                    <w:tr2bl w:val="nil"/>
                  </w:tcBorders>
                  <w:vAlign w:val="center"/>
                </w:tcPr>
                <w:p w14:paraId="2A70C604">
                  <w:pPr>
                    <w:adjustRightInd w:val="0"/>
                    <w:jc w:val="center"/>
                    <w:rPr>
                      <w:color w:val="auto"/>
                      <w:szCs w:val="21"/>
                    </w:rPr>
                  </w:pPr>
                  <w:r>
                    <w:rPr>
                      <w:rFonts w:hint="eastAsia"/>
                      <w:color w:val="auto"/>
                      <w:szCs w:val="21"/>
                    </w:rPr>
                    <w:t>挥发性有机物</w:t>
                  </w:r>
                </w:p>
              </w:tc>
              <w:tc>
                <w:tcPr>
                  <w:tcW w:w="832" w:type="pct"/>
                  <w:tcBorders>
                    <w:tl2br w:val="nil"/>
                    <w:tr2bl w:val="nil"/>
                  </w:tcBorders>
                  <w:vAlign w:val="center"/>
                </w:tcPr>
                <w:p w14:paraId="4D954522">
                  <w:pPr>
                    <w:widowControl/>
                    <w:jc w:val="center"/>
                    <w:textAlignment w:val="center"/>
                    <w:rPr>
                      <w:color w:val="auto"/>
                      <w:szCs w:val="21"/>
                    </w:rPr>
                  </w:pPr>
                  <w:r>
                    <w:rPr>
                      <w:color w:val="auto"/>
                      <w:kern w:val="0"/>
                      <w:szCs w:val="21"/>
                      <w:lang w:bidi="ar"/>
                    </w:rPr>
                    <w:t xml:space="preserve">0.0737 </w:t>
                  </w:r>
                </w:p>
              </w:tc>
              <w:tc>
                <w:tcPr>
                  <w:tcW w:w="1552" w:type="pct"/>
                  <w:tcBorders>
                    <w:tl2br w:val="nil"/>
                    <w:tr2bl w:val="nil"/>
                  </w:tcBorders>
                  <w:vAlign w:val="center"/>
                </w:tcPr>
                <w:p w14:paraId="2E52240F">
                  <w:pPr>
                    <w:widowControl/>
                    <w:jc w:val="center"/>
                    <w:textAlignment w:val="center"/>
                    <w:rPr>
                      <w:color w:val="auto"/>
                      <w:kern w:val="0"/>
                      <w:szCs w:val="21"/>
                      <w:lang w:bidi="ar"/>
                    </w:rPr>
                  </w:pPr>
                  <w:r>
                    <w:rPr>
                      <w:color w:val="auto"/>
                      <w:kern w:val="0"/>
                      <w:szCs w:val="21"/>
                      <w:lang w:bidi="ar"/>
                    </w:rPr>
                    <w:t>0.1637</w:t>
                  </w:r>
                </w:p>
              </w:tc>
            </w:tr>
            <w:tr w14:paraId="38EE8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continue"/>
                  <w:tcBorders>
                    <w:tl2br w:val="nil"/>
                    <w:tr2bl w:val="nil"/>
                  </w:tcBorders>
                  <w:vAlign w:val="center"/>
                </w:tcPr>
                <w:p w14:paraId="4AA0C23F">
                  <w:pPr>
                    <w:adjustRightInd w:val="0"/>
                    <w:jc w:val="center"/>
                    <w:rPr>
                      <w:color w:val="auto"/>
                      <w:szCs w:val="21"/>
                    </w:rPr>
                  </w:pPr>
                </w:p>
              </w:tc>
              <w:tc>
                <w:tcPr>
                  <w:tcW w:w="1959" w:type="pct"/>
                  <w:gridSpan w:val="3"/>
                  <w:tcBorders>
                    <w:tl2br w:val="nil"/>
                    <w:tr2bl w:val="nil"/>
                  </w:tcBorders>
                  <w:vAlign w:val="center"/>
                </w:tcPr>
                <w:p w14:paraId="4D6524E9">
                  <w:pPr>
                    <w:adjustRightInd w:val="0"/>
                    <w:jc w:val="center"/>
                    <w:rPr>
                      <w:color w:val="auto"/>
                      <w:szCs w:val="21"/>
                    </w:rPr>
                  </w:pPr>
                  <w:r>
                    <w:rPr>
                      <w:rFonts w:hint="eastAsia"/>
                      <w:color w:val="auto"/>
                      <w:szCs w:val="21"/>
                    </w:rPr>
                    <w:t>SO</w:t>
                  </w:r>
                  <w:r>
                    <w:rPr>
                      <w:rFonts w:hint="eastAsia"/>
                      <w:color w:val="auto"/>
                      <w:szCs w:val="21"/>
                      <w:vertAlign w:val="subscript"/>
                    </w:rPr>
                    <w:t>2</w:t>
                  </w:r>
                </w:p>
              </w:tc>
              <w:tc>
                <w:tcPr>
                  <w:tcW w:w="832" w:type="pct"/>
                  <w:tcBorders>
                    <w:tl2br w:val="nil"/>
                    <w:tr2bl w:val="nil"/>
                  </w:tcBorders>
                  <w:vAlign w:val="center"/>
                </w:tcPr>
                <w:p w14:paraId="26B1E4DF">
                  <w:pPr>
                    <w:widowControl/>
                    <w:jc w:val="center"/>
                    <w:textAlignment w:val="center"/>
                    <w:rPr>
                      <w:color w:val="auto"/>
                      <w:szCs w:val="21"/>
                    </w:rPr>
                  </w:pPr>
                  <w:r>
                    <w:rPr>
                      <w:rFonts w:hint="eastAsia"/>
                      <w:color w:val="auto"/>
                      <w:kern w:val="0"/>
                      <w:szCs w:val="21"/>
                      <w:lang w:bidi="ar"/>
                    </w:rPr>
                    <w:t>/</w:t>
                  </w:r>
                </w:p>
              </w:tc>
              <w:tc>
                <w:tcPr>
                  <w:tcW w:w="1552" w:type="pct"/>
                  <w:tcBorders>
                    <w:tl2br w:val="nil"/>
                    <w:tr2bl w:val="nil"/>
                  </w:tcBorders>
                  <w:vAlign w:val="center"/>
                </w:tcPr>
                <w:p w14:paraId="735C9B44">
                  <w:pPr>
                    <w:widowControl/>
                    <w:jc w:val="center"/>
                    <w:textAlignment w:val="center"/>
                    <w:rPr>
                      <w:color w:val="auto"/>
                      <w:kern w:val="0"/>
                      <w:szCs w:val="21"/>
                      <w:lang w:bidi="ar"/>
                    </w:rPr>
                  </w:pPr>
                  <w:r>
                    <w:rPr>
                      <w:rFonts w:hint="eastAsia"/>
                      <w:color w:val="auto"/>
                      <w:kern w:val="0"/>
                      <w:szCs w:val="21"/>
                      <w:lang w:bidi="ar"/>
                    </w:rPr>
                    <w:t>/</w:t>
                  </w:r>
                </w:p>
              </w:tc>
            </w:tr>
            <w:tr w14:paraId="601A2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56" w:type="pct"/>
                  <w:vMerge w:val="continue"/>
                  <w:tcBorders>
                    <w:tl2br w:val="nil"/>
                    <w:tr2bl w:val="nil"/>
                  </w:tcBorders>
                  <w:vAlign w:val="center"/>
                </w:tcPr>
                <w:p w14:paraId="7BBF2B3E">
                  <w:pPr>
                    <w:adjustRightInd w:val="0"/>
                    <w:jc w:val="center"/>
                    <w:rPr>
                      <w:color w:val="auto"/>
                      <w:szCs w:val="21"/>
                    </w:rPr>
                  </w:pPr>
                </w:p>
              </w:tc>
              <w:tc>
                <w:tcPr>
                  <w:tcW w:w="1959" w:type="pct"/>
                  <w:gridSpan w:val="3"/>
                  <w:tcBorders>
                    <w:tl2br w:val="nil"/>
                    <w:tr2bl w:val="nil"/>
                  </w:tcBorders>
                  <w:vAlign w:val="center"/>
                </w:tcPr>
                <w:p w14:paraId="7810692F">
                  <w:pPr>
                    <w:adjustRightInd w:val="0"/>
                    <w:jc w:val="center"/>
                    <w:rPr>
                      <w:color w:val="auto"/>
                      <w:szCs w:val="21"/>
                    </w:rPr>
                  </w:pPr>
                  <w:r>
                    <w:rPr>
                      <w:rFonts w:hint="eastAsia"/>
                      <w:color w:val="auto"/>
                      <w:szCs w:val="21"/>
                    </w:rPr>
                    <w:t>NO</w:t>
                  </w:r>
                  <w:r>
                    <w:rPr>
                      <w:rFonts w:hint="eastAsia"/>
                      <w:color w:val="auto"/>
                      <w:szCs w:val="21"/>
                      <w:vertAlign w:val="subscript"/>
                    </w:rPr>
                    <w:t>X</w:t>
                  </w:r>
                </w:p>
              </w:tc>
              <w:tc>
                <w:tcPr>
                  <w:tcW w:w="832" w:type="pct"/>
                  <w:tcBorders>
                    <w:tl2br w:val="nil"/>
                    <w:tr2bl w:val="nil"/>
                  </w:tcBorders>
                  <w:vAlign w:val="center"/>
                </w:tcPr>
                <w:p w14:paraId="1887D893">
                  <w:pPr>
                    <w:widowControl/>
                    <w:jc w:val="center"/>
                    <w:textAlignment w:val="center"/>
                    <w:rPr>
                      <w:color w:val="auto"/>
                      <w:szCs w:val="21"/>
                    </w:rPr>
                  </w:pPr>
                  <w:r>
                    <w:rPr>
                      <w:rFonts w:hint="eastAsia"/>
                      <w:color w:val="auto"/>
                      <w:kern w:val="0"/>
                      <w:szCs w:val="21"/>
                      <w:lang w:bidi="ar"/>
                    </w:rPr>
                    <w:t>/</w:t>
                  </w:r>
                  <w:r>
                    <w:rPr>
                      <w:color w:val="auto"/>
                      <w:kern w:val="0"/>
                      <w:szCs w:val="21"/>
                      <w:lang w:bidi="ar"/>
                    </w:rPr>
                    <w:t xml:space="preserve"> </w:t>
                  </w:r>
                </w:p>
              </w:tc>
              <w:tc>
                <w:tcPr>
                  <w:tcW w:w="1552" w:type="pct"/>
                  <w:tcBorders>
                    <w:tl2br w:val="nil"/>
                    <w:tr2bl w:val="nil"/>
                  </w:tcBorders>
                  <w:vAlign w:val="center"/>
                </w:tcPr>
                <w:p w14:paraId="3FA3C657">
                  <w:pPr>
                    <w:widowControl/>
                    <w:jc w:val="center"/>
                    <w:textAlignment w:val="center"/>
                    <w:rPr>
                      <w:color w:val="auto"/>
                      <w:kern w:val="0"/>
                      <w:szCs w:val="21"/>
                      <w:lang w:bidi="ar"/>
                    </w:rPr>
                  </w:pPr>
                  <w:r>
                    <w:rPr>
                      <w:rFonts w:hint="eastAsia"/>
                      <w:color w:val="auto"/>
                      <w:kern w:val="0"/>
                      <w:sz w:val="22"/>
                      <w:szCs w:val="22"/>
                      <w:lang w:bidi="ar"/>
                    </w:rPr>
                    <w:t>/</w:t>
                  </w:r>
                </w:p>
              </w:tc>
            </w:tr>
          </w:tbl>
          <w:p w14:paraId="2A45578C">
            <w:pPr>
              <w:adjustRightInd w:val="0"/>
              <w:snapToGrid w:val="0"/>
              <w:spacing w:before="120" w:beforeLines="50" w:line="360" w:lineRule="auto"/>
              <w:ind w:firstLine="482" w:firstLineChars="200"/>
              <w:rPr>
                <w:rFonts w:cs="FangSong_GB2312-Identity-H"/>
                <w:b/>
                <w:color w:val="auto"/>
                <w:sz w:val="24"/>
                <w:szCs w:val="32"/>
              </w:rPr>
            </w:pPr>
            <w:r>
              <w:rPr>
                <w:rFonts w:hint="eastAsia" w:cs="FangSong_GB2312-Identity-H"/>
                <w:b/>
                <w:color w:val="auto"/>
                <w:sz w:val="24"/>
                <w:szCs w:val="32"/>
                <w:lang w:eastAsia="zh-CN"/>
              </w:rPr>
              <w:t>(3)</w:t>
            </w:r>
            <w:r>
              <w:rPr>
                <w:rFonts w:hint="eastAsia" w:cs="FangSong_GB2312-Identity-H"/>
                <w:b/>
                <w:color w:val="auto"/>
                <w:sz w:val="24"/>
                <w:szCs w:val="32"/>
              </w:rPr>
              <w:t>固废</w:t>
            </w:r>
          </w:p>
          <w:p w14:paraId="3A2ADFD4">
            <w:pPr>
              <w:adjustRightInd w:val="0"/>
              <w:snapToGrid w:val="0"/>
              <w:spacing w:line="360" w:lineRule="auto"/>
              <w:ind w:firstLine="480" w:firstLineChars="200"/>
              <w:jc w:val="left"/>
              <w:rPr>
                <w:color w:val="auto"/>
                <w:sz w:val="24"/>
              </w:rPr>
            </w:pPr>
            <w:r>
              <w:rPr>
                <w:rFonts w:hint="eastAsia" w:cs="FangSong_GB2312-Identity-H"/>
                <w:bCs/>
                <w:color w:val="auto"/>
                <w:sz w:val="24"/>
                <w:szCs w:val="32"/>
              </w:rPr>
              <w:t>现有厂区项目固废产生及处置情况见表2</w:t>
            </w:r>
            <w:r>
              <w:rPr>
                <w:rFonts w:cs="FangSong_GB2312-Identity-H"/>
                <w:bCs/>
                <w:color w:val="auto"/>
                <w:sz w:val="24"/>
                <w:szCs w:val="32"/>
              </w:rPr>
              <w:t>-1</w:t>
            </w:r>
            <w:r>
              <w:rPr>
                <w:rFonts w:hint="eastAsia" w:cs="FangSong_GB2312-Identity-H"/>
                <w:bCs/>
                <w:color w:val="auto"/>
                <w:sz w:val="24"/>
                <w:szCs w:val="32"/>
              </w:rPr>
              <w:t>4。</w:t>
            </w:r>
          </w:p>
          <w:p w14:paraId="2AAE2C16">
            <w:pPr>
              <w:pStyle w:val="48"/>
              <w:tabs>
                <w:tab w:val="left" w:pos="4620"/>
              </w:tabs>
              <w:adjustRightInd w:val="0"/>
              <w:spacing w:line="360" w:lineRule="auto"/>
              <w:ind w:right="-105" w:firstLine="482"/>
              <w:contextualSpacing/>
              <w:jc w:val="center"/>
              <w:rPr>
                <w:rFonts w:ascii="Times New Roman" w:hAnsi="Times New Roman"/>
                <w:b/>
                <w:color w:val="auto"/>
                <w:szCs w:val="24"/>
              </w:rPr>
            </w:pPr>
            <w:r>
              <w:rPr>
                <w:rFonts w:ascii="Times New Roman" w:hAnsi="Times New Roman"/>
                <w:b/>
                <w:color w:val="auto"/>
                <w:szCs w:val="24"/>
              </w:rPr>
              <w:t>表2-</w:t>
            </w:r>
            <w:r>
              <w:rPr>
                <w:rFonts w:hint="eastAsia" w:ascii="Times New Roman" w:hAnsi="Times New Roman"/>
                <w:b/>
                <w:color w:val="auto"/>
                <w:szCs w:val="24"/>
              </w:rPr>
              <w:t>14  现有</w:t>
            </w:r>
            <w:r>
              <w:rPr>
                <w:rFonts w:ascii="Times New Roman" w:hAnsi="Times New Roman"/>
                <w:b/>
                <w:color w:val="auto"/>
                <w:szCs w:val="24"/>
              </w:rPr>
              <w:t>项目固体废物主要信息一览表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0"/>
              <w:gridCol w:w="1500"/>
              <w:gridCol w:w="3418"/>
              <w:gridCol w:w="435"/>
              <w:gridCol w:w="860"/>
              <w:gridCol w:w="1120"/>
              <w:gridCol w:w="1315"/>
              <w:gridCol w:w="3413"/>
            </w:tblGrid>
            <w:tr w14:paraId="11743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70752ADA">
                  <w:pPr>
                    <w:adjustRightInd w:val="0"/>
                    <w:jc w:val="center"/>
                    <w:rPr>
                      <w:b/>
                      <w:bCs/>
                      <w:color w:val="auto"/>
                      <w:szCs w:val="21"/>
                    </w:rPr>
                  </w:pPr>
                  <w:r>
                    <w:rPr>
                      <w:rFonts w:hint="eastAsia"/>
                      <w:b/>
                      <w:bCs/>
                      <w:color w:val="auto"/>
                      <w:szCs w:val="21"/>
                    </w:rPr>
                    <w:t>序号</w:t>
                  </w:r>
                </w:p>
              </w:tc>
              <w:tc>
                <w:tcPr>
                  <w:tcW w:w="600" w:type="pct"/>
                  <w:vAlign w:val="center"/>
                </w:tcPr>
                <w:p w14:paraId="082E992D">
                  <w:pPr>
                    <w:adjustRightInd w:val="0"/>
                    <w:jc w:val="center"/>
                    <w:rPr>
                      <w:b/>
                      <w:bCs/>
                      <w:color w:val="auto"/>
                      <w:szCs w:val="21"/>
                    </w:rPr>
                  </w:pPr>
                  <w:r>
                    <w:rPr>
                      <w:rFonts w:hint="eastAsia"/>
                      <w:b/>
                      <w:bCs/>
                      <w:color w:val="auto"/>
                      <w:szCs w:val="21"/>
                    </w:rPr>
                    <w:t>固废名称</w:t>
                  </w:r>
                </w:p>
              </w:tc>
              <w:tc>
                <w:tcPr>
                  <w:tcW w:w="1367" w:type="pct"/>
                  <w:vAlign w:val="center"/>
                </w:tcPr>
                <w:p w14:paraId="647719CE">
                  <w:pPr>
                    <w:adjustRightInd w:val="0"/>
                    <w:jc w:val="center"/>
                    <w:rPr>
                      <w:b/>
                      <w:bCs/>
                      <w:color w:val="auto"/>
                      <w:szCs w:val="21"/>
                    </w:rPr>
                  </w:pPr>
                  <w:r>
                    <w:rPr>
                      <w:rFonts w:hint="eastAsia"/>
                      <w:b/>
                      <w:bCs/>
                      <w:color w:val="auto"/>
                      <w:szCs w:val="21"/>
                    </w:rPr>
                    <w:t>产生工序</w:t>
                  </w:r>
                </w:p>
              </w:tc>
              <w:tc>
                <w:tcPr>
                  <w:tcW w:w="174" w:type="pct"/>
                  <w:vAlign w:val="center"/>
                </w:tcPr>
                <w:p w14:paraId="45CD2005">
                  <w:pPr>
                    <w:adjustRightInd w:val="0"/>
                    <w:jc w:val="center"/>
                    <w:rPr>
                      <w:b/>
                      <w:bCs/>
                      <w:color w:val="auto"/>
                      <w:szCs w:val="21"/>
                    </w:rPr>
                  </w:pPr>
                  <w:r>
                    <w:rPr>
                      <w:rFonts w:hint="eastAsia"/>
                      <w:b/>
                      <w:bCs/>
                      <w:color w:val="auto"/>
                      <w:szCs w:val="21"/>
                    </w:rPr>
                    <w:t>形态</w:t>
                  </w:r>
                </w:p>
              </w:tc>
              <w:tc>
                <w:tcPr>
                  <w:tcW w:w="344" w:type="pct"/>
                  <w:vAlign w:val="center"/>
                </w:tcPr>
                <w:p w14:paraId="586175DF">
                  <w:pPr>
                    <w:adjustRightInd w:val="0"/>
                    <w:jc w:val="center"/>
                    <w:rPr>
                      <w:b/>
                      <w:bCs/>
                      <w:color w:val="auto"/>
                      <w:szCs w:val="21"/>
                    </w:rPr>
                  </w:pPr>
                  <w:r>
                    <w:rPr>
                      <w:rFonts w:hint="eastAsia"/>
                      <w:b/>
                      <w:bCs/>
                      <w:color w:val="auto"/>
                      <w:szCs w:val="21"/>
                    </w:rPr>
                    <w:t>废物</w:t>
                  </w:r>
                </w:p>
                <w:p w14:paraId="12BD6A24">
                  <w:pPr>
                    <w:adjustRightInd w:val="0"/>
                    <w:jc w:val="center"/>
                    <w:rPr>
                      <w:b/>
                      <w:bCs/>
                      <w:color w:val="auto"/>
                      <w:szCs w:val="21"/>
                    </w:rPr>
                  </w:pPr>
                  <w:r>
                    <w:rPr>
                      <w:rFonts w:hint="eastAsia"/>
                      <w:b/>
                      <w:bCs/>
                      <w:color w:val="auto"/>
                      <w:szCs w:val="21"/>
                    </w:rPr>
                    <w:t>类别</w:t>
                  </w:r>
                </w:p>
              </w:tc>
              <w:tc>
                <w:tcPr>
                  <w:tcW w:w="448" w:type="pct"/>
                  <w:vAlign w:val="center"/>
                </w:tcPr>
                <w:p w14:paraId="182CEB08">
                  <w:pPr>
                    <w:adjustRightInd w:val="0"/>
                    <w:jc w:val="center"/>
                    <w:rPr>
                      <w:b/>
                      <w:bCs/>
                      <w:color w:val="auto"/>
                      <w:szCs w:val="21"/>
                    </w:rPr>
                  </w:pPr>
                  <w:r>
                    <w:rPr>
                      <w:rFonts w:hint="eastAsia"/>
                      <w:b/>
                      <w:bCs/>
                      <w:color w:val="auto"/>
                      <w:szCs w:val="21"/>
                    </w:rPr>
                    <w:t>废物代码</w:t>
                  </w:r>
                </w:p>
              </w:tc>
              <w:tc>
                <w:tcPr>
                  <w:tcW w:w="526" w:type="pct"/>
                  <w:vAlign w:val="center"/>
                </w:tcPr>
                <w:p w14:paraId="687C6FDD">
                  <w:pPr>
                    <w:adjustRightInd w:val="0"/>
                    <w:jc w:val="center"/>
                    <w:rPr>
                      <w:b/>
                      <w:bCs/>
                      <w:color w:val="auto"/>
                      <w:szCs w:val="21"/>
                    </w:rPr>
                  </w:pPr>
                  <w:r>
                    <w:rPr>
                      <w:rFonts w:hint="eastAsia"/>
                      <w:b/>
                      <w:bCs/>
                      <w:color w:val="auto"/>
                      <w:szCs w:val="21"/>
                    </w:rPr>
                    <w:t>产生量（t/a）</w:t>
                  </w:r>
                </w:p>
              </w:tc>
              <w:tc>
                <w:tcPr>
                  <w:tcW w:w="1365" w:type="pct"/>
                  <w:vAlign w:val="center"/>
                </w:tcPr>
                <w:p w14:paraId="525A457E">
                  <w:pPr>
                    <w:adjustRightInd w:val="0"/>
                    <w:jc w:val="center"/>
                    <w:rPr>
                      <w:b/>
                      <w:bCs/>
                      <w:color w:val="auto"/>
                      <w:szCs w:val="21"/>
                    </w:rPr>
                  </w:pPr>
                  <w:r>
                    <w:rPr>
                      <w:rFonts w:hint="eastAsia"/>
                      <w:b/>
                      <w:bCs/>
                      <w:color w:val="auto"/>
                      <w:szCs w:val="21"/>
                    </w:rPr>
                    <w:t>处置方式</w:t>
                  </w:r>
                </w:p>
              </w:tc>
            </w:tr>
            <w:tr w14:paraId="13EBB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BAEE44A">
                  <w:pPr>
                    <w:adjustRightInd w:val="0"/>
                    <w:jc w:val="center"/>
                    <w:rPr>
                      <w:color w:val="auto"/>
                      <w:szCs w:val="21"/>
                    </w:rPr>
                  </w:pPr>
                  <w:r>
                    <w:rPr>
                      <w:rFonts w:hint="eastAsia"/>
                      <w:color w:val="auto"/>
                      <w:szCs w:val="21"/>
                    </w:rPr>
                    <w:t>1</w:t>
                  </w:r>
                </w:p>
              </w:tc>
              <w:tc>
                <w:tcPr>
                  <w:tcW w:w="600" w:type="pct"/>
                  <w:vAlign w:val="center"/>
                </w:tcPr>
                <w:p w14:paraId="5AC3E402">
                  <w:pPr>
                    <w:adjustRightInd w:val="0"/>
                    <w:jc w:val="center"/>
                    <w:rPr>
                      <w:color w:val="auto"/>
                      <w:szCs w:val="21"/>
                    </w:rPr>
                  </w:pPr>
                  <w:r>
                    <w:rPr>
                      <w:rFonts w:hint="eastAsia"/>
                      <w:color w:val="auto"/>
                      <w:szCs w:val="21"/>
                    </w:rPr>
                    <w:t>废边角料</w:t>
                  </w:r>
                </w:p>
              </w:tc>
              <w:tc>
                <w:tcPr>
                  <w:tcW w:w="1367" w:type="pct"/>
                  <w:vAlign w:val="center"/>
                </w:tcPr>
                <w:p w14:paraId="0117F08E">
                  <w:pPr>
                    <w:adjustRightInd w:val="0"/>
                    <w:jc w:val="center"/>
                    <w:rPr>
                      <w:color w:val="auto"/>
                      <w:szCs w:val="21"/>
                    </w:rPr>
                  </w:pPr>
                  <w:r>
                    <w:rPr>
                      <w:rFonts w:hint="eastAsia"/>
                      <w:color w:val="auto"/>
                      <w:szCs w:val="21"/>
                    </w:rPr>
                    <w:t>铁件下料、机加工</w:t>
                  </w:r>
                </w:p>
              </w:tc>
              <w:tc>
                <w:tcPr>
                  <w:tcW w:w="174" w:type="pct"/>
                  <w:vAlign w:val="center"/>
                </w:tcPr>
                <w:p w14:paraId="3A380B73">
                  <w:pPr>
                    <w:adjustRightInd w:val="0"/>
                    <w:jc w:val="center"/>
                    <w:rPr>
                      <w:color w:val="auto"/>
                      <w:szCs w:val="21"/>
                    </w:rPr>
                  </w:pPr>
                  <w:r>
                    <w:rPr>
                      <w:rFonts w:hint="eastAsia"/>
                      <w:color w:val="auto"/>
                      <w:szCs w:val="21"/>
                    </w:rPr>
                    <w:t>固态</w:t>
                  </w:r>
                </w:p>
              </w:tc>
              <w:tc>
                <w:tcPr>
                  <w:tcW w:w="344" w:type="pct"/>
                  <w:vAlign w:val="center"/>
                </w:tcPr>
                <w:p w14:paraId="1DF3A7AB">
                  <w:pPr>
                    <w:adjustRightInd w:val="0"/>
                    <w:jc w:val="center"/>
                    <w:rPr>
                      <w:color w:val="auto"/>
                      <w:szCs w:val="21"/>
                    </w:rPr>
                  </w:pPr>
                  <w:r>
                    <w:rPr>
                      <w:rFonts w:hint="eastAsia"/>
                      <w:color w:val="auto"/>
                      <w:szCs w:val="21"/>
                    </w:rPr>
                    <w:t>一般固废</w:t>
                  </w:r>
                </w:p>
              </w:tc>
              <w:tc>
                <w:tcPr>
                  <w:tcW w:w="448" w:type="pct"/>
                  <w:vAlign w:val="center"/>
                </w:tcPr>
                <w:p w14:paraId="4C4865CD">
                  <w:pPr>
                    <w:adjustRightInd w:val="0"/>
                    <w:jc w:val="center"/>
                    <w:rPr>
                      <w:color w:val="auto"/>
                      <w:szCs w:val="21"/>
                    </w:rPr>
                  </w:pPr>
                  <w:r>
                    <w:rPr>
                      <w:rFonts w:hint="eastAsia"/>
                      <w:color w:val="auto"/>
                      <w:szCs w:val="21"/>
                    </w:rPr>
                    <w:t>SW17</w:t>
                  </w:r>
                </w:p>
                <w:p w14:paraId="551F908C">
                  <w:pPr>
                    <w:adjustRightInd w:val="0"/>
                    <w:jc w:val="center"/>
                    <w:rPr>
                      <w:color w:val="auto"/>
                      <w:szCs w:val="21"/>
                      <w:highlight w:val="yellow"/>
                    </w:rPr>
                  </w:pPr>
                  <w:r>
                    <w:rPr>
                      <w:rFonts w:hint="eastAsia"/>
                      <w:color w:val="auto"/>
                      <w:szCs w:val="21"/>
                    </w:rPr>
                    <w:t>900-001-S17</w:t>
                  </w:r>
                </w:p>
              </w:tc>
              <w:tc>
                <w:tcPr>
                  <w:tcW w:w="526" w:type="pct"/>
                  <w:vAlign w:val="center"/>
                </w:tcPr>
                <w:p w14:paraId="6095AE4A">
                  <w:pPr>
                    <w:adjustRightInd w:val="0"/>
                    <w:jc w:val="center"/>
                    <w:rPr>
                      <w:color w:val="auto"/>
                      <w:szCs w:val="21"/>
                    </w:rPr>
                  </w:pPr>
                  <w:r>
                    <w:rPr>
                      <w:rFonts w:hint="eastAsia"/>
                      <w:color w:val="auto"/>
                      <w:szCs w:val="21"/>
                    </w:rPr>
                    <w:t>45</w:t>
                  </w:r>
                </w:p>
              </w:tc>
              <w:tc>
                <w:tcPr>
                  <w:tcW w:w="1365" w:type="pct"/>
                  <w:vMerge w:val="restart"/>
                  <w:vAlign w:val="center"/>
                </w:tcPr>
                <w:p w14:paraId="491F1677">
                  <w:pPr>
                    <w:adjustRightInd w:val="0"/>
                    <w:jc w:val="center"/>
                    <w:rPr>
                      <w:color w:val="auto"/>
                      <w:szCs w:val="21"/>
                    </w:rPr>
                  </w:pPr>
                  <w:r>
                    <w:rPr>
                      <w:rFonts w:hint="eastAsia"/>
                      <w:color w:val="auto"/>
                      <w:szCs w:val="21"/>
                    </w:rPr>
                    <w:t>由物资回收单位回收综合利用</w:t>
                  </w:r>
                </w:p>
              </w:tc>
            </w:tr>
            <w:tr w14:paraId="0F01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11ACF75C">
                  <w:pPr>
                    <w:adjustRightInd w:val="0"/>
                    <w:jc w:val="center"/>
                    <w:rPr>
                      <w:color w:val="auto"/>
                      <w:szCs w:val="21"/>
                    </w:rPr>
                  </w:pPr>
                  <w:r>
                    <w:rPr>
                      <w:rFonts w:hint="eastAsia"/>
                      <w:color w:val="auto"/>
                      <w:szCs w:val="21"/>
                    </w:rPr>
                    <w:t>2</w:t>
                  </w:r>
                </w:p>
              </w:tc>
              <w:tc>
                <w:tcPr>
                  <w:tcW w:w="600" w:type="pct"/>
                  <w:vAlign w:val="center"/>
                </w:tcPr>
                <w:p w14:paraId="2341A462">
                  <w:pPr>
                    <w:adjustRightInd w:val="0"/>
                    <w:jc w:val="center"/>
                    <w:rPr>
                      <w:color w:val="auto"/>
                      <w:szCs w:val="21"/>
                    </w:rPr>
                  </w:pPr>
                  <w:r>
                    <w:rPr>
                      <w:rFonts w:hint="eastAsia"/>
                      <w:color w:val="auto"/>
                      <w:szCs w:val="21"/>
                    </w:rPr>
                    <w:t>废塑粉</w:t>
                  </w:r>
                </w:p>
              </w:tc>
              <w:tc>
                <w:tcPr>
                  <w:tcW w:w="1367" w:type="pct"/>
                  <w:vAlign w:val="center"/>
                </w:tcPr>
                <w:p w14:paraId="4EF033CF">
                  <w:pPr>
                    <w:adjustRightInd w:val="0"/>
                    <w:jc w:val="center"/>
                    <w:rPr>
                      <w:color w:val="auto"/>
                      <w:szCs w:val="21"/>
                    </w:rPr>
                  </w:pPr>
                  <w:r>
                    <w:rPr>
                      <w:rFonts w:hint="eastAsia"/>
                      <w:color w:val="auto"/>
                      <w:szCs w:val="21"/>
                    </w:rPr>
                    <w:t>喷粉</w:t>
                  </w:r>
                </w:p>
              </w:tc>
              <w:tc>
                <w:tcPr>
                  <w:tcW w:w="174" w:type="pct"/>
                  <w:vAlign w:val="center"/>
                </w:tcPr>
                <w:p w14:paraId="220BFD80">
                  <w:pPr>
                    <w:adjustRightInd w:val="0"/>
                    <w:jc w:val="center"/>
                    <w:rPr>
                      <w:color w:val="auto"/>
                      <w:szCs w:val="21"/>
                    </w:rPr>
                  </w:pPr>
                  <w:r>
                    <w:rPr>
                      <w:rFonts w:hint="eastAsia"/>
                      <w:color w:val="auto"/>
                      <w:szCs w:val="21"/>
                    </w:rPr>
                    <w:t>固态</w:t>
                  </w:r>
                </w:p>
              </w:tc>
              <w:tc>
                <w:tcPr>
                  <w:tcW w:w="344" w:type="pct"/>
                  <w:vAlign w:val="center"/>
                </w:tcPr>
                <w:p w14:paraId="76D19551">
                  <w:pPr>
                    <w:adjustRightInd w:val="0"/>
                    <w:jc w:val="center"/>
                    <w:rPr>
                      <w:color w:val="auto"/>
                      <w:szCs w:val="21"/>
                    </w:rPr>
                  </w:pPr>
                  <w:r>
                    <w:rPr>
                      <w:rFonts w:hint="eastAsia"/>
                      <w:color w:val="auto"/>
                      <w:szCs w:val="21"/>
                    </w:rPr>
                    <w:t>一般固废</w:t>
                  </w:r>
                </w:p>
              </w:tc>
              <w:tc>
                <w:tcPr>
                  <w:tcW w:w="448" w:type="pct"/>
                  <w:vAlign w:val="center"/>
                </w:tcPr>
                <w:p w14:paraId="7AEE6E10">
                  <w:pPr>
                    <w:adjustRightInd w:val="0"/>
                    <w:jc w:val="center"/>
                    <w:rPr>
                      <w:color w:val="auto"/>
                      <w:szCs w:val="21"/>
                    </w:rPr>
                  </w:pPr>
                  <w:r>
                    <w:rPr>
                      <w:rFonts w:hint="eastAsia"/>
                      <w:color w:val="auto"/>
                      <w:szCs w:val="21"/>
                    </w:rPr>
                    <w:t>SW17</w:t>
                  </w:r>
                </w:p>
                <w:p w14:paraId="0C16820A">
                  <w:pPr>
                    <w:adjustRightInd w:val="0"/>
                    <w:jc w:val="center"/>
                    <w:rPr>
                      <w:color w:val="auto"/>
                      <w:szCs w:val="21"/>
                    </w:rPr>
                  </w:pPr>
                  <w:r>
                    <w:rPr>
                      <w:rFonts w:hint="eastAsia"/>
                      <w:color w:val="auto"/>
                      <w:szCs w:val="21"/>
                    </w:rPr>
                    <w:t>900-099-S17</w:t>
                  </w:r>
                </w:p>
              </w:tc>
              <w:tc>
                <w:tcPr>
                  <w:tcW w:w="526" w:type="pct"/>
                  <w:vAlign w:val="center"/>
                </w:tcPr>
                <w:p w14:paraId="6708FDC0">
                  <w:pPr>
                    <w:adjustRightInd w:val="0"/>
                    <w:jc w:val="center"/>
                    <w:rPr>
                      <w:color w:val="auto"/>
                      <w:szCs w:val="21"/>
                    </w:rPr>
                  </w:pPr>
                  <w:r>
                    <w:rPr>
                      <w:rFonts w:hint="eastAsia"/>
                      <w:color w:val="auto"/>
                      <w:szCs w:val="21"/>
                    </w:rPr>
                    <w:t>1.5</w:t>
                  </w:r>
                </w:p>
              </w:tc>
              <w:tc>
                <w:tcPr>
                  <w:tcW w:w="1365" w:type="pct"/>
                  <w:vMerge w:val="continue"/>
                  <w:vAlign w:val="center"/>
                </w:tcPr>
                <w:p w14:paraId="27CFEFDE">
                  <w:pPr>
                    <w:adjustRightInd w:val="0"/>
                    <w:jc w:val="center"/>
                    <w:rPr>
                      <w:color w:val="auto"/>
                      <w:szCs w:val="21"/>
                    </w:rPr>
                  </w:pPr>
                </w:p>
              </w:tc>
            </w:tr>
            <w:tr w14:paraId="12F32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E837713">
                  <w:pPr>
                    <w:adjustRightInd w:val="0"/>
                    <w:jc w:val="center"/>
                    <w:rPr>
                      <w:color w:val="auto"/>
                      <w:szCs w:val="21"/>
                    </w:rPr>
                  </w:pPr>
                  <w:r>
                    <w:rPr>
                      <w:rFonts w:hint="eastAsia"/>
                      <w:color w:val="auto"/>
                      <w:szCs w:val="21"/>
                    </w:rPr>
                    <w:t>3</w:t>
                  </w:r>
                </w:p>
              </w:tc>
              <w:tc>
                <w:tcPr>
                  <w:tcW w:w="600" w:type="pct"/>
                  <w:vAlign w:val="center"/>
                </w:tcPr>
                <w:p w14:paraId="3028C8AD">
                  <w:pPr>
                    <w:adjustRightInd w:val="0"/>
                    <w:jc w:val="center"/>
                    <w:rPr>
                      <w:color w:val="auto"/>
                      <w:szCs w:val="21"/>
                    </w:rPr>
                  </w:pPr>
                  <w:r>
                    <w:rPr>
                      <w:rFonts w:hint="eastAsia"/>
                      <w:color w:val="auto"/>
                      <w:szCs w:val="21"/>
                    </w:rPr>
                    <w:t>边角料</w:t>
                  </w:r>
                </w:p>
              </w:tc>
              <w:tc>
                <w:tcPr>
                  <w:tcW w:w="1367" w:type="pct"/>
                  <w:vAlign w:val="center"/>
                </w:tcPr>
                <w:p w14:paraId="1EC4F3FB">
                  <w:pPr>
                    <w:adjustRightInd w:val="0"/>
                    <w:jc w:val="center"/>
                    <w:rPr>
                      <w:color w:val="auto"/>
                      <w:szCs w:val="21"/>
                    </w:rPr>
                  </w:pPr>
                  <w:r>
                    <w:rPr>
                      <w:rFonts w:hint="eastAsia"/>
                      <w:color w:val="auto"/>
                      <w:szCs w:val="21"/>
                    </w:rPr>
                    <w:t>多层板下料、刨槽等工序</w:t>
                  </w:r>
                </w:p>
              </w:tc>
              <w:tc>
                <w:tcPr>
                  <w:tcW w:w="174" w:type="pct"/>
                  <w:vAlign w:val="center"/>
                </w:tcPr>
                <w:p w14:paraId="63DC0128">
                  <w:pPr>
                    <w:adjustRightInd w:val="0"/>
                    <w:jc w:val="center"/>
                    <w:rPr>
                      <w:color w:val="auto"/>
                      <w:szCs w:val="21"/>
                    </w:rPr>
                  </w:pPr>
                  <w:r>
                    <w:rPr>
                      <w:rFonts w:hint="eastAsia"/>
                      <w:color w:val="auto"/>
                      <w:szCs w:val="21"/>
                    </w:rPr>
                    <w:t>固态</w:t>
                  </w:r>
                </w:p>
              </w:tc>
              <w:tc>
                <w:tcPr>
                  <w:tcW w:w="344" w:type="pct"/>
                  <w:vAlign w:val="center"/>
                </w:tcPr>
                <w:p w14:paraId="33C33764">
                  <w:pPr>
                    <w:adjustRightInd w:val="0"/>
                    <w:jc w:val="center"/>
                    <w:rPr>
                      <w:color w:val="auto"/>
                      <w:szCs w:val="21"/>
                    </w:rPr>
                  </w:pPr>
                  <w:r>
                    <w:rPr>
                      <w:rFonts w:hint="eastAsia"/>
                      <w:color w:val="auto"/>
                      <w:szCs w:val="21"/>
                    </w:rPr>
                    <w:t>一般固废</w:t>
                  </w:r>
                </w:p>
              </w:tc>
              <w:tc>
                <w:tcPr>
                  <w:tcW w:w="448" w:type="pct"/>
                  <w:vAlign w:val="center"/>
                </w:tcPr>
                <w:p w14:paraId="208D2CAB">
                  <w:pPr>
                    <w:adjustRightInd w:val="0"/>
                    <w:jc w:val="center"/>
                    <w:rPr>
                      <w:color w:val="auto"/>
                      <w:szCs w:val="21"/>
                    </w:rPr>
                  </w:pPr>
                  <w:r>
                    <w:rPr>
                      <w:rFonts w:hint="eastAsia"/>
                      <w:color w:val="auto"/>
                      <w:szCs w:val="21"/>
                    </w:rPr>
                    <w:t>SW17</w:t>
                  </w:r>
                </w:p>
                <w:p w14:paraId="7459A4C0">
                  <w:pPr>
                    <w:adjustRightInd w:val="0"/>
                    <w:jc w:val="center"/>
                    <w:rPr>
                      <w:color w:val="auto"/>
                      <w:szCs w:val="21"/>
                    </w:rPr>
                  </w:pPr>
                  <w:r>
                    <w:rPr>
                      <w:rFonts w:hint="eastAsia"/>
                      <w:color w:val="auto"/>
                      <w:szCs w:val="21"/>
                    </w:rPr>
                    <w:t>900-009-S17</w:t>
                  </w:r>
                </w:p>
              </w:tc>
              <w:tc>
                <w:tcPr>
                  <w:tcW w:w="526" w:type="pct"/>
                  <w:vAlign w:val="center"/>
                </w:tcPr>
                <w:p w14:paraId="653BE1F7">
                  <w:pPr>
                    <w:adjustRightInd w:val="0"/>
                    <w:jc w:val="center"/>
                    <w:rPr>
                      <w:color w:val="auto"/>
                      <w:szCs w:val="21"/>
                    </w:rPr>
                  </w:pPr>
                  <w:r>
                    <w:rPr>
                      <w:rFonts w:hint="eastAsia"/>
                      <w:color w:val="auto"/>
                      <w:szCs w:val="21"/>
                    </w:rPr>
                    <w:t>1.0</w:t>
                  </w:r>
                </w:p>
              </w:tc>
              <w:tc>
                <w:tcPr>
                  <w:tcW w:w="1365" w:type="pct"/>
                  <w:vMerge w:val="continue"/>
                  <w:vAlign w:val="center"/>
                </w:tcPr>
                <w:p w14:paraId="2012A592">
                  <w:pPr>
                    <w:adjustRightInd w:val="0"/>
                    <w:jc w:val="center"/>
                    <w:rPr>
                      <w:color w:val="auto"/>
                      <w:szCs w:val="21"/>
                    </w:rPr>
                  </w:pPr>
                </w:p>
              </w:tc>
            </w:tr>
            <w:tr w14:paraId="2DA76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72D4F44">
                  <w:pPr>
                    <w:adjustRightInd w:val="0"/>
                    <w:jc w:val="center"/>
                    <w:rPr>
                      <w:color w:val="auto"/>
                      <w:szCs w:val="21"/>
                    </w:rPr>
                  </w:pPr>
                  <w:r>
                    <w:rPr>
                      <w:rFonts w:hint="eastAsia"/>
                      <w:color w:val="auto"/>
                      <w:szCs w:val="21"/>
                    </w:rPr>
                    <w:t>4</w:t>
                  </w:r>
                </w:p>
              </w:tc>
              <w:tc>
                <w:tcPr>
                  <w:tcW w:w="600" w:type="pct"/>
                  <w:vAlign w:val="center"/>
                </w:tcPr>
                <w:p w14:paraId="36C62FC3">
                  <w:pPr>
                    <w:adjustRightInd w:val="0"/>
                    <w:jc w:val="center"/>
                    <w:rPr>
                      <w:color w:val="auto"/>
                      <w:szCs w:val="21"/>
                    </w:rPr>
                  </w:pPr>
                  <w:r>
                    <w:rPr>
                      <w:rFonts w:hint="eastAsia"/>
                      <w:color w:val="auto"/>
                      <w:szCs w:val="21"/>
                    </w:rPr>
                    <w:t>边角料</w:t>
                  </w:r>
                </w:p>
              </w:tc>
              <w:tc>
                <w:tcPr>
                  <w:tcW w:w="1367" w:type="pct"/>
                  <w:vAlign w:val="center"/>
                </w:tcPr>
                <w:p w14:paraId="1ADBE0FE">
                  <w:pPr>
                    <w:adjustRightInd w:val="0"/>
                    <w:jc w:val="center"/>
                    <w:rPr>
                      <w:color w:val="auto"/>
                      <w:szCs w:val="21"/>
                    </w:rPr>
                  </w:pPr>
                  <w:r>
                    <w:rPr>
                      <w:rFonts w:hint="eastAsia"/>
                      <w:color w:val="auto"/>
                      <w:szCs w:val="21"/>
                    </w:rPr>
                    <w:t>密度板下料、雕刻等工序</w:t>
                  </w:r>
                </w:p>
              </w:tc>
              <w:tc>
                <w:tcPr>
                  <w:tcW w:w="174" w:type="pct"/>
                  <w:vAlign w:val="center"/>
                </w:tcPr>
                <w:p w14:paraId="3869047E">
                  <w:pPr>
                    <w:adjustRightInd w:val="0"/>
                    <w:jc w:val="center"/>
                    <w:rPr>
                      <w:color w:val="auto"/>
                      <w:szCs w:val="21"/>
                    </w:rPr>
                  </w:pPr>
                  <w:r>
                    <w:rPr>
                      <w:rFonts w:hint="eastAsia"/>
                      <w:color w:val="auto"/>
                      <w:szCs w:val="21"/>
                    </w:rPr>
                    <w:t>固态</w:t>
                  </w:r>
                </w:p>
              </w:tc>
              <w:tc>
                <w:tcPr>
                  <w:tcW w:w="344" w:type="pct"/>
                  <w:vAlign w:val="center"/>
                </w:tcPr>
                <w:p w14:paraId="20A19596">
                  <w:pPr>
                    <w:adjustRightInd w:val="0"/>
                    <w:jc w:val="center"/>
                    <w:rPr>
                      <w:color w:val="auto"/>
                      <w:szCs w:val="21"/>
                    </w:rPr>
                  </w:pPr>
                  <w:r>
                    <w:rPr>
                      <w:rFonts w:hint="eastAsia"/>
                      <w:color w:val="auto"/>
                      <w:szCs w:val="21"/>
                    </w:rPr>
                    <w:t>一般固废</w:t>
                  </w:r>
                </w:p>
              </w:tc>
              <w:tc>
                <w:tcPr>
                  <w:tcW w:w="448" w:type="pct"/>
                  <w:vAlign w:val="center"/>
                </w:tcPr>
                <w:p w14:paraId="6F30C242">
                  <w:pPr>
                    <w:adjustRightInd w:val="0"/>
                    <w:jc w:val="center"/>
                    <w:rPr>
                      <w:color w:val="auto"/>
                      <w:szCs w:val="21"/>
                    </w:rPr>
                  </w:pPr>
                  <w:r>
                    <w:rPr>
                      <w:rFonts w:hint="eastAsia"/>
                      <w:color w:val="auto"/>
                      <w:szCs w:val="21"/>
                    </w:rPr>
                    <w:t>SW17</w:t>
                  </w:r>
                </w:p>
                <w:p w14:paraId="5B62E55F">
                  <w:pPr>
                    <w:adjustRightInd w:val="0"/>
                    <w:jc w:val="center"/>
                    <w:rPr>
                      <w:color w:val="auto"/>
                      <w:szCs w:val="21"/>
                    </w:rPr>
                  </w:pPr>
                  <w:r>
                    <w:rPr>
                      <w:rFonts w:hint="eastAsia"/>
                      <w:color w:val="auto"/>
                      <w:szCs w:val="21"/>
                    </w:rPr>
                    <w:t>900-009-S17</w:t>
                  </w:r>
                </w:p>
              </w:tc>
              <w:tc>
                <w:tcPr>
                  <w:tcW w:w="526" w:type="pct"/>
                  <w:vAlign w:val="center"/>
                </w:tcPr>
                <w:p w14:paraId="45E464E6">
                  <w:pPr>
                    <w:adjustRightInd w:val="0"/>
                    <w:jc w:val="center"/>
                    <w:rPr>
                      <w:color w:val="auto"/>
                      <w:szCs w:val="21"/>
                    </w:rPr>
                  </w:pPr>
                  <w:r>
                    <w:rPr>
                      <w:rFonts w:hint="eastAsia"/>
                      <w:color w:val="auto"/>
                      <w:szCs w:val="21"/>
                    </w:rPr>
                    <w:t>7.6</w:t>
                  </w:r>
                </w:p>
              </w:tc>
              <w:tc>
                <w:tcPr>
                  <w:tcW w:w="1365" w:type="pct"/>
                  <w:vMerge w:val="continue"/>
                  <w:vAlign w:val="center"/>
                </w:tcPr>
                <w:p w14:paraId="274E2051">
                  <w:pPr>
                    <w:adjustRightInd w:val="0"/>
                    <w:jc w:val="center"/>
                    <w:rPr>
                      <w:color w:val="auto"/>
                      <w:szCs w:val="21"/>
                    </w:rPr>
                  </w:pPr>
                </w:p>
              </w:tc>
            </w:tr>
            <w:tr w14:paraId="00558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FDD554A">
                  <w:pPr>
                    <w:adjustRightInd w:val="0"/>
                    <w:jc w:val="center"/>
                    <w:rPr>
                      <w:color w:val="auto"/>
                      <w:szCs w:val="21"/>
                    </w:rPr>
                  </w:pPr>
                  <w:r>
                    <w:rPr>
                      <w:rFonts w:hint="eastAsia"/>
                      <w:color w:val="auto"/>
                      <w:szCs w:val="21"/>
                    </w:rPr>
                    <w:t>5</w:t>
                  </w:r>
                </w:p>
              </w:tc>
              <w:tc>
                <w:tcPr>
                  <w:tcW w:w="600" w:type="pct"/>
                  <w:vAlign w:val="center"/>
                </w:tcPr>
                <w:p w14:paraId="651A6FDE">
                  <w:pPr>
                    <w:adjustRightInd w:val="0"/>
                    <w:jc w:val="center"/>
                    <w:rPr>
                      <w:color w:val="auto"/>
                      <w:szCs w:val="21"/>
                    </w:rPr>
                  </w:pPr>
                  <w:r>
                    <w:rPr>
                      <w:rFonts w:hint="eastAsia"/>
                      <w:color w:val="auto"/>
                      <w:szCs w:val="21"/>
                    </w:rPr>
                    <w:t>废钻头</w:t>
                  </w:r>
                </w:p>
              </w:tc>
              <w:tc>
                <w:tcPr>
                  <w:tcW w:w="1367" w:type="pct"/>
                  <w:vAlign w:val="center"/>
                </w:tcPr>
                <w:p w14:paraId="36E188F9">
                  <w:pPr>
                    <w:adjustRightInd w:val="0"/>
                    <w:jc w:val="center"/>
                    <w:rPr>
                      <w:color w:val="auto"/>
                      <w:szCs w:val="21"/>
                    </w:rPr>
                  </w:pPr>
                  <w:r>
                    <w:rPr>
                      <w:rFonts w:hint="eastAsia"/>
                      <w:color w:val="auto"/>
                      <w:szCs w:val="21"/>
                    </w:rPr>
                    <w:t>钻孔工序</w:t>
                  </w:r>
                </w:p>
              </w:tc>
              <w:tc>
                <w:tcPr>
                  <w:tcW w:w="174" w:type="pct"/>
                  <w:vAlign w:val="center"/>
                </w:tcPr>
                <w:p w14:paraId="2AD0B346">
                  <w:pPr>
                    <w:adjustRightInd w:val="0"/>
                    <w:jc w:val="center"/>
                    <w:rPr>
                      <w:color w:val="auto"/>
                      <w:szCs w:val="21"/>
                    </w:rPr>
                  </w:pPr>
                  <w:r>
                    <w:rPr>
                      <w:rFonts w:hint="eastAsia"/>
                      <w:color w:val="auto"/>
                      <w:szCs w:val="21"/>
                    </w:rPr>
                    <w:t>固态</w:t>
                  </w:r>
                </w:p>
              </w:tc>
              <w:tc>
                <w:tcPr>
                  <w:tcW w:w="344" w:type="pct"/>
                  <w:vAlign w:val="center"/>
                </w:tcPr>
                <w:p w14:paraId="294E14DF">
                  <w:pPr>
                    <w:adjustRightInd w:val="0"/>
                    <w:jc w:val="center"/>
                    <w:rPr>
                      <w:color w:val="auto"/>
                      <w:szCs w:val="21"/>
                    </w:rPr>
                  </w:pPr>
                  <w:r>
                    <w:rPr>
                      <w:rFonts w:hint="eastAsia"/>
                      <w:color w:val="auto"/>
                      <w:szCs w:val="21"/>
                    </w:rPr>
                    <w:t>一般固废</w:t>
                  </w:r>
                </w:p>
              </w:tc>
              <w:tc>
                <w:tcPr>
                  <w:tcW w:w="448" w:type="pct"/>
                  <w:vAlign w:val="center"/>
                </w:tcPr>
                <w:p w14:paraId="2874C87F">
                  <w:pPr>
                    <w:adjustRightInd w:val="0"/>
                    <w:jc w:val="center"/>
                    <w:rPr>
                      <w:color w:val="auto"/>
                      <w:szCs w:val="21"/>
                    </w:rPr>
                  </w:pPr>
                  <w:r>
                    <w:rPr>
                      <w:rFonts w:hint="eastAsia"/>
                      <w:color w:val="auto"/>
                      <w:szCs w:val="21"/>
                    </w:rPr>
                    <w:t>SW17</w:t>
                  </w:r>
                </w:p>
                <w:p w14:paraId="4BD9FB9E">
                  <w:pPr>
                    <w:adjustRightInd w:val="0"/>
                    <w:jc w:val="center"/>
                    <w:rPr>
                      <w:color w:val="auto"/>
                      <w:szCs w:val="21"/>
                    </w:rPr>
                  </w:pPr>
                  <w:r>
                    <w:rPr>
                      <w:rFonts w:hint="eastAsia"/>
                      <w:color w:val="auto"/>
                      <w:szCs w:val="21"/>
                    </w:rPr>
                    <w:t>900-001-S17</w:t>
                  </w:r>
                </w:p>
              </w:tc>
              <w:tc>
                <w:tcPr>
                  <w:tcW w:w="526" w:type="pct"/>
                  <w:vAlign w:val="center"/>
                </w:tcPr>
                <w:p w14:paraId="54EBBE66">
                  <w:pPr>
                    <w:adjustRightInd w:val="0"/>
                    <w:jc w:val="center"/>
                    <w:rPr>
                      <w:color w:val="auto"/>
                      <w:szCs w:val="21"/>
                    </w:rPr>
                  </w:pPr>
                  <w:r>
                    <w:rPr>
                      <w:rFonts w:hint="eastAsia"/>
                      <w:color w:val="auto"/>
                      <w:szCs w:val="21"/>
                    </w:rPr>
                    <w:t>0.05</w:t>
                  </w:r>
                </w:p>
              </w:tc>
              <w:tc>
                <w:tcPr>
                  <w:tcW w:w="1365" w:type="pct"/>
                  <w:vMerge w:val="continue"/>
                  <w:vAlign w:val="center"/>
                </w:tcPr>
                <w:p w14:paraId="4A3D7408">
                  <w:pPr>
                    <w:adjustRightInd w:val="0"/>
                    <w:jc w:val="center"/>
                    <w:rPr>
                      <w:color w:val="auto"/>
                      <w:szCs w:val="21"/>
                    </w:rPr>
                  </w:pPr>
                </w:p>
              </w:tc>
            </w:tr>
            <w:tr w14:paraId="27023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2336CB0E">
                  <w:pPr>
                    <w:adjustRightInd w:val="0"/>
                    <w:jc w:val="center"/>
                    <w:rPr>
                      <w:color w:val="auto"/>
                      <w:szCs w:val="21"/>
                    </w:rPr>
                  </w:pPr>
                  <w:r>
                    <w:rPr>
                      <w:rFonts w:hint="eastAsia"/>
                      <w:color w:val="auto"/>
                      <w:szCs w:val="21"/>
                    </w:rPr>
                    <w:t>6</w:t>
                  </w:r>
                </w:p>
              </w:tc>
              <w:tc>
                <w:tcPr>
                  <w:tcW w:w="600" w:type="pct"/>
                  <w:vAlign w:val="center"/>
                </w:tcPr>
                <w:p w14:paraId="709FB9DC">
                  <w:pPr>
                    <w:adjustRightInd w:val="0"/>
                    <w:jc w:val="center"/>
                    <w:rPr>
                      <w:color w:val="auto"/>
                      <w:szCs w:val="21"/>
                    </w:rPr>
                  </w:pPr>
                  <w:r>
                    <w:rPr>
                      <w:rFonts w:hint="eastAsia"/>
                      <w:color w:val="auto"/>
                      <w:szCs w:val="21"/>
                    </w:rPr>
                    <w:t>废砂光片</w:t>
                  </w:r>
                </w:p>
              </w:tc>
              <w:tc>
                <w:tcPr>
                  <w:tcW w:w="1367" w:type="pct"/>
                  <w:vAlign w:val="center"/>
                </w:tcPr>
                <w:p w14:paraId="2DEAB8C2">
                  <w:pPr>
                    <w:adjustRightInd w:val="0"/>
                    <w:jc w:val="center"/>
                    <w:rPr>
                      <w:color w:val="auto"/>
                      <w:szCs w:val="21"/>
                    </w:rPr>
                  </w:pPr>
                  <w:r>
                    <w:rPr>
                      <w:rFonts w:hint="eastAsia"/>
                      <w:color w:val="auto"/>
                      <w:szCs w:val="21"/>
                    </w:rPr>
                    <w:t>砂光工序</w:t>
                  </w:r>
                </w:p>
              </w:tc>
              <w:tc>
                <w:tcPr>
                  <w:tcW w:w="174" w:type="pct"/>
                  <w:vAlign w:val="center"/>
                </w:tcPr>
                <w:p w14:paraId="4A9014D3">
                  <w:pPr>
                    <w:adjustRightInd w:val="0"/>
                    <w:jc w:val="center"/>
                    <w:rPr>
                      <w:color w:val="auto"/>
                      <w:szCs w:val="21"/>
                    </w:rPr>
                  </w:pPr>
                  <w:r>
                    <w:rPr>
                      <w:rFonts w:hint="eastAsia"/>
                      <w:color w:val="auto"/>
                      <w:szCs w:val="21"/>
                    </w:rPr>
                    <w:t>固态</w:t>
                  </w:r>
                </w:p>
              </w:tc>
              <w:tc>
                <w:tcPr>
                  <w:tcW w:w="344" w:type="pct"/>
                  <w:vAlign w:val="center"/>
                </w:tcPr>
                <w:p w14:paraId="68066E1D">
                  <w:pPr>
                    <w:adjustRightInd w:val="0"/>
                    <w:jc w:val="center"/>
                    <w:rPr>
                      <w:color w:val="auto"/>
                      <w:szCs w:val="21"/>
                    </w:rPr>
                  </w:pPr>
                  <w:r>
                    <w:rPr>
                      <w:rFonts w:hint="eastAsia"/>
                      <w:color w:val="auto"/>
                      <w:szCs w:val="21"/>
                    </w:rPr>
                    <w:t>一般固废</w:t>
                  </w:r>
                </w:p>
              </w:tc>
              <w:tc>
                <w:tcPr>
                  <w:tcW w:w="448" w:type="pct"/>
                  <w:vAlign w:val="center"/>
                </w:tcPr>
                <w:p w14:paraId="0447FD0B">
                  <w:pPr>
                    <w:adjustRightInd w:val="0"/>
                    <w:jc w:val="center"/>
                    <w:rPr>
                      <w:color w:val="auto"/>
                      <w:szCs w:val="21"/>
                    </w:rPr>
                  </w:pPr>
                  <w:r>
                    <w:rPr>
                      <w:rFonts w:hint="eastAsia"/>
                      <w:color w:val="auto"/>
                      <w:szCs w:val="21"/>
                    </w:rPr>
                    <w:t>SW17</w:t>
                  </w:r>
                </w:p>
                <w:p w14:paraId="433FCE70">
                  <w:pPr>
                    <w:adjustRightInd w:val="0"/>
                    <w:jc w:val="center"/>
                    <w:rPr>
                      <w:color w:val="auto"/>
                      <w:szCs w:val="21"/>
                    </w:rPr>
                  </w:pPr>
                  <w:r>
                    <w:rPr>
                      <w:rFonts w:hint="eastAsia"/>
                      <w:color w:val="auto"/>
                      <w:szCs w:val="21"/>
                    </w:rPr>
                    <w:t>900-001-S17</w:t>
                  </w:r>
                </w:p>
              </w:tc>
              <w:tc>
                <w:tcPr>
                  <w:tcW w:w="526" w:type="pct"/>
                  <w:vAlign w:val="center"/>
                </w:tcPr>
                <w:p w14:paraId="3A541656">
                  <w:pPr>
                    <w:adjustRightInd w:val="0"/>
                    <w:jc w:val="center"/>
                    <w:rPr>
                      <w:color w:val="auto"/>
                      <w:szCs w:val="21"/>
                    </w:rPr>
                  </w:pPr>
                  <w:r>
                    <w:rPr>
                      <w:rFonts w:hint="eastAsia"/>
                      <w:color w:val="auto"/>
                      <w:szCs w:val="21"/>
                    </w:rPr>
                    <w:t>0.02</w:t>
                  </w:r>
                </w:p>
              </w:tc>
              <w:tc>
                <w:tcPr>
                  <w:tcW w:w="1365" w:type="pct"/>
                  <w:vMerge w:val="continue"/>
                  <w:vAlign w:val="center"/>
                </w:tcPr>
                <w:p w14:paraId="69907CDC">
                  <w:pPr>
                    <w:adjustRightInd w:val="0"/>
                    <w:jc w:val="center"/>
                    <w:rPr>
                      <w:color w:val="auto"/>
                      <w:szCs w:val="21"/>
                    </w:rPr>
                  </w:pPr>
                </w:p>
              </w:tc>
            </w:tr>
            <w:tr w14:paraId="24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4D4C9C2E">
                  <w:pPr>
                    <w:adjustRightInd w:val="0"/>
                    <w:jc w:val="center"/>
                    <w:rPr>
                      <w:color w:val="auto"/>
                      <w:szCs w:val="21"/>
                    </w:rPr>
                  </w:pPr>
                  <w:r>
                    <w:rPr>
                      <w:rFonts w:hint="eastAsia"/>
                      <w:color w:val="auto"/>
                      <w:szCs w:val="21"/>
                    </w:rPr>
                    <w:t>7</w:t>
                  </w:r>
                </w:p>
              </w:tc>
              <w:tc>
                <w:tcPr>
                  <w:tcW w:w="600" w:type="pct"/>
                  <w:vAlign w:val="center"/>
                </w:tcPr>
                <w:p w14:paraId="367FDA23">
                  <w:pPr>
                    <w:adjustRightInd w:val="0"/>
                    <w:jc w:val="center"/>
                    <w:rPr>
                      <w:color w:val="auto"/>
                      <w:szCs w:val="21"/>
                    </w:rPr>
                  </w:pPr>
                  <w:r>
                    <w:rPr>
                      <w:rFonts w:hint="eastAsia"/>
                      <w:color w:val="auto"/>
                      <w:szCs w:val="21"/>
                    </w:rPr>
                    <w:t>废封边条</w:t>
                  </w:r>
                </w:p>
              </w:tc>
              <w:tc>
                <w:tcPr>
                  <w:tcW w:w="1367" w:type="pct"/>
                  <w:vAlign w:val="center"/>
                </w:tcPr>
                <w:p w14:paraId="58697281">
                  <w:pPr>
                    <w:adjustRightInd w:val="0"/>
                    <w:jc w:val="center"/>
                    <w:rPr>
                      <w:color w:val="auto"/>
                      <w:szCs w:val="21"/>
                    </w:rPr>
                  </w:pPr>
                  <w:r>
                    <w:rPr>
                      <w:rFonts w:hint="eastAsia"/>
                      <w:color w:val="auto"/>
                      <w:szCs w:val="21"/>
                    </w:rPr>
                    <w:t>封边工序</w:t>
                  </w:r>
                </w:p>
              </w:tc>
              <w:tc>
                <w:tcPr>
                  <w:tcW w:w="174" w:type="pct"/>
                  <w:vAlign w:val="center"/>
                </w:tcPr>
                <w:p w14:paraId="5BDE9C4C">
                  <w:pPr>
                    <w:adjustRightInd w:val="0"/>
                    <w:jc w:val="center"/>
                    <w:rPr>
                      <w:color w:val="auto"/>
                      <w:szCs w:val="21"/>
                    </w:rPr>
                  </w:pPr>
                  <w:r>
                    <w:rPr>
                      <w:rFonts w:hint="eastAsia"/>
                      <w:color w:val="auto"/>
                      <w:szCs w:val="21"/>
                    </w:rPr>
                    <w:t>固态</w:t>
                  </w:r>
                </w:p>
              </w:tc>
              <w:tc>
                <w:tcPr>
                  <w:tcW w:w="344" w:type="pct"/>
                  <w:vAlign w:val="center"/>
                </w:tcPr>
                <w:p w14:paraId="095A4618">
                  <w:pPr>
                    <w:adjustRightInd w:val="0"/>
                    <w:jc w:val="center"/>
                    <w:rPr>
                      <w:color w:val="auto"/>
                      <w:szCs w:val="21"/>
                    </w:rPr>
                  </w:pPr>
                  <w:r>
                    <w:rPr>
                      <w:rFonts w:hint="eastAsia"/>
                      <w:color w:val="auto"/>
                      <w:szCs w:val="21"/>
                    </w:rPr>
                    <w:t>一般固废</w:t>
                  </w:r>
                </w:p>
              </w:tc>
              <w:tc>
                <w:tcPr>
                  <w:tcW w:w="448" w:type="pct"/>
                  <w:vAlign w:val="center"/>
                </w:tcPr>
                <w:p w14:paraId="665E8EE7">
                  <w:pPr>
                    <w:adjustRightInd w:val="0"/>
                    <w:jc w:val="center"/>
                    <w:rPr>
                      <w:color w:val="auto"/>
                      <w:szCs w:val="21"/>
                    </w:rPr>
                  </w:pPr>
                  <w:r>
                    <w:rPr>
                      <w:rFonts w:hint="eastAsia"/>
                      <w:color w:val="auto"/>
                      <w:szCs w:val="21"/>
                    </w:rPr>
                    <w:t>SW17</w:t>
                  </w:r>
                </w:p>
                <w:p w14:paraId="2A78432D">
                  <w:pPr>
                    <w:adjustRightInd w:val="0"/>
                    <w:jc w:val="center"/>
                    <w:rPr>
                      <w:color w:val="auto"/>
                      <w:szCs w:val="21"/>
                      <w:highlight w:val="yellow"/>
                    </w:rPr>
                  </w:pPr>
                  <w:r>
                    <w:rPr>
                      <w:rFonts w:hint="eastAsia"/>
                      <w:color w:val="auto"/>
                      <w:szCs w:val="21"/>
                    </w:rPr>
                    <w:t>900-009-S17</w:t>
                  </w:r>
                </w:p>
              </w:tc>
              <w:tc>
                <w:tcPr>
                  <w:tcW w:w="526" w:type="pct"/>
                  <w:vAlign w:val="center"/>
                </w:tcPr>
                <w:p w14:paraId="507AE100">
                  <w:pPr>
                    <w:adjustRightInd w:val="0"/>
                    <w:jc w:val="center"/>
                    <w:rPr>
                      <w:color w:val="auto"/>
                      <w:szCs w:val="21"/>
                    </w:rPr>
                  </w:pPr>
                  <w:r>
                    <w:rPr>
                      <w:rFonts w:hint="eastAsia"/>
                      <w:color w:val="auto"/>
                      <w:szCs w:val="21"/>
                    </w:rPr>
                    <w:t>0.01</w:t>
                  </w:r>
                </w:p>
              </w:tc>
              <w:tc>
                <w:tcPr>
                  <w:tcW w:w="1365" w:type="pct"/>
                  <w:vMerge w:val="continue"/>
                  <w:vAlign w:val="center"/>
                </w:tcPr>
                <w:p w14:paraId="722FA593">
                  <w:pPr>
                    <w:adjustRightInd w:val="0"/>
                    <w:jc w:val="center"/>
                    <w:rPr>
                      <w:color w:val="auto"/>
                      <w:szCs w:val="21"/>
                    </w:rPr>
                  </w:pPr>
                </w:p>
              </w:tc>
            </w:tr>
            <w:tr w14:paraId="4DC50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2C118AD6">
                  <w:pPr>
                    <w:adjustRightInd w:val="0"/>
                    <w:jc w:val="center"/>
                    <w:rPr>
                      <w:color w:val="auto"/>
                      <w:szCs w:val="21"/>
                    </w:rPr>
                  </w:pPr>
                  <w:r>
                    <w:rPr>
                      <w:rFonts w:hint="eastAsia"/>
                      <w:color w:val="auto"/>
                      <w:szCs w:val="21"/>
                    </w:rPr>
                    <w:t>8</w:t>
                  </w:r>
                </w:p>
              </w:tc>
              <w:tc>
                <w:tcPr>
                  <w:tcW w:w="600" w:type="pct"/>
                  <w:vAlign w:val="center"/>
                </w:tcPr>
                <w:p w14:paraId="41BE95EC">
                  <w:pPr>
                    <w:adjustRightInd w:val="0"/>
                    <w:jc w:val="center"/>
                    <w:rPr>
                      <w:color w:val="auto"/>
                      <w:szCs w:val="21"/>
                    </w:rPr>
                  </w:pPr>
                  <w:r>
                    <w:rPr>
                      <w:rFonts w:hint="eastAsia"/>
                      <w:color w:val="auto"/>
                      <w:szCs w:val="21"/>
                    </w:rPr>
                    <w:t>废五金件</w:t>
                  </w:r>
                </w:p>
              </w:tc>
              <w:tc>
                <w:tcPr>
                  <w:tcW w:w="1367" w:type="pct"/>
                  <w:vAlign w:val="center"/>
                </w:tcPr>
                <w:p w14:paraId="7AEE2870">
                  <w:pPr>
                    <w:adjustRightInd w:val="0"/>
                    <w:jc w:val="center"/>
                    <w:rPr>
                      <w:color w:val="auto"/>
                      <w:szCs w:val="21"/>
                    </w:rPr>
                  </w:pPr>
                  <w:r>
                    <w:rPr>
                      <w:rFonts w:hint="eastAsia"/>
                      <w:color w:val="auto"/>
                      <w:szCs w:val="21"/>
                    </w:rPr>
                    <w:t>组装工序产生的损坏五金件</w:t>
                  </w:r>
                </w:p>
              </w:tc>
              <w:tc>
                <w:tcPr>
                  <w:tcW w:w="174" w:type="pct"/>
                  <w:vAlign w:val="center"/>
                </w:tcPr>
                <w:p w14:paraId="69A025DA">
                  <w:pPr>
                    <w:adjustRightInd w:val="0"/>
                    <w:jc w:val="center"/>
                    <w:rPr>
                      <w:color w:val="auto"/>
                      <w:szCs w:val="21"/>
                    </w:rPr>
                  </w:pPr>
                  <w:r>
                    <w:rPr>
                      <w:rFonts w:hint="eastAsia"/>
                      <w:color w:val="auto"/>
                      <w:szCs w:val="21"/>
                    </w:rPr>
                    <w:t>固态</w:t>
                  </w:r>
                </w:p>
              </w:tc>
              <w:tc>
                <w:tcPr>
                  <w:tcW w:w="344" w:type="pct"/>
                  <w:vAlign w:val="center"/>
                </w:tcPr>
                <w:p w14:paraId="0797F634">
                  <w:pPr>
                    <w:adjustRightInd w:val="0"/>
                    <w:jc w:val="center"/>
                    <w:rPr>
                      <w:color w:val="auto"/>
                      <w:szCs w:val="21"/>
                    </w:rPr>
                  </w:pPr>
                  <w:r>
                    <w:rPr>
                      <w:rFonts w:hint="eastAsia"/>
                      <w:color w:val="auto"/>
                      <w:szCs w:val="21"/>
                    </w:rPr>
                    <w:t>一般固废</w:t>
                  </w:r>
                </w:p>
              </w:tc>
              <w:tc>
                <w:tcPr>
                  <w:tcW w:w="448" w:type="pct"/>
                  <w:vAlign w:val="center"/>
                </w:tcPr>
                <w:p w14:paraId="525873A4">
                  <w:pPr>
                    <w:adjustRightInd w:val="0"/>
                    <w:jc w:val="center"/>
                    <w:rPr>
                      <w:color w:val="auto"/>
                      <w:szCs w:val="21"/>
                    </w:rPr>
                  </w:pPr>
                  <w:r>
                    <w:rPr>
                      <w:rFonts w:hint="eastAsia"/>
                      <w:color w:val="auto"/>
                      <w:szCs w:val="21"/>
                    </w:rPr>
                    <w:t>SW17</w:t>
                  </w:r>
                </w:p>
                <w:p w14:paraId="2BF8DBE3">
                  <w:pPr>
                    <w:adjustRightInd w:val="0"/>
                    <w:jc w:val="center"/>
                    <w:rPr>
                      <w:color w:val="auto"/>
                      <w:szCs w:val="21"/>
                    </w:rPr>
                  </w:pPr>
                  <w:r>
                    <w:rPr>
                      <w:rFonts w:hint="eastAsia"/>
                      <w:color w:val="auto"/>
                      <w:szCs w:val="21"/>
                    </w:rPr>
                    <w:t>900-001-S17</w:t>
                  </w:r>
                </w:p>
              </w:tc>
              <w:tc>
                <w:tcPr>
                  <w:tcW w:w="526" w:type="pct"/>
                  <w:vAlign w:val="center"/>
                </w:tcPr>
                <w:p w14:paraId="042D9CBB">
                  <w:pPr>
                    <w:adjustRightInd w:val="0"/>
                    <w:jc w:val="center"/>
                    <w:rPr>
                      <w:color w:val="auto"/>
                      <w:szCs w:val="21"/>
                    </w:rPr>
                  </w:pPr>
                  <w:r>
                    <w:rPr>
                      <w:rFonts w:hint="eastAsia"/>
                      <w:color w:val="auto"/>
                      <w:szCs w:val="21"/>
                    </w:rPr>
                    <w:t>0.1</w:t>
                  </w:r>
                </w:p>
              </w:tc>
              <w:tc>
                <w:tcPr>
                  <w:tcW w:w="1365" w:type="pct"/>
                  <w:vMerge w:val="continue"/>
                  <w:vAlign w:val="center"/>
                </w:tcPr>
                <w:p w14:paraId="467C2777">
                  <w:pPr>
                    <w:adjustRightInd w:val="0"/>
                    <w:jc w:val="center"/>
                    <w:rPr>
                      <w:color w:val="auto"/>
                      <w:szCs w:val="21"/>
                    </w:rPr>
                  </w:pPr>
                </w:p>
              </w:tc>
            </w:tr>
            <w:tr w14:paraId="4EB1C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E1655A5">
                  <w:pPr>
                    <w:adjustRightInd w:val="0"/>
                    <w:jc w:val="center"/>
                    <w:rPr>
                      <w:color w:val="auto"/>
                      <w:szCs w:val="21"/>
                    </w:rPr>
                  </w:pPr>
                  <w:r>
                    <w:rPr>
                      <w:rFonts w:hint="eastAsia"/>
                      <w:color w:val="auto"/>
                      <w:szCs w:val="21"/>
                    </w:rPr>
                    <w:t>9</w:t>
                  </w:r>
                </w:p>
              </w:tc>
              <w:tc>
                <w:tcPr>
                  <w:tcW w:w="600" w:type="pct"/>
                  <w:vAlign w:val="center"/>
                </w:tcPr>
                <w:p w14:paraId="03BB5BDA">
                  <w:pPr>
                    <w:adjustRightInd w:val="0"/>
                    <w:jc w:val="center"/>
                    <w:rPr>
                      <w:color w:val="auto"/>
                      <w:szCs w:val="21"/>
                    </w:rPr>
                  </w:pPr>
                  <w:r>
                    <w:rPr>
                      <w:rFonts w:hint="eastAsia"/>
                      <w:color w:val="auto"/>
                      <w:szCs w:val="21"/>
                    </w:rPr>
                    <w:t>废边角料</w:t>
                  </w:r>
                </w:p>
              </w:tc>
              <w:tc>
                <w:tcPr>
                  <w:tcW w:w="1367" w:type="pct"/>
                  <w:vAlign w:val="center"/>
                </w:tcPr>
                <w:p w14:paraId="2D082196">
                  <w:pPr>
                    <w:adjustRightInd w:val="0"/>
                    <w:jc w:val="center"/>
                    <w:rPr>
                      <w:color w:val="auto"/>
                      <w:szCs w:val="21"/>
                    </w:rPr>
                  </w:pPr>
                  <w:r>
                    <w:rPr>
                      <w:rFonts w:hint="eastAsia"/>
                      <w:color w:val="auto"/>
                      <w:szCs w:val="21"/>
                    </w:rPr>
                    <w:t>裁切</w:t>
                  </w:r>
                </w:p>
              </w:tc>
              <w:tc>
                <w:tcPr>
                  <w:tcW w:w="174" w:type="pct"/>
                  <w:vAlign w:val="center"/>
                </w:tcPr>
                <w:p w14:paraId="5080A7CA">
                  <w:pPr>
                    <w:adjustRightInd w:val="0"/>
                    <w:jc w:val="center"/>
                    <w:rPr>
                      <w:color w:val="auto"/>
                      <w:szCs w:val="21"/>
                    </w:rPr>
                  </w:pPr>
                  <w:r>
                    <w:rPr>
                      <w:rFonts w:hint="eastAsia"/>
                      <w:color w:val="auto"/>
                      <w:szCs w:val="21"/>
                    </w:rPr>
                    <w:t>固态</w:t>
                  </w:r>
                </w:p>
              </w:tc>
              <w:tc>
                <w:tcPr>
                  <w:tcW w:w="344" w:type="pct"/>
                  <w:vAlign w:val="center"/>
                </w:tcPr>
                <w:p w14:paraId="16D137A4">
                  <w:pPr>
                    <w:adjustRightInd w:val="0"/>
                    <w:jc w:val="center"/>
                    <w:rPr>
                      <w:color w:val="auto"/>
                      <w:szCs w:val="21"/>
                    </w:rPr>
                  </w:pPr>
                  <w:r>
                    <w:rPr>
                      <w:rFonts w:hint="eastAsia"/>
                      <w:color w:val="auto"/>
                      <w:szCs w:val="21"/>
                    </w:rPr>
                    <w:t>一般固废</w:t>
                  </w:r>
                </w:p>
              </w:tc>
              <w:tc>
                <w:tcPr>
                  <w:tcW w:w="448" w:type="pct"/>
                  <w:vAlign w:val="center"/>
                </w:tcPr>
                <w:p w14:paraId="673D51D9">
                  <w:pPr>
                    <w:adjustRightInd w:val="0"/>
                    <w:jc w:val="center"/>
                    <w:rPr>
                      <w:color w:val="auto"/>
                      <w:szCs w:val="21"/>
                    </w:rPr>
                  </w:pPr>
                  <w:r>
                    <w:rPr>
                      <w:rFonts w:hint="eastAsia"/>
                      <w:color w:val="auto"/>
                      <w:szCs w:val="21"/>
                    </w:rPr>
                    <w:t>SW17</w:t>
                  </w:r>
                </w:p>
                <w:p w14:paraId="785786EC">
                  <w:pPr>
                    <w:adjustRightInd w:val="0"/>
                    <w:jc w:val="center"/>
                    <w:rPr>
                      <w:color w:val="auto"/>
                      <w:szCs w:val="21"/>
                      <w:highlight w:val="yellow"/>
                    </w:rPr>
                  </w:pPr>
                  <w:r>
                    <w:rPr>
                      <w:rFonts w:hint="eastAsia"/>
                      <w:color w:val="auto"/>
                      <w:szCs w:val="21"/>
                    </w:rPr>
                    <w:t>900-003-S17</w:t>
                  </w:r>
                </w:p>
              </w:tc>
              <w:tc>
                <w:tcPr>
                  <w:tcW w:w="526" w:type="pct"/>
                  <w:vAlign w:val="center"/>
                </w:tcPr>
                <w:p w14:paraId="65BBD2AE">
                  <w:pPr>
                    <w:adjustRightInd w:val="0"/>
                    <w:jc w:val="center"/>
                    <w:rPr>
                      <w:color w:val="auto"/>
                      <w:szCs w:val="21"/>
                    </w:rPr>
                  </w:pPr>
                  <w:r>
                    <w:rPr>
                      <w:rFonts w:hint="eastAsia"/>
                      <w:color w:val="auto"/>
                      <w:szCs w:val="21"/>
                    </w:rPr>
                    <w:t>0.05</w:t>
                  </w:r>
                </w:p>
              </w:tc>
              <w:tc>
                <w:tcPr>
                  <w:tcW w:w="1365" w:type="pct"/>
                  <w:vMerge w:val="continue"/>
                  <w:vAlign w:val="center"/>
                </w:tcPr>
                <w:p w14:paraId="07ED5A6A">
                  <w:pPr>
                    <w:adjustRightInd w:val="0"/>
                    <w:jc w:val="center"/>
                    <w:rPr>
                      <w:color w:val="auto"/>
                      <w:szCs w:val="21"/>
                    </w:rPr>
                  </w:pPr>
                </w:p>
              </w:tc>
            </w:tr>
            <w:tr w14:paraId="57F66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1B75166F">
                  <w:pPr>
                    <w:adjustRightInd w:val="0"/>
                    <w:jc w:val="center"/>
                    <w:rPr>
                      <w:color w:val="auto"/>
                      <w:szCs w:val="21"/>
                    </w:rPr>
                  </w:pPr>
                  <w:r>
                    <w:rPr>
                      <w:rFonts w:hint="eastAsia"/>
                      <w:color w:val="auto"/>
                      <w:szCs w:val="21"/>
                    </w:rPr>
                    <w:t>10</w:t>
                  </w:r>
                </w:p>
              </w:tc>
              <w:tc>
                <w:tcPr>
                  <w:tcW w:w="600" w:type="pct"/>
                  <w:vAlign w:val="center"/>
                </w:tcPr>
                <w:p w14:paraId="40F28E88">
                  <w:pPr>
                    <w:adjustRightInd w:val="0"/>
                    <w:jc w:val="center"/>
                    <w:rPr>
                      <w:color w:val="auto"/>
                      <w:szCs w:val="21"/>
                    </w:rPr>
                  </w:pPr>
                  <w:r>
                    <w:rPr>
                      <w:rFonts w:hint="eastAsia"/>
                      <w:color w:val="auto"/>
                      <w:szCs w:val="21"/>
                    </w:rPr>
                    <w:t>废边角料</w:t>
                  </w:r>
                </w:p>
              </w:tc>
              <w:tc>
                <w:tcPr>
                  <w:tcW w:w="1367" w:type="pct"/>
                  <w:vAlign w:val="center"/>
                </w:tcPr>
                <w:p w14:paraId="36FEB6CA">
                  <w:pPr>
                    <w:adjustRightInd w:val="0"/>
                    <w:jc w:val="center"/>
                    <w:rPr>
                      <w:color w:val="auto"/>
                      <w:szCs w:val="21"/>
                    </w:rPr>
                  </w:pPr>
                  <w:r>
                    <w:rPr>
                      <w:rFonts w:hint="eastAsia"/>
                      <w:color w:val="auto"/>
                      <w:szCs w:val="21"/>
                    </w:rPr>
                    <w:t>下料</w:t>
                  </w:r>
                </w:p>
              </w:tc>
              <w:tc>
                <w:tcPr>
                  <w:tcW w:w="174" w:type="pct"/>
                  <w:vAlign w:val="center"/>
                </w:tcPr>
                <w:p w14:paraId="33B29AB3">
                  <w:pPr>
                    <w:adjustRightInd w:val="0"/>
                    <w:jc w:val="center"/>
                    <w:rPr>
                      <w:color w:val="auto"/>
                      <w:szCs w:val="21"/>
                    </w:rPr>
                  </w:pPr>
                  <w:r>
                    <w:rPr>
                      <w:rFonts w:hint="eastAsia"/>
                      <w:color w:val="auto"/>
                      <w:szCs w:val="21"/>
                    </w:rPr>
                    <w:t>固态</w:t>
                  </w:r>
                </w:p>
              </w:tc>
              <w:tc>
                <w:tcPr>
                  <w:tcW w:w="344" w:type="pct"/>
                  <w:vAlign w:val="center"/>
                </w:tcPr>
                <w:p w14:paraId="2DE783DF">
                  <w:pPr>
                    <w:adjustRightInd w:val="0"/>
                    <w:jc w:val="center"/>
                    <w:rPr>
                      <w:color w:val="auto"/>
                      <w:szCs w:val="21"/>
                    </w:rPr>
                  </w:pPr>
                  <w:r>
                    <w:rPr>
                      <w:rFonts w:hint="eastAsia"/>
                      <w:color w:val="auto"/>
                      <w:szCs w:val="21"/>
                    </w:rPr>
                    <w:t>一般固废</w:t>
                  </w:r>
                </w:p>
              </w:tc>
              <w:tc>
                <w:tcPr>
                  <w:tcW w:w="448" w:type="pct"/>
                  <w:vAlign w:val="center"/>
                </w:tcPr>
                <w:p w14:paraId="4FF3252B">
                  <w:pPr>
                    <w:adjustRightInd w:val="0"/>
                    <w:jc w:val="center"/>
                    <w:rPr>
                      <w:color w:val="auto"/>
                      <w:szCs w:val="21"/>
                    </w:rPr>
                  </w:pPr>
                  <w:r>
                    <w:rPr>
                      <w:rFonts w:hint="eastAsia"/>
                      <w:color w:val="auto"/>
                      <w:szCs w:val="21"/>
                    </w:rPr>
                    <w:t>SW17</w:t>
                  </w:r>
                </w:p>
                <w:p w14:paraId="7A9FC443">
                  <w:pPr>
                    <w:adjustRightInd w:val="0"/>
                    <w:jc w:val="center"/>
                    <w:rPr>
                      <w:color w:val="auto"/>
                      <w:szCs w:val="21"/>
                      <w:highlight w:val="yellow"/>
                    </w:rPr>
                  </w:pPr>
                  <w:r>
                    <w:rPr>
                      <w:rFonts w:hint="eastAsia"/>
                      <w:color w:val="auto"/>
                      <w:szCs w:val="21"/>
                    </w:rPr>
                    <w:t>900-003-S17</w:t>
                  </w:r>
                </w:p>
              </w:tc>
              <w:tc>
                <w:tcPr>
                  <w:tcW w:w="526" w:type="pct"/>
                  <w:vAlign w:val="center"/>
                </w:tcPr>
                <w:p w14:paraId="28A5DDE5">
                  <w:pPr>
                    <w:adjustRightInd w:val="0"/>
                    <w:jc w:val="center"/>
                    <w:rPr>
                      <w:color w:val="auto"/>
                      <w:szCs w:val="21"/>
                    </w:rPr>
                  </w:pPr>
                  <w:r>
                    <w:rPr>
                      <w:rFonts w:hint="eastAsia"/>
                      <w:color w:val="auto"/>
                      <w:szCs w:val="21"/>
                    </w:rPr>
                    <w:t>1.1</w:t>
                  </w:r>
                </w:p>
              </w:tc>
              <w:tc>
                <w:tcPr>
                  <w:tcW w:w="1365" w:type="pct"/>
                  <w:vMerge w:val="continue"/>
                  <w:vAlign w:val="center"/>
                </w:tcPr>
                <w:p w14:paraId="23672EAB">
                  <w:pPr>
                    <w:adjustRightInd w:val="0"/>
                    <w:jc w:val="center"/>
                    <w:rPr>
                      <w:color w:val="auto"/>
                      <w:szCs w:val="21"/>
                    </w:rPr>
                  </w:pPr>
                </w:p>
              </w:tc>
            </w:tr>
            <w:tr w14:paraId="3F61D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6F6D5FB8">
                  <w:pPr>
                    <w:adjustRightInd w:val="0"/>
                    <w:jc w:val="center"/>
                    <w:rPr>
                      <w:color w:val="auto"/>
                      <w:szCs w:val="21"/>
                    </w:rPr>
                  </w:pPr>
                  <w:r>
                    <w:rPr>
                      <w:rFonts w:hint="eastAsia"/>
                      <w:color w:val="auto"/>
                      <w:szCs w:val="21"/>
                    </w:rPr>
                    <w:t>11</w:t>
                  </w:r>
                </w:p>
              </w:tc>
              <w:tc>
                <w:tcPr>
                  <w:tcW w:w="600" w:type="pct"/>
                  <w:vAlign w:val="center"/>
                </w:tcPr>
                <w:p w14:paraId="47D7F4AE">
                  <w:pPr>
                    <w:adjustRightInd w:val="0"/>
                    <w:jc w:val="center"/>
                    <w:rPr>
                      <w:color w:val="auto"/>
                      <w:szCs w:val="21"/>
                    </w:rPr>
                  </w:pPr>
                  <w:r>
                    <w:rPr>
                      <w:rFonts w:hint="eastAsia"/>
                      <w:color w:val="auto"/>
                      <w:szCs w:val="21"/>
                    </w:rPr>
                    <w:t>废烫金膜</w:t>
                  </w:r>
                </w:p>
              </w:tc>
              <w:tc>
                <w:tcPr>
                  <w:tcW w:w="1367" w:type="pct"/>
                  <w:vAlign w:val="center"/>
                </w:tcPr>
                <w:p w14:paraId="7C30E384">
                  <w:pPr>
                    <w:adjustRightInd w:val="0"/>
                    <w:jc w:val="center"/>
                    <w:rPr>
                      <w:color w:val="auto"/>
                      <w:szCs w:val="21"/>
                    </w:rPr>
                  </w:pPr>
                  <w:r>
                    <w:rPr>
                      <w:rFonts w:hint="eastAsia"/>
                      <w:color w:val="auto"/>
                      <w:szCs w:val="21"/>
                    </w:rPr>
                    <w:t>烫金</w:t>
                  </w:r>
                </w:p>
              </w:tc>
              <w:tc>
                <w:tcPr>
                  <w:tcW w:w="174" w:type="pct"/>
                  <w:vAlign w:val="center"/>
                </w:tcPr>
                <w:p w14:paraId="5B3C87A6">
                  <w:pPr>
                    <w:adjustRightInd w:val="0"/>
                    <w:jc w:val="center"/>
                    <w:rPr>
                      <w:color w:val="auto"/>
                      <w:szCs w:val="21"/>
                    </w:rPr>
                  </w:pPr>
                  <w:r>
                    <w:rPr>
                      <w:rFonts w:hint="eastAsia"/>
                      <w:color w:val="auto"/>
                      <w:szCs w:val="21"/>
                    </w:rPr>
                    <w:t>固态</w:t>
                  </w:r>
                </w:p>
              </w:tc>
              <w:tc>
                <w:tcPr>
                  <w:tcW w:w="344" w:type="pct"/>
                  <w:vAlign w:val="center"/>
                </w:tcPr>
                <w:p w14:paraId="2B28C686">
                  <w:pPr>
                    <w:adjustRightInd w:val="0"/>
                    <w:jc w:val="center"/>
                    <w:rPr>
                      <w:color w:val="auto"/>
                      <w:szCs w:val="21"/>
                    </w:rPr>
                  </w:pPr>
                  <w:r>
                    <w:rPr>
                      <w:rFonts w:hint="eastAsia"/>
                      <w:color w:val="auto"/>
                      <w:szCs w:val="21"/>
                    </w:rPr>
                    <w:t>一般固废</w:t>
                  </w:r>
                </w:p>
              </w:tc>
              <w:tc>
                <w:tcPr>
                  <w:tcW w:w="448" w:type="pct"/>
                  <w:vAlign w:val="center"/>
                </w:tcPr>
                <w:p w14:paraId="5FF4038D">
                  <w:pPr>
                    <w:adjustRightInd w:val="0"/>
                    <w:jc w:val="center"/>
                    <w:rPr>
                      <w:color w:val="auto"/>
                      <w:szCs w:val="21"/>
                    </w:rPr>
                  </w:pPr>
                  <w:r>
                    <w:rPr>
                      <w:rFonts w:hint="eastAsia"/>
                      <w:color w:val="auto"/>
                      <w:szCs w:val="21"/>
                    </w:rPr>
                    <w:t>SW59</w:t>
                  </w:r>
                </w:p>
                <w:p w14:paraId="180E5576">
                  <w:pPr>
                    <w:adjustRightInd w:val="0"/>
                    <w:jc w:val="center"/>
                    <w:rPr>
                      <w:color w:val="auto"/>
                      <w:szCs w:val="21"/>
                    </w:rPr>
                  </w:pPr>
                  <w:r>
                    <w:rPr>
                      <w:rFonts w:hint="eastAsia"/>
                      <w:color w:val="auto"/>
                      <w:szCs w:val="21"/>
                    </w:rPr>
                    <w:t>900-099-S59</w:t>
                  </w:r>
                </w:p>
              </w:tc>
              <w:tc>
                <w:tcPr>
                  <w:tcW w:w="526" w:type="pct"/>
                  <w:vAlign w:val="center"/>
                </w:tcPr>
                <w:p w14:paraId="2213A66B">
                  <w:pPr>
                    <w:adjustRightInd w:val="0"/>
                    <w:jc w:val="center"/>
                    <w:rPr>
                      <w:color w:val="auto"/>
                      <w:szCs w:val="21"/>
                    </w:rPr>
                  </w:pPr>
                  <w:r>
                    <w:rPr>
                      <w:rFonts w:hint="eastAsia"/>
                      <w:color w:val="auto"/>
                      <w:szCs w:val="21"/>
                    </w:rPr>
                    <w:t>0.01</w:t>
                  </w:r>
                </w:p>
              </w:tc>
              <w:tc>
                <w:tcPr>
                  <w:tcW w:w="1365" w:type="pct"/>
                  <w:vMerge w:val="continue"/>
                  <w:vAlign w:val="center"/>
                </w:tcPr>
                <w:p w14:paraId="27912393">
                  <w:pPr>
                    <w:adjustRightInd w:val="0"/>
                    <w:jc w:val="center"/>
                    <w:rPr>
                      <w:color w:val="auto"/>
                      <w:szCs w:val="21"/>
                    </w:rPr>
                  </w:pPr>
                </w:p>
              </w:tc>
            </w:tr>
            <w:tr w14:paraId="2F23E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AC3B9E7">
                  <w:pPr>
                    <w:adjustRightInd w:val="0"/>
                    <w:jc w:val="center"/>
                    <w:rPr>
                      <w:color w:val="auto"/>
                      <w:szCs w:val="21"/>
                    </w:rPr>
                  </w:pPr>
                  <w:r>
                    <w:rPr>
                      <w:rFonts w:hint="eastAsia"/>
                      <w:color w:val="auto"/>
                      <w:szCs w:val="21"/>
                    </w:rPr>
                    <w:t>12</w:t>
                  </w:r>
                </w:p>
              </w:tc>
              <w:tc>
                <w:tcPr>
                  <w:tcW w:w="600" w:type="pct"/>
                  <w:vAlign w:val="center"/>
                </w:tcPr>
                <w:p w14:paraId="7D7E1587">
                  <w:pPr>
                    <w:adjustRightInd w:val="0"/>
                    <w:jc w:val="center"/>
                    <w:rPr>
                      <w:color w:val="auto"/>
                      <w:szCs w:val="21"/>
                    </w:rPr>
                  </w:pPr>
                  <w:r>
                    <w:rPr>
                      <w:rFonts w:hint="eastAsia"/>
                      <w:color w:val="auto"/>
                      <w:szCs w:val="21"/>
                    </w:rPr>
                    <w:t>木粉尘灰</w:t>
                  </w:r>
                </w:p>
              </w:tc>
              <w:tc>
                <w:tcPr>
                  <w:tcW w:w="1367" w:type="pct"/>
                  <w:vAlign w:val="center"/>
                </w:tcPr>
                <w:p w14:paraId="47FBEA77">
                  <w:pPr>
                    <w:adjustRightInd w:val="0"/>
                    <w:jc w:val="center"/>
                    <w:rPr>
                      <w:color w:val="auto"/>
                      <w:szCs w:val="21"/>
                    </w:rPr>
                  </w:pPr>
                  <w:r>
                    <w:rPr>
                      <w:rFonts w:hint="eastAsia"/>
                      <w:color w:val="auto"/>
                      <w:szCs w:val="21"/>
                    </w:rPr>
                    <w:t>机加工粉尘废气处理产生的除尘灰</w:t>
                  </w:r>
                </w:p>
              </w:tc>
              <w:tc>
                <w:tcPr>
                  <w:tcW w:w="174" w:type="pct"/>
                  <w:vAlign w:val="center"/>
                </w:tcPr>
                <w:p w14:paraId="21FBE38D">
                  <w:pPr>
                    <w:adjustRightInd w:val="0"/>
                    <w:jc w:val="center"/>
                    <w:rPr>
                      <w:color w:val="auto"/>
                      <w:szCs w:val="21"/>
                    </w:rPr>
                  </w:pPr>
                  <w:r>
                    <w:rPr>
                      <w:rFonts w:hint="eastAsia"/>
                      <w:color w:val="auto"/>
                      <w:szCs w:val="21"/>
                    </w:rPr>
                    <w:t>固体</w:t>
                  </w:r>
                </w:p>
              </w:tc>
              <w:tc>
                <w:tcPr>
                  <w:tcW w:w="344" w:type="pct"/>
                  <w:vAlign w:val="center"/>
                </w:tcPr>
                <w:p w14:paraId="6169AD1E">
                  <w:pPr>
                    <w:adjustRightInd w:val="0"/>
                    <w:jc w:val="center"/>
                    <w:rPr>
                      <w:color w:val="auto"/>
                      <w:szCs w:val="21"/>
                    </w:rPr>
                  </w:pPr>
                  <w:r>
                    <w:rPr>
                      <w:rFonts w:hint="eastAsia"/>
                      <w:color w:val="auto"/>
                      <w:szCs w:val="21"/>
                    </w:rPr>
                    <w:t>一般固废</w:t>
                  </w:r>
                </w:p>
              </w:tc>
              <w:tc>
                <w:tcPr>
                  <w:tcW w:w="448" w:type="pct"/>
                  <w:vAlign w:val="center"/>
                </w:tcPr>
                <w:p w14:paraId="7EEF46A5">
                  <w:pPr>
                    <w:adjustRightInd w:val="0"/>
                    <w:jc w:val="center"/>
                    <w:rPr>
                      <w:color w:val="auto"/>
                      <w:szCs w:val="21"/>
                    </w:rPr>
                  </w:pPr>
                  <w:r>
                    <w:rPr>
                      <w:rFonts w:hint="eastAsia"/>
                      <w:color w:val="auto"/>
                      <w:szCs w:val="21"/>
                    </w:rPr>
                    <w:t>SW59</w:t>
                  </w:r>
                </w:p>
                <w:p w14:paraId="23FD11AC">
                  <w:pPr>
                    <w:adjustRightInd w:val="0"/>
                    <w:jc w:val="center"/>
                    <w:rPr>
                      <w:color w:val="auto"/>
                      <w:szCs w:val="21"/>
                    </w:rPr>
                  </w:pPr>
                  <w:r>
                    <w:rPr>
                      <w:rFonts w:hint="eastAsia"/>
                      <w:color w:val="auto"/>
                      <w:szCs w:val="21"/>
                    </w:rPr>
                    <w:t>900-099-S59</w:t>
                  </w:r>
                </w:p>
              </w:tc>
              <w:tc>
                <w:tcPr>
                  <w:tcW w:w="526" w:type="pct"/>
                  <w:vAlign w:val="center"/>
                </w:tcPr>
                <w:p w14:paraId="62FD335B">
                  <w:pPr>
                    <w:adjustRightInd w:val="0"/>
                    <w:jc w:val="center"/>
                    <w:rPr>
                      <w:color w:val="auto"/>
                      <w:szCs w:val="21"/>
                    </w:rPr>
                  </w:pPr>
                  <w:r>
                    <w:rPr>
                      <w:rFonts w:hint="eastAsia"/>
                      <w:color w:val="auto"/>
                      <w:szCs w:val="21"/>
                    </w:rPr>
                    <w:t>1.6</w:t>
                  </w:r>
                </w:p>
              </w:tc>
              <w:tc>
                <w:tcPr>
                  <w:tcW w:w="1365" w:type="pct"/>
                  <w:vMerge w:val="continue"/>
                  <w:vAlign w:val="center"/>
                </w:tcPr>
                <w:p w14:paraId="6E9D7D8E">
                  <w:pPr>
                    <w:adjustRightInd w:val="0"/>
                    <w:jc w:val="center"/>
                    <w:rPr>
                      <w:color w:val="auto"/>
                      <w:szCs w:val="21"/>
                    </w:rPr>
                  </w:pPr>
                </w:p>
              </w:tc>
            </w:tr>
            <w:tr w14:paraId="35146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55887052">
                  <w:pPr>
                    <w:adjustRightInd w:val="0"/>
                    <w:jc w:val="center"/>
                    <w:rPr>
                      <w:color w:val="auto"/>
                      <w:szCs w:val="21"/>
                    </w:rPr>
                  </w:pPr>
                  <w:r>
                    <w:rPr>
                      <w:rFonts w:hint="eastAsia"/>
                      <w:color w:val="auto"/>
                      <w:szCs w:val="21"/>
                    </w:rPr>
                    <w:t>13</w:t>
                  </w:r>
                </w:p>
              </w:tc>
              <w:tc>
                <w:tcPr>
                  <w:tcW w:w="600" w:type="pct"/>
                  <w:vAlign w:val="center"/>
                </w:tcPr>
                <w:p w14:paraId="77E7296F">
                  <w:pPr>
                    <w:adjustRightInd w:val="0"/>
                    <w:jc w:val="center"/>
                    <w:rPr>
                      <w:color w:val="auto"/>
                      <w:szCs w:val="21"/>
                    </w:rPr>
                  </w:pPr>
                  <w:r>
                    <w:rPr>
                      <w:rFonts w:hint="eastAsia"/>
                      <w:color w:val="auto"/>
                      <w:szCs w:val="21"/>
                    </w:rPr>
                    <w:t>脱脂废液</w:t>
                  </w:r>
                </w:p>
              </w:tc>
              <w:tc>
                <w:tcPr>
                  <w:tcW w:w="1367" w:type="pct"/>
                  <w:vAlign w:val="center"/>
                </w:tcPr>
                <w:p w14:paraId="0F3C9587">
                  <w:pPr>
                    <w:adjustRightInd w:val="0"/>
                    <w:jc w:val="center"/>
                    <w:rPr>
                      <w:color w:val="auto"/>
                      <w:szCs w:val="21"/>
                    </w:rPr>
                  </w:pPr>
                  <w:r>
                    <w:rPr>
                      <w:rFonts w:hint="eastAsia"/>
                      <w:color w:val="auto"/>
                      <w:szCs w:val="21"/>
                    </w:rPr>
                    <w:t>脱脂</w:t>
                  </w:r>
                </w:p>
              </w:tc>
              <w:tc>
                <w:tcPr>
                  <w:tcW w:w="174" w:type="pct"/>
                  <w:vAlign w:val="center"/>
                </w:tcPr>
                <w:p w14:paraId="48D95658">
                  <w:pPr>
                    <w:adjustRightInd w:val="0"/>
                    <w:jc w:val="center"/>
                    <w:rPr>
                      <w:color w:val="auto"/>
                      <w:szCs w:val="21"/>
                    </w:rPr>
                  </w:pPr>
                  <w:r>
                    <w:rPr>
                      <w:rFonts w:hint="eastAsia"/>
                      <w:color w:val="auto"/>
                      <w:szCs w:val="21"/>
                    </w:rPr>
                    <w:t>液态</w:t>
                  </w:r>
                </w:p>
              </w:tc>
              <w:tc>
                <w:tcPr>
                  <w:tcW w:w="344" w:type="pct"/>
                  <w:vAlign w:val="center"/>
                </w:tcPr>
                <w:p w14:paraId="6B9D1AFE">
                  <w:pPr>
                    <w:adjustRightInd w:val="0"/>
                    <w:jc w:val="center"/>
                    <w:rPr>
                      <w:color w:val="auto"/>
                      <w:szCs w:val="21"/>
                    </w:rPr>
                  </w:pPr>
                  <w:r>
                    <w:rPr>
                      <w:rFonts w:hint="eastAsia"/>
                      <w:color w:val="auto"/>
                      <w:szCs w:val="21"/>
                    </w:rPr>
                    <w:t>危险废物</w:t>
                  </w:r>
                </w:p>
              </w:tc>
              <w:tc>
                <w:tcPr>
                  <w:tcW w:w="448" w:type="pct"/>
                  <w:vAlign w:val="center"/>
                </w:tcPr>
                <w:p w14:paraId="1E93D401">
                  <w:pPr>
                    <w:adjustRightInd w:val="0"/>
                    <w:jc w:val="center"/>
                    <w:rPr>
                      <w:color w:val="auto"/>
                      <w:szCs w:val="21"/>
                    </w:rPr>
                  </w:pPr>
                  <w:r>
                    <w:rPr>
                      <w:rFonts w:hint="eastAsia"/>
                      <w:color w:val="auto"/>
                      <w:szCs w:val="21"/>
                    </w:rPr>
                    <w:t>HW17</w:t>
                  </w:r>
                </w:p>
                <w:p w14:paraId="6E77F2BB">
                  <w:pPr>
                    <w:adjustRightInd w:val="0"/>
                    <w:jc w:val="center"/>
                    <w:rPr>
                      <w:color w:val="auto"/>
                      <w:szCs w:val="21"/>
                    </w:rPr>
                  </w:pPr>
                  <w:r>
                    <w:rPr>
                      <w:rFonts w:hint="eastAsia"/>
                      <w:color w:val="auto"/>
                      <w:szCs w:val="21"/>
                    </w:rPr>
                    <w:t>336-064-17</w:t>
                  </w:r>
                </w:p>
              </w:tc>
              <w:tc>
                <w:tcPr>
                  <w:tcW w:w="526" w:type="pct"/>
                  <w:vAlign w:val="center"/>
                </w:tcPr>
                <w:p w14:paraId="3A6CCF86">
                  <w:pPr>
                    <w:adjustRightInd w:val="0"/>
                    <w:jc w:val="center"/>
                    <w:rPr>
                      <w:color w:val="auto"/>
                      <w:szCs w:val="21"/>
                    </w:rPr>
                  </w:pPr>
                  <w:r>
                    <w:rPr>
                      <w:rFonts w:hint="eastAsia"/>
                      <w:color w:val="auto"/>
                      <w:szCs w:val="21"/>
                    </w:rPr>
                    <w:t>5.2</w:t>
                  </w:r>
                </w:p>
              </w:tc>
              <w:tc>
                <w:tcPr>
                  <w:tcW w:w="1365" w:type="pct"/>
                  <w:vMerge w:val="restart"/>
                  <w:vAlign w:val="center"/>
                </w:tcPr>
                <w:p w14:paraId="164BCB9C">
                  <w:pPr>
                    <w:adjustRightInd w:val="0"/>
                    <w:jc w:val="center"/>
                    <w:rPr>
                      <w:color w:val="auto"/>
                      <w:szCs w:val="21"/>
                    </w:rPr>
                  </w:pPr>
                  <w:r>
                    <w:rPr>
                      <w:rFonts w:hint="eastAsia"/>
                      <w:color w:val="auto"/>
                      <w:szCs w:val="21"/>
                    </w:rPr>
                    <w:t>委托淮安华昌固废处置有限公司处置</w:t>
                  </w:r>
                </w:p>
              </w:tc>
            </w:tr>
            <w:tr w14:paraId="2CFF9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88BC001">
                  <w:pPr>
                    <w:adjustRightInd w:val="0"/>
                    <w:jc w:val="center"/>
                    <w:rPr>
                      <w:color w:val="auto"/>
                      <w:szCs w:val="21"/>
                    </w:rPr>
                  </w:pPr>
                  <w:r>
                    <w:rPr>
                      <w:rFonts w:hint="eastAsia"/>
                      <w:color w:val="auto"/>
                      <w:szCs w:val="21"/>
                    </w:rPr>
                    <w:t>15</w:t>
                  </w:r>
                </w:p>
              </w:tc>
              <w:tc>
                <w:tcPr>
                  <w:tcW w:w="600" w:type="pct"/>
                  <w:vAlign w:val="center"/>
                </w:tcPr>
                <w:p w14:paraId="360928A6">
                  <w:pPr>
                    <w:adjustRightInd w:val="0"/>
                    <w:jc w:val="center"/>
                    <w:rPr>
                      <w:color w:val="auto"/>
                      <w:szCs w:val="21"/>
                    </w:rPr>
                  </w:pPr>
                  <w:r>
                    <w:rPr>
                      <w:rFonts w:hint="eastAsia"/>
                      <w:color w:val="auto"/>
                      <w:szCs w:val="21"/>
                    </w:rPr>
                    <w:t>陶化废槽渣</w:t>
                  </w:r>
                </w:p>
              </w:tc>
              <w:tc>
                <w:tcPr>
                  <w:tcW w:w="1367" w:type="pct"/>
                  <w:vAlign w:val="center"/>
                </w:tcPr>
                <w:p w14:paraId="69FE3690">
                  <w:pPr>
                    <w:adjustRightInd w:val="0"/>
                    <w:jc w:val="center"/>
                    <w:rPr>
                      <w:color w:val="auto"/>
                      <w:szCs w:val="21"/>
                    </w:rPr>
                  </w:pPr>
                  <w:r>
                    <w:rPr>
                      <w:rFonts w:hint="eastAsia"/>
                      <w:color w:val="auto"/>
                      <w:szCs w:val="21"/>
                    </w:rPr>
                    <w:t>陶化</w:t>
                  </w:r>
                </w:p>
              </w:tc>
              <w:tc>
                <w:tcPr>
                  <w:tcW w:w="174" w:type="pct"/>
                  <w:vAlign w:val="center"/>
                </w:tcPr>
                <w:p w14:paraId="4ECB3A4A">
                  <w:pPr>
                    <w:adjustRightInd w:val="0"/>
                    <w:jc w:val="center"/>
                    <w:rPr>
                      <w:color w:val="auto"/>
                      <w:szCs w:val="21"/>
                    </w:rPr>
                  </w:pPr>
                  <w:r>
                    <w:rPr>
                      <w:rFonts w:hint="eastAsia"/>
                      <w:color w:val="auto"/>
                      <w:szCs w:val="21"/>
                    </w:rPr>
                    <w:t>固态</w:t>
                  </w:r>
                </w:p>
              </w:tc>
              <w:tc>
                <w:tcPr>
                  <w:tcW w:w="344" w:type="pct"/>
                  <w:vAlign w:val="center"/>
                </w:tcPr>
                <w:p w14:paraId="73C05D64">
                  <w:pPr>
                    <w:adjustRightInd w:val="0"/>
                    <w:jc w:val="center"/>
                    <w:rPr>
                      <w:color w:val="auto"/>
                      <w:szCs w:val="21"/>
                    </w:rPr>
                  </w:pPr>
                  <w:r>
                    <w:rPr>
                      <w:rFonts w:hint="eastAsia"/>
                      <w:color w:val="auto"/>
                      <w:szCs w:val="21"/>
                    </w:rPr>
                    <w:t>危险废物</w:t>
                  </w:r>
                </w:p>
              </w:tc>
              <w:tc>
                <w:tcPr>
                  <w:tcW w:w="448" w:type="pct"/>
                  <w:vAlign w:val="center"/>
                </w:tcPr>
                <w:p w14:paraId="33F54A6A">
                  <w:pPr>
                    <w:adjustRightInd w:val="0"/>
                    <w:jc w:val="center"/>
                    <w:rPr>
                      <w:color w:val="auto"/>
                      <w:szCs w:val="21"/>
                    </w:rPr>
                  </w:pPr>
                  <w:r>
                    <w:rPr>
                      <w:rFonts w:hint="eastAsia"/>
                      <w:color w:val="auto"/>
                      <w:szCs w:val="21"/>
                    </w:rPr>
                    <w:t>HW17</w:t>
                  </w:r>
                </w:p>
                <w:p w14:paraId="38C422F1">
                  <w:pPr>
                    <w:adjustRightInd w:val="0"/>
                    <w:jc w:val="center"/>
                    <w:rPr>
                      <w:color w:val="auto"/>
                      <w:szCs w:val="21"/>
                    </w:rPr>
                  </w:pPr>
                  <w:r>
                    <w:rPr>
                      <w:rFonts w:hint="eastAsia"/>
                      <w:color w:val="auto"/>
                      <w:szCs w:val="21"/>
                    </w:rPr>
                    <w:t>336-064-17</w:t>
                  </w:r>
                </w:p>
              </w:tc>
              <w:tc>
                <w:tcPr>
                  <w:tcW w:w="526" w:type="pct"/>
                  <w:vAlign w:val="center"/>
                </w:tcPr>
                <w:p w14:paraId="11AEE193">
                  <w:pPr>
                    <w:adjustRightInd w:val="0"/>
                    <w:jc w:val="center"/>
                    <w:rPr>
                      <w:color w:val="auto"/>
                      <w:szCs w:val="21"/>
                    </w:rPr>
                  </w:pPr>
                  <w:r>
                    <w:rPr>
                      <w:rFonts w:hint="eastAsia"/>
                      <w:color w:val="auto"/>
                      <w:szCs w:val="21"/>
                    </w:rPr>
                    <w:t>0.3</w:t>
                  </w:r>
                </w:p>
              </w:tc>
              <w:tc>
                <w:tcPr>
                  <w:tcW w:w="1365" w:type="pct"/>
                  <w:vMerge w:val="continue"/>
                  <w:vAlign w:val="center"/>
                </w:tcPr>
                <w:p w14:paraId="5E185E14">
                  <w:pPr>
                    <w:adjustRightInd w:val="0"/>
                    <w:jc w:val="center"/>
                    <w:rPr>
                      <w:color w:val="auto"/>
                      <w:szCs w:val="21"/>
                    </w:rPr>
                  </w:pPr>
                </w:p>
              </w:tc>
            </w:tr>
            <w:tr w14:paraId="11E0F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627A4F53">
                  <w:pPr>
                    <w:adjustRightInd w:val="0"/>
                    <w:jc w:val="center"/>
                    <w:rPr>
                      <w:color w:val="auto"/>
                      <w:szCs w:val="21"/>
                    </w:rPr>
                  </w:pPr>
                  <w:r>
                    <w:rPr>
                      <w:rFonts w:hint="eastAsia"/>
                      <w:color w:val="auto"/>
                      <w:szCs w:val="21"/>
                    </w:rPr>
                    <w:t>16</w:t>
                  </w:r>
                </w:p>
              </w:tc>
              <w:tc>
                <w:tcPr>
                  <w:tcW w:w="600" w:type="pct"/>
                  <w:vAlign w:val="center"/>
                </w:tcPr>
                <w:p w14:paraId="7B15AE17">
                  <w:pPr>
                    <w:adjustRightInd w:val="0"/>
                    <w:jc w:val="center"/>
                    <w:rPr>
                      <w:color w:val="auto"/>
                      <w:szCs w:val="21"/>
                    </w:rPr>
                  </w:pPr>
                  <w:r>
                    <w:rPr>
                      <w:rFonts w:hint="eastAsia"/>
                      <w:color w:val="auto"/>
                      <w:szCs w:val="21"/>
                    </w:rPr>
                    <w:t>漆渣</w:t>
                  </w:r>
                </w:p>
              </w:tc>
              <w:tc>
                <w:tcPr>
                  <w:tcW w:w="1367" w:type="pct"/>
                  <w:vAlign w:val="center"/>
                </w:tcPr>
                <w:p w14:paraId="73C4ED1B">
                  <w:pPr>
                    <w:adjustRightInd w:val="0"/>
                    <w:jc w:val="center"/>
                    <w:rPr>
                      <w:color w:val="auto"/>
                      <w:szCs w:val="21"/>
                    </w:rPr>
                  </w:pPr>
                  <w:r>
                    <w:rPr>
                      <w:rFonts w:hint="eastAsia"/>
                      <w:color w:val="auto"/>
                      <w:szCs w:val="21"/>
                    </w:rPr>
                    <w:t>水帘处理漆雾过程产生的漆渣</w:t>
                  </w:r>
                </w:p>
              </w:tc>
              <w:tc>
                <w:tcPr>
                  <w:tcW w:w="174" w:type="pct"/>
                  <w:vAlign w:val="center"/>
                </w:tcPr>
                <w:p w14:paraId="2EC584FE">
                  <w:pPr>
                    <w:adjustRightInd w:val="0"/>
                    <w:jc w:val="center"/>
                    <w:rPr>
                      <w:color w:val="auto"/>
                      <w:szCs w:val="21"/>
                    </w:rPr>
                  </w:pPr>
                  <w:r>
                    <w:rPr>
                      <w:rFonts w:hint="eastAsia"/>
                      <w:color w:val="auto"/>
                      <w:szCs w:val="21"/>
                    </w:rPr>
                    <w:t>固体</w:t>
                  </w:r>
                </w:p>
              </w:tc>
              <w:tc>
                <w:tcPr>
                  <w:tcW w:w="344" w:type="pct"/>
                  <w:vAlign w:val="center"/>
                </w:tcPr>
                <w:p w14:paraId="3376F8C2">
                  <w:pPr>
                    <w:adjustRightInd w:val="0"/>
                    <w:jc w:val="center"/>
                    <w:rPr>
                      <w:color w:val="auto"/>
                      <w:szCs w:val="21"/>
                    </w:rPr>
                  </w:pPr>
                  <w:r>
                    <w:rPr>
                      <w:rFonts w:hint="eastAsia"/>
                      <w:color w:val="auto"/>
                      <w:szCs w:val="21"/>
                    </w:rPr>
                    <w:t>危险废物</w:t>
                  </w:r>
                </w:p>
              </w:tc>
              <w:tc>
                <w:tcPr>
                  <w:tcW w:w="448" w:type="pct"/>
                  <w:vAlign w:val="center"/>
                </w:tcPr>
                <w:p w14:paraId="354BB9CC">
                  <w:pPr>
                    <w:adjustRightInd w:val="0"/>
                    <w:jc w:val="center"/>
                    <w:rPr>
                      <w:color w:val="auto"/>
                      <w:szCs w:val="21"/>
                    </w:rPr>
                  </w:pPr>
                  <w:r>
                    <w:rPr>
                      <w:rFonts w:hint="eastAsia"/>
                      <w:color w:val="auto"/>
                      <w:szCs w:val="21"/>
                    </w:rPr>
                    <w:t>HW12</w:t>
                  </w:r>
                </w:p>
                <w:p w14:paraId="1BFFC251">
                  <w:pPr>
                    <w:adjustRightInd w:val="0"/>
                    <w:jc w:val="center"/>
                    <w:rPr>
                      <w:color w:val="auto"/>
                      <w:szCs w:val="21"/>
                    </w:rPr>
                  </w:pPr>
                  <w:r>
                    <w:rPr>
                      <w:rFonts w:hint="eastAsia"/>
                      <w:color w:val="auto"/>
                      <w:szCs w:val="21"/>
                    </w:rPr>
                    <w:t>900-252-12</w:t>
                  </w:r>
                </w:p>
              </w:tc>
              <w:tc>
                <w:tcPr>
                  <w:tcW w:w="526" w:type="pct"/>
                  <w:vAlign w:val="center"/>
                </w:tcPr>
                <w:p w14:paraId="0D5D2A3B">
                  <w:pPr>
                    <w:adjustRightInd w:val="0"/>
                    <w:jc w:val="center"/>
                    <w:rPr>
                      <w:color w:val="auto"/>
                      <w:szCs w:val="21"/>
                    </w:rPr>
                  </w:pPr>
                  <w:r>
                    <w:rPr>
                      <w:rFonts w:hint="eastAsia"/>
                      <w:color w:val="auto"/>
                      <w:szCs w:val="21"/>
                    </w:rPr>
                    <w:t>3.5</w:t>
                  </w:r>
                </w:p>
              </w:tc>
              <w:tc>
                <w:tcPr>
                  <w:tcW w:w="1365" w:type="pct"/>
                  <w:vMerge w:val="continue"/>
                  <w:vAlign w:val="center"/>
                </w:tcPr>
                <w:p w14:paraId="425472CC">
                  <w:pPr>
                    <w:adjustRightInd w:val="0"/>
                    <w:jc w:val="center"/>
                    <w:rPr>
                      <w:color w:val="auto"/>
                      <w:szCs w:val="21"/>
                    </w:rPr>
                  </w:pPr>
                </w:p>
              </w:tc>
            </w:tr>
            <w:tr w14:paraId="4A590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7EA73E8F">
                  <w:pPr>
                    <w:adjustRightInd w:val="0"/>
                    <w:jc w:val="center"/>
                    <w:rPr>
                      <w:color w:val="auto"/>
                      <w:szCs w:val="21"/>
                    </w:rPr>
                  </w:pPr>
                  <w:r>
                    <w:rPr>
                      <w:rFonts w:hint="eastAsia"/>
                      <w:color w:val="auto"/>
                      <w:szCs w:val="21"/>
                    </w:rPr>
                    <w:t>17</w:t>
                  </w:r>
                </w:p>
              </w:tc>
              <w:tc>
                <w:tcPr>
                  <w:tcW w:w="600" w:type="pct"/>
                  <w:vAlign w:val="center"/>
                </w:tcPr>
                <w:p w14:paraId="4BC51822">
                  <w:pPr>
                    <w:adjustRightInd w:val="0"/>
                    <w:jc w:val="center"/>
                    <w:rPr>
                      <w:color w:val="auto"/>
                      <w:szCs w:val="21"/>
                    </w:rPr>
                  </w:pPr>
                  <w:r>
                    <w:rPr>
                      <w:rFonts w:hint="eastAsia"/>
                      <w:color w:val="auto"/>
                      <w:szCs w:val="21"/>
                    </w:rPr>
                    <w:t>废水处理污泥</w:t>
                  </w:r>
                </w:p>
              </w:tc>
              <w:tc>
                <w:tcPr>
                  <w:tcW w:w="1367" w:type="pct"/>
                  <w:vAlign w:val="center"/>
                </w:tcPr>
                <w:p w14:paraId="11EE6AF5">
                  <w:pPr>
                    <w:adjustRightInd w:val="0"/>
                    <w:jc w:val="center"/>
                    <w:rPr>
                      <w:color w:val="auto"/>
                      <w:szCs w:val="21"/>
                    </w:rPr>
                  </w:pPr>
                  <w:r>
                    <w:rPr>
                      <w:rFonts w:hint="eastAsia"/>
                      <w:color w:val="auto"/>
                      <w:szCs w:val="21"/>
                    </w:rPr>
                    <w:t>清洗废水等处理过程</w:t>
                  </w:r>
                </w:p>
              </w:tc>
              <w:tc>
                <w:tcPr>
                  <w:tcW w:w="174" w:type="pct"/>
                  <w:vAlign w:val="center"/>
                </w:tcPr>
                <w:p w14:paraId="1EFEF52C">
                  <w:pPr>
                    <w:adjustRightInd w:val="0"/>
                    <w:jc w:val="center"/>
                    <w:rPr>
                      <w:color w:val="auto"/>
                      <w:szCs w:val="21"/>
                    </w:rPr>
                  </w:pPr>
                  <w:r>
                    <w:rPr>
                      <w:rFonts w:hint="eastAsia"/>
                      <w:color w:val="auto"/>
                      <w:szCs w:val="21"/>
                    </w:rPr>
                    <w:t>固态</w:t>
                  </w:r>
                </w:p>
              </w:tc>
              <w:tc>
                <w:tcPr>
                  <w:tcW w:w="344" w:type="pct"/>
                  <w:vAlign w:val="center"/>
                </w:tcPr>
                <w:p w14:paraId="7DE41E70">
                  <w:pPr>
                    <w:adjustRightInd w:val="0"/>
                    <w:jc w:val="center"/>
                    <w:rPr>
                      <w:color w:val="auto"/>
                      <w:szCs w:val="21"/>
                    </w:rPr>
                  </w:pPr>
                  <w:r>
                    <w:rPr>
                      <w:rFonts w:hint="eastAsia"/>
                      <w:color w:val="auto"/>
                      <w:szCs w:val="21"/>
                    </w:rPr>
                    <w:t>危险废物</w:t>
                  </w:r>
                </w:p>
              </w:tc>
              <w:tc>
                <w:tcPr>
                  <w:tcW w:w="448" w:type="pct"/>
                  <w:vAlign w:val="center"/>
                </w:tcPr>
                <w:p w14:paraId="246E5BC9">
                  <w:pPr>
                    <w:adjustRightInd w:val="0"/>
                    <w:jc w:val="center"/>
                    <w:rPr>
                      <w:color w:val="auto"/>
                      <w:szCs w:val="21"/>
                    </w:rPr>
                  </w:pPr>
                  <w:r>
                    <w:rPr>
                      <w:rFonts w:hint="eastAsia"/>
                      <w:color w:val="auto"/>
                      <w:szCs w:val="21"/>
                    </w:rPr>
                    <w:t>HW17</w:t>
                  </w:r>
                </w:p>
                <w:p w14:paraId="26316093">
                  <w:pPr>
                    <w:adjustRightInd w:val="0"/>
                    <w:jc w:val="center"/>
                    <w:rPr>
                      <w:color w:val="auto"/>
                      <w:szCs w:val="21"/>
                    </w:rPr>
                  </w:pPr>
                  <w:r>
                    <w:rPr>
                      <w:rFonts w:hint="eastAsia"/>
                      <w:color w:val="auto"/>
                      <w:szCs w:val="21"/>
                    </w:rPr>
                    <w:t>336-064-17</w:t>
                  </w:r>
                </w:p>
              </w:tc>
              <w:tc>
                <w:tcPr>
                  <w:tcW w:w="526" w:type="pct"/>
                  <w:vAlign w:val="center"/>
                </w:tcPr>
                <w:p w14:paraId="2BE1E3B7">
                  <w:pPr>
                    <w:adjustRightInd w:val="0"/>
                    <w:jc w:val="center"/>
                    <w:rPr>
                      <w:color w:val="auto"/>
                      <w:szCs w:val="21"/>
                    </w:rPr>
                  </w:pPr>
                  <w:r>
                    <w:rPr>
                      <w:rFonts w:hint="eastAsia"/>
                      <w:color w:val="auto"/>
                      <w:szCs w:val="21"/>
                    </w:rPr>
                    <w:t>1.0</w:t>
                  </w:r>
                </w:p>
              </w:tc>
              <w:tc>
                <w:tcPr>
                  <w:tcW w:w="1365" w:type="pct"/>
                  <w:vMerge w:val="continue"/>
                  <w:vAlign w:val="center"/>
                </w:tcPr>
                <w:p w14:paraId="74CB315E">
                  <w:pPr>
                    <w:adjustRightInd w:val="0"/>
                    <w:jc w:val="center"/>
                    <w:rPr>
                      <w:color w:val="auto"/>
                      <w:szCs w:val="21"/>
                    </w:rPr>
                  </w:pPr>
                </w:p>
              </w:tc>
            </w:tr>
            <w:tr w14:paraId="77910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78F8C092">
                  <w:pPr>
                    <w:adjustRightInd w:val="0"/>
                    <w:jc w:val="center"/>
                    <w:rPr>
                      <w:color w:val="auto"/>
                      <w:szCs w:val="21"/>
                    </w:rPr>
                  </w:pPr>
                  <w:r>
                    <w:rPr>
                      <w:rFonts w:hint="eastAsia"/>
                      <w:color w:val="auto"/>
                      <w:szCs w:val="21"/>
                    </w:rPr>
                    <w:t>18</w:t>
                  </w:r>
                </w:p>
              </w:tc>
              <w:tc>
                <w:tcPr>
                  <w:tcW w:w="600" w:type="pct"/>
                  <w:vAlign w:val="center"/>
                </w:tcPr>
                <w:p w14:paraId="757F1358">
                  <w:pPr>
                    <w:adjustRightInd w:val="0"/>
                    <w:jc w:val="center"/>
                    <w:rPr>
                      <w:color w:val="auto"/>
                      <w:szCs w:val="21"/>
                    </w:rPr>
                  </w:pPr>
                  <w:r>
                    <w:rPr>
                      <w:rFonts w:hint="eastAsia"/>
                      <w:color w:val="auto"/>
                      <w:szCs w:val="21"/>
                    </w:rPr>
                    <w:t>废润滑油</w:t>
                  </w:r>
                </w:p>
              </w:tc>
              <w:tc>
                <w:tcPr>
                  <w:tcW w:w="1367" w:type="pct"/>
                  <w:vAlign w:val="center"/>
                </w:tcPr>
                <w:p w14:paraId="7672FADC">
                  <w:pPr>
                    <w:adjustRightInd w:val="0"/>
                    <w:jc w:val="center"/>
                    <w:rPr>
                      <w:color w:val="auto"/>
                      <w:szCs w:val="21"/>
                    </w:rPr>
                  </w:pPr>
                  <w:r>
                    <w:rPr>
                      <w:rFonts w:hint="eastAsia"/>
                      <w:color w:val="auto"/>
                      <w:szCs w:val="21"/>
                    </w:rPr>
                    <w:t>机加工设备维修保养产生的废润滑油</w:t>
                  </w:r>
                </w:p>
              </w:tc>
              <w:tc>
                <w:tcPr>
                  <w:tcW w:w="174" w:type="pct"/>
                  <w:vAlign w:val="center"/>
                </w:tcPr>
                <w:p w14:paraId="2174AC72">
                  <w:pPr>
                    <w:adjustRightInd w:val="0"/>
                    <w:jc w:val="center"/>
                    <w:rPr>
                      <w:color w:val="auto"/>
                      <w:szCs w:val="21"/>
                    </w:rPr>
                  </w:pPr>
                  <w:r>
                    <w:rPr>
                      <w:rFonts w:hint="eastAsia"/>
                      <w:color w:val="auto"/>
                      <w:szCs w:val="21"/>
                    </w:rPr>
                    <w:t>液态</w:t>
                  </w:r>
                </w:p>
              </w:tc>
              <w:tc>
                <w:tcPr>
                  <w:tcW w:w="344" w:type="pct"/>
                  <w:vAlign w:val="center"/>
                </w:tcPr>
                <w:p w14:paraId="6BDDA37D">
                  <w:pPr>
                    <w:adjustRightInd w:val="0"/>
                    <w:jc w:val="center"/>
                    <w:rPr>
                      <w:color w:val="auto"/>
                      <w:szCs w:val="21"/>
                    </w:rPr>
                  </w:pPr>
                  <w:r>
                    <w:rPr>
                      <w:rFonts w:hint="eastAsia"/>
                      <w:color w:val="auto"/>
                      <w:szCs w:val="21"/>
                    </w:rPr>
                    <w:t>危险废物</w:t>
                  </w:r>
                </w:p>
              </w:tc>
              <w:tc>
                <w:tcPr>
                  <w:tcW w:w="448" w:type="pct"/>
                  <w:vAlign w:val="center"/>
                </w:tcPr>
                <w:p w14:paraId="02423D4F">
                  <w:pPr>
                    <w:adjustRightInd w:val="0"/>
                    <w:jc w:val="center"/>
                    <w:rPr>
                      <w:color w:val="auto"/>
                      <w:szCs w:val="21"/>
                    </w:rPr>
                  </w:pPr>
                  <w:r>
                    <w:rPr>
                      <w:rFonts w:hint="eastAsia"/>
                      <w:color w:val="auto"/>
                      <w:szCs w:val="21"/>
                    </w:rPr>
                    <w:t>HW08</w:t>
                  </w:r>
                </w:p>
                <w:p w14:paraId="2FF5D932">
                  <w:pPr>
                    <w:adjustRightInd w:val="0"/>
                    <w:jc w:val="center"/>
                    <w:rPr>
                      <w:color w:val="auto"/>
                      <w:szCs w:val="21"/>
                    </w:rPr>
                  </w:pPr>
                  <w:r>
                    <w:rPr>
                      <w:rFonts w:hint="eastAsia"/>
                      <w:color w:val="auto"/>
                      <w:szCs w:val="21"/>
                    </w:rPr>
                    <w:t>900-249-08</w:t>
                  </w:r>
                </w:p>
              </w:tc>
              <w:tc>
                <w:tcPr>
                  <w:tcW w:w="526" w:type="pct"/>
                  <w:vAlign w:val="center"/>
                </w:tcPr>
                <w:p w14:paraId="4A7FD104">
                  <w:pPr>
                    <w:adjustRightInd w:val="0"/>
                    <w:jc w:val="center"/>
                    <w:rPr>
                      <w:color w:val="auto"/>
                      <w:szCs w:val="21"/>
                    </w:rPr>
                  </w:pPr>
                  <w:r>
                    <w:rPr>
                      <w:rFonts w:hint="eastAsia"/>
                      <w:color w:val="auto"/>
                      <w:szCs w:val="21"/>
                    </w:rPr>
                    <w:t>0.2</w:t>
                  </w:r>
                </w:p>
              </w:tc>
              <w:tc>
                <w:tcPr>
                  <w:tcW w:w="1365" w:type="pct"/>
                  <w:vMerge w:val="continue"/>
                  <w:vAlign w:val="center"/>
                </w:tcPr>
                <w:p w14:paraId="27A75BC3">
                  <w:pPr>
                    <w:adjustRightInd w:val="0"/>
                    <w:jc w:val="center"/>
                    <w:rPr>
                      <w:color w:val="auto"/>
                      <w:szCs w:val="21"/>
                    </w:rPr>
                  </w:pPr>
                </w:p>
              </w:tc>
            </w:tr>
            <w:tr w14:paraId="64055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5834302E">
                  <w:pPr>
                    <w:adjustRightInd w:val="0"/>
                    <w:jc w:val="center"/>
                    <w:rPr>
                      <w:color w:val="auto"/>
                      <w:szCs w:val="21"/>
                    </w:rPr>
                  </w:pPr>
                  <w:r>
                    <w:rPr>
                      <w:rFonts w:hint="eastAsia"/>
                      <w:color w:val="auto"/>
                      <w:szCs w:val="21"/>
                    </w:rPr>
                    <w:t>19</w:t>
                  </w:r>
                </w:p>
              </w:tc>
              <w:tc>
                <w:tcPr>
                  <w:tcW w:w="600" w:type="pct"/>
                  <w:vAlign w:val="center"/>
                </w:tcPr>
                <w:p w14:paraId="32FF4720">
                  <w:pPr>
                    <w:adjustRightInd w:val="0"/>
                    <w:jc w:val="center"/>
                    <w:rPr>
                      <w:color w:val="auto"/>
                      <w:szCs w:val="21"/>
                    </w:rPr>
                  </w:pPr>
                  <w:r>
                    <w:rPr>
                      <w:rFonts w:hint="eastAsia"/>
                      <w:color w:val="auto"/>
                      <w:szCs w:val="21"/>
                    </w:rPr>
                    <w:t>废活性炭</w:t>
                  </w:r>
                </w:p>
              </w:tc>
              <w:tc>
                <w:tcPr>
                  <w:tcW w:w="1367" w:type="pct"/>
                  <w:vAlign w:val="center"/>
                </w:tcPr>
                <w:p w14:paraId="685C42B4">
                  <w:pPr>
                    <w:adjustRightInd w:val="0"/>
                    <w:jc w:val="center"/>
                    <w:rPr>
                      <w:color w:val="auto"/>
                      <w:szCs w:val="21"/>
                    </w:rPr>
                  </w:pPr>
                  <w:r>
                    <w:rPr>
                      <w:rFonts w:hint="eastAsia"/>
                      <w:color w:val="auto"/>
                      <w:szCs w:val="21"/>
                    </w:rPr>
                    <w:t>有机废气处理过程中产生的废弃物</w:t>
                  </w:r>
                </w:p>
              </w:tc>
              <w:tc>
                <w:tcPr>
                  <w:tcW w:w="174" w:type="pct"/>
                  <w:vAlign w:val="center"/>
                </w:tcPr>
                <w:p w14:paraId="0EF8C03E">
                  <w:pPr>
                    <w:adjustRightInd w:val="0"/>
                    <w:jc w:val="center"/>
                    <w:rPr>
                      <w:color w:val="auto"/>
                      <w:szCs w:val="21"/>
                    </w:rPr>
                  </w:pPr>
                  <w:r>
                    <w:rPr>
                      <w:rFonts w:hint="eastAsia"/>
                      <w:color w:val="auto"/>
                      <w:szCs w:val="21"/>
                    </w:rPr>
                    <w:t>固态</w:t>
                  </w:r>
                </w:p>
              </w:tc>
              <w:tc>
                <w:tcPr>
                  <w:tcW w:w="344" w:type="pct"/>
                  <w:vAlign w:val="center"/>
                </w:tcPr>
                <w:p w14:paraId="5A49D833">
                  <w:pPr>
                    <w:adjustRightInd w:val="0"/>
                    <w:jc w:val="center"/>
                    <w:rPr>
                      <w:color w:val="auto"/>
                      <w:szCs w:val="21"/>
                    </w:rPr>
                  </w:pPr>
                  <w:r>
                    <w:rPr>
                      <w:rFonts w:hint="eastAsia"/>
                      <w:color w:val="auto"/>
                      <w:szCs w:val="21"/>
                    </w:rPr>
                    <w:t>危险废物</w:t>
                  </w:r>
                </w:p>
              </w:tc>
              <w:tc>
                <w:tcPr>
                  <w:tcW w:w="448" w:type="pct"/>
                  <w:vAlign w:val="center"/>
                </w:tcPr>
                <w:p w14:paraId="07389724">
                  <w:pPr>
                    <w:adjustRightInd w:val="0"/>
                    <w:jc w:val="center"/>
                    <w:rPr>
                      <w:color w:val="auto"/>
                      <w:szCs w:val="21"/>
                    </w:rPr>
                  </w:pPr>
                  <w:r>
                    <w:rPr>
                      <w:rFonts w:hint="eastAsia"/>
                      <w:color w:val="auto"/>
                      <w:szCs w:val="21"/>
                    </w:rPr>
                    <w:t>HW49</w:t>
                  </w:r>
                </w:p>
                <w:p w14:paraId="71301C51">
                  <w:pPr>
                    <w:adjustRightInd w:val="0"/>
                    <w:jc w:val="center"/>
                    <w:rPr>
                      <w:color w:val="auto"/>
                      <w:szCs w:val="21"/>
                    </w:rPr>
                  </w:pPr>
                  <w:r>
                    <w:rPr>
                      <w:rFonts w:hint="eastAsia"/>
                      <w:color w:val="auto"/>
                      <w:szCs w:val="21"/>
                    </w:rPr>
                    <w:t>900-041-49</w:t>
                  </w:r>
                </w:p>
              </w:tc>
              <w:tc>
                <w:tcPr>
                  <w:tcW w:w="526" w:type="pct"/>
                  <w:vAlign w:val="center"/>
                </w:tcPr>
                <w:p w14:paraId="0540020C">
                  <w:pPr>
                    <w:adjustRightInd w:val="0"/>
                    <w:jc w:val="center"/>
                    <w:rPr>
                      <w:color w:val="auto"/>
                      <w:szCs w:val="21"/>
                    </w:rPr>
                  </w:pPr>
                  <w:r>
                    <w:rPr>
                      <w:rFonts w:hint="eastAsia"/>
                      <w:color w:val="auto"/>
                      <w:szCs w:val="21"/>
                    </w:rPr>
                    <w:t>3.5</w:t>
                  </w:r>
                </w:p>
              </w:tc>
              <w:tc>
                <w:tcPr>
                  <w:tcW w:w="1365" w:type="pct"/>
                  <w:vMerge w:val="continue"/>
                  <w:vAlign w:val="center"/>
                </w:tcPr>
                <w:p w14:paraId="18697F7F">
                  <w:pPr>
                    <w:adjustRightInd w:val="0"/>
                    <w:jc w:val="center"/>
                    <w:rPr>
                      <w:color w:val="auto"/>
                      <w:szCs w:val="21"/>
                    </w:rPr>
                  </w:pPr>
                </w:p>
              </w:tc>
            </w:tr>
            <w:tr w14:paraId="1E7A5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29FF2AD5">
                  <w:pPr>
                    <w:adjustRightInd w:val="0"/>
                    <w:jc w:val="center"/>
                    <w:rPr>
                      <w:color w:val="auto"/>
                      <w:szCs w:val="21"/>
                    </w:rPr>
                  </w:pPr>
                  <w:r>
                    <w:rPr>
                      <w:rFonts w:hint="eastAsia"/>
                      <w:color w:val="auto"/>
                      <w:szCs w:val="21"/>
                    </w:rPr>
                    <w:t>20</w:t>
                  </w:r>
                </w:p>
              </w:tc>
              <w:tc>
                <w:tcPr>
                  <w:tcW w:w="600" w:type="pct"/>
                  <w:vAlign w:val="center"/>
                </w:tcPr>
                <w:p w14:paraId="02573494">
                  <w:pPr>
                    <w:adjustRightInd w:val="0"/>
                    <w:jc w:val="center"/>
                    <w:rPr>
                      <w:color w:val="auto"/>
                      <w:szCs w:val="21"/>
                    </w:rPr>
                  </w:pPr>
                  <w:r>
                    <w:rPr>
                      <w:rFonts w:hint="eastAsia"/>
                      <w:color w:val="auto"/>
                      <w:szCs w:val="21"/>
                    </w:rPr>
                    <w:t>废过滤棉</w:t>
                  </w:r>
                </w:p>
              </w:tc>
              <w:tc>
                <w:tcPr>
                  <w:tcW w:w="1367" w:type="pct"/>
                  <w:vAlign w:val="center"/>
                </w:tcPr>
                <w:p w14:paraId="07A1E1B1">
                  <w:pPr>
                    <w:adjustRightInd w:val="0"/>
                    <w:jc w:val="center"/>
                    <w:rPr>
                      <w:color w:val="auto"/>
                      <w:szCs w:val="21"/>
                    </w:rPr>
                  </w:pPr>
                  <w:r>
                    <w:rPr>
                      <w:rFonts w:hint="eastAsia"/>
                      <w:color w:val="auto"/>
                      <w:szCs w:val="21"/>
                    </w:rPr>
                    <w:t>漆雾废气处理过程中产生的废弃物</w:t>
                  </w:r>
                </w:p>
              </w:tc>
              <w:tc>
                <w:tcPr>
                  <w:tcW w:w="174" w:type="pct"/>
                  <w:vAlign w:val="center"/>
                </w:tcPr>
                <w:p w14:paraId="47007C59">
                  <w:pPr>
                    <w:adjustRightInd w:val="0"/>
                    <w:jc w:val="center"/>
                    <w:rPr>
                      <w:color w:val="auto"/>
                      <w:szCs w:val="21"/>
                    </w:rPr>
                  </w:pPr>
                  <w:r>
                    <w:rPr>
                      <w:rFonts w:hint="eastAsia"/>
                      <w:color w:val="auto"/>
                      <w:szCs w:val="21"/>
                    </w:rPr>
                    <w:t>固态</w:t>
                  </w:r>
                </w:p>
              </w:tc>
              <w:tc>
                <w:tcPr>
                  <w:tcW w:w="344" w:type="pct"/>
                  <w:vAlign w:val="center"/>
                </w:tcPr>
                <w:p w14:paraId="108B5C2E">
                  <w:pPr>
                    <w:adjustRightInd w:val="0"/>
                    <w:jc w:val="center"/>
                    <w:rPr>
                      <w:color w:val="auto"/>
                      <w:szCs w:val="21"/>
                    </w:rPr>
                  </w:pPr>
                  <w:r>
                    <w:rPr>
                      <w:rFonts w:hint="eastAsia"/>
                      <w:color w:val="auto"/>
                      <w:szCs w:val="21"/>
                    </w:rPr>
                    <w:t>危险废物</w:t>
                  </w:r>
                </w:p>
              </w:tc>
              <w:tc>
                <w:tcPr>
                  <w:tcW w:w="448" w:type="pct"/>
                  <w:vAlign w:val="center"/>
                </w:tcPr>
                <w:p w14:paraId="73A7FB62">
                  <w:pPr>
                    <w:adjustRightInd w:val="0"/>
                    <w:jc w:val="center"/>
                    <w:rPr>
                      <w:color w:val="auto"/>
                      <w:szCs w:val="21"/>
                    </w:rPr>
                  </w:pPr>
                  <w:r>
                    <w:rPr>
                      <w:rFonts w:hint="eastAsia"/>
                      <w:color w:val="auto"/>
                      <w:szCs w:val="21"/>
                    </w:rPr>
                    <w:t>HW49</w:t>
                  </w:r>
                </w:p>
                <w:p w14:paraId="0354D1D2">
                  <w:pPr>
                    <w:adjustRightInd w:val="0"/>
                    <w:jc w:val="center"/>
                    <w:rPr>
                      <w:color w:val="auto"/>
                      <w:szCs w:val="21"/>
                    </w:rPr>
                  </w:pPr>
                  <w:r>
                    <w:rPr>
                      <w:rFonts w:hint="eastAsia"/>
                      <w:color w:val="auto"/>
                      <w:szCs w:val="21"/>
                    </w:rPr>
                    <w:t>900-041-49</w:t>
                  </w:r>
                </w:p>
              </w:tc>
              <w:tc>
                <w:tcPr>
                  <w:tcW w:w="526" w:type="pct"/>
                  <w:vAlign w:val="center"/>
                </w:tcPr>
                <w:p w14:paraId="64E0E0C7">
                  <w:pPr>
                    <w:adjustRightInd w:val="0"/>
                    <w:jc w:val="center"/>
                    <w:rPr>
                      <w:color w:val="auto"/>
                      <w:szCs w:val="21"/>
                    </w:rPr>
                  </w:pPr>
                  <w:r>
                    <w:rPr>
                      <w:rFonts w:hint="eastAsia"/>
                      <w:color w:val="auto"/>
                      <w:szCs w:val="21"/>
                    </w:rPr>
                    <w:t>0.3</w:t>
                  </w:r>
                </w:p>
              </w:tc>
              <w:tc>
                <w:tcPr>
                  <w:tcW w:w="1365" w:type="pct"/>
                  <w:vMerge w:val="continue"/>
                  <w:vAlign w:val="center"/>
                </w:tcPr>
                <w:p w14:paraId="40AE5010">
                  <w:pPr>
                    <w:adjustRightInd w:val="0"/>
                    <w:jc w:val="center"/>
                    <w:rPr>
                      <w:color w:val="auto"/>
                      <w:szCs w:val="21"/>
                    </w:rPr>
                  </w:pPr>
                </w:p>
              </w:tc>
            </w:tr>
            <w:tr w14:paraId="76365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6BA961AA">
                  <w:pPr>
                    <w:adjustRightInd w:val="0"/>
                    <w:jc w:val="center"/>
                    <w:rPr>
                      <w:color w:val="auto"/>
                      <w:szCs w:val="21"/>
                    </w:rPr>
                  </w:pPr>
                  <w:r>
                    <w:rPr>
                      <w:rFonts w:hint="eastAsia"/>
                      <w:color w:val="auto"/>
                      <w:szCs w:val="21"/>
                    </w:rPr>
                    <w:t>21</w:t>
                  </w:r>
                </w:p>
              </w:tc>
              <w:tc>
                <w:tcPr>
                  <w:tcW w:w="600" w:type="pct"/>
                  <w:vAlign w:val="center"/>
                </w:tcPr>
                <w:p w14:paraId="6582C546">
                  <w:pPr>
                    <w:adjustRightInd w:val="0"/>
                    <w:jc w:val="center"/>
                    <w:rPr>
                      <w:color w:val="auto"/>
                      <w:szCs w:val="21"/>
                    </w:rPr>
                  </w:pPr>
                  <w:r>
                    <w:rPr>
                      <w:rFonts w:hint="eastAsia"/>
                      <w:color w:val="auto"/>
                      <w:szCs w:val="21"/>
                    </w:rPr>
                    <w:t>废药剂、油漆桶</w:t>
                  </w:r>
                </w:p>
              </w:tc>
              <w:tc>
                <w:tcPr>
                  <w:tcW w:w="1367" w:type="pct"/>
                  <w:vAlign w:val="center"/>
                </w:tcPr>
                <w:p w14:paraId="6E9CDBAD">
                  <w:pPr>
                    <w:adjustRightInd w:val="0"/>
                    <w:jc w:val="center"/>
                    <w:rPr>
                      <w:color w:val="auto"/>
                      <w:szCs w:val="21"/>
                    </w:rPr>
                  </w:pPr>
                  <w:r>
                    <w:rPr>
                      <w:rFonts w:hint="eastAsia"/>
                      <w:color w:val="auto"/>
                      <w:szCs w:val="21"/>
                    </w:rPr>
                    <w:t>包装</w:t>
                  </w:r>
                </w:p>
              </w:tc>
              <w:tc>
                <w:tcPr>
                  <w:tcW w:w="174" w:type="pct"/>
                  <w:vAlign w:val="center"/>
                </w:tcPr>
                <w:p w14:paraId="1B282785">
                  <w:pPr>
                    <w:adjustRightInd w:val="0"/>
                    <w:jc w:val="center"/>
                    <w:rPr>
                      <w:color w:val="auto"/>
                      <w:szCs w:val="21"/>
                    </w:rPr>
                  </w:pPr>
                  <w:r>
                    <w:rPr>
                      <w:rFonts w:hint="eastAsia"/>
                      <w:color w:val="auto"/>
                      <w:szCs w:val="21"/>
                    </w:rPr>
                    <w:t>固态</w:t>
                  </w:r>
                </w:p>
              </w:tc>
              <w:tc>
                <w:tcPr>
                  <w:tcW w:w="344" w:type="pct"/>
                  <w:vAlign w:val="center"/>
                </w:tcPr>
                <w:p w14:paraId="36F95417">
                  <w:pPr>
                    <w:adjustRightInd w:val="0"/>
                    <w:jc w:val="center"/>
                    <w:rPr>
                      <w:color w:val="auto"/>
                      <w:szCs w:val="21"/>
                    </w:rPr>
                  </w:pPr>
                  <w:r>
                    <w:rPr>
                      <w:rFonts w:hint="eastAsia"/>
                      <w:color w:val="auto"/>
                      <w:szCs w:val="21"/>
                    </w:rPr>
                    <w:t>危险废物</w:t>
                  </w:r>
                </w:p>
              </w:tc>
              <w:tc>
                <w:tcPr>
                  <w:tcW w:w="448" w:type="pct"/>
                  <w:vAlign w:val="center"/>
                </w:tcPr>
                <w:p w14:paraId="7ED6F3C1">
                  <w:pPr>
                    <w:adjustRightInd w:val="0"/>
                    <w:jc w:val="center"/>
                    <w:rPr>
                      <w:color w:val="auto"/>
                      <w:szCs w:val="21"/>
                    </w:rPr>
                  </w:pPr>
                  <w:r>
                    <w:rPr>
                      <w:rFonts w:hint="eastAsia"/>
                      <w:color w:val="auto"/>
                      <w:szCs w:val="21"/>
                    </w:rPr>
                    <w:t>HW49</w:t>
                  </w:r>
                </w:p>
                <w:p w14:paraId="0D8945A7">
                  <w:pPr>
                    <w:adjustRightInd w:val="0"/>
                    <w:jc w:val="center"/>
                    <w:rPr>
                      <w:color w:val="auto"/>
                      <w:szCs w:val="21"/>
                    </w:rPr>
                  </w:pPr>
                  <w:r>
                    <w:rPr>
                      <w:rFonts w:hint="eastAsia"/>
                      <w:color w:val="auto"/>
                      <w:szCs w:val="21"/>
                    </w:rPr>
                    <w:t>900-041-49</w:t>
                  </w:r>
                </w:p>
              </w:tc>
              <w:tc>
                <w:tcPr>
                  <w:tcW w:w="526" w:type="pct"/>
                  <w:vAlign w:val="center"/>
                </w:tcPr>
                <w:p w14:paraId="07E31E1A">
                  <w:pPr>
                    <w:adjustRightInd w:val="0"/>
                    <w:jc w:val="center"/>
                    <w:rPr>
                      <w:color w:val="auto"/>
                      <w:szCs w:val="21"/>
                    </w:rPr>
                  </w:pPr>
                  <w:r>
                    <w:rPr>
                      <w:rFonts w:hint="eastAsia"/>
                      <w:color w:val="auto"/>
                      <w:szCs w:val="21"/>
                    </w:rPr>
                    <w:t>0.8</w:t>
                  </w:r>
                </w:p>
              </w:tc>
              <w:tc>
                <w:tcPr>
                  <w:tcW w:w="1365" w:type="pct"/>
                  <w:vMerge w:val="continue"/>
                  <w:vAlign w:val="center"/>
                </w:tcPr>
                <w:p w14:paraId="14B4314E">
                  <w:pPr>
                    <w:adjustRightInd w:val="0"/>
                    <w:jc w:val="center"/>
                    <w:rPr>
                      <w:color w:val="auto"/>
                      <w:szCs w:val="21"/>
                    </w:rPr>
                  </w:pPr>
                </w:p>
              </w:tc>
            </w:tr>
            <w:tr w14:paraId="1ABFE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5D45D27F">
                  <w:pPr>
                    <w:adjustRightInd w:val="0"/>
                    <w:jc w:val="center"/>
                    <w:rPr>
                      <w:color w:val="auto"/>
                      <w:szCs w:val="21"/>
                    </w:rPr>
                  </w:pPr>
                  <w:r>
                    <w:rPr>
                      <w:rFonts w:hint="eastAsia"/>
                      <w:color w:val="auto"/>
                      <w:szCs w:val="21"/>
                    </w:rPr>
                    <w:t>22</w:t>
                  </w:r>
                </w:p>
              </w:tc>
              <w:tc>
                <w:tcPr>
                  <w:tcW w:w="600" w:type="pct"/>
                  <w:vAlign w:val="center"/>
                </w:tcPr>
                <w:p w14:paraId="61B9588C">
                  <w:pPr>
                    <w:adjustRightInd w:val="0"/>
                    <w:jc w:val="center"/>
                    <w:rPr>
                      <w:color w:val="auto"/>
                      <w:szCs w:val="21"/>
                    </w:rPr>
                  </w:pPr>
                  <w:r>
                    <w:rPr>
                      <w:rFonts w:hint="eastAsia"/>
                      <w:color w:val="auto"/>
                      <w:szCs w:val="21"/>
                    </w:rPr>
                    <w:t>废油墨</w:t>
                  </w:r>
                </w:p>
              </w:tc>
              <w:tc>
                <w:tcPr>
                  <w:tcW w:w="1367" w:type="pct"/>
                  <w:vAlign w:val="center"/>
                </w:tcPr>
                <w:p w14:paraId="4AB93D35">
                  <w:pPr>
                    <w:adjustRightInd w:val="0"/>
                    <w:jc w:val="center"/>
                    <w:rPr>
                      <w:color w:val="auto"/>
                      <w:szCs w:val="21"/>
                    </w:rPr>
                  </w:pPr>
                  <w:r>
                    <w:rPr>
                      <w:rFonts w:hint="eastAsia"/>
                      <w:color w:val="auto"/>
                      <w:szCs w:val="21"/>
                    </w:rPr>
                    <w:t>印刷</w:t>
                  </w:r>
                </w:p>
              </w:tc>
              <w:tc>
                <w:tcPr>
                  <w:tcW w:w="174" w:type="pct"/>
                  <w:vAlign w:val="center"/>
                </w:tcPr>
                <w:p w14:paraId="23005787">
                  <w:pPr>
                    <w:adjustRightInd w:val="0"/>
                    <w:jc w:val="center"/>
                    <w:rPr>
                      <w:color w:val="auto"/>
                      <w:szCs w:val="21"/>
                    </w:rPr>
                  </w:pPr>
                  <w:r>
                    <w:rPr>
                      <w:rFonts w:hint="eastAsia"/>
                      <w:color w:val="auto"/>
                      <w:szCs w:val="21"/>
                    </w:rPr>
                    <w:t>液态</w:t>
                  </w:r>
                </w:p>
              </w:tc>
              <w:tc>
                <w:tcPr>
                  <w:tcW w:w="344" w:type="pct"/>
                  <w:vAlign w:val="center"/>
                </w:tcPr>
                <w:p w14:paraId="2D2023BD">
                  <w:pPr>
                    <w:adjustRightInd w:val="0"/>
                    <w:jc w:val="center"/>
                    <w:rPr>
                      <w:color w:val="auto"/>
                      <w:szCs w:val="21"/>
                    </w:rPr>
                  </w:pPr>
                  <w:r>
                    <w:rPr>
                      <w:rFonts w:hint="eastAsia"/>
                      <w:color w:val="auto"/>
                      <w:szCs w:val="21"/>
                    </w:rPr>
                    <w:t>危险废物</w:t>
                  </w:r>
                </w:p>
              </w:tc>
              <w:tc>
                <w:tcPr>
                  <w:tcW w:w="448" w:type="pct"/>
                  <w:vAlign w:val="center"/>
                </w:tcPr>
                <w:p w14:paraId="5E36F912">
                  <w:pPr>
                    <w:adjustRightInd w:val="0"/>
                    <w:jc w:val="center"/>
                    <w:rPr>
                      <w:color w:val="auto"/>
                      <w:szCs w:val="21"/>
                    </w:rPr>
                  </w:pPr>
                  <w:r>
                    <w:rPr>
                      <w:rFonts w:hint="eastAsia"/>
                      <w:color w:val="auto"/>
                      <w:szCs w:val="21"/>
                    </w:rPr>
                    <w:t>HW12</w:t>
                  </w:r>
                </w:p>
                <w:p w14:paraId="71359B29">
                  <w:pPr>
                    <w:adjustRightInd w:val="0"/>
                    <w:jc w:val="center"/>
                    <w:rPr>
                      <w:color w:val="auto"/>
                      <w:szCs w:val="21"/>
                    </w:rPr>
                  </w:pPr>
                  <w:r>
                    <w:rPr>
                      <w:rFonts w:hint="eastAsia"/>
                      <w:color w:val="auto"/>
                      <w:szCs w:val="21"/>
                    </w:rPr>
                    <w:t>900-299-12</w:t>
                  </w:r>
                </w:p>
              </w:tc>
              <w:tc>
                <w:tcPr>
                  <w:tcW w:w="526" w:type="pct"/>
                  <w:vAlign w:val="center"/>
                </w:tcPr>
                <w:p w14:paraId="02F91663">
                  <w:pPr>
                    <w:adjustRightInd w:val="0"/>
                    <w:jc w:val="center"/>
                    <w:rPr>
                      <w:color w:val="auto"/>
                      <w:szCs w:val="21"/>
                    </w:rPr>
                  </w:pPr>
                  <w:r>
                    <w:rPr>
                      <w:rFonts w:hint="eastAsia"/>
                      <w:color w:val="auto"/>
                      <w:szCs w:val="21"/>
                    </w:rPr>
                    <w:t>0.02</w:t>
                  </w:r>
                </w:p>
              </w:tc>
              <w:tc>
                <w:tcPr>
                  <w:tcW w:w="1365" w:type="pct"/>
                  <w:vMerge w:val="continue"/>
                  <w:vAlign w:val="center"/>
                </w:tcPr>
                <w:p w14:paraId="349DAE20">
                  <w:pPr>
                    <w:adjustRightInd w:val="0"/>
                    <w:jc w:val="center"/>
                    <w:rPr>
                      <w:color w:val="auto"/>
                      <w:szCs w:val="21"/>
                    </w:rPr>
                  </w:pPr>
                </w:p>
              </w:tc>
            </w:tr>
            <w:tr w14:paraId="52D16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59F01A39">
                  <w:pPr>
                    <w:adjustRightInd w:val="0"/>
                    <w:jc w:val="center"/>
                    <w:rPr>
                      <w:color w:val="auto"/>
                      <w:szCs w:val="21"/>
                    </w:rPr>
                  </w:pPr>
                  <w:r>
                    <w:rPr>
                      <w:rFonts w:hint="eastAsia"/>
                      <w:color w:val="auto"/>
                      <w:szCs w:val="21"/>
                    </w:rPr>
                    <w:t>23</w:t>
                  </w:r>
                </w:p>
              </w:tc>
              <w:tc>
                <w:tcPr>
                  <w:tcW w:w="600" w:type="pct"/>
                  <w:vAlign w:val="center"/>
                </w:tcPr>
                <w:p w14:paraId="3A6F5ABB">
                  <w:pPr>
                    <w:adjustRightInd w:val="0"/>
                    <w:jc w:val="center"/>
                    <w:rPr>
                      <w:color w:val="auto"/>
                      <w:szCs w:val="21"/>
                    </w:rPr>
                  </w:pPr>
                  <w:r>
                    <w:rPr>
                      <w:rFonts w:hint="eastAsia"/>
                      <w:color w:val="auto"/>
                      <w:szCs w:val="21"/>
                    </w:rPr>
                    <w:t>废油墨桶</w:t>
                  </w:r>
                </w:p>
              </w:tc>
              <w:tc>
                <w:tcPr>
                  <w:tcW w:w="1367" w:type="pct"/>
                  <w:vAlign w:val="center"/>
                </w:tcPr>
                <w:p w14:paraId="154B4462">
                  <w:pPr>
                    <w:adjustRightInd w:val="0"/>
                    <w:jc w:val="center"/>
                    <w:rPr>
                      <w:color w:val="auto"/>
                      <w:szCs w:val="21"/>
                    </w:rPr>
                  </w:pPr>
                  <w:r>
                    <w:rPr>
                      <w:rFonts w:hint="eastAsia"/>
                      <w:color w:val="auto"/>
                      <w:szCs w:val="21"/>
                    </w:rPr>
                    <w:t>印刷</w:t>
                  </w:r>
                </w:p>
              </w:tc>
              <w:tc>
                <w:tcPr>
                  <w:tcW w:w="174" w:type="pct"/>
                  <w:vAlign w:val="center"/>
                </w:tcPr>
                <w:p w14:paraId="3AC886F7">
                  <w:pPr>
                    <w:adjustRightInd w:val="0"/>
                    <w:jc w:val="center"/>
                    <w:rPr>
                      <w:color w:val="auto"/>
                      <w:szCs w:val="21"/>
                    </w:rPr>
                  </w:pPr>
                  <w:r>
                    <w:rPr>
                      <w:rFonts w:hint="eastAsia"/>
                      <w:color w:val="auto"/>
                      <w:szCs w:val="21"/>
                    </w:rPr>
                    <w:t>固态</w:t>
                  </w:r>
                </w:p>
              </w:tc>
              <w:tc>
                <w:tcPr>
                  <w:tcW w:w="344" w:type="pct"/>
                  <w:vAlign w:val="center"/>
                </w:tcPr>
                <w:p w14:paraId="5F38FC2D">
                  <w:pPr>
                    <w:adjustRightInd w:val="0"/>
                    <w:jc w:val="center"/>
                    <w:rPr>
                      <w:color w:val="auto"/>
                      <w:szCs w:val="21"/>
                    </w:rPr>
                  </w:pPr>
                  <w:r>
                    <w:rPr>
                      <w:rFonts w:hint="eastAsia"/>
                      <w:color w:val="auto"/>
                      <w:szCs w:val="21"/>
                    </w:rPr>
                    <w:t>危险废物</w:t>
                  </w:r>
                </w:p>
              </w:tc>
              <w:tc>
                <w:tcPr>
                  <w:tcW w:w="448" w:type="pct"/>
                  <w:vAlign w:val="center"/>
                </w:tcPr>
                <w:p w14:paraId="172DC42D">
                  <w:pPr>
                    <w:adjustRightInd w:val="0"/>
                    <w:jc w:val="center"/>
                    <w:rPr>
                      <w:color w:val="auto"/>
                      <w:szCs w:val="21"/>
                    </w:rPr>
                  </w:pPr>
                  <w:r>
                    <w:rPr>
                      <w:rFonts w:hint="eastAsia"/>
                      <w:color w:val="auto"/>
                      <w:szCs w:val="21"/>
                    </w:rPr>
                    <w:t>HW49</w:t>
                  </w:r>
                </w:p>
                <w:p w14:paraId="48445398">
                  <w:pPr>
                    <w:adjustRightInd w:val="0"/>
                    <w:jc w:val="center"/>
                    <w:rPr>
                      <w:color w:val="auto"/>
                      <w:szCs w:val="21"/>
                    </w:rPr>
                  </w:pPr>
                  <w:r>
                    <w:rPr>
                      <w:rFonts w:hint="eastAsia"/>
                      <w:color w:val="auto"/>
                      <w:szCs w:val="21"/>
                    </w:rPr>
                    <w:t>900-041-49</w:t>
                  </w:r>
                </w:p>
              </w:tc>
              <w:tc>
                <w:tcPr>
                  <w:tcW w:w="526" w:type="pct"/>
                  <w:vAlign w:val="center"/>
                </w:tcPr>
                <w:p w14:paraId="4F4F31B9">
                  <w:pPr>
                    <w:adjustRightInd w:val="0"/>
                    <w:jc w:val="center"/>
                    <w:rPr>
                      <w:color w:val="auto"/>
                      <w:szCs w:val="21"/>
                    </w:rPr>
                  </w:pPr>
                  <w:r>
                    <w:rPr>
                      <w:rFonts w:hint="eastAsia"/>
                      <w:color w:val="auto"/>
                      <w:szCs w:val="21"/>
                    </w:rPr>
                    <w:t>0.01</w:t>
                  </w:r>
                </w:p>
              </w:tc>
              <w:tc>
                <w:tcPr>
                  <w:tcW w:w="1365" w:type="pct"/>
                  <w:vMerge w:val="continue"/>
                  <w:vAlign w:val="center"/>
                </w:tcPr>
                <w:p w14:paraId="6F2D362A">
                  <w:pPr>
                    <w:adjustRightInd w:val="0"/>
                    <w:jc w:val="center"/>
                    <w:rPr>
                      <w:color w:val="auto"/>
                      <w:szCs w:val="21"/>
                    </w:rPr>
                  </w:pPr>
                </w:p>
              </w:tc>
            </w:tr>
            <w:tr w14:paraId="6397D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1FE286C4">
                  <w:pPr>
                    <w:adjustRightInd w:val="0"/>
                    <w:jc w:val="center"/>
                    <w:rPr>
                      <w:color w:val="auto"/>
                      <w:szCs w:val="21"/>
                    </w:rPr>
                  </w:pPr>
                  <w:r>
                    <w:rPr>
                      <w:rFonts w:hint="eastAsia"/>
                      <w:color w:val="auto"/>
                      <w:szCs w:val="21"/>
                    </w:rPr>
                    <w:t>24</w:t>
                  </w:r>
                </w:p>
              </w:tc>
              <w:tc>
                <w:tcPr>
                  <w:tcW w:w="600" w:type="pct"/>
                  <w:vAlign w:val="center"/>
                </w:tcPr>
                <w:p w14:paraId="13CEF3E2">
                  <w:pPr>
                    <w:adjustRightInd w:val="0"/>
                    <w:jc w:val="center"/>
                    <w:rPr>
                      <w:color w:val="auto"/>
                      <w:szCs w:val="21"/>
                    </w:rPr>
                  </w:pPr>
                  <w:r>
                    <w:rPr>
                      <w:rFonts w:hint="eastAsia"/>
                      <w:color w:val="auto"/>
                      <w:szCs w:val="21"/>
                    </w:rPr>
                    <w:t>废抹布</w:t>
                  </w:r>
                </w:p>
              </w:tc>
              <w:tc>
                <w:tcPr>
                  <w:tcW w:w="1367" w:type="pct"/>
                  <w:vAlign w:val="center"/>
                </w:tcPr>
                <w:p w14:paraId="16986995">
                  <w:pPr>
                    <w:adjustRightInd w:val="0"/>
                    <w:jc w:val="center"/>
                    <w:rPr>
                      <w:color w:val="auto"/>
                      <w:szCs w:val="21"/>
                    </w:rPr>
                  </w:pPr>
                  <w:r>
                    <w:rPr>
                      <w:rFonts w:hint="eastAsia"/>
                      <w:color w:val="auto"/>
                      <w:szCs w:val="21"/>
                    </w:rPr>
                    <w:t>设备擦拭</w:t>
                  </w:r>
                </w:p>
              </w:tc>
              <w:tc>
                <w:tcPr>
                  <w:tcW w:w="174" w:type="pct"/>
                  <w:vAlign w:val="center"/>
                </w:tcPr>
                <w:p w14:paraId="2AC441AB">
                  <w:pPr>
                    <w:adjustRightInd w:val="0"/>
                    <w:jc w:val="center"/>
                    <w:rPr>
                      <w:color w:val="auto"/>
                      <w:szCs w:val="21"/>
                    </w:rPr>
                  </w:pPr>
                  <w:r>
                    <w:rPr>
                      <w:rFonts w:hint="eastAsia"/>
                      <w:color w:val="auto"/>
                      <w:szCs w:val="21"/>
                    </w:rPr>
                    <w:t>固态</w:t>
                  </w:r>
                </w:p>
              </w:tc>
              <w:tc>
                <w:tcPr>
                  <w:tcW w:w="344" w:type="pct"/>
                  <w:vAlign w:val="center"/>
                </w:tcPr>
                <w:p w14:paraId="77E72196">
                  <w:pPr>
                    <w:adjustRightInd w:val="0"/>
                    <w:jc w:val="center"/>
                    <w:rPr>
                      <w:color w:val="auto"/>
                      <w:szCs w:val="21"/>
                    </w:rPr>
                  </w:pPr>
                  <w:r>
                    <w:rPr>
                      <w:rFonts w:hint="eastAsia"/>
                      <w:color w:val="auto"/>
                      <w:szCs w:val="21"/>
                    </w:rPr>
                    <w:t>危险废物</w:t>
                  </w:r>
                </w:p>
              </w:tc>
              <w:tc>
                <w:tcPr>
                  <w:tcW w:w="448" w:type="pct"/>
                  <w:vAlign w:val="center"/>
                </w:tcPr>
                <w:p w14:paraId="0828DC01">
                  <w:pPr>
                    <w:adjustRightInd w:val="0"/>
                    <w:jc w:val="center"/>
                    <w:rPr>
                      <w:color w:val="auto"/>
                      <w:szCs w:val="21"/>
                    </w:rPr>
                  </w:pPr>
                  <w:r>
                    <w:rPr>
                      <w:rFonts w:hint="eastAsia"/>
                      <w:color w:val="auto"/>
                      <w:szCs w:val="21"/>
                    </w:rPr>
                    <w:t>HW49</w:t>
                  </w:r>
                </w:p>
                <w:p w14:paraId="4E0B262B">
                  <w:pPr>
                    <w:adjustRightInd w:val="0"/>
                    <w:jc w:val="center"/>
                    <w:rPr>
                      <w:color w:val="auto"/>
                      <w:szCs w:val="21"/>
                    </w:rPr>
                  </w:pPr>
                  <w:r>
                    <w:rPr>
                      <w:rFonts w:hint="eastAsia"/>
                      <w:color w:val="auto"/>
                      <w:szCs w:val="21"/>
                    </w:rPr>
                    <w:t>900-041-49</w:t>
                  </w:r>
                </w:p>
              </w:tc>
              <w:tc>
                <w:tcPr>
                  <w:tcW w:w="526" w:type="pct"/>
                  <w:vAlign w:val="center"/>
                </w:tcPr>
                <w:p w14:paraId="6B59E7EA">
                  <w:pPr>
                    <w:adjustRightInd w:val="0"/>
                    <w:jc w:val="center"/>
                    <w:rPr>
                      <w:color w:val="auto"/>
                      <w:szCs w:val="21"/>
                    </w:rPr>
                  </w:pPr>
                  <w:r>
                    <w:rPr>
                      <w:rFonts w:hint="eastAsia"/>
                      <w:color w:val="auto"/>
                      <w:szCs w:val="21"/>
                    </w:rPr>
                    <w:t>0.75</w:t>
                  </w:r>
                </w:p>
              </w:tc>
              <w:tc>
                <w:tcPr>
                  <w:tcW w:w="1365" w:type="pct"/>
                  <w:vMerge w:val="continue"/>
                  <w:vAlign w:val="center"/>
                </w:tcPr>
                <w:p w14:paraId="030DFA64">
                  <w:pPr>
                    <w:adjustRightInd w:val="0"/>
                    <w:jc w:val="center"/>
                    <w:rPr>
                      <w:color w:val="auto"/>
                      <w:szCs w:val="21"/>
                    </w:rPr>
                  </w:pPr>
                </w:p>
              </w:tc>
            </w:tr>
            <w:tr w14:paraId="0262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vAlign w:val="center"/>
                </w:tcPr>
                <w:p w14:paraId="3E071EB3">
                  <w:pPr>
                    <w:adjustRightInd w:val="0"/>
                    <w:jc w:val="center"/>
                    <w:rPr>
                      <w:color w:val="auto"/>
                      <w:szCs w:val="21"/>
                    </w:rPr>
                  </w:pPr>
                  <w:r>
                    <w:rPr>
                      <w:rFonts w:hint="eastAsia"/>
                      <w:color w:val="auto"/>
                      <w:szCs w:val="21"/>
                    </w:rPr>
                    <w:t>25</w:t>
                  </w:r>
                </w:p>
              </w:tc>
              <w:tc>
                <w:tcPr>
                  <w:tcW w:w="600" w:type="pct"/>
                  <w:vAlign w:val="center"/>
                </w:tcPr>
                <w:p w14:paraId="5229F053">
                  <w:pPr>
                    <w:adjustRightInd w:val="0"/>
                    <w:jc w:val="center"/>
                    <w:rPr>
                      <w:color w:val="auto"/>
                      <w:szCs w:val="21"/>
                    </w:rPr>
                  </w:pPr>
                  <w:r>
                    <w:rPr>
                      <w:rFonts w:hint="eastAsia"/>
                      <w:color w:val="auto"/>
                      <w:szCs w:val="21"/>
                    </w:rPr>
                    <w:t>生活垃圾</w:t>
                  </w:r>
                </w:p>
              </w:tc>
              <w:tc>
                <w:tcPr>
                  <w:tcW w:w="1367" w:type="pct"/>
                  <w:vAlign w:val="center"/>
                </w:tcPr>
                <w:p w14:paraId="4C617A14">
                  <w:pPr>
                    <w:adjustRightInd w:val="0"/>
                    <w:jc w:val="center"/>
                    <w:rPr>
                      <w:color w:val="auto"/>
                      <w:szCs w:val="21"/>
                    </w:rPr>
                  </w:pPr>
                  <w:r>
                    <w:rPr>
                      <w:rFonts w:hint="eastAsia"/>
                      <w:color w:val="auto"/>
                      <w:szCs w:val="21"/>
                    </w:rPr>
                    <w:t>员工日常工作</w:t>
                  </w:r>
                </w:p>
              </w:tc>
              <w:tc>
                <w:tcPr>
                  <w:tcW w:w="174" w:type="pct"/>
                  <w:vAlign w:val="center"/>
                </w:tcPr>
                <w:p w14:paraId="4A17AB6B">
                  <w:pPr>
                    <w:adjustRightInd w:val="0"/>
                    <w:jc w:val="center"/>
                    <w:rPr>
                      <w:color w:val="auto"/>
                      <w:szCs w:val="21"/>
                    </w:rPr>
                  </w:pPr>
                  <w:r>
                    <w:rPr>
                      <w:rFonts w:hint="eastAsia"/>
                      <w:color w:val="auto"/>
                      <w:szCs w:val="21"/>
                    </w:rPr>
                    <w:t>固态</w:t>
                  </w:r>
                </w:p>
              </w:tc>
              <w:tc>
                <w:tcPr>
                  <w:tcW w:w="344" w:type="pct"/>
                  <w:vAlign w:val="center"/>
                </w:tcPr>
                <w:p w14:paraId="77D3E86D">
                  <w:pPr>
                    <w:adjustRightInd w:val="0"/>
                    <w:jc w:val="center"/>
                    <w:rPr>
                      <w:color w:val="auto"/>
                      <w:szCs w:val="21"/>
                    </w:rPr>
                  </w:pPr>
                  <w:r>
                    <w:rPr>
                      <w:rFonts w:hint="eastAsia"/>
                      <w:color w:val="auto"/>
                      <w:szCs w:val="21"/>
                    </w:rPr>
                    <w:t>一般固废</w:t>
                  </w:r>
                </w:p>
              </w:tc>
              <w:tc>
                <w:tcPr>
                  <w:tcW w:w="448" w:type="pct"/>
                  <w:vAlign w:val="center"/>
                </w:tcPr>
                <w:p w14:paraId="351F5EE0">
                  <w:pPr>
                    <w:adjustRightInd w:val="0"/>
                    <w:jc w:val="center"/>
                    <w:rPr>
                      <w:color w:val="auto"/>
                      <w:szCs w:val="21"/>
                    </w:rPr>
                  </w:pPr>
                  <w:r>
                    <w:rPr>
                      <w:rFonts w:hint="eastAsia"/>
                      <w:color w:val="auto"/>
                      <w:szCs w:val="21"/>
                    </w:rPr>
                    <w:t>/</w:t>
                  </w:r>
                </w:p>
              </w:tc>
              <w:tc>
                <w:tcPr>
                  <w:tcW w:w="526" w:type="pct"/>
                  <w:vAlign w:val="center"/>
                </w:tcPr>
                <w:p w14:paraId="2FCCB3C8">
                  <w:pPr>
                    <w:adjustRightInd w:val="0"/>
                    <w:jc w:val="center"/>
                    <w:rPr>
                      <w:color w:val="auto"/>
                      <w:szCs w:val="21"/>
                    </w:rPr>
                  </w:pPr>
                  <w:r>
                    <w:rPr>
                      <w:rFonts w:hint="eastAsia"/>
                      <w:color w:val="auto"/>
                      <w:szCs w:val="21"/>
                    </w:rPr>
                    <w:t>18</w:t>
                  </w:r>
                </w:p>
              </w:tc>
              <w:tc>
                <w:tcPr>
                  <w:tcW w:w="1365" w:type="pct"/>
                  <w:vAlign w:val="center"/>
                </w:tcPr>
                <w:p w14:paraId="27F4B9B1">
                  <w:pPr>
                    <w:adjustRightInd w:val="0"/>
                    <w:jc w:val="center"/>
                    <w:rPr>
                      <w:color w:val="auto"/>
                      <w:szCs w:val="21"/>
                    </w:rPr>
                  </w:pPr>
                  <w:r>
                    <w:rPr>
                      <w:rFonts w:hint="eastAsia"/>
                      <w:color w:val="auto"/>
                      <w:szCs w:val="21"/>
                    </w:rPr>
                    <w:t>环卫部门清运</w:t>
                  </w:r>
                </w:p>
              </w:tc>
            </w:tr>
          </w:tbl>
          <w:p w14:paraId="009B971C">
            <w:pPr>
              <w:adjustRightInd w:val="0"/>
              <w:snapToGrid w:val="0"/>
              <w:spacing w:before="120" w:beforeLines="50" w:line="360" w:lineRule="auto"/>
              <w:ind w:firstLine="482" w:firstLineChars="200"/>
              <w:rPr>
                <w:rFonts w:hint="eastAsia" w:ascii="宋体" w:hAnsi="宋体"/>
                <w:b/>
                <w:bCs/>
                <w:color w:val="auto"/>
                <w:sz w:val="24"/>
              </w:rPr>
            </w:pPr>
            <w:r>
              <w:rPr>
                <w:rFonts w:hint="eastAsia" w:ascii="宋体" w:hAnsi="宋体"/>
                <w:b/>
                <w:bCs/>
                <w:color w:val="auto"/>
                <w:sz w:val="24"/>
              </w:rPr>
              <w:t>六、现有厂区项目验收监测</w:t>
            </w:r>
          </w:p>
          <w:p w14:paraId="60BDD352">
            <w:pPr>
              <w:adjustRightInd w:val="0"/>
              <w:snapToGrid w:val="0"/>
              <w:spacing w:line="360" w:lineRule="auto"/>
              <w:ind w:firstLine="482" w:firstLineChars="200"/>
              <w:rPr>
                <w:rFonts w:hint="eastAsia" w:ascii="宋体" w:hAnsi="宋体"/>
                <w:b/>
                <w:bCs/>
                <w:color w:val="auto"/>
                <w:sz w:val="24"/>
              </w:rPr>
            </w:pPr>
            <w:r>
              <w:rPr>
                <w:rFonts w:hint="eastAsia" w:ascii="宋体" w:hAnsi="宋体"/>
                <w:b/>
                <w:bCs/>
                <w:color w:val="auto"/>
                <w:sz w:val="24"/>
                <w:lang w:eastAsia="zh-CN"/>
              </w:rPr>
              <w:t>(1)</w:t>
            </w:r>
            <w:r>
              <w:rPr>
                <w:rFonts w:hint="eastAsia" w:ascii="宋体" w:hAnsi="宋体"/>
                <w:b/>
                <w:bCs/>
                <w:color w:val="auto"/>
                <w:sz w:val="24"/>
              </w:rPr>
              <w:t>废气验收监测</w:t>
            </w:r>
          </w:p>
          <w:p w14:paraId="43C96004">
            <w:pPr>
              <w:adjustRightInd w:val="0"/>
              <w:snapToGrid w:val="0"/>
              <w:spacing w:line="360" w:lineRule="auto"/>
              <w:ind w:firstLine="480" w:firstLineChars="200"/>
              <w:jc w:val="left"/>
              <w:rPr>
                <w:rFonts w:cs="FangSong_GB2312-Identity-H"/>
                <w:bCs/>
                <w:color w:val="auto"/>
                <w:sz w:val="24"/>
                <w:szCs w:val="32"/>
              </w:rPr>
            </w:pPr>
            <w:r>
              <w:rPr>
                <w:rFonts w:hint="eastAsia" w:cs="FangSong_GB2312-Identity-H"/>
                <w:bCs/>
                <w:color w:val="auto"/>
                <w:sz w:val="24"/>
                <w:szCs w:val="32"/>
              </w:rPr>
              <w:t>无组织排放废气监测结果与评价见表</w:t>
            </w:r>
            <w:r>
              <w:rPr>
                <w:rFonts w:cs="FangSong_GB2312-Identity-H"/>
                <w:bCs/>
                <w:color w:val="auto"/>
                <w:sz w:val="24"/>
                <w:szCs w:val="32"/>
              </w:rPr>
              <w:t>2-1</w:t>
            </w:r>
            <w:r>
              <w:rPr>
                <w:rFonts w:hint="eastAsia" w:cs="FangSong_GB2312-Identity-H"/>
                <w:bCs/>
                <w:color w:val="auto"/>
                <w:sz w:val="24"/>
                <w:szCs w:val="32"/>
              </w:rPr>
              <w:t>5.1、2-15.2。</w:t>
            </w:r>
          </w:p>
          <w:p w14:paraId="089FFBAD">
            <w:pPr>
              <w:adjustRightInd w:val="0"/>
              <w:snapToGrid w:val="0"/>
              <w:spacing w:line="360" w:lineRule="auto"/>
              <w:jc w:val="center"/>
              <w:rPr>
                <w:rFonts w:hint="eastAsia" w:ascii="宋体" w:hAnsi="宋体" w:cs="宋体"/>
                <w:color w:val="auto"/>
                <w:sz w:val="24"/>
              </w:rPr>
            </w:pPr>
            <w:r>
              <w:rPr>
                <w:b/>
                <w:color w:val="auto"/>
                <w:kern w:val="0"/>
                <w:sz w:val="24"/>
              </w:rPr>
              <w:t xml:space="preserve">表 </w:t>
            </w:r>
            <w:r>
              <w:rPr>
                <w:rFonts w:hint="eastAsia"/>
                <w:b/>
                <w:color w:val="auto"/>
                <w:kern w:val="0"/>
                <w:sz w:val="24"/>
              </w:rPr>
              <w:t>2</w:t>
            </w:r>
            <w:r>
              <w:rPr>
                <w:b/>
                <w:color w:val="auto"/>
                <w:kern w:val="0"/>
                <w:sz w:val="24"/>
              </w:rPr>
              <w:t>-</w:t>
            </w:r>
            <w:r>
              <w:rPr>
                <w:rFonts w:hint="eastAsia"/>
                <w:b/>
                <w:color w:val="auto"/>
                <w:kern w:val="0"/>
                <w:sz w:val="24"/>
              </w:rPr>
              <w:t>1</w:t>
            </w:r>
            <w:r>
              <w:rPr>
                <w:b/>
                <w:color w:val="auto"/>
                <w:kern w:val="0"/>
                <w:sz w:val="24"/>
              </w:rPr>
              <w:t>5</w:t>
            </w:r>
            <w:r>
              <w:rPr>
                <w:rFonts w:hint="eastAsia"/>
                <w:b/>
                <w:color w:val="auto"/>
                <w:kern w:val="0"/>
                <w:sz w:val="24"/>
              </w:rPr>
              <w:t>.1</w:t>
            </w:r>
            <w:r>
              <w:rPr>
                <w:b/>
                <w:color w:val="auto"/>
                <w:kern w:val="0"/>
                <w:sz w:val="24"/>
              </w:rPr>
              <w:t xml:space="preserve"> </w:t>
            </w:r>
            <w:r>
              <w:rPr>
                <w:rFonts w:ascii="宋体" w:hAnsi="宋体" w:cs="宋体"/>
                <w:b/>
                <w:bCs/>
                <w:color w:val="auto"/>
                <w:spacing w:val="-3"/>
                <w:sz w:val="24"/>
              </w:rPr>
              <w:t>无组织废气挥发性有机物监测结果</w:t>
            </w:r>
          </w:p>
          <w:p w14:paraId="03EA8A86">
            <w:pPr>
              <w:spacing w:line="127" w:lineRule="exact"/>
              <w:rPr>
                <w:color w:val="auto"/>
              </w:rPr>
            </w:pPr>
          </w:p>
          <w:tbl>
            <w:tblPr>
              <w:tblStyle w:val="400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2313"/>
              <w:gridCol w:w="1849"/>
              <w:gridCol w:w="2151"/>
              <w:gridCol w:w="2153"/>
              <w:gridCol w:w="2162"/>
            </w:tblGrid>
            <w:tr w14:paraId="0E76C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1" w:type="pct"/>
                  <w:gridSpan w:val="2"/>
                  <w:vMerge w:val="restart"/>
                  <w:tcBorders>
                    <w:bottom w:val="nil"/>
                  </w:tcBorders>
                </w:tcPr>
                <w:p w14:paraId="79C0A98B">
                  <w:pPr>
                    <w:spacing w:line="279" w:lineRule="auto"/>
                    <w:rPr>
                      <w:rFonts w:ascii="Arial"/>
                      <w:color w:val="auto"/>
                    </w:rPr>
                  </w:pPr>
                </w:p>
                <w:p w14:paraId="41759E51">
                  <w:pPr>
                    <w:pStyle w:val="3488"/>
                    <w:spacing w:before="68" w:line="221" w:lineRule="auto"/>
                    <w:ind w:left="1088"/>
                    <w:rPr>
                      <w:color w:val="auto"/>
                      <w:sz w:val="21"/>
                      <w:szCs w:val="21"/>
                    </w:rPr>
                  </w:pPr>
                  <w:r>
                    <w:rPr>
                      <w:b/>
                      <w:bCs/>
                      <w:color w:val="auto"/>
                      <w:spacing w:val="-4"/>
                      <w:sz w:val="21"/>
                      <w:szCs w:val="21"/>
                    </w:rPr>
                    <w:t>监测日期</w:t>
                  </w:r>
                </w:p>
              </w:tc>
              <w:tc>
                <w:tcPr>
                  <w:tcW w:w="3328" w:type="pct"/>
                  <w:gridSpan w:val="4"/>
                </w:tcPr>
                <w:p w14:paraId="356C73E9">
                  <w:pPr>
                    <w:pStyle w:val="3488"/>
                    <w:spacing w:before="121" w:line="213" w:lineRule="auto"/>
                    <w:ind w:left="2039"/>
                    <w:rPr>
                      <w:color w:val="auto"/>
                      <w:sz w:val="21"/>
                      <w:szCs w:val="21"/>
                      <w:lang w:eastAsia="zh-CN"/>
                    </w:rPr>
                  </w:pPr>
                  <w:r>
                    <w:rPr>
                      <w:b/>
                      <w:bCs/>
                      <w:color w:val="auto"/>
                      <w:spacing w:val="-2"/>
                      <w:sz w:val="21"/>
                      <w:szCs w:val="21"/>
                      <w:lang w:eastAsia="zh-CN"/>
                    </w:rPr>
                    <w:t>监测点位（单位：</w:t>
                  </w:r>
                  <w:r>
                    <w:rPr>
                      <w:rFonts w:ascii="Times New Roman" w:hAnsi="Times New Roman" w:eastAsia="Times New Roman"/>
                      <w:b/>
                      <w:bCs/>
                      <w:color w:val="auto"/>
                      <w:spacing w:val="-2"/>
                      <w:sz w:val="21"/>
                      <w:szCs w:val="21"/>
                      <w:lang w:eastAsia="zh-CN"/>
                    </w:rPr>
                    <w:t>mg/m</w:t>
                  </w:r>
                  <w:r>
                    <w:rPr>
                      <w:rFonts w:ascii="Times New Roman" w:hAnsi="Times New Roman" w:eastAsia="Times New Roman"/>
                      <w:b/>
                      <w:bCs/>
                      <w:color w:val="auto"/>
                      <w:spacing w:val="-2"/>
                      <w:position w:val="6"/>
                      <w:sz w:val="13"/>
                      <w:szCs w:val="13"/>
                      <w:lang w:eastAsia="zh-CN"/>
                    </w:rPr>
                    <w:t>3</w:t>
                  </w:r>
                  <w:r>
                    <w:rPr>
                      <w:b/>
                      <w:bCs/>
                      <w:color w:val="auto"/>
                      <w:spacing w:val="-2"/>
                      <w:sz w:val="21"/>
                      <w:szCs w:val="21"/>
                      <w:lang w:eastAsia="zh-CN"/>
                    </w:rPr>
                    <w:t>）</w:t>
                  </w:r>
                </w:p>
              </w:tc>
            </w:tr>
            <w:tr w14:paraId="0ED62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671" w:type="pct"/>
                  <w:gridSpan w:val="2"/>
                  <w:vMerge w:val="continue"/>
                  <w:tcBorders>
                    <w:top w:val="nil"/>
                  </w:tcBorders>
                </w:tcPr>
                <w:p w14:paraId="2B1D6CF5">
                  <w:pPr>
                    <w:rPr>
                      <w:rFonts w:ascii="Arial"/>
                      <w:color w:val="auto"/>
                    </w:rPr>
                  </w:pPr>
                </w:p>
              </w:tc>
              <w:tc>
                <w:tcPr>
                  <w:tcW w:w="740" w:type="pct"/>
                </w:tcPr>
                <w:p w14:paraId="27B4EC83">
                  <w:pPr>
                    <w:pStyle w:val="3488"/>
                    <w:spacing w:before="117" w:line="221" w:lineRule="auto"/>
                    <w:ind w:left="210"/>
                    <w:rPr>
                      <w:rFonts w:ascii="Times New Roman" w:hAnsi="Times New Roman" w:eastAsia="Times New Roman"/>
                      <w:color w:val="auto"/>
                      <w:sz w:val="21"/>
                      <w:szCs w:val="21"/>
                      <w:lang w:eastAsia="zh-CN"/>
                    </w:rPr>
                  </w:pPr>
                  <w:r>
                    <w:rPr>
                      <w:b/>
                      <w:bCs/>
                      <w:color w:val="auto"/>
                      <w:spacing w:val="-4"/>
                      <w:sz w:val="21"/>
                      <w:szCs w:val="21"/>
                      <w:lang w:eastAsia="zh-CN"/>
                    </w:rPr>
                    <w:t>上风向</w:t>
                  </w:r>
                  <w:r>
                    <w:rPr>
                      <w:color w:val="auto"/>
                      <w:spacing w:val="-42"/>
                      <w:sz w:val="21"/>
                      <w:szCs w:val="21"/>
                      <w:lang w:eastAsia="zh-CN"/>
                    </w:rPr>
                    <w:t xml:space="preserve"> </w:t>
                  </w:r>
                  <w:r>
                    <w:rPr>
                      <w:rFonts w:ascii="Times New Roman" w:hAnsi="Times New Roman" w:eastAsia="Times New Roman"/>
                      <w:b/>
                      <w:bCs/>
                      <w:color w:val="auto"/>
                      <w:spacing w:val="-4"/>
                      <w:sz w:val="21"/>
                      <w:szCs w:val="21"/>
                      <w:lang w:eastAsia="zh-CN"/>
                    </w:rPr>
                    <w:t>G1</w:t>
                  </w:r>
                </w:p>
              </w:tc>
              <w:tc>
                <w:tcPr>
                  <w:tcW w:w="861" w:type="pct"/>
                </w:tcPr>
                <w:p w14:paraId="4B46B41A">
                  <w:pPr>
                    <w:pStyle w:val="3488"/>
                    <w:spacing w:before="117" w:line="221" w:lineRule="auto"/>
                    <w:ind w:left="396"/>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1"/>
                      <w:sz w:val="21"/>
                      <w:szCs w:val="21"/>
                      <w:lang w:eastAsia="zh-CN"/>
                    </w:rPr>
                    <w:t xml:space="preserve"> </w:t>
                  </w:r>
                  <w:r>
                    <w:rPr>
                      <w:rFonts w:ascii="Times New Roman" w:hAnsi="Times New Roman" w:eastAsia="Times New Roman"/>
                      <w:b/>
                      <w:bCs/>
                      <w:color w:val="auto"/>
                      <w:spacing w:val="-5"/>
                      <w:sz w:val="21"/>
                      <w:szCs w:val="21"/>
                      <w:lang w:eastAsia="zh-CN"/>
                    </w:rPr>
                    <w:t>G2</w:t>
                  </w:r>
                </w:p>
              </w:tc>
              <w:tc>
                <w:tcPr>
                  <w:tcW w:w="862" w:type="pct"/>
                </w:tcPr>
                <w:p w14:paraId="7DCBCD8F">
                  <w:pPr>
                    <w:pStyle w:val="3488"/>
                    <w:spacing w:before="117" w:line="221" w:lineRule="auto"/>
                    <w:ind w:left="400"/>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2"/>
                      <w:sz w:val="21"/>
                      <w:szCs w:val="21"/>
                      <w:lang w:eastAsia="zh-CN"/>
                    </w:rPr>
                    <w:t xml:space="preserve"> </w:t>
                  </w:r>
                  <w:r>
                    <w:rPr>
                      <w:rFonts w:ascii="Times New Roman" w:hAnsi="Times New Roman" w:eastAsia="Times New Roman"/>
                      <w:b/>
                      <w:bCs/>
                      <w:color w:val="auto"/>
                      <w:spacing w:val="-5"/>
                      <w:sz w:val="21"/>
                      <w:szCs w:val="21"/>
                      <w:lang w:eastAsia="zh-CN"/>
                    </w:rPr>
                    <w:t>G3</w:t>
                  </w:r>
                </w:p>
              </w:tc>
              <w:tc>
                <w:tcPr>
                  <w:tcW w:w="864" w:type="pct"/>
                </w:tcPr>
                <w:p w14:paraId="0203DCAF">
                  <w:pPr>
                    <w:pStyle w:val="3488"/>
                    <w:spacing w:before="117" w:line="221" w:lineRule="auto"/>
                    <w:ind w:left="403"/>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2"/>
                      <w:sz w:val="21"/>
                      <w:szCs w:val="21"/>
                      <w:lang w:eastAsia="zh-CN"/>
                    </w:rPr>
                    <w:t xml:space="preserve"> </w:t>
                  </w:r>
                  <w:r>
                    <w:rPr>
                      <w:rFonts w:ascii="Times New Roman" w:hAnsi="Times New Roman" w:eastAsia="Times New Roman"/>
                      <w:b/>
                      <w:bCs/>
                      <w:color w:val="auto"/>
                      <w:spacing w:val="-5"/>
                      <w:sz w:val="21"/>
                      <w:szCs w:val="21"/>
                      <w:lang w:eastAsia="zh-CN"/>
                    </w:rPr>
                    <w:t>G4</w:t>
                  </w:r>
                </w:p>
              </w:tc>
            </w:tr>
            <w:tr w14:paraId="34E0A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5" w:type="pct"/>
                  <w:vMerge w:val="restart"/>
                  <w:tcBorders>
                    <w:bottom w:val="nil"/>
                  </w:tcBorders>
                </w:tcPr>
                <w:p w14:paraId="172BC1E1">
                  <w:pPr>
                    <w:spacing w:line="247" w:lineRule="auto"/>
                    <w:rPr>
                      <w:rFonts w:ascii="Arial"/>
                      <w:color w:val="auto"/>
                    </w:rPr>
                  </w:pPr>
                </w:p>
                <w:p w14:paraId="448FC8FA">
                  <w:pPr>
                    <w:spacing w:line="247" w:lineRule="auto"/>
                    <w:rPr>
                      <w:rFonts w:ascii="Arial"/>
                      <w:color w:val="auto"/>
                    </w:rPr>
                  </w:pPr>
                </w:p>
                <w:p w14:paraId="7DFD206D">
                  <w:pPr>
                    <w:spacing w:line="247" w:lineRule="auto"/>
                    <w:rPr>
                      <w:rFonts w:ascii="Arial"/>
                      <w:color w:val="auto"/>
                    </w:rPr>
                  </w:pPr>
                </w:p>
                <w:p w14:paraId="3350C240">
                  <w:pPr>
                    <w:spacing w:line="247" w:lineRule="auto"/>
                    <w:rPr>
                      <w:rFonts w:ascii="Arial"/>
                      <w:color w:val="auto"/>
                    </w:rPr>
                  </w:pPr>
                </w:p>
                <w:p w14:paraId="37B0F643">
                  <w:pPr>
                    <w:spacing w:before="61" w:line="233" w:lineRule="auto"/>
                    <w:ind w:left="172"/>
                    <w:rPr>
                      <w:rFonts w:eastAsia="Times New Roman"/>
                      <w:color w:val="auto"/>
                      <w:szCs w:val="21"/>
                    </w:rPr>
                  </w:pPr>
                  <w:r>
                    <w:rPr>
                      <w:rFonts w:eastAsia="Times New Roman"/>
                      <w:color w:val="auto"/>
                      <w:spacing w:val="-1"/>
                      <w:szCs w:val="21"/>
                    </w:rPr>
                    <w:t>2021.03.25</w:t>
                  </w:r>
                </w:p>
              </w:tc>
              <w:tc>
                <w:tcPr>
                  <w:tcW w:w="926" w:type="pct"/>
                </w:tcPr>
                <w:p w14:paraId="4DB7D363">
                  <w:pPr>
                    <w:pStyle w:val="3488"/>
                    <w:spacing w:before="117" w:line="221" w:lineRule="auto"/>
                    <w:ind w:left="548"/>
                    <w:rPr>
                      <w:color w:val="auto"/>
                      <w:sz w:val="21"/>
                      <w:szCs w:val="21"/>
                      <w:lang w:eastAsia="zh-CN"/>
                    </w:rPr>
                  </w:pPr>
                  <w:r>
                    <w:rPr>
                      <w:color w:val="auto"/>
                      <w:spacing w:val="-2"/>
                      <w:sz w:val="21"/>
                      <w:szCs w:val="21"/>
                      <w:lang w:eastAsia="zh-CN"/>
                    </w:rPr>
                    <w:t>第一次</w:t>
                  </w:r>
                </w:p>
              </w:tc>
              <w:tc>
                <w:tcPr>
                  <w:tcW w:w="740" w:type="pct"/>
                </w:tcPr>
                <w:p w14:paraId="74AC32E3">
                  <w:pPr>
                    <w:spacing w:before="148" w:line="233" w:lineRule="auto"/>
                    <w:ind w:left="395"/>
                    <w:rPr>
                      <w:rFonts w:eastAsia="Times New Roman"/>
                      <w:color w:val="auto"/>
                      <w:szCs w:val="21"/>
                    </w:rPr>
                  </w:pPr>
                  <w:r>
                    <w:rPr>
                      <w:rFonts w:eastAsia="Times New Roman"/>
                      <w:color w:val="auto"/>
                      <w:spacing w:val="-1"/>
                      <w:szCs w:val="21"/>
                    </w:rPr>
                    <w:t>0.0435</w:t>
                  </w:r>
                </w:p>
              </w:tc>
              <w:tc>
                <w:tcPr>
                  <w:tcW w:w="861" w:type="pct"/>
                </w:tcPr>
                <w:p w14:paraId="11A2B94C">
                  <w:pPr>
                    <w:spacing w:before="148" w:line="233" w:lineRule="auto"/>
                    <w:ind w:left="576"/>
                    <w:rPr>
                      <w:rFonts w:eastAsia="Times New Roman"/>
                      <w:color w:val="auto"/>
                      <w:szCs w:val="21"/>
                    </w:rPr>
                  </w:pPr>
                  <w:r>
                    <w:rPr>
                      <w:rFonts w:eastAsia="Times New Roman"/>
                      <w:color w:val="auto"/>
                      <w:spacing w:val="-1"/>
                      <w:szCs w:val="21"/>
                    </w:rPr>
                    <w:t>0.0533</w:t>
                  </w:r>
                </w:p>
              </w:tc>
              <w:tc>
                <w:tcPr>
                  <w:tcW w:w="862" w:type="pct"/>
                </w:tcPr>
                <w:p w14:paraId="061645DE">
                  <w:pPr>
                    <w:spacing w:before="148" w:line="233" w:lineRule="auto"/>
                    <w:ind w:left="580"/>
                    <w:rPr>
                      <w:rFonts w:eastAsia="Times New Roman"/>
                      <w:color w:val="auto"/>
                      <w:szCs w:val="21"/>
                    </w:rPr>
                  </w:pPr>
                  <w:r>
                    <w:rPr>
                      <w:rFonts w:eastAsia="Times New Roman"/>
                      <w:color w:val="auto"/>
                      <w:spacing w:val="-1"/>
                      <w:szCs w:val="21"/>
                    </w:rPr>
                    <w:t>0.0773</w:t>
                  </w:r>
                </w:p>
              </w:tc>
              <w:tc>
                <w:tcPr>
                  <w:tcW w:w="864" w:type="pct"/>
                </w:tcPr>
                <w:p w14:paraId="7FD61611">
                  <w:pPr>
                    <w:spacing w:before="148" w:line="233" w:lineRule="auto"/>
                    <w:ind w:left="583"/>
                    <w:rPr>
                      <w:rFonts w:eastAsia="Times New Roman"/>
                      <w:color w:val="auto"/>
                      <w:szCs w:val="21"/>
                    </w:rPr>
                  </w:pPr>
                  <w:r>
                    <w:rPr>
                      <w:rFonts w:eastAsia="Times New Roman"/>
                      <w:color w:val="auto"/>
                      <w:spacing w:val="-1"/>
                      <w:szCs w:val="21"/>
                    </w:rPr>
                    <w:t>0.0436</w:t>
                  </w:r>
                </w:p>
              </w:tc>
            </w:tr>
            <w:tr w14:paraId="185D8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5C06962C">
                  <w:pPr>
                    <w:rPr>
                      <w:rFonts w:ascii="Arial"/>
                      <w:color w:val="auto"/>
                    </w:rPr>
                  </w:pPr>
                </w:p>
              </w:tc>
              <w:tc>
                <w:tcPr>
                  <w:tcW w:w="926" w:type="pct"/>
                </w:tcPr>
                <w:p w14:paraId="15AF922C">
                  <w:pPr>
                    <w:pStyle w:val="3488"/>
                    <w:spacing w:before="116" w:line="221" w:lineRule="auto"/>
                    <w:ind w:left="548"/>
                    <w:rPr>
                      <w:color w:val="auto"/>
                      <w:sz w:val="21"/>
                      <w:szCs w:val="21"/>
                      <w:lang w:eastAsia="zh-CN"/>
                    </w:rPr>
                  </w:pPr>
                  <w:r>
                    <w:rPr>
                      <w:color w:val="auto"/>
                      <w:spacing w:val="-2"/>
                      <w:sz w:val="21"/>
                      <w:szCs w:val="21"/>
                      <w:lang w:eastAsia="zh-CN"/>
                    </w:rPr>
                    <w:t>第二次</w:t>
                  </w:r>
                </w:p>
              </w:tc>
              <w:tc>
                <w:tcPr>
                  <w:tcW w:w="740" w:type="pct"/>
                </w:tcPr>
                <w:p w14:paraId="62AFD1E0">
                  <w:pPr>
                    <w:spacing w:before="147" w:line="233" w:lineRule="auto"/>
                    <w:ind w:left="395"/>
                    <w:rPr>
                      <w:rFonts w:eastAsia="Times New Roman"/>
                      <w:color w:val="auto"/>
                      <w:szCs w:val="21"/>
                    </w:rPr>
                  </w:pPr>
                  <w:r>
                    <w:rPr>
                      <w:rFonts w:eastAsia="Times New Roman"/>
                      <w:color w:val="auto"/>
                      <w:spacing w:val="-1"/>
                      <w:szCs w:val="21"/>
                    </w:rPr>
                    <w:t>0.0399</w:t>
                  </w:r>
                </w:p>
              </w:tc>
              <w:tc>
                <w:tcPr>
                  <w:tcW w:w="861" w:type="pct"/>
                </w:tcPr>
                <w:p w14:paraId="00853CA6">
                  <w:pPr>
                    <w:spacing w:before="147" w:line="233" w:lineRule="auto"/>
                    <w:ind w:left="576"/>
                    <w:rPr>
                      <w:rFonts w:eastAsia="Times New Roman"/>
                      <w:color w:val="auto"/>
                      <w:szCs w:val="21"/>
                    </w:rPr>
                  </w:pPr>
                  <w:r>
                    <w:rPr>
                      <w:rFonts w:eastAsia="Times New Roman"/>
                      <w:color w:val="auto"/>
                      <w:spacing w:val="-1"/>
                      <w:szCs w:val="21"/>
                    </w:rPr>
                    <w:t>0.0383</w:t>
                  </w:r>
                </w:p>
              </w:tc>
              <w:tc>
                <w:tcPr>
                  <w:tcW w:w="862" w:type="pct"/>
                </w:tcPr>
                <w:p w14:paraId="0E3969A8">
                  <w:pPr>
                    <w:spacing w:before="147" w:line="233" w:lineRule="auto"/>
                    <w:ind w:left="580"/>
                    <w:rPr>
                      <w:rFonts w:eastAsia="Times New Roman"/>
                      <w:color w:val="auto"/>
                      <w:szCs w:val="21"/>
                    </w:rPr>
                  </w:pPr>
                  <w:r>
                    <w:rPr>
                      <w:rFonts w:eastAsia="Times New Roman"/>
                      <w:color w:val="auto"/>
                      <w:spacing w:val="-1"/>
                      <w:szCs w:val="21"/>
                    </w:rPr>
                    <w:t>0.0395</w:t>
                  </w:r>
                </w:p>
              </w:tc>
              <w:tc>
                <w:tcPr>
                  <w:tcW w:w="864" w:type="pct"/>
                </w:tcPr>
                <w:p w14:paraId="728415F4">
                  <w:pPr>
                    <w:spacing w:before="147" w:line="233" w:lineRule="auto"/>
                    <w:ind w:left="583"/>
                    <w:rPr>
                      <w:rFonts w:eastAsia="Times New Roman"/>
                      <w:color w:val="auto"/>
                      <w:szCs w:val="21"/>
                    </w:rPr>
                  </w:pPr>
                  <w:r>
                    <w:rPr>
                      <w:rFonts w:eastAsia="Times New Roman"/>
                      <w:color w:val="auto"/>
                      <w:spacing w:val="-1"/>
                      <w:szCs w:val="21"/>
                    </w:rPr>
                    <w:t>0.0703</w:t>
                  </w:r>
                </w:p>
              </w:tc>
            </w:tr>
            <w:tr w14:paraId="26ED9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6B232470">
                  <w:pPr>
                    <w:rPr>
                      <w:rFonts w:ascii="Arial"/>
                      <w:color w:val="auto"/>
                    </w:rPr>
                  </w:pPr>
                </w:p>
              </w:tc>
              <w:tc>
                <w:tcPr>
                  <w:tcW w:w="926" w:type="pct"/>
                </w:tcPr>
                <w:p w14:paraId="6F1AA7F6">
                  <w:pPr>
                    <w:pStyle w:val="3488"/>
                    <w:spacing w:before="117" w:line="221" w:lineRule="auto"/>
                    <w:ind w:left="548"/>
                    <w:rPr>
                      <w:color w:val="auto"/>
                      <w:sz w:val="21"/>
                      <w:szCs w:val="21"/>
                      <w:lang w:eastAsia="zh-CN"/>
                    </w:rPr>
                  </w:pPr>
                  <w:r>
                    <w:rPr>
                      <w:color w:val="auto"/>
                      <w:spacing w:val="-2"/>
                      <w:sz w:val="21"/>
                      <w:szCs w:val="21"/>
                      <w:lang w:eastAsia="zh-CN"/>
                    </w:rPr>
                    <w:t>第三次</w:t>
                  </w:r>
                </w:p>
              </w:tc>
              <w:tc>
                <w:tcPr>
                  <w:tcW w:w="740" w:type="pct"/>
                </w:tcPr>
                <w:p w14:paraId="776ED3FD">
                  <w:pPr>
                    <w:spacing w:before="148" w:line="233" w:lineRule="auto"/>
                    <w:ind w:left="395"/>
                    <w:rPr>
                      <w:rFonts w:eastAsia="Times New Roman"/>
                      <w:color w:val="auto"/>
                      <w:szCs w:val="21"/>
                    </w:rPr>
                  </w:pPr>
                  <w:r>
                    <w:rPr>
                      <w:rFonts w:eastAsia="Times New Roman"/>
                      <w:color w:val="auto"/>
                      <w:spacing w:val="-1"/>
                      <w:szCs w:val="21"/>
                    </w:rPr>
                    <w:t>0.0377</w:t>
                  </w:r>
                </w:p>
              </w:tc>
              <w:tc>
                <w:tcPr>
                  <w:tcW w:w="861" w:type="pct"/>
                </w:tcPr>
                <w:p w14:paraId="575FD252">
                  <w:pPr>
                    <w:spacing w:before="148" w:line="233" w:lineRule="auto"/>
                    <w:ind w:left="576"/>
                    <w:rPr>
                      <w:rFonts w:eastAsia="Times New Roman"/>
                      <w:color w:val="auto"/>
                      <w:szCs w:val="21"/>
                    </w:rPr>
                  </w:pPr>
                  <w:r>
                    <w:rPr>
                      <w:rFonts w:eastAsia="Times New Roman"/>
                      <w:color w:val="auto"/>
                      <w:spacing w:val="-1"/>
                      <w:szCs w:val="21"/>
                    </w:rPr>
                    <w:t>0.0782</w:t>
                  </w:r>
                </w:p>
              </w:tc>
              <w:tc>
                <w:tcPr>
                  <w:tcW w:w="862" w:type="pct"/>
                </w:tcPr>
                <w:p w14:paraId="399AEBEB">
                  <w:pPr>
                    <w:spacing w:before="148" w:line="233" w:lineRule="auto"/>
                    <w:ind w:left="632"/>
                    <w:rPr>
                      <w:rFonts w:eastAsia="Times New Roman"/>
                      <w:color w:val="auto"/>
                      <w:szCs w:val="21"/>
                    </w:rPr>
                  </w:pPr>
                  <w:r>
                    <w:rPr>
                      <w:rFonts w:eastAsia="Times New Roman"/>
                      <w:color w:val="auto"/>
                      <w:spacing w:val="-1"/>
                      <w:szCs w:val="21"/>
                    </w:rPr>
                    <w:t>0.137</w:t>
                  </w:r>
                </w:p>
              </w:tc>
              <w:tc>
                <w:tcPr>
                  <w:tcW w:w="864" w:type="pct"/>
                </w:tcPr>
                <w:p w14:paraId="663ECA5D">
                  <w:pPr>
                    <w:spacing w:before="148" w:line="233" w:lineRule="auto"/>
                    <w:ind w:left="583"/>
                    <w:rPr>
                      <w:rFonts w:eastAsia="Times New Roman"/>
                      <w:color w:val="auto"/>
                      <w:szCs w:val="21"/>
                    </w:rPr>
                  </w:pPr>
                  <w:r>
                    <w:rPr>
                      <w:rFonts w:eastAsia="Times New Roman"/>
                      <w:color w:val="auto"/>
                      <w:spacing w:val="-1"/>
                      <w:szCs w:val="21"/>
                    </w:rPr>
                    <w:t>0.0456</w:t>
                  </w:r>
                </w:p>
              </w:tc>
            </w:tr>
            <w:tr w14:paraId="0747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3AF2390E">
                  <w:pPr>
                    <w:rPr>
                      <w:rFonts w:ascii="Arial"/>
                      <w:color w:val="auto"/>
                    </w:rPr>
                  </w:pPr>
                </w:p>
              </w:tc>
              <w:tc>
                <w:tcPr>
                  <w:tcW w:w="926" w:type="pct"/>
                </w:tcPr>
                <w:p w14:paraId="755498B3">
                  <w:pPr>
                    <w:pStyle w:val="3488"/>
                    <w:spacing w:before="118" w:line="221" w:lineRule="auto"/>
                    <w:ind w:left="548"/>
                    <w:rPr>
                      <w:color w:val="auto"/>
                      <w:sz w:val="21"/>
                      <w:szCs w:val="21"/>
                      <w:lang w:eastAsia="zh-CN"/>
                    </w:rPr>
                  </w:pPr>
                  <w:r>
                    <w:rPr>
                      <w:color w:val="auto"/>
                      <w:spacing w:val="-2"/>
                      <w:sz w:val="21"/>
                      <w:szCs w:val="21"/>
                      <w:lang w:eastAsia="zh-CN"/>
                    </w:rPr>
                    <w:t>第四次</w:t>
                  </w:r>
                </w:p>
              </w:tc>
              <w:tc>
                <w:tcPr>
                  <w:tcW w:w="740" w:type="pct"/>
                </w:tcPr>
                <w:p w14:paraId="254DBF4D">
                  <w:pPr>
                    <w:spacing w:before="148" w:line="233" w:lineRule="auto"/>
                    <w:ind w:left="395"/>
                    <w:rPr>
                      <w:rFonts w:eastAsia="Times New Roman"/>
                      <w:color w:val="auto"/>
                      <w:szCs w:val="21"/>
                    </w:rPr>
                  </w:pPr>
                  <w:r>
                    <w:rPr>
                      <w:rFonts w:eastAsia="Times New Roman"/>
                      <w:color w:val="auto"/>
                      <w:spacing w:val="-1"/>
                      <w:szCs w:val="21"/>
                    </w:rPr>
                    <w:t>0.0345</w:t>
                  </w:r>
                </w:p>
              </w:tc>
              <w:tc>
                <w:tcPr>
                  <w:tcW w:w="861" w:type="pct"/>
                </w:tcPr>
                <w:p w14:paraId="4544A2A0">
                  <w:pPr>
                    <w:spacing w:before="148" w:line="233" w:lineRule="auto"/>
                    <w:ind w:left="629"/>
                    <w:rPr>
                      <w:rFonts w:eastAsia="Times New Roman"/>
                      <w:color w:val="auto"/>
                      <w:szCs w:val="21"/>
                    </w:rPr>
                  </w:pPr>
                  <w:r>
                    <w:rPr>
                      <w:rFonts w:eastAsia="Times New Roman"/>
                      <w:color w:val="auto"/>
                      <w:spacing w:val="-1"/>
                      <w:szCs w:val="21"/>
                    </w:rPr>
                    <w:t>0.100</w:t>
                  </w:r>
                </w:p>
              </w:tc>
              <w:tc>
                <w:tcPr>
                  <w:tcW w:w="862" w:type="pct"/>
                </w:tcPr>
                <w:p w14:paraId="280ED329">
                  <w:pPr>
                    <w:spacing w:before="148" w:line="233" w:lineRule="auto"/>
                    <w:ind w:left="580"/>
                    <w:rPr>
                      <w:rFonts w:eastAsia="Times New Roman"/>
                      <w:color w:val="auto"/>
                      <w:szCs w:val="21"/>
                    </w:rPr>
                  </w:pPr>
                  <w:r>
                    <w:rPr>
                      <w:rFonts w:eastAsia="Times New Roman"/>
                      <w:color w:val="auto"/>
                      <w:spacing w:val="-1"/>
                      <w:szCs w:val="21"/>
                    </w:rPr>
                    <w:t>0.0476</w:t>
                  </w:r>
                </w:p>
              </w:tc>
              <w:tc>
                <w:tcPr>
                  <w:tcW w:w="864" w:type="pct"/>
                </w:tcPr>
                <w:p w14:paraId="72C60EBD">
                  <w:pPr>
                    <w:spacing w:before="148" w:line="233" w:lineRule="auto"/>
                    <w:ind w:left="635"/>
                    <w:rPr>
                      <w:rFonts w:eastAsia="Times New Roman"/>
                      <w:color w:val="auto"/>
                      <w:szCs w:val="21"/>
                    </w:rPr>
                  </w:pPr>
                  <w:r>
                    <w:rPr>
                      <w:rFonts w:eastAsia="Times New Roman"/>
                      <w:color w:val="auto"/>
                      <w:spacing w:val="-1"/>
                      <w:szCs w:val="21"/>
                    </w:rPr>
                    <w:t>0.114</w:t>
                  </w:r>
                </w:p>
              </w:tc>
            </w:tr>
            <w:tr w14:paraId="3CAF6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45" w:type="pct"/>
                  <w:vMerge w:val="continue"/>
                  <w:tcBorders>
                    <w:top w:val="nil"/>
                  </w:tcBorders>
                </w:tcPr>
                <w:p w14:paraId="7404571B">
                  <w:pPr>
                    <w:rPr>
                      <w:rFonts w:ascii="Arial"/>
                      <w:color w:val="auto"/>
                    </w:rPr>
                  </w:pPr>
                </w:p>
              </w:tc>
              <w:tc>
                <w:tcPr>
                  <w:tcW w:w="926" w:type="pct"/>
                </w:tcPr>
                <w:p w14:paraId="736F2D64">
                  <w:pPr>
                    <w:pStyle w:val="3488"/>
                    <w:spacing w:before="118" w:line="221" w:lineRule="auto"/>
                    <w:ind w:left="337"/>
                    <w:rPr>
                      <w:color w:val="auto"/>
                      <w:sz w:val="21"/>
                      <w:szCs w:val="21"/>
                      <w:lang w:eastAsia="zh-CN"/>
                    </w:rPr>
                  </w:pPr>
                  <w:r>
                    <w:rPr>
                      <w:color w:val="auto"/>
                      <w:spacing w:val="-1"/>
                      <w:sz w:val="21"/>
                      <w:szCs w:val="21"/>
                      <w:lang w:eastAsia="zh-CN"/>
                    </w:rPr>
                    <w:t>浓度最大值</w:t>
                  </w:r>
                </w:p>
              </w:tc>
              <w:tc>
                <w:tcPr>
                  <w:tcW w:w="3328" w:type="pct"/>
                  <w:gridSpan w:val="4"/>
                </w:tcPr>
                <w:p w14:paraId="2D8905D3">
                  <w:pPr>
                    <w:spacing w:before="149" w:line="233" w:lineRule="auto"/>
                    <w:ind w:left="3040"/>
                    <w:rPr>
                      <w:rFonts w:eastAsia="Times New Roman"/>
                      <w:color w:val="auto"/>
                      <w:szCs w:val="21"/>
                    </w:rPr>
                  </w:pPr>
                  <w:r>
                    <w:rPr>
                      <w:rFonts w:eastAsia="Times New Roman"/>
                      <w:color w:val="auto"/>
                      <w:spacing w:val="-1"/>
                      <w:szCs w:val="21"/>
                    </w:rPr>
                    <w:t>0.114</w:t>
                  </w:r>
                </w:p>
              </w:tc>
            </w:tr>
            <w:tr w14:paraId="3357C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restart"/>
                  <w:tcBorders>
                    <w:bottom w:val="nil"/>
                  </w:tcBorders>
                </w:tcPr>
                <w:p w14:paraId="4CCB4217">
                  <w:pPr>
                    <w:spacing w:line="247" w:lineRule="auto"/>
                    <w:rPr>
                      <w:rFonts w:ascii="Arial"/>
                      <w:color w:val="auto"/>
                    </w:rPr>
                  </w:pPr>
                </w:p>
                <w:p w14:paraId="3F0692B9">
                  <w:pPr>
                    <w:spacing w:line="247" w:lineRule="auto"/>
                    <w:rPr>
                      <w:rFonts w:ascii="Arial"/>
                      <w:color w:val="auto"/>
                    </w:rPr>
                  </w:pPr>
                </w:p>
                <w:p w14:paraId="27C7188C">
                  <w:pPr>
                    <w:spacing w:line="248" w:lineRule="auto"/>
                    <w:rPr>
                      <w:rFonts w:ascii="Arial"/>
                      <w:color w:val="auto"/>
                    </w:rPr>
                  </w:pPr>
                </w:p>
                <w:p w14:paraId="3C23C582">
                  <w:pPr>
                    <w:spacing w:line="248" w:lineRule="auto"/>
                    <w:rPr>
                      <w:rFonts w:ascii="Arial"/>
                      <w:color w:val="auto"/>
                    </w:rPr>
                  </w:pPr>
                </w:p>
                <w:p w14:paraId="1AF9AD41">
                  <w:pPr>
                    <w:spacing w:before="61" w:line="233" w:lineRule="auto"/>
                    <w:ind w:left="172"/>
                    <w:rPr>
                      <w:rFonts w:eastAsia="Times New Roman"/>
                      <w:color w:val="auto"/>
                      <w:szCs w:val="21"/>
                    </w:rPr>
                  </w:pPr>
                  <w:r>
                    <w:rPr>
                      <w:rFonts w:eastAsia="Times New Roman"/>
                      <w:color w:val="auto"/>
                      <w:spacing w:val="-1"/>
                      <w:szCs w:val="21"/>
                    </w:rPr>
                    <w:t>2021.03.26</w:t>
                  </w:r>
                </w:p>
              </w:tc>
              <w:tc>
                <w:tcPr>
                  <w:tcW w:w="926" w:type="pct"/>
                </w:tcPr>
                <w:p w14:paraId="116F6C08">
                  <w:pPr>
                    <w:pStyle w:val="3488"/>
                    <w:spacing w:before="118" w:line="221" w:lineRule="auto"/>
                    <w:ind w:left="548"/>
                    <w:rPr>
                      <w:color w:val="auto"/>
                      <w:sz w:val="21"/>
                      <w:szCs w:val="21"/>
                      <w:lang w:eastAsia="zh-CN"/>
                    </w:rPr>
                  </w:pPr>
                  <w:r>
                    <w:rPr>
                      <w:color w:val="auto"/>
                      <w:spacing w:val="-2"/>
                      <w:sz w:val="21"/>
                      <w:szCs w:val="21"/>
                      <w:lang w:eastAsia="zh-CN"/>
                    </w:rPr>
                    <w:t>第一次</w:t>
                  </w:r>
                </w:p>
              </w:tc>
              <w:tc>
                <w:tcPr>
                  <w:tcW w:w="740" w:type="pct"/>
                </w:tcPr>
                <w:p w14:paraId="604FF131">
                  <w:pPr>
                    <w:spacing w:before="149" w:line="233" w:lineRule="auto"/>
                    <w:ind w:left="395"/>
                    <w:rPr>
                      <w:rFonts w:eastAsia="Times New Roman"/>
                      <w:color w:val="auto"/>
                      <w:szCs w:val="21"/>
                    </w:rPr>
                  </w:pPr>
                  <w:r>
                    <w:rPr>
                      <w:rFonts w:eastAsia="Times New Roman"/>
                      <w:color w:val="auto"/>
                      <w:spacing w:val="-1"/>
                      <w:szCs w:val="21"/>
                    </w:rPr>
                    <w:t>0.0614</w:t>
                  </w:r>
                </w:p>
              </w:tc>
              <w:tc>
                <w:tcPr>
                  <w:tcW w:w="861" w:type="pct"/>
                </w:tcPr>
                <w:p w14:paraId="327C0506">
                  <w:pPr>
                    <w:spacing w:before="149" w:line="233" w:lineRule="auto"/>
                    <w:ind w:left="629"/>
                    <w:rPr>
                      <w:rFonts w:eastAsia="Times New Roman"/>
                      <w:color w:val="auto"/>
                      <w:szCs w:val="21"/>
                    </w:rPr>
                  </w:pPr>
                  <w:r>
                    <w:rPr>
                      <w:rFonts w:eastAsia="Times New Roman"/>
                      <w:color w:val="auto"/>
                      <w:spacing w:val="-1"/>
                      <w:szCs w:val="21"/>
                    </w:rPr>
                    <w:t>0.137</w:t>
                  </w:r>
                </w:p>
              </w:tc>
              <w:tc>
                <w:tcPr>
                  <w:tcW w:w="862" w:type="pct"/>
                </w:tcPr>
                <w:p w14:paraId="20FDF1B8">
                  <w:pPr>
                    <w:spacing w:before="149" w:line="233" w:lineRule="auto"/>
                    <w:ind w:left="632"/>
                    <w:rPr>
                      <w:rFonts w:eastAsia="Times New Roman"/>
                      <w:color w:val="auto"/>
                      <w:szCs w:val="21"/>
                    </w:rPr>
                  </w:pPr>
                  <w:r>
                    <w:rPr>
                      <w:rFonts w:eastAsia="Times New Roman"/>
                      <w:color w:val="auto"/>
                      <w:spacing w:val="-1"/>
                      <w:szCs w:val="21"/>
                    </w:rPr>
                    <w:t>0.140</w:t>
                  </w:r>
                </w:p>
              </w:tc>
              <w:tc>
                <w:tcPr>
                  <w:tcW w:w="864" w:type="pct"/>
                </w:tcPr>
                <w:p w14:paraId="2EBA67C7">
                  <w:pPr>
                    <w:spacing w:before="149" w:line="233" w:lineRule="auto"/>
                    <w:ind w:left="635"/>
                    <w:rPr>
                      <w:rFonts w:eastAsia="Times New Roman"/>
                      <w:color w:val="auto"/>
                      <w:szCs w:val="21"/>
                    </w:rPr>
                  </w:pPr>
                  <w:r>
                    <w:rPr>
                      <w:rFonts w:eastAsia="Times New Roman"/>
                      <w:color w:val="auto"/>
                      <w:spacing w:val="-1"/>
                      <w:szCs w:val="21"/>
                    </w:rPr>
                    <w:t>0.131</w:t>
                  </w:r>
                </w:p>
              </w:tc>
            </w:tr>
            <w:tr w14:paraId="6C92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71841B75">
                  <w:pPr>
                    <w:rPr>
                      <w:rFonts w:ascii="Arial"/>
                      <w:color w:val="auto"/>
                    </w:rPr>
                  </w:pPr>
                </w:p>
              </w:tc>
              <w:tc>
                <w:tcPr>
                  <w:tcW w:w="926" w:type="pct"/>
                </w:tcPr>
                <w:p w14:paraId="4E8E1A2E">
                  <w:pPr>
                    <w:pStyle w:val="3488"/>
                    <w:spacing w:before="119" w:line="221" w:lineRule="auto"/>
                    <w:ind w:left="548"/>
                    <w:rPr>
                      <w:color w:val="auto"/>
                      <w:sz w:val="21"/>
                      <w:szCs w:val="21"/>
                      <w:lang w:eastAsia="zh-CN"/>
                    </w:rPr>
                  </w:pPr>
                  <w:r>
                    <w:rPr>
                      <w:color w:val="auto"/>
                      <w:spacing w:val="-2"/>
                      <w:sz w:val="21"/>
                      <w:szCs w:val="21"/>
                      <w:lang w:eastAsia="zh-CN"/>
                    </w:rPr>
                    <w:t>第二次</w:t>
                  </w:r>
                </w:p>
              </w:tc>
              <w:tc>
                <w:tcPr>
                  <w:tcW w:w="740" w:type="pct"/>
                </w:tcPr>
                <w:p w14:paraId="2F96C5E9">
                  <w:pPr>
                    <w:spacing w:before="150" w:line="233" w:lineRule="auto"/>
                    <w:ind w:left="395"/>
                    <w:rPr>
                      <w:rFonts w:eastAsia="Times New Roman"/>
                      <w:color w:val="auto"/>
                      <w:szCs w:val="21"/>
                    </w:rPr>
                  </w:pPr>
                  <w:r>
                    <w:rPr>
                      <w:rFonts w:eastAsia="Times New Roman"/>
                      <w:color w:val="auto"/>
                      <w:spacing w:val="-1"/>
                      <w:szCs w:val="21"/>
                    </w:rPr>
                    <w:t>0.0521</w:t>
                  </w:r>
                </w:p>
              </w:tc>
              <w:tc>
                <w:tcPr>
                  <w:tcW w:w="861" w:type="pct"/>
                </w:tcPr>
                <w:p w14:paraId="47276AD3">
                  <w:pPr>
                    <w:spacing w:before="150" w:line="233" w:lineRule="auto"/>
                    <w:ind w:left="576"/>
                    <w:rPr>
                      <w:rFonts w:eastAsia="Times New Roman"/>
                      <w:color w:val="auto"/>
                      <w:szCs w:val="21"/>
                    </w:rPr>
                  </w:pPr>
                  <w:r>
                    <w:rPr>
                      <w:rFonts w:eastAsia="Times New Roman"/>
                      <w:color w:val="auto"/>
                      <w:spacing w:val="-1"/>
                      <w:szCs w:val="21"/>
                    </w:rPr>
                    <w:t>0.0541</w:t>
                  </w:r>
                </w:p>
              </w:tc>
              <w:tc>
                <w:tcPr>
                  <w:tcW w:w="862" w:type="pct"/>
                </w:tcPr>
                <w:p w14:paraId="25891465">
                  <w:pPr>
                    <w:spacing w:before="150" w:line="233" w:lineRule="auto"/>
                    <w:ind w:left="580"/>
                    <w:rPr>
                      <w:rFonts w:eastAsia="Times New Roman"/>
                      <w:color w:val="auto"/>
                      <w:szCs w:val="21"/>
                    </w:rPr>
                  </w:pPr>
                  <w:r>
                    <w:rPr>
                      <w:rFonts w:eastAsia="Times New Roman"/>
                      <w:color w:val="auto"/>
                      <w:spacing w:val="-1"/>
                      <w:szCs w:val="21"/>
                    </w:rPr>
                    <w:t>0.0762</w:t>
                  </w:r>
                </w:p>
              </w:tc>
              <w:tc>
                <w:tcPr>
                  <w:tcW w:w="864" w:type="pct"/>
                </w:tcPr>
                <w:p w14:paraId="08F7EC2C">
                  <w:pPr>
                    <w:spacing w:before="150" w:line="233" w:lineRule="auto"/>
                    <w:ind w:left="583"/>
                    <w:rPr>
                      <w:rFonts w:eastAsia="Times New Roman"/>
                      <w:color w:val="auto"/>
                      <w:szCs w:val="21"/>
                    </w:rPr>
                  </w:pPr>
                  <w:r>
                    <w:rPr>
                      <w:rFonts w:eastAsia="Times New Roman"/>
                      <w:color w:val="auto"/>
                      <w:spacing w:val="-1"/>
                      <w:szCs w:val="21"/>
                    </w:rPr>
                    <w:t>0.0841</w:t>
                  </w:r>
                </w:p>
              </w:tc>
            </w:tr>
            <w:tr w14:paraId="527B5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5" w:type="pct"/>
                  <w:vMerge w:val="continue"/>
                  <w:tcBorders>
                    <w:top w:val="nil"/>
                    <w:bottom w:val="nil"/>
                  </w:tcBorders>
                </w:tcPr>
                <w:p w14:paraId="456B01D2">
                  <w:pPr>
                    <w:rPr>
                      <w:rFonts w:ascii="Arial"/>
                      <w:color w:val="auto"/>
                    </w:rPr>
                  </w:pPr>
                </w:p>
              </w:tc>
              <w:tc>
                <w:tcPr>
                  <w:tcW w:w="926" w:type="pct"/>
                </w:tcPr>
                <w:p w14:paraId="3DD09C05">
                  <w:pPr>
                    <w:pStyle w:val="3488"/>
                    <w:spacing w:before="120" w:line="221" w:lineRule="auto"/>
                    <w:ind w:left="548"/>
                    <w:rPr>
                      <w:color w:val="auto"/>
                      <w:sz w:val="21"/>
                      <w:szCs w:val="21"/>
                      <w:lang w:eastAsia="zh-CN"/>
                    </w:rPr>
                  </w:pPr>
                  <w:r>
                    <w:rPr>
                      <w:color w:val="auto"/>
                      <w:spacing w:val="-2"/>
                      <w:sz w:val="21"/>
                      <w:szCs w:val="21"/>
                      <w:lang w:eastAsia="zh-CN"/>
                    </w:rPr>
                    <w:t>第三次</w:t>
                  </w:r>
                </w:p>
              </w:tc>
              <w:tc>
                <w:tcPr>
                  <w:tcW w:w="740" w:type="pct"/>
                </w:tcPr>
                <w:p w14:paraId="0E6FC565">
                  <w:pPr>
                    <w:spacing w:before="151" w:line="233" w:lineRule="auto"/>
                    <w:ind w:left="395"/>
                    <w:rPr>
                      <w:rFonts w:eastAsia="Times New Roman"/>
                      <w:color w:val="auto"/>
                      <w:szCs w:val="21"/>
                    </w:rPr>
                  </w:pPr>
                  <w:r>
                    <w:rPr>
                      <w:rFonts w:eastAsia="Times New Roman"/>
                      <w:color w:val="auto"/>
                      <w:spacing w:val="-1"/>
                      <w:szCs w:val="21"/>
                    </w:rPr>
                    <w:t>0.0618</w:t>
                  </w:r>
                </w:p>
              </w:tc>
              <w:tc>
                <w:tcPr>
                  <w:tcW w:w="861" w:type="pct"/>
                </w:tcPr>
                <w:p w14:paraId="1EE1992C">
                  <w:pPr>
                    <w:spacing w:before="151" w:line="233" w:lineRule="auto"/>
                    <w:ind w:left="576"/>
                    <w:rPr>
                      <w:rFonts w:eastAsia="Times New Roman"/>
                      <w:color w:val="auto"/>
                      <w:szCs w:val="21"/>
                    </w:rPr>
                  </w:pPr>
                  <w:r>
                    <w:rPr>
                      <w:rFonts w:eastAsia="Times New Roman"/>
                      <w:color w:val="auto"/>
                      <w:spacing w:val="-1"/>
                      <w:szCs w:val="21"/>
                    </w:rPr>
                    <w:t>0.0606</w:t>
                  </w:r>
                </w:p>
              </w:tc>
              <w:tc>
                <w:tcPr>
                  <w:tcW w:w="862" w:type="pct"/>
                </w:tcPr>
                <w:p w14:paraId="497FCDA0">
                  <w:pPr>
                    <w:spacing w:before="151" w:line="233" w:lineRule="auto"/>
                    <w:ind w:left="632"/>
                    <w:rPr>
                      <w:rFonts w:eastAsia="Times New Roman"/>
                      <w:color w:val="auto"/>
                      <w:szCs w:val="21"/>
                    </w:rPr>
                  </w:pPr>
                  <w:r>
                    <w:rPr>
                      <w:rFonts w:eastAsia="Times New Roman"/>
                      <w:color w:val="auto"/>
                      <w:spacing w:val="-1"/>
                      <w:szCs w:val="21"/>
                    </w:rPr>
                    <w:t>0.111</w:t>
                  </w:r>
                </w:p>
              </w:tc>
              <w:tc>
                <w:tcPr>
                  <w:tcW w:w="864" w:type="pct"/>
                </w:tcPr>
                <w:p w14:paraId="0FEF4043">
                  <w:pPr>
                    <w:spacing w:before="151" w:line="233" w:lineRule="auto"/>
                    <w:ind w:left="635"/>
                    <w:rPr>
                      <w:rFonts w:eastAsia="Times New Roman"/>
                      <w:color w:val="auto"/>
                      <w:szCs w:val="21"/>
                    </w:rPr>
                  </w:pPr>
                  <w:r>
                    <w:rPr>
                      <w:rFonts w:eastAsia="Times New Roman"/>
                      <w:color w:val="auto"/>
                      <w:spacing w:val="-1"/>
                      <w:szCs w:val="21"/>
                    </w:rPr>
                    <w:t>0.113</w:t>
                  </w:r>
                </w:p>
              </w:tc>
            </w:tr>
            <w:tr w14:paraId="30106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1B974B3D">
                  <w:pPr>
                    <w:rPr>
                      <w:rFonts w:ascii="Arial"/>
                      <w:color w:val="auto"/>
                    </w:rPr>
                  </w:pPr>
                </w:p>
              </w:tc>
              <w:tc>
                <w:tcPr>
                  <w:tcW w:w="926" w:type="pct"/>
                </w:tcPr>
                <w:p w14:paraId="41E7C030">
                  <w:pPr>
                    <w:pStyle w:val="3488"/>
                    <w:spacing w:before="120" w:line="221" w:lineRule="auto"/>
                    <w:ind w:left="548"/>
                    <w:rPr>
                      <w:color w:val="auto"/>
                      <w:sz w:val="21"/>
                      <w:szCs w:val="21"/>
                      <w:lang w:eastAsia="zh-CN"/>
                    </w:rPr>
                  </w:pPr>
                  <w:r>
                    <w:rPr>
                      <w:color w:val="auto"/>
                      <w:spacing w:val="-2"/>
                      <w:sz w:val="21"/>
                      <w:szCs w:val="21"/>
                      <w:lang w:eastAsia="zh-CN"/>
                    </w:rPr>
                    <w:t>第四次</w:t>
                  </w:r>
                </w:p>
              </w:tc>
              <w:tc>
                <w:tcPr>
                  <w:tcW w:w="740" w:type="pct"/>
                </w:tcPr>
                <w:p w14:paraId="48BF0156">
                  <w:pPr>
                    <w:spacing w:before="150" w:line="233" w:lineRule="auto"/>
                    <w:ind w:left="395"/>
                    <w:rPr>
                      <w:rFonts w:eastAsia="Times New Roman"/>
                      <w:color w:val="auto"/>
                      <w:szCs w:val="21"/>
                    </w:rPr>
                  </w:pPr>
                  <w:r>
                    <w:rPr>
                      <w:rFonts w:eastAsia="Times New Roman"/>
                      <w:color w:val="auto"/>
                      <w:spacing w:val="-1"/>
                      <w:szCs w:val="21"/>
                    </w:rPr>
                    <w:t>0.0617</w:t>
                  </w:r>
                </w:p>
              </w:tc>
              <w:tc>
                <w:tcPr>
                  <w:tcW w:w="861" w:type="pct"/>
                </w:tcPr>
                <w:p w14:paraId="4A59FB05">
                  <w:pPr>
                    <w:spacing w:before="150" w:line="233" w:lineRule="auto"/>
                    <w:ind w:left="576"/>
                    <w:rPr>
                      <w:rFonts w:eastAsia="Times New Roman"/>
                      <w:color w:val="auto"/>
                      <w:szCs w:val="21"/>
                    </w:rPr>
                  </w:pPr>
                  <w:r>
                    <w:rPr>
                      <w:rFonts w:eastAsia="Times New Roman"/>
                      <w:color w:val="auto"/>
                      <w:spacing w:val="-1"/>
                      <w:szCs w:val="21"/>
                    </w:rPr>
                    <w:t>0.0958</w:t>
                  </w:r>
                </w:p>
              </w:tc>
              <w:tc>
                <w:tcPr>
                  <w:tcW w:w="862" w:type="pct"/>
                </w:tcPr>
                <w:p w14:paraId="4F7EBB4D">
                  <w:pPr>
                    <w:spacing w:before="150" w:line="233" w:lineRule="auto"/>
                    <w:ind w:left="632"/>
                    <w:rPr>
                      <w:rFonts w:eastAsia="Times New Roman"/>
                      <w:color w:val="auto"/>
                      <w:szCs w:val="21"/>
                    </w:rPr>
                  </w:pPr>
                  <w:r>
                    <w:rPr>
                      <w:rFonts w:eastAsia="Times New Roman"/>
                      <w:color w:val="auto"/>
                      <w:spacing w:val="-1"/>
                      <w:szCs w:val="21"/>
                    </w:rPr>
                    <w:t>0.148</w:t>
                  </w:r>
                </w:p>
              </w:tc>
              <w:tc>
                <w:tcPr>
                  <w:tcW w:w="864" w:type="pct"/>
                </w:tcPr>
                <w:p w14:paraId="02A14066">
                  <w:pPr>
                    <w:spacing w:before="150" w:line="233" w:lineRule="auto"/>
                    <w:ind w:left="583"/>
                    <w:rPr>
                      <w:rFonts w:eastAsia="Times New Roman"/>
                      <w:color w:val="auto"/>
                      <w:szCs w:val="21"/>
                    </w:rPr>
                  </w:pPr>
                  <w:r>
                    <w:rPr>
                      <w:rFonts w:eastAsia="Times New Roman"/>
                      <w:color w:val="auto"/>
                      <w:spacing w:val="-1"/>
                      <w:szCs w:val="21"/>
                    </w:rPr>
                    <w:t>0.0849</w:t>
                  </w:r>
                </w:p>
              </w:tc>
            </w:tr>
            <w:tr w14:paraId="3EB53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tcBorders>
                </w:tcPr>
                <w:p w14:paraId="102214F0">
                  <w:pPr>
                    <w:rPr>
                      <w:rFonts w:ascii="Arial"/>
                      <w:color w:val="auto"/>
                    </w:rPr>
                  </w:pPr>
                </w:p>
              </w:tc>
              <w:tc>
                <w:tcPr>
                  <w:tcW w:w="926" w:type="pct"/>
                </w:tcPr>
                <w:p w14:paraId="75A696A1">
                  <w:pPr>
                    <w:pStyle w:val="3488"/>
                    <w:spacing w:before="120" w:line="221" w:lineRule="auto"/>
                    <w:ind w:left="337"/>
                    <w:rPr>
                      <w:color w:val="auto"/>
                      <w:sz w:val="21"/>
                      <w:szCs w:val="21"/>
                      <w:lang w:eastAsia="zh-CN"/>
                    </w:rPr>
                  </w:pPr>
                  <w:r>
                    <w:rPr>
                      <w:color w:val="auto"/>
                      <w:spacing w:val="-1"/>
                      <w:sz w:val="21"/>
                      <w:szCs w:val="21"/>
                      <w:lang w:eastAsia="zh-CN"/>
                    </w:rPr>
                    <w:t>浓度最大值</w:t>
                  </w:r>
                </w:p>
              </w:tc>
              <w:tc>
                <w:tcPr>
                  <w:tcW w:w="3328" w:type="pct"/>
                  <w:gridSpan w:val="4"/>
                </w:tcPr>
                <w:p w14:paraId="3DE2877A">
                  <w:pPr>
                    <w:spacing w:before="151" w:line="233" w:lineRule="auto"/>
                    <w:ind w:left="3040"/>
                    <w:rPr>
                      <w:rFonts w:eastAsia="Times New Roman"/>
                      <w:color w:val="auto"/>
                      <w:szCs w:val="21"/>
                    </w:rPr>
                  </w:pPr>
                  <w:r>
                    <w:rPr>
                      <w:rFonts w:eastAsia="Times New Roman"/>
                      <w:color w:val="auto"/>
                      <w:spacing w:val="-1"/>
                      <w:szCs w:val="21"/>
                    </w:rPr>
                    <w:t>0.148</w:t>
                  </w:r>
                </w:p>
              </w:tc>
            </w:tr>
            <w:tr w14:paraId="5A2D3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1" w:type="pct"/>
                  <w:gridSpan w:val="2"/>
                </w:tcPr>
                <w:p w14:paraId="33339B92">
                  <w:pPr>
                    <w:rPr>
                      <w:rFonts w:ascii="Arial"/>
                      <w:color w:val="auto"/>
                    </w:rPr>
                  </w:pPr>
                </w:p>
              </w:tc>
              <w:tc>
                <w:tcPr>
                  <w:tcW w:w="3328" w:type="pct"/>
                  <w:gridSpan w:val="4"/>
                </w:tcPr>
                <w:p w14:paraId="778E80E7">
                  <w:pPr>
                    <w:pStyle w:val="3488"/>
                    <w:spacing w:before="121" w:line="285" w:lineRule="exact"/>
                    <w:ind w:left="3056"/>
                    <w:rPr>
                      <w:rFonts w:ascii="Times New Roman" w:hAnsi="Times New Roman" w:eastAsia="Times New Roman"/>
                      <w:color w:val="auto"/>
                      <w:sz w:val="21"/>
                      <w:szCs w:val="21"/>
                      <w:lang w:eastAsia="zh-CN"/>
                    </w:rPr>
                  </w:pPr>
                  <w:r>
                    <w:rPr>
                      <w:color w:val="auto"/>
                      <w:spacing w:val="-6"/>
                      <w:position w:val="1"/>
                      <w:sz w:val="21"/>
                      <w:szCs w:val="21"/>
                      <w:lang w:eastAsia="zh-CN"/>
                    </w:rPr>
                    <w:t>≤</w:t>
                  </w:r>
                  <w:r>
                    <w:rPr>
                      <w:rFonts w:ascii="Times New Roman" w:hAnsi="Times New Roman" w:eastAsia="Times New Roman"/>
                      <w:color w:val="auto"/>
                      <w:spacing w:val="-6"/>
                      <w:position w:val="1"/>
                      <w:sz w:val="21"/>
                      <w:szCs w:val="21"/>
                      <w:lang w:eastAsia="zh-CN"/>
                    </w:rPr>
                    <w:t>2.0</w:t>
                  </w:r>
                </w:p>
              </w:tc>
            </w:tr>
          </w:tbl>
          <w:p w14:paraId="10E7909C">
            <w:pPr>
              <w:spacing w:before="78" w:line="234" w:lineRule="auto"/>
              <w:jc w:val="center"/>
              <w:rPr>
                <w:rFonts w:hint="eastAsia" w:ascii="宋体" w:hAnsi="宋体" w:cs="宋体"/>
                <w:color w:val="auto"/>
                <w:sz w:val="24"/>
              </w:rPr>
            </w:pPr>
            <w:r>
              <w:rPr>
                <w:b/>
                <w:color w:val="auto"/>
                <w:kern w:val="0"/>
                <w:sz w:val="24"/>
              </w:rPr>
              <w:t xml:space="preserve">表 </w:t>
            </w:r>
            <w:r>
              <w:rPr>
                <w:rFonts w:hint="eastAsia"/>
                <w:b/>
                <w:color w:val="auto"/>
                <w:kern w:val="0"/>
                <w:sz w:val="24"/>
              </w:rPr>
              <w:t>2</w:t>
            </w:r>
            <w:r>
              <w:rPr>
                <w:b/>
                <w:color w:val="auto"/>
                <w:kern w:val="0"/>
                <w:sz w:val="24"/>
              </w:rPr>
              <w:t>-</w:t>
            </w:r>
            <w:r>
              <w:rPr>
                <w:rFonts w:hint="eastAsia"/>
                <w:b/>
                <w:color w:val="auto"/>
                <w:kern w:val="0"/>
                <w:sz w:val="24"/>
              </w:rPr>
              <w:t>1</w:t>
            </w:r>
            <w:r>
              <w:rPr>
                <w:b/>
                <w:color w:val="auto"/>
                <w:kern w:val="0"/>
                <w:sz w:val="24"/>
              </w:rPr>
              <w:t>5</w:t>
            </w:r>
            <w:r>
              <w:rPr>
                <w:rFonts w:hint="eastAsia"/>
                <w:b/>
                <w:color w:val="auto"/>
                <w:kern w:val="0"/>
                <w:sz w:val="24"/>
              </w:rPr>
              <w:t>.2</w:t>
            </w:r>
            <w:r>
              <w:rPr>
                <w:b/>
                <w:color w:val="auto"/>
                <w:kern w:val="0"/>
                <w:sz w:val="24"/>
              </w:rPr>
              <w:t xml:space="preserve"> </w:t>
            </w:r>
            <w:r>
              <w:rPr>
                <w:rFonts w:ascii="宋体" w:hAnsi="宋体" w:cs="宋体"/>
                <w:b/>
                <w:bCs/>
                <w:color w:val="auto"/>
                <w:spacing w:val="-3"/>
                <w:sz w:val="24"/>
              </w:rPr>
              <w:t>无组织废气</w:t>
            </w:r>
            <w:r>
              <w:rPr>
                <w:rFonts w:hint="eastAsia" w:ascii="宋体" w:hAnsi="宋体" w:cs="宋体"/>
                <w:b/>
                <w:bCs/>
                <w:color w:val="auto"/>
                <w:spacing w:val="-3"/>
                <w:sz w:val="24"/>
                <w:lang w:eastAsia="zh-CN"/>
              </w:rPr>
              <w:t>中</w:t>
            </w:r>
            <w:r>
              <w:rPr>
                <w:rFonts w:ascii="宋体" w:hAnsi="宋体" w:cs="宋体"/>
                <w:b/>
                <w:bCs/>
                <w:color w:val="auto"/>
                <w:spacing w:val="-3"/>
                <w:sz w:val="24"/>
              </w:rPr>
              <w:t>悬浮颗粒物监测结果</w:t>
            </w:r>
          </w:p>
          <w:p w14:paraId="69B7F669">
            <w:pPr>
              <w:spacing w:line="127" w:lineRule="exact"/>
              <w:rPr>
                <w:color w:val="auto"/>
              </w:rPr>
            </w:pPr>
          </w:p>
          <w:tbl>
            <w:tblPr>
              <w:tblStyle w:val="400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2313"/>
              <w:gridCol w:w="1849"/>
              <w:gridCol w:w="2151"/>
              <w:gridCol w:w="2153"/>
              <w:gridCol w:w="2162"/>
            </w:tblGrid>
            <w:tr w14:paraId="7BC3D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671" w:type="pct"/>
                  <w:gridSpan w:val="2"/>
                  <w:vMerge w:val="restart"/>
                  <w:tcBorders>
                    <w:bottom w:val="nil"/>
                  </w:tcBorders>
                </w:tcPr>
                <w:p w14:paraId="436AD177">
                  <w:pPr>
                    <w:spacing w:line="276" w:lineRule="auto"/>
                    <w:rPr>
                      <w:rFonts w:ascii="Arial"/>
                      <w:color w:val="auto"/>
                    </w:rPr>
                  </w:pPr>
                </w:p>
                <w:p w14:paraId="5E9A84F5">
                  <w:pPr>
                    <w:pStyle w:val="3488"/>
                    <w:spacing w:before="69" w:line="221" w:lineRule="auto"/>
                    <w:ind w:left="1088"/>
                    <w:rPr>
                      <w:color w:val="auto"/>
                      <w:sz w:val="21"/>
                      <w:szCs w:val="21"/>
                    </w:rPr>
                  </w:pPr>
                  <w:r>
                    <w:rPr>
                      <w:b/>
                      <w:bCs/>
                      <w:color w:val="auto"/>
                      <w:spacing w:val="-4"/>
                      <w:sz w:val="21"/>
                      <w:szCs w:val="21"/>
                    </w:rPr>
                    <w:t>监测日期</w:t>
                  </w:r>
                </w:p>
              </w:tc>
              <w:tc>
                <w:tcPr>
                  <w:tcW w:w="3328" w:type="pct"/>
                  <w:gridSpan w:val="4"/>
                </w:tcPr>
                <w:p w14:paraId="61720D18">
                  <w:pPr>
                    <w:pStyle w:val="3488"/>
                    <w:spacing w:before="121" w:line="213" w:lineRule="auto"/>
                    <w:ind w:left="2039"/>
                    <w:rPr>
                      <w:color w:val="auto"/>
                      <w:sz w:val="21"/>
                      <w:szCs w:val="21"/>
                      <w:lang w:eastAsia="zh-CN"/>
                    </w:rPr>
                  </w:pPr>
                  <w:r>
                    <w:rPr>
                      <w:b/>
                      <w:bCs/>
                      <w:color w:val="auto"/>
                      <w:spacing w:val="-2"/>
                      <w:sz w:val="21"/>
                      <w:szCs w:val="21"/>
                      <w:lang w:eastAsia="zh-CN"/>
                    </w:rPr>
                    <w:t>监测点位（单位：</w:t>
                  </w:r>
                  <w:r>
                    <w:rPr>
                      <w:rFonts w:ascii="Times New Roman" w:hAnsi="Times New Roman" w:eastAsia="Times New Roman"/>
                      <w:b/>
                      <w:bCs/>
                      <w:color w:val="auto"/>
                      <w:spacing w:val="-2"/>
                      <w:sz w:val="21"/>
                      <w:szCs w:val="21"/>
                      <w:lang w:eastAsia="zh-CN"/>
                    </w:rPr>
                    <w:t>mg/m</w:t>
                  </w:r>
                  <w:r>
                    <w:rPr>
                      <w:rFonts w:ascii="Times New Roman" w:hAnsi="Times New Roman" w:eastAsia="Times New Roman"/>
                      <w:b/>
                      <w:bCs/>
                      <w:color w:val="auto"/>
                      <w:spacing w:val="-2"/>
                      <w:position w:val="6"/>
                      <w:sz w:val="13"/>
                      <w:szCs w:val="13"/>
                      <w:lang w:eastAsia="zh-CN"/>
                    </w:rPr>
                    <w:t>3</w:t>
                  </w:r>
                  <w:r>
                    <w:rPr>
                      <w:b/>
                      <w:bCs/>
                      <w:color w:val="auto"/>
                      <w:spacing w:val="-2"/>
                      <w:sz w:val="21"/>
                      <w:szCs w:val="21"/>
                      <w:lang w:eastAsia="zh-CN"/>
                    </w:rPr>
                    <w:t>）</w:t>
                  </w:r>
                </w:p>
              </w:tc>
            </w:tr>
            <w:tr w14:paraId="7C17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671" w:type="pct"/>
                  <w:gridSpan w:val="2"/>
                  <w:vMerge w:val="continue"/>
                  <w:tcBorders>
                    <w:top w:val="nil"/>
                  </w:tcBorders>
                </w:tcPr>
                <w:p w14:paraId="241BCC8D">
                  <w:pPr>
                    <w:rPr>
                      <w:rFonts w:ascii="Arial"/>
                      <w:color w:val="auto"/>
                    </w:rPr>
                  </w:pPr>
                </w:p>
              </w:tc>
              <w:tc>
                <w:tcPr>
                  <w:tcW w:w="740" w:type="pct"/>
                </w:tcPr>
                <w:p w14:paraId="7604BD25">
                  <w:pPr>
                    <w:pStyle w:val="3488"/>
                    <w:spacing w:before="118" w:line="221" w:lineRule="auto"/>
                    <w:ind w:left="210"/>
                    <w:rPr>
                      <w:rFonts w:ascii="Times New Roman" w:hAnsi="Times New Roman" w:eastAsia="Times New Roman"/>
                      <w:color w:val="auto"/>
                      <w:sz w:val="21"/>
                      <w:szCs w:val="21"/>
                      <w:lang w:eastAsia="zh-CN"/>
                    </w:rPr>
                  </w:pPr>
                  <w:r>
                    <w:rPr>
                      <w:b/>
                      <w:bCs/>
                      <w:color w:val="auto"/>
                      <w:spacing w:val="-4"/>
                      <w:sz w:val="21"/>
                      <w:szCs w:val="21"/>
                      <w:lang w:eastAsia="zh-CN"/>
                    </w:rPr>
                    <w:t>上风向</w:t>
                  </w:r>
                  <w:r>
                    <w:rPr>
                      <w:color w:val="auto"/>
                      <w:spacing w:val="-42"/>
                      <w:sz w:val="21"/>
                      <w:szCs w:val="21"/>
                      <w:lang w:eastAsia="zh-CN"/>
                    </w:rPr>
                    <w:t xml:space="preserve"> </w:t>
                  </w:r>
                  <w:r>
                    <w:rPr>
                      <w:rFonts w:ascii="Times New Roman" w:hAnsi="Times New Roman" w:eastAsia="Times New Roman"/>
                      <w:b/>
                      <w:bCs/>
                      <w:color w:val="auto"/>
                      <w:spacing w:val="-4"/>
                      <w:sz w:val="21"/>
                      <w:szCs w:val="21"/>
                      <w:lang w:eastAsia="zh-CN"/>
                    </w:rPr>
                    <w:t>G1</w:t>
                  </w:r>
                </w:p>
              </w:tc>
              <w:tc>
                <w:tcPr>
                  <w:tcW w:w="861" w:type="pct"/>
                </w:tcPr>
                <w:p w14:paraId="1F148320">
                  <w:pPr>
                    <w:pStyle w:val="3488"/>
                    <w:spacing w:before="118" w:line="221" w:lineRule="auto"/>
                    <w:ind w:left="396"/>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1"/>
                      <w:sz w:val="21"/>
                      <w:szCs w:val="21"/>
                      <w:lang w:eastAsia="zh-CN"/>
                    </w:rPr>
                    <w:t xml:space="preserve"> </w:t>
                  </w:r>
                  <w:r>
                    <w:rPr>
                      <w:rFonts w:ascii="Times New Roman" w:hAnsi="Times New Roman" w:eastAsia="Times New Roman"/>
                      <w:b/>
                      <w:bCs/>
                      <w:color w:val="auto"/>
                      <w:spacing w:val="-5"/>
                      <w:sz w:val="21"/>
                      <w:szCs w:val="21"/>
                      <w:lang w:eastAsia="zh-CN"/>
                    </w:rPr>
                    <w:t>G2</w:t>
                  </w:r>
                </w:p>
              </w:tc>
              <w:tc>
                <w:tcPr>
                  <w:tcW w:w="862" w:type="pct"/>
                </w:tcPr>
                <w:p w14:paraId="7CBBFAB3">
                  <w:pPr>
                    <w:pStyle w:val="3488"/>
                    <w:spacing w:before="118" w:line="221" w:lineRule="auto"/>
                    <w:ind w:left="400"/>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2"/>
                      <w:sz w:val="21"/>
                      <w:szCs w:val="21"/>
                      <w:lang w:eastAsia="zh-CN"/>
                    </w:rPr>
                    <w:t xml:space="preserve"> </w:t>
                  </w:r>
                  <w:r>
                    <w:rPr>
                      <w:rFonts w:ascii="Times New Roman" w:hAnsi="Times New Roman" w:eastAsia="Times New Roman"/>
                      <w:b/>
                      <w:bCs/>
                      <w:color w:val="auto"/>
                      <w:spacing w:val="-5"/>
                      <w:sz w:val="21"/>
                      <w:szCs w:val="21"/>
                      <w:lang w:eastAsia="zh-CN"/>
                    </w:rPr>
                    <w:t>G3</w:t>
                  </w:r>
                </w:p>
              </w:tc>
              <w:tc>
                <w:tcPr>
                  <w:tcW w:w="864" w:type="pct"/>
                </w:tcPr>
                <w:p w14:paraId="519719C6">
                  <w:pPr>
                    <w:pStyle w:val="3488"/>
                    <w:spacing w:before="118" w:line="221" w:lineRule="auto"/>
                    <w:ind w:left="403"/>
                    <w:rPr>
                      <w:rFonts w:ascii="Times New Roman" w:hAnsi="Times New Roman" w:eastAsia="Times New Roman"/>
                      <w:color w:val="auto"/>
                      <w:sz w:val="21"/>
                      <w:szCs w:val="21"/>
                      <w:lang w:eastAsia="zh-CN"/>
                    </w:rPr>
                  </w:pPr>
                  <w:r>
                    <w:rPr>
                      <w:b/>
                      <w:bCs/>
                      <w:color w:val="auto"/>
                      <w:spacing w:val="-5"/>
                      <w:sz w:val="21"/>
                      <w:szCs w:val="21"/>
                      <w:lang w:eastAsia="zh-CN"/>
                    </w:rPr>
                    <w:t>下风向</w:t>
                  </w:r>
                  <w:r>
                    <w:rPr>
                      <w:color w:val="auto"/>
                      <w:spacing w:val="-42"/>
                      <w:sz w:val="21"/>
                      <w:szCs w:val="21"/>
                      <w:lang w:eastAsia="zh-CN"/>
                    </w:rPr>
                    <w:t xml:space="preserve"> </w:t>
                  </w:r>
                  <w:r>
                    <w:rPr>
                      <w:rFonts w:ascii="Times New Roman" w:hAnsi="Times New Roman" w:eastAsia="Times New Roman"/>
                      <w:b/>
                      <w:bCs/>
                      <w:color w:val="auto"/>
                      <w:spacing w:val="-5"/>
                      <w:sz w:val="21"/>
                      <w:szCs w:val="21"/>
                      <w:lang w:eastAsia="zh-CN"/>
                    </w:rPr>
                    <w:t>G4</w:t>
                  </w:r>
                </w:p>
              </w:tc>
            </w:tr>
            <w:tr w14:paraId="39EB1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45" w:type="pct"/>
                </w:tcPr>
                <w:p w14:paraId="51480CDF">
                  <w:pPr>
                    <w:spacing w:before="149" w:line="233" w:lineRule="auto"/>
                    <w:ind w:left="172"/>
                    <w:rPr>
                      <w:rFonts w:eastAsia="Times New Roman"/>
                      <w:color w:val="auto"/>
                      <w:szCs w:val="21"/>
                    </w:rPr>
                  </w:pPr>
                  <w:r>
                    <w:rPr>
                      <w:rFonts w:eastAsia="Times New Roman"/>
                      <w:color w:val="auto"/>
                      <w:spacing w:val="-1"/>
                      <w:szCs w:val="21"/>
                    </w:rPr>
                    <w:t>2021.03.25</w:t>
                  </w:r>
                </w:p>
              </w:tc>
              <w:tc>
                <w:tcPr>
                  <w:tcW w:w="926" w:type="pct"/>
                </w:tcPr>
                <w:p w14:paraId="2BAE13F1">
                  <w:pPr>
                    <w:pStyle w:val="3488"/>
                    <w:spacing w:before="118" w:line="221" w:lineRule="auto"/>
                    <w:ind w:left="548"/>
                    <w:rPr>
                      <w:color w:val="auto"/>
                      <w:sz w:val="21"/>
                      <w:szCs w:val="21"/>
                      <w:lang w:eastAsia="zh-CN"/>
                    </w:rPr>
                  </w:pPr>
                  <w:r>
                    <w:rPr>
                      <w:color w:val="auto"/>
                      <w:spacing w:val="-2"/>
                      <w:sz w:val="21"/>
                      <w:szCs w:val="21"/>
                      <w:lang w:eastAsia="zh-CN"/>
                    </w:rPr>
                    <w:t>第一次</w:t>
                  </w:r>
                </w:p>
              </w:tc>
              <w:tc>
                <w:tcPr>
                  <w:tcW w:w="740" w:type="pct"/>
                </w:tcPr>
                <w:p w14:paraId="526D6EE7">
                  <w:pPr>
                    <w:spacing w:before="149" w:line="233" w:lineRule="auto"/>
                    <w:ind w:left="448"/>
                    <w:rPr>
                      <w:rFonts w:eastAsia="Times New Roman"/>
                      <w:color w:val="auto"/>
                      <w:szCs w:val="21"/>
                    </w:rPr>
                  </w:pPr>
                  <w:r>
                    <w:rPr>
                      <w:rFonts w:eastAsia="Times New Roman"/>
                      <w:color w:val="auto"/>
                      <w:spacing w:val="-1"/>
                      <w:szCs w:val="21"/>
                    </w:rPr>
                    <w:t>0.260</w:t>
                  </w:r>
                </w:p>
              </w:tc>
              <w:tc>
                <w:tcPr>
                  <w:tcW w:w="861" w:type="pct"/>
                </w:tcPr>
                <w:p w14:paraId="5AC77618">
                  <w:pPr>
                    <w:spacing w:before="149" w:line="233" w:lineRule="auto"/>
                    <w:ind w:left="629"/>
                    <w:rPr>
                      <w:rFonts w:eastAsia="Times New Roman"/>
                      <w:color w:val="auto"/>
                      <w:szCs w:val="21"/>
                    </w:rPr>
                  </w:pPr>
                  <w:r>
                    <w:rPr>
                      <w:rFonts w:eastAsia="Times New Roman"/>
                      <w:color w:val="auto"/>
                      <w:spacing w:val="-1"/>
                      <w:szCs w:val="21"/>
                    </w:rPr>
                    <w:t>0.347</w:t>
                  </w:r>
                </w:p>
              </w:tc>
              <w:tc>
                <w:tcPr>
                  <w:tcW w:w="862" w:type="pct"/>
                </w:tcPr>
                <w:p w14:paraId="35913502">
                  <w:pPr>
                    <w:spacing w:before="149" w:line="233" w:lineRule="auto"/>
                    <w:ind w:left="632"/>
                    <w:rPr>
                      <w:rFonts w:eastAsia="Times New Roman"/>
                      <w:color w:val="auto"/>
                      <w:szCs w:val="21"/>
                    </w:rPr>
                  </w:pPr>
                  <w:r>
                    <w:rPr>
                      <w:rFonts w:eastAsia="Times New Roman"/>
                      <w:color w:val="auto"/>
                      <w:spacing w:val="-1"/>
                      <w:szCs w:val="21"/>
                    </w:rPr>
                    <w:t>0.382</w:t>
                  </w:r>
                </w:p>
              </w:tc>
              <w:tc>
                <w:tcPr>
                  <w:tcW w:w="864" w:type="pct"/>
                </w:tcPr>
                <w:p w14:paraId="21404173">
                  <w:pPr>
                    <w:spacing w:before="149" w:line="233" w:lineRule="auto"/>
                    <w:ind w:left="635"/>
                    <w:rPr>
                      <w:rFonts w:eastAsia="Times New Roman"/>
                      <w:color w:val="auto"/>
                      <w:szCs w:val="21"/>
                    </w:rPr>
                  </w:pPr>
                  <w:r>
                    <w:rPr>
                      <w:rFonts w:eastAsia="Times New Roman"/>
                      <w:color w:val="auto"/>
                      <w:spacing w:val="-1"/>
                      <w:szCs w:val="21"/>
                    </w:rPr>
                    <w:t>0.278</w:t>
                  </w:r>
                </w:p>
              </w:tc>
            </w:tr>
            <w:tr w14:paraId="74F4A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5" w:type="pct"/>
                  <w:vMerge w:val="restart"/>
                  <w:tcBorders>
                    <w:bottom w:val="nil"/>
                  </w:tcBorders>
                </w:tcPr>
                <w:p w14:paraId="1701A2BA">
                  <w:pPr>
                    <w:rPr>
                      <w:rFonts w:ascii="Arial"/>
                      <w:color w:val="auto"/>
                    </w:rPr>
                  </w:pPr>
                </w:p>
              </w:tc>
              <w:tc>
                <w:tcPr>
                  <w:tcW w:w="926" w:type="pct"/>
                </w:tcPr>
                <w:p w14:paraId="56621282">
                  <w:pPr>
                    <w:pStyle w:val="3488"/>
                    <w:spacing w:before="120" w:line="221" w:lineRule="auto"/>
                    <w:ind w:left="548"/>
                    <w:rPr>
                      <w:color w:val="auto"/>
                      <w:sz w:val="21"/>
                      <w:szCs w:val="21"/>
                      <w:lang w:eastAsia="zh-CN"/>
                    </w:rPr>
                  </w:pPr>
                  <w:r>
                    <w:rPr>
                      <w:color w:val="auto"/>
                      <w:spacing w:val="-2"/>
                      <w:sz w:val="21"/>
                      <w:szCs w:val="21"/>
                      <w:lang w:eastAsia="zh-CN"/>
                    </w:rPr>
                    <w:t>第二次</w:t>
                  </w:r>
                </w:p>
              </w:tc>
              <w:tc>
                <w:tcPr>
                  <w:tcW w:w="740" w:type="pct"/>
                </w:tcPr>
                <w:p w14:paraId="3DF32ABA">
                  <w:pPr>
                    <w:spacing w:before="151" w:line="233" w:lineRule="auto"/>
                    <w:ind w:left="448"/>
                    <w:rPr>
                      <w:rFonts w:eastAsia="Times New Roman"/>
                      <w:color w:val="auto"/>
                      <w:szCs w:val="21"/>
                    </w:rPr>
                  </w:pPr>
                  <w:r>
                    <w:rPr>
                      <w:rFonts w:eastAsia="Times New Roman"/>
                      <w:color w:val="auto"/>
                      <w:spacing w:val="-1"/>
                      <w:szCs w:val="21"/>
                    </w:rPr>
                    <w:t>0.248</w:t>
                  </w:r>
                </w:p>
              </w:tc>
              <w:tc>
                <w:tcPr>
                  <w:tcW w:w="861" w:type="pct"/>
                </w:tcPr>
                <w:p w14:paraId="20CB63CD">
                  <w:pPr>
                    <w:spacing w:before="151" w:line="233" w:lineRule="auto"/>
                    <w:ind w:left="629"/>
                    <w:rPr>
                      <w:rFonts w:eastAsia="Times New Roman"/>
                      <w:color w:val="auto"/>
                      <w:szCs w:val="21"/>
                    </w:rPr>
                  </w:pPr>
                  <w:r>
                    <w:rPr>
                      <w:rFonts w:eastAsia="Times New Roman"/>
                      <w:color w:val="auto"/>
                      <w:spacing w:val="-1"/>
                      <w:szCs w:val="21"/>
                    </w:rPr>
                    <w:t>0.371</w:t>
                  </w:r>
                </w:p>
              </w:tc>
              <w:tc>
                <w:tcPr>
                  <w:tcW w:w="862" w:type="pct"/>
                </w:tcPr>
                <w:p w14:paraId="3C3837C9">
                  <w:pPr>
                    <w:spacing w:before="151" w:line="233" w:lineRule="auto"/>
                    <w:ind w:left="632"/>
                    <w:rPr>
                      <w:rFonts w:eastAsia="Times New Roman"/>
                      <w:color w:val="auto"/>
                      <w:szCs w:val="21"/>
                    </w:rPr>
                  </w:pPr>
                  <w:r>
                    <w:rPr>
                      <w:rFonts w:eastAsia="Times New Roman"/>
                      <w:color w:val="auto"/>
                      <w:spacing w:val="-1"/>
                      <w:szCs w:val="21"/>
                    </w:rPr>
                    <w:t>0.336</w:t>
                  </w:r>
                </w:p>
              </w:tc>
              <w:tc>
                <w:tcPr>
                  <w:tcW w:w="864" w:type="pct"/>
                </w:tcPr>
                <w:p w14:paraId="6DDE60EE">
                  <w:pPr>
                    <w:spacing w:before="151" w:line="233" w:lineRule="auto"/>
                    <w:ind w:left="635"/>
                    <w:rPr>
                      <w:rFonts w:eastAsia="Times New Roman"/>
                      <w:color w:val="auto"/>
                      <w:szCs w:val="21"/>
                    </w:rPr>
                  </w:pPr>
                  <w:r>
                    <w:rPr>
                      <w:rFonts w:eastAsia="Times New Roman"/>
                      <w:color w:val="auto"/>
                      <w:spacing w:val="-1"/>
                      <w:szCs w:val="21"/>
                    </w:rPr>
                    <w:t>0.301</w:t>
                  </w:r>
                </w:p>
              </w:tc>
            </w:tr>
            <w:tr w14:paraId="6240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145E5784">
                  <w:pPr>
                    <w:rPr>
                      <w:rFonts w:ascii="Arial"/>
                      <w:color w:val="auto"/>
                    </w:rPr>
                  </w:pPr>
                </w:p>
              </w:tc>
              <w:tc>
                <w:tcPr>
                  <w:tcW w:w="926" w:type="pct"/>
                </w:tcPr>
                <w:p w14:paraId="0A94DB53">
                  <w:pPr>
                    <w:pStyle w:val="3488"/>
                    <w:spacing w:before="115" w:line="221" w:lineRule="auto"/>
                    <w:ind w:left="548"/>
                    <w:rPr>
                      <w:color w:val="auto"/>
                      <w:sz w:val="21"/>
                      <w:szCs w:val="21"/>
                      <w:lang w:eastAsia="zh-CN"/>
                    </w:rPr>
                  </w:pPr>
                  <w:r>
                    <w:rPr>
                      <w:color w:val="auto"/>
                      <w:spacing w:val="-2"/>
                      <w:sz w:val="21"/>
                      <w:szCs w:val="21"/>
                      <w:lang w:eastAsia="zh-CN"/>
                    </w:rPr>
                    <w:t>第三次</w:t>
                  </w:r>
                </w:p>
              </w:tc>
              <w:tc>
                <w:tcPr>
                  <w:tcW w:w="740" w:type="pct"/>
                </w:tcPr>
                <w:p w14:paraId="0E783DC5">
                  <w:pPr>
                    <w:spacing w:before="146" w:line="233" w:lineRule="auto"/>
                    <w:ind w:left="448"/>
                    <w:rPr>
                      <w:rFonts w:eastAsia="Times New Roman"/>
                      <w:color w:val="auto"/>
                      <w:szCs w:val="21"/>
                    </w:rPr>
                  </w:pPr>
                  <w:r>
                    <w:rPr>
                      <w:rFonts w:eastAsia="Times New Roman"/>
                      <w:color w:val="auto"/>
                      <w:spacing w:val="-1"/>
                      <w:szCs w:val="21"/>
                    </w:rPr>
                    <w:t>0.268</w:t>
                  </w:r>
                </w:p>
              </w:tc>
              <w:tc>
                <w:tcPr>
                  <w:tcW w:w="861" w:type="pct"/>
                </w:tcPr>
                <w:p w14:paraId="71878B43">
                  <w:pPr>
                    <w:spacing w:before="146" w:line="233" w:lineRule="auto"/>
                    <w:ind w:left="629"/>
                    <w:rPr>
                      <w:rFonts w:eastAsia="Times New Roman"/>
                      <w:color w:val="auto"/>
                      <w:szCs w:val="21"/>
                    </w:rPr>
                  </w:pPr>
                  <w:r>
                    <w:rPr>
                      <w:rFonts w:eastAsia="Times New Roman"/>
                      <w:color w:val="auto"/>
                      <w:spacing w:val="-1"/>
                      <w:szCs w:val="21"/>
                    </w:rPr>
                    <w:t>0.322</w:t>
                  </w:r>
                </w:p>
              </w:tc>
              <w:tc>
                <w:tcPr>
                  <w:tcW w:w="862" w:type="pct"/>
                </w:tcPr>
                <w:p w14:paraId="78D0CFD8">
                  <w:pPr>
                    <w:spacing w:before="146" w:line="233" w:lineRule="auto"/>
                    <w:ind w:left="632"/>
                    <w:rPr>
                      <w:rFonts w:eastAsia="Times New Roman"/>
                      <w:color w:val="auto"/>
                      <w:szCs w:val="21"/>
                    </w:rPr>
                  </w:pPr>
                  <w:r>
                    <w:rPr>
                      <w:rFonts w:eastAsia="Times New Roman"/>
                      <w:color w:val="auto"/>
                      <w:spacing w:val="-1"/>
                      <w:szCs w:val="21"/>
                    </w:rPr>
                    <w:t>0.375</w:t>
                  </w:r>
                </w:p>
              </w:tc>
              <w:tc>
                <w:tcPr>
                  <w:tcW w:w="864" w:type="pct"/>
                </w:tcPr>
                <w:p w14:paraId="753DAD33">
                  <w:pPr>
                    <w:spacing w:before="146" w:line="233" w:lineRule="auto"/>
                    <w:ind w:left="635"/>
                    <w:rPr>
                      <w:rFonts w:eastAsia="Times New Roman"/>
                      <w:color w:val="auto"/>
                      <w:szCs w:val="21"/>
                    </w:rPr>
                  </w:pPr>
                  <w:r>
                    <w:rPr>
                      <w:rFonts w:eastAsia="Times New Roman"/>
                      <w:color w:val="auto"/>
                      <w:spacing w:val="-1"/>
                      <w:szCs w:val="21"/>
                    </w:rPr>
                    <w:t>0.322</w:t>
                  </w:r>
                </w:p>
              </w:tc>
            </w:tr>
            <w:tr w14:paraId="6EA8F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092E76E6">
                  <w:pPr>
                    <w:rPr>
                      <w:rFonts w:ascii="Arial"/>
                      <w:color w:val="auto"/>
                    </w:rPr>
                  </w:pPr>
                </w:p>
              </w:tc>
              <w:tc>
                <w:tcPr>
                  <w:tcW w:w="926" w:type="pct"/>
                </w:tcPr>
                <w:p w14:paraId="1ECC7722">
                  <w:pPr>
                    <w:pStyle w:val="3488"/>
                    <w:spacing w:before="116" w:line="221" w:lineRule="auto"/>
                    <w:ind w:left="548"/>
                    <w:rPr>
                      <w:color w:val="auto"/>
                      <w:sz w:val="21"/>
                      <w:szCs w:val="21"/>
                      <w:lang w:eastAsia="zh-CN"/>
                    </w:rPr>
                  </w:pPr>
                  <w:r>
                    <w:rPr>
                      <w:color w:val="auto"/>
                      <w:spacing w:val="-2"/>
                      <w:sz w:val="21"/>
                      <w:szCs w:val="21"/>
                      <w:lang w:eastAsia="zh-CN"/>
                    </w:rPr>
                    <w:t>第四次</w:t>
                  </w:r>
                </w:p>
              </w:tc>
              <w:tc>
                <w:tcPr>
                  <w:tcW w:w="740" w:type="pct"/>
                </w:tcPr>
                <w:p w14:paraId="6245FA8F">
                  <w:pPr>
                    <w:spacing w:before="147" w:line="233" w:lineRule="auto"/>
                    <w:ind w:left="448"/>
                    <w:rPr>
                      <w:rFonts w:eastAsia="Times New Roman"/>
                      <w:color w:val="auto"/>
                      <w:szCs w:val="21"/>
                    </w:rPr>
                  </w:pPr>
                  <w:r>
                    <w:rPr>
                      <w:rFonts w:eastAsia="Times New Roman"/>
                      <w:color w:val="auto"/>
                      <w:spacing w:val="-1"/>
                      <w:szCs w:val="21"/>
                    </w:rPr>
                    <w:t>0.269</w:t>
                  </w:r>
                </w:p>
              </w:tc>
              <w:tc>
                <w:tcPr>
                  <w:tcW w:w="861" w:type="pct"/>
                </w:tcPr>
                <w:p w14:paraId="2E8B595A">
                  <w:pPr>
                    <w:spacing w:before="147" w:line="233" w:lineRule="auto"/>
                    <w:ind w:left="629"/>
                    <w:rPr>
                      <w:rFonts w:eastAsia="Times New Roman"/>
                      <w:color w:val="auto"/>
                      <w:szCs w:val="21"/>
                    </w:rPr>
                  </w:pPr>
                  <w:r>
                    <w:rPr>
                      <w:rFonts w:eastAsia="Times New Roman"/>
                      <w:color w:val="auto"/>
                      <w:spacing w:val="-1"/>
                      <w:szCs w:val="21"/>
                    </w:rPr>
                    <w:t>0.341</w:t>
                  </w:r>
                </w:p>
              </w:tc>
              <w:tc>
                <w:tcPr>
                  <w:tcW w:w="862" w:type="pct"/>
                </w:tcPr>
                <w:p w14:paraId="173EC759">
                  <w:pPr>
                    <w:spacing w:before="147" w:line="233" w:lineRule="auto"/>
                    <w:ind w:left="632"/>
                    <w:rPr>
                      <w:rFonts w:eastAsia="Times New Roman"/>
                      <w:color w:val="auto"/>
                      <w:szCs w:val="21"/>
                    </w:rPr>
                  </w:pPr>
                  <w:r>
                    <w:rPr>
                      <w:rFonts w:eastAsia="Times New Roman"/>
                      <w:color w:val="auto"/>
                      <w:spacing w:val="-1"/>
                      <w:szCs w:val="21"/>
                    </w:rPr>
                    <w:t>0.323</w:t>
                  </w:r>
                </w:p>
              </w:tc>
              <w:tc>
                <w:tcPr>
                  <w:tcW w:w="864" w:type="pct"/>
                </w:tcPr>
                <w:p w14:paraId="1AEB3989">
                  <w:pPr>
                    <w:spacing w:before="147" w:line="233" w:lineRule="auto"/>
                    <w:ind w:left="635"/>
                    <w:rPr>
                      <w:rFonts w:eastAsia="Times New Roman"/>
                      <w:color w:val="auto"/>
                      <w:szCs w:val="21"/>
                    </w:rPr>
                  </w:pPr>
                  <w:r>
                    <w:rPr>
                      <w:rFonts w:eastAsia="Times New Roman"/>
                      <w:color w:val="auto"/>
                      <w:spacing w:val="-1"/>
                      <w:szCs w:val="21"/>
                    </w:rPr>
                    <w:t>0.395</w:t>
                  </w:r>
                </w:p>
              </w:tc>
            </w:tr>
            <w:tr w14:paraId="1F302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tcBorders>
                </w:tcPr>
                <w:p w14:paraId="7783A986">
                  <w:pPr>
                    <w:rPr>
                      <w:rFonts w:ascii="Arial"/>
                      <w:color w:val="auto"/>
                    </w:rPr>
                  </w:pPr>
                </w:p>
              </w:tc>
              <w:tc>
                <w:tcPr>
                  <w:tcW w:w="926" w:type="pct"/>
                </w:tcPr>
                <w:p w14:paraId="54F1EBF1">
                  <w:pPr>
                    <w:pStyle w:val="3488"/>
                    <w:spacing w:before="116" w:line="221" w:lineRule="auto"/>
                    <w:ind w:left="337"/>
                    <w:rPr>
                      <w:color w:val="auto"/>
                      <w:sz w:val="21"/>
                      <w:szCs w:val="21"/>
                      <w:lang w:eastAsia="zh-CN"/>
                    </w:rPr>
                  </w:pPr>
                  <w:r>
                    <w:rPr>
                      <w:color w:val="auto"/>
                      <w:spacing w:val="-1"/>
                      <w:sz w:val="21"/>
                      <w:szCs w:val="21"/>
                      <w:lang w:eastAsia="zh-CN"/>
                    </w:rPr>
                    <w:t>浓度最大值</w:t>
                  </w:r>
                </w:p>
              </w:tc>
              <w:tc>
                <w:tcPr>
                  <w:tcW w:w="3328" w:type="pct"/>
                  <w:gridSpan w:val="4"/>
                </w:tcPr>
                <w:p w14:paraId="2FC37E5F">
                  <w:pPr>
                    <w:spacing w:before="147" w:line="233" w:lineRule="auto"/>
                    <w:ind w:left="3040"/>
                    <w:rPr>
                      <w:rFonts w:eastAsia="Times New Roman"/>
                      <w:color w:val="auto"/>
                      <w:szCs w:val="21"/>
                    </w:rPr>
                  </w:pPr>
                  <w:r>
                    <w:rPr>
                      <w:rFonts w:eastAsia="Times New Roman"/>
                      <w:color w:val="auto"/>
                      <w:spacing w:val="-1"/>
                      <w:szCs w:val="21"/>
                    </w:rPr>
                    <w:t>0.395</w:t>
                  </w:r>
                </w:p>
              </w:tc>
            </w:tr>
            <w:tr w14:paraId="537A7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restart"/>
                  <w:tcBorders>
                    <w:bottom w:val="nil"/>
                  </w:tcBorders>
                </w:tcPr>
                <w:p w14:paraId="64EA98E0">
                  <w:pPr>
                    <w:spacing w:line="247" w:lineRule="auto"/>
                    <w:rPr>
                      <w:rFonts w:ascii="Arial"/>
                      <w:color w:val="auto"/>
                    </w:rPr>
                  </w:pPr>
                </w:p>
                <w:p w14:paraId="628B28A7">
                  <w:pPr>
                    <w:spacing w:line="247" w:lineRule="auto"/>
                    <w:rPr>
                      <w:rFonts w:ascii="Arial"/>
                      <w:color w:val="auto"/>
                    </w:rPr>
                  </w:pPr>
                </w:p>
                <w:p w14:paraId="544FDD7B">
                  <w:pPr>
                    <w:spacing w:line="247" w:lineRule="auto"/>
                    <w:rPr>
                      <w:rFonts w:ascii="Arial"/>
                      <w:color w:val="auto"/>
                    </w:rPr>
                  </w:pPr>
                </w:p>
                <w:p w14:paraId="0D16F821">
                  <w:pPr>
                    <w:spacing w:line="248" w:lineRule="auto"/>
                    <w:rPr>
                      <w:rFonts w:ascii="Arial"/>
                      <w:color w:val="auto"/>
                    </w:rPr>
                  </w:pPr>
                </w:p>
                <w:p w14:paraId="06D77288">
                  <w:pPr>
                    <w:spacing w:before="60" w:line="233" w:lineRule="auto"/>
                    <w:ind w:left="172"/>
                    <w:rPr>
                      <w:rFonts w:eastAsia="Times New Roman"/>
                      <w:color w:val="auto"/>
                      <w:szCs w:val="21"/>
                    </w:rPr>
                  </w:pPr>
                  <w:r>
                    <w:rPr>
                      <w:rFonts w:eastAsia="Times New Roman"/>
                      <w:color w:val="auto"/>
                      <w:spacing w:val="-1"/>
                      <w:szCs w:val="21"/>
                    </w:rPr>
                    <w:t>2021.03.26</w:t>
                  </w:r>
                </w:p>
              </w:tc>
              <w:tc>
                <w:tcPr>
                  <w:tcW w:w="926" w:type="pct"/>
                </w:tcPr>
                <w:p w14:paraId="4E15782A">
                  <w:pPr>
                    <w:pStyle w:val="3488"/>
                    <w:spacing w:before="117" w:line="221" w:lineRule="auto"/>
                    <w:ind w:left="548"/>
                    <w:rPr>
                      <w:color w:val="auto"/>
                      <w:sz w:val="21"/>
                      <w:szCs w:val="21"/>
                      <w:lang w:eastAsia="zh-CN"/>
                    </w:rPr>
                  </w:pPr>
                  <w:r>
                    <w:rPr>
                      <w:color w:val="auto"/>
                      <w:spacing w:val="-2"/>
                      <w:sz w:val="21"/>
                      <w:szCs w:val="21"/>
                      <w:lang w:eastAsia="zh-CN"/>
                    </w:rPr>
                    <w:t>第一次</w:t>
                  </w:r>
                </w:p>
              </w:tc>
              <w:tc>
                <w:tcPr>
                  <w:tcW w:w="740" w:type="pct"/>
                </w:tcPr>
                <w:p w14:paraId="2FEEB6F3">
                  <w:pPr>
                    <w:spacing w:before="148" w:line="233" w:lineRule="auto"/>
                    <w:ind w:left="448"/>
                    <w:rPr>
                      <w:rFonts w:eastAsia="Times New Roman"/>
                      <w:color w:val="auto"/>
                      <w:szCs w:val="21"/>
                    </w:rPr>
                  </w:pPr>
                  <w:r>
                    <w:rPr>
                      <w:rFonts w:eastAsia="Times New Roman"/>
                      <w:color w:val="auto"/>
                      <w:spacing w:val="-1"/>
                      <w:szCs w:val="21"/>
                    </w:rPr>
                    <w:t>0.263</w:t>
                  </w:r>
                </w:p>
              </w:tc>
              <w:tc>
                <w:tcPr>
                  <w:tcW w:w="861" w:type="pct"/>
                </w:tcPr>
                <w:p w14:paraId="140CD743">
                  <w:pPr>
                    <w:spacing w:before="148" w:line="233" w:lineRule="auto"/>
                    <w:ind w:left="629"/>
                    <w:rPr>
                      <w:rFonts w:eastAsia="Times New Roman"/>
                      <w:color w:val="auto"/>
                      <w:szCs w:val="21"/>
                    </w:rPr>
                  </w:pPr>
                  <w:r>
                    <w:rPr>
                      <w:rFonts w:eastAsia="Times New Roman"/>
                      <w:color w:val="auto"/>
                      <w:spacing w:val="-1"/>
                      <w:szCs w:val="21"/>
                    </w:rPr>
                    <w:t>0.281</w:t>
                  </w:r>
                </w:p>
              </w:tc>
              <w:tc>
                <w:tcPr>
                  <w:tcW w:w="862" w:type="pct"/>
                </w:tcPr>
                <w:p w14:paraId="63F6EAE6">
                  <w:pPr>
                    <w:spacing w:before="148" w:line="233" w:lineRule="auto"/>
                    <w:ind w:left="632"/>
                    <w:rPr>
                      <w:rFonts w:eastAsia="Times New Roman"/>
                      <w:color w:val="auto"/>
                      <w:szCs w:val="21"/>
                    </w:rPr>
                  </w:pPr>
                  <w:r>
                    <w:rPr>
                      <w:rFonts w:eastAsia="Times New Roman"/>
                      <w:color w:val="auto"/>
                      <w:spacing w:val="-1"/>
                      <w:szCs w:val="21"/>
                    </w:rPr>
                    <w:t>0.351</w:t>
                  </w:r>
                </w:p>
              </w:tc>
              <w:tc>
                <w:tcPr>
                  <w:tcW w:w="864" w:type="pct"/>
                </w:tcPr>
                <w:p w14:paraId="48E7029E">
                  <w:pPr>
                    <w:spacing w:before="148" w:line="233" w:lineRule="auto"/>
                    <w:ind w:left="635"/>
                    <w:rPr>
                      <w:rFonts w:eastAsia="Times New Roman"/>
                      <w:color w:val="auto"/>
                      <w:szCs w:val="21"/>
                    </w:rPr>
                  </w:pPr>
                  <w:r>
                    <w:rPr>
                      <w:rFonts w:eastAsia="Times New Roman"/>
                      <w:color w:val="auto"/>
                      <w:spacing w:val="-1"/>
                      <w:szCs w:val="21"/>
                    </w:rPr>
                    <w:t>0.299</w:t>
                  </w:r>
                </w:p>
              </w:tc>
            </w:tr>
            <w:tr w14:paraId="6B2B8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56F47CD2">
                  <w:pPr>
                    <w:rPr>
                      <w:rFonts w:ascii="Arial"/>
                      <w:color w:val="auto"/>
                    </w:rPr>
                  </w:pPr>
                </w:p>
              </w:tc>
              <w:tc>
                <w:tcPr>
                  <w:tcW w:w="926" w:type="pct"/>
                </w:tcPr>
                <w:p w14:paraId="59E797E1">
                  <w:pPr>
                    <w:pStyle w:val="3488"/>
                    <w:spacing w:before="118" w:line="221" w:lineRule="auto"/>
                    <w:ind w:left="548"/>
                    <w:rPr>
                      <w:color w:val="auto"/>
                      <w:sz w:val="21"/>
                      <w:szCs w:val="21"/>
                      <w:lang w:eastAsia="zh-CN"/>
                    </w:rPr>
                  </w:pPr>
                  <w:r>
                    <w:rPr>
                      <w:color w:val="auto"/>
                      <w:spacing w:val="-2"/>
                      <w:sz w:val="21"/>
                      <w:szCs w:val="21"/>
                      <w:lang w:eastAsia="zh-CN"/>
                    </w:rPr>
                    <w:t>第二次</w:t>
                  </w:r>
                </w:p>
              </w:tc>
              <w:tc>
                <w:tcPr>
                  <w:tcW w:w="740" w:type="pct"/>
                </w:tcPr>
                <w:p w14:paraId="17072B3D">
                  <w:pPr>
                    <w:spacing w:before="148" w:line="233" w:lineRule="auto"/>
                    <w:ind w:left="448"/>
                    <w:rPr>
                      <w:rFonts w:eastAsia="Times New Roman"/>
                      <w:color w:val="auto"/>
                      <w:szCs w:val="21"/>
                    </w:rPr>
                  </w:pPr>
                  <w:r>
                    <w:rPr>
                      <w:rFonts w:eastAsia="Times New Roman"/>
                      <w:color w:val="auto"/>
                      <w:spacing w:val="-1"/>
                      <w:szCs w:val="21"/>
                    </w:rPr>
                    <w:t>0.284</w:t>
                  </w:r>
                </w:p>
              </w:tc>
              <w:tc>
                <w:tcPr>
                  <w:tcW w:w="861" w:type="pct"/>
                </w:tcPr>
                <w:p w14:paraId="4D4CDEE2">
                  <w:pPr>
                    <w:spacing w:before="148" w:line="233" w:lineRule="auto"/>
                    <w:ind w:left="629"/>
                    <w:rPr>
                      <w:rFonts w:eastAsia="Times New Roman"/>
                      <w:color w:val="auto"/>
                      <w:szCs w:val="21"/>
                    </w:rPr>
                  </w:pPr>
                  <w:r>
                    <w:rPr>
                      <w:rFonts w:eastAsia="Times New Roman"/>
                      <w:color w:val="auto"/>
                      <w:spacing w:val="-1"/>
                      <w:szCs w:val="21"/>
                    </w:rPr>
                    <w:t>0.319</w:t>
                  </w:r>
                </w:p>
              </w:tc>
              <w:tc>
                <w:tcPr>
                  <w:tcW w:w="862" w:type="pct"/>
                </w:tcPr>
                <w:p w14:paraId="2CA80821">
                  <w:pPr>
                    <w:spacing w:before="148" w:line="233" w:lineRule="auto"/>
                    <w:ind w:left="632"/>
                    <w:rPr>
                      <w:rFonts w:eastAsia="Times New Roman"/>
                      <w:color w:val="auto"/>
                      <w:szCs w:val="21"/>
                    </w:rPr>
                  </w:pPr>
                  <w:r>
                    <w:rPr>
                      <w:rFonts w:eastAsia="Times New Roman"/>
                      <w:color w:val="auto"/>
                      <w:spacing w:val="-1"/>
                      <w:szCs w:val="21"/>
                    </w:rPr>
                    <w:t>0.372</w:t>
                  </w:r>
                </w:p>
              </w:tc>
              <w:tc>
                <w:tcPr>
                  <w:tcW w:w="864" w:type="pct"/>
                </w:tcPr>
                <w:p w14:paraId="45EEDE87">
                  <w:pPr>
                    <w:spacing w:before="148" w:line="233" w:lineRule="auto"/>
                    <w:ind w:left="635"/>
                    <w:rPr>
                      <w:rFonts w:eastAsia="Times New Roman"/>
                      <w:color w:val="auto"/>
                      <w:szCs w:val="21"/>
                    </w:rPr>
                  </w:pPr>
                  <w:r>
                    <w:rPr>
                      <w:rFonts w:eastAsia="Times New Roman"/>
                      <w:color w:val="auto"/>
                      <w:spacing w:val="-1"/>
                      <w:szCs w:val="21"/>
                    </w:rPr>
                    <w:t>0.319</w:t>
                  </w:r>
                </w:p>
              </w:tc>
            </w:tr>
            <w:tr w14:paraId="2F99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45" w:type="pct"/>
                  <w:vMerge w:val="continue"/>
                  <w:tcBorders>
                    <w:top w:val="nil"/>
                    <w:bottom w:val="nil"/>
                  </w:tcBorders>
                </w:tcPr>
                <w:p w14:paraId="23431DCB">
                  <w:pPr>
                    <w:rPr>
                      <w:rFonts w:ascii="Arial"/>
                      <w:color w:val="auto"/>
                    </w:rPr>
                  </w:pPr>
                </w:p>
              </w:tc>
              <w:tc>
                <w:tcPr>
                  <w:tcW w:w="926" w:type="pct"/>
                </w:tcPr>
                <w:p w14:paraId="48C48D64">
                  <w:pPr>
                    <w:pStyle w:val="3488"/>
                    <w:spacing w:before="118" w:line="221" w:lineRule="auto"/>
                    <w:ind w:left="548"/>
                    <w:rPr>
                      <w:color w:val="auto"/>
                      <w:sz w:val="21"/>
                      <w:szCs w:val="21"/>
                      <w:lang w:eastAsia="zh-CN"/>
                    </w:rPr>
                  </w:pPr>
                  <w:r>
                    <w:rPr>
                      <w:color w:val="auto"/>
                      <w:spacing w:val="-2"/>
                      <w:sz w:val="21"/>
                      <w:szCs w:val="21"/>
                      <w:lang w:eastAsia="zh-CN"/>
                    </w:rPr>
                    <w:t>第三次</w:t>
                  </w:r>
                </w:p>
              </w:tc>
              <w:tc>
                <w:tcPr>
                  <w:tcW w:w="740" w:type="pct"/>
                </w:tcPr>
                <w:p w14:paraId="7AD74887">
                  <w:pPr>
                    <w:spacing w:before="149" w:line="233" w:lineRule="auto"/>
                    <w:ind w:left="448"/>
                    <w:rPr>
                      <w:rFonts w:eastAsia="Times New Roman"/>
                      <w:color w:val="auto"/>
                      <w:szCs w:val="21"/>
                    </w:rPr>
                  </w:pPr>
                  <w:r>
                    <w:rPr>
                      <w:rFonts w:eastAsia="Times New Roman"/>
                      <w:color w:val="auto"/>
                      <w:spacing w:val="-1"/>
                      <w:szCs w:val="21"/>
                    </w:rPr>
                    <w:t>0.250</w:t>
                  </w:r>
                </w:p>
              </w:tc>
              <w:tc>
                <w:tcPr>
                  <w:tcW w:w="861" w:type="pct"/>
                </w:tcPr>
                <w:p w14:paraId="6AB86409">
                  <w:pPr>
                    <w:spacing w:before="149" w:line="233" w:lineRule="auto"/>
                    <w:ind w:left="629"/>
                    <w:rPr>
                      <w:rFonts w:eastAsia="Times New Roman"/>
                      <w:color w:val="auto"/>
                      <w:szCs w:val="21"/>
                    </w:rPr>
                  </w:pPr>
                  <w:r>
                    <w:rPr>
                      <w:rFonts w:eastAsia="Times New Roman"/>
                      <w:color w:val="auto"/>
                      <w:spacing w:val="-1"/>
                      <w:szCs w:val="21"/>
                    </w:rPr>
                    <w:t>0.393</w:t>
                  </w:r>
                </w:p>
              </w:tc>
              <w:tc>
                <w:tcPr>
                  <w:tcW w:w="862" w:type="pct"/>
                </w:tcPr>
                <w:p w14:paraId="772D9977">
                  <w:pPr>
                    <w:spacing w:before="149" w:line="233" w:lineRule="auto"/>
                    <w:ind w:left="632"/>
                    <w:rPr>
                      <w:rFonts w:eastAsia="Times New Roman"/>
                      <w:color w:val="auto"/>
                      <w:szCs w:val="21"/>
                    </w:rPr>
                  </w:pPr>
                  <w:r>
                    <w:rPr>
                      <w:rFonts w:eastAsia="Times New Roman"/>
                      <w:color w:val="auto"/>
                      <w:spacing w:val="-1"/>
                      <w:szCs w:val="21"/>
                    </w:rPr>
                    <w:t>0.393</w:t>
                  </w:r>
                </w:p>
              </w:tc>
              <w:tc>
                <w:tcPr>
                  <w:tcW w:w="864" w:type="pct"/>
                </w:tcPr>
                <w:p w14:paraId="21D489ED">
                  <w:pPr>
                    <w:spacing w:before="149" w:line="233" w:lineRule="auto"/>
                    <w:ind w:left="635"/>
                    <w:rPr>
                      <w:rFonts w:eastAsia="Times New Roman"/>
                      <w:color w:val="auto"/>
                      <w:szCs w:val="21"/>
                    </w:rPr>
                  </w:pPr>
                  <w:r>
                    <w:rPr>
                      <w:rFonts w:eastAsia="Times New Roman"/>
                      <w:color w:val="auto"/>
                      <w:spacing w:val="-1"/>
                      <w:szCs w:val="21"/>
                    </w:rPr>
                    <w:t>0.340</w:t>
                  </w:r>
                </w:p>
              </w:tc>
            </w:tr>
            <w:tr w14:paraId="1FF65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45" w:type="pct"/>
                  <w:vMerge w:val="continue"/>
                  <w:tcBorders>
                    <w:top w:val="nil"/>
                    <w:bottom w:val="nil"/>
                  </w:tcBorders>
                </w:tcPr>
                <w:p w14:paraId="731D3088">
                  <w:pPr>
                    <w:rPr>
                      <w:rFonts w:ascii="Arial"/>
                      <w:color w:val="auto"/>
                    </w:rPr>
                  </w:pPr>
                </w:p>
              </w:tc>
              <w:tc>
                <w:tcPr>
                  <w:tcW w:w="926" w:type="pct"/>
                </w:tcPr>
                <w:p w14:paraId="1E36FF20">
                  <w:pPr>
                    <w:pStyle w:val="3488"/>
                    <w:spacing w:before="119" w:line="221" w:lineRule="auto"/>
                    <w:ind w:left="548"/>
                    <w:rPr>
                      <w:color w:val="auto"/>
                      <w:sz w:val="21"/>
                      <w:szCs w:val="21"/>
                      <w:lang w:eastAsia="zh-CN"/>
                    </w:rPr>
                  </w:pPr>
                  <w:r>
                    <w:rPr>
                      <w:color w:val="auto"/>
                      <w:spacing w:val="-2"/>
                      <w:sz w:val="21"/>
                      <w:szCs w:val="21"/>
                      <w:lang w:eastAsia="zh-CN"/>
                    </w:rPr>
                    <w:t>第四次</w:t>
                  </w:r>
                </w:p>
              </w:tc>
              <w:tc>
                <w:tcPr>
                  <w:tcW w:w="740" w:type="pct"/>
                </w:tcPr>
                <w:p w14:paraId="6C8CC0AB">
                  <w:pPr>
                    <w:spacing w:before="150" w:line="233" w:lineRule="auto"/>
                    <w:ind w:left="448"/>
                    <w:rPr>
                      <w:rFonts w:eastAsia="Times New Roman"/>
                      <w:color w:val="auto"/>
                      <w:szCs w:val="21"/>
                    </w:rPr>
                  </w:pPr>
                  <w:r>
                    <w:rPr>
                      <w:rFonts w:eastAsia="Times New Roman"/>
                      <w:color w:val="auto"/>
                      <w:spacing w:val="-1"/>
                      <w:szCs w:val="21"/>
                    </w:rPr>
                    <w:t>0.253</w:t>
                  </w:r>
                </w:p>
              </w:tc>
              <w:tc>
                <w:tcPr>
                  <w:tcW w:w="861" w:type="pct"/>
                </w:tcPr>
                <w:p w14:paraId="59010B8A">
                  <w:pPr>
                    <w:spacing w:before="150" w:line="233" w:lineRule="auto"/>
                    <w:ind w:left="629"/>
                    <w:rPr>
                      <w:rFonts w:eastAsia="Times New Roman"/>
                      <w:color w:val="auto"/>
                      <w:szCs w:val="21"/>
                    </w:rPr>
                  </w:pPr>
                  <w:r>
                    <w:rPr>
                      <w:rFonts w:eastAsia="Times New Roman"/>
                      <w:color w:val="auto"/>
                      <w:spacing w:val="-1"/>
                      <w:szCs w:val="21"/>
                    </w:rPr>
                    <w:t>0.344</w:t>
                  </w:r>
                </w:p>
              </w:tc>
              <w:tc>
                <w:tcPr>
                  <w:tcW w:w="862" w:type="pct"/>
                </w:tcPr>
                <w:p w14:paraId="45B48AD7">
                  <w:pPr>
                    <w:spacing w:before="150" w:line="233" w:lineRule="auto"/>
                    <w:ind w:left="632"/>
                    <w:rPr>
                      <w:rFonts w:eastAsia="Times New Roman"/>
                      <w:color w:val="auto"/>
                      <w:szCs w:val="21"/>
                    </w:rPr>
                  </w:pPr>
                  <w:r>
                    <w:rPr>
                      <w:rFonts w:eastAsia="Times New Roman"/>
                      <w:color w:val="auto"/>
                      <w:spacing w:val="-1"/>
                      <w:szCs w:val="21"/>
                    </w:rPr>
                    <w:t>0.362</w:t>
                  </w:r>
                </w:p>
              </w:tc>
              <w:tc>
                <w:tcPr>
                  <w:tcW w:w="864" w:type="pct"/>
                </w:tcPr>
                <w:p w14:paraId="7568D51B">
                  <w:pPr>
                    <w:spacing w:before="150" w:line="233" w:lineRule="auto"/>
                    <w:ind w:left="635"/>
                    <w:rPr>
                      <w:rFonts w:eastAsia="Times New Roman"/>
                      <w:color w:val="auto"/>
                      <w:szCs w:val="21"/>
                    </w:rPr>
                  </w:pPr>
                  <w:r>
                    <w:rPr>
                      <w:rFonts w:eastAsia="Times New Roman"/>
                      <w:color w:val="auto"/>
                      <w:spacing w:val="-1"/>
                      <w:szCs w:val="21"/>
                    </w:rPr>
                    <w:t>0.307</w:t>
                  </w:r>
                </w:p>
              </w:tc>
            </w:tr>
            <w:tr w14:paraId="596D3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5" w:type="pct"/>
                  <w:vMerge w:val="continue"/>
                  <w:tcBorders>
                    <w:top w:val="nil"/>
                  </w:tcBorders>
                </w:tcPr>
                <w:p w14:paraId="5745C6AA">
                  <w:pPr>
                    <w:rPr>
                      <w:rFonts w:ascii="Arial"/>
                      <w:color w:val="auto"/>
                    </w:rPr>
                  </w:pPr>
                </w:p>
              </w:tc>
              <w:tc>
                <w:tcPr>
                  <w:tcW w:w="926" w:type="pct"/>
                </w:tcPr>
                <w:p w14:paraId="7E98B32C">
                  <w:pPr>
                    <w:pStyle w:val="3488"/>
                    <w:spacing w:before="120" w:line="221" w:lineRule="auto"/>
                    <w:ind w:left="337"/>
                    <w:rPr>
                      <w:color w:val="auto"/>
                      <w:sz w:val="21"/>
                      <w:szCs w:val="21"/>
                      <w:lang w:eastAsia="zh-CN"/>
                    </w:rPr>
                  </w:pPr>
                  <w:r>
                    <w:rPr>
                      <w:color w:val="auto"/>
                      <w:spacing w:val="-1"/>
                      <w:sz w:val="21"/>
                      <w:szCs w:val="21"/>
                      <w:lang w:eastAsia="zh-CN"/>
                    </w:rPr>
                    <w:t>浓度最大值</w:t>
                  </w:r>
                </w:p>
              </w:tc>
              <w:tc>
                <w:tcPr>
                  <w:tcW w:w="3328" w:type="pct"/>
                  <w:gridSpan w:val="4"/>
                </w:tcPr>
                <w:p w14:paraId="56903616">
                  <w:pPr>
                    <w:spacing w:before="151" w:line="233" w:lineRule="auto"/>
                    <w:ind w:left="3040"/>
                    <w:rPr>
                      <w:rFonts w:eastAsia="Times New Roman"/>
                      <w:color w:val="auto"/>
                      <w:szCs w:val="21"/>
                    </w:rPr>
                  </w:pPr>
                  <w:r>
                    <w:rPr>
                      <w:rFonts w:eastAsia="Times New Roman"/>
                      <w:color w:val="auto"/>
                      <w:spacing w:val="-1"/>
                      <w:szCs w:val="21"/>
                    </w:rPr>
                    <w:t>0.393</w:t>
                  </w:r>
                </w:p>
              </w:tc>
            </w:tr>
            <w:tr w14:paraId="6C692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671" w:type="pct"/>
                  <w:gridSpan w:val="2"/>
                </w:tcPr>
                <w:p w14:paraId="15D417CA">
                  <w:pPr>
                    <w:spacing w:before="151" w:line="233" w:lineRule="auto"/>
                    <w:ind w:left="854"/>
                    <w:rPr>
                      <w:rFonts w:eastAsia="Times New Roman"/>
                      <w:color w:val="auto"/>
                      <w:szCs w:val="21"/>
                    </w:rPr>
                  </w:pPr>
                  <w:r>
                    <w:rPr>
                      <w:rFonts w:eastAsia="Times New Roman"/>
                      <w:color w:val="auto"/>
                      <w:spacing w:val="-1"/>
                      <w:szCs w:val="21"/>
                    </w:rPr>
                    <w:t>GB16297-1996</w:t>
                  </w:r>
                </w:p>
              </w:tc>
              <w:tc>
                <w:tcPr>
                  <w:tcW w:w="3328" w:type="pct"/>
                  <w:gridSpan w:val="4"/>
                </w:tcPr>
                <w:p w14:paraId="050271AA">
                  <w:pPr>
                    <w:pStyle w:val="3488"/>
                    <w:spacing w:before="120" w:line="286" w:lineRule="exact"/>
                    <w:ind w:left="3056"/>
                    <w:rPr>
                      <w:rFonts w:ascii="Times New Roman" w:hAnsi="Times New Roman" w:eastAsia="Times New Roman"/>
                      <w:color w:val="auto"/>
                      <w:sz w:val="21"/>
                      <w:szCs w:val="21"/>
                      <w:lang w:eastAsia="zh-CN"/>
                    </w:rPr>
                  </w:pPr>
                  <w:r>
                    <w:rPr>
                      <w:color w:val="auto"/>
                      <w:spacing w:val="-6"/>
                      <w:position w:val="1"/>
                      <w:sz w:val="21"/>
                      <w:szCs w:val="21"/>
                      <w:lang w:eastAsia="zh-CN"/>
                    </w:rPr>
                    <w:t>≤</w:t>
                  </w:r>
                  <w:r>
                    <w:rPr>
                      <w:rFonts w:ascii="Times New Roman" w:hAnsi="Times New Roman" w:eastAsia="Times New Roman"/>
                      <w:color w:val="auto"/>
                      <w:spacing w:val="-6"/>
                      <w:position w:val="1"/>
                      <w:sz w:val="21"/>
                      <w:szCs w:val="21"/>
                      <w:lang w:eastAsia="zh-CN"/>
                    </w:rPr>
                    <w:t>1.0</w:t>
                  </w:r>
                </w:p>
              </w:tc>
            </w:tr>
          </w:tbl>
          <w:p w14:paraId="7E1E4491">
            <w:pPr>
              <w:pStyle w:val="48"/>
              <w:tabs>
                <w:tab w:val="left" w:pos="4620"/>
              </w:tabs>
              <w:adjustRightInd w:val="0"/>
              <w:spacing w:line="360" w:lineRule="auto"/>
              <w:ind w:right="-105" w:firstLine="480" w:firstLineChars="200"/>
              <w:contextualSpacing/>
              <w:jc w:val="both"/>
              <w:rPr>
                <w:rFonts w:cs="FangSong_GB2312-Identity-H"/>
                <w:bCs/>
                <w:color w:val="auto"/>
                <w:szCs w:val="32"/>
              </w:rPr>
            </w:pPr>
            <w:r>
              <w:rPr>
                <w:rFonts w:hint="eastAsia" w:cs="FangSong_GB2312-Identity-H"/>
                <w:bCs/>
                <w:color w:val="auto"/>
                <w:szCs w:val="32"/>
              </w:rPr>
              <w:t>有组织排放废气监测结果与评价见表</w:t>
            </w:r>
            <w:r>
              <w:rPr>
                <w:rFonts w:ascii="Times New Roman" w:hAnsi="Times New Roman" w:cs="Times New Roman"/>
                <w:bCs/>
                <w:color w:val="auto"/>
                <w:szCs w:val="32"/>
              </w:rPr>
              <w:t>2-16</w:t>
            </w:r>
            <w:r>
              <w:rPr>
                <w:rFonts w:hint="eastAsia" w:cs="FangSong_GB2312-Identity-H"/>
                <w:bCs/>
                <w:color w:val="auto"/>
                <w:szCs w:val="32"/>
              </w:rPr>
              <w:t>。</w:t>
            </w:r>
          </w:p>
          <w:p w14:paraId="0DB22B41">
            <w:pPr>
              <w:pStyle w:val="48"/>
              <w:tabs>
                <w:tab w:val="left" w:pos="4620"/>
              </w:tabs>
              <w:adjustRightInd w:val="0"/>
              <w:spacing w:line="360" w:lineRule="auto"/>
              <w:ind w:right="-105"/>
              <w:contextualSpacing/>
              <w:jc w:val="center"/>
              <w:rPr>
                <w:rFonts w:hint="eastAsia" w:hAnsi="宋体" w:cs="宋体"/>
                <w:color w:val="auto"/>
                <w:szCs w:val="24"/>
              </w:rPr>
            </w:pPr>
            <w:r>
              <w:rPr>
                <w:rFonts w:hAnsi="宋体" w:cs="宋体"/>
                <w:b/>
                <w:bCs/>
                <w:color w:val="auto"/>
                <w:spacing w:val="-4"/>
                <w:szCs w:val="24"/>
              </w:rPr>
              <w:t>表</w:t>
            </w:r>
            <w:r>
              <w:rPr>
                <w:rFonts w:hAnsi="宋体" w:cs="宋体"/>
                <w:color w:val="auto"/>
                <w:spacing w:val="-38"/>
                <w:szCs w:val="24"/>
              </w:rPr>
              <w:t xml:space="preserve"> </w:t>
            </w:r>
            <w:r>
              <w:rPr>
                <w:rFonts w:hint="eastAsia" w:ascii="Times New Roman" w:hAnsi="Times New Roman" w:cs="Times New Roman"/>
                <w:b/>
                <w:bCs/>
                <w:color w:val="auto"/>
                <w:spacing w:val="-4"/>
                <w:szCs w:val="24"/>
              </w:rPr>
              <w:t>2-16</w:t>
            </w:r>
            <w:r>
              <w:rPr>
                <w:rFonts w:ascii="Times New Roman" w:hAnsi="Times New Roman" w:eastAsia="Times New Roman" w:cs="Times New Roman"/>
                <w:b/>
                <w:bCs/>
                <w:color w:val="auto"/>
                <w:spacing w:val="-4"/>
                <w:szCs w:val="24"/>
              </w:rPr>
              <w:t xml:space="preserve"> </w:t>
            </w:r>
            <w:r>
              <w:rPr>
                <w:rFonts w:hAnsi="宋体" w:cs="宋体"/>
                <w:b/>
                <w:bCs/>
                <w:color w:val="auto"/>
                <w:spacing w:val="-4"/>
                <w:szCs w:val="24"/>
              </w:rPr>
              <w:t>有组织废气监测结果</w:t>
            </w:r>
          </w:p>
          <w:p w14:paraId="31A2C9B7">
            <w:pPr>
              <w:spacing w:line="125" w:lineRule="exact"/>
              <w:rPr>
                <w:color w:val="auto"/>
              </w:rPr>
            </w:pPr>
          </w:p>
          <w:tbl>
            <w:tblPr>
              <w:tblStyle w:val="400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9"/>
              <w:gridCol w:w="1654"/>
              <w:gridCol w:w="635"/>
              <w:gridCol w:w="2596"/>
              <w:gridCol w:w="307"/>
              <w:gridCol w:w="307"/>
              <w:gridCol w:w="350"/>
              <w:gridCol w:w="355"/>
              <w:gridCol w:w="472"/>
              <w:gridCol w:w="920"/>
              <w:gridCol w:w="917"/>
              <w:gridCol w:w="917"/>
              <w:gridCol w:w="920"/>
            </w:tblGrid>
            <w:tr w14:paraId="4F8C5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20058C26">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A5C8E5B">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772E3B1C">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06DD3822">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6A822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36FD3535">
                  <w:pPr>
                    <w:jc w:val="center"/>
                    <w:rPr>
                      <w:rFonts w:ascii="Arial"/>
                      <w:color w:val="auto"/>
                    </w:rPr>
                  </w:pPr>
                </w:p>
              </w:tc>
              <w:tc>
                <w:tcPr>
                  <w:tcW w:w="254" w:type="pct"/>
                  <w:vMerge w:val="continue"/>
                  <w:tcBorders>
                    <w:top w:val="nil"/>
                    <w:bottom w:val="nil"/>
                  </w:tcBorders>
                  <w:vAlign w:val="center"/>
                </w:tcPr>
                <w:p w14:paraId="5594C783">
                  <w:pPr>
                    <w:jc w:val="center"/>
                    <w:rPr>
                      <w:rFonts w:ascii="Arial"/>
                      <w:color w:val="auto"/>
                    </w:rPr>
                  </w:pPr>
                </w:p>
              </w:tc>
              <w:tc>
                <w:tcPr>
                  <w:tcW w:w="2124" w:type="pct"/>
                  <w:gridSpan w:val="7"/>
                  <w:vAlign w:val="center"/>
                </w:tcPr>
                <w:p w14:paraId="39BC24C6">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排气筒进口</w:t>
                  </w:r>
                </w:p>
              </w:tc>
              <w:tc>
                <w:tcPr>
                  <w:tcW w:w="1102" w:type="pct"/>
                  <w:gridSpan w:val="3"/>
                  <w:vAlign w:val="center"/>
                </w:tcPr>
                <w:p w14:paraId="3E3FF89F">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排气筒出口</w:t>
                  </w:r>
                </w:p>
              </w:tc>
            </w:tr>
            <w:tr w14:paraId="70E9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18" w:type="pct"/>
                  <w:gridSpan w:val="2"/>
                  <w:vMerge w:val="continue"/>
                  <w:tcBorders>
                    <w:top w:val="nil"/>
                  </w:tcBorders>
                  <w:vAlign w:val="center"/>
                </w:tcPr>
                <w:p w14:paraId="6BDEAFF3">
                  <w:pPr>
                    <w:jc w:val="center"/>
                    <w:rPr>
                      <w:rFonts w:ascii="Arial"/>
                      <w:color w:val="auto"/>
                    </w:rPr>
                  </w:pPr>
                </w:p>
              </w:tc>
              <w:tc>
                <w:tcPr>
                  <w:tcW w:w="254" w:type="pct"/>
                  <w:vMerge w:val="continue"/>
                  <w:tcBorders>
                    <w:top w:val="nil"/>
                  </w:tcBorders>
                  <w:vAlign w:val="center"/>
                </w:tcPr>
                <w:p w14:paraId="491707E0">
                  <w:pPr>
                    <w:jc w:val="center"/>
                    <w:rPr>
                      <w:rFonts w:ascii="Arial"/>
                      <w:color w:val="auto"/>
                    </w:rPr>
                  </w:pPr>
                </w:p>
              </w:tc>
              <w:tc>
                <w:tcPr>
                  <w:tcW w:w="1039" w:type="pct"/>
                  <w:vAlign w:val="center"/>
                </w:tcPr>
                <w:p w14:paraId="0511D545">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3D1D6164">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59FB99E3">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5E5F4E6F">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4953D514">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26804431">
                  <w:pPr>
                    <w:pStyle w:val="3488"/>
                    <w:spacing w:before="164" w:line="221" w:lineRule="auto"/>
                    <w:jc w:val="center"/>
                    <w:rPr>
                      <w:color w:val="auto"/>
                      <w:sz w:val="21"/>
                      <w:szCs w:val="21"/>
                    </w:rPr>
                  </w:pPr>
                  <w:r>
                    <w:rPr>
                      <w:color w:val="auto"/>
                      <w:spacing w:val="-2"/>
                      <w:sz w:val="21"/>
                      <w:szCs w:val="21"/>
                    </w:rPr>
                    <w:t>第三次</w:t>
                  </w:r>
                </w:p>
              </w:tc>
            </w:tr>
            <w:tr w14:paraId="193B2E81">
              <w:tblPrEx>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411DE1B6">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04E7C473">
                  <w:pPr>
                    <w:pStyle w:val="3488"/>
                    <w:spacing w:before="168" w:line="221" w:lineRule="auto"/>
                    <w:jc w:val="center"/>
                    <w:rPr>
                      <w:color w:val="auto"/>
                      <w:sz w:val="21"/>
                      <w:szCs w:val="21"/>
                    </w:rPr>
                  </w:pPr>
                  <w:r>
                    <w:rPr>
                      <w:color w:val="auto"/>
                      <w:spacing w:val="-2"/>
                      <w:sz w:val="21"/>
                      <w:szCs w:val="21"/>
                    </w:rPr>
                    <w:t>排放浓度</w:t>
                  </w:r>
                </w:p>
              </w:tc>
              <w:tc>
                <w:tcPr>
                  <w:tcW w:w="254" w:type="pct"/>
                  <w:vAlign w:val="center"/>
                </w:tcPr>
                <w:p w14:paraId="651DDF39">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08DA4708">
                  <w:pPr>
                    <w:spacing w:before="195" w:line="234" w:lineRule="auto"/>
                    <w:jc w:val="center"/>
                    <w:rPr>
                      <w:rFonts w:eastAsia="Times New Roman"/>
                      <w:color w:val="auto"/>
                      <w:szCs w:val="21"/>
                    </w:rPr>
                  </w:pPr>
                  <w:r>
                    <w:rPr>
                      <w:rFonts w:eastAsia="Times New Roman"/>
                      <w:color w:val="auto"/>
                      <w:spacing w:val="-1"/>
                      <w:szCs w:val="21"/>
                    </w:rPr>
                    <w:t>40</w:t>
                  </w:r>
                </w:p>
              </w:tc>
              <w:tc>
                <w:tcPr>
                  <w:tcW w:w="386" w:type="pct"/>
                  <w:gridSpan w:val="3"/>
                  <w:vAlign w:val="center"/>
                </w:tcPr>
                <w:p w14:paraId="6202E0B5">
                  <w:pPr>
                    <w:spacing w:before="196" w:line="236" w:lineRule="auto"/>
                    <w:jc w:val="center"/>
                    <w:rPr>
                      <w:rFonts w:eastAsia="Times New Roman"/>
                      <w:color w:val="auto"/>
                      <w:szCs w:val="21"/>
                    </w:rPr>
                  </w:pPr>
                  <w:r>
                    <w:rPr>
                      <w:rFonts w:eastAsia="Times New Roman"/>
                      <w:color w:val="auto"/>
                      <w:spacing w:val="-1"/>
                      <w:szCs w:val="21"/>
                    </w:rPr>
                    <w:t>41</w:t>
                  </w:r>
                </w:p>
              </w:tc>
              <w:tc>
                <w:tcPr>
                  <w:tcW w:w="698" w:type="pct"/>
                  <w:gridSpan w:val="3"/>
                  <w:vAlign w:val="center"/>
                </w:tcPr>
                <w:p w14:paraId="17244963">
                  <w:pPr>
                    <w:spacing w:before="196" w:line="233" w:lineRule="auto"/>
                    <w:jc w:val="center"/>
                    <w:rPr>
                      <w:rFonts w:eastAsia="Times New Roman"/>
                      <w:color w:val="auto"/>
                      <w:szCs w:val="21"/>
                    </w:rPr>
                  </w:pPr>
                  <w:r>
                    <w:rPr>
                      <w:rFonts w:eastAsia="Times New Roman"/>
                      <w:color w:val="auto"/>
                      <w:spacing w:val="-2"/>
                      <w:szCs w:val="21"/>
                    </w:rPr>
                    <w:t>37</w:t>
                  </w:r>
                </w:p>
              </w:tc>
              <w:tc>
                <w:tcPr>
                  <w:tcW w:w="367" w:type="pct"/>
                  <w:vAlign w:val="center"/>
                </w:tcPr>
                <w:p w14:paraId="13DAB135">
                  <w:pPr>
                    <w:spacing w:before="196" w:line="233" w:lineRule="auto"/>
                    <w:jc w:val="center"/>
                    <w:rPr>
                      <w:rFonts w:eastAsia="Times New Roman"/>
                      <w:color w:val="auto"/>
                      <w:szCs w:val="21"/>
                    </w:rPr>
                  </w:pPr>
                  <w:r>
                    <w:rPr>
                      <w:rFonts w:eastAsia="Times New Roman"/>
                      <w:color w:val="auto"/>
                      <w:spacing w:val="-5"/>
                      <w:szCs w:val="21"/>
                    </w:rPr>
                    <w:t>1.5</w:t>
                  </w:r>
                </w:p>
              </w:tc>
              <w:tc>
                <w:tcPr>
                  <w:tcW w:w="367" w:type="pct"/>
                  <w:vAlign w:val="center"/>
                </w:tcPr>
                <w:p w14:paraId="055C7C4D">
                  <w:pPr>
                    <w:spacing w:before="196" w:line="233" w:lineRule="auto"/>
                    <w:jc w:val="center"/>
                    <w:rPr>
                      <w:rFonts w:eastAsia="Times New Roman"/>
                      <w:color w:val="auto"/>
                      <w:szCs w:val="21"/>
                    </w:rPr>
                  </w:pPr>
                  <w:r>
                    <w:rPr>
                      <w:rFonts w:eastAsia="Times New Roman"/>
                      <w:color w:val="auto"/>
                      <w:spacing w:val="-5"/>
                      <w:szCs w:val="21"/>
                    </w:rPr>
                    <w:t>1.6</w:t>
                  </w:r>
                </w:p>
              </w:tc>
              <w:tc>
                <w:tcPr>
                  <w:tcW w:w="367" w:type="pct"/>
                  <w:vAlign w:val="center"/>
                </w:tcPr>
                <w:p w14:paraId="224EA986">
                  <w:pPr>
                    <w:spacing w:before="196" w:line="233" w:lineRule="auto"/>
                    <w:jc w:val="center"/>
                    <w:rPr>
                      <w:rFonts w:eastAsia="Times New Roman"/>
                      <w:color w:val="auto"/>
                      <w:szCs w:val="21"/>
                    </w:rPr>
                  </w:pPr>
                  <w:r>
                    <w:rPr>
                      <w:rFonts w:eastAsia="Times New Roman"/>
                      <w:color w:val="auto"/>
                      <w:spacing w:val="-5"/>
                      <w:szCs w:val="21"/>
                    </w:rPr>
                    <w:t>1.5</w:t>
                  </w:r>
                </w:p>
              </w:tc>
            </w:tr>
            <w:tr w14:paraId="6B188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9817CE2">
                  <w:pPr>
                    <w:jc w:val="center"/>
                    <w:rPr>
                      <w:rFonts w:ascii="Arial"/>
                      <w:color w:val="auto"/>
                    </w:rPr>
                  </w:pPr>
                </w:p>
              </w:tc>
              <w:tc>
                <w:tcPr>
                  <w:tcW w:w="662" w:type="pct"/>
                  <w:vAlign w:val="center"/>
                </w:tcPr>
                <w:p w14:paraId="266800C5">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5763C0B2">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232F4F2B">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776B5C2">
                  <w:pPr>
                    <w:spacing w:before="197" w:line="234" w:lineRule="auto"/>
                    <w:jc w:val="center"/>
                    <w:rPr>
                      <w:rFonts w:eastAsia="Times New Roman"/>
                      <w:color w:val="auto"/>
                      <w:szCs w:val="21"/>
                    </w:rPr>
                  </w:pPr>
                  <w:r>
                    <w:rPr>
                      <w:rFonts w:eastAsia="Times New Roman"/>
                      <w:color w:val="auto"/>
                      <w:spacing w:val="-6"/>
                      <w:szCs w:val="21"/>
                    </w:rPr>
                    <w:t>120</w:t>
                  </w:r>
                </w:p>
              </w:tc>
            </w:tr>
            <w:tr w14:paraId="2FAFE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604A7541">
                  <w:pPr>
                    <w:jc w:val="center"/>
                    <w:rPr>
                      <w:rFonts w:ascii="Arial"/>
                      <w:color w:val="auto"/>
                    </w:rPr>
                  </w:pPr>
                </w:p>
              </w:tc>
              <w:tc>
                <w:tcPr>
                  <w:tcW w:w="662" w:type="pct"/>
                  <w:vAlign w:val="center"/>
                </w:tcPr>
                <w:p w14:paraId="5DD685ED">
                  <w:pPr>
                    <w:pStyle w:val="3488"/>
                    <w:spacing w:before="167" w:line="221" w:lineRule="auto"/>
                    <w:jc w:val="center"/>
                    <w:rPr>
                      <w:color w:val="auto"/>
                      <w:sz w:val="21"/>
                      <w:szCs w:val="21"/>
                    </w:rPr>
                  </w:pPr>
                  <w:r>
                    <w:rPr>
                      <w:color w:val="auto"/>
                      <w:spacing w:val="-2"/>
                      <w:sz w:val="21"/>
                      <w:szCs w:val="21"/>
                    </w:rPr>
                    <w:t>排放速率</w:t>
                  </w:r>
                </w:p>
              </w:tc>
              <w:tc>
                <w:tcPr>
                  <w:tcW w:w="254" w:type="pct"/>
                  <w:vAlign w:val="center"/>
                </w:tcPr>
                <w:p w14:paraId="71AFEF87">
                  <w:pPr>
                    <w:spacing w:before="198" w:line="191" w:lineRule="auto"/>
                    <w:jc w:val="center"/>
                    <w:rPr>
                      <w:rFonts w:eastAsia="Times New Roman"/>
                      <w:color w:val="auto"/>
                      <w:szCs w:val="21"/>
                    </w:rPr>
                  </w:pPr>
                  <w:r>
                    <w:rPr>
                      <w:rFonts w:eastAsia="Times New Roman"/>
                      <w:color w:val="auto"/>
                      <w:szCs w:val="21"/>
                    </w:rPr>
                    <w:t>kg/h</w:t>
                  </w:r>
                </w:p>
              </w:tc>
              <w:tc>
                <w:tcPr>
                  <w:tcW w:w="1039" w:type="pct"/>
                  <w:vAlign w:val="center"/>
                </w:tcPr>
                <w:p w14:paraId="4E805DEF">
                  <w:pPr>
                    <w:spacing w:before="198" w:line="233" w:lineRule="auto"/>
                    <w:jc w:val="center"/>
                    <w:rPr>
                      <w:rFonts w:eastAsia="Times New Roman"/>
                      <w:color w:val="auto"/>
                      <w:szCs w:val="21"/>
                    </w:rPr>
                  </w:pPr>
                  <w:r>
                    <w:rPr>
                      <w:rFonts w:eastAsia="Times New Roman"/>
                      <w:color w:val="auto"/>
                      <w:spacing w:val="-1"/>
                      <w:szCs w:val="21"/>
                    </w:rPr>
                    <w:t>0.8600</w:t>
                  </w:r>
                </w:p>
              </w:tc>
              <w:tc>
                <w:tcPr>
                  <w:tcW w:w="386" w:type="pct"/>
                  <w:gridSpan w:val="3"/>
                  <w:vAlign w:val="center"/>
                </w:tcPr>
                <w:p w14:paraId="6BE06BC9">
                  <w:pPr>
                    <w:spacing w:before="198" w:line="233" w:lineRule="auto"/>
                    <w:jc w:val="center"/>
                    <w:rPr>
                      <w:rFonts w:eastAsia="Times New Roman"/>
                      <w:color w:val="auto"/>
                      <w:szCs w:val="21"/>
                    </w:rPr>
                  </w:pPr>
                  <w:r>
                    <w:rPr>
                      <w:rFonts w:eastAsia="Times New Roman"/>
                      <w:color w:val="auto"/>
                      <w:spacing w:val="-1"/>
                      <w:szCs w:val="21"/>
                    </w:rPr>
                    <w:t>0.8482</w:t>
                  </w:r>
                </w:p>
              </w:tc>
              <w:tc>
                <w:tcPr>
                  <w:tcW w:w="698" w:type="pct"/>
                  <w:gridSpan w:val="3"/>
                  <w:vAlign w:val="center"/>
                </w:tcPr>
                <w:p w14:paraId="242DBA1D">
                  <w:pPr>
                    <w:spacing w:before="198" w:line="233" w:lineRule="auto"/>
                    <w:jc w:val="center"/>
                    <w:rPr>
                      <w:rFonts w:eastAsia="Times New Roman"/>
                      <w:color w:val="auto"/>
                      <w:szCs w:val="21"/>
                    </w:rPr>
                  </w:pPr>
                  <w:r>
                    <w:rPr>
                      <w:rFonts w:eastAsia="Times New Roman"/>
                      <w:color w:val="auto"/>
                      <w:spacing w:val="-1"/>
                      <w:szCs w:val="21"/>
                    </w:rPr>
                    <w:t>0.7532</w:t>
                  </w:r>
                </w:p>
              </w:tc>
              <w:tc>
                <w:tcPr>
                  <w:tcW w:w="367" w:type="pct"/>
                  <w:vAlign w:val="center"/>
                </w:tcPr>
                <w:p w14:paraId="33603BC8">
                  <w:pPr>
                    <w:spacing w:before="198" w:line="233" w:lineRule="auto"/>
                    <w:jc w:val="center"/>
                    <w:rPr>
                      <w:rFonts w:eastAsia="Times New Roman"/>
                      <w:color w:val="auto"/>
                      <w:szCs w:val="21"/>
                    </w:rPr>
                  </w:pPr>
                  <w:r>
                    <w:rPr>
                      <w:rFonts w:eastAsia="Times New Roman"/>
                      <w:color w:val="auto"/>
                      <w:spacing w:val="-1"/>
                      <w:szCs w:val="21"/>
                    </w:rPr>
                    <w:t>0.0316</w:t>
                  </w:r>
                </w:p>
              </w:tc>
              <w:tc>
                <w:tcPr>
                  <w:tcW w:w="367" w:type="pct"/>
                  <w:vAlign w:val="center"/>
                </w:tcPr>
                <w:p w14:paraId="12C6710E">
                  <w:pPr>
                    <w:spacing w:before="198" w:line="233" w:lineRule="auto"/>
                    <w:jc w:val="center"/>
                    <w:rPr>
                      <w:rFonts w:eastAsia="Times New Roman"/>
                      <w:color w:val="auto"/>
                      <w:szCs w:val="21"/>
                    </w:rPr>
                  </w:pPr>
                  <w:r>
                    <w:rPr>
                      <w:rFonts w:eastAsia="Times New Roman"/>
                      <w:color w:val="auto"/>
                      <w:spacing w:val="-1"/>
                      <w:szCs w:val="21"/>
                    </w:rPr>
                    <w:t>0.0343</w:t>
                  </w:r>
                </w:p>
              </w:tc>
              <w:tc>
                <w:tcPr>
                  <w:tcW w:w="367" w:type="pct"/>
                  <w:vAlign w:val="center"/>
                </w:tcPr>
                <w:p w14:paraId="0756F855">
                  <w:pPr>
                    <w:spacing w:before="198" w:line="233" w:lineRule="auto"/>
                    <w:jc w:val="center"/>
                    <w:rPr>
                      <w:rFonts w:eastAsia="Times New Roman"/>
                      <w:color w:val="auto"/>
                      <w:szCs w:val="21"/>
                    </w:rPr>
                  </w:pPr>
                  <w:r>
                    <w:rPr>
                      <w:rFonts w:eastAsia="Times New Roman"/>
                      <w:color w:val="auto"/>
                      <w:spacing w:val="-1"/>
                      <w:szCs w:val="21"/>
                    </w:rPr>
                    <w:t>0.0314</w:t>
                  </w:r>
                </w:p>
              </w:tc>
            </w:tr>
            <w:tr w14:paraId="7E661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tcBorders>
                  <w:vAlign w:val="center"/>
                </w:tcPr>
                <w:p w14:paraId="3387AC0B">
                  <w:pPr>
                    <w:jc w:val="center"/>
                    <w:rPr>
                      <w:rFonts w:ascii="Arial"/>
                      <w:color w:val="auto"/>
                    </w:rPr>
                  </w:pPr>
                </w:p>
              </w:tc>
              <w:tc>
                <w:tcPr>
                  <w:tcW w:w="662" w:type="pct"/>
                  <w:vAlign w:val="center"/>
                </w:tcPr>
                <w:p w14:paraId="0884D1E1">
                  <w:pPr>
                    <w:pStyle w:val="3488"/>
                    <w:spacing w:before="168" w:line="221" w:lineRule="auto"/>
                    <w:jc w:val="center"/>
                    <w:rPr>
                      <w:color w:val="auto"/>
                      <w:sz w:val="21"/>
                      <w:szCs w:val="21"/>
                    </w:rPr>
                  </w:pPr>
                  <w:r>
                    <w:rPr>
                      <w:color w:val="auto"/>
                      <w:spacing w:val="-1"/>
                      <w:sz w:val="21"/>
                      <w:szCs w:val="21"/>
                    </w:rPr>
                    <w:t>排放速率限值</w:t>
                  </w:r>
                </w:p>
              </w:tc>
              <w:tc>
                <w:tcPr>
                  <w:tcW w:w="254" w:type="pct"/>
                  <w:vAlign w:val="center"/>
                </w:tcPr>
                <w:p w14:paraId="5B6800A5">
                  <w:pPr>
                    <w:spacing w:before="196"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7A629796">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4C8B593">
                  <w:pPr>
                    <w:spacing w:before="196" w:line="233" w:lineRule="auto"/>
                    <w:jc w:val="center"/>
                    <w:rPr>
                      <w:rFonts w:eastAsia="Times New Roman"/>
                      <w:color w:val="auto"/>
                      <w:szCs w:val="21"/>
                    </w:rPr>
                  </w:pPr>
                  <w:r>
                    <w:rPr>
                      <w:rFonts w:eastAsia="Times New Roman"/>
                      <w:color w:val="auto"/>
                      <w:spacing w:val="-2"/>
                      <w:szCs w:val="21"/>
                    </w:rPr>
                    <w:t>3.5</w:t>
                  </w:r>
                </w:p>
              </w:tc>
            </w:tr>
            <w:tr w14:paraId="30BC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2586E4BB">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7452DDFB">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737A5352">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5B27F049">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2E22B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0FE69C6C">
                  <w:pPr>
                    <w:jc w:val="center"/>
                    <w:rPr>
                      <w:rFonts w:ascii="Arial"/>
                      <w:color w:val="auto"/>
                    </w:rPr>
                  </w:pPr>
                </w:p>
              </w:tc>
              <w:tc>
                <w:tcPr>
                  <w:tcW w:w="254" w:type="pct"/>
                  <w:vMerge w:val="continue"/>
                  <w:tcBorders>
                    <w:top w:val="nil"/>
                    <w:bottom w:val="nil"/>
                  </w:tcBorders>
                  <w:vAlign w:val="center"/>
                </w:tcPr>
                <w:p w14:paraId="7D521540">
                  <w:pPr>
                    <w:jc w:val="center"/>
                    <w:rPr>
                      <w:rFonts w:ascii="Arial"/>
                      <w:color w:val="auto"/>
                    </w:rPr>
                  </w:pPr>
                </w:p>
              </w:tc>
              <w:tc>
                <w:tcPr>
                  <w:tcW w:w="2124" w:type="pct"/>
                  <w:gridSpan w:val="7"/>
                  <w:vAlign w:val="center"/>
                </w:tcPr>
                <w:p w14:paraId="1492A10B">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排气筒进口</w:t>
                  </w:r>
                </w:p>
              </w:tc>
              <w:tc>
                <w:tcPr>
                  <w:tcW w:w="1102" w:type="pct"/>
                  <w:gridSpan w:val="3"/>
                  <w:vAlign w:val="center"/>
                </w:tcPr>
                <w:p w14:paraId="58249510">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排气筒出口</w:t>
                  </w:r>
                </w:p>
              </w:tc>
            </w:tr>
            <w:tr w14:paraId="3A77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1F66166F">
                  <w:pPr>
                    <w:jc w:val="center"/>
                    <w:rPr>
                      <w:rFonts w:ascii="Arial"/>
                      <w:color w:val="auto"/>
                    </w:rPr>
                  </w:pPr>
                </w:p>
              </w:tc>
              <w:tc>
                <w:tcPr>
                  <w:tcW w:w="254" w:type="pct"/>
                  <w:vMerge w:val="continue"/>
                  <w:tcBorders>
                    <w:top w:val="nil"/>
                  </w:tcBorders>
                  <w:vAlign w:val="center"/>
                </w:tcPr>
                <w:p w14:paraId="1A507088">
                  <w:pPr>
                    <w:jc w:val="center"/>
                    <w:rPr>
                      <w:rFonts w:ascii="Arial"/>
                      <w:color w:val="auto"/>
                    </w:rPr>
                  </w:pPr>
                </w:p>
              </w:tc>
              <w:tc>
                <w:tcPr>
                  <w:tcW w:w="1039" w:type="pct"/>
                  <w:vAlign w:val="center"/>
                </w:tcPr>
                <w:p w14:paraId="6043FEE2">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136AF744">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381BF5D1">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0D4EDAB4">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5E32BD77">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5B820F81">
                  <w:pPr>
                    <w:pStyle w:val="3488"/>
                    <w:spacing w:before="164" w:line="221" w:lineRule="auto"/>
                    <w:jc w:val="center"/>
                    <w:rPr>
                      <w:color w:val="auto"/>
                      <w:sz w:val="21"/>
                      <w:szCs w:val="21"/>
                    </w:rPr>
                  </w:pPr>
                  <w:r>
                    <w:rPr>
                      <w:color w:val="auto"/>
                      <w:spacing w:val="-2"/>
                      <w:sz w:val="21"/>
                      <w:szCs w:val="21"/>
                    </w:rPr>
                    <w:t>第三次</w:t>
                  </w:r>
                </w:p>
              </w:tc>
            </w:tr>
            <w:tr w14:paraId="73A59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restart"/>
                  <w:tcBorders>
                    <w:bottom w:val="nil"/>
                  </w:tcBorders>
                  <w:vAlign w:val="center"/>
                </w:tcPr>
                <w:p w14:paraId="145E8572">
                  <w:pPr>
                    <w:pStyle w:val="3488"/>
                    <w:spacing w:before="143" w:line="210" w:lineRule="auto"/>
                    <w:jc w:val="center"/>
                    <w:rPr>
                      <w:color w:val="auto"/>
                      <w:sz w:val="21"/>
                      <w:szCs w:val="21"/>
                    </w:rPr>
                  </w:pPr>
                  <w:r>
                    <w:rPr>
                      <w:color w:val="auto"/>
                      <w:spacing w:val="21"/>
                      <w:sz w:val="21"/>
                      <w:szCs w:val="21"/>
                    </w:rPr>
                    <w:t>颗</w:t>
                  </w:r>
                  <w:r>
                    <w:rPr>
                      <w:color w:val="auto"/>
                      <w:spacing w:val="-45"/>
                      <w:sz w:val="21"/>
                      <w:szCs w:val="21"/>
                    </w:rPr>
                    <w:t xml:space="preserve"> </w:t>
                  </w:r>
                  <w:r>
                    <w:rPr>
                      <w:color w:val="auto"/>
                      <w:spacing w:val="21"/>
                      <w:sz w:val="21"/>
                      <w:szCs w:val="21"/>
                    </w:rPr>
                    <w:t>粒物</w:t>
                  </w:r>
                </w:p>
              </w:tc>
              <w:tc>
                <w:tcPr>
                  <w:tcW w:w="662" w:type="pct"/>
                  <w:vAlign w:val="center"/>
                </w:tcPr>
                <w:p w14:paraId="0570774C">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7F6CBE5A">
                  <w:pPr>
                    <w:spacing w:before="174"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6CDE80BA">
                  <w:pPr>
                    <w:spacing w:before="193" w:line="233" w:lineRule="auto"/>
                    <w:jc w:val="center"/>
                    <w:rPr>
                      <w:rFonts w:eastAsia="Times New Roman"/>
                      <w:color w:val="auto"/>
                      <w:szCs w:val="21"/>
                    </w:rPr>
                  </w:pPr>
                  <w:r>
                    <w:rPr>
                      <w:rFonts w:eastAsia="Times New Roman"/>
                      <w:color w:val="auto"/>
                      <w:spacing w:val="-2"/>
                      <w:szCs w:val="21"/>
                    </w:rPr>
                    <w:t>37</w:t>
                  </w:r>
                </w:p>
              </w:tc>
              <w:tc>
                <w:tcPr>
                  <w:tcW w:w="386" w:type="pct"/>
                  <w:gridSpan w:val="3"/>
                  <w:vAlign w:val="center"/>
                </w:tcPr>
                <w:p w14:paraId="6A493BE5">
                  <w:pPr>
                    <w:spacing w:before="193" w:line="234" w:lineRule="auto"/>
                    <w:jc w:val="center"/>
                    <w:rPr>
                      <w:rFonts w:eastAsia="Times New Roman"/>
                      <w:color w:val="auto"/>
                      <w:szCs w:val="21"/>
                    </w:rPr>
                  </w:pPr>
                  <w:r>
                    <w:rPr>
                      <w:rFonts w:eastAsia="Times New Roman"/>
                      <w:color w:val="auto"/>
                      <w:spacing w:val="-1"/>
                      <w:szCs w:val="21"/>
                    </w:rPr>
                    <w:t>40</w:t>
                  </w:r>
                </w:p>
              </w:tc>
              <w:tc>
                <w:tcPr>
                  <w:tcW w:w="698" w:type="pct"/>
                  <w:gridSpan w:val="3"/>
                  <w:vAlign w:val="center"/>
                </w:tcPr>
                <w:p w14:paraId="57DDD059">
                  <w:pPr>
                    <w:spacing w:before="193" w:line="234" w:lineRule="auto"/>
                    <w:jc w:val="center"/>
                    <w:rPr>
                      <w:rFonts w:eastAsia="Times New Roman"/>
                      <w:color w:val="auto"/>
                      <w:szCs w:val="21"/>
                    </w:rPr>
                  </w:pPr>
                  <w:r>
                    <w:rPr>
                      <w:rFonts w:eastAsia="Times New Roman"/>
                      <w:color w:val="auto"/>
                      <w:spacing w:val="-2"/>
                      <w:szCs w:val="21"/>
                    </w:rPr>
                    <w:t>38</w:t>
                  </w:r>
                </w:p>
              </w:tc>
              <w:tc>
                <w:tcPr>
                  <w:tcW w:w="367" w:type="pct"/>
                  <w:vAlign w:val="center"/>
                </w:tcPr>
                <w:p w14:paraId="57786A4F">
                  <w:pPr>
                    <w:spacing w:before="193" w:line="233" w:lineRule="auto"/>
                    <w:jc w:val="center"/>
                    <w:rPr>
                      <w:rFonts w:eastAsia="Times New Roman"/>
                      <w:color w:val="auto"/>
                      <w:szCs w:val="21"/>
                    </w:rPr>
                  </w:pPr>
                  <w:r>
                    <w:rPr>
                      <w:rFonts w:eastAsia="Times New Roman"/>
                      <w:color w:val="auto"/>
                      <w:spacing w:val="-5"/>
                      <w:szCs w:val="21"/>
                    </w:rPr>
                    <w:t>1.7</w:t>
                  </w:r>
                </w:p>
              </w:tc>
              <w:tc>
                <w:tcPr>
                  <w:tcW w:w="367" w:type="pct"/>
                  <w:vAlign w:val="center"/>
                </w:tcPr>
                <w:p w14:paraId="2A1BC1CF">
                  <w:pPr>
                    <w:spacing w:before="193" w:line="233" w:lineRule="auto"/>
                    <w:jc w:val="center"/>
                    <w:rPr>
                      <w:rFonts w:eastAsia="Times New Roman"/>
                      <w:color w:val="auto"/>
                      <w:szCs w:val="21"/>
                    </w:rPr>
                  </w:pPr>
                  <w:r>
                    <w:rPr>
                      <w:rFonts w:eastAsia="Times New Roman"/>
                      <w:color w:val="auto"/>
                      <w:spacing w:val="-5"/>
                      <w:szCs w:val="21"/>
                    </w:rPr>
                    <w:t>1.6</w:t>
                  </w:r>
                </w:p>
              </w:tc>
              <w:tc>
                <w:tcPr>
                  <w:tcW w:w="367" w:type="pct"/>
                  <w:vAlign w:val="center"/>
                </w:tcPr>
                <w:p w14:paraId="75381146">
                  <w:pPr>
                    <w:spacing w:before="193" w:line="233" w:lineRule="auto"/>
                    <w:jc w:val="center"/>
                    <w:rPr>
                      <w:rFonts w:eastAsia="Times New Roman"/>
                      <w:color w:val="auto"/>
                      <w:szCs w:val="21"/>
                    </w:rPr>
                  </w:pPr>
                  <w:r>
                    <w:rPr>
                      <w:rFonts w:eastAsia="Times New Roman"/>
                      <w:color w:val="auto"/>
                      <w:spacing w:val="-5"/>
                      <w:szCs w:val="21"/>
                    </w:rPr>
                    <w:t>1.5</w:t>
                  </w:r>
                </w:p>
              </w:tc>
            </w:tr>
            <w:tr w14:paraId="25CF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64B37AA">
                  <w:pPr>
                    <w:jc w:val="center"/>
                    <w:rPr>
                      <w:rFonts w:ascii="Arial"/>
                      <w:color w:val="auto"/>
                    </w:rPr>
                  </w:pPr>
                </w:p>
              </w:tc>
              <w:tc>
                <w:tcPr>
                  <w:tcW w:w="662" w:type="pct"/>
                  <w:vAlign w:val="center"/>
                </w:tcPr>
                <w:p w14:paraId="216FD1FC">
                  <w:pPr>
                    <w:pStyle w:val="3488"/>
                    <w:spacing w:before="168" w:line="221" w:lineRule="auto"/>
                    <w:jc w:val="center"/>
                    <w:rPr>
                      <w:color w:val="auto"/>
                      <w:sz w:val="21"/>
                      <w:szCs w:val="21"/>
                    </w:rPr>
                  </w:pPr>
                  <w:r>
                    <w:rPr>
                      <w:color w:val="auto"/>
                      <w:spacing w:val="-1"/>
                      <w:sz w:val="21"/>
                      <w:szCs w:val="21"/>
                    </w:rPr>
                    <w:t>排放浓度限值</w:t>
                  </w:r>
                </w:p>
              </w:tc>
              <w:tc>
                <w:tcPr>
                  <w:tcW w:w="254" w:type="pct"/>
                  <w:vAlign w:val="center"/>
                </w:tcPr>
                <w:p w14:paraId="3CDD09E8">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4A39350F">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2A25D45F">
                  <w:pPr>
                    <w:spacing w:before="195" w:line="234" w:lineRule="auto"/>
                    <w:jc w:val="center"/>
                    <w:rPr>
                      <w:rFonts w:eastAsia="Times New Roman"/>
                      <w:color w:val="auto"/>
                      <w:szCs w:val="21"/>
                    </w:rPr>
                  </w:pPr>
                  <w:r>
                    <w:rPr>
                      <w:rFonts w:eastAsia="Times New Roman"/>
                      <w:color w:val="auto"/>
                      <w:spacing w:val="-6"/>
                      <w:szCs w:val="21"/>
                    </w:rPr>
                    <w:t>120</w:t>
                  </w:r>
                </w:p>
              </w:tc>
            </w:tr>
            <w:tr w14:paraId="0132C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F2875A6">
                  <w:pPr>
                    <w:jc w:val="center"/>
                    <w:rPr>
                      <w:rFonts w:ascii="Arial"/>
                      <w:color w:val="auto"/>
                    </w:rPr>
                  </w:pPr>
                </w:p>
              </w:tc>
              <w:tc>
                <w:tcPr>
                  <w:tcW w:w="662" w:type="pct"/>
                  <w:vAlign w:val="center"/>
                </w:tcPr>
                <w:p w14:paraId="14EE8038">
                  <w:pPr>
                    <w:pStyle w:val="3488"/>
                    <w:spacing w:before="168" w:line="221" w:lineRule="auto"/>
                    <w:jc w:val="center"/>
                    <w:rPr>
                      <w:color w:val="auto"/>
                      <w:sz w:val="21"/>
                      <w:szCs w:val="21"/>
                    </w:rPr>
                  </w:pPr>
                  <w:r>
                    <w:rPr>
                      <w:color w:val="auto"/>
                      <w:spacing w:val="-2"/>
                      <w:sz w:val="21"/>
                      <w:szCs w:val="21"/>
                    </w:rPr>
                    <w:t>排放速率</w:t>
                  </w:r>
                </w:p>
              </w:tc>
              <w:tc>
                <w:tcPr>
                  <w:tcW w:w="254" w:type="pct"/>
                  <w:vAlign w:val="center"/>
                </w:tcPr>
                <w:p w14:paraId="1165EA06">
                  <w:pPr>
                    <w:spacing w:before="196" w:line="191" w:lineRule="auto"/>
                    <w:jc w:val="center"/>
                    <w:rPr>
                      <w:rFonts w:eastAsia="Times New Roman"/>
                      <w:color w:val="auto"/>
                      <w:szCs w:val="21"/>
                    </w:rPr>
                  </w:pPr>
                  <w:r>
                    <w:rPr>
                      <w:rFonts w:eastAsia="Times New Roman"/>
                      <w:color w:val="auto"/>
                      <w:szCs w:val="21"/>
                    </w:rPr>
                    <w:t>kg/h</w:t>
                  </w:r>
                </w:p>
              </w:tc>
              <w:tc>
                <w:tcPr>
                  <w:tcW w:w="1039" w:type="pct"/>
                  <w:vAlign w:val="center"/>
                </w:tcPr>
                <w:p w14:paraId="4586BFF4">
                  <w:pPr>
                    <w:spacing w:before="197" w:line="233" w:lineRule="auto"/>
                    <w:jc w:val="center"/>
                    <w:rPr>
                      <w:rFonts w:eastAsia="Times New Roman"/>
                      <w:color w:val="auto"/>
                      <w:szCs w:val="21"/>
                    </w:rPr>
                  </w:pPr>
                  <w:r>
                    <w:rPr>
                      <w:rFonts w:eastAsia="Times New Roman"/>
                      <w:color w:val="auto"/>
                      <w:spacing w:val="-1"/>
                      <w:szCs w:val="21"/>
                    </w:rPr>
                    <w:t>0.7870</w:t>
                  </w:r>
                </w:p>
              </w:tc>
              <w:tc>
                <w:tcPr>
                  <w:tcW w:w="386" w:type="pct"/>
                  <w:gridSpan w:val="3"/>
                  <w:vAlign w:val="center"/>
                </w:tcPr>
                <w:p w14:paraId="0ED504D0">
                  <w:pPr>
                    <w:spacing w:before="197" w:line="233" w:lineRule="auto"/>
                    <w:jc w:val="center"/>
                    <w:rPr>
                      <w:rFonts w:eastAsia="Times New Roman"/>
                      <w:color w:val="auto"/>
                      <w:szCs w:val="21"/>
                    </w:rPr>
                  </w:pPr>
                  <w:r>
                    <w:rPr>
                      <w:rFonts w:eastAsia="Times New Roman"/>
                      <w:color w:val="auto"/>
                      <w:spacing w:val="-1"/>
                      <w:szCs w:val="21"/>
                    </w:rPr>
                    <w:t>0.8214</w:t>
                  </w:r>
                </w:p>
              </w:tc>
              <w:tc>
                <w:tcPr>
                  <w:tcW w:w="698" w:type="pct"/>
                  <w:gridSpan w:val="3"/>
                  <w:vAlign w:val="center"/>
                </w:tcPr>
                <w:p w14:paraId="0A48EB1E">
                  <w:pPr>
                    <w:spacing w:before="197" w:line="233" w:lineRule="auto"/>
                    <w:jc w:val="center"/>
                    <w:rPr>
                      <w:rFonts w:eastAsia="Times New Roman"/>
                      <w:color w:val="auto"/>
                      <w:szCs w:val="21"/>
                    </w:rPr>
                  </w:pPr>
                  <w:r>
                    <w:rPr>
                      <w:rFonts w:eastAsia="Times New Roman"/>
                      <w:color w:val="auto"/>
                      <w:spacing w:val="-1"/>
                      <w:szCs w:val="21"/>
                    </w:rPr>
                    <w:t>0.7772</w:t>
                  </w:r>
                </w:p>
              </w:tc>
              <w:tc>
                <w:tcPr>
                  <w:tcW w:w="367" w:type="pct"/>
                  <w:vAlign w:val="center"/>
                </w:tcPr>
                <w:p w14:paraId="416FF0BB">
                  <w:pPr>
                    <w:spacing w:before="197" w:line="233" w:lineRule="auto"/>
                    <w:jc w:val="center"/>
                    <w:rPr>
                      <w:rFonts w:eastAsia="Times New Roman"/>
                      <w:color w:val="auto"/>
                      <w:szCs w:val="21"/>
                    </w:rPr>
                  </w:pPr>
                  <w:r>
                    <w:rPr>
                      <w:rFonts w:eastAsia="Times New Roman"/>
                      <w:color w:val="auto"/>
                      <w:spacing w:val="-1"/>
                      <w:szCs w:val="21"/>
                    </w:rPr>
                    <w:t>0.0365</w:t>
                  </w:r>
                </w:p>
              </w:tc>
              <w:tc>
                <w:tcPr>
                  <w:tcW w:w="367" w:type="pct"/>
                  <w:vAlign w:val="center"/>
                </w:tcPr>
                <w:p w14:paraId="415BF57D">
                  <w:pPr>
                    <w:spacing w:before="197" w:line="233" w:lineRule="auto"/>
                    <w:jc w:val="center"/>
                    <w:rPr>
                      <w:rFonts w:eastAsia="Times New Roman"/>
                      <w:color w:val="auto"/>
                      <w:szCs w:val="21"/>
                    </w:rPr>
                  </w:pPr>
                  <w:r>
                    <w:rPr>
                      <w:rFonts w:eastAsia="Times New Roman"/>
                      <w:color w:val="auto"/>
                      <w:spacing w:val="-1"/>
                      <w:szCs w:val="21"/>
                    </w:rPr>
                    <w:t>0.0319</w:t>
                  </w:r>
                </w:p>
              </w:tc>
              <w:tc>
                <w:tcPr>
                  <w:tcW w:w="367" w:type="pct"/>
                  <w:vAlign w:val="center"/>
                </w:tcPr>
                <w:p w14:paraId="3455060B">
                  <w:pPr>
                    <w:spacing w:before="197" w:line="233" w:lineRule="auto"/>
                    <w:jc w:val="center"/>
                    <w:rPr>
                      <w:rFonts w:eastAsia="Times New Roman"/>
                      <w:color w:val="auto"/>
                      <w:szCs w:val="21"/>
                    </w:rPr>
                  </w:pPr>
                  <w:r>
                    <w:rPr>
                      <w:rFonts w:eastAsia="Times New Roman"/>
                      <w:color w:val="auto"/>
                      <w:spacing w:val="-1"/>
                      <w:szCs w:val="21"/>
                    </w:rPr>
                    <w:t>0.0310</w:t>
                  </w:r>
                </w:p>
              </w:tc>
            </w:tr>
            <w:tr w14:paraId="38714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2ED5D42C">
                  <w:pPr>
                    <w:jc w:val="center"/>
                    <w:rPr>
                      <w:rFonts w:ascii="Arial"/>
                      <w:color w:val="auto"/>
                    </w:rPr>
                  </w:pPr>
                </w:p>
              </w:tc>
              <w:tc>
                <w:tcPr>
                  <w:tcW w:w="662" w:type="pct"/>
                  <w:vAlign w:val="center"/>
                </w:tcPr>
                <w:p w14:paraId="603BD86E">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35E0190E">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45597213">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4C96826">
                  <w:pPr>
                    <w:spacing w:before="198" w:line="233" w:lineRule="auto"/>
                    <w:jc w:val="center"/>
                    <w:rPr>
                      <w:rFonts w:eastAsia="Times New Roman"/>
                      <w:color w:val="auto"/>
                      <w:szCs w:val="21"/>
                    </w:rPr>
                  </w:pPr>
                  <w:r>
                    <w:rPr>
                      <w:rFonts w:eastAsia="Times New Roman"/>
                      <w:color w:val="auto"/>
                      <w:spacing w:val="-2"/>
                      <w:szCs w:val="21"/>
                    </w:rPr>
                    <w:t>3.5</w:t>
                  </w:r>
                </w:p>
              </w:tc>
            </w:tr>
            <w:tr w14:paraId="176EE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8" w:type="pct"/>
                  <w:gridSpan w:val="2"/>
                  <w:vMerge w:val="restart"/>
                  <w:tcBorders>
                    <w:bottom w:val="nil"/>
                  </w:tcBorders>
                  <w:vAlign w:val="center"/>
                </w:tcPr>
                <w:p w14:paraId="5A1E2433">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5465BEFA">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6B69E6AE">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2022.01.11</w:t>
                  </w:r>
                </w:p>
              </w:tc>
              <w:tc>
                <w:tcPr>
                  <w:tcW w:w="1102" w:type="pct"/>
                  <w:gridSpan w:val="3"/>
                  <w:vAlign w:val="center"/>
                </w:tcPr>
                <w:p w14:paraId="18E1E94B">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2022.01.11</w:t>
                  </w:r>
                </w:p>
              </w:tc>
            </w:tr>
            <w:tr w14:paraId="51CAA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18" w:type="pct"/>
                  <w:gridSpan w:val="2"/>
                  <w:vMerge w:val="continue"/>
                  <w:tcBorders>
                    <w:top w:val="nil"/>
                    <w:bottom w:val="nil"/>
                  </w:tcBorders>
                  <w:vAlign w:val="center"/>
                </w:tcPr>
                <w:p w14:paraId="1264906D">
                  <w:pPr>
                    <w:jc w:val="center"/>
                    <w:rPr>
                      <w:rFonts w:ascii="Arial"/>
                      <w:color w:val="auto"/>
                    </w:rPr>
                  </w:pPr>
                </w:p>
              </w:tc>
              <w:tc>
                <w:tcPr>
                  <w:tcW w:w="254" w:type="pct"/>
                  <w:vMerge w:val="continue"/>
                  <w:tcBorders>
                    <w:top w:val="nil"/>
                    <w:bottom w:val="nil"/>
                  </w:tcBorders>
                  <w:vAlign w:val="center"/>
                </w:tcPr>
                <w:p w14:paraId="46125561">
                  <w:pPr>
                    <w:jc w:val="center"/>
                    <w:rPr>
                      <w:rFonts w:ascii="Arial"/>
                      <w:color w:val="auto"/>
                    </w:rPr>
                  </w:pPr>
                </w:p>
              </w:tc>
              <w:tc>
                <w:tcPr>
                  <w:tcW w:w="2124" w:type="pct"/>
                  <w:gridSpan w:val="7"/>
                  <w:vAlign w:val="center"/>
                </w:tcPr>
                <w:p w14:paraId="5CD595B7">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排气筒进口</w:t>
                  </w:r>
                </w:p>
              </w:tc>
              <w:tc>
                <w:tcPr>
                  <w:tcW w:w="1102" w:type="pct"/>
                  <w:gridSpan w:val="3"/>
                  <w:vAlign w:val="center"/>
                </w:tcPr>
                <w:p w14:paraId="799D8C6C">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排气筒出口</w:t>
                  </w:r>
                </w:p>
              </w:tc>
            </w:tr>
            <w:tr w14:paraId="3615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18" w:type="pct"/>
                  <w:gridSpan w:val="2"/>
                  <w:vMerge w:val="continue"/>
                  <w:tcBorders>
                    <w:top w:val="nil"/>
                  </w:tcBorders>
                  <w:vAlign w:val="center"/>
                </w:tcPr>
                <w:p w14:paraId="2A4E70B6">
                  <w:pPr>
                    <w:jc w:val="center"/>
                    <w:rPr>
                      <w:rFonts w:ascii="Arial"/>
                      <w:color w:val="auto"/>
                    </w:rPr>
                  </w:pPr>
                </w:p>
              </w:tc>
              <w:tc>
                <w:tcPr>
                  <w:tcW w:w="254" w:type="pct"/>
                  <w:vMerge w:val="continue"/>
                  <w:tcBorders>
                    <w:top w:val="nil"/>
                  </w:tcBorders>
                  <w:vAlign w:val="center"/>
                </w:tcPr>
                <w:p w14:paraId="2DEB4A3A">
                  <w:pPr>
                    <w:jc w:val="center"/>
                    <w:rPr>
                      <w:rFonts w:ascii="Arial"/>
                      <w:color w:val="auto"/>
                    </w:rPr>
                  </w:pPr>
                </w:p>
              </w:tc>
              <w:tc>
                <w:tcPr>
                  <w:tcW w:w="1039" w:type="pct"/>
                  <w:vAlign w:val="center"/>
                </w:tcPr>
                <w:p w14:paraId="6051F20A">
                  <w:pPr>
                    <w:pStyle w:val="3488"/>
                    <w:spacing w:before="166" w:line="221" w:lineRule="auto"/>
                    <w:jc w:val="center"/>
                    <w:rPr>
                      <w:color w:val="auto"/>
                      <w:sz w:val="21"/>
                      <w:szCs w:val="21"/>
                    </w:rPr>
                  </w:pPr>
                  <w:r>
                    <w:rPr>
                      <w:color w:val="auto"/>
                      <w:spacing w:val="-2"/>
                      <w:sz w:val="21"/>
                      <w:szCs w:val="21"/>
                    </w:rPr>
                    <w:t>第一次</w:t>
                  </w:r>
                </w:p>
              </w:tc>
              <w:tc>
                <w:tcPr>
                  <w:tcW w:w="386" w:type="pct"/>
                  <w:gridSpan w:val="3"/>
                  <w:vAlign w:val="center"/>
                </w:tcPr>
                <w:p w14:paraId="3FD95B77">
                  <w:pPr>
                    <w:pStyle w:val="3488"/>
                    <w:spacing w:before="166" w:line="221" w:lineRule="auto"/>
                    <w:jc w:val="center"/>
                    <w:rPr>
                      <w:color w:val="auto"/>
                      <w:sz w:val="21"/>
                      <w:szCs w:val="21"/>
                    </w:rPr>
                  </w:pPr>
                  <w:r>
                    <w:rPr>
                      <w:color w:val="auto"/>
                      <w:spacing w:val="-2"/>
                      <w:sz w:val="21"/>
                      <w:szCs w:val="21"/>
                    </w:rPr>
                    <w:t>第二次</w:t>
                  </w:r>
                </w:p>
              </w:tc>
              <w:tc>
                <w:tcPr>
                  <w:tcW w:w="698" w:type="pct"/>
                  <w:gridSpan w:val="3"/>
                  <w:vAlign w:val="center"/>
                </w:tcPr>
                <w:p w14:paraId="77CF02E3">
                  <w:pPr>
                    <w:pStyle w:val="3488"/>
                    <w:spacing w:before="166" w:line="221" w:lineRule="auto"/>
                    <w:jc w:val="center"/>
                    <w:rPr>
                      <w:color w:val="auto"/>
                      <w:sz w:val="21"/>
                      <w:szCs w:val="21"/>
                    </w:rPr>
                  </w:pPr>
                  <w:r>
                    <w:rPr>
                      <w:color w:val="auto"/>
                      <w:spacing w:val="-2"/>
                      <w:sz w:val="21"/>
                      <w:szCs w:val="21"/>
                    </w:rPr>
                    <w:t>第三次</w:t>
                  </w:r>
                </w:p>
              </w:tc>
              <w:tc>
                <w:tcPr>
                  <w:tcW w:w="367" w:type="pct"/>
                  <w:vAlign w:val="center"/>
                </w:tcPr>
                <w:p w14:paraId="31E994A6">
                  <w:pPr>
                    <w:pStyle w:val="3488"/>
                    <w:spacing w:before="166" w:line="221" w:lineRule="auto"/>
                    <w:jc w:val="center"/>
                    <w:rPr>
                      <w:color w:val="auto"/>
                      <w:sz w:val="21"/>
                      <w:szCs w:val="21"/>
                    </w:rPr>
                  </w:pPr>
                  <w:r>
                    <w:rPr>
                      <w:color w:val="auto"/>
                      <w:spacing w:val="-2"/>
                      <w:sz w:val="21"/>
                      <w:szCs w:val="21"/>
                    </w:rPr>
                    <w:t>第一次</w:t>
                  </w:r>
                </w:p>
              </w:tc>
              <w:tc>
                <w:tcPr>
                  <w:tcW w:w="367" w:type="pct"/>
                  <w:vAlign w:val="center"/>
                </w:tcPr>
                <w:p w14:paraId="2058C9AD">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1D05E36B">
                  <w:pPr>
                    <w:pStyle w:val="3488"/>
                    <w:spacing w:before="166" w:line="221" w:lineRule="auto"/>
                    <w:jc w:val="center"/>
                    <w:rPr>
                      <w:color w:val="auto"/>
                      <w:sz w:val="21"/>
                      <w:szCs w:val="21"/>
                    </w:rPr>
                  </w:pPr>
                  <w:r>
                    <w:rPr>
                      <w:color w:val="auto"/>
                      <w:spacing w:val="-2"/>
                      <w:sz w:val="21"/>
                      <w:szCs w:val="21"/>
                    </w:rPr>
                    <w:t>第三次</w:t>
                  </w:r>
                </w:p>
              </w:tc>
            </w:tr>
            <w:tr w14:paraId="46BC1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56" w:type="pct"/>
                  <w:vMerge w:val="restart"/>
                  <w:vAlign w:val="center"/>
                </w:tcPr>
                <w:p w14:paraId="61BB8971">
                  <w:pPr>
                    <w:pStyle w:val="3488"/>
                    <w:spacing w:before="171" w:line="221" w:lineRule="auto"/>
                    <w:jc w:val="center"/>
                    <w:rPr>
                      <w:color w:val="auto"/>
                      <w:sz w:val="21"/>
                      <w:szCs w:val="21"/>
                    </w:rPr>
                  </w:pPr>
                  <w:r>
                    <w:rPr>
                      <w:color w:val="auto"/>
                      <w:sz w:val="21"/>
                      <w:szCs w:val="21"/>
                    </w:rPr>
                    <w:t>挥发性有机物</w:t>
                  </w:r>
                </w:p>
              </w:tc>
              <w:tc>
                <w:tcPr>
                  <w:tcW w:w="662" w:type="pct"/>
                  <w:vAlign w:val="center"/>
                </w:tcPr>
                <w:p w14:paraId="5439E5D7">
                  <w:pPr>
                    <w:pStyle w:val="3488"/>
                    <w:spacing w:before="171" w:line="221" w:lineRule="auto"/>
                    <w:jc w:val="center"/>
                    <w:rPr>
                      <w:color w:val="auto"/>
                      <w:sz w:val="21"/>
                      <w:szCs w:val="21"/>
                    </w:rPr>
                  </w:pPr>
                  <w:r>
                    <w:rPr>
                      <w:color w:val="auto"/>
                      <w:spacing w:val="-2"/>
                      <w:sz w:val="21"/>
                      <w:szCs w:val="21"/>
                    </w:rPr>
                    <w:t>排放浓度</w:t>
                  </w:r>
                </w:p>
              </w:tc>
              <w:tc>
                <w:tcPr>
                  <w:tcW w:w="254" w:type="pct"/>
                  <w:vAlign w:val="center"/>
                </w:tcPr>
                <w:p w14:paraId="350E5085">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04CDCF0A">
                  <w:pPr>
                    <w:spacing w:before="198" w:line="233" w:lineRule="auto"/>
                    <w:jc w:val="center"/>
                    <w:rPr>
                      <w:rFonts w:eastAsia="Times New Roman"/>
                      <w:color w:val="auto"/>
                      <w:szCs w:val="21"/>
                    </w:rPr>
                  </w:pPr>
                  <w:r>
                    <w:rPr>
                      <w:rFonts w:eastAsia="Times New Roman"/>
                      <w:color w:val="auto"/>
                      <w:spacing w:val="-1"/>
                      <w:szCs w:val="21"/>
                    </w:rPr>
                    <w:t>0.698</w:t>
                  </w:r>
                </w:p>
              </w:tc>
              <w:tc>
                <w:tcPr>
                  <w:tcW w:w="386" w:type="pct"/>
                  <w:gridSpan w:val="3"/>
                  <w:vAlign w:val="center"/>
                </w:tcPr>
                <w:p w14:paraId="1A143AC3">
                  <w:pPr>
                    <w:spacing w:before="198" w:line="233" w:lineRule="auto"/>
                    <w:jc w:val="center"/>
                    <w:rPr>
                      <w:rFonts w:eastAsia="Times New Roman"/>
                      <w:color w:val="auto"/>
                      <w:szCs w:val="21"/>
                    </w:rPr>
                  </w:pPr>
                  <w:r>
                    <w:rPr>
                      <w:rFonts w:eastAsia="Times New Roman"/>
                      <w:color w:val="auto"/>
                      <w:spacing w:val="-5"/>
                      <w:szCs w:val="21"/>
                    </w:rPr>
                    <w:t>1.14</w:t>
                  </w:r>
                </w:p>
              </w:tc>
              <w:tc>
                <w:tcPr>
                  <w:tcW w:w="698" w:type="pct"/>
                  <w:gridSpan w:val="3"/>
                  <w:vAlign w:val="center"/>
                </w:tcPr>
                <w:p w14:paraId="75F09903">
                  <w:pPr>
                    <w:spacing w:before="198" w:line="233" w:lineRule="auto"/>
                    <w:jc w:val="center"/>
                    <w:rPr>
                      <w:rFonts w:eastAsia="Times New Roman"/>
                      <w:color w:val="auto"/>
                      <w:szCs w:val="21"/>
                    </w:rPr>
                  </w:pPr>
                  <w:r>
                    <w:rPr>
                      <w:rFonts w:eastAsia="Times New Roman"/>
                      <w:color w:val="auto"/>
                      <w:spacing w:val="-1"/>
                      <w:szCs w:val="21"/>
                    </w:rPr>
                    <w:t>0.770</w:t>
                  </w:r>
                </w:p>
              </w:tc>
              <w:tc>
                <w:tcPr>
                  <w:tcW w:w="367" w:type="pct"/>
                  <w:vAlign w:val="center"/>
                </w:tcPr>
                <w:p w14:paraId="0DE540D4">
                  <w:pPr>
                    <w:spacing w:before="198" w:line="233" w:lineRule="auto"/>
                    <w:jc w:val="center"/>
                    <w:rPr>
                      <w:rFonts w:eastAsia="Times New Roman"/>
                      <w:color w:val="auto"/>
                      <w:szCs w:val="21"/>
                    </w:rPr>
                  </w:pPr>
                  <w:r>
                    <w:rPr>
                      <w:rFonts w:eastAsia="Times New Roman"/>
                      <w:color w:val="auto"/>
                      <w:spacing w:val="-1"/>
                      <w:szCs w:val="21"/>
                    </w:rPr>
                    <w:t>0.139</w:t>
                  </w:r>
                </w:p>
              </w:tc>
              <w:tc>
                <w:tcPr>
                  <w:tcW w:w="367" w:type="pct"/>
                  <w:vAlign w:val="center"/>
                </w:tcPr>
                <w:p w14:paraId="12B6AB0D">
                  <w:pPr>
                    <w:spacing w:before="198" w:line="233" w:lineRule="auto"/>
                    <w:jc w:val="center"/>
                    <w:rPr>
                      <w:rFonts w:eastAsia="Times New Roman"/>
                      <w:color w:val="auto"/>
                      <w:szCs w:val="21"/>
                    </w:rPr>
                  </w:pPr>
                  <w:r>
                    <w:rPr>
                      <w:rFonts w:eastAsia="Times New Roman"/>
                      <w:color w:val="auto"/>
                      <w:spacing w:val="-1"/>
                      <w:szCs w:val="21"/>
                    </w:rPr>
                    <w:t>0.207</w:t>
                  </w:r>
                </w:p>
              </w:tc>
              <w:tc>
                <w:tcPr>
                  <w:tcW w:w="367" w:type="pct"/>
                  <w:vAlign w:val="center"/>
                </w:tcPr>
                <w:p w14:paraId="797FBAC7">
                  <w:pPr>
                    <w:spacing w:before="198" w:line="233" w:lineRule="auto"/>
                    <w:jc w:val="center"/>
                    <w:rPr>
                      <w:rFonts w:eastAsia="Times New Roman"/>
                      <w:color w:val="auto"/>
                      <w:szCs w:val="21"/>
                    </w:rPr>
                  </w:pPr>
                  <w:r>
                    <w:rPr>
                      <w:rFonts w:eastAsia="Times New Roman"/>
                      <w:color w:val="auto"/>
                      <w:spacing w:val="-1"/>
                      <w:szCs w:val="21"/>
                    </w:rPr>
                    <w:t>0.092</w:t>
                  </w:r>
                </w:p>
              </w:tc>
            </w:tr>
            <w:tr w14:paraId="1419B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continue"/>
                  <w:vAlign w:val="center"/>
                </w:tcPr>
                <w:p w14:paraId="2AC785BD">
                  <w:pPr>
                    <w:pStyle w:val="3488"/>
                    <w:spacing w:before="143" w:line="209" w:lineRule="auto"/>
                    <w:ind w:left="36"/>
                    <w:jc w:val="center"/>
                    <w:rPr>
                      <w:color w:val="auto"/>
                      <w:sz w:val="21"/>
                      <w:szCs w:val="21"/>
                    </w:rPr>
                  </w:pPr>
                </w:p>
              </w:tc>
              <w:tc>
                <w:tcPr>
                  <w:tcW w:w="662" w:type="pct"/>
                  <w:vAlign w:val="center"/>
                </w:tcPr>
                <w:p w14:paraId="29DD959A">
                  <w:pPr>
                    <w:pStyle w:val="3488"/>
                    <w:spacing w:before="170" w:line="221" w:lineRule="auto"/>
                    <w:jc w:val="center"/>
                    <w:rPr>
                      <w:color w:val="auto"/>
                      <w:sz w:val="21"/>
                      <w:szCs w:val="21"/>
                    </w:rPr>
                  </w:pPr>
                  <w:r>
                    <w:rPr>
                      <w:color w:val="auto"/>
                      <w:spacing w:val="-1"/>
                      <w:sz w:val="21"/>
                      <w:szCs w:val="21"/>
                    </w:rPr>
                    <w:t>排放浓度限值</w:t>
                  </w:r>
                </w:p>
              </w:tc>
              <w:tc>
                <w:tcPr>
                  <w:tcW w:w="254" w:type="pct"/>
                  <w:vAlign w:val="center"/>
                </w:tcPr>
                <w:p w14:paraId="6473D10D">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3481D558">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B8C3850">
                  <w:pPr>
                    <w:spacing w:before="198" w:line="234" w:lineRule="auto"/>
                    <w:jc w:val="center"/>
                    <w:rPr>
                      <w:rFonts w:eastAsia="Times New Roman"/>
                      <w:color w:val="auto"/>
                      <w:szCs w:val="21"/>
                    </w:rPr>
                  </w:pPr>
                  <w:r>
                    <w:rPr>
                      <w:rFonts w:eastAsia="Times New Roman"/>
                      <w:color w:val="auto"/>
                      <w:spacing w:val="-1"/>
                      <w:szCs w:val="21"/>
                    </w:rPr>
                    <w:t>40</w:t>
                  </w:r>
                </w:p>
              </w:tc>
            </w:tr>
            <w:tr w14:paraId="49A9E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856" w:type="pct"/>
                  <w:vMerge w:val="continue"/>
                  <w:vAlign w:val="center"/>
                </w:tcPr>
                <w:p w14:paraId="0214A094">
                  <w:pPr>
                    <w:jc w:val="center"/>
                    <w:rPr>
                      <w:rFonts w:ascii="Arial"/>
                      <w:color w:val="auto"/>
                    </w:rPr>
                  </w:pPr>
                </w:p>
              </w:tc>
              <w:tc>
                <w:tcPr>
                  <w:tcW w:w="662" w:type="pct"/>
                  <w:vAlign w:val="center"/>
                </w:tcPr>
                <w:p w14:paraId="3F5290EC">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0AF19304">
                  <w:pPr>
                    <w:spacing w:before="194" w:line="191" w:lineRule="auto"/>
                    <w:jc w:val="center"/>
                    <w:rPr>
                      <w:rFonts w:eastAsia="Times New Roman"/>
                      <w:color w:val="auto"/>
                      <w:szCs w:val="21"/>
                    </w:rPr>
                  </w:pPr>
                  <w:r>
                    <w:rPr>
                      <w:rFonts w:eastAsia="Times New Roman"/>
                      <w:color w:val="auto"/>
                      <w:szCs w:val="21"/>
                    </w:rPr>
                    <w:t>kg/h</w:t>
                  </w:r>
                </w:p>
              </w:tc>
              <w:tc>
                <w:tcPr>
                  <w:tcW w:w="1039" w:type="pct"/>
                  <w:vAlign w:val="center"/>
                </w:tcPr>
                <w:p w14:paraId="6A86985C">
                  <w:pPr>
                    <w:spacing w:before="175" w:line="254" w:lineRule="exact"/>
                    <w:jc w:val="center"/>
                    <w:rPr>
                      <w:rFonts w:eastAsia="Times New Roman"/>
                      <w:color w:val="auto"/>
                      <w:sz w:val="13"/>
                      <w:szCs w:val="13"/>
                    </w:rPr>
                  </w:pPr>
                  <w:r>
                    <w:rPr>
                      <w:rFonts w:eastAsia="Times New Roman"/>
                      <w:color w:val="auto"/>
                      <w:spacing w:val="-2"/>
                      <w:szCs w:val="21"/>
                    </w:rPr>
                    <w:t>1.60×10</w:t>
                  </w:r>
                  <w:r>
                    <w:rPr>
                      <w:rFonts w:eastAsia="Times New Roman"/>
                      <w:color w:val="auto"/>
                      <w:spacing w:val="-2"/>
                      <w:position w:val="6"/>
                      <w:sz w:val="13"/>
                      <w:szCs w:val="13"/>
                    </w:rPr>
                    <w:t>-2</w:t>
                  </w:r>
                </w:p>
              </w:tc>
              <w:tc>
                <w:tcPr>
                  <w:tcW w:w="386" w:type="pct"/>
                  <w:gridSpan w:val="3"/>
                  <w:vAlign w:val="center"/>
                </w:tcPr>
                <w:p w14:paraId="17DE5394">
                  <w:pPr>
                    <w:spacing w:before="175" w:line="254" w:lineRule="exact"/>
                    <w:jc w:val="center"/>
                    <w:rPr>
                      <w:rFonts w:eastAsia="Times New Roman"/>
                      <w:color w:val="auto"/>
                      <w:sz w:val="13"/>
                      <w:szCs w:val="13"/>
                    </w:rPr>
                  </w:pPr>
                  <w:r>
                    <w:rPr>
                      <w:rFonts w:eastAsia="Times New Roman"/>
                      <w:color w:val="auto"/>
                      <w:szCs w:val="21"/>
                    </w:rPr>
                    <w:t>2.52×10</w:t>
                  </w:r>
                  <w:r>
                    <w:rPr>
                      <w:rFonts w:eastAsia="Times New Roman"/>
                      <w:color w:val="auto"/>
                      <w:position w:val="6"/>
                      <w:sz w:val="13"/>
                      <w:szCs w:val="13"/>
                    </w:rPr>
                    <w:t>-2</w:t>
                  </w:r>
                </w:p>
              </w:tc>
              <w:tc>
                <w:tcPr>
                  <w:tcW w:w="698" w:type="pct"/>
                  <w:gridSpan w:val="3"/>
                  <w:vAlign w:val="center"/>
                </w:tcPr>
                <w:p w14:paraId="1BA4A575">
                  <w:pPr>
                    <w:spacing w:before="175" w:line="254" w:lineRule="exact"/>
                    <w:jc w:val="center"/>
                    <w:rPr>
                      <w:rFonts w:eastAsia="Times New Roman"/>
                      <w:color w:val="auto"/>
                      <w:sz w:val="13"/>
                      <w:szCs w:val="13"/>
                    </w:rPr>
                  </w:pPr>
                  <w:r>
                    <w:rPr>
                      <w:rFonts w:eastAsia="Times New Roman"/>
                      <w:color w:val="auto"/>
                      <w:spacing w:val="-2"/>
                      <w:szCs w:val="21"/>
                    </w:rPr>
                    <w:t>1.68×10</w:t>
                  </w:r>
                  <w:r>
                    <w:rPr>
                      <w:rFonts w:eastAsia="Times New Roman"/>
                      <w:color w:val="auto"/>
                      <w:spacing w:val="-2"/>
                      <w:position w:val="6"/>
                      <w:sz w:val="13"/>
                      <w:szCs w:val="13"/>
                    </w:rPr>
                    <w:t>-2</w:t>
                  </w:r>
                </w:p>
              </w:tc>
              <w:tc>
                <w:tcPr>
                  <w:tcW w:w="367" w:type="pct"/>
                  <w:vAlign w:val="center"/>
                </w:tcPr>
                <w:p w14:paraId="48D7A5D0">
                  <w:pPr>
                    <w:spacing w:before="175" w:line="254" w:lineRule="exact"/>
                    <w:jc w:val="center"/>
                    <w:rPr>
                      <w:rFonts w:eastAsia="Times New Roman"/>
                      <w:color w:val="auto"/>
                      <w:sz w:val="13"/>
                      <w:szCs w:val="13"/>
                    </w:rPr>
                  </w:pPr>
                  <w:r>
                    <w:rPr>
                      <w:rFonts w:eastAsia="Times New Roman"/>
                      <w:color w:val="auto"/>
                      <w:szCs w:val="21"/>
                    </w:rPr>
                    <w:t>3.01×10</w:t>
                  </w:r>
                  <w:r>
                    <w:rPr>
                      <w:rFonts w:eastAsia="Times New Roman"/>
                      <w:color w:val="auto"/>
                      <w:position w:val="6"/>
                      <w:sz w:val="13"/>
                      <w:szCs w:val="13"/>
                    </w:rPr>
                    <w:t>-3</w:t>
                  </w:r>
                </w:p>
              </w:tc>
              <w:tc>
                <w:tcPr>
                  <w:tcW w:w="367" w:type="pct"/>
                  <w:vAlign w:val="center"/>
                </w:tcPr>
                <w:p w14:paraId="1D7795CC">
                  <w:pPr>
                    <w:spacing w:before="175" w:line="254" w:lineRule="exact"/>
                    <w:jc w:val="center"/>
                    <w:rPr>
                      <w:rFonts w:eastAsia="Times New Roman"/>
                      <w:color w:val="auto"/>
                      <w:sz w:val="13"/>
                      <w:szCs w:val="13"/>
                    </w:rPr>
                  </w:pPr>
                  <w:r>
                    <w:rPr>
                      <w:rFonts w:eastAsia="Times New Roman"/>
                      <w:color w:val="auto"/>
                      <w:szCs w:val="21"/>
                    </w:rPr>
                    <w:t>4.62×10</w:t>
                  </w:r>
                  <w:r>
                    <w:rPr>
                      <w:rFonts w:eastAsia="Times New Roman"/>
                      <w:color w:val="auto"/>
                      <w:position w:val="6"/>
                      <w:sz w:val="13"/>
                      <w:szCs w:val="13"/>
                    </w:rPr>
                    <w:t>-3</w:t>
                  </w:r>
                </w:p>
              </w:tc>
              <w:tc>
                <w:tcPr>
                  <w:tcW w:w="367" w:type="pct"/>
                  <w:vAlign w:val="center"/>
                </w:tcPr>
                <w:p w14:paraId="2D2F6350">
                  <w:pPr>
                    <w:spacing w:before="175" w:line="254" w:lineRule="exact"/>
                    <w:jc w:val="center"/>
                    <w:rPr>
                      <w:rFonts w:eastAsia="Times New Roman"/>
                      <w:color w:val="auto"/>
                      <w:sz w:val="13"/>
                      <w:szCs w:val="13"/>
                    </w:rPr>
                  </w:pPr>
                  <w:r>
                    <w:rPr>
                      <w:rFonts w:eastAsia="Times New Roman"/>
                      <w:color w:val="auto"/>
                      <w:szCs w:val="21"/>
                    </w:rPr>
                    <w:t>2.07×10</w:t>
                  </w:r>
                  <w:r>
                    <w:rPr>
                      <w:rFonts w:eastAsia="Times New Roman"/>
                      <w:color w:val="auto"/>
                      <w:position w:val="6"/>
                      <w:sz w:val="13"/>
                      <w:szCs w:val="13"/>
                    </w:rPr>
                    <w:t>-3</w:t>
                  </w:r>
                </w:p>
              </w:tc>
            </w:tr>
            <w:tr w14:paraId="2EAF0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6" w:type="pct"/>
                  <w:vMerge w:val="continue"/>
                  <w:vAlign w:val="center"/>
                </w:tcPr>
                <w:p w14:paraId="4980E418">
                  <w:pPr>
                    <w:jc w:val="center"/>
                    <w:rPr>
                      <w:rFonts w:ascii="Arial"/>
                      <w:color w:val="auto"/>
                    </w:rPr>
                  </w:pPr>
                </w:p>
              </w:tc>
              <w:tc>
                <w:tcPr>
                  <w:tcW w:w="662" w:type="pct"/>
                  <w:vAlign w:val="center"/>
                </w:tcPr>
                <w:p w14:paraId="0DF31D87">
                  <w:pPr>
                    <w:pStyle w:val="3488"/>
                    <w:spacing w:before="165" w:line="221" w:lineRule="auto"/>
                    <w:jc w:val="center"/>
                    <w:rPr>
                      <w:color w:val="auto"/>
                      <w:sz w:val="21"/>
                      <w:szCs w:val="21"/>
                    </w:rPr>
                  </w:pPr>
                  <w:r>
                    <w:rPr>
                      <w:color w:val="auto"/>
                      <w:spacing w:val="-1"/>
                      <w:sz w:val="21"/>
                      <w:szCs w:val="21"/>
                    </w:rPr>
                    <w:t>排放速率限值</w:t>
                  </w:r>
                </w:p>
              </w:tc>
              <w:tc>
                <w:tcPr>
                  <w:tcW w:w="254" w:type="pct"/>
                  <w:vAlign w:val="center"/>
                </w:tcPr>
                <w:p w14:paraId="6BD8A6AC">
                  <w:pPr>
                    <w:spacing w:before="196"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57FD8303">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900C2CC">
                  <w:pPr>
                    <w:spacing w:before="196" w:line="233" w:lineRule="auto"/>
                    <w:jc w:val="center"/>
                    <w:rPr>
                      <w:rFonts w:eastAsia="Times New Roman"/>
                      <w:color w:val="auto"/>
                      <w:szCs w:val="21"/>
                    </w:rPr>
                  </w:pPr>
                  <w:r>
                    <w:rPr>
                      <w:rFonts w:eastAsia="Times New Roman"/>
                      <w:color w:val="auto"/>
                      <w:spacing w:val="-1"/>
                      <w:szCs w:val="21"/>
                    </w:rPr>
                    <w:t>2.9</w:t>
                  </w:r>
                </w:p>
              </w:tc>
            </w:tr>
            <w:tr w14:paraId="677B7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18" w:type="pct"/>
                  <w:gridSpan w:val="2"/>
                  <w:vMerge w:val="restart"/>
                  <w:tcBorders>
                    <w:bottom w:val="nil"/>
                  </w:tcBorders>
                  <w:vAlign w:val="center"/>
                </w:tcPr>
                <w:p w14:paraId="0A4CCD82">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EC127A9">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6BE27E86">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2022.01.12</w:t>
                  </w:r>
                </w:p>
              </w:tc>
              <w:tc>
                <w:tcPr>
                  <w:tcW w:w="1102" w:type="pct"/>
                  <w:gridSpan w:val="3"/>
                  <w:vAlign w:val="center"/>
                </w:tcPr>
                <w:p w14:paraId="6C41534D">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2022.01.12</w:t>
                  </w:r>
                </w:p>
              </w:tc>
            </w:tr>
            <w:tr w14:paraId="01494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4" w:hRule="atLeast"/>
              </w:trPr>
              <w:tc>
                <w:tcPr>
                  <w:tcW w:w="1518" w:type="pct"/>
                  <w:gridSpan w:val="2"/>
                  <w:vMerge w:val="continue"/>
                  <w:tcBorders>
                    <w:top w:val="nil"/>
                    <w:bottom w:val="nil"/>
                  </w:tcBorders>
                  <w:vAlign w:val="center"/>
                </w:tcPr>
                <w:p w14:paraId="4C54D463">
                  <w:pPr>
                    <w:jc w:val="center"/>
                    <w:rPr>
                      <w:rFonts w:ascii="Arial"/>
                      <w:color w:val="auto"/>
                    </w:rPr>
                  </w:pPr>
                </w:p>
              </w:tc>
              <w:tc>
                <w:tcPr>
                  <w:tcW w:w="254" w:type="pct"/>
                  <w:vMerge w:val="continue"/>
                  <w:tcBorders>
                    <w:top w:val="nil"/>
                    <w:bottom w:val="nil"/>
                  </w:tcBorders>
                  <w:vAlign w:val="center"/>
                </w:tcPr>
                <w:p w14:paraId="09FDB18E">
                  <w:pPr>
                    <w:jc w:val="center"/>
                    <w:rPr>
                      <w:rFonts w:ascii="Arial"/>
                      <w:color w:val="auto"/>
                    </w:rPr>
                  </w:pPr>
                </w:p>
              </w:tc>
              <w:tc>
                <w:tcPr>
                  <w:tcW w:w="2124" w:type="pct"/>
                  <w:gridSpan w:val="7"/>
                  <w:vAlign w:val="center"/>
                </w:tcPr>
                <w:p w14:paraId="4CA78EC4">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排气筒进口</w:t>
                  </w:r>
                </w:p>
              </w:tc>
              <w:tc>
                <w:tcPr>
                  <w:tcW w:w="1102" w:type="pct"/>
                  <w:gridSpan w:val="3"/>
                  <w:vAlign w:val="center"/>
                </w:tcPr>
                <w:p w14:paraId="75C829A8">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1#</w:t>
                  </w:r>
                  <w:r>
                    <w:rPr>
                      <w:color w:val="auto"/>
                      <w:spacing w:val="-1"/>
                      <w:sz w:val="21"/>
                      <w:szCs w:val="21"/>
                      <w:lang w:eastAsia="zh-CN"/>
                    </w:rPr>
                    <w:t>排气筒出口</w:t>
                  </w:r>
                </w:p>
              </w:tc>
            </w:tr>
            <w:tr w14:paraId="41779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34418E3E">
                  <w:pPr>
                    <w:jc w:val="center"/>
                    <w:rPr>
                      <w:rFonts w:ascii="Arial"/>
                      <w:color w:val="auto"/>
                    </w:rPr>
                  </w:pPr>
                </w:p>
              </w:tc>
              <w:tc>
                <w:tcPr>
                  <w:tcW w:w="254" w:type="pct"/>
                  <w:vMerge w:val="continue"/>
                  <w:tcBorders>
                    <w:top w:val="nil"/>
                  </w:tcBorders>
                  <w:vAlign w:val="center"/>
                </w:tcPr>
                <w:p w14:paraId="1DB58131">
                  <w:pPr>
                    <w:jc w:val="center"/>
                    <w:rPr>
                      <w:rFonts w:ascii="Arial"/>
                      <w:color w:val="auto"/>
                    </w:rPr>
                  </w:pPr>
                </w:p>
              </w:tc>
              <w:tc>
                <w:tcPr>
                  <w:tcW w:w="1039" w:type="pct"/>
                  <w:vAlign w:val="center"/>
                </w:tcPr>
                <w:p w14:paraId="7CEB590B">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5396649E">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145F99E1">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32A89DC9">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4C6C4996">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29B41B41">
                  <w:pPr>
                    <w:pStyle w:val="3488"/>
                    <w:spacing w:before="164" w:line="221" w:lineRule="auto"/>
                    <w:jc w:val="center"/>
                    <w:rPr>
                      <w:color w:val="auto"/>
                      <w:sz w:val="21"/>
                      <w:szCs w:val="21"/>
                    </w:rPr>
                  </w:pPr>
                  <w:r>
                    <w:rPr>
                      <w:color w:val="auto"/>
                      <w:spacing w:val="-2"/>
                      <w:sz w:val="21"/>
                      <w:szCs w:val="21"/>
                    </w:rPr>
                    <w:t>第三次</w:t>
                  </w:r>
                </w:p>
              </w:tc>
            </w:tr>
            <w:tr w14:paraId="0E179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158F40AE">
                  <w:pPr>
                    <w:pStyle w:val="3488"/>
                    <w:spacing w:before="143" w:line="209" w:lineRule="auto"/>
                    <w:jc w:val="center"/>
                    <w:rPr>
                      <w:color w:val="auto"/>
                      <w:sz w:val="21"/>
                      <w:szCs w:val="21"/>
                    </w:rPr>
                  </w:pPr>
                  <w:r>
                    <w:rPr>
                      <w:color w:val="auto"/>
                      <w:spacing w:val="51"/>
                      <w:sz w:val="21"/>
                      <w:szCs w:val="21"/>
                    </w:rPr>
                    <w:t>挥发性有机物</w:t>
                  </w:r>
                </w:p>
              </w:tc>
              <w:tc>
                <w:tcPr>
                  <w:tcW w:w="662" w:type="pct"/>
                  <w:vAlign w:val="center"/>
                </w:tcPr>
                <w:p w14:paraId="0D42589D">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41941771">
                  <w:pPr>
                    <w:spacing w:before="176"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5B287306">
                  <w:pPr>
                    <w:spacing w:before="196" w:line="233" w:lineRule="auto"/>
                    <w:jc w:val="center"/>
                    <w:rPr>
                      <w:rFonts w:eastAsia="Times New Roman"/>
                      <w:color w:val="auto"/>
                      <w:szCs w:val="21"/>
                    </w:rPr>
                  </w:pPr>
                  <w:r>
                    <w:rPr>
                      <w:rFonts w:eastAsia="Times New Roman"/>
                      <w:color w:val="auto"/>
                      <w:spacing w:val="-1"/>
                      <w:szCs w:val="21"/>
                    </w:rPr>
                    <w:t>0.843</w:t>
                  </w:r>
                </w:p>
              </w:tc>
              <w:tc>
                <w:tcPr>
                  <w:tcW w:w="386" w:type="pct"/>
                  <w:gridSpan w:val="3"/>
                  <w:vAlign w:val="center"/>
                </w:tcPr>
                <w:p w14:paraId="6968CED2">
                  <w:pPr>
                    <w:spacing w:before="196" w:line="233" w:lineRule="auto"/>
                    <w:jc w:val="center"/>
                    <w:rPr>
                      <w:rFonts w:eastAsia="Times New Roman"/>
                      <w:color w:val="auto"/>
                      <w:szCs w:val="21"/>
                    </w:rPr>
                  </w:pPr>
                  <w:r>
                    <w:rPr>
                      <w:rFonts w:eastAsia="Times New Roman"/>
                      <w:color w:val="auto"/>
                      <w:spacing w:val="-5"/>
                      <w:szCs w:val="21"/>
                    </w:rPr>
                    <w:t>1.23</w:t>
                  </w:r>
                </w:p>
              </w:tc>
              <w:tc>
                <w:tcPr>
                  <w:tcW w:w="698" w:type="pct"/>
                  <w:gridSpan w:val="3"/>
                  <w:vAlign w:val="center"/>
                </w:tcPr>
                <w:p w14:paraId="33B52D5A">
                  <w:pPr>
                    <w:spacing w:before="196" w:line="233" w:lineRule="auto"/>
                    <w:jc w:val="center"/>
                    <w:rPr>
                      <w:rFonts w:eastAsia="Times New Roman"/>
                      <w:color w:val="auto"/>
                      <w:szCs w:val="21"/>
                    </w:rPr>
                  </w:pPr>
                  <w:r>
                    <w:rPr>
                      <w:rFonts w:eastAsia="Times New Roman"/>
                      <w:color w:val="auto"/>
                      <w:spacing w:val="-5"/>
                      <w:szCs w:val="21"/>
                    </w:rPr>
                    <w:t>1.23</w:t>
                  </w:r>
                </w:p>
              </w:tc>
              <w:tc>
                <w:tcPr>
                  <w:tcW w:w="367" w:type="pct"/>
                  <w:vAlign w:val="center"/>
                </w:tcPr>
                <w:p w14:paraId="3727E911">
                  <w:pPr>
                    <w:spacing w:before="196" w:line="233" w:lineRule="auto"/>
                    <w:jc w:val="center"/>
                    <w:rPr>
                      <w:rFonts w:eastAsia="Times New Roman"/>
                      <w:color w:val="auto"/>
                      <w:szCs w:val="21"/>
                    </w:rPr>
                  </w:pPr>
                  <w:r>
                    <w:rPr>
                      <w:rFonts w:eastAsia="Times New Roman"/>
                      <w:color w:val="auto"/>
                      <w:spacing w:val="-1"/>
                      <w:szCs w:val="21"/>
                    </w:rPr>
                    <w:t>0.128</w:t>
                  </w:r>
                </w:p>
              </w:tc>
              <w:tc>
                <w:tcPr>
                  <w:tcW w:w="367" w:type="pct"/>
                  <w:vAlign w:val="center"/>
                </w:tcPr>
                <w:p w14:paraId="67FDC7A9">
                  <w:pPr>
                    <w:spacing w:before="196" w:line="233" w:lineRule="auto"/>
                    <w:jc w:val="center"/>
                    <w:rPr>
                      <w:rFonts w:eastAsia="Times New Roman"/>
                      <w:color w:val="auto"/>
                      <w:szCs w:val="21"/>
                    </w:rPr>
                  </w:pPr>
                  <w:r>
                    <w:rPr>
                      <w:rFonts w:eastAsia="Times New Roman"/>
                      <w:color w:val="auto"/>
                      <w:spacing w:val="-1"/>
                      <w:szCs w:val="21"/>
                    </w:rPr>
                    <w:t>0.222</w:t>
                  </w:r>
                </w:p>
              </w:tc>
              <w:tc>
                <w:tcPr>
                  <w:tcW w:w="367" w:type="pct"/>
                  <w:vAlign w:val="center"/>
                </w:tcPr>
                <w:p w14:paraId="0AADB5A8">
                  <w:pPr>
                    <w:spacing w:before="196" w:line="233" w:lineRule="auto"/>
                    <w:jc w:val="center"/>
                    <w:rPr>
                      <w:rFonts w:eastAsia="Times New Roman"/>
                      <w:color w:val="auto"/>
                      <w:szCs w:val="21"/>
                    </w:rPr>
                  </w:pPr>
                  <w:r>
                    <w:rPr>
                      <w:rFonts w:eastAsia="Times New Roman"/>
                      <w:color w:val="auto"/>
                      <w:spacing w:val="-1"/>
                      <w:szCs w:val="21"/>
                    </w:rPr>
                    <w:t>0.242</w:t>
                  </w:r>
                </w:p>
              </w:tc>
            </w:tr>
            <w:tr w14:paraId="77197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56" w:type="pct"/>
                  <w:vMerge w:val="continue"/>
                  <w:tcBorders>
                    <w:top w:val="nil"/>
                    <w:bottom w:val="nil"/>
                  </w:tcBorders>
                  <w:vAlign w:val="center"/>
                </w:tcPr>
                <w:p w14:paraId="4E0991E7">
                  <w:pPr>
                    <w:jc w:val="center"/>
                    <w:rPr>
                      <w:rFonts w:ascii="Arial"/>
                      <w:color w:val="auto"/>
                    </w:rPr>
                  </w:pPr>
                </w:p>
              </w:tc>
              <w:tc>
                <w:tcPr>
                  <w:tcW w:w="662" w:type="pct"/>
                  <w:vAlign w:val="center"/>
                </w:tcPr>
                <w:p w14:paraId="2BC1024A">
                  <w:pPr>
                    <w:pStyle w:val="3488"/>
                    <w:spacing w:before="165" w:line="221" w:lineRule="auto"/>
                    <w:jc w:val="center"/>
                    <w:rPr>
                      <w:color w:val="auto"/>
                      <w:sz w:val="21"/>
                      <w:szCs w:val="21"/>
                    </w:rPr>
                  </w:pPr>
                  <w:r>
                    <w:rPr>
                      <w:color w:val="auto"/>
                      <w:spacing w:val="-1"/>
                      <w:sz w:val="21"/>
                      <w:szCs w:val="21"/>
                    </w:rPr>
                    <w:t>排放浓度限值</w:t>
                  </w:r>
                </w:p>
              </w:tc>
              <w:tc>
                <w:tcPr>
                  <w:tcW w:w="254" w:type="pct"/>
                  <w:vAlign w:val="center"/>
                </w:tcPr>
                <w:p w14:paraId="18EFD1A1">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4CD27100">
                  <w:pPr>
                    <w:spacing w:before="194"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50FDA304">
                  <w:pPr>
                    <w:spacing w:before="193" w:line="234" w:lineRule="auto"/>
                    <w:jc w:val="center"/>
                    <w:rPr>
                      <w:rFonts w:eastAsia="Times New Roman"/>
                      <w:color w:val="auto"/>
                      <w:szCs w:val="21"/>
                    </w:rPr>
                  </w:pPr>
                  <w:r>
                    <w:rPr>
                      <w:rFonts w:eastAsia="Times New Roman"/>
                      <w:color w:val="auto"/>
                      <w:spacing w:val="-1"/>
                      <w:szCs w:val="21"/>
                    </w:rPr>
                    <w:t>40</w:t>
                  </w:r>
                </w:p>
              </w:tc>
            </w:tr>
            <w:tr w14:paraId="65E80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41384DA5">
                  <w:pPr>
                    <w:jc w:val="center"/>
                    <w:rPr>
                      <w:rFonts w:ascii="Arial"/>
                      <w:color w:val="auto"/>
                    </w:rPr>
                  </w:pPr>
                </w:p>
              </w:tc>
              <w:tc>
                <w:tcPr>
                  <w:tcW w:w="662" w:type="pct"/>
                  <w:vAlign w:val="center"/>
                </w:tcPr>
                <w:p w14:paraId="45F27F0E">
                  <w:pPr>
                    <w:pStyle w:val="3488"/>
                    <w:spacing w:before="169" w:line="221" w:lineRule="auto"/>
                    <w:jc w:val="center"/>
                    <w:rPr>
                      <w:color w:val="auto"/>
                      <w:sz w:val="21"/>
                      <w:szCs w:val="21"/>
                    </w:rPr>
                  </w:pPr>
                  <w:r>
                    <w:rPr>
                      <w:color w:val="auto"/>
                      <w:spacing w:val="-2"/>
                      <w:sz w:val="21"/>
                      <w:szCs w:val="21"/>
                    </w:rPr>
                    <w:t>排放速率</w:t>
                  </w:r>
                </w:p>
              </w:tc>
              <w:tc>
                <w:tcPr>
                  <w:tcW w:w="254" w:type="pct"/>
                  <w:vAlign w:val="center"/>
                </w:tcPr>
                <w:p w14:paraId="4A836829">
                  <w:pPr>
                    <w:spacing w:before="197" w:line="191" w:lineRule="auto"/>
                    <w:jc w:val="center"/>
                    <w:rPr>
                      <w:rFonts w:eastAsia="Times New Roman"/>
                      <w:color w:val="auto"/>
                      <w:szCs w:val="21"/>
                    </w:rPr>
                  </w:pPr>
                  <w:r>
                    <w:rPr>
                      <w:rFonts w:eastAsia="Times New Roman"/>
                      <w:color w:val="auto"/>
                      <w:szCs w:val="21"/>
                    </w:rPr>
                    <w:t>kg/h</w:t>
                  </w:r>
                </w:p>
              </w:tc>
              <w:tc>
                <w:tcPr>
                  <w:tcW w:w="1039" w:type="pct"/>
                  <w:vAlign w:val="center"/>
                </w:tcPr>
                <w:p w14:paraId="6F3B0715">
                  <w:pPr>
                    <w:spacing w:before="178" w:line="254" w:lineRule="exact"/>
                    <w:jc w:val="center"/>
                    <w:rPr>
                      <w:rFonts w:eastAsia="Times New Roman"/>
                      <w:color w:val="auto"/>
                      <w:sz w:val="13"/>
                      <w:szCs w:val="13"/>
                    </w:rPr>
                  </w:pPr>
                  <w:r>
                    <w:rPr>
                      <w:rFonts w:eastAsia="Times New Roman"/>
                      <w:color w:val="auto"/>
                      <w:spacing w:val="-2"/>
                      <w:szCs w:val="21"/>
                    </w:rPr>
                    <w:t>1.88×10</w:t>
                  </w:r>
                  <w:r>
                    <w:rPr>
                      <w:rFonts w:eastAsia="Times New Roman"/>
                      <w:color w:val="auto"/>
                      <w:spacing w:val="-2"/>
                      <w:position w:val="6"/>
                      <w:sz w:val="13"/>
                      <w:szCs w:val="13"/>
                    </w:rPr>
                    <w:t>-2</w:t>
                  </w:r>
                </w:p>
              </w:tc>
              <w:tc>
                <w:tcPr>
                  <w:tcW w:w="386" w:type="pct"/>
                  <w:gridSpan w:val="3"/>
                  <w:vAlign w:val="center"/>
                </w:tcPr>
                <w:p w14:paraId="1EB09F4E">
                  <w:pPr>
                    <w:spacing w:before="178" w:line="254" w:lineRule="exact"/>
                    <w:jc w:val="center"/>
                    <w:rPr>
                      <w:rFonts w:eastAsia="Times New Roman"/>
                      <w:color w:val="auto"/>
                      <w:sz w:val="13"/>
                      <w:szCs w:val="13"/>
                    </w:rPr>
                  </w:pPr>
                  <w:r>
                    <w:rPr>
                      <w:rFonts w:eastAsia="Times New Roman"/>
                      <w:color w:val="auto"/>
                      <w:szCs w:val="21"/>
                    </w:rPr>
                    <w:t>2.71×10</w:t>
                  </w:r>
                  <w:r>
                    <w:rPr>
                      <w:rFonts w:eastAsia="Times New Roman"/>
                      <w:color w:val="auto"/>
                      <w:position w:val="6"/>
                      <w:sz w:val="13"/>
                      <w:szCs w:val="13"/>
                    </w:rPr>
                    <w:t>-2</w:t>
                  </w:r>
                </w:p>
              </w:tc>
              <w:tc>
                <w:tcPr>
                  <w:tcW w:w="698" w:type="pct"/>
                  <w:gridSpan w:val="3"/>
                  <w:vAlign w:val="center"/>
                </w:tcPr>
                <w:p w14:paraId="71E6AD96">
                  <w:pPr>
                    <w:spacing w:before="178" w:line="254" w:lineRule="exact"/>
                    <w:jc w:val="center"/>
                    <w:rPr>
                      <w:rFonts w:eastAsia="Times New Roman"/>
                      <w:color w:val="auto"/>
                      <w:sz w:val="13"/>
                      <w:szCs w:val="13"/>
                    </w:rPr>
                  </w:pPr>
                  <w:r>
                    <w:rPr>
                      <w:rFonts w:eastAsia="Times New Roman"/>
                      <w:color w:val="auto"/>
                      <w:szCs w:val="21"/>
                    </w:rPr>
                    <w:t>2.62×10</w:t>
                  </w:r>
                  <w:r>
                    <w:rPr>
                      <w:rFonts w:eastAsia="Times New Roman"/>
                      <w:color w:val="auto"/>
                      <w:position w:val="6"/>
                      <w:sz w:val="13"/>
                      <w:szCs w:val="13"/>
                    </w:rPr>
                    <w:t>-2</w:t>
                  </w:r>
                </w:p>
              </w:tc>
              <w:tc>
                <w:tcPr>
                  <w:tcW w:w="367" w:type="pct"/>
                  <w:vAlign w:val="center"/>
                </w:tcPr>
                <w:p w14:paraId="7EEA8EF5">
                  <w:pPr>
                    <w:spacing w:before="178" w:line="254" w:lineRule="exact"/>
                    <w:jc w:val="center"/>
                    <w:rPr>
                      <w:rFonts w:eastAsia="Times New Roman"/>
                      <w:color w:val="auto"/>
                      <w:sz w:val="13"/>
                      <w:szCs w:val="13"/>
                    </w:rPr>
                  </w:pPr>
                  <w:r>
                    <w:rPr>
                      <w:rFonts w:eastAsia="Times New Roman"/>
                      <w:color w:val="auto"/>
                      <w:szCs w:val="21"/>
                    </w:rPr>
                    <w:t>3.03×10</w:t>
                  </w:r>
                  <w:r>
                    <w:rPr>
                      <w:rFonts w:eastAsia="Times New Roman"/>
                      <w:color w:val="auto"/>
                      <w:position w:val="6"/>
                      <w:sz w:val="13"/>
                      <w:szCs w:val="13"/>
                    </w:rPr>
                    <w:t>-3</w:t>
                  </w:r>
                </w:p>
              </w:tc>
              <w:tc>
                <w:tcPr>
                  <w:tcW w:w="367" w:type="pct"/>
                  <w:vAlign w:val="center"/>
                </w:tcPr>
                <w:p w14:paraId="0172BF35">
                  <w:pPr>
                    <w:spacing w:before="178" w:line="254" w:lineRule="exact"/>
                    <w:jc w:val="center"/>
                    <w:rPr>
                      <w:rFonts w:eastAsia="Times New Roman"/>
                      <w:color w:val="auto"/>
                      <w:sz w:val="13"/>
                      <w:szCs w:val="13"/>
                    </w:rPr>
                  </w:pPr>
                  <w:r>
                    <w:rPr>
                      <w:rFonts w:eastAsia="Times New Roman"/>
                      <w:color w:val="auto"/>
                      <w:spacing w:val="-1"/>
                      <w:szCs w:val="21"/>
                    </w:rPr>
                    <w:t>5.21×10</w:t>
                  </w:r>
                  <w:r>
                    <w:rPr>
                      <w:rFonts w:eastAsia="Times New Roman"/>
                      <w:color w:val="auto"/>
                      <w:spacing w:val="-1"/>
                      <w:position w:val="6"/>
                      <w:sz w:val="13"/>
                      <w:szCs w:val="13"/>
                    </w:rPr>
                    <w:t>-3</w:t>
                  </w:r>
                </w:p>
              </w:tc>
              <w:tc>
                <w:tcPr>
                  <w:tcW w:w="367" w:type="pct"/>
                  <w:vAlign w:val="center"/>
                </w:tcPr>
                <w:p w14:paraId="1351604A">
                  <w:pPr>
                    <w:spacing w:before="178" w:line="254" w:lineRule="exact"/>
                    <w:jc w:val="center"/>
                    <w:rPr>
                      <w:rFonts w:eastAsia="Times New Roman"/>
                      <w:color w:val="auto"/>
                      <w:sz w:val="13"/>
                      <w:szCs w:val="13"/>
                    </w:rPr>
                  </w:pPr>
                  <w:r>
                    <w:rPr>
                      <w:rFonts w:eastAsia="Times New Roman"/>
                      <w:color w:val="auto"/>
                      <w:spacing w:val="-1"/>
                      <w:szCs w:val="21"/>
                    </w:rPr>
                    <w:t>5.83×10</w:t>
                  </w:r>
                  <w:r>
                    <w:rPr>
                      <w:rFonts w:eastAsia="Times New Roman"/>
                      <w:color w:val="auto"/>
                      <w:spacing w:val="-1"/>
                      <w:position w:val="6"/>
                      <w:sz w:val="13"/>
                      <w:szCs w:val="13"/>
                    </w:rPr>
                    <w:t>-3</w:t>
                  </w:r>
                </w:p>
              </w:tc>
            </w:tr>
            <w:tr w14:paraId="4A1E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043F64DD">
                  <w:pPr>
                    <w:jc w:val="center"/>
                    <w:rPr>
                      <w:rFonts w:ascii="Arial"/>
                      <w:color w:val="auto"/>
                    </w:rPr>
                  </w:pPr>
                </w:p>
              </w:tc>
              <w:tc>
                <w:tcPr>
                  <w:tcW w:w="662" w:type="pct"/>
                  <w:vAlign w:val="center"/>
                </w:tcPr>
                <w:p w14:paraId="38897739">
                  <w:pPr>
                    <w:pStyle w:val="3488"/>
                    <w:spacing w:before="168" w:line="221" w:lineRule="auto"/>
                    <w:jc w:val="center"/>
                    <w:rPr>
                      <w:color w:val="auto"/>
                      <w:sz w:val="21"/>
                      <w:szCs w:val="21"/>
                    </w:rPr>
                  </w:pPr>
                  <w:r>
                    <w:rPr>
                      <w:color w:val="auto"/>
                      <w:spacing w:val="-1"/>
                      <w:sz w:val="21"/>
                      <w:szCs w:val="21"/>
                    </w:rPr>
                    <w:t>排放速率限值</w:t>
                  </w:r>
                </w:p>
              </w:tc>
              <w:tc>
                <w:tcPr>
                  <w:tcW w:w="254" w:type="pct"/>
                  <w:vAlign w:val="center"/>
                </w:tcPr>
                <w:p w14:paraId="68B9282C">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77A98412">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870363C">
                  <w:pPr>
                    <w:spacing w:before="198" w:line="233" w:lineRule="auto"/>
                    <w:jc w:val="center"/>
                    <w:rPr>
                      <w:rFonts w:eastAsia="Times New Roman"/>
                      <w:color w:val="auto"/>
                      <w:szCs w:val="21"/>
                    </w:rPr>
                  </w:pPr>
                  <w:r>
                    <w:rPr>
                      <w:rFonts w:eastAsia="Times New Roman"/>
                      <w:color w:val="auto"/>
                      <w:spacing w:val="-1"/>
                      <w:szCs w:val="21"/>
                    </w:rPr>
                    <w:t>2.9</w:t>
                  </w:r>
                </w:p>
              </w:tc>
            </w:tr>
            <w:tr w14:paraId="4C1B9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0810792F">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5B2F164F">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0E752C6D">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056E444E">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5D0B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6D3A93D0">
                  <w:pPr>
                    <w:jc w:val="center"/>
                    <w:rPr>
                      <w:rFonts w:ascii="Arial"/>
                      <w:color w:val="auto"/>
                    </w:rPr>
                  </w:pPr>
                </w:p>
              </w:tc>
              <w:tc>
                <w:tcPr>
                  <w:tcW w:w="254" w:type="pct"/>
                  <w:vMerge w:val="continue"/>
                  <w:tcBorders>
                    <w:top w:val="nil"/>
                    <w:bottom w:val="nil"/>
                  </w:tcBorders>
                  <w:vAlign w:val="center"/>
                </w:tcPr>
                <w:p w14:paraId="593E202E">
                  <w:pPr>
                    <w:jc w:val="center"/>
                    <w:rPr>
                      <w:rFonts w:ascii="Arial"/>
                      <w:color w:val="auto"/>
                    </w:rPr>
                  </w:pPr>
                </w:p>
              </w:tc>
              <w:tc>
                <w:tcPr>
                  <w:tcW w:w="2124" w:type="pct"/>
                  <w:gridSpan w:val="7"/>
                  <w:vAlign w:val="center"/>
                </w:tcPr>
                <w:p w14:paraId="0B4CE0DF">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2#</w:t>
                  </w:r>
                  <w:r>
                    <w:rPr>
                      <w:color w:val="auto"/>
                      <w:spacing w:val="-1"/>
                      <w:sz w:val="21"/>
                      <w:szCs w:val="21"/>
                      <w:lang w:eastAsia="zh-CN"/>
                    </w:rPr>
                    <w:t>排气筒进口</w:t>
                  </w:r>
                </w:p>
              </w:tc>
              <w:tc>
                <w:tcPr>
                  <w:tcW w:w="1102" w:type="pct"/>
                  <w:gridSpan w:val="3"/>
                  <w:vAlign w:val="center"/>
                </w:tcPr>
                <w:p w14:paraId="4E02D32F">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2#</w:t>
                  </w:r>
                  <w:r>
                    <w:rPr>
                      <w:color w:val="auto"/>
                      <w:spacing w:val="-1"/>
                      <w:sz w:val="21"/>
                      <w:szCs w:val="21"/>
                      <w:lang w:eastAsia="zh-CN"/>
                    </w:rPr>
                    <w:t>排气筒出口</w:t>
                  </w:r>
                </w:p>
              </w:tc>
            </w:tr>
            <w:tr w14:paraId="260C3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23B66ADB">
                  <w:pPr>
                    <w:jc w:val="center"/>
                    <w:rPr>
                      <w:rFonts w:ascii="Arial"/>
                      <w:color w:val="auto"/>
                    </w:rPr>
                  </w:pPr>
                </w:p>
              </w:tc>
              <w:tc>
                <w:tcPr>
                  <w:tcW w:w="254" w:type="pct"/>
                  <w:vMerge w:val="continue"/>
                  <w:tcBorders>
                    <w:top w:val="nil"/>
                  </w:tcBorders>
                  <w:vAlign w:val="center"/>
                </w:tcPr>
                <w:p w14:paraId="132F75E1">
                  <w:pPr>
                    <w:jc w:val="center"/>
                    <w:rPr>
                      <w:rFonts w:ascii="Arial"/>
                      <w:color w:val="auto"/>
                    </w:rPr>
                  </w:pPr>
                </w:p>
              </w:tc>
              <w:tc>
                <w:tcPr>
                  <w:tcW w:w="1039" w:type="pct"/>
                  <w:vAlign w:val="center"/>
                </w:tcPr>
                <w:p w14:paraId="1C76B8A8">
                  <w:pPr>
                    <w:pStyle w:val="3488"/>
                    <w:spacing w:before="165" w:line="221" w:lineRule="auto"/>
                    <w:jc w:val="center"/>
                    <w:rPr>
                      <w:color w:val="auto"/>
                      <w:sz w:val="21"/>
                      <w:szCs w:val="21"/>
                    </w:rPr>
                  </w:pPr>
                  <w:r>
                    <w:rPr>
                      <w:color w:val="auto"/>
                      <w:spacing w:val="-2"/>
                      <w:sz w:val="21"/>
                      <w:szCs w:val="21"/>
                    </w:rPr>
                    <w:t>第一次</w:t>
                  </w:r>
                </w:p>
              </w:tc>
              <w:tc>
                <w:tcPr>
                  <w:tcW w:w="386" w:type="pct"/>
                  <w:gridSpan w:val="3"/>
                  <w:vAlign w:val="center"/>
                </w:tcPr>
                <w:p w14:paraId="02083F14">
                  <w:pPr>
                    <w:pStyle w:val="3488"/>
                    <w:spacing w:before="165" w:line="221" w:lineRule="auto"/>
                    <w:jc w:val="center"/>
                    <w:rPr>
                      <w:color w:val="auto"/>
                      <w:sz w:val="21"/>
                      <w:szCs w:val="21"/>
                    </w:rPr>
                  </w:pPr>
                  <w:r>
                    <w:rPr>
                      <w:color w:val="auto"/>
                      <w:spacing w:val="-2"/>
                      <w:sz w:val="21"/>
                      <w:szCs w:val="21"/>
                    </w:rPr>
                    <w:t>第二次</w:t>
                  </w:r>
                </w:p>
              </w:tc>
              <w:tc>
                <w:tcPr>
                  <w:tcW w:w="698" w:type="pct"/>
                  <w:gridSpan w:val="3"/>
                  <w:vAlign w:val="center"/>
                </w:tcPr>
                <w:p w14:paraId="00F2F2E4">
                  <w:pPr>
                    <w:pStyle w:val="3488"/>
                    <w:spacing w:before="165" w:line="221" w:lineRule="auto"/>
                    <w:jc w:val="center"/>
                    <w:rPr>
                      <w:color w:val="auto"/>
                      <w:sz w:val="21"/>
                      <w:szCs w:val="21"/>
                    </w:rPr>
                  </w:pPr>
                  <w:r>
                    <w:rPr>
                      <w:color w:val="auto"/>
                      <w:spacing w:val="-2"/>
                      <w:sz w:val="21"/>
                      <w:szCs w:val="21"/>
                    </w:rPr>
                    <w:t>第三次</w:t>
                  </w:r>
                </w:p>
              </w:tc>
              <w:tc>
                <w:tcPr>
                  <w:tcW w:w="367" w:type="pct"/>
                  <w:vAlign w:val="center"/>
                </w:tcPr>
                <w:p w14:paraId="279E9A54">
                  <w:pPr>
                    <w:pStyle w:val="3488"/>
                    <w:spacing w:before="165" w:line="221" w:lineRule="auto"/>
                    <w:jc w:val="center"/>
                    <w:rPr>
                      <w:color w:val="auto"/>
                      <w:sz w:val="21"/>
                      <w:szCs w:val="21"/>
                    </w:rPr>
                  </w:pPr>
                  <w:r>
                    <w:rPr>
                      <w:color w:val="auto"/>
                      <w:spacing w:val="-2"/>
                      <w:sz w:val="21"/>
                      <w:szCs w:val="21"/>
                    </w:rPr>
                    <w:t>第一次</w:t>
                  </w:r>
                </w:p>
              </w:tc>
              <w:tc>
                <w:tcPr>
                  <w:tcW w:w="367" w:type="pct"/>
                  <w:vAlign w:val="center"/>
                </w:tcPr>
                <w:p w14:paraId="31D8602E">
                  <w:pPr>
                    <w:pStyle w:val="3488"/>
                    <w:spacing w:before="165" w:line="221" w:lineRule="auto"/>
                    <w:jc w:val="center"/>
                    <w:rPr>
                      <w:color w:val="auto"/>
                      <w:sz w:val="21"/>
                      <w:szCs w:val="21"/>
                    </w:rPr>
                  </w:pPr>
                  <w:r>
                    <w:rPr>
                      <w:color w:val="auto"/>
                      <w:spacing w:val="-2"/>
                      <w:sz w:val="21"/>
                      <w:szCs w:val="21"/>
                    </w:rPr>
                    <w:t>第二次</w:t>
                  </w:r>
                </w:p>
              </w:tc>
              <w:tc>
                <w:tcPr>
                  <w:tcW w:w="367" w:type="pct"/>
                  <w:vAlign w:val="center"/>
                </w:tcPr>
                <w:p w14:paraId="16975C34">
                  <w:pPr>
                    <w:pStyle w:val="3488"/>
                    <w:spacing w:before="165" w:line="221" w:lineRule="auto"/>
                    <w:jc w:val="center"/>
                    <w:rPr>
                      <w:color w:val="auto"/>
                      <w:sz w:val="21"/>
                      <w:szCs w:val="21"/>
                    </w:rPr>
                  </w:pPr>
                  <w:r>
                    <w:rPr>
                      <w:color w:val="auto"/>
                      <w:spacing w:val="-2"/>
                      <w:sz w:val="21"/>
                      <w:szCs w:val="21"/>
                    </w:rPr>
                    <w:t>第三次</w:t>
                  </w:r>
                </w:p>
              </w:tc>
            </w:tr>
            <w:tr w14:paraId="1E1A4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Align w:val="center"/>
                </w:tcPr>
                <w:p w14:paraId="1D93D534">
                  <w:pPr>
                    <w:pStyle w:val="3488"/>
                    <w:spacing w:before="165" w:line="221" w:lineRule="auto"/>
                    <w:jc w:val="center"/>
                    <w:rPr>
                      <w:color w:val="auto"/>
                      <w:sz w:val="21"/>
                      <w:szCs w:val="21"/>
                    </w:rPr>
                  </w:pPr>
                  <w:r>
                    <w:rPr>
                      <w:color w:val="auto"/>
                      <w:spacing w:val="-1"/>
                      <w:sz w:val="21"/>
                      <w:szCs w:val="21"/>
                    </w:rPr>
                    <w:t>排气筒高度</w:t>
                  </w:r>
                </w:p>
              </w:tc>
              <w:tc>
                <w:tcPr>
                  <w:tcW w:w="254" w:type="pct"/>
                  <w:vAlign w:val="center"/>
                </w:tcPr>
                <w:p w14:paraId="45FAA6B8">
                  <w:pPr>
                    <w:spacing w:before="193"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2E8F89B2">
                  <w:pPr>
                    <w:spacing w:before="285"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0101E293">
                  <w:pPr>
                    <w:spacing w:before="193" w:line="234" w:lineRule="auto"/>
                    <w:jc w:val="center"/>
                    <w:rPr>
                      <w:rFonts w:eastAsia="Times New Roman"/>
                      <w:color w:val="auto"/>
                      <w:szCs w:val="21"/>
                    </w:rPr>
                  </w:pPr>
                  <w:r>
                    <w:rPr>
                      <w:rFonts w:eastAsia="Times New Roman"/>
                      <w:color w:val="auto"/>
                      <w:spacing w:val="-6"/>
                      <w:szCs w:val="21"/>
                    </w:rPr>
                    <w:t>15</w:t>
                  </w:r>
                </w:p>
              </w:tc>
            </w:tr>
            <w:tr w14:paraId="29DC1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3E03C241">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4C5BB53E">
                  <w:pPr>
                    <w:pStyle w:val="3488"/>
                    <w:spacing w:before="169" w:line="221" w:lineRule="auto"/>
                    <w:jc w:val="center"/>
                    <w:rPr>
                      <w:color w:val="auto"/>
                      <w:sz w:val="21"/>
                      <w:szCs w:val="21"/>
                    </w:rPr>
                  </w:pPr>
                  <w:r>
                    <w:rPr>
                      <w:color w:val="auto"/>
                      <w:spacing w:val="-2"/>
                      <w:sz w:val="21"/>
                      <w:szCs w:val="21"/>
                    </w:rPr>
                    <w:t>排放浓度</w:t>
                  </w:r>
                </w:p>
              </w:tc>
              <w:tc>
                <w:tcPr>
                  <w:tcW w:w="254" w:type="pct"/>
                  <w:vAlign w:val="center"/>
                </w:tcPr>
                <w:p w14:paraId="5A24D3C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018D9ECC">
                  <w:pPr>
                    <w:spacing w:before="196" w:line="234" w:lineRule="auto"/>
                    <w:jc w:val="center"/>
                    <w:rPr>
                      <w:rFonts w:eastAsia="Times New Roman"/>
                      <w:color w:val="auto"/>
                      <w:szCs w:val="21"/>
                    </w:rPr>
                  </w:pPr>
                  <w:r>
                    <w:rPr>
                      <w:rFonts w:eastAsia="Times New Roman"/>
                      <w:color w:val="auto"/>
                      <w:spacing w:val="-2"/>
                      <w:szCs w:val="21"/>
                    </w:rPr>
                    <w:t>340</w:t>
                  </w:r>
                </w:p>
              </w:tc>
              <w:tc>
                <w:tcPr>
                  <w:tcW w:w="386" w:type="pct"/>
                  <w:gridSpan w:val="3"/>
                  <w:vAlign w:val="center"/>
                </w:tcPr>
                <w:p w14:paraId="25F3EE91">
                  <w:pPr>
                    <w:spacing w:before="196" w:line="233" w:lineRule="auto"/>
                    <w:jc w:val="center"/>
                    <w:rPr>
                      <w:rFonts w:eastAsia="Times New Roman"/>
                      <w:color w:val="auto"/>
                      <w:szCs w:val="21"/>
                    </w:rPr>
                  </w:pPr>
                  <w:r>
                    <w:rPr>
                      <w:rFonts w:eastAsia="Times New Roman"/>
                      <w:color w:val="auto"/>
                      <w:spacing w:val="-2"/>
                      <w:szCs w:val="21"/>
                    </w:rPr>
                    <w:t>370</w:t>
                  </w:r>
                </w:p>
              </w:tc>
              <w:tc>
                <w:tcPr>
                  <w:tcW w:w="698" w:type="pct"/>
                  <w:gridSpan w:val="3"/>
                  <w:vAlign w:val="center"/>
                </w:tcPr>
                <w:p w14:paraId="09350319">
                  <w:pPr>
                    <w:spacing w:before="196" w:line="234" w:lineRule="auto"/>
                    <w:jc w:val="center"/>
                    <w:rPr>
                      <w:rFonts w:eastAsia="Times New Roman"/>
                      <w:color w:val="auto"/>
                      <w:szCs w:val="21"/>
                    </w:rPr>
                  </w:pPr>
                  <w:r>
                    <w:rPr>
                      <w:rFonts w:eastAsia="Times New Roman"/>
                      <w:color w:val="auto"/>
                      <w:spacing w:val="-2"/>
                      <w:szCs w:val="21"/>
                    </w:rPr>
                    <w:t>345</w:t>
                  </w:r>
                </w:p>
              </w:tc>
              <w:tc>
                <w:tcPr>
                  <w:tcW w:w="367" w:type="pct"/>
                  <w:vAlign w:val="center"/>
                </w:tcPr>
                <w:p w14:paraId="2A2AC793">
                  <w:pPr>
                    <w:spacing w:before="196" w:line="233" w:lineRule="auto"/>
                    <w:jc w:val="center"/>
                    <w:rPr>
                      <w:rFonts w:eastAsia="Times New Roman"/>
                      <w:color w:val="auto"/>
                      <w:szCs w:val="21"/>
                    </w:rPr>
                  </w:pPr>
                  <w:r>
                    <w:rPr>
                      <w:rFonts w:eastAsia="Times New Roman"/>
                      <w:color w:val="auto"/>
                      <w:spacing w:val="-1"/>
                      <w:szCs w:val="21"/>
                    </w:rPr>
                    <w:t>2.3</w:t>
                  </w:r>
                </w:p>
              </w:tc>
              <w:tc>
                <w:tcPr>
                  <w:tcW w:w="367" w:type="pct"/>
                  <w:vAlign w:val="center"/>
                </w:tcPr>
                <w:p w14:paraId="7932AB71">
                  <w:pPr>
                    <w:spacing w:before="196" w:line="233" w:lineRule="auto"/>
                    <w:jc w:val="center"/>
                    <w:rPr>
                      <w:rFonts w:eastAsia="Times New Roman"/>
                      <w:color w:val="auto"/>
                      <w:szCs w:val="21"/>
                    </w:rPr>
                  </w:pPr>
                  <w:r>
                    <w:rPr>
                      <w:rFonts w:eastAsia="Times New Roman"/>
                      <w:color w:val="auto"/>
                      <w:spacing w:val="-1"/>
                      <w:szCs w:val="21"/>
                    </w:rPr>
                    <w:t>2.1</w:t>
                  </w:r>
                </w:p>
              </w:tc>
              <w:tc>
                <w:tcPr>
                  <w:tcW w:w="367" w:type="pct"/>
                  <w:vAlign w:val="center"/>
                </w:tcPr>
                <w:p w14:paraId="7E8A81B5">
                  <w:pPr>
                    <w:spacing w:before="196" w:line="233" w:lineRule="auto"/>
                    <w:jc w:val="center"/>
                    <w:rPr>
                      <w:rFonts w:eastAsia="Times New Roman"/>
                      <w:color w:val="auto"/>
                      <w:szCs w:val="21"/>
                    </w:rPr>
                  </w:pPr>
                  <w:r>
                    <w:rPr>
                      <w:rFonts w:eastAsia="Times New Roman"/>
                      <w:color w:val="auto"/>
                      <w:spacing w:val="-1"/>
                      <w:szCs w:val="21"/>
                    </w:rPr>
                    <w:t>2.2</w:t>
                  </w:r>
                </w:p>
              </w:tc>
            </w:tr>
            <w:tr w14:paraId="7FFDD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F0521ED">
                  <w:pPr>
                    <w:jc w:val="center"/>
                    <w:rPr>
                      <w:rFonts w:ascii="Arial"/>
                      <w:color w:val="auto"/>
                    </w:rPr>
                  </w:pPr>
                </w:p>
              </w:tc>
              <w:tc>
                <w:tcPr>
                  <w:tcW w:w="662" w:type="pct"/>
                  <w:vAlign w:val="center"/>
                </w:tcPr>
                <w:p w14:paraId="6650F866">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7B2FCF5B">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78541925">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7228DAB1">
                  <w:pPr>
                    <w:spacing w:before="196" w:line="234" w:lineRule="auto"/>
                    <w:jc w:val="center"/>
                    <w:rPr>
                      <w:rFonts w:eastAsia="Times New Roman"/>
                      <w:color w:val="auto"/>
                      <w:szCs w:val="21"/>
                    </w:rPr>
                  </w:pPr>
                  <w:r>
                    <w:rPr>
                      <w:rFonts w:eastAsia="Times New Roman"/>
                      <w:color w:val="auto"/>
                      <w:spacing w:val="-6"/>
                      <w:szCs w:val="21"/>
                    </w:rPr>
                    <w:t>120</w:t>
                  </w:r>
                </w:p>
              </w:tc>
            </w:tr>
            <w:tr w14:paraId="11C1C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7209DF41">
                  <w:pPr>
                    <w:jc w:val="center"/>
                    <w:rPr>
                      <w:rFonts w:ascii="Arial"/>
                      <w:color w:val="auto"/>
                    </w:rPr>
                  </w:pPr>
                </w:p>
              </w:tc>
              <w:tc>
                <w:tcPr>
                  <w:tcW w:w="662" w:type="pct"/>
                  <w:vAlign w:val="center"/>
                </w:tcPr>
                <w:p w14:paraId="6D83A3D2">
                  <w:pPr>
                    <w:pStyle w:val="3488"/>
                    <w:spacing w:before="167" w:line="221" w:lineRule="auto"/>
                    <w:jc w:val="center"/>
                    <w:rPr>
                      <w:color w:val="auto"/>
                      <w:sz w:val="21"/>
                      <w:szCs w:val="21"/>
                    </w:rPr>
                  </w:pPr>
                  <w:r>
                    <w:rPr>
                      <w:color w:val="auto"/>
                      <w:spacing w:val="-2"/>
                      <w:sz w:val="21"/>
                      <w:szCs w:val="21"/>
                    </w:rPr>
                    <w:t>排放速率</w:t>
                  </w:r>
                </w:p>
              </w:tc>
              <w:tc>
                <w:tcPr>
                  <w:tcW w:w="254" w:type="pct"/>
                  <w:vAlign w:val="center"/>
                </w:tcPr>
                <w:p w14:paraId="5F60EA20">
                  <w:pPr>
                    <w:spacing w:before="197" w:line="191" w:lineRule="auto"/>
                    <w:jc w:val="center"/>
                    <w:rPr>
                      <w:rFonts w:eastAsia="Times New Roman"/>
                      <w:color w:val="auto"/>
                      <w:szCs w:val="21"/>
                    </w:rPr>
                  </w:pPr>
                  <w:r>
                    <w:rPr>
                      <w:rFonts w:eastAsia="Times New Roman"/>
                      <w:color w:val="auto"/>
                      <w:szCs w:val="21"/>
                    </w:rPr>
                    <w:t>kg/h</w:t>
                  </w:r>
                </w:p>
              </w:tc>
              <w:tc>
                <w:tcPr>
                  <w:tcW w:w="1039" w:type="pct"/>
                  <w:vAlign w:val="center"/>
                </w:tcPr>
                <w:p w14:paraId="374E243E">
                  <w:pPr>
                    <w:spacing w:before="197" w:line="233" w:lineRule="auto"/>
                    <w:jc w:val="center"/>
                    <w:rPr>
                      <w:rFonts w:eastAsia="Times New Roman"/>
                      <w:color w:val="auto"/>
                      <w:szCs w:val="21"/>
                    </w:rPr>
                  </w:pPr>
                  <w:r>
                    <w:rPr>
                      <w:rFonts w:eastAsia="Times New Roman"/>
                      <w:color w:val="auto"/>
                      <w:spacing w:val="-2"/>
                      <w:szCs w:val="21"/>
                    </w:rPr>
                    <w:t>3.30</w:t>
                  </w:r>
                </w:p>
              </w:tc>
              <w:tc>
                <w:tcPr>
                  <w:tcW w:w="386" w:type="pct"/>
                  <w:gridSpan w:val="3"/>
                  <w:vAlign w:val="center"/>
                </w:tcPr>
                <w:p w14:paraId="5993D857">
                  <w:pPr>
                    <w:spacing w:before="197" w:line="233" w:lineRule="auto"/>
                    <w:jc w:val="center"/>
                    <w:rPr>
                      <w:rFonts w:eastAsia="Times New Roman"/>
                      <w:color w:val="auto"/>
                      <w:szCs w:val="21"/>
                    </w:rPr>
                  </w:pPr>
                  <w:r>
                    <w:rPr>
                      <w:rFonts w:eastAsia="Times New Roman"/>
                      <w:color w:val="auto"/>
                      <w:spacing w:val="-2"/>
                      <w:szCs w:val="21"/>
                    </w:rPr>
                    <w:t>3.64</w:t>
                  </w:r>
                </w:p>
              </w:tc>
              <w:tc>
                <w:tcPr>
                  <w:tcW w:w="698" w:type="pct"/>
                  <w:gridSpan w:val="3"/>
                  <w:vAlign w:val="center"/>
                </w:tcPr>
                <w:p w14:paraId="4A0378ED">
                  <w:pPr>
                    <w:spacing w:before="197" w:line="233" w:lineRule="auto"/>
                    <w:jc w:val="center"/>
                    <w:rPr>
                      <w:rFonts w:eastAsia="Times New Roman"/>
                      <w:color w:val="auto"/>
                      <w:szCs w:val="21"/>
                    </w:rPr>
                  </w:pPr>
                  <w:r>
                    <w:rPr>
                      <w:rFonts w:eastAsia="Times New Roman"/>
                      <w:color w:val="auto"/>
                      <w:spacing w:val="-2"/>
                      <w:szCs w:val="21"/>
                    </w:rPr>
                    <w:t>3.50</w:t>
                  </w:r>
                </w:p>
              </w:tc>
              <w:tc>
                <w:tcPr>
                  <w:tcW w:w="367" w:type="pct"/>
                  <w:vAlign w:val="center"/>
                </w:tcPr>
                <w:p w14:paraId="29D4DB00">
                  <w:pPr>
                    <w:spacing w:before="197" w:line="233" w:lineRule="auto"/>
                    <w:jc w:val="center"/>
                    <w:rPr>
                      <w:rFonts w:eastAsia="Times New Roman"/>
                      <w:color w:val="auto"/>
                      <w:szCs w:val="21"/>
                    </w:rPr>
                  </w:pPr>
                  <w:r>
                    <w:rPr>
                      <w:rFonts w:eastAsia="Times New Roman"/>
                      <w:color w:val="auto"/>
                      <w:spacing w:val="-1"/>
                      <w:szCs w:val="21"/>
                    </w:rPr>
                    <w:t>0.0219</w:t>
                  </w:r>
                </w:p>
              </w:tc>
              <w:tc>
                <w:tcPr>
                  <w:tcW w:w="367" w:type="pct"/>
                  <w:vAlign w:val="center"/>
                </w:tcPr>
                <w:p w14:paraId="2702183A">
                  <w:pPr>
                    <w:spacing w:before="197" w:line="233" w:lineRule="auto"/>
                    <w:jc w:val="center"/>
                    <w:rPr>
                      <w:rFonts w:eastAsia="Times New Roman"/>
                      <w:color w:val="auto"/>
                      <w:szCs w:val="21"/>
                    </w:rPr>
                  </w:pPr>
                  <w:r>
                    <w:rPr>
                      <w:rFonts w:eastAsia="Times New Roman"/>
                      <w:color w:val="auto"/>
                      <w:spacing w:val="-1"/>
                      <w:szCs w:val="21"/>
                    </w:rPr>
                    <w:t>0.0195</w:t>
                  </w:r>
                </w:p>
              </w:tc>
              <w:tc>
                <w:tcPr>
                  <w:tcW w:w="367" w:type="pct"/>
                  <w:vAlign w:val="center"/>
                </w:tcPr>
                <w:p w14:paraId="22CCFD73">
                  <w:pPr>
                    <w:spacing w:before="197" w:line="233" w:lineRule="auto"/>
                    <w:jc w:val="center"/>
                    <w:rPr>
                      <w:rFonts w:eastAsia="Times New Roman"/>
                      <w:color w:val="auto"/>
                      <w:szCs w:val="21"/>
                    </w:rPr>
                  </w:pPr>
                  <w:r>
                    <w:rPr>
                      <w:rFonts w:eastAsia="Times New Roman"/>
                      <w:color w:val="auto"/>
                      <w:spacing w:val="-1"/>
                      <w:szCs w:val="21"/>
                    </w:rPr>
                    <w:t>0.0208</w:t>
                  </w:r>
                </w:p>
              </w:tc>
            </w:tr>
            <w:tr w14:paraId="6898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tcBorders>
                  <w:vAlign w:val="center"/>
                </w:tcPr>
                <w:p w14:paraId="3B1A5665">
                  <w:pPr>
                    <w:jc w:val="center"/>
                    <w:rPr>
                      <w:rFonts w:ascii="Arial"/>
                      <w:color w:val="auto"/>
                    </w:rPr>
                  </w:pPr>
                </w:p>
              </w:tc>
              <w:tc>
                <w:tcPr>
                  <w:tcW w:w="662" w:type="pct"/>
                  <w:vAlign w:val="center"/>
                </w:tcPr>
                <w:p w14:paraId="30CFC914">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4C011561">
                  <w:pPr>
                    <w:spacing w:before="195"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2AFECED4">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67703AD7">
                  <w:pPr>
                    <w:spacing w:before="196" w:line="233" w:lineRule="auto"/>
                    <w:jc w:val="center"/>
                    <w:rPr>
                      <w:rFonts w:eastAsia="Times New Roman"/>
                      <w:color w:val="auto"/>
                      <w:szCs w:val="21"/>
                    </w:rPr>
                  </w:pPr>
                  <w:r>
                    <w:rPr>
                      <w:rFonts w:eastAsia="Times New Roman"/>
                      <w:color w:val="auto"/>
                      <w:spacing w:val="-2"/>
                      <w:szCs w:val="21"/>
                    </w:rPr>
                    <w:t>3.5</w:t>
                  </w:r>
                </w:p>
              </w:tc>
            </w:tr>
            <w:tr w14:paraId="21978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4BDDB190">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2D4B4DCD">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3222437E">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4ADE3CC1">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0BF32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57D3C5D2">
                  <w:pPr>
                    <w:jc w:val="center"/>
                    <w:rPr>
                      <w:rFonts w:ascii="Arial"/>
                      <w:color w:val="auto"/>
                    </w:rPr>
                  </w:pPr>
                </w:p>
              </w:tc>
              <w:tc>
                <w:tcPr>
                  <w:tcW w:w="254" w:type="pct"/>
                  <w:vMerge w:val="continue"/>
                  <w:tcBorders>
                    <w:top w:val="nil"/>
                    <w:bottom w:val="nil"/>
                  </w:tcBorders>
                  <w:vAlign w:val="center"/>
                </w:tcPr>
                <w:p w14:paraId="7BF558F8">
                  <w:pPr>
                    <w:jc w:val="center"/>
                    <w:rPr>
                      <w:rFonts w:ascii="Arial"/>
                      <w:color w:val="auto"/>
                    </w:rPr>
                  </w:pPr>
                </w:p>
              </w:tc>
              <w:tc>
                <w:tcPr>
                  <w:tcW w:w="2124" w:type="pct"/>
                  <w:gridSpan w:val="7"/>
                  <w:vAlign w:val="center"/>
                </w:tcPr>
                <w:p w14:paraId="7A483E59">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2#</w:t>
                  </w:r>
                  <w:r>
                    <w:rPr>
                      <w:color w:val="auto"/>
                      <w:spacing w:val="-1"/>
                      <w:sz w:val="21"/>
                      <w:szCs w:val="21"/>
                      <w:lang w:eastAsia="zh-CN"/>
                    </w:rPr>
                    <w:t>排气筒进口</w:t>
                  </w:r>
                </w:p>
              </w:tc>
              <w:tc>
                <w:tcPr>
                  <w:tcW w:w="1102" w:type="pct"/>
                  <w:gridSpan w:val="3"/>
                  <w:vAlign w:val="center"/>
                </w:tcPr>
                <w:p w14:paraId="5C9ED6E0">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2#</w:t>
                  </w:r>
                  <w:r>
                    <w:rPr>
                      <w:color w:val="auto"/>
                      <w:spacing w:val="-1"/>
                      <w:sz w:val="21"/>
                      <w:szCs w:val="21"/>
                      <w:lang w:eastAsia="zh-CN"/>
                    </w:rPr>
                    <w:t>排气筒出口</w:t>
                  </w:r>
                </w:p>
              </w:tc>
            </w:tr>
            <w:tr w14:paraId="0A8EA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18" w:type="pct"/>
                  <w:gridSpan w:val="2"/>
                  <w:vMerge w:val="continue"/>
                  <w:tcBorders>
                    <w:top w:val="nil"/>
                  </w:tcBorders>
                  <w:vAlign w:val="center"/>
                </w:tcPr>
                <w:p w14:paraId="6F5C74F1">
                  <w:pPr>
                    <w:jc w:val="center"/>
                    <w:rPr>
                      <w:rFonts w:ascii="Arial"/>
                      <w:color w:val="auto"/>
                    </w:rPr>
                  </w:pPr>
                </w:p>
              </w:tc>
              <w:tc>
                <w:tcPr>
                  <w:tcW w:w="254" w:type="pct"/>
                  <w:vMerge w:val="continue"/>
                  <w:tcBorders>
                    <w:top w:val="nil"/>
                  </w:tcBorders>
                  <w:vAlign w:val="center"/>
                </w:tcPr>
                <w:p w14:paraId="0F2431C7">
                  <w:pPr>
                    <w:jc w:val="center"/>
                    <w:rPr>
                      <w:rFonts w:ascii="Arial"/>
                      <w:color w:val="auto"/>
                    </w:rPr>
                  </w:pPr>
                </w:p>
              </w:tc>
              <w:tc>
                <w:tcPr>
                  <w:tcW w:w="1039" w:type="pct"/>
                  <w:vAlign w:val="center"/>
                </w:tcPr>
                <w:p w14:paraId="3FABAFDC">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040FDCA4">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635378D9">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137D9C75">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4AB6E3CB">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50127C14">
                  <w:pPr>
                    <w:pStyle w:val="3488"/>
                    <w:spacing w:before="164" w:line="221" w:lineRule="auto"/>
                    <w:jc w:val="center"/>
                    <w:rPr>
                      <w:color w:val="auto"/>
                      <w:sz w:val="21"/>
                      <w:szCs w:val="21"/>
                    </w:rPr>
                  </w:pPr>
                  <w:r>
                    <w:rPr>
                      <w:color w:val="auto"/>
                      <w:spacing w:val="-2"/>
                      <w:sz w:val="21"/>
                      <w:szCs w:val="21"/>
                    </w:rPr>
                    <w:t>第三次</w:t>
                  </w:r>
                </w:p>
              </w:tc>
            </w:tr>
            <w:tr w14:paraId="39E1E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4" w:hRule="atLeast"/>
              </w:trPr>
              <w:tc>
                <w:tcPr>
                  <w:tcW w:w="1518" w:type="pct"/>
                  <w:gridSpan w:val="2"/>
                  <w:vAlign w:val="center"/>
                </w:tcPr>
                <w:p w14:paraId="3E367499">
                  <w:pPr>
                    <w:pStyle w:val="3488"/>
                    <w:spacing w:before="168" w:line="221" w:lineRule="auto"/>
                    <w:jc w:val="center"/>
                    <w:rPr>
                      <w:color w:val="auto"/>
                      <w:sz w:val="21"/>
                      <w:szCs w:val="21"/>
                    </w:rPr>
                  </w:pPr>
                  <w:r>
                    <w:rPr>
                      <w:color w:val="auto"/>
                      <w:spacing w:val="-1"/>
                      <w:sz w:val="21"/>
                      <w:szCs w:val="21"/>
                    </w:rPr>
                    <w:t>排气筒高度</w:t>
                  </w:r>
                </w:p>
              </w:tc>
              <w:tc>
                <w:tcPr>
                  <w:tcW w:w="254" w:type="pct"/>
                  <w:vAlign w:val="center"/>
                </w:tcPr>
                <w:p w14:paraId="61B6A25B">
                  <w:pPr>
                    <w:spacing w:before="196"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5BC9D23A">
                  <w:pPr>
                    <w:spacing w:before="287" w:line="101"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3770E33A">
                  <w:pPr>
                    <w:spacing w:before="195" w:line="234" w:lineRule="auto"/>
                    <w:jc w:val="center"/>
                    <w:rPr>
                      <w:rFonts w:eastAsia="Times New Roman"/>
                      <w:color w:val="auto"/>
                      <w:szCs w:val="21"/>
                    </w:rPr>
                  </w:pPr>
                  <w:r>
                    <w:rPr>
                      <w:rFonts w:eastAsia="Times New Roman"/>
                      <w:color w:val="auto"/>
                      <w:spacing w:val="-6"/>
                      <w:szCs w:val="21"/>
                    </w:rPr>
                    <w:t>15</w:t>
                  </w:r>
                </w:p>
              </w:tc>
            </w:tr>
            <w:tr w14:paraId="2681D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20F287CD">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3F7A6E61">
                  <w:pPr>
                    <w:pStyle w:val="3488"/>
                    <w:spacing w:before="167" w:line="221" w:lineRule="auto"/>
                    <w:jc w:val="center"/>
                    <w:rPr>
                      <w:color w:val="auto"/>
                      <w:sz w:val="21"/>
                      <w:szCs w:val="21"/>
                    </w:rPr>
                  </w:pPr>
                  <w:r>
                    <w:rPr>
                      <w:color w:val="auto"/>
                      <w:spacing w:val="-2"/>
                      <w:sz w:val="21"/>
                      <w:szCs w:val="21"/>
                    </w:rPr>
                    <w:t>排放浓度</w:t>
                  </w:r>
                </w:p>
              </w:tc>
              <w:tc>
                <w:tcPr>
                  <w:tcW w:w="254" w:type="pct"/>
                  <w:vAlign w:val="center"/>
                </w:tcPr>
                <w:p w14:paraId="1AAE2E3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53D96183">
                  <w:pPr>
                    <w:spacing w:before="197" w:line="233" w:lineRule="auto"/>
                    <w:jc w:val="center"/>
                    <w:rPr>
                      <w:rFonts w:eastAsia="Times New Roman"/>
                      <w:color w:val="auto"/>
                      <w:szCs w:val="21"/>
                    </w:rPr>
                  </w:pPr>
                  <w:r>
                    <w:rPr>
                      <w:rFonts w:eastAsia="Times New Roman"/>
                      <w:color w:val="auto"/>
                      <w:spacing w:val="-2"/>
                      <w:szCs w:val="21"/>
                    </w:rPr>
                    <w:t>392</w:t>
                  </w:r>
                </w:p>
              </w:tc>
              <w:tc>
                <w:tcPr>
                  <w:tcW w:w="386" w:type="pct"/>
                  <w:gridSpan w:val="3"/>
                  <w:vAlign w:val="center"/>
                </w:tcPr>
                <w:p w14:paraId="5EF15C4D">
                  <w:pPr>
                    <w:spacing w:before="196" w:line="236" w:lineRule="auto"/>
                    <w:jc w:val="center"/>
                    <w:rPr>
                      <w:rFonts w:eastAsia="Times New Roman"/>
                      <w:color w:val="auto"/>
                      <w:szCs w:val="21"/>
                    </w:rPr>
                  </w:pPr>
                  <w:r>
                    <w:rPr>
                      <w:rFonts w:eastAsia="Times New Roman"/>
                      <w:color w:val="auto"/>
                      <w:spacing w:val="-1"/>
                      <w:szCs w:val="21"/>
                    </w:rPr>
                    <w:t>411</w:t>
                  </w:r>
                </w:p>
              </w:tc>
              <w:tc>
                <w:tcPr>
                  <w:tcW w:w="698" w:type="pct"/>
                  <w:gridSpan w:val="3"/>
                  <w:vAlign w:val="center"/>
                </w:tcPr>
                <w:p w14:paraId="22BF7584">
                  <w:pPr>
                    <w:spacing w:before="196" w:line="234" w:lineRule="auto"/>
                    <w:jc w:val="center"/>
                    <w:rPr>
                      <w:rFonts w:eastAsia="Times New Roman"/>
                      <w:color w:val="auto"/>
                      <w:szCs w:val="21"/>
                    </w:rPr>
                  </w:pPr>
                  <w:r>
                    <w:rPr>
                      <w:rFonts w:eastAsia="Times New Roman"/>
                      <w:color w:val="auto"/>
                      <w:spacing w:val="-2"/>
                      <w:szCs w:val="21"/>
                    </w:rPr>
                    <w:t>365</w:t>
                  </w:r>
                </w:p>
              </w:tc>
              <w:tc>
                <w:tcPr>
                  <w:tcW w:w="367" w:type="pct"/>
                  <w:vAlign w:val="center"/>
                </w:tcPr>
                <w:p w14:paraId="5969E692">
                  <w:pPr>
                    <w:spacing w:before="197" w:line="233" w:lineRule="auto"/>
                    <w:jc w:val="center"/>
                    <w:rPr>
                      <w:rFonts w:eastAsia="Times New Roman"/>
                      <w:color w:val="auto"/>
                      <w:szCs w:val="21"/>
                    </w:rPr>
                  </w:pPr>
                  <w:r>
                    <w:rPr>
                      <w:rFonts w:eastAsia="Times New Roman"/>
                      <w:color w:val="auto"/>
                      <w:spacing w:val="-1"/>
                      <w:szCs w:val="21"/>
                    </w:rPr>
                    <w:t>2.2</w:t>
                  </w:r>
                </w:p>
              </w:tc>
              <w:tc>
                <w:tcPr>
                  <w:tcW w:w="367" w:type="pct"/>
                  <w:vAlign w:val="center"/>
                </w:tcPr>
                <w:p w14:paraId="5AA7AF8F">
                  <w:pPr>
                    <w:spacing w:before="197" w:line="233" w:lineRule="auto"/>
                    <w:jc w:val="center"/>
                    <w:rPr>
                      <w:rFonts w:eastAsia="Times New Roman"/>
                      <w:color w:val="auto"/>
                      <w:szCs w:val="21"/>
                    </w:rPr>
                  </w:pPr>
                  <w:r>
                    <w:rPr>
                      <w:rFonts w:eastAsia="Times New Roman"/>
                      <w:color w:val="auto"/>
                      <w:spacing w:val="-1"/>
                      <w:szCs w:val="21"/>
                    </w:rPr>
                    <w:t>2.3</w:t>
                  </w:r>
                </w:p>
              </w:tc>
              <w:tc>
                <w:tcPr>
                  <w:tcW w:w="367" w:type="pct"/>
                  <w:vAlign w:val="center"/>
                </w:tcPr>
                <w:p w14:paraId="15B77091">
                  <w:pPr>
                    <w:spacing w:before="197" w:line="233" w:lineRule="auto"/>
                    <w:jc w:val="center"/>
                    <w:rPr>
                      <w:rFonts w:eastAsia="Times New Roman"/>
                      <w:color w:val="auto"/>
                      <w:szCs w:val="21"/>
                    </w:rPr>
                  </w:pPr>
                  <w:r>
                    <w:rPr>
                      <w:rFonts w:eastAsia="Times New Roman"/>
                      <w:color w:val="auto"/>
                      <w:spacing w:val="-1"/>
                      <w:szCs w:val="21"/>
                    </w:rPr>
                    <w:t>2.1</w:t>
                  </w:r>
                </w:p>
              </w:tc>
            </w:tr>
            <w:tr w14:paraId="2D759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6D2027FB">
                  <w:pPr>
                    <w:jc w:val="center"/>
                    <w:rPr>
                      <w:rFonts w:ascii="Arial"/>
                      <w:color w:val="auto"/>
                    </w:rPr>
                  </w:pPr>
                </w:p>
              </w:tc>
              <w:tc>
                <w:tcPr>
                  <w:tcW w:w="662" w:type="pct"/>
                  <w:vAlign w:val="center"/>
                </w:tcPr>
                <w:p w14:paraId="10B605BD">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52286E97">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3B060FB2">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793990B3">
                  <w:pPr>
                    <w:spacing w:before="197" w:line="234" w:lineRule="auto"/>
                    <w:jc w:val="center"/>
                    <w:rPr>
                      <w:rFonts w:eastAsia="Times New Roman"/>
                      <w:color w:val="auto"/>
                      <w:szCs w:val="21"/>
                    </w:rPr>
                  </w:pPr>
                  <w:r>
                    <w:rPr>
                      <w:rFonts w:eastAsia="Times New Roman"/>
                      <w:color w:val="auto"/>
                      <w:spacing w:val="-6"/>
                      <w:szCs w:val="21"/>
                    </w:rPr>
                    <w:t>120</w:t>
                  </w:r>
                </w:p>
              </w:tc>
            </w:tr>
            <w:tr w14:paraId="0793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0C067576">
                  <w:pPr>
                    <w:jc w:val="center"/>
                    <w:rPr>
                      <w:rFonts w:ascii="Arial"/>
                      <w:color w:val="auto"/>
                    </w:rPr>
                  </w:pPr>
                </w:p>
              </w:tc>
              <w:tc>
                <w:tcPr>
                  <w:tcW w:w="662" w:type="pct"/>
                  <w:vAlign w:val="center"/>
                </w:tcPr>
                <w:p w14:paraId="719A00E4">
                  <w:pPr>
                    <w:pStyle w:val="3488"/>
                    <w:spacing w:before="168" w:line="221" w:lineRule="auto"/>
                    <w:jc w:val="center"/>
                    <w:rPr>
                      <w:color w:val="auto"/>
                      <w:sz w:val="21"/>
                      <w:szCs w:val="21"/>
                    </w:rPr>
                  </w:pPr>
                  <w:r>
                    <w:rPr>
                      <w:color w:val="auto"/>
                      <w:spacing w:val="-2"/>
                      <w:sz w:val="21"/>
                      <w:szCs w:val="21"/>
                    </w:rPr>
                    <w:t>排放速率</w:t>
                  </w:r>
                </w:p>
              </w:tc>
              <w:tc>
                <w:tcPr>
                  <w:tcW w:w="254" w:type="pct"/>
                  <w:vAlign w:val="center"/>
                </w:tcPr>
                <w:p w14:paraId="5E89BFE6">
                  <w:pPr>
                    <w:spacing w:before="196" w:line="191" w:lineRule="auto"/>
                    <w:jc w:val="center"/>
                    <w:rPr>
                      <w:rFonts w:eastAsia="Times New Roman"/>
                      <w:color w:val="auto"/>
                      <w:szCs w:val="21"/>
                    </w:rPr>
                  </w:pPr>
                  <w:r>
                    <w:rPr>
                      <w:rFonts w:eastAsia="Times New Roman"/>
                      <w:color w:val="auto"/>
                      <w:szCs w:val="21"/>
                    </w:rPr>
                    <w:t>kg/h</w:t>
                  </w:r>
                </w:p>
              </w:tc>
              <w:tc>
                <w:tcPr>
                  <w:tcW w:w="1039" w:type="pct"/>
                  <w:vAlign w:val="center"/>
                </w:tcPr>
                <w:p w14:paraId="10D48C9B">
                  <w:pPr>
                    <w:spacing w:before="196" w:line="233" w:lineRule="auto"/>
                    <w:jc w:val="center"/>
                    <w:rPr>
                      <w:rFonts w:eastAsia="Times New Roman"/>
                      <w:color w:val="auto"/>
                      <w:szCs w:val="21"/>
                    </w:rPr>
                  </w:pPr>
                  <w:r>
                    <w:rPr>
                      <w:rFonts w:eastAsia="Times New Roman"/>
                      <w:color w:val="auto"/>
                      <w:spacing w:val="-2"/>
                      <w:szCs w:val="21"/>
                    </w:rPr>
                    <w:t>3.46</w:t>
                  </w:r>
                </w:p>
              </w:tc>
              <w:tc>
                <w:tcPr>
                  <w:tcW w:w="386" w:type="pct"/>
                  <w:gridSpan w:val="3"/>
                  <w:vAlign w:val="center"/>
                </w:tcPr>
                <w:p w14:paraId="15621841">
                  <w:pPr>
                    <w:spacing w:before="196" w:line="233" w:lineRule="auto"/>
                    <w:jc w:val="center"/>
                    <w:rPr>
                      <w:rFonts w:eastAsia="Times New Roman"/>
                      <w:color w:val="auto"/>
                      <w:szCs w:val="21"/>
                    </w:rPr>
                  </w:pPr>
                  <w:r>
                    <w:rPr>
                      <w:rFonts w:eastAsia="Times New Roman"/>
                      <w:color w:val="auto"/>
                      <w:spacing w:val="-2"/>
                      <w:szCs w:val="21"/>
                    </w:rPr>
                    <w:t>3.83</w:t>
                  </w:r>
                </w:p>
              </w:tc>
              <w:tc>
                <w:tcPr>
                  <w:tcW w:w="698" w:type="pct"/>
                  <w:gridSpan w:val="3"/>
                  <w:vAlign w:val="center"/>
                </w:tcPr>
                <w:p w14:paraId="6AAF7B95">
                  <w:pPr>
                    <w:spacing w:before="196" w:line="233" w:lineRule="auto"/>
                    <w:jc w:val="center"/>
                    <w:rPr>
                      <w:rFonts w:eastAsia="Times New Roman"/>
                      <w:color w:val="auto"/>
                      <w:szCs w:val="21"/>
                    </w:rPr>
                  </w:pPr>
                  <w:r>
                    <w:rPr>
                      <w:rFonts w:eastAsia="Times New Roman"/>
                      <w:color w:val="auto"/>
                      <w:spacing w:val="-2"/>
                      <w:szCs w:val="21"/>
                    </w:rPr>
                    <w:t>3.47</w:t>
                  </w:r>
                </w:p>
              </w:tc>
              <w:tc>
                <w:tcPr>
                  <w:tcW w:w="367" w:type="pct"/>
                  <w:vAlign w:val="center"/>
                </w:tcPr>
                <w:p w14:paraId="2D399A0A">
                  <w:pPr>
                    <w:spacing w:before="196" w:line="233" w:lineRule="auto"/>
                    <w:jc w:val="center"/>
                    <w:rPr>
                      <w:rFonts w:eastAsia="Times New Roman"/>
                      <w:color w:val="auto"/>
                      <w:szCs w:val="21"/>
                    </w:rPr>
                  </w:pPr>
                  <w:r>
                    <w:rPr>
                      <w:rFonts w:eastAsia="Times New Roman"/>
                      <w:color w:val="auto"/>
                      <w:spacing w:val="-1"/>
                      <w:szCs w:val="21"/>
                    </w:rPr>
                    <w:t>0.0199</w:t>
                  </w:r>
                </w:p>
              </w:tc>
              <w:tc>
                <w:tcPr>
                  <w:tcW w:w="367" w:type="pct"/>
                  <w:vAlign w:val="center"/>
                </w:tcPr>
                <w:p w14:paraId="7513FF4E">
                  <w:pPr>
                    <w:spacing w:before="196" w:line="233" w:lineRule="auto"/>
                    <w:jc w:val="center"/>
                    <w:rPr>
                      <w:rFonts w:eastAsia="Times New Roman"/>
                      <w:color w:val="auto"/>
                      <w:szCs w:val="21"/>
                    </w:rPr>
                  </w:pPr>
                  <w:r>
                    <w:rPr>
                      <w:rFonts w:eastAsia="Times New Roman"/>
                      <w:color w:val="auto"/>
                      <w:spacing w:val="-1"/>
                      <w:szCs w:val="21"/>
                    </w:rPr>
                    <w:t>0.0218</w:t>
                  </w:r>
                </w:p>
              </w:tc>
              <w:tc>
                <w:tcPr>
                  <w:tcW w:w="367" w:type="pct"/>
                  <w:vAlign w:val="center"/>
                </w:tcPr>
                <w:p w14:paraId="69E914D1">
                  <w:pPr>
                    <w:spacing w:before="196" w:line="233" w:lineRule="auto"/>
                    <w:jc w:val="center"/>
                    <w:rPr>
                      <w:rFonts w:eastAsia="Times New Roman"/>
                      <w:color w:val="auto"/>
                      <w:szCs w:val="21"/>
                    </w:rPr>
                  </w:pPr>
                  <w:r>
                    <w:rPr>
                      <w:rFonts w:eastAsia="Times New Roman"/>
                      <w:color w:val="auto"/>
                      <w:spacing w:val="-1"/>
                      <w:szCs w:val="21"/>
                    </w:rPr>
                    <w:t>0.0199</w:t>
                  </w:r>
                </w:p>
              </w:tc>
            </w:tr>
            <w:tr w14:paraId="5D019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3583FA9D">
                  <w:pPr>
                    <w:jc w:val="center"/>
                    <w:rPr>
                      <w:rFonts w:ascii="Arial"/>
                      <w:color w:val="auto"/>
                    </w:rPr>
                  </w:pPr>
                </w:p>
              </w:tc>
              <w:tc>
                <w:tcPr>
                  <w:tcW w:w="662" w:type="pct"/>
                  <w:vAlign w:val="center"/>
                </w:tcPr>
                <w:p w14:paraId="52F2722D">
                  <w:pPr>
                    <w:pStyle w:val="3488"/>
                    <w:spacing w:before="170" w:line="221" w:lineRule="auto"/>
                    <w:jc w:val="center"/>
                    <w:rPr>
                      <w:color w:val="auto"/>
                      <w:sz w:val="21"/>
                      <w:szCs w:val="21"/>
                    </w:rPr>
                  </w:pPr>
                  <w:r>
                    <w:rPr>
                      <w:color w:val="auto"/>
                      <w:spacing w:val="-1"/>
                      <w:sz w:val="21"/>
                      <w:szCs w:val="21"/>
                    </w:rPr>
                    <w:t>排放速率限值</w:t>
                  </w:r>
                </w:p>
              </w:tc>
              <w:tc>
                <w:tcPr>
                  <w:tcW w:w="254" w:type="pct"/>
                  <w:vAlign w:val="center"/>
                </w:tcPr>
                <w:p w14:paraId="6F3B664D">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91C24A2">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4AF206C">
                  <w:pPr>
                    <w:spacing w:before="199" w:line="233" w:lineRule="auto"/>
                    <w:jc w:val="center"/>
                    <w:rPr>
                      <w:rFonts w:eastAsia="Times New Roman"/>
                      <w:color w:val="auto"/>
                      <w:szCs w:val="21"/>
                    </w:rPr>
                  </w:pPr>
                  <w:r>
                    <w:rPr>
                      <w:rFonts w:eastAsia="Times New Roman"/>
                      <w:color w:val="auto"/>
                      <w:spacing w:val="-2"/>
                      <w:szCs w:val="21"/>
                    </w:rPr>
                    <w:t>3.5</w:t>
                  </w:r>
                </w:p>
              </w:tc>
            </w:tr>
            <w:tr w14:paraId="24574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2BF08B91">
                  <w:pPr>
                    <w:pStyle w:val="3488"/>
                    <w:spacing w:before="69"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704C5F60">
                  <w:pPr>
                    <w:pStyle w:val="3488"/>
                    <w:spacing w:before="69" w:line="221" w:lineRule="auto"/>
                    <w:jc w:val="center"/>
                    <w:rPr>
                      <w:color w:val="auto"/>
                      <w:sz w:val="21"/>
                      <w:szCs w:val="21"/>
                    </w:rPr>
                  </w:pPr>
                  <w:r>
                    <w:rPr>
                      <w:color w:val="auto"/>
                      <w:spacing w:val="-2"/>
                      <w:sz w:val="21"/>
                      <w:szCs w:val="21"/>
                    </w:rPr>
                    <w:t>单位</w:t>
                  </w:r>
                </w:p>
              </w:tc>
              <w:tc>
                <w:tcPr>
                  <w:tcW w:w="2124" w:type="pct"/>
                  <w:gridSpan w:val="7"/>
                  <w:vAlign w:val="center"/>
                </w:tcPr>
                <w:p w14:paraId="2467D72B">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2022.01.26</w:t>
                  </w:r>
                </w:p>
              </w:tc>
              <w:tc>
                <w:tcPr>
                  <w:tcW w:w="1102" w:type="pct"/>
                  <w:gridSpan w:val="3"/>
                  <w:vAlign w:val="center"/>
                </w:tcPr>
                <w:p w14:paraId="23E768D3">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2022.01.26</w:t>
                  </w:r>
                </w:p>
              </w:tc>
            </w:tr>
            <w:tr w14:paraId="7092C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4144C9AC">
                  <w:pPr>
                    <w:jc w:val="center"/>
                    <w:rPr>
                      <w:rFonts w:ascii="Arial"/>
                      <w:color w:val="auto"/>
                    </w:rPr>
                  </w:pPr>
                </w:p>
              </w:tc>
              <w:tc>
                <w:tcPr>
                  <w:tcW w:w="254" w:type="pct"/>
                  <w:vMerge w:val="continue"/>
                  <w:tcBorders>
                    <w:top w:val="nil"/>
                    <w:bottom w:val="nil"/>
                  </w:tcBorders>
                  <w:vAlign w:val="center"/>
                </w:tcPr>
                <w:p w14:paraId="76756406">
                  <w:pPr>
                    <w:jc w:val="center"/>
                    <w:rPr>
                      <w:rFonts w:ascii="Arial"/>
                      <w:color w:val="auto"/>
                    </w:rPr>
                  </w:pPr>
                </w:p>
              </w:tc>
              <w:tc>
                <w:tcPr>
                  <w:tcW w:w="2124" w:type="pct"/>
                  <w:gridSpan w:val="7"/>
                  <w:vAlign w:val="center"/>
                </w:tcPr>
                <w:p w14:paraId="4D7D9FB4">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排气筒进口</w:t>
                  </w:r>
                </w:p>
              </w:tc>
              <w:tc>
                <w:tcPr>
                  <w:tcW w:w="1102" w:type="pct"/>
                  <w:gridSpan w:val="3"/>
                  <w:vAlign w:val="center"/>
                </w:tcPr>
                <w:p w14:paraId="45B3BFE0">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排气筒出口</w:t>
                  </w:r>
                </w:p>
              </w:tc>
            </w:tr>
            <w:tr w14:paraId="4529C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5B45F9D2">
                  <w:pPr>
                    <w:jc w:val="center"/>
                    <w:rPr>
                      <w:rFonts w:ascii="Arial"/>
                      <w:color w:val="auto"/>
                    </w:rPr>
                  </w:pPr>
                </w:p>
              </w:tc>
              <w:tc>
                <w:tcPr>
                  <w:tcW w:w="254" w:type="pct"/>
                  <w:vMerge w:val="continue"/>
                  <w:tcBorders>
                    <w:top w:val="nil"/>
                  </w:tcBorders>
                  <w:vAlign w:val="center"/>
                </w:tcPr>
                <w:p w14:paraId="7C73FC5F">
                  <w:pPr>
                    <w:jc w:val="center"/>
                    <w:rPr>
                      <w:rFonts w:ascii="Arial"/>
                      <w:color w:val="auto"/>
                    </w:rPr>
                  </w:pPr>
                </w:p>
              </w:tc>
              <w:tc>
                <w:tcPr>
                  <w:tcW w:w="1039" w:type="pct"/>
                  <w:vAlign w:val="center"/>
                </w:tcPr>
                <w:p w14:paraId="5295A78E">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2B5186A1">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1F27397B">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56C59038">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144AACF4">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24BB2362">
                  <w:pPr>
                    <w:pStyle w:val="3488"/>
                    <w:spacing w:before="164" w:line="221" w:lineRule="auto"/>
                    <w:jc w:val="center"/>
                    <w:rPr>
                      <w:color w:val="auto"/>
                      <w:sz w:val="21"/>
                      <w:szCs w:val="21"/>
                    </w:rPr>
                  </w:pPr>
                  <w:r>
                    <w:rPr>
                      <w:color w:val="auto"/>
                      <w:spacing w:val="-2"/>
                      <w:sz w:val="21"/>
                      <w:szCs w:val="21"/>
                    </w:rPr>
                    <w:t>第三次</w:t>
                  </w:r>
                </w:p>
              </w:tc>
            </w:tr>
            <w:tr w14:paraId="4DC9D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Align w:val="center"/>
                </w:tcPr>
                <w:p w14:paraId="645D5CC3">
                  <w:pPr>
                    <w:pStyle w:val="3488"/>
                    <w:spacing w:before="165" w:line="221" w:lineRule="auto"/>
                    <w:jc w:val="center"/>
                    <w:rPr>
                      <w:color w:val="auto"/>
                      <w:sz w:val="21"/>
                      <w:szCs w:val="21"/>
                    </w:rPr>
                  </w:pPr>
                  <w:r>
                    <w:rPr>
                      <w:color w:val="auto"/>
                      <w:spacing w:val="-1"/>
                      <w:sz w:val="21"/>
                      <w:szCs w:val="21"/>
                    </w:rPr>
                    <w:t>排气筒高度</w:t>
                  </w:r>
                </w:p>
              </w:tc>
              <w:tc>
                <w:tcPr>
                  <w:tcW w:w="254" w:type="pct"/>
                  <w:vAlign w:val="center"/>
                </w:tcPr>
                <w:p w14:paraId="2857AA7A">
                  <w:pPr>
                    <w:spacing w:before="193"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573523D2">
                  <w:pPr>
                    <w:spacing w:before="285"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2773C6A0">
                  <w:pPr>
                    <w:spacing w:before="193" w:line="234" w:lineRule="auto"/>
                    <w:jc w:val="center"/>
                    <w:rPr>
                      <w:rFonts w:eastAsia="Times New Roman"/>
                      <w:color w:val="auto"/>
                      <w:szCs w:val="21"/>
                    </w:rPr>
                  </w:pPr>
                  <w:r>
                    <w:rPr>
                      <w:rFonts w:eastAsia="Times New Roman"/>
                      <w:color w:val="auto"/>
                      <w:spacing w:val="-6"/>
                      <w:szCs w:val="21"/>
                    </w:rPr>
                    <w:t>15</w:t>
                  </w:r>
                </w:p>
              </w:tc>
            </w:tr>
            <w:tr w14:paraId="4096F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7DB50A42">
                  <w:pPr>
                    <w:pStyle w:val="3488"/>
                    <w:spacing w:before="143" w:line="209" w:lineRule="auto"/>
                    <w:jc w:val="center"/>
                    <w:rPr>
                      <w:color w:val="auto"/>
                      <w:sz w:val="21"/>
                      <w:szCs w:val="21"/>
                    </w:rPr>
                  </w:pPr>
                  <w:r>
                    <w:rPr>
                      <w:color w:val="auto"/>
                      <w:spacing w:val="52"/>
                      <w:sz w:val="21"/>
                      <w:szCs w:val="21"/>
                    </w:rPr>
                    <w:t>挥发性有机物</w:t>
                  </w:r>
                </w:p>
              </w:tc>
              <w:tc>
                <w:tcPr>
                  <w:tcW w:w="662" w:type="pct"/>
                  <w:vAlign w:val="center"/>
                </w:tcPr>
                <w:p w14:paraId="0FEC9090">
                  <w:pPr>
                    <w:pStyle w:val="3488"/>
                    <w:spacing w:before="168" w:line="221" w:lineRule="auto"/>
                    <w:jc w:val="center"/>
                    <w:rPr>
                      <w:color w:val="auto"/>
                      <w:sz w:val="21"/>
                      <w:szCs w:val="21"/>
                    </w:rPr>
                  </w:pPr>
                  <w:r>
                    <w:rPr>
                      <w:color w:val="auto"/>
                      <w:spacing w:val="-2"/>
                      <w:sz w:val="21"/>
                      <w:szCs w:val="21"/>
                    </w:rPr>
                    <w:t>排放浓度</w:t>
                  </w:r>
                </w:p>
              </w:tc>
              <w:tc>
                <w:tcPr>
                  <w:tcW w:w="254" w:type="pct"/>
                  <w:vAlign w:val="center"/>
                </w:tcPr>
                <w:p w14:paraId="7E138DBC">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1D29D2A8">
                  <w:pPr>
                    <w:spacing w:before="196" w:line="233" w:lineRule="auto"/>
                    <w:jc w:val="center"/>
                    <w:rPr>
                      <w:rFonts w:eastAsia="Times New Roman"/>
                      <w:color w:val="auto"/>
                      <w:szCs w:val="21"/>
                    </w:rPr>
                  </w:pPr>
                  <w:r>
                    <w:rPr>
                      <w:rFonts w:eastAsia="Times New Roman"/>
                      <w:color w:val="auto"/>
                      <w:spacing w:val="-5"/>
                      <w:szCs w:val="21"/>
                    </w:rPr>
                    <w:t>1.74</w:t>
                  </w:r>
                </w:p>
              </w:tc>
              <w:tc>
                <w:tcPr>
                  <w:tcW w:w="386" w:type="pct"/>
                  <w:gridSpan w:val="3"/>
                  <w:vAlign w:val="center"/>
                </w:tcPr>
                <w:p w14:paraId="5FF3B4B9">
                  <w:pPr>
                    <w:spacing w:before="196" w:line="233" w:lineRule="auto"/>
                    <w:jc w:val="center"/>
                    <w:rPr>
                      <w:rFonts w:eastAsia="Times New Roman"/>
                      <w:color w:val="auto"/>
                      <w:szCs w:val="21"/>
                    </w:rPr>
                  </w:pPr>
                  <w:r>
                    <w:rPr>
                      <w:rFonts w:eastAsia="Times New Roman"/>
                      <w:color w:val="auto"/>
                      <w:spacing w:val="-5"/>
                      <w:szCs w:val="21"/>
                    </w:rPr>
                    <w:t>1.83</w:t>
                  </w:r>
                </w:p>
              </w:tc>
              <w:tc>
                <w:tcPr>
                  <w:tcW w:w="698" w:type="pct"/>
                  <w:gridSpan w:val="3"/>
                  <w:vAlign w:val="center"/>
                </w:tcPr>
                <w:p w14:paraId="221FE6E8">
                  <w:pPr>
                    <w:spacing w:before="196" w:line="233" w:lineRule="auto"/>
                    <w:jc w:val="center"/>
                    <w:rPr>
                      <w:rFonts w:eastAsia="Times New Roman"/>
                      <w:color w:val="auto"/>
                      <w:szCs w:val="21"/>
                    </w:rPr>
                  </w:pPr>
                  <w:r>
                    <w:rPr>
                      <w:rFonts w:eastAsia="Times New Roman"/>
                      <w:color w:val="auto"/>
                      <w:spacing w:val="-1"/>
                      <w:szCs w:val="21"/>
                    </w:rPr>
                    <w:t>2.10</w:t>
                  </w:r>
                </w:p>
              </w:tc>
              <w:tc>
                <w:tcPr>
                  <w:tcW w:w="367" w:type="pct"/>
                  <w:vAlign w:val="center"/>
                </w:tcPr>
                <w:p w14:paraId="48429634">
                  <w:pPr>
                    <w:spacing w:before="196" w:line="233" w:lineRule="auto"/>
                    <w:jc w:val="center"/>
                    <w:rPr>
                      <w:rFonts w:eastAsia="Times New Roman"/>
                      <w:color w:val="auto"/>
                      <w:szCs w:val="21"/>
                    </w:rPr>
                  </w:pPr>
                  <w:r>
                    <w:rPr>
                      <w:rFonts w:eastAsia="Times New Roman"/>
                      <w:color w:val="auto"/>
                      <w:spacing w:val="-1"/>
                      <w:szCs w:val="21"/>
                    </w:rPr>
                    <w:t>0.230</w:t>
                  </w:r>
                </w:p>
              </w:tc>
              <w:tc>
                <w:tcPr>
                  <w:tcW w:w="367" w:type="pct"/>
                  <w:vAlign w:val="center"/>
                </w:tcPr>
                <w:p w14:paraId="1DC6DD94">
                  <w:pPr>
                    <w:spacing w:before="196" w:line="233" w:lineRule="auto"/>
                    <w:jc w:val="center"/>
                    <w:rPr>
                      <w:rFonts w:eastAsia="Times New Roman"/>
                      <w:color w:val="auto"/>
                      <w:szCs w:val="21"/>
                    </w:rPr>
                  </w:pPr>
                  <w:r>
                    <w:rPr>
                      <w:rFonts w:eastAsia="Times New Roman"/>
                      <w:color w:val="auto"/>
                      <w:spacing w:val="-1"/>
                      <w:szCs w:val="21"/>
                    </w:rPr>
                    <w:t>0.178</w:t>
                  </w:r>
                </w:p>
              </w:tc>
              <w:tc>
                <w:tcPr>
                  <w:tcW w:w="367" w:type="pct"/>
                  <w:vAlign w:val="center"/>
                </w:tcPr>
                <w:p w14:paraId="55873B3E">
                  <w:pPr>
                    <w:spacing w:before="196" w:line="233" w:lineRule="auto"/>
                    <w:jc w:val="center"/>
                    <w:rPr>
                      <w:rFonts w:eastAsia="Times New Roman"/>
                      <w:color w:val="auto"/>
                      <w:szCs w:val="21"/>
                    </w:rPr>
                  </w:pPr>
                  <w:r>
                    <w:rPr>
                      <w:rFonts w:eastAsia="Times New Roman"/>
                      <w:color w:val="auto"/>
                      <w:spacing w:val="-1"/>
                      <w:szCs w:val="21"/>
                    </w:rPr>
                    <w:t>0.209</w:t>
                  </w:r>
                </w:p>
              </w:tc>
            </w:tr>
            <w:tr w14:paraId="28DA9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3AE0532">
                  <w:pPr>
                    <w:jc w:val="center"/>
                    <w:rPr>
                      <w:rFonts w:ascii="Arial"/>
                      <w:color w:val="auto"/>
                    </w:rPr>
                  </w:pPr>
                </w:p>
              </w:tc>
              <w:tc>
                <w:tcPr>
                  <w:tcW w:w="662" w:type="pct"/>
                  <w:vAlign w:val="center"/>
                </w:tcPr>
                <w:p w14:paraId="3A58092D">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58C89172">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24645481">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69EF50EC">
                  <w:pPr>
                    <w:spacing w:before="196" w:line="234" w:lineRule="auto"/>
                    <w:jc w:val="center"/>
                    <w:rPr>
                      <w:rFonts w:eastAsia="Times New Roman"/>
                      <w:color w:val="auto"/>
                      <w:szCs w:val="21"/>
                    </w:rPr>
                  </w:pPr>
                  <w:r>
                    <w:rPr>
                      <w:rFonts w:eastAsia="Times New Roman"/>
                      <w:color w:val="auto"/>
                      <w:spacing w:val="-1"/>
                      <w:szCs w:val="21"/>
                    </w:rPr>
                    <w:t>40</w:t>
                  </w:r>
                </w:p>
              </w:tc>
            </w:tr>
            <w:tr w14:paraId="18619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0CBCF871">
                  <w:pPr>
                    <w:jc w:val="center"/>
                    <w:rPr>
                      <w:rFonts w:ascii="Arial"/>
                      <w:color w:val="auto"/>
                    </w:rPr>
                  </w:pPr>
                </w:p>
              </w:tc>
              <w:tc>
                <w:tcPr>
                  <w:tcW w:w="662" w:type="pct"/>
                  <w:vAlign w:val="center"/>
                </w:tcPr>
                <w:p w14:paraId="76E4BB13">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4EB5CE3E">
                  <w:pPr>
                    <w:spacing w:before="197" w:line="191" w:lineRule="auto"/>
                    <w:jc w:val="center"/>
                    <w:rPr>
                      <w:rFonts w:eastAsia="Times New Roman"/>
                      <w:color w:val="auto"/>
                      <w:szCs w:val="21"/>
                    </w:rPr>
                  </w:pPr>
                  <w:r>
                    <w:rPr>
                      <w:rFonts w:eastAsia="Times New Roman"/>
                      <w:color w:val="auto"/>
                      <w:szCs w:val="21"/>
                    </w:rPr>
                    <w:t>kg/h</w:t>
                  </w:r>
                </w:p>
              </w:tc>
              <w:tc>
                <w:tcPr>
                  <w:tcW w:w="1039" w:type="pct"/>
                  <w:vAlign w:val="center"/>
                </w:tcPr>
                <w:p w14:paraId="410C850E">
                  <w:pPr>
                    <w:spacing w:before="177" w:line="255" w:lineRule="exact"/>
                    <w:jc w:val="center"/>
                    <w:rPr>
                      <w:rFonts w:eastAsia="Times New Roman"/>
                      <w:color w:val="auto"/>
                      <w:sz w:val="13"/>
                      <w:szCs w:val="13"/>
                    </w:rPr>
                  </w:pPr>
                  <w:r>
                    <w:rPr>
                      <w:rFonts w:eastAsia="Times New Roman"/>
                      <w:color w:val="auto"/>
                      <w:szCs w:val="21"/>
                    </w:rPr>
                    <w:t>6.84×10</w:t>
                  </w:r>
                  <w:r>
                    <w:rPr>
                      <w:rFonts w:eastAsia="Times New Roman"/>
                      <w:color w:val="auto"/>
                      <w:position w:val="6"/>
                      <w:sz w:val="13"/>
                      <w:szCs w:val="13"/>
                    </w:rPr>
                    <w:t>-3</w:t>
                  </w:r>
                </w:p>
              </w:tc>
              <w:tc>
                <w:tcPr>
                  <w:tcW w:w="386" w:type="pct"/>
                  <w:gridSpan w:val="3"/>
                  <w:vAlign w:val="center"/>
                </w:tcPr>
                <w:p w14:paraId="58D1B95A">
                  <w:pPr>
                    <w:spacing w:before="177" w:line="255" w:lineRule="exact"/>
                    <w:jc w:val="center"/>
                    <w:rPr>
                      <w:rFonts w:eastAsia="Times New Roman"/>
                      <w:color w:val="auto"/>
                      <w:sz w:val="13"/>
                      <w:szCs w:val="13"/>
                    </w:rPr>
                  </w:pPr>
                  <w:r>
                    <w:rPr>
                      <w:rFonts w:eastAsia="Times New Roman"/>
                      <w:color w:val="auto"/>
                      <w:szCs w:val="21"/>
                    </w:rPr>
                    <w:t>7.10×10</w:t>
                  </w:r>
                  <w:r>
                    <w:rPr>
                      <w:rFonts w:eastAsia="Times New Roman"/>
                      <w:color w:val="auto"/>
                      <w:position w:val="6"/>
                      <w:sz w:val="13"/>
                      <w:szCs w:val="13"/>
                    </w:rPr>
                    <w:t>-3</w:t>
                  </w:r>
                </w:p>
              </w:tc>
              <w:tc>
                <w:tcPr>
                  <w:tcW w:w="698" w:type="pct"/>
                  <w:gridSpan w:val="3"/>
                  <w:vAlign w:val="center"/>
                </w:tcPr>
                <w:p w14:paraId="7DAB1264">
                  <w:pPr>
                    <w:spacing w:before="177" w:line="255" w:lineRule="exact"/>
                    <w:jc w:val="center"/>
                    <w:rPr>
                      <w:rFonts w:eastAsia="Times New Roman"/>
                      <w:color w:val="auto"/>
                      <w:sz w:val="13"/>
                      <w:szCs w:val="13"/>
                    </w:rPr>
                  </w:pPr>
                  <w:r>
                    <w:rPr>
                      <w:rFonts w:eastAsia="Times New Roman"/>
                      <w:color w:val="auto"/>
                      <w:spacing w:val="-1"/>
                      <w:szCs w:val="21"/>
                    </w:rPr>
                    <w:t>8.03×10</w:t>
                  </w:r>
                  <w:r>
                    <w:rPr>
                      <w:rFonts w:eastAsia="Times New Roman"/>
                      <w:color w:val="auto"/>
                      <w:spacing w:val="-1"/>
                      <w:position w:val="6"/>
                      <w:sz w:val="13"/>
                      <w:szCs w:val="13"/>
                    </w:rPr>
                    <w:t>-3</w:t>
                  </w:r>
                </w:p>
              </w:tc>
              <w:tc>
                <w:tcPr>
                  <w:tcW w:w="367" w:type="pct"/>
                  <w:vAlign w:val="center"/>
                </w:tcPr>
                <w:p w14:paraId="21A76F7D">
                  <w:pPr>
                    <w:spacing w:before="177" w:line="255" w:lineRule="exact"/>
                    <w:jc w:val="center"/>
                    <w:rPr>
                      <w:rFonts w:eastAsia="Times New Roman"/>
                      <w:color w:val="auto"/>
                      <w:sz w:val="13"/>
                      <w:szCs w:val="13"/>
                    </w:rPr>
                  </w:pPr>
                  <w:r>
                    <w:rPr>
                      <w:rFonts w:eastAsia="Times New Roman"/>
                      <w:color w:val="auto"/>
                      <w:szCs w:val="21"/>
                    </w:rPr>
                    <w:t>9.74×10</w:t>
                  </w:r>
                  <w:r>
                    <w:rPr>
                      <w:rFonts w:eastAsia="Times New Roman"/>
                      <w:color w:val="auto"/>
                      <w:position w:val="6"/>
                      <w:sz w:val="13"/>
                      <w:szCs w:val="13"/>
                    </w:rPr>
                    <w:t>-4</w:t>
                  </w:r>
                </w:p>
              </w:tc>
              <w:tc>
                <w:tcPr>
                  <w:tcW w:w="367" w:type="pct"/>
                  <w:vAlign w:val="center"/>
                </w:tcPr>
                <w:p w14:paraId="059B493C">
                  <w:pPr>
                    <w:spacing w:before="177" w:line="255" w:lineRule="exact"/>
                    <w:jc w:val="center"/>
                    <w:rPr>
                      <w:rFonts w:eastAsia="Times New Roman"/>
                      <w:color w:val="auto"/>
                      <w:sz w:val="13"/>
                      <w:szCs w:val="13"/>
                    </w:rPr>
                  </w:pPr>
                  <w:r>
                    <w:rPr>
                      <w:rFonts w:eastAsia="Times New Roman"/>
                      <w:color w:val="auto"/>
                      <w:szCs w:val="21"/>
                    </w:rPr>
                    <w:t>7.63×10</w:t>
                  </w:r>
                  <w:r>
                    <w:rPr>
                      <w:rFonts w:eastAsia="Times New Roman"/>
                      <w:color w:val="auto"/>
                      <w:position w:val="6"/>
                      <w:sz w:val="13"/>
                      <w:szCs w:val="13"/>
                    </w:rPr>
                    <w:t>-4</w:t>
                  </w:r>
                </w:p>
              </w:tc>
              <w:tc>
                <w:tcPr>
                  <w:tcW w:w="367" w:type="pct"/>
                  <w:vAlign w:val="center"/>
                </w:tcPr>
                <w:p w14:paraId="565563A3">
                  <w:pPr>
                    <w:spacing w:before="177" w:line="255" w:lineRule="exact"/>
                    <w:jc w:val="center"/>
                    <w:rPr>
                      <w:rFonts w:eastAsia="Times New Roman"/>
                      <w:color w:val="auto"/>
                      <w:sz w:val="13"/>
                      <w:szCs w:val="13"/>
                    </w:rPr>
                  </w:pPr>
                  <w:r>
                    <w:rPr>
                      <w:rFonts w:eastAsia="Times New Roman"/>
                      <w:color w:val="auto"/>
                      <w:szCs w:val="21"/>
                    </w:rPr>
                    <w:t>9.05×10</w:t>
                  </w:r>
                  <w:r>
                    <w:rPr>
                      <w:rFonts w:eastAsia="Times New Roman"/>
                      <w:color w:val="auto"/>
                      <w:position w:val="6"/>
                      <w:sz w:val="13"/>
                      <w:szCs w:val="13"/>
                    </w:rPr>
                    <w:t>-4</w:t>
                  </w:r>
                </w:p>
              </w:tc>
            </w:tr>
            <w:tr w14:paraId="1412C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tcBorders>
                  <w:vAlign w:val="center"/>
                </w:tcPr>
                <w:p w14:paraId="2F805797">
                  <w:pPr>
                    <w:jc w:val="center"/>
                    <w:rPr>
                      <w:rFonts w:ascii="Arial"/>
                      <w:color w:val="auto"/>
                    </w:rPr>
                  </w:pPr>
                </w:p>
              </w:tc>
              <w:tc>
                <w:tcPr>
                  <w:tcW w:w="662" w:type="pct"/>
                  <w:vAlign w:val="center"/>
                </w:tcPr>
                <w:p w14:paraId="2430C0CC">
                  <w:pPr>
                    <w:pStyle w:val="3488"/>
                    <w:spacing w:before="168" w:line="221" w:lineRule="auto"/>
                    <w:jc w:val="center"/>
                    <w:rPr>
                      <w:color w:val="auto"/>
                      <w:sz w:val="21"/>
                      <w:szCs w:val="21"/>
                    </w:rPr>
                  </w:pPr>
                  <w:r>
                    <w:rPr>
                      <w:color w:val="auto"/>
                      <w:spacing w:val="-1"/>
                      <w:sz w:val="21"/>
                      <w:szCs w:val="21"/>
                    </w:rPr>
                    <w:t>排放速率限值</w:t>
                  </w:r>
                </w:p>
              </w:tc>
              <w:tc>
                <w:tcPr>
                  <w:tcW w:w="254" w:type="pct"/>
                  <w:vAlign w:val="center"/>
                </w:tcPr>
                <w:p w14:paraId="3872ED0E">
                  <w:pPr>
                    <w:spacing w:before="196"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3A4A7E7A">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58262888">
                  <w:pPr>
                    <w:spacing w:before="196" w:line="233" w:lineRule="auto"/>
                    <w:jc w:val="center"/>
                    <w:rPr>
                      <w:rFonts w:eastAsia="Times New Roman"/>
                      <w:color w:val="auto"/>
                      <w:szCs w:val="21"/>
                    </w:rPr>
                  </w:pPr>
                  <w:r>
                    <w:rPr>
                      <w:rFonts w:eastAsia="Times New Roman"/>
                      <w:color w:val="auto"/>
                      <w:spacing w:val="-1"/>
                      <w:szCs w:val="21"/>
                    </w:rPr>
                    <w:t>2.9</w:t>
                  </w:r>
                </w:p>
              </w:tc>
            </w:tr>
            <w:tr w14:paraId="390A3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18" w:type="pct"/>
                  <w:gridSpan w:val="2"/>
                  <w:vMerge w:val="restart"/>
                  <w:tcBorders>
                    <w:bottom w:val="nil"/>
                  </w:tcBorders>
                  <w:vAlign w:val="center"/>
                </w:tcPr>
                <w:p w14:paraId="2D48B83B">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FDEE1A4">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0E79FBD5">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2022.01.27</w:t>
                  </w:r>
                </w:p>
              </w:tc>
              <w:tc>
                <w:tcPr>
                  <w:tcW w:w="1102" w:type="pct"/>
                  <w:gridSpan w:val="3"/>
                  <w:vAlign w:val="center"/>
                </w:tcPr>
                <w:p w14:paraId="57C84047">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2022.01.27</w:t>
                  </w:r>
                </w:p>
              </w:tc>
            </w:tr>
            <w:tr w14:paraId="3457B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18" w:type="pct"/>
                  <w:gridSpan w:val="2"/>
                  <w:vMerge w:val="continue"/>
                  <w:tcBorders>
                    <w:top w:val="nil"/>
                    <w:bottom w:val="nil"/>
                  </w:tcBorders>
                  <w:vAlign w:val="center"/>
                </w:tcPr>
                <w:p w14:paraId="381394B0">
                  <w:pPr>
                    <w:jc w:val="center"/>
                    <w:rPr>
                      <w:rFonts w:ascii="Arial"/>
                      <w:color w:val="auto"/>
                    </w:rPr>
                  </w:pPr>
                </w:p>
              </w:tc>
              <w:tc>
                <w:tcPr>
                  <w:tcW w:w="254" w:type="pct"/>
                  <w:vMerge w:val="continue"/>
                  <w:tcBorders>
                    <w:top w:val="nil"/>
                    <w:bottom w:val="nil"/>
                  </w:tcBorders>
                  <w:vAlign w:val="center"/>
                </w:tcPr>
                <w:p w14:paraId="0A310AA9">
                  <w:pPr>
                    <w:jc w:val="center"/>
                    <w:rPr>
                      <w:rFonts w:ascii="Arial"/>
                      <w:color w:val="auto"/>
                    </w:rPr>
                  </w:pPr>
                </w:p>
              </w:tc>
              <w:tc>
                <w:tcPr>
                  <w:tcW w:w="2124" w:type="pct"/>
                  <w:gridSpan w:val="7"/>
                  <w:vAlign w:val="center"/>
                </w:tcPr>
                <w:p w14:paraId="2C8BC6B0">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排气筒进口</w:t>
                  </w:r>
                </w:p>
              </w:tc>
              <w:tc>
                <w:tcPr>
                  <w:tcW w:w="1102" w:type="pct"/>
                  <w:gridSpan w:val="3"/>
                  <w:vAlign w:val="center"/>
                </w:tcPr>
                <w:p w14:paraId="0AB70ECD">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排气筒出口</w:t>
                  </w:r>
                </w:p>
              </w:tc>
            </w:tr>
            <w:tr w14:paraId="7AEE4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2F218926">
                  <w:pPr>
                    <w:jc w:val="center"/>
                    <w:rPr>
                      <w:rFonts w:ascii="Arial"/>
                      <w:color w:val="auto"/>
                    </w:rPr>
                  </w:pPr>
                </w:p>
              </w:tc>
              <w:tc>
                <w:tcPr>
                  <w:tcW w:w="254" w:type="pct"/>
                  <w:vMerge w:val="continue"/>
                  <w:tcBorders>
                    <w:top w:val="nil"/>
                  </w:tcBorders>
                  <w:vAlign w:val="center"/>
                </w:tcPr>
                <w:p w14:paraId="0A3719BE">
                  <w:pPr>
                    <w:jc w:val="center"/>
                    <w:rPr>
                      <w:rFonts w:ascii="Arial"/>
                      <w:color w:val="auto"/>
                    </w:rPr>
                  </w:pPr>
                </w:p>
              </w:tc>
              <w:tc>
                <w:tcPr>
                  <w:tcW w:w="1039" w:type="pct"/>
                  <w:vAlign w:val="center"/>
                </w:tcPr>
                <w:p w14:paraId="408D4814">
                  <w:pPr>
                    <w:pStyle w:val="3488"/>
                    <w:spacing w:before="166" w:line="221" w:lineRule="auto"/>
                    <w:jc w:val="center"/>
                    <w:rPr>
                      <w:color w:val="auto"/>
                      <w:sz w:val="21"/>
                      <w:szCs w:val="21"/>
                    </w:rPr>
                  </w:pPr>
                  <w:r>
                    <w:rPr>
                      <w:color w:val="auto"/>
                      <w:spacing w:val="-2"/>
                      <w:sz w:val="21"/>
                      <w:szCs w:val="21"/>
                    </w:rPr>
                    <w:t>第一次</w:t>
                  </w:r>
                </w:p>
              </w:tc>
              <w:tc>
                <w:tcPr>
                  <w:tcW w:w="386" w:type="pct"/>
                  <w:gridSpan w:val="3"/>
                  <w:vAlign w:val="center"/>
                </w:tcPr>
                <w:p w14:paraId="4533677D">
                  <w:pPr>
                    <w:pStyle w:val="3488"/>
                    <w:spacing w:before="166" w:line="221" w:lineRule="auto"/>
                    <w:jc w:val="center"/>
                    <w:rPr>
                      <w:color w:val="auto"/>
                      <w:sz w:val="21"/>
                      <w:szCs w:val="21"/>
                    </w:rPr>
                  </w:pPr>
                  <w:r>
                    <w:rPr>
                      <w:color w:val="auto"/>
                      <w:spacing w:val="-2"/>
                      <w:sz w:val="21"/>
                      <w:szCs w:val="21"/>
                    </w:rPr>
                    <w:t>第二次</w:t>
                  </w:r>
                </w:p>
              </w:tc>
              <w:tc>
                <w:tcPr>
                  <w:tcW w:w="698" w:type="pct"/>
                  <w:gridSpan w:val="3"/>
                  <w:vAlign w:val="center"/>
                </w:tcPr>
                <w:p w14:paraId="198DE937">
                  <w:pPr>
                    <w:pStyle w:val="3488"/>
                    <w:spacing w:before="166" w:line="221" w:lineRule="auto"/>
                    <w:jc w:val="center"/>
                    <w:rPr>
                      <w:color w:val="auto"/>
                      <w:sz w:val="21"/>
                      <w:szCs w:val="21"/>
                    </w:rPr>
                  </w:pPr>
                  <w:r>
                    <w:rPr>
                      <w:color w:val="auto"/>
                      <w:spacing w:val="-2"/>
                      <w:sz w:val="21"/>
                      <w:szCs w:val="21"/>
                    </w:rPr>
                    <w:t>第三次</w:t>
                  </w:r>
                </w:p>
              </w:tc>
              <w:tc>
                <w:tcPr>
                  <w:tcW w:w="367" w:type="pct"/>
                  <w:vAlign w:val="center"/>
                </w:tcPr>
                <w:p w14:paraId="0C303DCA">
                  <w:pPr>
                    <w:pStyle w:val="3488"/>
                    <w:spacing w:before="166" w:line="221" w:lineRule="auto"/>
                    <w:jc w:val="center"/>
                    <w:rPr>
                      <w:color w:val="auto"/>
                      <w:sz w:val="21"/>
                      <w:szCs w:val="21"/>
                    </w:rPr>
                  </w:pPr>
                  <w:r>
                    <w:rPr>
                      <w:color w:val="auto"/>
                      <w:spacing w:val="-2"/>
                      <w:sz w:val="21"/>
                      <w:szCs w:val="21"/>
                    </w:rPr>
                    <w:t>第一次</w:t>
                  </w:r>
                </w:p>
              </w:tc>
              <w:tc>
                <w:tcPr>
                  <w:tcW w:w="367" w:type="pct"/>
                  <w:vAlign w:val="center"/>
                </w:tcPr>
                <w:p w14:paraId="063BDC38">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7A548E63">
                  <w:pPr>
                    <w:pStyle w:val="3488"/>
                    <w:spacing w:before="166" w:line="221" w:lineRule="auto"/>
                    <w:jc w:val="center"/>
                    <w:rPr>
                      <w:color w:val="auto"/>
                      <w:sz w:val="21"/>
                      <w:szCs w:val="21"/>
                    </w:rPr>
                  </w:pPr>
                  <w:r>
                    <w:rPr>
                      <w:color w:val="auto"/>
                      <w:spacing w:val="-2"/>
                      <w:sz w:val="21"/>
                      <w:szCs w:val="21"/>
                    </w:rPr>
                    <w:t>第三次</w:t>
                  </w:r>
                </w:p>
              </w:tc>
            </w:tr>
            <w:tr w14:paraId="7D73C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8" w:type="pct"/>
                  <w:gridSpan w:val="2"/>
                  <w:vAlign w:val="center"/>
                </w:tcPr>
                <w:p w14:paraId="5CB8F288">
                  <w:pPr>
                    <w:pStyle w:val="3488"/>
                    <w:spacing w:before="167" w:line="221" w:lineRule="auto"/>
                    <w:jc w:val="center"/>
                    <w:rPr>
                      <w:color w:val="auto"/>
                      <w:sz w:val="21"/>
                      <w:szCs w:val="21"/>
                    </w:rPr>
                  </w:pPr>
                  <w:r>
                    <w:rPr>
                      <w:color w:val="auto"/>
                      <w:spacing w:val="-1"/>
                      <w:sz w:val="21"/>
                      <w:szCs w:val="21"/>
                    </w:rPr>
                    <w:t>排气筒高度</w:t>
                  </w:r>
                </w:p>
              </w:tc>
              <w:tc>
                <w:tcPr>
                  <w:tcW w:w="254" w:type="pct"/>
                  <w:vAlign w:val="center"/>
                </w:tcPr>
                <w:p w14:paraId="1C8565D6">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6A94057D">
                  <w:pPr>
                    <w:spacing w:before="286" w:line="101"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1BB1FF94">
                  <w:pPr>
                    <w:spacing w:before="194" w:line="234" w:lineRule="auto"/>
                    <w:jc w:val="center"/>
                    <w:rPr>
                      <w:rFonts w:eastAsia="Times New Roman"/>
                      <w:color w:val="auto"/>
                      <w:szCs w:val="21"/>
                    </w:rPr>
                  </w:pPr>
                  <w:r>
                    <w:rPr>
                      <w:rFonts w:eastAsia="Times New Roman"/>
                      <w:color w:val="auto"/>
                      <w:spacing w:val="-6"/>
                      <w:szCs w:val="21"/>
                    </w:rPr>
                    <w:t>15</w:t>
                  </w:r>
                </w:p>
              </w:tc>
            </w:tr>
            <w:tr w14:paraId="7E687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restart"/>
                  <w:tcBorders>
                    <w:bottom w:val="nil"/>
                  </w:tcBorders>
                  <w:vAlign w:val="center"/>
                </w:tcPr>
                <w:p w14:paraId="4935DBC9">
                  <w:pPr>
                    <w:pStyle w:val="3488"/>
                    <w:spacing w:before="143" w:line="209" w:lineRule="auto"/>
                    <w:jc w:val="center"/>
                    <w:rPr>
                      <w:color w:val="auto"/>
                      <w:sz w:val="21"/>
                      <w:szCs w:val="21"/>
                    </w:rPr>
                  </w:pPr>
                  <w:r>
                    <w:rPr>
                      <w:color w:val="auto"/>
                      <w:spacing w:val="11"/>
                      <w:sz w:val="21"/>
                      <w:szCs w:val="21"/>
                    </w:rPr>
                    <w:t>挥</w:t>
                  </w:r>
                  <w:r>
                    <w:rPr>
                      <w:color w:val="auto"/>
                      <w:spacing w:val="-43"/>
                      <w:sz w:val="21"/>
                      <w:szCs w:val="21"/>
                    </w:rPr>
                    <w:t xml:space="preserve"> </w:t>
                  </w:r>
                  <w:r>
                    <w:rPr>
                      <w:color w:val="auto"/>
                      <w:spacing w:val="11"/>
                      <w:sz w:val="21"/>
                      <w:szCs w:val="21"/>
                    </w:rPr>
                    <w:t>发</w:t>
                  </w:r>
                  <w:r>
                    <w:rPr>
                      <w:color w:val="auto"/>
                      <w:spacing w:val="-45"/>
                      <w:sz w:val="21"/>
                      <w:szCs w:val="21"/>
                    </w:rPr>
                    <w:t xml:space="preserve"> </w:t>
                  </w:r>
                  <w:r>
                    <w:rPr>
                      <w:color w:val="auto"/>
                      <w:spacing w:val="11"/>
                      <w:sz w:val="21"/>
                      <w:szCs w:val="21"/>
                    </w:rPr>
                    <w:t>性有</w:t>
                  </w:r>
                  <w:r>
                    <w:rPr>
                      <w:color w:val="auto"/>
                      <w:spacing w:val="-42"/>
                      <w:sz w:val="21"/>
                      <w:szCs w:val="21"/>
                    </w:rPr>
                    <w:t xml:space="preserve"> </w:t>
                  </w:r>
                  <w:r>
                    <w:rPr>
                      <w:color w:val="auto"/>
                      <w:spacing w:val="11"/>
                      <w:sz w:val="21"/>
                      <w:szCs w:val="21"/>
                    </w:rPr>
                    <w:t>机</w:t>
                  </w:r>
                  <w:r>
                    <w:rPr>
                      <w:color w:val="auto"/>
                      <w:spacing w:val="-45"/>
                      <w:sz w:val="21"/>
                      <w:szCs w:val="21"/>
                    </w:rPr>
                    <w:t xml:space="preserve"> </w:t>
                  </w:r>
                  <w:r>
                    <w:rPr>
                      <w:color w:val="auto"/>
                      <w:spacing w:val="11"/>
                      <w:sz w:val="21"/>
                      <w:szCs w:val="21"/>
                    </w:rPr>
                    <w:t>物</w:t>
                  </w:r>
                </w:p>
              </w:tc>
              <w:tc>
                <w:tcPr>
                  <w:tcW w:w="662" w:type="pct"/>
                  <w:vAlign w:val="center"/>
                </w:tcPr>
                <w:p w14:paraId="4F55EDB2">
                  <w:pPr>
                    <w:pStyle w:val="3488"/>
                    <w:spacing w:before="171" w:line="221" w:lineRule="auto"/>
                    <w:jc w:val="center"/>
                    <w:rPr>
                      <w:color w:val="auto"/>
                      <w:sz w:val="21"/>
                      <w:szCs w:val="21"/>
                    </w:rPr>
                  </w:pPr>
                  <w:r>
                    <w:rPr>
                      <w:color w:val="auto"/>
                      <w:spacing w:val="-2"/>
                      <w:sz w:val="21"/>
                      <w:szCs w:val="21"/>
                    </w:rPr>
                    <w:t>排放浓度</w:t>
                  </w:r>
                </w:p>
              </w:tc>
              <w:tc>
                <w:tcPr>
                  <w:tcW w:w="254" w:type="pct"/>
                  <w:vAlign w:val="center"/>
                </w:tcPr>
                <w:p w14:paraId="03AA9C6F">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47039C0C">
                  <w:pPr>
                    <w:spacing w:before="199" w:line="233" w:lineRule="auto"/>
                    <w:jc w:val="center"/>
                    <w:rPr>
                      <w:rFonts w:eastAsia="Times New Roman"/>
                      <w:color w:val="auto"/>
                      <w:szCs w:val="21"/>
                    </w:rPr>
                  </w:pPr>
                  <w:r>
                    <w:rPr>
                      <w:rFonts w:eastAsia="Times New Roman"/>
                      <w:color w:val="auto"/>
                      <w:spacing w:val="-1"/>
                      <w:szCs w:val="21"/>
                    </w:rPr>
                    <w:t>2.07</w:t>
                  </w:r>
                </w:p>
              </w:tc>
              <w:tc>
                <w:tcPr>
                  <w:tcW w:w="386" w:type="pct"/>
                  <w:gridSpan w:val="3"/>
                  <w:vAlign w:val="center"/>
                </w:tcPr>
                <w:p w14:paraId="16CBFD7D">
                  <w:pPr>
                    <w:spacing w:before="199" w:line="233" w:lineRule="auto"/>
                    <w:jc w:val="center"/>
                    <w:rPr>
                      <w:rFonts w:eastAsia="Times New Roman"/>
                      <w:color w:val="auto"/>
                      <w:szCs w:val="21"/>
                    </w:rPr>
                  </w:pPr>
                  <w:r>
                    <w:rPr>
                      <w:rFonts w:eastAsia="Times New Roman"/>
                      <w:color w:val="auto"/>
                      <w:spacing w:val="-5"/>
                      <w:szCs w:val="21"/>
                    </w:rPr>
                    <w:t>1.84</w:t>
                  </w:r>
                </w:p>
              </w:tc>
              <w:tc>
                <w:tcPr>
                  <w:tcW w:w="698" w:type="pct"/>
                  <w:gridSpan w:val="3"/>
                  <w:vAlign w:val="center"/>
                </w:tcPr>
                <w:p w14:paraId="27CCB10F">
                  <w:pPr>
                    <w:spacing w:before="199" w:line="233" w:lineRule="auto"/>
                    <w:jc w:val="center"/>
                    <w:rPr>
                      <w:rFonts w:eastAsia="Times New Roman"/>
                      <w:color w:val="auto"/>
                      <w:szCs w:val="21"/>
                    </w:rPr>
                  </w:pPr>
                  <w:r>
                    <w:rPr>
                      <w:rFonts w:eastAsia="Times New Roman"/>
                      <w:color w:val="auto"/>
                      <w:spacing w:val="-5"/>
                      <w:szCs w:val="21"/>
                    </w:rPr>
                    <w:t>1.98</w:t>
                  </w:r>
                </w:p>
              </w:tc>
              <w:tc>
                <w:tcPr>
                  <w:tcW w:w="367" w:type="pct"/>
                  <w:vAlign w:val="center"/>
                </w:tcPr>
                <w:p w14:paraId="012A6AE1">
                  <w:pPr>
                    <w:spacing w:before="199" w:line="233" w:lineRule="auto"/>
                    <w:jc w:val="center"/>
                    <w:rPr>
                      <w:rFonts w:eastAsia="Times New Roman"/>
                      <w:color w:val="auto"/>
                      <w:szCs w:val="21"/>
                    </w:rPr>
                  </w:pPr>
                  <w:r>
                    <w:rPr>
                      <w:rFonts w:eastAsia="Times New Roman"/>
                      <w:color w:val="auto"/>
                      <w:spacing w:val="-1"/>
                      <w:szCs w:val="21"/>
                    </w:rPr>
                    <w:t>0.259</w:t>
                  </w:r>
                </w:p>
              </w:tc>
              <w:tc>
                <w:tcPr>
                  <w:tcW w:w="367" w:type="pct"/>
                  <w:vAlign w:val="center"/>
                </w:tcPr>
                <w:p w14:paraId="01B8DD4F">
                  <w:pPr>
                    <w:spacing w:before="199" w:line="233" w:lineRule="auto"/>
                    <w:jc w:val="center"/>
                    <w:rPr>
                      <w:rFonts w:eastAsia="Times New Roman"/>
                      <w:color w:val="auto"/>
                      <w:szCs w:val="21"/>
                    </w:rPr>
                  </w:pPr>
                  <w:r>
                    <w:rPr>
                      <w:rFonts w:eastAsia="Times New Roman"/>
                      <w:color w:val="auto"/>
                      <w:spacing w:val="-1"/>
                      <w:szCs w:val="21"/>
                    </w:rPr>
                    <w:t>0.252</w:t>
                  </w:r>
                </w:p>
              </w:tc>
              <w:tc>
                <w:tcPr>
                  <w:tcW w:w="367" w:type="pct"/>
                  <w:vAlign w:val="center"/>
                </w:tcPr>
                <w:p w14:paraId="23C29C1E">
                  <w:pPr>
                    <w:spacing w:before="199" w:line="233" w:lineRule="auto"/>
                    <w:jc w:val="center"/>
                    <w:rPr>
                      <w:rFonts w:eastAsia="Times New Roman"/>
                      <w:color w:val="auto"/>
                      <w:szCs w:val="21"/>
                    </w:rPr>
                  </w:pPr>
                  <w:r>
                    <w:rPr>
                      <w:rFonts w:eastAsia="Times New Roman"/>
                      <w:color w:val="auto"/>
                      <w:spacing w:val="-1"/>
                      <w:szCs w:val="21"/>
                    </w:rPr>
                    <w:t>0.216</w:t>
                  </w:r>
                </w:p>
              </w:tc>
            </w:tr>
            <w:tr w14:paraId="4915C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9935DF9">
                  <w:pPr>
                    <w:jc w:val="center"/>
                    <w:rPr>
                      <w:rFonts w:ascii="Arial"/>
                      <w:color w:val="auto"/>
                    </w:rPr>
                  </w:pPr>
                </w:p>
              </w:tc>
              <w:tc>
                <w:tcPr>
                  <w:tcW w:w="662" w:type="pct"/>
                  <w:vAlign w:val="center"/>
                </w:tcPr>
                <w:p w14:paraId="09E8D508">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62419D01">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77D4F885">
                  <w:pPr>
                    <w:spacing w:before="195"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5774CF24">
                  <w:pPr>
                    <w:spacing w:before="194" w:line="234" w:lineRule="auto"/>
                    <w:jc w:val="center"/>
                    <w:rPr>
                      <w:rFonts w:eastAsia="Times New Roman"/>
                      <w:color w:val="auto"/>
                      <w:szCs w:val="21"/>
                    </w:rPr>
                  </w:pPr>
                  <w:r>
                    <w:rPr>
                      <w:rFonts w:eastAsia="Times New Roman"/>
                      <w:color w:val="auto"/>
                      <w:spacing w:val="-1"/>
                      <w:szCs w:val="21"/>
                    </w:rPr>
                    <w:t>40</w:t>
                  </w:r>
                </w:p>
              </w:tc>
            </w:tr>
            <w:tr w14:paraId="61EC7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6" w:type="pct"/>
                  <w:vMerge w:val="continue"/>
                  <w:tcBorders>
                    <w:top w:val="nil"/>
                    <w:bottom w:val="nil"/>
                  </w:tcBorders>
                  <w:vAlign w:val="center"/>
                </w:tcPr>
                <w:p w14:paraId="4CCC0DE2">
                  <w:pPr>
                    <w:jc w:val="center"/>
                    <w:rPr>
                      <w:rFonts w:ascii="Arial"/>
                      <w:color w:val="auto"/>
                    </w:rPr>
                  </w:pPr>
                </w:p>
              </w:tc>
              <w:tc>
                <w:tcPr>
                  <w:tcW w:w="662" w:type="pct"/>
                  <w:vAlign w:val="center"/>
                </w:tcPr>
                <w:p w14:paraId="0A30F5DD">
                  <w:pPr>
                    <w:pStyle w:val="3488"/>
                    <w:spacing w:before="164" w:line="221" w:lineRule="auto"/>
                    <w:jc w:val="center"/>
                    <w:rPr>
                      <w:color w:val="auto"/>
                      <w:sz w:val="21"/>
                      <w:szCs w:val="21"/>
                    </w:rPr>
                  </w:pPr>
                  <w:r>
                    <w:rPr>
                      <w:color w:val="auto"/>
                      <w:spacing w:val="-2"/>
                      <w:sz w:val="21"/>
                      <w:szCs w:val="21"/>
                    </w:rPr>
                    <w:t>排放速率</w:t>
                  </w:r>
                </w:p>
              </w:tc>
              <w:tc>
                <w:tcPr>
                  <w:tcW w:w="254" w:type="pct"/>
                  <w:vAlign w:val="center"/>
                </w:tcPr>
                <w:p w14:paraId="71EDEFC7">
                  <w:pPr>
                    <w:spacing w:before="195" w:line="191" w:lineRule="auto"/>
                    <w:jc w:val="center"/>
                    <w:rPr>
                      <w:rFonts w:eastAsia="Times New Roman"/>
                      <w:color w:val="auto"/>
                      <w:szCs w:val="21"/>
                    </w:rPr>
                  </w:pPr>
                  <w:r>
                    <w:rPr>
                      <w:rFonts w:eastAsia="Times New Roman"/>
                      <w:color w:val="auto"/>
                      <w:szCs w:val="21"/>
                    </w:rPr>
                    <w:t>kg/h</w:t>
                  </w:r>
                </w:p>
              </w:tc>
              <w:tc>
                <w:tcPr>
                  <w:tcW w:w="1039" w:type="pct"/>
                  <w:vAlign w:val="center"/>
                </w:tcPr>
                <w:p w14:paraId="75DB12A3">
                  <w:pPr>
                    <w:spacing w:before="175" w:line="255" w:lineRule="exact"/>
                    <w:jc w:val="center"/>
                    <w:rPr>
                      <w:rFonts w:eastAsia="Times New Roman"/>
                      <w:color w:val="auto"/>
                      <w:sz w:val="13"/>
                      <w:szCs w:val="13"/>
                    </w:rPr>
                  </w:pPr>
                  <w:r>
                    <w:rPr>
                      <w:rFonts w:eastAsia="Times New Roman"/>
                      <w:color w:val="auto"/>
                      <w:spacing w:val="-1"/>
                      <w:szCs w:val="21"/>
                    </w:rPr>
                    <w:t>8.30×10</w:t>
                  </w:r>
                  <w:r>
                    <w:rPr>
                      <w:rFonts w:eastAsia="Times New Roman"/>
                      <w:color w:val="auto"/>
                      <w:spacing w:val="-1"/>
                      <w:position w:val="6"/>
                      <w:sz w:val="13"/>
                      <w:szCs w:val="13"/>
                    </w:rPr>
                    <w:t>-3</w:t>
                  </w:r>
                </w:p>
              </w:tc>
              <w:tc>
                <w:tcPr>
                  <w:tcW w:w="386" w:type="pct"/>
                  <w:gridSpan w:val="3"/>
                  <w:vAlign w:val="center"/>
                </w:tcPr>
                <w:p w14:paraId="36CDB077">
                  <w:pPr>
                    <w:spacing w:before="175" w:line="255" w:lineRule="exact"/>
                    <w:jc w:val="center"/>
                    <w:rPr>
                      <w:rFonts w:eastAsia="Times New Roman"/>
                      <w:color w:val="auto"/>
                      <w:sz w:val="13"/>
                      <w:szCs w:val="13"/>
                    </w:rPr>
                  </w:pPr>
                  <w:r>
                    <w:rPr>
                      <w:rFonts w:eastAsia="Times New Roman"/>
                      <w:color w:val="auto"/>
                      <w:szCs w:val="21"/>
                    </w:rPr>
                    <w:t>7.44×10</w:t>
                  </w:r>
                  <w:r>
                    <w:rPr>
                      <w:rFonts w:eastAsia="Times New Roman"/>
                      <w:color w:val="auto"/>
                      <w:position w:val="6"/>
                      <w:sz w:val="13"/>
                      <w:szCs w:val="13"/>
                    </w:rPr>
                    <w:t>-3</w:t>
                  </w:r>
                </w:p>
              </w:tc>
              <w:tc>
                <w:tcPr>
                  <w:tcW w:w="698" w:type="pct"/>
                  <w:gridSpan w:val="3"/>
                  <w:vAlign w:val="center"/>
                </w:tcPr>
                <w:p w14:paraId="22E18718">
                  <w:pPr>
                    <w:spacing w:before="175" w:line="255" w:lineRule="exact"/>
                    <w:jc w:val="center"/>
                    <w:rPr>
                      <w:rFonts w:eastAsia="Times New Roman"/>
                      <w:color w:val="auto"/>
                      <w:sz w:val="13"/>
                      <w:szCs w:val="13"/>
                    </w:rPr>
                  </w:pPr>
                  <w:r>
                    <w:rPr>
                      <w:rFonts w:eastAsia="Times New Roman"/>
                      <w:color w:val="auto"/>
                      <w:szCs w:val="21"/>
                    </w:rPr>
                    <w:t>7.97×10</w:t>
                  </w:r>
                  <w:r>
                    <w:rPr>
                      <w:rFonts w:eastAsia="Times New Roman"/>
                      <w:color w:val="auto"/>
                      <w:position w:val="6"/>
                      <w:sz w:val="13"/>
                      <w:szCs w:val="13"/>
                    </w:rPr>
                    <w:t>-3</w:t>
                  </w:r>
                </w:p>
              </w:tc>
              <w:tc>
                <w:tcPr>
                  <w:tcW w:w="367" w:type="pct"/>
                  <w:vAlign w:val="center"/>
                </w:tcPr>
                <w:p w14:paraId="63D6E822">
                  <w:pPr>
                    <w:spacing w:before="175" w:line="255" w:lineRule="exact"/>
                    <w:jc w:val="center"/>
                    <w:rPr>
                      <w:rFonts w:eastAsia="Times New Roman"/>
                      <w:color w:val="auto"/>
                      <w:sz w:val="13"/>
                      <w:szCs w:val="13"/>
                    </w:rPr>
                  </w:pPr>
                  <w:r>
                    <w:rPr>
                      <w:rFonts w:eastAsia="Times New Roman"/>
                      <w:color w:val="auto"/>
                      <w:spacing w:val="-2"/>
                      <w:szCs w:val="21"/>
                    </w:rPr>
                    <w:t>1.12×10</w:t>
                  </w:r>
                  <w:r>
                    <w:rPr>
                      <w:rFonts w:eastAsia="Times New Roman"/>
                      <w:color w:val="auto"/>
                      <w:spacing w:val="-2"/>
                      <w:position w:val="6"/>
                      <w:sz w:val="13"/>
                      <w:szCs w:val="13"/>
                    </w:rPr>
                    <w:t>-3</w:t>
                  </w:r>
                </w:p>
              </w:tc>
              <w:tc>
                <w:tcPr>
                  <w:tcW w:w="367" w:type="pct"/>
                  <w:vAlign w:val="center"/>
                </w:tcPr>
                <w:p w14:paraId="4089C5A1">
                  <w:pPr>
                    <w:spacing w:before="175" w:line="255" w:lineRule="exact"/>
                    <w:jc w:val="center"/>
                    <w:rPr>
                      <w:rFonts w:eastAsia="Times New Roman"/>
                      <w:color w:val="auto"/>
                      <w:sz w:val="13"/>
                      <w:szCs w:val="13"/>
                    </w:rPr>
                  </w:pPr>
                  <w:r>
                    <w:rPr>
                      <w:rFonts w:eastAsia="Times New Roman"/>
                      <w:color w:val="auto"/>
                      <w:spacing w:val="-2"/>
                      <w:szCs w:val="21"/>
                    </w:rPr>
                    <w:t>1.09×10</w:t>
                  </w:r>
                  <w:r>
                    <w:rPr>
                      <w:rFonts w:eastAsia="Times New Roman"/>
                      <w:color w:val="auto"/>
                      <w:spacing w:val="-2"/>
                      <w:position w:val="6"/>
                      <w:sz w:val="13"/>
                      <w:szCs w:val="13"/>
                    </w:rPr>
                    <w:t>-3</w:t>
                  </w:r>
                </w:p>
              </w:tc>
              <w:tc>
                <w:tcPr>
                  <w:tcW w:w="367" w:type="pct"/>
                  <w:vAlign w:val="center"/>
                </w:tcPr>
                <w:p w14:paraId="09B4BAA2">
                  <w:pPr>
                    <w:spacing w:before="175" w:line="255" w:lineRule="exact"/>
                    <w:jc w:val="center"/>
                    <w:rPr>
                      <w:rFonts w:eastAsia="Times New Roman"/>
                      <w:color w:val="auto"/>
                      <w:sz w:val="13"/>
                      <w:szCs w:val="13"/>
                    </w:rPr>
                  </w:pPr>
                  <w:r>
                    <w:rPr>
                      <w:rFonts w:eastAsia="Times New Roman"/>
                      <w:color w:val="auto"/>
                      <w:szCs w:val="21"/>
                    </w:rPr>
                    <w:t>9.66×10</w:t>
                  </w:r>
                  <w:r>
                    <w:rPr>
                      <w:rFonts w:eastAsia="Times New Roman"/>
                      <w:color w:val="auto"/>
                      <w:position w:val="6"/>
                      <w:sz w:val="13"/>
                      <w:szCs w:val="13"/>
                    </w:rPr>
                    <w:t>-4</w:t>
                  </w:r>
                </w:p>
              </w:tc>
            </w:tr>
            <w:tr w14:paraId="6A44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56" w:type="pct"/>
                  <w:vMerge w:val="continue"/>
                  <w:tcBorders>
                    <w:top w:val="nil"/>
                  </w:tcBorders>
                  <w:vAlign w:val="center"/>
                </w:tcPr>
                <w:p w14:paraId="1DACF373">
                  <w:pPr>
                    <w:jc w:val="center"/>
                    <w:rPr>
                      <w:rFonts w:ascii="Arial"/>
                      <w:color w:val="auto"/>
                    </w:rPr>
                  </w:pPr>
                </w:p>
              </w:tc>
              <w:tc>
                <w:tcPr>
                  <w:tcW w:w="662" w:type="pct"/>
                  <w:vAlign w:val="center"/>
                </w:tcPr>
                <w:p w14:paraId="6C6D4AF2">
                  <w:pPr>
                    <w:pStyle w:val="3488"/>
                    <w:spacing w:before="166" w:line="221" w:lineRule="auto"/>
                    <w:jc w:val="center"/>
                    <w:rPr>
                      <w:color w:val="auto"/>
                      <w:sz w:val="21"/>
                      <w:szCs w:val="21"/>
                    </w:rPr>
                  </w:pPr>
                  <w:r>
                    <w:rPr>
                      <w:color w:val="auto"/>
                      <w:spacing w:val="-1"/>
                      <w:sz w:val="21"/>
                      <w:szCs w:val="21"/>
                    </w:rPr>
                    <w:t>排放速率限值</w:t>
                  </w:r>
                </w:p>
              </w:tc>
              <w:tc>
                <w:tcPr>
                  <w:tcW w:w="254" w:type="pct"/>
                  <w:vAlign w:val="center"/>
                </w:tcPr>
                <w:p w14:paraId="7F32C8C8">
                  <w:pPr>
                    <w:spacing w:before="194"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263CBC2">
                  <w:pPr>
                    <w:spacing w:before="194"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8B8145D">
                  <w:pPr>
                    <w:spacing w:before="194" w:line="233" w:lineRule="auto"/>
                    <w:jc w:val="center"/>
                    <w:rPr>
                      <w:rFonts w:eastAsia="Times New Roman"/>
                      <w:color w:val="auto"/>
                      <w:szCs w:val="21"/>
                    </w:rPr>
                  </w:pPr>
                  <w:r>
                    <w:rPr>
                      <w:rFonts w:eastAsia="Times New Roman"/>
                      <w:color w:val="auto"/>
                      <w:spacing w:val="-1"/>
                      <w:szCs w:val="21"/>
                    </w:rPr>
                    <w:t>2.9</w:t>
                  </w:r>
                </w:p>
              </w:tc>
            </w:tr>
            <w:tr w14:paraId="0BAB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518" w:type="pct"/>
                  <w:gridSpan w:val="2"/>
                  <w:vMerge w:val="restart"/>
                  <w:tcBorders>
                    <w:bottom w:val="nil"/>
                  </w:tcBorders>
                  <w:vAlign w:val="center"/>
                </w:tcPr>
                <w:p w14:paraId="1B5C0D60">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7D5CB7DC">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50B2E67B">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2022.01.26</w:t>
                  </w:r>
                </w:p>
              </w:tc>
              <w:tc>
                <w:tcPr>
                  <w:tcW w:w="1102" w:type="pct"/>
                  <w:gridSpan w:val="3"/>
                  <w:vAlign w:val="center"/>
                </w:tcPr>
                <w:p w14:paraId="0AA404BB">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2022.01.27</w:t>
                  </w:r>
                </w:p>
              </w:tc>
            </w:tr>
            <w:tr w14:paraId="09CE1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42A6FD54">
                  <w:pPr>
                    <w:jc w:val="center"/>
                    <w:rPr>
                      <w:rFonts w:ascii="Arial"/>
                      <w:color w:val="auto"/>
                    </w:rPr>
                  </w:pPr>
                </w:p>
              </w:tc>
              <w:tc>
                <w:tcPr>
                  <w:tcW w:w="254" w:type="pct"/>
                  <w:vMerge w:val="continue"/>
                  <w:tcBorders>
                    <w:top w:val="nil"/>
                    <w:bottom w:val="nil"/>
                  </w:tcBorders>
                  <w:vAlign w:val="center"/>
                </w:tcPr>
                <w:p w14:paraId="38607DE6">
                  <w:pPr>
                    <w:jc w:val="center"/>
                    <w:rPr>
                      <w:rFonts w:ascii="Arial"/>
                      <w:color w:val="auto"/>
                    </w:rPr>
                  </w:pPr>
                </w:p>
              </w:tc>
              <w:tc>
                <w:tcPr>
                  <w:tcW w:w="2124" w:type="pct"/>
                  <w:gridSpan w:val="7"/>
                  <w:vAlign w:val="center"/>
                </w:tcPr>
                <w:p w14:paraId="3B8EBA4F">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排气筒出口</w:t>
                  </w:r>
                </w:p>
              </w:tc>
              <w:tc>
                <w:tcPr>
                  <w:tcW w:w="1102" w:type="pct"/>
                  <w:gridSpan w:val="3"/>
                  <w:vAlign w:val="center"/>
                </w:tcPr>
                <w:p w14:paraId="05680B39">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3#</w:t>
                  </w:r>
                  <w:r>
                    <w:rPr>
                      <w:color w:val="auto"/>
                      <w:spacing w:val="-1"/>
                      <w:sz w:val="21"/>
                      <w:szCs w:val="21"/>
                      <w:lang w:eastAsia="zh-CN"/>
                    </w:rPr>
                    <w:t>排气筒出口</w:t>
                  </w:r>
                </w:p>
              </w:tc>
            </w:tr>
            <w:tr w14:paraId="58C8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tcBorders>
                  <w:vAlign w:val="center"/>
                </w:tcPr>
                <w:p w14:paraId="3B40D2DE">
                  <w:pPr>
                    <w:jc w:val="center"/>
                    <w:rPr>
                      <w:rFonts w:ascii="Arial"/>
                      <w:color w:val="auto"/>
                    </w:rPr>
                  </w:pPr>
                </w:p>
              </w:tc>
              <w:tc>
                <w:tcPr>
                  <w:tcW w:w="254" w:type="pct"/>
                  <w:vMerge w:val="continue"/>
                  <w:tcBorders>
                    <w:top w:val="nil"/>
                  </w:tcBorders>
                  <w:vAlign w:val="center"/>
                </w:tcPr>
                <w:p w14:paraId="775DD01E">
                  <w:pPr>
                    <w:jc w:val="center"/>
                    <w:rPr>
                      <w:rFonts w:ascii="Arial"/>
                      <w:color w:val="auto"/>
                    </w:rPr>
                  </w:pPr>
                </w:p>
              </w:tc>
              <w:tc>
                <w:tcPr>
                  <w:tcW w:w="1039" w:type="pct"/>
                  <w:vAlign w:val="center"/>
                </w:tcPr>
                <w:p w14:paraId="21CEE840">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631F0DA8">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6E84479C">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5B294752">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2ECEC494">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28225570">
                  <w:pPr>
                    <w:pStyle w:val="3488"/>
                    <w:spacing w:before="164" w:line="221" w:lineRule="auto"/>
                    <w:jc w:val="center"/>
                    <w:rPr>
                      <w:color w:val="auto"/>
                      <w:sz w:val="21"/>
                      <w:szCs w:val="21"/>
                    </w:rPr>
                  </w:pPr>
                  <w:r>
                    <w:rPr>
                      <w:color w:val="auto"/>
                      <w:spacing w:val="-2"/>
                      <w:sz w:val="21"/>
                      <w:szCs w:val="21"/>
                    </w:rPr>
                    <w:t>第三次</w:t>
                  </w:r>
                </w:p>
              </w:tc>
            </w:tr>
            <w:tr w14:paraId="7AADA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459C697E">
                  <w:pPr>
                    <w:pStyle w:val="3488"/>
                    <w:spacing w:before="166" w:line="221" w:lineRule="auto"/>
                    <w:jc w:val="center"/>
                    <w:rPr>
                      <w:color w:val="auto"/>
                      <w:sz w:val="21"/>
                      <w:szCs w:val="21"/>
                    </w:rPr>
                  </w:pPr>
                  <w:r>
                    <w:rPr>
                      <w:color w:val="auto"/>
                      <w:spacing w:val="-1"/>
                      <w:sz w:val="21"/>
                      <w:szCs w:val="21"/>
                    </w:rPr>
                    <w:t>排气筒高度</w:t>
                  </w:r>
                </w:p>
              </w:tc>
              <w:tc>
                <w:tcPr>
                  <w:tcW w:w="254" w:type="pct"/>
                  <w:vAlign w:val="center"/>
                </w:tcPr>
                <w:p w14:paraId="3B95C1BC">
                  <w:pPr>
                    <w:spacing w:before="194"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5B71C98A">
                  <w:pPr>
                    <w:spacing w:before="286"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7E64D320">
                  <w:pPr>
                    <w:spacing w:before="194" w:line="234" w:lineRule="auto"/>
                    <w:jc w:val="center"/>
                    <w:rPr>
                      <w:rFonts w:eastAsia="Times New Roman"/>
                      <w:color w:val="auto"/>
                      <w:szCs w:val="21"/>
                    </w:rPr>
                  </w:pPr>
                  <w:r>
                    <w:rPr>
                      <w:rFonts w:eastAsia="Times New Roman"/>
                      <w:color w:val="auto"/>
                      <w:spacing w:val="-6"/>
                      <w:szCs w:val="21"/>
                    </w:rPr>
                    <w:t>15</w:t>
                  </w:r>
                </w:p>
              </w:tc>
            </w:tr>
            <w:tr w14:paraId="3C01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1545B195">
                  <w:pPr>
                    <w:pStyle w:val="3488"/>
                    <w:spacing w:before="142" w:line="210" w:lineRule="auto"/>
                    <w:jc w:val="center"/>
                    <w:rPr>
                      <w:color w:val="auto"/>
                      <w:sz w:val="21"/>
                      <w:szCs w:val="21"/>
                    </w:rPr>
                  </w:pPr>
                  <w:r>
                    <w:rPr>
                      <w:color w:val="auto"/>
                      <w:spacing w:val="1"/>
                      <w:sz w:val="21"/>
                      <w:szCs w:val="21"/>
                    </w:rPr>
                    <w:t>氮</w:t>
                  </w:r>
                  <w:r>
                    <w:rPr>
                      <w:color w:val="auto"/>
                      <w:spacing w:val="-43"/>
                      <w:sz w:val="21"/>
                      <w:szCs w:val="21"/>
                    </w:rPr>
                    <w:t xml:space="preserve"> </w:t>
                  </w:r>
                  <w:r>
                    <w:rPr>
                      <w:color w:val="auto"/>
                      <w:spacing w:val="1"/>
                      <w:sz w:val="21"/>
                      <w:szCs w:val="21"/>
                    </w:rPr>
                    <w:t>氧</w:t>
                  </w:r>
                  <w:r>
                    <w:rPr>
                      <w:color w:val="auto"/>
                      <w:spacing w:val="-45"/>
                      <w:sz w:val="21"/>
                      <w:szCs w:val="21"/>
                    </w:rPr>
                    <w:t xml:space="preserve"> </w:t>
                  </w:r>
                  <w:r>
                    <w:rPr>
                      <w:color w:val="auto"/>
                      <w:spacing w:val="1"/>
                      <w:sz w:val="21"/>
                      <w:szCs w:val="21"/>
                    </w:rPr>
                    <w:t>化</w:t>
                  </w:r>
                  <w:r>
                    <w:rPr>
                      <w:color w:val="auto"/>
                      <w:spacing w:val="-43"/>
                      <w:sz w:val="21"/>
                      <w:szCs w:val="21"/>
                    </w:rPr>
                    <w:t xml:space="preserve"> </w:t>
                  </w:r>
                  <w:r>
                    <w:rPr>
                      <w:color w:val="auto"/>
                      <w:spacing w:val="1"/>
                      <w:sz w:val="21"/>
                      <w:szCs w:val="21"/>
                    </w:rPr>
                    <w:t>物</w:t>
                  </w:r>
                </w:p>
              </w:tc>
              <w:tc>
                <w:tcPr>
                  <w:tcW w:w="662" w:type="pct"/>
                  <w:vAlign w:val="center"/>
                </w:tcPr>
                <w:p w14:paraId="1084B5F9">
                  <w:pPr>
                    <w:pStyle w:val="3488"/>
                    <w:spacing w:before="165" w:line="221" w:lineRule="auto"/>
                    <w:jc w:val="center"/>
                    <w:rPr>
                      <w:color w:val="auto"/>
                      <w:sz w:val="21"/>
                      <w:szCs w:val="21"/>
                    </w:rPr>
                  </w:pPr>
                  <w:r>
                    <w:rPr>
                      <w:color w:val="auto"/>
                      <w:spacing w:val="-2"/>
                      <w:sz w:val="21"/>
                      <w:szCs w:val="21"/>
                    </w:rPr>
                    <w:t>排放浓度</w:t>
                  </w:r>
                </w:p>
              </w:tc>
              <w:tc>
                <w:tcPr>
                  <w:tcW w:w="254" w:type="pct"/>
                  <w:vAlign w:val="center"/>
                </w:tcPr>
                <w:p w14:paraId="3E3B0158">
                  <w:pPr>
                    <w:spacing w:before="176"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20B8C389">
                  <w:pPr>
                    <w:spacing w:before="195" w:line="234" w:lineRule="auto"/>
                    <w:jc w:val="center"/>
                    <w:rPr>
                      <w:rFonts w:eastAsia="Times New Roman"/>
                      <w:color w:val="auto"/>
                      <w:szCs w:val="21"/>
                    </w:rPr>
                  </w:pPr>
                  <w:r>
                    <w:rPr>
                      <w:rFonts w:eastAsia="Times New Roman"/>
                      <w:color w:val="auto"/>
                      <w:spacing w:val="-1"/>
                      <w:szCs w:val="21"/>
                    </w:rPr>
                    <w:t>23</w:t>
                  </w:r>
                </w:p>
              </w:tc>
              <w:tc>
                <w:tcPr>
                  <w:tcW w:w="386" w:type="pct"/>
                  <w:gridSpan w:val="3"/>
                  <w:vAlign w:val="center"/>
                </w:tcPr>
                <w:p w14:paraId="6D9B3D0C">
                  <w:pPr>
                    <w:spacing w:before="195" w:line="234" w:lineRule="auto"/>
                    <w:jc w:val="center"/>
                    <w:rPr>
                      <w:rFonts w:eastAsia="Times New Roman"/>
                      <w:color w:val="auto"/>
                      <w:szCs w:val="21"/>
                    </w:rPr>
                  </w:pPr>
                  <w:r>
                    <w:rPr>
                      <w:rFonts w:eastAsia="Times New Roman"/>
                      <w:color w:val="auto"/>
                      <w:spacing w:val="-1"/>
                      <w:szCs w:val="21"/>
                    </w:rPr>
                    <w:t>20</w:t>
                  </w:r>
                </w:p>
              </w:tc>
              <w:tc>
                <w:tcPr>
                  <w:tcW w:w="698" w:type="pct"/>
                  <w:gridSpan w:val="3"/>
                  <w:vAlign w:val="center"/>
                </w:tcPr>
                <w:p w14:paraId="0DBD2559">
                  <w:pPr>
                    <w:spacing w:before="195" w:line="234" w:lineRule="auto"/>
                    <w:jc w:val="center"/>
                    <w:rPr>
                      <w:rFonts w:eastAsia="Times New Roman"/>
                      <w:color w:val="auto"/>
                      <w:szCs w:val="21"/>
                    </w:rPr>
                  </w:pPr>
                  <w:r>
                    <w:rPr>
                      <w:rFonts w:eastAsia="Times New Roman"/>
                      <w:color w:val="auto"/>
                      <w:spacing w:val="-1"/>
                      <w:szCs w:val="21"/>
                    </w:rPr>
                    <w:t>20</w:t>
                  </w:r>
                </w:p>
              </w:tc>
              <w:tc>
                <w:tcPr>
                  <w:tcW w:w="367" w:type="pct"/>
                  <w:vAlign w:val="center"/>
                </w:tcPr>
                <w:p w14:paraId="5A4B0158">
                  <w:pPr>
                    <w:spacing w:before="195" w:line="236" w:lineRule="auto"/>
                    <w:jc w:val="center"/>
                    <w:rPr>
                      <w:rFonts w:eastAsia="Times New Roman"/>
                      <w:color w:val="auto"/>
                      <w:szCs w:val="21"/>
                    </w:rPr>
                  </w:pPr>
                  <w:r>
                    <w:rPr>
                      <w:rFonts w:eastAsia="Times New Roman"/>
                      <w:color w:val="auto"/>
                      <w:spacing w:val="-1"/>
                      <w:szCs w:val="21"/>
                    </w:rPr>
                    <w:t>21</w:t>
                  </w:r>
                </w:p>
              </w:tc>
              <w:tc>
                <w:tcPr>
                  <w:tcW w:w="367" w:type="pct"/>
                  <w:vAlign w:val="center"/>
                </w:tcPr>
                <w:p w14:paraId="50936623">
                  <w:pPr>
                    <w:spacing w:before="195" w:line="236" w:lineRule="auto"/>
                    <w:jc w:val="center"/>
                    <w:rPr>
                      <w:rFonts w:eastAsia="Times New Roman"/>
                      <w:color w:val="auto"/>
                      <w:szCs w:val="21"/>
                    </w:rPr>
                  </w:pPr>
                  <w:r>
                    <w:rPr>
                      <w:rFonts w:eastAsia="Times New Roman"/>
                      <w:color w:val="auto"/>
                      <w:spacing w:val="-1"/>
                      <w:szCs w:val="21"/>
                    </w:rPr>
                    <w:t>24</w:t>
                  </w:r>
                </w:p>
              </w:tc>
              <w:tc>
                <w:tcPr>
                  <w:tcW w:w="367" w:type="pct"/>
                  <w:vAlign w:val="center"/>
                </w:tcPr>
                <w:p w14:paraId="240F7B0A">
                  <w:pPr>
                    <w:spacing w:before="195" w:line="236" w:lineRule="auto"/>
                    <w:jc w:val="center"/>
                    <w:rPr>
                      <w:rFonts w:eastAsia="Times New Roman"/>
                      <w:color w:val="auto"/>
                      <w:szCs w:val="21"/>
                    </w:rPr>
                  </w:pPr>
                  <w:r>
                    <w:rPr>
                      <w:rFonts w:eastAsia="Times New Roman"/>
                      <w:color w:val="auto"/>
                      <w:spacing w:val="-1"/>
                      <w:szCs w:val="21"/>
                    </w:rPr>
                    <w:t>24</w:t>
                  </w:r>
                </w:p>
              </w:tc>
            </w:tr>
            <w:tr w14:paraId="3DDCD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74170744">
                  <w:pPr>
                    <w:jc w:val="center"/>
                    <w:rPr>
                      <w:rFonts w:ascii="Arial"/>
                      <w:color w:val="auto"/>
                    </w:rPr>
                  </w:pPr>
                </w:p>
              </w:tc>
              <w:tc>
                <w:tcPr>
                  <w:tcW w:w="662" w:type="pct"/>
                  <w:vAlign w:val="center"/>
                </w:tcPr>
                <w:p w14:paraId="398BEC20">
                  <w:pPr>
                    <w:pStyle w:val="3488"/>
                    <w:spacing w:before="165" w:line="221" w:lineRule="auto"/>
                    <w:jc w:val="center"/>
                    <w:rPr>
                      <w:color w:val="auto"/>
                      <w:sz w:val="21"/>
                      <w:szCs w:val="21"/>
                    </w:rPr>
                  </w:pPr>
                  <w:r>
                    <w:rPr>
                      <w:color w:val="auto"/>
                      <w:spacing w:val="-1"/>
                      <w:sz w:val="21"/>
                      <w:szCs w:val="21"/>
                    </w:rPr>
                    <w:t>排放浓度限值</w:t>
                  </w:r>
                </w:p>
              </w:tc>
              <w:tc>
                <w:tcPr>
                  <w:tcW w:w="254" w:type="pct"/>
                  <w:vAlign w:val="center"/>
                </w:tcPr>
                <w:p w14:paraId="700E1E56">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4E1FC6D5">
                  <w:pPr>
                    <w:spacing w:before="195" w:line="234" w:lineRule="auto"/>
                    <w:jc w:val="center"/>
                    <w:rPr>
                      <w:rFonts w:eastAsia="Times New Roman"/>
                      <w:color w:val="auto"/>
                      <w:szCs w:val="21"/>
                    </w:rPr>
                  </w:pPr>
                  <w:r>
                    <w:rPr>
                      <w:rFonts w:eastAsia="Times New Roman"/>
                      <w:color w:val="auto"/>
                      <w:spacing w:val="-1"/>
                      <w:szCs w:val="21"/>
                    </w:rPr>
                    <w:t>200</w:t>
                  </w:r>
                </w:p>
              </w:tc>
              <w:tc>
                <w:tcPr>
                  <w:tcW w:w="1102" w:type="pct"/>
                  <w:gridSpan w:val="3"/>
                  <w:vAlign w:val="center"/>
                </w:tcPr>
                <w:p w14:paraId="42FFA457">
                  <w:pPr>
                    <w:spacing w:before="195" w:line="234" w:lineRule="auto"/>
                    <w:jc w:val="center"/>
                    <w:rPr>
                      <w:rFonts w:eastAsia="Times New Roman"/>
                      <w:color w:val="auto"/>
                      <w:szCs w:val="21"/>
                    </w:rPr>
                  </w:pPr>
                  <w:r>
                    <w:rPr>
                      <w:rFonts w:eastAsia="Times New Roman"/>
                      <w:color w:val="auto"/>
                      <w:spacing w:val="-1"/>
                      <w:szCs w:val="21"/>
                    </w:rPr>
                    <w:t>200</w:t>
                  </w:r>
                </w:p>
              </w:tc>
            </w:tr>
            <w:tr w14:paraId="202D5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2BCB5A3F">
                  <w:pPr>
                    <w:jc w:val="center"/>
                    <w:rPr>
                      <w:rFonts w:ascii="Arial"/>
                      <w:color w:val="auto"/>
                    </w:rPr>
                  </w:pPr>
                </w:p>
              </w:tc>
              <w:tc>
                <w:tcPr>
                  <w:tcW w:w="662" w:type="pct"/>
                  <w:vAlign w:val="center"/>
                </w:tcPr>
                <w:p w14:paraId="7839387C">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2876741F">
                  <w:pPr>
                    <w:spacing w:before="194" w:line="191" w:lineRule="auto"/>
                    <w:jc w:val="center"/>
                    <w:rPr>
                      <w:rFonts w:eastAsia="Times New Roman"/>
                      <w:color w:val="auto"/>
                      <w:szCs w:val="21"/>
                    </w:rPr>
                  </w:pPr>
                  <w:r>
                    <w:rPr>
                      <w:rFonts w:eastAsia="Times New Roman"/>
                      <w:color w:val="auto"/>
                      <w:szCs w:val="21"/>
                    </w:rPr>
                    <w:t>kg/h</w:t>
                  </w:r>
                </w:p>
              </w:tc>
              <w:tc>
                <w:tcPr>
                  <w:tcW w:w="1039" w:type="pct"/>
                  <w:vAlign w:val="center"/>
                </w:tcPr>
                <w:p w14:paraId="272AC8EA">
                  <w:pPr>
                    <w:spacing w:before="194" w:line="233" w:lineRule="auto"/>
                    <w:jc w:val="center"/>
                    <w:rPr>
                      <w:rFonts w:eastAsia="Times New Roman"/>
                      <w:color w:val="auto"/>
                      <w:szCs w:val="21"/>
                    </w:rPr>
                  </w:pPr>
                  <w:r>
                    <w:rPr>
                      <w:rFonts w:eastAsia="Times New Roman"/>
                      <w:color w:val="auto"/>
                      <w:spacing w:val="-1"/>
                      <w:szCs w:val="21"/>
                    </w:rPr>
                    <w:t>0.0974</w:t>
                  </w:r>
                </w:p>
              </w:tc>
              <w:tc>
                <w:tcPr>
                  <w:tcW w:w="386" w:type="pct"/>
                  <w:gridSpan w:val="3"/>
                  <w:vAlign w:val="center"/>
                </w:tcPr>
                <w:p w14:paraId="633F5721">
                  <w:pPr>
                    <w:spacing w:before="194" w:line="233" w:lineRule="auto"/>
                    <w:jc w:val="center"/>
                    <w:rPr>
                      <w:rFonts w:eastAsia="Times New Roman"/>
                      <w:color w:val="auto"/>
                      <w:szCs w:val="21"/>
                    </w:rPr>
                  </w:pPr>
                  <w:r>
                    <w:rPr>
                      <w:rFonts w:eastAsia="Times New Roman"/>
                      <w:color w:val="auto"/>
                      <w:spacing w:val="-1"/>
                      <w:szCs w:val="21"/>
                    </w:rPr>
                    <w:t>0.0857</w:t>
                  </w:r>
                </w:p>
              </w:tc>
              <w:tc>
                <w:tcPr>
                  <w:tcW w:w="698" w:type="pct"/>
                  <w:gridSpan w:val="3"/>
                  <w:vAlign w:val="center"/>
                </w:tcPr>
                <w:p w14:paraId="323FDAA5">
                  <w:pPr>
                    <w:spacing w:before="194" w:line="233" w:lineRule="auto"/>
                    <w:jc w:val="center"/>
                    <w:rPr>
                      <w:rFonts w:eastAsia="Times New Roman"/>
                      <w:color w:val="auto"/>
                      <w:szCs w:val="21"/>
                    </w:rPr>
                  </w:pPr>
                  <w:r>
                    <w:rPr>
                      <w:rFonts w:eastAsia="Times New Roman"/>
                      <w:color w:val="auto"/>
                      <w:spacing w:val="-1"/>
                      <w:szCs w:val="21"/>
                    </w:rPr>
                    <w:t>0.0866</w:t>
                  </w:r>
                </w:p>
              </w:tc>
              <w:tc>
                <w:tcPr>
                  <w:tcW w:w="367" w:type="pct"/>
                  <w:vAlign w:val="center"/>
                </w:tcPr>
                <w:p w14:paraId="5C56277B">
                  <w:pPr>
                    <w:spacing w:before="194" w:line="233" w:lineRule="auto"/>
                    <w:jc w:val="center"/>
                    <w:rPr>
                      <w:rFonts w:eastAsia="Times New Roman"/>
                      <w:color w:val="auto"/>
                      <w:szCs w:val="21"/>
                    </w:rPr>
                  </w:pPr>
                  <w:r>
                    <w:rPr>
                      <w:rFonts w:eastAsia="Times New Roman"/>
                      <w:color w:val="auto"/>
                      <w:spacing w:val="-1"/>
                      <w:szCs w:val="21"/>
                    </w:rPr>
                    <w:t>0.0907</w:t>
                  </w:r>
                </w:p>
              </w:tc>
              <w:tc>
                <w:tcPr>
                  <w:tcW w:w="367" w:type="pct"/>
                  <w:vAlign w:val="center"/>
                </w:tcPr>
                <w:p w14:paraId="6E0CD866">
                  <w:pPr>
                    <w:spacing w:before="194" w:line="233" w:lineRule="auto"/>
                    <w:jc w:val="center"/>
                    <w:rPr>
                      <w:rFonts w:eastAsia="Times New Roman"/>
                      <w:color w:val="auto"/>
                      <w:szCs w:val="21"/>
                    </w:rPr>
                  </w:pPr>
                  <w:r>
                    <w:rPr>
                      <w:rFonts w:eastAsia="Times New Roman"/>
                      <w:color w:val="auto"/>
                      <w:spacing w:val="-1"/>
                      <w:szCs w:val="21"/>
                    </w:rPr>
                    <w:t>0.1036</w:t>
                  </w:r>
                </w:p>
              </w:tc>
              <w:tc>
                <w:tcPr>
                  <w:tcW w:w="367" w:type="pct"/>
                  <w:vAlign w:val="center"/>
                </w:tcPr>
                <w:p w14:paraId="3C6CAF93">
                  <w:pPr>
                    <w:spacing w:before="194" w:line="233" w:lineRule="auto"/>
                    <w:jc w:val="center"/>
                    <w:rPr>
                      <w:rFonts w:eastAsia="Times New Roman"/>
                      <w:color w:val="auto"/>
                      <w:szCs w:val="21"/>
                    </w:rPr>
                  </w:pPr>
                  <w:r>
                    <w:rPr>
                      <w:rFonts w:eastAsia="Times New Roman"/>
                      <w:color w:val="auto"/>
                      <w:spacing w:val="-1"/>
                      <w:szCs w:val="21"/>
                    </w:rPr>
                    <w:t>0.1073</w:t>
                  </w:r>
                </w:p>
              </w:tc>
            </w:tr>
            <w:tr w14:paraId="4CAA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323F323C">
                  <w:pPr>
                    <w:jc w:val="center"/>
                    <w:rPr>
                      <w:rFonts w:ascii="Arial"/>
                      <w:color w:val="auto"/>
                    </w:rPr>
                  </w:pPr>
                </w:p>
              </w:tc>
              <w:tc>
                <w:tcPr>
                  <w:tcW w:w="662" w:type="pct"/>
                  <w:vAlign w:val="center"/>
                </w:tcPr>
                <w:p w14:paraId="526B4B97">
                  <w:pPr>
                    <w:pStyle w:val="3488"/>
                    <w:spacing w:before="169" w:line="221" w:lineRule="auto"/>
                    <w:jc w:val="center"/>
                    <w:rPr>
                      <w:color w:val="auto"/>
                      <w:sz w:val="21"/>
                      <w:szCs w:val="21"/>
                    </w:rPr>
                  </w:pPr>
                  <w:r>
                    <w:rPr>
                      <w:color w:val="auto"/>
                      <w:spacing w:val="-1"/>
                      <w:sz w:val="21"/>
                      <w:szCs w:val="21"/>
                    </w:rPr>
                    <w:t>排放速率限值</w:t>
                  </w:r>
                </w:p>
              </w:tc>
              <w:tc>
                <w:tcPr>
                  <w:tcW w:w="254" w:type="pct"/>
                  <w:vAlign w:val="center"/>
                </w:tcPr>
                <w:p w14:paraId="62563164">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60218D78">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414666F">
                  <w:pPr>
                    <w:spacing w:before="197" w:line="233" w:lineRule="auto"/>
                    <w:jc w:val="center"/>
                    <w:rPr>
                      <w:rFonts w:eastAsia="Times New Roman"/>
                      <w:color w:val="auto"/>
                      <w:szCs w:val="21"/>
                    </w:rPr>
                  </w:pPr>
                  <w:r>
                    <w:rPr>
                      <w:rFonts w:eastAsia="Times New Roman"/>
                      <w:color w:val="auto"/>
                      <w:szCs w:val="21"/>
                    </w:rPr>
                    <w:t>/</w:t>
                  </w:r>
                </w:p>
              </w:tc>
            </w:tr>
            <w:tr w14:paraId="4F6AA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56" w:type="pct"/>
                  <w:vMerge w:val="restart"/>
                  <w:tcBorders>
                    <w:bottom w:val="nil"/>
                  </w:tcBorders>
                  <w:vAlign w:val="center"/>
                </w:tcPr>
                <w:p w14:paraId="25956776">
                  <w:pPr>
                    <w:pStyle w:val="3488"/>
                    <w:spacing w:before="143" w:line="210" w:lineRule="auto"/>
                    <w:jc w:val="center"/>
                    <w:rPr>
                      <w:color w:val="auto"/>
                      <w:sz w:val="21"/>
                      <w:szCs w:val="21"/>
                    </w:rPr>
                  </w:pPr>
                  <w:r>
                    <w:rPr>
                      <w:color w:val="auto"/>
                      <w:spacing w:val="41"/>
                      <w:sz w:val="21"/>
                      <w:szCs w:val="21"/>
                    </w:rPr>
                    <w:t>颗粒物</w:t>
                  </w:r>
                </w:p>
              </w:tc>
              <w:tc>
                <w:tcPr>
                  <w:tcW w:w="662" w:type="pct"/>
                  <w:vAlign w:val="center"/>
                </w:tcPr>
                <w:p w14:paraId="40CFCDE5">
                  <w:pPr>
                    <w:pStyle w:val="3488"/>
                    <w:spacing w:before="168" w:line="221" w:lineRule="auto"/>
                    <w:jc w:val="center"/>
                    <w:rPr>
                      <w:color w:val="auto"/>
                      <w:sz w:val="21"/>
                      <w:szCs w:val="21"/>
                    </w:rPr>
                  </w:pPr>
                  <w:r>
                    <w:rPr>
                      <w:color w:val="auto"/>
                      <w:spacing w:val="-2"/>
                      <w:sz w:val="21"/>
                      <w:szCs w:val="21"/>
                    </w:rPr>
                    <w:t>排放浓度</w:t>
                  </w:r>
                </w:p>
              </w:tc>
              <w:tc>
                <w:tcPr>
                  <w:tcW w:w="254" w:type="pct"/>
                  <w:vAlign w:val="center"/>
                </w:tcPr>
                <w:p w14:paraId="16158B17">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24622303">
                  <w:pPr>
                    <w:spacing w:before="198" w:line="233" w:lineRule="auto"/>
                    <w:jc w:val="center"/>
                    <w:rPr>
                      <w:rFonts w:eastAsia="Times New Roman"/>
                      <w:color w:val="auto"/>
                      <w:szCs w:val="21"/>
                    </w:rPr>
                  </w:pPr>
                  <w:r>
                    <w:rPr>
                      <w:rFonts w:eastAsia="Times New Roman"/>
                      <w:color w:val="auto"/>
                      <w:spacing w:val="-1"/>
                      <w:szCs w:val="21"/>
                    </w:rPr>
                    <w:t>2.8</w:t>
                  </w:r>
                </w:p>
              </w:tc>
              <w:tc>
                <w:tcPr>
                  <w:tcW w:w="386" w:type="pct"/>
                  <w:gridSpan w:val="3"/>
                  <w:vAlign w:val="center"/>
                </w:tcPr>
                <w:p w14:paraId="0E4D2677">
                  <w:pPr>
                    <w:spacing w:before="198" w:line="233" w:lineRule="auto"/>
                    <w:jc w:val="center"/>
                    <w:rPr>
                      <w:rFonts w:eastAsia="Times New Roman"/>
                      <w:color w:val="auto"/>
                      <w:szCs w:val="21"/>
                    </w:rPr>
                  </w:pPr>
                  <w:r>
                    <w:rPr>
                      <w:rFonts w:eastAsia="Times New Roman"/>
                      <w:color w:val="auto"/>
                      <w:spacing w:val="-2"/>
                      <w:szCs w:val="21"/>
                    </w:rPr>
                    <w:t>3.7</w:t>
                  </w:r>
                </w:p>
              </w:tc>
              <w:tc>
                <w:tcPr>
                  <w:tcW w:w="698" w:type="pct"/>
                  <w:gridSpan w:val="3"/>
                  <w:vAlign w:val="center"/>
                </w:tcPr>
                <w:p w14:paraId="13A82A29">
                  <w:pPr>
                    <w:spacing w:before="198" w:line="233" w:lineRule="auto"/>
                    <w:jc w:val="center"/>
                    <w:rPr>
                      <w:rFonts w:eastAsia="Times New Roman"/>
                      <w:color w:val="auto"/>
                      <w:szCs w:val="21"/>
                    </w:rPr>
                  </w:pPr>
                  <w:r>
                    <w:rPr>
                      <w:rFonts w:eastAsia="Times New Roman"/>
                      <w:color w:val="auto"/>
                      <w:spacing w:val="-2"/>
                      <w:szCs w:val="21"/>
                    </w:rPr>
                    <w:t>3.9</w:t>
                  </w:r>
                </w:p>
              </w:tc>
              <w:tc>
                <w:tcPr>
                  <w:tcW w:w="367" w:type="pct"/>
                  <w:vAlign w:val="center"/>
                </w:tcPr>
                <w:p w14:paraId="3C625E7B">
                  <w:pPr>
                    <w:spacing w:before="198" w:line="233" w:lineRule="auto"/>
                    <w:jc w:val="center"/>
                    <w:rPr>
                      <w:rFonts w:eastAsia="Times New Roman"/>
                      <w:color w:val="auto"/>
                      <w:szCs w:val="21"/>
                    </w:rPr>
                  </w:pPr>
                  <w:r>
                    <w:rPr>
                      <w:rFonts w:eastAsia="Times New Roman"/>
                      <w:color w:val="auto"/>
                      <w:spacing w:val="-1"/>
                      <w:szCs w:val="21"/>
                    </w:rPr>
                    <w:t>2.5</w:t>
                  </w:r>
                </w:p>
              </w:tc>
              <w:tc>
                <w:tcPr>
                  <w:tcW w:w="367" w:type="pct"/>
                  <w:vAlign w:val="center"/>
                </w:tcPr>
                <w:p w14:paraId="53A7C7EA">
                  <w:pPr>
                    <w:spacing w:before="198" w:line="233" w:lineRule="auto"/>
                    <w:jc w:val="center"/>
                    <w:rPr>
                      <w:rFonts w:eastAsia="Times New Roman"/>
                      <w:color w:val="auto"/>
                      <w:szCs w:val="21"/>
                    </w:rPr>
                  </w:pPr>
                  <w:r>
                    <w:rPr>
                      <w:rFonts w:eastAsia="Times New Roman"/>
                      <w:color w:val="auto"/>
                      <w:spacing w:val="-2"/>
                      <w:szCs w:val="21"/>
                    </w:rPr>
                    <w:t>3.4</w:t>
                  </w:r>
                </w:p>
              </w:tc>
              <w:tc>
                <w:tcPr>
                  <w:tcW w:w="367" w:type="pct"/>
                  <w:vAlign w:val="center"/>
                </w:tcPr>
                <w:p w14:paraId="13483934">
                  <w:pPr>
                    <w:spacing w:before="198" w:line="233" w:lineRule="auto"/>
                    <w:jc w:val="center"/>
                    <w:rPr>
                      <w:rFonts w:eastAsia="Times New Roman"/>
                      <w:color w:val="auto"/>
                      <w:szCs w:val="21"/>
                    </w:rPr>
                  </w:pPr>
                  <w:r>
                    <w:rPr>
                      <w:rFonts w:eastAsia="Times New Roman"/>
                      <w:color w:val="auto"/>
                      <w:spacing w:val="-1"/>
                      <w:szCs w:val="21"/>
                    </w:rPr>
                    <w:t>4.2</w:t>
                  </w:r>
                </w:p>
              </w:tc>
            </w:tr>
            <w:tr w14:paraId="295D9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10C764CC">
                  <w:pPr>
                    <w:jc w:val="center"/>
                    <w:rPr>
                      <w:rFonts w:ascii="Arial"/>
                      <w:color w:val="auto"/>
                    </w:rPr>
                  </w:pPr>
                </w:p>
              </w:tc>
              <w:tc>
                <w:tcPr>
                  <w:tcW w:w="662" w:type="pct"/>
                  <w:vAlign w:val="center"/>
                </w:tcPr>
                <w:p w14:paraId="464507B7">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2AF2F425">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6254B5F8">
                  <w:pPr>
                    <w:spacing w:before="197" w:line="234" w:lineRule="auto"/>
                    <w:jc w:val="center"/>
                    <w:rPr>
                      <w:rFonts w:eastAsia="Times New Roman"/>
                      <w:color w:val="auto"/>
                      <w:szCs w:val="21"/>
                    </w:rPr>
                  </w:pPr>
                  <w:r>
                    <w:rPr>
                      <w:rFonts w:eastAsia="Times New Roman"/>
                      <w:color w:val="auto"/>
                      <w:spacing w:val="-1"/>
                      <w:szCs w:val="21"/>
                    </w:rPr>
                    <w:t>20</w:t>
                  </w:r>
                </w:p>
              </w:tc>
              <w:tc>
                <w:tcPr>
                  <w:tcW w:w="1102" w:type="pct"/>
                  <w:gridSpan w:val="3"/>
                  <w:vAlign w:val="center"/>
                </w:tcPr>
                <w:p w14:paraId="6C3D2E31">
                  <w:pPr>
                    <w:spacing w:before="197" w:line="234" w:lineRule="auto"/>
                    <w:jc w:val="center"/>
                    <w:rPr>
                      <w:rFonts w:eastAsia="Times New Roman"/>
                      <w:color w:val="auto"/>
                      <w:szCs w:val="21"/>
                    </w:rPr>
                  </w:pPr>
                  <w:r>
                    <w:rPr>
                      <w:rFonts w:eastAsia="Times New Roman"/>
                      <w:color w:val="auto"/>
                      <w:spacing w:val="-1"/>
                      <w:szCs w:val="21"/>
                    </w:rPr>
                    <w:t>20</w:t>
                  </w:r>
                </w:p>
              </w:tc>
            </w:tr>
            <w:tr w14:paraId="62F34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77FD70F4">
                  <w:pPr>
                    <w:jc w:val="center"/>
                    <w:rPr>
                      <w:rFonts w:ascii="Arial"/>
                      <w:color w:val="auto"/>
                    </w:rPr>
                  </w:pPr>
                </w:p>
              </w:tc>
              <w:tc>
                <w:tcPr>
                  <w:tcW w:w="662" w:type="pct"/>
                  <w:vAlign w:val="center"/>
                </w:tcPr>
                <w:p w14:paraId="06F1BE1B">
                  <w:pPr>
                    <w:pStyle w:val="3488"/>
                    <w:spacing w:before="167" w:line="221" w:lineRule="auto"/>
                    <w:jc w:val="center"/>
                    <w:rPr>
                      <w:color w:val="auto"/>
                      <w:sz w:val="21"/>
                      <w:szCs w:val="21"/>
                    </w:rPr>
                  </w:pPr>
                  <w:r>
                    <w:rPr>
                      <w:color w:val="auto"/>
                      <w:spacing w:val="-2"/>
                      <w:sz w:val="21"/>
                      <w:szCs w:val="21"/>
                    </w:rPr>
                    <w:t>排放速率</w:t>
                  </w:r>
                </w:p>
              </w:tc>
              <w:tc>
                <w:tcPr>
                  <w:tcW w:w="254" w:type="pct"/>
                  <w:vAlign w:val="center"/>
                </w:tcPr>
                <w:p w14:paraId="60C1A7B7">
                  <w:pPr>
                    <w:spacing w:before="195" w:line="191" w:lineRule="auto"/>
                    <w:jc w:val="center"/>
                    <w:rPr>
                      <w:rFonts w:eastAsia="Times New Roman"/>
                      <w:color w:val="auto"/>
                      <w:szCs w:val="21"/>
                    </w:rPr>
                  </w:pPr>
                  <w:r>
                    <w:rPr>
                      <w:rFonts w:eastAsia="Times New Roman"/>
                      <w:color w:val="auto"/>
                      <w:szCs w:val="21"/>
                    </w:rPr>
                    <w:t>kg/h</w:t>
                  </w:r>
                </w:p>
              </w:tc>
              <w:tc>
                <w:tcPr>
                  <w:tcW w:w="1039" w:type="pct"/>
                  <w:vAlign w:val="center"/>
                </w:tcPr>
                <w:p w14:paraId="1EDF6E43">
                  <w:pPr>
                    <w:spacing w:before="195" w:line="233" w:lineRule="auto"/>
                    <w:jc w:val="center"/>
                    <w:rPr>
                      <w:rFonts w:eastAsia="Times New Roman"/>
                      <w:color w:val="auto"/>
                      <w:szCs w:val="21"/>
                    </w:rPr>
                  </w:pPr>
                  <w:r>
                    <w:rPr>
                      <w:rFonts w:eastAsia="Times New Roman"/>
                      <w:color w:val="auto"/>
                      <w:spacing w:val="-1"/>
                      <w:szCs w:val="21"/>
                    </w:rPr>
                    <w:t>0.0119</w:t>
                  </w:r>
                </w:p>
              </w:tc>
              <w:tc>
                <w:tcPr>
                  <w:tcW w:w="386" w:type="pct"/>
                  <w:gridSpan w:val="3"/>
                  <w:vAlign w:val="center"/>
                </w:tcPr>
                <w:p w14:paraId="0906A89A">
                  <w:pPr>
                    <w:spacing w:before="195" w:line="233" w:lineRule="auto"/>
                    <w:jc w:val="center"/>
                    <w:rPr>
                      <w:rFonts w:eastAsia="Times New Roman"/>
                      <w:color w:val="auto"/>
                      <w:szCs w:val="21"/>
                    </w:rPr>
                  </w:pPr>
                  <w:r>
                    <w:rPr>
                      <w:rFonts w:eastAsia="Times New Roman"/>
                      <w:color w:val="auto"/>
                      <w:spacing w:val="-1"/>
                      <w:szCs w:val="21"/>
                    </w:rPr>
                    <w:t>0.0159</w:t>
                  </w:r>
                </w:p>
              </w:tc>
              <w:tc>
                <w:tcPr>
                  <w:tcW w:w="698" w:type="pct"/>
                  <w:gridSpan w:val="3"/>
                  <w:vAlign w:val="center"/>
                </w:tcPr>
                <w:p w14:paraId="71F2A6E3">
                  <w:pPr>
                    <w:spacing w:before="195" w:line="233" w:lineRule="auto"/>
                    <w:jc w:val="center"/>
                    <w:rPr>
                      <w:rFonts w:eastAsia="Times New Roman"/>
                      <w:color w:val="auto"/>
                      <w:szCs w:val="21"/>
                    </w:rPr>
                  </w:pPr>
                  <w:r>
                    <w:rPr>
                      <w:rFonts w:eastAsia="Times New Roman"/>
                      <w:color w:val="auto"/>
                      <w:spacing w:val="-1"/>
                      <w:szCs w:val="21"/>
                    </w:rPr>
                    <w:t>0.0169</w:t>
                  </w:r>
                </w:p>
              </w:tc>
              <w:tc>
                <w:tcPr>
                  <w:tcW w:w="367" w:type="pct"/>
                  <w:vAlign w:val="center"/>
                </w:tcPr>
                <w:p w14:paraId="259CF463">
                  <w:pPr>
                    <w:spacing w:before="195" w:line="233" w:lineRule="auto"/>
                    <w:jc w:val="center"/>
                    <w:rPr>
                      <w:rFonts w:eastAsia="Times New Roman"/>
                      <w:color w:val="auto"/>
                      <w:szCs w:val="21"/>
                    </w:rPr>
                  </w:pPr>
                  <w:r>
                    <w:rPr>
                      <w:rFonts w:eastAsia="Times New Roman"/>
                      <w:color w:val="auto"/>
                      <w:spacing w:val="-1"/>
                      <w:szCs w:val="21"/>
                    </w:rPr>
                    <w:t>0.0108</w:t>
                  </w:r>
                </w:p>
              </w:tc>
              <w:tc>
                <w:tcPr>
                  <w:tcW w:w="367" w:type="pct"/>
                  <w:vAlign w:val="center"/>
                </w:tcPr>
                <w:p w14:paraId="6C7B1004">
                  <w:pPr>
                    <w:spacing w:before="195" w:line="233" w:lineRule="auto"/>
                    <w:jc w:val="center"/>
                    <w:rPr>
                      <w:rFonts w:eastAsia="Times New Roman"/>
                      <w:color w:val="auto"/>
                      <w:szCs w:val="21"/>
                    </w:rPr>
                  </w:pPr>
                  <w:r>
                    <w:rPr>
                      <w:rFonts w:eastAsia="Times New Roman"/>
                      <w:color w:val="auto"/>
                      <w:spacing w:val="-1"/>
                      <w:szCs w:val="21"/>
                    </w:rPr>
                    <w:t>0.0147</w:t>
                  </w:r>
                </w:p>
              </w:tc>
              <w:tc>
                <w:tcPr>
                  <w:tcW w:w="367" w:type="pct"/>
                  <w:vAlign w:val="center"/>
                </w:tcPr>
                <w:p w14:paraId="357236ED">
                  <w:pPr>
                    <w:spacing w:before="195" w:line="233" w:lineRule="auto"/>
                    <w:jc w:val="center"/>
                    <w:rPr>
                      <w:rFonts w:eastAsia="Times New Roman"/>
                      <w:color w:val="auto"/>
                      <w:szCs w:val="21"/>
                    </w:rPr>
                  </w:pPr>
                  <w:r>
                    <w:rPr>
                      <w:rFonts w:eastAsia="Times New Roman"/>
                      <w:color w:val="auto"/>
                      <w:spacing w:val="-1"/>
                      <w:szCs w:val="21"/>
                    </w:rPr>
                    <w:t>0.0188</w:t>
                  </w:r>
                </w:p>
              </w:tc>
            </w:tr>
            <w:tr w14:paraId="3D70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56" w:type="pct"/>
                  <w:vMerge w:val="continue"/>
                  <w:tcBorders>
                    <w:top w:val="nil"/>
                  </w:tcBorders>
                  <w:vAlign w:val="center"/>
                </w:tcPr>
                <w:p w14:paraId="19187C70">
                  <w:pPr>
                    <w:jc w:val="center"/>
                    <w:rPr>
                      <w:rFonts w:ascii="Arial"/>
                      <w:color w:val="auto"/>
                    </w:rPr>
                  </w:pPr>
                </w:p>
              </w:tc>
              <w:tc>
                <w:tcPr>
                  <w:tcW w:w="662" w:type="pct"/>
                  <w:vAlign w:val="center"/>
                </w:tcPr>
                <w:p w14:paraId="152E4AB0">
                  <w:pPr>
                    <w:pStyle w:val="3488"/>
                    <w:spacing w:before="170" w:line="221" w:lineRule="auto"/>
                    <w:jc w:val="center"/>
                    <w:rPr>
                      <w:color w:val="auto"/>
                      <w:sz w:val="21"/>
                      <w:szCs w:val="21"/>
                    </w:rPr>
                  </w:pPr>
                  <w:r>
                    <w:rPr>
                      <w:color w:val="auto"/>
                      <w:spacing w:val="-1"/>
                      <w:sz w:val="21"/>
                      <w:szCs w:val="21"/>
                    </w:rPr>
                    <w:t>排放速率限值</w:t>
                  </w:r>
                </w:p>
              </w:tc>
              <w:tc>
                <w:tcPr>
                  <w:tcW w:w="254" w:type="pct"/>
                  <w:vAlign w:val="center"/>
                </w:tcPr>
                <w:p w14:paraId="17FD091B">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E7F7DF4">
                  <w:pPr>
                    <w:spacing w:before="198" w:line="233" w:lineRule="auto"/>
                    <w:ind w:left="1556"/>
                    <w:jc w:val="center"/>
                    <w:rPr>
                      <w:rFonts w:eastAsia="Times New Roman"/>
                      <w:color w:val="auto"/>
                      <w:szCs w:val="21"/>
                    </w:rPr>
                  </w:pPr>
                  <w:r>
                    <w:rPr>
                      <w:rFonts w:eastAsia="Times New Roman"/>
                      <w:color w:val="auto"/>
                      <w:szCs w:val="21"/>
                    </w:rPr>
                    <w:t>/</w:t>
                  </w:r>
                </w:p>
              </w:tc>
              <w:tc>
                <w:tcPr>
                  <w:tcW w:w="1102" w:type="pct"/>
                  <w:gridSpan w:val="3"/>
                  <w:vAlign w:val="center"/>
                </w:tcPr>
                <w:p w14:paraId="344D0BFE">
                  <w:pPr>
                    <w:spacing w:before="198" w:line="233" w:lineRule="auto"/>
                    <w:ind w:left="1559"/>
                    <w:jc w:val="center"/>
                    <w:rPr>
                      <w:rFonts w:eastAsia="Times New Roman"/>
                      <w:color w:val="auto"/>
                      <w:szCs w:val="21"/>
                    </w:rPr>
                  </w:pPr>
                  <w:r>
                    <w:rPr>
                      <w:rFonts w:eastAsia="Times New Roman"/>
                      <w:color w:val="auto"/>
                      <w:szCs w:val="21"/>
                    </w:rPr>
                    <w:t>/</w:t>
                  </w:r>
                </w:p>
              </w:tc>
            </w:tr>
            <w:tr w14:paraId="7ADF0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56" w:type="pct"/>
                  <w:vMerge w:val="restart"/>
                  <w:tcBorders>
                    <w:bottom w:val="nil"/>
                  </w:tcBorders>
                  <w:vAlign w:val="center"/>
                </w:tcPr>
                <w:p w14:paraId="4887660C">
                  <w:pPr>
                    <w:pStyle w:val="3488"/>
                    <w:spacing w:before="143" w:line="209" w:lineRule="auto"/>
                    <w:jc w:val="center"/>
                    <w:rPr>
                      <w:color w:val="auto"/>
                      <w:sz w:val="21"/>
                      <w:szCs w:val="21"/>
                    </w:rPr>
                  </w:pPr>
                  <w:r>
                    <w:rPr>
                      <w:rFonts w:hint="eastAsia"/>
                      <w:color w:val="auto"/>
                      <w:spacing w:val="-16"/>
                      <w:sz w:val="21"/>
                      <w:szCs w:val="21"/>
                      <w:lang w:eastAsia="zh-CN"/>
                    </w:rPr>
                    <w:t>二、</w:t>
                  </w:r>
                  <w:r>
                    <w:rPr>
                      <w:color w:val="auto"/>
                      <w:spacing w:val="-16"/>
                      <w:sz w:val="21"/>
                      <w:szCs w:val="21"/>
                    </w:rPr>
                    <w:t>氧</w:t>
                  </w:r>
                  <w:r>
                    <w:rPr>
                      <w:color w:val="auto"/>
                      <w:spacing w:val="-43"/>
                      <w:sz w:val="21"/>
                      <w:szCs w:val="21"/>
                    </w:rPr>
                    <w:t xml:space="preserve"> </w:t>
                  </w:r>
                  <w:r>
                    <w:rPr>
                      <w:color w:val="auto"/>
                      <w:spacing w:val="-16"/>
                      <w:sz w:val="21"/>
                      <w:szCs w:val="21"/>
                    </w:rPr>
                    <w:t>化</w:t>
                  </w:r>
                  <w:r>
                    <w:rPr>
                      <w:color w:val="auto"/>
                      <w:spacing w:val="-43"/>
                      <w:sz w:val="21"/>
                      <w:szCs w:val="21"/>
                    </w:rPr>
                    <w:t xml:space="preserve"> </w:t>
                  </w:r>
                  <w:r>
                    <w:rPr>
                      <w:color w:val="auto"/>
                      <w:spacing w:val="-16"/>
                      <w:sz w:val="21"/>
                      <w:szCs w:val="21"/>
                    </w:rPr>
                    <w:t>硫</w:t>
                  </w:r>
                </w:p>
              </w:tc>
              <w:tc>
                <w:tcPr>
                  <w:tcW w:w="662" w:type="pct"/>
                  <w:vAlign w:val="center"/>
                </w:tcPr>
                <w:p w14:paraId="551C699D">
                  <w:pPr>
                    <w:pStyle w:val="3488"/>
                    <w:spacing w:before="168" w:line="221" w:lineRule="auto"/>
                    <w:jc w:val="center"/>
                    <w:rPr>
                      <w:color w:val="auto"/>
                      <w:sz w:val="21"/>
                      <w:szCs w:val="21"/>
                    </w:rPr>
                  </w:pPr>
                  <w:r>
                    <w:rPr>
                      <w:color w:val="auto"/>
                      <w:spacing w:val="-2"/>
                      <w:sz w:val="21"/>
                      <w:szCs w:val="21"/>
                    </w:rPr>
                    <w:t>排放浓度</w:t>
                  </w:r>
                </w:p>
              </w:tc>
              <w:tc>
                <w:tcPr>
                  <w:tcW w:w="254" w:type="pct"/>
                  <w:vAlign w:val="center"/>
                </w:tcPr>
                <w:p w14:paraId="7CC635BE">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3F591B5B">
                  <w:pPr>
                    <w:spacing w:before="204" w:line="184" w:lineRule="auto"/>
                    <w:jc w:val="center"/>
                    <w:rPr>
                      <w:rFonts w:eastAsia="Times New Roman"/>
                      <w:color w:val="auto"/>
                      <w:szCs w:val="21"/>
                    </w:rPr>
                  </w:pPr>
                  <w:r>
                    <w:rPr>
                      <w:rFonts w:eastAsia="Times New Roman"/>
                      <w:color w:val="auto"/>
                      <w:spacing w:val="1"/>
                      <w:szCs w:val="21"/>
                    </w:rPr>
                    <w:t>ND</w:t>
                  </w:r>
                </w:p>
              </w:tc>
              <w:tc>
                <w:tcPr>
                  <w:tcW w:w="386" w:type="pct"/>
                  <w:gridSpan w:val="3"/>
                  <w:vAlign w:val="center"/>
                </w:tcPr>
                <w:p w14:paraId="0A53E221">
                  <w:pPr>
                    <w:spacing w:before="204" w:line="184" w:lineRule="auto"/>
                    <w:jc w:val="center"/>
                    <w:rPr>
                      <w:rFonts w:eastAsia="Times New Roman"/>
                      <w:color w:val="auto"/>
                      <w:szCs w:val="21"/>
                    </w:rPr>
                  </w:pPr>
                  <w:r>
                    <w:rPr>
                      <w:rFonts w:eastAsia="Times New Roman"/>
                      <w:color w:val="auto"/>
                      <w:spacing w:val="1"/>
                      <w:szCs w:val="21"/>
                    </w:rPr>
                    <w:t>ND</w:t>
                  </w:r>
                </w:p>
              </w:tc>
              <w:tc>
                <w:tcPr>
                  <w:tcW w:w="698" w:type="pct"/>
                  <w:gridSpan w:val="3"/>
                  <w:vAlign w:val="center"/>
                </w:tcPr>
                <w:p w14:paraId="0D675557">
                  <w:pPr>
                    <w:spacing w:before="204" w:line="184" w:lineRule="auto"/>
                    <w:jc w:val="center"/>
                    <w:rPr>
                      <w:rFonts w:eastAsia="Times New Roman"/>
                      <w:color w:val="auto"/>
                      <w:szCs w:val="21"/>
                    </w:rPr>
                  </w:pPr>
                  <w:r>
                    <w:rPr>
                      <w:rFonts w:eastAsia="Times New Roman"/>
                      <w:color w:val="auto"/>
                      <w:spacing w:val="1"/>
                      <w:szCs w:val="21"/>
                    </w:rPr>
                    <w:t>ND</w:t>
                  </w:r>
                </w:p>
              </w:tc>
              <w:tc>
                <w:tcPr>
                  <w:tcW w:w="367" w:type="pct"/>
                  <w:vAlign w:val="center"/>
                </w:tcPr>
                <w:p w14:paraId="7038FDF5">
                  <w:pPr>
                    <w:spacing w:before="204" w:line="184" w:lineRule="auto"/>
                    <w:jc w:val="center"/>
                    <w:rPr>
                      <w:rFonts w:eastAsia="Times New Roman"/>
                      <w:color w:val="auto"/>
                      <w:szCs w:val="21"/>
                    </w:rPr>
                  </w:pPr>
                  <w:r>
                    <w:rPr>
                      <w:rFonts w:eastAsia="Times New Roman"/>
                      <w:color w:val="auto"/>
                      <w:spacing w:val="1"/>
                      <w:szCs w:val="21"/>
                    </w:rPr>
                    <w:t>ND</w:t>
                  </w:r>
                </w:p>
              </w:tc>
              <w:tc>
                <w:tcPr>
                  <w:tcW w:w="367" w:type="pct"/>
                  <w:vAlign w:val="center"/>
                </w:tcPr>
                <w:p w14:paraId="5A53BBDD">
                  <w:pPr>
                    <w:spacing w:before="204" w:line="184" w:lineRule="auto"/>
                    <w:jc w:val="center"/>
                    <w:rPr>
                      <w:rFonts w:eastAsia="Times New Roman"/>
                      <w:color w:val="auto"/>
                      <w:szCs w:val="21"/>
                    </w:rPr>
                  </w:pPr>
                  <w:r>
                    <w:rPr>
                      <w:rFonts w:eastAsia="Times New Roman"/>
                      <w:color w:val="auto"/>
                      <w:spacing w:val="1"/>
                      <w:szCs w:val="21"/>
                    </w:rPr>
                    <w:t>ND</w:t>
                  </w:r>
                </w:p>
              </w:tc>
              <w:tc>
                <w:tcPr>
                  <w:tcW w:w="367" w:type="pct"/>
                  <w:vAlign w:val="center"/>
                </w:tcPr>
                <w:p w14:paraId="3BFEB696">
                  <w:pPr>
                    <w:spacing w:before="204" w:line="184" w:lineRule="auto"/>
                    <w:jc w:val="center"/>
                    <w:rPr>
                      <w:rFonts w:eastAsia="Times New Roman"/>
                      <w:color w:val="auto"/>
                      <w:szCs w:val="21"/>
                    </w:rPr>
                  </w:pPr>
                  <w:r>
                    <w:rPr>
                      <w:rFonts w:eastAsia="Times New Roman"/>
                      <w:color w:val="auto"/>
                      <w:spacing w:val="1"/>
                      <w:szCs w:val="21"/>
                    </w:rPr>
                    <w:t>ND</w:t>
                  </w:r>
                </w:p>
              </w:tc>
            </w:tr>
            <w:tr w14:paraId="70D17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32507AC0">
                  <w:pPr>
                    <w:jc w:val="center"/>
                    <w:rPr>
                      <w:rFonts w:ascii="Arial"/>
                      <w:color w:val="auto"/>
                    </w:rPr>
                  </w:pPr>
                </w:p>
              </w:tc>
              <w:tc>
                <w:tcPr>
                  <w:tcW w:w="662" w:type="pct"/>
                  <w:vAlign w:val="center"/>
                </w:tcPr>
                <w:p w14:paraId="1ADEBFBC">
                  <w:pPr>
                    <w:pStyle w:val="3488"/>
                    <w:spacing w:before="167" w:line="221" w:lineRule="auto"/>
                    <w:jc w:val="center"/>
                    <w:rPr>
                      <w:color w:val="auto"/>
                      <w:sz w:val="21"/>
                      <w:szCs w:val="21"/>
                    </w:rPr>
                  </w:pPr>
                  <w:r>
                    <w:rPr>
                      <w:color w:val="auto"/>
                      <w:spacing w:val="-1"/>
                      <w:sz w:val="21"/>
                      <w:szCs w:val="21"/>
                    </w:rPr>
                    <w:t>排放浓度限值</w:t>
                  </w:r>
                </w:p>
              </w:tc>
              <w:tc>
                <w:tcPr>
                  <w:tcW w:w="254" w:type="pct"/>
                  <w:vAlign w:val="center"/>
                </w:tcPr>
                <w:p w14:paraId="069EF300">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16B515A0">
                  <w:pPr>
                    <w:spacing w:before="197" w:line="234" w:lineRule="auto"/>
                    <w:jc w:val="center"/>
                    <w:rPr>
                      <w:rFonts w:eastAsia="Times New Roman"/>
                      <w:color w:val="auto"/>
                      <w:szCs w:val="21"/>
                    </w:rPr>
                  </w:pPr>
                  <w:r>
                    <w:rPr>
                      <w:rFonts w:eastAsia="Times New Roman"/>
                      <w:color w:val="auto"/>
                      <w:spacing w:val="-3"/>
                      <w:szCs w:val="21"/>
                    </w:rPr>
                    <w:t>50</w:t>
                  </w:r>
                </w:p>
              </w:tc>
              <w:tc>
                <w:tcPr>
                  <w:tcW w:w="1102" w:type="pct"/>
                  <w:gridSpan w:val="3"/>
                  <w:vAlign w:val="center"/>
                </w:tcPr>
                <w:p w14:paraId="63BE43A3">
                  <w:pPr>
                    <w:spacing w:before="197" w:line="234" w:lineRule="auto"/>
                    <w:jc w:val="center"/>
                    <w:rPr>
                      <w:rFonts w:eastAsia="Times New Roman"/>
                      <w:color w:val="auto"/>
                      <w:szCs w:val="21"/>
                    </w:rPr>
                  </w:pPr>
                  <w:r>
                    <w:rPr>
                      <w:rFonts w:eastAsia="Times New Roman"/>
                      <w:color w:val="auto"/>
                      <w:spacing w:val="-3"/>
                      <w:szCs w:val="21"/>
                    </w:rPr>
                    <w:t>50</w:t>
                  </w:r>
                </w:p>
              </w:tc>
            </w:tr>
            <w:tr w14:paraId="208E7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4C47FD02">
                  <w:pPr>
                    <w:jc w:val="center"/>
                    <w:rPr>
                      <w:rFonts w:ascii="Arial"/>
                      <w:color w:val="auto"/>
                    </w:rPr>
                  </w:pPr>
                </w:p>
              </w:tc>
              <w:tc>
                <w:tcPr>
                  <w:tcW w:w="662" w:type="pct"/>
                  <w:vAlign w:val="center"/>
                </w:tcPr>
                <w:p w14:paraId="3930BA09">
                  <w:pPr>
                    <w:pStyle w:val="3488"/>
                    <w:spacing w:before="168" w:line="221" w:lineRule="auto"/>
                    <w:jc w:val="center"/>
                    <w:rPr>
                      <w:color w:val="auto"/>
                      <w:sz w:val="21"/>
                      <w:szCs w:val="21"/>
                    </w:rPr>
                  </w:pPr>
                  <w:r>
                    <w:rPr>
                      <w:color w:val="auto"/>
                      <w:spacing w:val="-2"/>
                      <w:sz w:val="21"/>
                      <w:szCs w:val="21"/>
                    </w:rPr>
                    <w:t>排放速率</w:t>
                  </w:r>
                </w:p>
              </w:tc>
              <w:tc>
                <w:tcPr>
                  <w:tcW w:w="254" w:type="pct"/>
                  <w:vAlign w:val="center"/>
                </w:tcPr>
                <w:p w14:paraId="0B953EEF">
                  <w:pPr>
                    <w:spacing w:before="196" w:line="191" w:lineRule="auto"/>
                    <w:jc w:val="center"/>
                    <w:rPr>
                      <w:rFonts w:eastAsia="Times New Roman"/>
                      <w:color w:val="auto"/>
                      <w:szCs w:val="21"/>
                    </w:rPr>
                  </w:pPr>
                  <w:r>
                    <w:rPr>
                      <w:rFonts w:eastAsia="Times New Roman"/>
                      <w:color w:val="auto"/>
                      <w:szCs w:val="21"/>
                    </w:rPr>
                    <w:t>kg/h</w:t>
                  </w:r>
                </w:p>
              </w:tc>
              <w:tc>
                <w:tcPr>
                  <w:tcW w:w="1039" w:type="pct"/>
                  <w:vAlign w:val="center"/>
                </w:tcPr>
                <w:p w14:paraId="5374DCF7">
                  <w:pPr>
                    <w:spacing w:before="196" w:line="233" w:lineRule="auto"/>
                    <w:jc w:val="center"/>
                    <w:rPr>
                      <w:rFonts w:eastAsia="Times New Roman"/>
                      <w:color w:val="auto"/>
                      <w:szCs w:val="21"/>
                    </w:rPr>
                  </w:pPr>
                  <w:r>
                    <w:rPr>
                      <w:rFonts w:eastAsia="Times New Roman"/>
                      <w:color w:val="auto"/>
                      <w:spacing w:val="-1"/>
                      <w:szCs w:val="21"/>
                    </w:rPr>
                    <w:t>0.0192</w:t>
                  </w:r>
                </w:p>
              </w:tc>
              <w:tc>
                <w:tcPr>
                  <w:tcW w:w="386" w:type="pct"/>
                  <w:gridSpan w:val="3"/>
                  <w:vAlign w:val="center"/>
                </w:tcPr>
                <w:p w14:paraId="1F7A7D3F">
                  <w:pPr>
                    <w:spacing w:before="196" w:line="233" w:lineRule="auto"/>
                    <w:jc w:val="center"/>
                    <w:rPr>
                      <w:rFonts w:eastAsia="Times New Roman"/>
                      <w:color w:val="auto"/>
                      <w:szCs w:val="21"/>
                    </w:rPr>
                  </w:pPr>
                  <w:r>
                    <w:rPr>
                      <w:rFonts w:eastAsia="Times New Roman"/>
                      <w:color w:val="auto"/>
                      <w:szCs w:val="21"/>
                    </w:rPr>
                    <w:t>/</w:t>
                  </w:r>
                </w:p>
              </w:tc>
              <w:tc>
                <w:tcPr>
                  <w:tcW w:w="698" w:type="pct"/>
                  <w:gridSpan w:val="3"/>
                  <w:vAlign w:val="center"/>
                </w:tcPr>
                <w:p w14:paraId="3C923A15">
                  <w:pPr>
                    <w:spacing w:before="196" w:line="233" w:lineRule="auto"/>
                    <w:jc w:val="center"/>
                    <w:rPr>
                      <w:rFonts w:eastAsia="Times New Roman"/>
                      <w:color w:val="auto"/>
                      <w:szCs w:val="21"/>
                    </w:rPr>
                  </w:pPr>
                  <w:r>
                    <w:rPr>
                      <w:rFonts w:eastAsia="Times New Roman"/>
                      <w:color w:val="auto"/>
                      <w:szCs w:val="21"/>
                    </w:rPr>
                    <w:t>/</w:t>
                  </w:r>
                </w:p>
              </w:tc>
              <w:tc>
                <w:tcPr>
                  <w:tcW w:w="367" w:type="pct"/>
                  <w:vAlign w:val="center"/>
                </w:tcPr>
                <w:p w14:paraId="4CD06422">
                  <w:pPr>
                    <w:spacing w:before="196" w:line="233" w:lineRule="auto"/>
                    <w:jc w:val="center"/>
                    <w:rPr>
                      <w:rFonts w:eastAsia="Times New Roman"/>
                      <w:color w:val="auto"/>
                      <w:szCs w:val="21"/>
                    </w:rPr>
                  </w:pPr>
                  <w:r>
                    <w:rPr>
                      <w:rFonts w:eastAsia="Times New Roman"/>
                      <w:color w:val="auto"/>
                      <w:szCs w:val="21"/>
                    </w:rPr>
                    <w:t>/</w:t>
                  </w:r>
                </w:p>
              </w:tc>
              <w:tc>
                <w:tcPr>
                  <w:tcW w:w="367" w:type="pct"/>
                  <w:vAlign w:val="center"/>
                </w:tcPr>
                <w:p w14:paraId="7EE9595A">
                  <w:pPr>
                    <w:spacing w:before="196" w:line="233" w:lineRule="auto"/>
                    <w:jc w:val="center"/>
                    <w:rPr>
                      <w:rFonts w:eastAsia="Times New Roman"/>
                      <w:color w:val="auto"/>
                      <w:szCs w:val="21"/>
                    </w:rPr>
                  </w:pPr>
                  <w:r>
                    <w:rPr>
                      <w:rFonts w:eastAsia="Times New Roman"/>
                      <w:color w:val="auto"/>
                      <w:szCs w:val="21"/>
                    </w:rPr>
                    <w:t>/</w:t>
                  </w:r>
                </w:p>
              </w:tc>
              <w:tc>
                <w:tcPr>
                  <w:tcW w:w="367" w:type="pct"/>
                  <w:vAlign w:val="center"/>
                </w:tcPr>
                <w:p w14:paraId="70A3916B">
                  <w:pPr>
                    <w:spacing w:before="196" w:line="233" w:lineRule="auto"/>
                    <w:jc w:val="center"/>
                    <w:rPr>
                      <w:rFonts w:eastAsia="Times New Roman"/>
                      <w:color w:val="auto"/>
                      <w:szCs w:val="21"/>
                    </w:rPr>
                  </w:pPr>
                  <w:r>
                    <w:rPr>
                      <w:rFonts w:eastAsia="Times New Roman"/>
                      <w:color w:val="auto"/>
                      <w:szCs w:val="21"/>
                    </w:rPr>
                    <w:t>/</w:t>
                  </w:r>
                </w:p>
              </w:tc>
            </w:tr>
            <w:tr w14:paraId="1FB7D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12CF8D12">
                  <w:pPr>
                    <w:jc w:val="center"/>
                    <w:rPr>
                      <w:rFonts w:ascii="Arial"/>
                      <w:color w:val="auto"/>
                    </w:rPr>
                  </w:pPr>
                </w:p>
              </w:tc>
              <w:tc>
                <w:tcPr>
                  <w:tcW w:w="662" w:type="pct"/>
                  <w:vAlign w:val="center"/>
                </w:tcPr>
                <w:p w14:paraId="7362DC02">
                  <w:pPr>
                    <w:pStyle w:val="3488"/>
                    <w:spacing w:before="170" w:line="221" w:lineRule="auto"/>
                    <w:jc w:val="center"/>
                    <w:rPr>
                      <w:color w:val="auto"/>
                      <w:sz w:val="21"/>
                      <w:szCs w:val="21"/>
                    </w:rPr>
                  </w:pPr>
                  <w:r>
                    <w:rPr>
                      <w:color w:val="auto"/>
                      <w:spacing w:val="-1"/>
                      <w:sz w:val="21"/>
                      <w:szCs w:val="21"/>
                    </w:rPr>
                    <w:t>排放速率限值</w:t>
                  </w:r>
                </w:p>
              </w:tc>
              <w:tc>
                <w:tcPr>
                  <w:tcW w:w="254" w:type="pct"/>
                  <w:vAlign w:val="center"/>
                </w:tcPr>
                <w:p w14:paraId="4A80C590">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0D51C997">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434FB9BC">
                  <w:pPr>
                    <w:spacing w:before="199" w:line="233" w:lineRule="auto"/>
                    <w:jc w:val="center"/>
                    <w:rPr>
                      <w:rFonts w:eastAsia="Times New Roman"/>
                      <w:color w:val="auto"/>
                      <w:szCs w:val="21"/>
                    </w:rPr>
                  </w:pPr>
                  <w:r>
                    <w:rPr>
                      <w:rFonts w:eastAsia="Times New Roman"/>
                      <w:color w:val="auto"/>
                      <w:szCs w:val="21"/>
                    </w:rPr>
                    <w:t>/</w:t>
                  </w:r>
                </w:p>
              </w:tc>
            </w:tr>
            <w:tr w14:paraId="25AD4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restart"/>
                  <w:tcBorders>
                    <w:top w:val="single" w:color="000000" w:sz="4" w:space="0"/>
                  </w:tcBorders>
                  <w:vAlign w:val="center"/>
                </w:tcPr>
                <w:p w14:paraId="75890FB1">
                  <w:pPr>
                    <w:pStyle w:val="3488"/>
                    <w:spacing w:before="166" w:line="221" w:lineRule="auto"/>
                    <w:jc w:val="center"/>
                    <w:rPr>
                      <w:color w:val="auto"/>
                      <w:sz w:val="21"/>
                      <w:szCs w:val="21"/>
                    </w:rPr>
                  </w:pPr>
                  <w:r>
                    <w:rPr>
                      <w:color w:val="auto"/>
                      <w:spacing w:val="-3"/>
                      <w:sz w:val="21"/>
                      <w:szCs w:val="21"/>
                    </w:rPr>
                    <w:t>项目</w:t>
                  </w:r>
                </w:p>
              </w:tc>
              <w:tc>
                <w:tcPr>
                  <w:tcW w:w="254" w:type="pct"/>
                  <w:vMerge w:val="restart"/>
                  <w:tcBorders>
                    <w:top w:val="single" w:color="000000" w:sz="4" w:space="0"/>
                  </w:tcBorders>
                  <w:vAlign w:val="center"/>
                </w:tcPr>
                <w:p w14:paraId="62D04BF3">
                  <w:pPr>
                    <w:pStyle w:val="3488"/>
                    <w:spacing w:before="166" w:line="221" w:lineRule="auto"/>
                    <w:jc w:val="center"/>
                    <w:rPr>
                      <w:color w:val="auto"/>
                      <w:sz w:val="21"/>
                      <w:szCs w:val="21"/>
                    </w:rPr>
                  </w:pPr>
                  <w:r>
                    <w:rPr>
                      <w:color w:val="auto"/>
                      <w:spacing w:val="-2"/>
                      <w:sz w:val="21"/>
                      <w:szCs w:val="21"/>
                    </w:rPr>
                    <w:t>单位</w:t>
                  </w:r>
                </w:p>
              </w:tc>
              <w:tc>
                <w:tcPr>
                  <w:tcW w:w="2124" w:type="pct"/>
                  <w:gridSpan w:val="7"/>
                  <w:tcBorders>
                    <w:top w:val="single" w:color="000000" w:sz="4" w:space="0"/>
                  </w:tcBorders>
                  <w:vAlign w:val="center"/>
                </w:tcPr>
                <w:p w14:paraId="324A725A">
                  <w:pPr>
                    <w:pStyle w:val="3488"/>
                    <w:spacing w:before="166"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tcBorders>
                    <w:top w:val="single" w:color="000000" w:sz="4" w:space="0"/>
                  </w:tcBorders>
                  <w:vAlign w:val="center"/>
                </w:tcPr>
                <w:p w14:paraId="70E3A2ED">
                  <w:pPr>
                    <w:pStyle w:val="3488"/>
                    <w:spacing w:before="166"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461D1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continue"/>
                  <w:vAlign w:val="center"/>
                </w:tcPr>
                <w:p w14:paraId="30046D35">
                  <w:pPr>
                    <w:jc w:val="center"/>
                    <w:rPr>
                      <w:rFonts w:ascii="Arial"/>
                      <w:color w:val="auto"/>
                    </w:rPr>
                  </w:pPr>
                </w:p>
              </w:tc>
              <w:tc>
                <w:tcPr>
                  <w:tcW w:w="254" w:type="pct"/>
                  <w:vMerge w:val="continue"/>
                  <w:vAlign w:val="center"/>
                </w:tcPr>
                <w:p w14:paraId="26AE0FD2">
                  <w:pPr>
                    <w:jc w:val="center"/>
                    <w:rPr>
                      <w:rFonts w:ascii="Arial"/>
                      <w:color w:val="auto"/>
                    </w:rPr>
                  </w:pPr>
                </w:p>
              </w:tc>
              <w:tc>
                <w:tcPr>
                  <w:tcW w:w="2124" w:type="pct"/>
                  <w:gridSpan w:val="7"/>
                  <w:vAlign w:val="center"/>
                </w:tcPr>
                <w:p w14:paraId="1070E7FE">
                  <w:pPr>
                    <w:pStyle w:val="3488"/>
                    <w:spacing w:before="171"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4#</w:t>
                  </w:r>
                  <w:r>
                    <w:rPr>
                      <w:color w:val="auto"/>
                      <w:spacing w:val="-1"/>
                      <w:sz w:val="21"/>
                      <w:szCs w:val="21"/>
                      <w:lang w:eastAsia="zh-CN"/>
                    </w:rPr>
                    <w:t>排气筒进口</w:t>
                  </w:r>
                </w:p>
              </w:tc>
              <w:tc>
                <w:tcPr>
                  <w:tcW w:w="1102" w:type="pct"/>
                  <w:gridSpan w:val="3"/>
                  <w:vAlign w:val="center"/>
                </w:tcPr>
                <w:p w14:paraId="444DB685">
                  <w:pPr>
                    <w:pStyle w:val="3488"/>
                    <w:spacing w:before="171"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4#</w:t>
                  </w:r>
                  <w:r>
                    <w:rPr>
                      <w:color w:val="auto"/>
                      <w:spacing w:val="-1"/>
                      <w:sz w:val="21"/>
                      <w:szCs w:val="21"/>
                      <w:lang w:eastAsia="zh-CN"/>
                    </w:rPr>
                    <w:t>排气筒出口</w:t>
                  </w:r>
                </w:p>
              </w:tc>
            </w:tr>
            <w:tr w14:paraId="2349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vAlign w:val="center"/>
                </w:tcPr>
                <w:p w14:paraId="5224B9D4">
                  <w:pPr>
                    <w:jc w:val="center"/>
                    <w:rPr>
                      <w:rFonts w:ascii="Arial"/>
                      <w:color w:val="auto"/>
                    </w:rPr>
                  </w:pPr>
                </w:p>
              </w:tc>
              <w:tc>
                <w:tcPr>
                  <w:tcW w:w="254" w:type="pct"/>
                  <w:vMerge w:val="continue"/>
                  <w:vAlign w:val="center"/>
                </w:tcPr>
                <w:p w14:paraId="585B4A94">
                  <w:pPr>
                    <w:jc w:val="center"/>
                    <w:rPr>
                      <w:rFonts w:ascii="Arial"/>
                      <w:color w:val="auto"/>
                    </w:rPr>
                  </w:pPr>
                </w:p>
              </w:tc>
              <w:tc>
                <w:tcPr>
                  <w:tcW w:w="1039" w:type="pct"/>
                  <w:vAlign w:val="center"/>
                </w:tcPr>
                <w:p w14:paraId="6317CA78">
                  <w:pPr>
                    <w:pStyle w:val="3488"/>
                    <w:spacing w:before="166" w:line="221" w:lineRule="auto"/>
                    <w:jc w:val="center"/>
                    <w:rPr>
                      <w:color w:val="auto"/>
                      <w:sz w:val="21"/>
                      <w:szCs w:val="21"/>
                    </w:rPr>
                  </w:pPr>
                  <w:r>
                    <w:rPr>
                      <w:color w:val="auto"/>
                      <w:spacing w:val="-2"/>
                      <w:sz w:val="21"/>
                      <w:szCs w:val="21"/>
                    </w:rPr>
                    <w:t>第一次</w:t>
                  </w:r>
                </w:p>
              </w:tc>
              <w:tc>
                <w:tcPr>
                  <w:tcW w:w="386" w:type="pct"/>
                  <w:gridSpan w:val="3"/>
                  <w:vAlign w:val="center"/>
                </w:tcPr>
                <w:p w14:paraId="47F7E135">
                  <w:pPr>
                    <w:pStyle w:val="3488"/>
                    <w:spacing w:before="166" w:line="221" w:lineRule="auto"/>
                    <w:jc w:val="center"/>
                    <w:rPr>
                      <w:color w:val="auto"/>
                      <w:sz w:val="21"/>
                      <w:szCs w:val="21"/>
                    </w:rPr>
                  </w:pPr>
                  <w:r>
                    <w:rPr>
                      <w:color w:val="auto"/>
                      <w:spacing w:val="-2"/>
                      <w:sz w:val="21"/>
                      <w:szCs w:val="21"/>
                    </w:rPr>
                    <w:t>第二次</w:t>
                  </w:r>
                </w:p>
              </w:tc>
              <w:tc>
                <w:tcPr>
                  <w:tcW w:w="698" w:type="pct"/>
                  <w:gridSpan w:val="3"/>
                  <w:vAlign w:val="center"/>
                </w:tcPr>
                <w:p w14:paraId="485FDF12">
                  <w:pPr>
                    <w:pStyle w:val="3488"/>
                    <w:spacing w:before="166" w:line="221" w:lineRule="auto"/>
                    <w:jc w:val="center"/>
                    <w:rPr>
                      <w:color w:val="auto"/>
                      <w:sz w:val="21"/>
                      <w:szCs w:val="21"/>
                    </w:rPr>
                  </w:pPr>
                  <w:r>
                    <w:rPr>
                      <w:color w:val="auto"/>
                      <w:spacing w:val="-2"/>
                      <w:sz w:val="21"/>
                      <w:szCs w:val="21"/>
                    </w:rPr>
                    <w:t>第三次</w:t>
                  </w:r>
                </w:p>
              </w:tc>
              <w:tc>
                <w:tcPr>
                  <w:tcW w:w="367" w:type="pct"/>
                  <w:vAlign w:val="center"/>
                </w:tcPr>
                <w:p w14:paraId="7D0EDDC8">
                  <w:pPr>
                    <w:pStyle w:val="3488"/>
                    <w:spacing w:before="166" w:line="221" w:lineRule="auto"/>
                    <w:jc w:val="center"/>
                    <w:rPr>
                      <w:color w:val="auto"/>
                      <w:sz w:val="21"/>
                      <w:szCs w:val="21"/>
                    </w:rPr>
                  </w:pPr>
                  <w:r>
                    <w:rPr>
                      <w:color w:val="auto"/>
                      <w:spacing w:val="-2"/>
                      <w:sz w:val="21"/>
                      <w:szCs w:val="21"/>
                    </w:rPr>
                    <w:t>第一次</w:t>
                  </w:r>
                </w:p>
              </w:tc>
              <w:tc>
                <w:tcPr>
                  <w:tcW w:w="367" w:type="pct"/>
                  <w:vAlign w:val="center"/>
                </w:tcPr>
                <w:p w14:paraId="03DF3AC5">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630DA2D5">
                  <w:pPr>
                    <w:pStyle w:val="3488"/>
                    <w:spacing w:before="166" w:line="221" w:lineRule="auto"/>
                    <w:jc w:val="center"/>
                    <w:rPr>
                      <w:color w:val="auto"/>
                      <w:sz w:val="21"/>
                      <w:szCs w:val="21"/>
                    </w:rPr>
                  </w:pPr>
                  <w:r>
                    <w:rPr>
                      <w:color w:val="auto"/>
                      <w:spacing w:val="-2"/>
                      <w:sz w:val="21"/>
                      <w:szCs w:val="21"/>
                    </w:rPr>
                    <w:t>第三次</w:t>
                  </w:r>
                </w:p>
              </w:tc>
            </w:tr>
            <w:tr w14:paraId="0494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2F8E7E89">
                  <w:pPr>
                    <w:pStyle w:val="3488"/>
                    <w:spacing w:before="164" w:line="221" w:lineRule="auto"/>
                    <w:jc w:val="center"/>
                    <w:rPr>
                      <w:color w:val="auto"/>
                      <w:sz w:val="21"/>
                      <w:szCs w:val="21"/>
                    </w:rPr>
                  </w:pPr>
                  <w:r>
                    <w:rPr>
                      <w:color w:val="auto"/>
                      <w:spacing w:val="-1"/>
                      <w:sz w:val="21"/>
                      <w:szCs w:val="21"/>
                    </w:rPr>
                    <w:t>排气筒高度</w:t>
                  </w:r>
                </w:p>
              </w:tc>
              <w:tc>
                <w:tcPr>
                  <w:tcW w:w="254" w:type="pct"/>
                  <w:vAlign w:val="center"/>
                </w:tcPr>
                <w:p w14:paraId="1EBD2553">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4E38872F">
                  <w:pPr>
                    <w:spacing w:before="286" w:line="101"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3CDD5197">
                  <w:pPr>
                    <w:spacing w:before="195" w:line="234" w:lineRule="auto"/>
                    <w:jc w:val="center"/>
                    <w:rPr>
                      <w:rFonts w:eastAsia="Times New Roman"/>
                      <w:color w:val="auto"/>
                      <w:szCs w:val="21"/>
                    </w:rPr>
                  </w:pPr>
                  <w:r>
                    <w:rPr>
                      <w:rFonts w:eastAsia="Times New Roman"/>
                      <w:color w:val="auto"/>
                      <w:spacing w:val="-6"/>
                      <w:szCs w:val="21"/>
                    </w:rPr>
                    <w:t>15</w:t>
                  </w:r>
                </w:p>
              </w:tc>
            </w:tr>
            <w:tr w14:paraId="5501C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restart"/>
                  <w:tcBorders>
                    <w:bottom w:val="nil"/>
                  </w:tcBorders>
                  <w:vAlign w:val="center"/>
                </w:tcPr>
                <w:p w14:paraId="36052B8C">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4C2C6F34">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42A7DAE1">
                  <w:pPr>
                    <w:spacing w:before="174"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3E411CC0">
                  <w:pPr>
                    <w:spacing w:before="196" w:line="233" w:lineRule="auto"/>
                    <w:jc w:val="center"/>
                    <w:rPr>
                      <w:rFonts w:eastAsia="Times New Roman"/>
                      <w:color w:val="auto"/>
                      <w:szCs w:val="21"/>
                    </w:rPr>
                  </w:pPr>
                  <w:r>
                    <w:rPr>
                      <w:rFonts w:eastAsia="Times New Roman"/>
                      <w:color w:val="auto"/>
                      <w:spacing w:val="-6"/>
                      <w:szCs w:val="21"/>
                    </w:rPr>
                    <w:t>172</w:t>
                  </w:r>
                </w:p>
              </w:tc>
              <w:tc>
                <w:tcPr>
                  <w:tcW w:w="386" w:type="pct"/>
                  <w:gridSpan w:val="3"/>
                  <w:vAlign w:val="center"/>
                </w:tcPr>
                <w:p w14:paraId="662C291F">
                  <w:pPr>
                    <w:spacing w:before="195" w:line="234" w:lineRule="auto"/>
                    <w:jc w:val="center"/>
                    <w:rPr>
                      <w:rFonts w:eastAsia="Times New Roman"/>
                      <w:color w:val="auto"/>
                      <w:szCs w:val="21"/>
                    </w:rPr>
                  </w:pPr>
                  <w:r>
                    <w:rPr>
                      <w:rFonts w:eastAsia="Times New Roman"/>
                      <w:color w:val="auto"/>
                      <w:spacing w:val="-6"/>
                      <w:szCs w:val="21"/>
                    </w:rPr>
                    <w:t>166</w:t>
                  </w:r>
                </w:p>
              </w:tc>
              <w:tc>
                <w:tcPr>
                  <w:tcW w:w="698" w:type="pct"/>
                  <w:gridSpan w:val="3"/>
                  <w:vAlign w:val="center"/>
                </w:tcPr>
                <w:p w14:paraId="4A16C2F2">
                  <w:pPr>
                    <w:spacing w:before="195" w:line="234" w:lineRule="auto"/>
                    <w:jc w:val="center"/>
                    <w:rPr>
                      <w:rFonts w:eastAsia="Times New Roman"/>
                      <w:color w:val="auto"/>
                      <w:szCs w:val="21"/>
                    </w:rPr>
                  </w:pPr>
                  <w:r>
                    <w:rPr>
                      <w:rFonts w:eastAsia="Times New Roman"/>
                      <w:color w:val="auto"/>
                      <w:spacing w:val="-6"/>
                      <w:szCs w:val="21"/>
                    </w:rPr>
                    <w:t>166</w:t>
                  </w:r>
                </w:p>
              </w:tc>
              <w:tc>
                <w:tcPr>
                  <w:tcW w:w="367" w:type="pct"/>
                  <w:vAlign w:val="center"/>
                </w:tcPr>
                <w:p w14:paraId="02293AC8">
                  <w:pPr>
                    <w:spacing w:before="196" w:line="233" w:lineRule="auto"/>
                    <w:jc w:val="center"/>
                    <w:rPr>
                      <w:rFonts w:eastAsia="Times New Roman"/>
                      <w:color w:val="auto"/>
                      <w:szCs w:val="21"/>
                    </w:rPr>
                  </w:pPr>
                  <w:r>
                    <w:rPr>
                      <w:rFonts w:eastAsia="Times New Roman"/>
                      <w:color w:val="auto"/>
                      <w:spacing w:val="-1"/>
                      <w:szCs w:val="21"/>
                    </w:rPr>
                    <w:t>4.3</w:t>
                  </w:r>
                </w:p>
              </w:tc>
              <w:tc>
                <w:tcPr>
                  <w:tcW w:w="367" w:type="pct"/>
                  <w:vAlign w:val="center"/>
                </w:tcPr>
                <w:p w14:paraId="28C196BB">
                  <w:pPr>
                    <w:spacing w:before="196" w:line="233" w:lineRule="auto"/>
                    <w:jc w:val="center"/>
                    <w:rPr>
                      <w:rFonts w:eastAsia="Times New Roman"/>
                      <w:color w:val="auto"/>
                      <w:szCs w:val="21"/>
                    </w:rPr>
                  </w:pPr>
                  <w:r>
                    <w:rPr>
                      <w:rFonts w:eastAsia="Times New Roman"/>
                      <w:color w:val="auto"/>
                      <w:spacing w:val="-1"/>
                      <w:szCs w:val="21"/>
                    </w:rPr>
                    <w:t>4.6</w:t>
                  </w:r>
                </w:p>
              </w:tc>
              <w:tc>
                <w:tcPr>
                  <w:tcW w:w="367" w:type="pct"/>
                  <w:vAlign w:val="center"/>
                </w:tcPr>
                <w:p w14:paraId="3529B595">
                  <w:pPr>
                    <w:spacing w:before="196" w:line="233" w:lineRule="auto"/>
                    <w:jc w:val="center"/>
                    <w:rPr>
                      <w:rFonts w:eastAsia="Times New Roman"/>
                      <w:color w:val="auto"/>
                      <w:szCs w:val="21"/>
                    </w:rPr>
                  </w:pPr>
                  <w:r>
                    <w:rPr>
                      <w:rFonts w:eastAsia="Times New Roman"/>
                      <w:color w:val="auto"/>
                      <w:spacing w:val="-1"/>
                      <w:szCs w:val="21"/>
                    </w:rPr>
                    <w:t>4.4</w:t>
                  </w:r>
                </w:p>
              </w:tc>
            </w:tr>
            <w:tr w14:paraId="0A3AA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5A78F113">
                  <w:pPr>
                    <w:jc w:val="center"/>
                    <w:rPr>
                      <w:rFonts w:ascii="Arial"/>
                      <w:color w:val="auto"/>
                    </w:rPr>
                  </w:pPr>
                </w:p>
              </w:tc>
              <w:tc>
                <w:tcPr>
                  <w:tcW w:w="662" w:type="pct"/>
                  <w:vAlign w:val="center"/>
                </w:tcPr>
                <w:p w14:paraId="50E08C9C">
                  <w:pPr>
                    <w:pStyle w:val="3488"/>
                    <w:spacing w:before="168" w:line="221" w:lineRule="auto"/>
                    <w:jc w:val="center"/>
                    <w:rPr>
                      <w:color w:val="auto"/>
                      <w:sz w:val="21"/>
                      <w:szCs w:val="21"/>
                    </w:rPr>
                  </w:pPr>
                  <w:r>
                    <w:rPr>
                      <w:color w:val="auto"/>
                      <w:spacing w:val="-1"/>
                      <w:sz w:val="21"/>
                      <w:szCs w:val="21"/>
                    </w:rPr>
                    <w:t>排放浓度限值</w:t>
                  </w:r>
                </w:p>
              </w:tc>
              <w:tc>
                <w:tcPr>
                  <w:tcW w:w="254" w:type="pct"/>
                  <w:vAlign w:val="center"/>
                </w:tcPr>
                <w:p w14:paraId="3F76BFA2">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2ADA2736">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72F10130">
                  <w:pPr>
                    <w:spacing w:before="195" w:line="234" w:lineRule="auto"/>
                    <w:jc w:val="center"/>
                    <w:rPr>
                      <w:rFonts w:eastAsia="Times New Roman"/>
                      <w:color w:val="auto"/>
                      <w:szCs w:val="21"/>
                    </w:rPr>
                  </w:pPr>
                  <w:r>
                    <w:rPr>
                      <w:rFonts w:eastAsia="Times New Roman"/>
                      <w:color w:val="auto"/>
                      <w:spacing w:val="-6"/>
                      <w:szCs w:val="21"/>
                    </w:rPr>
                    <w:t>120</w:t>
                  </w:r>
                </w:p>
              </w:tc>
            </w:tr>
            <w:tr w14:paraId="5C9E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534A9BD">
                  <w:pPr>
                    <w:jc w:val="center"/>
                    <w:rPr>
                      <w:rFonts w:ascii="Arial"/>
                      <w:color w:val="auto"/>
                    </w:rPr>
                  </w:pPr>
                </w:p>
              </w:tc>
              <w:tc>
                <w:tcPr>
                  <w:tcW w:w="662" w:type="pct"/>
                  <w:vAlign w:val="center"/>
                </w:tcPr>
                <w:p w14:paraId="0846AAAF">
                  <w:pPr>
                    <w:pStyle w:val="3488"/>
                    <w:spacing w:before="168" w:line="221" w:lineRule="auto"/>
                    <w:jc w:val="center"/>
                    <w:rPr>
                      <w:color w:val="auto"/>
                      <w:sz w:val="21"/>
                      <w:szCs w:val="21"/>
                    </w:rPr>
                  </w:pPr>
                  <w:r>
                    <w:rPr>
                      <w:color w:val="auto"/>
                      <w:spacing w:val="-2"/>
                      <w:sz w:val="21"/>
                      <w:szCs w:val="21"/>
                    </w:rPr>
                    <w:t>排放速率</w:t>
                  </w:r>
                </w:p>
              </w:tc>
              <w:tc>
                <w:tcPr>
                  <w:tcW w:w="254" w:type="pct"/>
                  <w:vAlign w:val="center"/>
                </w:tcPr>
                <w:p w14:paraId="4F880458">
                  <w:pPr>
                    <w:spacing w:before="196" w:line="191" w:lineRule="auto"/>
                    <w:jc w:val="center"/>
                    <w:rPr>
                      <w:rFonts w:eastAsia="Times New Roman"/>
                      <w:color w:val="auto"/>
                      <w:szCs w:val="21"/>
                    </w:rPr>
                  </w:pPr>
                  <w:r>
                    <w:rPr>
                      <w:rFonts w:eastAsia="Times New Roman"/>
                      <w:color w:val="auto"/>
                      <w:szCs w:val="21"/>
                    </w:rPr>
                    <w:t>kg/h</w:t>
                  </w:r>
                </w:p>
              </w:tc>
              <w:tc>
                <w:tcPr>
                  <w:tcW w:w="1039" w:type="pct"/>
                  <w:vAlign w:val="center"/>
                </w:tcPr>
                <w:p w14:paraId="09F16498">
                  <w:pPr>
                    <w:spacing w:before="197" w:line="233" w:lineRule="auto"/>
                    <w:jc w:val="center"/>
                    <w:rPr>
                      <w:rFonts w:eastAsia="Times New Roman"/>
                      <w:color w:val="auto"/>
                      <w:szCs w:val="21"/>
                    </w:rPr>
                  </w:pPr>
                  <w:r>
                    <w:rPr>
                      <w:rFonts w:eastAsia="Times New Roman"/>
                      <w:color w:val="auto"/>
                      <w:spacing w:val="-5"/>
                      <w:szCs w:val="21"/>
                    </w:rPr>
                    <w:t>1.10</w:t>
                  </w:r>
                </w:p>
              </w:tc>
              <w:tc>
                <w:tcPr>
                  <w:tcW w:w="386" w:type="pct"/>
                  <w:gridSpan w:val="3"/>
                  <w:vAlign w:val="center"/>
                </w:tcPr>
                <w:p w14:paraId="098FAA18">
                  <w:pPr>
                    <w:spacing w:before="197" w:line="233" w:lineRule="auto"/>
                    <w:jc w:val="center"/>
                    <w:rPr>
                      <w:rFonts w:eastAsia="Times New Roman"/>
                      <w:color w:val="auto"/>
                      <w:szCs w:val="21"/>
                    </w:rPr>
                  </w:pPr>
                  <w:r>
                    <w:rPr>
                      <w:rFonts w:eastAsia="Times New Roman"/>
                      <w:color w:val="auto"/>
                      <w:spacing w:val="-5"/>
                      <w:szCs w:val="21"/>
                    </w:rPr>
                    <w:t>1.10</w:t>
                  </w:r>
                </w:p>
              </w:tc>
              <w:tc>
                <w:tcPr>
                  <w:tcW w:w="698" w:type="pct"/>
                  <w:gridSpan w:val="3"/>
                  <w:vAlign w:val="center"/>
                </w:tcPr>
                <w:p w14:paraId="7F00E912">
                  <w:pPr>
                    <w:spacing w:before="197" w:line="233" w:lineRule="auto"/>
                    <w:jc w:val="center"/>
                    <w:rPr>
                      <w:rFonts w:eastAsia="Times New Roman"/>
                      <w:color w:val="auto"/>
                      <w:szCs w:val="21"/>
                    </w:rPr>
                  </w:pPr>
                  <w:r>
                    <w:rPr>
                      <w:rFonts w:eastAsia="Times New Roman"/>
                      <w:color w:val="auto"/>
                      <w:spacing w:val="-5"/>
                      <w:szCs w:val="21"/>
                    </w:rPr>
                    <w:t>1.06</w:t>
                  </w:r>
                </w:p>
              </w:tc>
              <w:tc>
                <w:tcPr>
                  <w:tcW w:w="367" w:type="pct"/>
                  <w:vAlign w:val="center"/>
                </w:tcPr>
                <w:p w14:paraId="24D31FA4">
                  <w:pPr>
                    <w:spacing w:before="197" w:line="233" w:lineRule="auto"/>
                    <w:jc w:val="center"/>
                    <w:rPr>
                      <w:rFonts w:eastAsia="Times New Roman"/>
                      <w:color w:val="auto"/>
                      <w:szCs w:val="21"/>
                    </w:rPr>
                  </w:pPr>
                  <w:r>
                    <w:rPr>
                      <w:rFonts w:eastAsia="Times New Roman"/>
                      <w:color w:val="auto"/>
                      <w:spacing w:val="-1"/>
                      <w:szCs w:val="21"/>
                    </w:rPr>
                    <w:t>0.0294</w:t>
                  </w:r>
                </w:p>
              </w:tc>
              <w:tc>
                <w:tcPr>
                  <w:tcW w:w="367" w:type="pct"/>
                  <w:vAlign w:val="center"/>
                </w:tcPr>
                <w:p w14:paraId="62CF87D4">
                  <w:pPr>
                    <w:spacing w:before="197" w:line="233" w:lineRule="auto"/>
                    <w:jc w:val="center"/>
                    <w:rPr>
                      <w:rFonts w:eastAsia="Times New Roman"/>
                      <w:color w:val="auto"/>
                      <w:szCs w:val="21"/>
                    </w:rPr>
                  </w:pPr>
                  <w:r>
                    <w:rPr>
                      <w:rFonts w:eastAsia="Times New Roman"/>
                      <w:color w:val="auto"/>
                      <w:spacing w:val="-1"/>
                      <w:szCs w:val="21"/>
                    </w:rPr>
                    <w:t>0.0322</w:t>
                  </w:r>
                </w:p>
              </w:tc>
              <w:tc>
                <w:tcPr>
                  <w:tcW w:w="367" w:type="pct"/>
                  <w:vAlign w:val="center"/>
                </w:tcPr>
                <w:p w14:paraId="6F3FC8B8">
                  <w:pPr>
                    <w:spacing w:before="197" w:line="233" w:lineRule="auto"/>
                    <w:jc w:val="center"/>
                    <w:rPr>
                      <w:rFonts w:eastAsia="Times New Roman"/>
                      <w:color w:val="auto"/>
                      <w:szCs w:val="21"/>
                    </w:rPr>
                  </w:pPr>
                  <w:r>
                    <w:rPr>
                      <w:rFonts w:eastAsia="Times New Roman"/>
                      <w:color w:val="auto"/>
                      <w:spacing w:val="-1"/>
                      <w:szCs w:val="21"/>
                    </w:rPr>
                    <w:t>0.0301</w:t>
                  </w:r>
                </w:p>
              </w:tc>
            </w:tr>
            <w:tr w14:paraId="47D4B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76818DF5">
                  <w:pPr>
                    <w:jc w:val="center"/>
                    <w:rPr>
                      <w:rFonts w:ascii="Arial"/>
                      <w:color w:val="auto"/>
                    </w:rPr>
                  </w:pPr>
                </w:p>
              </w:tc>
              <w:tc>
                <w:tcPr>
                  <w:tcW w:w="662" w:type="pct"/>
                  <w:vAlign w:val="center"/>
                </w:tcPr>
                <w:p w14:paraId="7245A9A9">
                  <w:pPr>
                    <w:pStyle w:val="3488"/>
                    <w:spacing w:before="166" w:line="221" w:lineRule="auto"/>
                    <w:jc w:val="center"/>
                    <w:rPr>
                      <w:color w:val="auto"/>
                      <w:sz w:val="21"/>
                      <w:szCs w:val="21"/>
                    </w:rPr>
                  </w:pPr>
                  <w:r>
                    <w:rPr>
                      <w:color w:val="auto"/>
                      <w:spacing w:val="-1"/>
                      <w:sz w:val="21"/>
                      <w:szCs w:val="21"/>
                    </w:rPr>
                    <w:t>排放速率平均值</w:t>
                  </w:r>
                </w:p>
              </w:tc>
              <w:tc>
                <w:tcPr>
                  <w:tcW w:w="254" w:type="pct"/>
                  <w:vAlign w:val="center"/>
                </w:tcPr>
                <w:p w14:paraId="64F7FE78">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07B4BDFD">
                  <w:pPr>
                    <w:spacing w:before="197" w:line="233" w:lineRule="auto"/>
                    <w:jc w:val="center"/>
                    <w:rPr>
                      <w:rFonts w:eastAsia="Times New Roman"/>
                      <w:color w:val="auto"/>
                      <w:szCs w:val="21"/>
                    </w:rPr>
                  </w:pPr>
                  <w:r>
                    <w:rPr>
                      <w:rFonts w:eastAsia="Times New Roman"/>
                      <w:color w:val="auto"/>
                      <w:spacing w:val="-6"/>
                      <w:szCs w:val="21"/>
                    </w:rPr>
                    <w:t>1.09</w:t>
                  </w:r>
                </w:p>
              </w:tc>
              <w:tc>
                <w:tcPr>
                  <w:tcW w:w="1102" w:type="pct"/>
                  <w:gridSpan w:val="3"/>
                  <w:vAlign w:val="center"/>
                </w:tcPr>
                <w:p w14:paraId="6F0950EF">
                  <w:pPr>
                    <w:spacing w:before="197" w:line="233" w:lineRule="auto"/>
                    <w:jc w:val="center"/>
                    <w:rPr>
                      <w:rFonts w:eastAsia="Times New Roman"/>
                      <w:color w:val="auto"/>
                      <w:szCs w:val="21"/>
                    </w:rPr>
                  </w:pPr>
                  <w:r>
                    <w:rPr>
                      <w:rFonts w:eastAsia="Times New Roman"/>
                      <w:color w:val="auto"/>
                      <w:spacing w:val="-1"/>
                      <w:szCs w:val="21"/>
                    </w:rPr>
                    <w:t>0.0306</w:t>
                  </w:r>
                </w:p>
              </w:tc>
            </w:tr>
            <w:tr w14:paraId="1644C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tcBorders>
                  <w:vAlign w:val="center"/>
                </w:tcPr>
                <w:p w14:paraId="622D5F78">
                  <w:pPr>
                    <w:jc w:val="center"/>
                    <w:rPr>
                      <w:rFonts w:ascii="Arial"/>
                      <w:color w:val="auto"/>
                    </w:rPr>
                  </w:pPr>
                </w:p>
              </w:tc>
              <w:tc>
                <w:tcPr>
                  <w:tcW w:w="662" w:type="pct"/>
                  <w:vAlign w:val="center"/>
                </w:tcPr>
                <w:p w14:paraId="15021C26">
                  <w:pPr>
                    <w:pStyle w:val="3488"/>
                    <w:spacing w:before="168" w:line="221" w:lineRule="auto"/>
                    <w:jc w:val="center"/>
                    <w:rPr>
                      <w:color w:val="auto"/>
                      <w:sz w:val="21"/>
                      <w:szCs w:val="21"/>
                    </w:rPr>
                  </w:pPr>
                  <w:r>
                    <w:rPr>
                      <w:color w:val="auto"/>
                      <w:spacing w:val="-1"/>
                      <w:sz w:val="21"/>
                      <w:szCs w:val="21"/>
                    </w:rPr>
                    <w:t>排放速率限值</w:t>
                  </w:r>
                </w:p>
              </w:tc>
              <w:tc>
                <w:tcPr>
                  <w:tcW w:w="254" w:type="pct"/>
                  <w:vAlign w:val="center"/>
                </w:tcPr>
                <w:p w14:paraId="2BA5B1BC">
                  <w:pPr>
                    <w:spacing w:before="196"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5E9643B7">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1880C59">
                  <w:pPr>
                    <w:spacing w:before="196" w:line="233" w:lineRule="auto"/>
                    <w:jc w:val="center"/>
                    <w:rPr>
                      <w:rFonts w:eastAsia="Times New Roman"/>
                      <w:color w:val="auto"/>
                      <w:szCs w:val="21"/>
                    </w:rPr>
                  </w:pPr>
                  <w:r>
                    <w:rPr>
                      <w:rFonts w:eastAsia="Times New Roman"/>
                      <w:color w:val="auto"/>
                      <w:spacing w:val="-2"/>
                      <w:szCs w:val="21"/>
                    </w:rPr>
                    <w:t>3.5</w:t>
                  </w:r>
                </w:p>
              </w:tc>
            </w:tr>
            <w:tr w14:paraId="10D5A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18" w:type="pct"/>
                  <w:gridSpan w:val="2"/>
                  <w:vMerge w:val="restart"/>
                  <w:tcBorders>
                    <w:bottom w:val="nil"/>
                  </w:tcBorders>
                  <w:vAlign w:val="center"/>
                </w:tcPr>
                <w:p w14:paraId="63F5A453">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2B113EC8">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598ED9CF">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05FEF2F2">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6130F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518" w:type="pct"/>
                  <w:gridSpan w:val="2"/>
                  <w:vMerge w:val="continue"/>
                  <w:tcBorders>
                    <w:top w:val="nil"/>
                    <w:bottom w:val="nil"/>
                  </w:tcBorders>
                  <w:vAlign w:val="center"/>
                </w:tcPr>
                <w:p w14:paraId="3B702E0B">
                  <w:pPr>
                    <w:jc w:val="center"/>
                    <w:rPr>
                      <w:rFonts w:ascii="Arial"/>
                      <w:color w:val="auto"/>
                    </w:rPr>
                  </w:pPr>
                </w:p>
              </w:tc>
              <w:tc>
                <w:tcPr>
                  <w:tcW w:w="254" w:type="pct"/>
                  <w:vMerge w:val="continue"/>
                  <w:tcBorders>
                    <w:top w:val="nil"/>
                    <w:bottom w:val="nil"/>
                  </w:tcBorders>
                  <w:vAlign w:val="center"/>
                </w:tcPr>
                <w:p w14:paraId="4B5FF10D">
                  <w:pPr>
                    <w:jc w:val="center"/>
                    <w:rPr>
                      <w:rFonts w:ascii="Arial"/>
                      <w:color w:val="auto"/>
                    </w:rPr>
                  </w:pPr>
                </w:p>
              </w:tc>
              <w:tc>
                <w:tcPr>
                  <w:tcW w:w="2124" w:type="pct"/>
                  <w:gridSpan w:val="7"/>
                  <w:vAlign w:val="center"/>
                </w:tcPr>
                <w:p w14:paraId="4A2B52A9">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4#</w:t>
                  </w:r>
                  <w:r>
                    <w:rPr>
                      <w:color w:val="auto"/>
                      <w:spacing w:val="-1"/>
                      <w:sz w:val="21"/>
                      <w:szCs w:val="21"/>
                      <w:lang w:eastAsia="zh-CN"/>
                    </w:rPr>
                    <w:t>排气筒进口</w:t>
                  </w:r>
                </w:p>
              </w:tc>
              <w:tc>
                <w:tcPr>
                  <w:tcW w:w="1102" w:type="pct"/>
                  <w:gridSpan w:val="3"/>
                  <w:vAlign w:val="center"/>
                </w:tcPr>
                <w:p w14:paraId="3D7F2BB5">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4#</w:t>
                  </w:r>
                  <w:r>
                    <w:rPr>
                      <w:color w:val="auto"/>
                      <w:spacing w:val="-1"/>
                      <w:sz w:val="21"/>
                      <w:szCs w:val="21"/>
                      <w:lang w:eastAsia="zh-CN"/>
                    </w:rPr>
                    <w:t>排气筒出口</w:t>
                  </w:r>
                </w:p>
              </w:tc>
            </w:tr>
            <w:tr w14:paraId="6D3C7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073E7E87">
                  <w:pPr>
                    <w:jc w:val="center"/>
                    <w:rPr>
                      <w:rFonts w:ascii="Arial"/>
                      <w:color w:val="auto"/>
                    </w:rPr>
                  </w:pPr>
                </w:p>
              </w:tc>
              <w:tc>
                <w:tcPr>
                  <w:tcW w:w="254" w:type="pct"/>
                  <w:vMerge w:val="continue"/>
                  <w:tcBorders>
                    <w:top w:val="nil"/>
                  </w:tcBorders>
                  <w:vAlign w:val="center"/>
                </w:tcPr>
                <w:p w14:paraId="60172A80">
                  <w:pPr>
                    <w:jc w:val="center"/>
                    <w:rPr>
                      <w:rFonts w:ascii="Arial"/>
                      <w:color w:val="auto"/>
                    </w:rPr>
                  </w:pPr>
                </w:p>
              </w:tc>
              <w:tc>
                <w:tcPr>
                  <w:tcW w:w="1039" w:type="pct"/>
                  <w:vAlign w:val="center"/>
                </w:tcPr>
                <w:p w14:paraId="63D154D3">
                  <w:pPr>
                    <w:pStyle w:val="3488"/>
                    <w:spacing w:before="164" w:line="221" w:lineRule="auto"/>
                    <w:jc w:val="center"/>
                    <w:rPr>
                      <w:color w:val="auto"/>
                      <w:sz w:val="21"/>
                      <w:szCs w:val="21"/>
                    </w:rPr>
                  </w:pPr>
                  <w:r>
                    <w:rPr>
                      <w:color w:val="auto"/>
                      <w:spacing w:val="-2"/>
                      <w:sz w:val="21"/>
                      <w:szCs w:val="21"/>
                    </w:rPr>
                    <w:t>第一次</w:t>
                  </w:r>
                </w:p>
              </w:tc>
              <w:tc>
                <w:tcPr>
                  <w:tcW w:w="386" w:type="pct"/>
                  <w:gridSpan w:val="3"/>
                  <w:vAlign w:val="center"/>
                </w:tcPr>
                <w:p w14:paraId="7A8F8134">
                  <w:pPr>
                    <w:pStyle w:val="3488"/>
                    <w:spacing w:before="164" w:line="221" w:lineRule="auto"/>
                    <w:jc w:val="center"/>
                    <w:rPr>
                      <w:color w:val="auto"/>
                      <w:sz w:val="21"/>
                      <w:szCs w:val="21"/>
                    </w:rPr>
                  </w:pPr>
                  <w:r>
                    <w:rPr>
                      <w:color w:val="auto"/>
                      <w:spacing w:val="-2"/>
                      <w:sz w:val="21"/>
                      <w:szCs w:val="21"/>
                    </w:rPr>
                    <w:t>第二次</w:t>
                  </w:r>
                </w:p>
              </w:tc>
              <w:tc>
                <w:tcPr>
                  <w:tcW w:w="698" w:type="pct"/>
                  <w:gridSpan w:val="3"/>
                  <w:vAlign w:val="center"/>
                </w:tcPr>
                <w:p w14:paraId="1355795A">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73E77EEE">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54EA87EE">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70020EC3">
                  <w:pPr>
                    <w:pStyle w:val="3488"/>
                    <w:spacing w:before="164" w:line="221" w:lineRule="auto"/>
                    <w:jc w:val="center"/>
                    <w:rPr>
                      <w:color w:val="auto"/>
                      <w:sz w:val="21"/>
                      <w:szCs w:val="21"/>
                    </w:rPr>
                  </w:pPr>
                  <w:r>
                    <w:rPr>
                      <w:color w:val="auto"/>
                      <w:spacing w:val="-2"/>
                      <w:sz w:val="21"/>
                      <w:szCs w:val="21"/>
                    </w:rPr>
                    <w:t>第三次</w:t>
                  </w:r>
                </w:p>
              </w:tc>
            </w:tr>
            <w:tr w14:paraId="0B754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37F4F008">
                  <w:pPr>
                    <w:pStyle w:val="3488"/>
                    <w:spacing w:before="165" w:line="221" w:lineRule="auto"/>
                    <w:jc w:val="center"/>
                    <w:rPr>
                      <w:color w:val="auto"/>
                      <w:sz w:val="21"/>
                      <w:szCs w:val="21"/>
                    </w:rPr>
                  </w:pPr>
                  <w:r>
                    <w:rPr>
                      <w:color w:val="auto"/>
                      <w:spacing w:val="-1"/>
                      <w:sz w:val="21"/>
                      <w:szCs w:val="21"/>
                    </w:rPr>
                    <w:t>排气筒高度</w:t>
                  </w:r>
                </w:p>
              </w:tc>
              <w:tc>
                <w:tcPr>
                  <w:tcW w:w="254" w:type="pct"/>
                  <w:vAlign w:val="center"/>
                </w:tcPr>
                <w:p w14:paraId="3F89A647">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22DE3C1D">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13D9DD1D">
                  <w:pPr>
                    <w:spacing w:before="195" w:line="234" w:lineRule="auto"/>
                    <w:jc w:val="center"/>
                    <w:rPr>
                      <w:rFonts w:eastAsia="Times New Roman"/>
                      <w:color w:val="auto"/>
                      <w:szCs w:val="21"/>
                    </w:rPr>
                  </w:pPr>
                  <w:r>
                    <w:rPr>
                      <w:rFonts w:eastAsia="Times New Roman"/>
                      <w:color w:val="auto"/>
                      <w:spacing w:val="-6"/>
                      <w:szCs w:val="21"/>
                    </w:rPr>
                    <w:t>15</w:t>
                  </w:r>
                </w:p>
              </w:tc>
            </w:tr>
            <w:tr w14:paraId="4566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restart"/>
                  <w:tcBorders>
                    <w:bottom w:val="nil"/>
                  </w:tcBorders>
                  <w:vAlign w:val="center"/>
                </w:tcPr>
                <w:p w14:paraId="325BC2BC">
                  <w:pPr>
                    <w:pStyle w:val="3488"/>
                    <w:spacing w:before="143" w:line="210" w:lineRule="auto"/>
                    <w:jc w:val="center"/>
                    <w:rPr>
                      <w:color w:val="auto"/>
                      <w:sz w:val="21"/>
                      <w:szCs w:val="21"/>
                    </w:rPr>
                  </w:pPr>
                  <w:r>
                    <w:rPr>
                      <w:color w:val="auto"/>
                      <w:spacing w:val="41"/>
                      <w:sz w:val="21"/>
                      <w:szCs w:val="21"/>
                    </w:rPr>
                    <w:t>颗粒物</w:t>
                  </w:r>
                </w:p>
              </w:tc>
              <w:tc>
                <w:tcPr>
                  <w:tcW w:w="662" w:type="pct"/>
                  <w:vAlign w:val="center"/>
                </w:tcPr>
                <w:p w14:paraId="7C0CCB1A">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1230AD34">
                  <w:pPr>
                    <w:spacing w:before="174"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039" w:type="pct"/>
                  <w:vAlign w:val="center"/>
                </w:tcPr>
                <w:p w14:paraId="6E24A8E0">
                  <w:pPr>
                    <w:spacing w:before="193" w:line="234" w:lineRule="auto"/>
                    <w:jc w:val="center"/>
                    <w:rPr>
                      <w:rFonts w:eastAsia="Times New Roman"/>
                      <w:color w:val="auto"/>
                      <w:szCs w:val="21"/>
                    </w:rPr>
                  </w:pPr>
                  <w:r>
                    <w:rPr>
                      <w:rFonts w:eastAsia="Times New Roman"/>
                      <w:color w:val="auto"/>
                      <w:spacing w:val="-6"/>
                      <w:szCs w:val="21"/>
                    </w:rPr>
                    <w:t>158</w:t>
                  </w:r>
                </w:p>
              </w:tc>
              <w:tc>
                <w:tcPr>
                  <w:tcW w:w="386" w:type="pct"/>
                  <w:gridSpan w:val="3"/>
                  <w:vAlign w:val="center"/>
                </w:tcPr>
                <w:p w14:paraId="345950D4">
                  <w:pPr>
                    <w:spacing w:before="193" w:line="234" w:lineRule="auto"/>
                    <w:jc w:val="center"/>
                    <w:rPr>
                      <w:rFonts w:eastAsia="Times New Roman"/>
                      <w:color w:val="auto"/>
                      <w:szCs w:val="21"/>
                    </w:rPr>
                  </w:pPr>
                  <w:r>
                    <w:rPr>
                      <w:rFonts w:eastAsia="Times New Roman"/>
                      <w:color w:val="auto"/>
                      <w:spacing w:val="-6"/>
                      <w:szCs w:val="21"/>
                    </w:rPr>
                    <w:t>168</w:t>
                  </w:r>
                </w:p>
              </w:tc>
              <w:tc>
                <w:tcPr>
                  <w:tcW w:w="698" w:type="pct"/>
                  <w:gridSpan w:val="3"/>
                  <w:vAlign w:val="center"/>
                </w:tcPr>
                <w:p w14:paraId="433DAFBD">
                  <w:pPr>
                    <w:spacing w:before="194" w:line="233" w:lineRule="auto"/>
                    <w:jc w:val="center"/>
                    <w:rPr>
                      <w:rFonts w:eastAsia="Times New Roman"/>
                      <w:color w:val="auto"/>
                      <w:szCs w:val="21"/>
                    </w:rPr>
                  </w:pPr>
                  <w:r>
                    <w:rPr>
                      <w:rFonts w:eastAsia="Times New Roman"/>
                      <w:color w:val="auto"/>
                      <w:spacing w:val="-6"/>
                      <w:szCs w:val="21"/>
                    </w:rPr>
                    <w:t>173</w:t>
                  </w:r>
                </w:p>
              </w:tc>
              <w:tc>
                <w:tcPr>
                  <w:tcW w:w="367" w:type="pct"/>
                  <w:vAlign w:val="center"/>
                </w:tcPr>
                <w:p w14:paraId="5FB32BC3">
                  <w:pPr>
                    <w:spacing w:before="194" w:line="233" w:lineRule="auto"/>
                    <w:jc w:val="center"/>
                    <w:rPr>
                      <w:rFonts w:eastAsia="Times New Roman"/>
                      <w:color w:val="auto"/>
                      <w:szCs w:val="21"/>
                    </w:rPr>
                  </w:pPr>
                  <w:r>
                    <w:rPr>
                      <w:rFonts w:eastAsia="Times New Roman"/>
                      <w:color w:val="auto"/>
                      <w:spacing w:val="-1"/>
                      <w:szCs w:val="21"/>
                    </w:rPr>
                    <w:t>4.6</w:t>
                  </w:r>
                </w:p>
              </w:tc>
              <w:tc>
                <w:tcPr>
                  <w:tcW w:w="367" w:type="pct"/>
                  <w:vAlign w:val="center"/>
                </w:tcPr>
                <w:p w14:paraId="38542EC9">
                  <w:pPr>
                    <w:spacing w:before="194" w:line="233" w:lineRule="auto"/>
                    <w:jc w:val="center"/>
                    <w:rPr>
                      <w:rFonts w:eastAsia="Times New Roman"/>
                      <w:color w:val="auto"/>
                      <w:szCs w:val="21"/>
                    </w:rPr>
                  </w:pPr>
                  <w:r>
                    <w:rPr>
                      <w:rFonts w:eastAsia="Times New Roman"/>
                      <w:color w:val="auto"/>
                      <w:spacing w:val="-1"/>
                      <w:szCs w:val="21"/>
                    </w:rPr>
                    <w:t>4.5</w:t>
                  </w:r>
                </w:p>
              </w:tc>
              <w:tc>
                <w:tcPr>
                  <w:tcW w:w="367" w:type="pct"/>
                  <w:vAlign w:val="center"/>
                </w:tcPr>
                <w:p w14:paraId="247228ED">
                  <w:pPr>
                    <w:spacing w:before="194" w:line="233" w:lineRule="auto"/>
                    <w:jc w:val="center"/>
                    <w:rPr>
                      <w:rFonts w:eastAsia="Times New Roman"/>
                      <w:color w:val="auto"/>
                      <w:szCs w:val="21"/>
                    </w:rPr>
                  </w:pPr>
                  <w:r>
                    <w:rPr>
                      <w:rFonts w:eastAsia="Times New Roman"/>
                      <w:color w:val="auto"/>
                      <w:spacing w:val="-1"/>
                      <w:szCs w:val="21"/>
                    </w:rPr>
                    <w:t>4.2</w:t>
                  </w:r>
                </w:p>
              </w:tc>
            </w:tr>
            <w:tr w14:paraId="05A01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422104D5">
                  <w:pPr>
                    <w:jc w:val="center"/>
                    <w:rPr>
                      <w:rFonts w:ascii="Arial"/>
                      <w:color w:val="auto"/>
                    </w:rPr>
                  </w:pPr>
                </w:p>
              </w:tc>
              <w:tc>
                <w:tcPr>
                  <w:tcW w:w="662" w:type="pct"/>
                  <w:vAlign w:val="center"/>
                </w:tcPr>
                <w:p w14:paraId="6ABFF550">
                  <w:pPr>
                    <w:pStyle w:val="3488"/>
                    <w:spacing w:before="168" w:line="221" w:lineRule="auto"/>
                    <w:jc w:val="center"/>
                    <w:rPr>
                      <w:color w:val="auto"/>
                      <w:sz w:val="21"/>
                      <w:szCs w:val="21"/>
                    </w:rPr>
                  </w:pPr>
                  <w:r>
                    <w:rPr>
                      <w:color w:val="auto"/>
                      <w:spacing w:val="-1"/>
                      <w:sz w:val="21"/>
                      <w:szCs w:val="21"/>
                    </w:rPr>
                    <w:t>排放浓度限值</w:t>
                  </w:r>
                </w:p>
              </w:tc>
              <w:tc>
                <w:tcPr>
                  <w:tcW w:w="254" w:type="pct"/>
                  <w:vAlign w:val="center"/>
                </w:tcPr>
                <w:p w14:paraId="49340DC7">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0A10220E">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2EDFE8AA">
                  <w:pPr>
                    <w:spacing w:before="196" w:line="234" w:lineRule="auto"/>
                    <w:jc w:val="center"/>
                    <w:rPr>
                      <w:rFonts w:eastAsia="Times New Roman"/>
                      <w:color w:val="auto"/>
                      <w:szCs w:val="21"/>
                    </w:rPr>
                  </w:pPr>
                  <w:r>
                    <w:rPr>
                      <w:rFonts w:eastAsia="Times New Roman"/>
                      <w:color w:val="auto"/>
                      <w:spacing w:val="-6"/>
                      <w:szCs w:val="21"/>
                    </w:rPr>
                    <w:t>120</w:t>
                  </w:r>
                </w:p>
              </w:tc>
            </w:tr>
            <w:tr w14:paraId="3F2B4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7DE63CEC">
                  <w:pPr>
                    <w:jc w:val="center"/>
                    <w:rPr>
                      <w:rFonts w:ascii="Arial"/>
                      <w:color w:val="auto"/>
                    </w:rPr>
                  </w:pPr>
                </w:p>
              </w:tc>
              <w:tc>
                <w:tcPr>
                  <w:tcW w:w="662" w:type="pct"/>
                  <w:vAlign w:val="center"/>
                </w:tcPr>
                <w:p w14:paraId="081BD124">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6632AD2A">
                  <w:pPr>
                    <w:spacing w:before="197" w:line="191" w:lineRule="auto"/>
                    <w:jc w:val="center"/>
                    <w:rPr>
                      <w:rFonts w:eastAsia="Times New Roman"/>
                      <w:color w:val="auto"/>
                      <w:szCs w:val="21"/>
                    </w:rPr>
                  </w:pPr>
                  <w:r>
                    <w:rPr>
                      <w:rFonts w:eastAsia="Times New Roman"/>
                      <w:color w:val="auto"/>
                      <w:szCs w:val="21"/>
                    </w:rPr>
                    <w:t>kg/h</w:t>
                  </w:r>
                </w:p>
              </w:tc>
              <w:tc>
                <w:tcPr>
                  <w:tcW w:w="1039" w:type="pct"/>
                  <w:vAlign w:val="center"/>
                </w:tcPr>
                <w:p w14:paraId="6127EE0E">
                  <w:pPr>
                    <w:spacing w:before="197" w:line="233" w:lineRule="auto"/>
                    <w:jc w:val="center"/>
                    <w:rPr>
                      <w:rFonts w:eastAsia="Times New Roman"/>
                      <w:color w:val="auto"/>
                      <w:szCs w:val="21"/>
                    </w:rPr>
                  </w:pPr>
                  <w:r>
                    <w:rPr>
                      <w:rFonts w:eastAsia="Times New Roman"/>
                      <w:color w:val="auto"/>
                      <w:spacing w:val="-5"/>
                      <w:szCs w:val="21"/>
                    </w:rPr>
                    <w:t>1.05</w:t>
                  </w:r>
                </w:p>
              </w:tc>
              <w:tc>
                <w:tcPr>
                  <w:tcW w:w="386" w:type="pct"/>
                  <w:gridSpan w:val="3"/>
                  <w:vAlign w:val="center"/>
                </w:tcPr>
                <w:p w14:paraId="38779294">
                  <w:pPr>
                    <w:spacing w:before="197" w:line="233" w:lineRule="auto"/>
                    <w:jc w:val="center"/>
                    <w:rPr>
                      <w:rFonts w:eastAsia="Times New Roman"/>
                      <w:color w:val="auto"/>
                      <w:szCs w:val="21"/>
                    </w:rPr>
                  </w:pPr>
                  <w:r>
                    <w:rPr>
                      <w:rFonts w:eastAsia="Times New Roman"/>
                      <w:color w:val="auto"/>
                      <w:spacing w:val="-5"/>
                      <w:szCs w:val="21"/>
                    </w:rPr>
                    <w:t>1.07</w:t>
                  </w:r>
                </w:p>
              </w:tc>
              <w:tc>
                <w:tcPr>
                  <w:tcW w:w="698" w:type="pct"/>
                  <w:gridSpan w:val="3"/>
                  <w:vAlign w:val="center"/>
                </w:tcPr>
                <w:p w14:paraId="553FB7F4">
                  <w:pPr>
                    <w:spacing w:before="197" w:line="233" w:lineRule="auto"/>
                    <w:jc w:val="center"/>
                    <w:rPr>
                      <w:rFonts w:eastAsia="Times New Roman"/>
                      <w:color w:val="auto"/>
                      <w:szCs w:val="21"/>
                    </w:rPr>
                  </w:pPr>
                  <w:r>
                    <w:rPr>
                      <w:rFonts w:eastAsia="Times New Roman"/>
                      <w:color w:val="auto"/>
                      <w:spacing w:val="-5"/>
                      <w:szCs w:val="21"/>
                    </w:rPr>
                    <w:t>1.14</w:t>
                  </w:r>
                </w:p>
              </w:tc>
              <w:tc>
                <w:tcPr>
                  <w:tcW w:w="367" w:type="pct"/>
                  <w:vAlign w:val="center"/>
                </w:tcPr>
                <w:p w14:paraId="700C6190">
                  <w:pPr>
                    <w:spacing w:before="197" w:line="233" w:lineRule="auto"/>
                    <w:jc w:val="center"/>
                    <w:rPr>
                      <w:rFonts w:eastAsia="Times New Roman"/>
                      <w:color w:val="auto"/>
                      <w:szCs w:val="21"/>
                    </w:rPr>
                  </w:pPr>
                  <w:r>
                    <w:rPr>
                      <w:rFonts w:eastAsia="Times New Roman"/>
                      <w:color w:val="auto"/>
                      <w:spacing w:val="-1"/>
                      <w:szCs w:val="21"/>
                    </w:rPr>
                    <w:t>0.0297</w:t>
                  </w:r>
                </w:p>
              </w:tc>
              <w:tc>
                <w:tcPr>
                  <w:tcW w:w="367" w:type="pct"/>
                  <w:vAlign w:val="center"/>
                </w:tcPr>
                <w:p w14:paraId="4E48187C">
                  <w:pPr>
                    <w:spacing w:before="197" w:line="233" w:lineRule="auto"/>
                    <w:jc w:val="center"/>
                    <w:rPr>
                      <w:rFonts w:eastAsia="Times New Roman"/>
                      <w:color w:val="auto"/>
                      <w:szCs w:val="21"/>
                    </w:rPr>
                  </w:pPr>
                  <w:r>
                    <w:rPr>
                      <w:rFonts w:eastAsia="Times New Roman"/>
                      <w:color w:val="auto"/>
                      <w:spacing w:val="-1"/>
                      <w:szCs w:val="21"/>
                    </w:rPr>
                    <w:t>0.0305</w:t>
                  </w:r>
                </w:p>
              </w:tc>
              <w:tc>
                <w:tcPr>
                  <w:tcW w:w="367" w:type="pct"/>
                  <w:vAlign w:val="center"/>
                </w:tcPr>
                <w:p w14:paraId="17443C3C">
                  <w:pPr>
                    <w:spacing w:before="197" w:line="233" w:lineRule="auto"/>
                    <w:jc w:val="center"/>
                    <w:rPr>
                      <w:rFonts w:eastAsia="Times New Roman"/>
                      <w:color w:val="auto"/>
                      <w:szCs w:val="21"/>
                    </w:rPr>
                  </w:pPr>
                  <w:r>
                    <w:rPr>
                      <w:rFonts w:eastAsia="Times New Roman"/>
                      <w:color w:val="auto"/>
                      <w:spacing w:val="-1"/>
                      <w:szCs w:val="21"/>
                    </w:rPr>
                    <w:t>0.0281</w:t>
                  </w:r>
                </w:p>
              </w:tc>
            </w:tr>
            <w:tr w14:paraId="1943C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56" w:type="pct"/>
                  <w:vMerge w:val="continue"/>
                  <w:tcBorders>
                    <w:top w:val="nil"/>
                    <w:bottom w:val="nil"/>
                  </w:tcBorders>
                  <w:vAlign w:val="center"/>
                </w:tcPr>
                <w:p w14:paraId="1348E726">
                  <w:pPr>
                    <w:jc w:val="center"/>
                    <w:rPr>
                      <w:rFonts w:ascii="Arial"/>
                      <w:color w:val="auto"/>
                    </w:rPr>
                  </w:pPr>
                </w:p>
              </w:tc>
              <w:tc>
                <w:tcPr>
                  <w:tcW w:w="662" w:type="pct"/>
                  <w:vAlign w:val="center"/>
                </w:tcPr>
                <w:p w14:paraId="04108C4B">
                  <w:pPr>
                    <w:pStyle w:val="3488"/>
                    <w:spacing w:before="167" w:line="221" w:lineRule="auto"/>
                    <w:jc w:val="center"/>
                    <w:rPr>
                      <w:color w:val="auto"/>
                      <w:sz w:val="21"/>
                      <w:szCs w:val="21"/>
                    </w:rPr>
                  </w:pPr>
                  <w:r>
                    <w:rPr>
                      <w:color w:val="auto"/>
                      <w:spacing w:val="-1"/>
                      <w:sz w:val="21"/>
                      <w:szCs w:val="21"/>
                    </w:rPr>
                    <w:t>排放速率平均值</w:t>
                  </w:r>
                </w:p>
              </w:tc>
              <w:tc>
                <w:tcPr>
                  <w:tcW w:w="254" w:type="pct"/>
                  <w:vAlign w:val="center"/>
                </w:tcPr>
                <w:p w14:paraId="7C726626">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2A92E2F6">
                  <w:pPr>
                    <w:spacing w:before="197" w:line="233" w:lineRule="auto"/>
                    <w:jc w:val="center"/>
                    <w:rPr>
                      <w:rFonts w:eastAsia="Times New Roman"/>
                      <w:color w:val="auto"/>
                      <w:szCs w:val="21"/>
                    </w:rPr>
                  </w:pPr>
                  <w:r>
                    <w:rPr>
                      <w:rFonts w:eastAsia="Times New Roman"/>
                      <w:color w:val="auto"/>
                      <w:spacing w:val="-6"/>
                      <w:szCs w:val="21"/>
                    </w:rPr>
                    <w:t>1.09</w:t>
                  </w:r>
                </w:p>
              </w:tc>
              <w:tc>
                <w:tcPr>
                  <w:tcW w:w="1102" w:type="pct"/>
                  <w:gridSpan w:val="3"/>
                  <w:vAlign w:val="center"/>
                </w:tcPr>
                <w:p w14:paraId="738CFE34">
                  <w:pPr>
                    <w:spacing w:before="197" w:line="233" w:lineRule="auto"/>
                    <w:jc w:val="center"/>
                    <w:rPr>
                      <w:rFonts w:eastAsia="Times New Roman"/>
                      <w:color w:val="auto"/>
                      <w:szCs w:val="21"/>
                    </w:rPr>
                  </w:pPr>
                  <w:r>
                    <w:rPr>
                      <w:rFonts w:eastAsia="Times New Roman"/>
                      <w:color w:val="auto"/>
                      <w:spacing w:val="-1"/>
                      <w:szCs w:val="21"/>
                    </w:rPr>
                    <w:t>0.0306</w:t>
                  </w:r>
                </w:p>
              </w:tc>
            </w:tr>
            <w:tr w14:paraId="170A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tcBorders>
                  <w:vAlign w:val="center"/>
                </w:tcPr>
                <w:p w14:paraId="28C3918F">
                  <w:pPr>
                    <w:jc w:val="center"/>
                    <w:rPr>
                      <w:rFonts w:ascii="Arial"/>
                      <w:color w:val="auto"/>
                    </w:rPr>
                  </w:pPr>
                </w:p>
              </w:tc>
              <w:tc>
                <w:tcPr>
                  <w:tcW w:w="662" w:type="pct"/>
                  <w:vAlign w:val="center"/>
                </w:tcPr>
                <w:p w14:paraId="261564EA">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497F1B43">
                  <w:pPr>
                    <w:spacing w:before="195"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6F67CB54">
                  <w:pPr>
                    <w:spacing w:before="195"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5DD0BA69">
                  <w:pPr>
                    <w:spacing w:before="195" w:line="233" w:lineRule="auto"/>
                    <w:jc w:val="center"/>
                    <w:rPr>
                      <w:rFonts w:eastAsia="Times New Roman"/>
                      <w:color w:val="auto"/>
                      <w:szCs w:val="21"/>
                    </w:rPr>
                  </w:pPr>
                  <w:r>
                    <w:rPr>
                      <w:rFonts w:eastAsia="Times New Roman"/>
                      <w:color w:val="auto"/>
                      <w:spacing w:val="-2"/>
                      <w:szCs w:val="21"/>
                    </w:rPr>
                    <w:t>3.5</w:t>
                  </w:r>
                </w:p>
              </w:tc>
            </w:tr>
            <w:tr w14:paraId="0011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 w:hRule="atLeast"/>
              </w:trPr>
              <w:tc>
                <w:tcPr>
                  <w:tcW w:w="1518" w:type="pct"/>
                  <w:gridSpan w:val="2"/>
                  <w:vMerge w:val="restart"/>
                  <w:tcBorders>
                    <w:bottom w:val="nil"/>
                  </w:tcBorders>
                  <w:vAlign w:val="center"/>
                </w:tcPr>
                <w:p w14:paraId="034493EC">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36222BF0">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6D8DF197">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0C020AF2">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1C4F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18" w:type="pct"/>
                  <w:gridSpan w:val="2"/>
                  <w:vMerge w:val="continue"/>
                  <w:tcBorders>
                    <w:top w:val="nil"/>
                    <w:bottom w:val="nil"/>
                  </w:tcBorders>
                  <w:vAlign w:val="center"/>
                </w:tcPr>
                <w:p w14:paraId="74A2BFF7">
                  <w:pPr>
                    <w:jc w:val="center"/>
                    <w:rPr>
                      <w:rFonts w:ascii="Arial"/>
                      <w:color w:val="auto"/>
                    </w:rPr>
                  </w:pPr>
                </w:p>
              </w:tc>
              <w:tc>
                <w:tcPr>
                  <w:tcW w:w="254" w:type="pct"/>
                  <w:vMerge w:val="continue"/>
                  <w:tcBorders>
                    <w:top w:val="nil"/>
                    <w:bottom w:val="nil"/>
                  </w:tcBorders>
                  <w:vAlign w:val="center"/>
                </w:tcPr>
                <w:p w14:paraId="08A12043">
                  <w:pPr>
                    <w:jc w:val="center"/>
                    <w:rPr>
                      <w:rFonts w:ascii="Arial"/>
                      <w:color w:val="auto"/>
                    </w:rPr>
                  </w:pPr>
                </w:p>
              </w:tc>
              <w:tc>
                <w:tcPr>
                  <w:tcW w:w="2124" w:type="pct"/>
                  <w:gridSpan w:val="7"/>
                  <w:vAlign w:val="center"/>
                </w:tcPr>
                <w:p w14:paraId="47082D3E">
                  <w:pPr>
                    <w:pStyle w:val="3488"/>
                    <w:spacing w:before="168"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5#</w:t>
                  </w:r>
                  <w:r>
                    <w:rPr>
                      <w:color w:val="auto"/>
                      <w:spacing w:val="-1"/>
                      <w:sz w:val="21"/>
                      <w:szCs w:val="21"/>
                      <w:lang w:eastAsia="zh-CN"/>
                    </w:rPr>
                    <w:t>排气筒进口</w:t>
                  </w:r>
                </w:p>
              </w:tc>
              <w:tc>
                <w:tcPr>
                  <w:tcW w:w="1102" w:type="pct"/>
                  <w:gridSpan w:val="3"/>
                  <w:vAlign w:val="center"/>
                </w:tcPr>
                <w:p w14:paraId="4CB2C37E">
                  <w:pPr>
                    <w:pStyle w:val="3488"/>
                    <w:spacing w:before="168"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5#</w:t>
                  </w:r>
                  <w:r>
                    <w:rPr>
                      <w:color w:val="auto"/>
                      <w:spacing w:val="-1"/>
                      <w:sz w:val="21"/>
                      <w:szCs w:val="21"/>
                      <w:lang w:eastAsia="zh-CN"/>
                    </w:rPr>
                    <w:t>排气筒出口</w:t>
                  </w:r>
                </w:p>
              </w:tc>
            </w:tr>
            <w:tr w14:paraId="09F27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8" w:type="pct"/>
                  <w:gridSpan w:val="2"/>
                  <w:vMerge w:val="continue"/>
                  <w:tcBorders>
                    <w:top w:val="nil"/>
                  </w:tcBorders>
                  <w:vAlign w:val="center"/>
                </w:tcPr>
                <w:p w14:paraId="64804617">
                  <w:pPr>
                    <w:jc w:val="center"/>
                    <w:rPr>
                      <w:rFonts w:ascii="Arial"/>
                      <w:color w:val="auto"/>
                    </w:rPr>
                  </w:pPr>
                </w:p>
              </w:tc>
              <w:tc>
                <w:tcPr>
                  <w:tcW w:w="254" w:type="pct"/>
                  <w:vMerge w:val="continue"/>
                  <w:tcBorders>
                    <w:top w:val="nil"/>
                  </w:tcBorders>
                  <w:vAlign w:val="center"/>
                </w:tcPr>
                <w:p w14:paraId="0A3AF5F7">
                  <w:pPr>
                    <w:jc w:val="center"/>
                    <w:rPr>
                      <w:rFonts w:ascii="Arial"/>
                      <w:color w:val="auto"/>
                    </w:rPr>
                  </w:pPr>
                </w:p>
              </w:tc>
              <w:tc>
                <w:tcPr>
                  <w:tcW w:w="1039" w:type="pct"/>
                  <w:vAlign w:val="center"/>
                </w:tcPr>
                <w:p w14:paraId="62A8E0E4">
                  <w:pPr>
                    <w:pStyle w:val="3488"/>
                    <w:spacing w:before="167" w:line="221" w:lineRule="auto"/>
                    <w:jc w:val="center"/>
                    <w:rPr>
                      <w:color w:val="auto"/>
                      <w:sz w:val="21"/>
                      <w:szCs w:val="21"/>
                    </w:rPr>
                  </w:pPr>
                  <w:r>
                    <w:rPr>
                      <w:color w:val="auto"/>
                      <w:spacing w:val="-2"/>
                      <w:sz w:val="21"/>
                      <w:szCs w:val="21"/>
                    </w:rPr>
                    <w:t>第一次</w:t>
                  </w:r>
                </w:p>
              </w:tc>
              <w:tc>
                <w:tcPr>
                  <w:tcW w:w="386" w:type="pct"/>
                  <w:gridSpan w:val="3"/>
                  <w:vAlign w:val="center"/>
                </w:tcPr>
                <w:p w14:paraId="6BFB6A29">
                  <w:pPr>
                    <w:pStyle w:val="3488"/>
                    <w:spacing w:before="167" w:line="221" w:lineRule="auto"/>
                    <w:jc w:val="center"/>
                    <w:rPr>
                      <w:color w:val="auto"/>
                      <w:sz w:val="21"/>
                      <w:szCs w:val="21"/>
                    </w:rPr>
                  </w:pPr>
                  <w:r>
                    <w:rPr>
                      <w:color w:val="auto"/>
                      <w:spacing w:val="-2"/>
                      <w:sz w:val="21"/>
                      <w:szCs w:val="21"/>
                    </w:rPr>
                    <w:t>第二次</w:t>
                  </w:r>
                </w:p>
              </w:tc>
              <w:tc>
                <w:tcPr>
                  <w:tcW w:w="698" w:type="pct"/>
                  <w:gridSpan w:val="3"/>
                  <w:vAlign w:val="center"/>
                </w:tcPr>
                <w:p w14:paraId="74B0D46C">
                  <w:pPr>
                    <w:pStyle w:val="3488"/>
                    <w:spacing w:before="167" w:line="221" w:lineRule="auto"/>
                    <w:jc w:val="center"/>
                    <w:rPr>
                      <w:color w:val="auto"/>
                      <w:sz w:val="21"/>
                      <w:szCs w:val="21"/>
                    </w:rPr>
                  </w:pPr>
                  <w:r>
                    <w:rPr>
                      <w:color w:val="auto"/>
                      <w:spacing w:val="-2"/>
                      <w:sz w:val="21"/>
                      <w:szCs w:val="21"/>
                    </w:rPr>
                    <w:t>第三次</w:t>
                  </w:r>
                </w:p>
              </w:tc>
              <w:tc>
                <w:tcPr>
                  <w:tcW w:w="367" w:type="pct"/>
                  <w:vAlign w:val="center"/>
                </w:tcPr>
                <w:p w14:paraId="5845282F">
                  <w:pPr>
                    <w:pStyle w:val="3488"/>
                    <w:spacing w:before="167" w:line="221" w:lineRule="auto"/>
                    <w:jc w:val="center"/>
                    <w:rPr>
                      <w:color w:val="auto"/>
                      <w:sz w:val="21"/>
                      <w:szCs w:val="21"/>
                    </w:rPr>
                  </w:pPr>
                  <w:r>
                    <w:rPr>
                      <w:color w:val="auto"/>
                      <w:spacing w:val="-2"/>
                      <w:sz w:val="21"/>
                      <w:szCs w:val="21"/>
                    </w:rPr>
                    <w:t>第一次</w:t>
                  </w:r>
                </w:p>
              </w:tc>
              <w:tc>
                <w:tcPr>
                  <w:tcW w:w="367" w:type="pct"/>
                  <w:vAlign w:val="center"/>
                </w:tcPr>
                <w:p w14:paraId="23897D08">
                  <w:pPr>
                    <w:pStyle w:val="3488"/>
                    <w:spacing w:before="167" w:line="221" w:lineRule="auto"/>
                    <w:jc w:val="center"/>
                    <w:rPr>
                      <w:color w:val="auto"/>
                      <w:sz w:val="21"/>
                      <w:szCs w:val="21"/>
                    </w:rPr>
                  </w:pPr>
                  <w:r>
                    <w:rPr>
                      <w:color w:val="auto"/>
                      <w:spacing w:val="-2"/>
                      <w:sz w:val="21"/>
                      <w:szCs w:val="21"/>
                    </w:rPr>
                    <w:t>第二次</w:t>
                  </w:r>
                </w:p>
              </w:tc>
              <w:tc>
                <w:tcPr>
                  <w:tcW w:w="367" w:type="pct"/>
                  <w:vAlign w:val="center"/>
                </w:tcPr>
                <w:p w14:paraId="21BE6F86">
                  <w:pPr>
                    <w:pStyle w:val="3488"/>
                    <w:spacing w:before="167" w:line="221" w:lineRule="auto"/>
                    <w:jc w:val="center"/>
                    <w:rPr>
                      <w:color w:val="auto"/>
                      <w:sz w:val="21"/>
                      <w:szCs w:val="21"/>
                    </w:rPr>
                  </w:pPr>
                  <w:r>
                    <w:rPr>
                      <w:color w:val="auto"/>
                      <w:spacing w:val="-2"/>
                      <w:sz w:val="21"/>
                      <w:szCs w:val="21"/>
                    </w:rPr>
                    <w:t>第三次</w:t>
                  </w:r>
                </w:p>
              </w:tc>
            </w:tr>
            <w:tr w14:paraId="2327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518" w:type="pct"/>
                  <w:gridSpan w:val="2"/>
                  <w:vAlign w:val="center"/>
                </w:tcPr>
                <w:p w14:paraId="039F6BC4">
                  <w:pPr>
                    <w:pStyle w:val="3488"/>
                    <w:spacing w:before="170" w:line="221" w:lineRule="auto"/>
                    <w:jc w:val="center"/>
                    <w:rPr>
                      <w:color w:val="auto"/>
                      <w:sz w:val="21"/>
                      <w:szCs w:val="21"/>
                    </w:rPr>
                  </w:pPr>
                  <w:r>
                    <w:rPr>
                      <w:color w:val="auto"/>
                      <w:spacing w:val="-1"/>
                      <w:sz w:val="21"/>
                      <w:szCs w:val="21"/>
                    </w:rPr>
                    <w:t>排气筒高度</w:t>
                  </w:r>
                </w:p>
              </w:tc>
              <w:tc>
                <w:tcPr>
                  <w:tcW w:w="254" w:type="pct"/>
                  <w:vAlign w:val="center"/>
                </w:tcPr>
                <w:p w14:paraId="478B375B">
                  <w:pPr>
                    <w:spacing w:before="198"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3D8732D2">
                  <w:pPr>
                    <w:spacing w:before="290"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585724F9">
                  <w:pPr>
                    <w:spacing w:before="198" w:line="234" w:lineRule="auto"/>
                    <w:jc w:val="center"/>
                    <w:rPr>
                      <w:rFonts w:eastAsia="Times New Roman"/>
                      <w:color w:val="auto"/>
                      <w:szCs w:val="21"/>
                    </w:rPr>
                  </w:pPr>
                  <w:r>
                    <w:rPr>
                      <w:rFonts w:eastAsia="Times New Roman"/>
                      <w:color w:val="auto"/>
                      <w:spacing w:val="-6"/>
                      <w:szCs w:val="21"/>
                    </w:rPr>
                    <w:t>15</w:t>
                  </w:r>
                </w:p>
              </w:tc>
            </w:tr>
            <w:tr w14:paraId="0675B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5CBF067A">
                  <w:pPr>
                    <w:pStyle w:val="3488"/>
                    <w:spacing w:before="143" w:line="210" w:lineRule="auto"/>
                    <w:jc w:val="center"/>
                    <w:rPr>
                      <w:color w:val="auto"/>
                      <w:sz w:val="21"/>
                      <w:szCs w:val="21"/>
                    </w:rPr>
                  </w:pPr>
                  <w:r>
                    <w:rPr>
                      <w:color w:val="auto"/>
                      <w:spacing w:val="21"/>
                      <w:sz w:val="21"/>
                      <w:szCs w:val="21"/>
                    </w:rPr>
                    <w:t>颗</w:t>
                  </w:r>
                  <w:r>
                    <w:rPr>
                      <w:color w:val="auto"/>
                      <w:spacing w:val="-45"/>
                      <w:sz w:val="21"/>
                      <w:szCs w:val="21"/>
                    </w:rPr>
                    <w:t xml:space="preserve"> </w:t>
                  </w:r>
                  <w:r>
                    <w:rPr>
                      <w:color w:val="auto"/>
                      <w:spacing w:val="21"/>
                      <w:sz w:val="21"/>
                      <w:szCs w:val="21"/>
                    </w:rPr>
                    <w:t>粒物</w:t>
                  </w:r>
                </w:p>
              </w:tc>
              <w:tc>
                <w:tcPr>
                  <w:tcW w:w="662" w:type="pct"/>
                  <w:vAlign w:val="center"/>
                </w:tcPr>
                <w:p w14:paraId="3349CB3A">
                  <w:pPr>
                    <w:pStyle w:val="3488"/>
                    <w:spacing w:before="167" w:line="221" w:lineRule="auto"/>
                    <w:jc w:val="center"/>
                    <w:rPr>
                      <w:color w:val="auto"/>
                      <w:sz w:val="21"/>
                      <w:szCs w:val="21"/>
                    </w:rPr>
                  </w:pPr>
                  <w:r>
                    <w:rPr>
                      <w:color w:val="auto"/>
                      <w:spacing w:val="-2"/>
                      <w:sz w:val="21"/>
                      <w:szCs w:val="21"/>
                    </w:rPr>
                    <w:t>排放浓度</w:t>
                  </w:r>
                </w:p>
              </w:tc>
              <w:tc>
                <w:tcPr>
                  <w:tcW w:w="254" w:type="pct"/>
                  <w:vAlign w:val="center"/>
                </w:tcPr>
                <w:p w14:paraId="38BB8A09">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285" w:type="pct"/>
                  <w:gridSpan w:val="3"/>
                  <w:vAlign w:val="center"/>
                </w:tcPr>
                <w:p w14:paraId="37AEDE9B">
                  <w:pPr>
                    <w:spacing w:before="195" w:line="233" w:lineRule="auto"/>
                    <w:jc w:val="center"/>
                    <w:rPr>
                      <w:rFonts w:eastAsia="Times New Roman"/>
                      <w:color w:val="auto"/>
                      <w:szCs w:val="21"/>
                    </w:rPr>
                  </w:pPr>
                  <w:r>
                    <w:rPr>
                      <w:rFonts w:eastAsia="Times New Roman"/>
                      <w:color w:val="auto"/>
                      <w:spacing w:val="-2"/>
                      <w:szCs w:val="21"/>
                    </w:rPr>
                    <w:t>72</w:t>
                  </w:r>
                </w:p>
              </w:tc>
              <w:tc>
                <w:tcPr>
                  <w:tcW w:w="282" w:type="pct"/>
                  <w:gridSpan w:val="2"/>
                  <w:vAlign w:val="center"/>
                </w:tcPr>
                <w:p w14:paraId="66ECD408">
                  <w:pPr>
                    <w:spacing w:before="195" w:line="233" w:lineRule="auto"/>
                    <w:jc w:val="center"/>
                    <w:rPr>
                      <w:rFonts w:eastAsia="Times New Roman"/>
                      <w:color w:val="auto"/>
                      <w:szCs w:val="21"/>
                    </w:rPr>
                  </w:pPr>
                  <w:r>
                    <w:rPr>
                      <w:rFonts w:eastAsia="Times New Roman"/>
                      <w:color w:val="auto"/>
                      <w:spacing w:val="-2"/>
                      <w:szCs w:val="21"/>
                    </w:rPr>
                    <w:t>71</w:t>
                  </w:r>
                </w:p>
              </w:tc>
              <w:tc>
                <w:tcPr>
                  <w:tcW w:w="555" w:type="pct"/>
                  <w:gridSpan w:val="2"/>
                  <w:vAlign w:val="center"/>
                </w:tcPr>
                <w:p w14:paraId="7B30DEB0">
                  <w:pPr>
                    <w:spacing w:before="195" w:line="233" w:lineRule="auto"/>
                    <w:jc w:val="center"/>
                    <w:rPr>
                      <w:rFonts w:eastAsia="Times New Roman"/>
                      <w:color w:val="auto"/>
                      <w:szCs w:val="21"/>
                    </w:rPr>
                  </w:pPr>
                  <w:r>
                    <w:rPr>
                      <w:rFonts w:eastAsia="Times New Roman"/>
                      <w:color w:val="auto"/>
                      <w:spacing w:val="-2"/>
                      <w:szCs w:val="21"/>
                    </w:rPr>
                    <w:t>76</w:t>
                  </w:r>
                </w:p>
              </w:tc>
              <w:tc>
                <w:tcPr>
                  <w:tcW w:w="367" w:type="pct"/>
                  <w:vAlign w:val="center"/>
                </w:tcPr>
                <w:p w14:paraId="29070BB8">
                  <w:pPr>
                    <w:spacing w:before="195" w:line="233" w:lineRule="auto"/>
                    <w:jc w:val="center"/>
                    <w:rPr>
                      <w:rFonts w:eastAsia="Times New Roman"/>
                      <w:color w:val="auto"/>
                      <w:szCs w:val="21"/>
                    </w:rPr>
                  </w:pPr>
                  <w:r>
                    <w:rPr>
                      <w:rFonts w:eastAsia="Times New Roman"/>
                      <w:color w:val="auto"/>
                      <w:spacing w:val="-1"/>
                      <w:szCs w:val="21"/>
                    </w:rPr>
                    <w:t>4.1</w:t>
                  </w:r>
                </w:p>
              </w:tc>
              <w:tc>
                <w:tcPr>
                  <w:tcW w:w="367" w:type="pct"/>
                  <w:vAlign w:val="center"/>
                </w:tcPr>
                <w:p w14:paraId="5D0F35C6">
                  <w:pPr>
                    <w:spacing w:before="195" w:line="233" w:lineRule="auto"/>
                    <w:jc w:val="center"/>
                    <w:rPr>
                      <w:rFonts w:eastAsia="Times New Roman"/>
                      <w:color w:val="auto"/>
                      <w:szCs w:val="21"/>
                    </w:rPr>
                  </w:pPr>
                  <w:r>
                    <w:rPr>
                      <w:rFonts w:eastAsia="Times New Roman"/>
                      <w:color w:val="auto"/>
                      <w:spacing w:val="-1"/>
                      <w:szCs w:val="21"/>
                    </w:rPr>
                    <w:t>4.3</w:t>
                  </w:r>
                </w:p>
              </w:tc>
              <w:tc>
                <w:tcPr>
                  <w:tcW w:w="367" w:type="pct"/>
                  <w:vAlign w:val="center"/>
                </w:tcPr>
                <w:p w14:paraId="75B24D7D">
                  <w:pPr>
                    <w:spacing w:before="195" w:line="233" w:lineRule="auto"/>
                    <w:jc w:val="center"/>
                    <w:rPr>
                      <w:rFonts w:eastAsia="Times New Roman"/>
                      <w:color w:val="auto"/>
                      <w:szCs w:val="21"/>
                    </w:rPr>
                  </w:pPr>
                  <w:r>
                    <w:rPr>
                      <w:rFonts w:eastAsia="Times New Roman"/>
                      <w:color w:val="auto"/>
                      <w:spacing w:val="-1"/>
                      <w:szCs w:val="21"/>
                    </w:rPr>
                    <w:t>4.6</w:t>
                  </w:r>
                </w:p>
              </w:tc>
            </w:tr>
            <w:tr w14:paraId="13E5A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2147449D">
                  <w:pPr>
                    <w:jc w:val="center"/>
                    <w:rPr>
                      <w:rFonts w:ascii="Arial"/>
                      <w:color w:val="auto"/>
                    </w:rPr>
                  </w:pPr>
                </w:p>
              </w:tc>
              <w:tc>
                <w:tcPr>
                  <w:tcW w:w="662" w:type="pct"/>
                  <w:vAlign w:val="center"/>
                </w:tcPr>
                <w:p w14:paraId="1596504F">
                  <w:pPr>
                    <w:pStyle w:val="3488"/>
                    <w:spacing w:before="164" w:line="221" w:lineRule="auto"/>
                    <w:jc w:val="center"/>
                    <w:rPr>
                      <w:color w:val="auto"/>
                      <w:sz w:val="21"/>
                      <w:szCs w:val="21"/>
                    </w:rPr>
                  </w:pPr>
                  <w:r>
                    <w:rPr>
                      <w:color w:val="auto"/>
                      <w:spacing w:val="-1"/>
                      <w:sz w:val="21"/>
                      <w:szCs w:val="21"/>
                    </w:rPr>
                    <w:t>排放浓度限值</w:t>
                  </w:r>
                </w:p>
              </w:tc>
              <w:tc>
                <w:tcPr>
                  <w:tcW w:w="254" w:type="pct"/>
                  <w:vAlign w:val="center"/>
                </w:tcPr>
                <w:p w14:paraId="550D9C48">
                  <w:pPr>
                    <w:spacing w:before="176"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5C3595CC">
                  <w:pPr>
                    <w:spacing w:before="195"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22C98EA3">
                  <w:pPr>
                    <w:spacing w:before="195" w:line="234" w:lineRule="auto"/>
                    <w:jc w:val="center"/>
                    <w:rPr>
                      <w:rFonts w:eastAsia="Times New Roman"/>
                      <w:color w:val="auto"/>
                      <w:szCs w:val="21"/>
                    </w:rPr>
                  </w:pPr>
                  <w:r>
                    <w:rPr>
                      <w:rFonts w:eastAsia="Times New Roman"/>
                      <w:color w:val="auto"/>
                      <w:spacing w:val="-6"/>
                      <w:szCs w:val="21"/>
                    </w:rPr>
                    <w:t>120</w:t>
                  </w:r>
                </w:p>
              </w:tc>
            </w:tr>
            <w:tr w14:paraId="1D4A3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56" w:type="pct"/>
                  <w:vMerge w:val="continue"/>
                  <w:tcBorders>
                    <w:top w:val="nil"/>
                    <w:bottom w:val="nil"/>
                  </w:tcBorders>
                  <w:vAlign w:val="center"/>
                </w:tcPr>
                <w:p w14:paraId="3DB0A5C5">
                  <w:pPr>
                    <w:jc w:val="center"/>
                    <w:rPr>
                      <w:rFonts w:ascii="Arial"/>
                      <w:color w:val="auto"/>
                    </w:rPr>
                  </w:pPr>
                </w:p>
              </w:tc>
              <w:tc>
                <w:tcPr>
                  <w:tcW w:w="662" w:type="pct"/>
                  <w:vAlign w:val="center"/>
                </w:tcPr>
                <w:p w14:paraId="6D552D45">
                  <w:pPr>
                    <w:pStyle w:val="3488"/>
                    <w:spacing w:before="165" w:line="221" w:lineRule="auto"/>
                    <w:jc w:val="center"/>
                    <w:rPr>
                      <w:color w:val="auto"/>
                      <w:sz w:val="21"/>
                      <w:szCs w:val="21"/>
                    </w:rPr>
                  </w:pPr>
                  <w:r>
                    <w:rPr>
                      <w:color w:val="auto"/>
                      <w:spacing w:val="-2"/>
                      <w:sz w:val="21"/>
                      <w:szCs w:val="21"/>
                    </w:rPr>
                    <w:t>排放速率</w:t>
                  </w:r>
                </w:p>
              </w:tc>
              <w:tc>
                <w:tcPr>
                  <w:tcW w:w="254" w:type="pct"/>
                  <w:vAlign w:val="center"/>
                </w:tcPr>
                <w:p w14:paraId="46BEC912">
                  <w:pPr>
                    <w:spacing w:before="193" w:line="191" w:lineRule="auto"/>
                    <w:jc w:val="center"/>
                    <w:rPr>
                      <w:rFonts w:eastAsia="Times New Roman"/>
                      <w:color w:val="auto"/>
                      <w:szCs w:val="21"/>
                    </w:rPr>
                  </w:pPr>
                  <w:r>
                    <w:rPr>
                      <w:rFonts w:eastAsia="Times New Roman"/>
                      <w:color w:val="auto"/>
                      <w:szCs w:val="21"/>
                    </w:rPr>
                    <w:t>kg/h</w:t>
                  </w:r>
                </w:p>
              </w:tc>
              <w:tc>
                <w:tcPr>
                  <w:tcW w:w="1285" w:type="pct"/>
                  <w:gridSpan w:val="3"/>
                  <w:vAlign w:val="center"/>
                </w:tcPr>
                <w:p w14:paraId="1D568B7B">
                  <w:pPr>
                    <w:spacing w:before="196" w:line="233" w:lineRule="auto"/>
                    <w:jc w:val="center"/>
                    <w:rPr>
                      <w:rFonts w:eastAsia="Times New Roman"/>
                      <w:color w:val="auto"/>
                      <w:szCs w:val="21"/>
                    </w:rPr>
                  </w:pPr>
                  <w:r>
                    <w:rPr>
                      <w:rFonts w:eastAsia="Times New Roman"/>
                      <w:color w:val="auto"/>
                      <w:spacing w:val="-5"/>
                      <w:szCs w:val="21"/>
                    </w:rPr>
                    <w:t>1.73</w:t>
                  </w:r>
                </w:p>
              </w:tc>
              <w:tc>
                <w:tcPr>
                  <w:tcW w:w="282" w:type="pct"/>
                  <w:gridSpan w:val="2"/>
                  <w:vAlign w:val="center"/>
                </w:tcPr>
                <w:p w14:paraId="03601FEF">
                  <w:pPr>
                    <w:spacing w:before="196" w:line="233" w:lineRule="auto"/>
                    <w:jc w:val="center"/>
                    <w:rPr>
                      <w:rFonts w:eastAsia="Times New Roman"/>
                      <w:color w:val="auto"/>
                      <w:szCs w:val="21"/>
                    </w:rPr>
                  </w:pPr>
                  <w:r>
                    <w:rPr>
                      <w:rFonts w:eastAsia="Times New Roman"/>
                      <w:color w:val="auto"/>
                      <w:spacing w:val="-5"/>
                      <w:szCs w:val="21"/>
                    </w:rPr>
                    <w:t>1.81</w:t>
                  </w:r>
                </w:p>
              </w:tc>
              <w:tc>
                <w:tcPr>
                  <w:tcW w:w="555" w:type="pct"/>
                  <w:gridSpan w:val="2"/>
                  <w:vAlign w:val="center"/>
                </w:tcPr>
                <w:p w14:paraId="72247714">
                  <w:pPr>
                    <w:spacing w:before="196" w:line="233" w:lineRule="auto"/>
                    <w:jc w:val="center"/>
                    <w:rPr>
                      <w:rFonts w:eastAsia="Times New Roman"/>
                      <w:color w:val="auto"/>
                      <w:szCs w:val="21"/>
                    </w:rPr>
                  </w:pPr>
                  <w:r>
                    <w:rPr>
                      <w:rFonts w:eastAsia="Times New Roman"/>
                      <w:color w:val="auto"/>
                      <w:spacing w:val="-5"/>
                      <w:szCs w:val="21"/>
                    </w:rPr>
                    <w:t>1.97</w:t>
                  </w:r>
                </w:p>
              </w:tc>
              <w:tc>
                <w:tcPr>
                  <w:tcW w:w="367" w:type="pct"/>
                  <w:vAlign w:val="center"/>
                </w:tcPr>
                <w:p w14:paraId="70898CCF">
                  <w:pPr>
                    <w:spacing w:before="196" w:line="233" w:lineRule="auto"/>
                    <w:jc w:val="center"/>
                    <w:rPr>
                      <w:rFonts w:eastAsia="Times New Roman"/>
                      <w:color w:val="auto"/>
                      <w:szCs w:val="21"/>
                    </w:rPr>
                  </w:pPr>
                  <w:r>
                    <w:rPr>
                      <w:rFonts w:eastAsia="Times New Roman"/>
                      <w:color w:val="auto"/>
                      <w:spacing w:val="-1"/>
                      <w:szCs w:val="21"/>
                    </w:rPr>
                    <w:t>0.1085</w:t>
                  </w:r>
                </w:p>
              </w:tc>
              <w:tc>
                <w:tcPr>
                  <w:tcW w:w="367" w:type="pct"/>
                  <w:vAlign w:val="center"/>
                </w:tcPr>
                <w:p w14:paraId="0B0C78AA">
                  <w:pPr>
                    <w:spacing w:before="196" w:line="233" w:lineRule="auto"/>
                    <w:jc w:val="center"/>
                    <w:rPr>
                      <w:rFonts w:eastAsia="Times New Roman"/>
                      <w:color w:val="auto"/>
                      <w:szCs w:val="21"/>
                    </w:rPr>
                  </w:pPr>
                  <w:r>
                    <w:rPr>
                      <w:rFonts w:eastAsia="Times New Roman"/>
                      <w:color w:val="auto"/>
                      <w:spacing w:val="-1"/>
                      <w:szCs w:val="21"/>
                    </w:rPr>
                    <w:t>0.1137</w:t>
                  </w:r>
                </w:p>
              </w:tc>
              <w:tc>
                <w:tcPr>
                  <w:tcW w:w="367" w:type="pct"/>
                  <w:vAlign w:val="center"/>
                </w:tcPr>
                <w:p w14:paraId="49B249F2">
                  <w:pPr>
                    <w:spacing w:before="196" w:line="233" w:lineRule="auto"/>
                    <w:jc w:val="center"/>
                    <w:rPr>
                      <w:rFonts w:eastAsia="Times New Roman"/>
                      <w:color w:val="auto"/>
                      <w:szCs w:val="21"/>
                    </w:rPr>
                  </w:pPr>
                  <w:r>
                    <w:rPr>
                      <w:rFonts w:eastAsia="Times New Roman"/>
                      <w:color w:val="auto"/>
                      <w:spacing w:val="-1"/>
                      <w:szCs w:val="21"/>
                    </w:rPr>
                    <w:t>0.1236</w:t>
                  </w:r>
                </w:p>
              </w:tc>
            </w:tr>
            <w:tr w14:paraId="02830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31629AEE">
                  <w:pPr>
                    <w:jc w:val="center"/>
                    <w:rPr>
                      <w:rFonts w:ascii="Arial"/>
                      <w:color w:val="auto"/>
                    </w:rPr>
                  </w:pPr>
                </w:p>
              </w:tc>
              <w:tc>
                <w:tcPr>
                  <w:tcW w:w="662" w:type="pct"/>
                  <w:vAlign w:val="center"/>
                </w:tcPr>
                <w:p w14:paraId="6BD384EA">
                  <w:pPr>
                    <w:pStyle w:val="3488"/>
                    <w:spacing w:before="169" w:line="221" w:lineRule="auto"/>
                    <w:jc w:val="center"/>
                    <w:rPr>
                      <w:color w:val="auto"/>
                      <w:sz w:val="21"/>
                      <w:szCs w:val="21"/>
                    </w:rPr>
                  </w:pPr>
                  <w:r>
                    <w:rPr>
                      <w:color w:val="auto"/>
                      <w:spacing w:val="-1"/>
                      <w:sz w:val="21"/>
                      <w:szCs w:val="21"/>
                    </w:rPr>
                    <w:t>排放速率平均值</w:t>
                  </w:r>
                </w:p>
              </w:tc>
              <w:tc>
                <w:tcPr>
                  <w:tcW w:w="254" w:type="pct"/>
                  <w:vAlign w:val="center"/>
                </w:tcPr>
                <w:p w14:paraId="1CDBAE42">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563D6AA">
                  <w:pPr>
                    <w:spacing w:before="197" w:line="233" w:lineRule="auto"/>
                    <w:jc w:val="center"/>
                    <w:rPr>
                      <w:rFonts w:eastAsia="Times New Roman"/>
                      <w:color w:val="auto"/>
                      <w:szCs w:val="21"/>
                    </w:rPr>
                  </w:pPr>
                  <w:r>
                    <w:rPr>
                      <w:rFonts w:eastAsia="Times New Roman"/>
                      <w:color w:val="auto"/>
                      <w:spacing w:val="-5"/>
                      <w:szCs w:val="21"/>
                    </w:rPr>
                    <w:t>1.84</w:t>
                  </w:r>
                </w:p>
              </w:tc>
              <w:tc>
                <w:tcPr>
                  <w:tcW w:w="1102" w:type="pct"/>
                  <w:gridSpan w:val="3"/>
                  <w:vAlign w:val="center"/>
                </w:tcPr>
                <w:p w14:paraId="3AF65C73">
                  <w:pPr>
                    <w:spacing w:before="197" w:line="233" w:lineRule="auto"/>
                    <w:jc w:val="center"/>
                    <w:rPr>
                      <w:rFonts w:eastAsia="Times New Roman"/>
                      <w:color w:val="auto"/>
                      <w:szCs w:val="21"/>
                    </w:rPr>
                  </w:pPr>
                  <w:r>
                    <w:rPr>
                      <w:rFonts w:eastAsia="Times New Roman"/>
                      <w:color w:val="auto"/>
                      <w:spacing w:val="-1"/>
                      <w:szCs w:val="21"/>
                    </w:rPr>
                    <w:t>0.1153</w:t>
                  </w:r>
                </w:p>
              </w:tc>
            </w:tr>
            <w:tr w14:paraId="39C6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6383C5CC">
                  <w:pPr>
                    <w:jc w:val="center"/>
                    <w:rPr>
                      <w:rFonts w:ascii="Arial"/>
                      <w:color w:val="auto"/>
                    </w:rPr>
                  </w:pPr>
                </w:p>
              </w:tc>
              <w:tc>
                <w:tcPr>
                  <w:tcW w:w="662" w:type="pct"/>
                  <w:vAlign w:val="center"/>
                </w:tcPr>
                <w:p w14:paraId="5D2BB385">
                  <w:pPr>
                    <w:pStyle w:val="3488"/>
                    <w:spacing w:before="169" w:line="221" w:lineRule="auto"/>
                    <w:jc w:val="center"/>
                    <w:rPr>
                      <w:color w:val="auto"/>
                      <w:sz w:val="21"/>
                      <w:szCs w:val="21"/>
                    </w:rPr>
                  </w:pPr>
                  <w:r>
                    <w:rPr>
                      <w:color w:val="auto"/>
                      <w:spacing w:val="-1"/>
                      <w:sz w:val="21"/>
                      <w:szCs w:val="21"/>
                    </w:rPr>
                    <w:t>排放速率限值</w:t>
                  </w:r>
                </w:p>
              </w:tc>
              <w:tc>
                <w:tcPr>
                  <w:tcW w:w="254" w:type="pct"/>
                  <w:vAlign w:val="center"/>
                </w:tcPr>
                <w:p w14:paraId="1AE3437B">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7D0EB672">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2C032CDA">
                  <w:pPr>
                    <w:spacing w:before="198" w:line="233" w:lineRule="auto"/>
                    <w:jc w:val="center"/>
                    <w:rPr>
                      <w:rFonts w:eastAsia="Times New Roman"/>
                      <w:color w:val="auto"/>
                      <w:szCs w:val="21"/>
                    </w:rPr>
                  </w:pPr>
                  <w:r>
                    <w:rPr>
                      <w:rFonts w:eastAsia="Times New Roman"/>
                      <w:color w:val="auto"/>
                      <w:spacing w:val="-2"/>
                      <w:szCs w:val="21"/>
                    </w:rPr>
                    <w:t>3.5</w:t>
                  </w:r>
                </w:p>
              </w:tc>
            </w:tr>
            <w:tr w14:paraId="5FE97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7B3B6641">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2DE77750">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53DEBFE0">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4059FFE6">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70ABA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7EBDB1C2">
                  <w:pPr>
                    <w:jc w:val="center"/>
                    <w:rPr>
                      <w:rFonts w:ascii="Arial"/>
                      <w:color w:val="auto"/>
                    </w:rPr>
                  </w:pPr>
                </w:p>
              </w:tc>
              <w:tc>
                <w:tcPr>
                  <w:tcW w:w="254" w:type="pct"/>
                  <w:vMerge w:val="continue"/>
                  <w:tcBorders>
                    <w:top w:val="nil"/>
                    <w:bottom w:val="nil"/>
                  </w:tcBorders>
                  <w:vAlign w:val="center"/>
                </w:tcPr>
                <w:p w14:paraId="73F1951A">
                  <w:pPr>
                    <w:jc w:val="center"/>
                    <w:rPr>
                      <w:rFonts w:ascii="Arial"/>
                      <w:color w:val="auto"/>
                    </w:rPr>
                  </w:pPr>
                </w:p>
              </w:tc>
              <w:tc>
                <w:tcPr>
                  <w:tcW w:w="2124" w:type="pct"/>
                  <w:gridSpan w:val="7"/>
                  <w:vAlign w:val="center"/>
                </w:tcPr>
                <w:p w14:paraId="725E45E0">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5#</w:t>
                  </w:r>
                  <w:r>
                    <w:rPr>
                      <w:color w:val="auto"/>
                      <w:spacing w:val="-1"/>
                      <w:sz w:val="21"/>
                      <w:szCs w:val="21"/>
                      <w:lang w:eastAsia="zh-CN"/>
                    </w:rPr>
                    <w:t>排气筒进口</w:t>
                  </w:r>
                </w:p>
              </w:tc>
              <w:tc>
                <w:tcPr>
                  <w:tcW w:w="1102" w:type="pct"/>
                  <w:gridSpan w:val="3"/>
                  <w:vAlign w:val="center"/>
                </w:tcPr>
                <w:p w14:paraId="09A0357F">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5#</w:t>
                  </w:r>
                  <w:r>
                    <w:rPr>
                      <w:color w:val="auto"/>
                      <w:spacing w:val="-1"/>
                      <w:sz w:val="21"/>
                      <w:szCs w:val="21"/>
                      <w:lang w:eastAsia="zh-CN"/>
                    </w:rPr>
                    <w:t>排气筒出口</w:t>
                  </w:r>
                </w:p>
              </w:tc>
            </w:tr>
            <w:tr w14:paraId="05FD9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tcBorders>
                  <w:vAlign w:val="center"/>
                </w:tcPr>
                <w:p w14:paraId="6740C5E6">
                  <w:pPr>
                    <w:jc w:val="center"/>
                    <w:rPr>
                      <w:rFonts w:ascii="Arial"/>
                      <w:color w:val="auto"/>
                    </w:rPr>
                  </w:pPr>
                </w:p>
              </w:tc>
              <w:tc>
                <w:tcPr>
                  <w:tcW w:w="254" w:type="pct"/>
                  <w:vMerge w:val="continue"/>
                  <w:tcBorders>
                    <w:top w:val="nil"/>
                  </w:tcBorders>
                  <w:vAlign w:val="center"/>
                </w:tcPr>
                <w:p w14:paraId="57CFDF80">
                  <w:pPr>
                    <w:jc w:val="center"/>
                    <w:rPr>
                      <w:rFonts w:ascii="Arial"/>
                      <w:color w:val="auto"/>
                    </w:rPr>
                  </w:pPr>
                </w:p>
              </w:tc>
              <w:tc>
                <w:tcPr>
                  <w:tcW w:w="1285" w:type="pct"/>
                  <w:gridSpan w:val="3"/>
                  <w:vAlign w:val="center"/>
                </w:tcPr>
                <w:p w14:paraId="7925A4D7">
                  <w:pPr>
                    <w:pStyle w:val="3488"/>
                    <w:spacing w:before="164" w:line="221" w:lineRule="auto"/>
                    <w:jc w:val="center"/>
                    <w:rPr>
                      <w:color w:val="auto"/>
                      <w:sz w:val="21"/>
                      <w:szCs w:val="21"/>
                    </w:rPr>
                  </w:pPr>
                  <w:r>
                    <w:rPr>
                      <w:color w:val="auto"/>
                      <w:spacing w:val="-2"/>
                      <w:sz w:val="21"/>
                      <w:szCs w:val="21"/>
                    </w:rPr>
                    <w:t>第一次</w:t>
                  </w:r>
                </w:p>
              </w:tc>
              <w:tc>
                <w:tcPr>
                  <w:tcW w:w="282" w:type="pct"/>
                  <w:gridSpan w:val="2"/>
                  <w:vAlign w:val="center"/>
                </w:tcPr>
                <w:p w14:paraId="439BF747">
                  <w:pPr>
                    <w:pStyle w:val="3488"/>
                    <w:spacing w:before="164" w:line="221" w:lineRule="auto"/>
                    <w:jc w:val="center"/>
                    <w:rPr>
                      <w:color w:val="auto"/>
                      <w:sz w:val="21"/>
                      <w:szCs w:val="21"/>
                    </w:rPr>
                  </w:pPr>
                  <w:r>
                    <w:rPr>
                      <w:color w:val="auto"/>
                      <w:spacing w:val="-2"/>
                      <w:sz w:val="21"/>
                      <w:szCs w:val="21"/>
                    </w:rPr>
                    <w:t>第二次</w:t>
                  </w:r>
                </w:p>
              </w:tc>
              <w:tc>
                <w:tcPr>
                  <w:tcW w:w="555" w:type="pct"/>
                  <w:gridSpan w:val="2"/>
                  <w:vAlign w:val="center"/>
                </w:tcPr>
                <w:p w14:paraId="745CB4B2">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7DA4CC44">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0A96B5FE">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647D7D06">
                  <w:pPr>
                    <w:pStyle w:val="3488"/>
                    <w:spacing w:before="164" w:line="221" w:lineRule="auto"/>
                    <w:jc w:val="center"/>
                    <w:rPr>
                      <w:color w:val="auto"/>
                      <w:sz w:val="21"/>
                      <w:szCs w:val="21"/>
                    </w:rPr>
                  </w:pPr>
                  <w:r>
                    <w:rPr>
                      <w:color w:val="auto"/>
                      <w:spacing w:val="-2"/>
                      <w:sz w:val="21"/>
                      <w:szCs w:val="21"/>
                    </w:rPr>
                    <w:t>第三次</w:t>
                  </w:r>
                </w:p>
              </w:tc>
            </w:tr>
            <w:tr w14:paraId="5F967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18" w:type="pct"/>
                  <w:gridSpan w:val="2"/>
                  <w:vAlign w:val="center"/>
                </w:tcPr>
                <w:p w14:paraId="2F83C88B">
                  <w:pPr>
                    <w:pStyle w:val="3488"/>
                    <w:spacing w:before="167" w:line="221" w:lineRule="auto"/>
                    <w:jc w:val="center"/>
                    <w:rPr>
                      <w:color w:val="auto"/>
                      <w:sz w:val="21"/>
                      <w:szCs w:val="21"/>
                    </w:rPr>
                  </w:pPr>
                  <w:r>
                    <w:rPr>
                      <w:color w:val="auto"/>
                      <w:spacing w:val="-1"/>
                      <w:sz w:val="21"/>
                      <w:szCs w:val="21"/>
                    </w:rPr>
                    <w:t>排气筒高度</w:t>
                  </w:r>
                </w:p>
              </w:tc>
              <w:tc>
                <w:tcPr>
                  <w:tcW w:w="254" w:type="pct"/>
                  <w:vAlign w:val="center"/>
                </w:tcPr>
                <w:p w14:paraId="3902C595">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311FADF1">
                  <w:pPr>
                    <w:spacing w:before="286"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561294B0">
                  <w:pPr>
                    <w:spacing w:before="194" w:line="234" w:lineRule="auto"/>
                    <w:jc w:val="center"/>
                    <w:rPr>
                      <w:rFonts w:eastAsia="Times New Roman"/>
                      <w:color w:val="auto"/>
                      <w:szCs w:val="21"/>
                    </w:rPr>
                  </w:pPr>
                  <w:r>
                    <w:rPr>
                      <w:rFonts w:eastAsia="Times New Roman"/>
                      <w:color w:val="auto"/>
                      <w:spacing w:val="-6"/>
                      <w:szCs w:val="21"/>
                    </w:rPr>
                    <w:t>15</w:t>
                  </w:r>
                </w:p>
              </w:tc>
            </w:tr>
            <w:tr w14:paraId="0BE1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55148A6C">
                  <w:pPr>
                    <w:pStyle w:val="3488"/>
                    <w:spacing w:before="143" w:line="210" w:lineRule="auto"/>
                    <w:jc w:val="center"/>
                    <w:rPr>
                      <w:color w:val="auto"/>
                      <w:sz w:val="21"/>
                      <w:szCs w:val="21"/>
                    </w:rPr>
                  </w:pPr>
                  <w:r>
                    <w:rPr>
                      <w:color w:val="auto"/>
                      <w:spacing w:val="41"/>
                      <w:sz w:val="21"/>
                      <w:szCs w:val="21"/>
                    </w:rPr>
                    <w:t>颗粒物</w:t>
                  </w:r>
                </w:p>
              </w:tc>
              <w:tc>
                <w:tcPr>
                  <w:tcW w:w="662" w:type="pct"/>
                  <w:vAlign w:val="center"/>
                </w:tcPr>
                <w:p w14:paraId="15A55AB4">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7FE9298A">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285" w:type="pct"/>
                  <w:gridSpan w:val="3"/>
                  <w:vAlign w:val="center"/>
                </w:tcPr>
                <w:p w14:paraId="517FDEE7">
                  <w:pPr>
                    <w:spacing w:before="196" w:line="233" w:lineRule="auto"/>
                    <w:jc w:val="center"/>
                    <w:rPr>
                      <w:rFonts w:eastAsia="Times New Roman"/>
                      <w:color w:val="auto"/>
                      <w:szCs w:val="21"/>
                    </w:rPr>
                  </w:pPr>
                  <w:r>
                    <w:rPr>
                      <w:rFonts w:eastAsia="Times New Roman"/>
                      <w:color w:val="auto"/>
                      <w:spacing w:val="-2"/>
                      <w:szCs w:val="21"/>
                    </w:rPr>
                    <w:t>72</w:t>
                  </w:r>
                </w:p>
              </w:tc>
              <w:tc>
                <w:tcPr>
                  <w:tcW w:w="282" w:type="pct"/>
                  <w:gridSpan w:val="2"/>
                  <w:vAlign w:val="center"/>
                </w:tcPr>
                <w:p w14:paraId="0BCBEB14">
                  <w:pPr>
                    <w:spacing w:before="196" w:line="233" w:lineRule="auto"/>
                    <w:jc w:val="center"/>
                    <w:rPr>
                      <w:rFonts w:eastAsia="Times New Roman"/>
                      <w:color w:val="auto"/>
                      <w:szCs w:val="21"/>
                    </w:rPr>
                  </w:pPr>
                  <w:r>
                    <w:rPr>
                      <w:rFonts w:eastAsia="Times New Roman"/>
                      <w:color w:val="auto"/>
                      <w:spacing w:val="-2"/>
                      <w:szCs w:val="21"/>
                    </w:rPr>
                    <w:t>71</w:t>
                  </w:r>
                </w:p>
              </w:tc>
              <w:tc>
                <w:tcPr>
                  <w:tcW w:w="555" w:type="pct"/>
                  <w:gridSpan w:val="2"/>
                  <w:vAlign w:val="center"/>
                </w:tcPr>
                <w:p w14:paraId="1702D37E">
                  <w:pPr>
                    <w:spacing w:before="196" w:line="233" w:lineRule="auto"/>
                    <w:jc w:val="center"/>
                    <w:rPr>
                      <w:rFonts w:eastAsia="Times New Roman"/>
                      <w:color w:val="auto"/>
                      <w:szCs w:val="21"/>
                    </w:rPr>
                  </w:pPr>
                  <w:r>
                    <w:rPr>
                      <w:rFonts w:eastAsia="Times New Roman"/>
                      <w:color w:val="auto"/>
                      <w:spacing w:val="-2"/>
                      <w:szCs w:val="21"/>
                    </w:rPr>
                    <w:t>75</w:t>
                  </w:r>
                </w:p>
              </w:tc>
              <w:tc>
                <w:tcPr>
                  <w:tcW w:w="367" w:type="pct"/>
                  <w:vAlign w:val="center"/>
                </w:tcPr>
                <w:p w14:paraId="72164F9A">
                  <w:pPr>
                    <w:spacing w:before="196" w:line="233" w:lineRule="auto"/>
                    <w:jc w:val="center"/>
                    <w:rPr>
                      <w:rFonts w:eastAsia="Times New Roman"/>
                      <w:color w:val="auto"/>
                      <w:szCs w:val="21"/>
                    </w:rPr>
                  </w:pPr>
                  <w:r>
                    <w:rPr>
                      <w:rFonts w:eastAsia="Times New Roman"/>
                      <w:color w:val="auto"/>
                      <w:spacing w:val="-1"/>
                      <w:szCs w:val="21"/>
                    </w:rPr>
                    <w:t>4.4</w:t>
                  </w:r>
                </w:p>
              </w:tc>
              <w:tc>
                <w:tcPr>
                  <w:tcW w:w="367" w:type="pct"/>
                  <w:vAlign w:val="center"/>
                </w:tcPr>
                <w:p w14:paraId="39597F58">
                  <w:pPr>
                    <w:spacing w:before="196" w:line="233" w:lineRule="auto"/>
                    <w:jc w:val="center"/>
                    <w:rPr>
                      <w:rFonts w:eastAsia="Times New Roman"/>
                      <w:color w:val="auto"/>
                      <w:szCs w:val="21"/>
                    </w:rPr>
                  </w:pPr>
                  <w:r>
                    <w:rPr>
                      <w:rFonts w:eastAsia="Times New Roman"/>
                      <w:color w:val="auto"/>
                      <w:spacing w:val="-1"/>
                      <w:szCs w:val="21"/>
                    </w:rPr>
                    <w:t>4.6</w:t>
                  </w:r>
                </w:p>
              </w:tc>
              <w:tc>
                <w:tcPr>
                  <w:tcW w:w="367" w:type="pct"/>
                  <w:vAlign w:val="center"/>
                </w:tcPr>
                <w:p w14:paraId="76C645E8">
                  <w:pPr>
                    <w:spacing w:before="196" w:line="233" w:lineRule="auto"/>
                    <w:jc w:val="center"/>
                    <w:rPr>
                      <w:rFonts w:eastAsia="Times New Roman"/>
                      <w:color w:val="auto"/>
                      <w:szCs w:val="21"/>
                    </w:rPr>
                  </w:pPr>
                  <w:r>
                    <w:rPr>
                      <w:rFonts w:eastAsia="Times New Roman"/>
                      <w:color w:val="auto"/>
                      <w:spacing w:val="-1"/>
                      <w:szCs w:val="21"/>
                    </w:rPr>
                    <w:t>4.1</w:t>
                  </w:r>
                </w:p>
              </w:tc>
            </w:tr>
            <w:tr w14:paraId="7C64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0209C204">
                  <w:pPr>
                    <w:jc w:val="center"/>
                    <w:rPr>
                      <w:rFonts w:ascii="Arial"/>
                      <w:color w:val="auto"/>
                    </w:rPr>
                  </w:pPr>
                </w:p>
              </w:tc>
              <w:tc>
                <w:tcPr>
                  <w:tcW w:w="662" w:type="pct"/>
                  <w:vAlign w:val="center"/>
                </w:tcPr>
                <w:p w14:paraId="56E9ED07">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716DE49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18954DC0">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0F127BE">
                  <w:pPr>
                    <w:spacing w:before="196" w:line="234" w:lineRule="auto"/>
                    <w:jc w:val="center"/>
                    <w:rPr>
                      <w:rFonts w:eastAsia="Times New Roman"/>
                      <w:color w:val="auto"/>
                      <w:szCs w:val="21"/>
                    </w:rPr>
                  </w:pPr>
                  <w:r>
                    <w:rPr>
                      <w:rFonts w:eastAsia="Times New Roman"/>
                      <w:color w:val="auto"/>
                      <w:spacing w:val="-6"/>
                      <w:szCs w:val="21"/>
                    </w:rPr>
                    <w:t>120</w:t>
                  </w:r>
                </w:p>
              </w:tc>
            </w:tr>
            <w:tr w14:paraId="43C8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246E73A0">
                  <w:pPr>
                    <w:jc w:val="center"/>
                    <w:rPr>
                      <w:rFonts w:ascii="Arial"/>
                      <w:color w:val="auto"/>
                    </w:rPr>
                  </w:pPr>
                </w:p>
              </w:tc>
              <w:tc>
                <w:tcPr>
                  <w:tcW w:w="662" w:type="pct"/>
                  <w:vAlign w:val="center"/>
                </w:tcPr>
                <w:p w14:paraId="29F7BB4A">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00735140">
                  <w:pPr>
                    <w:spacing w:before="195" w:line="191" w:lineRule="auto"/>
                    <w:jc w:val="center"/>
                    <w:rPr>
                      <w:rFonts w:eastAsia="Times New Roman"/>
                      <w:color w:val="auto"/>
                      <w:szCs w:val="21"/>
                    </w:rPr>
                  </w:pPr>
                  <w:r>
                    <w:rPr>
                      <w:rFonts w:eastAsia="Times New Roman"/>
                      <w:color w:val="auto"/>
                      <w:szCs w:val="21"/>
                    </w:rPr>
                    <w:t>kg/h</w:t>
                  </w:r>
                </w:p>
              </w:tc>
              <w:tc>
                <w:tcPr>
                  <w:tcW w:w="1285" w:type="pct"/>
                  <w:gridSpan w:val="3"/>
                  <w:vAlign w:val="center"/>
                </w:tcPr>
                <w:p w14:paraId="27704C4F">
                  <w:pPr>
                    <w:spacing w:before="195" w:line="233" w:lineRule="auto"/>
                    <w:jc w:val="center"/>
                    <w:rPr>
                      <w:rFonts w:eastAsia="Times New Roman"/>
                      <w:color w:val="auto"/>
                      <w:szCs w:val="21"/>
                    </w:rPr>
                  </w:pPr>
                  <w:r>
                    <w:rPr>
                      <w:rFonts w:eastAsia="Times New Roman"/>
                      <w:color w:val="auto"/>
                      <w:spacing w:val="-5"/>
                      <w:szCs w:val="21"/>
                    </w:rPr>
                    <w:t>1.72</w:t>
                  </w:r>
                </w:p>
              </w:tc>
              <w:tc>
                <w:tcPr>
                  <w:tcW w:w="282" w:type="pct"/>
                  <w:gridSpan w:val="2"/>
                  <w:vAlign w:val="center"/>
                </w:tcPr>
                <w:p w14:paraId="1EB4106A">
                  <w:pPr>
                    <w:spacing w:before="195" w:line="233" w:lineRule="auto"/>
                    <w:jc w:val="center"/>
                    <w:rPr>
                      <w:rFonts w:eastAsia="Times New Roman"/>
                      <w:color w:val="auto"/>
                      <w:szCs w:val="21"/>
                    </w:rPr>
                  </w:pPr>
                  <w:r>
                    <w:rPr>
                      <w:rFonts w:eastAsia="Times New Roman"/>
                      <w:color w:val="auto"/>
                      <w:spacing w:val="-5"/>
                      <w:szCs w:val="21"/>
                    </w:rPr>
                    <w:t>1.77</w:t>
                  </w:r>
                </w:p>
              </w:tc>
              <w:tc>
                <w:tcPr>
                  <w:tcW w:w="555" w:type="pct"/>
                  <w:gridSpan w:val="2"/>
                  <w:vAlign w:val="center"/>
                </w:tcPr>
                <w:p w14:paraId="2FFF73F2">
                  <w:pPr>
                    <w:spacing w:before="195" w:line="233" w:lineRule="auto"/>
                    <w:jc w:val="center"/>
                    <w:rPr>
                      <w:rFonts w:eastAsia="Times New Roman"/>
                      <w:color w:val="auto"/>
                      <w:szCs w:val="21"/>
                    </w:rPr>
                  </w:pPr>
                  <w:r>
                    <w:rPr>
                      <w:rFonts w:eastAsia="Times New Roman"/>
                      <w:color w:val="auto"/>
                      <w:spacing w:val="-5"/>
                      <w:szCs w:val="21"/>
                    </w:rPr>
                    <w:t>1.79</w:t>
                  </w:r>
                </w:p>
              </w:tc>
              <w:tc>
                <w:tcPr>
                  <w:tcW w:w="367" w:type="pct"/>
                  <w:vAlign w:val="center"/>
                </w:tcPr>
                <w:p w14:paraId="762EA756">
                  <w:pPr>
                    <w:spacing w:before="195" w:line="233" w:lineRule="auto"/>
                    <w:jc w:val="center"/>
                    <w:rPr>
                      <w:rFonts w:eastAsia="Times New Roman"/>
                      <w:color w:val="auto"/>
                      <w:szCs w:val="21"/>
                    </w:rPr>
                  </w:pPr>
                  <w:r>
                    <w:rPr>
                      <w:rFonts w:eastAsia="Times New Roman"/>
                      <w:color w:val="auto"/>
                      <w:spacing w:val="-1"/>
                      <w:szCs w:val="21"/>
                    </w:rPr>
                    <w:t>0.1051</w:t>
                  </w:r>
                </w:p>
              </w:tc>
              <w:tc>
                <w:tcPr>
                  <w:tcW w:w="367" w:type="pct"/>
                  <w:vAlign w:val="center"/>
                </w:tcPr>
                <w:p w14:paraId="2CA8D4B2">
                  <w:pPr>
                    <w:spacing w:before="195" w:line="233" w:lineRule="auto"/>
                    <w:jc w:val="center"/>
                    <w:rPr>
                      <w:rFonts w:eastAsia="Times New Roman"/>
                      <w:color w:val="auto"/>
                      <w:szCs w:val="21"/>
                    </w:rPr>
                  </w:pPr>
                  <w:r>
                    <w:rPr>
                      <w:rFonts w:eastAsia="Times New Roman"/>
                      <w:color w:val="auto"/>
                      <w:spacing w:val="-1"/>
                      <w:szCs w:val="21"/>
                    </w:rPr>
                    <w:t>0.1139</w:t>
                  </w:r>
                </w:p>
              </w:tc>
              <w:tc>
                <w:tcPr>
                  <w:tcW w:w="367" w:type="pct"/>
                  <w:vAlign w:val="center"/>
                </w:tcPr>
                <w:p w14:paraId="3DBD87A9">
                  <w:pPr>
                    <w:spacing w:before="195" w:line="233" w:lineRule="auto"/>
                    <w:jc w:val="center"/>
                    <w:rPr>
                      <w:rFonts w:eastAsia="Times New Roman"/>
                      <w:color w:val="auto"/>
                      <w:szCs w:val="21"/>
                    </w:rPr>
                  </w:pPr>
                  <w:r>
                    <w:rPr>
                      <w:rFonts w:eastAsia="Times New Roman"/>
                      <w:color w:val="auto"/>
                      <w:spacing w:val="-1"/>
                      <w:szCs w:val="21"/>
                    </w:rPr>
                    <w:t>0.0992</w:t>
                  </w:r>
                </w:p>
              </w:tc>
            </w:tr>
            <w:tr w14:paraId="40BE8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56C22653">
                  <w:pPr>
                    <w:jc w:val="center"/>
                    <w:rPr>
                      <w:rFonts w:ascii="Arial"/>
                      <w:color w:val="auto"/>
                    </w:rPr>
                  </w:pPr>
                </w:p>
              </w:tc>
              <w:tc>
                <w:tcPr>
                  <w:tcW w:w="662" w:type="pct"/>
                  <w:vAlign w:val="center"/>
                </w:tcPr>
                <w:p w14:paraId="77E3424D">
                  <w:pPr>
                    <w:pStyle w:val="3488"/>
                    <w:spacing w:before="169" w:line="221" w:lineRule="auto"/>
                    <w:jc w:val="center"/>
                    <w:rPr>
                      <w:color w:val="auto"/>
                      <w:sz w:val="21"/>
                      <w:szCs w:val="21"/>
                    </w:rPr>
                  </w:pPr>
                  <w:r>
                    <w:rPr>
                      <w:color w:val="auto"/>
                      <w:spacing w:val="-1"/>
                      <w:sz w:val="21"/>
                      <w:szCs w:val="21"/>
                    </w:rPr>
                    <w:t>排放速率平均值</w:t>
                  </w:r>
                </w:p>
              </w:tc>
              <w:tc>
                <w:tcPr>
                  <w:tcW w:w="254" w:type="pct"/>
                  <w:vAlign w:val="center"/>
                </w:tcPr>
                <w:p w14:paraId="513DD0D8">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18AE717">
                  <w:pPr>
                    <w:spacing w:before="197" w:line="233" w:lineRule="auto"/>
                    <w:jc w:val="center"/>
                    <w:rPr>
                      <w:rFonts w:eastAsia="Times New Roman"/>
                      <w:color w:val="auto"/>
                      <w:szCs w:val="21"/>
                    </w:rPr>
                  </w:pPr>
                  <w:r>
                    <w:rPr>
                      <w:rFonts w:eastAsia="Times New Roman"/>
                      <w:color w:val="auto"/>
                      <w:spacing w:val="-5"/>
                      <w:szCs w:val="21"/>
                    </w:rPr>
                    <w:t>1.76</w:t>
                  </w:r>
                </w:p>
              </w:tc>
              <w:tc>
                <w:tcPr>
                  <w:tcW w:w="1102" w:type="pct"/>
                  <w:gridSpan w:val="3"/>
                  <w:vAlign w:val="center"/>
                </w:tcPr>
                <w:p w14:paraId="65355C7D">
                  <w:pPr>
                    <w:spacing w:before="197" w:line="233" w:lineRule="auto"/>
                    <w:jc w:val="center"/>
                    <w:rPr>
                      <w:rFonts w:eastAsia="Times New Roman"/>
                      <w:color w:val="auto"/>
                      <w:szCs w:val="21"/>
                    </w:rPr>
                  </w:pPr>
                  <w:r>
                    <w:rPr>
                      <w:rFonts w:eastAsia="Times New Roman"/>
                      <w:color w:val="auto"/>
                      <w:spacing w:val="-1"/>
                      <w:szCs w:val="21"/>
                    </w:rPr>
                    <w:t>0.1061</w:t>
                  </w:r>
                </w:p>
              </w:tc>
            </w:tr>
            <w:tr w14:paraId="08F67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69FB3A3C">
                  <w:pPr>
                    <w:jc w:val="center"/>
                    <w:rPr>
                      <w:rFonts w:ascii="Arial"/>
                      <w:color w:val="auto"/>
                    </w:rPr>
                  </w:pPr>
                </w:p>
              </w:tc>
              <w:tc>
                <w:tcPr>
                  <w:tcW w:w="662" w:type="pct"/>
                  <w:vAlign w:val="center"/>
                </w:tcPr>
                <w:p w14:paraId="5B58DAA0">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71D118F9">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3A49FEB">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1F8E911">
                  <w:pPr>
                    <w:spacing w:before="198" w:line="233" w:lineRule="auto"/>
                    <w:ind w:left="1467"/>
                    <w:jc w:val="center"/>
                    <w:rPr>
                      <w:rFonts w:eastAsia="Times New Roman"/>
                      <w:color w:val="auto"/>
                      <w:szCs w:val="21"/>
                    </w:rPr>
                  </w:pPr>
                  <w:r>
                    <w:rPr>
                      <w:rFonts w:eastAsia="Times New Roman"/>
                      <w:color w:val="auto"/>
                      <w:spacing w:val="-2"/>
                      <w:szCs w:val="21"/>
                    </w:rPr>
                    <w:t>3.5</w:t>
                  </w:r>
                </w:p>
              </w:tc>
            </w:tr>
            <w:tr w14:paraId="2E848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8" w:type="pct"/>
                  <w:gridSpan w:val="2"/>
                  <w:vMerge w:val="restart"/>
                  <w:tcBorders>
                    <w:bottom w:val="nil"/>
                  </w:tcBorders>
                  <w:vAlign w:val="center"/>
                </w:tcPr>
                <w:p w14:paraId="61B6EC7F">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F8AA6F3">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5EC6C288">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6F1BE49F">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5DD6C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18" w:type="pct"/>
                  <w:gridSpan w:val="2"/>
                  <w:vMerge w:val="continue"/>
                  <w:tcBorders>
                    <w:top w:val="nil"/>
                    <w:bottom w:val="nil"/>
                  </w:tcBorders>
                  <w:vAlign w:val="center"/>
                </w:tcPr>
                <w:p w14:paraId="64E227D7">
                  <w:pPr>
                    <w:jc w:val="center"/>
                    <w:rPr>
                      <w:rFonts w:ascii="Arial"/>
                      <w:color w:val="auto"/>
                    </w:rPr>
                  </w:pPr>
                </w:p>
              </w:tc>
              <w:tc>
                <w:tcPr>
                  <w:tcW w:w="254" w:type="pct"/>
                  <w:vMerge w:val="continue"/>
                  <w:tcBorders>
                    <w:top w:val="nil"/>
                    <w:bottom w:val="nil"/>
                  </w:tcBorders>
                  <w:vAlign w:val="center"/>
                </w:tcPr>
                <w:p w14:paraId="51054C63">
                  <w:pPr>
                    <w:jc w:val="center"/>
                    <w:rPr>
                      <w:rFonts w:ascii="Arial"/>
                      <w:color w:val="auto"/>
                    </w:rPr>
                  </w:pPr>
                </w:p>
              </w:tc>
              <w:tc>
                <w:tcPr>
                  <w:tcW w:w="2124" w:type="pct"/>
                  <w:gridSpan w:val="7"/>
                  <w:vAlign w:val="center"/>
                </w:tcPr>
                <w:p w14:paraId="5E057D30">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排气筒进口</w:t>
                  </w:r>
                </w:p>
              </w:tc>
              <w:tc>
                <w:tcPr>
                  <w:tcW w:w="1102" w:type="pct"/>
                  <w:gridSpan w:val="3"/>
                  <w:vAlign w:val="center"/>
                </w:tcPr>
                <w:p w14:paraId="287678F2">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排气筒出口</w:t>
                  </w:r>
                </w:p>
              </w:tc>
            </w:tr>
            <w:tr w14:paraId="087E7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18" w:type="pct"/>
                  <w:gridSpan w:val="2"/>
                  <w:vMerge w:val="continue"/>
                  <w:tcBorders>
                    <w:top w:val="nil"/>
                  </w:tcBorders>
                  <w:vAlign w:val="center"/>
                </w:tcPr>
                <w:p w14:paraId="7EEA72D3">
                  <w:pPr>
                    <w:jc w:val="center"/>
                    <w:rPr>
                      <w:rFonts w:ascii="Arial"/>
                      <w:color w:val="auto"/>
                    </w:rPr>
                  </w:pPr>
                </w:p>
              </w:tc>
              <w:tc>
                <w:tcPr>
                  <w:tcW w:w="254" w:type="pct"/>
                  <w:vMerge w:val="continue"/>
                  <w:tcBorders>
                    <w:top w:val="nil"/>
                  </w:tcBorders>
                  <w:vAlign w:val="center"/>
                </w:tcPr>
                <w:p w14:paraId="170528A0">
                  <w:pPr>
                    <w:jc w:val="center"/>
                    <w:rPr>
                      <w:rFonts w:ascii="Arial"/>
                      <w:color w:val="auto"/>
                    </w:rPr>
                  </w:pPr>
                </w:p>
              </w:tc>
              <w:tc>
                <w:tcPr>
                  <w:tcW w:w="1285" w:type="pct"/>
                  <w:gridSpan w:val="3"/>
                  <w:vAlign w:val="center"/>
                </w:tcPr>
                <w:p w14:paraId="45E94EE7">
                  <w:pPr>
                    <w:pStyle w:val="3488"/>
                    <w:spacing w:before="166" w:line="221" w:lineRule="auto"/>
                    <w:jc w:val="center"/>
                    <w:rPr>
                      <w:color w:val="auto"/>
                      <w:sz w:val="21"/>
                      <w:szCs w:val="21"/>
                    </w:rPr>
                  </w:pPr>
                  <w:r>
                    <w:rPr>
                      <w:color w:val="auto"/>
                      <w:spacing w:val="-2"/>
                      <w:sz w:val="21"/>
                      <w:szCs w:val="21"/>
                    </w:rPr>
                    <w:t>第一次</w:t>
                  </w:r>
                </w:p>
              </w:tc>
              <w:tc>
                <w:tcPr>
                  <w:tcW w:w="282" w:type="pct"/>
                  <w:gridSpan w:val="2"/>
                  <w:vAlign w:val="center"/>
                </w:tcPr>
                <w:p w14:paraId="6C6EE030">
                  <w:pPr>
                    <w:pStyle w:val="3488"/>
                    <w:spacing w:before="166" w:line="221" w:lineRule="auto"/>
                    <w:jc w:val="center"/>
                    <w:rPr>
                      <w:color w:val="auto"/>
                      <w:sz w:val="21"/>
                      <w:szCs w:val="21"/>
                    </w:rPr>
                  </w:pPr>
                  <w:r>
                    <w:rPr>
                      <w:color w:val="auto"/>
                      <w:spacing w:val="-2"/>
                      <w:sz w:val="21"/>
                      <w:szCs w:val="21"/>
                    </w:rPr>
                    <w:t>第二次</w:t>
                  </w:r>
                </w:p>
              </w:tc>
              <w:tc>
                <w:tcPr>
                  <w:tcW w:w="555" w:type="pct"/>
                  <w:gridSpan w:val="2"/>
                  <w:vAlign w:val="center"/>
                </w:tcPr>
                <w:p w14:paraId="079BF474">
                  <w:pPr>
                    <w:pStyle w:val="3488"/>
                    <w:spacing w:before="166" w:line="221" w:lineRule="auto"/>
                    <w:jc w:val="center"/>
                    <w:rPr>
                      <w:color w:val="auto"/>
                      <w:sz w:val="21"/>
                      <w:szCs w:val="21"/>
                    </w:rPr>
                  </w:pPr>
                  <w:r>
                    <w:rPr>
                      <w:color w:val="auto"/>
                      <w:spacing w:val="-2"/>
                      <w:sz w:val="21"/>
                      <w:szCs w:val="21"/>
                    </w:rPr>
                    <w:t>第三次</w:t>
                  </w:r>
                </w:p>
              </w:tc>
              <w:tc>
                <w:tcPr>
                  <w:tcW w:w="367" w:type="pct"/>
                  <w:vAlign w:val="center"/>
                </w:tcPr>
                <w:p w14:paraId="21E7C706">
                  <w:pPr>
                    <w:pStyle w:val="3488"/>
                    <w:spacing w:before="166" w:line="221" w:lineRule="auto"/>
                    <w:jc w:val="center"/>
                    <w:rPr>
                      <w:color w:val="auto"/>
                      <w:sz w:val="21"/>
                      <w:szCs w:val="21"/>
                    </w:rPr>
                  </w:pPr>
                  <w:r>
                    <w:rPr>
                      <w:color w:val="auto"/>
                      <w:spacing w:val="-2"/>
                      <w:sz w:val="21"/>
                      <w:szCs w:val="21"/>
                    </w:rPr>
                    <w:t>第一次</w:t>
                  </w:r>
                </w:p>
              </w:tc>
              <w:tc>
                <w:tcPr>
                  <w:tcW w:w="367" w:type="pct"/>
                  <w:vAlign w:val="center"/>
                </w:tcPr>
                <w:p w14:paraId="0349D78F">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0A62A17E">
                  <w:pPr>
                    <w:pStyle w:val="3488"/>
                    <w:spacing w:before="166" w:line="221" w:lineRule="auto"/>
                    <w:jc w:val="center"/>
                    <w:rPr>
                      <w:color w:val="auto"/>
                      <w:sz w:val="21"/>
                      <w:szCs w:val="21"/>
                    </w:rPr>
                  </w:pPr>
                  <w:r>
                    <w:rPr>
                      <w:color w:val="auto"/>
                      <w:spacing w:val="-2"/>
                      <w:sz w:val="21"/>
                      <w:szCs w:val="21"/>
                    </w:rPr>
                    <w:t>第三次</w:t>
                  </w:r>
                </w:p>
              </w:tc>
            </w:tr>
            <w:tr w14:paraId="6A67F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vAlign w:val="center"/>
                </w:tcPr>
                <w:p w14:paraId="52A15066">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097D949C">
                  <w:pPr>
                    <w:pStyle w:val="3488"/>
                    <w:spacing w:before="170" w:line="221" w:lineRule="auto"/>
                    <w:jc w:val="center"/>
                    <w:rPr>
                      <w:color w:val="auto"/>
                      <w:sz w:val="21"/>
                      <w:szCs w:val="21"/>
                    </w:rPr>
                  </w:pPr>
                  <w:r>
                    <w:rPr>
                      <w:color w:val="auto"/>
                      <w:spacing w:val="-2"/>
                      <w:sz w:val="21"/>
                      <w:szCs w:val="21"/>
                    </w:rPr>
                    <w:t>排放浓度</w:t>
                  </w:r>
                </w:p>
              </w:tc>
              <w:tc>
                <w:tcPr>
                  <w:tcW w:w="254" w:type="pct"/>
                  <w:vAlign w:val="center"/>
                </w:tcPr>
                <w:p w14:paraId="36308A38">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285" w:type="pct"/>
                  <w:gridSpan w:val="3"/>
                  <w:vAlign w:val="center"/>
                </w:tcPr>
                <w:p w14:paraId="49244D06">
                  <w:pPr>
                    <w:spacing w:before="197" w:line="234" w:lineRule="auto"/>
                    <w:jc w:val="center"/>
                    <w:rPr>
                      <w:rFonts w:eastAsia="Times New Roman"/>
                      <w:color w:val="auto"/>
                      <w:szCs w:val="21"/>
                    </w:rPr>
                  </w:pPr>
                  <w:r>
                    <w:rPr>
                      <w:rFonts w:eastAsia="Times New Roman"/>
                      <w:color w:val="auto"/>
                      <w:spacing w:val="-1"/>
                      <w:szCs w:val="21"/>
                    </w:rPr>
                    <w:t>40</w:t>
                  </w:r>
                </w:p>
              </w:tc>
              <w:tc>
                <w:tcPr>
                  <w:tcW w:w="282" w:type="pct"/>
                  <w:gridSpan w:val="2"/>
                  <w:vAlign w:val="center"/>
                </w:tcPr>
                <w:p w14:paraId="49B28A0F">
                  <w:pPr>
                    <w:spacing w:before="197" w:line="234" w:lineRule="auto"/>
                    <w:jc w:val="center"/>
                    <w:rPr>
                      <w:rFonts w:eastAsia="Times New Roman"/>
                      <w:color w:val="auto"/>
                      <w:szCs w:val="21"/>
                    </w:rPr>
                  </w:pPr>
                  <w:r>
                    <w:rPr>
                      <w:rFonts w:eastAsia="Times New Roman"/>
                      <w:color w:val="auto"/>
                      <w:spacing w:val="-2"/>
                      <w:szCs w:val="21"/>
                    </w:rPr>
                    <w:t>38</w:t>
                  </w:r>
                </w:p>
              </w:tc>
              <w:tc>
                <w:tcPr>
                  <w:tcW w:w="555" w:type="pct"/>
                  <w:gridSpan w:val="2"/>
                  <w:vAlign w:val="center"/>
                </w:tcPr>
                <w:p w14:paraId="72619E17">
                  <w:pPr>
                    <w:spacing w:before="198" w:line="236" w:lineRule="auto"/>
                    <w:jc w:val="center"/>
                    <w:rPr>
                      <w:rFonts w:eastAsia="Times New Roman"/>
                      <w:color w:val="auto"/>
                      <w:szCs w:val="21"/>
                    </w:rPr>
                  </w:pPr>
                  <w:r>
                    <w:rPr>
                      <w:rFonts w:eastAsia="Times New Roman"/>
                      <w:color w:val="auto"/>
                      <w:spacing w:val="-1"/>
                      <w:szCs w:val="21"/>
                    </w:rPr>
                    <w:t>42</w:t>
                  </w:r>
                </w:p>
              </w:tc>
              <w:tc>
                <w:tcPr>
                  <w:tcW w:w="367" w:type="pct"/>
                  <w:vAlign w:val="center"/>
                </w:tcPr>
                <w:p w14:paraId="45777FF4">
                  <w:pPr>
                    <w:spacing w:before="198" w:line="233" w:lineRule="auto"/>
                    <w:jc w:val="center"/>
                    <w:rPr>
                      <w:rFonts w:eastAsia="Times New Roman"/>
                      <w:color w:val="auto"/>
                      <w:szCs w:val="21"/>
                    </w:rPr>
                  </w:pPr>
                  <w:r>
                    <w:rPr>
                      <w:rFonts w:eastAsia="Times New Roman"/>
                      <w:color w:val="auto"/>
                      <w:spacing w:val="-5"/>
                      <w:szCs w:val="21"/>
                    </w:rPr>
                    <w:t>1.6</w:t>
                  </w:r>
                </w:p>
              </w:tc>
              <w:tc>
                <w:tcPr>
                  <w:tcW w:w="367" w:type="pct"/>
                  <w:vAlign w:val="center"/>
                </w:tcPr>
                <w:p w14:paraId="4D613F12">
                  <w:pPr>
                    <w:spacing w:before="198" w:line="233" w:lineRule="auto"/>
                    <w:jc w:val="center"/>
                    <w:rPr>
                      <w:rFonts w:eastAsia="Times New Roman"/>
                      <w:color w:val="auto"/>
                      <w:szCs w:val="21"/>
                    </w:rPr>
                  </w:pPr>
                  <w:r>
                    <w:rPr>
                      <w:rFonts w:eastAsia="Times New Roman"/>
                      <w:color w:val="auto"/>
                      <w:spacing w:val="-5"/>
                      <w:szCs w:val="21"/>
                    </w:rPr>
                    <w:t>1.7</w:t>
                  </w:r>
                </w:p>
              </w:tc>
              <w:tc>
                <w:tcPr>
                  <w:tcW w:w="367" w:type="pct"/>
                  <w:vAlign w:val="center"/>
                </w:tcPr>
                <w:p w14:paraId="62EFF3FA">
                  <w:pPr>
                    <w:spacing w:before="198" w:line="233" w:lineRule="auto"/>
                    <w:jc w:val="center"/>
                    <w:rPr>
                      <w:rFonts w:eastAsia="Times New Roman"/>
                      <w:color w:val="auto"/>
                      <w:szCs w:val="21"/>
                    </w:rPr>
                  </w:pPr>
                  <w:r>
                    <w:rPr>
                      <w:rFonts w:eastAsia="Times New Roman"/>
                      <w:color w:val="auto"/>
                      <w:spacing w:val="-5"/>
                      <w:szCs w:val="21"/>
                    </w:rPr>
                    <w:t>1.4</w:t>
                  </w:r>
                </w:p>
              </w:tc>
            </w:tr>
            <w:tr w14:paraId="6EDB4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continue"/>
                  <w:vAlign w:val="center"/>
                </w:tcPr>
                <w:p w14:paraId="58F9C14F">
                  <w:pPr>
                    <w:jc w:val="center"/>
                    <w:rPr>
                      <w:rFonts w:ascii="Arial"/>
                      <w:color w:val="auto"/>
                    </w:rPr>
                  </w:pPr>
                </w:p>
              </w:tc>
              <w:tc>
                <w:tcPr>
                  <w:tcW w:w="662" w:type="pct"/>
                  <w:vAlign w:val="center"/>
                </w:tcPr>
                <w:p w14:paraId="146C18C4">
                  <w:pPr>
                    <w:pStyle w:val="3488"/>
                    <w:spacing w:before="168" w:line="221" w:lineRule="auto"/>
                    <w:jc w:val="center"/>
                    <w:rPr>
                      <w:color w:val="auto"/>
                      <w:sz w:val="21"/>
                      <w:szCs w:val="21"/>
                    </w:rPr>
                  </w:pPr>
                  <w:r>
                    <w:rPr>
                      <w:color w:val="auto"/>
                      <w:spacing w:val="-1"/>
                      <w:sz w:val="21"/>
                      <w:szCs w:val="21"/>
                    </w:rPr>
                    <w:t>排放浓度限值</w:t>
                  </w:r>
                </w:p>
              </w:tc>
              <w:tc>
                <w:tcPr>
                  <w:tcW w:w="254" w:type="pct"/>
                  <w:vAlign w:val="center"/>
                </w:tcPr>
                <w:p w14:paraId="666680E3">
                  <w:pPr>
                    <w:spacing w:before="180"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7663E59D">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7ABFF01">
                  <w:pPr>
                    <w:spacing w:before="198" w:line="234" w:lineRule="auto"/>
                    <w:jc w:val="center"/>
                    <w:rPr>
                      <w:rFonts w:eastAsia="Times New Roman"/>
                      <w:color w:val="auto"/>
                      <w:szCs w:val="21"/>
                    </w:rPr>
                  </w:pPr>
                  <w:r>
                    <w:rPr>
                      <w:rFonts w:eastAsia="Times New Roman"/>
                      <w:color w:val="auto"/>
                      <w:spacing w:val="-6"/>
                      <w:szCs w:val="21"/>
                    </w:rPr>
                    <w:t>120</w:t>
                  </w:r>
                </w:p>
              </w:tc>
            </w:tr>
            <w:tr w14:paraId="68504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continue"/>
                  <w:vAlign w:val="center"/>
                </w:tcPr>
                <w:p w14:paraId="63CF5328">
                  <w:pPr>
                    <w:jc w:val="center"/>
                    <w:rPr>
                      <w:rFonts w:ascii="Arial"/>
                      <w:color w:val="auto"/>
                    </w:rPr>
                  </w:pPr>
                </w:p>
              </w:tc>
              <w:tc>
                <w:tcPr>
                  <w:tcW w:w="662" w:type="pct"/>
                  <w:vAlign w:val="center"/>
                </w:tcPr>
                <w:p w14:paraId="74055307">
                  <w:pPr>
                    <w:pStyle w:val="3488"/>
                    <w:spacing w:before="170" w:line="221" w:lineRule="auto"/>
                    <w:jc w:val="center"/>
                    <w:rPr>
                      <w:color w:val="auto"/>
                      <w:sz w:val="21"/>
                      <w:szCs w:val="21"/>
                    </w:rPr>
                  </w:pPr>
                  <w:r>
                    <w:rPr>
                      <w:color w:val="auto"/>
                      <w:spacing w:val="-2"/>
                      <w:sz w:val="21"/>
                      <w:szCs w:val="21"/>
                    </w:rPr>
                    <w:t>排放速率</w:t>
                  </w:r>
                </w:p>
              </w:tc>
              <w:tc>
                <w:tcPr>
                  <w:tcW w:w="254" w:type="pct"/>
                  <w:vAlign w:val="center"/>
                </w:tcPr>
                <w:p w14:paraId="787F32DF">
                  <w:pPr>
                    <w:spacing w:before="198" w:line="191" w:lineRule="auto"/>
                    <w:jc w:val="center"/>
                    <w:rPr>
                      <w:rFonts w:eastAsia="Times New Roman"/>
                      <w:color w:val="auto"/>
                      <w:szCs w:val="21"/>
                    </w:rPr>
                  </w:pPr>
                  <w:r>
                    <w:rPr>
                      <w:rFonts w:eastAsia="Times New Roman"/>
                      <w:color w:val="auto"/>
                      <w:szCs w:val="21"/>
                    </w:rPr>
                    <w:t>kg/h</w:t>
                  </w:r>
                </w:p>
              </w:tc>
              <w:tc>
                <w:tcPr>
                  <w:tcW w:w="1285" w:type="pct"/>
                  <w:gridSpan w:val="3"/>
                  <w:vAlign w:val="center"/>
                </w:tcPr>
                <w:p w14:paraId="6D4E98D4">
                  <w:pPr>
                    <w:spacing w:before="199" w:line="233" w:lineRule="auto"/>
                    <w:jc w:val="center"/>
                    <w:rPr>
                      <w:rFonts w:eastAsia="Times New Roman"/>
                      <w:color w:val="auto"/>
                      <w:szCs w:val="21"/>
                    </w:rPr>
                  </w:pPr>
                  <w:r>
                    <w:rPr>
                      <w:rFonts w:eastAsia="Times New Roman"/>
                      <w:color w:val="auto"/>
                      <w:spacing w:val="-1"/>
                      <w:szCs w:val="21"/>
                    </w:rPr>
                    <w:t>0.8546</w:t>
                  </w:r>
                </w:p>
              </w:tc>
              <w:tc>
                <w:tcPr>
                  <w:tcW w:w="282" w:type="pct"/>
                  <w:gridSpan w:val="2"/>
                  <w:vAlign w:val="center"/>
                </w:tcPr>
                <w:p w14:paraId="088A2D2C">
                  <w:pPr>
                    <w:spacing w:before="199" w:line="233" w:lineRule="auto"/>
                    <w:jc w:val="center"/>
                    <w:rPr>
                      <w:rFonts w:eastAsia="Times New Roman"/>
                      <w:color w:val="auto"/>
                      <w:szCs w:val="21"/>
                    </w:rPr>
                  </w:pPr>
                  <w:r>
                    <w:rPr>
                      <w:rFonts w:eastAsia="Times New Roman"/>
                      <w:color w:val="auto"/>
                      <w:spacing w:val="-1"/>
                      <w:szCs w:val="21"/>
                    </w:rPr>
                    <w:t>0.8011</w:t>
                  </w:r>
                </w:p>
              </w:tc>
              <w:tc>
                <w:tcPr>
                  <w:tcW w:w="555" w:type="pct"/>
                  <w:gridSpan w:val="2"/>
                  <w:vAlign w:val="center"/>
                </w:tcPr>
                <w:p w14:paraId="51502221">
                  <w:pPr>
                    <w:spacing w:before="199" w:line="233" w:lineRule="auto"/>
                    <w:ind w:left="243"/>
                    <w:jc w:val="center"/>
                    <w:rPr>
                      <w:rFonts w:eastAsia="Times New Roman"/>
                      <w:color w:val="auto"/>
                      <w:szCs w:val="21"/>
                    </w:rPr>
                  </w:pPr>
                  <w:r>
                    <w:rPr>
                      <w:rFonts w:eastAsia="Times New Roman"/>
                      <w:color w:val="auto"/>
                      <w:spacing w:val="-1"/>
                      <w:szCs w:val="21"/>
                    </w:rPr>
                    <w:t>0.9741</w:t>
                  </w:r>
                </w:p>
              </w:tc>
              <w:tc>
                <w:tcPr>
                  <w:tcW w:w="367" w:type="pct"/>
                  <w:vAlign w:val="center"/>
                </w:tcPr>
                <w:p w14:paraId="4BDDE3D7">
                  <w:pPr>
                    <w:spacing w:before="199" w:line="233" w:lineRule="auto"/>
                    <w:jc w:val="center"/>
                    <w:rPr>
                      <w:rFonts w:eastAsia="Times New Roman"/>
                      <w:color w:val="auto"/>
                      <w:szCs w:val="21"/>
                    </w:rPr>
                  </w:pPr>
                  <w:r>
                    <w:rPr>
                      <w:rFonts w:eastAsia="Times New Roman"/>
                      <w:color w:val="auto"/>
                      <w:spacing w:val="-1"/>
                      <w:szCs w:val="21"/>
                    </w:rPr>
                    <w:t>0.0352</w:t>
                  </w:r>
                </w:p>
              </w:tc>
              <w:tc>
                <w:tcPr>
                  <w:tcW w:w="367" w:type="pct"/>
                  <w:vAlign w:val="center"/>
                </w:tcPr>
                <w:p w14:paraId="580812DA">
                  <w:pPr>
                    <w:spacing w:before="199" w:line="233" w:lineRule="auto"/>
                    <w:jc w:val="center"/>
                    <w:rPr>
                      <w:rFonts w:eastAsia="Times New Roman"/>
                      <w:color w:val="auto"/>
                      <w:szCs w:val="21"/>
                    </w:rPr>
                  </w:pPr>
                  <w:r>
                    <w:rPr>
                      <w:rFonts w:eastAsia="Times New Roman"/>
                      <w:color w:val="auto"/>
                      <w:spacing w:val="-1"/>
                      <w:szCs w:val="21"/>
                    </w:rPr>
                    <w:t>0.0358</w:t>
                  </w:r>
                </w:p>
              </w:tc>
              <w:tc>
                <w:tcPr>
                  <w:tcW w:w="367" w:type="pct"/>
                  <w:vAlign w:val="center"/>
                </w:tcPr>
                <w:p w14:paraId="4E55EA14">
                  <w:pPr>
                    <w:spacing w:before="199" w:line="233" w:lineRule="auto"/>
                    <w:jc w:val="center"/>
                    <w:rPr>
                      <w:rFonts w:eastAsia="Times New Roman"/>
                      <w:color w:val="auto"/>
                      <w:szCs w:val="21"/>
                    </w:rPr>
                  </w:pPr>
                  <w:r>
                    <w:rPr>
                      <w:rFonts w:eastAsia="Times New Roman"/>
                      <w:color w:val="auto"/>
                      <w:spacing w:val="-1"/>
                      <w:szCs w:val="21"/>
                    </w:rPr>
                    <w:t>0.0293</w:t>
                  </w:r>
                </w:p>
              </w:tc>
            </w:tr>
            <w:tr w14:paraId="1B499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6" w:type="pct"/>
                  <w:vMerge w:val="continue"/>
                  <w:vAlign w:val="center"/>
                </w:tcPr>
                <w:p w14:paraId="030BE784">
                  <w:pPr>
                    <w:jc w:val="center"/>
                    <w:rPr>
                      <w:rFonts w:ascii="Arial"/>
                      <w:color w:val="auto"/>
                    </w:rPr>
                  </w:pPr>
                </w:p>
              </w:tc>
              <w:tc>
                <w:tcPr>
                  <w:tcW w:w="662" w:type="pct"/>
                  <w:vAlign w:val="center"/>
                </w:tcPr>
                <w:p w14:paraId="0D197FBE">
                  <w:pPr>
                    <w:pStyle w:val="3488"/>
                    <w:spacing w:before="166" w:line="221" w:lineRule="auto"/>
                    <w:jc w:val="center"/>
                    <w:rPr>
                      <w:color w:val="auto"/>
                      <w:sz w:val="21"/>
                      <w:szCs w:val="21"/>
                    </w:rPr>
                  </w:pPr>
                  <w:r>
                    <w:rPr>
                      <w:color w:val="auto"/>
                      <w:spacing w:val="-1"/>
                      <w:sz w:val="21"/>
                      <w:szCs w:val="21"/>
                    </w:rPr>
                    <w:t>排放速率平均值</w:t>
                  </w:r>
                </w:p>
              </w:tc>
              <w:tc>
                <w:tcPr>
                  <w:tcW w:w="254" w:type="pct"/>
                  <w:vAlign w:val="center"/>
                </w:tcPr>
                <w:p w14:paraId="687F62C6">
                  <w:pPr>
                    <w:spacing w:before="194"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7FFE5651">
                  <w:pPr>
                    <w:spacing w:before="195" w:line="233" w:lineRule="auto"/>
                    <w:jc w:val="center"/>
                    <w:rPr>
                      <w:rFonts w:eastAsia="Times New Roman"/>
                      <w:color w:val="auto"/>
                      <w:szCs w:val="21"/>
                    </w:rPr>
                  </w:pPr>
                  <w:r>
                    <w:rPr>
                      <w:rFonts w:eastAsia="Times New Roman"/>
                      <w:color w:val="auto"/>
                      <w:spacing w:val="-2"/>
                      <w:szCs w:val="21"/>
                    </w:rPr>
                    <w:t>0.88</w:t>
                  </w:r>
                </w:p>
              </w:tc>
              <w:tc>
                <w:tcPr>
                  <w:tcW w:w="1102" w:type="pct"/>
                  <w:gridSpan w:val="3"/>
                  <w:vAlign w:val="center"/>
                </w:tcPr>
                <w:p w14:paraId="2B1F508F">
                  <w:pPr>
                    <w:spacing w:before="195" w:line="233" w:lineRule="auto"/>
                    <w:jc w:val="center"/>
                    <w:rPr>
                      <w:rFonts w:eastAsia="Times New Roman"/>
                      <w:color w:val="auto"/>
                      <w:szCs w:val="21"/>
                    </w:rPr>
                  </w:pPr>
                  <w:r>
                    <w:rPr>
                      <w:rFonts w:eastAsia="Times New Roman"/>
                      <w:color w:val="auto"/>
                      <w:spacing w:val="-1"/>
                      <w:szCs w:val="21"/>
                    </w:rPr>
                    <w:t>0.03343</w:t>
                  </w:r>
                </w:p>
              </w:tc>
            </w:tr>
            <w:tr w14:paraId="61FD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6" w:type="pct"/>
                  <w:vMerge w:val="continue"/>
                  <w:vAlign w:val="center"/>
                </w:tcPr>
                <w:p w14:paraId="396DBB1B">
                  <w:pPr>
                    <w:jc w:val="center"/>
                    <w:rPr>
                      <w:rFonts w:ascii="Arial"/>
                      <w:color w:val="auto"/>
                    </w:rPr>
                  </w:pPr>
                </w:p>
              </w:tc>
              <w:tc>
                <w:tcPr>
                  <w:tcW w:w="662" w:type="pct"/>
                  <w:vAlign w:val="center"/>
                </w:tcPr>
                <w:p w14:paraId="24E3D591">
                  <w:pPr>
                    <w:pStyle w:val="3488"/>
                    <w:spacing w:before="165" w:line="221" w:lineRule="auto"/>
                    <w:jc w:val="center"/>
                    <w:rPr>
                      <w:color w:val="auto"/>
                      <w:sz w:val="21"/>
                      <w:szCs w:val="21"/>
                    </w:rPr>
                  </w:pPr>
                  <w:r>
                    <w:rPr>
                      <w:color w:val="auto"/>
                      <w:spacing w:val="-1"/>
                      <w:sz w:val="21"/>
                      <w:szCs w:val="21"/>
                    </w:rPr>
                    <w:t>排放速率限值</w:t>
                  </w:r>
                </w:p>
              </w:tc>
              <w:tc>
                <w:tcPr>
                  <w:tcW w:w="254" w:type="pct"/>
                  <w:vAlign w:val="center"/>
                </w:tcPr>
                <w:p w14:paraId="511728C5">
                  <w:pPr>
                    <w:spacing w:before="196"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0E122E2C">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4988361D">
                  <w:pPr>
                    <w:spacing w:before="196" w:line="233" w:lineRule="auto"/>
                    <w:jc w:val="center"/>
                    <w:rPr>
                      <w:rFonts w:eastAsia="Times New Roman"/>
                      <w:color w:val="auto"/>
                      <w:szCs w:val="21"/>
                    </w:rPr>
                  </w:pPr>
                  <w:r>
                    <w:rPr>
                      <w:rFonts w:eastAsia="Times New Roman"/>
                      <w:color w:val="auto"/>
                      <w:spacing w:val="-2"/>
                      <w:szCs w:val="21"/>
                    </w:rPr>
                    <w:t>3.5</w:t>
                  </w:r>
                </w:p>
              </w:tc>
            </w:tr>
            <w:tr w14:paraId="16C1E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0C11B2E6">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5492FCA8">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5154CFED">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63DD1BCF">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7427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bottom w:val="nil"/>
                  </w:tcBorders>
                  <w:vAlign w:val="center"/>
                </w:tcPr>
                <w:p w14:paraId="1C5CECF1">
                  <w:pPr>
                    <w:jc w:val="center"/>
                    <w:rPr>
                      <w:rFonts w:ascii="Arial"/>
                      <w:color w:val="auto"/>
                    </w:rPr>
                  </w:pPr>
                </w:p>
              </w:tc>
              <w:tc>
                <w:tcPr>
                  <w:tcW w:w="254" w:type="pct"/>
                  <w:vMerge w:val="continue"/>
                  <w:tcBorders>
                    <w:top w:val="nil"/>
                    <w:bottom w:val="nil"/>
                  </w:tcBorders>
                  <w:vAlign w:val="center"/>
                </w:tcPr>
                <w:p w14:paraId="6B46A795">
                  <w:pPr>
                    <w:jc w:val="center"/>
                    <w:rPr>
                      <w:rFonts w:ascii="Arial"/>
                      <w:color w:val="auto"/>
                    </w:rPr>
                  </w:pPr>
                </w:p>
              </w:tc>
              <w:tc>
                <w:tcPr>
                  <w:tcW w:w="2124" w:type="pct"/>
                  <w:gridSpan w:val="7"/>
                  <w:vAlign w:val="center"/>
                </w:tcPr>
                <w:p w14:paraId="5AC6A2FD">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排气筒进口</w:t>
                  </w:r>
                </w:p>
              </w:tc>
              <w:tc>
                <w:tcPr>
                  <w:tcW w:w="1102" w:type="pct"/>
                  <w:gridSpan w:val="3"/>
                  <w:vAlign w:val="center"/>
                </w:tcPr>
                <w:p w14:paraId="5B74A646">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排气筒出口</w:t>
                  </w:r>
                </w:p>
              </w:tc>
            </w:tr>
            <w:tr w14:paraId="317BD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6ADC5666">
                  <w:pPr>
                    <w:jc w:val="center"/>
                    <w:rPr>
                      <w:rFonts w:ascii="Arial"/>
                      <w:color w:val="auto"/>
                    </w:rPr>
                  </w:pPr>
                </w:p>
              </w:tc>
              <w:tc>
                <w:tcPr>
                  <w:tcW w:w="254" w:type="pct"/>
                  <w:vMerge w:val="continue"/>
                  <w:tcBorders>
                    <w:top w:val="nil"/>
                  </w:tcBorders>
                  <w:vAlign w:val="center"/>
                </w:tcPr>
                <w:p w14:paraId="0B8AF1AA">
                  <w:pPr>
                    <w:jc w:val="center"/>
                    <w:rPr>
                      <w:rFonts w:ascii="Arial"/>
                      <w:color w:val="auto"/>
                    </w:rPr>
                  </w:pPr>
                </w:p>
              </w:tc>
              <w:tc>
                <w:tcPr>
                  <w:tcW w:w="1285" w:type="pct"/>
                  <w:gridSpan w:val="3"/>
                  <w:vAlign w:val="center"/>
                </w:tcPr>
                <w:p w14:paraId="35761B38">
                  <w:pPr>
                    <w:pStyle w:val="3488"/>
                    <w:spacing w:before="167" w:line="221" w:lineRule="auto"/>
                    <w:jc w:val="center"/>
                    <w:rPr>
                      <w:color w:val="auto"/>
                      <w:sz w:val="21"/>
                      <w:szCs w:val="21"/>
                    </w:rPr>
                  </w:pPr>
                  <w:r>
                    <w:rPr>
                      <w:color w:val="auto"/>
                      <w:spacing w:val="-2"/>
                      <w:sz w:val="21"/>
                      <w:szCs w:val="21"/>
                    </w:rPr>
                    <w:t>第一次</w:t>
                  </w:r>
                </w:p>
              </w:tc>
              <w:tc>
                <w:tcPr>
                  <w:tcW w:w="282" w:type="pct"/>
                  <w:gridSpan w:val="2"/>
                  <w:vAlign w:val="center"/>
                </w:tcPr>
                <w:p w14:paraId="777F7235">
                  <w:pPr>
                    <w:pStyle w:val="3488"/>
                    <w:spacing w:before="167" w:line="221" w:lineRule="auto"/>
                    <w:jc w:val="center"/>
                    <w:rPr>
                      <w:color w:val="auto"/>
                      <w:sz w:val="21"/>
                      <w:szCs w:val="21"/>
                    </w:rPr>
                  </w:pPr>
                  <w:r>
                    <w:rPr>
                      <w:color w:val="auto"/>
                      <w:spacing w:val="-2"/>
                      <w:sz w:val="21"/>
                      <w:szCs w:val="21"/>
                    </w:rPr>
                    <w:t>第二次</w:t>
                  </w:r>
                </w:p>
              </w:tc>
              <w:tc>
                <w:tcPr>
                  <w:tcW w:w="555" w:type="pct"/>
                  <w:gridSpan w:val="2"/>
                  <w:vAlign w:val="center"/>
                </w:tcPr>
                <w:p w14:paraId="4FD910A5">
                  <w:pPr>
                    <w:pStyle w:val="3488"/>
                    <w:spacing w:before="167" w:line="221" w:lineRule="auto"/>
                    <w:jc w:val="center"/>
                    <w:rPr>
                      <w:color w:val="auto"/>
                      <w:sz w:val="21"/>
                      <w:szCs w:val="21"/>
                    </w:rPr>
                  </w:pPr>
                  <w:r>
                    <w:rPr>
                      <w:color w:val="auto"/>
                      <w:spacing w:val="-2"/>
                      <w:sz w:val="21"/>
                      <w:szCs w:val="21"/>
                    </w:rPr>
                    <w:t>第三次</w:t>
                  </w:r>
                </w:p>
              </w:tc>
              <w:tc>
                <w:tcPr>
                  <w:tcW w:w="367" w:type="pct"/>
                  <w:vAlign w:val="center"/>
                </w:tcPr>
                <w:p w14:paraId="3AC347F8">
                  <w:pPr>
                    <w:pStyle w:val="3488"/>
                    <w:spacing w:before="167" w:line="221" w:lineRule="auto"/>
                    <w:jc w:val="center"/>
                    <w:rPr>
                      <w:color w:val="auto"/>
                      <w:sz w:val="21"/>
                      <w:szCs w:val="21"/>
                    </w:rPr>
                  </w:pPr>
                  <w:r>
                    <w:rPr>
                      <w:color w:val="auto"/>
                      <w:spacing w:val="-2"/>
                      <w:sz w:val="21"/>
                      <w:szCs w:val="21"/>
                    </w:rPr>
                    <w:t>第一次</w:t>
                  </w:r>
                </w:p>
              </w:tc>
              <w:tc>
                <w:tcPr>
                  <w:tcW w:w="367" w:type="pct"/>
                  <w:vAlign w:val="center"/>
                </w:tcPr>
                <w:p w14:paraId="571C283B">
                  <w:pPr>
                    <w:pStyle w:val="3488"/>
                    <w:spacing w:before="167" w:line="221" w:lineRule="auto"/>
                    <w:jc w:val="center"/>
                    <w:rPr>
                      <w:color w:val="auto"/>
                      <w:sz w:val="21"/>
                      <w:szCs w:val="21"/>
                    </w:rPr>
                  </w:pPr>
                  <w:r>
                    <w:rPr>
                      <w:color w:val="auto"/>
                      <w:spacing w:val="-2"/>
                      <w:sz w:val="21"/>
                      <w:szCs w:val="21"/>
                    </w:rPr>
                    <w:t>第二次</w:t>
                  </w:r>
                </w:p>
              </w:tc>
              <w:tc>
                <w:tcPr>
                  <w:tcW w:w="367" w:type="pct"/>
                  <w:vAlign w:val="center"/>
                </w:tcPr>
                <w:p w14:paraId="11F84636">
                  <w:pPr>
                    <w:pStyle w:val="3488"/>
                    <w:spacing w:before="167" w:line="221" w:lineRule="auto"/>
                    <w:jc w:val="center"/>
                    <w:rPr>
                      <w:color w:val="auto"/>
                      <w:sz w:val="21"/>
                      <w:szCs w:val="21"/>
                    </w:rPr>
                  </w:pPr>
                  <w:r>
                    <w:rPr>
                      <w:color w:val="auto"/>
                      <w:spacing w:val="-2"/>
                      <w:sz w:val="21"/>
                      <w:szCs w:val="21"/>
                    </w:rPr>
                    <w:t>第三次</w:t>
                  </w:r>
                </w:p>
              </w:tc>
            </w:tr>
            <w:tr w14:paraId="3F99D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0178CEC7">
                  <w:pPr>
                    <w:pStyle w:val="3488"/>
                    <w:spacing w:before="143" w:line="210" w:lineRule="auto"/>
                    <w:jc w:val="center"/>
                    <w:rPr>
                      <w:color w:val="auto"/>
                      <w:sz w:val="21"/>
                      <w:szCs w:val="21"/>
                    </w:rPr>
                  </w:pPr>
                  <w:r>
                    <w:rPr>
                      <w:color w:val="auto"/>
                      <w:spacing w:val="42"/>
                      <w:sz w:val="21"/>
                      <w:szCs w:val="21"/>
                    </w:rPr>
                    <w:t>颗粒物</w:t>
                  </w:r>
                </w:p>
              </w:tc>
              <w:tc>
                <w:tcPr>
                  <w:tcW w:w="662" w:type="pct"/>
                  <w:vAlign w:val="center"/>
                </w:tcPr>
                <w:p w14:paraId="30990513">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62F4329E">
                  <w:pPr>
                    <w:spacing w:before="176"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285" w:type="pct"/>
                  <w:gridSpan w:val="3"/>
                  <w:vAlign w:val="center"/>
                </w:tcPr>
                <w:p w14:paraId="278647A8">
                  <w:pPr>
                    <w:spacing w:before="195" w:line="234" w:lineRule="auto"/>
                    <w:jc w:val="center"/>
                    <w:rPr>
                      <w:rFonts w:eastAsia="Times New Roman"/>
                      <w:color w:val="auto"/>
                      <w:szCs w:val="21"/>
                    </w:rPr>
                  </w:pPr>
                  <w:r>
                    <w:rPr>
                      <w:rFonts w:eastAsia="Times New Roman"/>
                      <w:color w:val="auto"/>
                      <w:spacing w:val="-1"/>
                      <w:szCs w:val="21"/>
                    </w:rPr>
                    <w:t>40</w:t>
                  </w:r>
                </w:p>
              </w:tc>
              <w:tc>
                <w:tcPr>
                  <w:tcW w:w="282" w:type="pct"/>
                  <w:gridSpan w:val="2"/>
                  <w:vAlign w:val="center"/>
                </w:tcPr>
                <w:p w14:paraId="33E42D85">
                  <w:pPr>
                    <w:spacing w:before="196" w:line="233" w:lineRule="auto"/>
                    <w:jc w:val="center"/>
                    <w:rPr>
                      <w:rFonts w:eastAsia="Times New Roman"/>
                      <w:color w:val="auto"/>
                      <w:szCs w:val="21"/>
                    </w:rPr>
                  </w:pPr>
                  <w:r>
                    <w:rPr>
                      <w:rFonts w:eastAsia="Times New Roman"/>
                      <w:color w:val="auto"/>
                      <w:spacing w:val="-2"/>
                      <w:szCs w:val="21"/>
                    </w:rPr>
                    <w:t>39</w:t>
                  </w:r>
                </w:p>
              </w:tc>
              <w:tc>
                <w:tcPr>
                  <w:tcW w:w="555" w:type="pct"/>
                  <w:gridSpan w:val="2"/>
                  <w:vAlign w:val="center"/>
                </w:tcPr>
                <w:p w14:paraId="771B3119">
                  <w:pPr>
                    <w:spacing w:before="195" w:line="236" w:lineRule="auto"/>
                    <w:jc w:val="center"/>
                    <w:rPr>
                      <w:rFonts w:eastAsia="Times New Roman"/>
                      <w:color w:val="auto"/>
                      <w:szCs w:val="21"/>
                    </w:rPr>
                  </w:pPr>
                  <w:r>
                    <w:rPr>
                      <w:rFonts w:eastAsia="Times New Roman"/>
                      <w:color w:val="auto"/>
                      <w:spacing w:val="-1"/>
                      <w:szCs w:val="21"/>
                    </w:rPr>
                    <w:t>41</w:t>
                  </w:r>
                </w:p>
              </w:tc>
              <w:tc>
                <w:tcPr>
                  <w:tcW w:w="367" w:type="pct"/>
                  <w:vAlign w:val="center"/>
                </w:tcPr>
                <w:p w14:paraId="1A410369">
                  <w:pPr>
                    <w:spacing w:before="196" w:line="233" w:lineRule="auto"/>
                    <w:jc w:val="center"/>
                    <w:rPr>
                      <w:rFonts w:eastAsia="Times New Roman"/>
                      <w:color w:val="auto"/>
                      <w:szCs w:val="21"/>
                    </w:rPr>
                  </w:pPr>
                  <w:r>
                    <w:rPr>
                      <w:rFonts w:eastAsia="Times New Roman"/>
                      <w:color w:val="auto"/>
                      <w:spacing w:val="-5"/>
                      <w:szCs w:val="21"/>
                    </w:rPr>
                    <w:t>1.3</w:t>
                  </w:r>
                </w:p>
              </w:tc>
              <w:tc>
                <w:tcPr>
                  <w:tcW w:w="367" w:type="pct"/>
                  <w:vAlign w:val="center"/>
                </w:tcPr>
                <w:p w14:paraId="4ED2534E">
                  <w:pPr>
                    <w:spacing w:before="196" w:line="233" w:lineRule="auto"/>
                    <w:jc w:val="center"/>
                    <w:rPr>
                      <w:rFonts w:eastAsia="Times New Roman"/>
                      <w:color w:val="auto"/>
                      <w:szCs w:val="21"/>
                    </w:rPr>
                  </w:pPr>
                  <w:r>
                    <w:rPr>
                      <w:rFonts w:eastAsia="Times New Roman"/>
                      <w:color w:val="auto"/>
                      <w:spacing w:val="-5"/>
                      <w:szCs w:val="21"/>
                    </w:rPr>
                    <w:t>1.5</w:t>
                  </w:r>
                </w:p>
              </w:tc>
              <w:tc>
                <w:tcPr>
                  <w:tcW w:w="367" w:type="pct"/>
                  <w:vAlign w:val="center"/>
                </w:tcPr>
                <w:p w14:paraId="0500F051">
                  <w:pPr>
                    <w:spacing w:before="196" w:line="233" w:lineRule="auto"/>
                    <w:jc w:val="center"/>
                    <w:rPr>
                      <w:rFonts w:eastAsia="Times New Roman"/>
                      <w:color w:val="auto"/>
                      <w:szCs w:val="21"/>
                    </w:rPr>
                  </w:pPr>
                  <w:r>
                    <w:rPr>
                      <w:rFonts w:eastAsia="Times New Roman"/>
                      <w:color w:val="auto"/>
                      <w:spacing w:val="-5"/>
                      <w:szCs w:val="21"/>
                    </w:rPr>
                    <w:t>1.7</w:t>
                  </w:r>
                </w:p>
              </w:tc>
            </w:tr>
            <w:tr w14:paraId="56E08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13A486E0">
                  <w:pPr>
                    <w:jc w:val="center"/>
                    <w:rPr>
                      <w:rFonts w:ascii="Arial"/>
                      <w:color w:val="auto"/>
                    </w:rPr>
                  </w:pPr>
                </w:p>
              </w:tc>
              <w:tc>
                <w:tcPr>
                  <w:tcW w:w="662" w:type="pct"/>
                  <w:vAlign w:val="center"/>
                </w:tcPr>
                <w:p w14:paraId="65072CD1">
                  <w:pPr>
                    <w:pStyle w:val="3488"/>
                    <w:spacing w:before="165" w:line="221" w:lineRule="auto"/>
                    <w:jc w:val="center"/>
                    <w:rPr>
                      <w:color w:val="auto"/>
                      <w:sz w:val="21"/>
                      <w:szCs w:val="21"/>
                    </w:rPr>
                  </w:pPr>
                  <w:r>
                    <w:rPr>
                      <w:color w:val="auto"/>
                      <w:spacing w:val="-1"/>
                      <w:sz w:val="21"/>
                      <w:szCs w:val="21"/>
                    </w:rPr>
                    <w:t>排放浓度限值</w:t>
                  </w:r>
                </w:p>
              </w:tc>
              <w:tc>
                <w:tcPr>
                  <w:tcW w:w="254" w:type="pct"/>
                  <w:vAlign w:val="center"/>
                </w:tcPr>
                <w:p w14:paraId="455266F3">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7048B543">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4553BA06">
                  <w:pPr>
                    <w:spacing w:before="196" w:line="234" w:lineRule="auto"/>
                    <w:jc w:val="center"/>
                    <w:rPr>
                      <w:rFonts w:eastAsia="Times New Roman"/>
                      <w:color w:val="auto"/>
                      <w:szCs w:val="21"/>
                    </w:rPr>
                  </w:pPr>
                  <w:r>
                    <w:rPr>
                      <w:rFonts w:eastAsia="Times New Roman"/>
                      <w:color w:val="auto"/>
                      <w:spacing w:val="-6"/>
                      <w:szCs w:val="21"/>
                    </w:rPr>
                    <w:t>120</w:t>
                  </w:r>
                </w:p>
              </w:tc>
            </w:tr>
            <w:tr w14:paraId="3CABD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4E90F91D">
                  <w:pPr>
                    <w:jc w:val="center"/>
                    <w:rPr>
                      <w:rFonts w:ascii="Arial"/>
                      <w:color w:val="auto"/>
                    </w:rPr>
                  </w:pPr>
                </w:p>
              </w:tc>
              <w:tc>
                <w:tcPr>
                  <w:tcW w:w="662" w:type="pct"/>
                  <w:vAlign w:val="center"/>
                </w:tcPr>
                <w:p w14:paraId="64184A0E">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20F566A9">
                  <w:pPr>
                    <w:spacing w:before="194" w:line="191" w:lineRule="auto"/>
                    <w:jc w:val="center"/>
                    <w:rPr>
                      <w:rFonts w:eastAsia="Times New Roman"/>
                      <w:color w:val="auto"/>
                      <w:szCs w:val="21"/>
                    </w:rPr>
                  </w:pPr>
                  <w:r>
                    <w:rPr>
                      <w:rFonts w:eastAsia="Times New Roman"/>
                      <w:color w:val="auto"/>
                      <w:szCs w:val="21"/>
                    </w:rPr>
                    <w:t>kg/h</w:t>
                  </w:r>
                </w:p>
              </w:tc>
              <w:tc>
                <w:tcPr>
                  <w:tcW w:w="1285" w:type="pct"/>
                  <w:gridSpan w:val="3"/>
                  <w:vAlign w:val="center"/>
                </w:tcPr>
                <w:p w14:paraId="79C648CA">
                  <w:pPr>
                    <w:spacing w:before="194" w:line="233" w:lineRule="auto"/>
                    <w:jc w:val="center"/>
                    <w:rPr>
                      <w:rFonts w:eastAsia="Times New Roman"/>
                      <w:color w:val="auto"/>
                      <w:szCs w:val="21"/>
                    </w:rPr>
                  </w:pPr>
                  <w:r>
                    <w:rPr>
                      <w:rFonts w:eastAsia="Times New Roman"/>
                      <w:color w:val="auto"/>
                      <w:spacing w:val="-1"/>
                      <w:szCs w:val="21"/>
                    </w:rPr>
                    <w:t>0.8220</w:t>
                  </w:r>
                </w:p>
              </w:tc>
              <w:tc>
                <w:tcPr>
                  <w:tcW w:w="282" w:type="pct"/>
                  <w:gridSpan w:val="2"/>
                  <w:vAlign w:val="center"/>
                </w:tcPr>
                <w:p w14:paraId="7ED2D858">
                  <w:pPr>
                    <w:spacing w:before="194" w:line="233" w:lineRule="auto"/>
                    <w:jc w:val="center"/>
                    <w:rPr>
                      <w:rFonts w:eastAsia="Times New Roman"/>
                      <w:color w:val="auto"/>
                      <w:szCs w:val="21"/>
                    </w:rPr>
                  </w:pPr>
                  <w:r>
                    <w:rPr>
                      <w:rFonts w:eastAsia="Times New Roman"/>
                      <w:color w:val="auto"/>
                      <w:spacing w:val="-1"/>
                      <w:szCs w:val="21"/>
                    </w:rPr>
                    <w:t>0.8023</w:t>
                  </w:r>
                </w:p>
              </w:tc>
              <w:tc>
                <w:tcPr>
                  <w:tcW w:w="555" w:type="pct"/>
                  <w:gridSpan w:val="2"/>
                  <w:vAlign w:val="center"/>
                </w:tcPr>
                <w:p w14:paraId="08163ADC">
                  <w:pPr>
                    <w:spacing w:before="194" w:line="233" w:lineRule="auto"/>
                    <w:jc w:val="center"/>
                    <w:rPr>
                      <w:rFonts w:eastAsia="Times New Roman"/>
                      <w:color w:val="auto"/>
                      <w:szCs w:val="21"/>
                    </w:rPr>
                  </w:pPr>
                  <w:r>
                    <w:rPr>
                      <w:rFonts w:eastAsia="Times New Roman"/>
                      <w:color w:val="auto"/>
                      <w:spacing w:val="-1"/>
                      <w:szCs w:val="21"/>
                    </w:rPr>
                    <w:t>0.8509</w:t>
                  </w:r>
                </w:p>
              </w:tc>
              <w:tc>
                <w:tcPr>
                  <w:tcW w:w="367" w:type="pct"/>
                  <w:vAlign w:val="center"/>
                </w:tcPr>
                <w:p w14:paraId="39AEDA82">
                  <w:pPr>
                    <w:spacing w:before="194" w:line="233" w:lineRule="auto"/>
                    <w:jc w:val="center"/>
                    <w:rPr>
                      <w:rFonts w:eastAsia="Times New Roman"/>
                      <w:color w:val="auto"/>
                      <w:szCs w:val="21"/>
                    </w:rPr>
                  </w:pPr>
                  <w:r>
                    <w:rPr>
                      <w:rFonts w:eastAsia="Times New Roman"/>
                      <w:color w:val="auto"/>
                      <w:spacing w:val="-1"/>
                      <w:szCs w:val="21"/>
                    </w:rPr>
                    <w:t>0.0276</w:t>
                  </w:r>
                </w:p>
              </w:tc>
              <w:tc>
                <w:tcPr>
                  <w:tcW w:w="367" w:type="pct"/>
                  <w:vAlign w:val="center"/>
                </w:tcPr>
                <w:p w14:paraId="259E29B6">
                  <w:pPr>
                    <w:spacing w:before="194" w:line="233" w:lineRule="auto"/>
                    <w:jc w:val="center"/>
                    <w:rPr>
                      <w:rFonts w:eastAsia="Times New Roman"/>
                      <w:color w:val="auto"/>
                      <w:szCs w:val="21"/>
                    </w:rPr>
                  </w:pPr>
                  <w:r>
                    <w:rPr>
                      <w:rFonts w:eastAsia="Times New Roman"/>
                      <w:color w:val="auto"/>
                      <w:spacing w:val="-1"/>
                      <w:szCs w:val="21"/>
                    </w:rPr>
                    <w:t>0.0328</w:t>
                  </w:r>
                </w:p>
              </w:tc>
              <w:tc>
                <w:tcPr>
                  <w:tcW w:w="367" w:type="pct"/>
                  <w:vAlign w:val="center"/>
                </w:tcPr>
                <w:p w14:paraId="0AAEA833">
                  <w:pPr>
                    <w:spacing w:before="194" w:line="233" w:lineRule="auto"/>
                    <w:jc w:val="center"/>
                    <w:rPr>
                      <w:rFonts w:eastAsia="Times New Roman"/>
                      <w:color w:val="auto"/>
                      <w:szCs w:val="21"/>
                    </w:rPr>
                  </w:pPr>
                  <w:r>
                    <w:rPr>
                      <w:rFonts w:eastAsia="Times New Roman"/>
                      <w:color w:val="auto"/>
                      <w:spacing w:val="-1"/>
                      <w:szCs w:val="21"/>
                    </w:rPr>
                    <w:t>0.0366</w:t>
                  </w:r>
                </w:p>
              </w:tc>
            </w:tr>
            <w:tr w14:paraId="1AAE9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629756E4">
                  <w:pPr>
                    <w:jc w:val="center"/>
                    <w:rPr>
                      <w:rFonts w:ascii="Arial"/>
                      <w:color w:val="auto"/>
                    </w:rPr>
                  </w:pPr>
                </w:p>
              </w:tc>
              <w:tc>
                <w:tcPr>
                  <w:tcW w:w="662" w:type="pct"/>
                  <w:vAlign w:val="center"/>
                </w:tcPr>
                <w:p w14:paraId="21129139">
                  <w:pPr>
                    <w:pStyle w:val="3488"/>
                    <w:spacing w:before="169" w:line="221" w:lineRule="auto"/>
                    <w:jc w:val="center"/>
                    <w:rPr>
                      <w:color w:val="auto"/>
                      <w:sz w:val="21"/>
                      <w:szCs w:val="21"/>
                    </w:rPr>
                  </w:pPr>
                  <w:r>
                    <w:rPr>
                      <w:color w:val="auto"/>
                      <w:spacing w:val="-1"/>
                      <w:sz w:val="21"/>
                      <w:szCs w:val="21"/>
                    </w:rPr>
                    <w:t>排放速率平均值</w:t>
                  </w:r>
                </w:p>
              </w:tc>
              <w:tc>
                <w:tcPr>
                  <w:tcW w:w="254" w:type="pct"/>
                  <w:vAlign w:val="center"/>
                </w:tcPr>
                <w:p w14:paraId="4E4438CF">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8C625FB">
                  <w:pPr>
                    <w:spacing w:before="197" w:line="233" w:lineRule="auto"/>
                    <w:jc w:val="center"/>
                    <w:rPr>
                      <w:rFonts w:eastAsia="Times New Roman"/>
                      <w:color w:val="auto"/>
                      <w:szCs w:val="21"/>
                    </w:rPr>
                  </w:pPr>
                  <w:r>
                    <w:rPr>
                      <w:rFonts w:eastAsia="Times New Roman"/>
                      <w:color w:val="auto"/>
                      <w:spacing w:val="-1"/>
                      <w:szCs w:val="21"/>
                    </w:rPr>
                    <w:t>0.83</w:t>
                  </w:r>
                </w:p>
              </w:tc>
              <w:tc>
                <w:tcPr>
                  <w:tcW w:w="1102" w:type="pct"/>
                  <w:gridSpan w:val="3"/>
                  <w:vAlign w:val="center"/>
                </w:tcPr>
                <w:p w14:paraId="3DF7500B">
                  <w:pPr>
                    <w:spacing w:before="197" w:line="233" w:lineRule="auto"/>
                    <w:jc w:val="center"/>
                    <w:rPr>
                      <w:rFonts w:eastAsia="Times New Roman"/>
                      <w:color w:val="auto"/>
                      <w:szCs w:val="21"/>
                    </w:rPr>
                  </w:pPr>
                  <w:r>
                    <w:rPr>
                      <w:rFonts w:eastAsia="Times New Roman"/>
                      <w:color w:val="auto"/>
                      <w:spacing w:val="-1"/>
                      <w:szCs w:val="21"/>
                    </w:rPr>
                    <w:t>0.0323</w:t>
                  </w:r>
                </w:p>
              </w:tc>
            </w:tr>
            <w:tr w14:paraId="13E8F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6C595CE9">
                  <w:pPr>
                    <w:jc w:val="center"/>
                    <w:rPr>
                      <w:rFonts w:ascii="Arial"/>
                      <w:color w:val="auto"/>
                    </w:rPr>
                  </w:pPr>
                </w:p>
              </w:tc>
              <w:tc>
                <w:tcPr>
                  <w:tcW w:w="662" w:type="pct"/>
                  <w:vAlign w:val="center"/>
                </w:tcPr>
                <w:p w14:paraId="4A39887B">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694DAF53">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0E5F8280">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4638D80">
                  <w:pPr>
                    <w:spacing w:before="198" w:line="233" w:lineRule="auto"/>
                    <w:jc w:val="center"/>
                    <w:rPr>
                      <w:rFonts w:eastAsia="Times New Roman"/>
                      <w:color w:val="auto"/>
                      <w:szCs w:val="21"/>
                    </w:rPr>
                  </w:pPr>
                  <w:r>
                    <w:rPr>
                      <w:rFonts w:eastAsia="Times New Roman"/>
                      <w:color w:val="auto"/>
                      <w:spacing w:val="-2"/>
                      <w:szCs w:val="21"/>
                    </w:rPr>
                    <w:t>3.5</w:t>
                  </w:r>
                </w:p>
              </w:tc>
            </w:tr>
            <w:tr w14:paraId="5099E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7753B0F3">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46ADF31">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420A97A6">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2022.01.11</w:t>
                  </w:r>
                </w:p>
              </w:tc>
              <w:tc>
                <w:tcPr>
                  <w:tcW w:w="1102" w:type="pct"/>
                  <w:gridSpan w:val="3"/>
                  <w:vAlign w:val="center"/>
                </w:tcPr>
                <w:p w14:paraId="1C51B6DF">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2022.01.11</w:t>
                  </w:r>
                </w:p>
              </w:tc>
            </w:tr>
            <w:tr w14:paraId="6FB07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574DD1AE">
                  <w:pPr>
                    <w:jc w:val="center"/>
                    <w:rPr>
                      <w:rFonts w:ascii="Arial"/>
                      <w:color w:val="auto"/>
                    </w:rPr>
                  </w:pPr>
                </w:p>
              </w:tc>
              <w:tc>
                <w:tcPr>
                  <w:tcW w:w="254" w:type="pct"/>
                  <w:vMerge w:val="continue"/>
                  <w:tcBorders>
                    <w:top w:val="nil"/>
                    <w:bottom w:val="nil"/>
                  </w:tcBorders>
                  <w:vAlign w:val="center"/>
                </w:tcPr>
                <w:p w14:paraId="3E1DBF4B">
                  <w:pPr>
                    <w:jc w:val="center"/>
                    <w:rPr>
                      <w:rFonts w:ascii="Arial"/>
                      <w:color w:val="auto"/>
                    </w:rPr>
                  </w:pPr>
                </w:p>
              </w:tc>
              <w:tc>
                <w:tcPr>
                  <w:tcW w:w="2124" w:type="pct"/>
                  <w:gridSpan w:val="7"/>
                  <w:vAlign w:val="center"/>
                </w:tcPr>
                <w:p w14:paraId="4CDE185A">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排气筒进口</w:t>
                  </w:r>
                </w:p>
              </w:tc>
              <w:tc>
                <w:tcPr>
                  <w:tcW w:w="1102" w:type="pct"/>
                  <w:gridSpan w:val="3"/>
                  <w:vAlign w:val="center"/>
                </w:tcPr>
                <w:p w14:paraId="649AAEF7">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排气筒出口</w:t>
                  </w:r>
                </w:p>
              </w:tc>
            </w:tr>
            <w:tr w14:paraId="4904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tcBorders>
                  <w:vAlign w:val="center"/>
                </w:tcPr>
                <w:p w14:paraId="2F0031C6">
                  <w:pPr>
                    <w:jc w:val="center"/>
                    <w:rPr>
                      <w:rFonts w:ascii="Arial"/>
                      <w:color w:val="auto"/>
                    </w:rPr>
                  </w:pPr>
                </w:p>
              </w:tc>
              <w:tc>
                <w:tcPr>
                  <w:tcW w:w="254" w:type="pct"/>
                  <w:vMerge w:val="continue"/>
                  <w:tcBorders>
                    <w:top w:val="nil"/>
                  </w:tcBorders>
                  <w:vAlign w:val="center"/>
                </w:tcPr>
                <w:p w14:paraId="1FD5D7E7">
                  <w:pPr>
                    <w:jc w:val="center"/>
                    <w:rPr>
                      <w:rFonts w:ascii="Arial"/>
                      <w:color w:val="auto"/>
                    </w:rPr>
                  </w:pPr>
                </w:p>
              </w:tc>
              <w:tc>
                <w:tcPr>
                  <w:tcW w:w="1162" w:type="pct"/>
                  <w:gridSpan w:val="2"/>
                  <w:vAlign w:val="center"/>
                </w:tcPr>
                <w:p w14:paraId="0BC8D9AB">
                  <w:pPr>
                    <w:pStyle w:val="3488"/>
                    <w:spacing w:before="165" w:line="221" w:lineRule="auto"/>
                    <w:jc w:val="center"/>
                    <w:rPr>
                      <w:color w:val="auto"/>
                      <w:sz w:val="21"/>
                      <w:szCs w:val="21"/>
                    </w:rPr>
                  </w:pPr>
                  <w:r>
                    <w:rPr>
                      <w:color w:val="auto"/>
                      <w:spacing w:val="-2"/>
                      <w:sz w:val="21"/>
                      <w:szCs w:val="21"/>
                    </w:rPr>
                    <w:t>第一次</w:t>
                  </w:r>
                </w:p>
              </w:tc>
              <w:tc>
                <w:tcPr>
                  <w:tcW w:w="594" w:type="pct"/>
                  <w:gridSpan w:val="4"/>
                  <w:vAlign w:val="center"/>
                </w:tcPr>
                <w:p w14:paraId="10950285">
                  <w:pPr>
                    <w:pStyle w:val="3488"/>
                    <w:spacing w:before="165" w:line="221" w:lineRule="auto"/>
                    <w:jc w:val="center"/>
                    <w:rPr>
                      <w:color w:val="auto"/>
                      <w:sz w:val="21"/>
                      <w:szCs w:val="21"/>
                    </w:rPr>
                  </w:pPr>
                  <w:r>
                    <w:rPr>
                      <w:color w:val="auto"/>
                      <w:spacing w:val="-2"/>
                      <w:sz w:val="21"/>
                      <w:szCs w:val="21"/>
                    </w:rPr>
                    <w:t>第二次</w:t>
                  </w:r>
                </w:p>
              </w:tc>
              <w:tc>
                <w:tcPr>
                  <w:tcW w:w="367" w:type="pct"/>
                  <w:vAlign w:val="center"/>
                </w:tcPr>
                <w:p w14:paraId="31061831">
                  <w:pPr>
                    <w:pStyle w:val="3488"/>
                    <w:spacing w:before="165" w:line="221" w:lineRule="auto"/>
                    <w:jc w:val="center"/>
                    <w:rPr>
                      <w:color w:val="auto"/>
                      <w:sz w:val="21"/>
                      <w:szCs w:val="21"/>
                    </w:rPr>
                  </w:pPr>
                  <w:r>
                    <w:rPr>
                      <w:color w:val="auto"/>
                      <w:spacing w:val="-2"/>
                      <w:sz w:val="21"/>
                      <w:szCs w:val="21"/>
                    </w:rPr>
                    <w:t>第三次</w:t>
                  </w:r>
                </w:p>
              </w:tc>
              <w:tc>
                <w:tcPr>
                  <w:tcW w:w="367" w:type="pct"/>
                  <w:vAlign w:val="center"/>
                </w:tcPr>
                <w:p w14:paraId="6D706403">
                  <w:pPr>
                    <w:pStyle w:val="3488"/>
                    <w:spacing w:before="165" w:line="221" w:lineRule="auto"/>
                    <w:jc w:val="center"/>
                    <w:rPr>
                      <w:color w:val="auto"/>
                      <w:sz w:val="21"/>
                      <w:szCs w:val="21"/>
                    </w:rPr>
                  </w:pPr>
                  <w:r>
                    <w:rPr>
                      <w:color w:val="auto"/>
                      <w:spacing w:val="-2"/>
                      <w:sz w:val="21"/>
                      <w:szCs w:val="21"/>
                    </w:rPr>
                    <w:t>第一次</w:t>
                  </w:r>
                </w:p>
              </w:tc>
              <w:tc>
                <w:tcPr>
                  <w:tcW w:w="367" w:type="pct"/>
                  <w:vAlign w:val="center"/>
                </w:tcPr>
                <w:p w14:paraId="5F74AF48">
                  <w:pPr>
                    <w:pStyle w:val="3488"/>
                    <w:spacing w:before="165" w:line="221" w:lineRule="auto"/>
                    <w:jc w:val="center"/>
                    <w:rPr>
                      <w:color w:val="auto"/>
                      <w:sz w:val="21"/>
                      <w:szCs w:val="21"/>
                    </w:rPr>
                  </w:pPr>
                  <w:r>
                    <w:rPr>
                      <w:color w:val="auto"/>
                      <w:spacing w:val="-2"/>
                      <w:sz w:val="21"/>
                      <w:szCs w:val="21"/>
                    </w:rPr>
                    <w:t>第二次</w:t>
                  </w:r>
                </w:p>
              </w:tc>
              <w:tc>
                <w:tcPr>
                  <w:tcW w:w="367" w:type="pct"/>
                  <w:vAlign w:val="center"/>
                </w:tcPr>
                <w:p w14:paraId="0C08F4CD">
                  <w:pPr>
                    <w:pStyle w:val="3488"/>
                    <w:spacing w:before="165" w:line="221" w:lineRule="auto"/>
                    <w:jc w:val="center"/>
                    <w:rPr>
                      <w:color w:val="auto"/>
                      <w:sz w:val="21"/>
                      <w:szCs w:val="21"/>
                    </w:rPr>
                  </w:pPr>
                  <w:r>
                    <w:rPr>
                      <w:color w:val="auto"/>
                      <w:spacing w:val="-2"/>
                      <w:sz w:val="21"/>
                      <w:szCs w:val="21"/>
                    </w:rPr>
                    <w:t>第三次</w:t>
                  </w:r>
                </w:p>
              </w:tc>
            </w:tr>
            <w:tr w14:paraId="53C6A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4A89FEC5">
                  <w:pPr>
                    <w:pStyle w:val="3488"/>
                    <w:spacing w:before="167" w:line="221" w:lineRule="auto"/>
                    <w:jc w:val="center"/>
                    <w:rPr>
                      <w:color w:val="auto"/>
                      <w:sz w:val="21"/>
                      <w:szCs w:val="21"/>
                    </w:rPr>
                  </w:pPr>
                  <w:r>
                    <w:rPr>
                      <w:color w:val="auto"/>
                      <w:spacing w:val="-1"/>
                      <w:sz w:val="21"/>
                      <w:szCs w:val="21"/>
                    </w:rPr>
                    <w:t>排气筒高度</w:t>
                  </w:r>
                </w:p>
              </w:tc>
              <w:tc>
                <w:tcPr>
                  <w:tcW w:w="254" w:type="pct"/>
                  <w:vAlign w:val="center"/>
                </w:tcPr>
                <w:p w14:paraId="43442552">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4B7626FD">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0EDF3618">
                  <w:pPr>
                    <w:spacing w:before="195" w:line="234" w:lineRule="auto"/>
                    <w:jc w:val="center"/>
                    <w:rPr>
                      <w:rFonts w:eastAsia="Times New Roman"/>
                      <w:color w:val="auto"/>
                      <w:szCs w:val="21"/>
                    </w:rPr>
                  </w:pPr>
                  <w:r>
                    <w:rPr>
                      <w:rFonts w:eastAsia="Times New Roman"/>
                      <w:color w:val="auto"/>
                      <w:spacing w:val="-6"/>
                      <w:szCs w:val="21"/>
                    </w:rPr>
                    <w:t>15</w:t>
                  </w:r>
                </w:p>
              </w:tc>
            </w:tr>
            <w:tr w14:paraId="2F247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013CF4EC">
                  <w:pPr>
                    <w:pStyle w:val="3488"/>
                    <w:spacing w:before="143" w:line="209" w:lineRule="auto"/>
                    <w:jc w:val="center"/>
                    <w:rPr>
                      <w:color w:val="auto"/>
                      <w:sz w:val="21"/>
                      <w:szCs w:val="21"/>
                    </w:rPr>
                  </w:pPr>
                  <w:r>
                    <w:rPr>
                      <w:color w:val="auto"/>
                      <w:spacing w:val="52"/>
                      <w:sz w:val="21"/>
                      <w:szCs w:val="21"/>
                    </w:rPr>
                    <w:t>挥发性有机物</w:t>
                  </w:r>
                </w:p>
              </w:tc>
              <w:tc>
                <w:tcPr>
                  <w:tcW w:w="662" w:type="pct"/>
                  <w:vAlign w:val="center"/>
                </w:tcPr>
                <w:p w14:paraId="33F5FEFD">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09E4DA41">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40BF74A3">
                  <w:pPr>
                    <w:spacing w:before="196" w:line="233" w:lineRule="auto"/>
                    <w:jc w:val="center"/>
                    <w:rPr>
                      <w:rFonts w:eastAsia="Times New Roman"/>
                      <w:color w:val="auto"/>
                      <w:szCs w:val="21"/>
                    </w:rPr>
                  </w:pPr>
                  <w:r>
                    <w:rPr>
                      <w:rFonts w:eastAsia="Times New Roman"/>
                      <w:color w:val="auto"/>
                      <w:spacing w:val="-1"/>
                      <w:szCs w:val="21"/>
                    </w:rPr>
                    <w:t>0.898</w:t>
                  </w:r>
                </w:p>
              </w:tc>
              <w:tc>
                <w:tcPr>
                  <w:tcW w:w="594" w:type="pct"/>
                  <w:gridSpan w:val="4"/>
                  <w:vAlign w:val="center"/>
                </w:tcPr>
                <w:p w14:paraId="15C83394">
                  <w:pPr>
                    <w:spacing w:before="196" w:line="233" w:lineRule="auto"/>
                    <w:jc w:val="center"/>
                    <w:rPr>
                      <w:rFonts w:eastAsia="Times New Roman"/>
                      <w:color w:val="auto"/>
                      <w:szCs w:val="21"/>
                    </w:rPr>
                  </w:pPr>
                  <w:r>
                    <w:rPr>
                      <w:rFonts w:eastAsia="Times New Roman"/>
                      <w:color w:val="auto"/>
                      <w:spacing w:val="-1"/>
                      <w:szCs w:val="21"/>
                    </w:rPr>
                    <w:t>0.881</w:t>
                  </w:r>
                </w:p>
              </w:tc>
              <w:tc>
                <w:tcPr>
                  <w:tcW w:w="367" w:type="pct"/>
                  <w:vAlign w:val="center"/>
                </w:tcPr>
                <w:p w14:paraId="5E5175B8">
                  <w:pPr>
                    <w:spacing w:before="196" w:line="233" w:lineRule="auto"/>
                    <w:jc w:val="center"/>
                    <w:rPr>
                      <w:rFonts w:eastAsia="Times New Roman"/>
                      <w:color w:val="auto"/>
                      <w:szCs w:val="21"/>
                    </w:rPr>
                  </w:pPr>
                  <w:r>
                    <w:rPr>
                      <w:rFonts w:eastAsia="Times New Roman"/>
                      <w:color w:val="auto"/>
                      <w:spacing w:val="-1"/>
                      <w:szCs w:val="21"/>
                    </w:rPr>
                    <w:t>0.725</w:t>
                  </w:r>
                </w:p>
              </w:tc>
              <w:tc>
                <w:tcPr>
                  <w:tcW w:w="367" w:type="pct"/>
                  <w:vAlign w:val="center"/>
                </w:tcPr>
                <w:p w14:paraId="0003F448">
                  <w:pPr>
                    <w:spacing w:before="196" w:line="233" w:lineRule="auto"/>
                    <w:jc w:val="center"/>
                    <w:rPr>
                      <w:rFonts w:eastAsia="Times New Roman"/>
                      <w:color w:val="auto"/>
                      <w:szCs w:val="21"/>
                    </w:rPr>
                  </w:pPr>
                  <w:r>
                    <w:rPr>
                      <w:rFonts w:eastAsia="Times New Roman"/>
                      <w:color w:val="auto"/>
                      <w:spacing w:val="-1"/>
                      <w:szCs w:val="21"/>
                    </w:rPr>
                    <w:t>0.132</w:t>
                  </w:r>
                </w:p>
              </w:tc>
              <w:tc>
                <w:tcPr>
                  <w:tcW w:w="367" w:type="pct"/>
                  <w:vAlign w:val="center"/>
                </w:tcPr>
                <w:p w14:paraId="59D60AB8">
                  <w:pPr>
                    <w:spacing w:before="196" w:line="233" w:lineRule="auto"/>
                    <w:jc w:val="center"/>
                    <w:rPr>
                      <w:rFonts w:eastAsia="Times New Roman"/>
                      <w:color w:val="auto"/>
                      <w:szCs w:val="21"/>
                    </w:rPr>
                  </w:pPr>
                  <w:r>
                    <w:rPr>
                      <w:rFonts w:eastAsia="Times New Roman"/>
                      <w:color w:val="auto"/>
                      <w:spacing w:val="-1"/>
                      <w:szCs w:val="21"/>
                    </w:rPr>
                    <w:t>0.091</w:t>
                  </w:r>
                </w:p>
              </w:tc>
              <w:tc>
                <w:tcPr>
                  <w:tcW w:w="367" w:type="pct"/>
                  <w:vAlign w:val="center"/>
                </w:tcPr>
                <w:p w14:paraId="74F09B59">
                  <w:pPr>
                    <w:spacing w:before="196" w:line="233" w:lineRule="auto"/>
                    <w:jc w:val="center"/>
                    <w:rPr>
                      <w:rFonts w:eastAsia="Times New Roman"/>
                      <w:color w:val="auto"/>
                      <w:szCs w:val="21"/>
                    </w:rPr>
                  </w:pPr>
                  <w:r>
                    <w:rPr>
                      <w:rFonts w:eastAsia="Times New Roman"/>
                      <w:color w:val="auto"/>
                      <w:spacing w:val="-1"/>
                      <w:szCs w:val="21"/>
                    </w:rPr>
                    <w:t>0.114</w:t>
                  </w:r>
                </w:p>
              </w:tc>
            </w:tr>
            <w:tr w14:paraId="60F95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3419E6A8">
                  <w:pPr>
                    <w:jc w:val="center"/>
                    <w:rPr>
                      <w:rFonts w:ascii="Arial"/>
                      <w:color w:val="auto"/>
                    </w:rPr>
                  </w:pPr>
                </w:p>
              </w:tc>
              <w:tc>
                <w:tcPr>
                  <w:tcW w:w="662" w:type="pct"/>
                  <w:vAlign w:val="center"/>
                </w:tcPr>
                <w:p w14:paraId="7B3158C2">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05B85F19">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189830E6">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EAA3D4F">
                  <w:pPr>
                    <w:spacing w:before="196" w:line="234" w:lineRule="auto"/>
                    <w:jc w:val="center"/>
                    <w:rPr>
                      <w:rFonts w:eastAsia="Times New Roman"/>
                      <w:color w:val="auto"/>
                      <w:szCs w:val="21"/>
                    </w:rPr>
                  </w:pPr>
                  <w:r>
                    <w:rPr>
                      <w:rFonts w:eastAsia="Times New Roman"/>
                      <w:color w:val="auto"/>
                      <w:spacing w:val="-1"/>
                      <w:szCs w:val="21"/>
                    </w:rPr>
                    <w:t>40</w:t>
                  </w:r>
                </w:p>
              </w:tc>
            </w:tr>
            <w:tr w14:paraId="4924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58B2F81E">
                  <w:pPr>
                    <w:jc w:val="center"/>
                    <w:rPr>
                      <w:rFonts w:ascii="Arial"/>
                      <w:color w:val="auto"/>
                    </w:rPr>
                  </w:pPr>
                </w:p>
              </w:tc>
              <w:tc>
                <w:tcPr>
                  <w:tcW w:w="662" w:type="pct"/>
                  <w:vAlign w:val="center"/>
                </w:tcPr>
                <w:p w14:paraId="5596FEE5">
                  <w:pPr>
                    <w:pStyle w:val="3488"/>
                    <w:spacing w:before="167" w:line="221" w:lineRule="auto"/>
                    <w:jc w:val="center"/>
                    <w:rPr>
                      <w:color w:val="auto"/>
                      <w:sz w:val="21"/>
                      <w:szCs w:val="21"/>
                    </w:rPr>
                  </w:pPr>
                  <w:r>
                    <w:rPr>
                      <w:color w:val="auto"/>
                      <w:spacing w:val="-2"/>
                      <w:sz w:val="21"/>
                      <w:szCs w:val="21"/>
                    </w:rPr>
                    <w:t>排放速率</w:t>
                  </w:r>
                </w:p>
              </w:tc>
              <w:tc>
                <w:tcPr>
                  <w:tcW w:w="254" w:type="pct"/>
                  <w:vAlign w:val="center"/>
                </w:tcPr>
                <w:p w14:paraId="29565B49">
                  <w:pPr>
                    <w:spacing w:before="195"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4802BD73">
                  <w:pPr>
                    <w:spacing w:before="175" w:line="254" w:lineRule="exact"/>
                    <w:jc w:val="center"/>
                    <w:rPr>
                      <w:rFonts w:eastAsia="Times New Roman"/>
                      <w:color w:val="auto"/>
                      <w:sz w:val="13"/>
                      <w:szCs w:val="13"/>
                    </w:rPr>
                  </w:pPr>
                  <w:r>
                    <w:rPr>
                      <w:rFonts w:eastAsia="Times New Roman"/>
                      <w:color w:val="auto"/>
                      <w:spacing w:val="-2"/>
                      <w:szCs w:val="21"/>
                    </w:rPr>
                    <w:t>1.88×10</w:t>
                  </w:r>
                  <w:r>
                    <w:rPr>
                      <w:rFonts w:eastAsia="Times New Roman"/>
                      <w:color w:val="auto"/>
                      <w:spacing w:val="-2"/>
                      <w:position w:val="6"/>
                      <w:sz w:val="13"/>
                      <w:szCs w:val="13"/>
                    </w:rPr>
                    <w:t>-2</w:t>
                  </w:r>
                </w:p>
              </w:tc>
              <w:tc>
                <w:tcPr>
                  <w:tcW w:w="594" w:type="pct"/>
                  <w:gridSpan w:val="4"/>
                  <w:vAlign w:val="center"/>
                </w:tcPr>
                <w:p w14:paraId="21CCC4CC">
                  <w:pPr>
                    <w:spacing w:before="175" w:line="254" w:lineRule="exact"/>
                    <w:jc w:val="center"/>
                    <w:rPr>
                      <w:rFonts w:eastAsia="Times New Roman"/>
                      <w:color w:val="auto"/>
                      <w:sz w:val="13"/>
                      <w:szCs w:val="13"/>
                    </w:rPr>
                  </w:pPr>
                  <w:r>
                    <w:rPr>
                      <w:rFonts w:eastAsia="Times New Roman"/>
                      <w:color w:val="auto"/>
                      <w:spacing w:val="-2"/>
                      <w:szCs w:val="21"/>
                    </w:rPr>
                    <w:t>1.85×10</w:t>
                  </w:r>
                  <w:r>
                    <w:rPr>
                      <w:rFonts w:eastAsia="Times New Roman"/>
                      <w:color w:val="auto"/>
                      <w:spacing w:val="-2"/>
                      <w:position w:val="6"/>
                      <w:sz w:val="13"/>
                      <w:szCs w:val="13"/>
                    </w:rPr>
                    <w:t>-2</w:t>
                  </w:r>
                </w:p>
              </w:tc>
              <w:tc>
                <w:tcPr>
                  <w:tcW w:w="367" w:type="pct"/>
                  <w:vAlign w:val="center"/>
                </w:tcPr>
                <w:p w14:paraId="38A67407">
                  <w:pPr>
                    <w:spacing w:before="175" w:line="254" w:lineRule="exact"/>
                    <w:jc w:val="center"/>
                    <w:rPr>
                      <w:rFonts w:eastAsia="Times New Roman"/>
                      <w:color w:val="auto"/>
                      <w:sz w:val="13"/>
                      <w:szCs w:val="13"/>
                    </w:rPr>
                  </w:pPr>
                  <w:r>
                    <w:rPr>
                      <w:rFonts w:eastAsia="Times New Roman"/>
                      <w:color w:val="auto"/>
                      <w:spacing w:val="-2"/>
                      <w:szCs w:val="21"/>
                    </w:rPr>
                    <w:t>1.54×10</w:t>
                  </w:r>
                  <w:r>
                    <w:rPr>
                      <w:rFonts w:eastAsia="Times New Roman"/>
                      <w:color w:val="auto"/>
                      <w:spacing w:val="-2"/>
                      <w:position w:val="6"/>
                      <w:sz w:val="13"/>
                      <w:szCs w:val="13"/>
                    </w:rPr>
                    <w:t>-2</w:t>
                  </w:r>
                </w:p>
              </w:tc>
              <w:tc>
                <w:tcPr>
                  <w:tcW w:w="367" w:type="pct"/>
                  <w:vAlign w:val="center"/>
                </w:tcPr>
                <w:p w14:paraId="3AD60F2F">
                  <w:pPr>
                    <w:spacing w:before="175" w:line="254" w:lineRule="exact"/>
                    <w:jc w:val="center"/>
                    <w:rPr>
                      <w:rFonts w:eastAsia="Times New Roman"/>
                      <w:color w:val="auto"/>
                      <w:sz w:val="13"/>
                      <w:szCs w:val="13"/>
                    </w:rPr>
                  </w:pPr>
                  <w:r>
                    <w:rPr>
                      <w:rFonts w:eastAsia="Times New Roman"/>
                      <w:color w:val="auto"/>
                      <w:szCs w:val="21"/>
                    </w:rPr>
                    <w:t>2.80×10</w:t>
                  </w:r>
                  <w:r>
                    <w:rPr>
                      <w:rFonts w:eastAsia="Times New Roman"/>
                      <w:color w:val="auto"/>
                      <w:position w:val="6"/>
                      <w:sz w:val="13"/>
                      <w:szCs w:val="13"/>
                    </w:rPr>
                    <w:t>-3</w:t>
                  </w:r>
                </w:p>
              </w:tc>
              <w:tc>
                <w:tcPr>
                  <w:tcW w:w="367" w:type="pct"/>
                  <w:vAlign w:val="center"/>
                </w:tcPr>
                <w:p w14:paraId="6952424A">
                  <w:pPr>
                    <w:spacing w:before="175" w:line="254" w:lineRule="exact"/>
                    <w:jc w:val="center"/>
                    <w:rPr>
                      <w:rFonts w:eastAsia="Times New Roman"/>
                      <w:color w:val="auto"/>
                      <w:sz w:val="13"/>
                      <w:szCs w:val="13"/>
                    </w:rPr>
                  </w:pPr>
                  <w:r>
                    <w:rPr>
                      <w:rFonts w:eastAsia="Times New Roman"/>
                      <w:color w:val="auto"/>
                      <w:spacing w:val="-2"/>
                      <w:szCs w:val="21"/>
                    </w:rPr>
                    <w:t>1.94×10</w:t>
                  </w:r>
                  <w:r>
                    <w:rPr>
                      <w:rFonts w:eastAsia="Times New Roman"/>
                      <w:color w:val="auto"/>
                      <w:spacing w:val="-2"/>
                      <w:position w:val="6"/>
                      <w:sz w:val="13"/>
                      <w:szCs w:val="13"/>
                    </w:rPr>
                    <w:t>-3</w:t>
                  </w:r>
                </w:p>
              </w:tc>
              <w:tc>
                <w:tcPr>
                  <w:tcW w:w="367" w:type="pct"/>
                  <w:vAlign w:val="center"/>
                </w:tcPr>
                <w:p w14:paraId="0C318F4A">
                  <w:pPr>
                    <w:spacing w:before="175" w:line="254" w:lineRule="exact"/>
                    <w:jc w:val="center"/>
                    <w:rPr>
                      <w:rFonts w:eastAsia="Times New Roman"/>
                      <w:color w:val="auto"/>
                      <w:sz w:val="13"/>
                      <w:szCs w:val="13"/>
                    </w:rPr>
                  </w:pPr>
                  <w:r>
                    <w:rPr>
                      <w:rFonts w:eastAsia="Times New Roman"/>
                      <w:color w:val="auto"/>
                      <w:szCs w:val="21"/>
                    </w:rPr>
                    <w:t>2.42×10</w:t>
                  </w:r>
                  <w:r>
                    <w:rPr>
                      <w:rFonts w:eastAsia="Times New Roman"/>
                      <w:color w:val="auto"/>
                      <w:position w:val="6"/>
                      <w:sz w:val="13"/>
                      <w:szCs w:val="13"/>
                    </w:rPr>
                    <w:t>-3</w:t>
                  </w:r>
                </w:p>
              </w:tc>
            </w:tr>
            <w:tr w14:paraId="09450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5F51BC95">
                  <w:pPr>
                    <w:jc w:val="center"/>
                    <w:rPr>
                      <w:rFonts w:ascii="Arial"/>
                      <w:color w:val="auto"/>
                    </w:rPr>
                  </w:pPr>
                </w:p>
              </w:tc>
              <w:tc>
                <w:tcPr>
                  <w:tcW w:w="662" w:type="pct"/>
                  <w:vAlign w:val="center"/>
                </w:tcPr>
                <w:p w14:paraId="1556B7B0">
                  <w:pPr>
                    <w:pStyle w:val="3488"/>
                    <w:spacing w:before="169" w:line="221" w:lineRule="auto"/>
                    <w:jc w:val="center"/>
                    <w:rPr>
                      <w:color w:val="auto"/>
                      <w:sz w:val="21"/>
                      <w:szCs w:val="21"/>
                    </w:rPr>
                  </w:pPr>
                  <w:r>
                    <w:rPr>
                      <w:color w:val="auto"/>
                      <w:spacing w:val="-1"/>
                      <w:sz w:val="21"/>
                      <w:szCs w:val="21"/>
                    </w:rPr>
                    <w:t>排放速率限值</w:t>
                  </w:r>
                </w:p>
              </w:tc>
              <w:tc>
                <w:tcPr>
                  <w:tcW w:w="254" w:type="pct"/>
                  <w:vAlign w:val="center"/>
                </w:tcPr>
                <w:p w14:paraId="68EB44AA">
                  <w:pPr>
                    <w:spacing w:before="197"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327D7DBA">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BC29CE4">
                  <w:pPr>
                    <w:spacing w:before="198" w:line="233" w:lineRule="auto"/>
                    <w:jc w:val="center"/>
                    <w:rPr>
                      <w:rFonts w:eastAsia="Times New Roman"/>
                      <w:color w:val="auto"/>
                      <w:szCs w:val="21"/>
                    </w:rPr>
                  </w:pPr>
                  <w:r>
                    <w:rPr>
                      <w:rFonts w:eastAsia="Times New Roman"/>
                      <w:color w:val="auto"/>
                      <w:spacing w:val="-1"/>
                      <w:szCs w:val="21"/>
                    </w:rPr>
                    <w:t>2.9</w:t>
                  </w:r>
                </w:p>
              </w:tc>
            </w:tr>
            <w:tr w14:paraId="0C1D4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24381D96">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0B473E76">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66ACA165">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2022.01.12</w:t>
                  </w:r>
                </w:p>
              </w:tc>
              <w:tc>
                <w:tcPr>
                  <w:tcW w:w="1102" w:type="pct"/>
                  <w:gridSpan w:val="3"/>
                  <w:vAlign w:val="center"/>
                </w:tcPr>
                <w:p w14:paraId="71A0422F">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2022.01.12</w:t>
                  </w:r>
                </w:p>
              </w:tc>
            </w:tr>
            <w:tr w14:paraId="6641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0EFAE459">
                  <w:pPr>
                    <w:jc w:val="center"/>
                    <w:rPr>
                      <w:rFonts w:ascii="Arial"/>
                      <w:color w:val="auto"/>
                    </w:rPr>
                  </w:pPr>
                </w:p>
              </w:tc>
              <w:tc>
                <w:tcPr>
                  <w:tcW w:w="254" w:type="pct"/>
                  <w:vMerge w:val="continue"/>
                  <w:tcBorders>
                    <w:top w:val="nil"/>
                    <w:bottom w:val="nil"/>
                  </w:tcBorders>
                  <w:vAlign w:val="center"/>
                </w:tcPr>
                <w:p w14:paraId="7C843136">
                  <w:pPr>
                    <w:jc w:val="center"/>
                    <w:rPr>
                      <w:rFonts w:ascii="Arial"/>
                      <w:color w:val="auto"/>
                    </w:rPr>
                  </w:pPr>
                </w:p>
              </w:tc>
              <w:tc>
                <w:tcPr>
                  <w:tcW w:w="2124" w:type="pct"/>
                  <w:gridSpan w:val="7"/>
                  <w:vAlign w:val="center"/>
                </w:tcPr>
                <w:p w14:paraId="7290818B">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排气筒进口</w:t>
                  </w:r>
                </w:p>
              </w:tc>
              <w:tc>
                <w:tcPr>
                  <w:tcW w:w="1102" w:type="pct"/>
                  <w:gridSpan w:val="3"/>
                  <w:vAlign w:val="center"/>
                </w:tcPr>
                <w:p w14:paraId="08B86E9A">
                  <w:pPr>
                    <w:pStyle w:val="3488"/>
                    <w:spacing w:before="164"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6#</w:t>
                  </w:r>
                  <w:r>
                    <w:rPr>
                      <w:color w:val="auto"/>
                      <w:spacing w:val="-1"/>
                      <w:sz w:val="21"/>
                      <w:szCs w:val="21"/>
                      <w:lang w:eastAsia="zh-CN"/>
                    </w:rPr>
                    <w:t>排气筒出口</w:t>
                  </w:r>
                </w:p>
              </w:tc>
            </w:tr>
            <w:tr w14:paraId="5A755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518" w:type="pct"/>
                  <w:gridSpan w:val="2"/>
                  <w:vMerge w:val="continue"/>
                  <w:tcBorders>
                    <w:top w:val="nil"/>
                  </w:tcBorders>
                  <w:vAlign w:val="center"/>
                </w:tcPr>
                <w:p w14:paraId="5EAFC139">
                  <w:pPr>
                    <w:jc w:val="center"/>
                    <w:rPr>
                      <w:rFonts w:ascii="Arial"/>
                      <w:color w:val="auto"/>
                    </w:rPr>
                  </w:pPr>
                </w:p>
              </w:tc>
              <w:tc>
                <w:tcPr>
                  <w:tcW w:w="254" w:type="pct"/>
                  <w:vMerge w:val="continue"/>
                  <w:tcBorders>
                    <w:top w:val="nil"/>
                  </w:tcBorders>
                  <w:vAlign w:val="center"/>
                </w:tcPr>
                <w:p w14:paraId="4F0CCAAD">
                  <w:pPr>
                    <w:jc w:val="center"/>
                    <w:rPr>
                      <w:rFonts w:ascii="Arial"/>
                      <w:color w:val="auto"/>
                    </w:rPr>
                  </w:pPr>
                </w:p>
              </w:tc>
              <w:tc>
                <w:tcPr>
                  <w:tcW w:w="1162" w:type="pct"/>
                  <w:gridSpan w:val="2"/>
                  <w:vAlign w:val="center"/>
                </w:tcPr>
                <w:p w14:paraId="0C83C711">
                  <w:pPr>
                    <w:pStyle w:val="3488"/>
                    <w:spacing w:before="164" w:line="221" w:lineRule="auto"/>
                    <w:jc w:val="center"/>
                    <w:rPr>
                      <w:color w:val="auto"/>
                      <w:sz w:val="21"/>
                      <w:szCs w:val="21"/>
                    </w:rPr>
                  </w:pPr>
                  <w:r>
                    <w:rPr>
                      <w:color w:val="auto"/>
                      <w:spacing w:val="-2"/>
                      <w:sz w:val="21"/>
                      <w:szCs w:val="21"/>
                    </w:rPr>
                    <w:t>第一次</w:t>
                  </w:r>
                </w:p>
              </w:tc>
              <w:tc>
                <w:tcPr>
                  <w:tcW w:w="594" w:type="pct"/>
                  <w:gridSpan w:val="4"/>
                  <w:vAlign w:val="center"/>
                </w:tcPr>
                <w:p w14:paraId="41503498">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48CC38BD">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4880B6E5">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4B2D9F5F">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366B035C">
                  <w:pPr>
                    <w:pStyle w:val="3488"/>
                    <w:spacing w:before="164" w:line="221" w:lineRule="auto"/>
                    <w:jc w:val="center"/>
                    <w:rPr>
                      <w:color w:val="auto"/>
                      <w:sz w:val="21"/>
                      <w:szCs w:val="21"/>
                    </w:rPr>
                  </w:pPr>
                  <w:r>
                    <w:rPr>
                      <w:color w:val="auto"/>
                      <w:spacing w:val="-2"/>
                      <w:sz w:val="21"/>
                      <w:szCs w:val="21"/>
                    </w:rPr>
                    <w:t>第三次</w:t>
                  </w:r>
                </w:p>
              </w:tc>
            </w:tr>
            <w:tr w14:paraId="45892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16F91FBA">
                  <w:pPr>
                    <w:pStyle w:val="3488"/>
                    <w:spacing w:before="168" w:line="221" w:lineRule="auto"/>
                    <w:jc w:val="center"/>
                    <w:rPr>
                      <w:color w:val="auto"/>
                      <w:sz w:val="21"/>
                      <w:szCs w:val="21"/>
                    </w:rPr>
                  </w:pPr>
                  <w:r>
                    <w:rPr>
                      <w:color w:val="auto"/>
                      <w:spacing w:val="-1"/>
                      <w:sz w:val="21"/>
                      <w:szCs w:val="21"/>
                    </w:rPr>
                    <w:t>排气筒高度</w:t>
                  </w:r>
                </w:p>
              </w:tc>
              <w:tc>
                <w:tcPr>
                  <w:tcW w:w="254" w:type="pct"/>
                  <w:vAlign w:val="center"/>
                </w:tcPr>
                <w:p w14:paraId="4BB8D0D5">
                  <w:pPr>
                    <w:spacing w:before="196"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441C63D9">
                  <w:pPr>
                    <w:spacing w:before="287" w:line="101"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011EE057">
                  <w:pPr>
                    <w:spacing w:before="195" w:line="234" w:lineRule="auto"/>
                    <w:jc w:val="center"/>
                    <w:rPr>
                      <w:rFonts w:eastAsia="Times New Roman"/>
                      <w:color w:val="auto"/>
                      <w:szCs w:val="21"/>
                    </w:rPr>
                  </w:pPr>
                  <w:r>
                    <w:rPr>
                      <w:rFonts w:eastAsia="Times New Roman"/>
                      <w:color w:val="auto"/>
                      <w:spacing w:val="-6"/>
                      <w:szCs w:val="21"/>
                    </w:rPr>
                    <w:t>15</w:t>
                  </w:r>
                </w:p>
              </w:tc>
            </w:tr>
            <w:tr w14:paraId="7A50B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tcBorders>
                    <w:bottom w:val="nil"/>
                  </w:tcBorders>
                  <w:vAlign w:val="center"/>
                </w:tcPr>
                <w:p w14:paraId="40DDC15D">
                  <w:pPr>
                    <w:pStyle w:val="3488"/>
                    <w:spacing w:before="143" w:line="209" w:lineRule="auto"/>
                    <w:jc w:val="center"/>
                    <w:rPr>
                      <w:color w:val="auto"/>
                      <w:sz w:val="21"/>
                      <w:szCs w:val="21"/>
                    </w:rPr>
                  </w:pPr>
                  <w:r>
                    <w:rPr>
                      <w:color w:val="auto"/>
                      <w:spacing w:val="52"/>
                      <w:sz w:val="21"/>
                      <w:szCs w:val="21"/>
                    </w:rPr>
                    <w:t>挥发性有机物</w:t>
                  </w:r>
                </w:p>
              </w:tc>
              <w:tc>
                <w:tcPr>
                  <w:tcW w:w="662" w:type="pct"/>
                  <w:vAlign w:val="center"/>
                </w:tcPr>
                <w:p w14:paraId="0DFDC5EE">
                  <w:pPr>
                    <w:pStyle w:val="3488"/>
                    <w:spacing w:before="167" w:line="221" w:lineRule="auto"/>
                    <w:jc w:val="center"/>
                    <w:rPr>
                      <w:color w:val="auto"/>
                      <w:sz w:val="21"/>
                      <w:szCs w:val="21"/>
                    </w:rPr>
                  </w:pPr>
                  <w:r>
                    <w:rPr>
                      <w:color w:val="auto"/>
                      <w:spacing w:val="-2"/>
                      <w:sz w:val="21"/>
                      <w:szCs w:val="21"/>
                    </w:rPr>
                    <w:t>排放浓度</w:t>
                  </w:r>
                </w:p>
              </w:tc>
              <w:tc>
                <w:tcPr>
                  <w:tcW w:w="254" w:type="pct"/>
                  <w:vAlign w:val="center"/>
                </w:tcPr>
                <w:p w14:paraId="5D68832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021E9CBC">
                  <w:pPr>
                    <w:spacing w:before="197" w:line="233" w:lineRule="auto"/>
                    <w:jc w:val="center"/>
                    <w:rPr>
                      <w:rFonts w:eastAsia="Times New Roman"/>
                      <w:color w:val="auto"/>
                      <w:szCs w:val="21"/>
                    </w:rPr>
                  </w:pPr>
                  <w:r>
                    <w:rPr>
                      <w:rFonts w:eastAsia="Times New Roman"/>
                      <w:color w:val="auto"/>
                      <w:spacing w:val="-5"/>
                      <w:szCs w:val="21"/>
                    </w:rPr>
                    <w:t>1.15</w:t>
                  </w:r>
                </w:p>
              </w:tc>
              <w:tc>
                <w:tcPr>
                  <w:tcW w:w="594" w:type="pct"/>
                  <w:gridSpan w:val="4"/>
                  <w:vAlign w:val="center"/>
                </w:tcPr>
                <w:p w14:paraId="70E0E67D">
                  <w:pPr>
                    <w:spacing w:before="197" w:line="233" w:lineRule="auto"/>
                    <w:jc w:val="center"/>
                    <w:rPr>
                      <w:rFonts w:eastAsia="Times New Roman"/>
                      <w:color w:val="auto"/>
                      <w:szCs w:val="21"/>
                    </w:rPr>
                  </w:pPr>
                  <w:r>
                    <w:rPr>
                      <w:rFonts w:eastAsia="Times New Roman"/>
                      <w:color w:val="auto"/>
                      <w:spacing w:val="-5"/>
                      <w:szCs w:val="21"/>
                    </w:rPr>
                    <w:t>1.40</w:t>
                  </w:r>
                </w:p>
              </w:tc>
              <w:tc>
                <w:tcPr>
                  <w:tcW w:w="367" w:type="pct"/>
                  <w:vAlign w:val="center"/>
                </w:tcPr>
                <w:p w14:paraId="5C749E5E">
                  <w:pPr>
                    <w:spacing w:before="197" w:line="233" w:lineRule="auto"/>
                    <w:jc w:val="center"/>
                    <w:rPr>
                      <w:rFonts w:eastAsia="Times New Roman"/>
                      <w:color w:val="auto"/>
                      <w:szCs w:val="21"/>
                    </w:rPr>
                  </w:pPr>
                  <w:r>
                    <w:rPr>
                      <w:rFonts w:eastAsia="Times New Roman"/>
                      <w:color w:val="auto"/>
                      <w:spacing w:val="-5"/>
                      <w:szCs w:val="21"/>
                    </w:rPr>
                    <w:t>1.00</w:t>
                  </w:r>
                </w:p>
              </w:tc>
              <w:tc>
                <w:tcPr>
                  <w:tcW w:w="367" w:type="pct"/>
                  <w:vAlign w:val="center"/>
                </w:tcPr>
                <w:p w14:paraId="32D556A8">
                  <w:pPr>
                    <w:spacing w:before="197" w:line="233" w:lineRule="auto"/>
                    <w:jc w:val="center"/>
                    <w:rPr>
                      <w:rFonts w:eastAsia="Times New Roman"/>
                      <w:color w:val="auto"/>
                      <w:szCs w:val="21"/>
                    </w:rPr>
                  </w:pPr>
                  <w:r>
                    <w:rPr>
                      <w:rFonts w:eastAsia="Times New Roman"/>
                      <w:color w:val="auto"/>
                      <w:spacing w:val="-1"/>
                      <w:szCs w:val="21"/>
                    </w:rPr>
                    <w:t>0.177</w:t>
                  </w:r>
                </w:p>
              </w:tc>
              <w:tc>
                <w:tcPr>
                  <w:tcW w:w="367" w:type="pct"/>
                  <w:vAlign w:val="center"/>
                </w:tcPr>
                <w:p w14:paraId="43743F1E">
                  <w:pPr>
                    <w:spacing w:before="197" w:line="233" w:lineRule="auto"/>
                    <w:jc w:val="center"/>
                    <w:rPr>
                      <w:rFonts w:eastAsia="Times New Roman"/>
                      <w:color w:val="auto"/>
                      <w:szCs w:val="21"/>
                    </w:rPr>
                  </w:pPr>
                  <w:r>
                    <w:rPr>
                      <w:rFonts w:eastAsia="Times New Roman"/>
                      <w:color w:val="auto"/>
                      <w:spacing w:val="-1"/>
                      <w:szCs w:val="21"/>
                    </w:rPr>
                    <w:t>0.272</w:t>
                  </w:r>
                </w:p>
              </w:tc>
              <w:tc>
                <w:tcPr>
                  <w:tcW w:w="367" w:type="pct"/>
                  <w:vAlign w:val="center"/>
                </w:tcPr>
                <w:p w14:paraId="65EBFEB3">
                  <w:pPr>
                    <w:spacing w:before="197" w:line="233" w:lineRule="auto"/>
                    <w:jc w:val="center"/>
                    <w:rPr>
                      <w:rFonts w:eastAsia="Times New Roman"/>
                      <w:color w:val="auto"/>
                      <w:szCs w:val="21"/>
                    </w:rPr>
                  </w:pPr>
                  <w:r>
                    <w:rPr>
                      <w:rFonts w:eastAsia="Times New Roman"/>
                      <w:color w:val="auto"/>
                      <w:spacing w:val="-1"/>
                      <w:szCs w:val="21"/>
                    </w:rPr>
                    <w:t>0.094</w:t>
                  </w:r>
                </w:p>
              </w:tc>
            </w:tr>
            <w:tr w14:paraId="4D923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45EA33A1">
                  <w:pPr>
                    <w:jc w:val="center"/>
                    <w:rPr>
                      <w:rFonts w:ascii="Arial"/>
                      <w:color w:val="auto"/>
                    </w:rPr>
                  </w:pPr>
                </w:p>
              </w:tc>
              <w:tc>
                <w:tcPr>
                  <w:tcW w:w="662" w:type="pct"/>
                  <w:vAlign w:val="center"/>
                </w:tcPr>
                <w:p w14:paraId="075747BE">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4AA217EB">
                  <w:pPr>
                    <w:spacing w:before="178"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6DABEEF5">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77BADA9">
                  <w:pPr>
                    <w:spacing w:before="197" w:line="234" w:lineRule="auto"/>
                    <w:jc w:val="center"/>
                    <w:rPr>
                      <w:rFonts w:eastAsia="Times New Roman"/>
                      <w:color w:val="auto"/>
                      <w:szCs w:val="21"/>
                    </w:rPr>
                  </w:pPr>
                  <w:r>
                    <w:rPr>
                      <w:rFonts w:eastAsia="Times New Roman"/>
                      <w:color w:val="auto"/>
                      <w:spacing w:val="-1"/>
                      <w:szCs w:val="21"/>
                    </w:rPr>
                    <w:t>40</w:t>
                  </w:r>
                </w:p>
              </w:tc>
            </w:tr>
            <w:tr w14:paraId="54A80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tcBorders>
                    <w:top w:val="nil"/>
                    <w:bottom w:val="nil"/>
                  </w:tcBorders>
                  <w:vAlign w:val="center"/>
                </w:tcPr>
                <w:p w14:paraId="31CE9F8A">
                  <w:pPr>
                    <w:jc w:val="center"/>
                    <w:rPr>
                      <w:rFonts w:ascii="Arial"/>
                      <w:color w:val="auto"/>
                    </w:rPr>
                  </w:pPr>
                </w:p>
              </w:tc>
              <w:tc>
                <w:tcPr>
                  <w:tcW w:w="662" w:type="pct"/>
                  <w:vAlign w:val="center"/>
                </w:tcPr>
                <w:p w14:paraId="18055BCB">
                  <w:pPr>
                    <w:pStyle w:val="3488"/>
                    <w:spacing w:before="168" w:line="221" w:lineRule="auto"/>
                    <w:jc w:val="center"/>
                    <w:rPr>
                      <w:color w:val="auto"/>
                      <w:sz w:val="21"/>
                      <w:szCs w:val="21"/>
                    </w:rPr>
                  </w:pPr>
                  <w:r>
                    <w:rPr>
                      <w:color w:val="auto"/>
                      <w:spacing w:val="-2"/>
                      <w:sz w:val="21"/>
                      <w:szCs w:val="21"/>
                    </w:rPr>
                    <w:t>排放速率</w:t>
                  </w:r>
                </w:p>
              </w:tc>
              <w:tc>
                <w:tcPr>
                  <w:tcW w:w="254" w:type="pct"/>
                  <w:vAlign w:val="center"/>
                </w:tcPr>
                <w:p w14:paraId="3B65944A">
                  <w:pPr>
                    <w:spacing w:before="196"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723753D1">
                  <w:pPr>
                    <w:spacing w:before="176" w:line="254" w:lineRule="exact"/>
                    <w:jc w:val="center"/>
                    <w:rPr>
                      <w:rFonts w:eastAsia="Times New Roman"/>
                      <w:color w:val="auto"/>
                      <w:sz w:val="13"/>
                      <w:szCs w:val="13"/>
                    </w:rPr>
                  </w:pPr>
                  <w:r>
                    <w:rPr>
                      <w:rFonts w:eastAsia="Times New Roman"/>
                      <w:color w:val="auto"/>
                      <w:szCs w:val="21"/>
                    </w:rPr>
                    <w:t>2.37×10</w:t>
                  </w:r>
                  <w:r>
                    <w:rPr>
                      <w:rFonts w:eastAsia="Times New Roman"/>
                      <w:color w:val="auto"/>
                      <w:position w:val="6"/>
                      <w:sz w:val="13"/>
                      <w:szCs w:val="13"/>
                    </w:rPr>
                    <w:t>-2</w:t>
                  </w:r>
                </w:p>
              </w:tc>
              <w:tc>
                <w:tcPr>
                  <w:tcW w:w="594" w:type="pct"/>
                  <w:gridSpan w:val="4"/>
                  <w:vAlign w:val="center"/>
                </w:tcPr>
                <w:p w14:paraId="3B6CCCC2">
                  <w:pPr>
                    <w:spacing w:before="176" w:line="254" w:lineRule="exact"/>
                    <w:jc w:val="center"/>
                    <w:rPr>
                      <w:rFonts w:eastAsia="Times New Roman"/>
                      <w:color w:val="auto"/>
                      <w:sz w:val="13"/>
                      <w:szCs w:val="13"/>
                    </w:rPr>
                  </w:pPr>
                  <w:r>
                    <w:rPr>
                      <w:rFonts w:eastAsia="Times New Roman"/>
                      <w:color w:val="auto"/>
                      <w:szCs w:val="21"/>
                    </w:rPr>
                    <w:t>2.83×10</w:t>
                  </w:r>
                  <w:r>
                    <w:rPr>
                      <w:rFonts w:eastAsia="Times New Roman"/>
                      <w:color w:val="auto"/>
                      <w:position w:val="6"/>
                      <w:sz w:val="13"/>
                      <w:szCs w:val="13"/>
                    </w:rPr>
                    <w:t>-2</w:t>
                  </w:r>
                </w:p>
              </w:tc>
              <w:tc>
                <w:tcPr>
                  <w:tcW w:w="367" w:type="pct"/>
                  <w:vAlign w:val="center"/>
                </w:tcPr>
                <w:p w14:paraId="74DB51B9">
                  <w:pPr>
                    <w:spacing w:before="176" w:line="254" w:lineRule="exact"/>
                    <w:jc w:val="center"/>
                    <w:rPr>
                      <w:rFonts w:eastAsia="Times New Roman"/>
                      <w:color w:val="auto"/>
                      <w:sz w:val="13"/>
                      <w:szCs w:val="13"/>
                    </w:rPr>
                  </w:pPr>
                  <w:r>
                    <w:rPr>
                      <w:rFonts w:eastAsia="Times New Roman"/>
                      <w:color w:val="auto"/>
                      <w:szCs w:val="21"/>
                    </w:rPr>
                    <w:t>2.03×10</w:t>
                  </w:r>
                  <w:r>
                    <w:rPr>
                      <w:rFonts w:eastAsia="Times New Roman"/>
                      <w:color w:val="auto"/>
                      <w:position w:val="6"/>
                      <w:sz w:val="13"/>
                      <w:szCs w:val="13"/>
                    </w:rPr>
                    <w:t>-2</w:t>
                  </w:r>
                </w:p>
              </w:tc>
              <w:tc>
                <w:tcPr>
                  <w:tcW w:w="367" w:type="pct"/>
                  <w:vAlign w:val="center"/>
                </w:tcPr>
                <w:p w14:paraId="1EEE6607">
                  <w:pPr>
                    <w:spacing w:before="176" w:line="254" w:lineRule="exact"/>
                    <w:jc w:val="center"/>
                    <w:rPr>
                      <w:rFonts w:eastAsia="Times New Roman"/>
                      <w:color w:val="auto"/>
                      <w:sz w:val="13"/>
                      <w:szCs w:val="13"/>
                    </w:rPr>
                  </w:pPr>
                  <w:r>
                    <w:rPr>
                      <w:rFonts w:eastAsia="Times New Roman"/>
                      <w:color w:val="auto"/>
                      <w:szCs w:val="21"/>
                    </w:rPr>
                    <w:t>3.72×10</w:t>
                  </w:r>
                  <w:r>
                    <w:rPr>
                      <w:rFonts w:eastAsia="Times New Roman"/>
                      <w:color w:val="auto"/>
                      <w:position w:val="6"/>
                      <w:sz w:val="13"/>
                      <w:szCs w:val="13"/>
                    </w:rPr>
                    <w:t>-3</w:t>
                  </w:r>
                </w:p>
              </w:tc>
              <w:tc>
                <w:tcPr>
                  <w:tcW w:w="367" w:type="pct"/>
                  <w:vAlign w:val="center"/>
                </w:tcPr>
                <w:p w14:paraId="1212F24B">
                  <w:pPr>
                    <w:spacing w:before="176" w:line="254" w:lineRule="exact"/>
                    <w:jc w:val="center"/>
                    <w:rPr>
                      <w:rFonts w:eastAsia="Times New Roman"/>
                      <w:color w:val="auto"/>
                      <w:sz w:val="13"/>
                      <w:szCs w:val="13"/>
                    </w:rPr>
                  </w:pPr>
                  <w:r>
                    <w:rPr>
                      <w:rFonts w:eastAsia="Times New Roman"/>
                      <w:color w:val="auto"/>
                      <w:spacing w:val="-1"/>
                      <w:szCs w:val="21"/>
                    </w:rPr>
                    <w:t>5.64×10</w:t>
                  </w:r>
                  <w:r>
                    <w:rPr>
                      <w:rFonts w:eastAsia="Times New Roman"/>
                      <w:color w:val="auto"/>
                      <w:spacing w:val="-1"/>
                      <w:position w:val="6"/>
                      <w:sz w:val="13"/>
                      <w:szCs w:val="13"/>
                    </w:rPr>
                    <w:t>-3</w:t>
                  </w:r>
                </w:p>
              </w:tc>
              <w:tc>
                <w:tcPr>
                  <w:tcW w:w="367" w:type="pct"/>
                  <w:vAlign w:val="center"/>
                </w:tcPr>
                <w:p w14:paraId="516779A9">
                  <w:pPr>
                    <w:spacing w:before="176" w:line="254" w:lineRule="exact"/>
                    <w:jc w:val="center"/>
                    <w:rPr>
                      <w:rFonts w:eastAsia="Times New Roman"/>
                      <w:color w:val="auto"/>
                      <w:sz w:val="13"/>
                      <w:szCs w:val="13"/>
                    </w:rPr>
                  </w:pPr>
                  <w:r>
                    <w:rPr>
                      <w:rFonts w:eastAsia="Times New Roman"/>
                      <w:color w:val="auto"/>
                      <w:spacing w:val="-2"/>
                      <w:szCs w:val="21"/>
                    </w:rPr>
                    <w:t>1.98×10</w:t>
                  </w:r>
                  <w:r>
                    <w:rPr>
                      <w:rFonts w:eastAsia="Times New Roman"/>
                      <w:color w:val="auto"/>
                      <w:spacing w:val="-2"/>
                      <w:position w:val="6"/>
                      <w:sz w:val="13"/>
                      <w:szCs w:val="13"/>
                    </w:rPr>
                    <w:t>-3</w:t>
                  </w:r>
                </w:p>
              </w:tc>
            </w:tr>
            <w:tr w14:paraId="6DA88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15494775">
                  <w:pPr>
                    <w:jc w:val="center"/>
                    <w:rPr>
                      <w:rFonts w:ascii="Arial"/>
                      <w:color w:val="auto"/>
                    </w:rPr>
                  </w:pPr>
                </w:p>
              </w:tc>
              <w:tc>
                <w:tcPr>
                  <w:tcW w:w="662" w:type="pct"/>
                  <w:vAlign w:val="center"/>
                </w:tcPr>
                <w:p w14:paraId="4E23732E">
                  <w:pPr>
                    <w:pStyle w:val="3488"/>
                    <w:spacing w:before="170" w:line="221" w:lineRule="auto"/>
                    <w:jc w:val="center"/>
                    <w:rPr>
                      <w:color w:val="auto"/>
                      <w:sz w:val="21"/>
                      <w:szCs w:val="21"/>
                    </w:rPr>
                  </w:pPr>
                  <w:r>
                    <w:rPr>
                      <w:color w:val="auto"/>
                      <w:spacing w:val="-1"/>
                      <w:sz w:val="21"/>
                      <w:szCs w:val="21"/>
                    </w:rPr>
                    <w:t>排放速率限值</w:t>
                  </w:r>
                </w:p>
              </w:tc>
              <w:tc>
                <w:tcPr>
                  <w:tcW w:w="254" w:type="pct"/>
                  <w:vAlign w:val="center"/>
                </w:tcPr>
                <w:p w14:paraId="563CBD47">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1CF4015F">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0320A400">
                  <w:pPr>
                    <w:spacing w:before="199" w:line="233" w:lineRule="auto"/>
                    <w:jc w:val="center"/>
                    <w:rPr>
                      <w:rFonts w:eastAsia="Times New Roman"/>
                      <w:color w:val="auto"/>
                      <w:szCs w:val="21"/>
                    </w:rPr>
                  </w:pPr>
                  <w:r>
                    <w:rPr>
                      <w:rFonts w:eastAsia="Times New Roman"/>
                      <w:color w:val="auto"/>
                      <w:spacing w:val="-1"/>
                      <w:szCs w:val="21"/>
                    </w:rPr>
                    <w:t>2.9</w:t>
                  </w:r>
                </w:p>
              </w:tc>
            </w:tr>
            <w:tr w14:paraId="3D9F9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3B7EB1ED">
                  <w:pPr>
                    <w:pStyle w:val="3488"/>
                    <w:spacing w:before="69"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19D3AB85">
                  <w:pPr>
                    <w:pStyle w:val="3488"/>
                    <w:spacing w:before="69" w:line="221" w:lineRule="auto"/>
                    <w:jc w:val="center"/>
                    <w:rPr>
                      <w:color w:val="auto"/>
                      <w:sz w:val="21"/>
                      <w:szCs w:val="21"/>
                    </w:rPr>
                  </w:pPr>
                  <w:r>
                    <w:rPr>
                      <w:color w:val="auto"/>
                      <w:spacing w:val="-2"/>
                      <w:sz w:val="21"/>
                      <w:szCs w:val="21"/>
                    </w:rPr>
                    <w:t>单位</w:t>
                  </w:r>
                </w:p>
              </w:tc>
              <w:tc>
                <w:tcPr>
                  <w:tcW w:w="2124" w:type="pct"/>
                  <w:gridSpan w:val="7"/>
                  <w:vAlign w:val="center"/>
                </w:tcPr>
                <w:p w14:paraId="729204E1">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39355422">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6C54C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1544A404">
                  <w:pPr>
                    <w:jc w:val="center"/>
                    <w:rPr>
                      <w:rFonts w:ascii="Arial"/>
                      <w:color w:val="auto"/>
                    </w:rPr>
                  </w:pPr>
                </w:p>
              </w:tc>
              <w:tc>
                <w:tcPr>
                  <w:tcW w:w="254" w:type="pct"/>
                  <w:vMerge w:val="continue"/>
                  <w:tcBorders>
                    <w:top w:val="nil"/>
                    <w:bottom w:val="nil"/>
                  </w:tcBorders>
                  <w:vAlign w:val="center"/>
                </w:tcPr>
                <w:p w14:paraId="147EA900">
                  <w:pPr>
                    <w:jc w:val="center"/>
                    <w:rPr>
                      <w:rFonts w:ascii="Arial"/>
                      <w:color w:val="auto"/>
                    </w:rPr>
                  </w:pPr>
                </w:p>
              </w:tc>
              <w:tc>
                <w:tcPr>
                  <w:tcW w:w="2124" w:type="pct"/>
                  <w:gridSpan w:val="7"/>
                  <w:vAlign w:val="center"/>
                </w:tcPr>
                <w:p w14:paraId="7C83253C">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7#</w:t>
                  </w:r>
                  <w:r>
                    <w:rPr>
                      <w:color w:val="auto"/>
                      <w:spacing w:val="-1"/>
                      <w:sz w:val="21"/>
                      <w:szCs w:val="21"/>
                      <w:lang w:eastAsia="zh-CN"/>
                    </w:rPr>
                    <w:t>排气筒进口</w:t>
                  </w:r>
                </w:p>
              </w:tc>
              <w:tc>
                <w:tcPr>
                  <w:tcW w:w="1102" w:type="pct"/>
                  <w:gridSpan w:val="3"/>
                  <w:vAlign w:val="center"/>
                </w:tcPr>
                <w:p w14:paraId="0BD7151A">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7#</w:t>
                  </w:r>
                  <w:r>
                    <w:rPr>
                      <w:color w:val="auto"/>
                      <w:spacing w:val="-1"/>
                      <w:sz w:val="21"/>
                      <w:szCs w:val="21"/>
                      <w:lang w:eastAsia="zh-CN"/>
                    </w:rPr>
                    <w:t>排气筒出口</w:t>
                  </w:r>
                </w:p>
              </w:tc>
            </w:tr>
            <w:tr w14:paraId="0ABB4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tcBorders>
                  <w:vAlign w:val="center"/>
                </w:tcPr>
                <w:p w14:paraId="63F8E316">
                  <w:pPr>
                    <w:jc w:val="center"/>
                    <w:rPr>
                      <w:rFonts w:ascii="Arial"/>
                      <w:color w:val="auto"/>
                    </w:rPr>
                  </w:pPr>
                </w:p>
              </w:tc>
              <w:tc>
                <w:tcPr>
                  <w:tcW w:w="254" w:type="pct"/>
                  <w:vMerge w:val="continue"/>
                  <w:tcBorders>
                    <w:top w:val="nil"/>
                  </w:tcBorders>
                  <w:vAlign w:val="center"/>
                </w:tcPr>
                <w:p w14:paraId="1419FC7F">
                  <w:pPr>
                    <w:jc w:val="center"/>
                    <w:rPr>
                      <w:rFonts w:ascii="Arial"/>
                      <w:color w:val="auto"/>
                    </w:rPr>
                  </w:pPr>
                </w:p>
              </w:tc>
              <w:tc>
                <w:tcPr>
                  <w:tcW w:w="1162" w:type="pct"/>
                  <w:gridSpan w:val="2"/>
                  <w:vAlign w:val="center"/>
                </w:tcPr>
                <w:p w14:paraId="51327EDB">
                  <w:pPr>
                    <w:pStyle w:val="3488"/>
                    <w:spacing w:before="164" w:line="221" w:lineRule="auto"/>
                    <w:jc w:val="center"/>
                    <w:rPr>
                      <w:color w:val="auto"/>
                      <w:sz w:val="21"/>
                      <w:szCs w:val="21"/>
                    </w:rPr>
                  </w:pPr>
                  <w:r>
                    <w:rPr>
                      <w:color w:val="auto"/>
                      <w:spacing w:val="-2"/>
                      <w:sz w:val="21"/>
                      <w:szCs w:val="21"/>
                    </w:rPr>
                    <w:t>第一次</w:t>
                  </w:r>
                </w:p>
              </w:tc>
              <w:tc>
                <w:tcPr>
                  <w:tcW w:w="594" w:type="pct"/>
                  <w:gridSpan w:val="4"/>
                  <w:vAlign w:val="center"/>
                </w:tcPr>
                <w:p w14:paraId="71FA8192">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18F44D86">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309E3E2A">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695F1689">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002B6520">
                  <w:pPr>
                    <w:pStyle w:val="3488"/>
                    <w:spacing w:before="164" w:line="221" w:lineRule="auto"/>
                    <w:jc w:val="center"/>
                    <w:rPr>
                      <w:color w:val="auto"/>
                      <w:sz w:val="21"/>
                      <w:szCs w:val="21"/>
                    </w:rPr>
                  </w:pPr>
                  <w:r>
                    <w:rPr>
                      <w:color w:val="auto"/>
                      <w:spacing w:val="-2"/>
                      <w:sz w:val="21"/>
                      <w:szCs w:val="21"/>
                    </w:rPr>
                    <w:t>第三次</w:t>
                  </w:r>
                </w:p>
              </w:tc>
            </w:tr>
            <w:tr w14:paraId="5E2D6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5C906688">
                  <w:pPr>
                    <w:pStyle w:val="3488"/>
                    <w:spacing w:before="167" w:line="221" w:lineRule="auto"/>
                    <w:jc w:val="center"/>
                    <w:rPr>
                      <w:color w:val="auto"/>
                      <w:sz w:val="21"/>
                      <w:szCs w:val="21"/>
                    </w:rPr>
                  </w:pPr>
                  <w:r>
                    <w:rPr>
                      <w:color w:val="auto"/>
                      <w:spacing w:val="-1"/>
                      <w:sz w:val="21"/>
                      <w:szCs w:val="21"/>
                    </w:rPr>
                    <w:t>排气筒高度</w:t>
                  </w:r>
                </w:p>
              </w:tc>
              <w:tc>
                <w:tcPr>
                  <w:tcW w:w="254" w:type="pct"/>
                  <w:vAlign w:val="center"/>
                </w:tcPr>
                <w:p w14:paraId="3C2C09D7">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4DE2EB7E">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5C248535">
                  <w:pPr>
                    <w:spacing w:before="195" w:line="234" w:lineRule="auto"/>
                    <w:jc w:val="center"/>
                    <w:rPr>
                      <w:rFonts w:eastAsia="Times New Roman"/>
                      <w:color w:val="auto"/>
                      <w:szCs w:val="21"/>
                    </w:rPr>
                  </w:pPr>
                  <w:r>
                    <w:rPr>
                      <w:rFonts w:eastAsia="Times New Roman"/>
                      <w:color w:val="auto"/>
                      <w:spacing w:val="-6"/>
                      <w:szCs w:val="21"/>
                    </w:rPr>
                    <w:t>15</w:t>
                  </w:r>
                </w:p>
              </w:tc>
            </w:tr>
            <w:tr w14:paraId="752A8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vAlign w:val="center"/>
                </w:tcPr>
                <w:p w14:paraId="355694BF">
                  <w:pPr>
                    <w:pStyle w:val="3488"/>
                    <w:spacing w:before="143" w:line="209" w:lineRule="auto"/>
                    <w:jc w:val="center"/>
                    <w:rPr>
                      <w:color w:val="auto"/>
                      <w:sz w:val="21"/>
                      <w:szCs w:val="21"/>
                    </w:rPr>
                  </w:pPr>
                  <w:r>
                    <w:rPr>
                      <w:color w:val="auto"/>
                      <w:spacing w:val="52"/>
                      <w:sz w:val="21"/>
                      <w:szCs w:val="21"/>
                    </w:rPr>
                    <w:t>挥发性有机物</w:t>
                  </w:r>
                </w:p>
              </w:tc>
              <w:tc>
                <w:tcPr>
                  <w:tcW w:w="662" w:type="pct"/>
                  <w:vAlign w:val="center"/>
                </w:tcPr>
                <w:p w14:paraId="38A0451D">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43982AB2">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6ACDF919">
                  <w:pPr>
                    <w:spacing w:before="196" w:line="233" w:lineRule="auto"/>
                    <w:jc w:val="center"/>
                    <w:rPr>
                      <w:rFonts w:eastAsia="Times New Roman"/>
                      <w:color w:val="auto"/>
                      <w:szCs w:val="21"/>
                    </w:rPr>
                  </w:pPr>
                  <w:r>
                    <w:rPr>
                      <w:rFonts w:eastAsia="Times New Roman"/>
                      <w:color w:val="auto"/>
                      <w:spacing w:val="-5"/>
                      <w:szCs w:val="21"/>
                    </w:rPr>
                    <w:t>1.57</w:t>
                  </w:r>
                </w:p>
              </w:tc>
              <w:tc>
                <w:tcPr>
                  <w:tcW w:w="594" w:type="pct"/>
                  <w:gridSpan w:val="4"/>
                  <w:vAlign w:val="center"/>
                </w:tcPr>
                <w:p w14:paraId="4B8D7950">
                  <w:pPr>
                    <w:spacing w:before="196" w:line="233" w:lineRule="auto"/>
                    <w:jc w:val="center"/>
                    <w:rPr>
                      <w:rFonts w:eastAsia="Times New Roman"/>
                      <w:color w:val="auto"/>
                      <w:szCs w:val="21"/>
                    </w:rPr>
                  </w:pPr>
                  <w:r>
                    <w:rPr>
                      <w:rFonts w:eastAsia="Times New Roman"/>
                      <w:color w:val="auto"/>
                      <w:spacing w:val="-5"/>
                      <w:szCs w:val="21"/>
                    </w:rPr>
                    <w:t>1.19</w:t>
                  </w:r>
                </w:p>
              </w:tc>
              <w:tc>
                <w:tcPr>
                  <w:tcW w:w="367" w:type="pct"/>
                  <w:vAlign w:val="center"/>
                </w:tcPr>
                <w:p w14:paraId="6AFA895E">
                  <w:pPr>
                    <w:spacing w:before="196" w:line="233" w:lineRule="auto"/>
                    <w:jc w:val="center"/>
                    <w:rPr>
                      <w:rFonts w:eastAsia="Times New Roman"/>
                      <w:color w:val="auto"/>
                      <w:szCs w:val="21"/>
                    </w:rPr>
                  </w:pPr>
                  <w:r>
                    <w:rPr>
                      <w:rFonts w:eastAsia="Times New Roman"/>
                      <w:color w:val="auto"/>
                      <w:spacing w:val="-5"/>
                      <w:szCs w:val="21"/>
                    </w:rPr>
                    <w:t>1.35</w:t>
                  </w:r>
                </w:p>
              </w:tc>
              <w:tc>
                <w:tcPr>
                  <w:tcW w:w="367" w:type="pct"/>
                  <w:vAlign w:val="center"/>
                </w:tcPr>
                <w:p w14:paraId="761A5437">
                  <w:pPr>
                    <w:spacing w:before="196" w:line="233" w:lineRule="auto"/>
                    <w:jc w:val="center"/>
                    <w:rPr>
                      <w:rFonts w:eastAsia="Times New Roman"/>
                      <w:color w:val="auto"/>
                      <w:szCs w:val="21"/>
                    </w:rPr>
                  </w:pPr>
                  <w:r>
                    <w:rPr>
                      <w:rFonts w:eastAsia="Times New Roman"/>
                      <w:color w:val="auto"/>
                      <w:spacing w:val="-1"/>
                      <w:szCs w:val="21"/>
                    </w:rPr>
                    <w:t>0.512</w:t>
                  </w:r>
                </w:p>
              </w:tc>
              <w:tc>
                <w:tcPr>
                  <w:tcW w:w="367" w:type="pct"/>
                  <w:vAlign w:val="center"/>
                </w:tcPr>
                <w:p w14:paraId="442052A2">
                  <w:pPr>
                    <w:spacing w:before="196" w:line="233" w:lineRule="auto"/>
                    <w:jc w:val="center"/>
                    <w:rPr>
                      <w:rFonts w:eastAsia="Times New Roman"/>
                      <w:color w:val="auto"/>
                      <w:szCs w:val="21"/>
                    </w:rPr>
                  </w:pPr>
                  <w:r>
                    <w:rPr>
                      <w:rFonts w:eastAsia="Times New Roman"/>
                      <w:color w:val="auto"/>
                      <w:spacing w:val="-1"/>
                      <w:szCs w:val="21"/>
                    </w:rPr>
                    <w:t>0.403</w:t>
                  </w:r>
                </w:p>
              </w:tc>
              <w:tc>
                <w:tcPr>
                  <w:tcW w:w="367" w:type="pct"/>
                  <w:vAlign w:val="center"/>
                </w:tcPr>
                <w:p w14:paraId="0A6DCDCD">
                  <w:pPr>
                    <w:spacing w:before="196" w:line="233" w:lineRule="auto"/>
                    <w:jc w:val="center"/>
                    <w:rPr>
                      <w:rFonts w:eastAsia="Times New Roman"/>
                      <w:color w:val="auto"/>
                      <w:szCs w:val="21"/>
                    </w:rPr>
                  </w:pPr>
                  <w:r>
                    <w:rPr>
                      <w:rFonts w:eastAsia="Times New Roman"/>
                      <w:color w:val="auto"/>
                      <w:spacing w:val="-1"/>
                      <w:szCs w:val="21"/>
                    </w:rPr>
                    <w:t>0.348</w:t>
                  </w:r>
                </w:p>
              </w:tc>
            </w:tr>
            <w:tr w14:paraId="47218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vAlign w:val="center"/>
                </w:tcPr>
                <w:p w14:paraId="130C94B7">
                  <w:pPr>
                    <w:jc w:val="center"/>
                    <w:rPr>
                      <w:rFonts w:ascii="Arial"/>
                      <w:color w:val="auto"/>
                    </w:rPr>
                  </w:pPr>
                </w:p>
              </w:tc>
              <w:tc>
                <w:tcPr>
                  <w:tcW w:w="662" w:type="pct"/>
                  <w:vAlign w:val="center"/>
                </w:tcPr>
                <w:p w14:paraId="5B1D5627">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7FC4713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28C15EE6">
                  <w:pPr>
                    <w:spacing w:before="197"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5D5B11CB">
                  <w:pPr>
                    <w:jc w:val="center"/>
                    <w:rPr>
                      <w:rFonts w:ascii="Arial"/>
                      <w:color w:val="auto"/>
                    </w:rPr>
                  </w:pPr>
                </w:p>
              </w:tc>
            </w:tr>
            <w:tr w14:paraId="4ED1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continue"/>
                  <w:vAlign w:val="center"/>
                </w:tcPr>
                <w:p w14:paraId="30E0B82D">
                  <w:pPr>
                    <w:jc w:val="center"/>
                    <w:rPr>
                      <w:rFonts w:ascii="Arial"/>
                      <w:color w:val="auto"/>
                    </w:rPr>
                  </w:pPr>
                </w:p>
              </w:tc>
              <w:tc>
                <w:tcPr>
                  <w:tcW w:w="662" w:type="pct"/>
                  <w:vAlign w:val="center"/>
                </w:tcPr>
                <w:p w14:paraId="12C6E676">
                  <w:pPr>
                    <w:pStyle w:val="3488"/>
                    <w:spacing w:before="166" w:line="221" w:lineRule="auto"/>
                    <w:jc w:val="center"/>
                    <w:rPr>
                      <w:color w:val="auto"/>
                      <w:sz w:val="21"/>
                      <w:szCs w:val="21"/>
                    </w:rPr>
                  </w:pPr>
                  <w:r>
                    <w:rPr>
                      <w:color w:val="auto"/>
                      <w:spacing w:val="-2"/>
                      <w:sz w:val="21"/>
                      <w:szCs w:val="21"/>
                    </w:rPr>
                    <w:t>排放速率</w:t>
                  </w:r>
                </w:p>
              </w:tc>
              <w:tc>
                <w:tcPr>
                  <w:tcW w:w="254" w:type="pct"/>
                  <w:vAlign w:val="center"/>
                </w:tcPr>
                <w:p w14:paraId="033A4A01">
                  <w:pPr>
                    <w:spacing w:before="195"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79E12E07">
                  <w:pPr>
                    <w:spacing w:before="175" w:line="254" w:lineRule="exact"/>
                    <w:jc w:val="center"/>
                    <w:rPr>
                      <w:rFonts w:eastAsia="Times New Roman"/>
                      <w:color w:val="auto"/>
                      <w:sz w:val="13"/>
                      <w:szCs w:val="13"/>
                    </w:rPr>
                  </w:pPr>
                  <w:r>
                    <w:rPr>
                      <w:rFonts w:eastAsia="Times New Roman"/>
                      <w:color w:val="auto"/>
                      <w:spacing w:val="-1"/>
                      <w:szCs w:val="21"/>
                    </w:rPr>
                    <w:t>5.34×10</w:t>
                  </w:r>
                  <w:r>
                    <w:rPr>
                      <w:rFonts w:eastAsia="Times New Roman"/>
                      <w:color w:val="auto"/>
                      <w:spacing w:val="-1"/>
                      <w:position w:val="6"/>
                      <w:sz w:val="13"/>
                      <w:szCs w:val="13"/>
                    </w:rPr>
                    <w:t>-3</w:t>
                  </w:r>
                </w:p>
              </w:tc>
              <w:tc>
                <w:tcPr>
                  <w:tcW w:w="594" w:type="pct"/>
                  <w:gridSpan w:val="4"/>
                  <w:vAlign w:val="center"/>
                </w:tcPr>
                <w:p w14:paraId="4C207BB1">
                  <w:pPr>
                    <w:spacing w:before="175" w:line="254" w:lineRule="exact"/>
                    <w:jc w:val="center"/>
                    <w:rPr>
                      <w:rFonts w:eastAsia="Times New Roman"/>
                      <w:color w:val="auto"/>
                      <w:sz w:val="13"/>
                      <w:szCs w:val="13"/>
                    </w:rPr>
                  </w:pPr>
                  <w:r>
                    <w:rPr>
                      <w:rFonts w:eastAsia="Times New Roman"/>
                      <w:color w:val="auto"/>
                      <w:szCs w:val="21"/>
                    </w:rPr>
                    <w:t>4.02×10</w:t>
                  </w:r>
                  <w:r>
                    <w:rPr>
                      <w:rFonts w:eastAsia="Times New Roman"/>
                      <w:color w:val="auto"/>
                      <w:position w:val="6"/>
                      <w:sz w:val="13"/>
                      <w:szCs w:val="13"/>
                    </w:rPr>
                    <w:t>-3</w:t>
                  </w:r>
                </w:p>
              </w:tc>
              <w:tc>
                <w:tcPr>
                  <w:tcW w:w="367" w:type="pct"/>
                  <w:vAlign w:val="center"/>
                </w:tcPr>
                <w:p w14:paraId="7543BE88">
                  <w:pPr>
                    <w:spacing w:before="175" w:line="254" w:lineRule="exact"/>
                    <w:jc w:val="center"/>
                    <w:rPr>
                      <w:rFonts w:eastAsia="Times New Roman"/>
                      <w:color w:val="auto"/>
                      <w:sz w:val="13"/>
                      <w:szCs w:val="13"/>
                    </w:rPr>
                  </w:pPr>
                  <w:r>
                    <w:rPr>
                      <w:rFonts w:eastAsia="Times New Roman"/>
                      <w:color w:val="auto"/>
                      <w:szCs w:val="21"/>
                    </w:rPr>
                    <w:t>4.51×10</w:t>
                  </w:r>
                  <w:r>
                    <w:rPr>
                      <w:rFonts w:eastAsia="Times New Roman"/>
                      <w:color w:val="auto"/>
                      <w:position w:val="6"/>
                      <w:sz w:val="13"/>
                      <w:szCs w:val="13"/>
                    </w:rPr>
                    <w:t>-3</w:t>
                  </w:r>
                </w:p>
              </w:tc>
              <w:tc>
                <w:tcPr>
                  <w:tcW w:w="367" w:type="pct"/>
                  <w:vAlign w:val="center"/>
                </w:tcPr>
                <w:p w14:paraId="01DAD8F2">
                  <w:pPr>
                    <w:spacing w:before="175" w:line="254" w:lineRule="exact"/>
                    <w:jc w:val="center"/>
                    <w:rPr>
                      <w:rFonts w:eastAsia="Times New Roman"/>
                      <w:color w:val="auto"/>
                      <w:sz w:val="13"/>
                      <w:szCs w:val="13"/>
                    </w:rPr>
                  </w:pPr>
                  <w:r>
                    <w:rPr>
                      <w:rFonts w:eastAsia="Times New Roman"/>
                      <w:color w:val="auto"/>
                      <w:spacing w:val="-2"/>
                      <w:szCs w:val="21"/>
                    </w:rPr>
                    <w:t>1.74×10</w:t>
                  </w:r>
                  <w:r>
                    <w:rPr>
                      <w:rFonts w:eastAsia="Times New Roman"/>
                      <w:color w:val="auto"/>
                      <w:spacing w:val="-2"/>
                      <w:position w:val="6"/>
                      <w:sz w:val="13"/>
                      <w:szCs w:val="13"/>
                    </w:rPr>
                    <w:t>-3</w:t>
                  </w:r>
                </w:p>
              </w:tc>
              <w:tc>
                <w:tcPr>
                  <w:tcW w:w="367" w:type="pct"/>
                  <w:vAlign w:val="center"/>
                </w:tcPr>
                <w:p w14:paraId="5DB76776">
                  <w:pPr>
                    <w:spacing w:before="175" w:line="254" w:lineRule="exact"/>
                    <w:jc w:val="center"/>
                    <w:rPr>
                      <w:rFonts w:eastAsia="Times New Roman"/>
                      <w:color w:val="auto"/>
                      <w:sz w:val="13"/>
                      <w:szCs w:val="13"/>
                    </w:rPr>
                  </w:pPr>
                  <w:r>
                    <w:rPr>
                      <w:rFonts w:eastAsia="Times New Roman"/>
                      <w:color w:val="auto"/>
                      <w:spacing w:val="-2"/>
                      <w:szCs w:val="21"/>
                    </w:rPr>
                    <w:t>1.35×10</w:t>
                  </w:r>
                  <w:r>
                    <w:rPr>
                      <w:rFonts w:eastAsia="Times New Roman"/>
                      <w:color w:val="auto"/>
                      <w:spacing w:val="-2"/>
                      <w:position w:val="6"/>
                      <w:sz w:val="13"/>
                      <w:szCs w:val="13"/>
                    </w:rPr>
                    <w:t>-3</w:t>
                  </w:r>
                </w:p>
              </w:tc>
              <w:tc>
                <w:tcPr>
                  <w:tcW w:w="367" w:type="pct"/>
                  <w:vAlign w:val="center"/>
                </w:tcPr>
                <w:p w14:paraId="10B97735">
                  <w:pPr>
                    <w:spacing w:before="175" w:line="254" w:lineRule="exact"/>
                    <w:jc w:val="center"/>
                    <w:rPr>
                      <w:rFonts w:eastAsia="Times New Roman"/>
                      <w:color w:val="auto"/>
                      <w:sz w:val="13"/>
                      <w:szCs w:val="13"/>
                    </w:rPr>
                  </w:pPr>
                  <w:r>
                    <w:rPr>
                      <w:rFonts w:eastAsia="Times New Roman"/>
                      <w:color w:val="auto"/>
                      <w:spacing w:val="-2"/>
                      <w:szCs w:val="21"/>
                    </w:rPr>
                    <w:t>1.14×10</w:t>
                  </w:r>
                  <w:r>
                    <w:rPr>
                      <w:rFonts w:eastAsia="Times New Roman"/>
                      <w:color w:val="auto"/>
                      <w:spacing w:val="-2"/>
                      <w:position w:val="6"/>
                      <w:sz w:val="13"/>
                      <w:szCs w:val="13"/>
                    </w:rPr>
                    <w:t>-3</w:t>
                  </w:r>
                </w:p>
              </w:tc>
            </w:tr>
            <w:tr w14:paraId="0BAA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856" w:type="pct"/>
                  <w:vMerge w:val="continue"/>
                  <w:vAlign w:val="center"/>
                </w:tcPr>
                <w:p w14:paraId="613790FE">
                  <w:pPr>
                    <w:jc w:val="center"/>
                    <w:rPr>
                      <w:rFonts w:ascii="Arial"/>
                      <w:color w:val="auto"/>
                    </w:rPr>
                  </w:pPr>
                </w:p>
              </w:tc>
              <w:tc>
                <w:tcPr>
                  <w:tcW w:w="662" w:type="pct"/>
                  <w:vAlign w:val="center"/>
                </w:tcPr>
                <w:p w14:paraId="4342B26F">
                  <w:pPr>
                    <w:pStyle w:val="3488"/>
                    <w:spacing w:before="170" w:line="221" w:lineRule="auto"/>
                    <w:jc w:val="center"/>
                    <w:rPr>
                      <w:color w:val="auto"/>
                      <w:sz w:val="21"/>
                      <w:szCs w:val="21"/>
                    </w:rPr>
                  </w:pPr>
                  <w:r>
                    <w:rPr>
                      <w:color w:val="auto"/>
                      <w:spacing w:val="-1"/>
                      <w:sz w:val="21"/>
                      <w:szCs w:val="21"/>
                    </w:rPr>
                    <w:t>排放速率限值</w:t>
                  </w:r>
                </w:p>
              </w:tc>
              <w:tc>
                <w:tcPr>
                  <w:tcW w:w="254" w:type="pct"/>
                  <w:vAlign w:val="center"/>
                </w:tcPr>
                <w:p w14:paraId="05F83A17">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3A3E2BBB">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3E8BB591">
                  <w:pPr>
                    <w:spacing w:before="198" w:line="233" w:lineRule="auto"/>
                    <w:jc w:val="center"/>
                    <w:rPr>
                      <w:rFonts w:eastAsia="Times New Roman"/>
                      <w:color w:val="auto"/>
                      <w:szCs w:val="21"/>
                    </w:rPr>
                  </w:pPr>
                  <w:r>
                    <w:rPr>
                      <w:rFonts w:eastAsia="Times New Roman"/>
                      <w:color w:val="auto"/>
                      <w:spacing w:val="-1"/>
                      <w:szCs w:val="21"/>
                    </w:rPr>
                    <w:t>2.9</w:t>
                  </w:r>
                </w:p>
              </w:tc>
            </w:tr>
            <w:tr w14:paraId="3B5F6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8" w:type="pct"/>
                  <w:gridSpan w:val="2"/>
                  <w:vMerge w:val="restart"/>
                  <w:tcBorders>
                    <w:bottom w:val="nil"/>
                  </w:tcBorders>
                  <w:vAlign w:val="center"/>
                </w:tcPr>
                <w:p w14:paraId="03685398">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6DD10EE2">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7ED72F3E">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2FDF0560">
                  <w:pPr>
                    <w:pStyle w:val="3488"/>
                    <w:spacing w:before="171"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46260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18" w:type="pct"/>
                  <w:gridSpan w:val="2"/>
                  <w:vMerge w:val="continue"/>
                  <w:tcBorders>
                    <w:top w:val="nil"/>
                    <w:bottom w:val="nil"/>
                  </w:tcBorders>
                  <w:vAlign w:val="center"/>
                </w:tcPr>
                <w:p w14:paraId="3EA50508">
                  <w:pPr>
                    <w:jc w:val="center"/>
                    <w:rPr>
                      <w:rFonts w:ascii="Arial"/>
                      <w:color w:val="auto"/>
                    </w:rPr>
                  </w:pPr>
                </w:p>
              </w:tc>
              <w:tc>
                <w:tcPr>
                  <w:tcW w:w="254" w:type="pct"/>
                  <w:vMerge w:val="continue"/>
                  <w:tcBorders>
                    <w:top w:val="nil"/>
                    <w:bottom w:val="nil"/>
                  </w:tcBorders>
                  <w:vAlign w:val="center"/>
                </w:tcPr>
                <w:p w14:paraId="3605C687">
                  <w:pPr>
                    <w:jc w:val="center"/>
                    <w:rPr>
                      <w:rFonts w:ascii="Arial"/>
                      <w:color w:val="auto"/>
                    </w:rPr>
                  </w:pPr>
                </w:p>
              </w:tc>
              <w:tc>
                <w:tcPr>
                  <w:tcW w:w="2124" w:type="pct"/>
                  <w:gridSpan w:val="7"/>
                  <w:vAlign w:val="center"/>
                </w:tcPr>
                <w:p w14:paraId="362E9C51">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7#</w:t>
                  </w:r>
                  <w:r>
                    <w:rPr>
                      <w:color w:val="auto"/>
                      <w:spacing w:val="-1"/>
                      <w:sz w:val="21"/>
                      <w:szCs w:val="21"/>
                      <w:lang w:eastAsia="zh-CN"/>
                    </w:rPr>
                    <w:t>排气筒进口</w:t>
                  </w:r>
                </w:p>
              </w:tc>
              <w:tc>
                <w:tcPr>
                  <w:tcW w:w="1102" w:type="pct"/>
                  <w:gridSpan w:val="3"/>
                  <w:vAlign w:val="center"/>
                </w:tcPr>
                <w:p w14:paraId="08F68CFF">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7#</w:t>
                  </w:r>
                  <w:r>
                    <w:rPr>
                      <w:color w:val="auto"/>
                      <w:spacing w:val="-1"/>
                      <w:sz w:val="21"/>
                      <w:szCs w:val="21"/>
                      <w:lang w:eastAsia="zh-CN"/>
                    </w:rPr>
                    <w:t>排气筒出口</w:t>
                  </w:r>
                </w:p>
              </w:tc>
            </w:tr>
            <w:tr w14:paraId="49061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015B224B">
                  <w:pPr>
                    <w:jc w:val="center"/>
                    <w:rPr>
                      <w:rFonts w:ascii="Arial"/>
                      <w:color w:val="auto"/>
                    </w:rPr>
                  </w:pPr>
                </w:p>
              </w:tc>
              <w:tc>
                <w:tcPr>
                  <w:tcW w:w="254" w:type="pct"/>
                  <w:vMerge w:val="continue"/>
                  <w:tcBorders>
                    <w:top w:val="nil"/>
                  </w:tcBorders>
                  <w:vAlign w:val="center"/>
                </w:tcPr>
                <w:p w14:paraId="09011BBA">
                  <w:pPr>
                    <w:jc w:val="center"/>
                    <w:rPr>
                      <w:rFonts w:ascii="Arial"/>
                      <w:color w:val="auto"/>
                    </w:rPr>
                  </w:pPr>
                </w:p>
              </w:tc>
              <w:tc>
                <w:tcPr>
                  <w:tcW w:w="1162" w:type="pct"/>
                  <w:gridSpan w:val="2"/>
                  <w:vAlign w:val="center"/>
                </w:tcPr>
                <w:p w14:paraId="5B1184B2">
                  <w:pPr>
                    <w:pStyle w:val="3488"/>
                    <w:spacing w:before="166" w:line="221" w:lineRule="auto"/>
                    <w:jc w:val="center"/>
                    <w:rPr>
                      <w:color w:val="auto"/>
                      <w:sz w:val="21"/>
                      <w:szCs w:val="21"/>
                    </w:rPr>
                  </w:pPr>
                  <w:r>
                    <w:rPr>
                      <w:color w:val="auto"/>
                      <w:spacing w:val="-2"/>
                      <w:sz w:val="21"/>
                      <w:szCs w:val="21"/>
                    </w:rPr>
                    <w:t>第一次</w:t>
                  </w:r>
                </w:p>
              </w:tc>
              <w:tc>
                <w:tcPr>
                  <w:tcW w:w="594" w:type="pct"/>
                  <w:gridSpan w:val="4"/>
                  <w:vAlign w:val="center"/>
                </w:tcPr>
                <w:p w14:paraId="7F50E710">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35B5ED77">
                  <w:pPr>
                    <w:pStyle w:val="3488"/>
                    <w:spacing w:before="166" w:line="221" w:lineRule="auto"/>
                    <w:jc w:val="center"/>
                    <w:rPr>
                      <w:color w:val="auto"/>
                      <w:sz w:val="21"/>
                      <w:szCs w:val="21"/>
                    </w:rPr>
                  </w:pPr>
                  <w:r>
                    <w:rPr>
                      <w:color w:val="auto"/>
                      <w:spacing w:val="-2"/>
                      <w:sz w:val="21"/>
                      <w:szCs w:val="21"/>
                    </w:rPr>
                    <w:t>第三次</w:t>
                  </w:r>
                </w:p>
              </w:tc>
              <w:tc>
                <w:tcPr>
                  <w:tcW w:w="367" w:type="pct"/>
                  <w:vAlign w:val="center"/>
                </w:tcPr>
                <w:p w14:paraId="5EDA2E37">
                  <w:pPr>
                    <w:pStyle w:val="3488"/>
                    <w:spacing w:before="166" w:line="221" w:lineRule="auto"/>
                    <w:jc w:val="center"/>
                    <w:rPr>
                      <w:color w:val="auto"/>
                      <w:sz w:val="21"/>
                      <w:szCs w:val="21"/>
                    </w:rPr>
                  </w:pPr>
                  <w:r>
                    <w:rPr>
                      <w:color w:val="auto"/>
                      <w:spacing w:val="-2"/>
                      <w:sz w:val="21"/>
                      <w:szCs w:val="21"/>
                    </w:rPr>
                    <w:t>第一次</w:t>
                  </w:r>
                </w:p>
              </w:tc>
              <w:tc>
                <w:tcPr>
                  <w:tcW w:w="367" w:type="pct"/>
                  <w:vAlign w:val="center"/>
                </w:tcPr>
                <w:p w14:paraId="4961AE0D">
                  <w:pPr>
                    <w:pStyle w:val="3488"/>
                    <w:spacing w:before="166" w:line="221" w:lineRule="auto"/>
                    <w:jc w:val="center"/>
                    <w:rPr>
                      <w:color w:val="auto"/>
                      <w:sz w:val="21"/>
                      <w:szCs w:val="21"/>
                    </w:rPr>
                  </w:pPr>
                  <w:r>
                    <w:rPr>
                      <w:color w:val="auto"/>
                      <w:spacing w:val="-2"/>
                      <w:sz w:val="21"/>
                      <w:szCs w:val="21"/>
                    </w:rPr>
                    <w:t>第二次</w:t>
                  </w:r>
                </w:p>
              </w:tc>
              <w:tc>
                <w:tcPr>
                  <w:tcW w:w="367" w:type="pct"/>
                  <w:vAlign w:val="center"/>
                </w:tcPr>
                <w:p w14:paraId="3E1A9609">
                  <w:pPr>
                    <w:pStyle w:val="3488"/>
                    <w:spacing w:before="166" w:line="221" w:lineRule="auto"/>
                    <w:jc w:val="center"/>
                    <w:rPr>
                      <w:color w:val="auto"/>
                      <w:sz w:val="21"/>
                      <w:szCs w:val="21"/>
                    </w:rPr>
                  </w:pPr>
                  <w:r>
                    <w:rPr>
                      <w:color w:val="auto"/>
                      <w:spacing w:val="-2"/>
                      <w:sz w:val="21"/>
                      <w:szCs w:val="21"/>
                    </w:rPr>
                    <w:t>第三次</w:t>
                  </w:r>
                </w:p>
              </w:tc>
            </w:tr>
            <w:tr w14:paraId="6AB22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518" w:type="pct"/>
                  <w:gridSpan w:val="2"/>
                  <w:vAlign w:val="center"/>
                </w:tcPr>
                <w:p w14:paraId="4D78E710">
                  <w:pPr>
                    <w:pStyle w:val="3488"/>
                    <w:spacing w:before="167" w:line="221" w:lineRule="auto"/>
                    <w:jc w:val="center"/>
                    <w:rPr>
                      <w:color w:val="auto"/>
                      <w:sz w:val="21"/>
                      <w:szCs w:val="21"/>
                    </w:rPr>
                  </w:pPr>
                  <w:r>
                    <w:rPr>
                      <w:color w:val="auto"/>
                      <w:spacing w:val="-1"/>
                      <w:sz w:val="21"/>
                      <w:szCs w:val="21"/>
                    </w:rPr>
                    <w:t>排气筒高度</w:t>
                  </w:r>
                </w:p>
              </w:tc>
              <w:tc>
                <w:tcPr>
                  <w:tcW w:w="254" w:type="pct"/>
                  <w:vAlign w:val="center"/>
                </w:tcPr>
                <w:p w14:paraId="00221569">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1CBA59BA">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6AE0C8D4">
                  <w:pPr>
                    <w:spacing w:before="195" w:line="234" w:lineRule="auto"/>
                    <w:jc w:val="center"/>
                    <w:rPr>
                      <w:rFonts w:eastAsia="Times New Roman"/>
                      <w:color w:val="auto"/>
                      <w:szCs w:val="21"/>
                    </w:rPr>
                  </w:pPr>
                  <w:r>
                    <w:rPr>
                      <w:rFonts w:eastAsia="Times New Roman"/>
                      <w:color w:val="auto"/>
                      <w:spacing w:val="-6"/>
                      <w:szCs w:val="21"/>
                    </w:rPr>
                    <w:t>15</w:t>
                  </w:r>
                </w:p>
              </w:tc>
            </w:tr>
            <w:tr w14:paraId="1F9F3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restart"/>
                  <w:tcBorders>
                    <w:bottom w:val="nil"/>
                  </w:tcBorders>
                  <w:vAlign w:val="center"/>
                </w:tcPr>
                <w:p w14:paraId="2E2FB3B7">
                  <w:pPr>
                    <w:pStyle w:val="3488"/>
                    <w:spacing w:before="143" w:line="209" w:lineRule="auto"/>
                    <w:jc w:val="center"/>
                    <w:rPr>
                      <w:color w:val="auto"/>
                      <w:sz w:val="21"/>
                      <w:szCs w:val="21"/>
                    </w:rPr>
                  </w:pPr>
                  <w:r>
                    <w:rPr>
                      <w:color w:val="auto"/>
                      <w:spacing w:val="11"/>
                      <w:sz w:val="21"/>
                      <w:szCs w:val="21"/>
                    </w:rPr>
                    <w:t>挥</w:t>
                  </w:r>
                  <w:r>
                    <w:rPr>
                      <w:color w:val="auto"/>
                      <w:spacing w:val="-43"/>
                      <w:sz w:val="21"/>
                      <w:szCs w:val="21"/>
                    </w:rPr>
                    <w:t xml:space="preserve"> </w:t>
                  </w:r>
                  <w:r>
                    <w:rPr>
                      <w:color w:val="auto"/>
                      <w:spacing w:val="11"/>
                      <w:sz w:val="21"/>
                      <w:szCs w:val="21"/>
                    </w:rPr>
                    <w:t>发</w:t>
                  </w:r>
                  <w:r>
                    <w:rPr>
                      <w:color w:val="auto"/>
                      <w:spacing w:val="-45"/>
                      <w:sz w:val="21"/>
                      <w:szCs w:val="21"/>
                    </w:rPr>
                    <w:t xml:space="preserve"> </w:t>
                  </w:r>
                  <w:r>
                    <w:rPr>
                      <w:color w:val="auto"/>
                      <w:spacing w:val="11"/>
                      <w:sz w:val="21"/>
                      <w:szCs w:val="21"/>
                    </w:rPr>
                    <w:t>性有</w:t>
                  </w:r>
                  <w:r>
                    <w:rPr>
                      <w:color w:val="auto"/>
                      <w:spacing w:val="-42"/>
                      <w:sz w:val="21"/>
                      <w:szCs w:val="21"/>
                    </w:rPr>
                    <w:t xml:space="preserve"> </w:t>
                  </w:r>
                  <w:r>
                    <w:rPr>
                      <w:color w:val="auto"/>
                      <w:spacing w:val="11"/>
                      <w:sz w:val="21"/>
                      <w:szCs w:val="21"/>
                    </w:rPr>
                    <w:t>机</w:t>
                  </w:r>
                  <w:r>
                    <w:rPr>
                      <w:color w:val="auto"/>
                      <w:spacing w:val="-45"/>
                      <w:sz w:val="21"/>
                      <w:szCs w:val="21"/>
                    </w:rPr>
                    <w:t xml:space="preserve"> </w:t>
                  </w:r>
                  <w:r>
                    <w:rPr>
                      <w:color w:val="auto"/>
                      <w:spacing w:val="11"/>
                      <w:sz w:val="21"/>
                      <w:szCs w:val="21"/>
                    </w:rPr>
                    <w:t>物</w:t>
                  </w:r>
                </w:p>
              </w:tc>
              <w:tc>
                <w:tcPr>
                  <w:tcW w:w="662" w:type="pct"/>
                  <w:vAlign w:val="center"/>
                </w:tcPr>
                <w:p w14:paraId="05FC9520">
                  <w:pPr>
                    <w:pStyle w:val="3488"/>
                    <w:spacing w:before="171" w:line="221" w:lineRule="auto"/>
                    <w:jc w:val="center"/>
                    <w:rPr>
                      <w:color w:val="auto"/>
                      <w:sz w:val="21"/>
                      <w:szCs w:val="21"/>
                    </w:rPr>
                  </w:pPr>
                  <w:r>
                    <w:rPr>
                      <w:color w:val="auto"/>
                      <w:spacing w:val="-2"/>
                      <w:sz w:val="21"/>
                      <w:szCs w:val="21"/>
                    </w:rPr>
                    <w:t>排放浓度</w:t>
                  </w:r>
                </w:p>
              </w:tc>
              <w:tc>
                <w:tcPr>
                  <w:tcW w:w="254" w:type="pct"/>
                  <w:vAlign w:val="center"/>
                </w:tcPr>
                <w:p w14:paraId="69369B84">
                  <w:pPr>
                    <w:spacing w:before="179"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353BB13E">
                  <w:pPr>
                    <w:spacing w:before="199" w:line="233" w:lineRule="auto"/>
                    <w:jc w:val="center"/>
                    <w:rPr>
                      <w:rFonts w:eastAsia="Times New Roman"/>
                      <w:color w:val="auto"/>
                      <w:szCs w:val="21"/>
                    </w:rPr>
                  </w:pPr>
                  <w:r>
                    <w:rPr>
                      <w:rFonts w:eastAsia="Times New Roman"/>
                      <w:color w:val="auto"/>
                      <w:spacing w:val="-1"/>
                      <w:szCs w:val="21"/>
                    </w:rPr>
                    <w:t>0.527</w:t>
                  </w:r>
                </w:p>
              </w:tc>
              <w:tc>
                <w:tcPr>
                  <w:tcW w:w="594" w:type="pct"/>
                  <w:gridSpan w:val="4"/>
                  <w:vAlign w:val="center"/>
                </w:tcPr>
                <w:p w14:paraId="2FD38B26">
                  <w:pPr>
                    <w:spacing w:before="199" w:line="233" w:lineRule="auto"/>
                    <w:jc w:val="center"/>
                    <w:rPr>
                      <w:rFonts w:eastAsia="Times New Roman"/>
                      <w:color w:val="auto"/>
                      <w:szCs w:val="21"/>
                    </w:rPr>
                  </w:pPr>
                  <w:r>
                    <w:rPr>
                      <w:rFonts w:eastAsia="Times New Roman"/>
                      <w:color w:val="auto"/>
                      <w:spacing w:val="-1"/>
                      <w:szCs w:val="21"/>
                    </w:rPr>
                    <w:t>0.488</w:t>
                  </w:r>
                </w:p>
              </w:tc>
              <w:tc>
                <w:tcPr>
                  <w:tcW w:w="367" w:type="pct"/>
                  <w:vAlign w:val="center"/>
                </w:tcPr>
                <w:p w14:paraId="2D3F375C">
                  <w:pPr>
                    <w:spacing w:before="199" w:line="233" w:lineRule="auto"/>
                    <w:jc w:val="center"/>
                    <w:rPr>
                      <w:rFonts w:eastAsia="Times New Roman"/>
                      <w:color w:val="auto"/>
                      <w:szCs w:val="21"/>
                    </w:rPr>
                  </w:pPr>
                  <w:r>
                    <w:rPr>
                      <w:rFonts w:eastAsia="Times New Roman"/>
                      <w:color w:val="auto"/>
                      <w:spacing w:val="-1"/>
                      <w:szCs w:val="21"/>
                    </w:rPr>
                    <w:t>0.448</w:t>
                  </w:r>
                </w:p>
              </w:tc>
              <w:tc>
                <w:tcPr>
                  <w:tcW w:w="367" w:type="pct"/>
                  <w:vAlign w:val="center"/>
                </w:tcPr>
                <w:p w14:paraId="267EB699">
                  <w:pPr>
                    <w:spacing w:before="199" w:line="233" w:lineRule="auto"/>
                    <w:jc w:val="center"/>
                    <w:rPr>
                      <w:rFonts w:eastAsia="Times New Roman"/>
                      <w:color w:val="auto"/>
                      <w:szCs w:val="21"/>
                    </w:rPr>
                  </w:pPr>
                  <w:r>
                    <w:rPr>
                      <w:rFonts w:eastAsia="Times New Roman"/>
                      <w:color w:val="auto"/>
                      <w:spacing w:val="-1"/>
                      <w:szCs w:val="21"/>
                    </w:rPr>
                    <w:t>0.126</w:t>
                  </w:r>
                </w:p>
              </w:tc>
              <w:tc>
                <w:tcPr>
                  <w:tcW w:w="367" w:type="pct"/>
                  <w:vAlign w:val="center"/>
                </w:tcPr>
                <w:p w14:paraId="08F7D307">
                  <w:pPr>
                    <w:spacing w:before="199" w:line="233" w:lineRule="auto"/>
                    <w:jc w:val="center"/>
                    <w:rPr>
                      <w:rFonts w:eastAsia="Times New Roman"/>
                      <w:color w:val="auto"/>
                      <w:szCs w:val="21"/>
                    </w:rPr>
                  </w:pPr>
                  <w:r>
                    <w:rPr>
                      <w:rFonts w:eastAsia="Times New Roman"/>
                      <w:color w:val="auto"/>
                      <w:spacing w:val="-1"/>
                      <w:szCs w:val="21"/>
                    </w:rPr>
                    <w:t>0.142</w:t>
                  </w:r>
                </w:p>
              </w:tc>
              <w:tc>
                <w:tcPr>
                  <w:tcW w:w="367" w:type="pct"/>
                  <w:vAlign w:val="center"/>
                </w:tcPr>
                <w:p w14:paraId="55C1267D">
                  <w:pPr>
                    <w:spacing w:before="199" w:line="233" w:lineRule="auto"/>
                    <w:jc w:val="center"/>
                    <w:rPr>
                      <w:rFonts w:eastAsia="Times New Roman"/>
                      <w:color w:val="auto"/>
                      <w:szCs w:val="21"/>
                    </w:rPr>
                  </w:pPr>
                  <w:r>
                    <w:rPr>
                      <w:rFonts w:eastAsia="Times New Roman"/>
                      <w:color w:val="auto"/>
                      <w:spacing w:val="-1"/>
                      <w:szCs w:val="21"/>
                    </w:rPr>
                    <w:t>0.066</w:t>
                  </w:r>
                </w:p>
              </w:tc>
            </w:tr>
            <w:tr w14:paraId="2977B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64D53B27">
                  <w:pPr>
                    <w:jc w:val="center"/>
                    <w:rPr>
                      <w:rFonts w:ascii="Arial"/>
                      <w:color w:val="auto"/>
                    </w:rPr>
                  </w:pPr>
                </w:p>
              </w:tc>
              <w:tc>
                <w:tcPr>
                  <w:tcW w:w="662" w:type="pct"/>
                  <w:vAlign w:val="center"/>
                </w:tcPr>
                <w:p w14:paraId="16597EB6">
                  <w:pPr>
                    <w:pStyle w:val="3488"/>
                    <w:spacing w:before="166" w:line="221" w:lineRule="auto"/>
                    <w:jc w:val="center"/>
                    <w:rPr>
                      <w:color w:val="auto"/>
                      <w:sz w:val="21"/>
                      <w:szCs w:val="21"/>
                    </w:rPr>
                  </w:pPr>
                  <w:r>
                    <w:rPr>
                      <w:color w:val="auto"/>
                      <w:spacing w:val="-1"/>
                      <w:sz w:val="21"/>
                      <w:szCs w:val="21"/>
                    </w:rPr>
                    <w:t>排放浓度限值</w:t>
                  </w:r>
                </w:p>
              </w:tc>
              <w:tc>
                <w:tcPr>
                  <w:tcW w:w="254" w:type="pct"/>
                  <w:vAlign w:val="center"/>
                </w:tcPr>
                <w:p w14:paraId="618AC7BC">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69C71C9B">
                  <w:pPr>
                    <w:spacing w:before="195"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76B90AED">
                  <w:pPr>
                    <w:spacing w:before="194" w:line="234" w:lineRule="auto"/>
                    <w:jc w:val="center"/>
                    <w:rPr>
                      <w:rFonts w:eastAsia="Times New Roman"/>
                      <w:color w:val="auto"/>
                      <w:szCs w:val="21"/>
                    </w:rPr>
                  </w:pPr>
                  <w:r>
                    <w:rPr>
                      <w:rFonts w:eastAsia="Times New Roman"/>
                      <w:color w:val="auto"/>
                      <w:spacing w:val="-1"/>
                      <w:szCs w:val="21"/>
                    </w:rPr>
                    <w:t>40</w:t>
                  </w:r>
                </w:p>
              </w:tc>
            </w:tr>
            <w:tr w14:paraId="5C7BD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856" w:type="pct"/>
                  <w:vMerge w:val="continue"/>
                  <w:tcBorders>
                    <w:top w:val="nil"/>
                    <w:bottom w:val="nil"/>
                  </w:tcBorders>
                  <w:vAlign w:val="center"/>
                </w:tcPr>
                <w:p w14:paraId="66904F34">
                  <w:pPr>
                    <w:jc w:val="center"/>
                    <w:rPr>
                      <w:rFonts w:ascii="Arial"/>
                      <w:color w:val="auto"/>
                    </w:rPr>
                  </w:pPr>
                </w:p>
              </w:tc>
              <w:tc>
                <w:tcPr>
                  <w:tcW w:w="662" w:type="pct"/>
                  <w:vAlign w:val="center"/>
                </w:tcPr>
                <w:p w14:paraId="2E68638F">
                  <w:pPr>
                    <w:pStyle w:val="3488"/>
                    <w:spacing w:before="164" w:line="221" w:lineRule="auto"/>
                    <w:jc w:val="center"/>
                    <w:rPr>
                      <w:color w:val="auto"/>
                      <w:sz w:val="21"/>
                      <w:szCs w:val="21"/>
                    </w:rPr>
                  </w:pPr>
                  <w:r>
                    <w:rPr>
                      <w:color w:val="auto"/>
                      <w:spacing w:val="-2"/>
                      <w:sz w:val="21"/>
                      <w:szCs w:val="21"/>
                    </w:rPr>
                    <w:t>排放速率</w:t>
                  </w:r>
                </w:p>
              </w:tc>
              <w:tc>
                <w:tcPr>
                  <w:tcW w:w="254" w:type="pct"/>
                  <w:vAlign w:val="center"/>
                </w:tcPr>
                <w:p w14:paraId="39B82B4A">
                  <w:pPr>
                    <w:spacing w:before="195"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7949987B">
                  <w:pPr>
                    <w:spacing w:before="175" w:line="255" w:lineRule="exact"/>
                    <w:jc w:val="center"/>
                    <w:rPr>
                      <w:rFonts w:eastAsia="Times New Roman"/>
                      <w:color w:val="auto"/>
                      <w:sz w:val="13"/>
                      <w:szCs w:val="13"/>
                    </w:rPr>
                  </w:pPr>
                  <w:r>
                    <w:rPr>
                      <w:rFonts w:eastAsia="Times New Roman"/>
                      <w:color w:val="auto"/>
                      <w:spacing w:val="-2"/>
                      <w:szCs w:val="21"/>
                    </w:rPr>
                    <w:t>1.83×10</w:t>
                  </w:r>
                  <w:r>
                    <w:rPr>
                      <w:rFonts w:eastAsia="Times New Roman"/>
                      <w:color w:val="auto"/>
                      <w:spacing w:val="-2"/>
                      <w:position w:val="6"/>
                      <w:sz w:val="13"/>
                      <w:szCs w:val="13"/>
                    </w:rPr>
                    <w:t>-3</w:t>
                  </w:r>
                </w:p>
              </w:tc>
              <w:tc>
                <w:tcPr>
                  <w:tcW w:w="594" w:type="pct"/>
                  <w:gridSpan w:val="4"/>
                  <w:vAlign w:val="center"/>
                </w:tcPr>
                <w:p w14:paraId="2DFF7DAB">
                  <w:pPr>
                    <w:spacing w:before="175" w:line="255" w:lineRule="exact"/>
                    <w:jc w:val="center"/>
                    <w:rPr>
                      <w:rFonts w:eastAsia="Times New Roman"/>
                      <w:color w:val="auto"/>
                      <w:sz w:val="13"/>
                      <w:szCs w:val="13"/>
                    </w:rPr>
                  </w:pPr>
                  <w:r>
                    <w:rPr>
                      <w:rFonts w:eastAsia="Times New Roman"/>
                      <w:color w:val="auto"/>
                      <w:spacing w:val="-2"/>
                      <w:szCs w:val="21"/>
                    </w:rPr>
                    <w:t>1.71×10</w:t>
                  </w:r>
                  <w:r>
                    <w:rPr>
                      <w:rFonts w:eastAsia="Times New Roman"/>
                      <w:color w:val="auto"/>
                      <w:spacing w:val="-2"/>
                      <w:position w:val="6"/>
                      <w:sz w:val="13"/>
                      <w:szCs w:val="13"/>
                    </w:rPr>
                    <w:t>-3</w:t>
                  </w:r>
                </w:p>
              </w:tc>
              <w:tc>
                <w:tcPr>
                  <w:tcW w:w="367" w:type="pct"/>
                  <w:vAlign w:val="center"/>
                </w:tcPr>
                <w:p w14:paraId="502318F2">
                  <w:pPr>
                    <w:spacing w:before="175" w:line="255" w:lineRule="exact"/>
                    <w:jc w:val="center"/>
                    <w:rPr>
                      <w:rFonts w:eastAsia="Times New Roman"/>
                      <w:color w:val="auto"/>
                      <w:sz w:val="13"/>
                      <w:szCs w:val="13"/>
                    </w:rPr>
                  </w:pPr>
                  <w:r>
                    <w:rPr>
                      <w:rFonts w:eastAsia="Times New Roman"/>
                      <w:color w:val="auto"/>
                      <w:spacing w:val="-2"/>
                      <w:szCs w:val="21"/>
                    </w:rPr>
                    <w:t>1.49×10</w:t>
                  </w:r>
                  <w:r>
                    <w:rPr>
                      <w:rFonts w:eastAsia="Times New Roman"/>
                      <w:color w:val="auto"/>
                      <w:spacing w:val="-2"/>
                      <w:position w:val="6"/>
                      <w:sz w:val="13"/>
                      <w:szCs w:val="13"/>
                    </w:rPr>
                    <w:t>-3</w:t>
                  </w:r>
                </w:p>
              </w:tc>
              <w:tc>
                <w:tcPr>
                  <w:tcW w:w="367" w:type="pct"/>
                  <w:vAlign w:val="center"/>
                </w:tcPr>
                <w:p w14:paraId="1CD998DE">
                  <w:pPr>
                    <w:spacing w:before="175" w:line="255" w:lineRule="exact"/>
                    <w:jc w:val="center"/>
                    <w:rPr>
                      <w:rFonts w:eastAsia="Times New Roman"/>
                      <w:color w:val="auto"/>
                      <w:sz w:val="13"/>
                      <w:szCs w:val="13"/>
                    </w:rPr>
                  </w:pPr>
                  <w:r>
                    <w:rPr>
                      <w:rFonts w:eastAsia="Times New Roman"/>
                      <w:color w:val="auto"/>
                      <w:szCs w:val="21"/>
                    </w:rPr>
                    <w:t>4.22×10</w:t>
                  </w:r>
                  <w:r>
                    <w:rPr>
                      <w:rFonts w:eastAsia="Times New Roman"/>
                      <w:color w:val="auto"/>
                      <w:position w:val="6"/>
                      <w:sz w:val="13"/>
                      <w:szCs w:val="13"/>
                    </w:rPr>
                    <w:t>-4</w:t>
                  </w:r>
                </w:p>
              </w:tc>
              <w:tc>
                <w:tcPr>
                  <w:tcW w:w="367" w:type="pct"/>
                  <w:vAlign w:val="center"/>
                </w:tcPr>
                <w:p w14:paraId="60C27C1B">
                  <w:pPr>
                    <w:spacing w:before="175" w:line="255" w:lineRule="exact"/>
                    <w:jc w:val="center"/>
                    <w:rPr>
                      <w:rFonts w:eastAsia="Times New Roman"/>
                      <w:color w:val="auto"/>
                      <w:sz w:val="13"/>
                      <w:szCs w:val="13"/>
                    </w:rPr>
                  </w:pPr>
                  <w:r>
                    <w:rPr>
                      <w:rFonts w:eastAsia="Times New Roman"/>
                      <w:color w:val="auto"/>
                      <w:szCs w:val="21"/>
                    </w:rPr>
                    <w:t>4.51×10</w:t>
                  </w:r>
                  <w:r>
                    <w:rPr>
                      <w:rFonts w:eastAsia="Times New Roman"/>
                      <w:color w:val="auto"/>
                      <w:position w:val="6"/>
                      <w:sz w:val="13"/>
                      <w:szCs w:val="13"/>
                    </w:rPr>
                    <w:t>-4</w:t>
                  </w:r>
                </w:p>
              </w:tc>
              <w:tc>
                <w:tcPr>
                  <w:tcW w:w="367" w:type="pct"/>
                  <w:vAlign w:val="center"/>
                </w:tcPr>
                <w:p w14:paraId="13DB2745">
                  <w:pPr>
                    <w:spacing w:before="175" w:line="255" w:lineRule="exact"/>
                    <w:jc w:val="center"/>
                    <w:rPr>
                      <w:rFonts w:eastAsia="Times New Roman"/>
                      <w:color w:val="auto"/>
                      <w:sz w:val="13"/>
                      <w:szCs w:val="13"/>
                    </w:rPr>
                  </w:pPr>
                  <w:r>
                    <w:rPr>
                      <w:rFonts w:eastAsia="Times New Roman"/>
                      <w:color w:val="auto"/>
                      <w:szCs w:val="21"/>
                    </w:rPr>
                    <w:t>2.10×10</w:t>
                  </w:r>
                  <w:r>
                    <w:rPr>
                      <w:rFonts w:eastAsia="Times New Roman"/>
                      <w:color w:val="auto"/>
                      <w:position w:val="6"/>
                      <w:sz w:val="13"/>
                      <w:szCs w:val="13"/>
                    </w:rPr>
                    <w:t>-4</w:t>
                  </w:r>
                </w:p>
              </w:tc>
            </w:tr>
            <w:tr w14:paraId="6A606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56" w:type="pct"/>
                  <w:vMerge w:val="continue"/>
                  <w:tcBorders>
                    <w:top w:val="nil"/>
                  </w:tcBorders>
                  <w:vAlign w:val="center"/>
                </w:tcPr>
                <w:p w14:paraId="5D74EAEB">
                  <w:pPr>
                    <w:jc w:val="center"/>
                    <w:rPr>
                      <w:rFonts w:ascii="Arial"/>
                      <w:color w:val="auto"/>
                    </w:rPr>
                  </w:pPr>
                </w:p>
              </w:tc>
              <w:tc>
                <w:tcPr>
                  <w:tcW w:w="662" w:type="pct"/>
                  <w:vAlign w:val="center"/>
                </w:tcPr>
                <w:p w14:paraId="4C1476C4">
                  <w:pPr>
                    <w:pStyle w:val="3488"/>
                    <w:spacing w:before="166" w:line="221" w:lineRule="auto"/>
                    <w:jc w:val="center"/>
                    <w:rPr>
                      <w:color w:val="auto"/>
                      <w:sz w:val="21"/>
                      <w:szCs w:val="21"/>
                    </w:rPr>
                  </w:pPr>
                  <w:r>
                    <w:rPr>
                      <w:color w:val="auto"/>
                      <w:spacing w:val="-1"/>
                      <w:sz w:val="21"/>
                      <w:szCs w:val="21"/>
                    </w:rPr>
                    <w:t>排放速率限值</w:t>
                  </w:r>
                </w:p>
              </w:tc>
              <w:tc>
                <w:tcPr>
                  <w:tcW w:w="254" w:type="pct"/>
                  <w:vAlign w:val="center"/>
                </w:tcPr>
                <w:p w14:paraId="2B7113CE">
                  <w:pPr>
                    <w:spacing w:before="194"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7FFEDD92">
                  <w:pPr>
                    <w:spacing w:before="194"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D43E7D5">
                  <w:pPr>
                    <w:spacing w:before="194" w:line="233" w:lineRule="auto"/>
                    <w:jc w:val="center"/>
                    <w:rPr>
                      <w:rFonts w:eastAsia="Times New Roman"/>
                      <w:color w:val="auto"/>
                      <w:szCs w:val="21"/>
                    </w:rPr>
                  </w:pPr>
                  <w:r>
                    <w:rPr>
                      <w:rFonts w:eastAsia="Times New Roman"/>
                      <w:color w:val="auto"/>
                      <w:spacing w:val="-1"/>
                      <w:szCs w:val="21"/>
                    </w:rPr>
                    <w:t>2.9</w:t>
                  </w:r>
                </w:p>
              </w:tc>
            </w:tr>
            <w:tr w14:paraId="36469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18" w:type="pct"/>
                  <w:gridSpan w:val="2"/>
                  <w:vMerge w:val="restart"/>
                  <w:tcBorders>
                    <w:bottom w:val="nil"/>
                  </w:tcBorders>
                  <w:vAlign w:val="center"/>
                </w:tcPr>
                <w:p w14:paraId="3D5A5F89">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6E5B0C6B">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04313F6E">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c>
                <w:tcPr>
                  <w:tcW w:w="1102" w:type="pct"/>
                  <w:gridSpan w:val="3"/>
                  <w:vAlign w:val="center"/>
                </w:tcPr>
                <w:p w14:paraId="1BDB2F94">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2021.03.25</w:t>
                  </w:r>
                </w:p>
              </w:tc>
            </w:tr>
            <w:tr w14:paraId="5E88C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bottom w:val="nil"/>
                  </w:tcBorders>
                  <w:vAlign w:val="center"/>
                </w:tcPr>
                <w:p w14:paraId="7B5C5742">
                  <w:pPr>
                    <w:jc w:val="center"/>
                    <w:rPr>
                      <w:rFonts w:ascii="Arial"/>
                      <w:color w:val="auto"/>
                    </w:rPr>
                  </w:pPr>
                </w:p>
              </w:tc>
              <w:tc>
                <w:tcPr>
                  <w:tcW w:w="254" w:type="pct"/>
                  <w:vMerge w:val="continue"/>
                  <w:tcBorders>
                    <w:top w:val="nil"/>
                    <w:bottom w:val="nil"/>
                  </w:tcBorders>
                  <w:vAlign w:val="center"/>
                </w:tcPr>
                <w:p w14:paraId="21FDDE6A">
                  <w:pPr>
                    <w:jc w:val="center"/>
                    <w:rPr>
                      <w:rFonts w:ascii="Arial"/>
                      <w:color w:val="auto"/>
                    </w:rPr>
                  </w:pPr>
                </w:p>
              </w:tc>
              <w:tc>
                <w:tcPr>
                  <w:tcW w:w="2124" w:type="pct"/>
                  <w:gridSpan w:val="7"/>
                  <w:vAlign w:val="center"/>
                </w:tcPr>
                <w:p w14:paraId="7F31CE0B">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8#</w:t>
                  </w:r>
                  <w:r>
                    <w:rPr>
                      <w:color w:val="auto"/>
                      <w:spacing w:val="-1"/>
                      <w:sz w:val="21"/>
                      <w:szCs w:val="21"/>
                      <w:lang w:eastAsia="zh-CN"/>
                    </w:rPr>
                    <w:t>排气筒进口</w:t>
                  </w:r>
                </w:p>
              </w:tc>
              <w:tc>
                <w:tcPr>
                  <w:tcW w:w="1102" w:type="pct"/>
                  <w:gridSpan w:val="3"/>
                  <w:vAlign w:val="center"/>
                </w:tcPr>
                <w:p w14:paraId="6E24A2D4">
                  <w:pPr>
                    <w:pStyle w:val="3488"/>
                    <w:spacing w:before="167"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8#</w:t>
                  </w:r>
                  <w:r>
                    <w:rPr>
                      <w:color w:val="auto"/>
                      <w:spacing w:val="-1"/>
                      <w:sz w:val="21"/>
                      <w:szCs w:val="21"/>
                      <w:lang w:eastAsia="zh-CN"/>
                    </w:rPr>
                    <w:t>排气筒出口</w:t>
                  </w:r>
                </w:p>
              </w:tc>
            </w:tr>
            <w:tr w14:paraId="0409A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0D11A496">
                  <w:pPr>
                    <w:jc w:val="center"/>
                    <w:rPr>
                      <w:rFonts w:ascii="Arial"/>
                      <w:color w:val="auto"/>
                    </w:rPr>
                  </w:pPr>
                </w:p>
              </w:tc>
              <w:tc>
                <w:tcPr>
                  <w:tcW w:w="254" w:type="pct"/>
                  <w:vMerge w:val="continue"/>
                  <w:tcBorders>
                    <w:top w:val="nil"/>
                  </w:tcBorders>
                  <w:vAlign w:val="center"/>
                </w:tcPr>
                <w:p w14:paraId="64E67FDA">
                  <w:pPr>
                    <w:jc w:val="center"/>
                    <w:rPr>
                      <w:rFonts w:ascii="Arial"/>
                      <w:color w:val="auto"/>
                    </w:rPr>
                  </w:pPr>
                </w:p>
              </w:tc>
              <w:tc>
                <w:tcPr>
                  <w:tcW w:w="1162" w:type="pct"/>
                  <w:gridSpan w:val="2"/>
                  <w:vAlign w:val="center"/>
                </w:tcPr>
                <w:p w14:paraId="37F6ABA8">
                  <w:pPr>
                    <w:pStyle w:val="3488"/>
                    <w:spacing w:before="164" w:line="221" w:lineRule="auto"/>
                    <w:jc w:val="center"/>
                    <w:rPr>
                      <w:color w:val="auto"/>
                      <w:sz w:val="21"/>
                      <w:szCs w:val="21"/>
                    </w:rPr>
                  </w:pPr>
                  <w:r>
                    <w:rPr>
                      <w:color w:val="auto"/>
                      <w:spacing w:val="-2"/>
                      <w:sz w:val="21"/>
                      <w:szCs w:val="21"/>
                    </w:rPr>
                    <w:t>第一次</w:t>
                  </w:r>
                </w:p>
              </w:tc>
              <w:tc>
                <w:tcPr>
                  <w:tcW w:w="594" w:type="pct"/>
                  <w:gridSpan w:val="4"/>
                  <w:vAlign w:val="center"/>
                </w:tcPr>
                <w:p w14:paraId="5A2643BC">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74CDEBD9">
                  <w:pPr>
                    <w:pStyle w:val="3488"/>
                    <w:spacing w:before="164" w:line="221" w:lineRule="auto"/>
                    <w:jc w:val="center"/>
                    <w:rPr>
                      <w:color w:val="auto"/>
                      <w:sz w:val="21"/>
                      <w:szCs w:val="21"/>
                    </w:rPr>
                  </w:pPr>
                  <w:r>
                    <w:rPr>
                      <w:color w:val="auto"/>
                      <w:spacing w:val="-2"/>
                      <w:sz w:val="21"/>
                      <w:szCs w:val="21"/>
                    </w:rPr>
                    <w:t>第三次</w:t>
                  </w:r>
                </w:p>
              </w:tc>
              <w:tc>
                <w:tcPr>
                  <w:tcW w:w="367" w:type="pct"/>
                  <w:vAlign w:val="center"/>
                </w:tcPr>
                <w:p w14:paraId="69E14CA7">
                  <w:pPr>
                    <w:pStyle w:val="3488"/>
                    <w:spacing w:before="164" w:line="221" w:lineRule="auto"/>
                    <w:jc w:val="center"/>
                    <w:rPr>
                      <w:color w:val="auto"/>
                      <w:sz w:val="21"/>
                      <w:szCs w:val="21"/>
                    </w:rPr>
                  </w:pPr>
                  <w:r>
                    <w:rPr>
                      <w:color w:val="auto"/>
                      <w:spacing w:val="-2"/>
                      <w:sz w:val="21"/>
                      <w:szCs w:val="21"/>
                    </w:rPr>
                    <w:t>第一次</w:t>
                  </w:r>
                </w:p>
              </w:tc>
              <w:tc>
                <w:tcPr>
                  <w:tcW w:w="367" w:type="pct"/>
                  <w:vAlign w:val="center"/>
                </w:tcPr>
                <w:p w14:paraId="7D471249">
                  <w:pPr>
                    <w:pStyle w:val="3488"/>
                    <w:spacing w:before="164" w:line="221" w:lineRule="auto"/>
                    <w:jc w:val="center"/>
                    <w:rPr>
                      <w:color w:val="auto"/>
                      <w:sz w:val="21"/>
                      <w:szCs w:val="21"/>
                    </w:rPr>
                  </w:pPr>
                  <w:r>
                    <w:rPr>
                      <w:color w:val="auto"/>
                      <w:spacing w:val="-2"/>
                      <w:sz w:val="21"/>
                      <w:szCs w:val="21"/>
                    </w:rPr>
                    <w:t>第二次</w:t>
                  </w:r>
                </w:p>
              </w:tc>
              <w:tc>
                <w:tcPr>
                  <w:tcW w:w="367" w:type="pct"/>
                  <w:vAlign w:val="center"/>
                </w:tcPr>
                <w:p w14:paraId="24238F30">
                  <w:pPr>
                    <w:pStyle w:val="3488"/>
                    <w:spacing w:before="164" w:line="221" w:lineRule="auto"/>
                    <w:jc w:val="center"/>
                    <w:rPr>
                      <w:color w:val="auto"/>
                      <w:sz w:val="21"/>
                      <w:szCs w:val="21"/>
                    </w:rPr>
                  </w:pPr>
                  <w:r>
                    <w:rPr>
                      <w:color w:val="auto"/>
                      <w:spacing w:val="-2"/>
                      <w:sz w:val="21"/>
                      <w:szCs w:val="21"/>
                    </w:rPr>
                    <w:t>第三次</w:t>
                  </w:r>
                </w:p>
              </w:tc>
            </w:tr>
            <w:tr w14:paraId="24274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09D08162">
                  <w:pPr>
                    <w:pStyle w:val="3488"/>
                    <w:spacing w:before="165" w:line="221" w:lineRule="auto"/>
                    <w:jc w:val="center"/>
                    <w:rPr>
                      <w:color w:val="auto"/>
                      <w:sz w:val="21"/>
                      <w:szCs w:val="21"/>
                    </w:rPr>
                  </w:pPr>
                  <w:r>
                    <w:rPr>
                      <w:color w:val="auto"/>
                      <w:spacing w:val="-1"/>
                      <w:sz w:val="21"/>
                      <w:szCs w:val="21"/>
                    </w:rPr>
                    <w:t>排气筒高度</w:t>
                  </w:r>
                </w:p>
              </w:tc>
              <w:tc>
                <w:tcPr>
                  <w:tcW w:w="254" w:type="pct"/>
                  <w:vAlign w:val="center"/>
                </w:tcPr>
                <w:p w14:paraId="2A9F0AF7">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6500EA44">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59AF7E5C">
                  <w:pPr>
                    <w:spacing w:before="195" w:line="234" w:lineRule="auto"/>
                    <w:jc w:val="center"/>
                    <w:rPr>
                      <w:rFonts w:eastAsia="Times New Roman"/>
                      <w:color w:val="auto"/>
                      <w:szCs w:val="21"/>
                    </w:rPr>
                  </w:pPr>
                  <w:r>
                    <w:rPr>
                      <w:rFonts w:eastAsia="Times New Roman"/>
                      <w:color w:val="auto"/>
                      <w:spacing w:val="-6"/>
                      <w:szCs w:val="21"/>
                    </w:rPr>
                    <w:t>15</w:t>
                  </w:r>
                </w:p>
              </w:tc>
            </w:tr>
            <w:tr w14:paraId="6B35A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pct"/>
                  <w:vMerge w:val="restart"/>
                  <w:tcBorders>
                    <w:bottom w:val="nil"/>
                  </w:tcBorders>
                  <w:vAlign w:val="center"/>
                </w:tcPr>
                <w:p w14:paraId="0EF6FA17">
                  <w:pPr>
                    <w:pStyle w:val="3488"/>
                    <w:spacing w:before="143" w:line="210" w:lineRule="auto"/>
                    <w:jc w:val="center"/>
                    <w:rPr>
                      <w:color w:val="auto"/>
                      <w:sz w:val="21"/>
                      <w:szCs w:val="21"/>
                    </w:rPr>
                  </w:pPr>
                  <w:r>
                    <w:rPr>
                      <w:color w:val="auto"/>
                      <w:spacing w:val="21"/>
                      <w:sz w:val="21"/>
                      <w:szCs w:val="21"/>
                    </w:rPr>
                    <w:t>颗</w:t>
                  </w:r>
                  <w:r>
                    <w:rPr>
                      <w:color w:val="auto"/>
                      <w:spacing w:val="-45"/>
                      <w:sz w:val="21"/>
                      <w:szCs w:val="21"/>
                    </w:rPr>
                    <w:t xml:space="preserve"> </w:t>
                  </w:r>
                  <w:r>
                    <w:rPr>
                      <w:color w:val="auto"/>
                      <w:spacing w:val="21"/>
                      <w:sz w:val="21"/>
                      <w:szCs w:val="21"/>
                    </w:rPr>
                    <w:t>粒物</w:t>
                  </w:r>
                </w:p>
              </w:tc>
              <w:tc>
                <w:tcPr>
                  <w:tcW w:w="662" w:type="pct"/>
                  <w:vAlign w:val="center"/>
                </w:tcPr>
                <w:p w14:paraId="2AD6EEEF">
                  <w:pPr>
                    <w:pStyle w:val="3488"/>
                    <w:spacing w:before="166" w:line="221" w:lineRule="auto"/>
                    <w:jc w:val="center"/>
                    <w:rPr>
                      <w:color w:val="auto"/>
                      <w:sz w:val="21"/>
                      <w:szCs w:val="21"/>
                    </w:rPr>
                  </w:pPr>
                  <w:r>
                    <w:rPr>
                      <w:color w:val="auto"/>
                      <w:spacing w:val="-2"/>
                      <w:sz w:val="21"/>
                      <w:szCs w:val="21"/>
                    </w:rPr>
                    <w:t>排放浓度</w:t>
                  </w:r>
                </w:p>
              </w:tc>
              <w:tc>
                <w:tcPr>
                  <w:tcW w:w="254" w:type="pct"/>
                  <w:vAlign w:val="center"/>
                </w:tcPr>
                <w:p w14:paraId="52C50F8B">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54682BAB">
                  <w:pPr>
                    <w:spacing w:before="193" w:line="234" w:lineRule="auto"/>
                    <w:jc w:val="center"/>
                    <w:rPr>
                      <w:rFonts w:eastAsia="Times New Roman"/>
                      <w:color w:val="auto"/>
                      <w:szCs w:val="21"/>
                    </w:rPr>
                  </w:pPr>
                  <w:r>
                    <w:rPr>
                      <w:rFonts w:eastAsia="Times New Roman"/>
                      <w:color w:val="auto"/>
                      <w:spacing w:val="-6"/>
                      <w:szCs w:val="21"/>
                    </w:rPr>
                    <w:t>162</w:t>
                  </w:r>
                </w:p>
              </w:tc>
              <w:tc>
                <w:tcPr>
                  <w:tcW w:w="594" w:type="pct"/>
                  <w:gridSpan w:val="4"/>
                  <w:vAlign w:val="center"/>
                </w:tcPr>
                <w:p w14:paraId="5BA7B438">
                  <w:pPr>
                    <w:spacing w:before="194" w:line="233" w:lineRule="auto"/>
                    <w:jc w:val="center"/>
                    <w:rPr>
                      <w:rFonts w:eastAsia="Times New Roman"/>
                      <w:color w:val="auto"/>
                      <w:szCs w:val="21"/>
                    </w:rPr>
                  </w:pPr>
                  <w:r>
                    <w:rPr>
                      <w:rFonts w:eastAsia="Times New Roman"/>
                      <w:color w:val="auto"/>
                      <w:spacing w:val="-6"/>
                      <w:szCs w:val="21"/>
                    </w:rPr>
                    <w:t>170</w:t>
                  </w:r>
                </w:p>
              </w:tc>
              <w:tc>
                <w:tcPr>
                  <w:tcW w:w="367" w:type="pct"/>
                  <w:vAlign w:val="center"/>
                </w:tcPr>
                <w:p w14:paraId="2E70BDE4">
                  <w:pPr>
                    <w:spacing w:before="194" w:line="233" w:lineRule="auto"/>
                    <w:jc w:val="center"/>
                    <w:rPr>
                      <w:rFonts w:eastAsia="Times New Roman"/>
                      <w:color w:val="auto"/>
                      <w:szCs w:val="21"/>
                    </w:rPr>
                  </w:pPr>
                  <w:r>
                    <w:rPr>
                      <w:rFonts w:eastAsia="Times New Roman"/>
                      <w:color w:val="auto"/>
                      <w:spacing w:val="-6"/>
                      <w:szCs w:val="21"/>
                    </w:rPr>
                    <w:t>172</w:t>
                  </w:r>
                </w:p>
              </w:tc>
              <w:tc>
                <w:tcPr>
                  <w:tcW w:w="367" w:type="pct"/>
                  <w:vAlign w:val="center"/>
                </w:tcPr>
                <w:p w14:paraId="755795EA">
                  <w:pPr>
                    <w:spacing w:before="194" w:line="233" w:lineRule="auto"/>
                    <w:jc w:val="center"/>
                    <w:rPr>
                      <w:rFonts w:eastAsia="Times New Roman"/>
                      <w:color w:val="auto"/>
                      <w:szCs w:val="21"/>
                    </w:rPr>
                  </w:pPr>
                  <w:r>
                    <w:rPr>
                      <w:rFonts w:eastAsia="Times New Roman"/>
                      <w:color w:val="auto"/>
                      <w:spacing w:val="-1"/>
                      <w:szCs w:val="21"/>
                    </w:rPr>
                    <w:t>2.6</w:t>
                  </w:r>
                </w:p>
              </w:tc>
              <w:tc>
                <w:tcPr>
                  <w:tcW w:w="367" w:type="pct"/>
                  <w:vAlign w:val="center"/>
                </w:tcPr>
                <w:p w14:paraId="528387FB">
                  <w:pPr>
                    <w:spacing w:before="194" w:line="233" w:lineRule="auto"/>
                    <w:jc w:val="center"/>
                    <w:rPr>
                      <w:rFonts w:eastAsia="Times New Roman"/>
                      <w:color w:val="auto"/>
                      <w:szCs w:val="21"/>
                    </w:rPr>
                  </w:pPr>
                  <w:r>
                    <w:rPr>
                      <w:rFonts w:eastAsia="Times New Roman"/>
                      <w:color w:val="auto"/>
                      <w:spacing w:val="-1"/>
                      <w:szCs w:val="21"/>
                    </w:rPr>
                    <w:t>2.1</w:t>
                  </w:r>
                </w:p>
              </w:tc>
              <w:tc>
                <w:tcPr>
                  <w:tcW w:w="367" w:type="pct"/>
                  <w:vAlign w:val="center"/>
                </w:tcPr>
                <w:p w14:paraId="4019AB21">
                  <w:pPr>
                    <w:spacing w:before="194" w:line="233" w:lineRule="auto"/>
                    <w:jc w:val="center"/>
                    <w:rPr>
                      <w:rFonts w:eastAsia="Times New Roman"/>
                      <w:color w:val="auto"/>
                      <w:szCs w:val="21"/>
                    </w:rPr>
                  </w:pPr>
                  <w:r>
                    <w:rPr>
                      <w:rFonts w:eastAsia="Times New Roman"/>
                      <w:color w:val="auto"/>
                      <w:spacing w:val="-1"/>
                      <w:szCs w:val="21"/>
                    </w:rPr>
                    <w:t>2.5</w:t>
                  </w:r>
                </w:p>
              </w:tc>
            </w:tr>
            <w:tr w14:paraId="2BADB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0DEEE85C">
                  <w:pPr>
                    <w:jc w:val="center"/>
                    <w:rPr>
                      <w:rFonts w:ascii="Arial"/>
                      <w:color w:val="auto"/>
                    </w:rPr>
                  </w:pPr>
                </w:p>
              </w:tc>
              <w:tc>
                <w:tcPr>
                  <w:tcW w:w="662" w:type="pct"/>
                  <w:vAlign w:val="center"/>
                </w:tcPr>
                <w:p w14:paraId="6ACA7A69">
                  <w:pPr>
                    <w:pStyle w:val="3488"/>
                    <w:spacing w:before="168" w:line="221" w:lineRule="auto"/>
                    <w:jc w:val="center"/>
                    <w:rPr>
                      <w:color w:val="auto"/>
                      <w:sz w:val="21"/>
                      <w:szCs w:val="21"/>
                    </w:rPr>
                  </w:pPr>
                  <w:r>
                    <w:rPr>
                      <w:color w:val="auto"/>
                      <w:spacing w:val="-1"/>
                      <w:sz w:val="21"/>
                      <w:szCs w:val="21"/>
                    </w:rPr>
                    <w:t>排放浓度限值</w:t>
                  </w:r>
                </w:p>
              </w:tc>
              <w:tc>
                <w:tcPr>
                  <w:tcW w:w="254" w:type="pct"/>
                  <w:vAlign w:val="center"/>
                </w:tcPr>
                <w:p w14:paraId="0B8B67F3">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73BB4453">
                  <w:pPr>
                    <w:spacing w:before="196"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60362A42">
                  <w:pPr>
                    <w:spacing w:before="196" w:line="234" w:lineRule="auto"/>
                    <w:jc w:val="center"/>
                    <w:rPr>
                      <w:rFonts w:eastAsia="Times New Roman"/>
                      <w:color w:val="auto"/>
                      <w:szCs w:val="21"/>
                    </w:rPr>
                  </w:pPr>
                  <w:r>
                    <w:rPr>
                      <w:rFonts w:eastAsia="Times New Roman"/>
                      <w:color w:val="auto"/>
                      <w:spacing w:val="-6"/>
                      <w:szCs w:val="21"/>
                    </w:rPr>
                    <w:t>120</w:t>
                  </w:r>
                </w:p>
              </w:tc>
            </w:tr>
            <w:tr w14:paraId="34164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bottom w:val="nil"/>
                  </w:tcBorders>
                  <w:vAlign w:val="center"/>
                </w:tcPr>
                <w:p w14:paraId="456C0E00">
                  <w:pPr>
                    <w:jc w:val="center"/>
                    <w:rPr>
                      <w:rFonts w:ascii="Arial"/>
                      <w:color w:val="auto"/>
                    </w:rPr>
                  </w:pPr>
                </w:p>
              </w:tc>
              <w:tc>
                <w:tcPr>
                  <w:tcW w:w="662" w:type="pct"/>
                  <w:vAlign w:val="center"/>
                </w:tcPr>
                <w:p w14:paraId="48273E8A">
                  <w:pPr>
                    <w:pStyle w:val="3488"/>
                    <w:spacing w:before="167" w:line="221" w:lineRule="auto"/>
                    <w:jc w:val="center"/>
                    <w:rPr>
                      <w:color w:val="auto"/>
                      <w:sz w:val="21"/>
                      <w:szCs w:val="21"/>
                    </w:rPr>
                  </w:pPr>
                  <w:r>
                    <w:rPr>
                      <w:color w:val="auto"/>
                      <w:spacing w:val="-2"/>
                      <w:sz w:val="21"/>
                      <w:szCs w:val="21"/>
                    </w:rPr>
                    <w:t>排放速率</w:t>
                  </w:r>
                </w:p>
              </w:tc>
              <w:tc>
                <w:tcPr>
                  <w:tcW w:w="254" w:type="pct"/>
                  <w:vAlign w:val="center"/>
                </w:tcPr>
                <w:p w14:paraId="489B0ED8">
                  <w:pPr>
                    <w:spacing w:before="197"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0DE3411A">
                  <w:pPr>
                    <w:spacing w:before="197" w:line="233" w:lineRule="auto"/>
                    <w:jc w:val="center"/>
                    <w:rPr>
                      <w:rFonts w:eastAsia="Times New Roman"/>
                      <w:color w:val="auto"/>
                      <w:szCs w:val="21"/>
                    </w:rPr>
                  </w:pPr>
                  <w:r>
                    <w:rPr>
                      <w:rFonts w:eastAsia="Times New Roman"/>
                      <w:color w:val="auto"/>
                      <w:spacing w:val="-1"/>
                      <w:szCs w:val="21"/>
                    </w:rPr>
                    <w:t>0.6848</w:t>
                  </w:r>
                </w:p>
              </w:tc>
              <w:tc>
                <w:tcPr>
                  <w:tcW w:w="594" w:type="pct"/>
                  <w:gridSpan w:val="4"/>
                  <w:vAlign w:val="center"/>
                </w:tcPr>
                <w:p w14:paraId="05CED4AD">
                  <w:pPr>
                    <w:spacing w:before="197" w:line="233" w:lineRule="auto"/>
                    <w:jc w:val="center"/>
                    <w:rPr>
                      <w:rFonts w:eastAsia="Times New Roman"/>
                      <w:color w:val="auto"/>
                      <w:szCs w:val="21"/>
                    </w:rPr>
                  </w:pPr>
                  <w:r>
                    <w:rPr>
                      <w:rFonts w:eastAsia="Times New Roman"/>
                      <w:color w:val="auto"/>
                      <w:spacing w:val="-1"/>
                      <w:szCs w:val="21"/>
                    </w:rPr>
                    <w:t>0.6815</w:t>
                  </w:r>
                </w:p>
              </w:tc>
              <w:tc>
                <w:tcPr>
                  <w:tcW w:w="367" w:type="pct"/>
                  <w:vAlign w:val="center"/>
                </w:tcPr>
                <w:p w14:paraId="312BF0FC">
                  <w:pPr>
                    <w:spacing w:before="197" w:line="233" w:lineRule="auto"/>
                    <w:jc w:val="center"/>
                    <w:rPr>
                      <w:rFonts w:eastAsia="Times New Roman"/>
                      <w:color w:val="auto"/>
                      <w:szCs w:val="21"/>
                    </w:rPr>
                  </w:pPr>
                  <w:r>
                    <w:rPr>
                      <w:rFonts w:eastAsia="Times New Roman"/>
                      <w:color w:val="auto"/>
                      <w:spacing w:val="-1"/>
                      <w:szCs w:val="21"/>
                    </w:rPr>
                    <w:t>0.6705</w:t>
                  </w:r>
                </w:p>
              </w:tc>
              <w:tc>
                <w:tcPr>
                  <w:tcW w:w="367" w:type="pct"/>
                  <w:vAlign w:val="center"/>
                </w:tcPr>
                <w:p w14:paraId="1332627C">
                  <w:pPr>
                    <w:spacing w:before="197" w:line="233" w:lineRule="auto"/>
                    <w:jc w:val="center"/>
                    <w:rPr>
                      <w:rFonts w:eastAsia="Times New Roman"/>
                      <w:color w:val="auto"/>
                      <w:szCs w:val="21"/>
                    </w:rPr>
                  </w:pPr>
                  <w:r>
                    <w:rPr>
                      <w:rFonts w:eastAsia="Times New Roman"/>
                      <w:color w:val="auto"/>
                      <w:spacing w:val="-1"/>
                      <w:szCs w:val="21"/>
                    </w:rPr>
                    <w:t>0.0106</w:t>
                  </w:r>
                </w:p>
              </w:tc>
              <w:tc>
                <w:tcPr>
                  <w:tcW w:w="367" w:type="pct"/>
                  <w:vAlign w:val="center"/>
                </w:tcPr>
                <w:p w14:paraId="39BA0B4C">
                  <w:pPr>
                    <w:spacing w:before="197" w:line="233" w:lineRule="auto"/>
                    <w:jc w:val="center"/>
                    <w:rPr>
                      <w:rFonts w:eastAsia="Times New Roman"/>
                      <w:color w:val="auto"/>
                      <w:szCs w:val="21"/>
                    </w:rPr>
                  </w:pPr>
                  <w:r>
                    <w:rPr>
                      <w:rFonts w:eastAsia="Times New Roman"/>
                      <w:color w:val="auto"/>
                      <w:spacing w:val="-1"/>
                      <w:szCs w:val="21"/>
                    </w:rPr>
                    <w:t>0.0085</w:t>
                  </w:r>
                </w:p>
              </w:tc>
              <w:tc>
                <w:tcPr>
                  <w:tcW w:w="367" w:type="pct"/>
                  <w:vAlign w:val="center"/>
                </w:tcPr>
                <w:p w14:paraId="4DCAF685">
                  <w:pPr>
                    <w:spacing w:before="197" w:line="233" w:lineRule="auto"/>
                    <w:jc w:val="center"/>
                    <w:rPr>
                      <w:rFonts w:eastAsia="Times New Roman"/>
                      <w:color w:val="auto"/>
                      <w:szCs w:val="21"/>
                    </w:rPr>
                  </w:pPr>
                  <w:r>
                    <w:rPr>
                      <w:rFonts w:eastAsia="Times New Roman"/>
                      <w:color w:val="auto"/>
                      <w:spacing w:val="-1"/>
                      <w:szCs w:val="21"/>
                    </w:rPr>
                    <w:t>0.0100</w:t>
                  </w:r>
                </w:p>
              </w:tc>
            </w:tr>
            <w:tr w14:paraId="09BE2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tcBorders>
                    <w:top w:val="nil"/>
                  </w:tcBorders>
                  <w:vAlign w:val="center"/>
                </w:tcPr>
                <w:p w14:paraId="443F643B">
                  <w:pPr>
                    <w:jc w:val="center"/>
                    <w:rPr>
                      <w:rFonts w:ascii="Arial"/>
                      <w:color w:val="auto"/>
                    </w:rPr>
                  </w:pPr>
                </w:p>
              </w:tc>
              <w:tc>
                <w:tcPr>
                  <w:tcW w:w="662" w:type="pct"/>
                  <w:vAlign w:val="center"/>
                </w:tcPr>
                <w:p w14:paraId="1C1EB24C">
                  <w:pPr>
                    <w:pStyle w:val="3488"/>
                    <w:spacing w:before="167" w:line="221" w:lineRule="auto"/>
                    <w:jc w:val="center"/>
                    <w:rPr>
                      <w:color w:val="auto"/>
                      <w:sz w:val="21"/>
                      <w:szCs w:val="21"/>
                    </w:rPr>
                  </w:pPr>
                  <w:r>
                    <w:rPr>
                      <w:color w:val="auto"/>
                      <w:spacing w:val="-1"/>
                      <w:sz w:val="21"/>
                      <w:szCs w:val="21"/>
                    </w:rPr>
                    <w:t>排放速率限值</w:t>
                  </w:r>
                </w:p>
              </w:tc>
              <w:tc>
                <w:tcPr>
                  <w:tcW w:w="254" w:type="pct"/>
                  <w:vAlign w:val="center"/>
                </w:tcPr>
                <w:p w14:paraId="179E7051">
                  <w:pPr>
                    <w:spacing w:before="198"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24E52A06">
                  <w:pPr>
                    <w:spacing w:before="198"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11940ACA">
                  <w:pPr>
                    <w:spacing w:before="198" w:line="233" w:lineRule="auto"/>
                    <w:jc w:val="center"/>
                    <w:rPr>
                      <w:rFonts w:eastAsia="Times New Roman"/>
                      <w:color w:val="auto"/>
                      <w:szCs w:val="21"/>
                    </w:rPr>
                  </w:pPr>
                  <w:r>
                    <w:rPr>
                      <w:rFonts w:eastAsia="Times New Roman"/>
                      <w:color w:val="auto"/>
                      <w:spacing w:val="-2"/>
                      <w:szCs w:val="21"/>
                    </w:rPr>
                    <w:t>3.5</w:t>
                  </w:r>
                </w:p>
              </w:tc>
            </w:tr>
            <w:tr w14:paraId="3F2B1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8" w:type="pct"/>
                  <w:gridSpan w:val="2"/>
                  <w:vMerge w:val="restart"/>
                  <w:tcBorders>
                    <w:bottom w:val="nil"/>
                  </w:tcBorders>
                  <w:vAlign w:val="center"/>
                </w:tcPr>
                <w:p w14:paraId="043F0344">
                  <w:pPr>
                    <w:pStyle w:val="3488"/>
                    <w:spacing w:before="68" w:line="221" w:lineRule="auto"/>
                    <w:jc w:val="center"/>
                    <w:rPr>
                      <w:color w:val="auto"/>
                      <w:sz w:val="21"/>
                      <w:szCs w:val="21"/>
                    </w:rPr>
                  </w:pPr>
                  <w:r>
                    <w:rPr>
                      <w:color w:val="auto"/>
                      <w:spacing w:val="-3"/>
                      <w:sz w:val="21"/>
                      <w:szCs w:val="21"/>
                    </w:rPr>
                    <w:t>项目</w:t>
                  </w:r>
                </w:p>
              </w:tc>
              <w:tc>
                <w:tcPr>
                  <w:tcW w:w="254" w:type="pct"/>
                  <w:vMerge w:val="restart"/>
                  <w:tcBorders>
                    <w:bottom w:val="nil"/>
                  </w:tcBorders>
                  <w:vAlign w:val="center"/>
                </w:tcPr>
                <w:p w14:paraId="6FBD7DC0">
                  <w:pPr>
                    <w:pStyle w:val="3488"/>
                    <w:spacing w:before="68" w:line="221" w:lineRule="auto"/>
                    <w:jc w:val="center"/>
                    <w:rPr>
                      <w:color w:val="auto"/>
                      <w:sz w:val="21"/>
                      <w:szCs w:val="21"/>
                    </w:rPr>
                  </w:pPr>
                  <w:r>
                    <w:rPr>
                      <w:color w:val="auto"/>
                      <w:spacing w:val="-2"/>
                      <w:sz w:val="21"/>
                      <w:szCs w:val="21"/>
                    </w:rPr>
                    <w:t>单位</w:t>
                  </w:r>
                </w:p>
              </w:tc>
              <w:tc>
                <w:tcPr>
                  <w:tcW w:w="2124" w:type="pct"/>
                  <w:gridSpan w:val="7"/>
                  <w:vAlign w:val="center"/>
                </w:tcPr>
                <w:p w14:paraId="33BC7AD5">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c>
                <w:tcPr>
                  <w:tcW w:w="1102" w:type="pct"/>
                  <w:gridSpan w:val="3"/>
                  <w:vAlign w:val="center"/>
                </w:tcPr>
                <w:p w14:paraId="00CACE0E">
                  <w:pPr>
                    <w:pStyle w:val="3488"/>
                    <w:spacing w:before="169" w:line="235" w:lineRule="auto"/>
                    <w:jc w:val="center"/>
                    <w:rPr>
                      <w:rFonts w:ascii="Times New Roman" w:hAnsi="Times New Roman" w:eastAsia="Times New Roman"/>
                      <w:color w:val="auto"/>
                      <w:sz w:val="21"/>
                      <w:szCs w:val="21"/>
                    </w:rPr>
                  </w:pPr>
                  <w:r>
                    <w:rPr>
                      <w:color w:val="auto"/>
                      <w:spacing w:val="-1"/>
                      <w:sz w:val="21"/>
                      <w:szCs w:val="21"/>
                    </w:rPr>
                    <w:t>监测日期：</w:t>
                  </w:r>
                  <w:r>
                    <w:rPr>
                      <w:rFonts w:ascii="Times New Roman" w:hAnsi="Times New Roman" w:eastAsia="Times New Roman"/>
                      <w:color w:val="auto"/>
                      <w:spacing w:val="-1"/>
                      <w:sz w:val="21"/>
                      <w:szCs w:val="21"/>
                    </w:rPr>
                    <w:t>2021.03.26</w:t>
                  </w:r>
                </w:p>
              </w:tc>
            </w:tr>
            <w:tr w14:paraId="76EFC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518" w:type="pct"/>
                  <w:gridSpan w:val="2"/>
                  <w:vMerge w:val="continue"/>
                  <w:tcBorders>
                    <w:top w:val="nil"/>
                    <w:bottom w:val="nil"/>
                  </w:tcBorders>
                  <w:vAlign w:val="center"/>
                </w:tcPr>
                <w:p w14:paraId="0BC236EA">
                  <w:pPr>
                    <w:jc w:val="center"/>
                    <w:rPr>
                      <w:rFonts w:ascii="Arial"/>
                      <w:color w:val="auto"/>
                    </w:rPr>
                  </w:pPr>
                </w:p>
              </w:tc>
              <w:tc>
                <w:tcPr>
                  <w:tcW w:w="254" w:type="pct"/>
                  <w:vMerge w:val="continue"/>
                  <w:tcBorders>
                    <w:top w:val="nil"/>
                    <w:bottom w:val="nil"/>
                  </w:tcBorders>
                  <w:vAlign w:val="center"/>
                </w:tcPr>
                <w:p w14:paraId="3414EDC2">
                  <w:pPr>
                    <w:jc w:val="center"/>
                    <w:rPr>
                      <w:rFonts w:ascii="Arial"/>
                      <w:color w:val="auto"/>
                    </w:rPr>
                  </w:pPr>
                </w:p>
              </w:tc>
              <w:tc>
                <w:tcPr>
                  <w:tcW w:w="2124" w:type="pct"/>
                  <w:gridSpan w:val="7"/>
                  <w:vAlign w:val="center"/>
                </w:tcPr>
                <w:p w14:paraId="46892686">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8#</w:t>
                  </w:r>
                  <w:r>
                    <w:rPr>
                      <w:color w:val="auto"/>
                      <w:spacing w:val="-1"/>
                      <w:sz w:val="21"/>
                      <w:szCs w:val="21"/>
                      <w:lang w:eastAsia="zh-CN"/>
                    </w:rPr>
                    <w:t>排气筒进口</w:t>
                  </w:r>
                </w:p>
              </w:tc>
              <w:tc>
                <w:tcPr>
                  <w:tcW w:w="1102" w:type="pct"/>
                  <w:gridSpan w:val="3"/>
                  <w:vAlign w:val="center"/>
                </w:tcPr>
                <w:p w14:paraId="599A01C9">
                  <w:pPr>
                    <w:pStyle w:val="3488"/>
                    <w:spacing w:before="165" w:line="234" w:lineRule="auto"/>
                    <w:jc w:val="center"/>
                    <w:rPr>
                      <w:color w:val="auto"/>
                      <w:sz w:val="21"/>
                      <w:szCs w:val="21"/>
                      <w:lang w:eastAsia="zh-CN"/>
                    </w:rPr>
                  </w:pPr>
                  <w:r>
                    <w:rPr>
                      <w:color w:val="auto"/>
                      <w:spacing w:val="-1"/>
                      <w:sz w:val="21"/>
                      <w:szCs w:val="21"/>
                      <w:lang w:eastAsia="zh-CN"/>
                    </w:rPr>
                    <w:t>监测点位：</w:t>
                  </w:r>
                  <w:r>
                    <w:rPr>
                      <w:rFonts w:ascii="Times New Roman" w:hAnsi="Times New Roman" w:eastAsia="Times New Roman"/>
                      <w:color w:val="auto"/>
                      <w:spacing w:val="-1"/>
                      <w:sz w:val="21"/>
                      <w:szCs w:val="21"/>
                      <w:lang w:eastAsia="zh-CN"/>
                    </w:rPr>
                    <w:t>8#</w:t>
                  </w:r>
                  <w:r>
                    <w:rPr>
                      <w:color w:val="auto"/>
                      <w:spacing w:val="-1"/>
                      <w:sz w:val="21"/>
                      <w:szCs w:val="21"/>
                      <w:lang w:eastAsia="zh-CN"/>
                    </w:rPr>
                    <w:t>排气筒出口</w:t>
                  </w:r>
                </w:p>
              </w:tc>
            </w:tr>
            <w:tr w14:paraId="036E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Merge w:val="continue"/>
                  <w:tcBorders>
                    <w:top w:val="nil"/>
                  </w:tcBorders>
                  <w:vAlign w:val="center"/>
                </w:tcPr>
                <w:p w14:paraId="02B30C4C">
                  <w:pPr>
                    <w:jc w:val="center"/>
                    <w:rPr>
                      <w:rFonts w:ascii="Arial"/>
                      <w:color w:val="auto"/>
                    </w:rPr>
                  </w:pPr>
                </w:p>
              </w:tc>
              <w:tc>
                <w:tcPr>
                  <w:tcW w:w="254" w:type="pct"/>
                  <w:vMerge w:val="continue"/>
                  <w:tcBorders>
                    <w:top w:val="nil"/>
                  </w:tcBorders>
                  <w:vAlign w:val="center"/>
                </w:tcPr>
                <w:p w14:paraId="3A87413A">
                  <w:pPr>
                    <w:jc w:val="center"/>
                    <w:rPr>
                      <w:rFonts w:ascii="Arial"/>
                      <w:color w:val="auto"/>
                    </w:rPr>
                  </w:pPr>
                </w:p>
              </w:tc>
              <w:tc>
                <w:tcPr>
                  <w:tcW w:w="1162" w:type="pct"/>
                  <w:gridSpan w:val="2"/>
                  <w:vAlign w:val="center"/>
                </w:tcPr>
                <w:p w14:paraId="379FC75B">
                  <w:pPr>
                    <w:pStyle w:val="3488"/>
                    <w:spacing w:before="167" w:line="221" w:lineRule="auto"/>
                    <w:jc w:val="center"/>
                    <w:rPr>
                      <w:color w:val="auto"/>
                      <w:sz w:val="21"/>
                      <w:szCs w:val="21"/>
                      <w:lang w:eastAsia="zh-CN"/>
                    </w:rPr>
                  </w:pPr>
                  <w:r>
                    <w:rPr>
                      <w:color w:val="auto"/>
                      <w:spacing w:val="-2"/>
                      <w:sz w:val="21"/>
                      <w:szCs w:val="21"/>
                      <w:lang w:eastAsia="zh-CN"/>
                    </w:rPr>
                    <w:t>第一次</w:t>
                  </w:r>
                </w:p>
              </w:tc>
              <w:tc>
                <w:tcPr>
                  <w:tcW w:w="594" w:type="pct"/>
                  <w:gridSpan w:val="4"/>
                  <w:vAlign w:val="center"/>
                </w:tcPr>
                <w:p w14:paraId="7A010C13">
                  <w:pPr>
                    <w:pStyle w:val="3488"/>
                    <w:spacing w:before="167" w:line="221" w:lineRule="auto"/>
                    <w:jc w:val="center"/>
                    <w:rPr>
                      <w:color w:val="auto"/>
                      <w:sz w:val="21"/>
                      <w:szCs w:val="21"/>
                      <w:lang w:eastAsia="zh-CN"/>
                    </w:rPr>
                  </w:pPr>
                  <w:r>
                    <w:rPr>
                      <w:color w:val="auto"/>
                      <w:spacing w:val="-2"/>
                      <w:sz w:val="21"/>
                      <w:szCs w:val="21"/>
                      <w:lang w:eastAsia="zh-CN"/>
                    </w:rPr>
                    <w:t>第二次</w:t>
                  </w:r>
                </w:p>
              </w:tc>
              <w:tc>
                <w:tcPr>
                  <w:tcW w:w="367" w:type="pct"/>
                  <w:vAlign w:val="center"/>
                </w:tcPr>
                <w:p w14:paraId="25BA108E">
                  <w:pPr>
                    <w:pStyle w:val="3488"/>
                    <w:spacing w:before="167" w:line="221" w:lineRule="auto"/>
                    <w:jc w:val="center"/>
                    <w:rPr>
                      <w:color w:val="auto"/>
                      <w:sz w:val="21"/>
                      <w:szCs w:val="21"/>
                      <w:lang w:eastAsia="zh-CN"/>
                    </w:rPr>
                  </w:pPr>
                  <w:r>
                    <w:rPr>
                      <w:color w:val="auto"/>
                      <w:spacing w:val="-2"/>
                      <w:sz w:val="21"/>
                      <w:szCs w:val="21"/>
                      <w:lang w:eastAsia="zh-CN"/>
                    </w:rPr>
                    <w:t>第三次</w:t>
                  </w:r>
                </w:p>
              </w:tc>
              <w:tc>
                <w:tcPr>
                  <w:tcW w:w="367" w:type="pct"/>
                  <w:vAlign w:val="center"/>
                </w:tcPr>
                <w:p w14:paraId="7A7A409E">
                  <w:pPr>
                    <w:pStyle w:val="3488"/>
                    <w:spacing w:before="167" w:line="221" w:lineRule="auto"/>
                    <w:jc w:val="center"/>
                    <w:rPr>
                      <w:color w:val="auto"/>
                      <w:sz w:val="21"/>
                      <w:szCs w:val="21"/>
                      <w:lang w:eastAsia="zh-CN"/>
                    </w:rPr>
                  </w:pPr>
                  <w:r>
                    <w:rPr>
                      <w:color w:val="auto"/>
                      <w:spacing w:val="-2"/>
                      <w:sz w:val="21"/>
                      <w:szCs w:val="21"/>
                      <w:lang w:eastAsia="zh-CN"/>
                    </w:rPr>
                    <w:t>第一次</w:t>
                  </w:r>
                </w:p>
              </w:tc>
              <w:tc>
                <w:tcPr>
                  <w:tcW w:w="367" w:type="pct"/>
                  <w:vAlign w:val="center"/>
                </w:tcPr>
                <w:p w14:paraId="4631C8FF">
                  <w:pPr>
                    <w:pStyle w:val="3488"/>
                    <w:spacing w:before="167" w:line="221" w:lineRule="auto"/>
                    <w:jc w:val="center"/>
                    <w:rPr>
                      <w:color w:val="auto"/>
                      <w:sz w:val="21"/>
                      <w:szCs w:val="21"/>
                      <w:lang w:eastAsia="zh-CN"/>
                    </w:rPr>
                  </w:pPr>
                  <w:r>
                    <w:rPr>
                      <w:color w:val="auto"/>
                      <w:spacing w:val="-2"/>
                      <w:sz w:val="21"/>
                      <w:szCs w:val="21"/>
                      <w:lang w:eastAsia="zh-CN"/>
                    </w:rPr>
                    <w:t>第二次</w:t>
                  </w:r>
                </w:p>
              </w:tc>
              <w:tc>
                <w:tcPr>
                  <w:tcW w:w="367" w:type="pct"/>
                  <w:vAlign w:val="center"/>
                </w:tcPr>
                <w:p w14:paraId="69522830">
                  <w:pPr>
                    <w:pStyle w:val="3488"/>
                    <w:spacing w:before="167" w:line="221" w:lineRule="auto"/>
                    <w:jc w:val="center"/>
                    <w:rPr>
                      <w:color w:val="auto"/>
                      <w:sz w:val="21"/>
                      <w:szCs w:val="21"/>
                      <w:lang w:eastAsia="zh-CN"/>
                    </w:rPr>
                  </w:pPr>
                  <w:r>
                    <w:rPr>
                      <w:color w:val="auto"/>
                      <w:spacing w:val="-2"/>
                      <w:sz w:val="21"/>
                      <w:szCs w:val="21"/>
                      <w:lang w:eastAsia="zh-CN"/>
                    </w:rPr>
                    <w:t>第三次</w:t>
                  </w:r>
                </w:p>
              </w:tc>
            </w:tr>
            <w:tr w14:paraId="4F937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518" w:type="pct"/>
                  <w:gridSpan w:val="2"/>
                  <w:vAlign w:val="center"/>
                </w:tcPr>
                <w:p w14:paraId="6EC7B447">
                  <w:pPr>
                    <w:pStyle w:val="3488"/>
                    <w:spacing w:before="165" w:line="221" w:lineRule="auto"/>
                    <w:jc w:val="center"/>
                    <w:rPr>
                      <w:color w:val="auto"/>
                      <w:sz w:val="21"/>
                      <w:szCs w:val="21"/>
                      <w:lang w:eastAsia="zh-CN"/>
                    </w:rPr>
                  </w:pPr>
                  <w:r>
                    <w:rPr>
                      <w:color w:val="auto"/>
                      <w:spacing w:val="-1"/>
                      <w:sz w:val="21"/>
                      <w:szCs w:val="21"/>
                      <w:lang w:eastAsia="zh-CN"/>
                    </w:rPr>
                    <w:t>排气筒高度</w:t>
                  </w:r>
                </w:p>
              </w:tc>
              <w:tc>
                <w:tcPr>
                  <w:tcW w:w="254" w:type="pct"/>
                  <w:vAlign w:val="center"/>
                </w:tcPr>
                <w:p w14:paraId="24C7D7DF">
                  <w:pPr>
                    <w:spacing w:before="195" w:line="236" w:lineRule="auto"/>
                    <w:jc w:val="center"/>
                    <w:rPr>
                      <w:rFonts w:eastAsia="Times New Roman"/>
                      <w:color w:val="auto"/>
                      <w:szCs w:val="21"/>
                    </w:rPr>
                  </w:pPr>
                  <w:r>
                    <w:rPr>
                      <w:rFonts w:eastAsia="Times New Roman"/>
                      <w:color w:val="auto"/>
                      <w:szCs w:val="21"/>
                    </w:rPr>
                    <w:t>m</w:t>
                  </w:r>
                </w:p>
              </w:tc>
              <w:tc>
                <w:tcPr>
                  <w:tcW w:w="2124" w:type="pct"/>
                  <w:gridSpan w:val="7"/>
                  <w:vAlign w:val="center"/>
                </w:tcPr>
                <w:p w14:paraId="6071667F">
                  <w:pPr>
                    <w:spacing w:before="287" w:line="100" w:lineRule="exact"/>
                    <w:jc w:val="center"/>
                    <w:rPr>
                      <w:rFonts w:eastAsia="Times New Roman"/>
                      <w:color w:val="auto"/>
                      <w:szCs w:val="21"/>
                    </w:rPr>
                  </w:pPr>
                  <w:r>
                    <w:rPr>
                      <w:rFonts w:eastAsia="Times New Roman"/>
                      <w:color w:val="auto"/>
                      <w:spacing w:val="4"/>
                      <w:position w:val="-2"/>
                      <w:szCs w:val="21"/>
                    </w:rPr>
                    <w:t>—</w:t>
                  </w:r>
                </w:p>
              </w:tc>
              <w:tc>
                <w:tcPr>
                  <w:tcW w:w="1102" w:type="pct"/>
                  <w:gridSpan w:val="3"/>
                  <w:vAlign w:val="center"/>
                </w:tcPr>
                <w:p w14:paraId="7D0A6046">
                  <w:pPr>
                    <w:spacing w:before="195" w:line="234" w:lineRule="auto"/>
                    <w:jc w:val="center"/>
                    <w:rPr>
                      <w:rFonts w:eastAsia="Times New Roman"/>
                      <w:color w:val="auto"/>
                      <w:szCs w:val="21"/>
                    </w:rPr>
                  </w:pPr>
                  <w:r>
                    <w:rPr>
                      <w:rFonts w:eastAsia="Times New Roman"/>
                      <w:color w:val="auto"/>
                      <w:spacing w:val="-6"/>
                      <w:szCs w:val="21"/>
                    </w:rPr>
                    <w:t>15</w:t>
                  </w:r>
                </w:p>
              </w:tc>
            </w:tr>
            <w:tr w14:paraId="246BF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restart"/>
                  <w:vAlign w:val="center"/>
                </w:tcPr>
                <w:p w14:paraId="4F31A20B">
                  <w:pPr>
                    <w:pStyle w:val="3488"/>
                    <w:spacing w:before="143" w:line="210" w:lineRule="auto"/>
                    <w:jc w:val="center"/>
                    <w:rPr>
                      <w:color w:val="auto"/>
                      <w:sz w:val="21"/>
                      <w:szCs w:val="21"/>
                      <w:lang w:eastAsia="zh-CN"/>
                    </w:rPr>
                  </w:pPr>
                  <w:r>
                    <w:rPr>
                      <w:color w:val="auto"/>
                      <w:spacing w:val="41"/>
                      <w:sz w:val="21"/>
                      <w:szCs w:val="21"/>
                      <w:lang w:eastAsia="zh-CN"/>
                    </w:rPr>
                    <w:t>颗粒物</w:t>
                  </w:r>
                </w:p>
              </w:tc>
              <w:tc>
                <w:tcPr>
                  <w:tcW w:w="662" w:type="pct"/>
                  <w:vAlign w:val="center"/>
                </w:tcPr>
                <w:p w14:paraId="0FB1848A">
                  <w:pPr>
                    <w:pStyle w:val="3488"/>
                    <w:spacing w:before="166" w:line="221" w:lineRule="auto"/>
                    <w:jc w:val="center"/>
                    <w:rPr>
                      <w:color w:val="auto"/>
                      <w:sz w:val="21"/>
                      <w:szCs w:val="21"/>
                      <w:lang w:eastAsia="zh-CN"/>
                    </w:rPr>
                  </w:pPr>
                  <w:r>
                    <w:rPr>
                      <w:color w:val="auto"/>
                      <w:spacing w:val="-2"/>
                      <w:sz w:val="21"/>
                      <w:szCs w:val="21"/>
                      <w:lang w:eastAsia="zh-CN"/>
                    </w:rPr>
                    <w:t>排放浓度</w:t>
                  </w:r>
                </w:p>
              </w:tc>
              <w:tc>
                <w:tcPr>
                  <w:tcW w:w="254" w:type="pct"/>
                  <w:vAlign w:val="center"/>
                </w:tcPr>
                <w:p w14:paraId="2B263D64">
                  <w:pPr>
                    <w:spacing w:before="177"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1162" w:type="pct"/>
                  <w:gridSpan w:val="2"/>
                  <w:vAlign w:val="center"/>
                </w:tcPr>
                <w:p w14:paraId="13F1400C">
                  <w:pPr>
                    <w:spacing w:before="196" w:line="233" w:lineRule="auto"/>
                    <w:jc w:val="center"/>
                    <w:rPr>
                      <w:rFonts w:eastAsia="Times New Roman"/>
                      <w:color w:val="auto"/>
                      <w:szCs w:val="21"/>
                    </w:rPr>
                  </w:pPr>
                  <w:r>
                    <w:rPr>
                      <w:rFonts w:eastAsia="Times New Roman"/>
                      <w:color w:val="auto"/>
                      <w:spacing w:val="-6"/>
                      <w:szCs w:val="21"/>
                    </w:rPr>
                    <w:t>167</w:t>
                  </w:r>
                </w:p>
              </w:tc>
              <w:tc>
                <w:tcPr>
                  <w:tcW w:w="594" w:type="pct"/>
                  <w:gridSpan w:val="4"/>
                  <w:vAlign w:val="center"/>
                </w:tcPr>
                <w:p w14:paraId="13348285">
                  <w:pPr>
                    <w:spacing w:before="196" w:line="233" w:lineRule="auto"/>
                    <w:jc w:val="center"/>
                    <w:rPr>
                      <w:rFonts w:eastAsia="Times New Roman"/>
                      <w:color w:val="auto"/>
                      <w:szCs w:val="21"/>
                    </w:rPr>
                  </w:pPr>
                  <w:r>
                    <w:rPr>
                      <w:rFonts w:eastAsia="Times New Roman"/>
                      <w:color w:val="auto"/>
                      <w:spacing w:val="-6"/>
                      <w:szCs w:val="21"/>
                    </w:rPr>
                    <w:t>172</w:t>
                  </w:r>
                </w:p>
              </w:tc>
              <w:tc>
                <w:tcPr>
                  <w:tcW w:w="367" w:type="pct"/>
                  <w:vAlign w:val="center"/>
                </w:tcPr>
                <w:p w14:paraId="54FD15FE">
                  <w:pPr>
                    <w:spacing w:before="196" w:line="234" w:lineRule="auto"/>
                    <w:jc w:val="center"/>
                    <w:rPr>
                      <w:rFonts w:eastAsia="Times New Roman"/>
                      <w:color w:val="auto"/>
                      <w:szCs w:val="21"/>
                    </w:rPr>
                  </w:pPr>
                  <w:r>
                    <w:rPr>
                      <w:rFonts w:eastAsia="Times New Roman"/>
                      <w:color w:val="auto"/>
                      <w:spacing w:val="-6"/>
                      <w:szCs w:val="21"/>
                    </w:rPr>
                    <w:t>162</w:t>
                  </w:r>
                </w:p>
              </w:tc>
              <w:tc>
                <w:tcPr>
                  <w:tcW w:w="367" w:type="pct"/>
                  <w:vAlign w:val="center"/>
                </w:tcPr>
                <w:p w14:paraId="199BB7E8">
                  <w:pPr>
                    <w:spacing w:before="196" w:line="233" w:lineRule="auto"/>
                    <w:jc w:val="center"/>
                    <w:rPr>
                      <w:rFonts w:eastAsia="Times New Roman"/>
                      <w:color w:val="auto"/>
                      <w:szCs w:val="21"/>
                    </w:rPr>
                  </w:pPr>
                  <w:r>
                    <w:rPr>
                      <w:rFonts w:eastAsia="Times New Roman"/>
                      <w:color w:val="auto"/>
                      <w:spacing w:val="-1"/>
                      <w:szCs w:val="21"/>
                    </w:rPr>
                    <w:t>2.3</w:t>
                  </w:r>
                </w:p>
              </w:tc>
              <w:tc>
                <w:tcPr>
                  <w:tcW w:w="367" w:type="pct"/>
                  <w:vAlign w:val="center"/>
                </w:tcPr>
                <w:p w14:paraId="53DBD915">
                  <w:pPr>
                    <w:spacing w:before="196" w:line="233" w:lineRule="auto"/>
                    <w:jc w:val="center"/>
                    <w:rPr>
                      <w:rFonts w:eastAsia="Times New Roman"/>
                      <w:color w:val="auto"/>
                      <w:szCs w:val="21"/>
                    </w:rPr>
                  </w:pPr>
                  <w:r>
                    <w:rPr>
                      <w:rFonts w:eastAsia="Times New Roman"/>
                      <w:color w:val="auto"/>
                      <w:spacing w:val="-1"/>
                      <w:szCs w:val="21"/>
                    </w:rPr>
                    <w:t>2.7</w:t>
                  </w:r>
                </w:p>
              </w:tc>
              <w:tc>
                <w:tcPr>
                  <w:tcW w:w="367" w:type="pct"/>
                  <w:vAlign w:val="center"/>
                </w:tcPr>
                <w:p w14:paraId="4A5FAC5F">
                  <w:pPr>
                    <w:spacing w:before="196" w:line="233" w:lineRule="auto"/>
                    <w:jc w:val="center"/>
                    <w:rPr>
                      <w:rFonts w:eastAsia="Times New Roman"/>
                      <w:color w:val="auto"/>
                      <w:szCs w:val="21"/>
                    </w:rPr>
                  </w:pPr>
                  <w:r>
                    <w:rPr>
                      <w:rFonts w:eastAsia="Times New Roman"/>
                      <w:color w:val="auto"/>
                      <w:spacing w:val="-1"/>
                      <w:szCs w:val="21"/>
                    </w:rPr>
                    <w:t>2.4</w:t>
                  </w:r>
                </w:p>
              </w:tc>
            </w:tr>
            <w:tr w14:paraId="1D5A4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856" w:type="pct"/>
                  <w:vMerge w:val="continue"/>
                  <w:vAlign w:val="center"/>
                </w:tcPr>
                <w:p w14:paraId="43EAAA1B">
                  <w:pPr>
                    <w:jc w:val="center"/>
                    <w:rPr>
                      <w:rFonts w:ascii="Arial"/>
                      <w:color w:val="auto"/>
                    </w:rPr>
                  </w:pPr>
                </w:p>
              </w:tc>
              <w:tc>
                <w:tcPr>
                  <w:tcW w:w="662" w:type="pct"/>
                  <w:vAlign w:val="center"/>
                </w:tcPr>
                <w:p w14:paraId="1689C99F">
                  <w:pPr>
                    <w:pStyle w:val="3488"/>
                    <w:spacing w:before="166" w:line="221" w:lineRule="auto"/>
                    <w:jc w:val="center"/>
                    <w:rPr>
                      <w:color w:val="auto"/>
                      <w:sz w:val="21"/>
                      <w:szCs w:val="21"/>
                      <w:lang w:eastAsia="zh-CN"/>
                    </w:rPr>
                  </w:pPr>
                  <w:r>
                    <w:rPr>
                      <w:color w:val="auto"/>
                      <w:spacing w:val="-1"/>
                      <w:sz w:val="21"/>
                      <w:szCs w:val="21"/>
                      <w:lang w:eastAsia="zh-CN"/>
                    </w:rPr>
                    <w:t>排放浓度限值</w:t>
                  </w:r>
                </w:p>
              </w:tc>
              <w:tc>
                <w:tcPr>
                  <w:tcW w:w="254" w:type="pct"/>
                  <w:vAlign w:val="center"/>
                </w:tcPr>
                <w:p w14:paraId="6B4DC48F">
                  <w:pPr>
                    <w:spacing w:before="175" w:line="210" w:lineRule="auto"/>
                    <w:jc w:val="center"/>
                    <w:rPr>
                      <w:rFonts w:eastAsia="Times New Roman"/>
                      <w:color w:val="auto"/>
                      <w:sz w:val="13"/>
                      <w:szCs w:val="13"/>
                    </w:rPr>
                  </w:pPr>
                  <w:r>
                    <w:rPr>
                      <w:rFonts w:eastAsia="Times New Roman"/>
                      <w:color w:val="auto"/>
                      <w:szCs w:val="21"/>
                    </w:rPr>
                    <w:t>mg/m</w:t>
                  </w:r>
                  <w:r>
                    <w:rPr>
                      <w:rFonts w:eastAsia="Times New Roman"/>
                      <w:color w:val="auto"/>
                      <w:position w:val="6"/>
                      <w:sz w:val="13"/>
                      <w:szCs w:val="13"/>
                    </w:rPr>
                    <w:t>3</w:t>
                  </w:r>
                </w:p>
              </w:tc>
              <w:tc>
                <w:tcPr>
                  <w:tcW w:w="2124" w:type="pct"/>
                  <w:gridSpan w:val="7"/>
                  <w:vAlign w:val="center"/>
                </w:tcPr>
                <w:p w14:paraId="128B973C">
                  <w:pPr>
                    <w:spacing w:before="194"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7C3B783B">
                  <w:pPr>
                    <w:spacing w:before="194" w:line="234" w:lineRule="auto"/>
                    <w:jc w:val="center"/>
                    <w:rPr>
                      <w:rFonts w:eastAsia="Times New Roman"/>
                      <w:color w:val="auto"/>
                      <w:szCs w:val="21"/>
                    </w:rPr>
                  </w:pPr>
                  <w:r>
                    <w:rPr>
                      <w:rFonts w:eastAsia="Times New Roman"/>
                      <w:color w:val="auto"/>
                      <w:spacing w:val="-6"/>
                      <w:szCs w:val="21"/>
                    </w:rPr>
                    <w:t>120</w:t>
                  </w:r>
                </w:p>
              </w:tc>
            </w:tr>
            <w:tr w14:paraId="0D9D7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pct"/>
                  <w:vMerge w:val="continue"/>
                  <w:vAlign w:val="center"/>
                </w:tcPr>
                <w:p w14:paraId="78931FAC">
                  <w:pPr>
                    <w:jc w:val="center"/>
                    <w:rPr>
                      <w:rFonts w:ascii="Arial"/>
                      <w:color w:val="auto"/>
                    </w:rPr>
                  </w:pPr>
                </w:p>
              </w:tc>
              <w:tc>
                <w:tcPr>
                  <w:tcW w:w="662" w:type="pct"/>
                  <w:vAlign w:val="center"/>
                </w:tcPr>
                <w:p w14:paraId="07EA72D1">
                  <w:pPr>
                    <w:pStyle w:val="3488"/>
                    <w:spacing w:before="170" w:line="221" w:lineRule="auto"/>
                    <w:jc w:val="center"/>
                    <w:rPr>
                      <w:color w:val="auto"/>
                      <w:sz w:val="21"/>
                      <w:szCs w:val="21"/>
                      <w:lang w:eastAsia="zh-CN"/>
                    </w:rPr>
                  </w:pPr>
                  <w:r>
                    <w:rPr>
                      <w:color w:val="auto"/>
                      <w:spacing w:val="-2"/>
                      <w:sz w:val="21"/>
                      <w:szCs w:val="21"/>
                      <w:lang w:eastAsia="zh-CN"/>
                    </w:rPr>
                    <w:t>排放速率</w:t>
                  </w:r>
                </w:p>
              </w:tc>
              <w:tc>
                <w:tcPr>
                  <w:tcW w:w="254" w:type="pct"/>
                  <w:vAlign w:val="center"/>
                </w:tcPr>
                <w:p w14:paraId="41A20659">
                  <w:pPr>
                    <w:spacing w:before="198" w:line="191" w:lineRule="auto"/>
                    <w:jc w:val="center"/>
                    <w:rPr>
                      <w:rFonts w:eastAsia="Times New Roman"/>
                      <w:color w:val="auto"/>
                      <w:szCs w:val="21"/>
                    </w:rPr>
                  </w:pPr>
                  <w:r>
                    <w:rPr>
                      <w:rFonts w:eastAsia="Times New Roman"/>
                      <w:color w:val="auto"/>
                      <w:szCs w:val="21"/>
                    </w:rPr>
                    <w:t>kg/h</w:t>
                  </w:r>
                </w:p>
              </w:tc>
              <w:tc>
                <w:tcPr>
                  <w:tcW w:w="1162" w:type="pct"/>
                  <w:gridSpan w:val="2"/>
                  <w:vAlign w:val="center"/>
                </w:tcPr>
                <w:p w14:paraId="09A87BC4">
                  <w:pPr>
                    <w:spacing w:before="198" w:line="233" w:lineRule="auto"/>
                    <w:jc w:val="center"/>
                    <w:rPr>
                      <w:rFonts w:eastAsia="Times New Roman"/>
                      <w:color w:val="auto"/>
                      <w:szCs w:val="21"/>
                    </w:rPr>
                  </w:pPr>
                  <w:r>
                    <w:rPr>
                      <w:rFonts w:eastAsia="Times New Roman"/>
                      <w:color w:val="auto"/>
                      <w:spacing w:val="-1"/>
                      <w:szCs w:val="21"/>
                    </w:rPr>
                    <w:t>0.6560</w:t>
                  </w:r>
                </w:p>
              </w:tc>
              <w:tc>
                <w:tcPr>
                  <w:tcW w:w="594" w:type="pct"/>
                  <w:gridSpan w:val="4"/>
                  <w:vAlign w:val="center"/>
                </w:tcPr>
                <w:p w14:paraId="60721B9D">
                  <w:pPr>
                    <w:spacing w:before="198" w:line="233" w:lineRule="auto"/>
                    <w:jc w:val="center"/>
                    <w:rPr>
                      <w:rFonts w:eastAsia="Times New Roman"/>
                      <w:color w:val="auto"/>
                      <w:szCs w:val="21"/>
                    </w:rPr>
                  </w:pPr>
                  <w:r>
                    <w:rPr>
                      <w:rFonts w:eastAsia="Times New Roman"/>
                      <w:color w:val="auto"/>
                      <w:spacing w:val="-1"/>
                      <w:szCs w:val="21"/>
                    </w:rPr>
                    <w:t>0.6995</w:t>
                  </w:r>
                </w:p>
              </w:tc>
              <w:tc>
                <w:tcPr>
                  <w:tcW w:w="367" w:type="pct"/>
                  <w:vAlign w:val="center"/>
                </w:tcPr>
                <w:p w14:paraId="7D858B37">
                  <w:pPr>
                    <w:spacing w:before="198" w:line="233" w:lineRule="auto"/>
                    <w:jc w:val="center"/>
                    <w:rPr>
                      <w:rFonts w:eastAsia="Times New Roman"/>
                      <w:color w:val="auto"/>
                      <w:szCs w:val="21"/>
                    </w:rPr>
                  </w:pPr>
                  <w:r>
                    <w:rPr>
                      <w:rFonts w:eastAsia="Times New Roman"/>
                      <w:color w:val="auto"/>
                      <w:spacing w:val="-1"/>
                      <w:szCs w:val="21"/>
                    </w:rPr>
                    <w:t>0.6520</w:t>
                  </w:r>
                </w:p>
              </w:tc>
              <w:tc>
                <w:tcPr>
                  <w:tcW w:w="367" w:type="pct"/>
                  <w:vAlign w:val="center"/>
                </w:tcPr>
                <w:p w14:paraId="2E12A117">
                  <w:pPr>
                    <w:spacing w:before="198" w:line="233" w:lineRule="auto"/>
                    <w:jc w:val="center"/>
                    <w:rPr>
                      <w:rFonts w:eastAsia="Times New Roman"/>
                      <w:color w:val="auto"/>
                      <w:szCs w:val="21"/>
                    </w:rPr>
                  </w:pPr>
                  <w:r>
                    <w:rPr>
                      <w:rFonts w:eastAsia="Times New Roman"/>
                      <w:color w:val="auto"/>
                      <w:spacing w:val="-1"/>
                      <w:szCs w:val="21"/>
                    </w:rPr>
                    <w:t>0.0094</w:t>
                  </w:r>
                </w:p>
              </w:tc>
              <w:tc>
                <w:tcPr>
                  <w:tcW w:w="367" w:type="pct"/>
                  <w:vAlign w:val="center"/>
                </w:tcPr>
                <w:p w14:paraId="48C4E6E3">
                  <w:pPr>
                    <w:spacing w:before="198" w:line="233" w:lineRule="auto"/>
                    <w:jc w:val="center"/>
                    <w:rPr>
                      <w:rFonts w:eastAsia="Times New Roman"/>
                      <w:color w:val="auto"/>
                      <w:szCs w:val="21"/>
                    </w:rPr>
                  </w:pPr>
                  <w:r>
                    <w:rPr>
                      <w:rFonts w:eastAsia="Times New Roman"/>
                      <w:color w:val="auto"/>
                      <w:spacing w:val="-1"/>
                      <w:szCs w:val="21"/>
                    </w:rPr>
                    <w:t>0.0110</w:t>
                  </w:r>
                </w:p>
              </w:tc>
              <w:tc>
                <w:tcPr>
                  <w:tcW w:w="367" w:type="pct"/>
                  <w:vAlign w:val="center"/>
                </w:tcPr>
                <w:p w14:paraId="4DC33AEC">
                  <w:pPr>
                    <w:spacing w:before="198" w:line="233" w:lineRule="auto"/>
                    <w:jc w:val="center"/>
                    <w:rPr>
                      <w:rFonts w:eastAsia="Times New Roman"/>
                      <w:color w:val="auto"/>
                      <w:szCs w:val="21"/>
                    </w:rPr>
                  </w:pPr>
                  <w:r>
                    <w:rPr>
                      <w:rFonts w:eastAsia="Times New Roman"/>
                      <w:color w:val="auto"/>
                      <w:spacing w:val="-1"/>
                      <w:szCs w:val="21"/>
                    </w:rPr>
                    <w:t>0.0097</w:t>
                  </w:r>
                </w:p>
              </w:tc>
            </w:tr>
            <w:tr w14:paraId="3CE6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56" w:type="pct"/>
                  <w:vMerge w:val="continue"/>
                  <w:vAlign w:val="center"/>
                </w:tcPr>
                <w:p w14:paraId="68DCD650">
                  <w:pPr>
                    <w:jc w:val="center"/>
                    <w:rPr>
                      <w:rFonts w:ascii="Arial"/>
                      <w:color w:val="auto"/>
                    </w:rPr>
                  </w:pPr>
                </w:p>
              </w:tc>
              <w:tc>
                <w:tcPr>
                  <w:tcW w:w="662" w:type="pct"/>
                  <w:vAlign w:val="center"/>
                </w:tcPr>
                <w:p w14:paraId="0BB3ED46">
                  <w:pPr>
                    <w:pStyle w:val="3488"/>
                    <w:spacing w:before="168" w:line="221" w:lineRule="auto"/>
                    <w:jc w:val="center"/>
                    <w:rPr>
                      <w:color w:val="auto"/>
                      <w:sz w:val="21"/>
                      <w:szCs w:val="21"/>
                      <w:lang w:eastAsia="zh-CN"/>
                    </w:rPr>
                  </w:pPr>
                  <w:r>
                    <w:rPr>
                      <w:color w:val="auto"/>
                      <w:spacing w:val="-1"/>
                      <w:sz w:val="21"/>
                      <w:szCs w:val="21"/>
                      <w:lang w:eastAsia="zh-CN"/>
                    </w:rPr>
                    <w:t>排放速率限值</w:t>
                  </w:r>
                </w:p>
              </w:tc>
              <w:tc>
                <w:tcPr>
                  <w:tcW w:w="254" w:type="pct"/>
                  <w:vAlign w:val="center"/>
                </w:tcPr>
                <w:p w14:paraId="041D34EF">
                  <w:pPr>
                    <w:spacing w:before="199" w:line="191" w:lineRule="auto"/>
                    <w:jc w:val="center"/>
                    <w:rPr>
                      <w:rFonts w:eastAsia="Times New Roman"/>
                      <w:color w:val="auto"/>
                      <w:szCs w:val="21"/>
                    </w:rPr>
                  </w:pPr>
                  <w:r>
                    <w:rPr>
                      <w:rFonts w:eastAsia="Times New Roman"/>
                      <w:color w:val="auto"/>
                      <w:szCs w:val="21"/>
                    </w:rPr>
                    <w:t>kg/h</w:t>
                  </w:r>
                </w:p>
              </w:tc>
              <w:tc>
                <w:tcPr>
                  <w:tcW w:w="2124" w:type="pct"/>
                  <w:gridSpan w:val="7"/>
                  <w:vAlign w:val="center"/>
                </w:tcPr>
                <w:p w14:paraId="6BF73402">
                  <w:pPr>
                    <w:spacing w:before="199" w:line="233" w:lineRule="auto"/>
                    <w:jc w:val="center"/>
                    <w:rPr>
                      <w:rFonts w:eastAsia="Times New Roman"/>
                      <w:color w:val="auto"/>
                      <w:szCs w:val="21"/>
                    </w:rPr>
                  </w:pPr>
                  <w:r>
                    <w:rPr>
                      <w:rFonts w:eastAsia="Times New Roman"/>
                      <w:color w:val="auto"/>
                      <w:szCs w:val="21"/>
                    </w:rPr>
                    <w:t>/</w:t>
                  </w:r>
                </w:p>
              </w:tc>
              <w:tc>
                <w:tcPr>
                  <w:tcW w:w="1102" w:type="pct"/>
                  <w:gridSpan w:val="3"/>
                  <w:vAlign w:val="center"/>
                </w:tcPr>
                <w:p w14:paraId="44726FA1">
                  <w:pPr>
                    <w:spacing w:before="199" w:line="233" w:lineRule="auto"/>
                    <w:jc w:val="center"/>
                    <w:rPr>
                      <w:rFonts w:eastAsia="Times New Roman"/>
                      <w:color w:val="auto"/>
                      <w:szCs w:val="21"/>
                    </w:rPr>
                  </w:pPr>
                  <w:r>
                    <w:rPr>
                      <w:rFonts w:eastAsia="Times New Roman"/>
                      <w:color w:val="auto"/>
                      <w:spacing w:val="-2"/>
                      <w:szCs w:val="21"/>
                    </w:rPr>
                    <w:t>3.5</w:t>
                  </w:r>
                </w:p>
              </w:tc>
            </w:tr>
          </w:tbl>
          <w:p w14:paraId="3BDEA732">
            <w:pPr>
              <w:adjustRightInd w:val="0"/>
              <w:snapToGrid w:val="0"/>
              <w:spacing w:before="120" w:beforeLines="50" w:line="360" w:lineRule="auto"/>
              <w:rPr>
                <w:rFonts w:hint="eastAsia" w:ascii="宋体" w:hAnsi="宋体" w:cs="宋体"/>
                <w:color w:val="auto"/>
                <w:spacing w:val="14"/>
                <w:sz w:val="24"/>
              </w:rPr>
            </w:pPr>
            <w:r>
              <w:rPr>
                <w:rFonts w:ascii="宋体" w:hAnsi="宋体" w:cs="宋体"/>
                <w:b/>
                <w:bCs/>
                <w:color w:val="auto"/>
                <w:spacing w:val="11"/>
                <w:sz w:val="24"/>
              </w:rPr>
              <w:t>废气验收监测结果评价：</w:t>
            </w:r>
          </w:p>
          <w:p w14:paraId="20B8502A">
            <w:pPr>
              <w:adjustRightInd w:val="0"/>
              <w:snapToGrid w:val="0"/>
              <w:spacing w:before="120" w:beforeLines="50" w:line="360" w:lineRule="auto"/>
              <w:ind w:firstLine="536" w:firstLineChars="200"/>
              <w:rPr>
                <w:rFonts w:hint="eastAsia" w:ascii="宋体" w:hAnsi="宋体" w:cs="宋体"/>
                <w:color w:val="auto"/>
                <w:spacing w:val="-1"/>
                <w:sz w:val="24"/>
              </w:rPr>
            </w:pPr>
            <w:r>
              <w:rPr>
                <w:rFonts w:ascii="宋体" w:hAnsi="宋体" w:cs="宋体"/>
                <w:color w:val="auto"/>
                <w:spacing w:val="14"/>
                <w:sz w:val="24"/>
              </w:rPr>
              <w:t>验收监测期间，</w:t>
            </w:r>
            <w:r>
              <w:rPr>
                <w:rFonts w:ascii="宋体" w:hAnsi="宋体" w:cs="宋体"/>
                <w:color w:val="auto"/>
                <w:spacing w:val="-59"/>
                <w:sz w:val="24"/>
              </w:rPr>
              <w:t xml:space="preserve"> </w:t>
            </w:r>
            <w:r>
              <w:rPr>
                <w:rFonts w:eastAsia="Times New Roman"/>
                <w:color w:val="auto"/>
                <w:spacing w:val="14"/>
                <w:sz w:val="24"/>
              </w:rPr>
              <w:t>1#</w:t>
            </w:r>
            <w:r>
              <w:rPr>
                <w:rFonts w:ascii="宋体" w:hAnsi="宋体" w:cs="宋体"/>
                <w:color w:val="auto"/>
                <w:spacing w:val="14"/>
                <w:sz w:val="24"/>
              </w:rPr>
              <w:t>排气筒、</w:t>
            </w:r>
            <w:r>
              <w:rPr>
                <w:rFonts w:eastAsia="Times New Roman"/>
                <w:color w:val="auto"/>
                <w:spacing w:val="14"/>
                <w:sz w:val="24"/>
              </w:rPr>
              <w:t>2#</w:t>
            </w:r>
            <w:r>
              <w:rPr>
                <w:rFonts w:ascii="宋体" w:hAnsi="宋体" w:cs="宋体"/>
                <w:color w:val="auto"/>
                <w:spacing w:val="14"/>
                <w:sz w:val="24"/>
              </w:rPr>
              <w:t>排气筒、</w:t>
            </w:r>
            <w:r>
              <w:rPr>
                <w:rFonts w:eastAsia="Times New Roman"/>
                <w:color w:val="auto"/>
                <w:spacing w:val="14"/>
                <w:sz w:val="24"/>
              </w:rPr>
              <w:t>4#</w:t>
            </w:r>
            <w:r>
              <w:rPr>
                <w:rFonts w:ascii="宋体" w:hAnsi="宋体" w:cs="宋体"/>
                <w:color w:val="auto"/>
                <w:spacing w:val="14"/>
                <w:sz w:val="24"/>
              </w:rPr>
              <w:t>排气筒、</w:t>
            </w:r>
            <w:r>
              <w:rPr>
                <w:rFonts w:eastAsia="Times New Roman"/>
                <w:color w:val="auto"/>
                <w:spacing w:val="14"/>
                <w:sz w:val="24"/>
              </w:rPr>
              <w:t>5#</w:t>
            </w:r>
            <w:r>
              <w:rPr>
                <w:rFonts w:ascii="宋体" w:hAnsi="宋体" w:cs="宋体"/>
                <w:color w:val="auto"/>
                <w:spacing w:val="14"/>
                <w:sz w:val="24"/>
              </w:rPr>
              <w:t>排气筒、</w:t>
            </w:r>
            <w:r>
              <w:rPr>
                <w:rFonts w:eastAsia="Times New Roman"/>
                <w:color w:val="auto"/>
                <w:spacing w:val="14"/>
                <w:sz w:val="24"/>
              </w:rPr>
              <w:t>6#</w:t>
            </w:r>
            <w:r>
              <w:rPr>
                <w:rFonts w:ascii="宋体" w:hAnsi="宋体" w:cs="宋体"/>
                <w:color w:val="auto"/>
                <w:spacing w:val="13"/>
                <w:sz w:val="24"/>
              </w:rPr>
              <w:t>排气筒、</w:t>
            </w:r>
            <w:r>
              <w:rPr>
                <w:rFonts w:eastAsia="Times New Roman"/>
                <w:color w:val="auto"/>
                <w:spacing w:val="13"/>
                <w:sz w:val="24"/>
              </w:rPr>
              <w:t>8#</w:t>
            </w:r>
            <w:r>
              <w:rPr>
                <w:rFonts w:ascii="宋体" w:hAnsi="宋体" w:cs="宋体"/>
                <w:color w:val="auto"/>
                <w:spacing w:val="7"/>
                <w:sz w:val="24"/>
              </w:rPr>
              <w:t>排气筒废气中颗粒物日均排放浓度均满足《大气污染物综合排放标准》（</w:t>
            </w:r>
            <w:r>
              <w:rPr>
                <w:rFonts w:eastAsia="Times New Roman"/>
                <w:color w:val="auto"/>
                <w:sz w:val="24"/>
              </w:rPr>
              <w:t>GB</w:t>
            </w:r>
            <w:r>
              <w:rPr>
                <w:rFonts w:eastAsia="Times New Roman"/>
                <w:color w:val="auto"/>
                <w:spacing w:val="7"/>
                <w:sz w:val="24"/>
              </w:rPr>
              <w:t>16297-</w:t>
            </w:r>
            <w:r>
              <w:rPr>
                <w:rFonts w:eastAsia="Times New Roman"/>
                <w:color w:val="auto"/>
                <w:spacing w:val="-1"/>
                <w:sz w:val="24"/>
              </w:rPr>
              <w:t>1996</w:t>
            </w:r>
            <w:r>
              <w:rPr>
                <w:rFonts w:ascii="宋体" w:hAnsi="宋体" w:cs="宋体"/>
                <w:color w:val="auto"/>
                <w:spacing w:val="-1"/>
                <w:sz w:val="24"/>
              </w:rPr>
              <w:t>）表</w:t>
            </w:r>
            <w:r>
              <w:rPr>
                <w:rFonts w:eastAsia="Times New Roman"/>
                <w:color w:val="auto"/>
                <w:spacing w:val="-1"/>
                <w:sz w:val="24"/>
              </w:rPr>
              <w:t>2</w:t>
            </w:r>
            <w:r>
              <w:rPr>
                <w:rFonts w:ascii="宋体" w:hAnsi="宋体" w:cs="宋体"/>
                <w:color w:val="auto"/>
                <w:spacing w:val="-1"/>
                <w:sz w:val="24"/>
              </w:rPr>
              <w:t>中二级标准限值要求；</w:t>
            </w:r>
            <w:r>
              <w:rPr>
                <w:rFonts w:eastAsia="Times New Roman"/>
                <w:color w:val="auto"/>
                <w:spacing w:val="-1"/>
                <w:sz w:val="24"/>
              </w:rPr>
              <w:t>1#</w:t>
            </w:r>
            <w:r>
              <w:rPr>
                <w:rFonts w:ascii="宋体" w:hAnsi="宋体" w:cs="宋体"/>
                <w:color w:val="auto"/>
                <w:spacing w:val="-1"/>
                <w:sz w:val="24"/>
              </w:rPr>
              <w:t>排气筒、</w:t>
            </w:r>
            <w:r>
              <w:rPr>
                <w:rFonts w:eastAsia="Times New Roman"/>
                <w:color w:val="auto"/>
                <w:spacing w:val="-1"/>
                <w:sz w:val="24"/>
              </w:rPr>
              <w:t>3#</w:t>
            </w:r>
            <w:r>
              <w:rPr>
                <w:rFonts w:ascii="宋体" w:hAnsi="宋体" w:cs="宋体"/>
                <w:color w:val="auto"/>
                <w:spacing w:val="-1"/>
                <w:sz w:val="24"/>
              </w:rPr>
              <w:t>排气筒、</w:t>
            </w:r>
            <w:r>
              <w:rPr>
                <w:rFonts w:eastAsia="Times New Roman"/>
                <w:color w:val="auto"/>
                <w:spacing w:val="-2"/>
                <w:sz w:val="24"/>
              </w:rPr>
              <w:t>6#</w:t>
            </w:r>
            <w:r>
              <w:rPr>
                <w:rFonts w:ascii="宋体" w:hAnsi="宋体" w:cs="宋体"/>
                <w:color w:val="auto"/>
                <w:spacing w:val="-2"/>
                <w:sz w:val="24"/>
              </w:rPr>
              <w:t>排气筒、</w:t>
            </w:r>
            <w:r>
              <w:rPr>
                <w:rFonts w:eastAsia="Times New Roman"/>
                <w:color w:val="auto"/>
                <w:spacing w:val="-2"/>
                <w:sz w:val="24"/>
              </w:rPr>
              <w:t>7#</w:t>
            </w:r>
            <w:r>
              <w:rPr>
                <w:rFonts w:ascii="宋体" w:hAnsi="宋体" w:cs="宋体"/>
                <w:color w:val="auto"/>
                <w:spacing w:val="-2"/>
                <w:sz w:val="24"/>
              </w:rPr>
              <w:t>排气筒废气中</w:t>
            </w:r>
            <w:r>
              <w:rPr>
                <w:rFonts w:ascii="宋体" w:hAnsi="宋体" w:cs="宋体"/>
                <w:color w:val="auto"/>
                <w:sz w:val="24"/>
              </w:rPr>
              <w:t>挥发性有机物日均排放浓度均满足《江苏省表面涂装（家具制造业</w:t>
            </w:r>
            <w:r>
              <w:rPr>
                <w:rFonts w:ascii="宋体" w:hAnsi="宋体" w:cs="宋体"/>
                <w:color w:val="auto"/>
                <w:spacing w:val="-1"/>
                <w:sz w:val="24"/>
              </w:rPr>
              <w:t>）挥发性有机物排</w:t>
            </w:r>
            <w:r>
              <w:rPr>
                <w:rFonts w:ascii="宋体" w:hAnsi="宋体" w:cs="宋体"/>
                <w:color w:val="auto"/>
                <w:spacing w:val="-2"/>
                <w:sz w:val="24"/>
              </w:rPr>
              <w:t>放标准》（</w:t>
            </w:r>
            <w:r>
              <w:rPr>
                <w:rFonts w:eastAsia="Times New Roman"/>
                <w:color w:val="auto"/>
                <w:spacing w:val="-2"/>
                <w:sz w:val="24"/>
              </w:rPr>
              <w:t>DB32/3152-2016</w:t>
            </w:r>
            <w:r>
              <w:rPr>
                <w:rFonts w:ascii="宋体" w:hAnsi="宋体" w:cs="宋体"/>
                <w:color w:val="auto"/>
                <w:spacing w:val="-2"/>
                <w:sz w:val="24"/>
              </w:rPr>
              <w:t>）表</w:t>
            </w:r>
            <w:r>
              <w:rPr>
                <w:rFonts w:eastAsia="Times New Roman"/>
                <w:color w:val="auto"/>
                <w:spacing w:val="-2"/>
                <w:sz w:val="24"/>
              </w:rPr>
              <w:t>1</w:t>
            </w:r>
            <w:r>
              <w:rPr>
                <w:rFonts w:ascii="宋体" w:hAnsi="宋体" w:cs="宋体"/>
                <w:color w:val="auto"/>
                <w:spacing w:val="-2"/>
                <w:sz w:val="24"/>
              </w:rPr>
              <w:t>标准限值要求；</w:t>
            </w:r>
            <w:r>
              <w:rPr>
                <w:rFonts w:eastAsia="Times New Roman"/>
                <w:color w:val="auto"/>
                <w:spacing w:val="-2"/>
                <w:sz w:val="24"/>
              </w:rPr>
              <w:t>3#</w:t>
            </w:r>
            <w:r>
              <w:rPr>
                <w:rFonts w:ascii="宋体" w:hAnsi="宋体" w:cs="宋体"/>
                <w:color w:val="auto"/>
                <w:spacing w:val="-2"/>
                <w:sz w:val="24"/>
              </w:rPr>
              <w:t>排气筒废气中二氧化硫、氮氧化</w:t>
            </w:r>
            <w:r>
              <w:rPr>
                <w:rFonts w:ascii="宋体" w:hAnsi="宋体" w:cs="宋体"/>
                <w:color w:val="auto"/>
                <w:spacing w:val="-1"/>
                <w:sz w:val="24"/>
              </w:rPr>
              <w:t>物、颗粒物日均排放浓度均满足《锅炉大气污染物排放标准》（</w:t>
            </w:r>
            <w:r>
              <w:rPr>
                <w:rFonts w:eastAsia="Times New Roman"/>
                <w:color w:val="auto"/>
                <w:spacing w:val="-1"/>
                <w:sz w:val="24"/>
              </w:rPr>
              <w:t>GB13271-2014</w:t>
            </w:r>
            <w:r>
              <w:rPr>
                <w:rFonts w:ascii="宋体" w:hAnsi="宋体" w:cs="宋体"/>
                <w:color w:val="auto"/>
                <w:spacing w:val="-1"/>
                <w:sz w:val="24"/>
              </w:rPr>
              <w:t>）表</w:t>
            </w:r>
            <w:r>
              <w:rPr>
                <w:rFonts w:eastAsia="Times New Roman"/>
                <w:color w:val="auto"/>
                <w:spacing w:val="-1"/>
                <w:sz w:val="24"/>
              </w:rPr>
              <w:t>2</w:t>
            </w:r>
            <w:r>
              <w:rPr>
                <w:rFonts w:ascii="宋体" w:hAnsi="宋体" w:cs="宋体"/>
                <w:color w:val="auto"/>
                <w:spacing w:val="-1"/>
                <w:sz w:val="24"/>
              </w:rPr>
              <w:t>中燃气锅炉标准限值要求。</w:t>
            </w:r>
          </w:p>
          <w:p w14:paraId="1C1B32FB">
            <w:pPr>
              <w:adjustRightInd w:val="0"/>
              <w:snapToGrid w:val="0"/>
              <w:spacing w:before="120" w:beforeLines="50" w:line="360" w:lineRule="auto"/>
              <w:ind w:firstLine="536" w:firstLineChars="200"/>
              <w:rPr>
                <w:color w:val="auto"/>
                <w:spacing w:val="14"/>
                <w:sz w:val="24"/>
              </w:rPr>
            </w:pPr>
            <w:r>
              <w:rPr>
                <w:color w:val="auto"/>
                <w:spacing w:val="14"/>
                <w:sz w:val="24"/>
              </w:rPr>
              <w:t>验收监测期间，厂界无组织废气中挥发性有机物周界外浓度最大值（0.148mg/m</w:t>
            </w:r>
            <w:r>
              <w:rPr>
                <w:color w:val="auto"/>
                <w:spacing w:val="14"/>
                <w:sz w:val="24"/>
                <w:vertAlign w:val="superscript"/>
              </w:rPr>
              <w:t>3</w:t>
            </w:r>
            <w:r>
              <w:rPr>
                <w:color w:val="auto"/>
                <w:spacing w:val="14"/>
                <w:sz w:val="24"/>
              </w:rPr>
              <w:t>）达到《江苏省表面涂装（家具制造业）挥发性有机物排放标准》（DB32/3152-2016）中表2无组织排放监控点浓度限值要求；厂界无组织废气中总悬浮颗粒物周界外浓度最大值（0.395mg/m</w:t>
            </w:r>
            <w:r>
              <w:rPr>
                <w:color w:val="auto"/>
                <w:spacing w:val="14"/>
                <w:sz w:val="24"/>
                <w:vertAlign w:val="superscript"/>
              </w:rPr>
              <w:t>3</w:t>
            </w:r>
            <w:r>
              <w:rPr>
                <w:color w:val="auto"/>
                <w:spacing w:val="14"/>
                <w:sz w:val="24"/>
              </w:rPr>
              <w:t>）达到《大气污染物综合排放标准》 （GB16297-1996）中表2无组织排放监控浓度限值要求。</w:t>
            </w:r>
          </w:p>
          <w:p w14:paraId="035858D5">
            <w:pPr>
              <w:adjustRightInd w:val="0"/>
              <w:snapToGrid w:val="0"/>
              <w:spacing w:before="120" w:beforeLines="50" w:line="360" w:lineRule="auto"/>
              <w:ind w:firstLine="482" w:firstLineChars="200"/>
              <w:rPr>
                <w:rFonts w:hint="eastAsia" w:ascii="宋体" w:hAnsi="宋体"/>
                <w:b/>
                <w:bCs/>
                <w:color w:val="auto"/>
                <w:sz w:val="24"/>
              </w:rPr>
            </w:pPr>
            <w:r>
              <w:rPr>
                <w:rFonts w:hint="eastAsia" w:ascii="宋体" w:hAnsi="宋体"/>
                <w:b/>
                <w:bCs/>
                <w:color w:val="auto"/>
                <w:sz w:val="24"/>
                <w:lang w:eastAsia="zh-CN"/>
              </w:rPr>
              <w:t>(2)</w:t>
            </w:r>
            <w:r>
              <w:rPr>
                <w:rFonts w:hint="eastAsia" w:ascii="宋体" w:hAnsi="宋体"/>
                <w:b/>
                <w:bCs/>
                <w:color w:val="auto"/>
                <w:sz w:val="24"/>
              </w:rPr>
              <w:t>废水验收监测</w:t>
            </w:r>
          </w:p>
          <w:p w14:paraId="4CFFE072">
            <w:pPr>
              <w:adjustRightInd w:val="0"/>
              <w:snapToGrid w:val="0"/>
              <w:spacing w:line="360" w:lineRule="auto"/>
              <w:ind w:firstLine="480" w:firstLineChars="200"/>
              <w:rPr>
                <w:rFonts w:cs="FangSong_GB2312-Identity-H"/>
                <w:bCs/>
                <w:color w:val="auto"/>
                <w:sz w:val="24"/>
                <w:szCs w:val="32"/>
              </w:rPr>
            </w:pPr>
            <w:r>
              <w:rPr>
                <w:rFonts w:hint="eastAsia" w:cs="FangSong_GB2312-Identity-H"/>
                <w:bCs/>
                <w:color w:val="auto"/>
                <w:sz w:val="24"/>
                <w:szCs w:val="32"/>
              </w:rPr>
              <w:t>现有厂区项目废水监测结果与评价见表</w:t>
            </w:r>
            <w:r>
              <w:rPr>
                <w:rFonts w:cs="FangSong_GB2312-Identity-H"/>
                <w:bCs/>
                <w:color w:val="auto"/>
                <w:sz w:val="24"/>
                <w:szCs w:val="32"/>
              </w:rPr>
              <w:t>2-</w:t>
            </w:r>
            <w:r>
              <w:rPr>
                <w:rFonts w:hint="eastAsia" w:cs="FangSong_GB2312-Identity-H"/>
                <w:bCs/>
                <w:color w:val="auto"/>
                <w:sz w:val="24"/>
                <w:szCs w:val="32"/>
              </w:rPr>
              <w:t>17。</w:t>
            </w:r>
          </w:p>
          <w:p w14:paraId="27AB3030">
            <w:pPr>
              <w:spacing w:before="52" w:line="233" w:lineRule="auto"/>
              <w:ind w:left="3494"/>
              <w:rPr>
                <w:rFonts w:hint="eastAsia" w:ascii="宋体" w:hAnsi="宋体" w:cs="宋体"/>
                <w:color w:val="auto"/>
                <w:sz w:val="24"/>
              </w:rPr>
            </w:pPr>
            <w:r>
              <w:rPr>
                <w:rFonts w:ascii="宋体" w:hAnsi="宋体" w:cs="宋体"/>
                <w:b/>
                <w:bCs/>
                <w:color w:val="auto"/>
                <w:spacing w:val="-3"/>
                <w:sz w:val="24"/>
              </w:rPr>
              <w:t>表</w:t>
            </w:r>
            <w:r>
              <w:rPr>
                <w:rFonts w:ascii="宋体" w:hAnsi="宋体" w:cs="宋体"/>
                <w:color w:val="auto"/>
                <w:spacing w:val="-43"/>
                <w:sz w:val="24"/>
              </w:rPr>
              <w:t xml:space="preserve"> </w:t>
            </w:r>
            <w:r>
              <w:rPr>
                <w:rFonts w:hint="eastAsia"/>
                <w:b/>
                <w:bCs/>
                <w:color w:val="auto"/>
                <w:spacing w:val="-3"/>
                <w:sz w:val="24"/>
              </w:rPr>
              <w:t>2</w:t>
            </w:r>
            <w:r>
              <w:rPr>
                <w:rFonts w:eastAsia="Times New Roman"/>
                <w:b/>
                <w:bCs/>
                <w:color w:val="auto"/>
                <w:spacing w:val="-3"/>
                <w:sz w:val="24"/>
              </w:rPr>
              <w:t>-</w:t>
            </w:r>
            <w:r>
              <w:rPr>
                <w:rFonts w:hint="eastAsia"/>
                <w:b/>
                <w:bCs/>
                <w:color w:val="auto"/>
                <w:spacing w:val="-3"/>
                <w:sz w:val="24"/>
              </w:rPr>
              <w:t>17</w:t>
            </w:r>
            <w:r>
              <w:rPr>
                <w:rFonts w:eastAsia="Times New Roman"/>
                <w:b/>
                <w:bCs/>
                <w:color w:val="auto"/>
                <w:spacing w:val="-3"/>
                <w:sz w:val="24"/>
              </w:rPr>
              <w:t xml:space="preserve"> </w:t>
            </w:r>
            <w:r>
              <w:rPr>
                <w:rFonts w:ascii="宋体" w:hAnsi="宋体" w:cs="宋体"/>
                <w:b/>
                <w:bCs/>
                <w:color w:val="auto"/>
                <w:spacing w:val="-3"/>
                <w:sz w:val="24"/>
              </w:rPr>
              <w:t>废水监测结果统计表</w:t>
            </w:r>
          </w:p>
          <w:p w14:paraId="32F8285F">
            <w:pPr>
              <w:spacing w:line="128" w:lineRule="exact"/>
              <w:rPr>
                <w:color w:val="auto"/>
              </w:rPr>
            </w:pPr>
          </w:p>
          <w:tbl>
            <w:tblPr>
              <w:tblStyle w:val="400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3"/>
              <w:gridCol w:w="1344"/>
              <w:gridCol w:w="2823"/>
              <w:gridCol w:w="987"/>
              <w:gridCol w:w="984"/>
              <w:gridCol w:w="987"/>
              <w:gridCol w:w="982"/>
              <w:gridCol w:w="997"/>
              <w:gridCol w:w="1319"/>
              <w:gridCol w:w="620"/>
            </w:tblGrid>
            <w:tr w14:paraId="6B2C6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578" w:type="pct"/>
                  <w:vMerge w:val="restart"/>
                  <w:tcBorders>
                    <w:bottom w:val="nil"/>
                  </w:tcBorders>
                </w:tcPr>
                <w:p w14:paraId="4FF66086">
                  <w:pPr>
                    <w:spacing w:line="275" w:lineRule="auto"/>
                    <w:rPr>
                      <w:rFonts w:ascii="Arial"/>
                      <w:color w:val="auto"/>
                    </w:rPr>
                  </w:pPr>
                </w:p>
                <w:p w14:paraId="04B47306">
                  <w:pPr>
                    <w:spacing w:line="275" w:lineRule="auto"/>
                    <w:rPr>
                      <w:rFonts w:ascii="Arial"/>
                      <w:color w:val="auto"/>
                    </w:rPr>
                  </w:pPr>
                </w:p>
                <w:p w14:paraId="5CA711E2">
                  <w:pPr>
                    <w:pStyle w:val="3488"/>
                    <w:spacing w:before="69" w:line="222" w:lineRule="auto"/>
                    <w:ind w:left="407"/>
                    <w:rPr>
                      <w:color w:val="auto"/>
                      <w:sz w:val="21"/>
                      <w:szCs w:val="21"/>
                    </w:rPr>
                  </w:pPr>
                  <w:r>
                    <w:rPr>
                      <w:color w:val="auto"/>
                      <w:spacing w:val="-2"/>
                      <w:sz w:val="21"/>
                      <w:szCs w:val="21"/>
                    </w:rPr>
                    <w:t>监测</w:t>
                  </w:r>
                </w:p>
                <w:p w14:paraId="167EF596">
                  <w:pPr>
                    <w:pStyle w:val="3488"/>
                    <w:spacing w:before="23" w:line="221" w:lineRule="auto"/>
                    <w:ind w:left="443"/>
                    <w:rPr>
                      <w:color w:val="auto"/>
                      <w:sz w:val="21"/>
                      <w:szCs w:val="21"/>
                    </w:rPr>
                  </w:pPr>
                  <w:r>
                    <w:rPr>
                      <w:color w:val="auto"/>
                      <w:spacing w:val="-11"/>
                      <w:sz w:val="21"/>
                      <w:szCs w:val="21"/>
                    </w:rPr>
                    <w:t>日期</w:t>
                  </w:r>
                </w:p>
              </w:tc>
              <w:tc>
                <w:tcPr>
                  <w:tcW w:w="538" w:type="pct"/>
                  <w:vMerge w:val="restart"/>
                  <w:tcBorders>
                    <w:bottom w:val="nil"/>
                  </w:tcBorders>
                </w:tcPr>
                <w:p w14:paraId="7761AFB2">
                  <w:pPr>
                    <w:spacing w:line="344" w:lineRule="auto"/>
                    <w:rPr>
                      <w:rFonts w:ascii="Arial"/>
                      <w:color w:val="auto"/>
                    </w:rPr>
                  </w:pPr>
                </w:p>
                <w:p w14:paraId="2CAF9407">
                  <w:pPr>
                    <w:spacing w:line="345" w:lineRule="auto"/>
                    <w:rPr>
                      <w:rFonts w:ascii="Arial"/>
                      <w:color w:val="auto"/>
                    </w:rPr>
                  </w:pPr>
                </w:p>
                <w:p w14:paraId="1B3523DD">
                  <w:pPr>
                    <w:pStyle w:val="3488"/>
                    <w:spacing w:before="68" w:line="222" w:lineRule="auto"/>
                    <w:ind w:left="177"/>
                    <w:rPr>
                      <w:color w:val="auto"/>
                      <w:sz w:val="21"/>
                      <w:szCs w:val="21"/>
                    </w:rPr>
                  </w:pPr>
                  <w:r>
                    <w:rPr>
                      <w:color w:val="auto"/>
                      <w:spacing w:val="-2"/>
                      <w:sz w:val="21"/>
                      <w:szCs w:val="21"/>
                    </w:rPr>
                    <w:t>监测点位</w:t>
                  </w:r>
                </w:p>
              </w:tc>
              <w:tc>
                <w:tcPr>
                  <w:tcW w:w="1130" w:type="pct"/>
                  <w:vMerge w:val="restart"/>
                  <w:tcBorders>
                    <w:bottom w:val="nil"/>
                  </w:tcBorders>
                </w:tcPr>
                <w:p w14:paraId="3EF9D6FC">
                  <w:pPr>
                    <w:spacing w:line="344" w:lineRule="auto"/>
                    <w:rPr>
                      <w:rFonts w:ascii="Arial"/>
                      <w:color w:val="auto"/>
                    </w:rPr>
                  </w:pPr>
                </w:p>
                <w:p w14:paraId="6A89CD94">
                  <w:pPr>
                    <w:spacing w:line="345" w:lineRule="auto"/>
                    <w:rPr>
                      <w:rFonts w:ascii="Arial"/>
                      <w:color w:val="auto"/>
                    </w:rPr>
                  </w:pPr>
                </w:p>
                <w:p w14:paraId="20F15E67">
                  <w:pPr>
                    <w:pStyle w:val="3488"/>
                    <w:spacing w:before="68" w:line="221" w:lineRule="auto"/>
                    <w:ind w:left="293"/>
                    <w:rPr>
                      <w:color w:val="auto"/>
                      <w:sz w:val="21"/>
                      <w:szCs w:val="21"/>
                    </w:rPr>
                  </w:pPr>
                  <w:r>
                    <w:rPr>
                      <w:color w:val="auto"/>
                      <w:spacing w:val="-2"/>
                      <w:sz w:val="21"/>
                      <w:szCs w:val="21"/>
                    </w:rPr>
                    <w:t>监测项目</w:t>
                  </w:r>
                </w:p>
              </w:tc>
              <w:tc>
                <w:tcPr>
                  <w:tcW w:w="395" w:type="pct"/>
                  <w:vMerge w:val="restart"/>
                  <w:tcBorders>
                    <w:bottom w:val="nil"/>
                  </w:tcBorders>
                </w:tcPr>
                <w:p w14:paraId="0DD21390">
                  <w:pPr>
                    <w:spacing w:line="344" w:lineRule="auto"/>
                    <w:rPr>
                      <w:rFonts w:ascii="Arial"/>
                      <w:color w:val="auto"/>
                    </w:rPr>
                  </w:pPr>
                </w:p>
                <w:p w14:paraId="1D7E0BD8">
                  <w:pPr>
                    <w:spacing w:line="345" w:lineRule="auto"/>
                    <w:rPr>
                      <w:rFonts w:ascii="Arial"/>
                      <w:color w:val="auto"/>
                    </w:rPr>
                  </w:pPr>
                </w:p>
                <w:p w14:paraId="1B7683D0">
                  <w:pPr>
                    <w:pStyle w:val="3488"/>
                    <w:spacing w:before="68" w:line="221" w:lineRule="auto"/>
                    <w:ind w:left="222"/>
                    <w:rPr>
                      <w:color w:val="auto"/>
                      <w:sz w:val="21"/>
                      <w:szCs w:val="21"/>
                    </w:rPr>
                  </w:pPr>
                  <w:r>
                    <w:rPr>
                      <w:color w:val="auto"/>
                      <w:spacing w:val="-2"/>
                      <w:sz w:val="21"/>
                      <w:szCs w:val="21"/>
                    </w:rPr>
                    <w:t>单位</w:t>
                  </w:r>
                </w:p>
              </w:tc>
              <w:tc>
                <w:tcPr>
                  <w:tcW w:w="2109" w:type="pct"/>
                  <w:gridSpan w:val="5"/>
                </w:tcPr>
                <w:p w14:paraId="2E797355">
                  <w:pPr>
                    <w:pStyle w:val="3488"/>
                    <w:spacing w:before="183" w:line="221" w:lineRule="auto"/>
                    <w:ind w:left="1855"/>
                    <w:rPr>
                      <w:color w:val="auto"/>
                      <w:sz w:val="21"/>
                      <w:szCs w:val="21"/>
                    </w:rPr>
                  </w:pPr>
                  <w:r>
                    <w:rPr>
                      <w:color w:val="auto"/>
                      <w:spacing w:val="-2"/>
                      <w:sz w:val="21"/>
                      <w:szCs w:val="21"/>
                    </w:rPr>
                    <w:t>监测结果</w:t>
                  </w:r>
                </w:p>
              </w:tc>
              <w:tc>
                <w:tcPr>
                  <w:tcW w:w="248" w:type="pct"/>
                  <w:vMerge w:val="restart"/>
                  <w:tcBorders>
                    <w:bottom w:val="nil"/>
                  </w:tcBorders>
                  <w:textDirection w:val="tbRlV"/>
                </w:tcPr>
                <w:p w14:paraId="5B2F2692">
                  <w:pPr>
                    <w:pStyle w:val="3488"/>
                    <w:spacing w:before="191" w:line="209" w:lineRule="auto"/>
                    <w:ind w:left="351"/>
                    <w:rPr>
                      <w:color w:val="auto"/>
                      <w:sz w:val="21"/>
                      <w:szCs w:val="21"/>
                    </w:rPr>
                  </w:pPr>
                  <w:r>
                    <w:rPr>
                      <w:color w:val="auto"/>
                      <w:spacing w:val="1"/>
                      <w:sz w:val="21"/>
                      <w:szCs w:val="21"/>
                    </w:rPr>
                    <w:t>限</w:t>
                  </w:r>
                  <w:r>
                    <w:rPr>
                      <w:color w:val="auto"/>
                      <w:spacing w:val="-43"/>
                      <w:sz w:val="21"/>
                      <w:szCs w:val="21"/>
                    </w:rPr>
                    <w:t xml:space="preserve"> </w:t>
                  </w:r>
                  <w:r>
                    <w:rPr>
                      <w:color w:val="auto"/>
                      <w:spacing w:val="1"/>
                      <w:sz w:val="21"/>
                      <w:szCs w:val="21"/>
                    </w:rPr>
                    <w:t>值</w:t>
                  </w:r>
                  <w:r>
                    <w:rPr>
                      <w:color w:val="auto"/>
                      <w:spacing w:val="-45"/>
                      <w:sz w:val="21"/>
                      <w:szCs w:val="21"/>
                    </w:rPr>
                    <w:t xml:space="preserve"> </w:t>
                  </w:r>
                  <w:r>
                    <w:rPr>
                      <w:color w:val="auto"/>
                      <w:spacing w:val="1"/>
                      <w:sz w:val="21"/>
                      <w:szCs w:val="21"/>
                    </w:rPr>
                    <w:t>标</w:t>
                  </w:r>
                  <w:r>
                    <w:rPr>
                      <w:color w:val="auto"/>
                      <w:spacing w:val="-43"/>
                      <w:sz w:val="21"/>
                      <w:szCs w:val="21"/>
                    </w:rPr>
                    <w:t xml:space="preserve"> </w:t>
                  </w:r>
                  <w:r>
                    <w:rPr>
                      <w:color w:val="auto"/>
                      <w:spacing w:val="1"/>
                      <w:sz w:val="21"/>
                      <w:szCs w:val="21"/>
                    </w:rPr>
                    <w:t>准</w:t>
                  </w:r>
                </w:p>
              </w:tc>
            </w:tr>
            <w:tr w14:paraId="6D08F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bottom w:val="nil"/>
                  </w:tcBorders>
                </w:tcPr>
                <w:p w14:paraId="32C075D2">
                  <w:pPr>
                    <w:rPr>
                      <w:rFonts w:ascii="Arial"/>
                      <w:color w:val="auto"/>
                    </w:rPr>
                  </w:pPr>
                </w:p>
              </w:tc>
              <w:tc>
                <w:tcPr>
                  <w:tcW w:w="538" w:type="pct"/>
                  <w:vMerge w:val="continue"/>
                  <w:tcBorders>
                    <w:top w:val="nil"/>
                    <w:bottom w:val="nil"/>
                  </w:tcBorders>
                </w:tcPr>
                <w:p w14:paraId="21A16AB6">
                  <w:pPr>
                    <w:rPr>
                      <w:rFonts w:ascii="Arial"/>
                      <w:color w:val="auto"/>
                    </w:rPr>
                  </w:pPr>
                </w:p>
              </w:tc>
              <w:tc>
                <w:tcPr>
                  <w:tcW w:w="1130" w:type="pct"/>
                  <w:vMerge w:val="continue"/>
                  <w:tcBorders>
                    <w:top w:val="nil"/>
                    <w:bottom w:val="nil"/>
                  </w:tcBorders>
                </w:tcPr>
                <w:p w14:paraId="5F9AFBFD">
                  <w:pPr>
                    <w:rPr>
                      <w:rFonts w:ascii="Arial"/>
                      <w:color w:val="auto"/>
                    </w:rPr>
                  </w:pPr>
                </w:p>
              </w:tc>
              <w:tc>
                <w:tcPr>
                  <w:tcW w:w="395" w:type="pct"/>
                  <w:vMerge w:val="continue"/>
                  <w:tcBorders>
                    <w:top w:val="nil"/>
                    <w:bottom w:val="nil"/>
                  </w:tcBorders>
                </w:tcPr>
                <w:p w14:paraId="12C86526">
                  <w:pPr>
                    <w:rPr>
                      <w:rFonts w:ascii="Arial"/>
                      <w:color w:val="auto"/>
                    </w:rPr>
                  </w:pPr>
                </w:p>
              </w:tc>
              <w:tc>
                <w:tcPr>
                  <w:tcW w:w="1581" w:type="pct"/>
                  <w:gridSpan w:val="4"/>
                </w:tcPr>
                <w:p w14:paraId="5FD05905">
                  <w:pPr>
                    <w:pStyle w:val="3488"/>
                    <w:spacing w:before="181" w:line="221" w:lineRule="auto"/>
                    <w:ind w:left="1287"/>
                    <w:rPr>
                      <w:color w:val="auto"/>
                      <w:sz w:val="21"/>
                      <w:szCs w:val="21"/>
                    </w:rPr>
                  </w:pPr>
                  <w:r>
                    <w:rPr>
                      <w:color w:val="auto"/>
                      <w:spacing w:val="-1"/>
                      <w:sz w:val="21"/>
                      <w:szCs w:val="21"/>
                    </w:rPr>
                    <w:t>样品编号</w:t>
                  </w:r>
                </w:p>
              </w:tc>
              <w:tc>
                <w:tcPr>
                  <w:tcW w:w="527" w:type="pct"/>
                  <w:vMerge w:val="restart"/>
                  <w:tcBorders>
                    <w:bottom w:val="nil"/>
                  </w:tcBorders>
                </w:tcPr>
                <w:p w14:paraId="658DF0FB">
                  <w:pPr>
                    <w:spacing w:line="262" w:lineRule="auto"/>
                    <w:rPr>
                      <w:rFonts w:ascii="Arial"/>
                      <w:color w:val="auto"/>
                    </w:rPr>
                  </w:pPr>
                </w:p>
                <w:p w14:paraId="56C48FF1">
                  <w:pPr>
                    <w:pStyle w:val="3488"/>
                    <w:spacing w:before="68" w:line="221" w:lineRule="auto"/>
                    <w:ind w:left="156"/>
                    <w:rPr>
                      <w:color w:val="auto"/>
                      <w:sz w:val="21"/>
                      <w:szCs w:val="21"/>
                    </w:rPr>
                  </w:pPr>
                  <w:r>
                    <w:rPr>
                      <w:color w:val="auto"/>
                      <w:spacing w:val="-2"/>
                      <w:sz w:val="21"/>
                      <w:szCs w:val="21"/>
                    </w:rPr>
                    <w:t>均值或范</w:t>
                  </w:r>
                </w:p>
                <w:p w14:paraId="4CAC35DC">
                  <w:pPr>
                    <w:pStyle w:val="3488"/>
                    <w:spacing w:before="20" w:line="221" w:lineRule="auto"/>
                    <w:ind w:left="488"/>
                    <w:rPr>
                      <w:color w:val="auto"/>
                      <w:sz w:val="21"/>
                      <w:szCs w:val="21"/>
                    </w:rPr>
                  </w:pPr>
                  <w:r>
                    <w:rPr>
                      <w:color w:val="auto"/>
                      <w:sz w:val="21"/>
                      <w:szCs w:val="21"/>
                    </w:rPr>
                    <w:t>围</w:t>
                  </w:r>
                </w:p>
              </w:tc>
              <w:tc>
                <w:tcPr>
                  <w:tcW w:w="248" w:type="pct"/>
                  <w:vMerge w:val="continue"/>
                  <w:tcBorders>
                    <w:top w:val="nil"/>
                    <w:bottom w:val="nil"/>
                  </w:tcBorders>
                  <w:textDirection w:val="tbRlV"/>
                </w:tcPr>
                <w:p w14:paraId="22919DD3">
                  <w:pPr>
                    <w:rPr>
                      <w:rFonts w:ascii="Arial"/>
                      <w:color w:val="auto"/>
                    </w:rPr>
                  </w:pPr>
                </w:p>
              </w:tc>
            </w:tr>
            <w:tr w14:paraId="13D3B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tcBorders>
                </w:tcPr>
                <w:p w14:paraId="5E23CCB9">
                  <w:pPr>
                    <w:rPr>
                      <w:rFonts w:ascii="Arial"/>
                      <w:color w:val="auto"/>
                    </w:rPr>
                  </w:pPr>
                </w:p>
              </w:tc>
              <w:tc>
                <w:tcPr>
                  <w:tcW w:w="538" w:type="pct"/>
                  <w:vMerge w:val="continue"/>
                  <w:tcBorders>
                    <w:top w:val="nil"/>
                  </w:tcBorders>
                </w:tcPr>
                <w:p w14:paraId="33CA869C">
                  <w:pPr>
                    <w:rPr>
                      <w:rFonts w:ascii="Arial"/>
                      <w:color w:val="auto"/>
                    </w:rPr>
                  </w:pPr>
                </w:p>
              </w:tc>
              <w:tc>
                <w:tcPr>
                  <w:tcW w:w="1130" w:type="pct"/>
                  <w:vMerge w:val="continue"/>
                  <w:tcBorders>
                    <w:top w:val="nil"/>
                  </w:tcBorders>
                </w:tcPr>
                <w:p w14:paraId="2AFB43EB">
                  <w:pPr>
                    <w:rPr>
                      <w:rFonts w:ascii="Arial"/>
                      <w:color w:val="auto"/>
                    </w:rPr>
                  </w:pPr>
                </w:p>
              </w:tc>
              <w:tc>
                <w:tcPr>
                  <w:tcW w:w="395" w:type="pct"/>
                  <w:vMerge w:val="continue"/>
                  <w:tcBorders>
                    <w:top w:val="nil"/>
                  </w:tcBorders>
                </w:tcPr>
                <w:p w14:paraId="7CDEEB70">
                  <w:pPr>
                    <w:rPr>
                      <w:rFonts w:ascii="Arial"/>
                      <w:color w:val="auto"/>
                    </w:rPr>
                  </w:pPr>
                </w:p>
              </w:tc>
              <w:tc>
                <w:tcPr>
                  <w:tcW w:w="394" w:type="pct"/>
                </w:tcPr>
                <w:p w14:paraId="214DCAD1">
                  <w:pPr>
                    <w:pStyle w:val="3488"/>
                    <w:spacing w:before="176" w:line="221" w:lineRule="auto"/>
                    <w:ind w:left="114"/>
                    <w:rPr>
                      <w:color w:val="auto"/>
                      <w:sz w:val="21"/>
                      <w:szCs w:val="21"/>
                    </w:rPr>
                  </w:pPr>
                  <w:r>
                    <w:rPr>
                      <w:color w:val="auto"/>
                      <w:spacing w:val="-2"/>
                      <w:sz w:val="21"/>
                      <w:szCs w:val="21"/>
                    </w:rPr>
                    <w:t>第一次</w:t>
                  </w:r>
                </w:p>
              </w:tc>
              <w:tc>
                <w:tcPr>
                  <w:tcW w:w="395" w:type="pct"/>
                </w:tcPr>
                <w:p w14:paraId="51D28D02">
                  <w:pPr>
                    <w:pStyle w:val="3488"/>
                    <w:spacing w:before="176" w:line="221" w:lineRule="auto"/>
                    <w:ind w:left="117"/>
                    <w:rPr>
                      <w:color w:val="auto"/>
                      <w:sz w:val="21"/>
                      <w:szCs w:val="21"/>
                    </w:rPr>
                  </w:pPr>
                  <w:r>
                    <w:rPr>
                      <w:color w:val="auto"/>
                      <w:spacing w:val="-2"/>
                      <w:sz w:val="21"/>
                      <w:szCs w:val="21"/>
                    </w:rPr>
                    <w:t>第二次</w:t>
                  </w:r>
                </w:p>
              </w:tc>
              <w:tc>
                <w:tcPr>
                  <w:tcW w:w="393" w:type="pct"/>
                </w:tcPr>
                <w:p w14:paraId="1CA1CD28">
                  <w:pPr>
                    <w:pStyle w:val="3488"/>
                    <w:spacing w:before="176" w:line="221" w:lineRule="auto"/>
                    <w:ind w:left="113"/>
                    <w:rPr>
                      <w:color w:val="auto"/>
                      <w:sz w:val="21"/>
                      <w:szCs w:val="21"/>
                    </w:rPr>
                  </w:pPr>
                  <w:r>
                    <w:rPr>
                      <w:color w:val="auto"/>
                      <w:spacing w:val="-2"/>
                      <w:sz w:val="21"/>
                      <w:szCs w:val="21"/>
                    </w:rPr>
                    <w:t>第三次</w:t>
                  </w:r>
                </w:p>
              </w:tc>
              <w:tc>
                <w:tcPr>
                  <w:tcW w:w="397" w:type="pct"/>
                </w:tcPr>
                <w:p w14:paraId="22A32574">
                  <w:pPr>
                    <w:pStyle w:val="3488"/>
                    <w:spacing w:before="176" w:line="221" w:lineRule="auto"/>
                    <w:ind w:left="119"/>
                    <w:rPr>
                      <w:color w:val="auto"/>
                      <w:sz w:val="21"/>
                      <w:szCs w:val="21"/>
                    </w:rPr>
                  </w:pPr>
                  <w:r>
                    <w:rPr>
                      <w:color w:val="auto"/>
                      <w:spacing w:val="-2"/>
                      <w:sz w:val="21"/>
                      <w:szCs w:val="21"/>
                    </w:rPr>
                    <w:t>第四次</w:t>
                  </w:r>
                </w:p>
              </w:tc>
              <w:tc>
                <w:tcPr>
                  <w:tcW w:w="527" w:type="pct"/>
                  <w:vMerge w:val="continue"/>
                  <w:tcBorders>
                    <w:top w:val="nil"/>
                  </w:tcBorders>
                </w:tcPr>
                <w:p w14:paraId="4A43AA7F">
                  <w:pPr>
                    <w:rPr>
                      <w:rFonts w:ascii="Arial"/>
                      <w:color w:val="auto"/>
                    </w:rPr>
                  </w:pPr>
                </w:p>
              </w:tc>
              <w:tc>
                <w:tcPr>
                  <w:tcW w:w="248" w:type="pct"/>
                  <w:vMerge w:val="continue"/>
                  <w:tcBorders>
                    <w:top w:val="nil"/>
                  </w:tcBorders>
                  <w:textDirection w:val="tbRlV"/>
                </w:tcPr>
                <w:p w14:paraId="2D7D3B20">
                  <w:pPr>
                    <w:rPr>
                      <w:rFonts w:ascii="Arial"/>
                      <w:color w:val="auto"/>
                    </w:rPr>
                  </w:pPr>
                </w:p>
              </w:tc>
            </w:tr>
            <w:tr w14:paraId="457A6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restart"/>
                  <w:tcBorders>
                    <w:bottom w:val="nil"/>
                  </w:tcBorders>
                </w:tcPr>
                <w:p w14:paraId="66AEA3C0">
                  <w:pPr>
                    <w:spacing w:line="269" w:lineRule="auto"/>
                    <w:rPr>
                      <w:rFonts w:ascii="Arial"/>
                      <w:color w:val="auto"/>
                    </w:rPr>
                  </w:pPr>
                </w:p>
                <w:p w14:paraId="43A1987F">
                  <w:pPr>
                    <w:spacing w:line="269" w:lineRule="auto"/>
                    <w:rPr>
                      <w:rFonts w:ascii="Arial"/>
                      <w:color w:val="auto"/>
                    </w:rPr>
                  </w:pPr>
                </w:p>
                <w:p w14:paraId="582BFCFF">
                  <w:pPr>
                    <w:spacing w:line="269" w:lineRule="auto"/>
                    <w:rPr>
                      <w:rFonts w:ascii="Arial"/>
                      <w:color w:val="auto"/>
                    </w:rPr>
                  </w:pPr>
                </w:p>
                <w:p w14:paraId="473686AB">
                  <w:pPr>
                    <w:spacing w:line="269" w:lineRule="auto"/>
                    <w:rPr>
                      <w:rFonts w:ascii="Arial"/>
                      <w:color w:val="auto"/>
                    </w:rPr>
                  </w:pPr>
                </w:p>
                <w:p w14:paraId="5D1D1FE9">
                  <w:pPr>
                    <w:spacing w:line="269" w:lineRule="auto"/>
                    <w:rPr>
                      <w:rFonts w:ascii="Arial"/>
                      <w:color w:val="auto"/>
                    </w:rPr>
                  </w:pPr>
                </w:p>
                <w:p w14:paraId="44F9EFFA">
                  <w:pPr>
                    <w:spacing w:line="270" w:lineRule="auto"/>
                    <w:rPr>
                      <w:rFonts w:ascii="Arial"/>
                      <w:color w:val="auto"/>
                    </w:rPr>
                  </w:pPr>
                </w:p>
                <w:p w14:paraId="41A05FBA">
                  <w:pPr>
                    <w:spacing w:line="270" w:lineRule="auto"/>
                    <w:rPr>
                      <w:rFonts w:ascii="Arial"/>
                      <w:color w:val="auto"/>
                    </w:rPr>
                  </w:pPr>
                </w:p>
                <w:p w14:paraId="023B1FB3">
                  <w:pPr>
                    <w:spacing w:line="270" w:lineRule="auto"/>
                    <w:rPr>
                      <w:rFonts w:ascii="Arial"/>
                      <w:color w:val="auto"/>
                    </w:rPr>
                  </w:pPr>
                </w:p>
                <w:p w14:paraId="50657767">
                  <w:pPr>
                    <w:spacing w:before="60" w:line="233" w:lineRule="auto"/>
                    <w:ind w:left="141"/>
                    <w:rPr>
                      <w:rFonts w:eastAsia="Times New Roman"/>
                      <w:color w:val="auto"/>
                      <w:szCs w:val="21"/>
                    </w:rPr>
                  </w:pPr>
                  <w:r>
                    <w:rPr>
                      <w:rFonts w:eastAsia="Times New Roman"/>
                      <w:color w:val="auto"/>
                      <w:spacing w:val="-1"/>
                      <w:szCs w:val="21"/>
                    </w:rPr>
                    <w:t>2021.09.02</w:t>
                  </w:r>
                </w:p>
              </w:tc>
              <w:tc>
                <w:tcPr>
                  <w:tcW w:w="538" w:type="pct"/>
                  <w:vMerge w:val="restart"/>
                  <w:tcBorders>
                    <w:bottom w:val="nil"/>
                  </w:tcBorders>
                </w:tcPr>
                <w:p w14:paraId="1B4D2D2E">
                  <w:pPr>
                    <w:spacing w:line="247" w:lineRule="auto"/>
                    <w:rPr>
                      <w:rFonts w:ascii="Arial"/>
                      <w:color w:val="auto"/>
                    </w:rPr>
                  </w:pPr>
                </w:p>
                <w:p w14:paraId="6F44E0A0">
                  <w:pPr>
                    <w:spacing w:line="247" w:lineRule="auto"/>
                    <w:rPr>
                      <w:rFonts w:ascii="Arial"/>
                      <w:color w:val="auto"/>
                    </w:rPr>
                  </w:pPr>
                </w:p>
                <w:p w14:paraId="0A96FB6A">
                  <w:pPr>
                    <w:spacing w:line="247" w:lineRule="auto"/>
                    <w:rPr>
                      <w:rFonts w:ascii="Arial"/>
                      <w:color w:val="auto"/>
                    </w:rPr>
                  </w:pPr>
                </w:p>
                <w:p w14:paraId="6131C638">
                  <w:pPr>
                    <w:spacing w:line="247" w:lineRule="auto"/>
                    <w:rPr>
                      <w:rFonts w:ascii="Arial"/>
                      <w:color w:val="auto"/>
                    </w:rPr>
                  </w:pPr>
                </w:p>
                <w:p w14:paraId="4BEFF1EA">
                  <w:pPr>
                    <w:spacing w:line="247" w:lineRule="auto"/>
                    <w:rPr>
                      <w:rFonts w:ascii="Arial"/>
                      <w:color w:val="auto"/>
                    </w:rPr>
                  </w:pPr>
                </w:p>
                <w:p w14:paraId="41F7BFDB">
                  <w:pPr>
                    <w:spacing w:line="247" w:lineRule="auto"/>
                    <w:rPr>
                      <w:rFonts w:ascii="Arial"/>
                      <w:color w:val="auto"/>
                    </w:rPr>
                  </w:pPr>
                </w:p>
                <w:p w14:paraId="240091E5">
                  <w:pPr>
                    <w:spacing w:line="247" w:lineRule="auto"/>
                    <w:rPr>
                      <w:rFonts w:ascii="Arial"/>
                      <w:color w:val="auto"/>
                    </w:rPr>
                  </w:pPr>
                </w:p>
                <w:p w14:paraId="2709F954">
                  <w:pPr>
                    <w:spacing w:line="247" w:lineRule="auto"/>
                    <w:rPr>
                      <w:rFonts w:ascii="Arial"/>
                      <w:color w:val="auto"/>
                    </w:rPr>
                  </w:pPr>
                </w:p>
                <w:p w14:paraId="6646D8EF">
                  <w:pPr>
                    <w:pStyle w:val="3488"/>
                    <w:spacing w:before="68" w:line="221" w:lineRule="auto"/>
                    <w:ind w:left="175"/>
                    <w:rPr>
                      <w:color w:val="auto"/>
                      <w:sz w:val="21"/>
                      <w:szCs w:val="21"/>
                    </w:rPr>
                  </w:pPr>
                  <w:r>
                    <w:rPr>
                      <w:color w:val="auto"/>
                      <w:spacing w:val="-2"/>
                      <w:sz w:val="21"/>
                      <w:szCs w:val="21"/>
                    </w:rPr>
                    <w:t>废水总排</w:t>
                  </w:r>
                </w:p>
                <w:p w14:paraId="7EF31AB4">
                  <w:pPr>
                    <w:pStyle w:val="3488"/>
                    <w:spacing w:before="36" w:line="237" w:lineRule="auto"/>
                    <w:ind w:left="324"/>
                    <w:rPr>
                      <w:rFonts w:ascii="Times New Roman" w:hAnsi="Times New Roman" w:eastAsia="Times New Roman"/>
                      <w:color w:val="auto"/>
                      <w:sz w:val="21"/>
                      <w:szCs w:val="21"/>
                    </w:rPr>
                  </w:pPr>
                  <w:r>
                    <w:rPr>
                      <w:color w:val="auto"/>
                      <w:spacing w:val="12"/>
                      <w:sz w:val="21"/>
                      <w:szCs w:val="21"/>
                    </w:rPr>
                    <w:t>口</w:t>
                  </w:r>
                  <w:r>
                    <w:rPr>
                      <w:rFonts w:ascii="Segoe UI Symbol" w:hAnsi="Segoe UI Symbol" w:eastAsia="Segoe UI Symbol" w:cs="Segoe UI Symbol"/>
                      <w:color w:val="auto"/>
                      <w:spacing w:val="12"/>
                      <w:sz w:val="21"/>
                      <w:szCs w:val="21"/>
                    </w:rPr>
                    <w:t>*</w:t>
                  </w:r>
                  <w:r>
                    <w:rPr>
                      <w:rFonts w:ascii="Times New Roman" w:hAnsi="Times New Roman" w:eastAsia="Times New Roman"/>
                      <w:color w:val="auto"/>
                      <w:spacing w:val="12"/>
                      <w:sz w:val="21"/>
                      <w:szCs w:val="21"/>
                    </w:rPr>
                    <w:t>S1</w:t>
                  </w:r>
                </w:p>
              </w:tc>
              <w:tc>
                <w:tcPr>
                  <w:tcW w:w="1130" w:type="pct"/>
                </w:tcPr>
                <w:p w14:paraId="76FE50FB">
                  <w:pPr>
                    <w:pStyle w:val="3488"/>
                    <w:spacing w:before="179" w:line="214" w:lineRule="auto"/>
                    <w:ind w:left="449"/>
                    <w:rPr>
                      <w:color w:val="auto"/>
                      <w:sz w:val="21"/>
                      <w:szCs w:val="21"/>
                    </w:rPr>
                  </w:pPr>
                  <w:r>
                    <w:rPr>
                      <w:rFonts w:ascii="Times New Roman" w:hAnsi="Times New Roman" w:eastAsia="Times New Roman"/>
                      <w:color w:val="auto"/>
                      <w:spacing w:val="-1"/>
                      <w:sz w:val="21"/>
                      <w:szCs w:val="21"/>
                    </w:rPr>
                    <w:t xml:space="preserve">pH </w:t>
                  </w:r>
                  <w:r>
                    <w:rPr>
                      <w:color w:val="auto"/>
                      <w:spacing w:val="-1"/>
                      <w:sz w:val="21"/>
                      <w:szCs w:val="21"/>
                    </w:rPr>
                    <w:t>值</w:t>
                  </w:r>
                </w:p>
              </w:tc>
              <w:tc>
                <w:tcPr>
                  <w:tcW w:w="395" w:type="pct"/>
                </w:tcPr>
                <w:p w14:paraId="27AB8521">
                  <w:pPr>
                    <w:pStyle w:val="3488"/>
                    <w:spacing w:before="179" w:line="221" w:lineRule="auto"/>
                    <w:ind w:left="117"/>
                    <w:rPr>
                      <w:color w:val="auto"/>
                      <w:sz w:val="21"/>
                      <w:szCs w:val="21"/>
                    </w:rPr>
                  </w:pPr>
                  <w:r>
                    <w:rPr>
                      <w:color w:val="auto"/>
                      <w:spacing w:val="-2"/>
                      <w:sz w:val="21"/>
                      <w:szCs w:val="21"/>
                    </w:rPr>
                    <w:t>无量纲</w:t>
                  </w:r>
                </w:p>
              </w:tc>
              <w:tc>
                <w:tcPr>
                  <w:tcW w:w="394" w:type="pct"/>
                </w:tcPr>
                <w:p w14:paraId="2B3DE753">
                  <w:pPr>
                    <w:spacing w:before="209" w:line="233" w:lineRule="auto"/>
                    <w:ind w:left="298"/>
                    <w:rPr>
                      <w:rFonts w:eastAsia="Times New Roman"/>
                      <w:color w:val="auto"/>
                      <w:szCs w:val="21"/>
                    </w:rPr>
                  </w:pPr>
                  <w:r>
                    <w:rPr>
                      <w:rFonts w:eastAsia="Times New Roman"/>
                      <w:color w:val="auto"/>
                      <w:spacing w:val="-2"/>
                      <w:szCs w:val="21"/>
                    </w:rPr>
                    <w:t>7.9</w:t>
                  </w:r>
                </w:p>
              </w:tc>
              <w:tc>
                <w:tcPr>
                  <w:tcW w:w="395" w:type="pct"/>
                </w:tcPr>
                <w:p w14:paraId="7A59438F">
                  <w:pPr>
                    <w:spacing w:before="209" w:line="233" w:lineRule="auto"/>
                    <w:ind w:left="301"/>
                    <w:rPr>
                      <w:rFonts w:eastAsia="Times New Roman"/>
                      <w:color w:val="auto"/>
                      <w:szCs w:val="21"/>
                    </w:rPr>
                  </w:pPr>
                  <w:r>
                    <w:rPr>
                      <w:rFonts w:eastAsia="Times New Roman"/>
                      <w:color w:val="auto"/>
                      <w:spacing w:val="-2"/>
                      <w:szCs w:val="21"/>
                    </w:rPr>
                    <w:t>7.9</w:t>
                  </w:r>
                </w:p>
              </w:tc>
              <w:tc>
                <w:tcPr>
                  <w:tcW w:w="393" w:type="pct"/>
                </w:tcPr>
                <w:p w14:paraId="3D2BE05B">
                  <w:pPr>
                    <w:spacing w:before="209" w:line="233" w:lineRule="auto"/>
                    <w:ind w:left="303"/>
                    <w:rPr>
                      <w:rFonts w:eastAsia="Times New Roman"/>
                      <w:color w:val="auto"/>
                      <w:szCs w:val="21"/>
                    </w:rPr>
                  </w:pPr>
                  <w:r>
                    <w:rPr>
                      <w:rFonts w:eastAsia="Times New Roman"/>
                      <w:color w:val="auto"/>
                      <w:spacing w:val="-4"/>
                      <w:szCs w:val="21"/>
                    </w:rPr>
                    <w:t>8.0</w:t>
                  </w:r>
                </w:p>
              </w:tc>
              <w:tc>
                <w:tcPr>
                  <w:tcW w:w="397" w:type="pct"/>
                </w:tcPr>
                <w:p w14:paraId="65B40B03">
                  <w:pPr>
                    <w:spacing w:before="209" w:line="233" w:lineRule="auto"/>
                    <w:ind w:left="309"/>
                    <w:rPr>
                      <w:rFonts w:eastAsia="Times New Roman"/>
                      <w:color w:val="auto"/>
                      <w:szCs w:val="21"/>
                    </w:rPr>
                  </w:pPr>
                  <w:r>
                    <w:rPr>
                      <w:rFonts w:eastAsia="Times New Roman"/>
                      <w:color w:val="auto"/>
                      <w:spacing w:val="-3"/>
                      <w:szCs w:val="21"/>
                    </w:rPr>
                    <w:t>8.0</w:t>
                  </w:r>
                </w:p>
              </w:tc>
              <w:tc>
                <w:tcPr>
                  <w:tcW w:w="527" w:type="pct"/>
                </w:tcPr>
                <w:p w14:paraId="0110643D">
                  <w:pPr>
                    <w:spacing w:before="209" w:line="233" w:lineRule="auto"/>
                    <w:ind w:left="255"/>
                    <w:rPr>
                      <w:rFonts w:eastAsia="Times New Roman"/>
                      <w:color w:val="auto"/>
                      <w:szCs w:val="21"/>
                    </w:rPr>
                  </w:pPr>
                  <w:r>
                    <w:rPr>
                      <w:rFonts w:eastAsia="Times New Roman"/>
                      <w:color w:val="auto"/>
                      <w:spacing w:val="-1"/>
                      <w:szCs w:val="21"/>
                    </w:rPr>
                    <w:t>7.9~8.0</w:t>
                  </w:r>
                </w:p>
              </w:tc>
              <w:tc>
                <w:tcPr>
                  <w:tcW w:w="248" w:type="pct"/>
                </w:tcPr>
                <w:p w14:paraId="78178C41">
                  <w:pPr>
                    <w:spacing w:before="209" w:line="233" w:lineRule="auto"/>
                    <w:ind w:left="144"/>
                    <w:rPr>
                      <w:rFonts w:eastAsia="Times New Roman"/>
                      <w:color w:val="auto"/>
                      <w:szCs w:val="21"/>
                    </w:rPr>
                  </w:pPr>
                  <w:r>
                    <w:rPr>
                      <w:rFonts w:eastAsia="Times New Roman"/>
                      <w:color w:val="auto"/>
                      <w:spacing w:val="-3"/>
                      <w:szCs w:val="21"/>
                    </w:rPr>
                    <w:t>6~9</w:t>
                  </w:r>
                </w:p>
              </w:tc>
            </w:tr>
            <w:tr w14:paraId="42F4D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5289BD8B">
                  <w:pPr>
                    <w:rPr>
                      <w:rFonts w:ascii="Arial"/>
                      <w:color w:val="auto"/>
                    </w:rPr>
                  </w:pPr>
                </w:p>
              </w:tc>
              <w:tc>
                <w:tcPr>
                  <w:tcW w:w="538" w:type="pct"/>
                  <w:vMerge w:val="continue"/>
                  <w:tcBorders>
                    <w:top w:val="nil"/>
                    <w:bottom w:val="nil"/>
                  </w:tcBorders>
                </w:tcPr>
                <w:p w14:paraId="1599A515">
                  <w:pPr>
                    <w:rPr>
                      <w:rFonts w:ascii="Arial"/>
                      <w:color w:val="auto"/>
                    </w:rPr>
                  </w:pPr>
                </w:p>
              </w:tc>
              <w:tc>
                <w:tcPr>
                  <w:tcW w:w="1130" w:type="pct"/>
                </w:tcPr>
                <w:p w14:paraId="1FCFC095">
                  <w:pPr>
                    <w:pStyle w:val="3488"/>
                    <w:spacing w:before="179" w:line="222" w:lineRule="auto"/>
                    <w:ind w:left="398"/>
                    <w:rPr>
                      <w:color w:val="auto"/>
                      <w:sz w:val="21"/>
                      <w:szCs w:val="21"/>
                    </w:rPr>
                  </w:pPr>
                  <w:r>
                    <w:rPr>
                      <w:color w:val="auto"/>
                      <w:spacing w:val="-2"/>
                      <w:sz w:val="21"/>
                      <w:szCs w:val="21"/>
                    </w:rPr>
                    <w:t>悬浮物</w:t>
                  </w:r>
                </w:p>
              </w:tc>
              <w:tc>
                <w:tcPr>
                  <w:tcW w:w="395" w:type="pct"/>
                </w:tcPr>
                <w:p w14:paraId="13C1FB92">
                  <w:pPr>
                    <w:spacing w:before="207" w:line="191" w:lineRule="auto"/>
                    <w:ind w:left="195"/>
                    <w:rPr>
                      <w:rFonts w:eastAsia="Times New Roman"/>
                      <w:color w:val="auto"/>
                      <w:szCs w:val="21"/>
                    </w:rPr>
                  </w:pPr>
                  <w:r>
                    <w:rPr>
                      <w:rFonts w:eastAsia="Times New Roman"/>
                      <w:color w:val="auto"/>
                      <w:spacing w:val="-1"/>
                      <w:szCs w:val="21"/>
                    </w:rPr>
                    <w:t>mg/L</w:t>
                  </w:r>
                </w:p>
              </w:tc>
              <w:tc>
                <w:tcPr>
                  <w:tcW w:w="394" w:type="pct"/>
                </w:tcPr>
                <w:p w14:paraId="5D9CEDC0">
                  <w:pPr>
                    <w:spacing w:before="207" w:line="236" w:lineRule="auto"/>
                    <w:ind w:left="320"/>
                    <w:rPr>
                      <w:rFonts w:eastAsia="Times New Roman"/>
                      <w:color w:val="auto"/>
                      <w:szCs w:val="21"/>
                    </w:rPr>
                  </w:pPr>
                  <w:r>
                    <w:rPr>
                      <w:rFonts w:eastAsia="Times New Roman"/>
                      <w:color w:val="auto"/>
                      <w:spacing w:val="-1"/>
                      <w:szCs w:val="21"/>
                    </w:rPr>
                    <w:t>41</w:t>
                  </w:r>
                </w:p>
              </w:tc>
              <w:tc>
                <w:tcPr>
                  <w:tcW w:w="395" w:type="pct"/>
                </w:tcPr>
                <w:p w14:paraId="56A14327">
                  <w:pPr>
                    <w:spacing w:before="207" w:line="234" w:lineRule="auto"/>
                    <w:ind w:left="321"/>
                    <w:rPr>
                      <w:rFonts w:eastAsia="Times New Roman"/>
                      <w:color w:val="auto"/>
                      <w:szCs w:val="21"/>
                    </w:rPr>
                  </w:pPr>
                  <w:r>
                    <w:rPr>
                      <w:rFonts w:eastAsia="Times New Roman"/>
                      <w:color w:val="auto"/>
                      <w:spacing w:val="-1"/>
                      <w:szCs w:val="21"/>
                    </w:rPr>
                    <w:t>46</w:t>
                  </w:r>
                </w:p>
              </w:tc>
              <w:tc>
                <w:tcPr>
                  <w:tcW w:w="393" w:type="pct"/>
                </w:tcPr>
                <w:p w14:paraId="30C96245">
                  <w:pPr>
                    <w:spacing w:before="207" w:line="234" w:lineRule="auto"/>
                    <w:ind w:left="326"/>
                    <w:rPr>
                      <w:rFonts w:eastAsia="Times New Roman"/>
                      <w:color w:val="auto"/>
                      <w:szCs w:val="21"/>
                    </w:rPr>
                  </w:pPr>
                  <w:r>
                    <w:rPr>
                      <w:rFonts w:eastAsia="Times New Roman"/>
                      <w:color w:val="auto"/>
                      <w:spacing w:val="-3"/>
                      <w:szCs w:val="21"/>
                    </w:rPr>
                    <w:t>52</w:t>
                  </w:r>
                </w:p>
              </w:tc>
              <w:tc>
                <w:tcPr>
                  <w:tcW w:w="397" w:type="pct"/>
                </w:tcPr>
                <w:p w14:paraId="5F91CACD">
                  <w:pPr>
                    <w:spacing w:before="207" w:line="234" w:lineRule="auto"/>
                    <w:ind w:left="323"/>
                    <w:rPr>
                      <w:rFonts w:eastAsia="Times New Roman"/>
                      <w:color w:val="auto"/>
                      <w:szCs w:val="21"/>
                    </w:rPr>
                  </w:pPr>
                  <w:r>
                    <w:rPr>
                      <w:rFonts w:eastAsia="Times New Roman"/>
                      <w:color w:val="auto"/>
                      <w:spacing w:val="-1"/>
                      <w:szCs w:val="21"/>
                    </w:rPr>
                    <w:t>48</w:t>
                  </w:r>
                </w:p>
              </w:tc>
              <w:tc>
                <w:tcPr>
                  <w:tcW w:w="527" w:type="pct"/>
                </w:tcPr>
                <w:p w14:paraId="621202EC">
                  <w:pPr>
                    <w:spacing w:before="207" w:line="233" w:lineRule="auto"/>
                    <w:ind w:left="464"/>
                    <w:rPr>
                      <w:rFonts w:eastAsia="Times New Roman"/>
                      <w:color w:val="auto"/>
                      <w:szCs w:val="21"/>
                    </w:rPr>
                  </w:pPr>
                  <w:r>
                    <w:rPr>
                      <w:rFonts w:eastAsia="Times New Roman"/>
                      <w:color w:val="auto"/>
                      <w:spacing w:val="-1"/>
                      <w:szCs w:val="21"/>
                    </w:rPr>
                    <w:t>47</w:t>
                  </w:r>
                </w:p>
              </w:tc>
              <w:tc>
                <w:tcPr>
                  <w:tcW w:w="248" w:type="pct"/>
                </w:tcPr>
                <w:p w14:paraId="27F2AD26">
                  <w:pPr>
                    <w:spacing w:before="207" w:line="234" w:lineRule="auto"/>
                    <w:ind w:left="143"/>
                    <w:rPr>
                      <w:rFonts w:eastAsia="Times New Roman"/>
                      <w:color w:val="auto"/>
                      <w:szCs w:val="21"/>
                    </w:rPr>
                  </w:pPr>
                  <w:r>
                    <w:rPr>
                      <w:rFonts w:eastAsia="Times New Roman"/>
                      <w:color w:val="auto"/>
                      <w:spacing w:val="-1"/>
                      <w:szCs w:val="21"/>
                    </w:rPr>
                    <w:t>400</w:t>
                  </w:r>
                </w:p>
              </w:tc>
            </w:tr>
            <w:tr w14:paraId="76219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bottom w:val="nil"/>
                  </w:tcBorders>
                </w:tcPr>
                <w:p w14:paraId="129CA736">
                  <w:pPr>
                    <w:rPr>
                      <w:rFonts w:ascii="Arial"/>
                      <w:color w:val="auto"/>
                    </w:rPr>
                  </w:pPr>
                </w:p>
              </w:tc>
              <w:tc>
                <w:tcPr>
                  <w:tcW w:w="538" w:type="pct"/>
                  <w:vMerge w:val="continue"/>
                  <w:tcBorders>
                    <w:top w:val="nil"/>
                    <w:bottom w:val="nil"/>
                  </w:tcBorders>
                </w:tcPr>
                <w:p w14:paraId="1F8530A4">
                  <w:pPr>
                    <w:rPr>
                      <w:rFonts w:ascii="Arial"/>
                      <w:color w:val="auto"/>
                    </w:rPr>
                  </w:pPr>
                </w:p>
              </w:tc>
              <w:tc>
                <w:tcPr>
                  <w:tcW w:w="1130" w:type="pct"/>
                </w:tcPr>
                <w:p w14:paraId="66B441A5">
                  <w:pPr>
                    <w:pStyle w:val="3488"/>
                    <w:spacing w:before="180" w:line="220" w:lineRule="auto"/>
                    <w:ind w:left="188"/>
                    <w:rPr>
                      <w:color w:val="auto"/>
                      <w:sz w:val="21"/>
                      <w:szCs w:val="21"/>
                    </w:rPr>
                  </w:pPr>
                  <w:r>
                    <w:rPr>
                      <w:color w:val="auto"/>
                      <w:spacing w:val="-2"/>
                      <w:sz w:val="21"/>
                      <w:szCs w:val="21"/>
                    </w:rPr>
                    <w:t>化学需氧量</w:t>
                  </w:r>
                </w:p>
              </w:tc>
              <w:tc>
                <w:tcPr>
                  <w:tcW w:w="395" w:type="pct"/>
                </w:tcPr>
                <w:p w14:paraId="3F283ECF">
                  <w:pPr>
                    <w:spacing w:before="210" w:line="191" w:lineRule="auto"/>
                    <w:ind w:left="195"/>
                    <w:rPr>
                      <w:rFonts w:eastAsia="Times New Roman"/>
                      <w:color w:val="auto"/>
                      <w:szCs w:val="21"/>
                    </w:rPr>
                  </w:pPr>
                  <w:r>
                    <w:rPr>
                      <w:rFonts w:eastAsia="Times New Roman"/>
                      <w:color w:val="auto"/>
                      <w:spacing w:val="-1"/>
                      <w:szCs w:val="21"/>
                    </w:rPr>
                    <w:t>mg/L</w:t>
                  </w:r>
                </w:p>
              </w:tc>
              <w:tc>
                <w:tcPr>
                  <w:tcW w:w="394" w:type="pct"/>
                </w:tcPr>
                <w:p w14:paraId="6C87BEE1">
                  <w:pPr>
                    <w:spacing w:before="210" w:line="233" w:lineRule="auto"/>
                    <w:ind w:left="289"/>
                    <w:rPr>
                      <w:rFonts w:eastAsia="Times New Roman"/>
                      <w:color w:val="auto"/>
                      <w:szCs w:val="21"/>
                    </w:rPr>
                  </w:pPr>
                  <w:r>
                    <w:rPr>
                      <w:rFonts w:eastAsia="Times New Roman"/>
                      <w:color w:val="auto"/>
                      <w:spacing w:val="-6"/>
                      <w:szCs w:val="21"/>
                    </w:rPr>
                    <w:t>157</w:t>
                  </w:r>
                </w:p>
              </w:tc>
              <w:tc>
                <w:tcPr>
                  <w:tcW w:w="395" w:type="pct"/>
                </w:tcPr>
                <w:p w14:paraId="615674DC">
                  <w:pPr>
                    <w:spacing w:before="210" w:line="233" w:lineRule="auto"/>
                    <w:ind w:left="292"/>
                    <w:rPr>
                      <w:rFonts w:eastAsia="Times New Roman"/>
                      <w:color w:val="auto"/>
                      <w:szCs w:val="21"/>
                    </w:rPr>
                  </w:pPr>
                  <w:r>
                    <w:rPr>
                      <w:rFonts w:eastAsia="Times New Roman"/>
                      <w:color w:val="auto"/>
                      <w:spacing w:val="-6"/>
                      <w:szCs w:val="21"/>
                    </w:rPr>
                    <w:t>176</w:t>
                  </w:r>
                </w:p>
              </w:tc>
              <w:tc>
                <w:tcPr>
                  <w:tcW w:w="393" w:type="pct"/>
                </w:tcPr>
                <w:p w14:paraId="33FAFB1C">
                  <w:pPr>
                    <w:spacing w:before="210" w:line="233" w:lineRule="auto"/>
                    <w:ind w:left="288"/>
                    <w:rPr>
                      <w:rFonts w:eastAsia="Times New Roman"/>
                      <w:color w:val="auto"/>
                      <w:szCs w:val="21"/>
                    </w:rPr>
                  </w:pPr>
                  <w:r>
                    <w:rPr>
                      <w:rFonts w:eastAsia="Times New Roman"/>
                      <w:color w:val="auto"/>
                      <w:spacing w:val="-6"/>
                      <w:szCs w:val="21"/>
                    </w:rPr>
                    <w:t>191</w:t>
                  </w:r>
                </w:p>
              </w:tc>
              <w:tc>
                <w:tcPr>
                  <w:tcW w:w="397" w:type="pct"/>
                </w:tcPr>
                <w:p w14:paraId="10675D1B">
                  <w:pPr>
                    <w:spacing w:before="210" w:line="234" w:lineRule="auto"/>
                    <w:ind w:left="294"/>
                    <w:rPr>
                      <w:rFonts w:eastAsia="Times New Roman"/>
                      <w:color w:val="auto"/>
                      <w:szCs w:val="21"/>
                    </w:rPr>
                  </w:pPr>
                  <w:r>
                    <w:rPr>
                      <w:rFonts w:eastAsia="Times New Roman"/>
                      <w:color w:val="auto"/>
                      <w:spacing w:val="-6"/>
                      <w:szCs w:val="21"/>
                    </w:rPr>
                    <w:t>186</w:t>
                  </w:r>
                </w:p>
              </w:tc>
              <w:tc>
                <w:tcPr>
                  <w:tcW w:w="527" w:type="pct"/>
                </w:tcPr>
                <w:p w14:paraId="4E2B102D">
                  <w:pPr>
                    <w:spacing w:before="210" w:line="233" w:lineRule="auto"/>
                    <w:ind w:left="433"/>
                    <w:rPr>
                      <w:rFonts w:eastAsia="Times New Roman"/>
                      <w:color w:val="auto"/>
                      <w:szCs w:val="21"/>
                    </w:rPr>
                  </w:pPr>
                  <w:r>
                    <w:rPr>
                      <w:rFonts w:eastAsia="Times New Roman"/>
                      <w:color w:val="auto"/>
                      <w:spacing w:val="-6"/>
                      <w:szCs w:val="21"/>
                    </w:rPr>
                    <w:t>178</w:t>
                  </w:r>
                </w:p>
              </w:tc>
              <w:tc>
                <w:tcPr>
                  <w:tcW w:w="248" w:type="pct"/>
                </w:tcPr>
                <w:p w14:paraId="7747AF90">
                  <w:pPr>
                    <w:spacing w:before="210" w:line="234" w:lineRule="auto"/>
                    <w:ind w:left="150"/>
                    <w:rPr>
                      <w:rFonts w:eastAsia="Times New Roman"/>
                      <w:color w:val="auto"/>
                      <w:szCs w:val="21"/>
                    </w:rPr>
                  </w:pPr>
                  <w:r>
                    <w:rPr>
                      <w:rFonts w:eastAsia="Times New Roman"/>
                      <w:color w:val="auto"/>
                      <w:spacing w:val="-2"/>
                      <w:szCs w:val="21"/>
                    </w:rPr>
                    <w:t>500</w:t>
                  </w:r>
                </w:p>
              </w:tc>
            </w:tr>
            <w:tr w14:paraId="42A15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182F0CDE">
                  <w:pPr>
                    <w:rPr>
                      <w:rFonts w:ascii="Arial"/>
                      <w:color w:val="auto"/>
                    </w:rPr>
                  </w:pPr>
                </w:p>
              </w:tc>
              <w:tc>
                <w:tcPr>
                  <w:tcW w:w="538" w:type="pct"/>
                  <w:vMerge w:val="continue"/>
                  <w:tcBorders>
                    <w:top w:val="nil"/>
                    <w:bottom w:val="nil"/>
                  </w:tcBorders>
                </w:tcPr>
                <w:p w14:paraId="2D4A815A">
                  <w:pPr>
                    <w:rPr>
                      <w:rFonts w:ascii="Arial"/>
                      <w:color w:val="auto"/>
                    </w:rPr>
                  </w:pPr>
                </w:p>
              </w:tc>
              <w:tc>
                <w:tcPr>
                  <w:tcW w:w="1130" w:type="pct"/>
                </w:tcPr>
                <w:p w14:paraId="57F06D9C">
                  <w:pPr>
                    <w:pStyle w:val="3488"/>
                    <w:spacing w:before="180" w:line="220" w:lineRule="auto"/>
                    <w:ind w:left="501"/>
                    <w:rPr>
                      <w:color w:val="auto"/>
                      <w:sz w:val="21"/>
                      <w:szCs w:val="21"/>
                    </w:rPr>
                  </w:pPr>
                  <w:r>
                    <w:rPr>
                      <w:color w:val="auto"/>
                      <w:spacing w:val="-2"/>
                      <w:sz w:val="21"/>
                      <w:szCs w:val="21"/>
                    </w:rPr>
                    <w:t>氨氮</w:t>
                  </w:r>
                </w:p>
              </w:tc>
              <w:tc>
                <w:tcPr>
                  <w:tcW w:w="395" w:type="pct"/>
                </w:tcPr>
                <w:p w14:paraId="4B3E5BE4">
                  <w:pPr>
                    <w:spacing w:before="208" w:line="191" w:lineRule="auto"/>
                    <w:ind w:left="195"/>
                    <w:rPr>
                      <w:rFonts w:eastAsia="Times New Roman"/>
                      <w:color w:val="auto"/>
                      <w:szCs w:val="21"/>
                    </w:rPr>
                  </w:pPr>
                  <w:r>
                    <w:rPr>
                      <w:rFonts w:eastAsia="Times New Roman"/>
                      <w:color w:val="auto"/>
                      <w:spacing w:val="-1"/>
                      <w:szCs w:val="21"/>
                    </w:rPr>
                    <w:t>mg/L</w:t>
                  </w:r>
                </w:p>
              </w:tc>
              <w:tc>
                <w:tcPr>
                  <w:tcW w:w="394" w:type="pct"/>
                </w:tcPr>
                <w:p w14:paraId="79FF5E55">
                  <w:pPr>
                    <w:spacing w:before="208" w:line="233" w:lineRule="auto"/>
                    <w:ind w:left="262"/>
                    <w:rPr>
                      <w:rFonts w:eastAsia="Times New Roman"/>
                      <w:color w:val="auto"/>
                      <w:szCs w:val="21"/>
                    </w:rPr>
                  </w:pPr>
                  <w:r>
                    <w:rPr>
                      <w:rFonts w:eastAsia="Times New Roman"/>
                      <w:color w:val="auto"/>
                      <w:spacing w:val="-5"/>
                      <w:szCs w:val="21"/>
                    </w:rPr>
                    <w:t>1.18</w:t>
                  </w:r>
                </w:p>
              </w:tc>
              <w:tc>
                <w:tcPr>
                  <w:tcW w:w="395" w:type="pct"/>
                </w:tcPr>
                <w:p w14:paraId="11253239">
                  <w:pPr>
                    <w:spacing w:before="208" w:line="233" w:lineRule="auto"/>
                    <w:ind w:left="265"/>
                    <w:rPr>
                      <w:rFonts w:eastAsia="Times New Roman"/>
                      <w:color w:val="auto"/>
                      <w:szCs w:val="21"/>
                    </w:rPr>
                  </w:pPr>
                  <w:r>
                    <w:rPr>
                      <w:rFonts w:eastAsia="Times New Roman"/>
                      <w:color w:val="auto"/>
                      <w:spacing w:val="-5"/>
                      <w:szCs w:val="21"/>
                    </w:rPr>
                    <w:t>1.08</w:t>
                  </w:r>
                </w:p>
              </w:tc>
              <w:tc>
                <w:tcPr>
                  <w:tcW w:w="393" w:type="pct"/>
                </w:tcPr>
                <w:p w14:paraId="7350DBC8">
                  <w:pPr>
                    <w:spacing w:before="208" w:line="233" w:lineRule="auto"/>
                    <w:ind w:left="262"/>
                    <w:rPr>
                      <w:rFonts w:eastAsia="Times New Roman"/>
                      <w:color w:val="auto"/>
                      <w:szCs w:val="21"/>
                    </w:rPr>
                  </w:pPr>
                  <w:r>
                    <w:rPr>
                      <w:rFonts w:eastAsia="Times New Roman"/>
                      <w:color w:val="auto"/>
                      <w:spacing w:val="-5"/>
                      <w:szCs w:val="21"/>
                    </w:rPr>
                    <w:t>1.03</w:t>
                  </w:r>
                </w:p>
              </w:tc>
              <w:tc>
                <w:tcPr>
                  <w:tcW w:w="397" w:type="pct"/>
                </w:tcPr>
                <w:p w14:paraId="479C8CF2">
                  <w:pPr>
                    <w:spacing w:before="208" w:line="233" w:lineRule="auto"/>
                    <w:ind w:left="268"/>
                    <w:rPr>
                      <w:rFonts w:eastAsia="Times New Roman"/>
                      <w:color w:val="auto"/>
                      <w:szCs w:val="21"/>
                    </w:rPr>
                  </w:pPr>
                  <w:r>
                    <w:rPr>
                      <w:rFonts w:eastAsia="Times New Roman"/>
                      <w:color w:val="auto"/>
                      <w:spacing w:val="-5"/>
                      <w:szCs w:val="21"/>
                    </w:rPr>
                    <w:t>1.09</w:t>
                  </w:r>
                </w:p>
              </w:tc>
              <w:tc>
                <w:tcPr>
                  <w:tcW w:w="527" w:type="pct"/>
                </w:tcPr>
                <w:p w14:paraId="38DD4333">
                  <w:pPr>
                    <w:spacing w:before="208" w:line="233" w:lineRule="auto"/>
                    <w:ind w:left="406"/>
                    <w:rPr>
                      <w:rFonts w:eastAsia="Times New Roman"/>
                      <w:color w:val="auto"/>
                      <w:szCs w:val="21"/>
                    </w:rPr>
                  </w:pPr>
                  <w:r>
                    <w:rPr>
                      <w:rFonts w:eastAsia="Times New Roman"/>
                      <w:color w:val="auto"/>
                      <w:spacing w:val="-5"/>
                      <w:szCs w:val="21"/>
                    </w:rPr>
                    <w:t>1.10</w:t>
                  </w:r>
                </w:p>
              </w:tc>
              <w:tc>
                <w:tcPr>
                  <w:tcW w:w="248" w:type="pct"/>
                </w:tcPr>
                <w:p w14:paraId="3A297B17">
                  <w:pPr>
                    <w:spacing w:before="208" w:line="234" w:lineRule="auto"/>
                    <w:ind w:left="199"/>
                    <w:rPr>
                      <w:rFonts w:eastAsia="Times New Roman"/>
                      <w:color w:val="auto"/>
                      <w:szCs w:val="21"/>
                    </w:rPr>
                  </w:pPr>
                  <w:r>
                    <w:rPr>
                      <w:rFonts w:eastAsia="Times New Roman"/>
                      <w:color w:val="auto"/>
                      <w:spacing w:val="-2"/>
                      <w:szCs w:val="21"/>
                    </w:rPr>
                    <w:t>35</w:t>
                  </w:r>
                </w:p>
              </w:tc>
            </w:tr>
            <w:tr w14:paraId="7F44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543F4071">
                  <w:pPr>
                    <w:rPr>
                      <w:rFonts w:ascii="Arial"/>
                      <w:color w:val="auto"/>
                    </w:rPr>
                  </w:pPr>
                </w:p>
              </w:tc>
              <w:tc>
                <w:tcPr>
                  <w:tcW w:w="538" w:type="pct"/>
                  <w:vMerge w:val="continue"/>
                  <w:tcBorders>
                    <w:top w:val="nil"/>
                    <w:bottom w:val="nil"/>
                  </w:tcBorders>
                </w:tcPr>
                <w:p w14:paraId="2DED277C">
                  <w:pPr>
                    <w:rPr>
                      <w:rFonts w:ascii="Arial"/>
                      <w:color w:val="auto"/>
                    </w:rPr>
                  </w:pPr>
                </w:p>
              </w:tc>
              <w:tc>
                <w:tcPr>
                  <w:tcW w:w="1130" w:type="pct"/>
                </w:tcPr>
                <w:p w14:paraId="0F887BF0">
                  <w:pPr>
                    <w:pStyle w:val="3488"/>
                    <w:spacing w:before="180" w:line="221" w:lineRule="auto"/>
                    <w:ind w:left="504"/>
                    <w:rPr>
                      <w:color w:val="auto"/>
                      <w:sz w:val="21"/>
                      <w:szCs w:val="21"/>
                    </w:rPr>
                  </w:pPr>
                  <w:r>
                    <w:rPr>
                      <w:color w:val="auto"/>
                      <w:spacing w:val="-3"/>
                      <w:sz w:val="21"/>
                      <w:szCs w:val="21"/>
                    </w:rPr>
                    <w:t>总磷</w:t>
                  </w:r>
                </w:p>
              </w:tc>
              <w:tc>
                <w:tcPr>
                  <w:tcW w:w="395" w:type="pct"/>
                </w:tcPr>
                <w:p w14:paraId="64E36CD3">
                  <w:pPr>
                    <w:spacing w:before="211" w:line="191" w:lineRule="auto"/>
                    <w:ind w:left="195"/>
                    <w:rPr>
                      <w:rFonts w:eastAsia="Times New Roman"/>
                      <w:color w:val="auto"/>
                      <w:szCs w:val="21"/>
                    </w:rPr>
                  </w:pPr>
                  <w:r>
                    <w:rPr>
                      <w:rFonts w:eastAsia="Times New Roman"/>
                      <w:color w:val="auto"/>
                      <w:spacing w:val="-1"/>
                      <w:szCs w:val="21"/>
                    </w:rPr>
                    <w:t>mg/L</w:t>
                  </w:r>
                </w:p>
              </w:tc>
              <w:tc>
                <w:tcPr>
                  <w:tcW w:w="394" w:type="pct"/>
                </w:tcPr>
                <w:p w14:paraId="4D7644FC">
                  <w:pPr>
                    <w:spacing w:before="211" w:line="233" w:lineRule="auto"/>
                    <w:ind w:left="245"/>
                    <w:rPr>
                      <w:rFonts w:eastAsia="Times New Roman"/>
                      <w:color w:val="auto"/>
                      <w:szCs w:val="21"/>
                    </w:rPr>
                  </w:pPr>
                  <w:r>
                    <w:rPr>
                      <w:rFonts w:eastAsia="Times New Roman"/>
                      <w:color w:val="auto"/>
                      <w:spacing w:val="-1"/>
                      <w:szCs w:val="21"/>
                    </w:rPr>
                    <w:t>0.85</w:t>
                  </w:r>
                </w:p>
              </w:tc>
              <w:tc>
                <w:tcPr>
                  <w:tcW w:w="395" w:type="pct"/>
                </w:tcPr>
                <w:p w14:paraId="4A6FF02A">
                  <w:pPr>
                    <w:spacing w:before="211" w:line="233" w:lineRule="auto"/>
                    <w:ind w:left="248"/>
                    <w:rPr>
                      <w:rFonts w:eastAsia="Times New Roman"/>
                      <w:color w:val="auto"/>
                      <w:szCs w:val="21"/>
                    </w:rPr>
                  </w:pPr>
                  <w:r>
                    <w:rPr>
                      <w:rFonts w:eastAsia="Times New Roman"/>
                      <w:color w:val="auto"/>
                      <w:spacing w:val="-1"/>
                      <w:szCs w:val="21"/>
                    </w:rPr>
                    <w:t>0.93</w:t>
                  </w:r>
                </w:p>
              </w:tc>
              <w:tc>
                <w:tcPr>
                  <w:tcW w:w="393" w:type="pct"/>
                </w:tcPr>
                <w:p w14:paraId="1E49434F">
                  <w:pPr>
                    <w:spacing w:before="211" w:line="233" w:lineRule="auto"/>
                    <w:ind w:left="245"/>
                    <w:rPr>
                      <w:rFonts w:eastAsia="Times New Roman"/>
                      <w:color w:val="auto"/>
                      <w:szCs w:val="21"/>
                    </w:rPr>
                  </w:pPr>
                  <w:r>
                    <w:rPr>
                      <w:rFonts w:eastAsia="Times New Roman"/>
                      <w:color w:val="auto"/>
                      <w:spacing w:val="-1"/>
                      <w:szCs w:val="21"/>
                    </w:rPr>
                    <w:t>0.87</w:t>
                  </w:r>
                </w:p>
              </w:tc>
              <w:tc>
                <w:tcPr>
                  <w:tcW w:w="397" w:type="pct"/>
                </w:tcPr>
                <w:p w14:paraId="6AF2C21F">
                  <w:pPr>
                    <w:spacing w:before="211" w:line="233" w:lineRule="auto"/>
                    <w:ind w:left="251"/>
                    <w:rPr>
                      <w:rFonts w:eastAsia="Times New Roman"/>
                      <w:color w:val="auto"/>
                      <w:szCs w:val="21"/>
                    </w:rPr>
                  </w:pPr>
                  <w:r>
                    <w:rPr>
                      <w:rFonts w:eastAsia="Times New Roman"/>
                      <w:color w:val="auto"/>
                      <w:spacing w:val="-1"/>
                      <w:szCs w:val="21"/>
                    </w:rPr>
                    <w:t>0.89</w:t>
                  </w:r>
                </w:p>
              </w:tc>
              <w:tc>
                <w:tcPr>
                  <w:tcW w:w="527" w:type="pct"/>
                </w:tcPr>
                <w:p w14:paraId="6FB79DF9">
                  <w:pPr>
                    <w:spacing w:before="211" w:line="233" w:lineRule="auto"/>
                    <w:ind w:left="389"/>
                    <w:rPr>
                      <w:rFonts w:eastAsia="Times New Roman"/>
                      <w:color w:val="auto"/>
                      <w:szCs w:val="21"/>
                    </w:rPr>
                  </w:pPr>
                  <w:r>
                    <w:rPr>
                      <w:rFonts w:eastAsia="Times New Roman"/>
                      <w:color w:val="auto"/>
                      <w:spacing w:val="-1"/>
                      <w:szCs w:val="21"/>
                    </w:rPr>
                    <w:t>0.89</w:t>
                  </w:r>
                </w:p>
              </w:tc>
              <w:tc>
                <w:tcPr>
                  <w:tcW w:w="248" w:type="pct"/>
                </w:tcPr>
                <w:p w14:paraId="0D07BE60">
                  <w:pPr>
                    <w:spacing w:before="210" w:line="234" w:lineRule="auto"/>
                    <w:ind w:left="256"/>
                    <w:rPr>
                      <w:rFonts w:eastAsia="Times New Roman"/>
                      <w:color w:val="auto"/>
                      <w:szCs w:val="21"/>
                    </w:rPr>
                  </w:pPr>
                  <w:r>
                    <w:rPr>
                      <w:rFonts w:eastAsia="Times New Roman"/>
                      <w:color w:val="auto"/>
                      <w:szCs w:val="21"/>
                    </w:rPr>
                    <w:t>8</w:t>
                  </w:r>
                </w:p>
              </w:tc>
            </w:tr>
            <w:tr w14:paraId="3D82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bottom w:val="nil"/>
                  </w:tcBorders>
                </w:tcPr>
                <w:p w14:paraId="7829773A">
                  <w:pPr>
                    <w:rPr>
                      <w:rFonts w:ascii="Arial"/>
                      <w:color w:val="auto"/>
                    </w:rPr>
                  </w:pPr>
                </w:p>
              </w:tc>
              <w:tc>
                <w:tcPr>
                  <w:tcW w:w="538" w:type="pct"/>
                  <w:vMerge w:val="continue"/>
                  <w:tcBorders>
                    <w:top w:val="nil"/>
                    <w:bottom w:val="nil"/>
                  </w:tcBorders>
                </w:tcPr>
                <w:p w14:paraId="12D4EA1D">
                  <w:pPr>
                    <w:rPr>
                      <w:rFonts w:ascii="Arial"/>
                      <w:color w:val="auto"/>
                    </w:rPr>
                  </w:pPr>
                </w:p>
              </w:tc>
              <w:tc>
                <w:tcPr>
                  <w:tcW w:w="1130" w:type="pct"/>
                </w:tcPr>
                <w:p w14:paraId="3C1E2193">
                  <w:pPr>
                    <w:pStyle w:val="3488"/>
                    <w:spacing w:before="46" w:line="227" w:lineRule="auto"/>
                    <w:ind w:left="398" w:right="178" w:hanging="195"/>
                    <w:rPr>
                      <w:color w:val="auto"/>
                      <w:sz w:val="21"/>
                      <w:szCs w:val="21"/>
                    </w:rPr>
                  </w:pPr>
                  <w:r>
                    <w:rPr>
                      <w:color w:val="auto"/>
                      <w:spacing w:val="-5"/>
                      <w:sz w:val="21"/>
                      <w:szCs w:val="21"/>
                    </w:rPr>
                    <w:t>阴离子表面</w:t>
                  </w:r>
                  <w:r>
                    <w:rPr>
                      <w:color w:val="auto"/>
                      <w:spacing w:val="-2"/>
                      <w:sz w:val="21"/>
                      <w:szCs w:val="21"/>
                    </w:rPr>
                    <w:t>活性剂</w:t>
                  </w:r>
                </w:p>
              </w:tc>
              <w:tc>
                <w:tcPr>
                  <w:tcW w:w="395" w:type="pct"/>
                </w:tcPr>
                <w:p w14:paraId="2C93FA7B">
                  <w:pPr>
                    <w:spacing w:before="211" w:line="191" w:lineRule="auto"/>
                    <w:ind w:left="195"/>
                    <w:rPr>
                      <w:rFonts w:eastAsia="Times New Roman"/>
                      <w:color w:val="auto"/>
                      <w:szCs w:val="21"/>
                    </w:rPr>
                  </w:pPr>
                  <w:r>
                    <w:rPr>
                      <w:rFonts w:eastAsia="Times New Roman"/>
                      <w:color w:val="auto"/>
                      <w:spacing w:val="-1"/>
                      <w:szCs w:val="21"/>
                    </w:rPr>
                    <w:t>mg/L</w:t>
                  </w:r>
                </w:p>
              </w:tc>
              <w:tc>
                <w:tcPr>
                  <w:tcW w:w="394" w:type="pct"/>
                </w:tcPr>
                <w:p w14:paraId="6A3D46FC">
                  <w:pPr>
                    <w:spacing w:before="211" w:line="233" w:lineRule="auto"/>
                    <w:ind w:left="192"/>
                    <w:rPr>
                      <w:rFonts w:eastAsia="Times New Roman"/>
                      <w:color w:val="auto"/>
                      <w:szCs w:val="21"/>
                    </w:rPr>
                  </w:pPr>
                  <w:r>
                    <w:rPr>
                      <w:rFonts w:eastAsia="Times New Roman"/>
                      <w:color w:val="auto"/>
                      <w:spacing w:val="-1"/>
                      <w:szCs w:val="21"/>
                    </w:rPr>
                    <w:t>0.233</w:t>
                  </w:r>
                </w:p>
              </w:tc>
              <w:tc>
                <w:tcPr>
                  <w:tcW w:w="395" w:type="pct"/>
                </w:tcPr>
                <w:p w14:paraId="6C87E762">
                  <w:pPr>
                    <w:spacing w:before="211" w:line="233" w:lineRule="auto"/>
                    <w:ind w:left="196"/>
                    <w:rPr>
                      <w:rFonts w:eastAsia="Times New Roman"/>
                      <w:color w:val="auto"/>
                      <w:szCs w:val="21"/>
                    </w:rPr>
                  </w:pPr>
                  <w:r>
                    <w:rPr>
                      <w:rFonts w:eastAsia="Times New Roman"/>
                      <w:color w:val="auto"/>
                      <w:spacing w:val="-1"/>
                      <w:szCs w:val="21"/>
                    </w:rPr>
                    <w:t>0.227</w:t>
                  </w:r>
                </w:p>
              </w:tc>
              <w:tc>
                <w:tcPr>
                  <w:tcW w:w="393" w:type="pct"/>
                </w:tcPr>
                <w:p w14:paraId="3DB1EB44">
                  <w:pPr>
                    <w:spacing w:before="211" w:line="233" w:lineRule="auto"/>
                    <w:ind w:left="192"/>
                    <w:rPr>
                      <w:rFonts w:eastAsia="Times New Roman"/>
                      <w:color w:val="auto"/>
                      <w:szCs w:val="21"/>
                    </w:rPr>
                  </w:pPr>
                  <w:r>
                    <w:rPr>
                      <w:rFonts w:eastAsia="Times New Roman"/>
                      <w:color w:val="auto"/>
                      <w:spacing w:val="-1"/>
                      <w:szCs w:val="21"/>
                    </w:rPr>
                    <w:t>0.240</w:t>
                  </w:r>
                </w:p>
              </w:tc>
              <w:tc>
                <w:tcPr>
                  <w:tcW w:w="397" w:type="pct"/>
                </w:tcPr>
                <w:p w14:paraId="7A28550D">
                  <w:pPr>
                    <w:spacing w:before="211" w:line="233" w:lineRule="auto"/>
                    <w:ind w:left="198"/>
                    <w:rPr>
                      <w:rFonts w:eastAsia="Times New Roman"/>
                      <w:color w:val="auto"/>
                      <w:szCs w:val="21"/>
                    </w:rPr>
                  </w:pPr>
                  <w:r>
                    <w:rPr>
                      <w:rFonts w:eastAsia="Times New Roman"/>
                      <w:color w:val="auto"/>
                      <w:spacing w:val="-1"/>
                      <w:szCs w:val="21"/>
                    </w:rPr>
                    <w:t>0.227</w:t>
                  </w:r>
                </w:p>
              </w:tc>
              <w:tc>
                <w:tcPr>
                  <w:tcW w:w="527" w:type="pct"/>
                </w:tcPr>
                <w:p w14:paraId="5CFDD6B6">
                  <w:pPr>
                    <w:spacing w:before="211" w:line="233" w:lineRule="auto"/>
                    <w:ind w:left="337"/>
                    <w:rPr>
                      <w:rFonts w:eastAsia="Times New Roman"/>
                      <w:color w:val="auto"/>
                      <w:szCs w:val="21"/>
                    </w:rPr>
                  </w:pPr>
                  <w:r>
                    <w:rPr>
                      <w:rFonts w:eastAsia="Times New Roman"/>
                      <w:color w:val="auto"/>
                      <w:spacing w:val="-1"/>
                      <w:szCs w:val="21"/>
                    </w:rPr>
                    <w:t>0.272</w:t>
                  </w:r>
                </w:p>
              </w:tc>
              <w:tc>
                <w:tcPr>
                  <w:tcW w:w="248" w:type="pct"/>
                </w:tcPr>
                <w:p w14:paraId="219B3CDE">
                  <w:pPr>
                    <w:spacing w:before="210" w:line="234" w:lineRule="auto"/>
                    <w:ind w:left="194"/>
                    <w:rPr>
                      <w:rFonts w:eastAsia="Times New Roman"/>
                      <w:color w:val="auto"/>
                      <w:szCs w:val="21"/>
                    </w:rPr>
                  </w:pPr>
                  <w:r>
                    <w:rPr>
                      <w:rFonts w:eastAsia="Times New Roman"/>
                      <w:color w:val="auto"/>
                      <w:spacing w:val="-1"/>
                      <w:szCs w:val="21"/>
                    </w:rPr>
                    <w:t>20</w:t>
                  </w:r>
                </w:p>
              </w:tc>
            </w:tr>
            <w:tr w14:paraId="1CF48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376B1C71">
                  <w:pPr>
                    <w:rPr>
                      <w:rFonts w:ascii="Arial"/>
                      <w:color w:val="auto"/>
                    </w:rPr>
                  </w:pPr>
                </w:p>
              </w:tc>
              <w:tc>
                <w:tcPr>
                  <w:tcW w:w="538" w:type="pct"/>
                  <w:vMerge w:val="continue"/>
                  <w:tcBorders>
                    <w:top w:val="nil"/>
                    <w:bottom w:val="nil"/>
                  </w:tcBorders>
                </w:tcPr>
                <w:p w14:paraId="1D566A20">
                  <w:pPr>
                    <w:rPr>
                      <w:rFonts w:ascii="Arial"/>
                      <w:color w:val="auto"/>
                    </w:rPr>
                  </w:pPr>
                </w:p>
              </w:tc>
              <w:tc>
                <w:tcPr>
                  <w:tcW w:w="1130" w:type="pct"/>
                </w:tcPr>
                <w:p w14:paraId="1EFFFC15">
                  <w:pPr>
                    <w:pStyle w:val="3488"/>
                    <w:spacing w:before="180" w:line="221" w:lineRule="auto"/>
                    <w:ind w:left="397"/>
                    <w:rPr>
                      <w:color w:val="auto"/>
                      <w:sz w:val="21"/>
                      <w:szCs w:val="21"/>
                    </w:rPr>
                  </w:pPr>
                  <w:r>
                    <w:rPr>
                      <w:color w:val="auto"/>
                      <w:spacing w:val="-2"/>
                      <w:sz w:val="21"/>
                      <w:szCs w:val="21"/>
                    </w:rPr>
                    <w:t>石油类</w:t>
                  </w:r>
                </w:p>
              </w:tc>
              <w:tc>
                <w:tcPr>
                  <w:tcW w:w="395" w:type="pct"/>
                </w:tcPr>
                <w:p w14:paraId="0977EAC4">
                  <w:pPr>
                    <w:spacing w:before="209" w:line="191" w:lineRule="auto"/>
                    <w:ind w:left="195"/>
                    <w:rPr>
                      <w:rFonts w:eastAsia="Times New Roman"/>
                      <w:color w:val="auto"/>
                      <w:szCs w:val="21"/>
                    </w:rPr>
                  </w:pPr>
                  <w:r>
                    <w:rPr>
                      <w:rFonts w:eastAsia="Times New Roman"/>
                      <w:color w:val="auto"/>
                      <w:spacing w:val="-1"/>
                      <w:szCs w:val="21"/>
                    </w:rPr>
                    <w:t>mg/L</w:t>
                  </w:r>
                </w:p>
              </w:tc>
              <w:tc>
                <w:tcPr>
                  <w:tcW w:w="394" w:type="pct"/>
                </w:tcPr>
                <w:p w14:paraId="718AA79F">
                  <w:pPr>
                    <w:spacing w:before="209" w:line="233" w:lineRule="auto"/>
                    <w:ind w:left="242"/>
                    <w:rPr>
                      <w:rFonts w:eastAsia="Times New Roman"/>
                      <w:color w:val="auto"/>
                      <w:szCs w:val="21"/>
                    </w:rPr>
                  </w:pPr>
                  <w:r>
                    <w:rPr>
                      <w:rFonts w:eastAsia="Times New Roman"/>
                      <w:color w:val="auto"/>
                      <w:spacing w:val="-1"/>
                      <w:szCs w:val="21"/>
                    </w:rPr>
                    <w:t>2.29</w:t>
                  </w:r>
                </w:p>
              </w:tc>
              <w:tc>
                <w:tcPr>
                  <w:tcW w:w="395" w:type="pct"/>
                </w:tcPr>
                <w:p w14:paraId="648ACDB1">
                  <w:pPr>
                    <w:spacing w:before="209" w:line="233" w:lineRule="auto"/>
                    <w:ind w:left="245"/>
                    <w:rPr>
                      <w:rFonts w:eastAsia="Times New Roman"/>
                      <w:color w:val="auto"/>
                      <w:szCs w:val="21"/>
                    </w:rPr>
                  </w:pPr>
                  <w:r>
                    <w:rPr>
                      <w:rFonts w:eastAsia="Times New Roman"/>
                      <w:color w:val="auto"/>
                      <w:spacing w:val="-1"/>
                      <w:szCs w:val="21"/>
                    </w:rPr>
                    <w:t>2.26</w:t>
                  </w:r>
                </w:p>
              </w:tc>
              <w:tc>
                <w:tcPr>
                  <w:tcW w:w="393" w:type="pct"/>
                </w:tcPr>
                <w:p w14:paraId="3439F130">
                  <w:pPr>
                    <w:spacing w:before="209" w:line="233" w:lineRule="auto"/>
                    <w:ind w:left="241"/>
                    <w:rPr>
                      <w:rFonts w:eastAsia="Times New Roman"/>
                      <w:color w:val="auto"/>
                      <w:szCs w:val="21"/>
                    </w:rPr>
                  </w:pPr>
                  <w:r>
                    <w:rPr>
                      <w:rFonts w:eastAsia="Times New Roman"/>
                      <w:color w:val="auto"/>
                      <w:spacing w:val="-1"/>
                      <w:szCs w:val="21"/>
                    </w:rPr>
                    <w:t>2.22</w:t>
                  </w:r>
                </w:p>
              </w:tc>
              <w:tc>
                <w:tcPr>
                  <w:tcW w:w="397" w:type="pct"/>
                </w:tcPr>
                <w:p w14:paraId="28B18C97">
                  <w:pPr>
                    <w:spacing w:before="209" w:line="233" w:lineRule="auto"/>
                    <w:ind w:left="247"/>
                    <w:rPr>
                      <w:rFonts w:eastAsia="Times New Roman"/>
                      <w:color w:val="auto"/>
                      <w:szCs w:val="21"/>
                    </w:rPr>
                  </w:pPr>
                  <w:r>
                    <w:rPr>
                      <w:rFonts w:eastAsia="Times New Roman"/>
                      <w:color w:val="auto"/>
                      <w:spacing w:val="-1"/>
                      <w:szCs w:val="21"/>
                    </w:rPr>
                    <w:t>2.35</w:t>
                  </w:r>
                </w:p>
              </w:tc>
              <w:tc>
                <w:tcPr>
                  <w:tcW w:w="527" w:type="pct"/>
                </w:tcPr>
                <w:p w14:paraId="41E0B61F">
                  <w:pPr>
                    <w:spacing w:before="209" w:line="233" w:lineRule="auto"/>
                    <w:ind w:left="386"/>
                    <w:rPr>
                      <w:rFonts w:eastAsia="Times New Roman"/>
                      <w:color w:val="auto"/>
                      <w:szCs w:val="21"/>
                    </w:rPr>
                  </w:pPr>
                  <w:r>
                    <w:rPr>
                      <w:rFonts w:eastAsia="Times New Roman"/>
                      <w:color w:val="auto"/>
                      <w:spacing w:val="-1"/>
                      <w:szCs w:val="21"/>
                    </w:rPr>
                    <w:t>2.28</w:t>
                  </w:r>
                </w:p>
              </w:tc>
              <w:tc>
                <w:tcPr>
                  <w:tcW w:w="248" w:type="pct"/>
                </w:tcPr>
                <w:p w14:paraId="09284AA5">
                  <w:pPr>
                    <w:spacing w:before="209" w:line="233" w:lineRule="auto"/>
                    <w:ind w:left="267"/>
                    <w:rPr>
                      <w:rFonts w:eastAsia="Times New Roman"/>
                      <w:color w:val="auto"/>
                      <w:szCs w:val="21"/>
                    </w:rPr>
                  </w:pPr>
                  <w:r>
                    <w:rPr>
                      <w:rFonts w:eastAsia="Times New Roman"/>
                      <w:color w:val="auto"/>
                      <w:szCs w:val="21"/>
                    </w:rPr>
                    <w:t>/</w:t>
                  </w:r>
                </w:p>
              </w:tc>
            </w:tr>
            <w:tr w14:paraId="1BC8D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tcBorders>
                </w:tcPr>
                <w:p w14:paraId="663FF1E9">
                  <w:pPr>
                    <w:rPr>
                      <w:rFonts w:ascii="Arial"/>
                      <w:color w:val="auto"/>
                    </w:rPr>
                  </w:pPr>
                </w:p>
              </w:tc>
              <w:tc>
                <w:tcPr>
                  <w:tcW w:w="538" w:type="pct"/>
                  <w:vMerge w:val="continue"/>
                  <w:tcBorders>
                    <w:top w:val="nil"/>
                  </w:tcBorders>
                </w:tcPr>
                <w:p w14:paraId="4614C956">
                  <w:pPr>
                    <w:rPr>
                      <w:rFonts w:ascii="Arial"/>
                      <w:color w:val="auto"/>
                    </w:rPr>
                  </w:pPr>
                </w:p>
              </w:tc>
              <w:tc>
                <w:tcPr>
                  <w:tcW w:w="1130" w:type="pct"/>
                </w:tcPr>
                <w:p w14:paraId="7F6A4BC1">
                  <w:pPr>
                    <w:pStyle w:val="3488"/>
                    <w:spacing w:before="180" w:line="221" w:lineRule="auto"/>
                    <w:ind w:left="397"/>
                    <w:rPr>
                      <w:color w:val="auto"/>
                      <w:sz w:val="21"/>
                      <w:szCs w:val="21"/>
                    </w:rPr>
                  </w:pPr>
                  <w:r>
                    <w:rPr>
                      <w:color w:val="auto"/>
                      <w:spacing w:val="-2"/>
                      <w:sz w:val="21"/>
                      <w:szCs w:val="21"/>
                    </w:rPr>
                    <w:t>氟化物</w:t>
                  </w:r>
                </w:p>
              </w:tc>
              <w:tc>
                <w:tcPr>
                  <w:tcW w:w="395" w:type="pct"/>
                </w:tcPr>
                <w:p w14:paraId="11C9CBF3">
                  <w:pPr>
                    <w:spacing w:before="211" w:line="191" w:lineRule="auto"/>
                    <w:ind w:left="195"/>
                    <w:rPr>
                      <w:rFonts w:eastAsia="Times New Roman"/>
                      <w:color w:val="auto"/>
                      <w:szCs w:val="21"/>
                    </w:rPr>
                  </w:pPr>
                  <w:r>
                    <w:rPr>
                      <w:rFonts w:eastAsia="Times New Roman"/>
                      <w:color w:val="auto"/>
                      <w:spacing w:val="-1"/>
                      <w:szCs w:val="21"/>
                    </w:rPr>
                    <w:t>mg/L</w:t>
                  </w:r>
                </w:p>
              </w:tc>
              <w:tc>
                <w:tcPr>
                  <w:tcW w:w="394" w:type="pct"/>
                </w:tcPr>
                <w:p w14:paraId="75468530">
                  <w:pPr>
                    <w:spacing w:before="211" w:line="233" w:lineRule="auto"/>
                    <w:ind w:left="192"/>
                    <w:rPr>
                      <w:rFonts w:eastAsia="Times New Roman"/>
                      <w:color w:val="auto"/>
                      <w:szCs w:val="21"/>
                    </w:rPr>
                  </w:pPr>
                  <w:r>
                    <w:rPr>
                      <w:rFonts w:eastAsia="Times New Roman"/>
                      <w:color w:val="auto"/>
                      <w:spacing w:val="-1"/>
                      <w:szCs w:val="21"/>
                    </w:rPr>
                    <w:t>0.291</w:t>
                  </w:r>
                </w:p>
              </w:tc>
              <w:tc>
                <w:tcPr>
                  <w:tcW w:w="395" w:type="pct"/>
                </w:tcPr>
                <w:p w14:paraId="18A2F12E">
                  <w:pPr>
                    <w:spacing w:before="211" w:line="233" w:lineRule="auto"/>
                    <w:ind w:left="196"/>
                    <w:rPr>
                      <w:rFonts w:eastAsia="Times New Roman"/>
                      <w:color w:val="auto"/>
                      <w:szCs w:val="21"/>
                    </w:rPr>
                  </w:pPr>
                  <w:r>
                    <w:rPr>
                      <w:rFonts w:eastAsia="Times New Roman"/>
                      <w:color w:val="auto"/>
                      <w:spacing w:val="-1"/>
                      <w:szCs w:val="21"/>
                    </w:rPr>
                    <w:t>0.357</w:t>
                  </w:r>
                </w:p>
              </w:tc>
              <w:tc>
                <w:tcPr>
                  <w:tcW w:w="393" w:type="pct"/>
                </w:tcPr>
                <w:p w14:paraId="007FDCAE">
                  <w:pPr>
                    <w:spacing w:before="211" w:line="233" w:lineRule="auto"/>
                    <w:ind w:left="192"/>
                    <w:rPr>
                      <w:rFonts w:eastAsia="Times New Roman"/>
                      <w:color w:val="auto"/>
                      <w:szCs w:val="21"/>
                    </w:rPr>
                  </w:pPr>
                  <w:r>
                    <w:rPr>
                      <w:rFonts w:eastAsia="Times New Roman"/>
                      <w:color w:val="auto"/>
                      <w:spacing w:val="-1"/>
                      <w:szCs w:val="21"/>
                    </w:rPr>
                    <w:t>0.196</w:t>
                  </w:r>
                </w:p>
              </w:tc>
              <w:tc>
                <w:tcPr>
                  <w:tcW w:w="397" w:type="pct"/>
                </w:tcPr>
                <w:p w14:paraId="31ED3082">
                  <w:pPr>
                    <w:spacing w:before="211" w:line="233" w:lineRule="auto"/>
                    <w:ind w:left="198"/>
                    <w:rPr>
                      <w:rFonts w:eastAsia="Times New Roman"/>
                      <w:color w:val="auto"/>
                      <w:szCs w:val="21"/>
                    </w:rPr>
                  </w:pPr>
                  <w:r>
                    <w:rPr>
                      <w:rFonts w:eastAsia="Times New Roman"/>
                      <w:color w:val="auto"/>
                      <w:spacing w:val="-1"/>
                      <w:szCs w:val="21"/>
                    </w:rPr>
                    <w:t>0.201</w:t>
                  </w:r>
                </w:p>
              </w:tc>
              <w:tc>
                <w:tcPr>
                  <w:tcW w:w="527" w:type="pct"/>
                </w:tcPr>
                <w:p w14:paraId="13D4CE0E">
                  <w:pPr>
                    <w:spacing w:before="211" w:line="233" w:lineRule="auto"/>
                    <w:ind w:left="337"/>
                    <w:rPr>
                      <w:rFonts w:eastAsia="Times New Roman"/>
                      <w:color w:val="auto"/>
                      <w:szCs w:val="21"/>
                    </w:rPr>
                  </w:pPr>
                  <w:r>
                    <w:rPr>
                      <w:rFonts w:eastAsia="Times New Roman"/>
                      <w:color w:val="auto"/>
                      <w:spacing w:val="-1"/>
                      <w:szCs w:val="21"/>
                    </w:rPr>
                    <w:t>0.261</w:t>
                  </w:r>
                </w:p>
              </w:tc>
              <w:tc>
                <w:tcPr>
                  <w:tcW w:w="248" w:type="pct"/>
                </w:tcPr>
                <w:p w14:paraId="46CDFD61">
                  <w:pPr>
                    <w:spacing w:before="211" w:line="234" w:lineRule="auto"/>
                    <w:ind w:left="194"/>
                    <w:rPr>
                      <w:rFonts w:eastAsia="Times New Roman"/>
                      <w:color w:val="auto"/>
                      <w:szCs w:val="21"/>
                    </w:rPr>
                  </w:pPr>
                  <w:r>
                    <w:rPr>
                      <w:rFonts w:eastAsia="Times New Roman"/>
                      <w:color w:val="auto"/>
                      <w:spacing w:val="-1"/>
                      <w:szCs w:val="21"/>
                    </w:rPr>
                    <w:t>20</w:t>
                  </w:r>
                </w:p>
              </w:tc>
            </w:tr>
            <w:tr w14:paraId="28DBB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restart"/>
                  <w:tcBorders>
                    <w:bottom w:val="nil"/>
                  </w:tcBorders>
                </w:tcPr>
                <w:p w14:paraId="1E2EF64B">
                  <w:pPr>
                    <w:spacing w:line="263" w:lineRule="auto"/>
                    <w:rPr>
                      <w:rFonts w:ascii="Arial"/>
                      <w:color w:val="auto"/>
                    </w:rPr>
                  </w:pPr>
                </w:p>
                <w:p w14:paraId="13771020">
                  <w:pPr>
                    <w:pStyle w:val="3488"/>
                    <w:spacing w:before="68" w:line="222" w:lineRule="auto"/>
                    <w:ind w:left="407"/>
                    <w:rPr>
                      <w:color w:val="auto"/>
                      <w:sz w:val="21"/>
                      <w:szCs w:val="21"/>
                    </w:rPr>
                  </w:pPr>
                  <w:r>
                    <w:rPr>
                      <w:color w:val="auto"/>
                      <w:spacing w:val="-2"/>
                      <w:sz w:val="21"/>
                      <w:szCs w:val="21"/>
                    </w:rPr>
                    <w:t>监测</w:t>
                  </w:r>
                </w:p>
                <w:p w14:paraId="0E46978C">
                  <w:pPr>
                    <w:pStyle w:val="3488"/>
                    <w:spacing w:before="21" w:line="221" w:lineRule="auto"/>
                    <w:ind w:left="443"/>
                    <w:rPr>
                      <w:color w:val="auto"/>
                      <w:sz w:val="21"/>
                      <w:szCs w:val="21"/>
                    </w:rPr>
                  </w:pPr>
                  <w:r>
                    <w:rPr>
                      <w:color w:val="auto"/>
                      <w:spacing w:val="-11"/>
                      <w:sz w:val="21"/>
                      <w:szCs w:val="21"/>
                    </w:rPr>
                    <w:t>日期</w:t>
                  </w:r>
                </w:p>
              </w:tc>
              <w:tc>
                <w:tcPr>
                  <w:tcW w:w="538" w:type="pct"/>
                  <w:vMerge w:val="restart"/>
                  <w:tcBorders>
                    <w:bottom w:val="nil"/>
                  </w:tcBorders>
                </w:tcPr>
                <w:p w14:paraId="3E28C01D">
                  <w:pPr>
                    <w:spacing w:line="399" w:lineRule="auto"/>
                    <w:rPr>
                      <w:rFonts w:ascii="Arial"/>
                      <w:color w:val="auto"/>
                    </w:rPr>
                  </w:pPr>
                </w:p>
                <w:p w14:paraId="274A2D80">
                  <w:pPr>
                    <w:pStyle w:val="3488"/>
                    <w:spacing w:before="68" w:line="222" w:lineRule="auto"/>
                    <w:ind w:left="177"/>
                    <w:rPr>
                      <w:color w:val="auto"/>
                      <w:sz w:val="21"/>
                      <w:szCs w:val="21"/>
                    </w:rPr>
                  </w:pPr>
                  <w:r>
                    <w:rPr>
                      <w:color w:val="auto"/>
                      <w:spacing w:val="-2"/>
                      <w:sz w:val="21"/>
                      <w:szCs w:val="21"/>
                    </w:rPr>
                    <w:t>监测点位</w:t>
                  </w:r>
                </w:p>
              </w:tc>
              <w:tc>
                <w:tcPr>
                  <w:tcW w:w="1130" w:type="pct"/>
                  <w:vMerge w:val="restart"/>
                  <w:tcBorders>
                    <w:bottom w:val="nil"/>
                  </w:tcBorders>
                </w:tcPr>
                <w:p w14:paraId="58950EB7">
                  <w:pPr>
                    <w:spacing w:line="398" w:lineRule="auto"/>
                    <w:rPr>
                      <w:rFonts w:ascii="Arial"/>
                      <w:color w:val="auto"/>
                    </w:rPr>
                  </w:pPr>
                </w:p>
                <w:p w14:paraId="7D2C8FF4">
                  <w:pPr>
                    <w:pStyle w:val="3488"/>
                    <w:spacing w:before="69" w:line="221" w:lineRule="auto"/>
                    <w:ind w:left="293"/>
                    <w:rPr>
                      <w:color w:val="auto"/>
                      <w:sz w:val="21"/>
                      <w:szCs w:val="21"/>
                    </w:rPr>
                  </w:pPr>
                  <w:r>
                    <w:rPr>
                      <w:color w:val="auto"/>
                      <w:spacing w:val="-2"/>
                      <w:sz w:val="21"/>
                      <w:szCs w:val="21"/>
                    </w:rPr>
                    <w:t>检测项目</w:t>
                  </w:r>
                </w:p>
              </w:tc>
              <w:tc>
                <w:tcPr>
                  <w:tcW w:w="395" w:type="pct"/>
                  <w:vMerge w:val="restart"/>
                  <w:tcBorders>
                    <w:bottom w:val="nil"/>
                  </w:tcBorders>
                </w:tcPr>
                <w:p w14:paraId="0B082C46">
                  <w:pPr>
                    <w:spacing w:line="399" w:lineRule="auto"/>
                    <w:rPr>
                      <w:rFonts w:ascii="Arial"/>
                      <w:color w:val="auto"/>
                    </w:rPr>
                  </w:pPr>
                </w:p>
                <w:p w14:paraId="05008B0D">
                  <w:pPr>
                    <w:pStyle w:val="3488"/>
                    <w:spacing w:before="69" w:line="221" w:lineRule="auto"/>
                    <w:ind w:left="222"/>
                    <w:rPr>
                      <w:color w:val="auto"/>
                      <w:sz w:val="21"/>
                      <w:szCs w:val="21"/>
                    </w:rPr>
                  </w:pPr>
                  <w:r>
                    <w:rPr>
                      <w:color w:val="auto"/>
                      <w:spacing w:val="-2"/>
                      <w:sz w:val="21"/>
                      <w:szCs w:val="21"/>
                    </w:rPr>
                    <w:t>单位</w:t>
                  </w:r>
                </w:p>
              </w:tc>
              <w:tc>
                <w:tcPr>
                  <w:tcW w:w="1581" w:type="pct"/>
                  <w:gridSpan w:val="4"/>
                </w:tcPr>
                <w:p w14:paraId="662C5C8E">
                  <w:pPr>
                    <w:pStyle w:val="3488"/>
                    <w:spacing w:before="179" w:line="221" w:lineRule="auto"/>
                    <w:ind w:left="1287"/>
                    <w:rPr>
                      <w:color w:val="auto"/>
                      <w:sz w:val="21"/>
                      <w:szCs w:val="21"/>
                    </w:rPr>
                  </w:pPr>
                  <w:r>
                    <w:rPr>
                      <w:color w:val="auto"/>
                      <w:spacing w:val="-1"/>
                      <w:sz w:val="21"/>
                      <w:szCs w:val="21"/>
                    </w:rPr>
                    <w:t>样品编号</w:t>
                  </w:r>
                </w:p>
              </w:tc>
              <w:tc>
                <w:tcPr>
                  <w:tcW w:w="527" w:type="pct"/>
                  <w:vMerge w:val="restart"/>
                  <w:tcBorders>
                    <w:bottom w:val="nil"/>
                  </w:tcBorders>
                </w:tcPr>
                <w:p w14:paraId="542FABD7">
                  <w:pPr>
                    <w:spacing w:line="263" w:lineRule="auto"/>
                    <w:rPr>
                      <w:rFonts w:ascii="Arial"/>
                      <w:color w:val="auto"/>
                    </w:rPr>
                  </w:pPr>
                </w:p>
                <w:p w14:paraId="16C11583">
                  <w:pPr>
                    <w:pStyle w:val="3488"/>
                    <w:spacing w:before="68" w:line="221" w:lineRule="auto"/>
                    <w:ind w:left="156"/>
                    <w:rPr>
                      <w:color w:val="auto"/>
                      <w:sz w:val="21"/>
                      <w:szCs w:val="21"/>
                    </w:rPr>
                  </w:pPr>
                  <w:r>
                    <w:rPr>
                      <w:color w:val="auto"/>
                      <w:spacing w:val="-2"/>
                      <w:sz w:val="21"/>
                      <w:szCs w:val="21"/>
                    </w:rPr>
                    <w:t>均值或范</w:t>
                  </w:r>
                </w:p>
                <w:p w14:paraId="59BAC8DE">
                  <w:pPr>
                    <w:pStyle w:val="3488"/>
                    <w:spacing w:before="20" w:line="221" w:lineRule="auto"/>
                    <w:ind w:left="488"/>
                    <w:rPr>
                      <w:color w:val="auto"/>
                      <w:sz w:val="21"/>
                      <w:szCs w:val="21"/>
                    </w:rPr>
                  </w:pPr>
                  <w:r>
                    <w:rPr>
                      <w:color w:val="auto"/>
                      <w:sz w:val="21"/>
                      <w:szCs w:val="21"/>
                    </w:rPr>
                    <w:t>围</w:t>
                  </w:r>
                </w:p>
              </w:tc>
              <w:tc>
                <w:tcPr>
                  <w:tcW w:w="248" w:type="pct"/>
                  <w:vMerge w:val="restart"/>
                  <w:tcBorders>
                    <w:bottom w:val="nil"/>
                  </w:tcBorders>
                  <w:textDirection w:val="tbRlV"/>
                </w:tcPr>
                <w:p w14:paraId="2105E747">
                  <w:pPr>
                    <w:pStyle w:val="3488"/>
                    <w:spacing w:before="191" w:line="209" w:lineRule="auto"/>
                    <w:ind w:left="59"/>
                    <w:rPr>
                      <w:color w:val="auto"/>
                      <w:sz w:val="21"/>
                      <w:szCs w:val="21"/>
                    </w:rPr>
                  </w:pPr>
                  <w:r>
                    <w:rPr>
                      <w:color w:val="auto"/>
                      <w:spacing w:val="1"/>
                      <w:sz w:val="21"/>
                      <w:szCs w:val="21"/>
                    </w:rPr>
                    <w:t>限</w:t>
                  </w:r>
                  <w:r>
                    <w:rPr>
                      <w:color w:val="auto"/>
                      <w:spacing w:val="-43"/>
                      <w:sz w:val="21"/>
                      <w:szCs w:val="21"/>
                    </w:rPr>
                    <w:t xml:space="preserve"> </w:t>
                  </w:r>
                  <w:r>
                    <w:rPr>
                      <w:color w:val="auto"/>
                      <w:spacing w:val="1"/>
                      <w:sz w:val="21"/>
                      <w:szCs w:val="21"/>
                    </w:rPr>
                    <w:t>值</w:t>
                  </w:r>
                  <w:r>
                    <w:rPr>
                      <w:color w:val="auto"/>
                      <w:spacing w:val="-45"/>
                      <w:sz w:val="21"/>
                      <w:szCs w:val="21"/>
                    </w:rPr>
                    <w:t xml:space="preserve"> </w:t>
                  </w:r>
                  <w:r>
                    <w:rPr>
                      <w:color w:val="auto"/>
                      <w:spacing w:val="1"/>
                      <w:sz w:val="21"/>
                      <w:szCs w:val="21"/>
                    </w:rPr>
                    <w:t>标</w:t>
                  </w:r>
                  <w:r>
                    <w:rPr>
                      <w:color w:val="auto"/>
                      <w:spacing w:val="-43"/>
                      <w:sz w:val="21"/>
                      <w:szCs w:val="21"/>
                    </w:rPr>
                    <w:t xml:space="preserve"> </w:t>
                  </w:r>
                  <w:r>
                    <w:rPr>
                      <w:color w:val="auto"/>
                      <w:spacing w:val="1"/>
                      <w:sz w:val="21"/>
                      <w:szCs w:val="21"/>
                    </w:rPr>
                    <w:t>准</w:t>
                  </w:r>
                </w:p>
              </w:tc>
            </w:tr>
            <w:tr w14:paraId="02AFB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tcBorders>
                </w:tcPr>
                <w:p w14:paraId="2AF91983">
                  <w:pPr>
                    <w:rPr>
                      <w:rFonts w:ascii="Arial"/>
                      <w:color w:val="auto"/>
                    </w:rPr>
                  </w:pPr>
                </w:p>
              </w:tc>
              <w:tc>
                <w:tcPr>
                  <w:tcW w:w="538" w:type="pct"/>
                  <w:vMerge w:val="continue"/>
                  <w:tcBorders>
                    <w:top w:val="nil"/>
                  </w:tcBorders>
                </w:tcPr>
                <w:p w14:paraId="5CECEFDD">
                  <w:pPr>
                    <w:rPr>
                      <w:rFonts w:ascii="Arial"/>
                      <w:color w:val="auto"/>
                    </w:rPr>
                  </w:pPr>
                </w:p>
              </w:tc>
              <w:tc>
                <w:tcPr>
                  <w:tcW w:w="1130" w:type="pct"/>
                  <w:vMerge w:val="continue"/>
                  <w:tcBorders>
                    <w:top w:val="nil"/>
                  </w:tcBorders>
                </w:tcPr>
                <w:p w14:paraId="40DCDD9B">
                  <w:pPr>
                    <w:rPr>
                      <w:rFonts w:ascii="Arial"/>
                      <w:color w:val="auto"/>
                    </w:rPr>
                  </w:pPr>
                </w:p>
              </w:tc>
              <w:tc>
                <w:tcPr>
                  <w:tcW w:w="395" w:type="pct"/>
                  <w:vMerge w:val="continue"/>
                  <w:tcBorders>
                    <w:top w:val="nil"/>
                  </w:tcBorders>
                </w:tcPr>
                <w:p w14:paraId="003197BF">
                  <w:pPr>
                    <w:rPr>
                      <w:rFonts w:ascii="Arial"/>
                      <w:color w:val="auto"/>
                    </w:rPr>
                  </w:pPr>
                </w:p>
              </w:tc>
              <w:tc>
                <w:tcPr>
                  <w:tcW w:w="394" w:type="pct"/>
                </w:tcPr>
                <w:p w14:paraId="45719E11">
                  <w:pPr>
                    <w:pStyle w:val="3488"/>
                    <w:spacing w:before="181" w:line="221" w:lineRule="auto"/>
                    <w:ind w:left="114"/>
                    <w:rPr>
                      <w:color w:val="auto"/>
                      <w:sz w:val="21"/>
                      <w:szCs w:val="21"/>
                    </w:rPr>
                  </w:pPr>
                  <w:r>
                    <w:rPr>
                      <w:color w:val="auto"/>
                      <w:spacing w:val="-2"/>
                      <w:sz w:val="21"/>
                      <w:szCs w:val="21"/>
                    </w:rPr>
                    <w:t>第一次</w:t>
                  </w:r>
                </w:p>
              </w:tc>
              <w:tc>
                <w:tcPr>
                  <w:tcW w:w="395" w:type="pct"/>
                </w:tcPr>
                <w:p w14:paraId="0ADB8FCD">
                  <w:pPr>
                    <w:pStyle w:val="3488"/>
                    <w:spacing w:before="181" w:line="221" w:lineRule="auto"/>
                    <w:ind w:left="117"/>
                    <w:rPr>
                      <w:color w:val="auto"/>
                      <w:sz w:val="21"/>
                      <w:szCs w:val="21"/>
                    </w:rPr>
                  </w:pPr>
                  <w:r>
                    <w:rPr>
                      <w:color w:val="auto"/>
                      <w:spacing w:val="-2"/>
                      <w:sz w:val="21"/>
                      <w:szCs w:val="21"/>
                    </w:rPr>
                    <w:t>第二次</w:t>
                  </w:r>
                </w:p>
              </w:tc>
              <w:tc>
                <w:tcPr>
                  <w:tcW w:w="393" w:type="pct"/>
                </w:tcPr>
                <w:p w14:paraId="1BFE7D28">
                  <w:pPr>
                    <w:pStyle w:val="3488"/>
                    <w:spacing w:before="181" w:line="221" w:lineRule="auto"/>
                    <w:ind w:left="113"/>
                    <w:rPr>
                      <w:color w:val="auto"/>
                      <w:sz w:val="21"/>
                      <w:szCs w:val="21"/>
                    </w:rPr>
                  </w:pPr>
                  <w:r>
                    <w:rPr>
                      <w:color w:val="auto"/>
                      <w:spacing w:val="-2"/>
                      <w:sz w:val="21"/>
                      <w:szCs w:val="21"/>
                    </w:rPr>
                    <w:t>第三次</w:t>
                  </w:r>
                </w:p>
              </w:tc>
              <w:tc>
                <w:tcPr>
                  <w:tcW w:w="397" w:type="pct"/>
                </w:tcPr>
                <w:p w14:paraId="5345EC34">
                  <w:pPr>
                    <w:pStyle w:val="3488"/>
                    <w:spacing w:before="181" w:line="221" w:lineRule="auto"/>
                    <w:ind w:left="119"/>
                    <w:rPr>
                      <w:color w:val="auto"/>
                      <w:sz w:val="21"/>
                      <w:szCs w:val="21"/>
                    </w:rPr>
                  </w:pPr>
                  <w:r>
                    <w:rPr>
                      <w:color w:val="auto"/>
                      <w:spacing w:val="-2"/>
                      <w:sz w:val="21"/>
                      <w:szCs w:val="21"/>
                    </w:rPr>
                    <w:t>第四次</w:t>
                  </w:r>
                </w:p>
              </w:tc>
              <w:tc>
                <w:tcPr>
                  <w:tcW w:w="527" w:type="pct"/>
                  <w:vMerge w:val="continue"/>
                  <w:tcBorders>
                    <w:top w:val="nil"/>
                  </w:tcBorders>
                </w:tcPr>
                <w:p w14:paraId="676EA821">
                  <w:pPr>
                    <w:rPr>
                      <w:rFonts w:ascii="Arial"/>
                      <w:color w:val="auto"/>
                    </w:rPr>
                  </w:pPr>
                </w:p>
              </w:tc>
              <w:tc>
                <w:tcPr>
                  <w:tcW w:w="248" w:type="pct"/>
                  <w:vMerge w:val="continue"/>
                  <w:tcBorders>
                    <w:top w:val="nil"/>
                  </w:tcBorders>
                  <w:textDirection w:val="tbRlV"/>
                </w:tcPr>
                <w:p w14:paraId="48E83531">
                  <w:pPr>
                    <w:rPr>
                      <w:rFonts w:ascii="Arial"/>
                      <w:color w:val="auto"/>
                    </w:rPr>
                  </w:pPr>
                </w:p>
              </w:tc>
            </w:tr>
            <w:tr w14:paraId="241E6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restart"/>
                  <w:tcBorders>
                    <w:bottom w:val="nil"/>
                  </w:tcBorders>
                </w:tcPr>
                <w:p w14:paraId="7C79AF2A">
                  <w:pPr>
                    <w:spacing w:line="269" w:lineRule="auto"/>
                    <w:rPr>
                      <w:rFonts w:ascii="Arial"/>
                      <w:color w:val="auto"/>
                    </w:rPr>
                  </w:pPr>
                </w:p>
                <w:p w14:paraId="32BEB28A">
                  <w:pPr>
                    <w:spacing w:line="269" w:lineRule="auto"/>
                    <w:rPr>
                      <w:rFonts w:ascii="Arial"/>
                      <w:color w:val="auto"/>
                    </w:rPr>
                  </w:pPr>
                </w:p>
                <w:p w14:paraId="1A4AE58D">
                  <w:pPr>
                    <w:spacing w:line="269" w:lineRule="auto"/>
                    <w:rPr>
                      <w:rFonts w:ascii="Arial"/>
                      <w:color w:val="auto"/>
                    </w:rPr>
                  </w:pPr>
                </w:p>
                <w:p w14:paraId="036FC45C">
                  <w:pPr>
                    <w:spacing w:line="270" w:lineRule="auto"/>
                    <w:rPr>
                      <w:rFonts w:ascii="Arial"/>
                      <w:color w:val="auto"/>
                    </w:rPr>
                  </w:pPr>
                </w:p>
                <w:p w14:paraId="7E973548">
                  <w:pPr>
                    <w:spacing w:line="270" w:lineRule="auto"/>
                    <w:rPr>
                      <w:rFonts w:ascii="Arial"/>
                      <w:color w:val="auto"/>
                    </w:rPr>
                  </w:pPr>
                </w:p>
                <w:p w14:paraId="5A9B6F7F">
                  <w:pPr>
                    <w:spacing w:line="270" w:lineRule="auto"/>
                    <w:rPr>
                      <w:rFonts w:ascii="Arial"/>
                      <w:color w:val="auto"/>
                    </w:rPr>
                  </w:pPr>
                </w:p>
                <w:p w14:paraId="50FA46B0">
                  <w:pPr>
                    <w:spacing w:line="270" w:lineRule="auto"/>
                    <w:rPr>
                      <w:rFonts w:ascii="Arial"/>
                      <w:color w:val="auto"/>
                    </w:rPr>
                  </w:pPr>
                </w:p>
                <w:p w14:paraId="2C60D24F">
                  <w:pPr>
                    <w:spacing w:line="270" w:lineRule="auto"/>
                    <w:rPr>
                      <w:rFonts w:ascii="Arial"/>
                      <w:color w:val="auto"/>
                    </w:rPr>
                  </w:pPr>
                </w:p>
                <w:p w14:paraId="53049654">
                  <w:pPr>
                    <w:spacing w:before="61" w:line="233" w:lineRule="auto"/>
                    <w:ind w:left="141"/>
                    <w:rPr>
                      <w:rFonts w:eastAsia="Times New Roman"/>
                      <w:color w:val="auto"/>
                      <w:szCs w:val="21"/>
                    </w:rPr>
                  </w:pPr>
                  <w:r>
                    <w:rPr>
                      <w:rFonts w:eastAsia="Times New Roman"/>
                      <w:color w:val="auto"/>
                      <w:spacing w:val="-1"/>
                      <w:szCs w:val="21"/>
                    </w:rPr>
                    <w:t>2021.09.03</w:t>
                  </w:r>
                </w:p>
              </w:tc>
              <w:tc>
                <w:tcPr>
                  <w:tcW w:w="538" w:type="pct"/>
                  <w:vMerge w:val="restart"/>
                  <w:tcBorders>
                    <w:bottom w:val="nil"/>
                  </w:tcBorders>
                </w:tcPr>
                <w:p w14:paraId="6B3ACFEC">
                  <w:pPr>
                    <w:spacing w:line="247" w:lineRule="auto"/>
                    <w:rPr>
                      <w:rFonts w:ascii="Arial"/>
                      <w:color w:val="auto"/>
                    </w:rPr>
                  </w:pPr>
                </w:p>
                <w:p w14:paraId="449FC942">
                  <w:pPr>
                    <w:spacing w:line="247" w:lineRule="auto"/>
                    <w:rPr>
                      <w:rFonts w:ascii="Arial"/>
                      <w:color w:val="auto"/>
                    </w:rPr>
                  </w:pPr>
                </w:p>
                <w:p w14:paraId="0793869C">
                  <w:pPr>
                    <w:spacing w:line="247" w:lineRule="auto"/>
                    <w:rPr>
                      <w:rFonts w:ascii="Arial"/>
                      <w:color w:val="auto"/>
                    </w:rPr>
                  </w:pPr>
                </w:p>
                <w:p w14:paraId="3CDBE9DE">
                  <w:pPr>
                    <w:spacing w:line="247" w:lineRule="auto"/>
                    <w:rPr>
                      <w:rFonts w:ascii="Arial"/>
                      <w:color w:val="auto"/>
                    </w:rPr>
                  </w:pPr>
                </w:p>
                <w:p w14:paraId="63D224E1">
                  <w:pPr>
                    <w:spacing w:line="247" w:lineRule="auto"/>
                    <w:rPr>
                      <w:rFonts w:ascii="Arial"/>
                      <w:color w:val="auto"/>
                    </w:rPr>
                  </w:pPr>
                </w:p>
                <w:p w14:paraId="2B7AD1EA">
                  <w:pPr>
                    <w:spacing w:line="247" w:lineRule="auto"/>
                    <w:rPr>
                      <w:rFonts w:ascii="Arial"/>
                      <w:color w:val="auto"/>
                    </w:rPr>
                  </w:pPr>
                </w:p>
                <w:p w14:paraId="21E9C2F3">
                  <w:pPr>
                    <w:spacing w:line="248" w:lineRule="auto"/>
                    <w:rPr>
                      <w:rFonts w:ascii="Arial"/>
                      <w:color w:val="auto"/>
                    </w:rPr>
                  </w:pPr>
                </w:p>
                <w:p w14:paraId="667AF079">
                  <w:pPr>
                    <w:spacing w:line="248" w:lineRule="auto"/>
                    <w:rPr>
                      <w:rFonts w:ascii="Arial"/>
                      <w:color w:val="auto"/>
                    </w:rPr>
                  </w:pPr>
                </w:p>
                <w:p w14:paraId="3568CBBA">
                  <w:pPr>
                    <w:pStyle w:val="3488"/>
                    <w:spacing w:before="68" w:line="221" w:lineRule="auto"/>
                    <w:ind w:left="175"/>
                    <w:rPr>
                      <w:color w:val="auto"/>
                      <w:sz w:val="21"/>
                      <w:szCs w:val="21"/>
                    </w:rPr>
                  </w:pPr>
                  <w:r>
                    <w:rPr>
                      <w:color w:val="auto"/>
                      <w:spacing w:val="-2"/>
                      <w:sz w:val="21"/>
                      <w:szCs w:val="21"/>
                    </w:rPr>
                    <w:t>废水总排</w:t>
                  </w:r>
                </w:p>
                <w:p w14:paraId="03C916D8">
                  <w:pPr>
                    <w:pStyle w:val="3488"/>
                    <w:spacing w:before="36" w:line="237" w:lineRule="auto"/>
                    <w:ind w:left="324"/>
                    <w:rPr>
                      <w:rFonts w:ascii="Times New Roman" w:hAnsi="Times New Roman" w:eastAsia="Times New Roman"/>
                      <w:color w:val="auto"/>
                      <w:sz w:val="21"/>
                      <w:szCs w:val="21"/>
                    </w:rPr>
                  </w:pPr>
                  <w:r>
                    <w:rPr>
                      <w:color w:val="auto"/>
                      <w:spacing w:val="12"/>
                      <w:sz w:val="21"/>
                      <w:szCs w:val="21"/>
                    </w:rPr>
                    <w:t>口</w:t>
                  </w:r>
                  <w:r>
                    <w:rPr>
                      <w:rFonts w:ascii="Segoe UI Symbol" w:hAnsi="Segoe UI Symbol" w:eastAsia="Segoe UI Symbol" w:cs="Segoe UI Symbol"/>
                      <w:color w:val="auto"/>
                      <w:spacing w:val="12"/>
                      <w:sz w:val="21"/>
                      <w:szCs w:val="21"/>
                    </w:rPr>
                    <w:t>*</w:t>
                  </w:r>
                  <w:r>
                    <w:rPr>
                      <w:rFonts w:ascii="Times New Roman" w:hAnsi="Times New Roman" w:eastAsia="Times New Roman"/>
                      <w:color w:val="auto"/>
                      <w:spacing w:val="12"/>
                      <w:sz w:val="21"/>
                      <w:szCs w:val="21"/>
                    </w:rPr>
                    <w:t>S1</w:t>
                  </w:r>
                </w:p>
              </w:tc>
              <w:tc>
                <w:tcPr>
                  <w:tcW w:w="1130" w:type="pct"/>
                </w:tcPr>
                <w:p w14:paraId="3556CB12">
                  <w:pPr>
                    <w:pStyle w:val="3488"/>
                    <w:spacing w:before="184" w:line="214" w:lineRule="auto"/>
                    <w:ind w:left="449"/>
                    <w:rPr>
                      <w:color w:val="auto"/>
                      <w:sz w:val="21"/>
                      <w:szCs w:val="21"/>
                    </w:rPr>
                  </w:pPr>
                  <w:r>
                    <w:rPr>
                      <w:rFonts w:ascii="Times New Roman" w:hAnsi="Times New Roman" w:eastAsia="Times New Roman"/>
                      <w:color w:val="auto"/>
                      <w:spacing w:val="-1"/>
                      <w:sz w:val="21"/>
                      <w:szCs w:val="21"/>
                    </w:rPr>
                    <w:t xml:space="preserve">pH </w:t>
                  </w:r>
                  <w:r>
                    <w:rPr>
                      <w:color w:val="auto"/>
                      <w:spacing w:val="-1"/>
                      <w:sz w:val="21"/>
                      <w:szCs w:val="21"/>
                    </w:rPr>
                    <w:t>值</w:t>
                  </w:r>
                </w:p>
              </w:tc>
              <w:tc>
                <w:tcPr>
                  <w:tcW w:w="395" w:type="pct"/>
                </w:tcPr>
                <w:p w14:paraId="6DCAC107">
                  <w:pPr>
                    <w:pStyle w:val="3488"/>
                    <w:spacing w:before="182" w:line="221" w:lineRule="auto"/>
                    <w:ind w:left="117"/>
                    <w:rPr>
                      <w:color w:val="auto"/>
                      <w:sz w:val="21"/>
                      <w:szCs w:val="21"/>
                    </w:rPr>
                  </w:pPr>
                  <w:r>
                    <w:rPr>
                      <w:color w:val="auto"/>
                      <w:spacing w:val="-2"/>
                      <w:sz w:val="21"/>
                      <w:szCs w:val="21"/>
                    </w:rPr>
                    <w:t>无量纲</w:t>
                  </w:r>
                </w:p>
              </w:tc>
              <w:tc>
                <w:tcPr>
                  <w:tcW w:w="394" w:type="pct"/>
                </w:tcPr>
                <w:p w14:paraId="5C4C738D">
                  <w:pPr>
                    <w:spacing w:before="212" w:line="233" w:lineRule="auto"/>
                    <w:ind w:left="298"/>
                    <w:rPr>
                      <w:rFonts w:eastAsia="Times New Roman"/>
                      <w:color w:val="auto"/>
                      <w:szCs w:val="21"/>
                    </w:rPr>
                  </w:pPr>
                  <w:r>
                    <w:rPr>
                      <w:rFonts w:eastAsia="Times New Roman"/>
                      <w:color w:val="auto"/>
                      <w:spacing w:val="-2"/>
                      <w:szCs w:val="21"/>
                    </w:rPr>
                    <w:t>7.9</w:t>
                  </w:r>
                </w:p>
              </w:tc>
              <w:tc>
                <w:tcPr>
                  <w:tcW w:w="395" w:type="pct"/>
                </w:tcPr>
                <w:p w14:paraId="77DF9A31">
                  <w:pPr>
                    <w:spacing w:before="212" w:line="233" w:lineRule="auto"/>
                    <w:ind w:left="306"/>
                    <w:rPr>
                      <w:rFonts w:eastAsia="Times New Roman"/>
                      <w:color w:val="auto"/>
                      <w:szCs w:val="21"/>
                    </w:rPr>
                  </w:pPr>
                  <w:r>
                    <w:rPr>
                      <w:rFonts w:eastAsia="Times New Roman"/>
                      <w:color w:val="auto"/>
                      <w:spacing w:val="-3"/>
                      <w:szCs w:val="21"/>
                    </w:rPr>
                    <w:t>8.0</w:t>
                  </w:r>
                </w:p>
              </w:tc>
              <w:tc>
                <w:tcPr>
                  <w:tcW w:w="393" w:type="pct"/>
                </w:tcPr>
                <w:p w14:paraId="4E855CAB">
                  <w:pPr>
                    <w:spacing w:before="212" w:line="233" w:lineRule="auto"/>
                    <w:ind w:left="303"/>
                    <w:rPr>
                      <w:rFonts w:eastAsia="Times New Roman"/>
                      <w:color w:val="auto"/>
                      <w:szCs w:val="21"/>
                    </w:rPr>
                  </w:pPr>
                  <w:r>
                    <w:rPr>
                      <w:rFonts w:eastAsia="Times New Roman"/>
                      <w:color w:val="auto"/>
                      <w:spacing w:val="-4"/>
                      <w:szCs w:val="21"/>
                    </w:rPr>
                    <w:t>8.0</w:t>
                  </w:r>
                </w:p>
              </w:tc>
              <w:tc>
                <w:tcPr>
                  <w:tcW w:w="397" w:type="pct"/>
                </w:tcPr>
                <w:p w14:paraId="2CFEFA81">
                  <w:pPr>
                    <w:spacing w:before="212" w:line="233" w:lineRule="auto"/>
                    <w:ind w:left="309"/>
                    <w:rPr>
                      <w:rFonts w:eastAsia="Times New Roman"/>
                      <w:color w:val="auto"/>
                      <w:szCs w:val="21"/>
                    </w:rPr>
                  </w:pPr>
                  <w:r>
                    <w:rPr>
                      <w:rFonts w:eastAsia="Times New Roman"/>
                      <w:color w:val="auto"/>
                      <w:spacing w:val="-4"/>
                      <w:szCs w:val="21"/>
                    </w:rPr>
                    <w:t>8.0</w:t>
                  </w:r>
                </w:p>
              </w:tc>
              <w:tc>
                <w:tcPr>
                  <w:tcW w:w="527" w:type="pct"/>
                </w:tcPr>
                <w:p w14:paraId="4EDA4156">
                  <w:pPr>
                    <w:spacing w:before="212" w:line="233" w:lineRule="auto"/>
                    <w:ind w:left="255"/>
                    <w:rPr>
                      <w:rFonts w:eastAsia="Times New Roman"/>
                      <w:color w:val="auto"/>
                      <w:szCs w:val="21"/>
                    </w:rPr>
                  </w:pPr>
                  <w:r>
                    <w:rPr>
                      <w:rFonts w:eastAsia="Times New Roman"/>
                      <w:color w:val="auto"/>
                      <w:spacing w:val="-1"/>
                      <w:szCs w:val="21"/>
                    </w:rPr>
                    <w:t>7.9~8.0</w:t>
                  </w:r>
                </w:p>
              </w:tc>
              <w:tc>
                <w:tcPr>
                  <w:tcW w:w="248" w:type="pct"/>
                </w:tcPr>
                <w:p w14:paraId="5B00AB3E">
                  <w:pPr>
                    <w:spacing w:before="212" w:line="233" w:lineRule="auto"/>
                    <w:ind w:left="144"/>
                    <w:rPr>
                      <w:rFonts w:eastAsia="Times New Roman"/>
                      <w:color w:val="auto"/>
                      <w:szCs w:val="21"/>
                    </w:rPr>
                  </w:pPr>
                  <w:r>
                    <w:rPr>
                      <w:rFonts w:eastAsia="Times New Roman"/>
                      <w:color w:val="auto"/>
                      <w:spacing w:val="-3"/>
                      <w:szCs w:val="21"/>
                    </w:rPr>
                    <w:t>6~9</w:t>
                  </w:r>
                </w:p>
              </w:tc>
            </w:tr>
            <w:tr w14:paraId="05790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191343CF">
                  <w:pPr>
                    <w:rPr>
                      <w:rFonts w:ascii="Arial"/>
                      <w:color w:val="auto"/>
                    </w:rPr>
                  </w:pPr>
                </w:p>
              </w:tc>
              <w:tc>
                <w:tcPr>
                  <w:tcW w:w="538" w:type="pct"/>
                  <w:vMerge w:val="continue"/>
                  <w:tcBorders>
                    <w:top w:val="nil"/>
                    <w:bottom w:val="nil"/>
                  </w:tcBorders>
                </w:tcPr>
                <w:p w14:paraId="16A43E66">
                  <w:pPr>
                    <w:rPr>
                      <w:rFonts w:ascii="Arial"/>
                      <w:color w:val="auto"/>
                    </w:rPr>
                  </w:pPr>
                </w:p>
              </w:tc>
              <w:tc>
                <w:tcPr>
                  <w:tcW w:w="1130" w:type="pct"/>
                </w:tcPr>
                <w:p w14:paraId="2348C4ED">
                  <w:pPr>
                    <w:pStyle w:val="3488"/>
                    <w:spacing w:before="182" w:line="222" w:lineRule="auto"/>
                    <w:ind w:left="398"/>
                    <w:rPr>
                      <w:color w:val="auto"/>
                      <w:sz w:val="21"/>
                      <w:szCs w:val="21"/>
                    </w:rPr>
                  </w:pPr>
                  <w:r>
                    <w:rPr>
                      <w:color w:val="auto"/>
                      <w:spacing w:val="-2"/>
                      <w:sz w:val="21"/>
                      <w:szCs w:val="21"/>
                    </w:rPr>
                    <w:t>悬浮物</w:t>
                  </w:r>
                </w:p>
              </w:tc>
              <w:tc>
                <w:tcPr>
                  <w:tcW w:w="395" w:type="pct"/>
                </w:tcPr>
                <w:p w14:paraId="7812C495">
                  <w:pPr>
                    <w:spacing w:before="210" w:line="191" w:lineRule="auto"/>
                    <w:ind w:left="195"/>
                    <w:rPr>
                      <w:rFonts w:eastAsia="Times New Roman"/>
                      <w:color w:val="auto"/>
                      <w:szCs w:val="21"/>
                    </w:rPr>
                  </w:pPr>
                  <w:r>
                    <w:rPr>
                      <w:rFonts w:eastAsia="Times New Roman"/>
                      <w:color w:val="auto"/>
                      <w:spacing w:val="-1"/>
                      <w:szCs w:val="21"/>
                    </w:rPr>
                    <w:t>mg/L</w:t>
                  </w:r>
                </w:p>
              </w:tc>
              <w:tc>
                <w:tcPr>
                  <w:tcW w:w="394" w:type="pct"/>
                </w:tcPr>
                <w:p w14:paraId="42D6D0E7">
                  <w:pPr>
                    <w:spacing w:before="209" w:line="234" w:lineRule="auto"/>
                    <w:ind w:left="326"/>
                    <w:rPr>
                      <w:rFonts w:eastAsia="Times New Roman"/>
                      <w:color w:val="auto"/>
                      <w:szCs w:val="21"/>
                    </w:rPr>
                  </w:pPr>
                  <w:r>
                    <w:rPr>
                      <w:rFonts w:eastAsia="Times New Roman"/>
                      <w:color w:val="auto"/>
                      <w:spacing w:val="-2"/>
                      <w:szCs w:val="21"/>
                    </w:rPr>
                    <w:t>36</w:t>
                  </w:r>
                </w:p>
              </w:tc>
              <w:tc>
                <w:tcPr>
                  <w:tcW w:w="395" w:type="pct"/>
                </w:tcPr>
                <w:p w14:paraId="691F77B4">
                  <w:pPr>
                    <w:spacing w:before="209" w:line="234" w:lineRule="auto"/>
                    <w:ind w:left="326"/>
                    <w:rPr>
                      <w:rFonts w:eastAsia="Times New Roman"/>
                      <w:color w:val="auto"/>
                      <w:szCs w:val="21"/>
                    </w:rPr>
                  </w:pPr>
                  <w:r>
                    <w:rPr>
                      <w:rFonts w:eastAsia="Times New Roman"/>
                      <w:color w:val="auto"/>
                      <w:spacing w:val="-2"/>
                      <w:szCs w:val="21"/>
                    </w:rPr>
                    <w:t>32</w:t>
                  </w:r>
                </w:p>
              </w:tc>
              <w:tc>
                <w:tcPr>
                  <w:tcW w:w="393" w:type="pct"/>
                </w:tcPr>
                <w:p w14:paraId="02097275">
                  <w:pPr>
                    <w:spacing w:before="209" w:line="234" w:lineRule="auto"/>
                    <w:ind w:left="325"/>
                    <w:rPr>
                      <w:rFonts w:eastAsia="Times New Roman"/>
                      <w:color w:val="auto"/>
                      <w:szCs w:val="21"/>
                    </w:rPr>
                  </w:pPr>
                  <w:r>
                    <w:rPr>
                      <w:rFonts w:eastAsia="Times New Roman"/>
                      <w:color w:val="auto"/>
                      <w:spacing w:val="-2"/>
                      <w:szCs w:val="21"/>
                    </w:rPr>
                    <w:t>35</w:t>
                  </w:r>
                </w:p>
              </w:tc>
              <w:tc>
                <w:tcPr>
                  <w:tcW w:w="397" w:type="pct"/>
                </w:tcPr>
                <w:p w14:paraId="452303A3">
                  <w:pPr>
                    <w:spacing w:before="209" w:line="234" w:lineRule="auto"/>
                    <w:ind w:left="328"/>
                    <w:rPr>
                      <w:rFonts w:eastAsia="Times New Roman"/>
                      <w:color w:val="auto"/>
                      <w:szCs w:val="21"/>
                    </w:rPr>
                  </w:pPr>
                  <w:r>
                    <w:rPr>
                      <w:rFonts w:eastAsia="Times New Roman"/>
                      <w:color w:val="auto"/>
                      <w:spacing w:val="-2"/>
                      <w:szCs w:val="21"/>
                    </w:rPr>
                    <w:t>38</w:t>
                  </w:r>
                </w:p>
              </w:tc>
              <w:tc>
                <w:tcPr>
                  <w:tcW w:w="527" w:type="pct"/>
                </w:tcPr>
                <w:p w14:paraId="2E218650">
                  <w:pPr>
                    <w:spacing w:before="209" w:line="234" w:lineRule="auto"/>
                    <w:ind w:left="470"/>
                    <w:rPr>
                      <w:rFonts w:eastAsia="Times New Roman"/>
                      <w:color w:val="auto"/>
                      <w:szCs w:val="21"/>
                    </w:rPr>
                  </w:pPr>
                  <w:r>
                    <w:rPr>
                      <w:rFonts w:eastAsia="Times New Roman"/>
                      <w:color w:val="auto"/>
                      <w:spacing w:val="-4"/>
                      <w:szCs w:val="21"/>
                    </w:rPr>
                    <w:t>35</w:t>
                  </w:r>
                </w:p>
              </w:tc>
              <w:tc>
                <w:tcPr>
                  <w:tcW w:w="248" w:type="pct"/>
                </w:tcPr>
                <w:p w14:paraId="49379BEB">
                  <w:pPr>
                    <w:spacing w:before="209" w:line="234" w:lineRule="auto"/>
                    <w:ind w:left="143"/>
                    <w:rPr>
                      <w:rFonts w:eastAsia="Times New Roman"/>
                      <w:color w:val="auto"/>
                      <w:szCs w:val="21"/>
                    </w:rPr>
                  </w:pPr>
                  <w:r>
                    <w:rPr>
                      <w:rFonts w:eastAsia="Times New Roman"/>
                      <w:color w:val="auto"/>
                      <w:spacing w:val="-1"/>
                      <w:szCs w:val="21"/>
                    </w:rPr>
                    <w:t>400</w:t>
                  </w:r>
                </w:p>
              </w:tc>
            </w:tr>
            <w:tr w14:paraId="4756B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bottom w:val="nil"/>
                  </w:tcBorders>
                </w:tcPr>
                <w:p w14:paraId="13B02A0B">
                  <w:pPr>
                    <w:rPr>
                      <w:rFonts w:ascii="Arial"/>
                      <w:color w:val="auto"/>
                    </w:rPr>
                  </w:pPr>
                </w:p>
              </w:tc>
              <w:tc>
                <w:tcPr>
                  <w:tcW w:w="538" w:type="pct"/>
                  <w:vMerge w:val="continue"/>
                  <w:tcBorders>
                    <w:top w:val="nil"/>
                    <w:bottom w:val="nil"/>
                  </w:tcBorders>
                </w:tcPr>
                <w:p w14:paraId="1D495AAC">
                  <w:pPr>
                    <w:rPr>
                      <w:rFonts w:ascii="Arial"/>
                      <w:color w:val="auto"/>
                    </w:rPr>
                  </w:pPr>
                </w:p>
              </w:tc>
              <w:tc>
                <w:tcPr>
                  <w:tcW w:w="1130" w:type="pct"/>
                </w:tcPr>
                <w:p w14:paraId="4A1E6BBA">
                  <w:pPr>
                    <w:pStyle w:val="3488"/>
                    <w:spacing w:before="182" w:line="220" w:lineRule="auto"/>
                    <w:ind w:left="188"/>
                    <w:rPr>
                      <w:color w:val="auto"/>
                      <w:sz w:val="21"/>
                      <w:szCs w:val="21"/>
                    </w:rPr>
                  </w:pPr>
                  <w:r>
                    <w:rPr>
                      <w:color w:val="auto"/>
                      <w:spacing w:val="-2"/>
                      <w:sz w:val="21"/>
                      <w:szCs w:val="21"/>
                    </w:rPr>
                    <w:t>化学需氧量</w:t>
                  </w:r>
                </w:p>
              </w:tc>
              <w:tc>
                <w:tcPr>
                  <w:tcW w:w="395" w:type="pct"/>
                </w:tcPr>
                <w:p w14:paraId="58C0E5AC">
                  <w:pPr>
                    <w:spacing w:before="212" w:line="191" w:lineRule="auto"/>
                    <w:ind w:left="195"/>
                    <w:rPr>
                      <w:rFonts w:eastAsia="Times New Roman"/>
                      <w:color w:val="auto"/>
                      <w:szCs w:val="21"/>
                    </w:rPr>
                  </w:pPr>
                  <w:r>
                    <w:rPr>
                      <w:rFonts w:eastAsia="Times New Roman"/>
                      <w:color w:val="auto"/>
                      <w:spacing w:val="-1"/>
                      <w:szCs w:val="21"/>
                    </w:rPr>
                    <w:t>mg/L</w:t>
                  </w:r>
                </w:p>
              </w:tc>
              <w:tc>
                <w:tcPr>
                  <w:tcW w:w="394" w:type="pct"/>
                </w:tcPr>
                <w:p w14:paraId="23DEFCB9">
                  <w:pPr>
                    <w:spacing w:before="212" w:line="234" w:lineRule="auto"/>
                    <w:ind w:left="289"/>
                    <w:rPr>
                      <w:rFonts w:eastAsia="Times New Roman"/>
                      <w:color w:val="auto"/>
                      <w:szCs w:val="21"/>
                    </w:rPr>
                  </w:pPr>
                  <w:r>
                    <w:rPr>
                      <w:rFonts w:eastAsia="Times New Roman"/>
                      <w:color w:val="auto"/>
                      <w:spacing w:val="-6"/>
                      <w:szCs w:val="21"/>
                    </w:rPr>
                    <w:t>131</w:t>
                  </w:r>
                </w:p>
              </w:tc>
              <w:tc>
                <w:tcPr>
                  <w:tcW w:w="395" w:type="pct"/>
                </w:tcPr>
                <w:p w14:paraId="6A466C7E">
                  <w:pPr>
                    <w:spacing w:before="212" w:line="236" w:lineRule="auto"/>
                    <w:ind w:left="292"/>
                    <w:rPr>
                      <w:rFonts w:eastAsia="Times New Roman"/>
                      <w:color w:val="auto"/>
                      <w:szCs w:val="21"/>
                    </w:rPr>
                  </w:pPr>
                  <w:r>
                    <w:rPr>
                      <w:rFonts w:eastAsia="Times New Roman"/>
                      <w:color w:val="auto"/>
                      <w:spacing w:val="-6"/>
                      <w:szCs w:val="21"/>
                    </w:rPr>
                    <w:t>144</w:t>
                  </w:r>
                </w:p>
              </w:tc>
              <w:tc>
                <w:tcPr>
                  <w:tcW w:w="393" w:type="pct"/>
                </w:tcPr>
                <w:p w14:paraId="68DAC030">
                  <w:pPr>
                    <w:spacing w:before="212" w:line="234" w:lineRule="auto"/>
                    <w:ind w:left="288"/>
                    <w:rPr>
                      <w:rFonts w:eastAsia="Times New Roman"/>
                      <w:color w:val="auto"/>
                      <w:szCs w:val="21"/>
                    </w:rPr>
                  </w:pPr>
                  <w:r>
                    <w:rPr>
                      <w:rFonts w:eastAsia="Times New Roman"/>
                      <w:color w:val="auto"/>
                      <w:spacing w:val="-6"/>
                      <w:szCs w:val="21"/>
                    </w:rPr>
                    <w:t>163</w:t>
                  </w:r>
                </w:p>
              </w:tc>
              <w:tc>
                <w:tcPr>
                  <w:tcW w:w="397" w:type="pct"/>
                </w:tcPr>
                <w:p w14:paraId="0BD8F5D6">
                  <w:pPr>
                    <w:spacing w:before="212" w:line="234" w:lineRule="auto"/>
                    <w:ind w:left="294"/>
                    <w:rPr>
                      <w:rFonts w:eastAsia="Times New Roman"/>
                      <w:color w:val="auto"/>
                      <w:szCs w:val="21"/>
                    </w:rPr>
                  </w:pPr>
                  <w:r>
                    <w:rPr>
                      <w:rFonts w:eastAsia="Times New Roman"/>
                      <w:color w:val="auto"/>
                      <w:spacing w:val="-6"/>
                      <w:szCs w:val="21"/>
                    </w:rPr>
                    <w:t>161</w:t>
                  </w:r>
                </w:p>
              </w:tc>
              <w:tc>
                <w:tcPr>
                  <w:tcW w:w="527" w:type="pct"/>
                </w:tcPr>
                <w:p w14:paraId="1B4C83E4">
                  <w:pPr>
                    <w:spacing w:before="212" w:line="234" w:lineRule="auto"/>
                    <w:ind w:left="433"/>
                    <w:rPr>
                      <w:rFonts w:eastAsia="Times New Roman"/>
                      <w:color w:val="auto"/>
                      <w:szCs w:val="21"/>
                    </w:rPr>
                  </w:pPr>
                  <w:r>
                    <w:rPr>
                      <w:rFonts w:eastAsia="Times New Roman"/>
                      <w:color w:val="auto"/>
                      <w:spacing w:val="-6"/>
                      <w:szCs w:val="21"/>
                    </w:rPr>
                    <w:t>150</w:t>
                  </w:r>
                </w:p>
              </w:tc>
              <w:tc>
                <w:tcPr>
                  <w:tcW w:w="248" w:type="pct"/>
                </w:tcPr>
                <w:p w14:paraId="5129E26B">
                  <w:pPr>
                    <w:spacing w:before="212" w:line="234" w:lineRule="auto"/>
                    <w:ind w:left="150"/>
                    <w:rPr>
                      <w:rFonts w:eastAsia="Times New Roman"/>
                      <w:color w:val="auto"/>
                      <w:szCs w:val="21"/>
                    </w:rPr>
                  </w:pPr>
                  <w:r>
                    <w:rPr>
                      <w:rFonts w:eastAsia="Times New Roman"/>
                      <w:color w:val="auto"/>
                      <w:spacing w:val="-2"/>
                      <w:szCs w:val="21"/>
                    </w:rPr>
                    <w:t>500</w:t>
                  </w:r>
                </w:p>
              </w:tc>
            </w:tr>
            <w:tr w14:paraId="0B013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14AD0E0C">
                  <w:pPr>
                    <w:rPr>
                      <w:rFonts w:ascii="Arial"/>
                      <w:color w:val="auto"/>
                    </w:rPr>
                  </w:pPr>
                </w:p>
              </w:tc>
              <w:tc>
                <w:tcPr>
                  <w:tcW w:w="538" w:type="pct"/>
                  <w:vMerge w:val="continue"/>
                  <w:tcBorders>
                    <w:top w:val="nil"/>
                    <w:bottom w:val="nil"/>
                  </w:tcBorders>
                </w:tcPr>
                <w:p w14:paraId="3493F564">
                  <w:pPr>
                    <w:rPr>
                      <w:rFonts w:ascii="Arial"/>
                      <w:color w:val="auto"/>
                    </w:rPr>
                  </w:pPr>
                </w:p>
              </w:tc>
              <w:tc>
                <w:tcPr>
                  <w:tcW w:w="1130" w:type="pct"/>
                </w:tcPr>
                <w:p w14:paraId="5D8F3CED">
                  <w:pPr>
                    <w:pStyle w:val="3488"/>
                    <w:spacing w:before="182" w:line="220" w:lineRule="auto"/>
                    <w:ind w:left="501"/>
                    <w:rPr>
                      <w:color w:val="auto"/>
                      <w:sz w:val="21"/>
                      <w:szCs w:val="21"/>
                    </w:rPr>
                  </w:pPr>
                  <w:r>
                    <w:rPr>
                      <w:color w:val="auto"/>
                      <w:spacing w:val="-2"/>
                      <w:sz w:val="21"/>
                      <w:szCs w:val="21"/>
                    </w:rPr>
                    <w:t>氨氮</w:t>
                  </w:r>
                </w:p>
              </w:tc>
              <w:tc>
                <w:tcPr>
                  <w:tcW w:w="395" w:type="pct"/>
                </w:tcPr>
                <w:p w14:paraId="127BB369">
                  <w:pPr>
                    <w:spacing w:before="210" w:line="191" w:lineRule="auto"/>
                    <w:ind w:left="195"/>
                    <w:rPr>
                      <w:rFonts w:eastAsia="Times New Roman"/>
                      <w:color w:val="auto"/>
                      <w:szCs w:val="21"/>
                    </w:rPr>
                  </w:pPr>
                  <w:r>
                    <w:rPr>
                      <w:rFonts w:eastAsia="Times New Roman"/>
                      <w:color w:val="auto"/>
                      <w:spacing w:val="-1"/>
                      <w:szCs w:val="21"/>
                    </w:rPr>
                    <w:t>mg/L</w:t>
                  </w:r>
                </w:p>
              </w:tc>
              <w:tc>
                <w:tcPr>
                  <w:tcW w:w="394" w:type="pct"/>
                </w:tcPr>
                <w:p w14:paraId="0B088F2E">
                  <w:pPr>
                    <w:spacing w:before="210" w:line="233" w:lineRule="auto"/>
                    <w:ind w:left="242"/>
                    <w:rPr>
                      <w:rFonts w:eastAsia="Times New Roman"/>
                      <w:color w:val="auto"/>
                      <w:szCs w:val="21"/>
                    </w:rPr>
                  </w:pPr>
                  <w:r>
                    <w:rPr>
                      <w:rFonts w:eastAsia="Times New Roman"/>
                      <w:color w:val="auto"/>
                      <w:spacing w:val="-1"/>
                      <w:szCs w:val="21"/>
                    </w:rPr>
                    <w:t>2.58</w:t>
                  </w:r>
                </w:p>
              </w:tc>
              <w:tc>
                <w:tcPr>
                  <w:tcW w:w="395" w:type="pct"/>
                </w:tcPr>
                <w:p w14:paraId="2B762C24">
                  <w:pPr>
                    <w:spacing w:before="210" w:line="233" w:lineRule="auto"/>
                    <w:ind w:left="245"/>
                    <w:rPr>
                      <w:rFonts w:eastAsia="Times New Roman"/>
                      <w:color w:val="auto"/>
                      <w:szCs w:val="21"/>
                    </w:rPr>
                  </w:pPr>
                  <w:r>
                    <w:rPr>
                      <w:rFonts w:eastAsia="Times New Roman"/>
                      <w:color w:val="auto"/>
                      <w:spacing w:val="-1"/>
                      <w:szCs w:val="21"/>
                    </w:rPr>
                    <w:t>2.71</w:t>
                  </w:r>
                </w:p>
              </w:tc>
              <w:tc>
                <w:tcPr>
                  <w:tcW w:w="393" w:type="pct"/>
                </w:tcPr>
                <w:p w14:paraId="4CA767DD">
                  <w:pPr>
                    <w:spacing w:before="210" w:line="233" w:lineRule="auto"/>
                    <w:ind w:left="241"/>
                    <w:rPr>
                      <w:rFonts w:eastAsia="Times New Roman"/>
                      <w:color w:val="auto"/>
                      <w:szCs w:val="21"/>
                    </w:rPr>
                  </w:pPr>
                  <w:r>
                    <w:rPr>
                      <w:rFonts w:eastAsia="Times New Roman"/>
                      <w:color w:val="auto"/>
                      <w:spacing w:val="-1"/>
                      <w:szCs w:val="21"/>
                    </w:rPr>
                    <w:t>2.52</w:t>
                  </w:r>
                </w:p>
              </w:tc>
              <w:tc>
                <w:tcPr>
                  <w:tcW w:w="397" w:type="pct"/>
                </w:tcPr>
                <w:p w14:paraId="35F4A621">
                  <w:pPr>
                    <w:spacing w:before="210" w:line="233" w:lineRule="auto"/>
                    <w:ind w:left="247"/>
                    <w:rPr>
                      <w:rFonts w:eastAsia="Times New Roman"/>
                      <w:color w:val="auto"/>
                      <w:szCs w:val="21"/>
                    </w:rPr>
                  </w:pPr>
                  <w:r>
                    <w:rPr>
                      <w:rFonts w:eastAsia="Times New Roman"/>
                      <w:color w:val="auto"/>
                      <w:spacing w:val="-1"/>
                      <w:szCs w:val="21"/>
                    </w:rPr>
                    <w:t>2.53</w:t>
                  </w:r>
                </w:p>
              </w:tc>
              <w:tc>
                <w:tcPr>
                  <w:tcW w:w="527" w:type="pct"/>
                </w:tcPr>
                <w:p w14:paraId="00A58A40">
                  <w:pPr>
                    <w:spacing w:before="210" w:line="233" w:lineRule="auto"/>
                    <w:ind w:left="386"/>
                    <w:rPr>
                      <w:rFonts w:eastAsia="Times New Roman"/>
                      <w:color w:val="auto"/>
                      <w:szCs w:val="21"/>
                    </w:rPr>
                  </w:pPr>
                  <w:r>
                    <w:rPr>
                      <w:rFonts w:eastAsia="Times New Roman"/>
                      <w:color w:val="auto"/>
                      <w:spacing w:val="-1"/>
                      <w:szCs w:val="21"/>
                    </w:rPr>
                    <w:t>2.59</w:t>
                  </w:r>
                </w:p>
              </w:tc>
              <w:tc>
                <w:tcPr>
                  <w:tcW w:w="248" w:type="pct"/>
                </w:tcPr>
                <w:p w14:paraId="51AAF326">
                  <w:pPr>
                    <w:spacing w:before="210" w:line="234" w:lineRule="auto"/>
                    <w:ind w:left="199"/>
                    <w:rPr>
                      <w:rFonts w:eastAsia="Times New Roman"/>
                      <w:color w:val="auto"/>
                      <w:szCs w:val="21"/>
                    </w:rPr>
                  </w:pPr>
                  <w:r>
                    <w:rPr>
                      <w:rFonts w:eastAsia="Times New Roman"/>
                      <w:color w:val="auto"/>
                      <w:spacing w:val="-2"/>
                      <w:szCs w:val="21"/>
                    </w:rPr>
                    <w:t>35</w:t>
                  </w:r>
                </w:p>
              </w:tc>
            </w:tr>
            <w:tr w14:paraId="056F0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78" w:type="pct"/>
                  <w:vMerge w:val="continue"/>
                  <w:tcBorders>
                    <w:top w:val="nil"/>
                    <w:bottom w:val="nil"/>
                  </w:tcBorders>
                </w:tcPr>
                <w:p w14:paraId="29817023">
                  <w:pPr>
                    <w:rPr>
                      <w:rFonts w:ascii="Arial"/>
                      <w:color w:val="auto"/>
                    </w:rPr>
                  </w:pPr>
                </w:p>
              </w:tc>
              <w:tc>
                <w:tcPr>
                  <w:tcW w:w="538" w:type="pct"/>
                  <w:vMerge w:val="continue"/>
                  <w:tcBorders>
                    <w:top w:val="nil"/>
                    <w:bottom w:val="nil"/>
                  </w:tcBorders>
                </w:tcPr>
                <w:p w14:paraId="3FF86D01">
                  <w:pPr>
                    <w:rPr>
                      <w:rFonts w:ascii="Arial"/>
                      <w:color w:val="auto"/>
                    </w:rPr>
                  </w:pPr>
                </w:p>
              </w:tc>
              <w:tc>
                <w:tcPr>
                  <w:tcW w:w="1130" w:type="pct"/>
                </w:tcPr>
                <w:p w14:paraId="2FD3A0E9">
                  <w:pPr>
                    <w:pStyle w:val="3488"/>
                    <w:spacing w:before="183" w:line="221" w:lineRule="auto"/>
                    <w:ind w:left="504"/>
                    <w:rPr>
                      <w:color w:val="auto"/>
                      <w:sz w:val="21"/>
                      <w:szCs w:val="21"/>
                    </w:rPr>
                  </w:pPr>
                  <w:r>
                    <w:rPr>
                      <w:color w:val="auto"/>
                      <w:spacing w:val="-3"/>
                      <w:sz w:val="21"/>
                      <w:szCs w:val="21"/>
                    </w:rPr>
                    <w:t>总磷</w:t>
                  </w:r>
                </w:p>
              </w:tc>
              <w:tc>
                <w:tcPr>
                  <w:tcW w:w="395" w:type="pct"/>
                </w:tcPr>
                <w:p w14:paraId="7B7A5FF0">
                  <w:pPr>
                    <w:spacing w:before="213" w:line="191" w:lineRule="auto"/>
                    <w:ind w:left="195"/>
                    <w:rPr>
                      <w:rFonts w:eastAsia="Times New Roman"/>
                      <w:color w:val="auto"/>
                      <w:szCs w:val="21"/>
                    </w:rPr>
                  </w:pPr>
                  <w:r>
                    <w:rPr>
                      <w:rFonts w:eastAsia="Times New Roman"/>
                      <w:color w:val="auto"/>
                      <w:spacing w:val="-1"/>
                      <w:szCs w:val="21"/>
                    </w:rPr>
                    <w:t>mg/L</w:t>
                  </w:r>
                </w:p>
              </w:tc>
              <w:tc>
                <w:tcPr>
                  <w:tcW w:w="394" w:type="pct"/>
                </w:tcPr>
                <w:p w14:paraId="27CC8D5D">
                  <w:pPr>
                    <w:spacing w:before="213" w:line="233" w:lineRule="auto"/>
                    <w:ind w:left="245"/>
                    <w:rPr>
                      <w:rFonts w:eastAsia="Times New Roman"/>
                      <w:color w:val="auto"/>
                      <w:szCs w:val="21"/>
                    </w:rPr>
                  </w:pPr>
                  <w:r>
                    <w:rPr>
                      <w:rFonts w:eastAsia="Times New Roman"/>
                      <w:color w:val="auto"/>
                      <w:spacing w:val="-1"/>
                      <w:szCs w:val="21"/>
                    </w:rPr>
                    <w:t>0.66</w:t>
                  </w:r>
                </w:p>
              </w:tc>
              <w:tc>
                <w:tcPr>
                  <w:tcW w:w="395" w:type="pct"/>
                </w:tcPr>
                <w:p w14:paraId="22EAA96C">
                  <w:pPr>
                    <w:spacing w:before="213" w:line="233" w:lineRule="auto"/>
                    <w:ind w:left="248"/>
                    <w:rPr>
                      <w:rFonts w:eastAsia="Times New Roman"/>
                      <w:color w:val="auto"/>
                      <w:szCs w:val="21"/>
                    </w:rPr>
                  </w:pPr>
                  <w:r>
                    <w:rPr>
                      <w:rFonts w:eastAsia="Times New Roman"/>
                      <w:color w:val="auto"/>
                      <w:spacing w:val="-1"/>
                      <w:szCs w:val="21"/>
                    </w:rPr>
                    <w:t>0.90</w:t>
                  </w:r>
                </w:p>
              </w:tc>
              <w:tc>
                <w:tcPr>
                  <w:tcW w:w="393" w:type="pct"/>
                </w:tcPr>
                <w:p w14:paraId="64208AB4">
                  <w:pPr>
                    <w:spacing w:before="213" w:line="233" w:lineRule="auto"/>
                    <w:ind w:left="245"/>
                    <w:rPr>
                      <w:rFonts w:eastAsia="Times New Roman"/>
                      <w:color w:val="auto"/>
                      <w:szCs w:val="21"/>
                    </w:rPr>
                  </w:pPr>
                  <w:r>
                    <w:rPr>
                      <w:rFonts w:eastAsia="Times New Roman"/>
                      <w:color w:val="auto"/>
                      <w:spacing w:val="-1"/>
                      <w:szCs w:val="21"/>
                    </w:rPr>
                    <w:t>0.77</w:t>
                  </w:r>
                </w:p>
              </w:tc>
              <w:tc>
                <w:tcPr>
                  <w:tcW w:w="397" w:type="pct"/>
                </w:tcPr>
                <w:p w14:paraId="62357178">
                  <w:pPr>
                    <w:spacing w:before="213" w:line="233" w:lineRule="auto"/>
                    <w:ind w:left="251"/>
                    <w:rPr>
                      <w:rFonts w:eastAsia="Times New Roman"/>
                      <w:color w:val="auto"/>
                      <w:szCs w:val="21"/>
                    </w:rPr>
                  </w:pPr>
                  <w:r>
                    <w:rPr>
                      <w:rFonts w:eastAsia="Times New Roman"/>
                      <w:color w:val="auto"/>
                      <w:spacing w:val="-1"/>
                      <w:szCs w:val="21"/>
                    </w:rPr>
                    <w:t>0.73</w:t>
                  </w:r>
                </w:p>
              </w:tc>
              <w:tc>
                <w:tcPr>
                  <w:tcW w:w="527" w:type="pct"/>
                </w:tcPr>
                <w:p w14:paraId="66BD3BC4">
                  <w:pPr>
                    <w:spacing w:before="213" w:line="233" w:lineRule="auto"/>
                    <w:ind w:left="389"/>
                    <w:rPr>
                      <w:rFonts w:eastAsia="Times New Roman"/>
                      <w:color w:val="auto"/>
                      <w:szCs w:val="21"/>
                    </w:rPr>
                  </w:pPr>
                  <w:r>
                    <w:rPr>
                      <w:rFonts w:eastAsia="Times New Roman"/>
                      <w:color w:val="auto"/>
                      <w:spacing w:val="-1"/>
                      <w:szCs w:val="21"/>
                    </w:rPr>
                    <w:t>0.77</w:t>
                  </w:r>
                </w:p>
              </w:tc>
              <w:tc>
                <w:tcPr>
                  <w:tcW w:w="248" w:type="pct"/>
                </w:tcPr>
                <w:p w14:paraId="386773B3">
                  <w:pPr>
                    <w:spacing w:before="213" w:line="234" w:lineRule="auto"/>
                    <w:ind w:left="256"/>
                    <w:rPr>
                      <w:rFonts w:eastAsia="Times New Roman"/>
                      <w:color w:val="auto"/>
                      <w:szCs w:val="21"/>
                    </w:rPr>
                  </w:pPr>
                  <w:r>
                    <w:rPr>
                      <w:rFonts w:eastAsia="Times New Roman"/>
                      <w:color w:val="auto"/>
                      <w:szCs w:val="21"/>
                    </w:rPr>
                    <w:t>8</w:t>
                  </w:r>
                </w:p>
              </w:tc>
            </w:tr>
            <w:tr w14:paraId="62B8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0AF65BC9">
                  <w:pPr>
                    <w:rPr>
                      <w:rFonts w:ascii="Arial"/>
                      <w:color w:val="auto"/>
                    </w:rPr>
                  </w:pPr>
                </w:p>
              </w:tc>
              <w:tc>
                <w:tcPr>
                  <w:tcW w:w="538" w:type="pct"/>
                  <w:vMerge w:val="continue"/>
                  <w:tcBorders>
                    <w:top w:val="nil"/>
                    <w:bottom w:val="nil"/>
                  </w:tcBorders>
                </w:tcPr>
                <w:p w14:paraId="4D0DE133">
                  <w:pPr>
                    <w:rPr>
                      <w:rFonts w:ascii="Arial"/>
                      <w:color w:val="auto"/>
                    </w:rPr>
                  </w:pPr>
                </w:p>
              </w:tc>
              <w:tc>
                <w:tcPr>
                  <w:tcW w:w="1130" w:type="pct"/>
                </w:tcPr>
                <w:p w14:paraId="495A4BDF">
                  <w:pPr>
                    <w:pStyle w:val="3488"/>
                    <w:spacing w:before="46" w:line="226" w:lineRule="auto"/>
                    <w:ind w:left="398" w:right="178" w:hanging="195"/>
                    <w:rPr>
                      <w:color w:val="auto"/>
                      <w:sz w:val="21"/>
                      <w:szCs w:val="21"/>
                    </w:rPr>
                  </w:pPr>
                  <w:r>
                    <w:rPr>
                      <w:color w:val="auto"/>
                      <w:spacing w:val="-5"/>
                      <w:sz w:val="21"/>
                      <w:szCs w:val="21"/>
                    </w:rPr>
                    <w:t>阴离子表面</w:t>
                  </w:r>
                  <w:r>
                    <w:rPr>
                      <w:color w:val="auto"/>
                      <w:spacing w:val="2"/>
                      <w:sz w:val="21"/>
                      <w:szCs w:val="21"/>
                    </w:rPr>
                    <w:t xml:space="preserve"> </w:t>
                  </w:r>
                  <w:r>
                    <w:rPr>
                      <w:color w:val="auto"/>
                      <w:spacing w:val="-2"/>
                      <w:sz w:val="21"/>
                      <w:szCs w:val="21"/>
                    </w:rPr>
                    <w:t>活性剂</w:t>
                  </w:r>
                </w:p>
              </w:tc>
              <w:tc>
                <w:tcPr>
                  <w:tcW w:w="395" w:type="pct"/>
                </w:tcPr>
                <w:p w14:paraId="0E5908C7">
                  <w:pPr>
                    <w:spacing w:before="211" w:line="191" w:lineRule="auto"/>
                    <w:ind w:left="195"/>
                    <w:rPr>
                      <w:rFonts w:eastAsia="Times New Roman"/>
                      <w:color w:val="auto"/>
                      <w:szCs w:val="21"/>
                    </w:rPr>
                  </w:pPr>
                  <w:r>
                    <w:rPr>
                      <w:rFonts w:eastAsia="Times New Roman"/>
                      <w:color w:val="auto"/>
                      <w:spacing w:val="-1"/>
                      <w:szCs w:val="21"/>
                    </w:rPr>
                    <w:t>mg/L</w:t>
                  </w:r>
                </w:p>
              </w:tc>
              <w:tc>
                <w:tcPr>
                  <w:tcW w:w="394" w:type="pct"/>
                </w:tcPr>
                <w:p w14:paraId="350284B1">
                  <w:pPr>
                    <w:spacing w:before="211" w:line="233" w:lineRule="auto"/>
                    <w:ind w:left="192"/>
                    <w:rPr>
                      <w:rFonts w:eastAsia="Times New Roman"/>
                      <w:color w:val="auto"/>
                      <w:szCs w:val="21"/>
                    </w:rPr>
                  </w:pPr>
                  <w:r>
                    <w:rPr>
                      <w:rFonts w:eastAsia="Times New Roman"/>
                      <w:color w:val="auto"/>
                      <w:spacing w:val="-1"/>
                      <w:szCs w:val="21"/>
                    </w:rPr>
                    <w:t>0.227</w:t>
                  </w:r>
                </w:p>
              </w:tc>
              <w:tc>
                <w:tcPr>
                  <w:tcW w:w="395" w:type="pct"/>
                </w:tcPr>
                <w:p w14:paraId="52E140B2">
                  <w:pPr>
                    <w:spacing w:before="211" w:line="233" w:lineRule="auto"/>
                    <w:ind w:left="196"/>
                    <w:rPr>
                      <w:rFonts w:eastAsia="Times New Roman"/>
                      <w:color w:val="auto"/>
                      <w:szCs w:val="21"/>
                    </w:rPr>
                  </w:pPr>
                  <w:r>
                    <w:rPr>
                      <w:rFonts w:eastAsia="Times New Roman"/>
                      <w:color w:val="auto"/>
                      <w:spacing w:val="-1"/>
                      <w:szCs w:val="21"/>
                    </w:rPr>
                    <w:t>0.222</w:t>
                  </w:r>
                </w:p>
              </w:tc>
              <w:tc>
                <w:tcPr>
                  <w:tcW w:w="393" w:type="pct"/>
                </w:tcPr>
                <w:p w14:paraId="18F94718">
                  <w:pPr>
                    <w:spacing w:before="211" w:line="233" w:lineRule="auto"/>
                    <w:ind w:left="192"/>
                    <w:rPr>
                      <w:rFonts w:eastAsia="Times New Roman"/>
                      <w:color w:val="auto"/>
                      <w:szCs w:val="21"/>
                    </w:rPr>
                  </w:pPr>
                  <w:r>
                    <w:rPr>
                      <w:rFonts w:eastAsia="Times New Roman"/>
                      <w:color w:val="auto"/>
                      <w:spacing w:val="-1"/>
                      <w:szCs w:val="21"/>
                    </w:rPr>
                    <w:t>0.231</w:t>
                  </w:r>
                </w:p>
              </w:tc>
              <w:tc>
                <w:tcPr>
                  <w:tcW w:w="397" w:type="pct"/>
                </w:tcPr>
                <w:p w14:paraId="7CCACC6D">
                  <w:pPr>
                    <w:spacing w:before="211" w:line="233" w:lineRule="auto"/>
                    <w:ind w:left="198"/>
                    <w:rPr>
                      <w:rFonts w:eastAsia="Times New Roman"/>
                      <w:color w:val="auto"/>
                      <w:szCs w:val="21"/>
                    </w:rPr>
                  </w:pPr>
                  <w:r>
                    <w:rPr>
                      <w:rFonts w:eastAsia="Times New Roman"/>
                      <w:color w:val="auto"/>
                      <w:spacing w:val="-1"/>
                      <w:szCs w:val="21"/>
                    </w:rPr>
                    <w:t>0.219</w:t>
                  </w:r>
                </w:p>
              </w:tc>
              <w:tc>
                <w:tcPr>
                  <w:tcW w:w="527" w:type="pct"/>
                </w:tcPr>
                <w:p w14:paraId="299B3A74">
                  <w:pPr>
                    <w:spacing w:before="211" w:line="233" w:lineRule="auto"/>
                    <w:ind w:left="337"/>
                    <w:rPr>
                      <w:rFonts w:eastAsia="Times New Roman"/>
                      <w:color w:val="auto"/>
                      <w:szCs w:val="21"/>
                    </w:rPr>
                  </w:pPr>
                  <w:r>
                    <w:rPr>
                      <w:rFonts w:eastAsia="Times New Roman"/>
                      <w:color w:val="auto"/>
                      <w:spacing w:val="-1"/>
                      <w:szCs w:val="21"/>
                    </w:rPr>
                    <w:t>0.225</w:t>
                  </w:r>
                </w:p>
              </w:tc>
              <w:tc>
                <w:tcPr>
                  <w:tcW w:w="248" w:type="pct"/>
                </w:tcPr>
                <w:p w14:paraId="3DE6590F">
                  <w:pPr>
                    <w:spacing w:before="211" w:line="234" w:lineRule="auto"/>
                    <w:ind w:left="194"/>
                    <w:rPr>
                      <w:rFonts w:eastAsia="Times New Roman"/>
                      <w:color w:val="auto"/>
                      <w:szCs w:val="21"/>
                    </w:rPr>
                  </w:pPr>
                  <w:r>
                    <w:rPr>
                      <w:rFonts w:eastAsia="Times New Roman"/>
                      <w:color w:val="auto"/>
                      <w:spacing w:val="-1"/>
                      <w:szCs w:val="21"/>
                    </w:rPr>
                    <w:t>20</w:t>
                  </w:r>
                </w:p>
              </w:tc>
            </w:tr>
            <w:tr w14:paraId="17D4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78" w:type="pct"/>
                  <w:vMerge w:val="continue"/>
                  <w:tcBorders>
                    <w:top w:val="nil"/>
                    <w:bottom w:val="nil"/>
                  </w:tcBorders>
                </w:tcPr>
                <w:p w14:paraId="5DFCA545">
                  <w:pPr>
                    <w:rPr>
                      <w:rFonts w:ascii="Arial"/>
                      <w:color w:val="auto"/>
                    </w:rPr>
                  </w:pPr>
                </w:p>
              </w:tc>
              <w:tc>
                <w:tcPr>
                  <w:tcW w:w="538" w:type="pct"/>
                  <w:vMerge w:val="continue"/>
                  <w:tcBorders>
                    <w:top w:val="nil"/>
                    <w:bottom w:val="nil"/>
                  </w:tcBorders>
                </w:tcPr>
                <w:p w14:paraId="517BD338">
                  <w:pPr>
                    <w:rPr>
                      <w:rFonts w:ascii="Arial"/>
                      <w:color w:val="auto"/>
                    </w:rPr>
                  </w:pPr>
                </w:p>
              </w:tc>
              <w:tc>
                <w:tcPr>
                  <w:tcW w:w="1130" w:type="pct"/>
                </w:tcPr>
                <w:p w14:paraId="2BC13B0E">
                  <w:pPr>
                    <w:pStyle w:val="3488"/>
                    <w:spacing w:before="183" w:line="221" w:lineRule="auto"/>
                    <w:ind w:left="397"/>
                    <w:rPr>
                      <w:color w:val="auto"/>
                      <w:sz w:val="21"/>
                      <w:szCs w:val="21"/>
                      <w:lang w:eastAsia="zh-CN"/>
                    </w:rPr>
                  </w:pPr>
                  <w:r>
                    <w:rPr>
                      <w:color w:val="auto"/>
                      <w:spacing w:val="-2"/>
                      <w:sz w:val="21"/>
                      <w:szCs w:val="21"/>
                      <w:lang w:eastAsia="zh-CN"/>
                    </w:rPr>
                    <w:t>石油类</w:t>
                  </w:r>
                </w:p>
              </w:tc>
              <w:tc>
                <w:tcPr>
                  <w:tcW w:w="395" w:type="pct"/>
                </w:tcPr>
                <w:p w14:paraId="28FEA3A0">
                  <w:pPr>
                    <w:spacing w:before="214" w:line="191" w:lineRule="auto"/>
                    <w:ind w:left="195"/>
                    <w:rPr>
                      <w:rFonts w:eastAsia="Times New Roman"/>
                      <w:color w:val="auto"/>
                      <w:szCs w:val="21"/>
                    </w:rPr>
                  </w:pPr>
                  <w:r>
                    <w:rPr>
                      <w:rFonts w:eastAsia="Times New Roman"/>
                      <w:color w:val="auto"/>
                      <w:spacing w:val="-1"/>
                      <w:szCs w:val="21"/>
                    </w:rPr>
                    <w:t>mg/L</w:t>
                  </w:r>
                </w:p>
              </w:tc>
              <w:tc>
                <w:tcPr>
                  <w:tcW w:w="394" w:type="pct"/>
                </w:tcPr>
                <w:p w14:paraId="2C5A6B2A">
                  <w:pPr>
                    <w:spacing w:before="214" w:line="233" w:lineRule="auto"/>
                    <w:ind w:left="262"/>
                    <w:rPr>
                      <w:rFonts w:eastAsia="Times New Roman"/>
                      <w:color w:val="auto"/>
                      <w:szCs w:val="21"/>
                    </w:rPr>
                  </w:pPr>
                  <w:r>
                    <w:rPr>
                      <w:rFonts w:eastAsia="Times New Roman"/>
                      <w:color w:val="auto"/>
                      <w:spacing w:val="-5"/>
                      <w:szCs w:val="21"/>
                    </w:rPr>
                    <w:t>1.65</w:t>
                  </w:r>
                </w:p>
              </w:tc>
              <w:tc>
                <w:tcPr>
                  <w:tcW w:w="395" w:type="pct"/>
                </w:tcPr>
                <w:p w14:paraId="0E70258C">
                  <w:pPr>
                    <w:spacing w:before="214" w:line="233" w:lineRule="auto"/>
                    <w:ind w:left="265"/>
                    <w:rPr>
                      <w:rFonts w:eastAsia="Times New Roman"/>
                      <w:color w:val="auto"/>
                      <w:szCs w:val="21"/>
                    </w:rPr>
                  </w:pPr>
                  <w:r>
                    <w:rPr>
                      <w:rFonts w:eastAsia="Times New Roman"/>
                      <w:color w:val="auto"/>
                      <w:spacing w:val="-5"/>
                      <w:szCs w:val="21"/>
                    </w:rPr>
                    <w:t>1.81</w:t>
                  </w:r>
                </w:p>
              </w:tc>
              <w:tc>
                <w:tcPr>
                  <w:tcW w:w="393" w:type="pct"/>
                </w:tcPr>
                <w:p w14:paraId="6BC97641">
                  <w:pPr>
                    <w:spacing w:before="214" w:line="233" w:lineRule="auto"/>
                    <w:ind w:left="262"/>
                    <w:rPr>
                      <w:rFonts w:eastAsia="Times New Roman"/>
                      <w:color w:val="auto"/>
                      <w:szCs w:val="21"/>
                    </w:rPr>
                  </w:pPr>
                  <w:r>
                    <w:rPr>
                      <w:rFonts w:eastAsia="Times New Roman"/>
                      <w:color w:val="auto"/>
                      <w:spacing w:val="-5"/>
                      <w:szCs w:val="21"/>
                    </w:rPr>
                    <w:t>1.72</w:t>
                  </w:r>
                </w:p>
              </w:tc>
              <w:tc>
                <w:tcPr>
                  <w:tcW w:w="397" w:type="pct"/>
                </w:tcPr>
                <w:p w14:paraId="72BFBCBE">
                  <w:pPr>
                    <w:spacing w:before="214" w:line="233" w:lineRule="auto"/>
                    <w:ind w:left="268"/>
                    <w:rPr>
                      <w:rFonts w:eastAsia="Times New Roman"/>
                      <w:color w:val="auto"/>
                      <w:szCs w:val="21"/>
                    </w:rPr>
                  </w:pPr>
                  <w:r>
                    <w:rPr>
                      <w:rFonts w:eastAsia="Times New Roman"/>
                      <w:color w:val="auto"/>
                      <w:spacing w:val="-5"/>
                      <w:szCs w:val="21"/>
                    </w:rPr>
                    <w:t>1.70</w:t>
                  </w:r>
                </w:p>
              </w:tc>
              <w:tc>
                <w:tcPr>
                  <w:tcW w:w="527" w:type="pct"/>
                </w:tcPr>
                <w:p w14:paraId="37FDA792">
                  <w:pPr>
                    <w:spacing w:before="214" w:line="233" w:lineRule="auto"/>
                    <w:ind w:left="406"/>
                    <w:rPr>
                      <w:rFonts w:eastAsia="Times New Roman"/>
                      <w:color w:val="auto"/>
                      <w:szCs w:val="21"/>
                    </w:rPr>
                  </w:pPr>
                  <w:r>
                    <w:rPr>
                      <w:rFonts w:eastAsia="Times New Roman"/>
                      <w:color w:val="auto"/>
                      <w:spacing w:val="-5"/>
                      <w:szCs w:val="21"/>
                    </w:rPr>
                    <w:t>1.72</w:t>
                  </w:r>
                </w:p>
              </w:tc>
              <w:tc>
                <w:tcPr>
                  <w:tcW w:w="248" w:type="pct"/>
                </w:tcPr>
                <w:p w14:paraId="76068F39">
                  <w:pPr>
                    <w:spacing w:before="214" w:line="233" w:lineRule="auto"/>
                    <w:ind w:left="267"/>
                    <w:rPr>
                      <w:rFonts w:eastAsia="Times New Roman"/>
                      <w:color w:val="auto"/>
                      <w:szCs w:val="21"/>
                    </w:rPr>
                  </w:pPr>
                  <w:r>
                    <w:rPr>
                      <w:rFonts w:eastAsia="Times New Roman"/>
                      <w:color w:val="auto"/>
                      <w:szCs w:val="21"/>
                    </w:rPr>
                    <w:t>/</w:t>
                  </w:r>
                </w:p>
              </w:tc>
            </w:tr>
            <w:tr w14:paraId="4356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78" w:type="pct"/>
                  <w:vMerge w:val="continue"/>
                  <w:tcBorders>
                    <w:top w:val="nil"/>
                  </w:tcBorders>
                </w:tcPr>
                <w:p w14:paraId="04497CCD">
                  <w:pPr>
                    <w:rPr>
                      <w:rFonts w:ascii="Arial"/>
                      <w:color w:val="auto"/>
                    </w:rPr>
                  </w:pPr>
                </w:p>
              </w:tc>
              <w:tc>
                <w:tcPr>
                  <w:tcW w:w="538" w:type="pct"/>
                  <w:vMerge w:val="continue"/>
                  <w:tcBorders>
                    <w:top w:val="nil"/>
                  </w:tcBorders>
                </w:tcPr>
                <w:p w14:paraId="46760016">
                  <w:pPr>
                    <w:rPr>
                      <w:rFonts w:ascii="Arial"/>
                      <w:color w:val="auto"/>
                    </w:rPr>
                  </w:pPr>
                </w:p>
              </w:tc>
              <w:tc>
                <w:tcPr>
                  <w:tcW w:w="1130" w:type="pct"/>
                </w:tcPr>
                <w:p w14:paraId="0F7105A4">
                  <w:pPr>
                    <w:pStyle w:val="3488"/>
                    <w:spacing w:before="185" w:line="221" w:lineRule="auto"/>
                    <w:ind w:left="397"/>
                    <w:rPr>
                      <w:color w:val="auto"/>
                      <w:sz w:val="21"/>
                      <w:szCs w:val="21"/>
                      <w:lang w:eastAsia="zh-CN"/>
                    </w:rPr>
                  </w:pPr>
                  <w:r>
                    <w:rPr>
                      <w:color w:val="auto"/>
                      <w:spacing w:val="-2"/>
                      <w:sz w:val="21"/>
                      <w:szCs w:val="21"/>
                      <w:lang w:eastAsia="zh-CN"/>
                    </w:rPr>
                    <w:t>氟化物</w:t>
                  </w:r>
                </w:p>
              </w:tc>
              <w:tc>
                <w:tcPr>
                  <w:tcW w:w="395" w:type="pct"/>
                </w:tcPr>
                <w:p w14:paraId="12CCEC88">
                  <w:pPr>
                    <w:spacing w:before="214" w:line="191" w:lineRule="auto"/>
                    <w:ind w:left="195"/>
                    <w:rPr>
                      <w:rFonts w:eastAsia="Times New Roman"/>
                      <w:color w:val="auto"/>
                      <w:szCs w:val="21"/>
                    </w:rPr>
                  </w:pPr>
                  <w:r>
                    <w:rPr>
                      <w:rFonts w:eastAsia="Times New Roman"/>
                      <w:color w:val="auto"/>
                      <w:spacing w:val="-1"/>
                      <w:szCs w:val="21"/>
                    </w:rPr>
                    <w:t>mg/L</w:t>
                  </w:r>
                </w:p>
              </w:tc>
              <w:tc>
                <w:tcPr>
                  <w:tcW w:w="394" w:type="pct"/>
                </w:tcPr>
                <w:p w14:paraId="15883B2B">
                  <w:pPr>
                    <w:spacing w:before="214" w:line="233" w:lineRule="auto"/>
                    <w:ind w:left="192"/>
                    <w:rPr>
                      <w:rFonts w:eastAsia="Times New Roman"/>
                      <w:color w:val="auto"/>
                      <w:szCs w:val="21"/>
                    </w:rPr>
                  </w:pPr>
                  <w:r>
                    <w:rPr>
                      <w:rFonts w:eastAsia="Times New Roman"/>
                      <w:color w:val="auto"/>
                      <w:spacing w:val="-1"/>
                      <w:szCs w:val="21"/>
                    </w:rPr>
                    <w:t>0.341</w:t>
                  </w:r>
                </w:p>
              </w:tc>
              <w:tc>
                <w:tcPr>
                  <w:tcW w:w="395" w:type="pct"/>
                </w:tcPr>
                <w:p w14:paraId="5491E6BA">
                  <w:pPr>
                    <w:spacing w:before="214" w:line="233" w:lineRule="auto"/>
                    <w:ind w:left="196"/>
                    <w:rPr>
                      <w:rFonts w:eastAsia="Times New Roman"/>
                      <w:color w:val="auto"/>
                      <w:szCs w:val="21"/>
                    </w:rPr>
                  </w:pPr>
                  <w:r>
                    <w:rPr>
                      <w:rFonts w:eastAsia="Times New Roman"/>
                      <w:color w:val="auto"/>
                      <w:spacing w:val="-1"/>
                      <w:szCs w:val="21"/>
                    </w:rPr>
                    <w:t>0.527</w:t>
                  </w:r>
                </w:p>
              </w:tc>
              <w:tc>
                <w:tcPr>
                  <w:tcW w:w="393" w:type="pct"/>
                </w:tcPr>
                <w:p w14:paraId="00B55464">
                  <w:pPr>
                    <w:spacing w:before="214" w:line="233" w:lineRule="auto"/>
                    <w:ind w:left="192"/>
                    <w:rPr>
                      <w:rFonts w:eastAsia="Times New Roman"/>
                      <w:color w:val="auto"/>
                      <w:szCs w:val="21"/>
                    </w:rPr>
                  </w:pPr>
                  <w:r>
                    <w:rPr>
                      <w:rFonts w:eastAsia="Times New Roman"/>
                      <w:color w:val="auto"/>
                      <w:spacing w:val="-1"/>
                      <w:szCs w:val="21"/>
                    </w:rPr>
                    <w:t>0.480</w:t>
                  </w:r>
                </w:p>
              </w:tc>
              <w:tc>
                <w:tcPr>
                  <w:tcW w:w="397" w:type="pct"/>
                </w:tcPr>
                <w:p w14:paraId="0075BD05">
                  <w:pPr>
                    <w:spacing w:before="214" w:line="233" w:lineRule="auto"/>
                    <w:ind w:left="198"/>
                    <w:rPr>
                      <w:rFonts w:eastAsia="Times New Roman"/>
                      <w:color w:val="auto"/>
                      <w:szCs w:val="21"/>
                    </w:rPr>
                  </w:pPr>
                  <w:r>
                    <w:rPr>
                      <w:rFonts w:eastAsia="Times New Roman"/>
                      <w:color w:val="auto"/>
                      <w:spacing w:val="-1"/>
                      <w:szCs w:val="21"/>
                    </w:rPr>
                    <w:t>0.150</w:t>
                  </w:r>
                </w:p>
              </w:tc>
              <w:tc>
                <w:tcPr>
                  <w:tcW w:w="527" w:type="pct"/>
                </w:tcPr>
                <w:p w14:paraId="7C65127B">
                  <w:pPr>
                    <w:spacing w:before="214" w:line="233" w:lineRule="auto"/>
                    <w:ind w:left="389"/>
                    <w:rPr>
                      <w:rFonts w:eastAsia="Times New Roman"/>
                      <w:color w:val="auto"/>
                      <w:szCs w:val="21"/>
                    </w:rPr>
                  </w:pPr>
                  <w:r>
                    <w:rPr>
                      <w:rFonts w:eastAsia="Times New Roman"/>
                      <w:color w:val="auto"/>
                      <w:spacing w:val="-1"/>
                      <w:szCs w:val="21"/>
                    </w:rPr>
                    <w:t>0.37</w:t>
                  </w:r>
                </w:p>
              </w:tc>
              <w:tc>
                <w:tcPr>
                  <w:tcW w:w="248" w:type="pct"/>
                </w:tcPr>
                <w:p w14:paraId="480590AB">
                  <w:pPr>
                    <w:spacing w:before="213" w:line="234" w:lineRule="auto"/>
                    <w:ind w:left="194"/>
                    <w:rPr>
                      <w:rFonts w:eastAsia="Times New Roman"/>
                      <w:color w:val="auto"/>
                      <w:szCs w:val="21"/>
                    </w:rPr>
                  </w:pPr>
                  <w:r>
                    <w:rPr>
                      <w:rFonts w:eastAsia="Times New Roman"/>
                      <w:color w:val="auto"/>
                      <w:spacing w:val="-1"/>
                      <w:szCs w:val="21"/>
                    </w:rPr>
                    <w:t>20</w:t>
                  </w:r>
                </w:p>
              </w:tc>
            </w:tr>
          </w:tbl>
          <w:p w14:paraId="534F92EF">
            <w:pPr>
              <w:adjustRightInd w:val="0"/>
              <w:snapToGrid w:val="0"/>
              <w:spacing w:line="360" w:lineRule="auto"/>
              <w:jc w:val="left"/>
              <w:rPr>
                <w:b/>
                <w:bCs/>
                <w:color w:val="auto"/>
                <w:sz w:val="24"/>
              </w:rPr>
            </w:pPr>
            <w:r>
              <w:rPr>
                <w:rFonts w:hint="eastAsia"/>
                <w:b/>
                <w:bCs/>
                <w:color w:val="auto"/>
                <w:sz w:val="24"/>
              </w:rPr>
              <w:t>废水验收监测结果评价：</w:t>
            </w:r>
          </w:p>
          <w:p w14:paraId="26E63AB8">
            <w:pPr>
              <w:adjustRightInd w:val="0"/>
              <w:snapToGrid w:val="0"/>
              <w:spacing w:line="360" w:lineRule="auto"/>
              <w:ind w:firstLine="480" w:firstLineChars="200"/>
              <w:jc w:val="left"/>
              <w:rPr>
                <w:color w:val="auto"/>
                <w:sz w:val="24"/>
              </w:rPr>
            </w:pPr>
            <w:r>
              <w:rPr>
                <w:rFonts w:hint="eastAsia"/>
                <w:color w:val="auto"/>
                <w:sz w:val="24"/>
              </w:rPr>
              <w:t>验收监测期间，废水总排口废水中pH值、悬浮物、化学需氧量、氨氮、总磷、阴离子表面活性剂、石油类、氟化物日均排放浓度均满足涟水开发区西区污水处理厂接管标准。</w:t>
            </w:r>
          </w:p>
          <w:p w14:paraId="5A0E3879">
            <w:pPr>
              <w:numPr>
                <w:ilvl w:val="0"/>
                <w:numId w:val="102"/>
              </w:numPr>
              <w:adjustRightInd w:val="0"/>
              <w:snapToGrid w:val="0"/>
              <w:spacing w:line="360" w:lineRule="auto"/>
              <w:ind w:firstLine="482" w:firstLineChars="200"/>
              <w:jc w:val="left"/>
              <w:rPr>
                <w:rFonts w:hint="eastAsia" w:ascii="宋体" w:hAnsi="宋体"/>
                <w:b/>
                <w:bCs/>
                <w:color w:val="auto"/>
                <w:sz w:val="24"/>
              </w:rPr>
            </w:pPr>
            <w:r>
              <w:rPr>
                <w:rFonts w:hint="eastAsia" w:ascii="宋体" w:hAnsi="宋体"/>
                <w:b/>
                <w:bCs/>
                <w:color w:val="auto"/>
                <w:sz w:val="24"/>
              </w:rPr>
              <w:t>噪声验收监测</w:t>
            </w:r>
          </w:p>
          <w:p w14:paraId="21C8D8D0">
            <w:pPr>
              <w:adjustRightInd w:val="0"/>
              <w:snapToGrid w:val="0"/>
              <w:spacing w:line="360" w:lineRule="auto"/>
              <w:ind w:firstLine="480" w:firstLineChars="200"/>
              <w:jc w:val="left"/>
              <w:rPr>
                <w:rFonts w:hint="eastAsia" w:ascii="宋体" w:hAnsi="宋体"/>
                <w:b/>
                <w:bCs/>
                <w:color w:val="auto"/>
                <w:sz w:val="24"/>
              </w:rPr>
            </w:pPr>
            <w:r>
              <w:rPr>
                <w:rFonts w:hint="eastAsia" w:cs="FangSong_GB2312-Identity-H"/>
                <w:bCs/>
                <w:color w:val="auto"/>
                <w:sz w:val="24"/>
                <w:szCs w:val="32"/>
              </w:rPr>
              <w:t>现有厂区项目噪声监测结果与评价见表</w:t>
            </w:r>
            <w:r>
              <w:rPr>
                <w:rFonts w:cs="FangSong_GB2312-Identity-H"/>
                <w:bCs/>
                <w:color w:val="auto"/>
                <w:sz w:val="24"/>
                <w:szCs w:val="32"/>
              </w:rPr>
              <w:t>2-</w:t>
            </w:r>
            <w:r>
              <w:rPr>
                <w:rFonts w:hint="eastAsia" w:cs="FangSong_GB2312-Identity-H"/>
                <w:bCs/>
                <w:color w:val="auto"/>
                <w:sz w:val="24"/>
                <w:szCs w:val="32"/>
              </w:rPr>
              <w:t>18。</w:t>
            </w:r>
          </w:p>
          <w:p w14:paraId="00D748CE">
            <w:pPr>
              <w:spacing w:before="165" w:line="234" w:lineRule="auto"/>
              <w:jc w:val="center"/>
              <w:rPr>
                <w:rFonts w:hint="eastAsia" w:ascii="宋体" w:hAnsi="宋体" w:cs="宋体"/>
                <w:color w:val="auto"/>
                <w:sz w:val="24"/>
              </w:rPr>
            </w:pPr>
            <w:r>
              <w:rPr>
                <w:rFonts w:ascii="宋体" w:hAnsi="宋体" w:cs="宋体"/>
                <w:b/>
                <w:bCs/>
                <w:color w:val="auto"/>
                <w:spacing w:val="-4"/>
                <w:sz w:val="24"/>
              </w:rPr>
              <w:t>表</w:t>
            </w:r>
            <w:r>
              <w:rPr>
                <w:rFonts w:ascii="宋体" w:hAnsi="宋体" w:cs="宋体"/>
                <w:color w:val="auto"/>
                <w:spacing w:val="-42"/>
                <w:sz w:val="24"/>
              </w:rPr>
              <w:t xml:space="preserve"> </w:t>
            </w:r>
            <w:r>
              <w:rPr>
                <w:rFonts w:hint="eastAsia"/>
                <w:b/>
                <w:bCs/>
                <w:color w:val="auto"/>
                <w:spacing w:val="-4"/>
                <w:sz w:val="24"/>
              </w:rPr>
              <w:t>2</w:t>
            </w:r>
            <w:r>
              <w:rPr>
                <w:rFonts w:eastAsia="Times New Roman"/>
                <w:b/>
                <w:bCs/>
                <w:color w:val="auto"/>
                <w:spacing w:val="-4"/>
                <w:sz w:val="24"/>
              </w:rPr>
              <w:t>-</w:t>
            </w:r>
            <w:r>
              <w:rPr>
                <w:rFonts w:hint="eastAsia"/>
                <w:b/>
                <w:bCs/>
                <w:color w:val="auto"/>
                <w:spacing w:val="-4"/>
                <w:sz w:val="24"/>
              </w:rPr>
              <w:t>18</w:t>
            </w:r>
            <w:r>
              <w:rPr>
                <w:rFonts w:eastAsia="Times New Roman"/>
                <w:b/>
                <w:bCs/>
                <w:color w:val="auto"/>
                <w:spacing w:val="-4"/>
                <w:sz w:val="24"/>
              </w:rPr>
              <w:t xml:space="preserve"> </w:t>
            </w:r>
            <w:r>
              <w:rPr>
                <w:rFonts w:ascii="宋体" w:hAnsi="宋体" w:cs="宋体"/>
                <w:b/>
                <w:bCs/>
                <w:color w:val="auto"/>
                <w:spacing w:val="-4"/>
                <w:sz w:val="24"/>
              </w:rPr>
              <w:t>厂界噪声监测结果</w:t>
            </w:r>
          </w:p>
          <w:p w14:paraId="01C3BE69">
            <w:pPr>
              <w:spacing w:line="128" w:lineRule="exact"/>
              <w:rPr>
                <w:color w:val="auto"/>
              </w:rPr>
            </w:pPr>
          </w:p>
          <w:tbl>
            <w:tblPr>
              <w:tblStyle w:val="400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7"/>
              <w:gridCol w:w="3577"/>
              <w:gridCol w:w="1979"/>
              <w:gridCol w:w="1981"/>
              <w:gridCol w:w="1904"/>
              <w:gridCol w:w="1921"/>
            </w:tblGrid>
            <w:tr w14:paraId="0D49C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1" w:type="pct"/>
                  <w:vMerge w:val="restart"/>
                  <w:tcBorders>
                    <w:bottom w:val="nil"/>
                  </w:tcBorders>
                </w:tcPr>
                <w:p w14:paraId="3E35F623">
                  <w:pPr>
                    <w:spacing w:line="297" w:lineRule="auto"/>
                    <w:rPr>
                      <w:rFonts w:ascii="Arial"/>
                      <w:color w:val="auto"/>
                    </w:rPr>
                  </w:pPr>
                </w:p>
                <w:p w14:paraId="2F2B469A">
                  <w:pPr>
                    <w:pStyle w:val="3488"/>
                    <w:spacing w:before="69" w:line="222" w:lineRule="auto"/>
                    <w:ind w:left="174"/>
                    <w:rPr>
                      <w:color w:val="auto"/>
                      <w:sz w:val="21"/>
                      <w:szCs w:val="21"/>
                    </w:rPr>
                  </w:pPr>
                  <w:r>
                    <w:rPr>
                      <w:b/>
                      <w:bCs/>
                      <w:color w:val="auto"/>
                      <w:spacing w:val="-4"/>
                      <w:sz w:val="21"/>
                      <w:szCs w:val="21"/>
                    </w:rPr>
                    <w:t>测点</w:t>
                  </w:r>
                </w:p>
                <w:p w14:paraId="08858E55">
                  <w:pPr>
                    <w:pStyle w:val="3488"/>
                    <w:spacing w:before="18" w:line="222" w:lineRule="auto"/>
                    <w:ind w:left="172"/>
                    <w:rPr>
                      <w:color w:val="auto"/>
                      <w:sz w:val="21"/>
                      <w:szCs w:val="21"/>
                    </w:rPr>
                  </w:pPr>
                  <w:r>
                    <w:rPr>
                      <w:b/>
                      <w:bCs/>
                      <w:color w:val="auto"/>
                      <w:spacing w:val="-4"/>
                      <w:sz w:val="21"/>
                      <w:szCs w:val="21"/>
                    </w:rPr>
                    <w:t>序号</w:t>
                  </w:r>
                </w:p>
              </w:tc>
              <w:tc>
                <w:tcPr>
                  <w:tcW w:w="1431" w:type="pct"/>
                  <w:vMerge w:val="restart"/>
                  <w:tcBorders>
                    <w:bottom w:val="nil"/>
                  </w:tcBorders>
                </w:tcPr>
                <w:p w14:paraId="40CDD1C3">
                  <w:pPr>
                    <w:spacing w:line="431" w:lineRule="auto"/>
                    <w:rPr>
                      <w:rFonts w:ascii="Arial"/>
                      <w:color w:val="auto"/>
                    </w:rPr>
                  </w:pPr>
                </w:p>
                <w:p w14:paraId="7C83BB5F">
                  <w:pPr>
                    <w:pStyle w:val="3488"/>
                    <w:spacing w:before="68" w:line="222" w:lineRule="auto"/>
                    <w:ind w:left="686"/>
                    <w:rPr>
                      <w:color w:val="auto"/>
                      <w:sz w:val="21"/>
                      <w:szCs w:val="21"/>
                    </w:rPr>
                  </w:pPr>
                  <w:r>
                    <w:rPr>
                      <w:b/>
                      <w:bCs/>
                      <w:color w:val="auto"/>
                      <w:spacing w:val="-4"/>
                      <w:sz w:val="21"/>
                      <w:szCs w:val="21"/>
                    </w:rPr>
                    <w:t>测点位置</w:t>
                  </w:r>
                </w:p>
              </w:tc>
              <w:tc>
                <w:tcPr>
                  <w:tcW w:w="3116" w:type="pct"/>
                  <w:gridSpan w:val="4"/>
                </w:tcPr>
                <w:p w14:paraId="1CE672CC">
                  <w:pPr>
                    <w:pStyle w:val="3488"/>
                    <w:spacing w:before="97" w:line="221" w:lineRule="auto"/>
                    <w:ind w:left="2094"/>
                    <w:rPr>
                      <w:color w:val="auto"/>
                      <w:sz w:val="21"/>
                      <w:szCs w:val="21"/>
                    </w:rPr>
                  </w:pPr>
                  <w:r>
                    <w:rPr>
                      <w:b/>
                      <w:bCs/>
                      <w:color w:val="auto"/>
                      <w:spacing w:val="-3"/>
                      <w:sz w:val="21"/>
                      <w:szCs w:val="21"/>
                    </w:rPr>
                    <w:t>监测日期和监测结果</w:t>
                  </w:r>
                </w:p>
              </w:tc>
            </w:tr>
            <w:tr w14:paraId="5D74E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1" w:type="pct"/>
                  <w:vMerge w:val="continue"/>
                  <w:tcBorders>
                    <w:top w:val="nil"/>
                    <w:bottom w:val="nil"/>
                  </w:tcBorders>
                </w:tcPr>
                <w:p w14:paraId="344F5CDE">
                  <w:pPr>
                    <w:rPr>
                      <w:rFonts w:ascii="Arial"/>
                      <w:color w:val="auto"/>
                    </w:rPr>
                  </w:pPr>
                </w:p>
              </w:tc>
              <w:tc>
                <w:tcPr>
                  <w:tcW w:w="1431" w:type="pct"/>
                  <w:vMerge w:val="continue"/>
                  <w:tcBorders>
                    <w:top w:val="nil"/>
                    <w:bottom w:val="nil"/>
                  </w:tcBorders>
                </w:tcPr>
                <w:p w14:paraId="52D638BF">
                  <w:pPr>
                    <w:rPr>
                      <w:rFonts w:ascii="Arial"/>
                      <w:color w:val="auto"/>
                    </w:rPr>
                  </w:pPr>
                </w:p>
              </w:tc>
              <w:tc>
                <w:tcPr>
                  <w:tcW w:w="1585" w:type="pct"/>
                  <w:gridSpan w:val="2"/>
                </w:tcPr>
                <w:p w14:paraId="23B03402">
                  <w:pPr>
                    <w:spacing w:before="131" w:line="230" w:lineRule="auto"/>
                    <w:ind w:left="1088"/>
                    <w:rPr>
                      <w:rFonts w:eastAsia="Times New Roman"/>
                      <w:color w:val="auto"/>
                      <w:szCs w:val="21"/>
                    </w:rPr>
                  </w:pPr>
                  <w:r>
                    <w:rPr>
                      <w:rFonts w:eastAsia="Times New Roman"/>
                      <w:b/>
                      <w:bCs/>
                      <w:color w:val="auto"/>
                      <w:spacing w:val="-1"/>
                      <w:szCs w:val="21"/>
                    </w:rPr>
                    <w:t>2021.03.25</w:t>
                  </w:r>
                </w:p>
              </w:tc>
              <w:tc>
                <w:tcPr>
                  <w:tcW w:w="1531" w:type="pct"/>
                  <w:gridSpan w:val="2"/>
                </w:tcPr>
                <w:p w14:paraId="615818F1">
                  <w:pPr>
                    <w:spacing w:before="131" w:line="230" w:lineRule="auto"/>
                    <w:ind w:left="1010"/>
                    <w:rPr>
                      <w:rFonts w:eastAsia="Times New Roman"/>
                      <w:color w:val="auto"/>
                      <w:szCs w:val="21"/>
                    </w:rPr>
                  </w:pPr>
                  <w:r>
                    <w:rPr>
                      <w:rFonts w:eastAsia="Times New Roman"/>
                      <w:b/>
                      <w:bCs/>
                      <w:color w:val="auto"/>
                      <w:spacing w:val="-1"/>
                      <w:szCs w:val="21"/>
                    </w:rPr>
                    <w:t>2021.03.26</w:t>
                  </w:r>
                </w:p>
              </w:tc>
            </w:tr>
            <w:tr w14:paraId="64FAB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51" w:type="pct"/>
                  <w:vMerge w:val="continue"/>
                  <w:tcBorders>
                    <w:top w:val="nil"/>
                  </w:tcBorders>
                </w:tcPr>
                <w:p w14:paraId="0518DBAF">
                  <w:pPr>
                    <w:rPr>
                      <w:rFonts w:ascii="Arial"/>
                      <w:color w:val="auto"/>
                    </w:rPr>
                  </w:pPr>
                </w:p>
              </w:tc>
              <w:tc>
                <w:tcPr>
                  <w:tcW w:w="1431" w:type="pct"/>
                  <w:vMerge w:val="continue"/>
                  <w:tcBorders>
                    <w:top w:val="nil"/>
                  </w:tcBorders>
                </w:tcPr>
                <w:p w14:paraId="535EC808">
                  <w:pPr>
                    <w:rPr>
                      <w:rFonts w:ascii="Arial"/>
                      <w:color w:val="auto"/>
                    </w:rPr>
                  </w:pPr>
                </w:p>
              </w:tc>
              <w:tc>
                <w:tcPr>
                  <w:tcW w:w="792" w:type="pct"/>
                  <w:tcBorders>
                    <w:right w:val="single" w:color="000000" w:sz="4" w:space="0"/>
                  </w:tcBorders>
                </w:tcPr>
                <w:p w14:paraId="5B6C0BE3">
                  <w:pPr>
                    <w:pStyle w:val="3488"/>
                    <w:spacing w:before="94" w:line="223" w:lineRule="auto"/>
                    <w:ind w:left="572"/>
                    <w:rPr>
                      <w:color w:val="auto"/>
                      <w:sz w:val="21"/>
                      <w:szCs w:val="21"/>
                    </w:rPr>
                  </w:pPr>
                  <w:r>
                    <w:rPr>
                      <w:b/>
                      <w:bCs/>
                      <w:color w:val="auto"/>
                      <w:spacing w:val="-4"/>
                      <w:sz w:val="21"/>
                      <w:szCs w:val="21"/>
                    </w:rPr>
                    <w:t>昼间</w:t>
                  </w:r>
                </w:p>
              </w:tc>
              <w:tc>
                <w:tcPr>
                  <w:tcW w:w="792" w:type="pct"/>
                  <w:tcBorders>
                    <w:left w:val="single" w:color="000000" w:sz="4" w:space="0"/>
                  </w:tcBorders>
                </w:tcPr>
                <w:p w14:paraId="3C6FD84C">
                  <w:pPr>
                    <w:pStyle w:val="3488"/>
                    <w:spacing w:before="93" w:line="221" w:lineRule="auto"/>
                    <w:ind w:left="575"/>
                    <w:rPr>
                      <w:color w:val="auto"/>
                      <w:sz w:val="21"/>
                      <w:szCs w:val="21"/>
                    </w:rPr>
                  </w:pPr>
                  <w:r>
                    <w:rPr>
                      <w:b/>
                      <w:bCs/>
                      <w:color w:val="auto"/>
                      <w:spacing w:val="-5"/>
                      <w:sz w:val="21"/>
                      <w:szCs w:val="21"/>
                    </w:rPr>
                    <w:t>夜间</w:t>
                  </w:r>
                </w:p>
              </w:tc>
              <w:tc>
                <w:tcPr>
                  <w:tcW w:w="762" w:type="pct"/>
                </w:tcPr>
                <w:p w14:paraId="0262469C">
                  <w:pPr>
                    <w:pStyle w:val="3488"/>
                    <w:spacing w:before="94" w:line="223" w:lineRule="auto"/>
                    <w:ind w:left="534"/>
                    <w:rPr>
                      <w:color w:val="auto"/>
                      <w:sz w:val="21"/>
                      <w:szCs w:val="21"/>
                    </w:rPr>
                  </w:pPr>
                  <w:r>
                    <w:rPr>
                      <w:b/>
                      <w:bCs/>
                      <w:color w:val="auto"/>
                      <w:spacing w:val="-4"/>
                      <w:sz w:val="21"/>
                      <w:szCs w:val="21"/>
                    </w:rPr>
                    <w:t>昼间</w:t>
                  </w:r>
                </w:p>
              </w:tc>
              <w:tc>
                <w:tcPr>
                  <w:tcW w:w="768" w:type="pct"/>
                </w:tcPr>
                <w:p w14:paraId="16E0583A">
                  <w:pPr>
                    <w:pStyle w:val="3488"/>
                    <w:spacing w:before="93" w:line="221" w:lineRule="auto"/>
                    <w:ind w:left="539"/>
                    <w:rPr>
                      <w:color w:val="auto"/>
                      <w:sz w:val="21"/>
                      <w:szCs w:val="21"/>
                    </w:rPr>
                  </w:pPr>
                  <w:r>
                    <w:rPr>
                      <w:b/>
                      <w:bCs/>
                      <w:color w:val="auto"/>
                      <w:spacing w:val="-5"/>
                      <w:sz w:val="21"/>
                      <w:szCs w:val="21"/>
                    </w:rPr>
                    <w:t>夜间</w:t>
                  </w:r>
                </w:p>
              </w:tc>
            </w:tr>
            <w:tr w14:paraId="05569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1" w:type="pct"/>
                </w:tcPr>
                <w:p w14:paraId="2598469D">
                  <w:pPr>
                    <w:spacing w:before="128" w:line="187" w:lineRule="auto"/>
                    <w:ind w:left="261"/>
                    <w:rPr>
                      <w:rFonts w:eastAsia="Times New Roman"/>
                      <w:color w:val="auto"/>
                      <w:szCs w:val="21"/>
                    </w:rPr>
                  </w:pPr>
                  <w:r>
                    <w:rPr>
                      <w:rFonts w:eastAsia="Times New Roman"/>
                      <w:color w:val="auto"/>
                      <w:spacing w:val="-1"/>
                      <w:szCs w:val="21"/>
                    </w:rPr>
                    <w:t>Z1</w:t>
                  </w:r>
                </w:p>
              </w:tc>
              <w:tc>
                <w:tcPr>
                  <w:tcW w:w="1431" w:type="pct"/>
                </w:tcPr>
                <w:p w14:paraId="0FEF643B">
                  <w:pPr>
                    <w:pStyle w:val="3488"/>
                    <w:spacing w:before="95" w:line="234" w:lineRule="auto"/>
                    <w:ind w:left="378"/>
                    <w:rPr>
                      <w:color w:val="auto"/>
                      <w:sz w:val="21"/>
                      <w:szCs w:val="21"/>
                    </w:rPr>
                  </w:pPr>
                  <w:r>
                    <w:rPr>
                      <w:color w:val="auto"/>
                      <w:spacing w:val="-5"/>
                      <w:sz w:val="21"/>
                      <w:szCs w:val="21"/>
                    </w:rPr>
                    <w:t>厂界外东侧</w:t>
                  </w:r>
                  <w:r>
                    <w:rPr>
                      <w:color w:val="auto"/>
                      <w:spacing w:val="-26"/>
                      <w:sz w:val="21"/>
                      <w:szCs w:val="21"/>
                    </w:rPr>
                    <w:t xml:space="preserve"> </w:t>
                  </w:r>
                  <w:r>
                    <w:rPr>
                      <w:rFonts w:ascii="Times New Roman" w:hAnsi="Times New Roman" w:eastAsia="Times New Roman"/>
                      <w:color w:val="auto"/>
                      <w:spacing w:val="-5"/>
                      <w:sz w:val="21"/>
                      <w:szCs w:val="21"/>
                    </w:rPr>
                    <w:t xml:space="preserve">1 </w:t>
                  </w:r>
                  <w:r>
                    <w:rPr>
                      <w:color w:val="auto"/>
                      <w:spacing w:val="-5"/>
                      <w:sz w:val="21"/>
                      <w:szCs w:val="21"/>
                    </w:rPr>
                    <w:t>米</w:t>
                  </w:r>
                </w:p>
              </w:tc>
              <w:tc>
                <w:tcPr>
                  <w:tcW w:w="792" w:type="pct"/>
                  <w:tcBorders>
                    <w:right w:val="single" w:color="000000" w:sz="4" w:space="0"/>
                  </w:tcBorders>
                </w:tcPr>
                <w:p w14:paraId="73A15038">
                  <w:pPr>
                    <w:spacing w:before="125" w:line="233" w:lineRule="auto"/>
                    <w:ind w:left="601"/>
                    <w:rPr>
                      <w:rFonts w:eastAsia="Times New Roman"/>
                      <w:color w:val="auto"/>
                      <w:szCs w:val="21"/>
                    </w:rPr>
                  </w:pPr>
                  <w:r>
                    <w:rPr>
                      <w:rFonts w:eastAsia="Times New Roman"/>
                      <w:color w:val="auto"/>
                      <w:spacing w:val="-2"/>
                      <w:szCs w:val="21"/>
                    </w:rPr>
                    <w:t>58.4</w:t>
                  </w:r>
                </w:p>
              </w:tc>
              <w:tc>
                <w:tcPr>
                  <w:tcW w:w="792" w:type="pct"/>
                  <w:tcBorders>
                    <w:left w:val="single" w:color="000000" w:sz="4" w:space="0"/>
                  </w:tcBorders>
                </w:tcPr>
                <w:p w14:paraId="778DFD79">
                  <w:pPr>
                    <w:spacing w:before="125" w:line="233" w:lineRule="auto"/>
                    <w:ind w:left="593"/>
                    <w:rPr>
                      <w:rFonts w:eastAsia="Times New Roman"/>
                      <w:color w:val="auto"/>
                      <w:szCs w:val="21"/>
                    </w:rPr>
                  </w:pPr>
                  <w:r>
                    <w:rPr>
                      <w:rFonts w:eastAsia="Times New Roman"/>
                      <w:color w:val="auto"/>
                      <w:spacing w:val="-1"/>
                      <w:szCs w:val="21"/>
                    </w:rPr>
                    <w:t>47.9</w:t>
                  </w:r>
                </w:p>
              </w:tc>
              <w:tc>
                <w:tcPr>
                  <w:tcW w:w="762" w:type="pct"/>
                </w:tcPr>
                <w:p w14:paraId="2C1814C8">
                  <w:pPr>
                    <w:spacing w:before="125" w:line="233" w:lineRule="auto"/>
                    <w:ind w:left="563"/>
                    <w:rPr>
                      <w:rFonts w:eastAsia="Times New Roman"/>
                      <w:color w:val="auto"/>
                      <w:szCs w:val="21"/>
                    </w:rPr>
                  </w:pPr>
                  <w:r>
                    <w:rPr>
                      <w:rFonts w:eastAsia="Times New Roman"/>
                      <w:color w:val="auto"/>
                      <w:spacing w:val="-2"/>
                      <w:szCs w:val="21"/>
                    </w:rPr>
                    <w:t>57.7</w:t>
                  </w:r>
                </w:p>
              </w:tc>
              <w:tc>
                <w:tcPr>
                  <w:tcW w:w="768" w:type="pct"/>
                </w:tcPr>
                <w:p w14:paraId="19AF79C9">
                  <w:pPr>
                    <w:spacing w:before="125" w:line="233" w:lineRule="auto"/>
                    <w:ind w:left="557"/>
                    <w:rPr>
                      <w:rFonts w:eastAsia="Times New Roman"/>
                      <w:color w:val="auto"/>
                      <w:szCs w:val="21"/>
                    </w:rPr>
                  </w:pPr>
                  <w:r>
                    <w:rPr>
                      <w:rFonts w:eastAsia="Times New Roman"/>
                      <w:color w:val="auto"/>
                      <w:spacing w:val="-1"/>
                      <w:szCs w:val="21"/>
                    </w:rPr>
                    <w:t>47.4</w:t>
                  </w:r>
                </w:p>
              </w:tc>
            </w:tr>
            <w:tr w14:paraId="07FA1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451" w:type="pct"/>
                </w:tcPr>
                <w:p w14:paraId="62F65A3F">
                  <w:pPr>
                    <w:spacing w:before="130" w:line="187" w:lineRule="auto"/>
                    <w:ind w:left="261"/>
                    <w:rPr>
                      <w:rFonts w:eastAsia="Times New Roman"/>
                      <w:color w:val="auto"/>
                      <w:szCs w:val="21"/>
                    </w:rPr>
                  </w:pPr>
                  <w:r>
                    <w:rPr>
                      <w:rFonts w:eastAsia="Times New Roman"/>
                      <w:color w:val="auto"/>
                      <w:spacing w:val="-1"/>
                      <w:szCs w:val="21"/>
                    </w:rPr>
                    <w:t>Z2</w:t>
                  </w:r>
                </w:p>
              </w:tc>
              <w:tc>
                <w:tcPr>
                  <w:tcW w:w="1431" w:type="pct"/>
                </w:tcPr>
                <w:p w14:paraId="76A48FD2">
                  <w:pPr>
                    <w:pStyle w:val="3488"/>
                    <w:spacing w:before="96" w:line="234" w:lineRule="auto"/>
                    <w:ind w:left="378"/>
                    <w:rPr>
                      <w:color w:val="auto"/>
                      <w:sz w:val="21"/>
                      <w:szCs w:val="21"/>
                    </w:rPr>
                  </w:pPr>
                  <w:r>
                    <w:rPr>
                      <w:color w:val="auto"/>
                      <w:spacing w:val="-5"/>
                      <w:sz w:val="21"/>
                      <w:szCs w:val="21"/>
                    </w:rPr>
                    <w:t>厂界外南侧</w:t>
                  </w:r>
                  <w:r>
                    <w:rPr>
                      <w:color w:val="auto"/>
                      <w:spacing w:val="-26"/>
                      <w:sz w:val="21"/>
                      <w:szCs w:val="21"/>
                    </w:rPr>
                    <w:t xml:space="preserve"> </w:t>
                  </w:r>
                  <w:r>
                    <w:rPr>
                      <w:rFonts w:ascii="Times New Roman" w:hAnsi="Times New Roman" w:eastAsia="Times New Roman"/>
                      <w:color w:val="auto"/>
                      <w:spacing w:val="-5"/>
                      <w:sz w:val="21"/>
                      <w:szCs w:val="21"/>
                    </w:rPr>
                    <w:t xml:space="preserve">1 </w:t>
                  </w:r>
                  <w:r>
                    <w:rPr>
                      <w:color w:val="auto"/>
                      <w:spacing w:val="-5"/>
                      <w:sz w:val="21"/>
                      <w:szCs w:val="21"/>
                    </w:rPr>
                    <w:t>米</w:t>
                  </w:r>
                </w:p>
              </w:tc>
              <w:tc>
                <w:tcPr>
                  <w:tcW w:w="792" w:type="pct"/>
                  <w:tcBorders>
                    <w:right w:val="single" w:color="000000" w:sz="4" w:space="0"/>
                  </w:tcBorders>
                </w:tcPr>
                <w:p w14:paraId="7EA7DADC">
                  <w:pPr>
                    <w:spacing w:before="126" w:line="233" w:lineRule="auto"/>
                    <w:ind w:left="601"/>
                    <w:rPr>
                      <w:rFonts w:eastAsia="Times New Roman"/>
                      <w:color w:val="auto"/>
                      <w:szCs w:val="21"/>
                    </w:rPr>
                  </w:pPr>
                  <w:r>
                    <w:rPr>
                      <w:rFonts w:eastAsia="Times New Roman"/>
                      <w:color w:val="auto"/>
                      <w:spacing w:val="-2"/>
                      <w:szCs w:val="21"/>
                    </w:rPr>
                    <w:t>56.4</w:t>
                  </w:r>
                </w:p>
              </w:tc>
              <w:tc>
                <w:tcPr>
                  <w:tcW w:w="792" w:type="pct"/>
                  <w:tcBorders>
                    <w:left w:val="single" w:color="000000" w:sz="4" w:space="0"/>
                  </w:tcBorders>
                </w:tcPr>
                <w:p w14:paraId="0DAD26DD">
                  <w:pPr>
                    <w:spacing w:before="126" w:line="233" w:lineRule="auto"/>
                    <w:ind w:left="593"/>
                    <w:rPr>
                      <w:rFonts w:eastAsia="Times New Roman"/>
                      <w:color w:val="auto"/>
                      <w:szCs w:val="21"/>
                    </w:rPr>
                  </w:pPr>
                  <w:r>
                    <w:rPr>
                      <w:rFonts w:eastAsia="Times New Roman"/>
                      <w:color w:val="auto"/>
                      <w:spacing w:val="-1"/>
                      <w:szCs w:val="21"/>
                    </w:rPr>
                    <w:t>48.1</w:t>
                  </w:r>
                </w:p>
              </w:tc>
              <w:tc>
                <w:tcPr>
                  <w:tcW w:w="762" w:type="pct"/>
                </w:tcPr>
                <w:p w14:paraId="0F47F007">
                  <w:pPr>
                    <w:spacing w:before="126" w:line="233" w:lineRule="auto"/>
                    <w:ind w:left="563"/>
                    <w:rPr>
                      <w:rFonts w:eastAsia="Times New Roman"/>
                      <w:color w:val="auto"/>
                      <w:szCs w:val="21"/>
                    </w:rPr>
                  </w:pPr>
                  <w:r>
                    <w:rPr>
                      <w:rFonts w:eastAsia="Times New Roman"/>
                      <w:color w:val="auto"/>
                      <w:spacing w:val="-2"/>
                      <w:szCs w:val="21"/>
                    </w:rPr>
                    <w:t>56.4</w:t>
                  </w:r>
                </w:p>
              </w:tc>
              <w:tc>
                <w:tcPr>
                  <w:tcW w:w="768" w:type="pct"/>
                </w:tcPr>
                <w:p w14:paraId="5BB4FE56">
                  <w:pPr>
                    <w:spacing w:before="126" w:line="233" w:lineRule="auto"/>
                    <w:ind w:left="557"/>
                    <w:rPr>
                      <w:rFonts w:eastAsia="Times New Roman"/>
                      <w:color w:val="auto"/>
                      <w:szCs w:val="21"/>
                    </w:rPr>
                  </w:pPr>
                  <w:r>
                    <w:rPr>
                      <w:rFonts w:eastAsia="Times New Roman"/>
                      <w:color w:val="auto"/>
                      <w:spacing w:val="-1"/>
                      <w:szCs w:val="21"/>
                    </w:rPr>
                    <w:t>48.3</w:t>
                  </w:r>
                </w:p>
              </w:tc>
            </w:tr>
            <w:tr w14:paraId="0B454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1" w:type="pct"/>
                </w:tcPr>
                <w:p w14:paraId="7765EA58">
                  <w:pPr>
                    <w:spacing w:before="133" w:line="187" w:lineRule="auto"/>
                    <w:ind w:left="261"/>
                    <w:rPr>
                      <w:rFonts w:eastAsia="Times New Roman"/>
                      <w:color w:val="auto"/>
                      <w:szCs w:val="21"/>
                    </w:rPr>
                  </w:pPr>
                  <w:r>
                    <w:rPr>
                      <w:rFonts w:eastAsia="Times New Roman"/>
                      <w:color w:val="auto"/>
                      <w:spacing w:val="-1"/>
                      <w:szCs w:val="21"/>
                    </w:rPr>
                    <w:t>Z3</w:t>
                  </w:r>
                </w:p>
              </w:tc>
              <w:tc>
                <w:tcPr>
                  <w:tcW w:w="1431" w:type="pct"/>
                </w:tcPr>
                <w:p w14:paraId="3C7A6DCD">
                  <w:pPr>
                    <w:pStyle w:val="3488"/>
                    <w:spacing w:before="99" w:line="234" w:lineRule="auto"/>
                    <w:ind w:left="378"/>
                    <w:rPr>
                      <w:color w:val="auto"/>
                      <w:sz w:val="21"/>
                      <w:szCs w:val="21"/>
                    </w:rPr>
                  </w:pPr>
                  <w:r>
                    <w:rPr>
                      <w:color w:val="auto"/>
                      <w:spacing w:val="-5"/>
                      <w:sz w:val="21"/>
                      <w:szCs w:val="21"/>
                    </w:rPr>
                    <w:t>厂界外西侧</w:t>
                  </w:r>
                  <w:r>
                    <w:rPr>
                      <w:color w:val="auto"/>
                      <w:spacing w:val="-26"/>
                      <w:sz w:val="21"/>
                      <w:szCs w:val="21"/>
                    </w:rPr>
                    <w:t xml:space="preserve"> </w:t>
                  </w:r>
                  <w:r>
                    <w:rPr>
                      <w:rFonts w:ascii="Times New Roman" w:hAnsi="Times New Roman" w:eastAsia="Times New Roman"/>
                      <w:color w:val="auto"/>
                      <w:spacing w:val="-5"/>
                      <w:sz w:val="21"/>
                      <w:szCs w:val="21"/>
                    </w:rPr>
                    <w:t xml:space="preserve">1 </w:t>
                  </w:r>
                  <w:r>
                    <w:rPr>
                      <w:color w:val="auto"/>
                      <w:spacing w:val="-5"/>
                      <w:sz w:val="21"/>
                      <w:szCs w:val="21"/>
                    </w:rPr>
                    <w:t>米</w:t>
                  </w:r>
                </w:p>
              </w:tc>
              <w:tc>
                <w:tcPr>
                  <w:tcW w:w="792" w:type="pct"/>
                  <w:tcBorders>
                    <w:right w:val="single" w:color="000000" w:sz="4" w:space="0"/>
                  </w:tcBorders>
                </w:tcPr>
                <w:p w14:paraId="5A9D8EE3">
                  <w:pPr>
                    <w:spacing w:before="129" w:line="233" w:lineRule="auto"/>
                    <w:ind w:left="601"/>
                    <w:rPr>
                      <w:rFonts w:eastAsia="Times New Roman"/>
                      <w:color w:val="auto"/>
                      <w:szCs w:val="21"/>
                    </w:rPr>
                  </w:pPr>
                  <w:r>
                    <w:rPr>
                      <w:rFonts w:eastAsia="Times New Roman"/>
                      <w:color w:val="auto"/>
                      <w:spacing w:val="-2"/>
                      <w:szCs w:val="21"/>
                    </w:rPr>
                    <w:t>57.2</w:t>
                  </w:r>
                </w:p>
              </w:tc>
              <w:tc>
                <w:tcPr>
                  <w:tcW w:w="792" w:type="pct"/>
                  <w:tcBorders>
                    <w:left w:val="single" w:color="000000" w:sz="4" w:space="0"/>
                  </w:tcBorders>
                </w:tcPr>
                <w:p w14:paraId="68146704">
                  <w:pPr>
                    <w:spacing w:before="129" w:line="233" w:lineRule="auto"/>
                    <w:ind w:left="593"/>
                    <w:rPr>
                      <w:rFonts w:eastAsia="Times New Roman"/>
                      <w:color w:val="auto"/>
                      <w:szCs w:val="21"/>
                    </w:rPr>
                  </w:pPr>
                  <w:r>
                    <w:rPr>
                      <w:rFonts w:eastAsia="Times New Roman"/>
                      <w:color w:val="auto"/>
                      <w:spacing w:val="-1"/>
                      <w:szCs w:val="21"/>
                    </w:rPr>
                    <w:t>46.8</w:t>
                  </w:r>
                </w:p>
              </w:tc>
              <w:tc>
                <w:tcPr>
                  <w:tcW w:w="762" w:type="pct"/>
                </w:tcPr>
                <w:p w14:paraId="41AEA1E7">
                  <w:pPr>
                    <w:spacing w:before="129" w:line="233" w:lineRule="auto"/>
                    <w:ind w:left="563"/>
                    <w:rPr>
                      <w:rFonts w:eastAsia="Times New Roman"/>
                      <w:color w:val="auto"/>
                      <w:szCs w:val="21"/>
                    </w:rPr>
                  </w:pPr>
                  <w:r>
                    <w:rPr>
                      <w:rFonts w:eastAsia="Times New Roman"/>
                      <w:color w:val="auto"/>
                      <w:spacing w:val="-2"/>
                      <w:szCs w:val="21"/>
                    </w:rPr>
                    <w:t>58.2</w:t>
                  </w:r>
                </w:p>
              </w:tc>
              <w:tc>
                <w:tcPr>
                  <w:tcW w:w="768" w:type="pct"/>
                </w:tcPr>
                <w:p w14:paraId="189C0ECC">
                  <w:pPr>
                    <w:spacing w:before="129" w:line="233" w:lineRule="auto"/>
                    <w:ind w:left="557"/>
                    <w:rPr>
                      <w:rFonts w:eastAsia="Times New Roman"/>
                      <w:color w:val="auto"/>
                      <w:szCs w:val="21"/>
                    </w:rPr>
                  </w:pPr>
                  <w:r>
                    <w:rPr>
                      <w:rFonts w:eastAsia="Times New Roman"/>
                      <w:color w:val="auto"/>
                      <w:spacing w:val="-1"/>
                      <w:szCs w:val="21"/>
                    </w:rPr>
                    <w:t>46.3</w:t>
                  </w:r>
                </w:p>
              </w:tc>
            </w:tr>
            <w:tr w14:paraId="3DA71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1" w:type="pct"/>
                </w:tcPr>
                <w:p w14:paraId="2A62393D">
                  <w:pPr>
                    <w:spacing w:before="133" w:line="187" w:lineRule="auto"/>
                    <w:ind w:left="261"/>
                    <w:rPr>
                      <w:rFonts w:eastAsia="Times New Roman"/>
                      <w:color w:val="auto"/>
                      <w:szCs w:val="21"/>
                    </w:rPr>
                  </w:pPr>
                  <w:r>
                    <w:rPr>
                      <w:rFonts w:eastAsia="Times New Roman"/>
                      <w:color w:val="auto"/>
                      <w:spacing w:val="-1"/>
                      <w:szCs w:val="21"/>
                    </w:rPr>
                    <w:t>Z4</w:t>
                  </w:r>
                </w:p>
              </w:tc>
              <w:tc>
                <w:tcPr>
                  <w:tcW w:w="1431" w:type="pct"/>
                </w:tcPr>
                <w:p w14:paraId="6B4008A0">
                  <w:pPr>
                    <w:pStyle w:val="3488"/>
                    <w:spacing w:before="99" w:line="234" w:lineRule="auto"/>
                    <w:ind w:left="378"/>
                    <w:rPr>
                      <w:color w:val="auto"/>
                      <w:sz w:val="21"/>
                      <w:szCs w:val="21"/>
                    </w:rPr>
                  </w:pPr>
                  <w:r>
                    <w:rPr>
                      <w:color w:val="auto"/>
                      <w:spacing w:val="-5"/>
                      <w:sz w:val="21"/>
                      <w:szCs w:val="21"/>
                    </w:rPr>
                    <w:t>厂界外北侧</w:t>
                  </w:r>
                  <w:r>
                    <w:rPr>
                      <w:color w:val="auto"/>
                      <w:spacing w:val="-26"/>
                      <w:sz w:val="21"/>
                      <w:szCs w:val="21"/>
                    </w:rPr>
                    <w:t xml:space="preserve"> </w:t>
                  </w:r>
                  <w:r>
                    <w:rPr>
                      <w:rFonts w:ascii="Times New Roman" w:hAnsi="Times New Roman" w:eastAsia="Times New Roman"/>
                      <w:color w:val="auto"/>
                      <w:spacing w:val="-5"/>
                      <w:sz w:val="21"/>
                      <w:szCs w:val="21"/>
                    </w:rPr>
                    <w:t xml:space="preserve">1 </w:t>
                  </w:r>
                  <w:r>
                    <w:rPr>
                      <w:color w:val="auto"/>
                      <w:spacing w:val="-5"/>
                      <w:sz w:val="21"/>
                      <w:szCs w:val="21"/>
                    </w:rPr>
                    <w:t>米</w:t>
                  </w:r>
                </w:p>
              </w:tc>
              <w:tc>
                <w:tcPr>
                  <w:tcW w:w="792" w:type="pct"/>
                  <w:tcBorders>
                    <w:right w:val="single" w:color="000000" w:sz="4" w:space="0"/>
                  </w:tcBorders>
                </w:tcPr>
                <w:p w14:paraId="1CD60E46">
                  <w:pPr>
                    <w:spacing w:before="129" w:line="233" w:lineRule="auto"/>
                    <w:ind w:left="601"/>
                    <w:rPr>
                      <w:rFonts w:eastAsia="Times New Roman"/>
                      <w:color w:val="auto"/>
                      <w:szCs w:val="21"/>
                    </w:rPr>
                  </w:pPr>
                  <w:r>
                    <w:rPr>
                      <w:rFonts w:eastAsia="Times New Roman"/>
                      <w:color w:val="auto"/>
                      <w:spacing w:val="-2"/>
                      <w:szCs w:val="21"/>
                    </w:rPr>
                    <w:t>58.6</w:t>
                  </w:r>
                </w:p>
              </w:tc>
              <w:tc>
                <w:tcPr>
                  <w:tcW w:w="792" w:type="pct"/>
                  <w:tcBorders>
                    <w:left w:val="single" w:color="000000" w:sz="4" w:space="0"/>
                  </w:tcBorders>
                </w:tcPr>
                <w:p w14:paraId="683AC4BC">
                  <w:pPr>
                    <w:spacing w:before="129" w:line="233" w:lineRule="auto"/>
                    <w:ind w:left="593"/>
                    <w:rPr>
                      <w:rFonts w:eastAsia="Times New Roman"/>
                      <w:color w:val="auto"/>
                      <w:szCs w:val="21"/>
                    </w:rPr>
                  </w:pPr>
                  <w:r>
                    <w:rPr>
                      <w:rFonts w:eastAsia="Times New Roman"/>
                      <w:color w:val="auto"/>
                      <w:spacing w:val="-1"/>
                      <w:szCs w:val="21"/>
                    </w:rPr>
                    <w:t>48.6</w:t>
                  </w:r>
                </w:p>
              </w:tc>
              <w:tc>
                <w:tcPr>
                  <w:tcW w:w="762" w:type="pct"/>
                </w:tcPr>
                <w:p w14:paraId="062033E4">
                  <w:pPr>
                    <w:spacing w:before="129" w:line="233" w:lineRule="auto"/>
                    <w:ind w:left="563"/>
                    <w:rPr>
                      <w:rFonts w:eastAsia="Times New Roman"/>
                      <w:color w:val="auto"/>
                      <w:szCs w:val="21"/>
                    </w:rPr>
                  </w:pPr>
                  <w:r>
                    <w:rPr>
                      <w:rFonts w:eastAsia="Times New Roman"/>
                      <w:color w:val="auto"/>
                      <w:spacing w:val="-2"/>
                      <w:szCs w:val="21"/>
                    </w:rPr>
                    <w:t>59.3</w:t>
                  </w:r>
                </w:p>
              </w:tc>
              <w:tc>
                <w:tcPr>
                  <w:tcW w:w="768" w:type="pct"/>
                </w:tcPr>
                <w:p w14:paraId="381AB47F">
                  <w:pPr>
                    <w:spacing w:before="129" w:line="233" w:lineRule="auto"/>
                    <w:ind w:left="557"/>
                    <w:rPr>
                      <w:rFonts w:eastAsia="Times New Roman"/>
                      <w:color w:val="auto"/>
                      <w:szCs w:val="21"/>
                    </w:rPr>
                  </w:pPr>
                  <w:r>
                    <w:rPr>
                      <w:rFonts w:eastAsia="Times New Roman"/>
                      <w:color w:val="auto"/>
                      <w:spacing w:val="-1"/>
                      <w:szCs w:val="21"/>
                    </w:rPr>
                    <w:t>49.4</w:t>
                  </w:r>
                </w:p>
              </w:tc>
            </w:tr>
            <w:tr w14:paraId="36BF0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883" w:type="pct"/>
                  <w:gridSpan w:val="2"/>
                </w:tcPr>
                <w:p w14:paraId="555C190D">
                  <w:pPr>
                    <w:pStyle w:val="3488"/>
                    <w:spacing w:before="93" w:line="234" w:lineRule="auto"/>
                    <w:ind w:left="1309"/>
                    <w:rPr>
                      <w:color w:val="auto"/>
                      <w:sz w:val="21"/>
                      <w:szCs w:val="21"/>
                    </w:rPr>
                  </w:pPr>
                  <w:r>
                    <w:rPr>
                      <w:rFonts w:ascii="Times New Roman" w:hAnsi="Times New Roman" w:eastAsia="Times New Roman"/>
                      <w:color w:val="auto"/>
                      <w:spacing w:val="-4"/>
                      <w:sz w:val="21"/>
                      <w:szCs w:val="21"/>
                    </w:rPr>
                    <w:t xml:space="preserve">3 </w:t>
                  </w:r>
                  <w:r>
                    <w:rPr>
                      <w:color w:val="auto"/>
                      <w:spacing w:val="-4"/>
                      <w:sz w:val="21"/>
                      <w:szCs w:val="21"/>
                    </w:rPr>
                    <w:t>类</w:t>
                  </w:r>
                </w:p>
              </w:tc>
              <w:tc>
                <w:tcPr>
                  <w:tcW w:w="792" w:type="pct"/>
                  <w:tcBorders>
                    <w:right w:val="single" w:color="000000" w:sz="4" w:space="0"/>
                  </w:tcBorders>
                </w:tcPr>
                <w:p w14:paraId="092277CB">
                  <w:pPr>
                    <w:spacing w:before="122" w:line="234" w:lineRule="auto"/>
                    <w:ind w:left="680"/>
                    <w:rPr>
                      <w:rFonts w:eastAsia="Times New Roman"/>
                      <w:color w:val="auto"/>
                      <w:szCs w:val="21"/>
                    </w:rPr>
                  </w:pPr>
                  <w:r>
                    <w:rPr>
                      <w:rFonts w:eastAsia="Times New Roman"/>
                      <w:color w:val="auto"/>
                      <w:spacing w:val="-2"/>
                      <w:szCs w:val="21"/>
                    </w:rPr>
                    <w:t>65</w:t>
                  </w:r>
                </w:p>
              </w:tc>
              <w:tc>
                <w:tcPr>
                  <w:tcW w:w="792" w:type="pct"/>
                  <w:tcBorders>
                    <w:left w:val="single" w:color="000000" w:sz="4" w:space="0"/>
                  </w:tcBorders>
                </w:tcPr>
                <w:p w14:paraId="3A15C011">
                  <w:pPr>
                    <w:spacing w:before="122" w:line="234" w:lineRule="auto"/>
                    <w:ind w:left="679"/>
                    <w:rPr>
                      <w:rFonts w:eastAsia="Times New Roman"/>
                      <w:color w:val="auto"/>
                      <w:szCs w:val="21"/>
                    </w:rPr>
                  </w:pPr>
                  <w:r>
                    <w:rPr>
                      <w:rFonts w:eastAsia="Times New Roman"/>
                      <w:color w:val="auto"/>
                      <w:spacing w:val="-3"/>
                      <w:szCs w:val="21"/>
                    </w:rPr>
                    <w:t>55</w:t>
                  </w:r>
                </w:p>
              </w:tc>
              <w:tc>
                <w:tcPr>
                  <w:tcW w:w="762" w:type="pct"/>
                </w:tcPr>
                <w:p w14:paraId="2CE1AF3A">
                  <w:pPr>
                    <w:spacing w:before="122" w:line="234" w:lineRule="auto"/>
                    <w:ind w:left="641"/>
                    <w:rPr>
                      <w:rFonts w:eastAsia="Times New Roman"/>
                      <w:color w:val="auto"/>
                      <w:szCs w:val="21"/>
                    </w:rPr>
                  </w:pPr>
                  <w:r>
                    <w:rPr>
                      <w:rFonts w:eastAsia="Times New Roman"/>
                      <w:color w:val="auto"/>
                      <w:spacing w:val="-2"/>
                      <w:szCs w:val="21"/>
                    </w:rPr>
                    <w:t>65</w:t>
                  </w:r>
                </w:p>
              </w:tc>
              <w:tc>
                <w:tcPr>
                  <w:tcW w:w="768" w:type="pct"/>
                </w:tcPr>
                <w:p w14:paraId="3A76D5E5">
                  <w:pPr>
                    <w:spacing w:before="122" w:line="234" w:lineRule="auto"/>
                    <w:ind w:left="643"/>
                    <w:rPr>
                      <w:rFonts w:eastAsia="Times New Roman"/>
                      <w:color w:val="auto"/>
                      <w:szCs w:val="21"/>
                    </w:rPr>
                  </w:pPr>
                  <w:r>
                    <w:rPr>
                      <w:rFonts w:eastAsia="Times New Roman"/>
                      <w:color w:val="auto"/>
                      <w:spacing w:val="-3"/>
                      <w:szCs w:val="21"/>
                    </w:rPr>
                    <w:t>55</w:t>
                  </w:r>
                </w:p>
              </w:tc>
            </w:tr>
            <w:tr w14:paraId="1004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883" w:type="pct"/>
                  <w:gridSpan w:val="2"/>
                </w:tcPr>
                <w:p w14:paraId="32B65C5B">
                  <w:pPr>
                    <w:pStyle w:val="3488"/>
                    <w:spacing w:before="168" w:line="221" w:lineRule="auto"/>
                    <w:ind w:left="1067"/>
                    <w:rPr>
                      <w:color w:val="auto"/>
                      <w:sz w:val="21"/>
                      <w:szCs w:val="21"/>
                    </w:rPr>
                  </w:pPr>
                  <w:r>
                    <w:rPr>
                      <w:color w:val="auto"/>
                      <w:spacing w:val="-2"/>
                      <w:sz w:val="21"/>
                      <w:szCs w:val="21"/>
                    </w:rPr>
                    <w:t>监测条件</w:t>
                  </w:r>
                </w:p>
              </w:tc>
              <w:tc>
                <w:tcPr>
                  <w:tcW w:w="3116" w:type="pct"/>
                  <w:gridSpan w:val="4"/>
                </w:tcPr>
                <w:p w14:paraId="6B18F0E3">
                  <w:pPr>
                    <w:pStyle w:val="3488"/>
                    <w:spacing w:before="32" w:line="234" w:lineRule="auto"/>
                    <w:ind w:left="108"/>
                    <w:rPr>
                      <w:color w:val="auto"/>
                      <w:sz w:val="21"/>
                      <w:szCs w:val="21"/>
                      <w:lang w:eastAsia="zh-CN"/>
                    </w:rPr>
                  </w:pPr>
                  <w:r>
                    <w:rPr>
                      <w:rFonts w:ascii="Times New Roman" w:hAnsi="Times New Roman" w:eastAsia="Times New Roman"/>
                      <w:color w:val="auto"/>
                      <w:spacing w:val="-1"/>
                      <w:sz w:val="21"/>
                      <w:szCs w:val="21"/>
                      <w:lang w:eastAsia="zh-CN"/>
                    </w:rPr>
                    <w:t xml:space="preserve">2021.03.25 </w:t>
                  </w:r>
                  <w:r>
                    <w:rPr>
                      <w:color w:val="auto"/>
                      <w:spacing w:val="-1"/>
                      <w:sz w:val="21"/>
                      <w:szCs w:val="21"/>
                      <w:lang w:eastAsia="zh-CN"/>
                    </w:rPr>
                    <w:t>天气：晴；风速（</w:t>
                  </w:r>
                  <w:r>
                    <w:rPr>
                      <w:rFonts w:ascii="Times New Roman" w:hAnsi="Times New Roman" w:eastAsia="Times New Roman"/>
                      <w:color w:val="auto"/>
                      <w:spacing w:val="-1"/>
                      <w:sz w:val="21"/>
                      <w:szCs w:val="21"/>
                      <w:lang w:eastAsia="zh-CN"/>
                    </w:rPr>
                    <w:t>m/s</w:t>
                  </w:r>
                  <w:r>
                    <w:rPr>
                      <w:color w:val="auto"/>
                      <w:spacing w:val="6"/>
                      <w:sz w:val="21"/>
                      <w:szCs w:val="21"/>
                      <w:lang w:eastAsia="zh-CN"/>
                    </w:rPr>
                    <w:t>）：</w:t>
                  </w:r>
                  <w:r>
                    <w:rPr>
                      <w:rFonts w:ascii="Times New Roman" w:hAnsi="Times New Roman" w:eastAsia="Times New Roman"/>
                      <w:color w:val="auto"/>
                      <w:spacing w:val="-1"/>
                      <w:sz w:val="21"/>
                      <w:szCs w:val="21"/>
                      <w:lang w:eastAsia="zh-CN"/>
                    </w:rPr>
                    <w:t>1.9</w:t>
                  </w:r>
                  <w:r>
                    <w:rPr>
                      <w:color w:val="auto"/>
                      <w:spacing w:val="-1"/>
                      <w:sz w:val="21"/>
                      <w:szCs w:val="21"/>
                      <w:lang w:eastAsia="zh-CN"/>
                    </w:rPr>
                    <w:t>（昼）</w:t>
                  </w:r>
                  <w:r>
                    <w:rPr>
                      <w:rFonts w:ascii="Times New Roman" w:hAnsi="Times New Roman" w:eastAsia="Times New Roman"/>
                      <w:color w:val="auto"/>
                      <w:spacing w:val="-2"/>
                      <w:sz w:val="21"/>
                      <w:szCs w:val="21"/>
                      <w:lang w:eastAsia="zh-CN"/>
                    </w:rPr>
                    <w:t>/2.3</w:t>
                  </w:r>
                  <w:r>
                    <w:rPr>
                      <w:color w:val="auto"/>
                      <w:spacing w:val="-2"/>
                      <w:sz w:val="21"/>
                      <w:szCs w:val="21"/>
                      <w:lang w:eastAsia="zh-CN"/>
                    </w:rPr>
                    <w:t>（夜</w:t>
                  </w:r>
                  <w:r>
                    <w:rPr>
                      <w:color w:val="auto"/>
                      <w:spacing w:val="6"/>
                      <w:sz w:val="21"/>
                      <w:szCs w:val="21"/>
                      <w:lang w:eastAsia="zh-CN"/>
                    </w:rPr>
                    <w:t>）；</w:t>
                  </w:r>
                </w:p>
                <w:p w14:paraId="4A5AC2E6">
                  <w:pPr>
                    <w:pStyle w:val="3488"/>
                    <w:spacing w:before="4" w:line="207" w:lineRule="auto"/>
                    <w:ind w:left="108"/>
                    <w:rPr>
                      <w:color w:val="auto"/>
                      <w:sz w:val="21"/>
                      <w:szCs w:val="21"/>
                      <w:lang w:eastAsia="zh-CN"/>
                    </w:rPr>
                  </w:pPr>
                  <w:r>
                    <w:rPr>
                      <w:rFonts w:ascii="Times New Roman" w:hAnsi="Times New Roman" w:eastAsia="Times New Roman"/>
                      <w:color w:val="auto"/>
                      <w:spacing w:val="-1"/>
                      <w:sz w:val="21"/>
                      <w:szCs w:val="21"/>
                      <w:lang w:eastAsia="zh-CN"/>
                    </w:rPr>
                    <w:t xml:space="preserve">2021.03.26 </w:t>
                  </w:r>
                  <w:r>
                    <w:rPr>
                      <w:color w:val="auto"/>
                      <w:spacing w:val="-1"/>
                      <w:sz w:val="21"/>
                      <w:szCs w:val="21"/>
                      <w:lang w:eastAsia="zh-CN"/>
                    </w:rPr>
                    <w:t>天气：晴；风速（</w:t>
                  </w:r>
                  <w:r>
                    <w:rPr>
                      <w:rFonts w:ascii="Times New Roman" w:hAnsi="Times New Roman" w:eastAsia="Times New Roman"/>
                      <w:color w:val="auto"/>
                      <w:spacing w:val="-1"/>
                      <w:sz w:val="21"/>
                      <w:szCs w:val="21"/>
                      <w:lang w:eastAsia="zh-CN"/>
                    </w:rPr>
                    <w:t>m/s</w:t>
                  </w:r>
                  <w:r>
                    <w:rPr>
                      <w:color w:val="auto"/>
                      <w:spacing w:val="5"/>
                      <w:sz w:val="21"/>
                      <w:szCs w:val="21"/>
                      <w:lang w:eastAsia="zh-CN"/>
                    </w:rPr>
                    <w:t>）：</w:t>
                  </w:r>
                  <w:r>
                    <w:rPr>
                      <w:rFonts w:ascii="Times New Roman" w:hAnsi="Times New Roman" w:eastAsia="Times New Roman"/>
                      <w:color w:val="auto"/>
                      <w:spacing w:val="-1"/>
                      <w:sz w:val="21"/>
                      <w:szCs w:val="21"/>
                      <w:lang w:eastAsia="zh-CN"/>
                    </w:rPr>
                    <w:t>2.4</w:t>
                  </w:r>
                  <w:r>
                    <w:rPr>
                      <w:color w:val="auto"/>
                      <w:spacing w:val="-1"/>
                      <w:sz w:val="21"/>
                      <w:szCs w:val="21"/>
                      <w:lang w:eastAsia="zh-CN"/>
                    </w:rPr>
                    <w:t>（昼）</w:t>
                  </w:r>
                  <w:r>
                    <w:rPr>
                      <w:rFonts w:ascii="Times New Roman" w:hAnsi="Times New Roman" w:eastAsia="Times New Roman"/>
                      <w:color w:val="auto"/>
                      <w:spacing w:val="-1"/>
                      <w:sz w:val="21"/>
                      <w:szCs w:val="21"/>
                      <w:lang w:eastAsia="zh-CN"/>
                    </w:rPr>
                    <w:t>/2.6</w:t>
                  </w:r>
                  <w:r>
                    <w:rPr>
                      <w:color w:val="auto"/>
                      <w:spacing w:val="-1"/>
                      <w:sz w:val="21"/>
                      <w:szCs w:val="21"/>
                      <w:lang w:eastAsia="zh-CN"/>
                    </w:rPr>
                    <w:t>（夜</w:t>
                  </w:r>
                  <w:r>
                    <w:rPr>
                      <w:color w:val="auto"/>
                      <w:spacing w:val="5"/>
                      <w:sz w:val="21"/>
                      <w:szCs w:val="21"/>
                      <w:lang w:eastAsia="zh-CN"/>
                    </w:rPr>
                    <w:t>）；</w:t>
                  </w:r>
                </w:p>
              </w:tc>
            </w:tr>
            <w:tr w14:paraId="21C94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883" w:type="pct"/>
                  <w:gridSpan w:val="2"/>
                </w:tcPr>
                <w:p w14:paraId="01D4BCFB">
                  <w:pPr>
                    <w:pStyle w:val="3488"/>
                    <w:spacing w:before="304" w:line="222" w:lineRule="auto"/>
                    <w:ind w:left="1280"/>
                    <w:rPr>
                      <w:color w:val="auto"/>
                      <w:sz w:val="21"/>
                      <w:szCs w:val="21"/>
                    </w:rPr>
                  </w:pPr>
                  <w:r>
                    <w:rPr>
                      <w:color w:val="auto"/>
                      <w:spacing w:val="-3"/>
                      <w:sz w:val="21"/>
                      <w:szCs w:val="21"/>
                    </w:rPr>
                    <w:t>备注</w:t>
                  </w:r>
                </w:p>
              </w:tc>
              <w:tc>
                <w:tcPr>
                  <w:tcW w:w="3116" w:type="pct"/>
                  <w:gridSpan w:val="4"/>
                </w:tcPr>
                <w:p w14:paraId="5484FB85">
                  <w:pPr>
                    <w:pStyle w:val="3488"/>
                    <w:spacing w:before="34" w:line="229" w:lineRule="auto"/>
                    <w:ind w:left="112" w:right="113" w:firstLine="16"/>
                    <w:rPr>
                      <w:color w:val="auto"/>
                      <w:sz w:val="21"/>
                      <w:szCs w:val="21"/>
                      <w:lang w:eastAsia="zh-CN"/>
                    </w:rPr>
                  </w:pPr>
                  <w:r>
                    <w:rPr>
                      <w:color w:val="auto"/>
                      <w:spacing w:val="6"/>
                      <w:sz w:val="21"/>
                      <w:szCs w:val="21"/>
                      <w:lang w:eastAsia="zh-CN"/>
                    </w:rPr>
                    <w:t>因厂界环境噪声监测结果达标，根据《环境噪声监测技术规范</w:t>
                  </w:r>
                  <w:r>
                    <w:rPr>
                      <w:color w:val="auto"/>
                      <w:sz w:val="21"/>
                      <w:szCs w:val="21"/>
                      <w:lang w:eastAsia="zh-CN"/>
                    </w:rPr>
                    <w:t xml:space="preserve"> </w:t>
                  </w:r>
                  <w:r>
                    <w:rPr>
                      <w:color w:val="auto"/>
                      <w:spacing w:val="1"/>
                      <w:sz w:val="21"/>
                      <w:szCs w:val="21"/>
                      <w:lang w:eastAsia="zh-CN"/>
                    </w:rPr>
                    <w:t>噪声测量值修正》（</w:t>
                  </w:r>
                  <w:r>
                    <w:rPr>
                      <w:rFonts w:ascii="Times New Roman" w:hAnsi="Times New Roman" w:eastAsia="Times New Roman"/>
                      <w:color w:val="auto"/>
                      <w:sz w:val="21"/>
                      <w:szCs w:val="21"/>
                      <w:lang w:eastAsia="zh-CN"/>
                    </w:rPr>
                    <w:t>HJ</w:t>
                  </w:r>
                  <w:r>
                    <w:rPr>
                      <w:rFonts w:ascii="Times New Roman" w:hAnsi="Times New Roman" w:eastAsia="Times New Roman"/>
                      <w:color w:val="auto"/>
                      <w:spacing w:val="53"/>
                      <w:sz w:val="21"/>
                      <w:szCs w:val="21"/>
                      <w:lang w:eastAsia="zh-CN"/>
                    </w:rPr>
                    <w:t xml:space="preserve"> </w:t>
                  </w:r>
                  <w:r>
                    <w:rPr>
                      <w:rFonts w:ascii="Times New Roman" w:hAnsi="Times New Roman" w:eastAsia="Times New Roman"/>
                      <w:color w:val="auto"/>
                      <w:spacing w:val="1"/>
                      <w:sz w:val="21"/>
                      <w:szCs w:val="21"/>
                      <w:lang w:eastAsia="zh-CN"/>
                    </w:rPr>
                    <w:t>706-2014</w:t>
                  </w:r>
                  <w:r>
                    <w:rPr>
                      <w:color w:val="auto"/>
                      <w:spacing w:val="1"/>
                      <w:sz w:val="21"/>
                      <w:szCs w:val="21"/>
                      <w:lang w:eastAsia="zh-CN"/>
                    </w:rPr>
                    <w:t>）</w:t>
                  </w:r>
                  <w:r>
                    <w:rPr>
                      <w:rFonts w:ascii="Times New Roman" w:hAnsi="Times New Roman" w:eastAsia="Times New Roman"/>
                      <w:color w:val="auto"/>
                      <w:spacing w:val="1"/>
                      <w:sz w:val="21"/>
                      <w:szCs w:val="21"/>
                      <w:lang w:eastAsia="zh-CN"/>
                    </w:rPr>
                    <w:t>6.1</w:t>
                  </w:r>
                  <w:r>
                    <w:rPr>
                      <w:color w:val="auto"/>
                      <w:spacing w:val="1"/>
                      <w:sz w:val="21"/>
                      <w:szCs w:val="21"/>
                      <w:lang w:eastAsia="zh-CN"/>
                    </w:rPr>
                    <w:t>，不对噪声监测结果进行</w:t>
                  </w:r>
                  <w:r>
                    <w:rPr>
                      <w:color w:val="auto"/>
                      <w:sz w:val="21"/>
                      <w:szCs w:val="21"/>
                      <w:lang w:eastAsia="zh-CN"/>
                    </w:rPr>
                    <w:t xml:space="preserve"> </w:t>
                  </w:r>
                  <w:r>
                    <w:rPr>
                      <w:color w:val="auto"/>
                      <w:spacing w:val="-8"/>
                      <w:sz w:val="21"/>
                      <w:szCs w:val="21"/>
                      <w:lang w:eastAsia="zh-CN"/>
                    </w:rPr>
                    <w:t>修约。</w:t>
                  </w:r>
                </w:p>
              </w:tc>
            </w:tr>
          </w:tbl>
          <w:p w14:paraId="0E3AB22B">
            <w:pPr>
              <w:spacing w:before="156" w:line="218" w:lineRule="auto"/>
              <w:ind w:left="139"/>
              <w:rPr>
                <w:rFonts w:hint="eastAsia" w:ascii="宋体" w:hAnsi="宋体" w:cs="宋体"/>
                <w:color w:val="auto"/>
                <w:sz w:val="24"/>
              </w:rPr>
            </w:pPr>
            <w:r>
              <w:rPr>
                <w:rFonts w:ascii="宋体" w:hAnsi="宋体" w:cs="宋体"/>
                <w:b/>
                <w:bCs/>
                <w:color w:val="auto"/>
                <w:spacing w:val="10"/>
                <w:sz w:val="24"/>
              </w:rPr>
              <w:t>厂界噪声验收监测结果评价：</w:t>
            </w:r>
          </w:p>
          <w:p w14:paraId="31BCC9C7">
            <w:pPr>
              <w:spacing w:before="181" w:line="360" w:lineRule="auto"/>
              <w:ind w:left="135" w:right="112" w:firstLine="480"/>
              <w:rPr>
                <w:rFonts w:hint="eastAsia" w:ascii="宋体" w:hAnsi="宋体" w:cs="宋体"/>
                <w:color w:val="auto"/>
                <w:sz w:val="24"/>
              </w:rPr>
            </w:pPr>
            <w:r>
              <w:rPr>
                <w:rFonts w:ascii="宋体" w:hAnsi="宋体" w:cs="宋体"/>
                <w:color w:val="auto"/>
                <w:spacing w:val="8"/>
                <w:sz w:val="24"/>
              </w:rPr>
              <w:t>验收监测期间，本项目厂界噪声测点</w:t>
            </w:r>
            <w:r>
              <w:rPr>
                <w:rFonts w:hint="eastAsia" w:ascii="宋体" w:hAnsi="宋体" w:cs="宋体"/>
                <w:color w:val="auto"/>
                <w:spacing w:val="8"/>
                <w:sz w:val="24"/>
                <w:lang w:eastAsia="zh-CN"/>
              </w:rPr>
              <w:t>（</w:t>
            </w:r>
            <w:r>
              <w:rPr>
                <w:rFonts w:eastAsia="Times New Roman"/>
                <w:color w:val="auto"/>
                <w:spacing w:val="8"/>
                <w:sz w:val="24"/>
              </w:rPr>
              <w:t>▲Z1</w:t>
            </w:r>
            <w:r>
              <w:rPr>
                <w:rFonts w:ascii="宋体" w:hAnsi="宋体" w:cs="宋体"/>
                <w:color w:val="auto"/>
                <w:spacing w:val="8"/>
                <w:sz w:val="24"/>
              </w:rPr>
              <w:t>~</w:t>
            </w:r>
            <w:r>
              <w:rPr>
                <w:rFonts w:eastAsia="Times New Roman"/>
                <w:color w:val="auto"/>
                <w:spacing w:val="8"/>
                <w:sz w:val="24"/>
              </w:rPr>
              <w:t>▲Z4</w:t>
            </w:r>
            <w:r>
              <w:rPr>
                <w:rFonts w:ascii="宋体" w:hAnsi="宋体" w:cs="宋体"/>
                <w:color w:val="auto"/>
                <w:spacing w:val="8"/>
                <w:sz w:val="24"/>
              </w:rPr>
              <w:t>）昼间</w:t>
            </w:r>
            <w:r>
              <w:rPr>
                <w:rFonts w:eastAsia="Times New Roman"/>
                <w:color w:val="auto"/>
                <w:spacing w:val="8"/>
                <w:sz w:val="24"/>
              </w:rPr>
              <w:t>/</w:t>
            </w:r>
            <w:r>
              <w:rPr>
                <w:rFonts w:ascii="宋体" w:hAnsi="宋体" w:cs="宋体"/>
                <w:color w:val="auto"/>
                <w:spacing w:val="8"/>
                <w:sz w:val="24"/>
              </w:rPr>
              <w:t>夜间厂界噪声监测值均</w:t>
            </w:r>
            <w:r>
              <w:rPr>
                <w:rFonts w:ascii="宋体" w:hAnsi="宋体" w:cs="宋体"/>
                <w:color w:val="auto"/>
                <w:spacing w:val="3"/>
                <w:sz w:val="24"/>
              </w:rPr>
              <w:t>达到《工业企业厂界环境噪声排放标准》（</w:t>
            </w:r>
            <w:r>
              <w:rPr>
                <w:rFonts w:eastAsia="Times New Roman"/>
                <w:color w:val="auto"/>
                <w:sz w:val="24"/>
              </w:rPr>
              <w:t>GB</w:t>
            </w:r>
            <w:r>
              <w:rPr>
                <w:rFonts w:eastAsia="Times New Roman"/>
                <w:color w:val="auto"/>
                <w:spacing w:val="3"/>
                <w:sz w:val="24"/>
              </w:rPr>
              <w:t>12348-2008</w:t>
            </w:r>
            <w:r>
              <w:rPr>
                <w:rFonts w:ascii="宋体" w:hAnsi="宋体" w:cs="宋体"/>
                <w:color w:val="auto"/>
                <w:spacing w:val="3"/>
                <w:sz w:val="24"/>
              </w:rPr>
              <w:t>）中厂界外声环境功</w:t>
            </w:r>
            <w:r>
              <w:rPr>
                <w:rFonts w:ascii="宋体" w:hAnsi="宋体" w:cs="宋体"/>
                <w:color w:val="auto"/>
                <w:spacing w:val="2"/>
                <w:sz w:val="24"/>
              </w:rPr>
              <w:t>能区为</w:t>
            </w:r>
            <w:r>
              <w:rPr>
                <w:rFonts w:eastAsia="Times New Roman"/>
                <w:color w:val="auto"/>
                <w:spacing w:val="-5"/>
                <w:sz w:val="24"/>
              </w:rPr>
              <w:t>3</w:t>
            </w:r>
            <w:r>
              <w:rPr>
                <w:rFonts w:ascii="宋体" w:hAnsi="宋体" w:cs="宋体"/>
                <w:color w:val="auto"/>
                <w:spacing w:val="-5"/>
                <w:sz w:val="24"/>
              </w:rPr>
              <w:t>类区的标准要求。</w:t>
            </w:r>
          </w:p>
          <w:p w14:paraId="11D23E43">
            <w:pPr>
              <w:spacing w:before="156" w:line="218" w:lineRule="auto"/>
              <w:ind w:firstLine="522" w:firstLineChars="200"/>
              <w:rPr>
                <w:rFonts w:hint="eastAsia" w:ascii="宋体" w:hAnsi="宋体" w:cs="宋体"/>
                <w:b/>
                <w:bCs/>
                <w:color w:val="auto"/>
                <w:spacing w:val="10"/>
                <w:sz w:val="24"/>
              </w:rPr>
            </w:pPr>
            <w:r>
              <w:rPr>
                <w:rFonts w:hint="eastAsia" w:ascii="宋体" w:hAnsi="宋体" w:cs="宋体"/>
                <w:b/>
                <w:bCs/>
                <w:color w:val="auto"/>
                <w:spacing w:val="10"/>
                <w:sz w:val="24"/>
                <w:lang w:eastAsia="zh-CN"/>
              </w:rPr>
              <w:t>(4)</w:t>
            </w:r>
            <w:r>
              <w:rPr>
                <w:rFonts w:hint="eastAsia" w:ascii="宋体" w:hAnsi="宋体" w:cs="宋体"/>
                <w:b/>
                <w:bCs/>
                <w:color w:val="auto"/>
                <w:spacing w:val="10"/>
                <w:sz w:val="24"/>
              </w:rPr>
              <w:t>固废</w:t>
            </w:r>
          </w:p>
          <w:p w14:paraId="6A19BDA7">
            <w:pPr>
              <w:spacing w:before="181" w:line="360" w:lineRule="auto"/>
              <w:ind w:left="135" w:right="112" w:firstLine="480"/>
              <w:rPr>
                <w:rFonts w:hint="eastAsia" w:ascii="宋体" w:hAnsi="宋体" w:cs="宋体"/>
                <w:color w:val="auto"/>
                <w:spacing w:val="8"/>
                <w:sz w:val="24"/>
              </w:rPr>
            </w:pPr>
            <w:r>
              <w:rPr>
                <w:rFonts w:ascii="宋体" w:hAnsi="宋体" w:cs="宋体"/>
                <w:color w:val="auto"/>
                <w:spacing w:val="8"/>
                <w:sz w:val="24"/>
              </w:rPr>
              <w:t>项目营运期产生的固体废弃物主要为员工生活垃圾，铁件下料、机加工、板材下料、裁板、刨槽、雕刻等过程产生的废边角料，喷粉工段产生的废塑粉，钻孔工序产生的废钻头，砂光工序产生的废砂光片，封边工序产生的废封边条，组装工程产生的废五金件，烫金工序产生的废烫金膜以及机加工粉尘废气处理产生</w:t>
            </w:r>
            <w:r>
              <w:rPr>
                <w:rFonts w:hint="eastAsia" w:ascii="宋体" w:hAnsi="宋体" w:cs="宋体"/>
                <w:color w:val="auto"/>
                <w:spacing w:val="8"/>
                <w:sz w:val="24"/>
                <w:lang w:eastAsia="zh-CN"/>
              </w:rPr>
              <w:t>的</w:t>
            </w:r>
            <w:r>
              <w:rPr>
                <w:rFonts w:ascii="宋体" w:hAnsi="宋体" w:cs="宋体"/>
                <w:color w:val="auto"/>
                <w:spacing w:val="8"/>
                <w:sz w:val="24"/>
              </w:rPr>
              <w:t>粉尘灰等一般固废，脱脂、陶化、废水处理等过程中产生的脱脂废液、陶化</w:t>
            </w:r>
            <w:r>
              <w:rPr>
                <w:rFonts w:hint="eastAsia" w:ascii="宋体" w:hAnsi="宋体" w:cs="宋体"/>
                <w:color w:val="auto"/>
                <w:spacing w:val="8"/>
                <w:sz w:val="24"/>
                <w:lang w:eastAsia="zh-CN"/>
              </w:rPr>
              <w:t>废</w:t>
            </w:r>
            <w:r>
              <w:rPr>
                <w:rFonts w:ascii="宋体" w:hAnsi="宋体" w:cs="宋体"/>
                <w:color w:val="auto"/>
                <w:spacing w:val="8"/>
                <w:sz w:val="24"/>
              </w:rPr>
              <w:t>渣、废水处理污泥，水帘+过滤棉处理漆雾过程产生的漆渣、废过滤棉，机加工设备维修保养产生的废润滑油，有机废气处理过程产生的废活性炭，污水处理及喷漆工序产生的废药剂和油漆桶等危险固废。其中生活垃圾由环卫部门统一清运，废边角料、废钻头、废砂光片、废五金件、废烫金膜、木粉尘灰等统一收集后外售综合利用，脱脂废液、废槽渣、废水处理污泥、漆渣、废过滤棉、废润滑油、废活性炭、废药剂和废油漆桶等属于危险固废，统一收集后暂存于危废仓库，委托淮安华昌固废处置有限公司处置。</w:t>
            </w:r>
          </w:p>
          <w:p w14:paraId="34ABD771">
            <w:pPr>
              <w:adjustRightInd w:val="0"/>
              <w:snapToGrid w:val="0"/>
              <w:spacing w:line="360" w:lineRule="auto"/>
              <w:ind w:firstLine="482" w:firstLineChars="200"/>
              <w:jc w:val="left"/>
              <w:rPr>
                <w:color w:val="auto"/>
                <w:sz w:val="24"/>
              </w:rPr>
            </w:pPr>
            <w:r>
              <w:rPr>
                <w:rFonts w:hint="eastAsia" w:ascii="宋体" w:hAnsi="宋体"/>
                <w:b/>
                <w:bCs/>
                <w:color w:val="auto"/>
                <w:sz w:val="24"/>
              </w:rPr>
              <w:t>七、现有厂区项目总量指标</w:t>
            </w:r>
          </w:p>
          <w:p w14:paraId="73C72CF3">
            <w:pPr>
              <w:spacing w:before="181" w:line="360" w:lineRule="auto"/>
              <w:ind w:left="135" w:right="112" w:firstLine="480"/>
              <w:rPr>
                <w:rFonts w:hint="eastAsia" w:ascii="宋体" w:hAnsi="宋体" w:cs="宋体"/>
                <w:color w:val="auto"/>
                <w:spacing w:val="8"/>
                <w:sz w:val="24"/>
              </w:rPr>
            </w:pPr>
            <w:r>
              <w:rPr>
                <w:rFonts w:ascii="宋体" w:hAnsi="宋体" w:cs="宋体"/>
                <w:color w:val="auto"/>
                <w:spacing w:val="8"/>
                <w:sz w:val="24"/>
              </w:rPr>
              <w:t>本项目污染物排放总量见表</w:t>
            </w:r>
            <w:r>
              <w:rPr>
                <w:color w:val="auto"/>
                <w:spacing w:val="8"/>
                <w:sz w:val="24"/>
              </w:rPr>
              <w:t>2-19</w:t>
            </w:r>
            <w:r>
              <w:rPr>
                <w:rFonts w:ascii="宋体" w:hAnsi="宋体" w:cs="宋体"/>
                <w:color w:val="auto"/>
                <w:spacing w:val="8"/>
                <w:sz w:val="24"/>
              </w:rPr>
              <w:t>：</w:t>
            </w:r>
          </w:p>
          <w:p w14:paraId="2990E367">
            <w:pPr>
              <w:spacing w:before="158" w:line="229" w:lineRule="auto"/>
              <w:jc w:val="center"/>
              <w:rPr>
                <w:rFonts w:hint="eastAsia" w:ascii="宋体" w:hAnsi="宋体" w:cs="宋体"/>
                <w:b/>
                <w:bCs/>
                <w:color w:val="auto"/>
                <w:spacing w:val="-3"/>
                <w:sz w:val="24"/>
              </w:rPr>
            </w:pPr>
            <w:r>
              <w:rPr>
                <w:rFonts w:ascii="宋体" w:hAnsi="宋体" w:cs="宋体"/>
                <w:b/>
                <w:bCs/>
                <w:color w:val="auto"/>
                <w:spacing w:val="-4"/>
                <w:sz w:val="24"/>
              </w:rPr>
              <w:t>表</w:t>
            </w:r>
            <w:r>
              <w:rPr>
                <w:b/>
                <w:bCs/>
                <w:color w:val="auto"/>
                <w:spacing w:val="-4"/>
                <w:sz w:val="24"/>
              </w:rPr>
              <w:t>2-19</w:t>
            </w:r>
            <w:r>
              <w:rPr>
                <w:rFonts w:ascii="宋体" w:hAnsi="宋体" w:cs="宋体"/>
                <w:b/>
                <w:bCs/>
                <w:color w:val="auto"/>
                <w:spacing w:val="-3"/>
                <w:sz w:val="24"/>
              </w:rPr>
              <w:t>污染物排放总量控制指标</w:t>
            </w:r>
          </w:p>
          <w:tbl>
            <w:tblPr>
              <w:tblStyle w:val="9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4"/>
              <w:gridCol w:w="4189"/>
              <w:gridCol w:w="4781"/>
            </w:tblGrid>
            <w:tr w14:paraId="14F7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Align w:val="center"/>
                </w:tcPr>
                <w:p w14:paraId="55C7146A">
                  <w:pPr>
                    <w:pStyle w:val="3488"/>
                    <w:spacing w:before="117" w:line="221" w:lineRule="auto"/>
                    <w:jc w:val="center"/>
                    <w:rPr>
                      <w:rFonts w:hint="eastAsia" w:ascii="宋体" w:hAnsi="宋体" w:cs="宋体"/>
                      <w:b/>
                      <w:bCs/>
                      <w:color w:val="auto"/>
                      <w:spacing w:val="-3"/>
                      <w:sz w:val="24"/>
                      <w:szCs w:val="24"/>
                    </w:rPr>
                  </w:pPr>
                  <w:r>
                    <w:rPr>
                      <w:b/>
                      <w:bCs/>
                      <w:color w:val="auto"/>
                      <w:spacing w:val="-4"/>
                      <w:sz w:val="21"/>
                      <w:szCs w:val="21"/>
                    </w:rPr>
                    <w:t>种类</w:t>
                  </w:r>
                </w:p>
              </w:tc>
              <w:tc>
                <w:tcPr>
                  <w:tcW w:w="1677" w:type="pct"/>
                  <w:vAlign w:val="center"/>
                </w:tcPr>
                <w:p w14:paraId="503628BD">
                  <w:pPr>
                    <w:pStyle w:val="3488"/>
                    <w:spacing w:before="118" w:line="221" w:lineRule="auto"/>
                    <w:jc w:val="center"/>
                    <w:rPr>
                      <w:rFonts w:hint="eastAsia" w:ascii="宋体" w:hAnsi="宋体" w:cs="宋体"/>
                      <w:b/>
                      <w:bCs/>
                      <w:color w:val="auto"/>
                      <w:spacing w:val="-3"/>
                      <w:sz w:val="24"/>
                      <w:szCs w:val="24"/>
                    </w:rPr>
                  </w:pPr>
                  <w:r>
                    <w:rPr>
                      <w:b/>
                      <w:bCs/>
                      <w:color w:val="auto"/>
                      <w:spacing w:val="-4"/>
                      <w:sz w:val="21"/>
                      <w:szCs w:val="21"/>
                    </w:rPr>
                    <w:t>污染物</w:t>
                  </w:r>
                </w:p>
              </w:tc>
              <w:tc>
                <w:tcPr>
                  <w:tcW w:w="1914" w:type="pct"/>
                  <w:vAlign w:val="center"/>
                </w:tcPr>
                <w:p w14:paraId="1856816D">
                  <w:pPr>
                    <w:pStyle w:val="3488"/>
                    <w:spacing w:before="118" w:line="220" w:lineRule="auto"/>
                    <w:jc w:val="center"/>
                    <w:rPr>
                      <w:rFonts w:hint="eastAsia" w:ascii="宋体" w:hAnsi="宋体" w:cs="宋体"/>
                      <w:b/>
                      <w:bCs/>
                      <w:color w:val="auto"/>
                      <w:spacing w:val="-3"/>
                      <w:sz w:val="24"/>
                      <w:szCs w:val="24"/>
                    </w:rPr>
                  </w:pPr>
                  <w:r>
                    <w:rPr>
                      <w:b/>
                      <w:bCs/>
                      <w:color w:val="auto"/>
                      <w:spacing w:val="-3"/>
                      <w:sz w:val="21"/>
                      <w:szCs w:val="21"/>
                    </w:rPr>
                    <w:t>本项目排放量</w:t>
                  </w:r>
                </w:p>
              </w:tc>
            </w:tr>
            <w:tr w14:paraId="42E8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restart"/>
                  <w:vAlign w:val="center"/>
                </w:tcPr>
                <w:p w14:paraId="3267B85D">
                  <w:pPr>
                    <w:pStyle w:val="3488"/>
                    <w:spacing w:before="69" w:line="221" w:lineRule="auto"/>
                    <w:jc w:val="center"/>
                    <w:rPr>
                      <w:rFonts w:hint="eastAsia" w:ascii="宋体" w:hAnsi="宋体" w:cs="宋体"/>
                      <w:b/>
                      <w:bCs/>
                      <w:color w:val="auto"/>
                      <w:spacing w:val="-3"/>
                      <w:sz w:val="24"/>
                      <w:szCs w:val="24"/>
                    </w:rPr>
                  </w:pPr>
                  <w:r>
                    <w:rPr>
                      <w:color w:val="auto"/>
                      <w:spacing w:val="-2"/>
                      <w:sz w:val="21"/>
                      <w:szCs w:val="21"/>
                    </w:rPr>
                    <w:t>废水</w:t>
                  </w:r>
                </w:p>
              </w:tc>
              <w:tc>
                <w:tcPr>
                  <w:tcW w:w="1677" w:type="pct"/>
                  <w:vAlign w:val="center"/>
                </w:tcPr>
                <w:p w14:paraId="3463CAFB">
                  <w:pPr>
                    <w:pStyle w:val="3488"/>
                    <w:spacing w:before="114" w:line="221" w:lineRule="auto"/>
                    <w:jc w:val="center"/>
                    <w:rPr>
                      <w:rFonts w:hint="eastAsia" w:ascii="宋体" w:hAnsi="宋体" w:cs="宋体"/>
                      <w:b/>
                      <w:bCs/>
                      <w:color w:val="auto"/>
                      <w:spacing w:val="-3"/>
                      <w:sz w:val="24"/>
                      <w:szCs w:val="24"/>
                    </w:rPr>
                  </w:pPr>
                  <w:r>
                    <w:rPr>
                      <w:color w:val="auto"/>
                      <w:spacing w:val="-1"/>
                      <w:sz w:val="21"/>
                      <w:szCs w:val="21"/>
                    </w:rPr>
                    <w:t>废水量</w:t>
                  </w:r>
                </w:p>
              </w:tc>
              <w:tc>
                <w:tcPr>
                  <w:tcW w:w="1914" w:type="pct"/>
                  <w:vAlign w:val="center"/>
                </w:tcPr>
                <w:p w14:paraId="49E95126">
                  <w:pPr>
                    <w:spacing w:before="144" w:line="234" w:lineRule="auto"/>
                    <w:jc w:val="center"/>
                    <w:rPr>
                      <w:rFonts w:hint="eastAsia" w:ascii="宋体" w:hAnsi="宋体" w:cs="宋体"/>
                      <w:b/>
                      <w:bCs/>
                      <w:color w:val="auto"/>
                      <w:spacing w:val="-3"/>
                      <w:sz w:val="24"/>
                    </w:rPr>
                  </w:pPr>
                  <w:r>
                    <w:rPr>
                      <w:rFonts w:eastAsia="Times New Roman"/>
                      <w:color w:val="auto"/>
                      <w:spacing w:val="-2"/>
                      <w:szCs w:val="21"/>
                    </w:rPr>
                    <w:t>3210</w:t>
                  </w:r>
                </w:p>
              </w:tc>
            </w:tr>
            <w:tr w14:paraId="10BD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8D405BA">
                  <w:pPr>
                    <w:jc w:val="center"/>
                    <w:rPr>
                      <w:rFonts w:hint="eastAsia" w:ascii="宋体" w:hAnsi="宋体" w:cs="宋体"/>
                      <w:b/>
                      <w:bCs/>
                      <w:color w:val="auto"/>
                      <w:spacing w:val="-3"/>
                      <w:sz w:val="24"/>
                    </w:rPr>
                  </w:pPr>
                </w:p>
              </w:tc>
              <w:tc>
                <w:tcPr>
                  <w:tcW w:w="1677" w:type="pct"/>
                  <w:vAlign w:val="center"/>
                </w:tcPr>
                <w:p w14:paraId="0655640F">
                  <w:pPr>
                    <w:spacing w:before="149" w:line="187" w:lineRule="auto"/>
                    <w:jc w:val="center"/>
                    <w:rPr>
                      <w:rFonts w:hint="eastAsia" w:ascii="宋体" w:hAnsi="宋体" w:cs="宋体"/>
                      <w:b/>
                      <w:bCs/>
                      <w:color w:val="auto"/>
                      <w:spacing w:val="-3"/>
                      <w:sz w:val="24"/>
                    </w:rPr>
                  </w:pPr>
                  <w:r>
                    <w:rPr>
                      <w:rFonts w:eastAsia="Times New Roman"/>
                      <w:color w:val="auto"/>
                      <w:spacing w:val="-2"/>
                      <w:szCs w:val="21"/>
                    </w:rPr>
                    <w:t>COD</w:t>
                  </w:r>
                </w:p>
              </w:tc>
              <w:tc>
                <w:tcPr>
                  <w:tcW w:w="1914" w:type="pct"/>
                  <w:vAlign w:val="center"/>
                </w:tcPr>
                <w:p w14:paraId="71303C9F">
                  <w:pPr>
                    <w:spacing w:before="135" w:line="232" w:lineRule="auto"/>
                    <w:jc w:val="center"/>
                    <w:rPr>
                      <w:rFonts w:hint="eastAsia" w:ascii="宋体" w:hAnsi="宋体" w:cs="宋体"/>
                      <w:b/>
                      <w:bCs/>
                      <w:color w:val="auto"/>
                      <w:spacing w:val="-3"/>
                      <w:sz w:val="24"/>
                    </w:rPr>
                  </w:pPr>
                  <w:r>
                    <w:rPr>
                      <w:rFonts w:eastAsia="Times New Roman"/>
                      <w:color w:val="auto"/>
                      <w:spacing w:val="-2"/>
                      <w:sz w:val="24"/>
                    </w:rPr>
                    <w:t>0.8977</w:t>
                  </w:r>
                </w:p>
              </w:tc>
            </w:tr>
            <w:tr w14:paraId="3F3A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1C1B361B">
                  <w:pPr>
                    <w:jc w:val="center"/>
                    <w:rPr>
                      <w:rFonts w:hint="eastAsia" w:ascii="宋体" w:hAnsi="宋体" w:cs="宋体"/>
                      <w:b/>
                      <w:bCs/>
                      <w:color w:val="auto"/>
                      <w:spacing w:val="-3"/>
                      <w:sz w:val="24"/>
                    </w:rPr>
                  </w:pPr>
                </w:p>
              </w:tc>
              <w:tc>
                <w:tcPr>
                  <w:tcW w:w="1677" w:type="pct"/>
                  <w:vAlign w:val="center"/>
                </w:tcPr>
                <w:p w14:paraId="081318AD">
                  <w:pPr>
                    <w:spacing w:before="149" w:line="187" w:lineRule="auto"/>
                    <w:jc w:val="center"/>
                    <w:rPr>
                      <w:rFonts w:hint="eastAsia" w:ascii="宋体" w:hAnsi="宋体" w:cs="宋体"/>
                      <w:b/>
                      <w:bCs/>
                      <w:color w:val="auto"/>
                      <w:spacing w:val="-3"/>
                      <w:sz w:val="24"/>
                    </w:rPr>
                  </w:pPr>
                  <w:r>
                    <w:rPr>
                      <w:rFonts w:eastAsia="Times New Roman"/>
                      <w:color w:val="auto"/>
                      <w:spacing w:val="-3"/>
                      <w:szCs w:val="21"/>
                    </w:rPr>
                    <w:t>SS</w:t>
                  </w:r>
                </w:p>
              </w:tc>
              <w:tc>
                <w:tcPr>
                  <w:tcW w:w="1914" w:type="pct"/>
                  <w:vAlign w:val="center"/>
                </w:tcPr>
                <w:p w14:paraId="11B9E80E">
                  <w:pPr>
                    <w:spacing w:before="135" w:line="232" w:lineRule="auto"/>
                    <w:jc w:val="center"/>
                    <w:rPr>
                      <w:rFonts w:hint="eastAsia" w:ascii="宋体" w:hAnsi="宋体" w:cs="宋体"/>
                      <w:b/>
                      <w:bCs/>
                      <w:color w:val="auto"/>
                      <w:spacing w:val="-3"/>
                      <w:sz w:val="24"/>
                    </w:rPr>
                  </w:pPr>
                  <w:r>
                    <w:rPr>
                      <w:rFonts w:eastAsia="Times New Roman"/>
                      <w:color w:val="auto"/>
                      <w:spacing w:val="-2"/>
                      <w:sz w:val="24"/>
                    </w:rPr>
                    <w:t>0.4169</w:t>
                  </w:r>
                </w:p>
              </w:tc>
            </w:tr>
            <w:tr w14:paraId="5BE6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4D3F07D">
                  <w:pPr>
                    <w:jc w:val="center"/>
                    <w:rPr>
                      <w:rFonts w:hint="eastAsia" w:ascii="宋体" w:hAnsi="宋体" w:cs="宋体"/>
                      <w:b/>
                      <w:bCs/>
                      <w:color w:val="auto"/>
                      <w:spacing w:val="-3"/>
                      <w:sz w:val="24"/>
                    </w:rPr>
                  </w:pPr>
                </w:p>
              </w:tc>
              <w:tc>
                <w:tcPr>
                  <w:tcW w:w="1677" w:type="pct"/>
                  <w:vAlign w:val="center"/>
                </w:tcPr>
                <w:p w14:paraId="15886427">
                  <w:pPr>
                    <w:spacing w:before="152" w:line="187" w:lineRule="auto"/>
                    <w:jc w:val="center"/>
                    <w:rPr>
                      <w:rFonts w:hint="eastAsia" w:ascii="宋体" w:hAnsi="宋体" w:cs="宋体"/>
                      <w:b/>
                      <w:bCs/>
                      <w:color w:val="auto"/>
                      <w:spacing w:val="-3"/>
                      <w:sz w:val="24"/>
                    </w:rPr>
                  </w:pPr>
                  <w:r>
                    <w:rPr>
                      <w:rFonts w:eastAsia="Times New Roman"/>
                      <w:color w:val="auto"/>
                      <w:spacing w:val="-2"/>
                      <w:szCs w:val="21"/>
                    </w:rPr>
                    <w:t>LAS</w:t>
                  </w:r>
                </w:p>
              </w:tc>
              <w:tc>
                <w:tcPr>
                  <w:tcW w:w="1914" w:type="pct"/>
                  <w:vAlign w:val="center"/>
                </w:tcPr>
                <w:p w14:paraId="03B15D6A">
                  <w:pPr>
                    <w:spacing w:before="139" w:line="232" w:lineRule="auto"/>
                    <w:jc w:val="center"/>
                    <w:rPr>
                      <w:rFonts w:hint="eastAsia" w:ascii="宋体" w:hAnsi="宋体" w:cs="宋体"/>
                      <w:b/>
                      <w:bCs/>
                      <w:color w:val="auto"/>
                      <w:spacing w:val="-3"/>
                      <w:sz w:val="24"/>
                    </w:rPr>
                  </w:pPr>
                  <w:r>
                    <w:rPr>
                      <w:rFonts w:eastAsia="Times New Roman"/>
                      <w:color w:val="auto"/>
                      <w:spacing w:val="-2"/>
                      <w:sz w:val="24"/>
                    </w:rPr>
                    <w:t>0.0094</w:t>
                  </w:r>
                </w:p>
              </w:tc>
            </w:tr>
            <w:tr w14:paraId="6E84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24FE518C">
                  <w:pPr>
                    <w:jc w:val="center"/>
                    <w:rPr>
                      <w:rFonts w:hint="eastAsia" w:ascii="宋体" w:hAnsi="宋体" w:cs="宋体"/>
                      <w:b/>
                      <w:bCs/>
                      <w:color w:val="auto"/>
                      <w:spacing w:val="-3"/>
                      <w:sz w:val="24"/>
                    </w:rPr>
                  </w:pPr>
                </w:p>
              </w:tc>
              <w:tc>
                <w:tcPr>
                  <w:tcW w:w="1677" w:type="pct"/>
                  <w:vAlign w:val="center"/>
                </w:tcPr>
                <w:p w14:paraId="0AC84EB2">
                  <w:pPr>
                    <w:spacing w:before="155" w:line="222" w:lineRule="auto"/>
                    <w:jc w:val="center"/>
                    <w:rPr>
                      <w:rFonts w:hint="eastAsia" w:ascii="宋体" w:hAnsi="宋体" w:cs="宋体"/>
                      <w:b/>
                      <w:bCs/>
                      <w:color w:val="auto"/>
                      <w:spacing w:val="-3"/>
                      <w:sz w:val="24"/>
                    </w:rPr>
                  </w:pPr>
                  <w:r>
                    <w:rPr>
                      <w:rFonts w:eastAsia="Times New Roman"/>
                      <w:color w:val="auto"/>
                      <w:szCs w:val="21"/>
                    </w:rPr>
                    <w:t>NH</w:t>
                  </w:r>
                  <w:r>
                    <w:rPr>
                      <w:rFonts w:eastAsia="Times New Roman"/>
                      <w:color w:val="auto"/>
                      <w:spacing w:val="3"/>
                      <w:position w:val="-1"/>
                      <w:sz w:val="13"/>
                      <w:szCs w:val="13"/>
                    </w:rPr>
                    <w:t>3</w:t>
                  </w:r>
                  <w:r>
                    <w:rPr>
                      <w:rFonts w:eastAsia="Times New Roman"/>
                      <w:color w:val="auto"/>
                      <w:spacing w:val="3"/>
                      <w:szCs w:val="21"/>
                    </w:rPr>
                    <w:t>-N</w:t>
                  </w:r>
                </w:p>
              </w:tc>
              <w:tc>
                <w:tcPr>
                  <w:tcW w:w="1914" w:type="pct"/>
                  <w:vAlign w:val="center"/>
                </w:tcPr>
                <w:p w14:paraId="18800C7E">
                  <w:pPr>
                    <w:spacing w:before="139" w:line="232" w:lineRule="auto"/>
                    <w:jc w:val="center"/>
                    <w:rPr>
                      <w:rFonts w:hint="eastAsia" w:ascii="宋体" w:hAnsi="宋体" w:cs="宋体"/>
                      <w:b/>
                      <w:bCs/>
                      <w:color w:val="auto"/>
                      <w:spacing w:val="-3"/>
                      <w:sz w:val="24"/>
                    </w:rPr>
                  </w:pPr>
                  <w:r>
                    <w:rPr>
                      <w:rFonts w:eastAsia="Times New Roman"/>
                      <w:color w:val="auto"/>
                      <w:spacing w:val="-2"/>
                      <w:sz w:val="24"/>
                    </w:rPr>
                    <w:t>0.043</w:t>
                  </w:r>
                </w:p>
              </w:tc>
            </w:tr>
            <w:tr w14:paraId="3319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B89411C">
                  <w:pPr>
                    <w:jc w:val="center"/>
                    <w:rPr>
                      <w:rFonts w:hint="eastAsia" w:ascii="宋体" w:hAnsi="宋体" w:cs="宋体"/>
                      <w:b/>
                      <w:bCs/>
                      <w:color w:val="auto"/>
                      <w:spacing w:val="-3"/>
                      <w:sz w:val="24"/>
                    </w:rPr>
                  </w:pPr>
                </w:p>
              </w:tc>
              <w:tc>
                <w:tcPr>
                  <w:tcW w:w="1677" w:type="pct"/>
                  <w:vAlign w:val="center"/>
                </w:tcPr>
                <w:p w14:paraId="3ECE3694">
                  <w:pPr>
                    <w:spacing w:before="156" w:line="184" w:lineRule="auto"/>
                    <w:jc w:val="center"/>
                    <w:rPr>
                      <w:rFonts w:hint="eastAsia" w:ascii="宋体" w:hAnsi="宋体" w:cs="宋体"/>
                      <w:b/>
                      <w:bCs/>
                      <w:color w:val="auto"/>
                      <w:spacing w:val="-3"/>
                      <w:sz w:val="24"/>
                    </w:rPr>
                  </w:pPr>
                  <w:r>
                    <w:rPr>
                      <w:rFonts w:eastAsia="Times New Roman"/>
                      <w:color w:val="auto"/>
                      <w:spacing w:val="-2"/>
                      <w:szCs w:val="21"/>
                    </w:rPr>
                    <w:t>TP</w:t>
                  </w:r>
                </w:p>
              </w:tc>
              <w:tc>
                <w:tcPr>
                  <w:tcW w:w="1914" w:type="pct"/>
                  <w:vAlign w:val="center"/>
                </w:tcPr>
                <w:p w14:paraId="4405287C">
                  <w:pPr>
                    <w:spacing w:before="139" w:line="232" w:lineRule="auto"/>
                    <w:jc w:val="center"/>
                    <w:rPr>
                      <w:rFonts w:hint="eastAsia" w:ascii="宋体" w:hAnsi="宋体" w:cs="宋体"/>
                      <w:b/>
                      <w:bCs/>
                      <w:color w:val="auto"/>
                      <w:spacing w:val="-3"/>
                      <w:sz w:val="24"/>
                    </w:rPr>
                  </w:pPr>
                  <w:r>
                    <w:rPr>
                      <w:rFonts w:eastAsia="Times New Roman"/>
                      <w:color w:val="auto"/>
                      <w:spacing w:val="-2"/>
                      <w:sz w:val="24"/>
                    </w:rPr>
                    <w:t>0.00559</w:t>
                  </w:r>
                </w:p>
              </w:tc>
            </w:tr>
            <w:tr w14:paraId="2AE9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468BF02">
                  <w:pPr>
                    <w:jc w:val="center"/>
                    <w:rPr>
                      <w:rFonts w:hint="eastAsia" w:ascii="宋体" w:hAnsi="宋体" w:cs="宋体"/>
                      <w:b/>
                      <w:bCs/>
                      <w:color w:val="auto"/>
                      <w:spacing w:val="-3"/>
                      <w:sz w:val="24"/>
                    </w:rPr>
                  </w:pPr>
                </w:p>
              </w:tc>
              <w:tc>
                <w:tcPr>
                  <w:tcW w:w="1677" w:type="pct"/>
                  <w:vAlign w:val="center"/>
                </w:tcPr>
                <w:p w14:paraId="7F2D9775">
                  <w:pPr>
                    <w:pStyle w:val="3488"/>
                    <w:spacing w:before="118" w:line="221" w:lineRule="auto"/>
                    <w:jc w:val="center"/>
                    <w:rPr>
                      <w:rFonts w:hint="eastAsia" w:ascii="宋体" w:hAnsi="宋体" w:cs="宋体"/>
                      <w:b/>
                      <w:bCs/>
                      <w:color w:val="auto"/>
                      <w:spacing w:val="-3"/>
                      <w:sz w:val="24"/>
                      <w:szCs w:val="24"/>
                    </w:rPr>
                  </w:pPr>
                  <w:r>
                    <w:rPr>
                      <w:color w:val="auto"/>
                      <w:spacing w:val="-2"/>
                      <w:sz w:val="21"/>
                      <w:szCs w:val="21"/>
                    </w:rPr>
                    <w:t>石油类</w:t>
                  </w:r>
                </w:p>
              </w:tc>
              <w:tc>
                <w:tcPr>
                  <w:tcW w:w="1914" w:type="pct"/>
                  <w:vAlign w:val="center"/>
                </w:tcPr>
                <w:p w14:paraId="588F462E">
                  <w:pPr>
                    <w:spacing w:before="141" w:line="232" w:lineRule="auto"/>
                    <w:jc w:val="center"/>
                    <w:rPr>
                      <w:rFonts w:hint="eastAsia" w:ascii="宋体" w:hAnsi="宋体" w:cs="宋体"/>
                      <w:b/>
                      <w:bCs/>
                      <w:color w:val="auto"/>
                      <w:spacing w:val="-3"/>
                      <w:sz w:val="24"/>
                    </w:rPr>
                  </w:pPr>
                  <w:r>
                    <w:rPr>
                      <w:rFonts w:eastAsia="Times New Roman"/>
                      <w:color w:val="auto"/>
                      <w:spacing w:val="-2"/>
                      <w:sz w:val="24"/>
                    </w:rPr>
                    <w:t>0.0156</w:t>
                  </w:r>
                </w:p>
              </w:tc>
            </w:tr>
            <w:tr w14:paraId="2DE9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612B83FB">
                  <w:pPr>
                    <w:pStyle w:val="3488"/>
                    <w:spacing w:before="117" w:line="221" w:lineRule="auto"/>
                    <w:ind w:left="432"/>
                    <w:jc w:val="center"/>
                    <w:rPr>
                      <w:rFonts w:hint="eastAsia" w:ascii="宋体" w:hAnsi="宋体" w:cs="宋体"/>
                      <w:b/>
                      <w:bCs/>
                      <w:color w:val="auto"/>
                      <w:spacing w:val="-3"/>
                      <w:sz w:val="24"/>
                      <w:szCs w:val="24"/>
                    </w:rPr>
                  </w:pPr>
                </w:p>
              </w:tc>
              <w:tc>
                <w:tcPr>
                  <w:tcW w:w="1677" w:type="pct"/>
                  <w:vAlign w:val="center"/>
                </w:tcPr>
                <w:p w14:paraId="02E38931">
                  <w:pPr>
                    <w:pStyle w:val="3488"/>
                    <w:spacing w:before="118" w:line="221" w:lineRule="auto"/>
                    <w:jc w:val="center"/>
                    <w:rPr>
                      <w:rFonts w:hint="eastAsia" w:ascii="宋体" w:hAnsi="宋体" w:cs="宋体"/>
                      <w:b/>
                      <w:bCs/>
                      <w:color w:val="auto"/>
                      <w:spacing w:val="-3"/>
                      <w:sz w:val="24"/>
                      <w:szCs w:val="24"/>
                    </w:rPr>
                  </w:pPr>
                  <w:r>
                    <w:rPr>
                      <w:color w:val="auto"/>
                      <w:spacing w:val="-2"/>
                      <w:sz w:val="21"/>
                      <w:szCs w:val="21"/>
                    </w:rPr>
                    <w:t>氟化物</w:t>
                  </w:r>
                </w:p>
              </w:tc>
              <w:tc>
                <w:tcPr>
                  <w:tcW w:w="1914" w:type="pct"/>
                  <w:vAlign w:val="center"/>
                </w:tcPr>
                <w:p w14:paraId="0BFFF976">
                  <w:pPr>
                    <w:pStyle w:val="3488"/>
                    <w:spacing w:before="118" w:line="220" w:lineRule="auto"/>
                    <w:jc w:val="center"/>
                    <w:rPr>
                      <w:rFonts w:hint="eastAsia" w:ascii="宋体" w:hAnsi="宋体" w:cs="宋体"/>
                      <w:b/>
                      <w:bCs/>
                      <w:color w:val="auto"/>
                      <w:spacing w:val="-3"/>
                      <w:sz w:val="24"/>
                      <w:szCs w:val="24"/>
                    </w:rPr>
                  </w:pPr>
                  <w:r>
                    <w:rPr>
                      <w:rFonts w:ascii="Times New Roman" w:hAnsi="Times New Roman" w:eastAsia="Times New Roman"/>
                      <w:color w:val="auto"/>
                      <w:spacing w:val="-2"/>
                      <w:sz w:val="24"/>
                      <w:szCs w:val="24"/>
                    </w:rPr>
                    <w:t>0.0029</w:t>
                  </w:r>
                </w:p>
              </w:tc>
            </w:tr>
            <w:tr w14:paraId="3523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restart"/>
                  <w:vAlign w:val="center"/>
                </w:tcPr>
                <w:p w14:paraId="0AFDA025">
                  <w:pPr>
                    <w:pStyle w:val="3488"/>
                    <w:spacing w:before="68" w:line="221" w:lineRule="auto"/>
                    <w:ind w:left="434"/>
                    <w:jc w:val="center"/>
                    <w:rPr>
                      <w:rFonts w:hint="eastAsia" w:ascii="宋体" w:hAnsi="宋体" w:cs="宋体"/>
                      <w:b/>
                      <w:bCs/>
                      <w:color w:val="auto"/>
                      <w:spacing w:val="-3"/>
                      <w:sz w:val="24"/>
                      <w:szCs w:val="24"/>
                    </w:rPr>
                  </w:pPr>
                  <w:r>
                    <w:rPr>
                      <w:color w:val="auto"/>
                      <w:spacing w:val="-2"/>
                      <w:sz w:val="21"/>
                      <w:szCs w:val="21"/>
                    </w:rPr>
                    <w:t>废气</w:t>
                  </w:r>
                </w:p>
              </w:tc>
              <w:tc>
                <w:tcPr>
                  <w:tcW w:w="1677" w:type="pct"/>
                  <w:vAlign w:val="center"/>
                </w:tcPr>
                <w:p w14:paraId="761F8464">
                  <w:pPr>
                    <w:spacing w:before="144" w:line="233" w:lineRule="auto"/>
                    <w:jc w:val="center"/>
                    <w:rPr>
                      <w:rFonts w:hint="eastAsia" w:ascii="宋体" w:hAnsi="宋体" w:cs="宋体"/>
                      <w:b/>
                      <w:bCs/>
                      <w:color w:val="auto"/>
                      <w:spacing w:val="-3"/>
                      <w:sz w:val="24"/>
                    </w:rPr>
                  </w:pPr>
                  <w:r>
                    <w:rPr>
                      <w:rFonts w:eastAsia="Times New Roman"/>
                      <w:color w:val="auto"/>
                      <w:szCs w:val="21"/>
                    </w:rPr>
                    <w:t>HCl</w:t>
                  </w:r>
                </w:p>
              </w:tc>
              <w:tc>
                <w:tcPr>
                  <w:tcW w:w="1914" w:type="pct"/>
                  <w:vAlign w:val="center"/>
                </w:tcPr>
                <w:p w14:paraId="72D6FC82">
                  <w:pPr>
                    <w:spacing w:before="143" w:line="234" w:lineRule="auto"/>
                    <w:jc w:val="center"/>
                    <w:rPr>
                      <w:rFonts w:hint="eastAsia" w:ascii="宋体" w:hAnsi="宋体" w:cs="宋体"/>
                      <w:b/>
                      <w:bCs/>
                      <w:color w:val="auto"/>
                      <w:spacing w:val="-3"/>
                      <w:sz w:val="24"/>
                    </w:rPr>
                  </w:pPr>
                  <w:r>
                    <w:rPr>
                      <w:rFonts w:eastAsia="Times New Roman"/>
                      <w:color w:val="auto"/>
                      <w:szCs w:val="21"/>
                    </w:rPr>
                    <w:t>0</w:t>
                  </w:r>
                </w:p>
              </w:tc>
            </w:tr>
            <w:tr w14:paraId="7F71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22DED387">
                  <w:pPr>
                    <w:jc w:val="center"/>
                    <w:rPr>
                      <w:rFonts w:hint="eastAsia" w:ascii="宋体" w:hAnsi="宋体" w:cs="宋体"/>
                      <w:b/>
                      <w:bCs/>
                      <w:color w:val="auto"/>
                      <w:spacing w:val="-3"/>
                      <w:sz w:val="24"/>
                    </w:rPr>
                  </w:pPr>
                </w:p>
              </w:tc>
              <w:tc>
                <w:tcPr>
                  <w:tcW w:w="1677" w:type="pct"/>
                  <w:vAlign w:val="center"/>
                </w:tcPr>
                <w:p w14:paraId="1AFE0656">
                  <w:pPr>
                    <w:pStyle w:val="3488"/>
                    <w:spacing w:before="114" w:line="221" w:lineRule="auto"/>
                    <w:jc w:val="center"/>
                    <w:rPr>
                      <w:rFonts w:hint="eastAsia" w:ascii="宋体" w:hAnsi="宋体" w:cs="宋体"/>
                      <w:b/>
                      <w:bCs/>
                      <w:color w:val="auto"/>
                      <w:spacing w:val="-3"/>
                      <w:sz w:val="24"/>
                      <w:szCs w:val="24"/>
                    </w:rPr>
                  </w:pPr>
                  <w:r>
                    <w:rPr>
                      <w:color w:val="auto"/>
                      <w:sz w:val="21"/>
                      <w:szCs w:val="21"/>
                    </w:rPr>
                    <w:t>烟（粉）尘</w:t>
                  </w:r>
                </w:p>
              </w:tc>
              <w:tc>
                <w:tcPr>
                  <w:tcW w:w="1914" w:type="pct"/>
                  <w:vAlign w:val="center"/>
                </w:tcPr>
                <w:p w14:paraId="1A6FE711">
                  <w:pPr>
                    <w:spacing w:before="145" w:line="233" w:lineRule="auto"/>
                    <w:jc w:val="center"/>
                    <w:rPr>
                      <w:rFonts w:hint="eastAsia" w:ascii="宋体" w:hAnsi="宋体" w:cs="宋体"/>
                      <w:b/>
                      <w:bCs/>
                      <w:color w:val="auto"/>
                      <w:spacing w:val="-3"/>
                      <w:sz w:val="24"/>
                    </w:rPr>
                  </w:pPr>
                  <w:r>
                    <w:rPr>
                      <w:rFonts w:eastAsia="Times New Roman"/>
                      <w:color w:val="auto"/>
                      <w:spacing w:val="-1"/>
                      <w:szCs w:val="21"/>
                    </w:rPr>
                    <w:t>0.4587</w:t>
                  </w:r>
                </w:p>
              </w:tc>
            </w:tr>
            <w:tr w14:paraId="7006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89251AA">
                  <w:pPr>
                    <w:jc w:val="center"/>
                    <w:rPr>
                      <w:rFonts w:hint="eastAsia" w:ascii="宋体" w:hAnsi="宋体" w:cs="宋体"/>
                      <w:b/>
                      <w:bCs/>
                      <w:color w:val="auto"/>
                      <w:spacing w:val="-3"/>
                      <w:sz w:val="24"/>
                    </w:rPr>
                  </w:pPr>
                </w:p>
              </w:tc>
              <w:tc>
                <w:tcPr>
                  <w:tcW w:w="1677" w:type="pct"/>
                  <w:vAlign w:val="center"/>
                </w:tcPr>
                <w:p w14:paraId="135891A6">
                  <w:pPr>
                    <w:spacing w:before="149" w:line="187" w:lineRule="auto"/>
                    <w:jc w:val="center"/>
                    <w:rPr>
                      <w:rFonts w:hint="eastAsia" w:ascii="宋体" w:hAnsi="宋体" w:cs="宋体"/>
                      <w:b/>
                      <w:bCs/>
                      <w:color w:val="auto"/>
                      <w:spacing w:val="-3"/>
                      <w:sz w:val="24"/>
                    </w:rPr>
                  </w:pPr>
                  <w:r>
                    <w:rPr>
                      <w:rFonts w:eastAsia="Times New Roman"/>
                      <w:color w:val="auto"/>
                      <w:spacing w:val="-2"/>
                      <w:szCs w:val="21"/>
                    </w:rPr>
                    <w:t>TVOC</w:t>
                  </w:r>
                </w:p>
              </w:tc>
              <w:tc>
                <w:tcPr>
                  <w:tcW w:w="1914" w:type="pct"/>
                  <w:vAlign w:val="center"/>
                </w:tcPr>
                <w:p w14:paraId="21B1CB51">
                  <w:pPr>
                    <w:spacing w:before="145" w:line="233" w:lineRule="auto"/>
                    <w:jc w:val="center"/>
                    <w:rPr>
                      <w:rFonts w:hint="eastAsia" w:ascii="宋体" w:hAnsi="宋体" w:cs="宋体"/>
                      <w:b/>
                      <w:bCs/>
                      <w:color w:val="auto"/>
                      <w:spacing w:val="-3"/>
                      <w:sz w:val="24"/>
                    </w:rPr>
                  </w:pPr>
                  <w:r>
                    <w:rPr>
                      <w:rFonts w:eastAsia="Times New Roman"/>
                      <w:color w:val="auto"/>
                      <w:spacing w:val="-1"/>
                      <w:szCs w:val="21"/>
                    </w:rPr>
                    <w:t>0.0995</w:t>
                  </w:r>
                </w:p>
              </w:tc>
            </w:tr>
            <w:tr w14:paraId="389A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68157194">
                  <w:pPr>
                    <w:jc w:val="center"/>
                    <w:rPr>
                      <w:rFonts w:hint="eastAsia" w:ascii="宋体" w:hAnsi="宋体" w:cs="宋体"/>
                      <w:b/>
                      <w:bCs/>
                      <w:color w:val="auto"/>
                      <w:spacing w:val="-3"/>
                      <w:sz w:val="24"/>
                    </w:rPr>
                  </w:pPr>
                </w:p>
              </w:tc>
              <w:tc>
                <w:tcPr>
                  <w:tcW w:w="1677" w:type="pct"/>
                  <w:vAlign w:val="center"/>
                </w:tcPr>
                <w:p w14:paraId="3B45701D">
                  <w:pPr>
                    <w:spacing w:before="150" w:line="196" w:lineRule="auto"/>
                    <w:jc w:val="center"/>
                    <w:rPr>
                      <w:rFonts w:hint="eastAsia" w:ascii="宋体" w:hAnsi="宋体" w:cs="宋体"/>
                      <w:b/>
                      <w:bCs/>
                      <w:color w:val="auto"/>
                      <w:spacing w:val="-3"/>
                      <w:sz w:val="24"/>
                    </w:rPr>
                  </w:pPr>
                  <w:r>
                    <w:rPr>
                      <w:rFonts w:eastAsia="Times New Roman"/>
                      <w:color w:val="auto"/>
                      <w:spacing w:val="3"/>
                      <w:szCs w:val="21"/>
                    </w:rPr>
                    <w:t>NO</w:t>
                  </w:r>
                  <w:r>
                    <w:rPr>
                      <w:rFonts w:eastAsia="Times New Roman"/>
                      <w:color w:val="auto"/>
                      <w:spacing w:val="3"/>
                      <w:position w:val="-1"/>
                      <w:sz w:val="13"/>
                      <w:szCs w:val="13"/>
                    </w:rPr>
                    <w:t>X</w:t>
                  </w:r>
                </w:p>
              </w:tc>
              <w:tc>
                <w:tcPr>
                  <w:tcW w:w="1914" w:type="pct"/>
                  <w:vAlign w:val="center"/>
                </w:tcPr>
                <w:p w14:paraId="59B9689E">
                  <w:pPr>
                    <w:spacing w:before="146" w:line="233" w:lineRule="auto"/>
                    <w:jc w:val="center"/>
                    <w:rPr>
                      <w:rFonts w:hint="eastAsia" w:ascii="宋体" w:hAnsi="宋体" w:cs="宋体"/>
                      <w:b/>
                      <w:bCs/>
                      <w:color w:val="auto"/>
                      <w:spacing w:val="-3"/>
                      <w:sz w:val="24"/>
                    </w:rPr>
                  </w:pPr>
                  <w:r>
                    <w:rPr>
                      <w:rFonts w:eastAsia="Times New Roman"/>
                      <w:color w:val="auto"/>
                      <w:spacing w:val="-1"/>
                      <w:szCs w:val="21"/>
                    </w:rPr>
                    <w:t>0.449</w:t>
                  </w:r>
                </w:p>
              </w:tc>
            </w:tr>
            <w:tr w14:paraId="0019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pct"/>
                  <w:vMerge w:val="continue"/>
                  <w:vAlign w:val="center"/>
                </w:tcPr>
                <w:p w14:paraId="409AF35E">
                  <w:pPr>
                    <w:jc w:val="center"/>
                    <w:rPr>
                      <w:rFonts w:hint="eastAsia" w:ascii="宋体" w:hAnsi="宋体" w:cs="宋体"/>
                      <w:b/>
                      <w:bCs/>
                      <w:color w:val="auto"/>
                      <w:spacing w:val="-3"/>
                      <w:sz w:val="24"/>
                    </w:rPr>
                  </w:pPr>
                </w:p>
              </w:tc>
              <w:tc>
                <w:tcPr>
                  <w:tcW w:w="1677" w:type="pct"/>
                  <w:vAlign w:val="center"/>
                </w:tcPr>
                <w:p w14:paraId="68D36948">
                  <w:pPr>
                    <w:spacing w:before="151" w:line="226" w:lineRule="auto"/>
                    <w:jc w:val="center"/>
                    <w:rPr>
                      <w:rFonts w:hint="eastAsia" w:ascii="宋体" w:hAnsi="宋体" w:cs="宋体"/>
                      <w:b/>
                      <w:bCs/>
                      <w:color w:val="auto"/>
                      <w:spacing w:val="-3"/>
                      <w:sz w:val="24"/>
                    </w:rPr>
                  </w:pPr>
                  <w:r>
                    <w:rPr>
                      <w:rFonts w:eastAsia="Times New Roman"/>
                      <w:color w:val="auto"/>
                      <w:spacing w:val="-2"/>
                      <w:szCs w:val="21"/>
                    </w:rPr>
                    <w:t>SO</w:t>
                  </w:r>
                  <w:r>
                    <w:rPr>
                      <w:rFonts w:eastAsia="Times New Roman"/>
                      <w:color w:val="auto"/>
                      <w:spacing w:val="-2"/>
                      <w:position w:val="-1"/>
                      <w:sz w:val="13"/>
                      <w:szCs w:val="13"/>
                    </w:rPr>
                    <w:t>2</w:t>
                  </w:r>
                </w:p>
              </w:tc>
              <w:tc>
                <w:tcPr>
                  <w:tcW w:w="1914" w:type="pct"/>
                  <w:vAlign w:val="center"/>
                </w:tcPr>
                <w:p w14:paraId="6E0A64A2">
                  <w:pPr>
                    <w:spacing w:before="148" w:line="233" w:lineRule="auto"/>
                    <w:jc w:val="center"/>
                    <w:rPr>
                      <w:rFonts w:hint="eastAsia" w:ascii="宋体" w:hAnsi="宋体" w:cs="宋体"/>
                      <w:b/>
                      <w:bCs/>
                      <w:color w:val="auto"/>
                      <w:spacing w:val="-3"/>
                      <w:sz w:val="24"/>
                    </w:rPr>
                  </w:pPr>
                  <w:r>
                    <w:rPr>
                      <w:rFonts w:eastAsia="Times New Roman"/>
                      <w:color w:val="auto"/>
                      <w:spacing w:val="-1"/>
                      <w:szCs w:val="21"/>
                    </w:rPr>
                    <w:t>0.048</w:t>
                  </w:r>
                </w:p>
              </w:tc>
            </w:tr>
          </w:tbl>
          <w:p w14:paraId="2A99AEA9">
            <w:pPr>
              <w:spacing w:before="158" w:line="229" w:lineRule="auto"/>
              <w:jc w:val="center"/>
              <w:rPr>
                <w:rFonts w:hint="eastAsia" w:ascii="宋体" w:hAnsi="宋体" w:cs="宋体"/>
                <w:b/>
                <w:bCs/>
                <w:color w:val="auto"/>
                <w:spacing w:val="-3"/>
                <w:sz w:val="24"/>
              </w:rPr>
            </w:pPr>
          </w:p>
          <w:p w14:paraId="1C942227">
            <w:pPr>
              <w:spacing w:line="89" w:lineRule="auto"/>
              <w:rPr>
                <w:rFonts w:ascii="Arial"/>
                <w:color w:val="auto"/>
                <w:sz w:val="2"/>
              </w:rPr>
            </w:pPr>
          </w:p>
          <w:p w14:paraId="33D4E821">
            <w:pPr>
              <w:adjustRightInd w:val="0"/>
              <w:snapToGrid w:val="0"/>
              <w:spacing w:line="360" w:lineRule="auto"/>
              <w:ind w:firstLine="480" w:firstLineChars="200"/>
              <w:jc w:val="left"/>
              <w:rPr>
                <w:color w:val="auto"/>
                <w:sz w:val="24"/>
              </w:rPr>
            </w:pPr>
            <w:r>
              <w:rPr>
                <w:rFonts w:hint="eastAsia"/>
                <w:color w:val="auto"/>
                <w:sz w:val="24"/>
              </w:rPr>
              <w:t>本项目污染物总排放量如下：</w:t>
            </w:r>
          </w:p>
          <w:p w14:paraId="43518FD5">
            <w:pPr>
              <w:adjustRightInd w:val="0"/>
              <w:snapToGrid w:val="0"/>
              <w:spacing w:line="360" w:lineRule="auto"/>
              <w:ind w:firstLine="480" w:firstLineChars="200"/>
              <w:jc w:val="left"/>
              <w:rPr>
                <w:color w:val="auto"/>
                <w:sz w:val="24"/>
              </w:rPr>
            </w:pPr>
            <w:r>
              <w:rPr>
                <w:color w:val="auto"/>
                <w:sz w:val="24"/>
              </w:rPr>
              <w:t>废气：本项目有组织废气排放指标主要为HCl0t/a、烟（粉）尘0.4587t/a、TVOC0.0995t/a、SO20.048t/a、NOx0.449t/a。其中烟（粉）尘、TVOC、SO2、NOx作为总量控制因子，在涟水县范围内平衡，HCl作为考核因子，在涟水县环保局备案。</w:t>
            </w:r>
          </w:p>
          <w:p w14:paraId="798498A1">
            <w:pPr>
              <w:adjustRightInd w:val="0"/>
              <w:snapToGrid w:val="0"/>
              <w:spacing w:line="360" w:lineRule="auto"/>
              <w:ind w:firstLine="480" w:firstLineChars="200"/>
              <w:jc w:val="left"/>
              <w:rPr>
                <w:color w:val="auto"/>
                <w:sz w:val="24"/>
              </w:rPr>
            </w:pPr>
            <w:r>
              <w:rPr>
                <w:color w:val="auto"/>
                <w:sz w:val="24"/>
              </w:rPr>
              <w:t>废水：本项目污水总接管量3210t/a，污染物接管总量COD0.8977t/a，SS0.4169t/a，氨氮 0.043t/a，TP0.0056t/a、石油类0.0156t/a、LAS0.0094t/a、氟化物0.0029t/a。废水排入涟水县经济开发区西区污水处理厂。</w:t>
            </w:r>
          </w:p>
          <w:p w14:paraId="5C62276B">
            <w:pPr>
              <w:adjustRightInd w:val="0"/>
              <w:snapToGrid w:val="0"/>
              <w:spacing w:line="360" w:lineRule="auto"/>
              <w:ind w:firstLine="480" w:firstLineChars="200"/>
              <w:jc w:val="left"/>
              <w:rPr>
                <w:color w:val="auto"/>
                <w:sz w:val="24"/>
              </w:rPr>
            </w:pPr>
            <w:r>
              <w:rPr>
                <w:color w:val="auto"/>
                <w:sz w:val="24"/>
              </w:rPr>
              <w:t>固废：本项目产生的固废全部合理处置处理。</w:t>
            </w:r>
          </w:p>
          <w:p w14:paraId="1AC1815A">
            <w:pPr>
              <w:adjustRightInd w:val="0"/>
              <w:snapToGrid w:val="0"/>
              <w:spacing w:line="360" w:lineRule="auto"/>
              <w:ind w:firstLine="482" w:firstLineChars="200"/>
              <w:jc w:val="left"/>
              <w:rPr>
                <w:color w:val="auto"/>
                <w:sz w:val="24"/>
              </w:rPr>
            </w:pPr>
            <w:r>
              <w:rPr>
                <w:rFonts w:hint="eastAsia" w:ascii="宋体" w:hAnsi="宋体"/>
                <w:b/>
                <w:bCs/>
                <w:color w:val="auto"/>
                <w:sz w:val="24"/>
              </w:rPr>
              <w:t>八、现有厂区存在问题及本次项目采取措施</w:t>
            </w:r>
          </w:p>
          <w:p w14:paraId="796EE399">
            <w:pPr>
              <w:adjustRightInd w:val="0"/>
              <w:snapToGrid w:val="0"/>
              <w:spacing w:line="360" w:lineRule="auto"/>
              <w:ind w:firstLine="480" w:firstLineChars="200"/>
              <w:jc w:val="left"/>
              <w:rPr>
                <w:color w:val="auto"/>
                <w:sz w:val="24"/>
              </w:rPr>
            </w:pPr>
            <w:r>
              <w:rPr>
                <w:rFonts w:hint="eastAsia"/>
                <w:color w:val="auto"/>
                <w:sz w:val="24"/>
              </w:rPr>
              <w:t>本次项目在借鉴现有项目实际运行经验的基础上，已在设计初期系统</w:t>
            </w:r>
            <w:r>
              <w:rPr>
                <w:rFonts w:hint="eastAsia"/>
                <w:color w:val="auto"/>
                <w:sz w:val="24"/>
                <w:lang w:eastAsia="zh-CN"/>
              </w:rPr>
              <w:t>完成</w:t>
            </w:r>
            <w:r>
              <w:rPr>
                <w:rFonts w:hint="eastAsia"/>
                <w:color w:val="auto"/>
                <w:sz w:val="24"/>
              </w:rPr>
              <w:t>了本次工程建设内容，主要措施如下</w:t>
            </w:r>
            <w:r>
              <w:rPr>
                <w:rFonts w:hint="eastAsia"/>
                <w:color w:val="auto"/>
                <w:sz w:val="24"/>
                <w:lang w:eastAsia="zh-CN"/>
              </w:rPr>
              <w:t>：</w:t>
            </w:r>
          </w:p>
          <w:p w14:paraId="023661D2">
            <w:pPr>
              <w:numPr>
                <w:ilvl w:val="0"/>
                <w:numId w:val="103"/>
              </w:numPr>
              <w:adjustRightInd w:val="0"/>
              <w:snapToGrid w:val="0"/>
              <w:spacing w:line="360" w:lineRule="auto"/>
              <w:ind w:firstLine="480" w:firstLineChars="200"/>
              <w:jc w:val="left"/>
              <w:rPr>
                <w:color w:val="auto"/>
                <w:sz w:val="24"/>
              </w:rPr>
            </w:pPr>
            <w:r>
              <w:rPr>
                <w:rFonts w:hint="eastAsia"/>
                <w:color w:val="auto"/>
                <w:sz w:val="24"/>
              </w:rPr>
              <w:t>项目设置足够面积的危废仓库，面积约为</w:t>
            </w:r>
            <w:r>
              <w:rPr>
                <w:rFonts w:hint="eastAsia"/>
                <w:color w:val="auto"/>
                <w:sz w:val="24"/>
                <w:lang w:val="en-US" w:eastAsia="zh-CN"/>
              </w:rPr>
              <w:t>32.3</w:t>
            </w:r>
            <w:r>
              <w:rPr>
                <w:rFonts w:hint="eastAsia"/>
                <w:color w:val="auto"/>
                <w:sz w:val="24"/>
              </w:rPr>
              <w:t>m</w:t>
            </w:r>
            <w:r>
              <w:rPr>
                <w:rFonts w:hint="eastAsia"/>
                <w:color w:val="auto"/>
                <w:sz w:val="24"/>
                <w:vertAlign w:val="superscript"/>
              </w:rPr>
              <w:t>2</w:t>
            </w:r>
            <w:r>
              <w:rPr>
                <w:rFonts w:hint="eastAsia"/>
                <w:color w:val="auto"/>
                <w:sz w:val="24"/>
              </w:rPr>
              <w:t>；</w:t>
            </w:r>
          </w:p>
          <w:p w14:paraId="01DE7BEE">
            <w:pPr>
              <w:numPr>
                <w:ilvl w:val="0"/>
                <w:numId w:val="103"/>
              </w:numPr>
              <w:adjustRightInd w:val="0"/>
              <w:snapToGrid w:val="0"/>
              <w:spacing w:line="360" w:lineRule="auto"/>
              <w:ind w:firstLine="480" w:firstLineChars="200"/>
              <w:jc w:val="left"/>
              <w:rPr>
                <w:color w:val="auto"/>
                <w:sz w:val="24"/>
              </w:rPr>
            </w:pPr>
            <w:r>
              <w:rPr>
                <w:rFonts w:hint="eastAsia"/>
                <w:color w:val="auto"/>
                <w:sz w:val="24"/>
              </w:rPr>
              <w:t>本次环评根据柯德现有厂区实际运行情况，合理估算项目废气、废水及固废产生及排放情况。</w:t>
            </w:r>
          </w:p>
          <w:p w14:paraId="49E2E6A4">
            <w:pPr>
              <w:adjustRightInd w:val="0"/>
              <w:snapToGrid w:val="0"/>
              <w:spacing w:line="360" w:lineRule="auto"/>
              <w:ind w:firstLine="480" w:firstLineChars="200"/>
              <w:jc w:val="left"/>
              <w:rPr>
                <w:color w:val="auto"/>
              </w:rPr>
            </w:pPr>
            <w:r>
              <w:rPr>
                <w:rFonts w:hint="eastAsia"/>
                <w:color w:val="auto"/>
                <w:sz w:val="24"/>
                <w:lang w:eastAsia="zh-CN"/>
              </w:rPr>
              <w:t>（</w:t>
            </w:r>
            <w:r>
              <w:rPr>
                <w:rFonts w:hint="eastAsia"/>
                <w:color w:val="auto"/>
                <w:sz w:val="24"/>
              </w:rPr>
              <w:t>3</w:t>
            </w:r>
            <w:r>
              <w:rPr>
                <w:rFonts w:hint="eastAsia"/>
                <w:color w:val="auto"/>
                <w:sz w:val="24"/>
                <w:lang w:eastAsia="zh-CN"/>
              </w:rPr>
              <w:t>）</w:t>
            </w:r>
            <w:r>
              <w:rPr>
                <w:rFonts w:hint="eastAsia"/>
                <w:color w:val="auto"/>
                <w:sz w:val="24"/>
              </w:rPr>
              <w:t>企业制定了工作制度及培训方案，定期组织员工环保培训。</w:t>
            </w:r>
          </w:p>
        </w:tc>
      </w:tr>
    </w:tbl>
    <w:p w14:paraId="29CAD7DE">
      <w:pPr>
        <w:adjustRightInd w:val="0"/>
        <w:snapToGrid w:val="0"/>
        <w:spacing w:line="360" w:lineRule="auto"/>
        <w:rPr>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0E123C44">
      <w:pPr>
        <w:pStyle w:val="84"/>
        <w:jc w:val="center"/>
        <w:outlineLvl w:val="0"/>
        <w:rPr>
          <w:rFonts w:ascii="Times New Roman" w:hAnsi="Times New Roman"/>
          <w:snapToGrid w:val="0"/>
          <w:color w:val="auto"/>
          <w:sz w:val="30"/>
          <w:szCs w:val="30"/>
        </w:rPr>
      </w:pPr>
      <w:bookmarkStart w:id="6" w:name="_Toc116313304"/>
      <w:r>
        <w:rPr>
          <w:rFonts w:ascii="Times New Roman" w:hAnsi="Times New Roman"/>
          <w:snapToGrid w:val="0"/>
          <w:color w:val="auto"/>
          <w:sz w:val="30"/>
          <w:szCs w:val="30"/>
        </w:rPr>
        <w:t>三、区域环境质量现状、环境保护目标及评价标准</w:t>
      </w:r>
      <w:bookmarkEnd w:id="6"/>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27"/>
      </w:tblGrid>
      <w:tr w14:paraId="09E84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995" w:hRule="atLeast"/>
          <w:jc w:val="center"/>
        </w:trPr>
        <w:tc>
          <w:tcPr>
            <w:tcW w:w="534" w:type="dxa"/>
            <w:vAlign w:val="center"/>
          </w:tcPr>
          <w:p w14:paraId="46746BF1">
            <w:pPr>
              <w:adjustRightInd w:val="0"/>
              <w:snapToGrid w:val="0"/>
              <w:jc w:val="center"/>
              <w:rPr>
                <w:color w:val="auto"/>
              </w:rPr>
            </w:pPr>
            <w:r>
              <w:rPr>
                <w:color w:val="auto"/>
                <w:kern w:val="0"/>
                <w:sz w:val="24"/>
              </w:rPr>
              <w:t>区域环境质量现状</w:t>
            </w:r>
          </w:p>
        </w:tc>
        <w:tc>
          <w:tcPr>
            <w:tcW w:w="8527" w:type="dxa"/>
          </w:tcPr>
          <w:p w14:paraId="7DF57BFA">
            <w:pPr>
              <w:adjustRightInd w:val="0"/>
              <w:snapToGrid w:val="0"/>
              <w:spacing w:line="360" w:lineRule="auto"/>
              <w:ind w:firstLine="482" w:firstLineChars="200"/>
              <w:rPr>
                <w:b/>
                <w:color w:val="auto"/>
                <w:sz w:val="24"/>
              </w:rPr>
            </w:pPr>
            <w:r>
              <w:rPr>
                <w:rFonts w:hint="eastAsia"/>
                <w:b/>
                <w:color w:val="auto"/>
                <w:sz w:val="24"/>
              </w:rPr>
              <w:t>一</w:t>
            </w:r>
            <w:r>
              <w:rPr>
                <w:b/>
                <w:color w:val="auto"/>
                <w:sz w:val="24"/>
              </w:rPr>
              <w:t>、区域环境质量现状</w:t>
            </w:r>
          </w:p>
          <w:p w14:paraId="6D3BF1F4">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大气环境质量现状</w:t>
            </w:r>
          </w:p>
          <w:p w14:paraId="6C0ADD3D">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环境空气质量达标区判定</w:t>
            </w:r>
          </w:p>
          <w:p w14:paraId="4E32A76F">
            <w:pPr>
              <w:adjustRightInd w:val="0"/>
              <w:snapToGrid w:val="0"/>
              <w:spacing w:line="360" w:lineRule="auto"/>
              <w:ind w:firstLine="480" w:firstLineChars="200"/>
              <w:rPr>
                <w:color w:val="auto"/>
                <w:sz w:val="24"/>
              </w:rPr>
            </w:pPr>
            <w:r>
              <w:rPr>
                <w:color w:val="auto"/>
                <w:sz w:val="24"/>
              </w:rPr>
              <w:t>本项目所在区域为环境空气二类功能区，执行《环境空气质量标准》（GB3095-2012）及其修改单中二级标准。</w:t>
            </w:r>
          </w:p>
          <w:p w14:paraId="7FB9E506">
            <w:pPr>
              <w:adjustRightInd w:val="0"/>
              <w:snapToGrid w:val="0"/>
              <w:spacing w:line="360" w:lineRule="auto"/>
              <w:ind w:firstLine="480" w:firstLineChars="200"/>
              <w:rPr>
                <w:color w:val="auto"/>
                <w:sz w:val="24"/>
              </w:rPr>
            </w:pPr>
            <w:r>
              <w:rPr>
                <w:color w:val="auto"/>
                <w:sz w:val="24"/>
              </w:rPr>
              <w:t>本次区域达标判定优先采用淮安市生态环境局公开发布的《202</w:t>
            </w:r>
            <w:r>
              <w:rPr>
                <w:rFonts w:hint="eastAsia"/>
                <w:color w:val="auto"/>
                <w:sz w:val="24"/>
              </w:rPr>
              <w:t>3</w:t>
            </w:r>
            <w:r>
              <w:rPr>
                <w:color w:val="auto"/>
                <w:sz w:val="24"/>
              </w:rPr>
              <w:t>年淮安市生态环境状况公报》中的数据及结论：202</w:t>
            </w:r>
            <w:r>
              <w:rPr>
                <w:rFonts w:hint="eastAsia"/>
                <w:color w:val="auto"/>
                <w:sz w:val="24"/>
              </w:rPr>
              <w:t>3</w:t>
            </w:r>
            <w:r>
              <w:rPr>
                <w:color w:val="auto"/>
                <w:sz w:val="24"/>
              </w:rPr>
              <w:t>年全市环境空气质量持续改善。全市环境空气优良天数达29</w:t>
            </w:r>
            <w:r>
              <w:rPr>
                <w:rFonts w:hint="eastAsia"/>
                <w:color w:val="auto"/>
                <w:sz w:val="24"/>
              </w:rPr>
              <w:t>0</w:t>
            </w:r>
            <w:r>
              <w:rPr>
                <w:color w:val="auto"/>
                <w:sz w:val="24"/>
              </w:rPr>
              <w:t>天，优良率为81.</w:t>
            </w:r>
            <w:r>
              <w:rPr>
                <w:rFonts w:hint="eastAsia"/>
                <w:color w:val="auto"/>
                <w:sz w:val="24"/>
              </w:rPr>
              <w:t>3</w:t>
            </w:r>
            <w:r>
              <w:rPr>
                <w:color w:val="auto"/>
                <w:sz w:val="24"/>
              </w:rPr>
              <w:t>%，较202</w:t>
            </w:r>
            <w:r>
              <w:rPr>
                <w:rFonts w:hint="eastAsia"/>
                <w:color w:val="auto"/>
                <w:sz w:val="24"/>
              </w:rPr>
              <w:t>2</w:t>
            </w:r>
            <w:r>
              <w:rPr>
                <w:color w:val="auto"/>
                <w:sz w:val="24"/>
              </w:rPr>
              <w:t>年优良天数增加</w:t>
            </w:r>
            <w:r>
              <w:rPr>
                <w:rFonts w:hint="eastAsia"/>
                <w:color w:val="auto"/>
                <w:sz w:val="24"/>
              </w:rPr>
              <w:t>22</w:t>
            </w:r>
            <w:r>
              <w:rPr>
                <w:color w:val="auto"/>
                <w:sz w:val="24"/>
              </w:rPr>
              <w:t>天。全市细颗粒物（PM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）浓度年均浓度分别为36微克/立方米、58微克/立方米、8微克/立方米、25微克/立方米、1.0毫克/立方米、158微克/立方米。与2022年相比，O</w:t>
            </w:r>
            <w:r>
              <w:rPr>
                <w:color w:val="auto"/>
                <w:sz w:val="24"/>
                <w:vertAlign w:val="subscript"/>
              </w:rPr>
              <w:t>3</w:t>
            </w:r>
            <w:r>
              <w:rPr>
                <w:color w:val="auto"/>
                <w:sz w:val="24"/>
              </w:rPr>
              <w:t>污染有所改善，O</w:t>
            </w:r>
            <w:r>
              <w:rPr>
                <w:color w:val="auto"/>
                <w:sz w:val="24"/>
                <w:vertAlign w:val="subscript"/>
              </w:rPr>
              <w:t>3</w:t>
            </w:r>
            <w:r>
              <w:rPr>
                <w:color w:val="auto"/>
                <w:sz w:val="24"/>
              </w:rPr>
              <w:t>为首要污染物的超标天减少3天，PM</w:t>
            </w:r>
            <w:r>
              <w:rPr>
                <w:color w:val="auto"/>
                <w:sz w:val="24"/>
                <w:vertAlign w:val="subscript"/>
              </w:rPr>
              <w:t>2.5</w:t>
            </w:r>
            <w:r>
              <w:rPr>
                <w:color w:val="auto"/>
                <w:sz w:val="24"/>
              </w:rPr>
              <w:t>浓度有所反弹，PM</w:t>
            </w:r>
            <w:r>
              <w:rPr>
                <w:color w:val="auto"/>
                <w:sz w:val="24"/>
                <w:vertAlign w:val="subscript"/>
              </w:rPr>
              <w:t>2.5</w:t>
            </w:r>
            <w:r>
              <w:rPr>
                <w:color w:val="auto"/>
                <w:sz w:val="24"/>
              </w:rPr>
              <w:t>为首要污染物的超标天增加7天。PM</w:t>
            </w:r>
            <w:r>
              <w:rPr>
                <w:color w:val="auto"/>
                <w:sz w:val="24"/>
                <w:vertAlign w:val="subscript"/>
              </w:rPr>
              <w:t>10</w:t>
            </w:r>
            <w:r>
              <w:rPr>
                <w:color w:val="auto"/>
                <w:sz w:val="24"/>
              </w:rPr>
              <w:t>、SO</w:t>
            </w:r>
            <w:r>
              <w:rPr>
                <w:color w:val="auto"/>
                <w:sz w:val="24"/>
                <w:vertAlign w:val="subscript"/>
              </w:rPr>
              <w:t>2</w:t>
            </w:r>
            <w:r>
              <w:rPr>
                <w:color w:val="auto"/>
                <w:sz w:val="24"/>
              </w:rPr>
              <w:t>、O</w:t>
            </w:r>
            <w:r>
              <w:rPr>
                <w:color w:val="auto"/>
                <w:sz w:val="24"/>
                <w:vertAlign w:val="subscript"/>
              </w:rPr>
              <w:t>3</w:t>
            </w:r>
            <w:r>
              <w:rPr>
                <w:color w:val="auto"/>
                <w:sz w:val="24"/>
              </w:rPr>
              <w:t>降幅分别为3.3%、11.1%、0.6%。</w:t>
            </w:r>
            <w:r>
              <w:rPr>
                <w:rFonts w:hint="eastAsia"/>
                <w:color w:val="auto"/>
                <w:sz w:val="24"/>
              </w:rPr>
              <w:t>可吸入颗粒物（PM10）、二氧化硫（SO</w:t>
            </w:r>
            <w:r>
              <w:rPr>
                <w:rFonts w:hint="eastAsia"/>
                <w:color w:val="auto"/>
                <w:sz w:val="24"/>
                <w:vertAlign w:val="subscript"/>
              </w:rPr>
              <w:t>2</w:t>
            </w:r>
            <w:r>
              <w:rPr>
                <w:rFonts w:hint="eastAsia"/>
                <w:color w:val="auto"/>
                <w:sz w:val="24"/>
              </w:rPr>
              <w:t>）、二氧化氮（NO</w:t>
            </w:r>
            <w:r>
              <w:rPr>
                <w:rFonts w:hint="eastAsia"/>
                <w:color w:val="auto"/>
                <w:sz w:val="24"/>
                <w:vertAlign w:val="subscript"/>
              </w:rPr>
              <w:t>2</w:t>
            </w:r>
            <w:r>
              <w:rPr>
                <w:rFonts w:hint="eastAsia"/>
                <w:color w:val="auto"/>
                <w:sz w:val="24"/>
              </w:rPr>
              <w:t>）、一氧化碳（CO）和臭氧（O</w:t>
            </w:r>
            <w:r>
              <w:rPr>
                <w:rFonts w:hint="eastAsia"/>
                <w:color w:val="auto"/>
                <w:sz w:val="24"/>
                <w:vertAlign w:val="subscript"/>
              </w:rPr>
              <w:t>3</w:t>
            </w:r>
            <w:r>
              <w:rPr>
                <w:rFonts w:hint="eastAsia"/>
                <w:color w:val="auto"/>
                <w:sz w:val="24"/>
              </w:rPr>
              <w:t>）污染物浓度达到国家二级标准。PM</w:t>
            </w:r>
            <w:r>
              <w:rPr>
                <w:rFonts w:hint="eastAsia"/>
                <w:color w:val="auto"/>
                <w:sz w:val="24"/>
                <w:vertAlign w:val="subscript"/>
              </w:rPr>
              <w:t>2.5</w:t>
            </w:r>
            <w:r>
              <w:rPr>
                <w:rFonts w:hint="eastAsia"/>
                <w:color w:val="auto"/>
                <w:sz w:val="24"/>
              </w:rPr>
              <w:t>浓度在36微克/立方米，未达到国家二级标准，故建设项目所在地为不达标区</w:t>
            </w:r>
            <w:r>
              <w:rPr>
                <w:color w:val="auto"/>
                <w:sz w:val="24"/>
              </w:rPr>
              <w:t>。</w:t>
            </w:r>
          </w:p>
          <w:p w14:paraId="788515CC">
            <w:pPr>
              <w:adjustRightInd w:val="0"/>
              <w:snapToGrid w:val="0"/>
              <w:spacing w:line="360" w:lineRule="auto"/>
              <w:ind w:firstLine="482" w:firstLineChars="200"/>
              <w:rPr>
                <w:color w:val="auto"/>
                <w:sz w:val="24"/>
              </w:rPr>
            </w:pPr>
            <w:r>
              <w:rPr>
                <w:rFonts w:hint="eastAsia"/>
                <w:b/>
                <w:color w:val="auto"/>
                <w:sz w:val="24"/>
                <w:lang w:eastAsia="zh-CN"/>
              </w:rPr>
              <w:t>(2)</w:t>
            </w:r>
            <w:r>
              <w:rPr>
                <w:rFonts w:hint="eastAsia"/>
                <w:b/>
                <w:color w:val="auto"/>
                <w:sz w:val="24"/>
              </w:rPr>
              <w:t>各污染物环境质量现状评价</w:t>
            </w:r>
          </w:p>
          <w:p w14:paraId="630B6B1C">
            <w:pPr>
              <w:adjustRightInd w:val="0"/>
              <w:snapToGrid w:val="0"/>
              <w:spacing w:line="360" w:lineRule="auto"/>
              <w:ind w:firstLine="480" w:firstLineChars="200"/>
              <w:jc w:val="left"/>
              <w:rPr>
                <w:bCs/>
                <w:color w:val="auto"/>
                <w:sz w:val="24"/>
              </w:rPr>
            </w:pPr>
            <w:r>
              <w:rPr>
                <w:rFonts w:hint="eastAsia"/>
                <w:bCs/>
                <w:color w:val="auto"/>
                <w:sz w:val="24"/>
              </w:rPr>
              <w:t>根据生态环境部环境工程评估中心关于《建设项目环境影响报告表》内容、格式及编制技术指南常见问题解答，“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w:t>
            </w:r>
            <w:r>
              <w:rPr>
                <w:rFonts w:hint="eastAsia"/>
                <w:bCs/>
                <w:color w:val="auto"/>
                <w:sz w:val="24"/>
                <w:lang w:eastAsia="zh-CN"/>
              </w:rPr>
              <w:t>要</w:t>
            </w:r>
            <w:r>
              <w:rPr>
                <w:rFonts w:hint="eastAsia"/>
                <w:bCs/>
                <w:color w:val="auto"/>
                <w:sz w:val="24"/>
              </w:rPr>
              <w:t>建设项目》（HJ611-2011）、《大气污染物综合排放标准详解》等导则或参考资料。排放的特征污染物需要在国家、地方环境空气质量标准中有限值要求才涉及现状监测，且优先引用现有监测数据。”</w:t>
            </w:r>
          </w:p>
          <w:p w14:paraId="7D48596C">
            <w:pPr>
              <w:adjustRightInd w:val="0"/>
              <w:snapToGrid w:val="0"/>
              <w:spacing w:line="360" w:lineRule="auto"/>
              <w:ind w:firstLine="480" w:firstLineChars="200"/>
              <w:rPr>
                <w:color w:val="auto"/>
                <w:sz w:val="24"/>
              </w:rPr>
            </w:pPr>
            <w:r>
              <w:rPr>
                <w:rFonts w:hint="eastAsia"/>
                <w:bCs/>
                <w:color w:val="auto"/>
                <w:sz w:val="24"/>
              </w:rPr>
              <w:t>项目涉及的废气特征污染物主要为NMHC，国家、地方环境质量标准中均无相关限值要求，因此，无需进行现状检测。</w:t>
            </w:r>
          </w:p>
          <w:p w14:paraId="0AF5EDFD">
            <w:pPr>
              <w:adjustRightInd w:val="0"/>
              <w:snapToGrid w:val="0"/>
              <w:spacing w:line="360" w:lineRule="auto"/>
              <w:ind w:firstLine="482" w:firstLineChars="200"/>
              <w:rPr>
                <w:b/>
                <w:color w:val="auto"/>
                <w:sz w:val="24"/>
              </w:rPr>
            </w:pPr>
            <w:r>
              <w:rPr>
                <w:b/>
                <w:color w:val="auto"/>
                <w:sz w:val="24"/>
              </w:rPr>
              <w:t>2、地表水环境质量现状</w:t>
            </w:r>
          </w:p>
          <w:p w14:paraId="6BA7BC77">
            <w:pPr>
              <w:adjustRightInd w:val="0"/>
              <w:snapToGrid w:val="0"/>
              <w:spacing w:line="360" w:lineRule="auto"/>
              <w:ind w:firstLine="480" w:firstLineChars="200"/>
              <w:rPr>
                <w:color w:val="auto"/>
                <w:sz w:val="24"/>
              </w:rPr>
            </w:pPr>
            <w:r>
              <w:rPr>
                <w:color w:val="auto"/>
                <w:sz w:val="24"/>
              </w:rPr>
              <w:t>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color w:val="auto"/>
                <w:sz w:val="24"/>
                <w:lang w:eastAsia="zh-CN"/>
              </w:rPr>
              <w:t>（</w:t>
            </w:r>
            <w:r>
              <w:rPr>
                <w:color w:val="auto"/>
                <w:sz w:val="24"/>
              </w:rPr>
              <w:t>Ⅱ类断面4个</w:t>
            </w:r>
            <w:r>
              <w:rPr>
                <w:rFonts w:hint="eastAsia"/>
                <w:color w:val="auto"/>
                <w:sz w:val="24"/>
                <w:lang w:eastAsia="zh-CN"/>
              </w:rPr>
              <w:t>）</w:t>
            </w:r>
            <w:r>
              <w:rPr>
                <w:color w:val="auto"/>
                <w:sz w:val="24"/>
              </w:rPr>
              <w:t>，优Ⅲ比例81.8%，达标率100%，无V类和劣V类断面。纳入江苏省“十四五”水环境质量目标考核的57个断面中水质达到或好于</w:t>
            </w:r>
            <w:r>
              <w:rPr>
                <w:rFonts w:hint="eastAsia"/>
                <w:color w:val="auto"/>
                <w:sz w:val="24"/>
                <w:lang w:eastAsia="zh-CN"/>
              </w:rPr>
              <w:t>Ⅲ</w:t>
            </w:r>
            <w:r>
              <w:rPr>
                <w:color w:val="auto"/>
                <w:sz w:val="24"/>
              </w:rPr>
              <w:t>类标准的断面有53个，优Ⅲ比例93%，达标率100%，无V类和劣V类断面。</w:t>
            </w:r>
          </w:p>
          <w:p w14:paraId="2534C531">
            <w:pPr>
              <w:adjustRightInd w:val="0"/>
              <w:snapToGrid w:val="0"/>
              <w:spacing w:line="360" w:lineRule="auto"/>
              <w:ind w:firstLine="480" w:firstLineChars="200"/>
              <w:rPr>
                <w:color w:val="auto"/>
                <w:sz w:val="24"/>
              </w:rPr>
            </w:pPr>
            <w:r>
              <w:rPr>
                <w:color w:val="auto"/>
                <w:sz w:val="24"/>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color w:val="auto"/>
                <w:sz w:val="24"/>
                <w:lang w:eastAsia="zh-CN"/>
              </w:rPr>
              <w:t>－</w:t>
            </w:r>
            <w:r>
              <w:rPr>
                <w:color w:val="auto"/>
                <w:sz w:val="24"/>
              </w:rPr>
              <w:t>新河、周桥灌区总干渠一帆河、铜龙河、池河水质状况为良好；入海水道北偏泓、赵公河、公兴河水质状况为轻度污染。</w:t>
            </w:r>
          </w:p>
          <w:p w14:paraId="3FCE1616">
            <w:pPr>
              <w:adjustRightInd w:val="0"/>
              <w:snapToGrid w:val="0"/>
              <w:spacing w:line="360" w:lineRule="auto"/>
              <w:ind w:firstLine="480" w:firstLineChars="200"/>
              <w:rPr>
                <w:color w:val="auto"/>
                <w:sz w:val="24"/>
              </w:rPr>
            </w:pPr>
            <w:r>
              <w:rPr>
                <w:rFonts w:hint="eastAsia"/>
                <w:color w:val="auto"/>
                <w:sz w:val="24"/>
              </w:rPr>
              <w:t>本项目污水受纳水体为盐河，根据上文</w:t>
            </w:r>
            <w:r>
              <w:rPr>
                <w:color w:val="auto"/>
                <w:sz w:val="24"/>
              </w:rPr>
              <w:t>《2023年淮安市生态环境状况公报》</w:t>
            </w:r>
            <w:r>
              <w:rPr>
                <w:rFonts w:hint="eastAsia"/>
                <w:bCs/>
                <w:color w:val="auto"/>
                <w:sz w:val="24"/>
              </w:rPr>
              <w:t>“盐河总体水质处于良好状态”，则盐河水质能够满足《地表水环境质量标准》（GB3838-2002）Ⅲ类水质标准，水质状况良好。</w:t>
            </w:r>
          </w:p>
          <w:p w14:paraId="2C266E48">
            <w:pPr>
              <w:adjustRightInd w:val="0"/>
              <w:snapToGrid w:val="0"/>
              <w:spacing w:line="360" w:lineRule="auto"/>
              <w:ind w:firstLine="482" w:firstLineChars="200"/>
              <w:rPr>
                <w:b/>
                <w:color w:val="auto"/>
                <w:sz w:val="24"/>
              </w:rPr>
            </w:pPr>
            <w:r>
              <w:rPr>
                <w:rFonts w:hint="eastAsia"/>
                <w:b/>
                <w:color w:val="auto"/>
                <w:sz w:val="24"/>
                <w:lang w:eastAsia="zh-CN"/>
              </w:rPr>
              <w:t>3.</w:t>
            </w:r>
            <w:r>
              <w:rPr>
                <w:b/>
                <w:color w:val="auto"/>
                <w:sz w:val="24"/>
              </w:rPr>
              <w:t>声环境质量现状</w:t>
            </w:r>
          </w:p>
          <w:p w14:paraId="50D5AF4F">
            <w:pPr>
              <w:adjustRightInd w:val="0"/>
              <w:snapToGrid w:val="0"/>
              <w:spacing w:line="360" w:lineRule="auto"/>
              <w:ind w:firstLine="480" w:firstLineChars="200"/>
              <w:rPr>
                <w:color w:val="auto"/>
                <w:sz w:val="24"/>
              </w:rPr>
            </w:pPr>
            <w:r>
              <w:rPr>
                <w:rFonts w:hint="eastAsia" w:hAnsi="宋体"/>
                <w:color w:val="auto"/>
                <w:sz w:val="24"/>
              </w:rPr>
              <w:t>根据《2023 年淮安市生态环境状况公报》显示，2023年，淮安市声环境总体较好，全市各功能区昼夜噪声均达标。全市区域环境昼间噪声均值为55.1dB（A），夜间均值为45.3dB（A），同比均有所改善；全市昼间交通噪声均值为 65.4dB（A），夜间交通噪声均值为55.4dB（A），均保持稳定，处于“好”水平。厂界外周边50 米范围内不涉及声环境敏感保护目标。</w:t>
            </w:r>
          </w:p>
          <w:p w14:paraId="68F285DA">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土壤、地下水</w:t>
            </w:r>
          </w:p>
          <w:p w14:paraId="706C4298">
            <w:pPr>
              <w:adjustRightInd w:val="0"/>
              <w:snapToGrid w:val="0"/>
              <w:spacing w:line="360" w:lineRule="auto"/>
              <w:ind w:firstLine="480" w:firstLineChars="200"/>
              <w:rPr>
                <w:color w:val="auto"/>
                <w:sz w:val="24"/>
              </w:rPr>
            </w:pPr>
            <w:r>
              <w:rPr>
                <w:color w:val="auto"/>
                <w:sz w:val="24"/>
              </w:rPr>
              <w:t>本项目位于</w:t>
            </w:r>
            <w:r>
              <w:rPr>
                <w:rFonts w:hint="eastAsia"/>
                <w:color w:val="auto"/>
                <w:sz w:val="24"/>
              </w:rPr>
              <w:t>淮安（涟水）空港产业园内</w:t>
            </w:r>
            <w:r>
              <w:rPr>
                <w:color w:val="auto"/>
                <w:sz w:val="24"/>
              </w:rPr>
              <w:t>，周边无土壤环境敏感目标，且本项目厂界外500米范围内无地下水集中饮用水水源、热水、矿泉水、温泉等特殊地下水资源。厂区内防渗措施到位，无土壤、地下水环境污染途径，对照《建设项目环境影响报告表编制技术指南（污染影响类）（试行）》，不开展土壤、地下水环境质量现状调查。</w:t>
            </w:r>
          </w:p>
          <w:p w14:paraId="4A83484F">
            <w:pPr>
              <w:adjustRightInd w:val="0"/>
              <w:snapToGrid w:val="0"/>
              <w:spacing w:line="360" w:lineRule="auto"/>
              <w:ind w:firstLine="482" w:firstLineChars="200"/>
              <w:rPr>
                <w:b/>
                <w:color w:val="auto"/>
                <w:sz w:val="24"/>
              </w:rPr>
            </w:pPr>
            <w:r>
              <w:rPr>
                <w:b/>
                <w:color w:val="auto"/>
                <w:sz w:val="24"/>
              </w:rPr>
              <w:t>5、生态环境</w:t>
            </w:r>
          </w:p>
          <w:p w14:paraId="112795B5">
            <w:pPr>
              <w:adjustRightInd w:val="0"/>
              <w:snapToGrid w:val="0"/>
              <w:spacing w:line="360" w:lineRule="auto"/>
              <w:ind w:firstLine="480" w:firstLineChars="200"/>
              <w:rPr>
                <w:color w:val="auto"/>
                <w:sz w:val="24"/>
              </w:rPr>
            </w:pPr>
            <w:r>
              <w:rPr>
                <w:rFonts w:hint="eastAsia"/>
                <w:color w:val="auto"/>
                <w:sz w:val="24"/>
              </w:rPr>
              <w:t>项目位于淮安（涟水）空港产业园内，淮安（涟水）空港产业园内无生态环境保护目标。</w:t>
            </w:r>
          </w:p>
          <w:p w14:paraId="0A682A71">
            <w:pPr>
              <w:adjustRightInd w:val="0"/>
              <w:snapToGrid w:val="0"/>
              <w:spacing w:line="360" w:lineRule="auto"/>
              <w:ind w:firstLine="482" w:firstLineChars="200"/>
              <w:rPr>
                <w:b/>
                <w:color w:val="auto"/>
                <w:sz w:val="24"/>
              </w:rPr>
            </w:pPr>
            <w:r>
              <w:rPr>
                <w:rFonts w:hint="eastAsia"/>
                <w:b/>
                <w:color w:val="auto"/>
                <w:sz w:val="24"/>
                <w:lang w:eastAsia="zh-CN"/>
              </w:rPr>
              <w:t>6.</w:t>
            </w:r>
            <w:r>
              <w:rPr>
                <w:rFonts w:hint="eastAsia"/>
                <w:b/>
                <w:color w:val="auto"/>
                <w:sz w:val="24"/>
              </w:rPr>
              <w:t>电磁辐射</w:t>
            </w:r>
          </w:p>
          <w:p w14:paraId="0A3DE6DA">
            <w:pPr>
              <w:adjustRightInd w:val="0"/>
              <w:snapToGrid w:val="0"/>
              <w:spacing w:line="360" w:lineRule="auto"/>
              <w:ind w:firstLine="480" w:firstLineChars="200"/>
              <w:rPr>
                <w:color w:val="auto"/>
              </w:rPr>
            </w:pPr>
            <w:r>
              <w:rPr>
                <w:rFonts w:hint="eastAsia"/>
                <w:color w:val="auto"/>
                <w:sz w:val="24"/>
              </w:rPr>
              <w:t>项目不属于新建或改建、扩建广播电台、差转台、电视塔台、卫星地球上行站、雷达等电磁辐射类项目，无需对电磁辐射现状开展监测与评价。</w:t>
            </w:r>
          </w:p>
        </w:tc>
      </w:tr>
      <w:tr w14:paraId="7E473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534" w:type="dxa"/>
            <w:vAlign w:val="center"/>
          </w:tcPr>
          <w:p w14:paraId="1B74E015">
            <w:pPr>
              <w:adjustRightInd w:val="0"/>
              <w:snapToGrid w:val="0"/>
              <w:jc w:val="center"/>
              <w:rPr>
                <w:color w:val="auto"/>
                <w:kern w:val="0"/>
                <w:szCs w:val="21"/>
              </w:rPr>
            </w:pPr>
            <w:r>
              <w:rPr>
                <w:color w:val="auto"/>
                <w:kern w:val="0"/>
                <w:sz w:val="24"/>
              </w:rPr>
              <w:t>环境保护目标</w:t>
            </w:r>
          </w:p>
        </w:tc>
        <w:tc>
          <w:tcPr>
            <w:tcW w:w="8527" w:type="dxa"/>
            <w:vAlign w:val="center"/>
          </w:tcPr>
          <w:p w14:paraId="40F2C626">
            <w:pPr>
              <w:adjustRightInd w:val="0"/>
              <w:snapToGrid w:val="0"/>
              <w:spacing w:line="360" w:lineRule="auto"/>
              <w:ind w:firstLine="482" w:firstLineChars="200"/>
              <w:rPr>
                <w:b/>
                <w:color w:val="auto"/>
                <w:sz w:val="24"/>
              </w:rPr>
            </w:pPr>
            <w:r>
              <w:rPr>
                <w:b/>
                <w:color w:val="auto"/>
                <w:sz w:val="24"/>
              </w:rPr>
              <w:t>（一）大气环境保护目标</w:t>
            </w:r>
          </w:p>
          <w:p w14:paraId="1504094F">
            <w:pPr>
              <w:adjustRightInd w:val="0"/>
              <w:snapToGrid w:val="0"/>
              <w:spacing w:line="360" w:lineRule="auto"/>
              <w:ind w:firstLine="480" w:firstLineChars="200"/>
              <w:rPr>
                <w:color w:val="auto"/>
                <w:sz w:val="24"/>
              </w:rPr>
            </w:pPr>
            <w:r>
              <w:rPr>
                <w:color w:val="auto"/>
                <w:sz w:val="24"/>
              </w:rPr>
              <w:t>项目厂界500米内大气环境保护目标见表3.</w:t>
            </w:r>
            <w:r>
              <w:rPr>
                <w:rFonts w:hint="eastAsia"/>
                <w:color w:val="auto"/>
                <w:sz w:val="24"/>
              </w:rPr>
              <w:t>3</w:t>
            </w:r>
            <w:r>
              <w:rPr>
                <w:color w:val="auto"/>
                <w:sz w:val="24"/>
              </w:rPr>
              <w:t>-1，项目周边环境保护目标见附图</w:t>
            </w:r>
            <w:r>
              <w:rPr>
                <w:rFonts w:hint="eastAsia"/>
                <w:color w:val="auto"/>
                <w:sz w:val="24"/>
              </w:rPr>
              <w:t>3</w:t>
            </w:r>
            <w:r>
              <w:rPr>
                <w:color w:val="auto"/>
                <w:sz w:val="24"/>
              </w:rPr>
              <w:t>。</w:t>
            </w:r>
          </w:p>
          <w:p w14:paraId="12EDF578">
            <w:pPr>
              <w:tabs>
                <w:tab w:val="left" w:pos="1800"/>
              </w:tabs>
              <w:adjustRightInd w:val="0"/>
              <w:snapToGrid w:val="0"/>
              <w:jc w:val="center"/>
              <w:rPr>
                <w:b/>
                <w:color w:val="auto"/>
                <w:sz w:val="24"/>
                <w:szCs w:val="32"/>
              </w:rPr>
            </w:pPr>
            <w:r>
              <w:rPr>
                <w:rFonts w:hint="eastAsia"/>
                <w:b/>
                <w:color w:val="auto"/>
              </w:rPr>
              <w:t>表3.3-1项目主要环境保护目</w:t>
            </w:r>
            <w:r>
              <w:rPr>
                <w:b/>
                <w:color w:val="auto"/>
              </w:rPr>
              <w:t>标</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15" w:type="dxa"/>
                <w:left w:w="15" w:type="dxa"/>
                <w:bottom w:w="15" w:type="dxa"/>
                <w:right w:w="15" w:type="dxa"/>
              </w:tblCellMar>
            </w:tblPr>
            <w:tblGrid>
              <w:gridCol w:w="517"/>
              <w:gridCol w:w="1966"/>
              <w:gridCol w:w="1876"/>
              <w:gridCol w:w="665"/>
              <w:gridCol w:w="1229"/>
              <w:gridCol w:w="808"/>
              <w:gridCol w:w="393"/>
              <w:gridCol w:w="857"/>
            </w:tblGrid>
            <w:tr w14:paraId="06FF31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86" w:hRule="atLeast"/>
                <w:jc w:val="center"/>
              </w:trPr>
              <w:tc>
                <w:tcPr>
                  <w:tcW w:w="311" w:type="pct"/>
                  <w:vMerge w:val="restart"/>
                  <w:vAlign w:val="center"/>
                </w:tcPr>
                <w:p w14:paraId="0128ADE0">
                  <w:pPr>
                    <w:jc w:val="center"/>
                    <w:textAlignment w:val="center"/>
                    <w:rPr>
                      <w:b/>
                      <w:bCs/>
                      <w:color w:val="auto"/>
                      <w:szCs w:val="21"/>
                    </w:rPr>
                  </w:pPr>
                  <w:r>
                    <w:rPr>
                      <w:b/>
                      <w:bCs/>
                      <w:color w:val="auto"/>
                      <w:szCs w:val="21"/>
                    </w:rPr>
                    <w:t>名称</w:t>
                  </w:r>
                </w:p>
              </w:tc>
              <w:tc>
                <w:tcPr>
                  <w:tcW w:w="2310" w:type="pct"/>
                  <w:gridSpan w:val="2"/>
                  <w:vAlign w:val="center"/>
                </w:tcPr>
                <w:p w14:paraId="0CFDEC8A">
                  <w:pPr>
                    <w:jc w:val="center"/>
                    <w:textAlignment w:val="center"/>
                    <w:rPr>
                      <w:b/>
                      <w:bCs/>
                      <w:color w:val="auto"/>
                      <w:szCs w:val="21"/>
                    </w:rPr>
                  </w:pPr>
                  <w:r>
                    <w:rPr>
                      <w:rFonts w:hint="eastAsia"/>
                      <w:b/>
                      <w:bCs/>
                      <w:color w:val="auto"/>
                      <w:szCs w:val="21"/>
                    </w:rPr>
                    <w:t>位置</w:t>
                  </w:r>
                </w:p>
              </w:tc>
              <w:tc>
                <w:tcPr>
                  <w:tcW w:w="400" w:type="pct"/>
                  <w:vMerge w:val="restart"/>
                  <w:vAlign w:val="center"/>
                </w:tcPr>
                <w:p w14:paraId="72AEA509">
                  <w:pPr>
                    <w:jc w:val="center"/>
                    <w:textAlignment w:val="center"/>
                    <w:rPr>
                      <w:b/>
                      <w:bCs/>
                      <w:color w:val="auto"/>
                      <w:szCs w:val="21"/>
                    </w:rPr>
                  </w:pPr>
                  <w:r>
                    <w:rPr>
                      <w:b/>
                      <w:bCs/>
                      <w:color w:val="auto"/>
                      <w:szCs w:val="21"/>
                    </w:rPr>
                    <w:t>保护对象</w:t>
                  </w:r>
                </w:p>
              </w:tc>
              <w:tc>
                <w:tcPr>
                  <w:tcW w:w="739" w:type="pct"/>
                  <w:vMerge w:val="restart"/>
                  <w:vAlign w:val="center"/>
                </w:tcPr>
                <w:p w14:paraId="4F7FFE24">
                  <w:pPr>
                    <w:jc w:val="center"/>
                    <w:textAlignment w:val="center"/>
                    <w:rPr>
                      <w:b/>
                      <w:bCs/>
                      <w:color w:val="auto"/>
                      <w:szCs w:val="21"/>
                    </w:rPr>
                  </w:pPr>
                  <w:r>
                    <w:rPr>
                      <w:b/>
                      <w:bCs/>
                      <w:color w:val="auto"/>
                      <w:szCs w:val="21"/>
                    </w:rPr>
                    <w:t>保护内容（人）</w:t>
                  </w:r>
                </w:p>
              </w:tc>
              <w:tc>
                <w:tcPr>
                  <w:tcW w:w="486" w:type="pct"/>
                  <w:vMerge w:val="restart"/>
                  <w:vAlign w:val="center"/>
                </w:tcPr>
                <w:p w14:paraId="1A04C1B5">
                  <w:pPr>
                    <w:jc w:val="center"/>
                    <w:textAlignment w:val="center"/>
                    <w:rPr>
                      <w:b/>
                      <w:bCs/>
                      <w:color w:val="auto"/>
                      <w:szCs w:val="21"/>
                    </w:rPr>
                  </w:pPr>
                  <w:r>
                    <w:rPr>
                      <w:rFonts w:hint="eastAsia"/>
                      <w:b/>
                      <w:bCs/>
                      <w:color w:val="auto"/>
                      <w:szCs w:val="21"/>
                    </w:rPr>
                    <w:t>环境功能区</w:t>
                  </w:r>
                </w:p>
              </w:tc>
              <w:tc>
                <w:tcPr>
                  <w:tcW w:w="236" w:type="pct"/>
                  <w:vMerge w:val="restart"/>
                  <w:vAlign w:val="center"/>
                </w:tcPr>
                <w:p w14:paraId="2B4F572A">
                  <w:pPr>
                    <w:jc w:val="center"/>
                    <w:textAlignment w:val="center"/>
                    <w:rPr>
                      <w:b/>
                      <w:bCs/>
                      <w:color w:val="auto"/>
                      <w:szCs w:val="21"/>
                    </w:rPr>
                  </w:pPr>
                  <w:r>
                    <w:rPr>
                      <w:b/>
                      <w:bCs/>
                      <w:color w:val="auto"/>
                      <w:szCs w:val="21"/>
                    </w:rPr>
                    <w:t>方位</w:t>
                  </w:r>
                </w:p>
              </w:tc>
              <w:tc>
                <w:tcPr>
                  <w:tcW w:w="515" w:type="pct"/>
                  <w:vMerge w:val="restart"/>
                  <w:vAlign w:val="center"/>
                </w:tcPr>
                <w:p w14:paraId="51219802">
                  <w:pPr>
                    <w:jc w:val="center"/>
                    <w:textAlignment w:val="center"/>
                    <w:rPr>
                      <w:b/>
                      <w:bCs/>
                      <w:color w:val="auto"/>
                      <w:szCs w:val="21"/>
                    </w:rPr>
                  </w:pPr>
                  <w:r>
                    <w:rPr>
                      <w:b/>
                      <w:bCs/>
                      <w:color w:val="auto"/>
                      <w:szCs w:val="21"/>
                    </w:rPr>
                    <w:t>距离厂界/m</w:t>
                  </w:r>
                </w:p>
              </w:tc>
            </w:tr>
            <w:tr w14:paraId="792386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16" w:hRule="atLeast"/>
                <w:jc w:val="center"/>
              </w:trPr>
              <w:tc>
                <w:tcPr>
                  <w:tcW w:w="311" w:type="pct"/>
                  <w:vMerge w:val="continue"/>
                  <w:vAlign w:val="center"/>
                </w:tcPr>
                <w:p w14:paraId="4DA93FA6">
                  <w:pPr>
                    <w:jc w:val="center"/>
                    <w:rPr>
                      <w:color w:val="auto"/>
                      <w:szCs w:val="21"/>
                    </w:rPr>
                  </w:pPr>
                </w:p>
              </w:tc>
              <w:tc>
                <w:tcPr>
                  <w:tcW w:w="1182" w:type="pct"/>
                  <w:vAlign w:val="center"/>
                </w:tcPr>
                <w:p w14:paraId="2590BF24">
                  <w:pPr>
                    <w:jc w:val="center"/>
                    <w:textAlignment w:val="center"/>
                    <w:rPr>
                      <w:b/>
                      <w:bCs/>
                      <w:color w:val="auto"/>
                      <w:szCs w:val="21"/>
                    </w:rPr>
                  </w:pPr>
                  <w:r>
                    <w:rPr>
                      <w:rFonts w:hint="eastAsia"/>
                      <w:b/>
                      <w:bCs/>
                      <w:color w:val="auto"/>
                      <w:szCs w:val="21"/>
                    </w:rPr>
                    <w:t>UTMX</w:t>
                  </w:r>
                </w:p>
              </w:tc>
              <w:tc>
                <w:tcPr>
                  <w:tcW w:w="1127" w:type="pct"/>
                  <w:vAlign w:val="center"/>
                </w:tcPr>
                <w:p w14:paraId="7A024C6F">
                  <w:pPr>
                    <w:jc w:val="center"/>
                    <w:textAlignment w:val="center"/>
                    <w:rPr>
                      <w:b/>
                      <w:bCs/>
                      <w:color w:val="auto"/>
                      <w:szCs w:val="21"/>
                    </w:rPr>
                  </w:pPr>
                  <w:r>
                    <w:rPr>
                      <w:rFonts w:hint="eastAsia"/>
                      <w:b/>
                      <w:bCs/>
                      <w:color w:val="auto"/>
                      <w:szCs w:val="21"/>
                    </w:rPr>
                    <w:t>UTMY</w:t>
                  </w:r>
                </w:p>
              </w:tc>
              <w:tc>
                <w:tcPr>
                  <w:tcW w:w="400" w:type="pct"/>
                  <w:vMerge w:val="continue"/>
                  <w:vAlign w:val="center"/>
                </w:tcPr>
                <w:p w14:paraId="4E64D855">
                  <w:pPr>
                    <w:jc w:val="center"/>
                    <w:rPr>
                      <w:color w:val="auto"/>
                      <w:szCs w:val="21"/>
                    </w:rPr>
                  </w:pPr>
                </w:p>
              </w:tc>
              <w:tc>
                <w:tcPr>
                  <w:tcW w:w="739" w:type="pct"/>
                  <w:vMerge w:val="continue"/>
                  <w:vAlign w:val="center"/>
                </w:tcPr>
                <w:p w14:paraId="1AC4957B">
                  <w:pPr>
                    <w:jc w:val="center"/>
                    <w:rPr>
                      <w:color w:val="auto"/>
                      <w:szCs w:val="21"/>
                    </w:rPr>
                  </w:pPr>
                </w:p>
              </w:tc>
              <w:tc>
                <w:tcPr>
                  <w:tcW w:w="486" w:type="pct"/>
                  <w:vMerge w:val="continue"/>
                  <w:vAlign w:val="center"/>
                </w:tcPr>
                <w:p w14:paraId="795A0216">
                  <w:pPr>
                    <w:jc w:val="center"/>
                    <w:rPr>
                      <w:color w:val="auto"/>
                      <w:szCs w:val="21"/>
                    </w:rPr>
                  </w:pPr>
                </w:p>
              </w:tc>
              <w:tc>
                <w:tcPr>
                  <w:tcW w:w="236" w:type="pct"/>
                  <w:vMerge w:val="continue"/>
                  <w:vAlign w:val="center"/>
                </w:tcPr>
                <w:p w14:paraId="6BC8E9A0">
                  <w:pPr>
                    <w:jc w:val="center"/>
                    <w:rPr>
                      <w:color w:val="auto"/>
                      <w:szCs w:val="21"/>
                    </w:rPr>
                  </w:pPr>
                </w:p>
              </w:tc>
              <w:tc>
                <w:tcPr>
                  <w:tcW w:w="515" w:type="pct"/>
                  <w:vMerge w:val="continue"/>
                  <w:vAlign w:val="center"/>
                </w:tcPr>
                <w:p w14:paraId="21FA8608">
                  <w:pPr>
                    <w:jc w:val="center"/>
                    <w:rPr>
                      <w:color w:val="auto"/>
                      <w:szCs w:val="21"/>
                    </w:rPr>
                  </w:pPr>
                </w:p>
              </w:tc>
            </w:tr>
            <w:tr w14:paraId="0FFE85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86" w:hRule="atLeast"/>
                <w:jc w:val="center"/>
              </w:trPr>
              <w:tc>
                <w:tcPr>
                  <w:tcW w:w="311" w:type="pct"/>
                  <w:vAlign w:val="center"/>
                </w:tcPr>
                <w:p w14:paraId="371F491D">
                  <w:pPr>
                    <w:jc w:val="center"/>
                    <w:rPr>
                      <w:color w:val="auto"/>
                      <w:szCs w:val="21"/>
                    </w:rPr>
                  </w:pPr>
                  <w:r>
                    <w:rPr>
                      <w:rFonts w:hint="eastAsia"/>
                      <w:color w:val="auto"/>
                      <w:szCs w:val="21"/>
                    </w:rPr>
                    <w:t>邵庄</w:t>
                  </w:r>
                </w:p>
              </w:tc>
              <w:tc>
                <w:tcPr>
                  <w:tcW w:w="1182" w:type="pct"/>
                  <w:vAlign w:val="center"/>
                </w:tcPr>
                <w:p w14:paraId="68E5A034">
                  <w:pPr>
                    <w:jc w:val="center"/>
                    <w:rPr>
                      <w:color w:val="auto"/>
                      <w:szCs w:val="21"/>
                    </w:rPr>
                  </w:pPr>
                  <w:r>
                    <w:rPr>
                      <w:rFonts w:hint="eastAsia"/>
                      <w:color w:val="auto"/>
                      <w:szCs w:val="21"/>
                    </w:rPr>
                    <w:t>702028.38</w:t>
                  </w:r>
                </w:p>
              </w:tc>
              <w:tc>
                <w:tcPr>
                  <w:tcW w:w="1127" w:type="pct"/>
                  <w:vAlign w:val="center"/>
                </w:tcPr>
                <w:p w14:paraId="7DBA58CD">
                  <w:pPr>
                    <w:jc w:val="center"/>
                    <w:rPr>
                      <w:color w:val="auto"/>
                      <w:szCs w:val="21"/>
                    </w:rPr>
                  </w:pPr>
                  <w:r>
                    <w:rPr>
                      <w:rFonts w:hint="eastAsia"/>
                      <w:color w:val="auto"/>
                      <w:szCs w:val="21"/>
                    </w:rPr>
                    <w:t>3741539.45</w:t>
                  </w:r>
                </w:p>
              </w:tc>
              <w:tc>
                <w:tcPr>
                  <w:tcW w:w="400" w:type="pct"/>
                  <w:vAlign w:val="center"/>
                </w:tcPr>
                <w:p w14:paraId="6D64F040">
                  <w:pPr>
                    <w:adjustRightInd w:val="0"/>
                    <w:snapToGrid w:val="0"/>
                    <w:jc w:val="center"/>
                    <w:rPr>
                      <w:color w:val="auto"/>
                      <w:szCs w:val="21"/>
                    </w:rPr>
                  </w:pPr>
                  <w:r>
                    <w:rPr>
                      <w:rFonts w:hint="eastAsia"/>
                      <w:color w:val="auto"/>
                      <w:szCs w:val="21"/>
                    </w:rPr>
                    <w:t>居住区</w:t>
                  </w:r>
                </w:p>
              </w:tc>
              <w:tc>
                <w:tcPr>
                  <w:tcW w:w="739" w:type="pct"/>
                  <w:vAlign w:val="center"/>
                </w:tcPr>
                <w:p w14:paraId="072A6CAB">
                  <w:pPr>
                    <w:adjustRightInd w:val="0"/>
                    <w:snapToGrid w:val="0"/>
                    <w:jc w:val="center"/>
                    <w:rPr>
                      <w:color w:val="auto"/>
                      <w:szCs w:val="21"/>
                    </w:rPr>
                  </w:pPr>
                  <w:r>
                    <w:rPr>
                      <w:rFonts w:hint="eastAsia"/>
                      <w:color w:val="auto"/>
                      <w:szCs w:val="21"/>
                    </w:rPr>
                    <w:t>80户/约150人</w:t>
                  </w:r>
                </w:p>
              </w:tc>
              <w:tc>
                <w:tcPr>
                  <w:tcW w:w="486" w:type="pct"/>
                  <w:vAlign w:val="center"/>
                </w:tcPr>
                <w:p w14:paraId="7D1C993D">
                  <w:pPr>
                    <w:adjustRightInd w:val="0"/>
                    <w:snapToGrid w:val="0"/>
                    <w:jc w:val="center"/>
                    <w:rPr>
                      <w:color w:val="auto"/>
                      <w:szCs w:val="21"/>
                    </w:rPr>
                  </w:pPr>
                  <w:r>
                    <w:rPr>
                      <w:rFonts w:hint="eastAsia"/>
                      <w:color w:val="auto"/>
                      <w:szCs w:val="21"/>
                    </w:rPr>
                    <w:t>二类</w:t>
                  </w:r>
                </w:p>
              </w:tc>
              <w:tc>
                <w:tcPr>
                  <w:tcW w:w="236" w:type="pct"/>
                  <w:vAlign w:val="center"/>
                </w:tcPr>
                <w:p w14:paraId="7B973CB3">
                  <w:pPr>
                    <w:adjustRightInd w:val="0"/>
                    <w:snapToGrid w:val="0"/>
                    <w:jc w:val="center"/>
                    <w:rPr>
                      <w:color w:val="auto"/>
                      <w:szCs w:val="21"/>
                    </w:rPr>
                  </w:pPr>
                  <w:r>
                    <w:rPr>
                      <w:rFonts w:hint="eastAsia"/>
                      <w:color w:val="auto"/>
                      <w:szCs w:val="21"/>
                    </w:rPr>
                    <w:t>NW</w:t>
                  </w:r>
                </w:p>
              </w:tc>
              <w:tc>
                <w:tcPr>
                  <w:tcW w:w="515" w:type="pct"/>
                  <w:vAlign w:val="center"/>
                </w:tcPr>
                <w:p w14:paraId="57F35435">
                  <w:pPr>
                    <w:jc w:val="center"/>
                    <w:rPr>
                      <w:color w:val="auto"/>
                      <w:szCs w:val="21"/>
                    </w:rPr>
                  </w:pPr>
                  <w:r>
                    <w:rPr>
                      <w:rFonts w:hint="eastAsia"/>
                      <w:color w:val="auto"/>
                      <w:szCs w:val="21"/>
                    </w:rPr>
                    <w:t>200</w:t>
                  </w:r>
                </w:p>
              </w:tc>
            </w:tr>
            <w:tr w14:paraId="73DEFE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86" w:hRule="atLeast"/>
                <w:jc w:val="center"/>
              </w:trPr>
              <w:tc>
                <w:tcPr>
                  <w:tcW w:w="311" w:type="pct"/>
                  <w:vAlign w:val="center"/>
                </w:tcPr>
                <w:p w14:paraId="3FFB5AD7">
                  <w:pPr>
                    <w:jc w:val="center"/>
                    <w:rPr>
                      <w:color w:val="auto"/>
                      <w:szCs w:val="21"/>
                    </w:rPr>
                  </w:pPr>
                  <w:r>
                    <w:rPr>
                      <w:rFonts w:hint="eastAsia"/>
                      <w:color w:val="auto"/>
                      <w:szCs w:val="21"/>
                    </w:rPr>
                    <w:t>蒋老庄小区</w:t>
                  </w:r>
                </w:p>
              </w:tc>
              <w:tc>
                <w:tcPr>
                  <w:tcW w:w="1182" w:type="pct"/>
                  <w:vAlign w:val="center"/>
                </w:tcPr>
                <w:p w14:paraId="0CFC50E1">
                  <w:pPr>
                    <w:jc w:val="center"/>
                    <w:rPr>
                      <w:color w:val="auto"/>
                      <w:szCs w:val="21"/>
                    </w:rPr>
                  </w:pPr>
                  <w:r>
                    <w:rPr>
                      <w:rFonts w:hint="eastAsia"/>
                      <w:color w:val="auto"/>
                      <w:szCs w:val="21"/>
                    </w:rPr>
                    <w:t>702105.20</w:t>
                  </w:r>
                </w:p>
              </w:tc>
              <w:tc>
                <w:tcPr>
                  <w:tcW w:w="1127" w:type="pct"/>
                  <w:vAlign w:val="center"/>
                </w:tcPr>
                <w:p w14:paraId="145E5CC0">
                  <w:pPr>
                    <w:jc w:val="center"/>
                    <w:rPr>
                      <w:color w:val="auto"/>
                      <w:szCs w:val="21"/>
                    </w:rPr>
                  </w:pPr>
                  <w:r>
                    <w:rPr>
                      <w:rFonts w:hint="eastAsia"/>
                      <w:color w:val="auto"/>
                      <w:szCs w:val="21"/>
                    </w:rPr>
                    <w:t>3740494.37</w:t>
                  </w:r>
                </w:p>
              </w:tc>
              <w:tc>
                <w:tcPr>
                  <w:tcW w:w="400" w:type="pct"/>
                  <w:vAlign w:val="center"/>
                </w:tcPr>
                <w:p w14:paraId="29F08AB7">
                  <w:pPr>
                    <w:adjustRightInd w:val="0"/>
                    <w:snapToGrid w:val="0"/>
                    <w:jc w:val="center"/>
                    <w:rPr>
                      <w:color w:val="auto"/>
                      <w:szCs w:val="21"/>
                    </w:rPr>
                  </w:pPr>
                  <w:r>
                    <w:rPr>
                      <w:rFonts w:hint="eastAsia"/>
                      <w:color w:val="auto"/>
                      <w:szCs w:val="21"/>
                    </w:rPr>
                    <w:t>居住区</w:t>
                  </w:r>
                </w:p>
              </w:tc>
              <w:tc>
                <w:tcPr>
                  <w:tcW w:w="739" w:type="pct"/>
                  <w:vAlign w:val="center"/>
                </w:tcPr>
                <w:p w14:paraId="109C74BC">
                  <w:pPr>
                    <w:adjustRightInd w:val="0"/>
                    <w:snapToGrid w:val="0"/>
                    <w:jc w:val="center"/>
                    <w:rPr>
                      <w:color w:val="auto"/>
                      <w:szCs w:val="21"/>
                    </w:rPr>
                  </w:pPr>
                  <w:r>
                    <w:rPr>
                      <w:rFonts w:hint="eastAsia"/>
                      <w:color w:val="auto"/>
                      <w:szCs w:val="21"/>
                    </w:rPr>
                    <w:t>800户/约2000人</w:t>
                  </w:r>
                </w:p>
              </w:tc>
              <w:tc>
                <w:tcPr>
                  <w:tcW w:w="486" w:type="pct"/>
                  <w:vAlign w:val="center"/>
                </w:tcPr>
                <w:p w14:paraId="7D2C8ABD">
                  <w:pPr>
                    <w:adjustRightInd w:val="0"/>
                    <w:snapToGrid w:val="0"/>
                    <w:jc w:val="center"/>
                    <w:rPr>
                      <w:color w:val="auto"/>
                      <w:szCs w:val="21"/>
                    </w:rPr>
                  </w:pPr>
                  <w:r>
                    <w:rPr>
                      <w:rFonts w:hint="eastAsia"/>
                      <w:color w:val="auto"/>
                      <w:szCs w:val="21"/>
                    </w:rPr>
                    <w:t>二类</w:t>
                  </w:r>
                </w:p>
              </w:tc>
              <w:tc>
                <w:tcPr>
                  <w:tcW w:w="236" w:type="pct"/>
                  <w:vAlign w:val="center"/>
                </w:tcPr>
                <w:p w14:paraId="7CB05771">
                  <w:pPr>
                    <w:adjustRightInd w:val="0"/>
                    <w:snapToGrid w:val="0"/>
                    <w:jc w:val="center"/>
                    <w:rPr>
                      <w:color w:val="auto"/>
                      <w:szCs w:val="21"/>
                    </w:rPr>
                  </w:pPr>
                  <w:r>
                    <w:rPr>
                      <w:rFonts w:hint="eastAsia"/>
                      <w:color w:val="auto"/>
                      <w:szCs w:val="21"/>
                    </w:rPr>
                    <w:t>S</w:t>
                  </w:r>
                </w:p>
              </w:tc>
              <w:tc>
                <w:tcPr>
                  <w:tcW w:w="515" w:type="pct"/>
                  <w:vAlign w:val="center"/>
                </w:tcPr>
                <w:p w14:paraId="78A54DFA">
                  <w:pPr>
                    <w:jc w:val="center"/>
                    <w:rPr>
                      <w:color w:val="auto"/>
                      <w:szCs w:val="21"/>
                    </w:rPr>
                  </w:pPr>
                  <w:r>
                    <w:rPr>
                      <w:rFonts w:hint="eastAsia"/>
                      <w:color w:val="auto"/>
                      <w:szCs w:val="21"/>
                    </w:rPr>
                    <w:t>200</w:t>
                  </w:r>
                </w:p>
              </w:tc>
            </w:tr>
            <w:tr w14:paraId="773385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86" w:hRule="atLeast"/>
                <w:jc w:val="center"/>
              </w:trPr>
              <w:tc>
                <w:tcPr>
                  <w:tcW w:w="311" w:type="pct"/>
                  <w:vAlign w:val="center"/>
                </w:tcPr>
                <w:p w14:paraId="59843597">
                  <w:pPr>
                    <w:jc w:val="center"/>
                    <w:rPr>
                      <w:color w:val="auto"/>
                      <w:szCs w:val="21"/>
                    </w:rPr>
                  </w:pPr>
                  <w:r>
                    <w:rPr>
                      <w:rFonts w:hint="eastAsia"/>
                      <w:color w:val="auto"/>
                      <w:szCs w:val="21"/>
                    </w:rPr>
                    <w:t>唐庄</w:t>
                  </w:r>
                </w:p>
              </w:tc>
              <w:tc>
                <w:tcPr>
                  <w:tcW w:w="1182" w:type="pct"/>
                  <w:vAlign w:val="center"/>
                </w:tcPr>
                <w:p w14:paraId="32E1FA42">
                  <w:pPr>
                    <w:jc w:val="center"/>
                    <w:rPr>
                      <w:color w:val="auto"/>
                      <w:szCs w:val="21"/>
                    </w:rPr>
                  </w:pPr>
                  <w:r>
                    <w:rPr>
                      <w:rFonts w:hint="eastAsia"/>
                      <w:color w:val="auto"/>
                      <w:szCs w:val="21"/>
                    </w:rPr>
                    <w:t>703003.86</w:t>
                  </w:r>
                </w:p>
              </w:tc>
              <w:tc>
                <w:tcPr>
                  <w:tcW w:w="1127" w:type="pct"/>
                  <w:vAlign w:val="center"/>
                </w:tcPr>
                <w:p w14:paraId="5AEA8165">
                  <w:pPr>
                    <w:jc w:val="center"/>
                    <w:rPr>
                      <w:color w:val="auto"/>
                      <w:szCs w:val="21"/>
                    </w:rPr>
                  </w:pPr>
                  <w:r>
                    <w:rPr>
                      <w:rFonts w:hint="eastAsia"/>
                      <w:color w:val="auto"/>
                      <w:szCs w:val="21"/>
                    </w:rPr>
                    <w:t>3741097.18</w:t>
                  </w:r>
                </w:p>
              </w:tc>
              <w:tc>
                <w:tcPr>
                  <w:tcW w:w="400" w:type="pct"/>
                  <w:vAlign w:val="center"/>
                </w:tcPr>
                <w:p w14:paraId="23F178D5">
                  <w:pPr>
                    <w:adjustRightInd w:val="0"/>
                    <w:snapToGrid w:val="0"/>
                    <w:jc w:val="center"/>
                    <w:rPr>
                      <w:color w:val="auto"/>
                      <w:szCs w:val="21"/>
                    </w:rPr>
                  </w:pPr>
                  <w:r>
                    <w:rPr>
                      <w:rFonts w:hint="eastAsia"/>
                      <w:color w:val="auto"/>
                      <w:szCs w:val="21"/>
                    </w:rPr>
                    <w:t>居住区</w:t>
                  </w:r>
                </w:p>
              </w:tc>
              <w:tc>
                <w:tcPr>
                  <w:tcW w:w="739" w:type="pct"/>
                  <w:vAlign w:val="center"/>
                </w:tcPr>
                <w:p w14:paraId="16AF3662">
                  <w:pPr>
                    <w:adjustRightInd w:val="0"/>
                    <w:snapToGrid w:val="0"/>
                    <w:jc w:val="center"/>
                    <w:rPr>
                      <w:color w:val="auto"/>
                      <w:szCs w:val="21"/>
                    </w:rPr>
                  </w:pPr>
                  <w:r>
                    <w:rPr>
                      <w:rFonts w:hint="eastAsia"/>
                      <w:color w:val="auto"/>
                      <w:szCs w:val="21"/>
                    </w:rPr>
                    <w:t>30户约50人</w:t>
                  </w:r>
                </w:p>
              </w:tc>
              <w:tc>
                <w:tcPr>
                  <w:tcW w:w="486" w:type="pct"/>
                  <w:vAlign w:val="center"/>
                </w:tcPr>
                <w:p w14:paraId="561C050A">
                  <w:pPr>
                    <w:adjustRightInd w:val="0"/>
                    <w:snapToGrid w:val="0"/>
                    <w:jc w:val="center"/>
                    <w:rPr>
                      <w:color w:val="auto"/>
                      <w:szCs w:val="21"/>
                    </w:rPr>
                  </w:pPr>
                  <w:r>
                    <w:rPr>
                      <w:rFonts w:hint="eastAsia"/>
                      <w:color w:val="auto"/>
                      <w:szCs w:val="21"/>
                    </w:rPr>
                    <w:t>二类</w:t>
                  </w:r>
                </w:p>
              </w:tc>
              <w:tc>
                <w:tcPr>
                  <w:tcW w:w="236" w:type="pct"/>
                  <w:vAlign w:val="center"/>
                </w:tcPr>
                <w:p w14:paraId="2FADDCB7">
                  <w:pPr>
                    <w:adjustRightInd w:val="0"/>
                    <w:snapToGrid w:val="0"/>
                    <w:jc w:val="center"/>
                    <w:rPr>
                      <w:color w:val="auto"/>
                      <w:szCs w:val="21"/>
                    </w:rPr>
                  </w:pPr>
                  <w:r>
                    <w:rPr>
                      <w:rFonts w:hint="eastAsia"/>
                      <w:color w:val="auto"/>
                      <w:szCs w:val="21"/>
                    </w:rPr>
                    <w:t>E</w:t>
                  </w:r>
                </w:p>
              </w:tc>
              <w:tc>
                <w:tcPr>
                  <w:tcW w:w="515" w:type="pct"/>
                  <w:vAlign w:val="center"/>
                </w:tcPr>
                <w:p w14:paraId="75EF89F4">
                  <w:pPr>
                    <w:jc w:val="center"/>
                    <w:rPr>
                      <w:color w:val="auto"/>
                      <w:szCs w:val="21"/>
                    </w:rPr>
                  </w:pPr>
                  <w:r>
                    <w:rPr>
                      <w:rFonts w:hint="eastAsia"/>
                      <w:color w:val="auto"/>
                      <w:szCs w:val="21"/>
                    </w:rPr>
                    <w:t>450</w:t>
                  </w:r>
                </w:p>
              </w:tc>
            </w:tr>
          </w:tbl>
          <w:p w14:paraId="0E8AA808">
            <w:pPr>
              <w:adjustRightInd w:val="0"/>
              <w:snapToGrid w:val="0"/>
              <w:spacing w:line="360" w:lineRule="auto"/>
              <w:ind w:firstLine="482" w:firstLineChars="200"/>
              <w:rPr>
                <w:b/>
                <w:color w:val="auto"/>
                <w:sz w:val="24"/>
              </w:rPr>
            </w:pPr>
            <w:r>
              <w:rPr>
                <w:b/>
                <w:color w:val="auto"/>
                <w:sz w:val="24"/>
              </w:rPr>
              <w:t>（二）声环境保护目标</w:t>
            </w:r>
          </w:p>
          <w:p w14:paraId="7CD75430">
            <w:pPr>
              <w:adjustRightInd w:val="0"/>
              <w:snapToGrid w:val="0"/>
              <w:spacing w:line="360" w:lineRule="auto"/>
              <w:ind w:firstLine="480" w:firstLineChars="200"/>
              <w:rPr>
                <w:color w:val="auto"/>
                <w:sz w:val="24"/>
              </w:rPr>
            </w:pPr>
            <w:r>
              <w:rPr>
                <w:color w:val="auto"/>
                <w:sz w:val="24"/>
              </w:rPr>
              <w:t>本项目厂界周边50米范围内无声环境保护目标。</w:t>
            </w:r>
          </w:p>
          <w:p w14:paraId="3F30613E">
            <w:pPr>
              <w:adjustRightInd w:val="0"/>
              <w:snapToGrid w:val="0"/>
              <w:spacing w:line="360" w:lineRule="auto"/>
              <w:ind w:firstLine="482" w:firstLineChars="200"/>
              <w:rPr>
                <w:b/>
                <w:color w:val="auto"/>
                <w:sz w:val="24"/>
              </w:rPr>
            </w:pPr>
            <w:r>
              <w:rPr>
                <w:b/>
                <w:color w:val="auto"/>
                <w:sz w:val="24"/>
              </w:rPr>
              <w:t>（三）地下水环境保护目标</w:t>
            </w:r>
          </w:p>
          <w:p w14:paraId="67A33360">
            <w:pPr>
              <w:adjustRightInd w:val="0"/>
              <w:snapToGrid w:val="0"/>
              <w:spacing w:line="360" w:lineRule="auto"/>
              <w:ind w:firstLine="480" w:firstLineChars="200"/>
              <w:rPr>
                <w:color w:val="auto"/>
                <w:sz w:val="24"/>
              </w:rPr>
            </w:pPr>
            <w:r>
              <w:rPr>
                <w:color w:val="auto"/>
                <w:sz w:val="24"/>
              </w:rPr>
              <w:t>本项目厂界外500米范围内无地下水集中饮用水水源、热水、矿泉水、温泉等特殊地下水资源。</w:t>
            </w:r>
          </w:p>
          <w:p w14:paraId="3C303818">
            <w:pPr>
              <w:adjustRightInd w:val="0"/>
              <w:snapToGrid w:val="0"/>
              <w:spacing w:line="360" w:lineRule="auto"/>
              <w:ind w:firstLine="482" w:firstLineChars="200"/>
              <w:rPr>
                <w:b/>
                <w:color w:val="auto"/>
                <w:sz w:val="24"/>
              </w:rPr>
            </w:pPr>
            <w:r>
              <w:rPr>
                <w:b/>
                <w:color w:val="auto"/>
                <w:sz w:val="24"/>
              </w:rPr>
              <w:t>（四）生态环境保护目标</w:t>
            </w:r>
          </w:p>
          <w:p w14:paraId="58745BB0">
            <w:pPr>
              <w:adjustRightInd w:val="0"/>
              <w:snapToGrid w:val="0"/>
              <w:spacing w:line="360" w:lineRule="auto"/>
              <w:ind w:firstLine="480" w:firstLineChars="200"/>
              <w:rPr>
                <w:color w:val="auto"/>
                <w:kern w:val="0"/>
                <w:szCs w:val="21"/>
              </w:rPr>
            </w:pPr>
            <w:r>
              <w:rPr>
                <w:color w:val="auto"/>
                <w:sz w:val="24"/>
              </w:rPr>
              <w:t>项目位于产业园内，无生态环境保护目标。</w:t>
            </w:r>
          </w:p>
        </w:tc>
      </w:tr>
      <w:tr w14:paraId="0D748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534" w:type="dxa"/>
            <w:vAlign w:val="center"/>
          </w:tcPr>
          <w:p w14:paraId="0D52C6D4">
            <w:pPr>
              <w:adjustRightInd w:val="0"/>
              <w:snapToGrid w:val="0"/>
              <w:jc w:val="center"/>
              <w:rPr>
                <w:color w:val="auto"/>
                <w:kern w:val="0"/>
                <w:szCs w:val="21"/>
              </w:rPr>
            </w:pPr>
            <w:r>
              <w:rPr>
                <w:rFonts w:hint="eastAsia"/>
                <w:color w:val="auto"/>
                <w:kern w:val="0"/>
                <w:sz w:val="24"/>
                <w:lang w:eastAsia="zh-CN"/>
              </w:rPr>
              <w:t>污染物协同控制</w:t>
            </w:r>
            <w:r>
              <w:rPr>
                <w:color w:val="auto"/>
                <w:kern w:val="0"/>
                <w:sz w:val="24"/>
              </w:rPr>
              <w:t>标准</w:t>
            </w:r>
          </w:p>
        </w:tc>
        <w:tc>
          <w:tcPr>
            <w:tcW w:w="8527" w:type="dxa"/>
          </w:tcPr>
          <w:p w14:paraId="40B53FC6">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废气</w:t>
            </w:r>
          </w:p>
          <w:p w14:paraId="2F96D494">
            <w:pPr>
              <w:adjustRightInd w:val="0"/>
              <w:snapToGrid w:val="0"/>
              <w:spacing w:line="360" w:lineRule="auto"/>
              <w:ind w:firstLine="480" w:firstLineChars="200"/>
              <w:rPr>
                <w:color w:val="auto"/>
                <w:sz w:val="24"/>
              </w:rPr>
            </w:pPr>
            <w:r>
              <w:rPr>
                <w:rFonts w:hint="eastAsia"/>
                <w:color w:val="auto"/>
                <w:sz w:val="24"/>
              </w:rPr>
              <w:t>本项目施工过程中产生的扬尘执行江苏省《施工场地扬尘排放标准》（DB32/4437-2022）中表1标准要求。</w:t>
            </w:r>
          </w:p>
          <w:p w14:paraId="19B24B48">
            <w:pPr>
              <w:adjustRightInd w:val="0"/>
              <w:snapToGrid w:val="0"/>
              <w:spacing w:line="360" w:lineRule="auto"/>
              <w:ind w:firstLine="480" w:firstLineChars="200"/>
              <w:rPr>
                <w:color w:val="auto"/>
                <w:sz w:val="24"/>
              </w:rPr>
            </w:pPr>
            <w:r>
              <w:rPr>
                <w:rFonts w:hint="eastAsia"/>
                <w:color w:val="auto"/>
                <w:sz w:val="24"/>
              </w:rPr>
              <w:t>建设</w:t>
            </w:r>
            <w:r>
              <w:rPr>
                <w:color w:val="auto"/>
                <w:sz w:val="24"/>
              </w:rPr>
              <w:t>项目</w:t>
            </w:r>
            <w:r>
              <w:rPr>
                <w:rFonts w:hint="eastAsia"/>
                <w:color w:val="auto"/>
                <w:sz w:val="24"/>
              </w:rPr>
              <w:t>DA001排气筒木材下料、木材倒角、大理石下料工序产生的颗粒物以及DA002排气筒木材修边磨平打磨、大理石修边打磨工序产生的颗粒物以及DA004排气筒金属下料、打磨、抛光工序产生的颗粒物执行江苏省地方标准《大气污染物综合排放标准》（DB32/4041-2021）表1标准；DA001排气筒封边、贴皮、大理石粘接工序产生的非甲烷总烃以及DA003排气筒批灰、调漆喷漆晾干烘干工序</w:t>
            </w:r>
            <w:r>
              <w:rPr>
                <w:rFonts w:hint="eastAsia"/>
                <w:color w:val="auto"/>
                <w:sz w:val="24"/>
                <w:lang w:val="en-US" w:eastAsia="zh-CN"/>
              </w:rPr>
              <w:t>及危废库</w:t>
            </w:r>
            <w:r>
              <w:rPr>
                <w:rFonts w:hint="eastAsia"/>
                <w:color w:val="auto"/>
                <w:sz w:val="24"/>
              </w:rPr>
              <w:t>产生的非甲烷总烃和颗粒物以及DA005排气筒金属压合、喷粉、烘烤固化工序产生的非甲烷总烃和颗粒物执行《工业涂装工序大气污染物排放标准》（DB32/4439-2022）表1标准；DA005排气筒天然气燃烧产生的二氧化硫、氮氧化物、颗粒物执行</w:t>
            </w:r>
            <w:r>
              <w:rPr>
                <w:rFonts w:hint="eastAsia"/>
                <w:bCs/>
                <w:color w:val="auto"/>
                <w:sz w:val="24"/>
              </w:rPr>
              <w:t>《工业炉窑大气污染物排放标准》（DB32/3728—2020）表1标准；DA006排气筒亚克力下料打标热弯、倒角、丝印烘烤洗网水、粘接、清洗工序产生的</w:t>
            </w:r>
            <w:r>
              <w:rPr>
                <w:rFonts w:hint="eastAsia"/>
                <w:color w:val="auto"/>
                <w:sz w:val="24"/>
              </w:rPr>
              <w:t>非甲烷总烃和颗粒物执行《印刷工业大气污染物排放标准》（DB32/4438-2022）表1限值及表3限值；厂界非1-2021）表3单位边界大气污染物排放监控浓度甲烷总烃、颗粒物无组织排放执行江苏省地方《大气污染物综合排放标准》（DB32/404限值；</w:t>
            </w:r>
            <w:r>
              <w:rPr>
                <w:color w:val="auto"/>
                <w:sz w:val="24"/>
              </w:rPr>
              <w:t>厂区内</w:t>
            </w:r>
            <w:r>
              <w:rPr>
                <w:bCs/>
                <w:color w:val="auto"/>
                <w:sz w:val="24"/>
              </w:rPr>
              <w:t>VOCs</w:t>
            </w:r>
            <w:r>
              <w:rPr>
                <w:color w:val="auto"/>
                <w:sz w:val="24"/>
              </w:rPr>
              <w:t>无组织排放</w:t>
            </w:r>
            <w:r>
              <w:rPr>
                <w:rFonts w:hint="eastAsia"/>
                <w:color w:val="auto"/>
                <w:sz w:val="24"/>
              </w:rPr>
              <w:t>限值</w:t>
            </w:r>
            <w:r>
              <w:rPr>
                <w:color w:val="auto"/>
                <w:sz w:val="24"/>
              </w:rPr>
              <w:t>执行《大气污染物综合排放标准》（DB32/4041-2021）表2排放限值</w:t>
            </w:r>
            <w:r>
              <w:rPr>
                <w:rFonts w:hint="eastAsia"/>
                <w:color w:val="auto"/>
                <w:sz w:val="24"/>
              </w:rPr>
              <w:t>。</w:t>
            </w:r>
            <w:r>
              <w:rPr>
                <w:rFonts w:hint="eastAsia"/>
                <w:bCs/>
                <w:color w:val="auto"/>
                <w:sz w:val="24"/>
              </w:rPr>
              <w:t>食堂油烟的排放执行《饮食业油烟排放标准（试行）》（GB18483-2001）中中型规模的限值标准，具体见表3.4-2。</w:t>
            </w:r>
          </w:p>
          <w:p w14:paraId="39E8359E">
            <w:pPr>
              <w:adjustRightInd w:val="0"/>
              <w:snapToGrid w:val="0"/>
              <w:ind w:firstLine="482" w:firstLineChars="200"/>
              <w:jc w:val="center"/>
              <w:rPr>
                <w:b/>
                <w:bCs/>
                <w:color w:val="auto"/>
                <w:sz w:val="24"/>
              </w:rPr>
            </w:pPr>
            <w:r>
              <w:rPr>
                <w:b/>
                <w:color w:val="auto"/>
                <w:sz w:val="24"/>
              </w:rPr>
              <w:t>表3</w:t>
            </w:r>
            <w:r>
              <w:rPr>
                <w:rFonts w:hint="eastAsia"/>
                <w:b/>
                <w:color w:val="auto"/>
                <w:sz w:val="24"/>
              </w:rPr>
              <w:t>.4-1</w:t>
            </w:r>
            <w:r>
              <w:rPr>
                <w:b/>
                <w:color w:val="auto"/>
                <w:sz w:val="24"/>
              </w:rPr>
              <w:t>大气污染物排放标准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819"/>
              <w:gridCol w:w="1027"/>
              <w:gridCol w:w="912"/>
              <w:gridCol w:w="1234"/>
              <w:gridCol w:w="1420"/>
              <w:gridCol w:w="1698"/>
            </w:tblGrid>
            <w:tr w14:paraId="5AC22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722" w:type="pct"/>
                  <w:vAlign w:val="center"/>
                </w:tcPr>
                <w:p w14:paraId="2236D7A3">
                  <w:pPr>
                    <w:jc w:val="center"/>
                    <w:rPr>
                      <w:b/>
                      <w:bCs/>
                      <w:color w:val="auto"/>
                      <w:szCs w:val="21"/>
                    </w:rPr>
                  </w:pPr>
                  <w:r>
                    <w:rPr>
                      <w:rFonts w:hint="eastAsia"/>
                      <w:b/>
                      <w:bCs/>
                      <w:color w:val="auto"/>
                      <w:szCs w:val="21"/>
                    </w:rPr>
                    <w:t>产污环节</w:t>
                  </w:r>
                </w:p>
              </w:tc>
              <w:tc>
                <w:tcPr>
                  <w:tcW w:w="492" w:type="pct"/>
                  <w:tcMar>
                    <w:left w:w="28" w:type="dxa"/>
                    <w:right w:w="28" w:type="dxa"/>
                  </w:tcMar>
                  <w:vAlign w:val="center"/>
                </w:tcPr>
                <w:p w14:paraId="4058EF0F">
                  <w:pPr>
                    <w:jc w:val="center"/>
                    <w:rPr>
                      <w:b/>
                      <w:bCs/>
                      <w:color w:val="auto"/>
                      <w:szCs w:val="21"/>
                    </w:rPr>
                  </w:pPr>
                  <w:r>
                    <w:rPr>
                      <w:b/>
                      <w:bCs/>
                      <w:color w:val="auto"/>
                      <w:szCs w:val="21"/>
                    </w:rPr>
                    <w:t>污染物名称</w:t>
                  </w:r>
                </w:p>
              </w:tc>
              <w:tc>
                <w:tcPr>
                  <w:tcW w:w="617" w:type="pct"/>
                  <w:tcMar>
                    <w:left w:w="28" w:type="dxa"/>
                    <w:right w:w="28" w:type="dxa"/>
                  </w:tcMar>
                  <w:vAlign w:val="center"/>
                </w:tcPr>
                <w:p w14:paraId="0D2AB1AF">
                  <w:pPr>
                    <w:jc w:val="center"/>
                    <w:rPr>
                      <w:b/>
                      <w:bCs/>
                      <w:color w:val="auto"/>
                      <w:szCs w:val="21"/>
                    </w:rPr>
                  </w:pPr>
                  <w:r>
                    <w:rPr>
                      <w:b/>
                      <w:bCs/>
                      <w:color w:val="auto"/>
                      <w:szCs w:val="21"/>
                    </w:rPr>
                    <w:t>最高允许排放浓度</w:t>
                  </w:r>
                </w:p>
                <w:p w14:paraId="29C4587E">
                  <w:pPr>
                    <w:jc w:val="center"/>
                    <w:rPr>
                      <w:b/>
                      <w:bCs/>
                      <w:color w:val="auto"/>
                      <w:szCs w:val="21"/>
                    </w:rPr>
                  </w:pPr>
                  <w:r>
                    <w:rPr>
                      <w:rFonts w:hint="eastAsia"/>
                      <w:b/>
                      <w:bCs/>
                      <w:color w:val="auto"/>
                      <w:szCs w:val="21"/>
                      <w:lang w:eastAsia="zh-CN"/>
                    </w:rPr>
                    <w:t>(</w:t>
                  </w:r>
                  <w:r>
                    <w:rPr>
                      <w:b/>
                      <w:bCs/>
                      <w:color w:val="auto"/>
                      <w:szCs w:val="21"/>
                    </w:rPr>
                    <w:t>mg/</w:t>
                  </w:r>
                  <w:r>
                    <w:rPr>
                      <w:rFonts w:hint="eastAsia"/>
                      <w:b/>
                      <w:bCs/>
                      <w:color w:val="auto"/>
                      <w:szCs w:val="21"/>
                      <w:lang w:eastAsia="zh-CN"/>
                    </w:rPr>
                    <w:t>(3)</w:t>
                  </w:r>
                </w:p>
              </w:tc>
              <w:tc>
                <w:tcPr>
                  <w:tcW w:w="548" w:type="pct"/>
                  <w:tcMar>
                    <w:left w:w="28" w:type="dxa"/>
                    <w:right w:w="28" w:type="dxa"/>
                  </w:tcMar>
                  <w:vAlign w:val="center"/>
                </w:tcPr>
                <w:p w14:paraId="142F1E3A">
                  <w:pPr>
                    <w:jc w:val="center"/>
                    <w:rPr>
                      <w:b/>
                      <w:bCs/>
                      <w:color w:val="auto"/>
                      <w:szCs w:val="21"/>
                    </w:rPr>
                  </w:pPr>
                  <w:r>
                    <w:rPr>
                      <w:b/>
                      <w:bCs/>
                      <w:color w:val="auto"/>
                      <w:szCs w:val="21"/>
                    </w:rPr>
                    <w:t>最高允许排放速率（kg/h）</w:t>
                  </w:r>
                </w:p>
              </w:tc>
              <w:tc>
                <w:tcPr>
                  <w:tcW w:w="742" w:type="pct"/>
                  <w:tcMar>
                    <w:left w:w="28" w:type="dxa"/>
                    <w:right w:w="28" w:type="dxa"/>
                  </w:tcMar>
                  <w:vAlign w:val="center"/>
                </w:tcPr>
                <w:p w14:paraId="415A7097">
                  <w:pPr>
                    <w:jc w:val="center"/>
                    <w:rPr>
                      <w:b/>
                      <w:bCs/>
                      <w:color w:val="auto"/>
                      <w:szCs w:val="21"/>
                    </w:rPr>
                  </w:pPr>
                  <w:r>
                    <w:rPr>
                      <w:b/>
                      <w:bCs/>
                      <w:color w:val="auto"/>
                      <w:szCs w:val="21"/>
                    </w:rPr>
                    <w:t>无组织排放监控浓度限值（mg/m</w:t>
                  </w:r>
                  <w:r>
                    <w:rPr>
                      <w:b/>
                      <w:bCs/>
                      <w:color w:val="auto"/>
                      <w:szCs w:val="21"/>
                      <w:vertAlign w:val="superscript"/>
                    </w:rPr>
                    <w:t>3</w:t>
                  </w:r>
                  <w:r>
                    <w:rPr>
                      <w:b/>
                      <w:bCs/>
                      <w:color w:val="auto"/>
                      <w:szCs w:val="21"/>
                    </w:rPr>
                    <w:t>）</w:t>
                  </w:r>
                </w:p>
              </w:tc>
              <w:tc>
                <w:tcPr>
                  <w:tcW w:w="854" w:type="pct"/>
                  <w:vAlign w:val="center"/>
                </w:tcPr>
                <w:p w14:paraId="6CB2A3D6">
                  <w:pPr>
                    <w:jc w:val="center"/>
                    <w:rPr>
                      <w:b/>
                      <w:bCs/>
                      <w:color w:val="auto"/>
                      <w:szCs w:val="21"/>
                    </w:rPr>
                  </w:pPr>
                  <w:r>
                    <w:rPr>
                      <w:rFonts w:hint="eastAsia"/>
                      <w:b/>
                      <w:bCs/>
                      <w:color w:val="auto"/>
                      <w:szCs w:val="21"/>
                    </w:rPr>
                    <w:t>污染物排放监控位置</w:t>
                  </w:r>
                </w:p>
              </w:tc>
              <w:tc>
                <w:tcPr>
                  <w:tcW w:w="1021" w:type="pct"/>
                  <w:vAlign w:val="center"/>
                </w:tcPr>
                <w:p w14:paraId="32AF8B7C">
                  <w:pPr>
                    <w:jc w:val="center"/>
                    <w:rPr>
                      <w:b/>
                      <w:bCs/>
                      <w:color w:val="auto"/>
                      <w:szCs w:val="21"/>
                    </w:rPr>
                  </w:pPr>
                  <w:r>
                    <w:rPr>
                      <w:b/>
                      <w:bCs/>
                      <w:color w:val="auto"/>
                      <w:szCs w:val="21"/>
                    </w:rPr>
                    <w:t>标准来源</w:t>
                  </w:r>
                </w:p>
              </w:tc>
            </w:tr>
            <w:tr w14:paraId="10C37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Align w:val="center"/>
                </w:tcPr>
                <w:p w14:paraId="5E5595B3">
                  <w:pPr>
                    <w:jc w:val="center"/>
                    <w:rPr>
                      <w:color w:val="auto"/>
                      <w:szCs w:val="21"/>
                    </w:rPr>
                  </w:pPr>
                  <w:r>
                    <w:rPr>
                      <w:rFonts w:hint="eastAsia"/>
                      <w:color w:val="auto"/>
                      <w:szCs w:val="21"/>
                    </w:rPr>
                    <w:t>施工期</w:t>
                  </w:r>
                </w:p>
              </w:tc>
              <w:tc>
                <w:tcPr>
                  <w:tcW w:w="492" w:type="pct"/>
                  <w:tcMar>
                    <w:left w:w="28" w:type="dxa"/>
                    <w:right w:w="28" w:type="dxa"/>
                  </w:tcMar>
                  <w:vAlign w:val="center"/>
                </w:tcPr>
                <w:p w14:paraId="432D1A89">
                  <w:pPr>
                    <w:jc w:val="center"/>
                    <w:rPr>
                      <w:color w:val="auto"/>
                      <w:szCs w:val="21"/>
                    </w:rPr>
                  </w:pPr>
                  <w:r>
                    <w:rPr>
                      <w:rFonts w:hint="eastAsia"/>
                      <w:color w:val="auto"/>
                      <w:szCs w:val="21"/>
                    </w:rPr>
                    <w:t>颗粒物</w:t>
                  </w:r>
                </w:p>
              </w:tc>
              <w:tc>
                <w:tcPr>
                  <w:tcW w:w="617" w:type="pct"/>
                  <w:tcMar>
                    <w:left w:w="28" w:type="dxa"/>
                    <w:right w:w="28" w:type="dxa"/>
                  </w:tcMar>
                  <w:vAlign w:val="center"/>
                </w:tcPr>
                <w:p w14:paraId="363FF555">
                  <w:pPr>
                    <w:keepNext/>
                    <w:keepLines/>
                    <w:snapToGrid w:val="0"/>
                    <w:spacing w:before="80" w:after="80"/>
                    <w:jc w:val="center"/>
                    <w:outlineLvl w:val="0"/>
                    <w:rPr>
                      <w:bCs/>
                      <w:color w:val="auto"/>
                      <w:szCs w:val="21"/>
                    </w:rPr>
                  </w:pPr>
                  <w:r>
                    <w:rPr>
                      <w:rFonts w:hint="eastAsia"/>
                      <w:bCs/>
                      <w:color w:val="auto"/>
                      <w:szCs w:val="21"/>
                    </w:rPr>
                    <w:t>/</w:t>
                  </w:r>
                </w:p>
              </w:tc>
              <w:tc>
                <w:tcPr>
                  <w:tcW w:w="548" w:type="pct"/>
                  <w:tcMar>
                    <w:left w:w="28" w:type="dxa"/>
                    <w:right w:w="28" w:type="dxa"/>
                  </w:tcMar>
                  <w:vAlign w:val="center"/>
                </w:tcPr>
                <w:p w14:paraId="107EEF95">
                  <w:pPr>
                    <w:keepNext/>
                    <w:keepLines/>
                    <w:snapToGrid w:val="0"/>
                    <w:spacing w:before="80" w:after="80"/>
                    <w:jc w:val="center"/>
                    <w:outlineLvl w:val="0"/>
                    <w:rPr>
                      <w:bCs/>
                      <w:color w:val="auto"/>
                      <w:szCs w:val="21"/>
                    </w:rPr>
                  </w:pPr>
                  <w:r>
                    <w:rPr>
                      <w:rFonts w:hint="eastAsia"/>
                      <w:bCs/>
                      <w:color w:val="auto"/>
                      <w:szCs w:val="21"/>
                    </w:rPr>
                    <w:t>/</w:t>
                  </w:r>
                </w:p>
              </w:tc>
              <w:tc>
                <w:tcPr>
                  <w:tcW w:w="742" w:type="pct"/>
                  <w:tcMar>
                    <w:left w:w="28" w:type="dxa"/>
                    <w:right w:w="28" w:type="dxa"/>
                  </w:tcMar>
                  <w:vAlign w:val="center"/>
                </w:tcPr>
                <w:p w14:paraId="6F9106F5">
                  <w:pPr>
                    <w:jc w:val="center"/>
                    <w:rPr>
                      <w:color w:val="auto"/>
                      <w:szCs w:val="21"/>
                    </w:rPr>
                  </w:pPr>
                  <w:r>
                    <w:rPr>
                      <w:rFonts w:hint="eastAsia"/>
                      <w:color w:val="auto"/>
                      <w:szCs w:val="21"/>
                    </w:rPr>
                    <w:t>0.5</w:t>
                  </w:r>
                </w:p>
              </w:tc>
              <w:tc>
                <w:tcPr>
                  <w:tcW w:w="854" w:type="pct"/>
                  <w:vAlign w:val="center"/>
                </w:tcPr>
                <w:p w14:paraId="6DC3C2E1">
                  <w:pPr>
                    <w:jc w:val="center"/>
                    <w:rPr>
                      <w:bCs/>
                      <w:color w:val="auto"/>
                      <w:szCs w:val="21"/>
                    </w:rPr>
                  </w:pPr>
                  <w:r>
                    <w:rPr>
                      <w:rFonts w:hint="eastAsia"/>
                      <w:bCs/>
                      <w:color w:val="auto"/>
                      <w:szCs w:val="21"/>
                    </w:rPr>
                    <w:t>易产生扬尘场所</w:t>
                  </w:r>
                </w:p>
              </w:tc>
              <w:tc>
                <w:tcPr>
                  <w:tcW w:w="1021" w:type="pct"/>
                  <w:vAlign w:val="center"/>
                </w:tcPr>
                <w:p w14:paraId="002D4082">
                  <w:pPr>
                    <w:jc w:val="center"/>
                    <w:rPr>
                      <w:bCs/>
                      <w:color w:val="auto"/>
                      <w:szCs w:val="21"/>
                    </w:rPr>
                  </w:pPr>
                  <w:r>
                    <w:rPr>
                      <w:rFonts w:hint="eastAsia"/>
                      <w:bCs/>
                      <w:color w:val="auto"/>
                      <w:szCs w:val="21"/>
                    </w:rPr>
                    <w:t>江苏省《施工场地扬尘排放标准》（DB32/4437-2022）</w:t>
                  </w:r>
                </w:p>
              </w:tc>
            </w:tr>
            <w:tr w14:paraId="1CC00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Align w:val="center"/>
                </w:tcPr>
                <w:p w14:paraId="47F89633">
                  <w:pPr>
                    <w:jc w:val="center"/>
                    <w:rPr>
                      <w:color w:val="auto"/>
                      <w:szCs w:val="21"/>
                    </w:rPr>
                  </w:pPr>
                  <w:r>
                    <w:rPr>
                      <w:rFonts w:hint="eastAsia"/>
                      <w:color w:val="auto"/>
                      <w:szCs w:val="21"/>
                    </w:rPr>
                    <w:t>木材下料、倒角、大理石下料、木材修边磨平打磨、大理石修边打磨、金属下料、打磨、抛光工序</w:t>
                  </w:r>
                </w:p>
              </w:tc>
              <w:tc>
                <w:tcPr>
                  <w:tcW w:w="492" w:type="pct"/>
                  <w:tcMar>
                    <w:left w:w="28" w:type="dxa"/>
                    <w:right w:w="28" w:type="dxa"/>
                  </w:tcMar>
                  <w:vAlign w:val="center"/>
                </w:tcPr>
                <w:p w14:paraId="0F62E2E6">
                  <w:pPr>
                    <w:jc w:val="center"/>
                    <w:rPr>
                      <w:color w:val="auto"/>
                      <w:szCs w:val="21"/>
                    </w:rPr>
                  </w:pPr>
                  <w:r>
                    <w:rPr>
                      <w:rFonts w:hint="eastAsia"/>
                      <w:color w:val="auto"/>
                      <w:szCs w:val="21"/>
                    </w:rPr>
                    <w:t>颗粒物</w:t>
                  </w:r>
                </w:p>
              </w:tc>
              <w:tc>
                <w:tcPr>
                  <w:tcW w:w="617" w:type="pct"/>
                  <w:tcMar>
                    <w:left w:w="28" w:type="dxa"/>
                    <w:right w:w="28" w:type="dxa"/>
                  </w:tcMar>
                  <w:vAlign w:val="center"/>
                </w:tcPr>
                <w:p w14:paraId="36E8FE07">
                  <w:pPr>
                    <w:keepNext/>
                    <w:keepLines/>
                    <w:snapToGrid w:val="0"/>
                    <w:spacing w:before="80" w:after="80"/>
                    <w:jc w:val="center"/>
                    <w:outlineLvl w:val="0"/>
                    <w:rPr>
                      <w:bCs/>
                      <w:color w:val="auto"/>
                      <w:szCs w:val="21"/>
                    </w:rPr>
                  </w:pPr>
                  <w:r>
                    <w:rPr>
                      <w:rFonts w:hint="eastAsia"/>
                      <w:bCs/>
                      <w:color w:val="auto"/>
                      <w:szCs w:val="21"/>
                    </w:rPr>
                    <w:t>20</w:t>
                  </w:r>
                </w:p>
              </w:tc>
              <w:tc>
                <w:tcPr>
                  <w:tcW w:w="548" w:type="pct"/>
                  <w:tcMar>
                    <w:left w:w="28" w:type="dxa"/>
                    <w:right w:w="28" w:type="dxa"/>
                  </w:tcMar>
                  <w:vAlign w:val="center"/>
                </w:tcPr>
                <w:p w14:paraId="79F17F62">
                  <w:pPr>
                    <w:keepNext/>
                    <w:keepLines/>
                    <w:snapToGrid w:val="0"/>
                    <w:spacing w:before="80" w:after="80"/>
                    <w:jc w:val="center"/>
                    <w:outlineLvl w:val="0"/>
                    <w:rPr>
                      <w:bCs/>
                      <w:color w:val="auto"/>
                      <w:szCs w:val="21"/>
                    </w:rPr>
                  </w:pPr>
                  <w:r>
                    <w:rPr>
                      <w:rFonts w:hint="eastAsia"/>
                      <w:bCs/>
                      <w:color w:val="auto"/>
                      <w:szCs w:val="21"/>
                    </w:rPr>
                    <w:t>1</w:t>
                  </w:r>
                </w:p>
              </w:tc>
              <w:tc>
                <w:tcPr>
                  <w:tcW w:w="742" w:type="pct"/>
                  <w:tcMar>
                    <w:left w:w="28" w:type="dxa"/>
                    <w:right w:w="28" w:type="dxa"/>
                  </w:tcMar>
                  <w:vAlign w:val="center"/>
                </w:tcPr>
                <w:p w14:paraId="01BF45A7">
                  <w:pPr>
                    <w:jc w:val="center"/>
                    <w:rPr>
                      <w:color w:val="auto"/>
                      <w:szCs w:val="21"/>
                    </w:rPr>
                  </w:pPr>
                  <w:r>
                    <w:rPr>
                      <w:rFonts w:hint="eastAsia"/>
                      <w:color w:val="auto"/>
                      <w:szCs w:val="21"/>
                    </w:rPr>
                    <w:t>0.5</w:t>
                  </w:r>
                </w:p>
              </w:tc>
              <w:tc>
                <w:tcPr>
                  <w:tcW w:w="854" w:type="pct"/>
                  <w:vAlign w:val="center"/>
                </w:tcPr>
                <w:p w14:paraId="3E144140">
                  <w:pPr>
                    <w:jc w:val="center"/>
                    <w:rPr>
                      <w:bCs/>
                      <w:color w:val="auto"/>
                      <w:szCs w:val="21"/>
                    </w:rPr>
                  </w:pPr>
                  <w:r>
                    <w:rPr>
                      <w:rFonts w:hint="eastAsia"/>
                      <w:bCs/>
                      <w:color w:val="auto"/>
                      <w:szCs w:val="21"/>
                    </w:rPr>
                    <w:t>车间排气筒出口或生产设施排气筒出口；无组织为边界外浓度最高点</w:t>
                  </w:r>
                </w:p>
              </w:tc>
              <w:tc>
                <w:tcPr>
                  <w:tcW w:w="1021" w:type="pct"/>
                  <w:vAlign w:val="center"/>
                </w:tcPr>
                <w:p w14:paraId="182BEF72">
                  <w:pPr>
                    <w:jc w:val="center"/>
                    <w:rPr>
                      <w:color w:val="auto"/>
                      <w:szCs w:val="21"/>
                    </w:rPr>
                  </w:pPr>
                  <w:r>
                    <w:rPr>
                      <w:rFonts w:hint="eastAsia"/>
                      <w:bCs/>
                      <w:color w:val="auto"/>
                      <w:szCs w:val="21"/>
                    </w:rPr>
                    <w:t>《大气污染物综合排放标准》（DB32/4041-2021）表1、表3</w:t>
                  </w:r>
                </w:p>
              </w:tc>
            </w:tr>
            <w:tr w14:paraId="3BC46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722" w:type="pct"/>
                  <w:vAlign w:val="center"/>
                </w:tcPr>
                <w:p w14:paraId="0454CEA0">
                  <w:pPr>
                    <w:jc w:val="center"/>
                    <w:rPr>
                      <w:color w:val="auto"/>
                      <w:szCs w:val="21"/>
                    </w:rPr>
                  </w:pPr>
                  <w:r>
                    <w:rPr>
                      <w:rFonts w:hint="eastAsia"/>
                      <w:color w:val="auto"/>
                      <w:szCs w:val="21"/>
                    </w:rPr>
                    <w:t>喷漆、喷粉</w:t>
                  </w:r>
                </w:p>
              </w:tc>
              <w:tc>
                <w:tcPr>
                  <w:tcW w:w="492" w:type="pct"/>
                  <w:tcMar>
                    <w:left w:w="28" w:type="dxa"/>
                    <w:right w:w="28" w:type="dxa"/>
                  </w:tcMar>
                  <w:vAlign w:val="center"/>
                </w:tcPr>
                <w:p w14:paraId="4C2DEBDA">
                  <w:pPr>
                    <w:jc w:val="center"/>
                    <w:rPr>
                      <w:color w:val="auto"/>
                      <w:szCs w:val="21"/>
                    </w:rPr>
                  </w:pPr>
                  <w:r>
                    <w:rPr>
                      <w:rFonts w:hint="eastAsia"/>
                      <w:color w:val="auto"/>
                      <w:szCs w:val="21"/>
                    </w:rPr>
                    <w:t>颗粒物</w:t>
                  </w:r>
                </w:p>
              </w:tc>
              <w:tc>
                <w:tcPr>
                  <w:tcW w:w="617" w:type="pct"/>
                  <w:tcMar>
                    <w:left w:w="28" w:type="dxa"/>
                    <w:right w:w="28" w:type="dxa"/>
                  </w:tcMar>
                  <w:vAlign w:val="center"/>
                </w:tcPr>
                <w:p w14:paraId="2207CB3E">
                  <w:pPr>
                    <w:keepNext/>
                    <w:keepLines/>
                    <w:snapToGrid w:val="0"/>
                    <w:spacing w:before="80" w:after="80"/>
                    <w:jc w:val="center"/>
                    <w:outlineLvl w:val="0"/>
                    <w:rPr>
                      <w:bCs/>
                      <w:color w:val="auto"/>
                      <w:szCs w:val="21"/>
                    </w:rPr>
                  </w:pPr>
                  <w:r>
                    <w:rPr>
                      <w:rFonts w:hint="eastAsia"/>
                      <w:bCs/>
                      <w:color w:val="auto"/>
                      <w:szCs w:val="21"/>
                    </w:rPr>
                    <w:t>10</w:t>
                  </w:r>
                </w:p>
              </w:tc>
              <w:tc>
                <w:tcPr>
                  <w:tcW w:w="548" w:type="pct"/>
                  <w:tcMar>
                    <w:left w:w="28" w:type="dxa"/>
                    <w:right w:w="28" w:type="dxa"/>
                  </w:tcMar>
                  <w:vAlign w:val="center"/>
                </w:tcPr>
                <w:p w14:paraId="7BF11141">
                  <w:pPr>
                    <w:keepNext/>
                    <w:keepLines/>
                    <w:snapToGrid w:val="0"/>
                    <w:spacing w:before="80" w:after="80"/>
                    <w:jc w:val="center"/>
                    <w:outlineLvl w:val="0"/>
                    <w:rPr>
                      <w:bCs/>
                      <w:color w:val="auto"/>
                      <w:szCs w:val="21"/>
                    </w:rPr>
                  </w:pPr>
                  <w:r>
                    <w:rPr>
                      <w:rFonts w:hint="eastAsia"/>
                      <w:bCs/>
                      <w:color w:val="auto"/>
                      <w:szCs w:val="21"/>
                    </w:rPr>
                    <w:t>0.4</w:t>
                  </w:r>
                </w:p>
              </w:tc>
              <w:tc>
                <w:tcPr>
                  <w:tcW w:w="742" w:type="pct"/>
                  <w:tcMar>
                    <w:left w:w="28" w:type="dxa"/>
                    <w:right w:w="28" w:type="dxa"/>
                  </w:tcMar>
                  <w:vAlign w:val="center"/>
                </w:tcPr>
                <w:p w14:paraId="7F38B8E9">
                  <w:pPr>
                    <w:jc w:val="center"/>
                    <w:rPr>
                      <w:color w:val="auto"/>
                      <w:szCs w:val="21"/>
                    </w:rPr>
                  </w:pPr>
                  <w:r>
                    <w:rPr>
                      <w:rFonts w:hint="eastAsia"/>
                      <w:color w:val="auto"/>
                      <w:szCs w:val="21"/>
                    </w:rPr>
                    <w:t>0.5</w:t>
                  </w:r>
                </w:p>
              </w:tc>
              <w:tc>
                <w:tcPr>
                  <w:tcW w:w="854" w:type="pct"/>
                  <w:vMerge w:val="restart"/>
                  <w:vAlign w:val="center"/>
                </w:tcPr>
                <w:p w14:paraId="2FAD55FC">
                  <w:pPr>
                    <w:jc w:val="center"/>
                    <w:rPr>
                      <w:bCs/>
                      <w:color w:val="auto"/>
                      <w:szCs w:val="21"/>
                    </w:rPr>
                  </w:pPr>
                  <w:r>
                    <w:rPr>
                      <w:rFonts w:hint="eastAsia"/>
                      <w:bCs/>
                      <w:color w:val="auto"/>
                      <w:szCs w:val="21"/>
                    </w:rPr>
                    <w:t>车间排气筒出口或生产设施排气筒出口；无组织为边界外浓度最高点</w:t>
                  </w:r>
                </w:p>
              </w:tc>
              <w:tc>
                <w:tcPr>
                  <w:tcW w:w="1021" w:type="pct"/>
                  <w:vMerge w:val="restart"/>
                  <w:vAlign w:val="center"/>
                </w:tcPr>
                <w:p w14:paraId="30E5BA9D">
                  <w:pPr>
                    <w:jc w:val="center"/>
                    <w:rPr>
                      <w:bCs/>
                      <w:color w:val="auto"/>
                      <w:szCs w:val="21"/>
                    </w:rPr>
                  </w:pPr>
                  <w:r>
                    <w:rPr>
                      <w:rFonts w:hint="eastAsia"/>
                      <w:color w:val="auto"/>
                      <w:szCs w:val="21"/>
                    </w:rPr>
                    <w:t>有组织废气和厂内无组织非甲烷总烃执行江苏省地方标准《工业涂装工序大气污染物排放标准》（</w:t>
                  </w:r>
                  <w:r>
                    <w:rPr>
                      <w:color w:val="auto"/>
                      <w:szCs w:val="21"/>
                    </w:rPr>
                    <w:t>DB32/4439-2022</w:t>
                  </w:r>
                  <w:r>
                    <w:rPr>
                      <w:rFonts w:hint="eastAsia"/>
                      <w:color w:val="auto"/>
                      <w:szCs w:val="21"/>
                    </w:rPr>
                    <w:t>）表1和表3标准，</w:t>
                  </w:r>
                  <w:r>
                    <w:rPr>
                      <w:rFonts w:hint="eastAsia"/>
                      <w:color w:val="auto"/>
                      <w:szCs w:val="21"/>
                      <w:lang w:val="en-US" w:eastAsia="zh-CN"/>
                    </w:rPr>
                    <w:t>苯乙烯排放速率和厂界标准参照《恶臭污染物排放标准》GB 14554-93</w:t>
                  </w:r>
                  <w:r>
                    <w:rPr>
                      <w:rFonts w:hint="eastAsia"/>
                      <w:color w:val="auto"/>
                      <w:szCs w:val="21"/>
                    </w:rPr>
                    <w:t>表1和表</w:t>
                  </w:r>
                  <w:r>
                    <w:rPr>
                      <w:rFonts w:hint="eastAsia"/>
                      <w:color w:val="auto"/>
                      <w:szCs w:val="21"/>
                      <w:lang w:val="en-US" w:eastAsia="zh-CN"/>
                    </w:rPr>
                    <w:t>2</w:t>
                  </w:r>
                  <w:r>
                    <w:rPr>
                      <w:rFonts w:hint="eastAsia"/>
                      <w:color w:val="auto"/>
                      <w:szCs w:val="21"/>
                    </w:rPr>
                    <w:t>标准，</w:t>
                  </w:r>
                  <w:r>
                    <w:rPr>
                      <w:rFonts w:hint="eastAsia" w:hAnsiTheme="minorEastAsia" w:eastAsiaTheme="minorEastAsia"/>
                      <w:color w:val="auto"/>
                      <w:kern w:val="0"/>
                      <w:szCs w:val="21"/>
                    </w:rPr>
                    <w:t>厂界</w:t>
                  </w:r>
                  <w:r>
                    <w:rPr>
                      <w:color w:val="auto"/>
                      <w:szCs w:val="21"/>
                    </w:rPr>
                    <w:t>非甲烷总烃</w:t>
                  </w:r>
                  <w:r>
                    <w:rPr>
                      <w:rFonts w:hint="eastAsia"/>
                      <w:color w:val="auto"/>
                      <w:szCs w:val="21"/>
                    </w:rPr>
                    <w:t>、颗粒物</w:t>
                  </w:r>
                  <w:r>
                    <w:rPr>
                      <w:color w:val="auto"/>
                      <w:szCs w:val="21"/>
                    </w:rPr>
                    <w:t>无组织排放执行江苏省地方</w:t>
                  </w:r>
                  <w:r>
                    <w:rPr>
                      <w:rFonts w:hint="eastAsia"/>
                      <w:color w:val="auto"/>
                      <w:szCs w:val="21"/>
                    </w:rPr>
                    <w:t>《大气污染物综合排放标准》（DB32/4041-2021）</w:t>
                  </w:r>
                  <w:r>
                    <w:rPr>
                      <w:rFonts w:hint="eastAsia" w:eastAsiaTheme="minorEastAsia"/>
                      <w:color w:val="auto"/>
                      <w:szCs w:val="21"/>
                    </w:rPr>
                    <w:t>表</w:t>
                  </w:r>
                  <w:r>
                    <w:rPr>
                      <w:rStyle w:val="147"/>
                      <w:rFonts w:hint="eastAsia"/>
                      <w:color w:val="auto"/>
                      <w:szCs w:val="21"/>
                    </w:rPr>
                    <w:t>3</w:t>
                  </w:r>
                </w:p>
              </w:tc>
            </w:tr>
            <w:tr w14:paraId="49311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722" w:type="pct"/>
                  <w:vMerge w:val="restart"/>
                  <w:vAlign w:val="center"/>
                </w:tcPr>
                <w:p w14:paraId="61629306">
                  <w:pPr>
                    <w:jc w:val="center"/>
                    <w:rPr>
                      <w:color w:val="auto"/>
                      <w:szCs w:val="21"/>
                    </w:rPr>
                  </w:pPr>
                  <w:r>
                    <w:rPr>
                      <w:rFonts w:hint="eastAsia"/>
                      <w:color w:val="auto"/>
                      <w:szCs w:val="21"/>
                    </w:rPr>
                    <w:t>调漆、喷漆、晾干/烘干</w:t>
                  </w:r>
                </w:p>
              </w:tc>
              <w:tc>
                <w:tcPr>
                  <w:tcW w:w="492" w:type="pct"/>
                  <w:tcMar>
                    <w:left w:w="28" w:type="dxa"/>
                    <w:right w:w="28" w:type="dxa"/>
                  </w:tcMar>
                  <w:vAlign w:val="center"/>
                </w:tcPr>
                <w:p w14:paraId="431F91C1">
                  <w:pPr>
                    <w:jc w:val="center"/>
                    <w:rPr>
                      <w:color w:val="auto"/>
                      <w:szCs w:val="21"/>
                    </w:rPr>
                  </w:pPr>
                  <w:r>
                    <w:rPr>
                      <w:rFonts w:hint="eastAsia"/>
                      <w:color w:val="auto"/>
                      <w:szCs w:val="21"/>
                    </w:rPr>
                    <w:t>苯乙烯</w:t>
                  </w:r>
                </w:p>
              </w:tc>
              <w:tc>
                <w:tcPr>
                  <w:tcW w:w="617" w:type="pct"/>
                  <w:tcMar>
                    <w:left w:w="28" w:type="dxa"/>
                    <w:right w:w="28" w:type="dxa"/>
                  </w:tcMar>
                  <w:vAlign w:val="center"/>
                </w:tcPr>
                <w:p w14:paraId="3E50D270">
                  <w:pPr>
                    <w:keepNext/>
                    <w:keepLines/>
                    <w:snapToGrid w:val="0"/>
                    <w:spacing w:before="80" w:after="80"/>
                    <w:jc w:val="center"/>
                    <w:outlineLvl w:val="0"/>
                    <w:rPr>
                      <w:rFonts w:hint="eastAsia" w:eastAsia="宋体"/>
                      <w:bCs/>
                      <w:color w:val="auto"/>
                      <w:szCs w:val="21"/>
                      <w:lang w:eastAsia="zh-CN"/>
                    </w:rPr>
                  </w:pPr>
                  <w:r>
                    <w:rPr>
                      <w:rFonts w:hint="eastAsia"/>
                      <w:bCs/>
                      <w:color w:val="auto"/>
                      <w:szCs w:val="21"/>
                      <w:lang w:val="en-US" w:eastAsia="zh-CN"/>
                    </w:rPr>
                    <w:t>/</w:t>
                  </w:r>
                </w:p>
              </w:tc>
              <w:tc>
                <w:tcPr>
                  <w:tcW w:w="548" w:type="pct"/>
                  <w:tcMar>
                    <w:left w:w="28" w:type="dxa"/>
                    <w:right w:w="28" w:type="dxa"/>
                  </w:tcMar>
                  <w:vAlign w:val="center"/>
                </w:tcPr>
                <w:p w14:paraId="670A58CE">
                  <w:pPr>
                    <w:keepNext/>
                    <w:keepLines/>
                    <w:snapToGrid w:val="0"/>
                    <w:spacing w:before="80" w:after="80"/>
                    <w:jc w:val="center"/>
                    <w:outlineLvl w:val="0"/>
                    <w:rPr>
                      <w:rFonts w:hint="default" w:eastAsia="宋体"/>
                      <w:bCs/>
                      <w:color w:val="auto"/>
                      <w:szCs w:val="21"/>
                      <w:lang w:val="en-US" w:eastAsia="zh-CN"/>
                    </w:rPr>
                  </w:pPr>
                  <w:r>
                    <w:rPr>
                      <w:rFonts w:hint="eastAsia"/>
                      <w:bCs/>
                      <w:color w:val="auto"/>
                      <w:szCs w:val="21"/>
                      <w:lang w:val="en-US" w:eastAsia="zh-CN"/>
                    </w:rPr>
                    <w:t>6.5</w:t>
                  </w:r>
                </w:p>
              </w:tc>
              <w:tc>
                <w:tcPr>
                  <w:tcW w:w="742" w:type="pct"/>
                  <w:tcMar>
                    <w:left w:w="28" w:type="dxa"/>
                    <w:right w:w="28" w:type="dxa"/>
                  </w:tcMar>
                  <w:vAlign w:val="center"/>
                </w:tcPr>
                <w:p w14:paraId="2B47E3B4">
                  <w:pPr>
                    <w:jc w:val="center"/>
                    <w:rPr>
                      <w:rFonts w:hint="eastAsia" w:eastAsia="宋体"/>
                      <w:color w:val="auto"/>
                      <w:szCs w:val="21"/>
                      <w:lang w:eastAsia="zh-CN"/>
                    </w:rPr>
                  </w:pPr>
                  <w:r>
                    <w:rPr>
                      <w:rFonts w:hint="eastAsia"/>
                      <w:color w:val="auto"/>
                      <w:szCs w:val="21"/>
                      <w:lang w:val="en-US" w:eastAsia="zh-CN"/>
                    </w:rPr>
                    <w:t>5</w:t>
                  </w:r>
                </w:p>
              </w:tc>
              <w:tc>
                <w:tcPr>
                  <w:tcW w:w="854" w:type="pct"/>
                  <w:vMerge w:val="continue"/>
                  <w:vAlign w:val="center"/>
                </w:tcPr>
                <w:p w14:paraId="341CC5B9">
                  <w:pPr>
                    <w:jc w:val="center"/>
                    <w:rPr>
                      <w:bCs/>
                      <w:color w:val="auto"/>
                      <w:szCs w:val="21"/>
                    </w:rPr>
                  </w:pPr>
                </w:p>
              </w:tc>
              <w:tc>
                <w:tcPr>
                  <w:tcW w:w="1021" w:type="pct"/>
                  <w:vMerge w:val="continue"/>
                  <w:vAlign w:val="center"/>
                </w:tcPr>
                <w:p w14:paraId="1458D25A">
                  <w:pPr>
                    <w:jc w:val="center"/>
                    <w:rPr>
                      <w:color w:val="auto"/>
                      <w:szCs w:val="21"/>
                    </w:rPr>
                  </w:pPr>
                </w:p>
              </w:tc>
            </w:tr>
            <w:tr w14:paraId="0FB2C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722" w:type="pct"/>
                  <w:vMerge w:val="continue"/>
                  <w:vAlign w:val="center"/>
                </w:tcPr>
                <w:p w14:paraId="3457612E">
                  <w:pPr>
                    <w:jc w:val="center"/>
                    <w:rPr>
                      <w:color w:val="auto"/>
                      <w:szCs w:val="21"/>
                    </w:rPr>
                  </w:pPr>
                </w:p>
              </w:tc>
              <w:tc>
                <w:tcPr>
                  <w:tcW w:w="492" w:type="pct"/>
                  <w:tcMar>
                    <w:left w:w="28" w:type="dxa"/>
                    <w:right w:w="28" w:type="dxa"/>
                  </w:tcMar>
                  <w:vAlign w:val="center"/>
                </w:tcPr>
                <w:p w14:paraId="31E0E50D">
                  <w:pPr>
                    <w:jc w:val="center"/>
                    <w:rPr>
                      <w:color w:val="auto"/>
                      <w:szCs w:val="21"/>
                    </w:rPr>
                  </w:pPr>
                  <w:r>
                    <w:rPr>
                      <w:rFonts w:hint="eastAsia"/>
                      <w:color w:val="auto"/>
                      <w:szCs w:val="21"/>
                      <w:lang w:eastAsia="zh-CN"/>
                    </w:rPr>
                    <w:t>二、</w:t>
                  </w:r>
                  <w:r>
                    <w:rPr>
                      <w:rFonts w:hint="eastAsia"/>
                      <w:color w:val="auto"/>
                      <w:szCs w:val="21"/>
                    </w:rPr>
                    <w:t>甲苯</w:t>
                  </w:r>
                </w:p>
              </w:tc>
              <w:tc>
                <w:tcPr>
                  <w:tcW w:w="617" w:type="pct"/>
                  <w:tcMar>
                    <w:left w:w="28" w:type="dxa"/>
                    <w:right w:w="28" w:type="dxa"/>
                  </w:tcMar>
                  <w:vAlign w:val="center"/>
                </w:tcPr>
                <w:p w14:paraId="67370DD0">
                  <w:pPr>
                    <w:keepNext/>
                    <w:keepLines/>
                    <w:snapToGrid w:val="0"/>
                    <w:spacing w:before="80" w:after="80"/>
                    <w:jc w:val="center"/>
                    <w:outlineLvl w:val="0"/>
                    <w:rPr>
                      <w:rFonts w:hint="eastAsia" w:eastAsia="宋体"/>
                      <w:bCs/>
                      <w:color w:val="auto"/>
                      <w:szCs w:val="21"/>
                      <w:lang w:val="en-US" w:eastAsia="zh-CN"/>
                    </w:rPr>
                  </w:pPr>
                  <w:r>
                    <w:rPr>
                      <w:rFonts w:hint="eastAsia"/>
                      <w:bCs/>
                      <w:color w:val="auto"/>
                      <w:szCs w:val="21"/>
                    </w:rPr>
                    <w:t>1</w:t>
                  </w:r>
                  <w:r>
                    <w:rPr>
                      <w:rFonts w:hint="eastAsia"/>
                      <w:bCs/>
                      <w:color w:val="auto"/>
                      <w:szCs w:val="21"/>
                      <w:lang w:val="en-US" w:eastAsia="zh-CN"/>
                    </w:rPr>
                    <w:t>0</w:t>
                  </w:r>
                </w:p>
              </w:tc>
              <w:tc>
                <w:tcPr>
                  <w:tcW w:w="548" w:type="pct"/>
                  <w:tcMar>
                    <w:left w:w="28" w:type="dxa"/>
                    <w:right w:w="28" w:type="dxa"/>
                  </w:tcMar>
                  <w:vAlign w:val="center"/>
                </w:tcPr>
                <w:p w14:paraId="2A9EF9C1">
                  <w:pPr>
                    <w:keepNext/>
                    <w:keepLines/>
                    <w:snapToGrid w:val="0"/>
                    <w:spacing w:before="80" w:after="80"/>
                    <w:jc w:val="center"/>
                    <w:outlineLvl w:val="0"/>
                    <w:rPr>
                      <w:rFonts w:hint="default" w:eastAsia="宋体"/>
                      <w:bCs/>
                      <w:color w:val="auto"/>
                      <w:szCs w:val="21"/>
                      <w:lang w:val="en-US" w:eastAsia="zh-CN"/>
                    </w:rPr>
                  </w:pPr>
                  <w:r>
                    <w:rPr>
                      <w:rFonts w:hint="eastAsia"/>
                      <w:bCs/>
                      <w:color w:val="auto"/>
                      <w:szCs w:val="21"/>
                      <w:lang w:val="en-US" w:eastAsia="zh-CN"/>
                    </w:rPr>
                    <w:t>0.72</w:t>
                  </w:r>
                </w:p>
              </w:tc>
              <w:tc>
                <w:tcPr>
                  <w:tcW w:w="742" w:type="pct"/>
                  <w:tcMar>
                    <w:left w:w="28" w:type="dxa"/>
                    <w:right w:w="28" w:type="dxa"/>
                  </w:tcMar>
                  <w:vAlign w:val="center"/>
                </w:tcPr>
                <w:p w14:paraId="713ADCDA">
                  <w:pPr>
                    <w:jc w:val="center"/>
                    <w:rPr>
                      <w:color w:val="auto"/>
                      <w:szCs w:val="21"/>
                    </w:rPr>
                  </w:pPr>
                  <w:r>
                    <w:rPr>
                      <w:rFonts w:hint="eastAsia"/>
                      <w:color w:val="auto"/>
                      <w:szCs w:val="21"/>
                    </w:rPr>
                    <w:t>4</w:t>
                  </w:r>
                </w:p>
              </w:tc>
              <w:tc>
                <w:tcPr>
                  <w:tcW w:w="854" w:type="pct"/>
                  <w:vMerge w:val="continue"/>
                  <w:vAlign w:val="center"/>
                </w:tcPr>
                <w:p w14:paraId="52A359B6">
                  <w:pPr>
                    <w:jc w:val="center"/>
                    <w:rPr>
                      <w:bCs/>
                      <w:color w:val="auto"/>
                      <w:szCs w:val="21"/>
                    </w:rPr>
                  </w:pPr>
                </w:p>
              </w:tc>
              <w:tc>
                <w:tcPr>
                  <w:tcW w:w="1021" w:type="pct"/>
                  <w:vMerge w:val="continue"/>
                  <w:vAlign w:val="center"/>
                </w:tcPr>
                <w:p w14:paraId="6A6342FA">
                  <w:pPr>
                    <w:jc w:val="center"/>
                    <w:rPr>
                      <w:color w:val="auto"/>
                      <w:szCs w:val="21"/>
                    </w:rPr>
                  </w:pPr>
                </w:p>
              </w:tc>
            </w:tr>
            <w:tr w14:paraId="5F7A2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restart"/>
                  <w:vAlign w:val="center"/>
                </w:tcPr>
                <w:p w14:paraId="6B1E5E1C">
                  <w:pPr>
                    <w:jc w:val="center"/>
                    <w:rPr>
                      <w:rFonts w:hint="default" w:eastAsia="宋体"/>
                      <w:color w:val="auto"/>
                      <w:szCs w:val="21"/>
                      <w:lang w:val="en-US" w:eastAsia="zh-CN"/>
                    </w:rPr>
                  </w:pPr>
                  <w:r>
                    <w:rPr>
                      <w:rFonts w:hint="eastAsia"/>
                      <w:color w:val="auto"/>
                      <w:szCs w:val="21"/>
                    </w:rPr>
                    <w:t>封边、贴皮、大理石粘接、批灰、调漆喷漆晾干/烘干、金属压合、烘烤固化</w:t>
                  </w:r>
                  <w:r>
                    <w:rPr>
                      <w:rFonts w:hint="eastAsia"/>
                      <w:color w:val="auto"/>
                      <w:szCs w:val="21"/>
                      <w:lang w:eastAsia="zh-CN"/>
                    </w:rPr>
                    <w:t>、</w:t>
                  </w:r>
                  <w:r>
                    <w:rPr>
                      <w:rFonts w:hint="eastAsia"/>
                      <w:color w:val="auto"/>
                      <w:szCs w:val="21"/>
                      <w:lang w:val="en-US" w:eastAsia="zh-CN"/>
                    </w:rPr>
                    <w:t>危废库废气</w:t>
                  </w:r>
                </w:p>
              </w:tc>
              <w:tc>
                <w:tcPr>
                  <w:tcW w:w="492" w:type="pct"/>
                  <w:vMerge w:val="restart"/>
                  <w:tcMar>
                    <w:left w:w="28" w:type="dxa"/>
                    <w:right w:w="28" w:type="dxa"/>
                  </w:tcMar>
                  <w:vAlign w:val="center"/>
                </w:tcPr>
                <w:p w14:paraId="1DE3F3DE">
                  <w:pPr>
                    <w:jc w:val="center"/>
                    <w:rPr>
                      <w:color w:val="auto"/>
                      <w:szCs w:val="21"/>
                    </w:rPr>
                  </w:pPr>
                  <w:r>
                    <w:rPr>
                      <w:rFonts w:hint="eastAsia"/>
                      <w:color w:val="auto"/>
                      <w:szCs w:val="21"/>
                    </w:rPr>
                    <w:t>非甲烷总烃</w:t>
                  </w:r>
                </w:p>
              </w:tc>
              <w:tc>
                <w:tcPr>
                  <w:tcW w:w="617" w:type="pct"/>
                  <w:vMerge w:val="restart"/>
                  <w:tcMar>
                    <w:left w:w="28" w:type="dxa"/>
                    <w:right w:w="28" w:type="dxa"/>
                  </w:tcMar>
                  <w:vAlign w:val="center"/>
                </w:tcPr>
                <w:p w14:paraId="6ADDE29C">
                  <w:pPr>
                    <w:keepNext/>
                    <w:keepLines/>
                    <w:snapToGrid w:val="0"/>
                    <w:spacing w:before="80" w:after="80"/>
                    <w:jc w:val="center"/>
                    <w:outlineLvl w:val="0"/>
                    <w:rPr>
                      <w:bCs/>
                      <w:color w:val="auto"/>
                      <w:szCs w:val="21"/>
                    </w:rPr>
                  </w:pPr>
                  <w:r>
                    <w:rPr>
                      <w:rFonts w:hint="eastAsia"/>
                      <w:bCs/>
                      <w:color w:val="auto"/>
                      <w:szCs w:val="21"/>
                    </w:rPr>
                    <w:t>50</w:t>
                  </w:r>
                </w:p>
              </w:tc>
              <w:tc>
                <w:tcPr>
                  <w:tcW w:w="548" w:type="pct"/>
                  <w:vMerge w:val="restart"/>
                  <w:tcMar>
                    <w:left w:w="28" w:type="dxa"/>
                    <w:right w:w="28" w:type="dxa"/>
                  </w:tcMar>
                  <w:vAlign w:val="center"/>
                </w:tcPr>
                <w:p w14:paraId="6173B0F4">
                  <w:pPr>
                    <w:keepNext/>
                    <w:keepLines/>
                    <w:snapToGrid w:val="0"/>
                    <w:spacing w:before="80" w:after="80"/>
                    <w:jc w:val="center"/>
                    <w:outlineLvl w:val="0"/>
                    <w:rPr>
                      <w:bCs/>
                      <w:color w:val="auto"/>
                      <w:szCs w:val="21"/>
                    </w:rPr>
                  </w:pPr>
                  <w:r>
                    <w:rPr>
                      <w:rFonts w:hint="eastAsia"/>
                      <w:bCs/>
                      <w:color w:val="auto"/>
                      <w:szCs w:val="21"/>
                    </w:rPr>
                    <w:t>2.0</w:t>
                  </w:r>
                </w:p>
              </w:tc>
              <w:tc>
                <w:tcPr>
                  <w:tcW w:w="742" w:type="pct"/>
                  <w:tcMar>
                    <w:left w:w="28" w:type="dxa"/>
                    <w:right w:w="28" w:type="dxa"/>
                  </w:tcMar>
                  <w:vAlign w:val="center"/>
                </w:tcPr>
                <w:p w14:paraId="1B855478">
                  <w:pPr>
                    <w:widowControl/>
                    <w:adjustRightInd w:val="0"/>
                    <w:snapToGrid w:val="0"/>
                    <w:jc w:val="center"/>
                    <w:rPr>
                      <w:color w:val="auto"/>
                      <w:szCs w:val="21"/>
                    </w:rPr>
                  </w:pPr>
                  <w:r>
                    <w:rPr>
                      <w:rFonts w:hint="eastAsia"/>
                      <w:color w:val="auto"/>
                      <w:szCs w:val="21"/>
                      <w:lang w:eastAsia="zh-CN"/>
                    </w:rPr>
                    <w:t>(6)</w:t>
                  </w:r>
                  <w:r>
                    <w:rPr>
                      <w:rFonts w:hint="eastAsia"/>
                      <w:color w:val="auto"/>
                      <w:kern w:val="0"/>
                      <w:szCs w:val="21"/>
                    </w:rPr>
                    <w:t>厂房外设置监控点</w:t>
                  </w:r>
                  <w:r>
                    <w:rPr>
                      <w:color w:val="auto"/>
                      <w:szCs w:val="21"/>
                    </w:rPr>
                    <w:t>1h</w:t>
                  </w:r>
                  <w:r>
                    <w:rPr>
                      <w:rFonts w:hint="eastAsia"/>
                      <w:color w:val="auto"/>
                      <w:szCs w:val="21"/>
                    </w:rPr>
                    <w:t>平均浓度限值）</w:t>
                  </w:r>
                </w:p>
              </w:tc>
              <w:tc>
                <w:tcPr>
                  <w:tcW w:w="854" w:type="pct"/>
                  <w:vMerge w:val="continue"/>
                  <w:vAlign w:val="center"/>
                </w:tcPr>
                <w:p w14:paraId="4E805C5A">
                  <w:pPr>
                    <w:jc w:val="center"/>
                    <w:rPr>
                      <w:bCs/>
                      <w:color w:val="auto"/>
                      <w:szCs w:val="21"/>
                    </w:rPr>
                  </w:pPr>
                </w:p>
              </w:tc>
              <w:tc>
                <w:tcPr>
                  <w:tcW w:w="1021" w:type="pct"/>
                  <w:vMerge w:val="continue"/>
                  <w:vAlign w:val="center"/>
                </w:tcPr>
                <w:p w14:paraId="78C217ED">
                  <w:pPr>
                    <w:jc w:val="center"/>
                    <w:rPr>
                      <w:bCs/>
                      <w:color w:val="auto"/>
                      <w:szCs w:val="21"/>
                    </w:rPr>
                  </w:pPr>
                </w:p>
              </w:tc>
            </w:tr>
            <w:tr w14:paraId="7B62A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continue"/>
                  <w:vAlign w:val="center"/>
                </w:tcPr>
                <w:p w14:paraId="5D48BFFE">
                  <w:pPr>
                    <w:jc w:val="center"/>
                    <w:rPr>
                      <w:color w:val="auto"/>
                    </w:rPr>
                  </w:pPr>
                </w:p>
              </w:tc>
              <w:tc>
                <w:tcPr>
                  <w:tcW w:w="492" w:type="pct"/>
                  <w:vMerge w:val="continue"/>
                  <w:tcMar>
                    <w:left w:w="28" w:type="dxa"/>
                    <w:right w:w="28" w:type="dxa"/>
                  </w:tcMar>
                  <w:vAlign w:val="center"/>
                </w:tcPr>
                <w:p w14:paraId="6803C81C">
                  <w:pPr>
                    <w:jc w:val="center"/>
                    <w:rPr>
                      <w:color w:val="auto"/>
                    </w:rPr>
                  </w:pPr>
                </w:p>
              </w:tc>
              <w:tc>
                <w:tcPr>
                  <w:tcW w:w="617" w:type="pct"/>
                  <w:vMerge w:val="continue"/>
                  <w:tcMar>
                    <w:left w:w="28" w:type="dxa"/>
                    <w:right w:w="28" w:type="dxa"/>
                  </w:tcMar>
                  <w:vAlign w:val="center"/>
                </w:tcPr>
                <w:p w14:paraId="103216A0">
                  <w:pPr>
                    <w:jc w:val="center"/>
                    <w:rPr>
                      <w:color w:val="auto"/>
                    </w:rPr>
                  </w:pPr>
                </w:p>
              </w:tc>
              <w:tc>
                <w:tcPr>
                  <w:tcW w:w="548" w:type="pct"/>
                  <w:vMerge w:val="continue"/>
                  <w:tcMar>
                    <w:left w:w="28" w:type="dxa"/>
                    <w:right w:w="28" w:type="dxa"/>
                  </w:tcMar>
                  <w:vAlign w:val="center"/>
                </w:tcPr>
                <w:p w14:paraId="4AAA441E">
                  <w:pPr>
                    <w:jc w:val="center"/>
                    <w:rPr>
                      <w:color w:val="auto"/>
                    </w:rPr>
                  </w:pPr>
                </w:p>
              </w:tc>
              <w:tc>
                <w:tcPr>
                  <w:tcW w:w="742" w:type="pct"/>
                  <w:tcMar>
                    <w:left w:w="28" w:type="dxa"/>
                    <w:right w:w="28" w:type="dxa"/>
                  </w:tcMar>
                  <w:vAlign w:val="center"/>
                </w:tcPr>
                <w:p w14:paraId="1DDF367E">
                  <w:pPr>
                    <w:widowControl/>
                    <w:adjustRightInd w:val="0"/>
                    <w:snapToGrid w:val="0"/>
                    <w:jc w:val="center"/>
                    <w:rPr>
                      <w:color w:val="auto"/>
                      <w:szCs w:val="21"/>
                    </w:rPr>
                  </w:pPr>
                  <w:r>
                    <w:rPr>
                      <w:rFonts w:hint="eastAsia"/>
                      <w:color w:val="auto"/>
                      <w:szCs w:val="21"/>
                      <w:lang w:eastAsia="zh-CN"/>
                    </w:rPr>
                    <w:t>(20)</w:t>
                  </w:r>
                  <w:r>
                    <w:rPr>
                      <w:rFonts w:hint="eastAsia"/>
                      <w:color w:val="auto"/>
                      <w:kern w:val="0"/>
                      <w:szCs w:val="21"/>
                    </w:rPr>
                    <w:t>厂房外设置监控点</w:t>
                  </w:r>
                  <w:r>
                    <w:rPr>
                      <w:rFonts w:hint="eastAsia"/>
                      <w:color w:val="auto"/>
                      <w:szCs w:val="21"/>
                    </w:rPr>
                    <w:t>任意一次浓度限值）</w:t>
                  </w:r>
                </w:p>
              </w:tc>
              <w:tc>
                <w:tcPr>
                  <w:tcW w:w="854" w:type="pct"/>
                  <w:vMerge w:val="continue"/>
                  <w:vAlign w:val="center"/>
                </w:tcPr>
                <w:p w14:paraId="5A31B974">
                  <w:pPr>
                    <w:jc w:val="center"/>
                    <w:rPr>
                      <w:color w:val="auto"/>
                      <w:szCs w:val="21"/>
                    </w:rPr>
                  </w:pPr>
                </w:p>
              </w:tc>
              <w:tc>
                <w:tcPr>
                  <w:tcW w:w="1021" w:type="pct"/>
                  <w:vMerge w:val="continue"/>
                  <w:vAlign w:val="center"/>
                </w:tcPr>
                <w:p w14:paraId="12B0D55F">
                  <w:pPr>
                    <w:jc w:val="center"/>
                    <w:rPr>
                      <w:color w:val="auto"/>
                      <w:szCs w:val="21"/>
                    </w:rPr>
                  </w:pPr>
                </w:p>
              </w:tc>
            </w:tr>
            <w:tr w14:paraId="79E1F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continue"/>
                  <w:vAlign w:val="center"/>
                </w:tcPr>
                <w:p w14:paraId="1769E5BA">
                  <w:pPr>
                    <w:jc w:val="center"/>
                    <w:rPr>
                      <w:color w:val="auto"/>
                      <w:szCs w:val="21"/>
                    </w:rPr>
                  </w:pPr>
                </w:p>
              </w:tc>
              <w:tc>
                <w:tcPr>
                  <w:tcW w:w="492" w:type="pct"/>
                  <w:vMerge w:val="continue"/>
                  <w:tcMar>
                    <w:left w:w="28" w:type="dxa"/>
                    <w:right w:w="28" w:type="dxa"/>
                  </w:tcMar>
                  <w:vAlign w:val="center"/>
                </w:tcPr>
                <w:p w14:paraId="19634EE8">
                  <w:pPr>
                    <w:jc w:val="center"/>
                    <w:rPr>
                      <w:color w:val="auto"/>
                      <w:szCs w:val="21"/>
                    </w:rPr>
                  </w:pPr>
                </w:p>
              </w:tc>
              <w:tc>
                <w:tcPr>
                  <w:tcW w:w="617" w:type="pct"/>
                  <w:vMerge w:val="continue"/>
                  <w:tcMar>
                    <w:left w:w="28" w:type="dxa"/>
                    <w:right w:w="28" w:type="dxa"/>
                  </w:tcMar>
                  <w:vAlign w:val="center"/>
                </w:tcPr>
                <w:p w14:paraId="250F4436">
                  <w:pPr>
                    <w:jc w:val="center"/>
                    <w:rPr>
                      <w:color w:val="auto"/>
                      <w:szCs w:val="21"/>
                    </w:rPr>
                  </w:pPr>
                </w:p>
              </w:tc>
              <w:tc>
                <w:tcPr>
                  <w:tcW w:w="548" w:type="pct"/>
                  <w:vMerge w:val="continue"/>
                  <w:tcMar>
                    <w:left w:w="28" w:type="dxa"/>
                    <w:right w:w="28" w:type="dxa"/>
                  </w:tcMar>
                  <w:vAlign w:val="center"/>
                </w:tcPr>
                <w:p w14:paraId="03D759C1">
                  <w:pPr>
                    <w:jc w:val="center"/>
                    <w:rPr>
                      <w:color w:val="auto"/>
                      <w:szCs w:val="21"/>
                    </w:rPr>
                  </w:pPr>
                </w:p>
              </w:tc>
              <w:tc>
                <w:tcPr>
                  <w:tcW w:w="742" w:type="pct"/>
                  <w:tcMar>
                    <w:left w:w="28" w:type="dxa"/>
                    <w:right w:w="28" w:type="dxa"/>
                  </w:tcMar>
                  <w:vAlign w:val="center"/>
                </w:tcPr>
                <w:p w14:paraId="7A757C72">
                  <w:pPr>
                    <w:widowControl/>
                    <w:adjustRightInd w:val="0"/>
                    <w:snapToGrid w:val="0"/>
                    <w:jc w:val="center"/>
                    <w:rPr>
                      <w:color w:val="auto"/>
                      <w:szCs w:val="21"/>
                    </w:rPr>
                  </w:pPr>
                  <w:r>
                    <w:rPr>
                      <w:rFonts w:hint="eastAsia"/>
                      <w:color w:val="auto"/>
                      <w:szCs w:val="21"/>
                      <w:lang w:eastAsia="zh-CN"/>
                    </w:rPr>
                    <w:t>(4)</w:t>
                  </w:r>
                  <w:r>
                    <w:rPr>
                      <w:rFonts w:hint="eastAsia"/>
                      <w:color w:val="auto"/>
                      <w:szCs w:val="21"/>
                    </w:rPr>
                    <w:t>厂界无组织排放浓度）</w:t>
                  </w:r>
                </w:p>
              </w:tc>
              <w:tc>
                <w:tcPr>
                  <w:tcW w:w="854" w:type="pct"/>
                  <w:vMerge w:val="continue"/>
                  <w:vAlign w:val="center"/>
                </w:tcPr>
                <w:p w14:paraId="50D020AE">
                  <w:pPr>
                    <w:jc w:val="center"/>
                    <w:rPr>
                      <w:color w:val="auto"/>
                      <w:szCs w:val="21"/>
                    </w:rPr>
                  </w:pPr>
                </w:p>
              </w:tc>
              <w:tc>
                <w:tcPr>
                  <w:tcW w:w="1021" w:type="pct"/>
                  <w:vMerge w:val="continue"/>
                  <w:vAlign w:val="center"/>
                </w:tcPr>
                <w:p w14:paraId="188A18BB">
                  <w:pPr>
                    <w:jc w:val="center"/>
                    <w:rPr>
                      <w:color w:val="auto"/>
                      <w:szCs w:val="21"/>
                    </w:rPr>
                  </w:pPr>
                </w:p>
              </w:tc>
            </w:tr>
            <w:tr w14:paraId="7BDCE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Merge w:val="restart"/>
                  <w:vAlign w:val="center"/>
                </w:tcPr>
                <w:p w14:paraId="12017D5F">
                  <w:pPr>
                    <w:jc w:val="center"/>
                    <w:rPr>
                      <w:color w:val="auto"/>
                      <w:szCs w:val="21"/>
                    </w:rPr>
                  </w:pPr>
                  <w:r>
                    <w:rPr>
                      <w:rFonts w:hint="eastAsia"/>
                      <w:color w:val="auto"/>
                      <w:szCs w:val="21"/>
                    </w:rPr>
                    <w:t>天然气燃烧</w:t>
                  </w:r>
                </w:p>
              </w:tc>
              <w:tc>
                <w:tcPr>
                  <w:tcW w:w="492" w:type="pct"/>
                  <w:tcMar>
                    <w:left w:w="28" w:type="dxa"/>
                    <w:right w:w="28" w:type="dxa"/>
                  </w:tcMar>
                  <w:vAlign w:val="center"/>
                </w:tcPr>
                <w:p w14:paraId="4F02BDC5">
                  <w:pPr>
                    <w:jc w:val="center"/>
                    <w:rPr>
                      <w:color w:val="auto"/>
                      <w:szCs w:val="21"/>
                    </w:rPr>
                  </w:pPr>
                  <w:r>
                    <w:rPr>
                      <w:color w:val="auto"/>
                      <w:szCs w:val="21"/>
                    </w:rPr>
                    <w:t>颗粒物</w:t>
                  </w:r>
                </w:p>
              </w:tc>
              <w:tc>
                <w:tcPr>
                  <w:tcW w:w="617" w:type="pct"/>
                  <w:tcMar>
                    <w:left w:w="28" w:type="dxa"/>
                    <w:right w:w="28" w:type="dxa"/>
                  </w:tcMar>
                  <w:vAlign w:val="center"/>
                </w:tcPr>
                <w:p w14:paraId="3C046C7C">
                  <w:pPr>
                    <w:jc w:val="center"/>
                    <w:rPr>
                      <w:bCs/>
                      <w:color w:val="auto"/>
                      <w:szCs w:val="21"/>
                    </w:rPr>
                  </w:pPr>
                  <w:r>
                    <w:rPr>
                      <w:color w:val="auto"/>
                      <w:szCs w:val="21"/>
                    </w:rPr>
                    <w:t>20</w:t>
                  </w:r>
                </w:p>
              </w:tc>
              <w:tc>
                <w:tcPr>
                  <w:tcW w:w="548" w:type="pct"/>
                  <w:tcMar>
                    <w:left w:w="28" w:type="dxa"/>
                    <w:right w:w="28" w:type="dxa"/>
                  </w:tcMar>
                  <w:vAlign w:val="center"/>
                </w:tcPr>
                <w:p w14:paraId="1DDE694D">
                  <w:pPr>
                    <w:keepNext/>
                    <w:keepLines/>
                    <w:snapToGrid w:val="0"/>
                    <w:spacing w:before="80" w:after="80"/>
                    <w:jc w:val="center"/>
                    <w:outlineLvl w:val="0"/>
                    <w:rPr>
                      <w:bCs/>
                      <w:color w:val="auto"/>
                      <w:szCs w:val="21"/>
                    </w:rPr>
                  </w:pPr>
                  <w:r>
                    <w:rPr>
                      <w:bCs/>
                      <w:color w:val="auto"/>
                      <w:szCs w:val="21"/>
                    </w:rPr>
                    <w:t>/</w:t>
                  </w:r>
                </w:p>
              </w:tc>
              <w:tc>
                <w:tcPr>
                  <w:tcW w:w="742" w:type="pct"/>
                  <w:tcMar>
                    <w:left w:w="28" w:type="dxa"/>
                    <w:right w:w="28" w:type="dxa"/>
                  </w:tcMar>
                  <w:vAlign w:val="center"/>
                </w:tcPr>
                <w:p w14:paraId="5C892392">
                  <w:pPr>
                    <w:jc w:val="center"/>
                    <w:rPr>
                      <w:color w:val="auto"/>
                      <w:szCs w:val="21"/>
                    </w:rPr>
                  </w:pPr>
                  <w:r>
                    <w:rPr>
                      <w:bCs/>
                      <w:color w:val="auto"/>
                      <w:szCs w:val="21"/>
                    </w:rPr>
                    <w:t>/</w:t>
                  </w:r>
                </w:p>
              </w:tc>
              <w:tc>
                <w:tcPr>
                  <w:tcW w:w="854" w:type="pct"/>
                  <w:vMerge w:val="restart"/>
                  <w:vAlign w:val="center"/>
                </w:tcPr>
                <w:p w14:paraId="56F60C3D">
                  <w:pPr>
                    <w:jc w:val="center"/>
                    <w:rPr>
                      <w:color w:val="auto"/>
                      <w:szCs w:val="21"/>
                    </w:rPr>
                  </w:pPr>
                  <w:r>
                    <w:rPr>
                      <w:rFonts w:hint="eastAsia"/>
                      <w:color w:val="auto"/>
                      <w:szCs w:val="21"/>
                    </w:rPr>
                    <w:t>车间或生产设施排气筒</w:t>
                  </w:r>
                </w:p>
              </w:tc>
              <w:tc>
                <w:tcPr>
                  <w:tcW w:w="1021" w:type="pct"/>
                  <w:vMerge w:val="restart"/>
                  <w:vAlign w:val="center"/>
                </w:tcPr>
                <w:p w14:paraId="297311B5">
                  <w:pPr>
                    <w:jc w:val="center"/>
                    <w:rPr>
                      <w:bCs/>
                      <w:color w:val="auto"/>
                      <w:szCs w:val="21"/>
                    </w:rPr>
                  </w:pPr>
                  <w:r>
                    <w:rPr>
                      <w:rFonts w:hint="eastAsia"/>
                      <w:color w:val="auto"/>
                      <w:szCs w:val="21"/>
                    </w:rPr>
                    <w:t>《工业炉窑大气污染物排放标准》（DB32/3728—2020）表1</w:t>
                  </w:r>
                </w:p>
              </w:tc>
            </w:tr>
            <w:tr w14:paraId="44891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Merge w:val="continue"/>
                  <w:vAlign w:val="center"/>
                </w:tcPr>
                <w:p w14:paraId="1977C695">
                  <w:pPr>
                    <w:jc w:val="center"/>
                    <w:rPr>
                      <w:color w:val="auto"/>
                      <w:szCs w:val="21"/>
                    </w:rPr>
                  </w:pPr>
                </w:p>
              </w:tc>
              <w:tc>
                <w:tcPr>
                  <w:tcW w:w="492" w:type="pct"/>
                  <w:tcMar>
                    <w:left w:w="28" w:type="dxa"/>
                    <w:right w:w="28" w:type="dxa"/>
                  </w:tcMar>
                  <w:vAlign w:val="center"/>
                </w:tcPr>
                <w:p w14:paraId="7FF67656">
                  <w:pPr>
                    <w:jc w:val="center"/>
                    <w:rPr>
                      <w:color w:val="auto"/>
                      <w:szCs w:val="21"/>
                    </w:rPr>
                  </w:pPr>
                  <w:r>
                    <w:rPr>
                      <w:rFonts w:hint="eastAsia"/>
                      <w:color w:val="auto"/>
                      <w:szCs w:val="21"/>
                      <w:lang w:eastAsia="zh-CN"/>
                    </w:rPr>
                    <w:t>二、</w:t>
                  </w:r>
                  <w:r>
                    <w:rPr>
                      <w:color w:val="auto"/>
                      <w:szCs w:val="21"/>
                    </w:rPr>
                    <w:t>氧化硫</w:t>
                  </w:r>
                </w:p>
              </w:tc>
              <w:tc>
                <w:tcPr>
                  <w:tcW w:w="617" w:type="pct"/>
                  <w:tcMar>
                    <w:left w:w="28" w:type="dxa"/>
                    <w:right w:w="28" w:type="dxa"/>
                  </w:tcMar>
                  <w:vAlign w:val="center"/>
                </w:tcPr>
                <w:p w14:paraId="2E97A6A8">
                  <w:pPr>
                    <w:jc w:val="center"/>
                    <w:rPr>
                      <w:bCs/>
                      <w:color w:val="auto"/>
                      <w:szCs w:val="21"/>
                    </w:rPr>
                  </w:pPr>
                  <w:r>
                    <w:rPr>
                      <w:color w:val="auto"/>
                      <w:szCs w:val="21"/>
                    </w:rPr>
                    <w:t>80</w:t>
                  </w:r>
                </w:p>
              </w:tc>
              <w:tc>
                <w:tcPr>
                  <w:tcW w:w="548" w:type="pct"/>
                  <w:tcMar>
                    <w:left w:w="28" w:type="dxa"/>
                    <w:right w:w="28" w:type="dxa"/>
                  </w:tcMar>
                  <w:vAlign w:val="center"/>
                </w:tcPr>
                <w:p w14:paraId="41EE2E3F">
                  <w:pPr>
                    <w:keepNext/>
                    <w:keepLines/>
                    <w:snapToGrid w:val="0"/>
                    <w:spacing w:before="80" w:after="80"/>
                    <w:jc w:val="center"/>
                    <w:outlineLvl w:val="0"/>
                    <w:rPr>
                      <w:bCs/>
                      <w:color w:val="auto"/>
                      <w:szCs w:val="21"/>
                    </w:rPr>
                  </w:pPr>
                  <w:r>
                    <w:rPr>
                      <w:bCs/>
                      <w:color w:val="auto"/>
                      <w:szCs w:val="21"/>
                    </w:rPr>
                    <w:t>/</w:t>
                  </w:r>
                </w:p>
              </w:tc>
              <w:tc>
                <w:tcPr>
                  <w:tcW w:w="742" w:type="pct"/>
                  <w:tcMar>
                    <w:left w:w="28" w:type="dxa"/>
                    <w:right w:w="28" w:type="dxa"/>
                  </w:tcMar>
                  <w:vAlign w:val="center"/>
                </w:tcPr>
                <w:p w14:paraId="10448F51">
                  <w:pPr>
                    <w:jc w:val="center"/>
                    <w:rPr>
                      <w:color w:val="auto"/>
                      <w:szCs w:val="21"/>
                    </w:rPr>
                  </w:pPr>
                  <w:r>
                    <w:rPr>
                      <w:bCs/>
                      <w:color w:val="auto"/>
                      <w:szCs w:val="21"/>
                    </w:rPr>
                    <w:t>/</w:t>
                  </w:r>
                </w:p>
              </w:tc>
              <w:tc>
                <w:tcPr>
                  <w:tcW w:w="854" w:type="pct"/>
                  <w:vMerge w:val="continue"/>
                  <w:vAlign w:val="center"/>
                </w:tcPr>
                <w:p w14:paraId="4693B7DA">
                  <w:pPr>
                    <w:jc w:val="center"/>
                    <w:rPr>
                      <w:bCs/>
                      <w:color w:val="auto"/>
                      <w:szCs w:val="21"/>
                    </w:rPr>
                  </w:pPr>
                </w:p>
              </w:tc>
              <w:tc>
                <w:tcPr>
                  <w:tcW w:w="1021" w:type="pct"/>
                  <w:vMerge w:val="continue"/>
                  <w:vAlign w:val="center"/>
                </w:tcPr>
                <w:p w14:paraId="458B07F7">
                  <w:pPr>
                    <w:jc w:val="center"/>
                    <w:rPr>
                      <w:bCs/>
                      <w:color w:val="auto"/>
                      <w:szCs w:val="21"/>
                    </w:rPr>
                  </w:pPr>
                </w:p>
              </w:tc>
            </w:tr>
            <w:tr w14:paraId="02614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Merge w:val="continue"/>
                  <w:vAlign w:val="center"/>
                </w:tcPr>
                <w:p w14:paraId="0C1C478F">
                  <w:pPr>
                    <w:jc w:val="center"/>
                    <w:rPr>
                      <w:color w:val="auto"/>
                      <w:szCs w:val="21"/>
                    </w:rPr>
                  </w:pPr>
                </w:p>
              </w:tc>
              <w:tc>
                <w:tcPr>
                  <w:tcW w:w="492" w:type="pct"/>
                  <w:tcMar>
                    <w:left w:w="28" w:type="dxa"/>
                    <w:right w:w="28" w:type="dxa"/>
                  </w:tcMar>
                  <w:vAlign w:val="center"/>
                </w:tcPr>
                <w:p w14:paraId="4F95D488">
                  <w:pPr>
                    <w:jc w:val="center"/>
                    <w:rPr>
                      <w:color w:val="auto"/>
                      <w:szCs w:val="21"/>
                    </w:rPr>
                  </w:pPr>
                  <w:r>
                    <w:rPr>
                      <w:color w:val="auto"/>
                      <w:szCs w:val="21"/>
                    </w:rPr>
                    <w:t>氮氧化物</w:t>
                  </w:r>
                </w:p>
              </w:tc>
              <w:tc>
                <w:tcPr>
                  <w:tcW w:w="617" w:type="pct"/>
                  <w:tcMar>
                    <w:left w:w="28" w:type="dxa"/>
                    <w:right w:w="28" w:type="dxa"/>
                  </w:tcMar>
                  <w:vAlign w:val="center"/>
                </w:tcPr>
                <w:p w14:paraId="334D2F13">
                  <w:pPr>
                    <w:jc w:val="center"/>
                    <w:rPr>
                      <w:bCs/>
                      <w:color w:val="auto"/>
                      <w:szCs w:val="21"/>
                    </w:rPr>
                  </w:pPr>
                  <w:r>
                    <w:rPr>
                      <w:color w:val="auto"/>
                      <w:szCs w:val="21"/>
                    </w:rPr>
                    <w:t>180</w:t>
                  </w:r>
                </w:p>
              </w:tc>
              <w:tc>
                <w:tcPr>
                  <w:tcW w:w="548" w:type="pct"/>
                  <w:tcMar>
                    <w:left w:w="28" w:type="dxa"/>
                    <w:right w:w="28" w:type="dxa"/>
                  </w:tcMar>
                  <w:vAlign w:val="center"/>
                </w:tcPr>
                <w:p w14:paraId="427E3E60">
                  <w:pPr>
                    <w:keepNext/>
                    <w:keepLines/>
                    <w:snapToGrid w:val="0"/>
                    <w:spacing w:before="80" w:after="80"/>
                    <w:jc w:val="center"/>
                    <w:outlineLvl w:val="0"/>
                    <w:rPr>
                      <w:bCs/>
                      <w:color w:val="auto"/>
                      <w:szCs w:val="21"/>
                    </w:rPr>
                  </w:pPr>
                  <w:r>
                    <w:rPr>
                      <w:bCs/>
                      <w:color w:val="auto"/>
                      <w:szCs w:val="21"/>
                    </w:rPr>
                    <w:t>/</w:t>
                  </w:r>
                </w:p>
              </w:tc>
              <w:tc>
                <w:tcPr>
                  <w:tcW w:w="742" w:type="pct"/>
                  <w:tcMar>
                    <w:left w:w="28" w:type="dxa"/>
                    <w:right w:w="28" w:type="dxa"/>
                  </w:tcMar>
                  <w:vAlign w:val="center"/>
                </w:tcPr>
                <w:p w14:paraId="138F8306">
                  <w:pPr>
                    <w:jc w:val="center"/>
                    <w:rPr>
                      <w:color w:val="auto"/>
                      <w:szCs w:val="21"/>
                    </w:rPr>
                  </w:pPr>
                  <w:r>
                    <w:rPr>
                      <w:bCs/>
                      <w:color w:val="auto"/>
                      <w:szCs w:val="21"/>
                    </w:rPr>
                    <w:t>/</w:t>
                  </w:r>
                </w:p>
              </w:tc>
              <w:tc>
                <w:tcPr>
                  <w:tcW w:w="854" w:type="pct"/>
                  <w:vMerge w:val="continue"/>
                  <w:vAlign w:val="center"/>
                </w:tcPr>
                <w:p w14:paraId="307E8E5F">
                  <w:pPr>
                    <w:jc w:val="center"/>
                    <w:rPr>
                      <w:bCs/>
                      <w:color w:val="auto"/>
                      <w:szCs w:val="21"/>
                    </w:rPr>
                  </w:pPr>
                </w:p>
              </w:tc>
              <w:tc>
                <w:tcPr>
                  <w:tcW w:w="1021" w:type="pct"/>
                  <w:vMerge w:val="continue"/>
                  <w:vAlign w:val="center"/>
                </w:tcPr>
                <w:p w14:paraId="4BD43735">
                  <w:pPr>
                    <w:jc w:val="center"/>
                    <w:rPr>
                      <w:bCs/>
                      <w:color w:val="auto"/>
                      <w:szCs w:val="21"/>
                    </w:rPr>
                  </w:pPr>
                </w:p>
              </w:tc>
            </w:tr>
            <w:tr w14:paraId="7E707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Merge w:val="continue"/>
                  <w:vAlign w:val="center"/>
                </w:tcPr>
                <w:p w14:paraId="7E77ABCC">
                  <w:pPr>
                    <w:jc w:val="center"/>
                    <w:rPr>
                      <w:color w:val="auto"/>
                      <w:szCs w:val="21"/>
                    </w:rPr>
                  </w:pPr>
                </w:p>
              </w:tc>
              <w:tc>
                <w:tcPr>
                  <w:tcW w:w="492" w:type="pct"/>
                  <w:shd w:val="clear" w:color="auto" w:fill="auto"/>
                  <w:tcMar>
                    <w:left w:w="28" w:type="dxa"/>
                    <w:right w:w="28" w:type="dxa"/>
                  </w:tcMar>
                  <w:vAlign w:val="center"/>
                </w:tcPr>
                <w:p w14:paraId="7759B84C">
                  <w:pPr>
                    <w:jc w:val="center"/>
                    <w:rPr>
                      <w:color w:val="auto"/>
                      <w:szCs w:val="21"/>
                    </w:rPr>
                  </w:pPr>
                  <w:r>
                    <w:rPr>
                      <w:rFonts w:hint="eastAsia"/>
                      <w:color w:val="auto"/>
                      <w:szCs w:val="21"/>
                    </w:rPr>
                    <w:t>烟气</w:t>
                  </w:r>
                  <w:r>
                    <w:rPr>
                      <w:rFonts w:hint="eastAsia"/>
                      <w:color w:val="auto"/>
                    </w:rPr>
                    <w:t>黑度</w:t>
                  </w:r>
                </w:p>
              </w:tc>
              <w:tc>
                <w:tcPr>
                  <w:tcW w:w="617" w:type="pct"/>
                  <w:shd w:val="clear" w:color="auto" w:fill="auto"/>
                  <w:tcMar>
                    <w:left w:w="28" w:type="dxa"/>
                    <w:right w:w="28" w:type="dxa"/>
                  </w:tcMar>
                  <w:vAlign w:val="center"/>
                </w:tcPr>
                <w:p w14:paraId="38FA9009">
                  <w:pPr>
                    <w:jc w:val="center"/>
                    <w:rPr>
                      <w:color w:val="auto"/>
                      <w:szCs w:val="21"/>
                    </w:rPr>
                  </w:pPr>
                  <w:r>
                    <w:rPr>
                      <w:rFonts w:hint="eastAsia"/>
                      <w:color w:val="auto"/>
                      <w:szCs w:val="21"/>
                    </w:rPr>
                    <w:t>林格曼黑度1级</w:t>
                  </w:r>
                </w:p>
              </w:tc>
              <w:tc>
                <w:tcPr>
                  <w:tcW w:w="548" w:type="pct"/>
                  <w:shd w:val="clear" w:color="auto" w:fill="auto"/>
                  <w:tcMar>
                    <w:left w:w="28" w:type="dxa"/>
                    <w:right w:w="28" w:type="dxa"/>
                  </w:tcMar>
                  <w:vAlign w:val="center"/>
                </w:tcPr>
                <w:p w14:paraId="1734C48D">
                  <w:pPr>
                    <w:keepNext/>
                    <w:keepLines/>
                    <w:snapToGrid w:val="0"/>
                    <w:spacing w:before="80" w:after="80"/>
                    <w:jc w:val="center"/>
                    <w:outlineLvl w:val="0"/>
                    <w:rPr>
                      <w:bCs/>
                      <w:color w:val="auto"/>
                      <w:szCs w:val="21"/>
                    </w:rPr>
                  </w:pPr>
                  <w:r>
                    <w:rPr>
                      <w:bCs/>
                      <w:color w:val="auto"/>
                      <w:szCs w:val="21"/>
                    </w:rPr>
                    <w:t>/</w:t>
                  </w:r>
                </w:p>
              </w:tc>
              <w:tc>
                <w:tcPr>
                  <w:tcW w:w="742" w:type="pct"/>
                  <w:shd w:val="clear" w:color="auto" w:fill="auto"/>
                  <w:tcMar>
                    <w:left w:w="28" w:type="dxa"/>
                    <w:right w:w="28" w:type="dxa"/>
                  </w:tcMar>
                  <w:vAlign w:val="center"/>
                </w:tcPr>
                <w:p w14:paraId="7055FCAB">
                  <w:pPr>
                    <w:jc w:val="center"/>
                    <w:rPr>
                      <w:color w:val="auto"/>
                      <w:szCs w:val="21"/>
                    </w:rPr>
                  </w:pPr>
                  <w:r>
                    <w:rPr>
                      <w:bCs/>
                      <w:color w:val="auto"/>
                      <w:szCs w:val="21"/>
                    </w:rPr>
                    <w:t>/</w:t>
                  </w:r>
                </w:p>
              </w:tc>
              <w:tc>
                <w:tcPr>
                  <w:tcW w:w="854" w:type="pct"/>
                  <w:vMerge w:val="continue"/>
                  <w:vAlign w:val="center"/>
                </w:tcPr>
                <w:p w14:paraId="6A78FDA0">
                  <w:pPr>
                    <w:jc w:val="center"/>
                    <w:rPr>
                      <w:bCs/>
                      <w:color w:val="auto"/>
                      <w:szCs w:val="21"/>
                    </w:rPr>
                  </w:pPr>
                </w:p>
              </w:tc>
              <w:tc>
                <w:tcPr>
                  <w:tcW w:w="1021" w:type="pct"/>
                  <w:vMerge w:val="continue"/>
                  <w:vAlign w:val="center"/>
                </w:tcPr>
                <w:p w14:paraId="5EF05D76">
                  <w:pPr>
                    <w:jc w:val="center"/>
                    <w:rPr>
                      <w:bCs/>
                      <w:color w:val="auto"/>
                      <w:szCs w:val="21"/>
                    </w:rPr>
                  </w:pPr>
                </w:p>
              </w:tc>
            </w:tr>
            <w:tr w14:paraId="518BF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722" w:type="pct"/>
                  <w:vMerge w:val="restart"/>
                  <w:vAlign w:val="center"/>
                </w:tcPr>
                <w:p w14:paraId="3BCA6C2C">
                  <w:pPr>
                    <w:jc w:val="center"/>
                    <w:rPr>
                      <w:color w:val="auto"/>
                      <w:szCs w:val="21"/>
                    </w:rPr>
                  </w:pPr>
                  <w:r>
                    <w:rPr>
                      <w:rFonts w:hint="eastAsia"/>
                      <w:color w:val="auto"/>
                      <w:szCs w:val="21"/>
                    </w:rPr>
                    <w:t>亚克力下料、打标、热弯、丝印、烘烤、洗网水、粘接、清洗</w:t>
                  </w:r>
                </w:p>
              </w:tc>
              <w:tc>
                <w:tcPr>
                  <w:tcW w:w="492" w:type="pct"/>
                  <w:vMerge w:val="restart"/>
                  <w:shd w:val="clear" w:color="auto" w:fill="auto"/>
                  <w:tcMar>
                    <w:left w:w="28" w:type="dxa"/>
                    <w:right w:w="28" w:type="dxa"/>
                  </w:tcMar>
                  <w:vAlign w:val="center"/>
                </w:tcPr>
                <w:p w14:paraId="28A6A1F0">
                  <w:pPr>
                    <w:jc w:val="center"/>
                    <w:rPr>
                      <w:color w:val="auto"/>
                      <w:szCs w:val="21"/>
                    </w:rPr>
                  </w:pPr>
                  <w:r>
                    <w:rPr>
                      <w:rFonts w:hint="eastAsia"/>
                      <w:color w:val="auto"/>
                      <w:szCs w:val="21"/>
                    </w:rPr>
                    <w:t>非甲烷总烃</w:t>
                  </w:r>
                </w:p>
              </w:tc>
              <w:tc>
                <w:tcPr>
                  <w:tcW w:w="617" w:type="pct"/>
                  <w:vMerge w:val="restart"/>
                  <w:shd w:val="clear" w:color="auto" w:fill="auto"/>
                  <w:tcMar>
                    <w:left w:w="28" w:type="dxa"/>
                    <w:right w:w="28" w:type="dxa"/>
                  </w:tcMar>
                  <w:vAlign w:val="center"/>
                </w:tcPr>
                <w:p w14:paraId="60241BF1">
                  <w:pPr>
                    <w:jc w:val="center"/>
                    <w:rPr>
                      <w:color w:val="auto"/>
                      <w:szCs w:val="21"/>
                    </w:rPr>
                  </w:pPr>
                  <w:r>
                    <w:rPr>
                      <w:rFonts w:hint="eastAsia"/>
                      <w:color w:val="auto"/>
                      <w:szCs w:val="21"/>
                    </w:rPr>
                    <w:t>50</w:t>
                  </w:r>
                </w:p>
              </w:tc>
              <w:tc>
                <w:tcPr>
                  <w:tcW w:w="548" w:type="pct"/>
                  <w:vMerge w:val="restart"/>
                  <w:shd w:val="clear" w:color="auto" w:fill="auto"/>
                  <w:tcMar>
                    <w:left w:w="28" w:type="dxa"/>
                    <w:right w:w="28" w:type="dxa"/>
                  </w:tcMar>
                  <w:vAlign w:val="center"/>
                </w:tcPr>
                <w:p w14:paraId="3391383E">
                  <w:pPr>
                    <w:keepNext/>
                    <w:keepLines/>
                    <w:snapToGrid w:val="0"/>
                    <w:spacing w:before="80" w:after="80"/>
                    <w:jc w:val="center"/>
                    <w:outlineLvl w:val="0"/>
                    <w:rPr>
                      <w:bCs/>
                      <w:color w:val="auto"/>
                      <w:szCs w:val="21"/>
                    </w:rPr>
                  </w:pPr>
                  <w:r>
                    <w:rPr>
                      <w:rFonts w:hint="eastAsia"/>
                      <w:bCs/>
                      <w:color w:val="auto"/>
                      <w:szCs w:val="21"/>
                    </w:rPr>
                    <w:t>1.8</w:t>
                  </w:r>
                </w:p>
              </w:tc>
              <w:tc>
                <w:tcPr>
                  <w:tcW w:w="742" w:type="pct"/>
                  <w:shd w:val="clear" w:color="auto" w:fill="auto"/>
                  <w:tcMar>
                    <w:left w:w="28" w:type="dxa"/>
                    <w:right w:w="28" w:type="dxa"/>
                  </w:tcMar>
                  <w:vAlign w:val="center"/>
                </w:tcPr>
                <w:p w14:paraId="0228EF6D">
                  <w:pPr>
                    <w:widowControl/>
                    <w:adjustRightInd w:val="0"/>
                    <w:snapToGrid w:val="0"/>
                    <w:jc w:val="center"/>
                    <w:rPr>
                      <w:bCs/>
                      <w:color w:val="auto"/>
                      <w:szCs w:val="21"/>
                    </w:rPr>
                  </w:pPr>
                  <w:r>
                    <w:rPr>
                      <w:rFonts w:hint="eastAsia"/>
                      <w:color w:val="auto"/>
                      <w:szCs w:val="21"/>
                      <w:lang w:eastAsia="zh-CN"/>
                    </w:rPr>
                    <w:t>(6)</w:t>
                  </w:r>
                  <w:r>
                    <w:rPr>
                      <w:rFonts w:hint="eastAsia"/>
                      <w:color w:val="auto"/>
                      <w:kern w:val="0"/>
                      <w:szCs w:val="21"/>
                    </w:rPr>
                    <w:t>厂房外设置监控点</w:t>
                  </w:r>
                  <w:r>
                    <w:rPr>
                      <w:color w:val="auto"/>
                      <w:szCs w:val="21"/>
                    </w:rPr>
                    <w:t>1h</w:t>
                  </w:r>
                  <w:r>
                    <w:rPr>
                      <w:rFonts w:hint="eastAsia"/>
                      <w:color w:val="auto"/>
                      <w:szCs w:val="21"/>
                    </w:rPr>
                    <w:t>平均浓度限值）</w:t>
                  </w:r>
                </w:p>
              </w:tc>
              <w:tc>
                <w:tcPr>
                  <w:tcW w:w="854" w:type="pct"/>
                  <w:vMerge w:val="restart"/>
                  <w:vAlign w:val="center"/>
                </w:tcPr>
                <w:p w14:paraId="670C0884">
                  <w:pPr>
                    <w:jc w:val="center"/>
                    <w:rPr>
                      <w:bCs/>
                      <w:color w:val="auto"/>
                      <w:szCs w:val="21"/>
                    </w:rPr>
                  </w:pPr>
                  <w:r>
                    <w:rPr>
                      <w:rFonts w:hint="eastAsia"/>
                      <w:bCs/>
                      <w:color w:val="auto"/>
                      <w:szCs w:val="21"/>
                    </w:rPr>
                    <w:t>车间排气筒出口或生产设施排气筒出口；无组织为边界外浓度最高点</w:t>
                  </w:r>
                </w:p>
              </w:tc>
              <w:tc>
                <w:tcPr>
                  <w:tcW w:w="1021" w:type="pct"/>
                  <w:vMerge w:val="restart"/>
                  <w:vAlign w:val="center"/>
                </w:tcPr>
                <w:p w14:paraId="1A739BEB">
                  <w:pPr>
                    <w:jc w:val="center"/>
                    <w:rPr>
                      <w:bCs/>
                      <w:color w:val="auto"/>
                      <w:szCs w:val="21"/>
                    </w:rPr>
                  </w:pPr>
                  <w:r>
                    <w:rPr>
                      <w:rFonts w:hint="eastAsia"/>
                      <w:color w:val="auto"/>
                      <w:szCs w:val="21"/>
                    </w:rPr>
                    <w:t>《印刷工业大气污染物排放标准》（DB32/4438-2022）表1限值及表3限值</w:t>
                  </w:r>
                </w:p>
              </w:tc>
            </w:tr>
            <w:tr w14:paraId="6D983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722" w:type="pct"/>
                  <w:vMerge w:val="continue"/>
                  <w:vAlign w:val="center"/>
                </w:tcPr>
                <w:p w14:paraId="24CB7BA2">
                  <w:pPr>
                    <w:jc w:val="center"/>
                    <w:rPr>
                      <w:color w:val="auto"/>
                    </w:rPr>
                  </w:pPr>
                </w:p>
              </w:tc>
              <w:tc>
                <w:tcPr>
                  <w:tcW w:w="492" w:type="pct"/>
                  <w:vMerge w:val="continue"/>
                  <w:shd w:val="clear" w:color="auto" w:fill="auto"/>
                  <w:tcMar>
                    <w:left w:w="28" w:type="dxa"/>
                    <w:right w:w="28" w:type="dxa"/>
                  </w:tcMar>
                  <w:vAlign w:val="center"/>
                </w:tcPr>
                <w:p w14:paraId="2682D265">
                  <w:pPr>
                    <w:jc w:val="center"/>
                    <w:rPr>
                      <w:color w:val="auto"/>
                    </w:rPr>
                  </w:pPr>
                </w:p>
              </w:tc>
              <w:tc>
                <w:tcPr>
                  <w:tcW w:w="617" w:type="pct"/>
                  <w:vMerge w:val="continue"/>
                  <w:shd w:val="clear" w:color="auto" w:fill="auto"/>
                  <w:tcMar>
                    <w:left w:w="28" w:type="dxa"/>
                    <w:right w:w="28" w:type="dxa"/>
                  </w:tcMar>
                  <w:vAlign w:val="center"/>
                </w:tcPr>
                <w:p w14:paraId="5B68ECED">
                  <w:pPr>
                    <w:jc w:val="center"/>
                    <w:rPr>
                      <w:color w:val="auto"/>
                    </w:rPr>
                  </w:pPr>
                </w:p>
              </w:tc>
              <w:tc>
                <w:tcPr>
                  <w:tcW w:w="548" w:type="pct"/>
                  <w:vMerge w:val="continue"/>
                  <w:shd w:val="clear" w:color="auto" w:fill="auto"/>
                  <w:tcMar>
                    <w:left w:w="28" w:type="dxa"/>
                    <w:right w:w="28" w:type="dxa"/>
                  </w:tcMar>
                  <w:vAlign w:val="center"/>
                </w:tcPr>
                <w:p w14:paraId="4BDF22C4">
                  <w:pPr>
                    <w:jc w:val="center"/>
                    <w:rPr>
                      <w:color w:val="auto"/>
                    </w:rPr>
                  </w:pPr>
                </w:p>
              </w:tc>
              <w:tc>
                <w:tcPr>
                  <w:tcW w:w="742" w:type="pct"/>
                  <w:shd w:val="clear" w:color="auto" w:fill="auto"/>
                  <w:tcMar>
                    <w:left w:w="28" w:type="dxa"/>
                    <w:right w:w="28" w:type="dxa"/>
                  </w:tcMar>
                  <w:vAlign w:val="center"/>
                </w:tcPr>
                <w:p w14:paraId="14B01D3B">
                  <w:pPr>
                    <w:widowControl/>
                    <w:adjustRightInd w:val="0"/>
                    <w:snapToGrid w:val="0"/>
                    <w:jc w:val="center"/>
                    <w:rPr>
                      <w:bCs/>
                      <w:color w:val="auto"/>
                      <w:szCs w:val="21"/>
                    </w:rPr>
                  </w:pPr>
                  <w:r>
                    <w:rPr>
                      <w:rFonts w:hint="eastAsia"/>
                      <w:color w:val="auto"/>
                      <w:szCs w:val="21"/>
                      <w:lang w:eastAsia="zh-CN"/>
                    </w:rPr>
                    <w:t>(20)</w:t>
                  </w:r>
                  <w:r>
                    <w:rPr>
                      <w:rFonts w:hint="eastAsia"/>
                      <w:color w:val="auto"/>
                      <w:kern w:val="0"/>
                      <w:szCs w:val="21"/>
                    </w:rPr>
                    <w:t>厂房外设置监控点</w:t>
                  </w:r>
                  <w:r>
                    <w:rPr>
                      <w:rFonts w:hint="eastAsia"/>
                      <w:color w:val="auto"/>
                      <w:szCs w:val="21"/>
                    </w:rPr>
                    <w:t>任意一次浓度限值）</w:t>
                  </w:r>
                </w:p>
              </w:tc>
              <w:tc>
                <w:tcPr>
                  <w:tcW w:w="854" w:type="pct"/>
                  <w:vMerge w:val="continue"/>
                  <w:vAlign w:val="center"/>
                </w:tcPr>
                <w:p w14:paraId="691F5751">
                  <w:pPr>
                    <w:jc w:val="center"/>
                    <w:rPr>
                      <w:bCs/>
                      <w:color w:val="auto"/>
                      <w:szCs w:val="21"/>
                    </w:rPr>
                  </w:pPr>
                </w:p>
              </w:tc>
              <w:tc>
                <w:tcPr>
                  <w:tcW w:w="1021" w:type="pct"/>
                  <w:vMerge w:val="continue"/>
                  <w:vAlign w:val="center"/>
                </w:tcPr>
                <w:p w14:paraId="32AFB5DF">
                  <w:pPr>
                    <w:jc w:val="center"/>
                    <w:rPr>
                      <w:bCs/>
                      <w:color w:val="auto"/>
                      <w:szCs w:val="21"/>
                    </w:rPr>
                  </w:pPr>
                </w:p>
              </w:tc>
            </w:tr>
            <w:tr w14:paraId="59EFE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Align w:val="center"/>
                </w:tcPr>
                <w:p w14:paraId="01B835CC">
                  <w:pPr>
                    <w:jc w:val="center"/>
                    <w:rPr>
                      <w:color w:val="auto"/>
                      <w:szCs w:val="21"/>
                    </w:rPr>
                  </w:pPr>
                  <w:r>
                    <w:rPr>
                      <w:rFonts w:hint="eastAsia"/>
                      <w:color w:val="auto"/>
                      <w:szCs w:val="21"/>
                    </w:rPr>
                    <w:t>亚克力倒角</w:t>
                  </w:r>
                </w:p>
              </w:tc>
              <w:tc>
                <w:tcPr>
                  <w:tcW w:w="492" w:type="pct"/>
                  <w:shd w:val="clear" w:color="auto" w:fill="auto"/>
                  <w:tcMar>
                    <w:left w:w="28" w:type="dxa"/>
                    <w:right w:w="28" w:type="dxa"/>
                  </w:tcMar>
                  <w:vAlign w:val="center"/>
                </w:tcPr>
                <w:p w14:paraId="33004FAB">
                  <w:pPr>
                    <w:jc w:val="center"/>
                    <w:rPr>
                      <w:color w:val="auto"/>
                      <w:szCs w:val="21"/>
                    </w:rPr>
                  </w:pPr>
                  <w:r>
                    <w:rPr>
                      <w:rFonts w:hint="eastAsia"/>
                      <w:color w:val="auto"/>
                      <w:szCs w:val="21"/>
                    </w:rPr>
                    <w:t>颗粒物</w:t>
                  </w:r>
                </w:p>
              </w:tc>
              <w:tc>
                <w:tcPr>
                  <w:tcW w:w="617" w:type="pct"/>
                  <w:shd w:val="clear" w:color="auto" w:fill="auto"/>
                  <w:tcMar>
                    <w:left w:w="28" w:type="dxa"/>
                    <w:right w:w="28" w:type="dxa"/>
                  </w:tcMar>
                  <w:vAlign w:val="center"/>
                </w:tcPr>
                <w:p w14:paraId="401387EC">
                  <w:pPr>
                    <w:keepNext/>
                    <w:keepLines/>
                    <w:snapToGrid w:val="0"/>
                    <w:spacing w:before="80" w:after="80"/>
                    <w:jc w:val="center"/>
                    <w:outlineLvl w:val="0"/>
                    <w:rPr>
                      <w:color w:val="auto"/>
                      <w:szCs w:val="21"/>
                    </w:rPr>
                  </w:pPr>
                  <w:r>
                    <w:rPr>
                      <w:rFonts w:hint="eastAsia"/>
                      <w:bCs/>
                      <w:color w:val="auto"/>
                      <w:szCs w:val="21"/>
                    </w:rPr>
                    <w:t>10</w:t>
                  </w:r>
                </w:p>
              </w:tc>
              <w:tc>
                <w:tcPr>
                  <w:tcW w:w="548" w:type="pct"/>
                  <w:shd w:val="clear" w:color="auto" w:fill="auto"/>
                  <w:tcMar>
                    <w:left w:w="28" w:type="dxa"/>
                    <w:right w:w="28" w:type="dxa"/>
                  </w:tcMar>
                  <w:vAlign w:val="center"/>
                </w:tcPr>
                <w:p w14:paraId="2D5750FF">
                  <w:pPr>
                    <w:keepNext/>
                    <w:keepLines/>
                    <w:snapToGrid w:val="0"/>
                    <w:spacing w:before="80" w:after="80"/>
                    <w:jc w:val="center"/>
                    <w:outlineLvl w:val="0"/>
                    <w:rPr>
                      <w:bCs/>
                      <w:color w:val="auto"/>
                      <w:szCs w:val="21"/>
                    </w:rPr>
                  </w:pPr>
                  <w:r>
                    <w:rPr>
                      <w:rFonts w:hint="eastAsia"/>
                      <w:bCs/>
                      <w:color w:val="auto"/>
                      <w:szCs w:val="21"/>
                    </w:rPr>
                    <w:t>0.4</w:t>
                  </w:r>
                </w:p>
              </w:tc>
              <w:tc>
                <w:tcPr>
                  <w:tcW w:w="742" w:type="pct"/>
                  <w:shd w:val="clear" w:color="auto" w:fill="auto"/>
                  <w:tcMar>
                    <w:left w:w="28" w:type="dxa"/>
                    <w:right w:w="28" w:type="dxa"/>
                  </w:tcMar>
                  <w:vAlign w:val="center"/>
                </w:tcPr>
                <w:p w14:paraId="68E96371">
                  <w:pPr>
                    <w:jc w:val="center"/>
                    <w:rPr>
                      <w:bCs/>
                      <w:color w:val="auto"/>
                      <w:szCs w:val="21"/>
                    </w:rPr>
                  </w:pPr>
                  <w:r>
                    <w:rPr>
                      <w:rFonts w:hint="eastAsia"/>
                      <w:bCs/>
                      <w:color w:val="auto"/>
                      <w:szCs w:val="21"/>
                    </w:rPr>
                    <w:t>/</w:t>
                  </w:r>
                </w:p>
              </w:tc>
              <w:tc>
                <w:tcPr>
                  <w:tcW w:w="854" w:type="pct"/>
                  <w:vMerge w:val="continue"/>
                  <w:vAlign w:val="center"/>
                </w:tcPr>
                <w:p w14:paraId="06D4E31B">
                  <w:pPr>
                    <w:jc w:val="center"/>
                    <w:rPr>
                      <w:bCs/>
                      <w:color w:val="auto"/>
                      <w:szCs w:val="21"/>
                    </w:rPr>
                  </w:pPr>
                </w:p>
              </w:tc>
              <w:tc>
                <w:tcPr>
                  <w:tcW w:w="1021" w:type="pct"/>
                  <w:vMerge w:val="continue"/>
                  <w:vAlign w:val="center"/>
                </w:tcPr>
                <w:p w14:paraId="0A0F56C1">
                  <w:pPr>
                    <w:jc w:val="center"/>
                    <w:rPr>
                      <w:color w:val="auto"/>
                      <w:szCs w:val="21"/>
                    </w:rPr>
                  </w:pPr>
                </w:p>
              </w:tc>
            </w:tr>
          </w:tbl>
          <w:p w14:paraId="4735B790">
            <w:pPr>
              <w:spacing w:line="500" w:lineRule="exact"/>
              <w:jc w:val="center"/>
              <w:rPr>
                <w:b/>
                <w:bCs/>
                <w:color w:val="auto"/>
                <w:sz w:val="24"/>
              </w:rPr>
            </w:pPr>
            <w:r>
              <w:rPr>
                <w:rFonts w:hint="eastAsia"/>
                <w:b/>
                <w:bCs/>
                <w:color w:val="auto"/>
                <w:sz w:val="24"/>
              </w:rPr>
              <w:t>表3.4-2</w:t>
            </w:r>
            <w:r>
              <w:rPr>
                <w:b/>
                <w:bCs/>
                <w:color w:val="auto"/>
                <w:sz w:val="24"/>
              </w:rPr>
              <w:t>《饮食业油烟排放标准</w:t>
            </w:r>
            <w:r>
              <w:rPr>
                <w:rFonts w:hint="eastAsia"/>
                <w:b/>
                <w:bCs/>
                <w:color w:val="auto"/>
                <w:sz w:val="24"/>
              </w:rPr>
              <w:t>（试行）</w:t>
            </w:r>
            <w:r>
              <w:rPr>
                <w:b/>
                <w:bCs/>
                <w:color w:val="auto"/>
                <w:sz w:val="24"/>
              </w:rPr>
              <w:t>》（GB18483-2001）中限值标准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90"/>
              <w:gridCol w:w="1539"/>
              <w:gridCol w:w="1541"/>
              <w:gridCol w:w="1541"/>
            </w:tblGrid>
            <w:tr w14:paraId="1836E6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D089638">
                  <w:pPr>
                    <w:snapToGrid w:val="0"/>
                    <w:spacing w:before="60"/>
                    <w:jc w:val="center"/>
                    <w:rPr>
                      <w:bCs/>
                      <w:color w:val="auto"/>
                    </w:rPr>
                  </w:pPr>
                  <w:r>
                    <w:rPr>
                      <w:bCs/>
                      <w:color w:val="auto"/>
                    </w:rPr>
                    <w:t>规     模</w:t>
                  </w:r>
                </w:p>
              </w:tc>
              <w:tc>
                <w:tcPr>
                  <w:tcW w:w="926" w:type="pct"/>
                  <w:vAlign w:val="center"/>
                </w:tcPr>
                <w:p w14:paraId="77D370EB">
                  <w:pPr>
                    <w:snapToGrid w:val="0"/>
                    <w:spacing w:before="60"/>
                    <w:jc w:val="center"/>
                    <w:rPr>
                      <w:bCs/>
                      <w:color w:val="auto"/>
                    </w:rPr>
                  </w:pPr>
                  <w:r>
                    <w:rPr>
                      <w:bCs/>
                      <w:color w:val="auto"/>
                    </w:rPr>
                    <w:t>小型</w:t>
                  </w:r>
                </w:p>
              </w:tc>
              <w:tc>
                <w:tcPr>
                  <w:tcW w:w="927" w:type="pct"/>
                  <w:vAlign w:val="center"/>
                </w:tcPr>
                <w:p w14:paraId="04B17099">
                  <w:pPr>
                    <w:snapToGrid w:val="0"/>
                    <w:spacing w:before="60"/>
                    <w:jc w:val="center"/>
                    <w:rPr>
                      <w:bCs/>
                      <w:color w:val="auto"/>
                    </w:rPr>
                  </w:pPr>
                  <w:r>
                    <w:rPr>
                      <w:bCs/>
                      <w:color w:val="auto"/>
                    </w:rPr>
                    <w:t>中型</w:t>
                  </w:r>
                </w:p>
              </w:tc>
              <w:tc>
                <w:tcPr>
                  <w:tcW w:w="927" w:type="pct"/>
                  <w:vAlign w:val="center"/>
                </w:tcPr>
                <w:p w14:paraId="21AB147C">
                  <w:pPr>
                    <w:snapToGrid w:val="0"/>
                    <w:spacing w:before="60"/>
                    <w:jc w:val="center"/>
                    <w:rPr>
                      <w:bCs/>
                      <w:color w:val="auto"/>
                    </w:rPr>
                  </w:pPr>
                  <w:r>
                    <w:rPr>
                      <w:bCs/>
                      <w:color w:val="auto"/>
                    </w:rPr>
                    <w:t>大型</w:t>
                  </w:r>
                </w:p>
              </w:tc>
            </w:tr>
            <w:tr w14:paraId="68478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2863430">
                  <w:pPr>
                    <w:snapToGrid w:val="0"/>
                    <w:spacing w:before="60"/>
                    <w:jc w:val="center"/>
                    <w:rPr>
                      <w:color w:val="auto"/>
                    </w:rPr>
                  </w:pPr>
                  <w:r>
                    <w:rPr>
                      <w:color w:val="auto"/>
                    </w:rPr>
                    <w:t>最高允许排放浓度mg/m</w:t>
                  </w:r>
                  <w:r>
                    <w:rPr>
                      <w:color w:val="auto"/>
                      <w:vertAlign w:val="superscript"/>
                    </w:rPr>
                    <w:t>3</w:t>
                  </w:r>
                </w:p>
              </w:tc>
              <w:tc>
                <w:tcPr>
                  <w:tcW w:w="2780" w:type="pct"/>
                  <w:gridSpan w:val="3"/>
                  <w:vAlign w:val="center"/>
                </w:tcPr>
                <w:p w14:paraId="42BD5DB3">
                  <w:pPr>
                    <w:snapToGrid w:val="0"/>
                    <w:spacing w:before="60"/>
                    <w:jc w:val="center"/>
                    <w:rPr>
                      <w:color w:val="auto"/>
                    </w:rPr>
                  </w:pPr>
                  <w:r>
                    <w:rPr>
                      <w:color w:val="auto"/>
                    </w:rPr>
                    <w:t>2.0</w:t>
                  </w:r>
                </w:p>
              </w:tc>
            </w:tr>
            <w:tr w14:paraId="113AD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D4C5705">
                  <w:pPr>
                    <w:snapToGrid w:val="0"/>
                    <w:spacing w:before="60"/>
                    <w:jc w:val="center"/>
                    <w:rPr>
                      <w:color w:val="auto"/>
                    </w:rPr>
                  </w:pPr>
                  <w:r>
                    <w:rPr>
                      <w:color w:val="auto"/>
                    </w:rPr>
                    <w:t>净化设施最</w:t>
                  </w:r>
                  <w:r>
                    <w:rPr>
                      <w:rFonts w:hint="eastAsia"/>
                      <w:color w:val="auto"/>
                    </w:rPr>
                    <w:t>低</w:t>
                  </w:r>
                  <w:r>
                    <w:rPr>
                      <w:color w:val="auto"/>
                    </w:rPr>
                    <w:t>去除效率%</w:t>
                  </w:r>
                </w:p>
              </w:tc>
              <w:tc>
                <w:tcPr>
                  <w:tcW w:w="926" w:type="pct"/>
                  <w:vAlign w:val="center"/>
                </w:tcPr>
                <w:p w14:paraId="425E6DB7">
                  <w:pPr>
                    <w:snapToGrid w:val="0"/>
                    <w:spacing w:before="60"/>
                    <w:jc w:val="center"/>
                    <w:rPr>
                      <w:color w:val="auto"/>
                    </w:rPr>
                  </w:pPr>
                  <w:r>
                    <w:rPr>
                      <w:color w:val="auto"/>
                    </w:rPr>
                    <w:t>60</w:t>
                  </w:r>
                </w:p>
              </w:tc>
              <w:tc>
                <w:tcPr>
                  <w:tcW w:w="927" w:type="pct"/>
                  <w:vAlign w:val="center"/>
                </w:tcPr>
                <w:p w14:paraId="7FCF2C30">
                  <w:pPr>
                    <w:snapToGrid w:val="0"/>
                    <w:spacing w:before="60"/>
                    <w:jc w:val="center"/>
                    <w:rPr>
                      <w:color w:val="auto"/>
                    </w:rPr>
                  </w:pPr>
                  <w:r>
                    <w:rPr>
                      <w:color w:val="auto"/>
                    </w:rPr>
                    <w:t>75</w:t>
                  </w:r>
                </w:p>
              </w:tc>
              <w:tc>
                <w:tcPr>
                  <w:tcW w:w="927" w:type="pct"/>
                  <w:vAlign w:val="center"/>
                </w:tcPr>
                <w:p w14:paraId="1EC616E9">
                  <w:pPr>
                    <w:snapToGrid w:val="0"/>
                    <w:spacing w:before="60"/>
                    <w:jc w:val="center"/>
                    <w:rPr>
                      <w:color w:val="auto"/>
                    </w:rPr>
                  </w:pPr>
                  <w:r>
                    <w:rPr>
                      <w:color w:val="auto"/>
                    </w:rPr>
                    <w:t>85</w:t>
                  </w:r>
                </w:p>
              </w:tc>
            </w:tr>
          </w:tbl>
          <w:p w14:paraId="70F471B8">
            <w:pPr>
              <w:adjustRightInd w:val="0"/>
              <w:snapToGrid w:val="0"/>
              <w:jc w:val="center"/>
              <w:rPr>
                <w:bCs/>
                <w:color w:val="auto"/>
                <w:sz w:val="24"/>
                <w:szCs w:val="32"/>
                <w:vertAlign w:val="superscript"/>
              </w:rPr>
            </w:pPr>
          </w:p>
          <w:p w14:paraId="47541CC5">
            <w:pPr>
              <w:tabs>
                <w:tab w:val="left" w:pos="720"/>
              </w:tabs>
              <w:adjustRightInd w:val="0"/>
              <w:snapToGrid w:val="0"/>
              <w:spacing w:line="360" w:lineRule="auto"/>
              <w:ind w:firstLine="482" w:firstLineChars="200"/>
              <w:rPr>
                <w:b/>
                <w:bCs/>
                <w:color w:val="auto"/>
                <w:sz w:val="24"/>
              </w:rPr>
            </w:pPr>
            <w:r>
              <w:rPr>
                <w:rFonts w:hint="eastAsia"/>
                <w:b/>
                <w:bCs/>
                <w:color w:val="auto"/>
                <w:sz w:val="24"/>
                <w:lang w:eastAsia="zh-CN"/>
              </w:rPr>
              <w:t>2.</w:t>
            </w:r>
            <w:r>
              <w:rPr>
                <w:b/>
                <w:bCs/>
                <w:color w:val="auto"/>
                <w:sz w:val="24"/>
              </w:rPr>
              <w:t>废水</w:t>
            </w:r>
          </w:p>
          <w:p w14:paraId="479D305D">
            <w:pPr>
              <w:adjustRightInd w:val="0"/>
              <w:snapToGrid w:val="0"/>
              <w:spacing w:line="360" w:lineRule="auto"/>
              <w:ind w:firstLine="480" w:firstLineChars="200"/>
              <w:rPr>
                <w:color w:val="auto"/>
                <w:sz w:val="24"/>
              </w:rPr>
            </w:pPr>
            <w:r>
              <w:rPr>
                <w:bCs/>
                <w:color w:val="auto"/>
                <w:sz w:val="24"/>
              </w:rPr>
              <w:t>本项目产生的</w:t>
            </w:r>
            <w:r>
              <w:rPr>
                <w:rFonts w:hint="eastAsia"/>
                <w:bCs/>
                <w:color w:val="auto"/>
                <w:sz w:val="24"/>
              </w:rPr>
              <w:t>生活、生产废</w:t>
            </w:r>
            <w:r>
              <w:rPr>
                <w:bCs/>
                <w:color w:val="auto"/>
                <w:sz w:val="24"/>
              </w:rPr>
              <w:t>水经</w:t>
            </w:r>
            <w:r>
              <w:rPr>
                <w:rFonts w:hint="eastAsia"/>
                <w:bCs/>
                <w:color w:val="auto"/>
                <w:sz w:val="24"/>
              </w:rPr>
              <w:t>厂内</w:t>
            </w:r>
            <w:r>
              <w:rPr>
                <w:bCs/>
                <w:color w:val="auto"/>
                <w:sz w:val="24"/>
              </w:rPr>
              <w:t>预处理达标后，</w:t>
            </w:r>
            <w:r>
              <w:rPr>
                <w:rFonts w:hint="eastAsia"/>
                <w:bCs/>
                <w:color w:val="auto"/>
                <w:sz w:val="24"/>
              </w:rPr>
              <w:t>接管至涟水县空港产业园</w:t>
            </w:r>
            <w:r>
              <w:rPr>
                <w:bCs/>
                <w:color w:val="auto"/>
                <w:sz w:val="24"/>
              </w:rPr>
              <w:t>污水处理厂集中再处理</w:t>
            </w:r>
            <w:r>
              <w:rPr>
                <w:rFonts w:hint="eastAsia"/>
                <w:bCs/>
                <w:color w:val="auto"/>
                <w:sz w:val="24"/>
              </w:rPr>
              <w:t>，接管水质中动植物油、石油类、LAS执行《污水综合排放标准》（GB8978-1996）表4三级标准，其他因子执行涟水县空港产业园污水处理厂允许接管限值要求。污水处理厂尾水排放标准执行《城镇污水处理厂污染物排放标准》（DB32/4440-2022）</w:t>
            </w:r>
            <w:r>
              <w:rPr>
                <w:bCs/>
                <w:color w:val="auto"/>
                <w:sz w:val="24"/>
              </w:rPr>
              <w:t>A</w:t>
            </w:r>
            <w:r>
              <w:rPr>
                <w:rFonts w:hint="eastAsia"/>
                <w:bCs/>
                <w:color w:val="auto"/>
                <w:sz w:val="24"/>
              </w:rPr>
              <w:t>类</w:t>
            </w:r>
            <w:r>
              <w:rPr>
                <w:bCs/>
                <w:color w:val="auto"/>
                <w:sz w:val="24"/>
              </w:rPr>
              <w:t>标准</w:t>
            </w:r>
            <w:r>
              <w:rPr>
                <w:rFonts w:hint="eastAsia"/>
                <w:bCs/>
                <w:color w:val="auto"/>
                <w:sz w:val="24"/>
              </w:rPr>
              <w:t>限制</w:t>
            </w:r>
            <w:r>
              <w:rPr>
                <w:bCs/>
                <w:color w:val="auto"/>
                <w:sz w:val="24"/>
              </w:rPr>
              <w:t>后排入</w:t>
            </w:r>
            <w:r>
              <w:rPr>
                <w:rFonts w:hint="eastAsia"/>
                <w:bCs/>
                <w:color w:val="auto"/>
                <w:sz w:val="24"/>
              </w:rPr>
              <w:t>盐河</w:t>
            </w:r>
            <w:r>
              <w:rPr>
                <w:bCs/>
                <w:color w:val="auto"/>
                <w:sz w:val="24"/>
              </w:rPr>
              <w:t>，</w:t>
            </w:r>
            <w:r>
              <w:rPr>
                <w:rFonts w:hint="eastAsia"/>
                <w:bCs/>
                <w:color w:val="auto"/>
                <w:sz w:val="24"/>
              </w:rPr>
              <w:t>涟水县空港产业园污水处理厂</w:t>
            </w:r>
            <w:r>
              <w:rPr>
                <w:bCs/>
                <w:color w:val="auto"/>
                <w:sz w:val="24"/>
              </w:rPr>
              <w:t>接管标准</w:t>
            </w:r>
            <w:r>
              <w:rPr>
                <w:rFonts w:hint="eastAsia"/>
                <w:bCs/>
                <w:color w:val="auto"/>
                <w:sz w:val="24"/>
              </w:rPr>
              <w:t>和尾水排放标准</w:t>
            </w:r>
            <w:r>
              <w:rPr>
                <w:bCs/>
                <w:color w:val="auto"/>
                <w:sz w:val="24"/>
              </w:rPr>
              <w:t>见</w:t>
            </w:r>
            <w:r>
              <w:rPr>
                <w:rFonts w:hint="eastAsia"/>
                <w:color w:val="auto"/>
                <w:sz w:val="24"/>
              </w:rPr>
              <w:t>表3.5-1</w:t>
            </w:r>
            <w:r>
              <w:rPr>
                <w:color w:val="auto"/>
                <w:sz w:val="24"/>
              </w:rPr>
              <w:t>。</w:t>
            </w:r>
          </w:p>
          <w:p w14:paraId="5BDE9302">
            <w:pPr>
              <w:pStyle w:val="831"/>
              <w:spacing w:line="240" w:lineRule="auto"/>
              <w:ind w:firstLine="0"/>
              <w:jc w:val="center"/>
              <w:rPr>
                <w:b/>
                <w:color w:val="auto"/>
                <w:szCs w:val="32"/>
              </w:rPr>
            </w:pPr>
            <w:r>
              <w:rPr>
                <w:b/>
                <w:color w:val="auto"/>
                <w:szCs w:val="32"/>
              </w:rPr>
              <w:t>表3</w:t>
            </w:r>
            <w:r>
              <w:rPr>
                <w:rFonts w:hint="eastAsia"/>
                <w:b/>
                <w:color w:val="auto"/>
                <w:szCs w:val="32"/>
              </w:rPr>
              <w:t>.5-1</w:t>
            </w:r>
            <w:r>
              <w:rPr>
                <w:b/>
                <w:color w:val="auto"/>
                <w:szCs w:val="32"/>
              </w:rPr>
              <w:t xml:space="preserve">  废水排放标准限值表单位：pH无量纲，其余mg/L</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623"/>
              <w:gridCol w:w="727"/>
              <w:gridCol w:w="1015"/>
              <w:gridCol w:w="531"/>
              <w:gridCol w:w="1142"/>
              <w:gridCol w:w="554"/>
              <w:gridCol w:w="1073"/>
              <w:gridCol w:w="865"/>
              <w:gridCol w:w="626"/>
            </w:tblGrid>
            <w:tr w14:paraId="73BAA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op w:val="single" w:color="auto" w:sz="12" w:space="0"/>
                    <w:left w:val="nil"/>
                    <w:bottom w:val="single" w:color="auto" w:sz="4" w:space="0"/>
                    <w:right w:val="single" w:color="auto" w:sz="4" w:space="0"/>
                  </w:tcBorders>
                  <w:vAlign w:val="center"/>
                </w:tcPr>
                <w:p w14:paraId="5719F659">
                  <w:pPr>
                    <w:jc w:val="center"/>
                    <w:rPr>
                      <w:rFonts w:cs="宋体"/>
                      <w:b/>
                      <w:bCs/>
                      <w:color w:val="auto"/>
                      <w:szCs w:val="21"/>
                    </w:rPr>
                  </w:pPr>
                  <w:r>
                    <w:rPr>
                      <w:rFonts w:hint="eastAsia" w:cs="宋体"/>
                      <w:b/>
                      <w:bCs/>
                      <w:color w:val="auto"/>
                      <w:szCs w:val="21"/>
                    </w:rPr>
                    <w:t>污染物</w:t>
                  </w:r>
                </w:p>
              </w:tc>
              <w:tc>
                <w:tcPr>
                  <w:tcW w:w="374" w:type="pct"/>
                  <w:tcBorders>
                    <w:top w:val="single" w:color="auto" w:sz="12" w:space="0"/>
                    <w:left w:val="single" w:color="auto" w:sz="4" w:space="0"/>
                    <w:bottom w:val="single" w:color="auto" w:sz="4" w:space="0"/>
                    <w:right w:val="single" w:color="auto" w:sz="4" w:space="0"/>
                  </w:tcBorders>
                  <w:vAlign w:val="center"/>
                </w:tcPr>
                <w:p w14:paraId="1D1095E4">
                  <w:pPr>
                    <w:jc w:val="center"/>
                    <w:rPr>
                      <w:rFonts w:cs="宋体"/>
                      <w:b/>
                      <w:bCs/>
                      <w:color w:val="auto"/>
                      <w:szCs w:val="21"/>
                    </w:rPr>
                  </w:pPr>
                  <w:r>
                    <w:rPr>
                      <w:rFonts w:cs="宋体"/>
                      <w:b/>
                      <w:bCs/>
                      <w:color w:val="auto"/>
                      <w:szCs w:val="21"/>
                    </w:rPr>
                    <w:t>pH</w:t>
                  </w:r>
                </w:p>
              </w:tc>
              <w:tc>
                <w:tcPr>
                  <w:tcW w:w="437" w:type="pct"/>
                  <w:tcBorders>
                    <w:top w:val="single" w:color="auto" w:sz="12" w:space="0"/>
                    <w:left w:val="single" w:color="auto" w:sz="4" w:space="0"/>
                    <w:bottom w:val="single" w:color="auto" w:sz="4" w:space="0"/>
                    <w:right w:val="single" w:color="auto" w:sz="4" w:space="0"/>
                  </w:tcBorders>
                  <w:vAlign w:val="center"/>
                </w:tcPr>
                <w:p w14:paraId="274E10EA">
                  <w:pPr>
                    <w:jc w:val="center"/>
                    <w:rPr>
                      <w:rFonts w:cs="宋体"/>
                      <w:b/>
                      <w:bCs/>
                      <w:color w:val="auto"/>
                      <w:szCs w:val="21"/>
                    </w:rPr>
                  </w:pPr>
                  <w:r>
                    <w:rPr>
                      <w:rFonts w:cs="宋体"/>
                      <w:b/>
                      <w:bCs/>
                      <w:color w:val="auto"/>
                      <w:szCs w:val="21"/>
                    </w:rPr>
                    <w:t>COD</w:t>
                  </w:r>
                </w:p>
              </w:tc>
              <w:tc>
                <w:tcPr>
                  <w:tcW w:w="610" w:type="pct"/>
                  <w:tcBorders>
                    <w:top w:val="single" w:color="auto" w:sz="12" w:space="0"/>
                    <w:left w:val="single" w:color="auto" w:sz="4" w:space="0"/>
                    <w:bottom w:val="single" w:color="auto" w:sz="4" w:space="0"/>
                    <w:right w:val="single" w:color="auto" w:sz="4" w:space="0"/>
                  </w:tcBorders>
                  <w:vAlign w:val="center"/>
                </w:tcPr>
                <w:p w14:paraId="1D428D92">
                  <w:pPr>
                    <w:jc w:val="center"/>
                    <w:rPr>
                      <w:rFonts w:cs="宋体"/>
                      <w:b/>
                      <w:bCs/>
                      <w:color w:val="auto"/>
                      <w:szCs w:val="21"/>
                    </w:rPr>
                  </w:pPr>
                  <w:r>
                    <w:rPr>
                      <w:rFonts w:hint="eastAsia" w:cs="宋体"/>
                      <w:b/>
                      <w:bCs/>
                      <w:color w:val="auto"/>
                      <w:szCs w:val="21"/>
                    </w:rPr>
                    <w:t>氨氮</w:t>
                  </w:r>
                </w:p>
              </w:tc>
              <w:tc>
                <w:tcPr>
                  <w:tcW w:w="319" w:type="pct"/>
                  <w:tcBorders>
                    <w:top w:val="single" w:color="auto" w:sz="12" w:space="0"/>
                    <w:left w:val="single" w:color="auto" w:sz="4" w:space="0"/>
                    <w:bottom w:val="single" w:color="auto" w:sz="4" w:space="0"/>
                    <w:right w:val="single" w:color="auto" w:sz="4" w:space="0"/>
                  </w:tcBorders>
                  <w:vAlign w:val="center"/>
                </w:tcPr>
                <w:p w14:paraId="4D978D6F">
                  <w:pPr>
                    <w:jc w:val="center"/>
                    <w:rPr>
                      <w:rFonts w:cs="宋体"/>
                      <w:b/>
                      <w:bCs/>
                      <w:color w:val="auto"/>
                      <w:szCs w:val="21"/>
                    </w:rPr>
                  </w:pPr>
                  <w:r>
                    <w:rPr>
                      <w:rFonts w:cs="宋体"/>
                      <w:b/>
                      <w:bCs/>
                      <w:color w:val="auto"/>
                      <w:szCs w:val="21"/>
                    </w:rPr>
                    <w:t>SS</w:t>
                  </w:r>
                </w:p>
              </w:tc>
              <w:tc>
                <w:tcPr>
                  <w:tcW w:w="687" w:type="pct"/>
                  <w:tcBorders>
                    <w:top w:val="single" w:color="auto" w:sz="12" w:space="0"/>
                    <w:left w:val="single" w:color="auto" w:sz="4" w:space="0"/>
                    <w:bottom w:val="single" w:color="auto" w:sz="4" w:space="0"/>
                    <w:right w:val="single" w:color="auto" w:sz="4" w:space="0"/>
                  </w:tcBorders>
                  <w:vAlign w:val="center"/>
                </w:tcPr>
                <w:p w14:paraId="4322BAFB">
                  <w:pPr>
                    <w:jc w:val="center"/>
                    <w:rPr>
                      <w:rFonts w:cs="宋体"/>
                      <w:b/>
                      <w:bCs/>
                      <w:color w:val="auto"/>
                      <w:szCs w:val="21"/>
                    </w:rPr>
                  </w:pPr>
                  <w:r>
                    <w:rPr>
                      <w:rFonts w:hint="eastAsia" w:cs="宋体"/>
                      <w:b/>
                      <w:bCs/>
                      <w:color w:val="auto"/>
                      <w:szCs w:val="21"/>
                    </w:rPr>
                    <w:t>TN</w:t>
                  </w:r>
                </w:p>
              </w:tc>
              <w:tc>
                <w:tcPr>
                  <w:tcW w:w="333" w:type="pct"/>
                  <w:tcBorders>
                    <w:top w:val="single" w:color="auto" w:sz="12" w:space="0"/>
                    <w:left w:val="single" w:color="auto" w:sz="4" w:space="0"/>
                    <w:bottom w:val="single" w:color="auto" w:sz="4" w:space="0"/>
                    <w:right w:val="nil"/>
                  </w:tcBorders>
                  <w:vAlign w:val="center"/>
                </w:tcPr>
                <w:p w14:paraId="53DD9985">
                  <w:pPr>
                    <w:jc w:val="center"/>
                    <w:rPr>
                      <w:rFonts w:cs="宋体"/>
                      <w:b/>
                      <w:bCs/>
                      <w:color w:val="auto"/>
                      <w:szCs w:val="21"/>
                    </w:rPr>
                  </w:pPr>
                  <w:r>
                    <w:rPr>
                      <w:rFonts w:cs="宋体"/>
                      <w:b/>
                      <w:bCs/>
                      <w:color w:val="auto"/>
                      <w:szCs w:val="21"/>
                    </w:rPr>
                    <w:t>TP</w:t>
                  </w:r>
                </w:p>
              </w:tc>
              <w:tc>
                <w:tcPr>
                  <w:tcW w:w="645" w:type="pct"/>
                  <w:tcBorders>
                    <w:top w:val="single" w:color="auto" w:sz="12" w:space="0"/>
                    <w:left w:val="single" w:color="auto" w:sz="4" w:space="0"/>
                    <w:bottom w:val="single" w:color="auto" w:sz="4" w:space="0"/>
                    <w:right w:val="nil"/>
                  </w:tcBorders>
                  <w:vAlign w:val="center"/>
                </w:tcPr>
                <w:p w14:paraId="207087E2">
                  <w:pPr>
                    <w:jc w:val="center"/>
                    <w:rPr>
                      <w:rFonts w:cs="宋体"/>
                      <w:b/>
                      <w:bCs/>
                      <w:color w:val="auto"/>
                      <w:szCs w:val="21"/>
                    </w:rPr>
                  </w:pPr>
                  <w:r>
                    <w:rPr>
                      <w:rFonts w:hint="eastAsia" w:cs="宋体"/>
                      <w:b/>
                      <w:bCs/>
                      <w:color w:val="auto"/>
                      <w:szCs w:val="21"/>
                    </w:rPr>
                    <w:t>动植物油</w:t>
                  </w:r>
                </w:p>
              </w:tc>
              <w:tc>
                <w:tcPr>
                  <w:tcW w:w="520" w:type="pct"/>
                  <w:tcBorders>
                    <w:top w:val="single" w:color="auto" w:sz="12" w:space="0"/>
                    <w:left w:val="single" w:color="auto" w:sz="4" w:space="0"/>
                    <w:bottom w:val="single" w:color="auto" w:sz="4" w:space="0"/>
                    <w:right w:val="nil"/>
                  </w:tcBorders>
                  <w:vAlign w:val="center"/>
                </w:tcPr>
                <w:p w14:paraId="5A001843">
                  <w:pPr>
                    <w:jc w:val="center"/>
                    <w:rPr>
                      <w:rFonts w:cs="宋体"/>
                      <w:b/>
                      <w:bCs/>
                      <w:color w:val="auto"/>
                      <w:szCs w:val="21"/>
                    </w:rPr>
                  </w:pPr>
                  <w:r>
                    <w:rPr>
                      <w:rFonts w:hint="eastAsia" w:cs="宋体"/>
                      <w:b/>
                      <w:bCs/>
                      <w:color w:val="auto"/>
                      <w:szCs w:val="21"/>
                    </w:rPr>
                    <w:t>石油类</w:t>
                  </w:r>
                </w:p>
              </w:tc>
              <w:tc>
                <w:tcPr>
                  <w:tcW w:w="376" w:type="pct"/>
                  <w:tcBorders>
                    <w:top w:val="single" w:color="auto" w:sz="12" w:space="0"/>
                    <w:left w:val="single" w:color="auto" w:sz="4" w:space="0"/>
                    <w:bottom w:val="single" w:color="auto" w:sz="4" w:space="0"/>
                    <w:right w:val="nil"/>
                  </w:tcBorders>
                  <w:vAlign w:val="center"/>
                </w:tcPr>
                <w:p w14:paraId="00F6DF3C">
                  <w:pPr>
                    <w:jc w:val="center"/>
                    <w:rPr>
                      <w:rFonts w:cs="宋体"/>
                      <w:b/>
                      <w:bCs/>
                      <w:color w:val="auto"/>
                      <w:szCs w:val="21"/>
                    </w:rPr>
                  </w:pPr>
                  <w:r>
                    <w:rPr>
                      <w:rFonts w:hint="eastAsia" w:cs="宋体"/>
                      <w:b/>
                      <w:bCs/>
                      <w:color w:val="auto"/>
                      <w:szCs w:val="21"/>
                    </w:rPr>
                    <w:t>LAS</w:t>
                  </w:r>
                </w:p>
              </w:tc>
            </w:tr>
            <w:tr w14:paraId="17AE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op w:val="single" w:color="auto" w:sz="4" w:space="0"/>
                    <w:left w:val="nil"/>
                    <w:bottom w:val="single" w:color="auto" w:sz="4" w:space="0"/>
                    <w:right w:val="single" w:color="auto" w:sz="4" w:space="0"/>
                  </w:tcBorders>
                  <w:vAlign w:val="center"/>
                </w:tcPr>
                <w:p w14:paraId="521B4ACE">
                  <w:pPr>
                    <w:jc w:val="center"/>
                    <w:rPr>
                      <w:rFonts w:cs="宋体"/>
                      <w:color w:val="auto"/>
                      <w:szCs w:val="21"/>
                    </w:rPr>
                  </w:pPr>
                  <w:r>
                    <w:rPr>
                      <w:rFonts w:hint="eastAsia" w:cs="宋体"/>
                      <w:color w:val="auto"/>
                      <w:szCs w:val="21"/>
                      <w:lang w:eastAsia="zh-CN"/>
                    </w:rPr>
                    <w:t>污水处理厂</w:t>
                  </w:r>
                  <w:r>
                    <w:rPr>
                      <w:rFonts w:hint="eastAsia" w:cs="宋体"/>
                      <w:color w:val="auto"/>
                      <w:szCs w:val="21"/>
                    </w:rPr>
                    <w:t>接管浓度</w:t>
                  </w:r>
                </w:p>
              </w:tc>
              <w:tc>
                <w:tcPr>
                  <w:tcW w:w="374" w:type="pct"/>
                  <w:tcBorders>
                    <w:top w:val="single" w:color="auto" w:sz="4" w:space="0"/>
                    <w:left w:val="single" w:color="auto" w:sz="4" w:space="0"/>
                    <w:bottom w:val="single" w:color="auto" w:sz="4" w:space="0"/>
                    <w:right w:val="single" w:color="auto" w:sz="4" w:space="0"/>
                  </w:tcBorders>
                  <w:vAlign w:val="center"/>
                </w:tcPr>
                <w:p w14:paraId="04B0AD1A">
                  <w:pPr>
                    <w:jc w:val="center"/>
                    <w:rPr>
                      <w:rFonts w:cs="宋体"/>
                      <w:color w:val="auto"/>
                      <w:szCs w:val="21"/>
                    </w:rPr>
                  </w:pPr>
                  <w:r>
                    <w:rPr>
                      <w:rFonts w:cs="宋体"/>
                      <w:color w:val="auto"/>
                      <w:szCs w:val="21"/>
                    </w:rPr>
                    <w:t>6-9</w:t>
                  </w:r>
                </w:p>
              </w:tc>
              <w:tc>
                <w:tcPr>
                  <w:tcW w:w="437" w:type="pct"/>
                  <w:tcBorders>
                    <w:top w:val="single" w:color="auto" w:sz="4" w:space="0"/>
                    <w:left w:val="single" w:color="auto" w:sz="4" w:space="0"/>
                    <w:bottom w:val="single" w:color="auto" w:sz="4" w:space="0"/>
                    <w:right w:val="single" w:color="auto" w:sz="4" w:space="0"/>
                  </w:tcBorders>
                  <w:vAlign w:val="center"/>
                </w:tcPr>
                <w:p w14:paraId="2529B3FF">
                  <w:pPr>
                    <w:jc w:val="center"/>
                    <w:rPr>
                      <w:rFonts w:cs="宋体"/>
                      <w:color w:val="auto"/>
                      <w:szCs w:val="21"/>
                    </w:rPr>
                  </w:pPr>
                  <w:r>
                    <w:rPr>
                      <w:rFonts w:hint="eastAsia" w:cs="宋体"/>
                      <w:color w:val="auto"/>
                      <w:szCs w:val="21"/>
                    </w:rPr>
                    <w:t>300</w:t>
                  </w:r>
                </w:p>
              </w:tc>
              <w:tc>
                <w:tcPr>
                  <w:tcW w:w="610" w:type="pct"/>
                  <w:tcBorders>
                    <w:top w:val="single" w:color="auto" w:sz="4" w:space="0"/>
                    <w:left w:val="single" w:color="auto" w:sz="4" w:space="0"/>
                    <w:bottom w:val="single" w:color="auto" w:sz="4" w:space="0"/>
                    <w:right w:val="single" w:color="auto" w:sz="4" w:space="0"/>
                  </w:tcBorders>
                  <w:vAlign w:val="center"/>
                </w:tcPr>
                <w:p w14:paraId="61263BEA">
                  <w:pPr>
                    <w:jc w:val="center"/>
                    <w:rPr>
                      <w:rFonts w:cs="宋体"/>
                      <w:color w:val="auto"/>
                      <w:szCs w:val="21"/>
                    </w:rPr>
                  </w:pPr>
                  <w:r>
                    <w:rPr>
                      <w:rFonts w:hint="eastAsia" w:cs="宋体"/>
                      <w:color w:val="auto"/>
                      <w:szCs w:val="21"/>
                    </w:rPr>
                    <w:t>35</w:t>
                  </w:r>
                </w:p>
              </w:tc>
              <w:tc>
                <w:tcPr>
                  <w:tcW w:w="319" w:type="pct"/>
                  <w:tcBorders>
                    <w:top w:val="single" w:color="auto" w:sz="4" w:space="0"/>
                    <w:left w:val="single" w:color="auto" w:sz="4" w:space="0"/>
                    <w:bottom w:val="single" w:color="auto" w:sz="4" w:space="0"/>
                    <w:right w:val="single" w:color="auto" w:sz="4" w:space="0"/>
                  </w:tcBorders>
                  <w:vAlign w:val="center"/>
                </w:tcPr>
                <w:p w14:paraId="43972D9E">
                  <w:pPr>
                    <w:jc w:val="center"/>
                    <w:rPr>
                      <w:rFonts w:cs="宋体"/>
                      <w:color w:val="auto"/>
                      <w:szCs w:val="21"/>
                    </w:rPr>
                  </w:pPr>
                  <w:r>
                    <w:rPr>
                      <w:rFonts w:hint="eastAsia" w:cs="宋体"/>
                      <w:color w:val="auto"/>
                      <w:szCs w:val="21"/>
                    </w:rPr>
                    <w:t>2</w:t>
                  </w:r>
                  <w:r>
                    <w:rPr>
                      <w:rFonts w:cs="宋体"/>
                      <w:color w:val="auto"/>
                      <w:szCs w:val="21"/>
                    </w:rPr>
                    <w:t>00</w:t>
                  </w:r>
                </w:p>
              </w:tc>
              <w:tc>
                <w:tcPr>
                  <w:tcW w:w="687" w:type="pct"/>
                  <w:tcBorders>
                    <w:top w:val="single" w:color="auto" w:sz="4" w:space="0"/>
                    <w:left w:val="single" w:color="auto" w:sz="4" w:space="0"/>
                    <w:bottom w:val="single" w:color="auto" w:sz="4" w:space="0"/>
                    <w:right w:val="single" w:color="auto" w:sz="4" w:space="0"/>
                  </w:tcBorders>
                  <w:vAlign w:val="center"/>
                </w:tcPr>
                <w:p w14:paraId="0A54DB70">
                  <w:pPr>
                    <w:jc w:val="center"/>
                    <w:rPr>
                      <w:rFonts w:cs="宋体"/>
                      <w:color w:val="auto"/>
                      <w:szCs w:val="21"/>
                    </w:rPr>
                  </w:pPr>
                  <w:r>
                    <w:rPr>
                      <w:rFonts w:hint="eastAsia" w:cs="宋体"/>
                      <w:color w:val="auto"/>
                      <w:szCs w:val="21"/>
                    </w:rPr>
                    <w:t>50</w:t>
                  </w:r>
                </w:p>
              </w:tc>
              <w:tc>
                <w:tcPr>
                  <w:tcW w:w="333" w:type="pct"/>
                  <w:tcBorders>
                    <w:top w:val="single" w:color="auto" w:sz="4" w:space="0"/>
                    <w:left w:val="single" w:color="auto" w:sz="4" w:space="0"/>
                    <w:bottom w:val="single" w:color="auto" w:sz="4" w:space="0"/>
                    <w:right w:val="nil"/>
                  </w:tcBorders>
                  <w:vAlign w:val="center"/>
                </w:tcPr>
                <w:p w14:paraId="32A407E0">
                  <w:pPr>
                    <w:jc w:val="center"/>
                    <w:rPr>
                      <w:rFonts w:cs="宋体"/>
                      <w:color w:val="auto"/>
                      <w:szCs w:val="21"/>
                    </w:rPr>
                  </w:pPr>
                  <w:r>
                    <w:rPr>
                      <w:rFonts w:hint="eastAsia" w:cs="宋体"/>
                      <w:color w:val="auto"/>
                      <w:szCs w:val="21"/>
                    </w:rPr>
                    <w:t>4</w:t>
                  </w:r>
                </w:p>
              </w:tc>
              <w:tc>
                <w:tcPr>
                  <w:tcW w:w="645" w:type="pct"/>
                  <w:tcBorders>
                    <w:top w:val="single" w:color="auto" w:sz="4" w:space="0"/>
                    <w:left w:val="single" w:color="auto" w:sz="4" w:space="0"/>
                    <w:bottom w:val="single" w:color="auto" w:sz="4" w:space="0"/>
                    <w:right w:val="nil"/>
                  </w:tcBorders>
                  <w:vAlign w:val="center"/>
                </w:tcPr>
                <w:p w14:paraId="08945A09">
                  <w:pPr>
                    <w:jc w:val="center"/>
                    <w:rPr>
                      <w:rFonts w:cs="宋体"/>
                      <w:color w:val="auto"/>
                      <w:szCs w:val="21"/>
                    </w:rPr>
                  </w:pPr>
                  <w:r>
                    <w:rPr>
                      <w:rFonts w:hint="eastAsia" w:cs="宋体"/>
                      <w:color w:val="auto"/>
                      <w:szCs w:val="21"/>
                    </w:rPr>
                    <w:t>100</w:t>
                  </w:r>
                </w:p>
              </w:tc>
              <w:tc>
                <w:tcPr>
                  <w:tcW w:w="520" w:type="pct"/>
                  <w:tcBorders>
                    <w:top w:val="single" w:color="auto" w:sz="4" w:space="0"/>
                    <w:left w:val="single" w:color="auto" w:sz="4" w:space="0"/>
                    <w:bottom w:val="single" w:color="auto" w:sz="4" w:space="0"/>
                    <w:right w:val="nil"/>
                  </w:tcBorders>
                  <w:vAlign w:val="center"/>
                </w:tcPr>
                <w:p w14:paraId="47B02C10">
                  <w:pPr>
                    <w:jc w:val="center"/>
                    <w:rPr>
                      <w:rFonts w:cs="宋体"/>
                      <w:color w:val="auto"/>
                      <w:szCs w:val="21"/>
                    </w:rPr>
                  </w:pPr>
                  <w:r>
                    <w:rPr>
                      <w:rFonts w:hint="eastAsia" w:cs="宋体"/>
                      <w:color w:val="auto"/>
                      <w:szCs w:val="21"/>
                    </w:rPr>
                    <w:t>20</w:t>
                  </w:r>
                </w:p>
              </w:tc>
              <w:tc>
                <w:tcPr>
                  <w:tcW w:w="376" w:type="pct"/>
                  <w:tcBorders>
                    <w:top w:val="single" w:color="auto" w:sz="4" w:space="0"/>
                    <w:left w:val="single" w:color="auto" w:sz="4" w:space="0"/>
                    <w:bottom w:val="single" w:color="auto" w:sz="4" w:space="0"/>
                    <w:right w:val="nil"/>
                  </w:tcBorders>
                  <w:vAlign w:val="center"/>
                </w:tcPr>
                <w:p w14:paraId="53A72F36">
                  <w:pPr>
                    <w:jc w:val="center"/>
                    <w:rPr>
                      <w:rFonts w:cs="宋体"/>
                      <w:color w:val="auto"/>
                      <w:szCs w:val="21"/>
                    </w:rPr>
                  </w:pPr>
                  <w:r>
                    <w:rPr>
                      <w:rFonts w:hint="eastAsia" w:cs="宋体"/>
                      <w:color w:val="auto"/>
                      <w:szCs w:val="21"/>
                    </w:rPr>
                    <w:t>20</w:t>
                  </w:r>
                </w:p>
              </w:tc>
            </w:tr>
            <w:tr w14:paraId="3CA6A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pct"/>
                  <w:tcBorders>
                    <w:top w:val="single" w:color="auto" w:sz="4" w:space="0"/>
                    <w:left w:val="nil"/>
                    <w:bottom w:val="single" w:color="auto" w:sz="12" w:space="0"/>
                    <w:right w:val="single" w:color="auto" w:sz="4" w:space="0"/>
                  </w:tcBorders>
                  <w:vAlign w:val="center"/>
                </w:tcPr>
                <w:p w14:paraId="4FB53A69">
                  <w:pPr>
                    <w:jc w:val="center"/>
                    <w:rPr>
                      <w:rFonts w:cs="宋体"/>
                      <w:color w:val="auto"/>
                      <w:szCs w:val="21"/>
                    </w:rPr>
                  </w:pPr>
                  <w:r>
                    <w:rPr>
                      <w:rFonts w:hint="eastAsia" w:cs="宋体"/>
                      <w:color w:val="auto"/>
                      <w:szCs w:val="21"/>
                      <w:lang w:eastAsia="zh-CN"/>
                    </w:rPr>
                    <w:t>污水处理厂</w:t>
                  </w:r>
                  <w:r>
                    <w:rPr>
                      <w:rFonts w:hint="eastAsia" w:cs="宋体"/>
                      <w:color w:val="auto"/>
                      <w:szCs w:val="21"/>
                    </w:rPr>
                    <w:t>排放标准</w:t>
                  </w:r>
                </w:p>
              </w:tc>
              <w:tc>
                <w:tcPr>
                  <w:tcW w:w="374" w:type="pct"/>
                  <w:tcBorders>
                    <w:top w:val="single" w:color="auto" w:sz="4" w:space="0"/>
                    <w:left w:val="single" w:color="auto" w:sz="4" w:space="0"/>
                    <w:bottom w:val="single" w:color="auto" w:sz="12" w:space="0"/>
                    <w:right w:val="single" w:color="auto" w:sz="4" w:space="0"/>
                  </w:tcBorders>
                  <w:vAlign w:val="center"/>
                </w:tcPr>
                <w:p w14:paraId="3CA22D66">
                  <w:pPr>
                    <w:jc w:val="center"/>
                    <w:rPr>
                      <w:rFonts w:cs="宋体"/>
                      <w:color w:val="auto"/>
                      <w:szCs w:val="21"/>
                    </w:rPr>
                  </w:pPr>
                  <w:r>
                    <w:rPr>
                      <w:rFonts w:cs="宋体"/>
                      <w:color w:val="auto"/>
                      <w:szCs w:val="21"/>
                    </w:rPr>
                    <w:t>6-9</w:t>
                  </w:r>
                </w:p>
              </w:tc>
              <w:tc>
                <w:tcPr>
                  <w:tcW w:w="437" w:type="pct"/>
                  <w:tcBorders>
                    <w:top w:val="single" w:color="auto" w:sz="4" w:space="0"/>
                    <w:left w:val="single" w:color="auto" w:sz="4" w:space="0"/>
                    <w:bottom w:val="single" w:color="auto" w:sz="12" w:space="0"/>
                    <w:right w:val="single" w:color="auto" w:sz="4" w:space="0"/>
                  </w:tcBorders>
                  <w:vAlign w:val="center"/>
                </w:tcPr>
                <w:p w14:paraId="6D276D0D">
                  <w:pPr>
                    <w:jc w:val="center"/>
                    <w:rPr>
                      <w:rFonts w:cs="宋体"/>
                      <w:color w:val="auto"/>
                      <w:szCs w:val="21"/>
                    </w:rPr>
                  </w:pPr>
                  <w:r>
                    <w:rPr>
                      <w:rFonts w:hint="eastAsia" w:cs="宋体"/>
                      <w:color w:val="auto"/>
                      <w:szCs w:val="21"/>
                    </w:rPr>
                    <w:t>3</w:t>
                  </w:r>
                  <w:r>
                    <w:rPr>
                      <w:rFonts w:cs="宋体"/>
                      <w:color w:val="auto"/>
                      <w:szCs w:val="21"/>
                    </w:rPr>
                    <w:t>0</w:t>
                  </w:r>
                </w:p>
              </w:tc>
              <w:tc>
                <w:tcPr>
                  <w:tcW w:w="610" w:type="pct"/>
                  <w:tcBorders>
                    <w:top w:val="single" w:color="auto" w:sz="4" w:space="0"/>
                    <w:left w:val="single" w:color="auto" w:sz="4" w:space="0"/>
                    <w:bottom w:val="single" w:color="auto" w:sz="12" w:space="0"/>
                    <w:right w:val="single" w:color="auto" w:sz="4" w:space="0"/>
                  </w:tcBorders>
                  <w:vAlign w:val="center"/>
                </w:tcPr>
                <w:p w14:paraId="2F324B70">
                  <w:pPr>
                    <w:jc w:val="center"/>
                    <w:rPr>
                      <w:rFonts w:cs="宋体"/>
                      <w:color w:val="auto"/>
                      <w:szCs w:val="21"/>
                    </w:rPr>
                  </w:pPr>
                  <w:r>
                    <w:rPr>
                      <w:rFonts w:hint="eastAsia" w:cs="宋体"/>
                      <w:color w:val="auto"/>
                      <w:szCs w:val="21"/>
                    </w:rPr>
                    <w:t>1</w:t>
                  </w:r>
                  <w:r>
                    <w:rPr>
                      <w:rFonts w:hint="eastAsia" w:cs="宋体"/>
                      <w:color w:val="auto"/>
                      <w:szCs w:val="21"/>
                      <w:lang w:eastAsia="zh-CN"/>
                    </w:rPr>
                    <w:t>(5)</w:t>
                  </w:r>
                  <w:r>
                    <w:rPr>
                      <w:rFonts w:hint="eastAsia" w:cs="宋体"/>
                      <w:color w:val="auto"/>
                      <w:szCs w:val="21"/>
                    </w:rPr>
                    <w:t>3</w:t>
                  </w:r>
                  <w:r>
                    <w:rPr>
                      <w:rFonts w:hint="eastAsia" w:cs="宋体"/>
                      <w:color w:val="auto"/>
                      <w:szCs w:val="21"/>
                      <w:lang w:eastAsia="zh-CN"/>
                    </w:rPr>
                    <w:t>)</w:t>
                  </w:r>
                  <w:r>
                    <w:rPr>
                      <w:rFonts w:hint="eastAsia" w:cs="宋体"/>
                      <w:color w:val="auto"/>
                      <w:szCs w:val="21"/>
                    </w:rPr>
                    <w:t>*</w:t>
                  </w:r>
                </w:p>
              </w:tc>
              <w:tc>
                <w:tcPr>
                  <w:tcW w:w="319" w:type="pct"/>
                  <w:tcBorders>
                    <w:top w:val="single" w:color="auto" w:sz="4" w:space="0"/>
                    <w:left w:val="single" w:color="auto" w:sz="4" w:space="0"/>
                    <w:bottom w:val="single" w:color="auto" w:sz="12" w:space="0"/>
                    <w:right w:val="single" w:color="auto" w:sz="4" w:space="0"/>
                  </w:tcBorders>
                  <w:vAlign w:val="center"/>
                </w:tcPr>
                <w:p w14:paraId="066E14BA">
                  <w:pPr>
                    <w:jc w:val="center"/>
                    <w:rPr>
                      <w:rFonts w:cs="宋体"/>
                      <w:color w:val="auto"/>
                      <w:szCs w:val="21"/>
                    </w:rPr>
                  </w:pPr>
                  <w:r>
                    <w:rPr>
                      <w:rFonts w:cs="宋体"/>
                      <w:color w:val="auto"/>
                      <w:szCs w:val="21"/>
                    </w:rPr>
                    <w:t>10</w:t>
                  </w:r>
                </w:p>
              </w:tc>
              <w:tc>
                <w:tcPr>
                  <w:tcW w:w="687" w:type="pct"/>
                  <w:tcBorders>
                    <w:top w:val="single" w:color="auto" w:sz="4" w:space="0"/>
                    <w:left w:val="single" w:color="auto" w:sz="4" w:space="0"/>
                    <w:bottom w:val="single" w:color="auto" w:sz="12" w:space="0"/>
                    <w:right w:val="single" w:color="auto" w:sz="4" w:space="0"/>
                  </w:tcBorders>
                  <w:vAlign w:val="center"/>
                </w:tcPr>
                <w:p w14:paraId="166ACBBF">
                  <w:pPr>
                    <w:jc w:val="center"/>
                    <w:rPr>
                      <w:rFonts w:cs="宋体"/>
                      <w:color w:val="auto"/>
                      <w:szCs w:val="21"/>
                    </w:rPr>
                  </w:pPr>
                  <w:r>
                    <w:rPr>
                      <w:rFonts w:hint="eastAsia" w:cs="宋体"/>
                      <w:color w:val="auto"/>
                      <w:szCs w:val="21"/>
                    </w:rPr>
                    <w:t>10</w:t>
                  </w:r>
                  <w:r>
                    <w:rPr>
                      <w:rFonts w:hint="eastAsia" w:cs="宋体"/>
                      <w:color w:val="auto"/>
                      <w:szCs w:val="21"/>
                      <w:lang w:eastAsia="zh-CN"/>
                    </w:rPr>
                    <w:t>(12)</w:t>
                  </w:r>
                  <w:r>
                    <w:rPr>
                      <w:rFonts w:hint="eastAsia" w:cs="宋体"/>
                      <w:color w:val="auto"/>
                      <w:szCs w:val="21"/>
                    </w:rPr>
                    <w:t>*</w:t>
                  </w:r>
                </w:p>
              </w:tc>
              <w:tc>
                <w:tcPr>
                  <w:tcW w:w="333" w:type="pct"/>
                  <w:tcBorders>
                    <w:top w:val="single" w:color="auto" w:sz="4" w:space="0"/>
                    <w:left w:val="single" w:color="auto" w:sz="4" w:space="0"/>
                    <w:bottom w:val="single" w:color="auto" w:sz="12" w:space="0"/>
                    <w:right w:val="nil"/>
                  </w:tcBorders>
                  <w:vAlign w:val="center"/>
                </w:tcPr>
                <w:p w14:paraId="2B8A70C0">
                  <w:pPr>
                    <w:jc w:val="center"/>
                    <w:rPr>
                      <w:rFonts w:cs="宋体"/>
                      <w:color w:val="auto"/>
                      <w:szCs w:val="21"/>
                    </w:rPr>
                  </w:pPr>
                  <w:r>
                    <w:rPr>
                      <w:rFonts w:cs="宋体"/>
                      <w:color w:val="auto"/>
                      <w:szCs w:val="21"/>
                    </w:rPr>
                    <w:t>0.</w:t>
                  </w:r>
                  <w:r>
                    <w:rPr>
                      <w:rFonts w:hint="eastAsia" w:cs="宋体"/>
                      <w:color w:val="auto"/>
                      <w:szCs w:val="21"/>
                    </w:rPr>
                    <w:t>3</w:t>
                  </w:r>
                </w:p>
              </w:tc>
              <w:tc>
                <w:tcPr>
                  <w:tcW w:w="645" w:type="pct"/>
                  <w:tcBorders>
                    <w:top w:val="single" w:color="auto" w:sz="4" w:space="0"/>
                    <w:left w:val="single" w:color="auto" w:sz="4" w:space="0"/>
                    <w:bottom w:val="single" w:color="auto" w:sz="12" w:space="0"/>
                    <w:right w:val="nil"/>
                  </w:tcBorders>
                  <w:vAlign w:val="center"/>
                </w:tcPr>
                <w:p w14:paraId="53617D9B">
                  <w:pPr>
                    <w:jc w:val="center"/>
                    <w:rPr>
                      <w:rFonts w:cs="宋体"/>
                      <w:color w:val="auto"/>
                      <w:szCs w:val="21"/>
                    </w:rPr>
                  </w:pPr>
                  <w:r>
                    <w:rPr>
                      <w:rFonts w:hint="eastAsia" w:cs="宋体"/>
                      <w:color w:val="auto"/>
                      <w:szCs w:val="21"/>
                    </w:rPr>
                    <w:t>1</w:t>
                  </w:r>
                </w:p>
              </w:tc>
              <w:tc>
                <w:tcPr>
                  <w:tcW w:w="520" w:type="pct"/>
                  <w:tcBorders>
                    <w:top w:val="single" w:color="auto" w:sz="4" w:space="0"/>
                    <w:left w:val="single" w:color="auto" w:sz="4" w:space="0"/>
                    <w:bottom w:val="single" w:color="auto" w:sz="12" w:space="0"/>
                    <w:right w:val="nil"/>
                  </w:tcBorders>
                  <w:vAlign w:val="center"/>
                </w:tcPr>
                <w:p w14:paraId="2F47B1E7">
                  <w:pPr>
                    <w:jc w:val="center"/>
                    <w:rPr>
                      <w:rFonts w:cs="宋体"/>
                      <w:color w:val="auto"/>
                      <w:szCs w:val="21"/>
                    </w:rPr>
                  </w:pPr>
                  <w:r>
                    <w:rPr>
                      <w:rFonts w:hint="eastAsia" w:cs="宋体"/>
                      <w:color w:val="auto"/>
                      <w:szCs w:val="21"/>
                    </w:rPr>
                    <w:t>1</w:t>
                  </w:r>
                </w:p>
              </w:tc>
              <w:tc>
                <w:tcPr>
                  <w:tcW w:w="376" w:type="pct"/>
                  <w:tcBorders>
                    <w:top w:val="single" w:color="auto" w:sz="4" w:space="0"/>
                    <w:left w:val="single" w:color="auto" w:sz="4" w:space="0"/>
                    <w:bottom w:val="single" w:color="auto" w:sz="12" w:space="0"/>
                    <w:right w:val="nil"/>
                  </w:tcBorders>
                  <w:vAlign w:val="center"/>
                </w:tcPr>
                <w:p w14:paraId="1EBD0E48">
                  <w:pPr>
                    <w:jc w:val="center"/>
                    <w:rPr>
                      <w:rFonts w:cs="宋体"/>
                      <w:color w:val="auto"/>
                      <w:szCs w:val="21"/>
                    </w:rPr>
                  </w:pPr>
                  <w:r>
                    <w:rPr>
                      <w:rFonts w:cs="宋体"/>
                      <w:color w:val="auto"/>
                      <w:szCs w:val="21"/>
                    </w:rPr>
                    <w:t>0.5</w:t>
                  </w:r>
                </w:p>
              </w:tc>
            </w:tr>
          </w:tbl>
          <w:p w14:paraId="2443DEF0">
            <w:pPr>
              <w:pStyle w:val="831"/>
              <w:spacing w:line="240" w:lineRule="auto"/>
              <w:ind w:firstLine="0"/>
              <w:rPr>
                <w:b/>
                <w:color w:val="auto"/>
                <w:sz w:val="20"/>
              </w:rPr>
            </w:pPr>
            <w:r>
              <w:rPr>
                <w:b/>
                <w:color w:val="auto"/>
                <w:sz w:val="20"/>
              </w:rPr>
              <w:t>注</w:t>
            </w:r>
            <w:r>
              <w:rPr>
                <w:rFonts w:hint="eastAsia"/>
                <w:b/>
                <w:color w:val="auto"/>
                <w:sz w:val="20"/>
              </w:rPr>
              <w:t>*</w:t>
            </w:r>
            <w:r>
              <w:rPr>
                <w:b/>
                <w:color w:val="auto"/>
                <w:sz w:val="20"/>
              </w:rPr>
              <w:t>：</w:t>
            </w:r>
            <w:r>
              <w:rPr>
                <w:rFonts w:hint="eastAsia"/>
                <w:b/>
                <w:color w:val="auto"/>
                <w:sz w:val="20"/>
              </w:rPr>
              <w:t>括号内数值为每年11月1日至次年3月31日的控制指标。</w:t>
            </w:r>
          </w:p>
          <w:p w14:paraId="0AF89069">
            <w:pPr>
              <w:tabs>
                <w:tab w:val="left" w:pos="720"/>
              </w:tabs>
              <w:adjustRightInd w:val="0"/>
              <w:snapToGrid w:val="0"/>
              <w:spacing w:line="360" w:lineRule="auto"/>
              <w:ind w:firstLine="482" w:firstLineChars="200"/>
              <w:rPr>
                <w:b/>
                <w:bCs/>
                <w:color w:val="auto"/>
                <w:sz w:val="24"/>
              </w:rPr>
            </w:pPr>
            <w:r>
              <w:rPr>
                <w:rFonts w:hint="eastAsia"/>
                <w:b/>
                <w:bCs/>
                <w:color w:val="auto"/>
                <w:sz w:val="24"/>
                <w:lang w:eastAsia="zh-CN"/>
              </w:rPr>
              <w:t>3.</w:t>
            </w:r>
            <w:r>
              <w:rPr>
                <w:b/>
                <w:bCs/>
                <w:color w:val="auto"/>
                <w:sz w:val="24"/>
              </w:rPr>
              <w:t>噪声</w:t>
            </w:r>
          </w:p>
          <w:p w14:paraId="1E11892A">
            <w:pPr>
              <w:tabs>
                <w:tab w:val="left" w:pos="720"/>
              </w:tabs>
              <w:adjustRightInd w:val="0"/>
              <w:snapToGrid w:val="0"/>
              <w:spacing w:line="360" w:lineRule="auto"/>
              <w:ind w:firstLine="480" w:firstLineChars="200"/>
              <w:rPr>
                <w:bCs/>
                <w:color w:val="auto"/>
                <w:sz w:val="24"/>
              </w:rPr>
            </w:pPr>
            <w:r>
              <w:rPr>
                <w:rFonts w:hint="eastAsia"/>
                <w:bCs/>
                <w:color w:val="auto"/>
                <w:sz w:val="24"/>
              </w:rPr>
              <w:t>本项目施工期场界环境噪声执行《建筑施工场界环境噪声排放标准》（GB12523-2011）表1建筑施工场界环境噪声排放限值，</w:t>
            </w:r>
            <w:r>
              <w:rPr>
                <w:bCs/>
                <w:color w:val="auto"/>
                <w:sz w:val="24"/>
              </w:rPr>
              <w:t>运营期厂界噪声标准限值执行《工业企业厂界环境噪声排放标准》（GB12348-2008）3类标准，分别见表3</w:t>
            </w:r>
            <w:r>
              <w:rPr>
                <w:rFonts w:hint="eastAsia"/>
                <w:bCs/>
                <w:color w:val="auto"/>
                <w:sz w:val="24"/>
              </w:rPr>
              <w:t>.6-1、3.6-2</w:t>
            </w:r>
            <w:r>
              <w:rPr>
                <w:bCs/>
                <w:color w:val="auto"/>
                <w:sz w:val="24"/>
              </w:rPr>
              <w:t>。</w:t>
            </w:r>
          </w:p>
          <w:p w14:paraId="599B8D23">
            <w:pPr>
              <w:keepNext/>
              <w:adjustRightInd w:val="0"/>
              <w:snapToGrid w:val="0"/>
              <w:jc w:val="center"/>
              <w:rPr>
                <w:b/>
                <w:color w:val="auto"/>
                <w:sz w:val="24"/>
                <w:szCs w:val="32"/>
              </w:rPr>
            </w:pPr>
          </w:p>
          <w:p w14:paraId="76E18A08">
            <w:pPr>
              <w:keepNext/>
              <w:adjustRightInd w:val="0"/>
              <w:snapToGrid w:val="0"/>
              <w:jc w:val="center"/>
              <w:rPr>
                <w:b/>
                <w:color w:val="auto"/>
                <w:sz w:val="24"/>
                <w:szCs w:val="32"/>
              </w:rPr>
            </w:pPr>
            <w:r>
              <w:rPr>
                <w:b/>
                <w:color w:val="auto"/>
                <w:sz w:val="24"/>
                <w:szCs w:val="32"/>
              </w:rPr>
              <w:t>表3</w:t>
            </w:r>
            <w:r>
              <w:rPr>
                <w:rFonts w:hint="eastAsia"/>
                <w:b/>
                <w:color w:val="auto"/>
                <w:sz w:val="24"/>
                <w:szCs w:val="32"/>
              </w:rPr>
              <w:t>.6-1</w:t>
            </w:r>
            <w:r>
              <w:rPr>
                <w:b/>
                <w:color w:val="auto"/>
                <w:sz w:val="24"/>
                <w:szCs w:val="32"/>
              </w:rPr>
              <w:t xml:space="preserve">  </w:t>
            </w:r>
            <w:r>
              <w:rPr>
                <w:rFonts w:hint="eastAsia"/>
                <w:b/>
                <w:color w:val="auto"/>
                <w:sz w:val="24"/>
                <w:szCs w:val="32"/>
              </w:rPr>
              <w:t>建筑施工场界环境噪声排放限值</w:t>
            </w:r>
            <w:r>
              <w:rPr>
                <w:b/>
                <w:color w:val="auto"/>
                <w:sz w:val="24"/>
                <w:szCs w:val="32"/>
              </w:rPr>
              <w:t>（单位：dB(A)）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2"/>
              <w:gridCol w:w="977"/>
              <w:gridCol w:w="1082"/>
              <w:gridCol w:w="5120"/>
            </w:tblGrid>
            <w:tr w14:paraId="122AC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tcBorders>
                    <w:top w:val="single" w:color="auto" w:sz="12" w:space="0"/>
                    <w:bottom w:val="single" w:color="auto" w:sz="12" w:space="0"/>
                  </w:tcBorders>
                  <w:vAlign w:val="center"/>
                </w:tcPr>
                <w:p w14:paraId="043F33C1">
                  <w:pPr>
                    <w:jc w:val="center"/>
                    <w:rPr>
                      <w:b/>
                      <w:color w:val="auto"/>
                      <w:szCs w:val="21"/>
                    </w:rPr>
                  </w:pPr>
                  <w:r>
                    <w:rPr>
                      <w:b/>
                      <w:color w:val="auto"/>
                      <w:szCs w:val="21"/>
                    </w:rPr>
                    <w:t>噪声类别</w:t>
                  </w:r>
                </w:p>
              </w:tc>
              <w:tc>
                <w:tcPr>
                  <w:tcW w:w="588" w:type="pct"/>
                  <w:tcBorders>
                    <w:top w:val="single" w:color="auto" w:sz="12" w:space="0"/>
                    <w:bottom w:val="single" w:color="auto" w:sz="12" w:space="0"/>
                  </w:tcBorders>
                  <w:vAlign w:val="center"/>
                </w:tcPr>
                <w:p w14:paraId="3B30856D">
                  <w:pPr>
                    <w:jc w:val="center"/>
                    <w:rPr>
                      <w:b/>
                      <w:color w:val="auto"/>
                      <w:szCs w:val="21"/>
                    </w:rPr>
                  </w:pPr>
                  <w:r>
                    <w:rPr>
                      <w:b/>
                      <w:color w:val="auto"/>
                      <w:szCs w:val="21"/>
                    </w:rPr>
                    <w:t>昼间</w:t>
                  </w:r>
                </w:p>
              </w:tc>
              <w:tc>
                <w:tcPr>
                  <w:tcW w:w="651" w:type="pct"/>
                  <w:tcBorders>
                    <w:top w:val="single" w:color="auto" w:sz="12" w:space="0"/>
                    <w:bottom w:val="single" w:color="auto" w:sz="12" w:space="0"/>
                  </w:tcBorders>
                  <w:vAlign w:val="center"/>
                </w:tcPr>
                <w:p w14:paraId="70D532CF">
                  <w:pPr>
                    <w:jc w:val="center"/>
                    <w:rPr>
                      <w:b/>
                      <w:color w:val="auto"/>
                      <w:szCs w:val="21"/>
                    </w:rPr>
                  </w:pPr>
                  <w:r>
                    <w:rPr>
                      <w:b/>
                      <w:color w:val="auto"/>
                      <w:szCs w:val="21"/>
                    </w:rPr>
                    <w:t>夜间</w:t>
                  </w:r>
                </w:p>
              </w:tc>
              <w:tc>
                <w:tcPr>
                  <w:tcW w:w="3080" w:type="pct"/>
                  <w:tcBorders>
                    <w:top w:val="single" w:color="auto" w:sz="12" w:space="0"/>
                    <w:bottom w:val="single" w:color="auto" w:sz="12" w:space="0"/>
                  </w:tcBorders>
                  <w:vAlign w:val="center"/>
                </w:tcPr>
                <w:p w14:paraId="5FB64C28">
                  <w:pPr>
                    <w:jc w:val="center"/>
                    <w:rPr>
                      <w:b/>
                      <w:color w:val="auto"/>
                      <w:szCs w:val="21"/>
                    </w:rPr>
                  </w:pPr>
                  <w:r>
                    <w:rPr>
                      <w:b/>
                      <w:color w:val="auto"/>
                      <w:szCs w:val="21"/>
                    </w:rPr>
                    <w:t>标准来源</w:t>
                  </w:r>
                </w:p>
              </w:tc>
            </w:tr>
            <w:tr w14:paraId="6E33C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tcBorders>
                    <w:top w:val="single" w:color="auto" w:sz="12" w:space="0"/>
                  </w:tcBorders>
                  <w:vAlign w:val="center"/>
                </w:tcPr>
                <w:p w14:paraId="5B478611">
                  <w:pPr>
                    <w:jc w:val="center"/>
                    <w:rPr>
                      <w:color w:val="auto"/>
                      <w:szCs w:val="21"/>
                    </w:rPr>
                  </w:pPr>
                  <w:r>
                    <w:rPr>
                      <w:rFonts w:hint="eastAsia"/>
                      <w:color w:val="auto"/>
                      <w:szCs w:val="21"/>
                      <w:lang w:eastAsia="zh-CN"/>
                    </w:rPr>
                    <w:t>施工期</w:t>
                  </w:r>
                  <w:r>
                    <w:rPr>
                      <w:color w:val="auto"/>
                      <w:szCs w:val="21"/>
                    </w:rPr>
                    <w:t>噪声</w:t>
                  </w:r>
                </w:p>
              </w:tc>
              <w:tc>
                <w:tcPr>
                  <w:tcW w:w="588" w:type="pct"/>
                  <w:tcBorders>
                    <w:top w:val="single" w:color="auto" w:sz="12" w:space="0"/>
                  </w:tcBorders>
                  <w:vAlign w:val="center"/>
                </w:tcPr>
                <w:p w14:paraId="3BEB8015">
                  <w:pPr>
                    <w:jc w:val="center"/>
                    <w:rPr>
                      <w:color w:val="auto"/>
                      <w:szCs w:val="21"/>
                    </w:rPr>
                  </w:pPr>
                  <w:r>
                    <w:rPr>
                      <w:rFonts w:hint="eastAsia"/>
                      <w:color w:val="auto"/>
                      <w:szCs w:val="21"/>
                    </w:rPr>
                    <w:t>70</w:t>
                  </w:r>
                </w:p>
              </w:tc>
              <w:tc>
                <w:tcPr>
                  <w:tcW w:w="651" w:type="pct"/>
                  <w:tcBorders>
                    <w:top w:val="single" w:color="auto" w:sz="12" w:space="0"/>
                  </w:tcBorders>
                  <w:vAlign w:val="center"/>
                </w:tcPr>
                <w:p w14:paraId="31F55463">
                  <w:pPr>
                    <w:jc w:val="center"/>
                    <w:rPr>
                      <w:color w:val="auto"/>
                      <w:szCs w:val="21"/>
                    </w:rPr>
                  </w:pPr>
                  <w:r>
                    <w:rPr>
                      <w:color w:val="auto"/>
                      <w:szCs w:val="21"/>
                    </w:rPr>
                    <w:t>55</w:t>
                  </w:r>
                </w:p>
              </w:tc>
              <w:tc>
                <w:tcPr>
                  <w:tcW w:w="3080" w:type="pct"/>
                  <w:tcBorders>
                    <w:top w:val="single" w:color="auto" w:sz="12" w:space="0"/>
                  </w:tcBorders>
                  <w:vAlign w:val="center"/>
                </w:tcPr>
                <w:p w14:paraId="0CE4355D">
                  <w:pPr>
                    <w:jc w:val="center"/>
                    <w:rPr>
                      <w:color w:val="auto"/>
                      <w:szCs w:val="21"/>
                    </w:rPr>
                  </w:pPr>
                  <w:r>
                    <w:rPr>
                      <w:rFonts w:hint="eastAsia"/>
                      <w:color w:val="auto"/>
                      <w:szCs w:val="21"/>
                    </w:rPr>
                    <w:t>《建筑施工场界环境噪声排放标准》（GB12523-2011）</w:t>
                  </w:r>
                </w:p>
              </w:tc>
            </w:tr>
          </w:tbl>
          <w:p w14:paraId="34127133">
            <w:pPr>
              <w:pStyle w:val="37"/>
              <w:rPr>
                <w:color w:val="auto"/>
              </w:rPr>
            </w:pPr>
          </w:p>
          <w:p w14:paraId="6ECD45C6">
            <w:pPr>
              <w:keepNext/>
              <w:adjustRightInd w:val="0"/>
              <w:snapToGrid w:val="0"/>
              <w:jc w:val="center"/>
              <w:rPr>
                <w:b/>
                <w:color w:val="auto"/>
                <w:sz w:val="24"/>
                <w:szCs w:val="32"/>
              </w:rPr>
            </w:pPr>
            <w:r>
              <w:rPr>
                <w:b/>
                <w:color w:val="auto"/>
                <w:sz w:val="24"/>
                <w:szCs w:val="32"/>
              </w:rPr>
              <w:t>表3</w:t>
            </w:r>
            <w:r>
              <w:rPr>
                <w:rFonts w:hint="eastAsia"/>
                <w:b/>
                <w:color w:val="auto"/>
                <w:sz w:val="24"/>
                <w:szCs w:val="32"/>
              </w:rPr>
              <w:t>.6-2</w:t>
            </w:r>
            <w:r>
              <w:rPr>
                <w:b/>
                <w:color w:val="auto"/>
                <w:sz w:val="24"/>
                <w:szCs w:val="32"/>
              </w:rPr>
              <w:t xml:space="preserve">  工业企业厂界环境噪声排放标准（单位：dB(A)）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2"/>
              <w:gridCol w:w="977"/>
              <w:gridCol w:w="1082"/>
              <w:gridCol w:w="5120"/>
            </w:tblGrid>
            <w:tr w14:paraId="202D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tcBorders>
                    <w:top w:val="single" w:color="auto" w:sz="12" w:space="0"/>
                    <w:bottom w:val="single" w:color="auto" w:sz="12" w:space="0"/>
                  </w:tcBorders>
                  <w:vAlign w:val="center"/>
                </w:tcPr>
                <w:p w14:paraId="64CD8777">
                  <w:pPr>
                    <w:jc w:val="center"/>
                    <w:rPr>
                      <w:b/>
                      <w:color w:val="auto"/>
                      <w:szCs w:val="21"/>
                    </w:rPr>
                  </w:pPr>
                  <w:r>
                    <w:rPr>
                      <w:b/>
                      <w:color w:val="auto"/>
                      <w:szCs w:val="21"/>
                    </w:rPr>
                    <w:t>噪声类别</w:t>
                  </w:r>
                </w:p>
              </w:tc>
              <w:tc>
                <w:tcPr>
                  <w:tcW w:w="588" w:type="pct"/>
                  <w:tcBorders>
                    <w:top w:val="single" w:color="auto" w:sz="12" w:space="0"/>
                    <w:bottom w:val="single" w:color="auto" w:sz="12" w:space="0"/>
                  </w:tcBorders>
                  <w:vAlign w:val="center"/>
                </w:tcPr>
                <w:p w14:paraId="1B2E9104">
                  <w:pPr>
                    <w:jc w:val="center"/>
                    <w:rPr>
                      <w:b/>
                      <w:color w:val="auto"/>
                      <w:szCs w:val="21"/>
                    </w:rPr>
                  </w:pPr>
                  <w:r>
                    <w:rPr>
                      <w:b/>
                      <w:color w:val="auto"/>
                      <w:szCs w:val="21"/>
                    </w:rPr>
                    <w:t>昼间</w:t>
                  </w:r>
                </w:p>
              </w:tc>
              <w:tc>
                <w:tcPr>
                  <w:tcW w:w="651" w:type="pct"/>
                  <w:tcBorders>
                    <w:top w:val="single" w:color="auto" w:sz="12" w:space="0"/>
                    <w:bottom w:val="single" w:color="auto" w:sz="12" w:space="0"/>
                  </w:tcBorders>
                  <w:vAlign w:val="center"/>
                </w:tcPr>
                <w:p w14:paraId="700760DF">
                  <w:pPr>
                    <w:jc w:val="center"/>
                    <w:rPr>
                      <w:b/>
                      <w:color w:val="auto"/>
                      <w:szCs w:val="21"/>
                    </w:rPr>
                  </w:pPr>
                  <w:r>
                    <w:rPr>
                      <w:b/>
                      <w:color w:val="auto"/>
                      <w:szCs w:val="21"/>
                    </w:rPr>
                    <w:t>夜间</w:t>
                  </w:r>
                </w:p>
              </w:tc>
              <w:tc>
                <w:tcPr>
                  <w:tcW w:w="3080" w:type="pct"/>
                  <w:tcBorders>
                    <w:top w:val="single" w:color="auto" w:sz="12" w:space="0"/>
                    <w:bottom w:val="single" w:color="auto" w:sz="12" w:space="0"/>
                  </w:tcBorders>
                  <w:vAlign w:val="center"/>
                </w:tcPr>
                <w:p w14:paraId="0BF028F7">
                  <w:pPr>
                    <w:jc w:val="center"/>
                    <w:rPr>
                      <w:b/>
                      <w:color w:val="auto"/>
                      <w:szCs w:val="21"/>
                    </w:rPr>
                  </w:pPr>
                  <w:r>
                    <w:rPr>
                      <w:b/>
                      <w:color w:val="auto"/>
                      <w:szCs w:val="21"/>
                    </w:rPr>
                    <w:t>标准来源</w:t>
                  </w:r>
                </w:p>
              </w:tc>
            </w:tr>
            <w:tr w14:paraId="63E52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tcBorders>
                    <w:top w:val="single" w:color="auto" w:sz="12" w:space="0"/>
                  </w:tcBorders>
                  <w:vAlign w:val="center"/>
                </w:tcPr>
                <w:p w14:paraId="7A90C578">
                  <w:pPr>
                    <w:jc w:val="center"/>
                    <w:rPr>
                      <w:color w:val="auto"/>
                      <w:szCs w:val="21"/>
                    </w:rPr>
                  </w:pPr>
                  <w:r>
                    <w:rPr>
                      <w:color w:val="auto"/>
                      <w:szCs w:val="21"/>
                    </w:rPr>
                    <w:t>运营期噪声</w:t>
                  </w:r>
                </w:p>
              </w:tc>
              <w:tc>
                <w:tcPr>
                  <w:tcW w:w="588" w:type="pct"/>
                  <w:tcBorders>
                    <w:top w:val="single" w:color="auto" w:sz="12" w:space="0"/>
                  </w:tcBorders>
                  <w:vAlign w:val="center"/>
                </w:tcPr>
                <w:p w14:paraId="42BC6667">
                  <w:pPr>
                    <w:jc w:val="center"/>
                    <w:rPr>
                      <w:color w:val="auto"/>
                      <w:szCs w:val="21"/>
                    </w:rPr>
                  </w:pPr>
                  <w:r>
                    <w:rPr>
                      <w:color w:val="auto"/>
                      <w:szCs w:val="21"/>
                    </w:rPr>
                    <w:t>65</w:t>
                  </w:r>
                </w:p>
              </w:tc>
              <w:tc>
                <w:tcPr>
                  <w:tcW w:w="651" w:type="pct"/>
                  <w:tcBorders>
                    <w:top w:val="single" w:color="auto" w:sz="12" w:space="0"/>
                  </w:tcBorders>
                  <w:vAlign w:val="center"/>
                </w:tcPr>
                <w:p w14:paraId="0291ECFF">
                  <w:pPr>
                    <w:jc w:val="center"/>
                    <w:rPr>
                      <w:color w:val="auto"/>
                      <w:szCs w:val="21"/>
                    </w:rPr>
                  </w:pPr>
                  <w:r>
                    <w:rPr>
                      <w:color w:val="auto"/>
                      <w:szCs w:val="21"/>
                    </w:rPr>
                    <w:t>55</w:t>
                  </w:r>
                </w:p>
              </w:tc>
              <w:tc>
                <w:tcPr>
                  <w:tcW w:w="3080" w:type="pct"/>
                  <w:tcBorders>
                    <w:top w:val="single" w:color="auto" w:sz="12" w:space="0"/>
                  </w:tcBorders>
                  <w:vAlign w:val="center"/>
                </w:tcPr>
                <w:p w14:paraId="5F4EAE7F">
                  <w:pPr>
                    <w:jc w:val="center"/>
                    <w:rPr>
                      <w:color w:val="auto"/>
                      <w:szCs w:val="21"/>
                    </w:rPr>
                  </w:pPr>
                  <w:r>
                    <w:rPr>
                      <w:color w:val="auto"/>
                      <w:szCs w:val="21"/>
                    </w:rPr>
                    <w:t>厂界执行《工业企业厂界噪声排放标准值》（GB12348-2008）中3类标准</w:t>
                  </w:r>
                </w:p>
              </w:tc>
            </w:tr>
          </w:tbl>
          <w:p w14:paraId="148E2551">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固体废弃物污染物控制标准</w:t>
            </w:r>
          </w:p>
          <w:p w14:paraId="22ED539E">
            <w:pPr>
              <w:spacing w:line="360" w:lineRule="auto"/>
              <w:ind w:firstLine="480" w:firstLineChars="200"/>
              <w:rPr>
                <w:color w:val="auto"/>
                <w:sz w:val="24"/>
              </w:rPr>
            </w:pPr>
            <w:r>
              <w:rPr>
                <w:color w:val="auto"/>
                <w:sz w:val="24"/>
              </w:rPr>
              <w:t>一般固废执行《一般固体废物贮存和填埋污染控制标准》（GB18599-2020）和《一般固体废物分类与代码》（GB/T 39198-2020）。</w:t>
            </w:r>
          </w:p>
          <w:p w14:paraId="5198FAAC">
            <w:pPr>
              <w:spacing w:line="360" w:lineRule="auto"/>
              <w:ind w:firstLine="480" w:firstLineChars="200"/>
              <w:rPr>
                <w:color w:val="auto"/>
                <w:sz w:val="24"/>
              </w:rPr>
            </w:pPr>
            <w:r>
              <w:rPr>
                <w:color w:val="auto"/>
                <w:sz w:val="24"/>
              </w:rPr>
              <w:t>危险固废执行《危险废物贮存污染控制标准》（GB18597-2023）、《省生态环境厅关于做好安全生产专项整治工作实施方案》（苏环办〔2020〕16号）、《危险废物识别标志设置技术规范》（HJ1276-2022）</w:t>
            </w:r>
            <w:r>
              <w:rPr>
                <w:rFonts w:hint="eastAsia"/>
                <w:color w:val="auto"/>
                <w:sz w:val="24"/>
              </w:rPr>
              <w:t>、省生态环境厅关于印发《江苏省固体废物全过程环境监管工作意见》的通知</w:t>
            </w:r>
            <w:r>
              <w:rPr>
                <w:color w:val="auto"/>
                <w:sz w:val="24"/>
              </w:rPr>
              <w:t>（苏环办〔202</w:t>
            </w:r>
            <w:r>
              <w:rPr>
                <w:rFonts w:hint="eastAsia"/>
                <w:color w:val="auto"/>
                <w:sz w:val="24"/>
              </w:rPr>
              <w:t>4</w:t>
            </w:r>
            <w:r>
              <w:rPr>
                <w:color w:val="auto"/>
                <w:sz w:val="24"/>
              </w:rPr>
              <w:t>〕16号）。</w:t>
            </w:r>
          </w:p>
          <w:p w14:paraId="78D941C5">
            <w:pPr>
              <w:spacing w:line="360" w:lineRule="auto"/>
              <w:ind w:firstLine="480" w:firstLineChars="200"/>
              <w:rPr>
                <w:color w:val="auto"/>
                <w:kern w:val="0"/>
                <w:szCs w:val="21"/>
              </w:rPr>
            </w:pPr>
            <w:r>
              <w:rPr>
                <w:color w:val="auto"/>
                <w:sz w:val="24"/>
              </w:rPr>
              <w:t>生活垃圾处理执行《城市生活垃圾处理及污染防治技术政策》（建城</w:t>
            </w:r>
            <w:r>
              <w:rPr>
                <w:rFonts w:hint="eastAsia"/>
                <w:color w:val="auto"/>
                <w:sz w:val="24"/>
                <w:lang w:eastAsia="zh-CN"/>
              </w:rPr>
              <w:t>〔2000〕120号</w:t>
            </w:r>
            <w:r>
              <w:rPr>
                <w:color w:val="auto"/>
                <w:sz w:val="24"/>
              </w:rPr>
              <w:t>）和《生活垃圾处理技术指南》（建城</w:t>
            </w:r>
            <w:r>
              <w:rPr>
                <w:rFonts w:hint="eastAsia"/>
                <w:color w:val="auto"/>
                <w:sz w:val="24"/>
                <w:lang w:eastAsia="zh-CN"/>
              </w:rPr>
              <w:t>〔2010〕61号</w:t>
            </w:r>
            <w:r>
              <w:rPr>
                <w:color w:val="auto"/>
                <w:sz w:val="24"/>
              </w:rPr>
              <w:t>）以及国家、省、市关于固体废物污染环境防治的法律法规。</w:t>
            </w:r>
          </w:p>
        </w:tc>
      </w:tr>
      <w:tr w14:paraId="4DD35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8" w:hRule="atLeast"/>
          <w:jc w:val="center"/>
        </w:trPr>
        <w:tc>
          <w:tcPr>
            <w:tcW w:w="534" w:type="dxa"/>
            <w:vAlign w:val="center"/>
          </w:tcPr>
          <w:p w14:paraId="77DE9B6C">
            <w:pPr>
              <w:adjustRightInd w:val="0"/>
              <w:snapToGrid w:val="0"/>
              <w:jc w:val="center"/>
              <w:rPr>
                <w:color w:val="auto"/>
                <w:kern w:val="0"/>
                <w:szCs w:val="21"/>
              </w:rPr>
            </w:pPr>
            <w:r>
              <w:rPr>
                <w:color w:val="auto"/>
                <w:kern w:val="0"/>
                <w:sz w:val="24"/>
              </w:rPr>
              <w:t>总量控制指标</w:t>
            </w:r>
          </w:p>
        </w:tc>
        <w:tc>
          <w:tcPr>
            <w:tcW w:w="8527" w:type="dxa"/>
            <w:vAlign w:val="center"/>
          </w:tcPr>
          <w:p w14:paraId="363DB41C">
            <w:pPr>
              <w:adjustRightInd w:val="0"/>
              <w:snapToGrid w:val="0"/>
              <w:rPr>
                <w:color w:val="auto"/>
                <w:sz w:val="24"/>
                <w:szCs w:val="21"/>
              </w:rPr>
            </w:pPr>
            <w:r>
              <w:rPr>
                <w:color w:val="auto"/>
                <w:sz w:val="24"/>
                <w:szCs w:val="21"/>
              </w:rPr>
              <w:t>本项目实施后：</w:t>
            </w:r>
          </w:p>
          <w:p w14:paraId="60387460">
            <w:pPr>
              <w:tabs>
                <w:tab w:val="left" w:pos="720"/>
              </w:tabs>
              <w:adjustRightInd w:val="0"/>
              <w:snapToGrid w:val="0"/>
              <w:spacing w:line="360" w:lineRule="auto"/>
              <w:ind w:firstLine="482" w:firstLineChars="200"/>
              <w:rPr>
                <w:b/>
                <w:bCs/>
                <w:color w:val="auto"/>
                <w:sz w:val="24"/>
              </w:rPr>
            </w:pPr>
            <w:r>
              <w:rPr>
                <w:b/>
                <w:bCs/>
                <w:color w:val="auto"/>
                <w:sz w:val="24"/>
              </w:rPr>
              <w:t>总量控制指标</w:t>
            </w:r>
          </w:p>
          <w:p w14:paraId="6BE92DBE">
            <w:pPr>
              <w:tabs>
                <w:tab w:val="left" w:pos="720"/>
              </w:tabs>
              <w:adjustRightInd w:val="0"/>
              <w:snapToGrid w:val="0"/>
              <w:spacing w:line="360" w:lineRule="auto"/>
              <w:ind w:firstLine="480" w:firstLineChars="200"/>
              <w:rPr>
                <w:bCs/>
                <w:color w:val="auto"/>
                <w:sz w:val="24"/>
              </w:rPr>
            </w:pPr>
            <w:r>
              <w:rPr>
                <w:bCs/>
                <w:color w:val="auto"/>
                <w:sz w:val="24"/>
              </w:rPr>
              <w:t>本项目污染物产生量、削减量和排放量</w:t>
            </w:r>
            <w:r>
              <w:rPr>
                <w:rFonts w:hint="eastAsia"/>
                <w:bCs/>
                <w:color w:val="auto"/>
                <w:sz w:val="24"/>
                <w:lang w:eastAsia="zh-CN"/>
              </w:rPr>
              <w:t>三本账</w:t>
            </w:r>
            <w:r>
              <w:rPr>
                <w:bCs/>
                <w:color w:val="auto"/>
                <w:sz w:val="24"/>
              </w:rPr>
              <w:t>见表3</w:t>
            </w:r>
            <w:r>
              <w:rPr>
                <w:rFonts w:hint="eastAsia"/>
                <w:bCs/>
                <w:color w:val="auto"/>
                <w:sz w:val="24"/>
              </w:rPr>
              <w:t>.7</w:t>
            </w:r>
            <w:r>
              <w:rPr>
                <w:bCs/>
                <w:color w:val="auto"/>
                <w:sz w:val="24"/>
              </w:rPr>
              <w:t>。</w:t>
            </w:r>
          </w:p>
          <w:p w14:paraId="181EFFF0">
            <w:pPr>
              <w:keepNext/>
              <w:adjustRightInd w:val="0"/>
              <w:snapToGrid w:val="0"/>
              <w:jc w:val="center"/>
              <w:rPr>
                <w:b/>
                <w:color w:val="auto"/>
                <w:sz w:val="24"/>
              </w:rPr>
            </w:pPr>
            <w:r>
              <w:rPr>
                <w:b/>
                <w:color w:val="auto"/>
                <w:sz w:val="24"/>
              </w:rPr>
              <w:t>表3</w:t>
            </w:r>
            <w:r>
              <w:rPr>
                <w:rFonts w:hint="eastAsia"/>
                <w:b/>
                <w:color w:val="auto"/>
                <w:sz w:val="24"/>
              </w:rPr>
              <w:t>.7</w:t>
            </w:r>
            <w:r>
              <w:rPr>
                <w:b/>
                <w:color w:val="auto"/>
                <w:sz w:val="24"/>
              </w:rPr>
              <w:t>本项目建成后全厂污染物排放汇总表（单位：t/a）</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7"/>
              <w:gridCol w:w="665"/>
              <w:gridCol w:w="1106"/>
              <w:gridCol w:w="921"/>
              <w:gridCol w:w="854"/>
              <w:gridCol w:w="923"/>
              <w:gridCol w:w="970"/>
              <w:gridCol w:w="1110"/>
              <w:gridCol w:w="1322"/>
            </w:tblGrid>
            <w:tr w14:paraId="0D61A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restart"/>
                  <w:vAlign w:val="center"/>
                </w:tcPr>
                <w:p w14:paraId="099F9B3D">
                  <w:pPr>
                    <w:adjustRightInd w:val="0"/>
                    <w:snapToGrid w:val="0"/>
                    <w:jc w:val="center"/>
                    <w:rPr>
                      <w:b/>
                      <w:color w:val="auto"/>
                    </w:rPr>
                  </w:pPr>
                  <w:r>
                    <w:rPr>
                      <w:b/>
                      <w:color w:val="auto"/>
                    </w:rPr>
                    <w:t>类别</w:t>
                  </w:r>
                </w:p>
              </w:tc>
              <w:tc>
                <w:tcPr>
                  <w:tcW w:w="1065" w:type="pct"/>
                  <w:gridSpan w:val="2"/>
                  <w:vMerge w:val="restart"/>
                  <w:vAlign w:val="center"/>
                </w:tcPr>
                <w:p w14:paraId="4C47B16E">
                  <w:pPr>
                    <w:adjustRightInd w:val="0"/>
                    <w:snapToGrid w:val="0"/>
                    <w:jc w:val="center"/>
                    <w:rPr>
                      <w:b/>
                      <w:color w:val="auto"/>
                    </w:rPr>
                  </w:pPr>
                  <w:r>
                    <w:rPr>
                      <w:b/>
                      <w:color w:val="auto"/>
                    </w:rPr>
                    <w:t>污染物</w:t>
                  </w:r>
                </w:p>
              </w:tc>
              <w:tc>
                <w:tcPr>
                  <w:tcW w:w="1623" w:type="pct"/>
                  <w:gridSpan w:val="3"/>
                  <w:tcBorders>
                    <w:top w:val="single" w:color="auto" w:sz="12" w:space="0"/>
                    <w:bottom w:val="single" w:color="auto" w:sz="12" w:space="0"/>
                  </w:tcBorders>
                  <w:vAlign w:val="center"/>
                </w:tcPr>
                <w:p w14:paraId="64C39441">
                  <w:pPr>
                    <w:adjustRightInd w:val="0"/>
                    <w:snapToGrid w:val="0"/>
                    <w:jc w:val="center"/>
                    <w:rPr>
                      <w:b/>
                      <w:color w:val="auto"/>
                    </w:rPr>
                  </w:pPr>
                  <w:r>
                    <w:rPr>
                      <w:rFonts w:hint="eastAsia"/>
                      <w:b/>
                      <w:color w:val="auto"/>
                    </w:rPr>
                    <w:t>本</w:t>
                  </w:r>
                  <w:r>
                    <w:rPr>
                      <w:b/>
                      <w:color w:val="auto"/>
                    </w:rPr>
                    <w:t>项目</w:t>
                  </w:r>
                </w:p>
              </w:tc>
              <w:tc>
                <w:tcPr>
                  <w:tcW w:w="583" w:type="pct"/>
                  <w:vMerge w:val="restart"/>
                  <w:vAlign w:val="center"/>
                </w:tcPr>
                <w:p w14:paraId="53750AA6">
                  <w:pPr>
                    <w:adjustRightInd w:val="0"/>
                    <w:snapToGrid w:val="0"/>
                    <w:jc w:val="center"/>
                    <w:rPr>
                      <w:b/>
                      <w:color w:val="auto"/>
                    </w:rPr>
                  </w:pPr>
                  <w:r>
                    <w:rPr>
                      <w:rFonts w:hint="eastAsia"/>
                      <w:b/>
                      <w:color w:val="auto"/>
                    </w:rPr>
                    <w:t>全厂接管量</w:t>
                  </w:r>
                </w:p>
              </w:tc>
              <w:tc>
                <w:tcPr>
                  <w:tcW w:w="668" w:type="pct"/>
                  <w:vMerge w:val="restart"/>
                  <w:vAlign w:val="center"/>
                </w:tcPr>
                <w:p w14:paraId="19A417E2">
                  <w:pPr>
                    <w:adjustRightInd w:val="0"/>
                    <w:snapToGrid w:val="0"/>
                    <w:jc w:val="center"/>
                    <w:rPr>
                      <w:b/>
                      <w:color w:val="auto"/>
                    </w:rPr>
                  </w:pPr>
                  <w:r>
                    <w:rPr>
                      <w:rFonts w:hint="eastAsia"/>
                      <w:b/>
                      <w:color w:val="auto"/>
                    </w:rPr>
                    <w:t>全厂环境排放量</w:t>
                  </w:r>
                </w:p>
              </w:tc>
              <w:tc>
                <w:tcPr>
                  <w:tcW w:w="795" w:type="pct"/>
                  <w:vMerge w:val="restart"/>
                  <w:vAlign w:val="center"/>
                </w:tcPr>
                <w:p w14:paraId="3F267ECE">
                  <w:pPr>
                    <w:adjustRightInd w:val="0"/>
                    <w:snapToGrid w:val="0"/>
                    <w:jc w:val="center"/>
                    <w:rPr>
                      <w:b/>
                      <w:color w:val="auto"/>
                    </w:rPr>
                  </w:pPr>
                  <w:r>
                    <w:rPr>
                      <w:b/>
                      <w:color w:val="auto"/>
                    </w:rPr>
                    <w:t>本项目申请量</w:t>
                  </w:r>
                </w:p>
              </w:tc>
            </w:tr>
            <w:tr w14:paraId="2D546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tcBorders>
                    <w:bottom w:val="single" w:color="auto" w:sz="12" w:space="0"/>
                  </w:tcBorders>
                  <w:vAlign w:val="center"/>
                </w:tcPr>
                <w:p w14:paraId="4551E9E3">
                  <w:pPr>
                    <w:adjustRightInd w:val="0"/>
                    <w:snapToGrid w:val="0"/>
                    <w:jc w:val="center"/>
                    <w:rPr>
                      <w:b/>
                      <w:color w:val="auto"/>
                    </w:rPr>
                  </w:pPr>
                </w:p>
              </w:tc>
              <w:tc>
                <w:tcPr>
                  <w:tcW w:w="1065" w:type="pct"/>
                  <w:gridSpan w:val="2"/>
                  <w:vMerge w:val="continue"/>
                  <w:tcBorders>
                    <w:bottom w:val="single" w:color="auto" w:sz="12" w:space="0"/>
                  </w:tcBorders>
                  <w:vAlign w:val="center"/>
                </w:tcPr>
                <w:p w14:paraId="62154916">
                  <w:pPr>
                    <w:adjustRightInd w:val="0"/>
                    <w:snapToGrid w:val="0"/>
                    <w:jc w:val="center"/>
                    <w:rPr>
                      <w:b/>
                      <w:color w:val="auto"/>
                    </w:rPr>
                  </w:pPr>
                </w:p>
              </w:tc>
              <w:tc>
                <w:tcPr>
                  <w:tcW w:w="554" w:type="pct"/>
                  <w:tcBorders>
                    <w:top w:val="single" w:color="auto" w:sz="12" w:space="0"/>
                    <w:bottom w:val="single" w:color="auto" w:sz="12" w:space="0"/>
                  </w:tcBorders>
                  <w:vAlign w:val="center"/>
                </w:tcPr>
                <w:p w14:paraId="1093ACF2">
                  <w:pPr>
                    <w:adjustRightInd w:val="0"/>
                    <w:snapToGrid w:val="0"/>
                    <w:jc w:val="center"/>
                    <w:rPr>
                      <w:b/>
                      <w:color w:val="auto"/>
                    </w:rPr>
                  </w:pPr>
                  <w:r>
                    <w:rPr>
                      <w:b/>
                      <w:color w:val="auto"/>
                    </w:rPr>
                    <w:t>产生量</w:t>
                  </w:r>
                </w:p>
              </w:tc>
              <w:tc>
                <w:tcPr>
                  <w:tcW w:w="513" w:type="pct"/>
                  <w:tcBorders>
                    <w:top w:val="single" w:color="auto" w:sz="12" w:space="0"/>
                    <w:bottom w:val="single" w:color="auto" w:sz="12" w:space="0"/>
                  </w:tcBorders>
                  <w:vAlign w:val="center"/>
                </w:tcPr>
                <w:p w14:paraId="1A1EF07F">
                  <w:pPr>
                    <w:adjustRightInd w:val="0"/>
                    <w:snapToGrid w:val="0"/>
                    <w:jc w:val="center"/>
                    <w:rPr>
                      <w:b/>
                      <w:color w:val="auto"/>
                    </w:rPr>
                  </w:pPr>
                  <w:r>
                    <w:rPr>
                      <w:b/>
                      <w:color w:val="auto"/>
                    </w:rPr>
                    <w:t>削减量</w:t>
                  </w:r>
                </w:p>
              </w:tc>
              <w:tc>
                <w:tcPr>
                  <w:tcW w:w="555" w:type="pct"/>
                  <w:tcBorders>
                    <w:top w:val="single" w:color="auto" w:sz="12" w:space="0"/>
                    <w:bottom w:val="single" w:color="auto" w:sz="12" w:space="0"/>
                  </w:tcBorders>
                  <w:vAlign w:val="center"/>
                </w:tcPr>
                <w:p w14:paraId="66FB9428">
                  <w:pPr>
                    <w:adjustRightInd w:val="0"/>
                    <w:snapToGrid w:val="0"/>
                    <w:jc w:val="center"/>
                    <w:rPr>
                      <w:b/>
                      <w:color w:val="auto"/>
                    </w:rPr>
                  </w:pPr>
                  <w:r>
                    <w:rPr>
                      <w:rFonts w:hint="eastAsia"/>
                      <w:b/>
                      <w:color w:val="auto"/>
                    </w:rPr>
                    <w:t>排放</w:t>
                  </w:r>
                  <w:r>
                    <w:rPr>
                      <w:b/>
                      <w:color w:val="auto"/>
                    </w:rPr>
                    <w:t>量</w:t>
                  </w:r>
                </w:p>
              </w:tc>
              <w:tc>
                <w:tcPr>
                  <w:tcW w:w="583" w:type="pct"/>
                  <w:vMerge w:val="continue"/>
                  <w:tcBorders>
                    <w:bottom w:val="single" w:color="auto" w:sz="12" w:space="0"/>
                  </w:tcBorders>
                  <w:vAlign w:val="center"/>
                </w:tcPr>
                <w:p w14:paraId="45E2EF9E">
                  <w:pPr>
                    <w:adjustRightInd w:val="0"/>
                    <w:snapToGrid w:val="0"/>
                    <w:jc w:val="center"/>
                    <w:rPr>
                      <w:b/>
                      <w:color w:val="auto"/>
                    </w:rPr>
                  </w:pPr>
                </w:p>
              </w:tc>
              <w:tc>
                <w:tcPr>
                  <w:tcW w:w="668" w:type="pct"/>
                  <w:vMerge w:val="continue"/>
                  <w:tcBorders>
                    <w:bottom w:val="single" w:color="auto" w:sz="12" w:space="0"/>
                  </w:tcBorders>
                  <w:vAlign w:val="center"/>
                </w:tcPr>
                <w:p w14:paraId="6ACD4973">
                  <w:pPr>
                    <w:adjustRightInd w:val="0"/>
                    <w:snapToGrid w:val="0"/>
                    <w:jc w:val="center"/>
                    <w:rPr>
                      <w:b/>
                      <w:color w:val="auto"/>
                    </w:rPr>
                  </w:pPr>
                </w:p>
              </w:tc>
              <w:tc>
                <w:tcPr>
                  <w:tcW w:w="795" w:type="pct"/>
                  <w:vMerge w:val="continue"/>
                  <w:tcBorders>
                    <w:bottom w:val="single" w:color="auto" w:sz="12" w:space="0"/>
                  </w:tcBorders>
                  <w:vAlign w:val="center"/>
                </w:tcPr>
                <w:p w14:paraId="02867090">
                  <w:pPr>
                    <w:adjustRightInd w:val="0"/>
                    <w:snapToGrid w:val="0"/>
                    <w:jc w:val="center"/>
                    <w:rPr>
                      <w:b/>
                      <w:color w:val="auto"/>
                    </w:rPr>
                  </w:pPr>
                </w:p>
              </w:tc>
            </w:tr>
            <w:tr w14:paraId="0FFC9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restart"/>
                  <w:tcBorders>
                    <w:top w:val="single" w:color="auto" w:sz="12" w:space="0"/>
                  </w:tcBorders>
                  <w:vAlign w:val="center"/>
                </w:tcPr>
                <w:p w14:paraId="31D9D431">
                  <w:pPr>
                    <w:adjustRightInd w:val="0"/>
                    <w:snapToGrid w:val="0"/>
                    <w:jc w:val="center"/>
                    <w:rPr>
                      <w:color w:val="auto"/>
                    </w:rPr>
                  </w:pPr>
                  <w:r>
                    <w:rPr>
                      <w:color w:val="auto"/>
                    </w:rPr>
                    <w:t>废水</w:t>
                  </w:r>
                </w:p>
              </w:tc>
              <w:tc>
                <w:tcPr>
                  <w:tcW w:w="1065" w:type="pct"/>
                  <w:gridSpan w:val="2"/>
                  <w:tcBorders>
                    <w:top w:val="single" w:color="auto" w:sz="12" w:space="0"/>
                  </w:tcBorders>
                  <w:vAlign w:val="center"/>
                </w:tcPr>
                <w:p w14:paraId="38313DA7">
                  <w:pPr>
                    <w:autoSpaceDE w:val="0"/>
                    <w:autoSpaceDN w:val="0"/>
                    <w:adjustRightInd w:val="0"/>
                    <w:jc w:val="center"/>
                    <w:rPr>
                      <w:color w:val="auto"/>
                    </w:rPr>
                  </w:pPr>
                  <w:r>
                    <w:rPr>
                      <w:color w:val="auto"/>
                      <w:szCs w:val="21"/>
                    </w:rPr>
                    <w:t>废水</w:t>
                  </w:r>
                </w:p>
              </w:tc>
              <w:tc>
                <w:tcPr>
                  <w:tcW w:w="554" w:type="pct"/>
                  <w:tcBorders>
                    <w:top w:val="single" w:color="auto" w:sz="12" w:space="0"/>
                  </w:tcBorders>
                  <w:vAlign w:val="center"/>
                </w:tcPr>
                <w:p w14:paraId="01E84F5B">
                  <w:pPr>
                    <w:jc w:val="center"/>
                    <w:rPr>
                      <w:color w:val="auto"/>
                      <w:szCs w:val="21"/>
                    </w:rPr>
                  </w:pPr>
                  <w:r>
                    <w:rPr>
                      <w:rFonts w:hint="eastAsia"/>
                      <w:color w:val="auto"/>
                      <w:szCs w:val="21"/>
                    </w:rPr>
                    <w:t>12015</w:t>
                  </w:r>
                </w:p>
              </w:tc>
              <w:tc>
                <w:tcPr>
                  <w:tcW w:w="513" w:type="pct"/>
                  <w:tcBorders>
                    <w:top w:val="single" w:color="auto" w:sz="12" w:space="0"/>
                  </w:tcBorders>
                  <w:vAlign w:val="center"/>
                </w:tcPr>
                <w:p w14:paraId="4952B190">
                  <w:pPr>
                    <w:adjustRightInd w:val="0"/>
                    <w:snapToGrid w:val="0"/>
                    <w:jc w:val="center"/>
                    <w:rPr>
                      <w:color w:val="auto"/>
                    </w:rPr>
                  </w:pPr>
                  <w:r>
                    <w:rPr>
                      <w:rFonts w:hint="eastAsia"/>
                      <w:color w:val="auto"/>
                    </w:rPr>
                    <w:t>0</w:t>
                  </w:r>
                </w:p>
              </w:tc>
              <w:tc>
                <w:tcPr>
                  <w:tcW w:w="555" w:type="pct"/>
                  <w:tcBorders>
                    <w:top w:val="single" w:color="auto" w:sz="12" w:space="0"/>
                  </w:tcBorders>
                  <w:vAlign w:val="center"/>
                </w:tcPr>
                <w:p w14:paraId="68AF2B28">
                  <w:pPr>
                    <w:jc w:val="center"/>
                    <w:rPr>
                      <w:color w:val="auto"/>
                      <w:kern w:val="0"/>
                      <w:lang w:bidi="ar"/>
                    </w:rPr>
                  </w:pPr>
                  <w:r>
                    <w:rPr>
                      <w:rFonts w:hint="eastAsia"/>
                      <w:color w:val="auto"/>
                      <w:szCs w:val="21"/>
                    </w:rPr>
                    <w:t>12015</w:t>
                  </w:r>
                </w:p>
              </w:tc>
              <w:tc>
                <w:tcPr>
                  <w:tcW w:w="583" w:type="pct"/>
                  <w:tcBorders>
                    <w:top w:val="single" w:color="auto" w:sz="12" w:space="0"/>
                  </w:tcBorders>
                  <w:vAlign w:val="center"/>
                </w:tcPr>
                <w:p w14:paraId="4135D8F2">
                  <w:pPr>
                    <w:jc w:val="center"/>
                    <w:rPr>
                      <w:color w:val="auto"/>
                      <w:kern w:val="0"/>
                      <w:lang w:bidi="ar"/>
                    </w:rPr>
                  </w:pPr>
                  <w:r>
                    <w:rPr>
                      <w:rFonts w:hint="eastAsia"/>
                      <w:color w:val="auto"/>
                      <w:szCs w:val="21"/>
                    </w:rPr>
                    <w:t>12015</w:t>
                  </w:r>
                </w:p>
              </w:tc>
              <w:tc>
                <w:tcPr>
                  <w:tcW w:w="668" w:type="pct"/>
                  <w:tcBorders>
                    <w:top w:val="single" w:color="auto" w:sz="12" w:space="0"/>
                  </w:tcBorders>
                  <w:vAlign w:val="center"/>
                </w:tcPr>
                <w:p w14:paraId="258196FB">
                  <w:pPr>
                    <w:jc w:val="center"/>
                    <w:rPr>
                      <w:color w:val="auto"/>
                    </w:rPr>
                  </w:pPr>
                  <w:r>
                    <w:rPr>
                      <w:rFonts w:hint="eastAsia"/>
                      <w:color w:val="auto"/>
                      <w:szCs w:val="21"/>
                    </w:rPr>
                    <w:t>/</w:t>
                  </w:r>
                </w:p>
              </w:tc>
              <w:tc>
                <w:tcPr>
                  <w:tcW w:w="795" w:type="pct"/>
                  <w:tcBorders>
                    <w:top w:val="single" w:color="auto" w:sz="12" w:space="0"/>
                  </w:tcBorders>
                  <w:vAlign w:val="center"/>
                </w:tcPr>
                <w:p w14:paraId="7ED150A8">
                  <w:pPr>
                    <w:jc w:val="center"/>
                    <w:rPr>
                      <w:color w:val="auto"/>
                    </w:rPr>
                  </w:pPr>
                  <w:r>
                    <w:rPr>
                      <w:rFonts w:hint="eastAsia"/>
                      <w:color w:val="auto"/>
                      <w:szCs w:val="21"/>
                    </w:rPr>
                    <w:t>12015</w:t>
                  </w:r>
                </w:p>
              </w:tc>
            </w:tr>
            <w:tr w14:paraId="5329C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6E6AD19B">
                  <w:pPr>
                    <w:adjustRightInd w:val="0"/>
                    <w:snapToGrid w:val="0"/>
                    <w:jc w:val="center"/>
                    <w:rPr>
                      <w:color w:val="auto"/>
                    </w:rPr>
                  </w:pPr>
                </w:p>
              </w:tc>
              <w:tc>
                <w:tcPr>
                  <w:tcW w:w="1065" w:type="pct"/>
                  <w:gridSpan w:val="2"/>
                  <w:vAlign w:val="center"/>
                </w:tcPr>
                <w:p w14:paraId="1B86A2D6">
                  <w:pPr>
                    <w:autoSpaceDE w:val="0"/>
                    <w:autoSpaceDN w:val="0"/>
                    <w:adjustRightInd w:val="0"/>
                    <w:jc w:val="center"/>
                    <w:rPr>
                      <w:color w:val="auto"/>
                    </w:rPr>
                  </w:pPr>
                  <w:r>
                    <w:rPr>
                      <w:color w:val="auto"/>
                      <w:szCs w:val="21"/>
                    </w:rPr>
                    <w:t>COD</w:t>
                  </w:r>
                </w:p>
              </w:tc>
              <w:tc>
                <w:tcPr>
                  <w:tcW w:w="554" w:type="pct"/>
                  <w:vAlign w:val="center"/>
                </w:tcPr>
                <w:p w14:paraId="01C72049">
                  <w:pPr>
                    <w:jc w:val="center"/>
                    <w:rPr>
                      <w:color w:val="auto"/>
                      <w:szCs w:val="21"/>
                    </w:rPr>
                  </w:pPr>
                  <w:r>
                    <w:rPr>
                      <w:rFonts w:hint="eastAsia"/>
                      <w:color w:val="auto"/>
                      <w:szCs w:val="21"/>
                    </w:rPr>
                    <w:t>5.157</w:t>
                  </w:r>
                </w:p>
              </w:tc>
              <w:tc>
                <w:tcPr>
                  <w:tcW w:w="513" w:type="pct"/>
                  <w:vAlign w:val="center"/>
                </w:tcPr>
                <w:p w14:paraId="51DE0708">
                  <w:pPr>
                    <w:jc w:val="center"/>
                    <w:rPr>
                      <w:color w:val="auto"/>
                      <w:szCs w:val="21"/>
                    </w:rPr>
                  </w:pPr>
                  <w:r>
                    <w:rPr>
                      <w:rFonts w:hint="eastAsia"/>
                      <w:color w:val="auto"/>
                      <w:szCs w:val="21"/>
                    </w:rPr>
                    <w:t>2.1418</w:t>
                  </w:r>
                </w:p>
              </w:tc>
              <w:tc>
                <w:tcPr>
                  <w:tcW w:w="555" w:type="pct"/>
                  <w:vAlign w:val="center"/>
                </w:tcPr>
                <w:p w14:paraId="4B43A387">
                  <w:pPr>
                    <w:jc w:val="center"/>
                    <w:rPr>
                      <w:color w:val="auto"/>
                      <w:szCs w:val="21"/>
                    </w:rPr>
                  </w:pPr>
                  <w:r>
                    <w:rPr>
                      <w:rFonts w:hint="eastAsia"/>
                      <w:color w:val="auto"/>
                      <w:szCs w:val="21"/>
                    </w:rPr>
                    <w:t>3.0152</w:t>
                  </w:r>
                </w:p>
              </w:tc>
              <w:tc>
                <w:tcPr>
                  <w:tcW w:w="583" w:type="pct"/>
                  <w:vAlign w:val="center"/>
                </w:tcPr>
                <w:p w14:paraId="71510B70">
                  <w:pPr>
                    <w:jc w:val="center"/>
                    <w:rPr>
                      <w:color w:val="auto"/>
                      <w:szCs w:val="21"/>
                    </w:rPr>
                  </w:pPr>
                  <w:r>
                    <w:rPr>
                      <w:rFonts w:hint="eastAsia"/>
                      <w:color w:val="auto"/>
                      <w:szCs w:val="21"/>
                    </w:rPr>
                    <w:t>3.0152</w:t>
                  </w:r>
                </w:p>
              </w:tc>
              <w:tc>
                <w:tcPr>
                  <w:tcW w:w="668" w:type="pct"/>
                  <w:vAlign w:val="center"/>
                </w:tcPr>
                <w:p w14:paraId="78CEDBE0">
                  <w:pPr>
                    <w:jc w:val="center"/>
                    <w:rPr>
                      <w:color w:val="auto"/>
                    </w:rPr>
                  </w:pPr>
                  <w:r>
                    <w:rPr>
                      <w:rFonts w:hint="eastAsia"/>
                      <w:color w:val="auto"/>
                      <w:szCs w:val="21"/>
                    </w:rPr>
                    <w:t>/</w:t>
                  </w:r>
                </w:p>
              </w:tc>
              <w:tc>
                <w:tcPr>
                  <w:tcW w:w="795" w:type="pct"/>
                  <w:vAlign w:val="center"/>
                </w:tcPr>
                <w:p w14:paraId="5D5CFB20">
                  <w:pPr>
                    <w:jc w:val="center"/>
                    <w:rPr>
                      <w:color w:val="auto"/>
                    </w:rPr>
                  </w:pPr>
                  <w:r>
                    <w:rPr>
                      <w:rFonts w:hint="eastAsia"/>
                      <w:color w:val="auto"/>
                      <w:szCs w:val="21"/>
                    </w:rPr>
                    <w:t>3.0152</w:t>
                  </w:r>
                </w:p>
              </w:tc>
            </w:tr>
            <w:tr w14:paraId="453D9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137D82DC">
                  <w:pPr>
                    <w:adjustRightInd w:val="0"/>
                    <w:snapToGrid w:val="0"/>
                    <w:jc w:val="center"/>
                    <w:rPr>
                      <w:color w:val="auto"/>
                    </w:rPr>
                  </w:pPr>
                </w:p>
              </w:tc>
              <w:tc>
                <w:tcPr>
                  <w:tcW w:w="1065" w:type="pct"/>
                  <w:gridSpan w:val="2"/>
                  <w:vAlign w:val="center"/>
                </w:tcPr>
                <w:p w14:paraId="388735A4">
                  <w:pPr>
                    <w:autoSpaceDE w:val="0"/>
                    <w:autoSpaceDN w:val="0"/>
                    <w:adjustRightInd w:val="0"/>
                    <w:jc w:val="center"/>
                    <w:rPr>
                      <w:color w:val="auto"/>
                    </w:rPr>
                  </w:pPr>
                  <w:r>
                    <w:rPr>
                      <w:color w:val="auto"/>
                      <w:szCs w:val="21"/>
                    </w:rPr>
                    <w:t>SS</w:t>
                  </w:r>
                </w:p>
              </w:tc>
              <w:tc>
                <w:tcPr>
                  <w:tcW w:w="554" w:type="pct"/>
                  <w:vAlign w:val="center"/>
                </w:tcPr>
                <w:p w14:paraId="52CF0DE6">
                  <w:pPr>
                    <w:jc w:val="center"/>
                    <w:rPr>
                      <w:color w:val="auto"/>
                      <w:szCs w:val="21"/>
                    </w:rPr>
                  </w:pPr>
                  <w:r>
                    <w:rPr>
                      <w:rFonts w:hint="eastAsia"/>
                      <w:color w:val="auto"/>
                      <w:szCs w:val="21"/>
                    </w:rPr>
                    <w:t>3.0375</w:t>
                  </w:r>
                </w:p>
              </w:tc>
              <w:tc>
                <w:tcPr>
                  <w:tcW w:w="513" w:type="pct"/>
                  <w:vAlign w:val="center"/>
                </w:tcPr>
                <w:p w14:paraId="04BF05BE">
                  <w:pPr>
                    <w:jc w:val="center"/>
                    <w:rPr>
                      <w:color w:val="auto"/>
                      <w:szCs w:val="21"/>
                    </w:rPr>
                  </w:pPr>
                  <w:r>
                    <w:rPr>
                      <w:rFonts w:hint="eastAsia"/>
                      <w:color w:val="auto"/>
                      <w:szCs w:val="21"/>
                    </w:rPr>
                    <w:t>1.7091</w:t>
                  </w:r>
                </w:p>
              </w:tc>
              <w:tc>
                <w:tcPr>
                  <w:tcW w:w="555" w:type="pct"/>
                  <w:vAlign w:val="center"/>
                </w:tcPr>
                <w:p w14:paraId="5EAF41FC">
                  <w:pPr>
                    <w:jc w:val="center"/>
                    <w:rPr>
                      <w:color w:val="auto"/>
                    </w:rPr>
                  </w:pPr>
                  <w:r>
                    <w:rPr>
                      <w:rFonts w:hint="eastAsia"/>
                      <w:color w:val="auto"/>
                      <w:szCs w:val="21"/>
                    </w:rPr>
                    <w:t>1.3284</w:t>
                  </w:r>
                </w:p>
              </w:tc>
              <w:tc>
                <w:tcPr>
                  <w:tcW w:w="583" w:type="pct"/>
                  <w:vAlign w:val="center"/>
                </w:tcPr>
                <w:p w14:paraId="259F82FC">
                  <w:pPr>
                    <w:jc w:val="center"/>
                    <w:rPr>
                      <w:color w:val="auto"/>
                    </w:rPr>
                  </w:pPr>
                  <w:r>
                    <w:rPr>
                      <w:rFonts w:hint="eastAsia"/>
                      <w:color w:val="auto"/>
                      <w:szCs w:val="21"/>
                    </w:rPr>
                    <w:t>1.3284</w:t>
                  </w:r>
                </w:p>
              </w:tc>
              <w:tc>
                <w:tcPr>
                  <w:tcW w:w="668" w:type="pct"/>
                  <w:vAlign w:val="center"/>
                </w:tcPr>
                <w:p w14:paraId="02844568">
                  <w:pPr>
                    <w:jc w:val="center"/>
                    <w:rPr>
                      <w:color w:val="auto"/>
                    </w:rPr>
                  </w:pPr>
                  <w:r>
                    <w:rPr>
                      <w:rFonts w:hint="eastAsia"/>
                      <w:color w:val="auto"/>
                      <w:szCs w:val="21"/>
                    </w:rPr>
                    <w:t>/</w:t>
                  </w:r>
                </w:p>
              </w:tc>
              <w:tc>
                <w:tcPr>
                  <w:tcW w:w="795" w:type="pct"/>
                  <w:vAlign w:val="center"/>
                </w:tcPr>
                <w:p w14:paraId="12199777">
                  <w:pPr>
                    <w:jc w:val="center"/>
                    <w:rPr>
                      <w:color w:val="auto"/>
                    </w:rPr>
                  </w:pPr>
                  <w:r>
                    <w:rPr>
                      <w:rFonts w:hint="eastAsia"/>
                      <w:color w:val="auto"/>
                      <w:szCs w:val="21"/>
                    </w:rPr>
                    <w:t>1.3284</w:t>
                  </w:r>
                </w:p>
              </w:tc>
            </w:tr>
            <w:tr w14:paraId="5D3A6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1B876DCA">
                  <w:pPr>
                    <w:adjustRightInd w:val="0"/>
                    <w:snapToGrid w:val="0"/>
                    <w:jc w:val="center"/>
                    <w:rPr>
                      <w:color w:val="auto"/>
                    </w:rPr>
                  </w:pPr>
                </w:p>
              </w:tc>
              <w:tc>
                <w:tcPr>
                  <w:tcW w:w="1065" w:type="pct"/>
                  <w:gridSpan w:val="2"/>
                  <w:vAlign w:val="center"/>
                </w:tcPr>
                <w:p w14:paraId="0C850800">
                  <w:pPr>
                    <w:autoSpaceDE w:val="0"/>
                    <w:autoSpaceDN w:val="0"/>
                    <w:adjustRightInd w:val="0"/>
                    <w:jc w:val="center"/>
                    <w:rPr>
                      <w:color w:val="auto"/>
                    </w:rPr>
                  </w:pPr>
                  <w:r>
                    <w:rPr>
                      <w:color w:val="auto"/>
                      <w:szCs w:val="21"/>
                    </w:rPr>
                    <w:t>TP</w:t>
                  </w:r>
                </w:p>
              </w:tc>
              <w:tc>
                <w:tcPr>
                  <w:tcW w:w="554" w:type="pct"/>
                  <w:vAlign w:val="center"/>
                </w:tcPr>
                <w:p w14:paraId="5EBB691B">
                  <w:pPr>
                    <w:jc w:val="center"/>
                    <w:rPr>
                      <w:color w:val="auto"/>
                      <w:szCs w:val="21"/>
                    </w:rPr>
                  </w:pPr>
                  <w:r>
                    <w:rPr>
                      <w:rFonts w:hint="eastAsia"/>
                      <w:color w:val="auto"/>
                      <w:szCs w:val="21"/>
                    </w:rPr>
                    <w:t>0.0544</w:t>
                  </w:r>
                </w:p>
              </w:tc>
              <w:tc>
                <w:tcPr>
                  <w:tcW w:w="513" w:type="pct"/>
                  <w:vAlign w:val="center"/>
                </w:tcPr>
                <w:p w14:paraId="722E17B9">
                  <w:pPr>
                    <w:jc w:val="center"/>
                    <w:rPr>
                      <w:color w:val="auto"/>
                      <w:szCs w:val="21"/>
                    </w:rPr>
                  </w:pPr>
                  <w:r>
                    <w:rPr>
                      <w:rFonts w:hint="eastAsia"/>
                      <w:color w:val="auto"/>
                      <w:szCs w:val="21"/>
                    </w:rPr>
                    <w:t>0.0222</w:t>
                  </w:r>
                </w:p>
              </w:tc>
              <w:tc>
                <w:tcPr>
                  <w:tcW w:w="555" w:type="pct"/>
                  <w:vAlign w:val="center"/>
                </w:tcPr>
                <w:p w14:paraId="12037D07">
                  <w:pPr>
                    <w:jc w:val="center"/>
                    <w:rPr>
                      <w:color w:val="auto"/>
                    </w:rPr>
                  </w:pPr>
                  <w:r>
                    <w:rPr>
                      <w:rFonts w:hint="eastAsia"/>
                      <w:color w:val="auto"/>
                      <w:szCs w:val="21"/>
                    </w:rPr>
                    <w:t>0.0322</w:t>
                  </w:r>
                </w:p>
              </w:tc>
              <w:tc>
                <w:tcPr>
                  <w:tcW w:w="583" w:type="pct"/>
                  <w:vAlign w:val="center"/>
                </w:tcPr>
                <w:p w14:paraId="52B3B8FD">
                  <w:pPr>
                    <w:jc w:val="center"/>
                    <w:rPr>
                      <w:color w:val="auto"/>
                    </w:rPr>
                  </w:pPr>
                  <w:r>
                    <w:rPr>
                      <w:rFonts w:hint="eastAsia"/>
                      <w:color w:val="auto"/>
                      <w:szCs w:val="21"/>
                    </w:rPr>
                    <w:t>0.0322</w:t>
                  </w:r>
                </w:p>
              </w:tc>
              <w:tc>
                <w:tcPr>
                  <w:tcW w:w="668" w:type="pct"/>
                  <w:vAlign w:val="center"/>
                </w:tcPr>
                <w:p w14:paraId="12DD00BC">
                  <w:pPr>
                    <w:jc w:val="center"/>
                    <w:rPr>
                      <w:color w:val="auto"/>
                    </w:rPr>
                  </w:pPr>
                  <w:r>
                    <w:rPr>
                      <w:rFonts w:hint="eastAsia"/>
                      <w:color w:val="auto"/>
                      <w:szCs w:val="21"/>
                    </w:rPr>
                    <w:t>/</w:t>
                  </w:r>
                </w:p>
              </w:tc>
              <w:tc>
                <w:tcPr>
                  <w:tcW w:w="795" w:type="pct"/>
                  <w:vAlign w:val="center"/>
                </w:tcPr>
                <w:p w14:paraId="7A19EB05">
                  <w:pPr>
                    <w:jc w:val="center"/>
                    <w:rPr>
                      <w:color w:val="auto"/>
                    </w:rPr>
                  </w:pPr>
                  <w:r>
                    <w:rPr>
                      <w:rFonts w:hint="eastAsia"/>
                      <w:color w:val="auto"/>
                      <w:szCs w:val="21"/>
                    </w:rPr>
                    <w:t>0.0322</w:t>
                  </w:r>
                </w:p>
              </w:tc>
            </w:tr>
            <w:tr w14:paraId="43EF1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43DFA1C9">
                  <w:pPr>
                    <w:adjustRightInd w:val="0"/>
                    <w:snapToGrid w:val="0"/>
                    <w:jc w:val="center"/>
                    <w:rPr>
                      <w:color w:val="auto"/>
                    </w:rPr>
                  </w:pPr>
                </w:p>
              </w:tc>
              <w:tc>
                <w:tcPr>
                  <w:tcW w:w="1065" w:type="pct"/>
                  <w:gridSpan w:val="2"/>
                  <w:vAlign w:val="center"/>
                </w:tcPr>
                <w:p w14:paraId="02D8F110">
                  <w:pPr>
                    <w:autoSpaceDE w:val="0"/>
                    <w:autoSpaceDN w:val="0"/>
                    <w:adjustRightInd w:val="0"/>
                    <w:jc w:val="center"/>
                    <w:rPr>
                      <w:color w:val="auto"/>
                    </w:rPr>
                  </w:pPr>
                  <w:r>
                    <w:rPr>
                      <w:rFonts w:hint="eastAsia"/>
                      <w:color w:val="auto"/>
                      <w:szCs w:val="21"/>
                    </w:rPr>
                    <w:t>石油类</w:t>
                  </w:r>
                </w:p>
              </w:tc>
              <w:tc>
                <w:tcPr>
                  <w:tcW w:w="554" w:type="pct"/>
                  <w:vAlign w:val="center"/>
                </w:tcPr>
                <w:p w14:paraId="6D3E311A">
                  <w:pPr>
                    <w:jc w:val="center"/>
                    <w:rPr>
                      <w:color w:val="auto"/>
                      <w:szCs w:val="21"/>
                    </w:rPr>
                  </w:pPr>
                  <w:r>
                    <w:rPr>
                      <w:rFonts w:hint="eastAsia"/>
                      <w:color w:val="auto"/>
                      <w:szCs w:val="21"/>
                    </w:rPr>
                    <w:t>0.31725</w:t>
                  </w:r>
                </w:p>
              </w:tc>
              <w:tc>
                <w:tcPr>
                  <w:tcW w:w="513" w:type="pct"/>
                  <w:vAlign w:val="center"/>
                </w:tcPr>
                <w:p w14:paraId="353150EC">
                  <w:pPr>
                    <w:jc w:val="center"/>
                    <w:rPr>
                      <w:color w:val="auto"/>
                      <w:szCs w:val="21"/>
                    </w:rPr>
                  </w:pPr>
                  <w:r>
                    <w:rPr>
                      <w:rFonts w:hint="eastAsia"/>
                      <w:color w:val="auto"/>
                      <w:szCs w:val="21"/>
                    </w:rPr>
                    <w:t>0.19035</w:t>
                  </w:r>
                </w:p>
              </w:tc>
              <w:tc>
                <w:tcPr>
                  <w:tcW w:w="555" w:type="pct"/>
                  <w:vAlign w:val="center"/>
                </w:tcPr>
                <w:p w14:paraId="052A259A">
                  <w:pPr>
                    <w:jc w:val="center"/>
                    <w:rPr>
                      <w:color w:val="auto"/>
                    </w:rPr>
                  </w:pPr>
                  <w:r>
                    <w:rPr>
                      <w:rFonts w:hint="eastAsia"/>
                      <w:color w:val="auto"/>
                      <w:szCs w:val="21"/>
                    </w:rPr>
                    <w:t>0.1269</w:t>
                  </w:r>
                </w:p>
              </w:tc>
              <w:tc>
                <w:tcPr>
                  <w:tcW w:w="583" w:type="pct"/>
                  <w:vAlign w:val="center"/>
                </w:tcPr>
                <w:p w14:paraId="3B91E8EC">
                  <w:pPr>
                    <w:jc w:val="center"/>
                    <w:rPr>
                      <w:color w:val="auto"/>
                    </w:rPr>
                  </w:pPr>
                  <w:r>
                    <w:rPr>
                      <w:rFonts w:hint="eastAsia"/>
                      <w:color w:val="auto"/>
                      <w:szCs w:val="21"/>
                    </w:rPr>
                    <w:t>0.1269</w:t>
                  </w:r>
                </w:p>
              </w:tc>
              <w:tc>
                <w:tcPr>
                  <w:tcW w:w="668" w:type="pct"/>
                  <w:vAlign w:val="center"/>
                </w:tcPr>
                <w:p w14:paraId="6FA4EC3D">
                  <w:pPr>
                    <w:jc w:val="center"/>
                    <w:rPr>
                      <w:color w:val="auto"/>
                    </w:rPr>
                  </w:pPr>
                  <w:r>
                    <w:rPr>
                      <w:rFonts w:hint="eastAsia"/>
                      <w:color w:val="auto"/>
                      <w:szCs w:val="21"/>
                    </w:rPr>
                    <w:t>/</w:t>
                  </w:r>
                </w:p>
              </w:tc>
              <w:tc>
                <w:tcPr>
                  <w:tcW w:w="795" w:type="pct"/>
                  <w:vAlign w:val="center"/>
                </w:tcPr>
                <w:p w14:paraId="1032CB78">
                  <w:pPr>
                    <w:jc w:val="center"/>
                    <w:rPr>
                      <w:color w:val="auto"/>
                    </w:rPr>
                  </w:pPr>
                  <w:r>
                    <w:rPr>
                      <w:rFonts w:hint="eastAsia"/>
                      <w:color w:val="auto"/>
                      <w:szCs w:val="21"/>
                    </w:rPr>
                    <w:t>0.1269</w:t>
                  </w:r>
                </w:p>
              </w:tc>
            </w:tr>
            <w:tr w14:paraId="43415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67DC7EC5">
                  <w:pPr>
                    <w:adjustRightInd w:val="0"/>
                    <w:snapToGrid w:val="0"/>
                    <w:jc w:val="center"/>
                    <w:rPr>
                      <w:color w:val="auto"/>
                    </w:rPr>
                  </w:pPr>
                </w:p>
              </w:tc>
              <w:tc>
                <w:tcPr>
                  <w:tcW w:w="1065" w:type="pct"/>
                  <w:gridSpan w:val="2"/>
                  <w:vAlign w:val="center"/>
                </w:tcPr>
                <w:p w14:paraId="6EA6601E">
                  <w:pPr>
                    <w:autoSpaceDE w:val="0"/>
                    <w:autoSpaceDN w:val="0"/>
                    <w:adjustRightInd w:val="0"/>
                    <w:jc w:val="center"/>
                    <w:rPr>
                      <w:color w:val="auto"/>
                    </w:rPr>
                  </w:pPr>
                  <w:r>
                    <w:rPr>
                      <w:rFonts w:hint="eastAsia"/>
                      <w:color w:val="auto"/>
                      <w:kern w:val="0"/>
                      <w:szCs w:val="21"/>
                      <w:lang w:bidi="ar"/>
                    </w:rPr>
                    <w:t>LAS</w:t>
                  </w:r>
                </w:p>
              </w:tc>
              <w:tc>
                <w:tcPr>
                  <w:tcW w:w="554" w:type="pct"/>
                  <w:vAlign w:val="center"/>
                </w:tcPr>
                <w:p w14:paraId="5CC2B4D4">
                  <w:pPr>
                    <w:jc w:val="center"/>
                    <w:rPr>
                      <w:color w:val="auto"/>
                      <w:szCs w:val="21"/>
                    </w:rPr>
                  </w:pPr>
                  <w:r>
                    <w:rPr>
                      <w:rFonts w:hint="eastAsia"/>
                      <w:color w:val="auto"/>
                      <w:szCs w:val="21"/>
                    </w:rPr>
                    <w:t>0.19035</w:t>
                  </w:r>
                </w:p>
              </w:tc>
              <w:tc>
                <w:tcPr>
                  <w:tcW w:w="513" w:type="pct"/>
                  <w:vAlign w:val="center"/>
                </w:tcPr>
                <w:p w14:paraId="454C1897">
                  <w:pPr>
                    <w:jc w:val="center"/>
                    <w:rPr>
                      <w:color w:val="auto"/>
                      <w:szCs w:val="21"/>
                    </w:rPr>
                  </w:pPr>
                  <w:r>
                    <w:rPr>
                      <w:rFonts w:hint="eastAsia"/>
                      <w:color w:val="auto"/>
                      <w:szCs w:val="21"/>
                    </w:rPr>
                    <w:t>0.09515</w:t>
                  </w:r>
                </w:p>
              </w:tc>
              <w:tc>
                <w:tcPr>
                  <w:tcW w:w="555" w:type="pct"/>
                  <w:vAlign w:val="center"/>
                </w:tcPr>
                <w:p w14:paraId="1E3F7C11">
                  <w:pPr>
                    <w:jc w:val="center"/>
                    <w:rPr>
                      <w:color w:val="auto"/>
                    </w:rPr>
                  </w:pPr>
                  <w:r>
                    <w:rPr>
                      <w:rFonts w:hint="eastAsia"/>
                      <w:color w:val="auto"/>
                      <w:szCs w:val="21"/>
                    </w:rPr>
                    <w:t>0.0952</w:t>
                  </w:r>
                </w:p>
              </w:tc>
              <w:tc>
                <w:tcPr>
                  <w:tcW w:w="583" w:type="pct"/>
                  <w:vAlign w:val="center"/>
                </w:tcPr>
                <w:p w14:paraId="05AAA371">
                  <w:pPr>
                    <w:jc w:val="center"/>
                    <w:rPr>
                      <w:color w:val="auto"/>
                    </w:rPr>
                  </w:pPr>
                  <w:r>
                    <w:rPr>
                      <w:rFonts w:hint="eastAsia"/>
                      <w:color w:val="auto"/>
                      <w:szCs w:val="21"/>
                    </w:rPr>
                    <w:t>0.0952</w:t>
                  </w:r>
                </w:p>
              </w:tc>
              <w:tc>
                <w:tcPr>
                  <w:tcW w:w="668" w:type="pct"/>
                  <w:vAlign w:val="center"/>
                </w:tcPr>
                <w:p w14:paraId="688A7CBD">
                  <w:pPr>
                    <w:jc w:val="center"/>
                    <w:rPr>
                      <w:color w:val="auto"/>
                    </w:rPr>
                  </w:pPr>
                  <w:r>
                    <w:rPr>
                      <w:rFonts w:hint="eastAsia"/>
                      <w:color w:val="auto"/>
                      <w:szCs w:val="21"/>
                    </w:rPr>
                    <w:t>/</w:t>
                  </w:r>
                </w:p>
              </w:tc>
              <w:tc>
                <w:tcPr>
                  <w:tcW w:w="795" w:type="pct"/>
                  <w:vAlign w:val="center"/>
                </w:tcPr>
                <w:p w14:paraId="693DAC98">
                  <w:pPr>
                    <w:jc w:val="center"/>
                    <w:rPr>
                      <w:color w:val="auto"/>
                    </w:rPr>
                  </w:pPr>
                  <w:r>
                    <w:rPr>
                      <w:rFonts w:hint="eastAsia"/>
                      <w:color w:val="auto"/>
                      <w:szCs w:val="21"/>
                    </w:rPr>
                    <w:t>0.0952</w:t>
                  </w:r>
                </w:p>
              </w:tc>
            </w:tr>
            <w:tr w14:paraId="27238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0045CB74">
                  <w:pPr>
                    <w:adjustRightInd w:val="0"/>
                    <w:snapToGrid w:val="0"/>
                    <w:jc w:val="center"/>
                    <w:rPr>
                      <w:color w:val="auto"/>
                    </w:rPr>
                  </w:pPr>
                </w:p>
              </w:tc>
              <w:tc>
                <w:tcPr>
                  <w:tcW w:w="1065" w:type="pct"/>
                  <w:gridSpan w:val="2"/>
                  <w:vAlign w:val="center"/>
                </w:tcPr>
                <w:p w14:paraId="4DBD8715">
                  <w:pPr>
                    <w:widowControl/>
                    <w:adjustRightInd w:val="0"/>
                    <w:snapToGrid w:val="0"/>
                    <w:spacing w:line="240" w:lineRule="atLeast"/>
                    <w:jc w:val="center"/>
                    <w:textAlignment w:val="center"/>
                    <w:rPr>
                      <w:color w:val="auto"/>
                      <w:kern w:val="0"/>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554" w:type="pct"/>
                  <w:vAlign w:val="center"/>
                </w:tcPr>
                <w:p w14:paraId="045E5260">
                  <w:pPr>
                    <w:jc w:val="center"/>
                    <w:rPr>
                      <w:color w:val="auto"/>
                      <w:szCs w:val="21"/>
                    </w:rPr>
                  </w:pPr>
                  <w:r>
                    <w:rPr>
                      <w:rFonts w:hint="eastAsia"/>
                      <w:color w:val="auto"/>
                      <w:szCs w:val="21"/>
                    </w:rPr>
                    <w:t>0.4239</w:t>
                  </w:r>
                </w:p>
              </w:tc>
              <w:tc>
                <w:tcPr>
                  <w:tcW w:w="513" w:type="pct"/>
                  <w:vAlign w:val="center"/>
                </w:tcPr>
                <w:p w14:paraId="3FC4A7B7">
                  <w:pPr>
                    <w:jc w:val="center"/>
                    <w:rPr>
                      <w:color w:val="auto"/>
                      <w:szCs w:val="21"/>
                    </w:rPr>
                  </w:pPr>
                  <w:r>
                    <w:rPr>
                      <w:rFonts w:hint="eastAsia"/>
                      <w:color w:val="auto"/>
                      <w:szCs w:val="21"/>
                    </w:rPr>
                    <w:t>0.0882</w:t>
                  </w:r>
                </w:p>
              </w:tc>
              <w:tc>
                <w:tcPr>
                  <w:tcW w:w="555" w:type="pct"/>
                  <w:vAlign w:val="center"/>
                </w:tcPr>
                <w:p w14:paraId="4E73C57B">
                  <w:pPr>
                    <w:jc w:val="center"/>
                    <w:rPr>
                      <w:color w:val="auto"/>
                      <w:szCs w:val="21"/>
                    </w:rPr>
                  </w:pPr>
                  <w:r>
                    <w:rPr>
                      <w:rFonts w:hint="eastAsia"/>
                      <w:color w:val="auto"/>
                      <w:szCs w:val="21"/>
                    </w:rPr>
                    <w:t>0.3357</w:t>
                  </w:r>
                </w:p>
              </w:tc>
              <w:tc>
                <w:tcPr>
                  <w:tcW w:w="583" w:type="pct"/>
                  <w:vAlign w:val="center"/>
                </w:tcPr>
                <w:p w14:paraId="19E5C2A2">
                  <w:pPr>
                    <w:jc w:val="center"/>
                    <w:rPr>
                      <w:color w:val="auto"/>
                      <w:szCs w:val="21"/>
                    </w:rPr>
                  </w:pPr>
                  <w:r>
                    <w:rPr>
                      <w:rFonts w:hint="eastAsia"/>
                      <w:color w:val="auto"/>
                      <w:szCs w:val="21"/>
                    </w:rPr>
                    <w:t>0.3357</w:t>
                  </w:r>
                </w:p>
              </w:tc>
              <w:tc>
                <w:tcPr>
                  <w:tcW w:w="668" w:type="pct"/>
                  <w:vAlign w:val="center"/>
                </w:tcPr>
                <w:p w14:paraId="105047CA">
                  <w:pPr>
                    <w:jc w:val="center"/>
                    <w:rPr>
                      <w:color w:val="auto"/>
                      <w:szCs w:val="21"/>
                    </w:rPr>
                  </w:pPr>
                  <w:r>
                    <w:rPr>
                      <w:rFonts w:hint="eastAsia"/>
                      <w:color w:val="auto"/>
                      <w:szCs w:val="21"/>
                    </w:rPr>
                    <w:t>/</w:t>
                  </w:r>
                </w:p>
              </w:tc>
              <w:tc>
                <w:tcPr>
                  <w:tcW w:w="795" w:type="pct"/>
                  <w:vAlign w:val="center"/>
                </w:tcPr>
                <w:p w14:paraId="43EE8204">
                  <w:pPr>
                    <w:jc w:val="center"/>
                    <w:rPr>
                      <w:color w:val="auto"/>
                      <w:szCs w:val="21"/>
                    </w:rPr>
                  </w:pPr>
                  <w:r>
                    <w:rPr>
                      <w:rFonts w:hint="eastAsia"/>
                      <w:color w:val="auto"/>
                      <w:szCs w:val="21"/>
                    </w:rPr>
                    <w:t>0.3357</w:t>
                  </w:r>
                </w:p>
              </w:tc>
            </w:tr>
            <w:tr w14:paraId="146D6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59B4DD7B">
                  <w:pPr>
                    <w:adjustRightInd w:val="0"/>
                    <w:snapToGrid w:val="0"/>
                    <w:jc w:val="center"/>
                    <w:rPr>
                      <w:color w:val="auto"/>
                    </w:rPr>
                  </w:pPr>
                </w:p>
              </w:tc>
              <w:tc>
                <w:tcPr>
                  <w:tcW w:w="1065" w:type="pct"/>
                  <w:gridSpan w:val="2"/>
                  <w:vAlign w:val="center"/>
                </w:tcPr>
                <w:p w14:paraId="6165C0FC">
                  <w:pPr>
                    <w:widowControl/>
                    <w:adjustRightInd w:val="0"/>
                    <w:snapToGrid w:val="0"/>
                    <w:spacing w:line="240" w:lineRule="atLeast"/>
                    <w:jc w:val="center"/>
                    <w:textAlignment w:val="center"/>
                    <w:rPr>
                      <w:color w:val="auto"/>
                      <w:kern w:val="0"/>
                      <w:lang w:bidi="ar"/>
                    </w:rPr>
                  </w:pPr>
                  <w:r>
                    <w:rPr>
                      <w:color w:val="auto"/>
                      <w:kern w:val="0"/>
                      <w:szCs w:val="21"/>
                      <w:lang w:bidi="ar"/>
                    </w:rPr>
                    <w:t>TN</w:t>
                  </w:r>
                </w:p>
              </w:tc>
              <w:tc>
                <w:tcPr>
                  <w:tcW w:w="554" w:type="pct"/>
                  <w:vAlign w:val="center"/>
                </w:tcPr>
                <w:p w14:paraId="43E5B423">
                  <w:pPr>
                    <w:jc w:val="center"/>
                    <w:rPr>
                      <w:color w:val="auto"/>
                      <w:szCs w:val="21"/>
                    </w:rPr>
                  </w:pPr>
                  <w:r>
                    <w:rPr>
                      <w:rFonts w:hint="eastAsia"/>
                      <w:color w:val="auto"/>
                      <w:szCs w:val="21"/>
                    </w:rPr>
                    <w:t>0.2268</w:t>
                  </w:r>
                </w:p>
              </w:tc>
              <w:tc>
                <w:tcPr>
                  <w:tcW w:w="513" w:type="pct"/>
                  <w:vAlign w:val="center"/>
                </w:tcPr>
                <w:p w14:paraId="6DEF3FA4">
                  <w:pPr>
                    <w:jc w:val="center"/>
                    <w:rPr>
                      <w:color w:val="auto"/>
                      <w:szCs w:val="21"/>
                    </w:rPr>
                  </w:pPr>
                  <w:r>
                    <w:rPr>
                      <w:rFonts w:hint="eastAsia"/>
                      <w:color w:val="auto"/>
                      <w:szCs w:val="21"/>
                    </w:rPr>
                    <w:t>0</w:t>
                  </w:r>
                </w:p>
              </w:tc>
              <w:tc>
                <w:tcPr>
                  <w:tcW w:w="555" w:type="pct"/>
                  <w:vAlign w:val="center"/>
                </w:tcPr>
                <w:p w14:paraId="42954B22">
                  <w:pPr>
                    <w:jc w:val="center"/>
                    <w:rPr>
                      <w:color w:val="auto"/>
                      <w:szCs w:val="21"/>
                    </w:rPr>
                  </w:pPr>
                  <w:r>
                    <w:rPr>
                      <w:rFonts w:hint="eastAsia"/>
                      <w:color w:val="auto"/>
                      <w:szCs w:val="21"/>
                    </w:rPr>
                    <w:t>0.2268</w:t>
                  </w:r>
                </w:p>
              </w:tc>
              <w:tc>
                <w:tcPr>
                  <w:tcW w:w="583" w:type="pct"/>
                  <w:vAlign w:val="center"/>
                </w:tcPr>
                <w:p w14:paraId="21AEC55F">
                  <w:pPr>
                    <w:jc w:val="center"/>
                    <w:rPr>
                      <w:color w:val="auto"/>
                      <w:szCs w:val="21"/>
                    </w:rPr>
                  </w:pPr>
                  <w:r>
                    <w:rPr>
                      <w:rFonts w:hint="eastAsia"/>
                      <w:color w:val="auto"/>
                      <w:szCs w:val="21"/>
                    </w:rPr>
                    <w:t>0.2268</w:t>
                  </w:r>
                </w:p>
              </w:tc>
              <w:tc>
                <w:tcPr>
                  <w:tcW w:w="668" w:type="pct"/>
                  <w:vAlign w:val="center"/>
                </w:tcPr>
                <w:p w14:paraId="1818BDFF">
                  <w:pPr>
                    <w:jc w:val="center"/>
                    <w:rPr>
                      <w:color w:val="auto"/>
                      <w:szCs w:val="21"/>
                    </w:rPr>
                  </w:pPr>
                  <w:r>
                    <w:rPr>
                      <w:rFonts w:hint="eastAsia"/>
                      <w:color w:val="auto"/>
                      <w:szCs w:val="21"/>
                    </w:rPr>
                    <w:t>/</w:t>
                  </w:r>
                </w:p>
              </w:tc>
              <w:tc>
                <w:tcPr>
                  <w:tcW w:w="795" w:type="pct"/>
                  <w:vAlign w:val="center"/>
                </w:tcPr>
                <w:p w14:paraId="096E41C3">
                  <w:pPr>
                    <w:jc w:val="center"/>
                    <w:rPr>
                      <w:color w:val="auto"/>
                      <w:szCs w:val="21"/>
                    </w:rPr>
                  </w:pPr>
                  <w:r>
                    <w:rPr>
                      <w:rFonts w:hint="eastAsia"/>
                      <w:color w:val="auto"/>
                      <w:szCs w:val="21"/>
                    </w:rPr>
                    <w:t>0.2268</w:t>
                  </w:r>
                </w:p>
              </w:tc>
            </w:tr>
            <w:tr w14:paraId="3FF49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3BC3C562">
                  <w:pPr>
                    <w:adjustRightInd w:val="0"/>
                    <w:snapToGrid w:val="0"/>
                    <w:jc w:val="center"/>
                    <w:rPr>
                      <w:color w:val="auto"/>
                    </w:rPr>
                  </w:pPr>
                </w:p>
              </w:tc>
              <w:tc>
                <w:tcPr>
                  <w:tcW w:w="1065" w:type="pct"/>
                  <w:gridSpan w:val="2"/>
                  <w:vAlign w:val="center"/>
                </w:tcPr>
                <w:p w14:paraId="6594D5A4">
                  <w:pPr>
                    <w:widowControl/>
                    <w:adjustRightInd w:val="0"/>
                    <w:snapToGrid w:val="0"/>
                    <w:spacing w:line="240" w:lineRule="atLeast"/>
                    <w:jc w:val="center"/>
                    <w:textAlignment w:val="center"/>
                    <w:rPr>
                      <w:color w:val="auto"/>
                      <w:kern w:val="0"/>
                      <w:lang w:bidi="ar"/>
                    </w:rPr>
                  </w:pPr>
                  <w:r>
                    <w:rPr>
                      <w:color w:val="auto"/>
                      <w:kern w:val="0"/>
                      <w:szCs w:val="21"/>
                      <w:lang w:bidi="ar"/>
                    </w:rPr>
                    <w:t>动植物油</w:t>
                  </w:r>
                </w:p>
              </w:tc>
              <w:tc>
                <w:tcPr>
                  <w:tcW w:w="554" w:type="pct"/>
                  <w:vAlign w:val="center"/>
                </w:tcPr>
                <w:p w14:paraId="12B5AB21">
                  <w:pPr>
                    <w:jc w:val="center"/>
                    <w:rPr>
                      <w:color w:val="auto"/>
                      <w:szCs w:val="21"/>
                    </w:rPr>
                  </w:pPr>
                  <w:r>
                    <w:rPr>
                      <w:rFonts w:hint="eastAsia"/>
                      <w:color w:val="auto"/>
                      <w:szCs w:val="21"/>
                    </w:rPr>
                    <w:t>0.2592</w:t>
                  </w:r>
                </w:p>
              </w:tc>
              <w:tc>
                <w:tcPr>
                  <w:tcW w:w="513" w:type="pct"/>
                  <w:vAlign w:val="center"/>
                </w:tcPr>
                <w:p w14:paraId="1C6F41EB">
                  <w:pPr>
                    <w:jc w:val="center"/>
                    <w:rPr>
                      <w:color w:val="auto"/>
                      <w:szCs w:val="21"/>
                    </w:rPr>
                  </w:pPr>
                  <w:r>
                    <w:rPr>
                      <w:rFonts w:hint="eastAsia"/>
                      <w:color w:val="auto"/>
                      <w:szCs w:val="21"/>
                    </w:rPr>
                    <w:t>0.1296</w:t>
                  </w:r>
                </w:p>
              </w:tc>
              <w:tc>
                <w:tcPr>
                  <w:tcW w:w="555" w:type="pct"/>
                  <w:vAlign w:val="center"/>
                </w:tcPr>
                <w:p w14:paraId="20C87DE1">
                  <w:pPr>
                    <w:jc w:val="center"/>
                    <w:rPr>
                      <w:color w:val="auto"/>
                      <w:szCs w:val="21"/>
                    </w:rPr>
                  </w:pPr>
                  <w:r>
                    <w:rPr>
                      <w:rFonts w:hint="eastAsia"/>
                      <w:color w:val="auto"/>
                      <w:szCs w:val="21"/>
                    </w:rPr>
                    <w:t>0.1296</w:t>
                  </w:r>
                </w:p>
              </w:tc>
              <w:tc>
                <w:tcPr>
                  <w:tcW w:w="583" w:type="pct"/>
                  <w:vAlign w:val="center"/>
                </w:tcPr>
                <w:p w14:paraId="413239F8">
                  <w:pPr>
                    <w:jc w:val="center"/>
                    <w:rPr>
                      <w:color w:val="auto"/>
                      <w:szCs w:val="21"/>
                    </w:rPr>
                  </w:pPr>
                  <w:r>
                    <w:rPr>
                      <w:rFonts w:hint="eastAsia"/>
                      <w:color w:val="auto"/>
                      <w:szCs w:val="21"/>
                    </w:rPr>
                    <w:t>0.1296</w:t>
                  </w:r>
                </w:p>
              </w:tc>
              <w:tc>
                <w:tcPr>
                  <w:tcW w:w="668" w:type="pct"/>
                  <w:vAlign w:val="center"/>
                </w:tcPr>
                <w:p w14:paraId="29EECF0B">
                  <w:pPr>
                    <w:jc w:val="center"/>
                    <w:rPr>
                      <w:color w:val="auto"/>
                      <w:szCs w:val="21"/>
                    </w:rPr>
                  </w:pPr>
                  <w:r>
                    <w:rPr>
                      <w:rFonts w:hint="eastAsia"/>
                      <w:color w:val="auto"/>
                      <w:szCs w:val="21"/>
                    </w:rPr>
                    <w:t>/</w:t>
                  </w:r>
                </w:p>
              </w:tc>
              <w:tc>
                <w:tcPr>
                  <w:tcW w:w="795" w:type="pct"/>
                  <w:vAlign w:val="center"/>
                </w:tcPr>
                <w:p w14:paraId="297720EC">
                  <w:pPr>
                    <w:jc w:val="center"/>
                    <w:rPr>
                      <w:color w:val="auto"/>
                      <w:szCs w:val="21"/>
                    </w:rPr>
                  </w:pPr>
                  <w:r>
                    <w:rPr>
                      <w:rFonts w:hint="eastAsia"/>
                      <w:color w:val="auto"/>
                      <w:szCs w:val="21"/>
                    </w:rPr>
                    <w:t>0.1296</w:t>
                  </w:r>
                </w:p>
              </w:tc>
            </w:tr>
            <w:tr w14:paraId="5544C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262" w:type="pct"/>
                  <w:vMerge w:val="restart"/>
                  <w:vAlign w:val="center"/>
                </w:tcPr>
                <w:p w14:paraId="46321D01">
                  <w:pPr>
                    <w:adjustRightInd w:val="0"/>
                    <w:snapToGrid w:val="0"/>
                    <w:jc w:val="center"/>
                    <w:rPr>
                      <w:color w:val="auto"/>
                    </w:rPr>
                  </w:pPr>
                  <w:r>
                    <w:rPr>
                      <w:rFonts w:hint="eastAsia"/>
                      <w:color w:val="auto"/>
                    </w:rPr>
                    <w:t>废气</w:t>
                  </w:r>
                </w:p>
              </w:tc>
              <w:tc>
                <w:tcPr>
                  <w:tcW w:w="400" w:type="pct"/>
                  <w:vMerge w:val="restart"/>
                  <w:vAlign w:val="center"/>
                </w:tcPr>
                <w:p w14:paraId="53BBFF7F">
                  <w:pPr>
                    <w:pBdr>
                      <w:left w:val="single" w:color="auto" w:sz="4" w:space="0"/>
                    </w:pBdr>
                    <w:adjustRightInd w:val="0"/>
                    <w:snapToGrid w:val="0"/>
                    <w:jc w:val="center"/>
                    <w:rPr>
                      <w:color w:val="auto"/>
                    </w:rPr>
                  </w:pPr>
                  <w:r>
                    <w:rPr>
                      <w:rFonts w:hint="eastAsia"/>
                      <w:color w:val="auto"/>
                    </w:rPr>
                    <w:t>有组织</w:t>
                  </w:r>
                </w:p>
              </w:tc>
              <w:tc>
                <w:tcPr>
                  <w:tcW w:w="665" w:type="pct"/>
                  <w:vAlign w:val="center"/>
                </w:tcPr>
                <w:p w14:paraId="295DC557">
                  <w:pPr>
                    <w:adjustRightInd w:val="0"/>
                    <w:snapToGrid w:val="0"/>
                    <w:jc w:val="center"/>
                    <w:rPr>
                      <w:color w:val="auto"/>
                    </w:rPr>
                  </w:pPr>
                  <w:r>
                    <w:rPr>
                      <w:rFonts w:hint="eastAsia"/>
                      <w:color w:val="auto"/>
                    </w:rPr>
                    <w:t>非甲烷总烃</w:t>
                  </w:r>
                </w:p>
              </w:tc>
              <w:tc>
                <w:tcPr>
                  <w:tcW w:w="554" w:type="pct"/>
                  <w:vAlign w:val="center"/>
                </w:tcPr>
                <w:p w14:paraId="13E75E38">
                  <w:pPr>
                    <w:adjustRightInd w:val="0"/>
                    <w:snapToGrid w:val="0"/>
                    <w:jc w:val="center"/>
                    <w:rPr>
                      <w:rFonts w:hint="eastAsia" w:eastAsia="宋体"/>
                      <w:color w:val="auto"/>
                      <w:szCs w:val="21"/>
                      <w:lang w:eastAsia="zh-CN"/>
                    </w:rPr>
                  </w:pPr>
                  <w:r>
                    <w:rPr>
                      <w:rFonts w:hint="eastAsia"/>
                      <w:color w:val="auto"/>
                      <w:szCs w:val="21"/>
                      <w:lang w:eastAsia="zh-CN"/>
                    </w:rPr>
                    <w:t>2.80778</w:t>
                  </w:r>
                </w:p>
              </w:tc>
              <w:tc>
                <w:tcPr>
                  <w:tcW w:w="513" w:type="pct"/>
                  <w:vAlign w:val="center"/>
                </w:tcPr>
                <w:p w14:paraId="462EC331">
                  <w:pPr>
                    <w:jc w:val="center"/>
                    <w:rPr>
                      <w:rFonts w:hint="eastAsia" w:eastAsia="宋体"/>
                      <w:color w:val="auto"/>
                      <w:lang w:eastAsia="zh-CN"/>
                    </w:rPr>
                  </w:pPr>
                  <w:r>
                    <w:rPr>
                      <w:rFonts w:hint="eastAsia"/>
                      <w:color w:val="auto"/>
                      <w:szCs w:val="21"/>
                      <w:lang w:eastAsia="zh-CN"/>
                    </w:rPr>
                    <w:t>2.52703</w:t>
                  </w:r>
                </w:p>
              </w:tc>
              <w:tc>
                <w:tcPr>
                  <w:tcW w:w="555" w:type="pct"/>
                  <w:vAlign w:val="center"/>
                </w:tcPr>
                <w:p w14:paraId="0BABB7CB">
                  <w:pPr>
                    <w:adjustRightInd w:val="0"/>
                    <w:snapToGrid w:val="0"/>
                    <w:jc w:val="center"/>
                    <w:rPr>
                      <w:rFonts w:hint="eastAsia" w:eastAsia="宋体"/>
                      <w:color w:val="auto"/>
                      <w:lang w:eastAsia="zh-CN"/>
                    </w:rPr>
                  </w:pPr>
                  <w:r>
                    <w:rPr>
                      <w:rFonts w:hint="eastAsia"/>
                      <w:color w:val="auto"/>
                      <w:szCs w:val="21"/>
                      <w:lang w:eastAsia="zh-CN"/>
                    </w:rPr>
                    <w:t>0.28075</w:t>
                  </w:r>
                </w:p>
              </w:tc>
              <w:tc>
                <w:tcPr>
                  <w:tcW w:w="583" w:type="pct"/>
                  <w:vAlign w:val="center"/>
                </w:tcPr>
                <w:p w14:paraId="056F3F7A">
                  <w:pPr>
                    <w:widowControl/>
                    <w:spacing w:line="240" w:lineRule="exact"/>
                    <w:jc w:val="center"/>
                    <w:rPr>
                      <w:color w:val="auto"/>
                    </w:rPr>
                  </w:pPr>
                  <w:r>
                    <w:rPr>
                      <w:rFonts w:hint="eastAsia"/>
                      <w:color w:val="auto"/>
                    </w:rPr>
                    <w:t>/</w:t>
                  </w:r>
                </w:p>
              </w:tc>
              <w:tc>
                <w:tcPr>
                  <w:tcW w:w="668" w:type="pct"/>
                  <w:vAlign w:val="center"/>
                </w:tcPr>
                <w:p w14:paraId="50A6CE5A">
                  <w:pPr>
                    <w:adjustRightInd w:val="0"/>
                    <w:snapToGrid w:val="0"/>
                    <w:jc w:val="center"/>
                    <w:rPr>
                      <w:rFonts w:hint="eastAsia" w:eastAsia="宋体"/>
                      <w:color w:val="auto"/>
                      <w:kern w:val="0"/>
                      <w:szCs w:val="21"/>
                      <w:lang w:eastAsia="zh-CN"/>
                    </w:rPr>
                  </w:pPr>
                  <w:r>
                    <w:rPr>
                      <w:rFonts w:hint="eastAsia"/>
                      <w:color w:val="auto"/>
                      <w:szCs w:val="21"/>
                      <w:lang w:eastAsia="zh-CN"/>
                    </w:rPr>
                    <w:t>0.28075</w:t>
                  </w:r>
                </w:p>
              </w:tc>
              <w:tc>
                <w:tcPr>
                  <w:tcW w:w="795" w:type="pct"/>
                  <w:vAlign w:val="center"/>
                </w:tcPr>
                <w:p w14:paraId="767EACA6">
                  <w:pPr>
                    <w:adjustRightInd w:val="0"/>
                    <w:snapToGrid w:val="0"/>
                    <w:jc w:val="center"/>
                    <w:rPr>
                      <w:rFonts w:hint="eastAsia" w:eastAsia="宋体"/>
                      <w:color w:val="auto"/>
                      <w:lang w:eastAsia="zh-CN"/>
                    </w:rPr>
                  </w:pPr>
                  <w:r>
                    <w:rPr>
                      <w:rFonts w:hint="eastAsia"/>
                      <w:color w:val="auto"/>
                      <w:szCs w:val="21"/>
                      <w:lang w:eastAsia="zh-CN"/>
                    </w:rPr>
                    <w:t>0.28075</w:t>
                  </w:r>
                </w:p>
              </w:tc>
            </w:tr>
            <w:tr w14:paraId="22750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2E15A025">
                  <w:pPr>
                    <w:adjustRightInd w:val="0"/>
                    <w:snapToGrid w:val="0"/>
                    <w:jc w:val="center"/>
                    <w:rPr>
                      <w:color w:val="auto"/>
                    </w:rPr>
                  </w:pPr>
                </w:p>
              </w:tc>
              <w:tc>
                <w:tcPr>
                  <w:tcW w:w="400" w:type="pct"/>
                  <w:vMerge w:val="continue"/>
                  <w:vAlign w:val="center"/>
                </w:tcPr>
                <w:p w14:paraId="45B1AD9E">
                  <w:pPr>
                    <w:pBdr>
                      <w:left w:val="single" w:color="auto" w:sz="4" w:space="0"/>
                    </w:pBdr>
                    <w:adjustRightInd w:val="0"/>
                    <w:snapToGrid w:val="0"/>
                    <w:jc w:val="center"/>
                    <w:rPr>
                      <w:color w:val="auto"/>
                    </w:rPr>
                  </w:pPr>
                </w:p>
              </w:tc>
              <w:tc>
                <w:tcPr>
                  <w:tcW w:w="665" w:type="pct"/>
                  <w:vAlign w:val="center"/>
                </w:tcPr>
                <w:p w14:paraId="33155C4E">
                  <w:pPr>
                    <w:adjustRightInd w:val="0"/>
                    <w:snapToGrid w:val="0"/>
                    <w:jc w:val="center"/>
                    <w:rPr>
                      <w:color w:val="auto"/>
                    </w:rPr>
                  </w:pPr>
                  <w:r>
                    <w:rPr>
                      <w:rFonts w:hint="eastAsia"/>
                      <w:color w:val="auto"/>
                    </w:rPr>
                    <w:t>苯乙烯</w:t>
                  </w:r>
                </w:p>
              </w:tc>
              <w:tc>
                <w:tcPr>
                  <w:tcW w:w="554" w:type="pct"/>
                  <w:vAlign w:val="center"/>
                </w:tcPr>
                <w:p w14:paraId="7482ACA5">
                  <w:pPr>
                    <w:adjustRightInd w:val="0"/>
                    <w:snapToGrid w:val="0"/>
                    <w:jc w:val="center"/>
                    <w:rPr>
                      <w:color w:val="auto"/>
                      <w:szCs w:val="21"/>
                    </w:rPr>
                  </w:pPr>
                  <w:r>
                    <w:rPr>
                      <w:rFonts w:hint="eastAsia"/>
                      <w:color w:val="auto"/>
                      <w:szCs w:val="21"/>
                    </w:rPr>
                    <w:t>0.1514</w:t>
                  </w:r>
                </w:p>
              </w:tc>
              <w:tc>
                <w:tcPr>
                  <w:tcW w:w="513" w:type="pct"/>
                  <w:vAlign w:val="center"/>
                </w:tcPr>
                <w:p w14:paraId="2AE65915">
                  <w:pPr>
                    <w:jc w:val="center"/>
                    <w:rPr>
                      <w:color w:val="auto"/>
                      <w:szCs w:val="21"/>
                    </w:rPr>
                  </w:pPr>
                  <w:r>
                    <w:rPr>
                      <w:rFonts w:hint="eastAsia"/>
                      <w:color w:val="auto"/>
                      <w:szCs w:val="21"/>
                    </w:rPr>
                    <w:t>0.1363</w:t>
                  </w:r>
                </w:p>
              </w:tc>
              <w:tc>
                <w:tcPr>
                  <w:tcW w:w="555" w:type="pct"/>
                  <w:vAlign w:val="center"/>
                </w:tcPr>
                <w:p w14:paraId="63557EF1">
                  <w:pPr>
                    <w:adjustRightInd w:val="0"/>
                    <w:snapToGrid w:val="0"/>
                    <w:jc w:val="center"/>
                    <w:rPr>
                      <w:color w:val="auto"/>
                      <w:szCs w:val="21"/>
                    </w:rPr>
                  </w:pPr>
                  <w:r>
                    <w:rPr>
                      <w:rFonts w:hint="eastAsia"/>
                      <w:color w:val="auto"/>
                      <w:szCs w:val="21"/>
                    </w:rPr>
                    <w:t>0.0151</w:t>
                  </w:r>
                </w:p>
              </w:tc>
              <w:tc>
                <w:tcPr>
                  <w:tcW w:w="583" w:type="pct"/>
                  <w:vAlign w:val="center"/>
                </w:tcPr>
                <w:p w14:paraId="5558A399">
                  <w:pPr>
                    <w:widowControl/>
                    <w:spacing w:line="240" w:lineRule="exact"/>
                    <w:jc w:val="center"/>
                    <w:rPr>
                      <w:color w:val="auto"/>
                    </w:rPr>
                  </w:pPr>
                  <w:r>
                    <w:rPr>
                      <w:rFonts w:hint="eastAsia"/>
                      <w:color w:val="auto"/>
                    </w:rPr>
                    <w:t>/</w:t>
                  </w:r>
                </w:p>
              </w:tc>
              <w:tc>
                <w:tcPr>
                  <w:tcW w:w="668" w:type="pct"/>
                  <w:vAlign w:val="center"/>
                </w:tcPr>
                <w:p w14:paraId="7D1D1F5D">
                  <w:pPr>
                    <w:adjustRightInd w:val="0"/>
                    <w:snapToGrid w:val="0"/>
                    <w:jc w:val="center"/>
                    <w:rPr>
                      <w:color w:val="auto"/>
                      <w:szCs w:val="21"/>
                    </w:rPr>
                  </w:pPr>
                  <w:r>
                    <w:rPr>
                      <w:rFonts w:hint="eastAsia"/>
                      <w:color w:val="auto"/>
                      <w:szCs w:val="21"/>
                    </w:rPr>
                    <w:t>0.0151</w:t>
                  </w:r>
                </w:p>
              </w:tc>
              <w:tc>
                <w:tcPr>
                  <w:tcW w:w="795" w:type="pct"/>
                  <w:vAlign w:val="center"/>
                </w:tcPr>
                <w:p w14:paraId="6821CA0B">
                  <w:pPr>
                    <w:adjustRightInd w:val="0"/>
                    <w:snapToGrid w:val="0"/>
                    <w:jc w:val="center"/>
                    <w:rPr>
                      <w:color w:val="auto"/>
                      <w:szCs w:val="21"/>
                    </w:rPr>
                  </w:pPr>
                  <w:r>
                    <w:rPr>
                      <w:rFonts w:hint="eastAsia"/>
                      <w:color w:val="auto"/>
                      <w:szCs w:val="21"/>
                    </w:rPr>
                    <w:t>0.0151</w:t>
                  </w:r>
                </w:p>
              </w:tc>
            </w:tr>
            <w:tr w14:paraId="647DD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29F00FA7">
                  <w:pPr>
                    <w:adjustRightInd w:val="0"/>
                    <w:snapToGrid w:val="0"/>
                    <w:jc w:val="center"/>
                    <w:rPr>
                      <w:color w:val="auto"/>
                    </w:rPr>
                  </w:pPr>
                </w:p>
              </w:tc>
              <w:tc>
                <w:tcPr>
                  <w:tcW w:w="400" w:type="pct"/>
                  <w:vMerge w:val="continue"/>
                  <w:vAlign w:val="center"/>
                </w:tcPr>
                <w:p w14:paraId="385BD7D5">
                  <w:pPr>
                    <w:pBdr>
                      <w:left w:val="single" w:color="auto" w:sz="4" w:space="0"/>
                    </w:pBdr>
                    <w:adjustRightInd w:val="0"/>
                    <w:snapToGrid w:val="0"/>
                    <w:jc w:val="center"/>
                    <w:rPr>
                      <w:color w:val="auto"/>
                    </w:rPr>
                  </w:pPr>
                </w:p>
              </w:tc>
              <w:tc>
                <w:tcPr>
                  <w:tcW w:w="665" w:type="pct"/>
                  <w:vAlign w:val="center"/>
                </w:tcPr>
                <w:p w14:paraId="1239201D">
                  <w:pPr>
                    <w:adjustRightInd w:val="0"/>
                    <w:snapToGrid w:val="0"/>
                    <w:jc w:val="center"/>
                    <w:rPr>
                      <w:color w:val="auto"/>
                    </w:rPr>
                  </w:pPr>
                  <w:r>
                    <w:rPr>
                      <w:rFonts w:hint="eastAsia"/>
                      <w:color w:val="auto"/>
                      <w:lang w:eastAsia="zh-CN"/>
                    </w:rPr>
                    <w:t>二、</w:t>
                  </w:r>
                  <w:r>
                    <w:rPr>
                      <w:rFonts w:hint="eastAsia"/>
                      <w:color w:val="auto"/>
                    </w:rPr>
                    <w:t>甲苯</w:t>
                  </w:r>
                </w:p>
              </w:tc>
              <w:tc>
                <w:tcPr>
                  <w:tcW w:w="554" w:type="pct"/>
                  <w:vAlign w:val="center"/>
                </w:tcPr>
                <w:p w14:paraId="1A3D6D09">
                  <w:pPr>
                    <w:adjustRightInd w:val="0"/>
                    <w:snapToGrid w:val="0"/>
                    <w:jc w:val="center"/>
                    <w:rPr>
                      <w:color w:val="auto"/>
                      <w:szCs w:val="21"/>
                    </w:rPr>
                  </w:pPr>
                  <w:r>
                    <w:rPr>
                      <w:rFonts w:hint="eastAsia"/>
                      <w:color w:val="auto"/>
                      <w:szCs w:val="21"/>
                    </w:rPr>
                    <w:t>0.057</w:t>
                  </w:r>
                </w:p>
              </w:tc>
              <w:tc>
                <w:tcPr>
                  <w:tcW w:w="513" w:type="pct"/>
                  <w:vAlign w:val="center"/>
                </w:tcPr>
                <w:p w14:paraId="2F01903C">
                  <w:pPr>
                    <w:jc w:val="center"/>
                    <w:rPr>
                      <w:color w:val="auto"/>
                      <w:szCs w:val="21"/>
                    </w:rPr>
                  </w:pPr>
                  <w:r>
                    <w:rPr>
                      <w:rFonts w:hint="eastAsia"/>
                      <w:color w:val="auto"/>
                      <w:szCs w:val="21"/>
                    </w:rPr>
                    <w:t>0.0513</w:t>
                  </w:r>
                </w:p>
              </w:tc>
              <w:tc>
                <w:tcPr>
                  <w:tcW w:w="555" w:type="pct"/>
                  <w:vAlign w:val="center"/>
                </w:tcPr>
                <w:p w14:paraId="395B15F4">
                  <w:pPr>
                    <w:adjustRightInd w:val="0"/>
                    <w:snapToGrid w:val="0"/>
                    <w:jc w:val="center"/>
                    <w:rPr>
                      <w:color w:val="auto"/>
                      <w:szCs w:val="21"/>
                    </w:rPr>
                  </w:pPr>
                  <w:r>
                    <w:rPr>
                      <w:rFonts w:hint="eastAsia"/>
                      <w:color w:val="auto"/>
                      <w:szCs w:val="21"/>
                    </w:rPr>
                    <w:t>0.0057</w:t>
                  </w:r>
                </w:p>
              </w:tc>
              <w:tc>
                <w:tcPr>
                  <w:tcW w:w="583" w:type="pct"/>
                  <w:vAlign w:val="center"/>
                </w:tcPr>
                <w:p w14:paraId="37681704">
                  <w:pPr>
                    <w:widowControl/>
                    <w:spacing w:line="240" w:lineRule="exact"/>
                    <w:jc w:val="center"/>
                    <w:rPr>
                      <w:color w:val="auto"/>
                    </w:rPr>
                  </w:pPr>
                  <w:r>
                    <w:rPr>
                      <w:rFonts w:hint="eastAsia"/>
                      <w:color w:val="auto"/>
                    </w:rPr>
                    <w:t>/</w:t>
                  </w:r>
                </w:p>
              </w:tc>
              <w:tc>
                <w:tcPr>
                  <w:tcW w:w="668" w:type="pct"/>
                  <w:vAlign w:val="center"/>
                </w:tcPr>
                <w:p w14:paraId="6EF580DF">
                  <w:pPr>
                    <w:adjustRightInd w:val="0"/>
                    <w:snapToGrid w:val="0"/>
                    <w:jc w:val="center"/>
                    <w:rPr>
                      <w:color w:val="auto"/>
                      <w:szCs w:val="21"/>
                    </w:rPr>
                  </w:pPr>
                  <w:r>
                    <w:rPr>
                      <w:rFonts w:hint="eastAsia"/>
                      <w:color w:val="auto"/>
                      <w:szCs w:val="21"/>
                    </w:rPr>
                    <w:t>0.0057</w:t>
                  </w:r>
                </w:p>
              </w:tc>
              <w:tc>
                <w:tcPr>
                  <w:tcW w:w="795" w:type="pct"/>
                  <w:vAlign w:val="center"/>
                </w:tcPr>
                <w:p w14:paraId="23E5A253">
                  <w:pPr>
                    <w:adjustRightInd w:val="0"/>
                    <w:snapToGrid w:val="0"/>
                    <w:jc w:val="center"/>
                    <w:rPr>
                      <w:color w:val="auto"/>
                      <w:szCs w:val="21"/>
                    </w:rPr>
                  </w:pPr>
                  <w:r>
                    <w:rPr>
                      <w:rFonts w:hint="eastAsia"/>
                      <w:color w:val="auto"/>
                      <w:szCs w:val="21"/>
                    </w:rPr>
                    <w:t>0.0057</w:t>
                  </w:r>
                </w:p>
              </w:tc>
            </w:tr>
            <w:tr w14:paraId="281CA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3E54952B">
                  <w:pPr>
                    <w:adjustRightInd w:val="0"/>
                    <w:snapToGrid w:val="0"/>
                    <w:jc w:val="center"/>
                    <w:rPr>
                      <w:color w:val="auto"/>
                    </w:rPr>
                  </w:pPr>
                </w:p>
              </w:tc>
              <w:tc>
                <w:tcPr>
                  <w:tcW w:w="400" w:type="pct"/>
                  <w:vMerge w:val="continue"/>
                  <w:vAlign w:val="center"/>
                </w:tcPr>
                <w:p w14:paraId="457349A0">
                  <w:pPr>
                    <w:pBdr>
                      <w:left w:val="single" w:color="auto" w:sz="4" w:space="0"/>
                    </w:pBdr>
                    <w:adjustRightInd w:val="0"/>
                    <w:snapToGrid w:val="0"/>
                    <w:jc w:val="center"/>
                    <w:rPr>
                      <w:color w:val="auto"/>
                    </w:rPr>
                  </w:pPr>
                </w:p>
              </w:tc>
              <w:tc>
                <w:tcPr>
                  <w:tcW w:w="665" w:type="pct"/>
                  <w:vAlign w:val="center"/>
                </w:tcPr>
                <w:p w14:paraId="1C72A0FD">
                  <w:pPr>
                    <w:adjustRightInd w:val="0"/>
                    <w:snapToGrid w:val="0"/>
                    <w:jc w:val="center"/>
                    <w:rPr>
                      <w:color w:val="auto"/>
                    </w:rPr>
                  </w:pPr>
                  <w:r>
                    <w:rPr>
                      <w:rFonts w:hint="eastAsia"/>
                      <w:color w:val="auto"/>
                    </w:rPr>
                    <w:t>颗粒物</w:t>
                  </w:r>
                </w:p>
              </w:tc>
              <w:tc>
                <w:tcPr>
                  <w:tcW w:w="554" w:type="pct"/>
                  <w:vAlign w:val="center"/>
                </w:tcPr>
                <w:p w14:paraId="00B8E949">
                  <w:pPr>
                    <w:adjustRightInd w:val="0"/>
                    <w:snapToGrid w:val="0"/>
                    <w:jc w:val="center"/>
                    <w:rPr>
                      <w:rFonts w:hint="eastAsia" w:eastAsia="宋体"/>
                      <w:color w:val="auto"/>
                      <w:szCs w:val="21"/>
                      <w:lang w:eastAsia="zh-CN"/>
                    </w:rPr>
                  </w:pPr>
                  <w:r>
                    <w:rPr>
                      <w:rFonts w:hint="eastAsia"/>
                      <w:color w:val="auto"/>
                      <w:szCs w:val="21"/>
                      <w:lang w:eastAsia="zh-CN"/>
                    </w:rPr>
                    <w:t>7.75542</w:t>
                  </w:r>
                </w:p>
              </w:tc>
              <w:tc>
                <w:tcPr>
                  <w:tcW w:w="513" w:type="pct"/>
                  <w:vAlign w:val="center"/>
                </w:tcPr>
                <w:p w14:paraId="562C592D">
                  <w:pPr>
                    <w:jc w:val="center"/>
                    <w:rPr>
                      <w:rFonts w:hint="eastAsia" w:eastAsia="宋体"/>
                      <w:color w:val="auto"/>
                      <w:szCs w:val="21"/>
                      <w:lang w:eastAsia="zh-CN"/>
                    </w:rPr>
                  </w:pPr>
                  <w:r>
                    <w:rPr>
                      <w:rFonts w:hint="eastAsia"/>
                      <w:color w:val="auto"/>
                      <w:szCs w:val="21"/>
                      <w:lang w:eastAsia="zh-CN"/>
                    </w:rPr>
                    <w:t>7.29332</w:t>
                  </w:r>
                </w:p>
              </w:tc>
              <w:tc>
                <w:tcPr>
                  <w:tcW w:w="555" w:type="pct"/>
                  <w:vAlign w:val="center"/>
                </w:tcPr>
                <w:p w14:paraId="3BCCE45C">
                  <w:pPr>
                    <w:adjustRightInd w:val="0"/>
                    <w:snapToGrid w:val="0"/>
                    <w:jc w:val="center"/>
                    <w:rPr>
                      <w:rFonts w:hint="eastAsia" w:eastAsia="宋体"/>
                      <w:color w:val="auto"/>
                      <w:szCs w:val="21"/>
                      <w:lang w:eastAsia="zh-CN"/>
                    </w:rPr>
                  </w:pPr>
                  <w:r>
                    <w:rPr>
                      <w:rFonts w:hint="eastAsia"/>
                      <w:color w:val="auto"/>
                      <w:szCs w:val="21"/>
                      <w:lang w:eastAsia="zh-CN"/>
                    </w:rPr>
                    <w:t>0.4621</w:t>
                  </w:r>
                </w:p>
              </w:tc>
              <w:tc>
                <w:tcPr>
                  <w:tcW w:w="583" w:type="pct"/>
                  <w:vAlign w:val="center"/>
                </w:tcPr>
                <w:p w14:paraId="7EB8145F">
                  <w:pPr>
                    <w:widowControl/>
                    <w:spacing w:line="240" w:lineRule="exact"/>
                    <w:jc w:val="center"/>
                    <w:rPr>
                      <w:color w:val="auto"/>
                    </w:rPr>
                  </w:pPr>
                  <w:r>
                    <w:rPr>
                      <w:rFonts w:hint="eastAsia"/>
                      <w:color w:val="auto"/>
                    </w:rPr>
                    <w:t>/</w:t>
                  </w:r>
                </w:p>
              </w:tc>
              <w:tc>
                <w:tcPr>
                  <w:tcW w:w="668" w:type="pct"/>
                  <w:vAlign w:val="center"/>
                </w:tcPr>
                <w:p w14:paraId="428BA8FE">
                  <w:pPr>
                    <w:adjustRightInd w:val="0"/>
                    <w:snapToGrid w:val="0"/>
                    <w:jc w:val="center"/>
                    <w:rPr>
                      <w:rFonts w:hint="eastAsia" w:eastAsia="宋体"/>
                      <w:color w:val="auto"/>
                      <w:szCs w:val="21"/>
                      <w:lang w:eastAsia="zh-CN"/>
                    </w:rPr>
                  </w:pPr>
                  <w:r>
                    <w:rPr>
                      <w:rFonts w:hint="eastAsia"/>
                      <w:color w:val="auto"/>
                      <w:szCs w:val="21"/>
                      <w:lang w:eastAsia="zh-CN"/>
                    </w:rPr>
                    <w:t>0.4621</w:t>
                  </w:r>
                </w:p>
              </w:tc>
              <w:tc>
                <w:tcPr>
                  <w:tcW w:w="795" w:type="pct"/>
                  <w:vAlign w:val="center"/>
                </w:tcPr>
                <w:p w14:paraId="3DD08677">
                  <w:pPr>
                    <w:adjustRightInd w:val="0"/>
                    <w:snapToGrid w:val="0"/>
                    <w:jc w:val="center"/>
                    <w:rPr>
                      <w:rFonts w:hint="eastAsia" w:eastAsia="宋体"/>
                      <w:color w:val="auto"/>
                      <w:szCs w:val="21"/>
                      <w:lang w:eastAsia="zh-CN"/>
                    </w:rPr>
                  </w:pPr>
                  <w:r>
                    <w:rPr>
                      <w:rFonts w:hint="eastAsia"/>
                      <w:color w:val="auto"/>
                      <w:szCs w:val="21"/>
                      <w:lang w:eastAsia="zh-CN"/>
                    </w:rPr>
                    <w:t>0.4621</w:t>
                  </w:r>
                </w:p>
              </w:tc>
            </w:tr>
            <w:tr w14:paraId="2AFFA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358D0831">
                  <w:pPr>
                    <w:adjustRightInd w:val="0"/>
                    <w:snapToGrid w:val="0"/>
                    <w:jc w:val="center"/>
                    <w:rPr>
                      <w:color w:val="auto"/>
                    </w:rPr>
                  </w:pPr>
                </w:p>
              </w:tc>
              <w:tc>
                <w:tcPr>
                  <w:tcW w:w="400" w:type="pct"/>
                  <w:vMerge w:val="continue"/>
                  <w:vAlign w:val="center"/>
                </w:tcPr>
                <w:p w14:paraId="403527FA">
                  <w:pPr>
                    <w:pBdr>
                      <w:left w:val="single" w:color="auto" w:sz="4" w:space="0"/>
                    </w:pBdr>
                    <w:adjustRightInd w:val="0"/>
                    <w:snapToGrid w:val="0"/>
                    <w:jc w:val="center"/>
                    <w:rPr>
                      <w:color w:val="auto"/>
                    </w:rPr>
                  </w:pPr>
                </w:p>
              </w:tc>
              <w:tc>
                <w:tcPr>
                  <w:tcW w:w="665" w:type="pct"/>
                  <w:vAlign w:val="center"/>
                </w:tcPr>
                <w:p w14:paraId="519A4646">
                  <w:pPr>
                    <w:adjustRightInd w:val="0"/>
                    <w:snapToGrid w:val="0"/>
                    <w:jc w:val="center"/>
                    <w:rPr>
                      <w:color w:val="auto"/>
                    </w:rPr>
                  </w:pPr>
                  <w:r>
                    <w:rPr>
                      <w:rFonts w:hint="eastAsia"/>
                      <w:color w:val="auto"/>
                    </w:rPr>
                    <w:t>氮氧化物</w:t>
                  </w:r>
                </w:p>
              </w:tc>
              <w:tc>
                <w:tcPr>
                  <w:tcW w:w="554" w:type="pct"/>
                  <w:vAlign w:val="center"/>
                </w:tcPr>
                <w:p w14:paraId="2F8B6BBE">
                  <w:pPr>
                    <w:adjustRightInd w:val="0"/>
                    <w:snapToGrid w:val="0"/>
                    <w:jc w:val="center"/>
                    <w:rPr>
                      <w:color w:val="auto"/>
                      <w:szCs w:val="21"/>
                    </w:rPr>
                  </w:pPr>
                  <w:r>
                    <w:rPr>
                      <w:rFonts w:hint="eastAsia"/>
                      <w:color w:val="auto"/>
                      <w:szCs w:val="21"/>
                    </w:rPr>
                    <w:t>0.27489</w:t>
                  </w:r>
                </w:p>
              </w:tc>
              <w:tc>
                <w:tcPr>
                  <w:tcW w:w="513" w:type="pct"/>
                  <w:vAlign w:val="center"/>
                </w:tcPr>
                <w:p w14:paraId="298D1FEA">
                  <w:pPr>
                    <w:jc w:val="center"/>
                    <w:rPr>
                      <w:color w:val="auto"/>
                      <w:szCs w:val="21"/>
                    </w:rPr>
                  </w:pPr>
                  <w:r>
                    <w:rPr>
                      <w:rFonts w:hint="eastAsia"/>
                      <w:color w:val="auto"/>
                      <w:szCs w:val="21"/>
                    </w:rPr>
                    <w:t>0</w:t>
                  </w:r>
                </w:p>
              </w:tc>
              <w:tc>
                <w:tcPr>
                  <w:tcW w:w="555" w:type="pct"/>
                  <w:vAlign w:val="center"/>
                </w:tcPr>
                <w:p w14:paraId="01A4F0E5">
                  <w:pPr>
                    <w:adjustRightInd w:val="0"/>
                    <w:snapToGrid w:val="0"/>
                    <w:jc w:val="center"/>
                    <w:rPr>
                      <w:color w:val="auto"/>
                      <w:szCs w:val="21"/>
                    </w:rPr>
                  </w:pPr>
                  <w:r>
                    <w:rPr>
                      <w:rFonts w:hint="eastAsia"/>
                      <w:color w:val="auto"/>
                      <w:szCs w:val="21"/>
                    </w:rPr>
                    <w:t>0.27489</w:t>
                  </w:r>
                </w:p>
              </w:tc>
              <w:tc>
                <w:tcPr>
                  <w:tcW w:w="583" w:type="pct"/>
                  <w:vAlign w:val="center"/>
                </w:tcPr>
                <w:p w14:paraId="15D965A5">
                  <w:pPr>
                    <w:widowControl/>
                    <w:spacing w:line="240" w:lineRule="exact"/>
                    <w:jc w:val="center"/>
                    <w:rPr>
                      <w:color w:val="auto"/>
                    </w:rPr>
                  </w:pPr>
                  <w:r>
                    <w:rPr>
                      <w:rFonts w:hint="eastAsia"/>
                      <w:color w:val="auto"/>
                    </w:rPr>
                    <w:t>/</w:t>
                  </w:r>
                </w:p>
              </w:tc>
              <w:tc>
                <w:tcPr>
                  <w:tcW w:w="668" w:type="pct"/>
                  <w:vAlign w:val="center"/>
                </w:tcPr>
                <w:p w14:paraId="76B5820F">
                  <w:pPr>
                    <w:adjustRightInd w:val="0"/>
                    <w:snapToGrid w:val="0"/>
                    <w:jc w:val="center"/>
                    <w:rPr>
                      <w:color w:val="auto"/>
                      <w:szCs w:val="21"/>
                    </w:rPr>
                  </w:pPr>
                  <w:r>
                    <w:rPr>
                      <w:rFonts w:hint="eastAsia"/>
                      <w:color w:val="auto"/>
                      <w:szCs w:val="21"/>
                    </w:rPr>
                    <w:t>0.27489</w:t>
                  </w:r>
                </w:p>
              </w:tc>
              <w:tc>
                <w:tcPr>
                  <w:tcW w:w="795" w:type="pct"/>
                  <w:vAlign w:val="center"/>
                </w:tcPr>
                <w:p w14:paraId="3AE4D1EE">
                  <w:pPr>
                    <w:adjustRightInd w:val="0"/>
                    <w:snapToGrid w:val="0"/>
                    <w:jc w:val="center"/>
                    <w:rPr>
                      <w:color w:val="auto"/>
                      <w:szCs w:val="21"/>
                    </w:rPr>
                  </w:pPr>
                  <w:r>
                    <w:rPr>
                      <w:rFonts w:hint="eastAsia"/>
                      <w:color w:val="auto"/>
                      <w:szCs w:val="21"/>
                    </w:rPr>
                    <w:t>0.27489</w:t>
                  </w:r>
                </w:p>
              </w:tc>
            </w:tr>
            <w:tr w14:paraId="42B04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68ECBA7A">
                  <w:pPr>
                    <w:adjustRightInd w:val="0"/>
                    <w:snapToGrid w:val="0"/>
                    <w:jc w:val="center"/>
                    <w:rPr>
                      <w:color w:val="auto"/>
                    </w:rPr>
                  </w:pPr>
                </w:p>
              </w:tc>
              <w:tc>
                <w:tcPr>
                  <w:tcW w:w="400" w:type="pct"/>
                  <w:vMerge w:val="continue"/>
                  <w:vAlign w:val="center"/>
                </w:tcPr>
                <w:p w14:paraId="1A4307D2">
                  <w:pPr>
                    <w:pBdr>
                      <w:left w:val="single" w:color="auto" w:sz="4" w:space="0"/>
                    </w:pBdr>
                    <w:adjustRightInd w:val="0"/>
                    <w:snapToGrid w:val="0"/>
                    <w:jc w:val="center"/>
                    <w:rPr>
                      <w:color w:val="auto"/>
                    </w:rPr>
                  </w:pPr>
                </w:p>
              </w:tc>
              <w:tc>
                <w:tcPr>
                  <w:tcW w:w="665" w:type="pct"/>
                  <w:vAlign w:val="center"/>
                </w:tcPr>
                <w:p w14:paraId="2B0D6C43">
                  <w:pPr>
                    <w:adjustRightInd w:val="0"/>
                    <w:snapToGrid w:val="0"/>
                    <w:jc w:val="center"/>
                    <w:rPr>
                      <w:color w:val="auto"/>
                    </w:rPr>
                  </w:pPr>
                  <w:r>
                    <w:rPr>
                      <w:rFonts w:hint="eastAsia"/>
                      <w:color w:val="auto"/>
                      <w:lang w:eastAsia="zh-CN"/>
                    </w:rPr>
                    <w:t>二、</w:t>
                  </w:r>
                  <w:r>
                    <w:rPr>
                      <w:rFonts w:hint="eastAsia"/>
                      <w:color w:val="auto"/>
                    </w:rPr>
                    <w:t>氧化硫</w:t>
                  </w:r>
                </w:p>
              </w:tc>
              <w:tc>
                <w:tcPr>
                  <w:tcW w:w="554" w:type="pct"/>
                  <w:vAlign w:val="center"/>
                </w:tcPr>
                <w:p w14:paraId="56C003EB">
                  <w:pPr>
                    <w:adjustRightInd w:val="0"/>
                    <w:snapToGrid w:val="0"/>
                    <w:jc w:val="center"/>
                    <w:rPr>
                      <w:color w:val="auto"/>
                      <w:szCs w:val="21"/>
                    </w:rPr>
                  </w:pPr>
                  <w:r>
                    <w:rPr>
                      <w:rFonts w:hint="eastAsia"/>
                      <w:color w:val="auto"/>
                      <w:szCs w:val="21"/>
                    </w:rPr>
                    <w:t>0.00588</w:t>
                  </w:r>
                </w:p>
              </w:tc>
              <w:tc>
                <w:tcPr>
                  <w:tcW w:w="513" w:type="pct"/>
                  <w:vAlign w:val="center"/>
                </w:tcPr>
                <w:p w14:paraId="01B275B3">
                  <w:pPr>
                    <w:jc w:val="center"/>
                    <w:rPr>
                      <w:color w:val="auto"/>
                      <w:szCs w:val="21"/>
                    </w:rPr>
                  </w:pPr>
                  <w:r>
                    <w:rPr>
                      <w:rFonts w:hint="eastAsia"/>
                      <w:color w:val="auto"/>
                      <w:szCs w:val="21"/>
                    </w:rPr>
                    <w:t>0</w:t>
                  </w:r>
                </w:p>
              </w:tc>
              <w:tc>
                <w:tcPr>
                  <w:tcW w:w="555" w:type="pct"/>
                  <w:vAlign w:val="center"/>
                </w:tcPr>
                <w:p w14:paraId="394479ED">
                  <w:pPr>
                    <w:adjustRightInd w:val="0"/>
                    <w:snapToGrid w:val="0"/>
                    <w:jc w:val="center"/>
                    <w:rPr>
                      <w:color w:val="auto"/>
                      <w:szCs w:val="21"/>
                    </w:rPr>
                  </w:pPr>
                  <w:r>
                    <w:rPr>
                      <w:rFonts w:hint="eastAsia"/>
                      <w:color w:val="auto"/>
                      <w:szCs w:val="21"/>
                    </w:rPr>
                    <w:t>0.00588</w:t>
                  </w:r>
                </w:p>
              </w:tc>
              <w:tc>
                <w:tcPr>
                  <w:tcW w:w="583" w:type="pct"/>
                  <w:vAlign w:val="center"/>
                </w:tcPr>
                <w:p w14:paraId="5112A122">
                  <w:pPr>
                    <w:widowControl/>
                    <w:spacing w:line="240" w:lineRule="exact"/>
                    <w:jc w:val="center"/>
                    <w:rPr>
                      <w:color w:val="auto"/>
                    </w:rPr>
                  </w:pPr>
                  <w:r>
                    <w:rPr>
                      <w:rFonts w:hint="eastAsia"/>
                      <w:color w:val="auto"/>
                    </w:rPr>
                    <w:t>/</w:t>
                  </w:r>
                </w:p>
              </w:tc>
              <w:tc>
                <w:tcPr>
                  <w:tcW w:w="668" w:type="pct"/>
                  <w:vAlign w:val="center"/>
                </w:tcPr>
                <w:p w14:paraId="2D36A2F5">
                  <w:pPr>
                    <w:adjustRightInd w:val="0"/>
                    <w:snapToGrid w:val="0"/>
                    <w:jc w:val="center"/>
                    <w:rPr>
                      <w:color w:val="auto"/>
                      <w:szCs w:val="21"/>
                    </w:rPr>
                  </w:pPr>
                  <w:r>
                    <w:rPr>
                      <w:rFonts w:hint="eastAsia"/>
                      <w:color w:val="auto"/>
                      <w:szCs w:val="21"/>
                    </w:rPr>
                    <w:t>0.00588</w:t>
                  </w:r>
                </w:p>
              </w:tc>
              <w:tc>
                <w:tcPr>
                  <w:tcW w:w="795" w:type="pct"/>
                  <w:vAlign w:val="center"/>
                </w:tcPr>
                <w:p w14:paraId="4C6DC946">
                  <w:pPr>
                    <w:adjustRightInd w:val="0"/>
                    <w:snapToGrid w:val="0"/>
                    <w:jc w:val="center"/>
                    <w:rPr>
                      <w:color w:val="auto"/>
                      <w:szCs w:val="21"/>
                    </w:rPr>
                  </w:pPr>
                  <w:r>
                    <w:rPr>
                      <w:rFonts w:hint="eastAsia"/>
                      <w:color w:val="auto"/>
                      <w:szCs w:val="21"/>
                    </w:rPr>
                    <w:t>0.00588</w:t>
                  </w:r>
                </w:p>
              </w:tc>
            </w:tr>
            <w:tr w14:paraId="37578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62" w:type="pct"/>
                  <w:vMerge w:val="continue"/>
                  <w:vAlign w:val="center"/>
                </w:tcPr>
                <w:p w14:paraId="352D07E5">
                  <w:pPr>
                    <w:adjustRightInd w:val="0"/>
                    <w:snapToGrid w:val="0"/>
                    <w:jc w:val="center"/>
                    <w:rPr>
                      <w:color w:val="auto"/>
                    </w:rPr>
                  </w:pPr>
                </w:p>
              </w:tc>
              <w:tc>
                <w:tcPr>
                  <w:tcW w:w="400" w:type="pct"/>
                  <w:vMerge w:val="restart"/>
                  <w:vAlign w:val="center"/>
                </w:tcPr>
                <w:p w14:paraId="688465CB">
                  <w:pPr>
                    <w:pBdr>
                      <w:left w:val="single" w:color="auto" w:sz="4" w:space="0"/>
                    </w:pBdr>
                    <w:adjustRightInd w:val="0"/>
                    <w:snapToGrid w:val="0"/>
                    <w:jc w:val="center"/>
                    <w:rPr>
                      <w:color w:val="auto"/>
                    </w:rPr>
                  </w:pPr>
                  <w:r>
                    <w:rPr>
                      <w:rFonts w:hint="eastAsia"/>
                      <w:color w:val="auto"/>
                    </w:rPr>
                    <w:t>无组织</w:t>
                  </w:r>
                </w:p>
              </w:tc>
              <w:tc>
                <w:tcPr>
                  <w:tcW w:w="665" w:type="pct"/>
                  <w:vAlign w:val="center"/>
                </w:tcPr>
                <w:p w14:paraId="0D8CBE47">
                  <w:pPr>
                    <w:adjustRightInd w:val="0"/>
                    <w:snapToGrid w:val="0"/>
                    <w:jc w:val="center"/>
                    <w:rPr>
                      <w:color w:val="auto"/>
                    </w:rPr>
                  </w:pPr>
                  <w:r>
                    <w:rPr>
                      <w:rFonts w:hint="eastAsia"/>
                      <w:color w:val="auto"/>
                    </w:rPr>
                    <w:t>非甲烷总烃</w:t>
                  </w:r>
                </w:p>
              </w:tc>
              <w:tc>
                <w:tcPr>
                  <w:tcW w:w="554" w:type="pct"/>
                  <w:vAlign w:val="center"/>
                </w:tcPr>
                <w:p w14:paraId="6C8C4D73">
                  <w:pPr>
                    <w:jc w:val="center"/>
                    <w:rPr>
                      <w:rFonts w:hint="default" w:eastAsia="宋体"/>
                      <w:color w:val="auto"/>
                      <w:szCs w:val="21"/>
                      <w:lang w:val="en-US" w:eastAsia="zh-CN"/>
                    </w:rPr>
                  </w:pPr>
                  <w:r>
                    <w:rPr>
                      <w:rFonts w:hint="eastAsia"/>
                      <w:color w:val="auto"/>
                      <w:szCs w:val="21"/>
                    </w:rPr>
                    <w:t>0.4</w:t>
                  </w:r>
                  <w:r>
                    <w:rPr>
                      <w:rFonts w:hint="eastAsia"/>
                      <w:color w:val="auto"/>
                      <w:szCs w:val="21"/>
                      <w:lang w:val="en-US" w:eastAsia="zh-CN"/>
                    </w:rPr>
                    <w:t>18</w:t>
                  </w:r>
                </w:p>
              </w:tc>
              <w:tc>
                <w:tcPr>
                  <w:tcW w:w="513" w:type="pct"/>
                  <w:vAlign w:val="center"/>
                </w:tcPr>
                <w:p w14:paraId="4AB090C4">
                  <w:pPr>
                    <w:widowControl/>
                    <w:jc w:val="center"/>
                    <w:textAlignment w:val="center"/>
                    <w:rPr>
                      <w:color w:val="auto"/>
                    </w:rPr>
                  </w:pPr>
                  <w:r>
                    <w:rPr>
                      <w:rFonts w:hint="eastAsia"/>
                      <w:color w:val="auto"/>
                    </w:rPr>
                    <w:t>0</w:t>
                  </w:r>
                </w:p>
              </w:tc>
              <w:tc>
                <w:tcPr>
                  <w:tcW w:w="555" w:type="pct"/>
                  <w:vAlign w:val="center"/>
                </w:tcPr>
                <w:p w14:paraId="78FBCC73">
                  <w:pPr>
                    <w:jc w:val="center"/>
                    <w:rPr>
                      <w:rFonts w:hint="eastAsia" w:eastAsia="宋体"/>
                      <w:color w:val="auto"/>
                      <w:szCs w:val="21"/>
                      <w:lang w:eastAsia="zh-CN"/>
                    </w:rPr>
                  </w:pPr>
                  <w:r>
                    <w:rPr>
                      <w:rFonts w:hint="eastAsia"/>
                      <w:color w:val="auto"/>
                      <w:szCs w:val="21"/>
                      <w:lang w:eastAsia="zh-CN"/>
                    </w:rPr>
                    <w:t>0.418</w:t>
                  </w:r>
                </w:p>
              </w:tc>
              <w:tc>
                <w:tcPr>
                  <w:tcW w:w="583" w:type="pct"/>
                  <w:vAlign w:val="center"/>
                </w:tcPr>
                <w:p w14:paraId="2BAD9B79">
                  <w:pPr>
                    <w:widowControl/>
                    <w:spacing w:line="240" w:lineRule="exact"/>
                    <w:jc w:val="center"/>
                    <w:rPr>
                      <w:color w:val="auto"/>
                      <w:szCs w:val="21"/>
                    </w:rPr>
                  </w:pPr>
                  <w:r>
                    <w:rPr>
                      <w:rFonts w:hint="eastAsia"/>
                      <w:color w:val="auto"/>
                    </w:rPr>
                    <w:t>/</w:t>
                  </w:r>
                </w:p>
              </w:tc>
              <w:tc>
                <w:tcPr>
                  <w:tcW w:w="668" w:type="pct"/>
                  <w:vAlign w:val="center"/>
                </w:tcPr>
                <w:p w14:paraId="6D90E1DA">
                  <w:pPr>
                    <w:jc w:val="center"/>
                    <w:rPr>
                      <w:rFonts w:hint="eastAsia" w:eastAsia="宋体"/>
                      <w:color w:val="auto"/>
                      <w:kern w:val="0"/>
                      <w:szCs w:val="21"/>
                      <w:lang w:eastAsia="zh-CN"/>
                    </w:rPr>
                  </w:pPr>
                  <w:r>
                    <w:rPr>
                      <w:rFonts w:hint="eastAsia"/>
                      <w:color w:val="auto"/>
                      <w:szCs w:val="21"/>
                      <w:lang w:eastAsia="zh-CN"/>
                    </w:rPr>
                    <w:t>0.418</w:t>
                  </w:r>
                </w:p>
              </w:tc>
              <w:tc>
                <w:tcPr>
                  <w:tcW w:w="795" w:type="pct"/>
                  <w:vAlign w:val="center"/>
                </w:tcPr>
                <w:p w14:paraId="512EF046">
                  <w:pPr>
                    <w:jc w:val="center"/>
                    <w:rPr>
                      <w:rFonts w:hint="eastAsia" w:eastAsia="宋体"/>
                      <w:color w:val="auto"/>
                      <w:lang w:eastAsia="zh-CN"/>
                    </w:rPr>
                  </w:pPr>
                  <w:r>
                    <w:rPr>
                      <w:rFonts w:hint="eastAsia"/>
                      <w:color w:val="auto"/>
                      <w:szCs w:val="21"/>
                      <w:lang w:eastAsia="zh-CN"/>
                    </w:rPr>
                    <w:t>0.418</w:t>
                  </w:r>
                </w:p>
              </w:tc>
            </w:tr>
            <w:tr w14:paraId="3D436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23B924FF">
                  <w:pPr>
                    <w:adjustRightInd w:val="0"/>
                    <w:snapToGrid w:val="0"/>
                    <w:jc w:val="center"/>
                    <w:rPr>
                      <w:color w:val="auto"/>
                    </w:rPr>
                  </w:pPr>
                </w:p>
              </w:tc>
              <w:tc>
                <w:tcPr>
                  <w:tcW w:w="400" w:type="pct"/>
                  <w:vMerge w:val="continue"/>
                  <w:vAlign w:val="center"/>
                </w:tcPr>
                <w:p w14:paraId="3306C79F">
                  <w:pPr>
                    <w:pBdr>
                      <w:left w:val="single" w:color="auto" w:sz="4" w:space="0"/>
                    </w:pBdr>
                    <w:adjustRightInd w:val="0"/>
                    <w:snapToGrid w:val="0"/>
                    <w:jc w:val="center"/>
                    <w:rPr>
                      <w:color w:val="auto"/>
                    </w:rPr>
                  </w:pPr>
                </w:p>
              </w:tc>
              <w:tc>
                <w:tcPr>
                  <w:tcW w:w="665" w:type="pct"/>
                  <w:vAlign w:val="center"/>
                </w:tcPr>
                <w:p w14:paraId="7FA4A247">
                  <w:pPr>
                    <w:adjustRightInd w:val="0"/>
                    <w:snapToGrid w:val="0"/>
                    <w:jc w:val="center"/>
                    <w:rPr>
                      <w:color w:val="auto"/>
                    </w:rPr>
                  </w:pPr>
                  <w:r>
                    <w:rPr>
                      <w:rFonts w:hint="eastAsia"/>
                      <w:color w:val="auto"/>
                    </w:rPr>
                    <w:t>苯乙烯</w:t>
                  </w:r>
                </w:p>
              </w:tc>
              <w:tc>
                <w:tcPr>
                  <w:tcW w:w="554" w:type="pct"/>
                  <w:vAlign w:val="center"/>
                </w:tcPr>
                <w:p w14:paraId="68F1436D">
                  <w:pPr>
                    <w:jc w:val="center"/>
                    <w:rPr>
                      <w:color w:val="auto"/>
                      <w:szCs w:val="21"/>
                    </w:rPr>
                  </w:pPr>
                  <w:r>
                    <w:rPr>
                      <w:rFonts w:hint="eastAsia"/>
                      <w:color w:val="auto"/>
                      <w:szCs w:val="21"/>
                    </w:rPr>
                    <w:t>0.0379</w:t>
                  </w:r>
                </w:p>
              </w:tc>
              <w:tc>
                <w:tcPr>
                  <w:tcW w:w="513" w:type="pct"/>
                  <w:vAlign w:val="center"/>
                </w:tcPr>
                <w:p w14:paraId="0C0D5204">
                  <w:pPr>
                    <w:widowControl/>
                    <w:jc w:val="center"/>
                    <w:textAlignment w:val="center"/>
                    <w:rPr>
                      <w:color w:val="auto"/>
                    </w:rPr>
                  </w:pPr>
                  <w:r>
                    <w:rPr>
                      <w:rFonts w:hint="eastAsia"/>
                      <w:color w:val="auto"/>
                    </w:rPr>
                    <w:t>0</w:t>
                  </w:r>
                </w:p>
              </w:tc>
              <w:tc>
                <w:tcPr>
                  <w:tcW w:w="555" w:type="pct"/>
                  <w:vAlign w:val="center"/>
                </w:tcPr>
                <w:p w14:paraId="553C89DA">
                  <w:pPr>
                    <w:jc w:val="center"/>
                    <w:rPr>
                      <w:color w:val="auto"/>
                      <w:szCs w:val="21"/>
                    </w:rPr>
                  </w:pPr>
                  <w:r>
                    <w:rPr>
                      <w:rFonts w:hint="eastAsia"/>
                      <w:color w:val="auto"/>
                      <w:szCs w:val="21"/>
                    </w:rPr>
                    <w:t>0.0379</w:t>
                  </w:r>
                </w:p>
              </w:tc>
              <w:tc>
                <w:tcPr>
                  <w:tcW w:w="583" w:type="pct"/>
                  <w:vAlign w:val="center"/>
                </w:tcPr>
                <w:p w14:paraId="75994B80">
                  <w:pPr>
                    <w:widowControl/>
                    <w:spacing w:line="240" w:lineRule="exact"/>
                    <w:jc w:val="center"/>
                    <w:rPr>
                      <w:color w:val="auto"/>
                    </w:rPr>
                  </w:pPr>
                  <w:r>
                    <w:rPr>
                      <w:rFonts w:hint="eastAsia"/>
                      <w:color w:val="auto"/>
                    </w:rPr>
                    <w:t>/</w:t>
                  </w:r>
                </w:p>
              </w:tc>
              <w:tc>
                <w:tcPr>
                  <w:tcW w:w="668" w:type="pct"/>
                  <w:vAlign w:val="center"/>
                </w:tcPr>
                <w:p w14:paraId="41E87044">
                  <w:pPr>
                    <w:jc w:val="center"/>
                    <w:rPr>
                      <w:color w:val="auto"/>
                      <w:szCs w:val="21"/>
                    </w:rPr>
                  </w:pPr>
                  <w:r>
                    <w:rPr>
                      <w:rFonts w:hint="eastAsia"/>
                      <w:color w:val="auto"/>
                      <w:szCs w:val="21"/>
                    </w:rPr>
                    <w:t>0.0379</w:t>
                  </w:r>
                </w:p>
              </w:tc>
              <w:tc>
                <w:tcPr>
                  <w:tcW w:w="795" w:type="pct"/>
                  <w:vAlign w:val="center"/>
                </w:tcPr>
                <w:p w14:paraId="6092DEE9">
                  <w:pPr>
                    <w:jc w:val="center"/>
                    <w:rPr>
                      <w:color w:val="auto"/>
                      <w:szCs w:val="21"/>
                    </w:rPr>
                  </w:pPr>
                  <w:r>
                    <w:rPr>
                      <w:rFonts w:hint="eastAsia"/>
                      <w:color w:val="auto"/>
                      <w:szCs w:val="21"/>
                    </w:rPr>
                    <w:t>0.0379</w:t>
                  </w:r>
                </w:p>
              </w:tc>
            </w:tr>
            <w:tr w14:paraId="0C2FD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41F60857">
                  <w:pPr>
                    <w:adjustRightInd w:val="0"/>
                    <w:snapToGrid w:val="0"/>
                    <w:jc w:val="center"/>
                    <w:rPr>
                      <w:color w:val="auto"/>
                    </w:rPr>
                  </w:pPr>
                </w:p>
              </w:tc>
              <w:tc>
                <w:tcPr>
                  <w:tcW w:w="400" w:type="pct"/>
                  <w:vMerge w:val="continue"/>
                  <w:vAlign w:val="center"/>
                </w:tcPr>
                <w:p w14:paraId="6A690323">
                  <w:pPr>
                    <w:pBdr>
                      <w:left w:val="single" w:color="auto" w:sz="4" w:space="0"/>
                    </w:pBdr>
                    <w:adjustRightInd w:val="0"/>
                    <w:snapToGrid w:val="0"/>
                    <w:jc w:val="center"/>
                    <w:rPr>
                      <w:color w:val="auto"/>
                    </w:rPr>
                  </w:pPr>
                </w:p>
              </w:tc>
              <w:tc>
                <w:tcPr>
                  <w:tcW w:w="665" w:type="pct"/>
                  <w:vAlign w:val="center"/>
                </w:tcPr>
                <w:p w14:paraId="0E31867A">
                  <w:pPr>
                    <w:adjustRightInd w:val="0"/>
                    <w:snapToGrid w:val="0"/>
                    <w:jc w:val="center"/>
                    <w:rPr>
                      <w:color w:val="auto"/>
                    </w:rPr>
                  </w:pPr>
                  <w:r>
                    <w:rPr>
                      <w:rFonts w:hint="eastAsia"/>
                      <w:color w:val="auto"/>
                      <w:lang w:eastAsia="zh-CN"/>
                    </w:rPr>
                    <w:t>二、</w:t>
                  </w:r>
                  <w:r>
                    <w:rPr>
                      <w:rFonts w:hint="eastAsia"/>
                      <w:color w:val="auto"/>
                    </w:rPr>
                    <w:t>甲苯</w:t>
                  </w:r>
                </w:p>
              </w:tc>
              <w:tc>
                <w:tcPr>
                  <w:tcW w:w="554" w:type="pct"/>
                  <w:vAlign w:val="center"/>
                </w:tcPr>
                <w:p w14:paraId="581BDDCA">
                  <w:pPr>
                    <w:jc w:val="center"/>
                    <w:rPr>
                      <w:color w:val="auto"/>
                      <w:szCs w:val="21"/>
                    </w:rPr>
                  </w:pPr>
                  <w:r>
                    <w:rPr>
                      <w:rFonts w:hint="eastAsia"/>
                      <w:color w:val="auto"/>
                      <w:szCs w:val="21"/>
                    </w:rPr>
                    <w:t>0.003</w:t>
                  </w:r>
                </w:p>
              </w:tc>
              <w:tc>
                <w:tcPr>
                  <w:tcW w:w="513" w:type="pct"/>
                  <w:vAlign w:val="center"/>
                </w:tcPr>
                <w:p w14:paraId="03179F6F">
                  <w:pPr>
                    <w:widowControl/>
                    <w:jc w:val="center"/>
                    <w:textAlignment w:val="center"/>
                    <w:rPr>
                      <w:color w:val="auto"/>
                    </w:rPr>
                  </w:pPr>
                  <w:r>
                    <w:rPr>
                      <w:rFonts w:hint="eastAsia"/>
                      <w:color w:val="auto"/>
                    </w:rPr>
                    <w:t>0</w:t>
                  </w:r>
                </w:p>
              </w:tc>
              <w:tc>
                <w:tcPr>
                  <w:tcW w:w="555" w:type="pct"/>
                  <w:vAlign w:val="center"/>
                </w:tcPr>
                <w:p w14:paraId="2E03B431">
                  <w:pPr>
                    <w:jc w:val="center"/>
                    <w:rPr>
                      <w:color w:val="auto"/>
                      <w:szCs w:val="21"/>
                    </w:rPr>
                  </w:pPr>
                  <w:r>
                    <w:rPr>
                      <w:rFonts w:hint="eastAsia"/>
                      <w:color w:val="auto"/>
                      <w:szCs w:val="21"/>
                    </w:rPr>
                    <w:t>0.003</w:t>
                  </w:r>
                </w:p>
              </w:tc>
              <w:tc>
                <w:tcPr>
                  <w:tcW w:w="583" w:type="pct"/>
                  <w:vAlign w:val="center"/>
                </w:tcPr>
                <w:p w14:paraId="5CFD9E43">
                  <w:pPr>
                    <w:widowControl/>
                    <w:spacing w:line="240" w:lineRule="exact"/>
                    <w:jc w:val="center"/>
                    <w:rPr>
                      <w:color w:val="auto"/>
                    </w:rPr>
                  </w:pPr>
                  <w:r>
                    <w:rPr>
                      <w:rFonts w:hint="eastAsia"/>
                      <w:color w:val="auto"/>
                    </w:rPr>
                    <w:t>/</w:t>
                  </w:r>
                </w:p>
              </w:tc>
              <w:tc>
                <w:tcPr>
                  <w:tcW w:w="668" w:type="pct"/>
                  <w:vAlign w:val="center"/>
                </w:tcPr>
                <w:p w14:paraId="15068CB4">
                  <w:pPr>
                    <w:jc w:val="center"/>
                    <w:rPr>
                      <w:color w:val="auto"/>
                      <w:szCs w:val="21"/>
                    </w:rPr>
                  </w:pPr>
                  <w:r>
                    <w:rPr>
                      <w:rFonts w:hint="eastAsia"/>
                      <w:color w:val="auto"/>
                      <w:szCs w:val="21"/>
                    </w:rPr>
                    <w:t>0.003</w:t>
                  </w:r>
                </w:p>
              </w:tc>
              <w:tc>
                <w:tcPr>
                  <w:tcW w:w="795" w:type="pct"/>
                  <w:vAlign w:val="center"/>
                </w:tcPr>
                <w:p w14:paraId="50D6E745">
                  <w:pPr>
                    <w:jc w:val="center"/>
                    <w:rPr>
                      <w:color w:val="auto"/>
                      <w:szCs w:val="21"/>
                    </w:rPr>
                  </w:pPr>
                  <w:r>
                    <w:rPr>
                      <w:rFonts w:hint="eastAsia"/>
                      <w:color w:val="auto"/>
                      <w:szCs w:val="21"/>
                    </w:rPr>
                    <w:t>0.003</w:t>
                  </w:r>
                </w:p>
              </w:tc>
            </w:tr>
            <w:tr w14:paraId="5A781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1901F75A">
                  <w:pPr>
                    <w:adjustRightInd w:val="0"/>
                    <w:snapToGrid w:val="0"/>
                    <w:jc w:val="center"/>
                    <w:rPr>
                      <w:color w:val="auto"/>
                    </w:rPr>
                  </w:pPr>
                </w:p>
              </w:tc>
              <w:tc>
                <w:tcPr>
                  <w:tcW w:w="400" w:type="pct"/>
                  <w:vMerge w:val="continue"/>
                  <w:vAlign w:val="center"/>
                </w:tcPr>
                <w:p w14:paraId="6EAE787E">
                  <w:pPr>
                    <w:pBdr>
                      <w:left w:val="single" w:color="auto" w:sz="4" w:space="0"/>
                    </w:pBdr>
                    <w:adjustRightInd w:val="0"/>
                    <w:snapToGrid w:val="0"/>
                    <w:jc w:val="center"/>
                    <w:rPr>
                      <w:color w:val="auto"/>
                    </w:rPr>
                  </w:pPr>
                </w:p>
              </w:tc>
              <w:tc>
                <w:tcPr>
                  <w:tcW w:w="665" w:type="pct"/>
                  <w:vAlign w:val="center"/>
                </w:tcPr>
                <w:p w14:paraId="163697E6">
                  <w:pPr>
                    <w:adjustRightInd w:val="0"/>
                    <w:snapToGrid w:val="0"/>
                    <w:jc w:val="center"/>
                    <w:rPr>
                      <w:color w:val="auto"/>
                    </w:rPr>
                  </w:pPr>
                  <w:r>
                    <w:rPr>
                      <w:rFonts w:hint="eastAsia"/>
                      <w:color w:val="auto"/>
                    </w:rPr>
                    <w:t>颗粒物</w:t>
                  </w:r>
                </w:p>
              </w:tc>
              <w:tc>
                <w:tcPr>
                  <w:tcW w:w="554" w:type="pct"/>
                  <w:vAlign w:val="center"/>
                </w:tcPr>
                <w:p w14:paraId="75DE76AD">
                  <w:pPr>
                    <w:jc w:val="center"/>
                    <w:rPr>
                      <w:rFonts w:hint="default" w:eastAsia="宋体"/>
                      <w:color w:val="auto"/>
                      <w:szCs w:val="21"/>
                      <w:lang w:val="en-US" w:eastAsia="zh-CN"/>
                    </w:rPr>
                  </w:pPr>
                  <w:r>
                    <w:rPr>
                      <w:rFonts w:hint="eastAsia"/>
                      <w:color w:val="auto"/>
                      <w:szCs w:val="21"/>
                    </w:rPr>
                    <w:t>0.6</w:t>
                  </w:r>
                  <w:r>
                    <w:rPr>
                      <w:rFonts w:hint="eastAsia"/>
                      <w:color w:val="auto"/>
                      <w:szCs w:val="21"/>
                      <w:lang w:val="en-US" w:eastAsia="zh-CN"/>
                    </w:rPr>
                    <w:t>678</w:t>
                  </w:r>
                </w:p>
              </w:tc>
              <w:tc>
                <w:tcPr>
                  <w:tcW w:w="513" w:type="pct"/>
                  <w:vAlign w:val="center"/>
                </w:tcPr>
                <w:p w14:paraId="3964E6BB">
                  <w:pPr>
                    <w:widowControl/>
                    <w:jc w:val="center"/>
                    <w:textAlignment w:val="center"/>
                    <w:rPr>
                      <w:color w:val="auto"/>
                    </w:rPr>
                  </w:pPr>
                  <w:r>
                    <w:rPr>
                      <w:rFonts w:hint="eastAsia"/>
                      <w:color w:val="auto"/>
                    </w:rPr>
                    <w:t>0</w:t>
                  </w:r>
                </w:p>
              </w:tc>
              <w:tc>
                <w:tcPr>
                  <w:tcW w:w="555" w:type="pct"/>
                  <w:vAlign w:val="center"/>
                </w:tcPr>
                <w:p w14:paraId="6EF53A29">
                  <w:pPr>
                    <w:jc w:val="center"/>
                    <w:rPr>
                      <w:rFonts w:hint="eastAsia" w:eastAsia="宋体"/>
                      <w:color w:val="auto"/>
                      <w:szCs w:val="21"/>
                      <w:lang w:eastAsia="zh-CN"/>
                    </w:rPr>
                  </w:pPr>
                  <w:r>
                    <w:rPr>
                      <w:rFonts w:hint="eastAsia"/>
                      <w:color w:val="auto"/>
                      <w:szCs w:val="21"/>
                      <w:lang w:eastAsia="zh-CN"/>
                    </w:rPr>
                    <w:t>0.6678</w:t>
                  </w:r>
                </w:p>
              </w:tc>
              <w:tc>
                <w:tcPr>
                  <w:tcW w:w="583" w:type="pct"/>
                  <w:vAlign w:val="center"/>
                </w:tcPr>
                <w:p w14:paraId="2C547C8A">
                  <w:pPr>
                    <w:widowControl/>
                    <w:spacing w:line="240" w:lineRule="exact"/>
                    <w:jc w:val="center"/>
                    <w:rPr>
                      <w:color w:val="auto"/>
                    </w:rPr>
                  </w:pPr>
                  <w:r>
                    <w:rPr>
                      <w:rFonts w:hint="eastAsia"/>
                      <w:color w:val="auto"/>
                    </w:rPr>
                    <w:t>/</w:t>
                  </w:r>
                </w:p>
              </w:tc>
              <w:tc>
                <w:tcPr>
                  <w:tcW w:w="668" w:type="pct"/>
                  <w:vAlign w:val="center"/>
                </w:tcPr>
                <w:p w14:paraId="4F1134DD">
                  <w:pPr>
                    <w:jc w:val="center"/>
                    <w:rPr>
                      <w:rFonts w:hint="eastAsia" w:eastAsia="宋体"/>
                      <w:color w:val="auto"/>
                      <w:szCs w:val="21"/>
                      <w:lang w:eastAsia="zh-CN"/>
                    </w:rPr>
                  </w:pPr>
                  <w:r>
                    <w:rPr>
                      <w:rFonts w:hint="eastAsia"/>
                      <w:color w:val="auto"/>
                      <w:szCs w:val="21"/>
                      <w:lang w:eastAsia="zh-CN"/>
                    </w:rPr>
                    <w:t>0.6678</w:t>
                  </w:r>
                </w:p>
              </w:tc>
              <w:tc>
                <w:tcPr>
                  <w:tcW w:w="795" w:type="pct"/>
                  <w:vAlign w:val="center"/>
                </w:tcPr>
                <w:p w14:paraId="3B9EAA28">
                  <w:pPr>
                    <w:jc w:val="center"/>
                    <w:rPr>
                      <w:rFonts w:hint="eastAsia" w:eastAsia="宋体"/>
                      <w:color w:val="auto"/>
                      <w:lang w:eastAsia="zh-CN"/>
                    </w:rPr>
                  </w:pPr>
                  <w:r>
                    <w:rPr>
                      <w:rFonts w:hint="eastAsia"/>
                      <w:color w:val="auto"/>
                      <w:szCs w:val="21"/>
                      <w:lang w:eastAsia="zh-CN"/>
                    </w:rPr>
                    <w:t>0.6678</w:t>
                  </w:r>
                </w:p>
              </w:tc>
            </w:tr>
            <w:tr w14:paraId="683EB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restart"/>
                  <w:vAlign w:val="center"/>
                </w:tcPr>
                <w:p w14:paraId="701BE408">
                  <w:pPr>
                    <w:adjustRightInd w:val="0"/>
                    <w:snapToGrid w:val="0"/>
                    <w:jc w:val="center"/>
                    <w:rPr>
                      <w:color w:val="auto"/>
                    </w:rPr>
                  </w:pPr>
                  <w:r>
                    <w:rPr>
                      <w:color w:val="auto"/>
                    </w:rPr>
                    <w:t>固废</w:t>
                  </w:r>
                </w:p>
              </w:tc>
              <w:tc>
                <w:tcPr>
                  <w:tcW w:w="1065" w:type="pct"/>
                  <w:gridSpan w:val="2"/>
                  <w:vAlign w:val="center"/>
                </w:tcPr>
                <w:p w14:paraId="09CAA6C7">
                  <w:pPr>
                    <w:adjustRightInd w:val="0"/>
                    <w:snapToGrid w:val="0"/>
                    <w:jc w:val="center"/>
                    <w:rPr>
                      <w:color w:val="auto"/>
                    </w:rPr>
                  </w:pPr>
                  <w:r>
                    <w:rPr>
                      <w:color w:val="auto"/>
                    </w:rPr>
                    <w:t>一般工业固体废物</w:t>
                  </w:r>
                </w:p>
              </w:tc>
              <w:tc>
                <w:tcPr>
                  <w:tcW w:w="554" w:type="pct"/>
                  <w:vAlign w:val="center"/>
                </w:tcPr>
                <w:p w14:paraId="6D02D220">
                  <w:pPr>
                    <w:adjustRightInd w:val="0"/>
                    <w:snapToGrid w:val="0"/>
                    <w:jc w:val="center"/>
                    <w:rPr>
                      <w:color w:val="auto"/>
                    </w:rPr>
                  </w:pPr>
                  <w:r>
                    <w:rPr>
                      <w:rFonts w:hint="eastAsia"/>
                      <w:color w:val="auto"/>
                      <w:szCs w:val="21"/>
                    </w:rPr>
                    <w:t>19.01514</w:t>
                  </w:r>
                </w:p>
              </w:tc>
              <w:tc>
                <w:tcPr>
                  <w:tcW w:w="513" w:type="pct"/>
                  <w:vAlign w:val="center"/>
                </w:tcPr>
                <w:p w14:paraId="3A114AB0">
                  <w:pPr>
                    <w:adjustRightInd w:val="0"/>
                    <w:snapToGrid w:val="0"/>
                    <w:jc w:val="center"/>
                    <w:rPr>
                      <w:color w:val="auto"/>
                    </w:rPr>
                  </w:pPr>
                  <w:r>
                    <w:rPr>
                      <w:rFonts w:hint="eastAsia"/>
                      <w:color w:val="auto"/>
                      <w:szCs w:val="21"/>
                    </w:rPr>
                    <w:t>19.01514</w:t>
                  </w:r>
                </w:p>
              </w:tc>
              <w:tc>
                <w:tcPr>
                  <w:tcW w:w="555" w:type="pct"/>
                  <w:vAlign w:val="center"/>
                </w:tcPr>
                <w:p w14:paraId="6337F023">
                  <w:pPr>
                    <w:adjustRightInd w:val="0"/>
                    <w:snapToGrid w:val="0"/>
                    <w:jc w:val="center"/>
                    <w:rPr>
                      <w:color w:val="auto"/>
                    </w:rPr>
                  </w:pPr>
                  <w:r>
                    <w:rPr>
                      <w:rFonts w:hint="eastAsia"/>
                      <w:color w:val="auto"/>
                    </w:rPr>
                    <w:t>0</w:t>
                  </w:r>
                </w:p>
              </w:tc>
              <w:tc>
                <w:tcPr>
                  <w:tcW w:w="583" w:type="pct"/>
                  <w:vAlign w:val="center"/>
                </w:tcPr>
                <w:p w14:paraId="248AB76D">
                  <w:pPr>
                    <w:adjustRightInd w:val="0"/>
                    <w:snapToGrid w:val="0"/>
                    <w:jc w:val="center"/>
                    <w:rPr>
                      <w:color w:val="auto"/>
                    </w:rPr>
                  </w:pPr>
                  <w:r>
                    <w:rPr>
                      <w:rFonts w:hint="eastAsia"/>
                      <w:color w:val="auto"/>
                    </w:rPr>
                    <w:t>0</w:t>
                  </w:r>
                </w:p>
              </w:tc>
              <w:tc>
                <w:tcPr>
                  <w:tcW w:w="668" w:type="pct"/>
                  <w:vAlign w:val="center"/>
                </w:tcPr>
                <w:p w14:paraId="136645FD">
                  <w:pPr>
                    <w:adjustRightInd w:val="0"/>
                    <w:snapToGrid w:val="0"/>
                    <w:jc w:val="center"/>
                    <w:rPr>
                      <w:color w:val="auto"/>
                    </w:rPr>
                  </w:pPr>
                  <w:r>
                    <w:rPr>
                      <w:rFonts w:hint="eastAsia"/>
                      <w:color w:val="auto"/>
                    </w:rPr>
                    <w:t>0</w:t>
                  </w:r>
                </w:p>
              </w:tc>
              <w:tc>
                <w:tcPr>
                  <w:tcW w:w="795" w:type="pct"/>
                  <w:vAlign w:val="center"/>
                </w:tcPr>
                <w:p w14:paraId="6BA2F6F5">
                  <w:pPr>
                    <w:adjustRightInd w:val="0"/>
                    <w:snapToGrid w:val="0"/>
                    <w:jc w:val="center"/>
                    <w:rPr>
                      <w:color w:val="auto"/>
                    </w:rPr>
                  </w:pPr>
                  <w:r>
                    <w:rPr>
                      <w:rFonts w:hint="eastAsia"/>
                      <w:color w:val="auto"/>
                    </w:rPr>
                    <w:t>0</w:t>
                  </w:r>
                </w:p>
              </w:tc>
            </w:tr>
            <w:tr w14:paraId="12E4C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0BF05F5A">
                  <w:pPr>
                    <w:adjustRightInd w:val="0"/>
                    <w:snapToGrid w:val="0"/>
                    <w:jc w:val="center"/>
                    <w:rPr>
                      <w:color w:val="auto"/>
                    </w:rPr>
                  </w:pPr>
                </w:p>
              </w:tc>
              <w:tc>
                <w:tcPr>
                  <w:tcW w:w="1065" w:type="pct"/>
                  <w:gridSpan w:val="2"/>
                  <w:vAlign w:val="center"/>
                </w:tcPr>
                <w:p w14:paraId="12E018AD">
                  <w:pPr>
                    <w:adjustRightInd w:val="0"/>
                    <w:snapToGrid w:val="0"/>
                    <w:jc w:val="center"/>
                    <w:rPr>
                      <w:color w:val="auto"/>
                    </w:rPr>
                  </w:pPr>
                  <w:r>
                    <w:rPr>
                      <w:color w:val="auto"/>
                    </w:rPr>
                    <w:t>危险废物</w:t>
                  </w:r>
                </w:p>
              </w:tc>
              <w:tc>
                <w:tcPr>
                  <w:tcW w:w="554" w:type="pct"/>
                  <w:vAlign w:val="center"/>
                </w:tcPr>
                <w:p w14:paraId="0DC5301A">
                  <w:pPr>
                    <w:adjustRightInd w:val="0"/>
                    <w:snapToGrid w:val="0"/>
                    <w:jc w:val="center"/>
                    <w:rPr>
                      <w:rFonts w:hint="eastAsia" w:eastAsia="宋体"/>
                      <w:color w:val="auto"/>
                      <w:lang w:eastAsia="zh-CN"/>
                    </w:rPr>
                  </w:pPr>
                  <w:r>
                    <w:rPr>
                      <w:rFonts w:hint="eastAsia"/>
                      <w:color w:val="auto"/>
                      <w:szCs w:val="21"/>
                      <w:lang w:eastAsia="zh-CN"/>
                    </w:rPr>
                    <w:t>38.90855</w:t>
                  </w:r>
                </w:p>
              </w:tc>
              <w:tc>
                <w:tcPr>
                  <w:tcW w:w="513" w:type="pct"/>
                  <w:vAlign w:val="center"/>
                </w:tcPr>
                <w:p w14:paraId="4FD1B244">
                  <w:pPr>
                    <w:adjustRightInd w:val="0"/>
                    <w:snapToGrid w:val="0"/>
                    <w:jc w:val="center"/>
                    <w:rPr>
                      <w:rFonts w:hint="eastAsia" w:eastAsia="宋体"/>
                      <w:color w:val="auto"/>
                      <w:lang w:eastAsia="zh-CN"/>
                    </w:rPr>
                  </w:pPr>
                  <w:r>
                    <w:rPr>
                      <w:rFonts w:hint="eastAsia"/>
                      <w:color w:val="auto"/>
                      <w:szCs w:val="21"/>
                      <w:lang w:eastAsia="zh-CN"/>
                    </w:rPr>
                    <w:t>38.90855</w:t>
                  </w:r>
                </w:p>
              </w:tc>
              <w:tc>
                <w:tcPr>
                  <w:tcW w:w="555" w:type="pct"/>
                  <w:vAlign w:val="center"/>
                </w:tcPr>
                <w:p w14:paraId="3F58A64C">
                  <w:pPr>
                    <w:adjustRightInd w:val="0"/>
                    <w:snapToGrid w:val="0"/>
                    <w:jc w:val="center"/>
                    <w:rPr>
                      <w:color w:val="auto"/>
                    </w:rPr>
                  </w:pPr>
                  <w:r>
                    <w:rPr>
                      <w:rFonts w:hint="eastAsia"/>
                      <w:color w:val="auto"/>
                    </w:rPr>
                    <w:t>0</w:t>
                  </w:r>
                </w:p>
              </w:tc>
              <w:tc>
                <w:tcPr>
                  <w:tcW w:w="583" w:type="pct"/>
                  <w:vAlign w:val="center"/>
                </w:tcPr>
                <w:p w14:paraId="084F464C">
                  <w:pPr>
                    <w:adjustRightInd w:val="0"/>
                    <w:snapToGrid w:val="0"/>
                    <w:jc w:val="center"/>
                    <w:rPr>
                      <w:color w:val="auto"/>
                    </w:rPr>
                  </w:pPr>
                  <w:r>
                    <w:rPr>
                      <w:rFonts w:hint="eastAsia"/>
                      <w:color w:val="auto"/>
                    </w:rPr>
                    <w:t>0</w:t>
                  </w:r>
                </w:p>
              </w:tc>
              <w:tc>
                <w:tcPr>
                  <w:tcW w:w="668" w:type="pct"/>
                  <w:vAlign w:val="center"/>
                </w:tcPr>
                <w:p w14:paraId="4F8EB1EF">
                  <w:pPr>
                    <w:adjustRightInd w:val="0"/>
                    <w:snapToGrid w:val="0"/>
                    <w:jc w:val="center"/>
                    <w:rPr>
                      <w:color w:val="auto"/>
                    </w:rPr>
                  </w:pPr>
                  <w:r>
                    <w:rPr>
                      <w:rFonts w:hint="eastAsia"/>
                      <w:color w:val="auto"/>
                    </w:rPr>
                    <w:t>0</w:t>
                  </w:r>
                </w:p>
              </w:tc>
              <w:tc>
                <w:tcPr>
                  <w:tcW w:w="795" w:type="pct"/>
                  <w:vAlign w:val="center"/>
                </w:tcPr>
                <w:p w14:paraId="1F771B28">
                  <w:pPr>
                    <w:adjustRightInd w:val="0"/>
                    <w:snapToGrid w:val="0"/>
                    <w:jc w:val="center"/>
                    <w:rPr>
                      <w:color w:val="auto"/>
                    </w:rPr>
                  </w:pPr>
                  <w:r>
                    <w:rPr>
                      <w:rFonts w:hint="eastAsia"/>
                      <w:color w:val="auto"/>
                    </w:rPr>
                    <w:t>0</w:t>
                  </w:r>
                </w:p>
              </w:tc>
            </w:tr>
            <w:tr w14:paraId="46E9A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62" w:type="pct"/>
                  <w:vMerge w:val="continue"/>
                  <w:vAlign w:val="center"/>
                </w:tcPr>
                <w:p w14:paraId="20E696B5">
                  <w:pPr>
                    <w:adjustRightInd w:val="0"/>
                    <w:snapToGrid w:val="0"/>
                    <w:jc w:val="center"/>
                    <w:rPr>
                      <w:color w:val="auto"/>
                    </w:rPr>
                  </w:pPr>
                </w:p>
              </w:tc>
              <w:tc>
                <w:tcPr>
                  <w:tcW w:w="1065" w:type="pct"/>
                  <w:gridSpan w:val="2"/>
                  <w:vAlign w:val="center"/>
                </w:tcPr>
                <w:p w14:paraId="6195BD8D">
                  <w:pPr>
                    <w:adjustRightInd w:val="0"/>
                    <w:snapToGrid w:val="0"/>
                    <w:jc w:val="center"/>
                    <w:rPr>
                      <w:color w:val="auto"/>
                    </w:rPr>
                  </w:pPr>
                  <w:r>
                    <w:rPr>
                      <w:color w:val="auto"/>
                    </w:rPr>
                    <w:t>生活垃圾</w:t>
                  </w:r>
                </w:p>
              </w:tc>
              <w:tc>
                <w:tcPr>
                  <w:tcW w:w="554" w:type="pct"/>
                  <w:vAlign w:val="center"/>
                </w:tcPr>
                <w:p w14:paraId="0D470C80">
                  <w:pPr>
                    <w:jc w:val="center"/>
                    <w:rPr>
                      <w:color w:val="auto"/>
                    </w:rPr>
                  </w:pPr>
                  <w:r>
                    <w:rPr>
                      <w:rFonts w:hint="eastAsia"/>
                      <w:color w:val="auto"/>
                      <w:szCs w:val="21"/>
                    </w:rPr>
                    <w:t>64.8</w:t>
                  </w:r>
                </w:p>
              </w:tc>
              <w:tc>
                <w:tcPr>
                  <w:tcW w:w="513" w:type="pct"/>
                  <w:vAlign w:val="center"/>
                </w:tcPr>
                <w:p w14:paraId="43343216">
                  <w:pPr>
                    <w:jc w:val="center"/>
                    <w:rPr>
                      <w:color w:val="auto"/>
                    </w:rPr>
                  </w:pPr>
                  <w:r>
                    <w:rPr>
                      <w:rFonts w:hint="eastAsia"/>
                      <w:color w:val="auto"/>
                      <w:szCs w:val="21"/>
                    </w:rPr>
                    <w:t>64.8</w:t>
                  </w:r>
                </w:p>
              </w:tc>
              <w:tc>
                <w:tcPr>
                  <w:tcW w:w="555" w:type="pct"/>
                  <w:vAlign w:val="center"/>
                </w:tcPr>
                <w:p w14:paraId="7E9B0430">
                  <w:pPr>
                    <w:adjustRightInd w:val="0"/>
                    <w:snapToGrid w:val="0"/>
                    <w:jc w:val="center"/>
                    <w:rPr>
                      <w:color w:val="auto"/>
                    </w:rPr>
                  </w:pPr>
                  <w:r>
                    <w:rPr>
                      <w:rFonts w:hint="eastAsia"/>
                      <w:color w:val="auto"/>
                    </w:rPr>
                    <w:t>0</w:t>
                  </w:r>
                </w:p>
              </w:tc>
              <w:tc>
                <w:tcPr>
                  <w:tcW w:w="583" w:type="pct"/>
                  <w:vAlign w:val="center"/>
                </w:tcPr>
                <w:p w14:paraId="4A422AAA">
                  <w:pPr>
                    <w:adjustRightInd w:val="0"/>
                    <w:snapToGrid w:val="0"/>
                    <w:jc w:val="center"/>
                    <w:rPr>
                      <w:color w:val="auto"/>
                    </w:rPr>
                  </w:pPr>
                  <w:r>
                    <w:rPr>
                      <w:rFonts w:hint="eastAsia"/>
                      <w:color w:val="auto"/>
                    </w:rPr>
                    <w:t>0</w:t>
                  </w:r>
                </w:p>
              </w:tc>
              <w:tc>
                <w:tcPr>
                  <w:tcW w:w="668" w:type="pct"/>
                  <w:vAlign w:val="center"/>
                </w:tcPr>
                <w:p w14:paraId="3EB0B308">
                  <w:pPr>
                    <w:adjustRightInd w:val="0"/>
                    <w:snapToGrid w:val="0"/>
                    <w:jc w:val="center"/>
                    <w:rPr>
                      <w:color w:val="auto"/>
                    </w:rPr>
                  </w:pPr>
                  <w:r>
                    <w:rPr>
                      <w:rFonts w:hint="eastAsia"/>
                      <w:color w:val="auto"/>
                    </w:rPr>
                    <w:t>0</w:t>
                  </w:r>
                </w:p>
              </w:tc>
              <w:tc>
                <w:tcPr>
                  <w:tcW w:w="795" w:type="pct"/>
                  <w:vAlign w:val="center"/>
                </w:tcPr>
                <w:p w14:paraId="1D931EDD">
                  <w:pPr>
                    <w:adjustRightInd w:val="0"/>
                    <w:snapToGrid w:val="0"/>
                    <w:jc w:val="center"/>
                    <w:rPr>
                      <w:color w:val="auto"/>
                    </w:rPr>
                  </w:pPr>
                  <w:r>
                    <w:rPr>
                      <w:rFonts w:hint="eastAsia"/>
                      <w:color w:val="auto"/>
                    </w:rPr>
                    <w:t>0</w:t>
                  </w:r>
                </w:p>
              </w:tc>
            </w:tr>
          </w:tbl>
          <w:p w14:paraId="13D9D704">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废气：</w:t>
            </w:r>
          </w:p>
          <w:p w14:paraId="4E2A49B9">
            <w:pPr>
              <w:adjustRightInd w:val="0"/>
              <w:snapToGrid w:val="0"/>
              <w:spacing w:line="360" w:lineRule="auto"/>
              <w:ind w:firstLine="480" w:firstLineChars="200"/>
              <w:rPr>
                <w:color w:val="auto"/>
                <w:sz w:val="24"/>
              </w:rPr>
            </w:pPr>
            <w:r>
              <w:rPr>
                <w:color w:val="auto"/>
                <w:sz w:val="24"/>
              </w:rPr>
              <w:t>本项目大气污染物有组织排放量为：非甲烷总烃≤</w:t>
            </w:r>
            <w:r>
              <w:rPr>
                <w:rFonts w:hint="eastAsia"/>
                <w:color w:val="auto"/>
                <w:sz w:val="24"/>
                <w:lang w:eastAsia="zh-CN"/>
              </w:rPr>
              <w:t>0.28075</w:t>
            </w:r>
            <w:r>
              <w:rPr>
                <w:color w:val="auto"/>
                <w:sz w:val="24"/>
              </w:rPr>
              <w:t>t/a</w:t>
            </w:r>
            <w:r>
              <w:rPr>
                <w:rFonts w:hint="eastAsia"/>
                <w:color w:val="auto"/>
                <w:sz w:val="24"/>
              </w:rPr>
              <w:t>，苯乙烯</w:t>
            </w:r>
            <w:r>
              <w:rPr>
                <w:color w:val="auto"/>
                <w:sz w:val="24"/>
              </w:rPr>
              <w:t>≤0.</w:t>
            </w:r>
            <w:r>
              <w:rPr>
                <w:rFonts w:hint="eastAsia"/>
                <w:color w:val="auto"/>
                <w:sz w:val="24"/>
              </w:rPr>
              <w:t>0151</w:t>
            </w:r>
            <w:r>
              <w:rPr>
                <w:color w:val="auto"/>
                <w:sz w:val="24"/>
              </w:rPr>
              <w:t>t/a</w:t>
            </w:r>
            <w:r>
              <w:rPr>
                <w:rFonts w:hint="eastAsia"/>
                <w:color w:val="auto"/>
                <w:sz w:val="24"/>
              </w:rPr>
              <w:t>，二甲苯</w:t>
            </w:r>
            <w:r>
              <w:rPr>
                <w:color w:val="auto"/>
                <w:sz w:val="24"/>
              </w:rPr>
              <w:t>≤0.</w:t>
            </w:r>
            <w:r>
              <w:rPr>
                <w:rFonts w:hint="eastAsia"/>
                <w:color w:val="auto"/>
                <w:sz w:val="24"/>
              </w:rPr>
              <w:t>0057</w:t>
            </w:r>
            <w:r>
              <w:rPr>
                <w:color w:val="auto"/>
                <w:sz w:val="24"/>
              </w:rPr>
              <w:t>t/a</w:t>
            </w:r>
            <w:r>
              <w:rPr>
                <w:rFonts w:hint="eastAsia"/>
                <w:color w:val="auto"/>
                <w:sz w:val="24"/>
              </w:rPr>
              <w:t>，颗粒物</w:t>
            </w:r>
            <w:r>
              <w:rPr>
                <w:color w:val="auto"/>
                <w:sz w:val="24"/>
              </w:rPr>
              <w:t>≤</w:t>
            </w:r>
            <w:r>
              <w:rPr>
                <w:rFonts w:hint="eastAsia"/>
                <w:color w:val="auto"/>
                <w:sz w:val="24"/>
                <w:lang w:eastAsia="zh-CN"/>
              </w:rPr>
              <w:t>0.4621</w:t>
            </w:r>
            <w:r>
              <w:rPr>
                <w:color w:val="auto"/>
                <w:sz w:val="24"/>
              </w:rPr>
              <w:t>t/a</w:t>
            </w:r>
            <w:r>
              <w:rPr>
                <w:rFonts w:hint="eastAsia"/>
                <w:color w:val="auto"/>
                <w:sz w:val="24"/>
              </w:rPr>
              <w:t>，氮氧化物</w:t>
            </w:r>
            <w:r>
              <w:rPr>
                <w:color w:val="auto"/>
                <w:sz w:val="24"/>
              </w:rPr>
              <w:t>≤0.</w:t>
            </w:r>
            <w:r>
              <w:rPr>
                <w:rFonts w:hint="eastAsia"/>
                <w:color w:val="auto"/>
                <w:sz w:val="24"/>
              </w:rPr>
              <w:t>27489</w:t>
            </w:r>
            <w:r>
              <w:rPr>
                <w:color w:val="auto"/>
                <w:sz w:val="24"/>
              </w:rPr>
              <w:t>t/a</w:t>
            </w:r>
            <w:r>
              <w:rPr>
                <w:rFonts w:hint="eastAsia"/>
                <w:color w:val="auto"/>
                <w:sz w:val="24"/>
              </w:rPr>
              <w:t>，二氧化硫</w:t>
            </w:r>
            <w:r>
              <w:rPr>
                <w:color w:val="auto"/>
                <w:sz w:val="24"/>
              </w:rPr>
              <w:t>≤0.</w:t>
            </w:r>
            <w:r>
              <w:rPr>
                <w:rFonts w:hint="eastAsia"/>
                <w:color w:val="auto"/>
                <w:sz w:val="24"/>
              </w:rPr>
              <w:t>00588</w:t>
            </w:r>
            <w:r>
              <w:rPr>
                <w:color w:val="auto"/>
                <w:sz w:val="24"/>
              </w:rPr>
              <w:t>t/a。</w:t>
            </w:r>
          </w:p>
          <w:p w14:paraId="260E46C4">
            <w:pPr>
              <w:adjustRightInd w:val="0"/>
              <w:snapToGrid w:val="0"/>
              <w:spacing w:line="360" w:lineRule="auto"/>
              <w:ind w:firstLine="480" w:firstLineChars="200"/>
              <w:rPr>
                <w:color w:val="auto"/>
                <w:sz w:val="24"/>
              </w:rPr>
            </w:pPr>
            <w:r>
              <w:rPr>
                <w:color w:val="auto"/>
                <w:sz w:val="24"/>
              </w:rPr>
              <w:t>本项目大气污染物无组织排放量为：非甲烷总烃≤</w:t>
            </w:r>
            <w:r>
              <w:rPr>
                <w:rFonts w:hint="eastAsia"/>
                <w:color w:val="auto"/>
                <w:sz w:val="24"/>
                <w:lang w:eastAsia="zh-CN"/>
              </w:rPr>
              <w:t>0.418</w:t>
            </w:r>
            <w:r>
              <w:rPr>
                <w:color w:val="auto"/>
                <w:sz w:val="24"/>
              </w:rPr>
              <w:t>t/a</w:t>
            </w:r>
            <w:r>
              <w:rPr>
                <w:rFonts w:hint="eastAsia"/>
                <w:color w:val="auto"/>
                <w:sz w:val="24"/>
              </w:rPr>
              <w:t>，苯乙烯</w:t>
            </w:r>
            <w:r>
              <w:rPr>
                <w:color w:val="auto"/>
                <w:sz w:val="24"/>
              </w:rPr>
              <w:t>≤0.</w:t>
            </w:r>
            <w:r>
              <w:rPr>
                <w:rFonts w:hint="eastAsia"/>
                <w:color w:val="auto"/>
                <w:sz w:val="24"/>
              </w:rPr>
              <w:t>0379</w:t>
            </w:r>
            <w:r>
              <w:rPr>
                <w:color w:val="auto"/>
                <w:sz w:val="24"/>
              </w:rPr>
              <w:t>t/a</w:t>
            </w:r>
            <w:r>
              <w:rPr>
                <w:rFonts w:hint="eastAsia"/>
                <w:color w:val="auto"/>
                <w:sz w:val="24"/>
              </w:rPr>
              <w:t>，二甲苯</w:t>
            </w:r>
            <w:r>
              <w:rPr>
                <w:color w:val="auto"/>
                <w:sz w:val="24"/>
              </w:rPr>
              <w:t>≤0.</w:t>
            </w:r>
            <w:r>
              <w:rPr>
                <w:rFonts w:hint="eastAsia"/>
                <w:color w:val="auto"/>
                <w:sz w:val="24"/>
              </w:rPr>
              <w:t>003</w:t>
            </w:r>
            <w:r>
              <w:rPr>
                <w:color w:val="auto"/>
                <w:sz w:val="24"/>
              </w:rPr>
              <w:t>t/a</w:t>
            </w:r>
            <w:r>
              <w:rPr>
                <w:rFonts w:hint="eastAsia"/>
                <w:color w:val="auto"/>
                <w:sz w:val="24"/>
              </w:rPr>
              <w:t>，颗粒物</w:t>
            </w:r>
            <w:r>
              <w:rPr>
                <w:color w:val="auto"/>
                <w:sz w:val="24"/>
              </w:rPr>
              <w:t>≤</w:t>
            </w:r>
            <w:r>
              <w:rPr>
                <w:rFonts w:hint="eastAsia"/>
                <w:color w:val="auto"/>
                <w:sz w:val="24"/>
                <w:lang w:eastAsia="zh-CN"/>
              </w:rPr>
              <w:t>0.6678</w:t>
            </w:r>
            <w:r>
              <w:rPr>
                <w:color w:val="auto"/>
                <w:sz w:val="24"/>
              </w:rPr>
              <w:t>t/a。</w:t>
            </w:r>
          </w:p>
          <w:p w14:paraId="666E59B8">
            <w:pPr>
              <w:adjustRightInd w:val="0"/>
              <w:snapToGrid w:val="0"/>
              <w:spacing w:line="360" w:lineRule="auto"/>
              <w:ind w:firstLine="482" w:firstLineChars="200"/>
              <w:rPr>
                <w:b/>
                <w:color w:val="auto"/>
                <w:sz w:val="24"/>
              </w:rPr>
            </w:pPr>
            <w:r>
              <w:rPr>
                <w:rFonts w:hint="eastAsia"/>
                <w:b/>
                <w:color w:val="auto"/>
                <w:sz w:val="24"/>
                <w:lang w:eastAsia="zh-CN"/>
              </w:rPr>
              <w:t>(2)</w:t>
            </w:r>
            <w:r>
              <w:rPr>
                <w:b/>
                <w:color w:val="auto"/>
                <w:sz w:val="24"/>
              </w:rPr>
              <w:t>废水：</w:t>
            </w:r>
          </w:p>
          <w:p w14:paraId="43C4770B">
            <w:pPr>
              <w:adjustRightInd w:val="0"/>
              <w:snapToGrid w:val="0"/>
              <w:spacing w:line="360" w:lineRule="auto"/>
              <w:ind w:firstLine="480" w:firstLineChars="200"/>
              <w:rPr>
                <w:color w:val="auto"/>
                <w:sz w:val="24"/>
              </w:rPr>
            </w:pPr>
            <w:r>
              <w:rPr>
                <w:color w:val="auto"/>
                <w:sz w:val="24"/>
              </w:rPr>
              <w:t>本项目建成后废水达标接管涟水</w:t>
            </w:r>
            <w:r>
              <w:rPr>
                <w:rFonts w:hint="eastAsia"/>
                <w:color w:val="auto"/>
                <w:sz w:val="24"/>
              </w:rPr>
              <w:t>空港产业园</w:t>
            </w:r>
            <w:r>
              <w:rPr>
                <w:color w:val="auto"/>
                <w:sz w:val="24"/>
              </w:rPr>
              <w:t>污水处理厂。废水接管量为</w:t>
            </w:r>
            <w:r>
              <w:rPr>
                <w:rFonts w:hint="eastAsia"/>
                <w:color w:val="auto"/>
                <w:sz w:val="24"/>
              </w:rPr>
              <w:t>12015</w:t>
            </w:r>
            <w:r>
              <w:rPr>
                <w:color w:val="auto"/>
                <w:sz w:val="24"/>
              </w:rPr>
              <w:t>m</w:t>
            </w:r>
            <w:r>
              <w:rPr>
                <w:color w:val="auto"/>
                <w:sz w:val="24"/>
                <w:vertAlign w:val="superscript"/>
              </w:rPr>
              <w:t>3</w:t>
            </w:r>
            <w:r>
              <w:rPr>
                <w:color w:val="auto"/>
                <w:sz w:val="24"/>
              </w:rPr>
              <w:t>/a，各污染物接管量如下：COD</w:t>
            </w:r>
            <w:r>
              <w:rPr>
                <w:rFonts w:hint="eastAsia"/>
                <w:color w:val="auto"/>
                <w:sz w:val="24"/>
              </w:rPr>
              <w:t>3.0152</w:t>
            </w:r>
            <w:r>
              <w:rPr>
                <w:color w:val="auto"/>
                <w:sz w:val="24"/>
              </w:rPr>
              <w:t>t/a、SS</w:t>
            </w:r>
            <w:r>
              <w:rPr>
                <w:rFonts w:hint="eastAsia"/>
                <w:color w:val="auto"/>
                <w:sz w:val="24"/>
              </w:rPr>
              <w:t>1.3284</w:t>
            </w:r>
            <w:r>
              <w:rPr>
                <w:color w:val="auto"/>
                <w:sz w:val="24"/>
              </w:rPr>
              <w:t>t/a、氨氮</w:t>
            </w:r>
            <w:r>
              <w:rPr>
                <w:rFonts w:hint="eastAsia"/>
                <w:color w:val="auto"/>
                <w:sz w:val="24"/>
              </w:rPr>
              <w:t>0.3357</w:t>
            </w:r>
            <w:r>
              <w:rPr>
                <w:color w:val="auto"/>
                <w:sz w:val="24"/>
              </w:rPr>
              <w:t>t/a、TP0.0</w:t>
            </w:r>
            <w:r>
              <w:rPr>
                <w:rFonts w:hint="eastAsia"/>
                <w:color w:val="auto"/>
                <w:sz w:val="24"/>
              </w:rPr>
              <w:t>322</w:t>
            </w:r>
            <w:r>
              <w:rPr>
                <w:color w:val="auto"/>
                <w:sz w:val="24"/>
              </w:rPr>
              <w:t>t/a、TN</w:t>
            </w:r>
            <w:r>
              <w:rPr>
                <w:rFonts w:hint="eastAsia"/>
                <w:color w:val="auto"/>
                <w:sz w:val="24"/>
              </w:rPr>
              <w:t>0.2268</w:t>
            </w:r>
            <w:r>
              <w:rPr>
                <w:color w:val="auto"/>
                <w:sz w:val="24"/>
              </w:rPr>
              <w:t>t/a</w:t>
            </w:r>
            <w:r>
              <w:rPr>
                <w:rFonts w:hint="eastAsia"/>
                <w:color w:val="auto"/>
                <w:sz w:val="24"/>
              </w:rPr>
              <w:t>、石油类0.1269t/a、LAS0.0952t/a、动植物油0.1296t/a。</w:t>
            </w:r>
          </w:p>
          <w:p w14:paraId="5617C359">
            <w:pPr>
              <w:adjustRightInd w:val="0"/>
              <w:snapToGrid w:val="0"/>
              <w:spacing w:line="360" w:lineRule="auto"/>
              <w:ind w:firstLine="482" w:firstLineChars="200"/>
              <w:rPr>
                <w:b/>
                <w:color w:val="auto"/>
                <w:sz w:val="24"/>
              </w:rPr>
            </w:pPr>
            <w:r>
              <w:rPr>
                <w:rFonts w:hint="eastAsia"/>
                <w:b/>
                <w:color w:val="auto"/>
                <w:sz w:val="24"/>
                <w:lang w:eastAsia="zh-CN"/>
              </w:rPr>
              <w:t>(3)</w:t>
            </w:r>
            <w:r>
              <w:rPr>
                <w:b/>
                <w:color w:val="auto"/>
                <w:sz w:val="24"/>
              </w:rPr>
              <w:t>固废：</w:t>
            </w:r>
          </w:p>
          <w:p w14:paraId="4B01F02E">
            <w:pPr>
              <w:adjustRightInd w:val="0"/>
              <w:snapToGrid w:val="0"/>
              <w:spacing w:line="360" w:lineRule="auto"/>
              <w:ind w:firstLine="480" w:firstLineChars="200"/>
              <w:rPr>
                <w:color w:val="auto"/>
                <w:sz w:val="24"/>
              </w:rPr>
            </w:pPr>
            <w:r>
              <w:rPr>
                <w:color w:val="auto"/>
                <w:sz w:val="24"/>
              </w:rPr>
              <w:t>本项目建成后固体废物均得到有效</w:t>
            </w:r>
            <w:r>
              <w:rPr>
                <w:rFonts w:hint="eastAsia"/>
                <w:color w:val="auto"/>
                <w:sz w:val="24"/>
                <w:lang w:eastAsia="zh-CN"/>
              </w:rPr>
              <w:t>地</w:t>
            </w:r>
            <w:r>
              <w:rPr>
                <w:color w:val="auto"/>
                <w:sz w:val="24"/>
              </w:rPr>
              <w:t>处理处置，可以实现零排放，无需申请总量。</w:t>
            </w:r>
          </w:p>
          <w:p w14:paraId="0ABE7977">
            <w:pPr>
              <w:adjustRightInd w:val="0"/>
              <w:snapToGrid w:val="0"/>
              <w:spacing w:line="360" w:lineRule="auto"/>
              <w:ind w:firstLine="420" w:firstLineChars="200"/>
              <w:rPr>
                <w:color w:val="auto"/>
                <w:kern w:val="0"/>
              </w:rPr>
            </w:pPr>
          </w:p>
        </w:tc>
      </w:tr>
    </w:tbl>
    <w:p w14:paraId="3FD7AE3E">
      <w:pPr>
        <w:adjustRightInd w:val="0"/>
        <w:snapToGrid w:val="0"/>
        <w:spacing w:line="360" w:lineRule="auto"/>
        <w:ind w:firstLine="480" w:firstLineChars="200"/>
        <w:rPr>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94F2D0E">
      <w:pPr>
        <w:pStyle w:val="84"/>
        <w:ind w:firstLine="3000" w:firstLineChars="1000"/>
        <w:outlineLvl w:val="0"/>
        <w:rPr>
          <w:rFonts w:ascii="Times New Roman" w:hAnsi="Times New Roman"/>
          <w:snapToGrid w:val="0"/>
          <w:color w:val="auto"/>
          <w:sz w:val="30"/>
          <w:szCs w:val="30"/>
        </w:rPr>
      </w:pPr>
      <w:bookmarkStart w:id="7" w:name="_Toc116313305"/>
      <w:r>
        <w:rPr>
          <w:rFonts w:ascii="Times New Roman" w:hAnsi="Times New Roman"/>
          <w:snapToGrid w:val="0"/>
          <w:color w:val="auto"/>
          <w:sz w:val="30"/>
          <w:szCs w:val="30"/>
        </w:rPr>
        <w:t>四、主要环境影响和保护措施</w:t>
      </w:r>
      <w:bookmarkEnd w:id="7"/>
    </w:p>
    <w:tbl>
      <w:tblPr>
        <w:tblStyle w:val="8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14:paraId="61D1B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7" w:hRule="atLeast"/>
          <w:jc w:val="center"/>
        </w:trPr>
        <w:tc>
          <w:tcPr>
            <w:tcW w:w="295" w:type="dxa"/>
            <w:tcMar>
              <w:left w:w="28" w:type="dxa"/>
              <w:right w:w="28" w:type="dxa"/>
            </w:tcMar>
            <w:vAlign w:val="center"/>
          </w:tcPr>
          <w:p w14:paraId="6D82B79C">
            <w:pPr>
              <w:pStyle w:val="84"/>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color w:val="auto"/>
                <w:kern w:val="2"/>
                <w:szCs w:val="24"/>
              </w:rPr>
              <w:t>施工期环境保护措施</w:t>
            </w:r>
          </w:p>
        </w:tc>
        <w:tc>
          <w:tcPr>
            <w:tcW w:w="8686" w:type="dxa"/>
          </w:tcPr>
          <w:p w14:paraId="3F70B334">
            <w:pPr>
              <w:adjustRightInd w:val="0"/>
              <w:snapToGrid w:val="0"/>
              <w:spacing w:line="360" w:lineRule="auto"/>
              <w:ind w:firstLine="480" w:firstLineChars="200"/>
              <w:rPr>
                <w:color w:val="auto"/>
                <w:sz w:val="24"/>
              </w:rPr>
            </w:pPr>
            <w:r>
              <w:rPr>
                <w:color w:val="auto"/>
                <w:sz w:val="24"/>
              </w:rPr>
              <w:t>本项目新增用地，在现有空地进行场地平整、厂房建设，本项目施工期约</w:t>
            </w:r>
            <w:r>
              <w:rPr>
                <w:rFonts w:hint="eastAsia"/>
                <w:color w:val="auto"/>
                <w:sz w:val="24"/>
                <w:lang w:val="en-US" w:eastAsia="zh-CN"/>
              </w:rPr>
              <w:t>1年</w:t>
            </w:r>
            <w:r>
              <w:rPr>
                <w:color w:val="auto"/>
                <w:sz w:val="24"/>
              </w:rPr>
              <w:t>。</w:t>
            </w:r>
          </w:p>
          <w:p w14:paraId="6B62FC66">
            <w:pPr>
              <w:adjustRightInd w:val="0"/>
              <w:snapToGrid w:val="0"/>
              <w:spacing w:line="360" w:lineRule="auto"/>
              <w:ind w:firstLine="480" w:firstLineChars="200"/>
              <w:rPr>
                <w:color w:val="auto"/>
                <w:sz w:val="24"/>
              </w:rPr>
            </w:pPr>
            <w:r>
              <w:rPr>
                <w:color w:val="auto"/>
                <w:sz w:val="24"/>
              </w:rPr>
              <w:t>（一）废气污染防治措施分析</w:t>
            </w:r>
          </w:p>
          <w:p w14:paraId="0F0E8882">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施工扬尘</w:t>
            </w:r>
          </w:p>
          <w:p w14:paraId="593FE76F">
            <w:pPr>
              <w:adjustRightInd w:val="0"/>
              <w:snapToGrid w:val="0"/>
              <w:spacing w:line="360" w:lineRule="auto"/>
              <w:ind w:firstLine="480" w:firstLineChars="200"/>
              <w:rPr>
                <w:color w:val="auto"/>
                <w:sz w:val="24"/>
              </w:rPr>
            </w:pPr>
            <w:r>
              <w:rPr>
                <w:color w:val="auto"/>
                <w:sz w:val="24"/>
              </w:rPr>
              <w:t>①对施工现场实行合理化管理，使砂石料统一堆放，水泥应在专门库房堆放，并尽量减少搬运环节，搬运时做到轻举轻放，防止包装袋破裂；</w:t>
            </w:r>
          </w:p>
          <w:p w14:paraId="3DCA761E">
            <w:pPr>
              <w:adjustRightInd w:val="0"/>
              <w:snapToGrid w:val="0"/>
              <w:spacing w:line="360" w:lineRule="auto"/>
              <w:ind w:firstLine="480" w:firstLineChars="200"/>
              <w:rPr>
                <w:color w:val="auto"/>
                <w:sz w:val="24"/>
              </w:rPr>
            </w:pPr>
            <w:r>
              <w:rPr>
                <w:color w:val="auto"/>
                <w:sz w:val="24"/>
              </w:rPr>
              <w:t>②开挖时，对作业面和土堆适当喷水，使其保持一定湿度，以减少扬尘量，而且开挖的泥土和建筑垃圾要及时运走，以防长期堆放表面干燥而起尘或被雨水冲刷；</w:t>
            </w:r>
          </w:p>
          <w:p w14:paraId="20C5DB32">
            <w:pPr>
              <w:adjustRightInd w:val="0"/>
              <w:snapToGrid w:val="0"/>
              <w:spacing w:line="360" w:lineRule="auto"/>
              <w:ind w:firstLine="480" w:firstLineChars="200"/>
              <w:rPr>
                <w:color w:val="auto"/>
                <w:sz w:val="24"/>
              </w:rPr>
            </w:pPr>
            <w:r>
              <w:rPr>
                <w:color w:val="auto"/>
                <w:sz w:val="24"/>
              </w:rPr>
              <w:t>③运输车辆应完好，不应装载过满，并尽量采取遮盖、密闭措施，减少沿途抛洒，并及时清扫散落在路面上的泥土和建筑材料，冲洗轮胎，定时洒水压尘，以减少运输过程中的扬尘；</w:t>
            </w:r>
          </w:p>
          <w:p w14:paraId="0E1B60FF">
            <w:pPr>
              <w:adjustRightInd w:val="0"/>
              <w:snapToGrid w:val="0"/>
              <w:spacing w:line="360" w:lineRule="auto"/>
              <w:ind w:firstLine="480" w:firstLineChars="200"/>
              <w:rPr>
                <w:color w:val="auto"/>
                <w:sz w:val="24"/>
              </w:rPr>
            </w:pPr>
            <w:r>
              <w:rPr>
                <w:color w:val="auto"/>
                <w:sz w:val="24"/>
              </w:rPr>
              <w:t>④应首选使用商品混凝土，因需要必须进行现场</w:t>
            </w:r>
            <w:r>
              <w:rPr>
                <w:rFonts w:hint="eastAsia"/>
                <w:color w:val="auto"/>
                <w:sz w:val="24"/>
                <w:lang w:eastAsia="zh-CN"/>
              </w:rPr>
              <w:t>预拌砂浆</w:t>
            </w:r>
            <w:r>
              <w:rPr>
                <w:color w:val="auto"/>
                <w:sz w:val="24"/>
              </w:rPr>
              <w:t>、混凝土时，应尽量做到不洒、不漏、不剩、不倒；混凝土搅拌应设置在棚内，搅拌时要有喷雾降尘措施；</w:t>
            </w:r>
          </w:p>
          <w:p w14:paraId="7148F298">
            <w:pPr>
              <w:adjustRightInd w:val="0"/>
              <w:snapToGrid w:val="0"/>
              <w:spacing w:line="360" w:lineRule="auto"/>
              <w:ind w:left="480"/>
              <w:rPr>
                <w:color w:val="auto"/>
                <w:sz w:val="24"/>
              </w:rPr>
            </w:pPr>
            <w:r>
              <w:rPr>
                <w:rFonts w:hint="eastAsia" w:ascii="宋体" w:hAnsi="宋体" w:cs="宋体"/>
                <w:color w:val="auto"/>
                <w:sz w:val="24"/>
              </w:rPr>
              <w:t>⑤</w:t>
            </w:r>
            <w:r>
              <w:rPr>
                <w:color w:val="auto"/>
                <w:sz w:val="24"/>
              </w:rPr>
              <w:t>施工现场要设围栏或部分围栏，缩小施工扬尘扩散范围；</w:t>
            </w:r>
          </w:p>
          <w:p w14:paraId="14A4BA78">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6 \* GB3 </w:instrText>
            </w:r>
            <w:r>
              <w:rPr>
                <w:color w:val="auto"/>
                <w:sz w:val="24"/>
              </w:rPr>
              <w:fldChar w:fldCharType="separate"/>
            </w:r>
            <w:r>
              <w:rPr>
                <w:color w:val="auto"/>
                <w:sz w:val="24"/>
              </w:rPr>
              <w:t>⑥</w:t>
            </w:r>
            <w:r>
              <w:rPr>
                <w:color w:val="auto"/>
                <w:sz w:val="24"/>
              </w:rPr>
              <w:fldChar w:fldCharType="end"/>
            </w:r>
            <w:r>
              <w:rPr>
                <w:color w:val="auto"/>
                <w:sz w:val="24"/>
              </w:rPr>
              <w:t>当风速过大时，应停止施工作业，并对堆存的砂粉等建筑材料采取遮盖措施。</w:t>
            </w:r>
          </w:p>
          <w:p w14:paraId="04D6F0FE">
            <w:pPr>
              <w:adjustRightInd w:val="0"/>
              <w:snapToGrid w:val="0"/>
              <w:spacing w:line="360" w:lineRule="auto"/>
              <w:ind w:firstLine="480" w:firstLineChars="200"/>
              <w:rPr>
                <w:color w:val="auto"/>
                <w:sz w:val="24"/>
              </w:rPr>
            </w:pPr>
            <w:r>
              <w:rPr>
                <w:color w:val="auto"/>
                <w:sz w:val="24"/>
              </w:rPr>
              <w:t>本项目所在地区风速相对较小，只有在大风及干燥天气施工，施工现场</w:t>
            </w:r>
            <w:r>
              <w:rPr>
                <w:rFonts w:hint="eastAsia"/>
                <w:color w:val="auto"/>
                <w:sz w:val="24"/>
                <w:lang w:eastAsia="zh-CN"/>
              </w:rPr>
              <w:t>及</w:t>
            </w:r>
            <w:r>
              <w:rPr>
                <w:color w:val="auto"/>
                <w:sz w:val="24"/>
              </w:rPr>
              <w:t>下风向将有较多粉尘存在。通过洒水抑尘、封闭施工、保持施工场地路面清洁等措施，预计施工产生的粉尘可满足《施工场地扬尘排放标准》（DB32/4437-2022）表1限值，对周围环境影响不大。</w:t>
            </w:r>
          </w:p>
          <w:p w14:paraId="2DB30439">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房屋装修的油漆废气</w:t>
            </w:r>
          </w:p>
          <w:p w14:paraId="011C57BA">
            <w:pPr>
              <w:adjustRightInd w:val="0"/>
              <w:snapToGrid w:val="0"/>
              <w:spacing w:line="360" w:lineRule="auto"/>
              <w:ind w:firstLine="480" w:firstLineChars="200"/>
              <w:rPr>
                <w:color w:val="auto"/>
                <w:sz w:val="24"/>
              </w:rPr>
            </w:pPr>
            <w:r>
              <w:rPr>
                <w:color w:val="auto"/>
                <w:sz w:val="24"/>
              </w:rPr>
              <w:t>装修阶段对环境产生污染的材料主要是人造板、饰面人造板以及</w:t>
            </w:r>
            <w:r>
              <w:rPr>
                <w:rFonts w:hint="eastAsia"/>
                <w:color w:val="auto"/>
                <w:sz w:val="24"/>
                <w:lang w:eastAsia="zh-CN"/>
              </w:rPr>
              <w:t>涂料</w:t>
            </w:r>
            <w:r>
              <w:rPr>
                <w:color w:val="auto"/>
                <w:sz w:val="24"/>
              </w:rPr>
              <w:t>、涂料等有机溶剂。其主要污染因子为挥发性有机物，但排放量、排放时间和部位都不能十分明确，尤其是装修阶段随机性大，时间跨度很长。</w:t>
            </w:r>
          </w:p>
          <w:p w14:paraId="59CD26BF">
            <w:pPr>
              <w:adjustRightInd w:val="0"/>
              <w:snapToGrid w:val="0"/>
              <w:spacing w:line="360" w:lineRule="auto"/>
              <w:ind w:firstLine="480" w:firstLineChars="200"/>
              <w:rPr>
                <w:color w:val="auto"/>
                <w:sz w:val="24"/>
              </w:rPr>
            </w:pPr>
            <w:r>
              <w:rPr>
                <w:color w:val="auto"/>
                <w:sz w:val="24"/>
              </w:rPr>
              <w:t>装修阶段的有机废气排放周期短，且作业点分散，因此，在装修</w:t>
            </w:r>
            <w:r>
              <w:rPr>
                <w:rFonts w:hint="eastAsia"/>
                <w:color w:val="auto"/>
                <w:sz w:val="24"/>
                <w:lang w:eastAsia="zh-CN"/>
              </w:rPr>
              <w:t>涂料</w:t>
            </w:r>
            <w:r>
              <w:rPr>
                <w:color w:val="auto"/>
                <w:sz w:val="24"/>
              </w:rPr>
              <w:t>期间，应加强室内的通风换气。建设单位装修采用环保漆料、水性涂料和环保材料，减少有机废气产生量，并加强通风，有利于产生的有害物质扩散。</w:t>
            </w:r>
          </w:p>
          <w:p w14:paraId="6EEF86B6">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汽车尾气</w:t>
            </w:r>
          </w:p>
          <w:p w14:paraId="1CA2CCA9">
            <w:pPr>
              <w:adjustRightInd w:val="0"/>
              <w:snapToGrid w:val="0"/>
              <w:spacing w:line="360" w:lineRule="auto"/>
              <w:ind w:firstLine="480" w:firstLineChars="200"/>
              <w:rPr>
                <w:color w:val="auto"/>
                <w:sz w:val="24"/>
              </w:rPr>
            </w:pPr>
            <w:r>
              <w:rPr>
                <w:color w:val="auto"/>
                <w:sz w:val="24"/>
              </w:rPr>
              <w:t>施工期产生的交通废气通过采用可行的控制措施，可减轻污染程度，缩小其影响范围。</w:t>
            </w:r>
          </w:p>
          <w:p w14:paraId="507D5515">
            <w:pPr>
              <w:adjustRightInd w:val="0"/>
              <w:snapToGrid w:val="0"/>
              <w:spacing w:line="360" w:lineRule="auto"/>
              <w:ind w:firstLine="480" w:firstLineChars="200"/>
              <w:rPr>
                <w:color w:val="auto"/>
                <w:sz w:val="24"/>
              </w:rPr>
            </w:pPr>
            <w:r>
              <w:rPr>
                <w:color w:val="auto"/>
                <w:sz w:val="24"/>
              </w:rPr>
              <w:t>①燃油机车和施工机械尽可能使用柴油，若使用汽油，必须使用无铅汽油。</w:t>
            </w:r>
          </w:p>
          <w:p w14:paraId="683E55A8">
            <w:pPr>
              <w:adjustRightInd w:val="0"/>
              <w:snapToGrid w:val="0"/>
              <w:spacing w:line="360" w:lineRule="auto"/>
              <w:ind w:firstLine="480" w:firstLineChars="200"/>
              <w:rPr>
                <w:color w:val="auto"/>
                <w:sz w:val="24"/>
              </w:rPr>
            </w:pPr>
            <w:r>
              <w:rPr>
                <w:color w:val="auto"/>
                <w:sz w:val="24"/>
              </w:rPr>
              <w:t>②建议对排烟量大的施工机械安装消烟装置，以减轻对大气环境的污染。</w:t>
            </w:r>
          </w:p>
          <w:p w14:paraId="5F87F858">
            <w:pPr>
              <w:adjustRightInd w:val="0"/>
              <w:snapToGrid w:val="0"/>
              <w:spacing w:line="360" w:lineRule="auto"/>
              <w:ind w:firstLine="480" w:firstLineChars="200"/>
              <w:rPr>
                <w:color w:val="auto"/>
                <w:sz w:val="24"/>
              </w:rPr>
            </w:pPr>
            <w:r>
              <w:rPr>
                <w:color w:val="auto"/>
                <w:sz w:val="24"/>
              </w:rPr>
              <w:t>综上所述，通过加强施工管理，采取以上一系列措施，可大幅度降低施工造成的大气污染影响，施工期废气污染防治措施具有可行性。</w:t>
            </w:r>
          </w:p>
          <w:p w14:paraId="4856D564">
            <w:pPr>
              <w:adjustRightInd w:val="0"/>
              <w:snapToGrid w:val="0"/>
              <w:spacing w:line="360" w:lineRule="auto"/>
              <w:ind w:firstLine="480" w:firstLineChars="200"/>
              <w:rPr>
                <w:color w:val="auto"/>
                <w:sz w:val="24"/>
              </w:rPr>
            </w:pPr>
            <w:r>
              <w:rPr>
                <w:color w:val="auto"/>
                <w:sz w:val="24"/>
              </w:rPr>
              <w:t>（二）废水污染防治措施分析</w:t>
            </w:r>
          </w:p>
          <w:p w14:paraId="6EE98534">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施工人员生活污水</w:t>
            </w:r>
          </w:p>
          <w:p w14:paraId="29BE0287">
            <w:pPr>
              <w:adjustRightInd w:val="0"/>
              <w:snapToGrid w:val="0"/>
              <w:spacing w:line="360" w:lineRule="auto"/>
              <w:ind w:firstLine="480" w:firstLineChars="200"/>
              <w:rPr>
                <w:color w:val="auto"/>
                <w:sz w:val="24"/>
              </w:rPr>
            </w:pPr>
            <w:r>
              <w:rPr>
                <w:color w:val="auto"/>
                <w:sz w:val="24"/>
              </w:rPr>
              <w:t>建议在施工人员驻地设简易化粪池对生活污水进行预处理，处理后的生活污水</w:t>
            </w:r>
            <w:r>
              <w:rPr>
                <w:rFonts w:hint="eastAsia"/>
                <w:color w:val="auto"/>
                <w:sz w:val="24"/>
              </w:rPr>
              <w:t>接管污水管网</w:t>
            </w:r>
            <w:r>
              <w:rPr>
                <w:color w:val="auto"/>
                <w:sz w:val="24"/>
              </w:rPr>
              <w:t>排入涟水</w:t>
            </w:r>
            <w:r>
              <w:rPr>
                <w:rFonts w:hint="eastAsia"/>
                <w:color w:val="auto"/>
                <w:sz w:val="24"/>
              </w:rPr>
              <w:t>县空港产业园</w:t>
            </w:r>
            <w:r>
              <w:rPr>
                <w:color w:val="auto"/>
                <w:sz w:val="24"/>
              </w:rPr>
              <w:t>污水处理厂集中处置，污水处理厂处理达到《城镇污水处理厂污染物排放标准》(GB18918-2002</w:t>
            </w:r>
            <w:r>
              <w:rPr>
                <w:rFonts w:hint="eastAsia"/>
                <w:color w:val="auto"/>
                <w:sz w:val="24"/>
                <w:lang w:eastAsia="zh-CN"/>
              </w:rPr>
              <w:t>）</w:t>
            </w:r>
            <w:r>
              <w:rPr>
                <w:color w:val="auto"/>
                <w:sz w:val="24"/>
              </w:rPr>
              <w:t>一级A，尾水排入</w:t>
            </w:r>
            <w:r>
              <w:rPr>
                <w:rFonts w:hint="eastAsia"/>
                <w:color w:val="auto"/>
                <w:sz w:val="24"/>
              </w:rPr>
              <w:t>盐</w:t>
            </w:r>
            <w:r>
              <w:rPr>
                <w:color w:val="auto"/>
                <w:sz w:val="24"/>
              </w:rPr>
              <w:t>河。</w:t>
            </w:r>
          </w:p>
          <w:p w14:paraId="6CEF31CE">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施工机械冲洗废水</w:t>
            </w:r>
          </w:p>
          <w:p w14:paraId="6B6391D7">
            <w:pPr>
              <w:adjustRightInd w:val="0"/>
              <w:snapToGrid w:val="0"/>
              <w:spacing w:line="360" w:lineRule="auto"/>
              <w:ind w:firstLine="480" w:firstLineChars="200"/>
              <w:rPr>
                <w:color w:val="auto"/>
                <w:sz w:val="24"/>
              </w:rPr>
            </w:pPr>
            <w:r>
              <w:rPr>
                <w:color w:val="auto"/>
                <w:sz w:val="24"/>
              </w:rPr>
              <w:t>本项目施工时修建临时沉淀池，对泥浆废水进行沉淀澄清处理后回用，用于地面冲洗、构件与建筑材料的保湿、材料的拌制和施工场地抑尘洒水，不排放。</w:t>
            </w:r>
          </w:p>
          <w:p w14:paraId="0FB4921D">
            <w:pPr>
              <w:adjustRightInd w:val="0"/>
              <w:snapToGrid w:val="0"/>
              <w:spacing w:line="360" w:lineRule="auto"/>
              <w:ind w:firstLine="480" w:firstLineChars="200"/>
              <w:rPr>
                <w:color w:val="auto"/>
                <w:sz w:val="24"/>
              </w:rPr>
            </w:pPr>
            <w:r>
              <w:rPr>
                <w:color w:val="auto"/>
                <w:sz w:val="24"/>
              </w:rPr>
              <w:t>（三）噪声污染防治措施分析</w:t>
            </w:r>
          </w:p>
          <w:p w14:paraId="03F26E51">
            <w:pPr>
              <w:adjustRightInd w:val="0"/>
              <w:snapToGrid w:val="0"/>
              <w:spacing w:line="360" w:lineRule="auto"/>
              <w:ind w:firstLine="480" w:firstLineChars="200"/>
              <w:rPr>
                <w:color w:val="auto"/>
                <w:sz w:val="24"/>
              </w:rPr>
            </w:pPr>
            <w:r>
              <w:rPr>
                <w:color w:val="auto"/>
                <w:sz w:val="24"/>
              </w:rPr>
              <w:t>施工期噪声主要来自施工机械噪声、施工作业噪声和运输车辆噪声。</w:t>
            </w:r>
          </w:p>
          <w:p w14:paraId="0B036046">
            <w:pPr>
              <w:adjustRightInd w:val="0"/>
              <w:snapToGrid w:val="0"/>
              <w:spacing w:line="360" w:lineRule="auto"/>
              <w:ind w:firstLine="480" w:firstLineChars="200"/>
              <w:rPr>
                <w:color w:val="auto"/>
                <w:sz w:val="24"/>
              </w:rPr>
            </w:pPr>
            <w:r>
              <w:rPr>
                <w:color w:val="auto"/>
                <w:sz w:val="24"/>
              </w:rPr>
              <w:t>施工期间进行强噪声施工或在场界施工时，施工期噪声不可避免会对周围部分居民造成一定的影响，对施工厂界围挡后施工噪声对周边敏感点的影响较小。建设方在做好施工期噪声防治工作的同时，需同当地居民做好协调工作，取得谅解。待施工结束，其造成的影响将随之消失。</w:t>
            </w:r>
          </w:p>
          <w:p w14:paraId="3E8DA049">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施工单位应尽量选用先进的低噪声设备，在高噪声设备周围设置屏障以减轻噪声对周围环境的影响，施工机械放置在远离居民点的位置，控制施工场界噪声不超过《建筑施工场界环境噪声排放标准》（GB12523-2011）。</w:t>
            </w:r>
          </w:p>
          <w:p w14:paraId="70D2DB03">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施工单位采用先进的施工工艺，合理选用施工机械，加装减振、消声、吸声设备。</w:t>
            </w:r>
          </w:p>
          <w:p w14:paraId="72BA15B4">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加强现场管理，精心安排，减少昼间施工噪声影响时间，禁止夜间施工。如需夜间施工，需按国家有关规定到生态环境行政主管部门及时办理夜间施工许可手续，夜间禁止强噪声工种施工作业，并张贴安民告示。</w:t>
            </w:r>
          </w:p>
          <w:p w14:paraId="1D52C2E2">
            <w:pPr>
              <w:adjustRightInd w:val="0"/>
              <w:snapToGrid w:val="0"/>
              <w:spacing w:line="360" w:lineRule="auto"/>
              <w:ind w:firstLine="480" w:firstLineChars="200"/>
              <w:rPr>
                <w:color w:val="auto"/>
                <w:sz w:val="24"/>
              </w:rPr>
            </w:pPr>
            <w:r>
              <w:rPr>
                <w:rFonts w:hint="eastAsia"/>
                <w:color w:val="auto"/>
                <w:sz w:val="24"/>
                <w:lang w:eastAsia="zh-CN"/>
              </w:rPr>
              <w:t>4.</w:t>
            </w:r>
            <w:r>
              <w:rPr>
                <w:color w:val="auto"/>
                <w:sz w:val="24"/>
              </w:rPr>
              <w:t>施工中应加强对施工机械的维护保养，避免由于设备性能差而增大机械噪声的现象发生。</w:t>
            </w:r>
          </w:p>
          <w:p w14:paraId="0083A0F6">
            <w:pPr>
              <w:adjustRightInd w:val="0"/>
              <w:snapToGrid w:val="0"/>
              <w:spacing w:line="360" w:lineRule="auto"/>
              <w:ind w:firstLine="480" w:firstLineChars="200"/>
              <w:rPr>
                <w:color w:val="auto"/>
                <w:sz w:val="24"/>
              </w:rPr>
            </w:pPr>
            <w:r>
              <w:rPr>
                <w:rFonts w:hint="eastAsia"/>
                <w:color w:val="auto"/>
                <w:sz w:val="24"/>
                <w:lang w:eastAsia="zh-CN"/>
              </w:rPr>
              <w:t>5.</w:t>
            </w:r>
            <w:r>
              <w:rPr>
                <w:color w:val="auto"/>
                <w:sz w:val="24"/>
              </w:rPr>
              <w:t>尽量压缩施工区域汽车数量与行车密度，工地汽车应慢速行驶，控制汽车鸣笛。</w:t>
            </w:r>
          </w:p>
          <w:p w14:paraId="22223DC3">
            <w:pPr>
              <w:adjustRightInd w:val="0"/>
              <w:snapToGrid w:val="0"/>
              <w:spacing w:line="360" w:lineRule="auto"/>
              <w:ind w:firstLine="480" w:firstLineChars="200"/>
              <w:rPr>
                <w:color w:val="auto"/>
                <w:sz w:val="24"/>
              </w:rPr>
            </w:pPr>
            <w:r>
              <w:rPr>
                <w:color w:val="auto"/>
                <w:sz w:val="24"/>
              </w:rPr>
              <w:t>通过以上噪声污染防治措施，主要噪声源对项目边界噪声影响较小，项目边界外噪声能够达标。</w:t>
            </w:r>
          </w:p>
          <w:p w14:paraId="0D053D22">
            <w:pPr>
              <w:adjustRightInd w:val="0"/>
              <w:snapToGrid w:val="0"/>
              <w:spacing w:line="360" w:lineRule="auto"/>
              <w:ind w:firstLine="480" w:firstLineChars="200"/>
              <w:rPr>
                <w:color w:val="auto"/>
                <w:sz w:val="24"/>
              </w:rPr>
            </w:pPr>
            <w:r>
              <w:rPr>
                <w:color w:val="auto"/>
                <w:sz w:val="24"/>
              </w:rPr>
              <w:t>因此，上述噪声污染防治措施是可行的。</w:t>
            </w:r>
          </w:p>
          <w:p w14:paraId="33DCB522">
            <w:pPr>
              <w:adjustRightInd w:val="0"/>
              <w:snapToGrid w:val="0"/>
              <w:spacing w:line="360" w:lineRule="auto"/>
              <w:ind w:firstLine="480" w:firstLineChars="200"/>
              <w:rPr>
                <w:color w:val="auto"/>
                <w:sz w:val="24"/>
              </w:rPr>
            </w:pPr>
            <w:r>
              <w:rPr>
                <w:color w:val="auto"/>
                <w:sz w:val="24"/>
              </w:rPr>
              <w:t>（四）固体污染防治措施分析</w:t>
            </w:r>
          </w:p>
          <w:p w14:paraId="75F6BFD9">
            <w:pPr>
              <w:adjustRightInd w:val="0"/>
              <w:snapToGrid w:val="0"/>
              <w:spacing w:line="360" w:lineRule="auto"/>
              <w:ind w:firstLine="480" w:firstLineChars="200"/>
              <w:rPr>
                <w:color w:val="auto"/>
                <w:sz w:val="24"/>
              </w:rPr>
            </w:pPr>
            <w:r>
              <w:rPr>
                <w:color w:val="auto"/>
                <w:sz w:val="24"/>
              </w:rPr>
              <w:t>施工期的固体废弃物主要有施工产生的施工人员的生活垃圾和建筑垃圾两类。</w:t>
            </w:r>
          </w:p>
          <w:p w14:paraId="7F8F202A">
            <w:pPr>
              <w:adjustRightInd w:val="0"/>
              <w:snapToGrid w:val="0"/>
              <w:spacing w:line="360" w:lineRule="auto"/>
              <w:ind w:firstLine="480" w:firstLineChars="200"/>
              <w:rPr>
                <w:color w:val="auto"/>
                <w:sz w:val="24"/>
              </w:rPr>
            </w:pPr>
            <w:r>
              <w:rPr>
                <w:color w:val="auto"/>
                <w:sz w:val="24"/>
              </w:rPr>
              <w:t>为减少施工期固体废物的影响，应采取以下措施：</w:t>
            </w:r>
          </w:p>
          <w:p w14:paraId="28CDA9A4">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施工人员生活垃圾的管理：加强对施工期生活垃圾的管理，生活垃圾不得随意丢弃、抛洒，应集中收集后交由环卫清运；</w:t>
            </w:r>
          </w:p>
          <w:p w14:paraId="65771294">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施工生产建筑垃圾的处理：对钢筋、钢板下脚料可以分类回收，交废品收购站处理，其他建筑垃圾（如混凝土废料、废砖等）集中堆放，及时清运到指定的弃渣堆放场；</w:t>
            </w:r>
          </w:p>
          <w:p w14:paraId="6B4F29E3">
            <w:pPr>
              <w:adjustRightInd w:val="0"/>
              <w:snapToGrid w:val="0"/>
              <w:spacing w:line="360" w:lineRule="auto"/>
              <w:ind w:firstLine="480" w:firstLineChars="200"/>
              <w:rPr>
                <w:color w:val="auto"/>
                <w:sz w:val="24"/>
              </w:rPr>
            </w:pPr>
            <w:r>
              <w:rPr>
                <w:color w:val="auto"/>
                <w:sz w:val="24"/>
              </w:rPr>
              <w:t>3、本项目在施工过程中产生的废油漆桶、废油漆、废涂料等属于废物，必须严格执行固体废物管理规定，废油漆桶经集中收集后可由原供应商进行回收再利用，废油漆、废涂料等须由专人、专用容器进行收集，并定期送至有资质的专业部门处置。</w:t>
            </w:r>
          </w:p>
          <w:p w14:paraId="74A0A181">
            <w:pPr>
              <w:adjustRightInd w:val="0"/>
              <w:snapToGrid w:val="0"/>
              <w:spacing w:line="360" w:lineRule="auto"/>
              <w:ind w:firstLine="480" w:firstLineChars="200"/>
              <w:rPr>
                <w:color w:val="auto"/>
                <w:sz w:val="24"/>
              </w:rPr>
            </w:pPr>
            <w:r>
              <w:rPr>
                <w:color w:val="auto"/>
                <w:sz w:val="24"/>
              </w:rPr>
              <w:t>根据各类固体废物的不同特点，分别采取不同的、行之有效的处理措施，项目建设过程中产生的各类固体废物均可得到妥善的、合理可行的处理处置，并将其对周围环境带来的影响降低到最低程度。项目产生的固废可以实现资源的回收利用和废物的妥善处置，方法可行。在严格执行上述处置措施和管理措施的前提下，固体废物不会对环境产生二次污染。</w:t>
            </w:r>
          </w:p>
          <w:p w14:paraId="1133F6EB">
            <w:pPr>
              <w:adjustRightInd w:val="0"/>
              <w:snapToGrid w:val="0"/>
              <w:spacing w:line="360" w:lineRule="auto"/>
              <w:ind w:firstLine="480" w:firstLineChars="200"/>
              <w:rPr>
                <w:color w:val="auto"/>
                <w:sz w:val="24"/>
              </w:rPr>
            </w:pPr>
            <w:r>
              <w:rPr>
                <w:color w:val="auto"/>
                <w:sz w:val="24"/>
              </w:rPr>
              <w:t>（五）风险防范措施可行性分析</w:t>
            </w:r>
          </w:p>
          <w:p w14:paraId="52A0F84C">
            <w:pPr>
              <w:adjustRightInd w:val="0"/>
              <w:snapToGrid w:val="0"/>
              <w:spacing w:line="360" w:lineRule="auto"/>
              <w:ind w:firstLine="480" w:firstLineChars="200"/>
              <w:rPr>
                <w:color w:val="auto"/>
                <w:sz w:val="24"/>
              </w:rPr>
            </w:pPr>
            <w:r>
              <w:rPr>
                <w:color w:val="auto"/>
                <w:sz w:val="24"/>
              </w:rPr>
              <w:t>针对本项目可能发生的环境风险事故，提出以下风险防范措施：</w:t>
            </w:r>
          </w:p>
          <w:p w14:paraId="63ED8E36">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施工工程风险防范措施</w:t>
            </w:r>
          </w:p>
          <w:p w14:paraId="67C62B49">
            <w:pPr>
              <w:adjustRightInd w:val="0"/>
              <w:snapToGrid w:val="0"/>
              <w:spacing w:line="360" w:lineRule="auto"/>
              <w:ind w:firstLine="480" w:firstLineChars="200"/>
              <w:rPr>
                <w:color w:val="auto"/>
                <w:sz w:val="24"/>
              </w:rPr>
            </w:pPr>
            <w:r>
              <w:rPr>
                <w:color w:val="auto"/>
                <w:sz w:val="24"/>
              </w:rPr>
              <w:t>①做好安全防护工作，搬运物料轻装轻卸。</w:t>
            </w:r>
          </w:p>
          <w:p w14:paraId="2E0BC50F">
            <w:pPr>
              <w:adjustRightInd w:val="0"/>
              <w:snapToGrid w:val="0"/>
              <w:spacing w:line="360" w:lineRule="auto"/>
              <w:ind w:firstLine="480" w:firstLineChars="200"/>
              <w:rPr>
                <w:color w:val="auto"/>
                <w:sz w:val="24"/>
              </w:rPr>
            </w:pPr>
            <w:r>
              <w:rPr>
                <w:color w:val="auto"/>
                <w:sz w:val="24"/>
              </w:rPr>
              <w:t>②划定禁火区，在明显地点设有警示标志，输配电线、灯具、火灾事故照明和疏散指示标志均应符合安全要求；严禁未安装灭</w:t>
            </w:r>
            <w:r>
              <w:rPr>
                <w:rFonts w:hint="eastAsia"/>
                <w:color w:val="auto"/>
                <w:sz w:val="24"/>
                <w:lang w:eastAsia="zh-CN"/>
              </w:rPr>
              <w:t>火</w:t>
            </w:r>
            <w:r>
              <w:rPr>
                <w:color w:val="auto"/>
                <w:sz w:val="24"/>
              </w:rPr>
              <w:t>装置的车辆出入生产装置区。</w:t>
            </w:r>
          </w:p>
          <w:p w14:paraId="6552AA5B">
            <w:pPr>
              <w:adjustRightInd w:val="0"/>
              <w:snapToGrid w:val="0"/>
              <w:spacing w:line="360" w:lineRule="auto"/>
              <w:ind w:firstLine="480" w:firstLineChars="200"/>
              <w:rPr>
                <w:color w:val="auto"/>
                <w:sz w:val="24"/>
              </w:rPr>
            </w:pPr>
            <w:r>
              <w:rPr>
                <w:color w:val="auto"/>
                <w:sz w:val="24"/>
              </w:rPr>
              <w:t>③合理规划运输路线及时间，加强特殊物品运输车辆的管理，避免运输过程事故的发生。</w:t>
            </w:r>
          </w:p>
          <w:p w14:paraId="7B0D518D">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火灾、爆炸事故的抢救措施</w:t>
            </w:r>
          </w:p>
          <w:p w14:paraId="2B015616">
            <w:pPr>
              <w:adjustRightInd w:val="0"/>
              <w:snapToGrid w:val="0"/>
              <w:spacing w:line="360" w:lineRule="auto"/>
              <w:ind w:firstLine="480" w:firstLineChars="200"/>
              <w:rPr>
                <w:color w:val="auto"/>
                <w:sz w:val="24"/>
              </w:rPr>
            </w:pPr>
            <w:r>
              <w:rPr>
                <w:rFonts w:hint="eastAsia"/>
                <w:color w:val="auto"/>
                <w:sz w:val="24"/>
                <w:lang w:eastAsia="zh-CN"/>
              </w:rPr>
              <w:t>一、</w:t>
            </w:r>
            <w:r>
              <w:rPr>
                <w:color w:val="auto"/>
                <w:sz w:val="24"/>
              </w:rPr>
              <w:t>旦发生火灾、爆炸事故，利用设置的火灾自动报警系统及电话向消防部门报警，同时采取设置的移动式消防器材及固定式消防设施进行灭火。</w:t>
            </w:r>
          </w:p>
          <w:p w14:paraId="490FEE85">
            <w:pPr>
              <w:adjustRightInd w:val="0"/>
              <w:snapToGrid w:val="0"/>
              <w:spacing w:line="360" w:lineRule="auto"/>
              <w:ind w:firstLine="480" w:firstLineChars="200"/>
              <w:rPr>
                <w:color w:val="auto"/>
                <w:sz w:val="24"/>
              </w:rPr>
            </w:pPr>
            <w:r>
              <w:rPr>
                <w:color w:val="auto"/>
                <w:sz w:val="24"/>
              </w:rPr>
              <w:t>一般建筑物火灾主要采用水灭火，利用消防栓、消防车、消防水枪并配合其他消防器材进行扑救。</w:t>
            </w:r>
          </w:p>
          <w:p w14:paraId="68EB23F2">
            <w:pPr>
              <w:adjustRightInd w:val="0"/>
              <w:snapToGrid w:val="0"/>
              <w:spacing w:line="360" w:lineRule="auto"/>
              <w:ind w:firstLine="480" w:firstLineChars="200"/>
              <w:rPr>
                <w:color w:val="auto"/>
                <w:sz w:val="24"/>
              </w:rPr>
            </w:pPr>
            <w:r>
              <w:rPr>
                <w:color w:val="auto"/>
                <w:sz w:val="24"/>
              </w:rPr>
              <w:t>通过采取以上方案，项目施工期风险可防控，风险事故防范措施可行。</w:t>
            </w:r>
          </w:p>
          <w:p w14:paraId="6DB6C332">
            <w:pPr>
              <w:adjustRightInd w:val="0"/>
              <w:snapToGrid w:val="0"/>
              <w:spacing w:line="360" w:lineRule="auto"/>
              <w:ind w:firstLine="480" w:firstLineChars="200"/>
              <w:rPr>
                <w:color w:val="auto"/>
                <w:sz w:val="24"/>
              </w:rPr>
            </w:pPr>
            <w:r>
              <w:rPr>
                <w:color w:val="auto"/>
                <w:sz w:val="24"/>
              </w:rPr>
              <w:t>（六）装修阶段污染防治措施分析</w:t>
            </w:r>
          </w:p>
          <w:p w14:paraId="0C1B2B63">
            <w:pPr>
              <w:adjustRightInd w:val="0"/>
              <w:snapToGrid w:val="0"/>
              <w:spacing w:line="360" w:lineRule="auto"/>
              <w:ind w:firstLine="480" w:firstLineChars="200"/>
              <w:rPr>
                <w:color w:val="auto"/>
                <w:sz w:val="24"/>
              </w:rPr>
            </w:pPr>
            <w:r>
              <w:rPr>
                <w:color w:val="auto"/>
                <w:sz w:val="24"/>
              </w:rPr>
              <w:t>室内装修材料尽量采用具有绿色环保标志的绿色建材，装饰建材主要分为天然材料和人工合成材料，天然材料有石料、木料、竹料、棉料等，人工合成材料包括壁纸、水性涂料、复合地板、粘合剂等，提醒企业注意从环保</w:t>
            </w:r>
            <w:r>
              <w:rPr>
                <w:rFonts w:hint="eastAsia"/>
                <w:color w:val="auto"/>
                <w:sz w:val="24"/>
                <w:lang w:eastAsia="zh-CN"/>
              </w:rPr>
              <w:t>和</w:t>
            </w:r>
            <w:r>
              <w:rPr>
                <w:color w:val="auto"/>
                <w:sz w:val="24"/>
              </w:rPr>
              <w:t>人体健康的角度优选装饰建材。</w:t>
            </w:r>
          </w:p>
          <w:p w14:paraId="686E3B44">
            <w:pPr>
              <w:adjustRightInd w:val="0"/>
              <w:snapToGrid w:val="0"/>
              <w:spacing w:line="360" w:lineRule="auto"/>
              <w:ind w:firstLine="480" w:firstLineChars="200"/>
              <w:rPr>
                <w:bCs/>
                <w:color w:val="auto"/>
                <w:spacing w:val="-10"/>
                <w:szCs w:val="21"/>
              </w:rPr>
            </w:pPr>
            <w:r>
              <w:rPr>
                <w:color w:val="auto"/>
                <w:sz w:val="24"/>
              </w:rPr>
              <w:t>对装修过程中的施工噪声要严格管理，装修垃圾应及时清运。</w:t>
            </w:r>
          </w:p>
        </w:tc>
      </w:tr>
    </w:tbl>
    <w:p w14:paraId="70C57A29">
      <w:pPr>
        <w:adjustRightInd w:val="0"/>
        <w:snapToGrid w:val="0"/>
        <w:jc w:val="center"/>
        <w:rPr>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6703981">
      <w:pPr>
        <w:pStyle w:val="2"/>
        <w:ind w:firstLine="482"/>
        <w:rPr>
          <w:color w:val="auto"/>
        </w:rPr>
        <w:sectPr>
          <w:type w:val="continuous"/>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129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7"/>
        <w:gridCol w:w="12931"/>
      </w:tblGrid>
      <w:tr w14:paraId="58FCE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4" w:hRule="atLeast"/>
          <w:jc w:val="center"/>
        </w:trPr>
        <w:tc>
          <w:tcPr>
            <w:tcW w:w="298" w:type="dxa"/>
            <w:tcMar>
              <w:left w:w="28" w:type="dxa"/>
              <w:right w:w="28" w:type="dxa"/>
            </w:tcMar>
            <w:vAlign w:val="center"/>
          </w:tcPr>
          <w:p w14:paraId="5884B6AE">
            <w:pPr>
              <w:pStyle w:val="84"/>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bCs/>
                <w:color w:val="auto"/>
              </w:rPr>
              <w:t>运营期环境影响和保护措施</w:t>
            </w:r>
          </w:p>
        </w:tc>
        <w:tc>
          <w:tcPr>
            <w:tcW w:w="12668" w:type="dxa"/>
          </w:tcPr>
          <w:p w14:paraId="7A441D92">
            <w:pPr>
              <w:adjustRightInd w:val="0"/>
              <w:snapToGrid w:val="0"/>
              <w:spacing w:line="360" w:lineRule="auto"/>
              <w:ind w:firstLine="482" w:firstLineChars="200"/>
              <w:rPr>
                <w:b/>
                <w:color w:val="auto"/>
                <w:sz w:val="24"/>
              </w:rPr>
            </w:pPr>
            <w:r>
              <w:rPr>
                <w:b/>
                <w:color w:val="auto"/>
                <w:sz w:val="24"/>
              </w:rPr>
              <w:t>一、废气</w:t>
            </w:r>
          </w:p>
          <w:p w14:paraId="4F09E4F8">
            <w:pPr>
              <w:autoSpaceDE w:val="0"/>
              <w:autoSpaceDN w:val="0"/>
              <w:adjustRightInd w:val="0"/>
              <w:snapToGrid w:val="0"/>
              <w:spacing w:line="360" w:lineRule="auto"/>
              <w:rPr>
                <w:b/>
                <w:bCs/>
                <w:color w:val="auto"/>
                <w:sz w:val="24"/>
              </w:rPr>
            </w:pPr>
            <w:r>
              <w:rPr>
                <w:b/>
                <w:bCs/>
                <w:color w:val="auto"/>
                <w:sz w:val="24"/>
              </w:rPr>
              <w:t>1.1</w:t>
            </w:r>
            <w:r>
              <w:rPr>
                <w:rFonts w:hint="eastAsia"/>
                <w:b/>
                <w:bCs/>
                <w:color w:val="auto"/>
                <w:sz w:val="24"/>
              </w:rPr>
              <w:t>废气产生环节及源强分析</w:t>
            </w:r>
          </w:p>
          <w:p w14:paraId="3F27695A">
            <w:pPr>
              <w:widowControl/>
              <w:adjustRightInd w:val="0"/>
              <w:snapToGrid w:val="0"/>
              <w:spacing w:line="360" w:lineRule="auto"/>
              <w:ind w:firstLine="480" w:firstLineChars="200"/>
              <w:rPr>
                <w:b/>
                <w:bCs/>
                <w:color w:val="auto"/>
                <w:sz w:val="24"/>
              </w:rPr>
            </w:pPr>
            <w:r>
              <w:rPr>
                <w:rFonts w:hint="eastAsia" w:hAnsi="宋体"/>
                <w:color w:val="auto"/>
                <w:kern w:val="0"/>
                <w:sz w:val="24"/>
                <w:szCs w:val="20"/>
              </w:rPr>
              <w:t>建设项目</w:t>
            </w:r>
            <w:r>
              <w:rPr>
                <w:rFonts w:hAnsi="宋体"/>
                <w:snapToGrid w:val="0"/>
                <w:color w:val="auto"/>
                <w:kern w:val="0"/>
                <w:sz w:val="24"/>
              </w:rPr>
              <w:t>废气污染源源强核算结果及相关参数</w:t>
            </w:r>
            <w:r>
              <w:rPr>
                <w:rFonts w:hAnsi="宋体"/>
                <w:color w:val="auto"/>
                <w:kern w:val="0"/>
                <w:sz w:val="24"/>
                <w:szCs w:val="20"/>
              </w:rPr>
              <w:t>见表</w:t>
            </w:r>
            <w:r>
              <w:rPr>
                <w:color w:val="auto"/>
                <w:kern w:val="0"/>
                <w:sz w:val="24"/>
                <w:szCs w:val="20"/>
              </w:rPr>
              <w:t>4-1</w:t>
            </w:r>
            <w:r>
              <w:rPr>
                <w:rFonts w:hAnsi="宋体"/>
                <w:color w:val="auto"/>
                <w:kern w:val="0"/>
                <w:sz w:val="24"/>
                <w:szCs w:val="20"/>
              </w:rPr>
              <w:t>，有组织废气源强核算结果及相关参数见表</w:t>
            </w:r>
            <w:r>
              <w:rPr>
                <w:color w:val="auto"/>
                <w:kern w:val="0"/>
                <w:sz w:val="24"/>
                <w:szCs w:val="20"/>
              </w:rPr>
              <w:t>4-2</w:t>
            </w:r>
            <w:r>
              <w:rPr>
                <w:rFonts w:hAnsi="宋体"/>
                <w:color w:val="auto"/>
                <w:kern w:val="0"/>
                <w:sz w:val="24"/>
                <w:szCs w:val="20"/>
              </w:rPr>
              <w:t>，无组织废气源强核算结果及相关参数见表</w:t>
            </w:r>
            <w:r>
              <w:rPr>
                <w:color w:val="auto"/>
                <w:kern w:val="0"/>
                <w:sz w:val="24"/>
                <w:szCs w:val="20"/>
              </w:rPr>
              <w:t>4-3</w:t>
            </w:r>
            <w:r>
              <w:rPr>
                <w:rFonts w:hAnsi="宋体"/>
                <w:color w:val="auto"/>
                <w:kern w:val="0"/>
                <w:sz w:val="24"/>
                <w:szCs w:val="20"/>
              </w:rPr>
              <w:t>，</w:t>
            </w:r>
            <w:r>
              <w:rPr>
                <w:color w:val="auto"/>
                <w:kern w:val="0"/>
                <w:sz w:val="24"/>
                <w:szCs w:val="20"/>
              </w:rPr>
              <w:t>废气排放口基本情况见表4-</w:t>
            </w:r>
            <w:r>
              <w:rPr>
                <w:rFonts w:hint="eastAsia"/>
                <w:color w:val="auto"/>
                <w:kern w:val="0"/>
                <w:sz w:val="24"/>
                <w:szCs w:val="20"/>
              </w:rPr>
              <w:t>4</w:t>
            </w:r>
            <w:r>
              <w:rPr>
                <w:rFonts w:hAnsi="宋体"/>
                <w:color w:val="auto"/>
                <w:kern w:val="0"/>
                <w:sz w:val="24"/>
                <w:szCs w:val="20"/>
              </w:rPr>
              <w:t>。</w:t>
            </w:r>
          </w:p>
          <w:p w14:paraId="7DFEB9FF">
            <w:pPr>
              <w:pStyle w:val="196"/>
              <w:jc w:val="center"/>
              <w:rPr>
                <w:rFonts w:hint="eastAsia" w:hAnsi="宋体"/>
                <w:b/>
                <w:color w:val="auto"/>
                <w:szCs w:val="20"/>
              </w:rPr>
            </w:pPr>
            <w:r>
              <w:rPr>
                <w:rFonts w:hAnsi="宋体"/>
                <w:b/>
                <w:color w:val="auto"/>
                <w:szCs w:val="20"/>
              </w:rPr>
              <w:t>表</w:t>
            </w:r>
            <w:r>
              <w:rPr>
                <w:b/>
                <w:color w:val="auto"/>
                <w:szCs w:val="20"/>
              </w:rPr>
              <w:t xml:space="preserve">4-1  </w:t>
            </w:r>
            <w:r>
              <w:rPr>
                <w:rFonts w:hint="eastAsia" w:hAnsi="宋体"/>
                <w:b/>
                <w:color w:val="auto"/>
                <w:szCs w:val="20"/>
              </w:rPr>
              <w:t>建设项目</w:t>
            </w:r>
            <w:r>
              <w:rPr>
                <w:rFonts w:hAnsi="宋体"/>
                <w:b/>
                <w:color w:val="auto"/>
                <w:szCs w:val="20"/>
              </w:rPr>
              <w:t>废气污染源源强核算结果及相关参数一览表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8"/>
              <w:gridCol w:w="584"/>
              <w:gridCol w:w="586"/>
              <w:gridCol w:w="416"/>
              <w:gridCol w:w="325"/>
              <w:gridCol w:w="902"/>
              <w:gridCol w:w="1010"/>
              <w:gridCol w:w="753"/>
              <w:gridCol w:w="669"/>
              <w:gridCol w:w="481"/>
              <w:gridCol w:w="585"/>
              <w:gridCol w:w="331"/>
              <w:gridCol w:w="903"/>
              <w:gridCol w:w="1013"/>
              <w:gridCol w:w="753"/>
              <w:gridCol w:w="776"/>
              <w:gridCol w:w="916"/>
              <w:gridCol w:w="807"/>
              <w:gridCol w:w="537"/>
            </w:tblGrid>
            <w:tr w14:paraId="40691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restart"/>
                  <w:vAlign w:val="center"/>
                </w:tcPr>
                <w:p w14:paraId="487375DE">
                  <w:pPr>
                    <w:widowControl/>
                    <w:adjustRightInd w:val="0"/>
                    <w:snapToGrid w:val="0"/>
                    <w:jc w:val="center"/>
                    <w:rPr>
                      <w:b/>
                      <w:color w:val="auto"/>
                      <w:kern w:val="0"/>
                      <w:sz w:val="18"/>
                      <w:szCs w:val="18"/>
                    </w:rPr>
                  </w:pPr>
                  <w:r>
                    <w:rPr>
                      <w:b/>
                      <w:color w:val="auto"/>
                      <w:kern w:val="0"/>
                      <w:sz w:val="18"/>
                      <w:szCs w:val="18"/>
                    </w:rPr>
                    <w:t>生产</w:t>
                  </w:r>
                </w:p>
              </w:tc>
              <w:tc>
                <w:tcPr>
                  <w:tcW w:w="232" w:type="pct"/>
                  <w:vMerge w:val="restart"/>
                  <w:vAlign w:val="center"/>
                </w:tcPr>
                <w:p w14:paraId="61854FD9">
                  <w:pPr>
                    <w:widowControl/>
                    <w:adjustRightInd w:val="0"/>
                    <w:snapToGrid w:val="0"/>
                    <w:jc w:val="center"/>
                    <w:rPr>
                      <w:b/>
                      <w:color w:val="auto"/>
                      <w:kern w:val="0"/>
                      <w:sz w:val="18"/>
                      <w:szCs w:val="18"/>
                    </w:rPr>
                  </w:pPr>
                  <w:r>
                    <w:rPr>
                      <w:b/>
                      <w:color w:val="auto"/>
                      <w:kern w:val="0"/>
                      <w:sz w:val="18"/>
                      <w:szCs w:val="18"/>
                    </w:rPr>
                    <w:t>工序线</w:t>
                  </w:r>
                </w:p>
              </w:tc>
              <w:tc>
                <w:tcPr>
                  <w:tcW w:w="230" w:type="pct"/>
                  <w:vMerge w:val="restart"/>
                  <w:vAlign w:val="center"/>
                </w:tcPr>
                <w:p w14:paraId="1175BE0F">
                  <w:pPr>
                    <w:widowControl/>
                    <w:adjustRightInd w:val="0"/>
                    <w:snapToGrid w:val="0"/>
                    <w:jc w:val="center"/>
                    <w:rPr>
                      <w:b/>
                      <w:color w:val="auto"/>
                      <w:kern w:val="0"/>
                      <w:sz w:val="18"/>
                      <w:szCs w:val="18"/>
                    </w:rPr>
                  </w:pPr>
                  <w:r>
                    <w:rPr>
                      <w:b/>
                      <w:color w:val="auto"/>
                      <w:kern w:val="0"/>
                      <w:sz w:val="18"/>
                      <w:szCs w:val="18"/>
                    </w:rPr>
                    <w:t>污染源</w:t>
                  </w:r>
                </w:p>
              </w:tc>
              <w:tc>
                <w:tcPr>
                  <w:tcW w:w="130" w:type="pct"/>
                  <w:vMerge w:val="restart"/>
                  <w:vAlign w:val="center"/>
                </w:tcPr>
                <w:p w14:paraId="623D3195">
                  <w:pPr>
                    <w:widowControl/>
                    <w:adjustRightInd w:val="0"/>
                    <w:snapToGrid w:val="0"/>
                    <w:jc w:val="center"/>
                    <w:rPr>
                      <w:b/>
                      <w:color w:val="auto"/>
                      <w:kern w:val="0"/>
                      <w:sz w:val="18"/>
                      <w:szCs w:val="18"/>
                    </w:rPr>
                  </w:pPr>
                  <w:r>
                    <w:rPr>
                      <w:b/>
                      <w:color w:val="auto"/>
                      <w:kern w:val="0"/>
                      <w:sz w:val="18"/>
                      <w:szCs w:val="18"/>
                    </w:rPr>
                    <w:t>污染物</w:t>
                  </w:r>
                </w:p>
              </w:tc>
              <w:tc>
                <w:tcPr>
                  <w:tcW w:w="1449" w:type="pct"/>
                  <w:gridSpan w:val="5"/>
                  <w:vAlign w:val="center"/>
                </w:tcPr>
                <w:p w14:paraId="5A2B5E0B">
                  <w:pPr>
                    <w:widowControl/>
                    <w:adjustRightInd w:val="0"/>
                    <w:snapToGrid w:val="0"/>
                    <w:jc w:val="center"/>
                    <w:rPr>
                      <w:b/>
                      <w:color w:val="auto"/>
                      <w:kern w:val="0"/>
                      <w:sz w:val="18"/>
                      <w:szCs w:val="18"/>
                    </w:rPr>
                  </w:pPr>
                  <w:r>
                    <w:rPr>
                      <w:b/>
                      <w:color w:val="auto"/>
                      <w:kern w:val="0"/>
                      <w:sz w:val="18"/>
                      <w:szCs w:val="18"/>
                    </w:rPr>
                    <w:t>污染物产生</w:t>
                  </w:r>
                </w:p>
              </w:tc>
              <w:tc>
                <w:tcPr>
                  <w:tcW w:w="423" w:type="pct"/>
                  <w:gridSpan w:val="2"/>
                  <w:vAlign w:val="center"/>
                </w:tcPr>
                <w:p w14:paraId="1A2E9661">
                  <w:pPr>
                    <w:widowControl/>
                    <w:adjustRightInd w:val="0"/>
                    <w:snapToGrid w:val="0"/>
                    <w:jc w:val="center"/>
                    <w:rPr>
                      <w:b/>
                      <w:color w:val="auto"/>
                      <w:kern w:val="0"/>
                      <w:sz w:val="18"/>
                      <w:szCs w:val="18"/>
                    </w:rPr>
                  </w:pPr>
                  <w:r>
                    <w:rPr>
                      <w:b/>
                      <w:color w:val="auto"/>
                      <w:kern w:val="0"/>
                      <w:sz w:val="18"/>
                      <w:szCs w:val="18"/>
                    </w:rPr>
                    <w:t>治理措施</w:t>
                  </w:r>
                </w:p>
              </w:tc>
              <w:tc>
                <w:tcPr>
                  <w:tcW w:w="1494" w:type="pct"/>
                  <w:gridSpan w:val="5"/>
                  <w:vAlign w:val="center"/>
                </w:tcPr>
                <w:p w14:paraId="059C19CF">
                  <w:pPr>
                    <w:widowControl/>
                    <w:adjustRightInd w:val="0"/>
                    <w:snapToGrid w:val="0"/>
                    <w:jc w:val="center"/>
                    <w:rPr>
                      <w:b/>
                      <w:color w:val="auto"/>
                      <w:kern w:val="0"/>
                      <w:sz w:val="18"/>
                      <w:szCs w:val="18"/>
                    </w:rPr>
                  </w:pPr>
                  <w:r>
                    <w:rPr>
                      <w:b/>
                      <w:color w:val="auto"/>
                      <w:kern w:val="0"/>
                      <w:sz w:val="18"/>
                      <w:szCs w:val="18"/>
                    </w:rPr>
                    <w:t>污染物排放</w:t>
                  </w:r>
                </w:p>
              </w:tc>
              <w:tc>
                <w:tcPr>
                  <w:tcW w:w="679" w:type="pct"/>
                  <w:gridSpan w:val="2"/>
                  <w:vAlign w:val="center"/>
                </w:tcPr>
                <w:p w14:paraId="185364D2">
                  <w:pPr>
                    <w:widowControl/>
                    <w:adjustRightInd w:val="0"/>
                    <w:snapToGrid w:val="0"/>
                    <w:jc w:val="center"/>
                    <w:rPr>
                      <w:b/>
                      <w:color w:val="auto"/>
                      <w:kern w:val="0"/>
                      <w:sz w:val="18"/>
                      <w:szCs w:val="18"/>
                    </w:rPr>
                  </w:pPr>
                  <w:r>
                    <w:rPr>
                      <w:rFonts w:hint="eastAsia"/>
                      <w:b/>
                      <w:color w:val="auto"/>
                      <w:kern w:val="0"/>
                      <w:sz w:val="18"/>
                      <w:szCs w:val="18"/>
                    </w:rPr>
                    <w:t>执行</w:t>
                  </w:r>
                  <w:r>
                    <w:rPr>
                      <w:b/>
                      <w:color w:val="auto"/>
                      <w:kern w:val="0"/>
                      <w:sz w:val="18"/>
                      <w:szCs w:val="18"/>
                    </w:rPr>
                    <w:t>标准</w:t>
                  </w:r>
                </w:p>
              </w:tc>
              <w:tc>
                <w:tcPr>
                  <w:tcW w:w="213" w:type="pct"/>
                  <w:vMerge w:val="restart"/>
                  <w:vAlign w:val="center"/>
                </w:tcPr>
                <w:p w14:paraId="13755457">
                  <w:pPr>
                    <w:widowControl/>
                    <w:adjustRightInd w:val="0"/>
                    <w:snapToGrid w:val="0"/>
                    <w:jc w:val="center"/>
                    <w:rPr>
                      <w:b/>
                      <w:color w:val="auto"/>
                      <w:kern w:val="0"/>
                      <w:sz w:val="18"/>
                      <w:szCs w:val="18"/>
                    </w:rPr>
                  </w:pPr>
                  <w:r>
                    <w:rPr>
                      <w:b/>
                      <w:color w:val="auto"/>
                      <w:kern w:val="0"/>
                      <w:sz w:val="18"/>
                      <w:szCs w:val="18"/>
                    </w:rPr>
                    <w:t>排放时间</w:t>
                  </w:r>
                </w:p>
                <w:p w14:paraId="6E817EA4">
                  <w:pPr>
                    <w:adjustRightInd w:val="0"/>
                    <w:snapToGrid w:val="0"/>
                    <w:jc w:val="center"/>
                    <w:rPr>
                      <w:b/>
                      <w:color w:val="auto"/>
                      <w:kern w:val="0"/>
                      <w:sz w:val="18"/>
                      <w:szCs w:val="18"/>
                    </w:rPr>
                  </w:pPr>
                  <w:r>
                    <w:rPr>
                      <w:rFonts w:hint="eastAsia"/>
                      <w:color w:val="auto"/>
                      <w:kern w:val="0"/>
                      <w:sz w:val="18"/>
                      <w:szCs w:val="18"/>
                      <w:lang w:eastAsia="zh-CN"/>
                    </w:rPr>
                    <w:t>(</w:t>
                  </w:r>
                  <w:r>
                    <w:rPr>
                      <w:color w:val="auto"/>
                      <w:kern w:val="0"/>
                      <w:sz w:val="18"/>
                      <w:szCs w:val="18"/>
                    </w:rPr>
                    <w:t>h</w:t>
                  </w:r>
                  <w:r>
                    <w:rPr>
                      <w:rFonts w:hint="eastAsia"/>
                      <w:color w:val="auto"/>
                      <w:kern w:val="0"/>
                      <w:sz w:val="18"/>
                      <w:szCs w:val="18"/>
                      <w:lang w:eastAsia="zh-CN"/>
                    </w:rPr>
                    <w:t>)</w:t>
                  </w:r>
                </w:p>
              </w:tc>
            </w:tr>
            <w:tr w14:paraId="0C7F2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73177393">
                  <w:pPr>
                    <w:widowControl/>
                    <w:adjustRightInd w:val="0"/>
                    <w:snapToGrid w:val="0"/>
                    <w:jc w:val="center"/>
                    <w:rPr>
                      <w:b/>
                      <w:color w:val="auto"/>
                      <w:kern w:val="0"/>
                      <w:sz w:val="18"/>
                      <w:szCs w:val="18"/>
                    </w:rPr>
                  </w:pPr>
                </w:p>
              </w:tc>
              <w:tc>
                <w:tcPr>
                  <w:tcW w:w="232" w:type="pct"/>
                  <w:vMerge w:val="continue"/>
                  <w:vAlign w:val="center"/>
                </w:tcPr>
                <w:p w14:paraId="35D1DE3F">
                  <w:pPr>
                    <w:widowControl/>
                    <w:adjustRightInd w:val="0"/>
                    <w:snapToGrid w:val="0"/>
                    <w:jc w:val="center"/>
                    <w:rPr>
                      <w:b/>
                      <w:color w:val="auto"/>
                      <w:kern w:val="0"/>
                      <w:sz w:val="18"/>
                      <w:szCs w:val="18"/>
                    </w:rPr>
                  </w:pPr>
                </w:p>
              </w:tc>
              <w:tc>
                <w:tcPr>
                  <w:tcW w:w="230" w:type="pct"/>
                  <w:vMerge w:val="continue"/>
                  <w:vAlign w:val="center"/>
                </w:tcPr>
                <w:p w14:paraId="29ABC4FA">
                  <w:pPr>
                    <w:widowControl/>
                    <w:adjustRightInd w:val="0"/>
                    <w:snapToGrid w:val="0"/>
                    <w:jc w:val="center"/>
                    <w:rPr>
                      <w:b/>
                      <w:color w:val="auto"/>
                      <w:kern w:val="0"/>
                      <w:sz w:val="18"/>
                      <w:szCs w:val="18"/>
                    </w:rPr>
                  </w:pPr>
                </w:p>
              </w:tc>
              <w:tc>
                <w:tcPr>
                  <w:tcW w:w="130" w:type="pct"/>
                  <w:vMerge w:val="continue"/>
                  <w:vAlign w:val="center"/>
                </w:tcPr>
                <w:p w14:paraId="682C5D1D">
                  <w:pPr>
                    <w:widowControl/>
                    <w:adjustRightInd w:val="0"/>
                    <w:snapToGrid w:val="0"/>
                    <w:jc w:val="center"/>
                    <w:rPr>
                      <w:b/>
                      <w:color w:val="auto"/>
                      <w:kern w:val="0"/>
                      <w:sz w:val="18"/>
                      <w:szCs w:val="18"/>
                    </w:rPr>
                  </w:pPr>
                </w:p>
              </w:tc>
              <w:tc>
                <w:tcPr>
                  <w:tcW w:w="130" w:type="pct"/>
                  <w:vMerge w:val="restart"/>
                  <w:vAlign w:val="center"/>
                </w:tcPr>
                <w:p w14:paraId="02ED6EA7">
                  <w:pPr>
                    <w:widowControl/>
                    <w:adjustRightInd w:val="0"/>
                    <w:snapToGrid w:val="0"/>
                    <w:jc w:val="center"/>
                    <w:rPr>
                      <w:b/>
                      <w:color w:val="auto"/>
                      <w:kern w:val="0"/>
                      <w:sz w:val="18"/>
                      <w:szCs w:val="18"/>
                    </w:rPr>
                  </w:pPr>
                  <w:r>
                    <w:rPr>
                      <w:b/>
                      <w:color w:val="auto"/>
                      <w:kern w:val="0"/>
                      <w:sz w:val="18"/>
                      <w:szCs w:val="18"/>
                    </w:rPr>
                    <w:t>核算方法</w:t>
                  </w:r>
                </w:p>
              </w:tc>
              <w:tc>
                <w:tcPr>
                  <w:tcW w:w="357" w:type="pct"/>
                  <w:vMerge w:val="restart"/>
                  <w:vAlign w:val="center"/>
                </w:tcPr>
                <w:p w14:paraId="33B75F79">
                  <w:pPr>
                    <w:adjustRightInd w:val="0"/>
                    <w:snapToGrid w:val="0"/>
                    <w:jc w:val="center"/>
                    <w:rPr>
                      <w:b/>
                      <w:color w:val="auto"/>
                      <w:kern w:val="0"/>
                      <w:sz w:val="18"/>
                      <w:szCs w:val="18"/>
                    </w:rPr>
                  </w:pPr>
                  <w:r>
                    <w:rPr>
                      <w:b/>
                      <w:color w:val="auto"/>
                      <w:kern w:val="0"/>
                      <w:sz w:val="18"/>
                      <w:szCs w:val="18"/>
                    </w:rPr>
                    <w:t>废气产生量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399" w:type="pct"/>
                  <w:vMerge w:val="restart"/>
                  <w:vAlign w:val="center"/>
                </w:tcPr>
                <w:p w14:paraId="409B2EE0">
                  <w:pPr>
                    <w:adjustRightInd w:val="0"/>
                    <w:snapToGrid w:val="0"/>
                    <w:jc w:val="center"/>
                    <w:rPr>
                      <w:b/>
                      <w:color w:val="auto"/>
                      <w:kern w:val="0"/>
                      <w:sz w:val="18"/>
                      <w:szCs w:val="18"/>
                    </w:rPr>
                  </w:pPr>
                  <w:r>
                    <w:rPr>
                      <w:b/>
                      <w:color w:val="auto"/>
                      <w:kern w:val="0"/>
                      <w:sz w:val="18"/>
                      <w:szCs w:val="18"/>
                    </w:rPr>
                    <w:t>产生浓度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563" w:type="pct"/>
                  <w:gridSpan w:val="2"/>
                  <w:vAlign w:val="center"/>
                </w:tcPr>
                <w:p w14:paraId="6A387F42">
                  <w:pPr>
                    <w:adjustRightInd w:val="0"/>
                    <w:snapToGrid w:val="0"/>
                    <w:jc w:val="center"/>
                    <w:rPr>
                      <w:b/>
                      <w:color w:val="auto"/>
                      <w:kern w:val="0"/>
                      <w:sz w:val="18"/>
                      <w:szCs w:val="18"/>
                    </w:rPr>
                  </w:pPr>
                  <w:r>
                    <w:rPr>
                      <w:b/>
                      <w:color w:val="auto"/>
                      <w:kern w:val="0"/>
                      <w:sz w:val="18"/>
                      <w:szCs w:val="18"/>
                    </w:rPr>
                    <w:t>产生量</w:t>
                  </w:r>
                </w:p>
              </w:tc>
              <w:tc>
                <w:tcPr>
                  <w:tcW w:w="191" w:type="pct"/>
                  <w:vMerge w:val="restart"/>
                  <w:vAlign w:val="center"/>
                </w:tcPr>
                <w:p w14:paraId="73F00CF5">
                  <w:pPr>
                    <w:widowControl/>
                    <w:adjustRightInd w:val="0"/>
                    <w:snapToGrid w:val="0"/>
                    <w:jc w:val="center"/>
                    <w:rPr>
                      <w:b/>
                      <w:color w:val="auto"/>
                      <w:kern w:val="0"/>
                      <w:sz w:val="18"/>
                      <w:szCs w:val="18"/>
                    </w:rPr>
                  </w:pPr>
                  <w:r>
                    <w:rPr>
                      <w:b/>
                      <w:color w:val="auto"/>
                      <w:kern w:val="0"/>
                      <w:sz w:val="18"/>
                      <w:szCs w:val="18"/>
                    </w:rPr>
                    <w:t>工艺</w:t>
                  </w:r>
                </w:p>
              </w:tc>
              <w:tc>
                <w:tcPr>
                  <w:tcW w:w="232" w:type="pct"/>
                  <w:vMerge w:val="restart"/>
                  <w:vAlign w:val="center"/>
                </w:tcPr>
                <w:p w14:paraId="400F408B">
                  <w:pPr>
                    <w:widowControl/>
                    <w:adjustRightInd w:val="0"/>
                    <w:snapToGrid w:val="0"/>
                    <w:jc w:val="center"/>
                    <w:rPr>
                      <w:b/>
                      <w:color w:val="auto"/>
                      <w:kern w:val="0"/>
                      <w:sz w:val="18"/>
                      <w:szCs w:val="18"/>
                    </w:rPr>
                  </w:pPr>
                  <w:r>
                    <w:rPr>
                      <w:b/>
                      <w:color w:val="auto"/>
                      <w:kern w:val="0"/>
                      <w:sz w:val="18"/>
                      <w:szCs w:val="18"/>
                    </w:rPr>
                    <w:t>效率</w:t>
                  </w:r>
                </w:p>
              </w:tc>
              <w:tc>
                <w:tcPr>
                  <w:tcW w:w="132" w:type="pct"/>
                  <w:vMerge w:val="restart"/>
                  <w:vAlign w:val="center"/>
                </w:tcPr>
                <w:p w14:paraId="23422468">
                  <w:pPr>
                    <w:widowControl/>
                    <w:adjustRightInd w:val="0"/>
                    <w:snapToGrid w:val="0"/>
                    <w:jc w:val="center"/>
                    <w:rPr>
                      <w:b/>
                      <w:color w:val="auto"/>
                      <w:kern w:val="0"/>
                      <w:sz w:val="18"/>
                      <w:szCs w:val="18"/>
                    </w:rPr>
                  </w:pPr>
                  <w:r>
                    <w:rPr>
                      <w:b/>
                      <w:color w:val="auto"/>
                      <w:kern w:val="0"/>
                      <w:sz w:val="18"/>
                      <w:szCs w:val="18"/>
                    </w:rPr>
                    <w:t>核算方法</w:t>
                  </w:r>
                </w:p>
              </w:tc>
              <w:tc>
                <w:tcPr>
                  <w:tcW w:w="357" w:type="pct"/>
                  <w:vMerge w:val="restart"/>
                  <w:vAlign w:val="center"/>
                </w:tcPr>
                <w:p w14:paraId="30922C2C">
                  <w:pPr>
                    <w:adjustRightInd w:val="0"/>
                    <w:snapToGrid w:val="0"/>
                    <w:jc w:val="center"/>
                    <w:rPr>
                      <w:b/>
                      <w:color w:val="auto"/>
                      <w:kern w:val="0"/>
                      <w:sz w:val="18"/>
                      <w:szCs w:val="18"/>
                    </w:rPr>
                  </w:pPr>
                  <w:r>
                    <w:rPr>
                      <w:b/>
                      <w:color w:val="auto"/>
                      <w:kern w:val="0"/>
                      <w:sz w:val="18"/>
                      <w:szCs w:val="18"/>
                    </w:rPr>
                    <w:t>废气排放量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400" w:type="pct"/>
                  <w:vMerge w:val="restart"/>
                  <w:vAlign w:val="center"/>
                </w:tcPr>
                <w:p w14:paraId="3305A209">
                  <w:pPr>
                    <w:adjustRightInd w:val="0"/>
                    <w:snapToGrid w:val="0"/>
                    <w:jc w:val="center"/>
                    <w:rPr>
                      <w:b/>
                      <w:color w:val="auto"/>
                      <w:kern w:val="0"/>
                      <w:sz w:val="18"/>
                      <w:szCs w:val="18"/>
                    </w:rPr>
                  </w:pPr>
                  <w:r>
                    <w:rPr>
                      <w:b/>
                      <w:color w:val="auto"/>
                      <w:kern w:val="0"/>
                      <w:sz w:val="18"/>
                      <w:szCs w:val="18"/>
                    </w:rPr>
                    <w:t>排放浓度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605" w:type="pct"/>
                  <w:gridSpan w:val="2"/>
                  <w:vAlign w:val="center"/>
                </w:tcPr>
                <w:p w14:paraId="32B3787D">
                  <w:pPr>
                    <w:adjustRightInd w:val="0"/>
                    <w:snapToGrid w:val="0"/>
                    <w:jc w:val="center"/>
                    <w:rPr>
                      <w:b/>
                      <w:color w:val="auto"/>
                      <w:kern w:val="0"/>
                      <w:sz w:val="18"/>
                      <w:szCs w:val="18"/>
                    </w:rPr>
                  </w:pPr>
                  <w:r>
                    <w:rPr>
                      <w:b/>
                      <w:color w:val="auto"/>
                      <w:kern w:val="0"/>
                      <w:sz w:val="18"/>
                      <w:szCs w:val="18"/>
                    </w:rPr>
                    <w:t>排放量</w:t>
                  </w:r>
                </w:p>
              </w:tc>
              <w:tc>
                <w:tcPr>
                  <w:tcW w:w="360" w:type="pct"/>
                  <w:vMerge w:val="restart"/>
                  <w:vAlign w:val="center"/>
                </w:tcPr>
                <w:p w14:paraId="67C75451">
                  <w:pPr>
                    <w:widowControl/>
                    <w:adjustRightInd w:val="0"/>
                    <w:snapToGrid w:val="0"/>
                    <w:jc w:val="center"/>
                    <w:rPr>
                      <w:b/>
                      <w:color w:val="auto"/>
                      <w:kern w:val="0"/>
                      <w:sz w:val="18"/>
                      <w:szCs w:val="18"/>
                    </w:rPr>
                  </w:pPr>
                  <w:r>
                    <w:rPr>
                      <w:rFonts w:hint="eastAsia"/>
                      <w:b/>
                      <w:color w:val="auto"/>
                      <w:kern w:val="0"/>
                      <w:sz w:val="18"/>
                      <w:szCs w:val="18"/>
                    </w:rPr>
                    <w:t>浓度（</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319" w:type="pct"/>
                  <w:vMerge w:val="restart"/>
                  <w:vAlign w:val="center"/>
                </w:tcPr>
                <w:p w14:paraId="3BCF6252">
                  <w:pPr>
                    <w:widowControl/>
                    <w:adjustRightInd w:val="0"/>
                    <w:snapToGrid w:val="0"/>
                    <w:jc w:val="center"/>
                    <w:rPr>
                      <w:b/>
                      <w:color w:val="auto"/>
                      <w:kern w:val="0"/>
                      <w:sz w:val="18"/>
                      <w:szCs w:val="18"/>
                    </w:rPr>
                  </w:pPr>
                  <w:r>
                    <w:rPr>
                      <w:rFonts w:hint="eastAsia"/>
                      <w:b/>
                      <w:color w:val="auto"/>
                      <w:kern w:val="0"/>
                      <w:sz w:val="18"/>
                      <w:szCs w:val="18"/>
                    </w:rPr>
                    <w:t>速率（</w:t>
                  </w:r>
                  <w:r>
                    <w:rPr>
                      <w:b/>
                      <w:color w:val="auto"/>
                      <w:kern w:val="0"/>
                      <w:sz w:val="18"/>
                      <w:szCs w:val="18"/>
                    </w:rPr>
                    <w:t>kg/h</w:t>
                  </w:r>
                  <w:r>
                    <w:rPr>
                      <w:rFonts w:hint="eastAsia"/>
                      <w:b/>
                      <w:color w:val="auto"/>
                      <w:kern w:val="0"/>
                      <w:sz w:val="18"/>
                      <w:szCs w:val="18"/>
                    </w:rPr>
                    <w:t>）</w:t>
                  </w:r>
                </w:p>
              </w:tc>
              <w:tc>
                <w:tcPr>
                  <w:tcW w:w="213" w:type="pct"/>
                  <w:vMerge w:val="continue"/>
                  <w:vAlign w:val="center"/>
                </w:tcPr>
                <w:p w14:paraId="28D5EF15">
                  <w:pPr>
                    <w:adjustRightInd w:val="0"/>
                    <w:snapToGrid w:val="0"/>
                    <w:jc w:val="center"/>
                    <w:rPr>
                      <w:b/>
                      <w:color w:val="auto"/>
                      <w:kern w:val="0"/>
                      <w:sz w:val="18"/>
                      <w:szCs w:val="18"/>
                    </w:rPr>
                  </w:pPr>
                </w:p>
              </w:tc>
            </w:tr>
            <w:tr w14:paraId="2E3E9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7B66C46B">
                  <w:pPr>
                    <w:widowControl/>
                    <w:adjustRightInd w:val="0"/>
                    <w:snapToGrid w:val="0"/>
                    <w:jc w:val="center"/>
                    <w:rPr>
                      <w:b/>
                      <w:color w:val="auto"/>
                      <w:kern w:val="0"/>
                      <w:sz w:val="18"/>
                      <w:szCs w:val="18"/>
                    </w:rPr>
                  </w:pPr>
                </w:p>
              </w:tc>
              <w:tc>
                <w:tcPr>
                  <w:tcW w:w="232" w:type="pct"/>
                  <w:vMerge w:val="continue"/>
                  <w:vAlign w:val="center"/>
                </w:tcPr>
                <w:p w14:paraId="03FF2D7B">
                  <w:pPr>
                    <w:widowControl/>
                    <w:adjustRightInd w:val="0"/>
                    <w:snapToGrid w:val="0"/>
                    <w:jc w:val="center"/>
                    <w:rPr>
                      <w:b/>
                      <w:color w:val="auto"/>
                      <w:kern w:val="0"/>
                      <w:sz w:val="18"/>
                      <w:szCs w:val="18"/>
                    </w:rPr>
                  </w:pPr>
                </w:p>
              </w:tc>
              <w:tc>
                <w:tcPr>
                  <w:tcW w:w="230" w:type="pct"/>
                  <w:vMerge w:val="continue"/>
                  <w:vAlign w:val="center"/>
                </w:tcPr>
                <w:p w14:paraId="04772227">
                  <w:pPr>
                    <w:widowControl/>
                    <w:adjustRightInd w:val="0"/>
                    <w:snapToGrid w:val="0"/>
                    <w:jc w:val="center"/>
                    <w:rPr>
                      <w:b/>
                      <w:color w:val="auto"/>
                      <w:kern w:val="0"/>
                      <w:sz w:val="18"/>
                      <w:szCs w:val="18"/>
                    </w:rPr>
                  </w:pPr>
                </w:p>
              </w:tc>
              <w:tc>
                <w:tcPr>
                  <w:tcW w:w="130" w:type="pct"/>
                  <w:vMerge w:val="continue"/>
                  <w:vAlign w:val="center"/>
                </w:tcPr>
                <w:p w14:paraId="75FAEA31">
                  <w:pPr>
                    <w:widowControl/>
                    <w:adjustRightInd w:val="0"/>
                    <w:snapToGrid w:val="0"/>
                    <w:jc w:val="center"/>
                    <w:rPr>
                      <w:b/>
                      <w:color w:val="auto"/>
                      <w:kern w:val="0"/>
                      <w:sz w:val="18"/>
                      <w:szCs w:val="18"/>
                    </w:rPr>
                  </w:pPr>
                </w:p>
              </w:tc>
              <w:tc>
                <w:tcPr>
                  <w:tcW w:w="130" w:type="pct"/>
                  <w:vMerge w:val="continue"/>
                  <w:vAlign w:val="center"/>
                </w:tcPr>
                <w:p w14:paraId="0969831A">
                  <w:pPr>
                    <w:widowControl/>
                    <w:adjustRightInd w:val="0"/>
                    <w:snapToGrid w:val="0"/>
                    <w:jc w:val="center"/>
                    <w:rPr>
                      <w:b/>
                      <w:color w:val="auto"/>
                      <w:kern w:val="0"/>
                      <w:sz w:val="18"/>
                      <w:szCs w:val="18"/>
                    </w:rPr>
                  </w:pPr>
                </w:p>
              </w:tc>
              <w:tc>
                <w:tcPr>
                  <w:tcW w:w="357" w:type="pct"/>
                  <w:vMerge w:val="continue"/>
                  <w:vAlign w:val="center"/>
                </w:tcPr>
                <w:p w14:paraId="18403664">
                  <w:pPr>
                    <w:widowControl/>
                    <w:adjustRightInd w:val="0"/>
                    <w:snapToGrid w:val="0"/>
                    <w:jc w:val="center"/>
                    <w:rPr>
                      <w:b/>
                      <w:color w:val="auto"/>
                      <w:kern w:val="0"/>
                      <w:sz w:val="18"/>
                      <w:szCs w:val="18"/>
                    </w:rPr>
                  </w:pPr>
                </w:p>
              </w:tc>
              <w:tc>
                <w:tcPr>
                  <w:tcW w:w="399" w:type="pct"/>
                  <w:vMerge w:val="continue"/>
                  <w:vAlign w:val="center"/>
                </w:tcPr>
                <w:p w14:paraId="52AF82C3">
                  <w:pPr>
                    <w:widowControl/>
                    <w:adjustRightInd w:val="0"/>
                    <w:snapToGrid w:val="0"/>
                    <w:jc w:val="center"/>
                    <w:rPr>
                      <w:b/>
                      <w:color w:val="auto"/>
                      <w:kern w:val="0"/>
                      <w:sz w:val="18"/>
                      <w:szCs w:val="18"/>
                    </w:rPr>
                  </w:pPr>
                </w:p>
              </w:tc>
              <w:tc>
                <w:tcPr>
                  <w:tcW w:w="298" w:type="pct"/>
                  <w:vAlign w:val="center"/>
                </w:tcPr>
                <w:p w14:paraId="00E1E1F6">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265" w:type="pct"/>
                  <w:vAlign w:val="center"/>
                </w:tcPr>
                <w:p w14:paraId="250AD37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191" w:type="pct"/>
                  <w:vMerge w:val="continue"/>
                  <w:vAlign w:val="center"/>
                </w:tcPr>
                <w:p w14:paraId="609DF2A5">
                  <w:pPr>
                    <w:widowControl/>
                    <w:adjustRightInd w:val="0"/>
                    <w:snapToGrid w:val="0"/>
                    <w:jc w:val="center"/>
                    <w:rPr>
                      <w:b/>
                      <w:color w:val="auto"/>
                      <w:kern w:val="0"/>
                      <w:sz w:val="18"/>
                      <w:szCs w:val="18"/>
                    </w:rPr>
                  </w:pPr>
                </w:p>
              </w:tc>
              <w:tc>
                <w:tcPr>
                  <w:tcW w:w="232" w:type="pct"/>
                  <w:vMerge w:val="continue"/>
                  <w:vAlign w:val="center"/>
                </w:tcPr>
                <w:p w14:paraId="3B31B6BE">
                  <w:pPr>
                    <w:widowControl/>
                    <w:adjustRightInd w:val="0"/>
                    <w:snapToGrid w:val="0"/>
                    <w:jc w:val="center"/>
                    <w:rPr>
                      <w:b/>
                      <w:color w:val="auto"/>
                      <w:kern w:val="0"/>
                      <w:sz w:val="18"/>
                      <w:szCs w:val="18"/>
                    </w:rPr>
                  </w:pPr>
                </w:p>
              </w:tc>
              <w:tc>
                <w:tcPr>
                  <w:tcW w:w="132" w:type="pct"/>
                  <w:vMerge w:val="continue"/>
                  <w:vAlign w:val="center"/>
                </w:tcPr>
                <w:p w14:paraId="713E63F4">
                  <w:pPr>
                    <w:widowControl/>
                    <w:adjustRightInd w:val="0"/>
                    <w:snapToGrid w:val="0"/>
                    <w:jc w:val="center"/>
                    <w:rPr>
                      <w:b/>
                      <w:color w:val="auto"/>
                      <w:kern w:val="0"/>
                      <w:sz w:val="18"/>
                      <w:szCs w:val="18"/>
                    </w:rPr>
                  </w:pPr>
                </w:p>
              </w:tc>
              <w:tc>
                <w:tcPr>
                  <w:tcW w:w="357" w:type="pct"/>
                  <w:vMerge w:val="continue"/>
                  <w:vAlign w:val="center"/>
                </w:tcPr>
                <w:p w14:paraId="1278EE24">
                  <w:pPr>
                    <w:widowControl/>
                    <w:adjustRightInd w:val="0"/>
                    <w:snapToGrid w:val="0"/>
                    <w:jc w:val="center"/>
                    <w:rPr>
                      <w:b/>
                      <w:color w:val="auto"/>
                      <w:kern w:val="0"/>
                      <w:sz w:val="18"/>
                      <w:szCs w:val="18"/>
                    </w:rPr>
                  </w:pPr>
                </w:p>
              </w:tc>
              <w:tc>
                <w:tcPr>
                  <w:tcW w:w="400" w:type="pct"/>
                  <w:vMerge w:val="continue"/>
                  <w:vAlign w:val="center"/>
                </w:tcPr>
                <w:p w14:paraId="655E09AB">
                  <w:pPr>
                    <w:widowControl/>
                    <w:adjustRightInd w:val="0"/>
                    <w:snapToGrid w:val="0"/>
                    <w:jc w:val="center"/>
                    <w:rPr>
                      <w:b/>
                      <w:color w:val="auto"/>
                      <w:kern w:val="0"/>
                      <w:sz w:val="18"/>
                      <w:szCs w:val="18"/>
                    </w:rPr>
                  </w:pPr>
                </w:p>
              </w:tc>
              <w:tc>
                <w:tcPr>
                  <w:tcW w:w="298" w:type="pct"/>
                  <w:vAlign w:val="center"/>
                </w:tcPr>
                <w:p w14:paraId="7E21493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307" w:type="pct"/>
                  <w:vAlign w:val="center"/>
                </w:tcPr>
                <w:p w14:paraId="2A781248">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360" w:type="pct"/>
                  <w:vMerge w:val="continue"/>
                  <w:vAlign w:val="center"/>
                </w:tcPr>
                <w:p w14:paraId="32CE66F5">
                  <w:pPr>
                    <w:widowControl/>
                    <w:adjustRightInd w:val="0"/>
                    <w:snapToGrid w:val="0"/>
                    <w:jc w:val="center"/>
                    <w:rPr>
                      <w:color w:val="auto"/>
                      <w:kern w:val="0"/>
                      <w:sz w:val="18"/>
                      <w:szCs w:val="18"/>
                    </w:rPr>
                  </w:pPr>
                </w:p>
              </w:tc>
              <w:tc>
                <w:tcPr>
                  <w:tcW w:w="319" w:type="pct"/>
                  <w:vMerge w:val="continue"/>
                  <w:vAlign w:val="center"/>
                </w:tcPr>
                <w:p w14:paraId="06F3F192">
                  <w:pPr>
                    <w:widowControl/>
                    <w:adjustRightInd w:val="0"/>
                    <w:snapToGrid w:val="0"/>
                    <w:jc w:val="center"/>
                    <w:rPr>
                      <w:color w:val="auto"/>
                      <w:kern w:val="0"/>
                      <w:sz w:val="18"/>
                      <w:szCs w:val="18"/>
                    </w:rPr>
                  </w:pPr>
                </w:p>
              </w:tc>
              <w:tc>
                <w:tcPr>
                  <w:tcW w:w="213" w:type="pct"/>
                  <w:vMerge w:val="continue"/>
                  <w:vAlign w:val="center"/>
                </w:tcPr>
                <w:p w14:paraId="35965EBC">
                  <w:pPr>
                    <w:widowControl/>
                    <w:adjustRightInd w:val="0"/>
                    <w:snapToGrid w:val="0"/>
                    <w:jc w:val="center"/>
                    <w:rPr>
                      <w:color w:val="auto"/>
                      <w:kern w:val="0"/>
                      <w:sz w:val="18"/>
                      <w:szCs w:val="18"/>
                    </w:rPr>
                  </w:pPr>
                </w:p>
              </w:tc>
            </w:tr>
            <w:tr w14:paraId="35C38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8" w:hRule="atLeast"/>
                <w:tblHeader/>
                <w:jc w:val="center"/>
              </w:trPr>
              <w:tc>
                <w:tcPr>
                  <w:tcW w:w="147" w:type="pct"/>
                  <w:vMerge w:val="restart"/>
                  <w:vAlign w:val="center"/>
                </w:tcPr>
                <w:p w14:paraId="74A7F46F">
                  <w:pPr>
                    <w:widowControl/>
                    <w:adjustRightInd w:val="0"/>
                    <w:snapToGrid w:val="0"/>
                    <w:jc w:val="center"/>
                    <w:rPr>
                      <w:color w:val="auto"/>
                      <w:kern w:val="0"/>
                      <w:sz w:val="18"/>
                      <w:szCs w:val="18"/>
                    </w:rPr>
                  </w:pPr>
                  <w:r>
                    <w:rPr>
                      <w:rFonts w:hint="eastAsia"/>
                      <w:color w:val="auto"/>
                      <w:kern w:val="0"/>
                      <w:sz w:val="18"/>
                      <w:szCs w:val="18"/>
                    </w:rPr>
                    <w:t>木制组件生产</w:t>
                  </w:r>
                </w:p>
              </w:tc>
              <w:tc>
                <w:tcPr>
                  <w:tcW w:w="232" w:type="pct"/>
                  <w:vMerge w:val="restart"/>
                  <w:vAlign w:val="center"/>
                </w:tcPr>
                <w:p w14:paraId="36D617FD">
                  <w:pPr>
                    <w:widowControl/>
                    <w:adjustRightInd w:val="0"/>
                    <w:snapToGrid w:val="0"/>
                    <w:jc w:val="center"/>
                    <w:rPr>
                      <w:color w:val="auto"/>
                      <w:kern w:val="0"/>
                      <w:sz w:val="18"/>
                      <w:szCs w:val="18"/>
                    </w:rPr>
                  </w:pPr>
                  <w:r>
                    <w:rPr>
                      <w:rFonts w:hint="eastAsia"/>
                      <w:color w:val="auto"/>
                      <w:kern w:val="0"/>
                      <w:sz w:val="18"/>
                      <w:szCs w:val="18"/>
                    </w:rPr>
                    <w:t>下料</w:t>
                  </w:r>
                </w:p>
              </w:tc>
              <w:tc>
                <w:tcPr>
                  <w:tcW w:w="230" w:type="pct"/>
                  <w:vAlign w:val="center"/>
                </w:tcPr>
                <w:p w14:paraId="1CD988DF">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767F794B">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restart"/>
                  <w:vAlign w:val="center"/>
                </w:tcPr>
                <w:p w14:paraId="49594036">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0B3E54D1">
                  <w:pPr>
                    <w:adjustRightInd w:val="0"/>
                    <w:snapToGrid w:val="0"/>
                    <w:jc w:val="center"/>
                    <w:rPr>
                      <w:color w:val="auto"/>
                      <w:sz w:val="18"/>
                      <w:szCs w:val="18"/>
                    </w:rPr>
                  </w:pPr>
                  <w:r>
                    <w:rPr>
                      <w:rFonts w:hint="eastAsia"/>
                      <w:color w:val="auto"/>
                      <w:sz w:val="18"/>
                      <w:szCs w:val="18"/>
                    </w:rPr>
                    <w:t>2000</w:t>
                  </w:r>
                </w:p>
              </w:tc>
              <w:tc>
                <w:tcPr>
                  <w:tcW w:w="399" w:type="pct"/>
                  <w:vAlign w:val="center"/>
                </w:tcPr>
                <w:p w14:paraId="34423B32">
                  <w:pPr>
                    <w:adjustRightInd w:val="0"/>
                    <w:snapToGrid w:val="0"/>
                    <w:jc w:val="center"/>
                    <w:rPr>
                      <w:color w:val="auto"/>
                      <w:sz w:val="18"/>
                      <w:szCs w:val="18"/>
                    </w:rPr>
                  </w:pPr>
                  <w:r>
                    <w:rPr>
                      <w:rFonts w:hint="eastAsia"/>
                      <w:color w:val="auto"/>
                      <w:sz w:val="18"/>
                      <w:szCs w:val="18"/>
                    </w:rPr>
                    <w:t>16.33</w:t>
                  </w:r>
                </w:p>
              </w:tc>
              <w:tc>
                <w:tcPr>
                  <w:tcW w:w="298" w:type="pct"/>
                  <w:vAlign w:val="center"/>
                </w:tcPr>
                <w:p w14:paraId="36419F46">
                  <w:pPr>
                    <w:adjustRightInd w:val="0"/>
                    <w:snapToGrid w:val="0"/>
                    <w:jc w:val="center"/>
                    <w:rPr>
                      <w:color w:val="auto"/>
                      <w:sz w:val="18"/>
                      <w:szCs w:val="18"/>
                    </w:rPr>
                  </w:pPr>
                  <w:r>
                    <w:rPr>
                      <w:rFonts w:hint="eastAsia"/>
                      <w:color w:val="auto"/>
                      <w:sz w:val="18"/>
                      <w:szCs w:val="18"/>
                    </w:rPr>
                    <w:t>0.0327</w:t>
                  </w:r>
                </w:p>
              </w:tc>
              <w:tc>
                <w:tcPr>
                  <w:tcW w:w="265" w:type="pct"/>
                  <w:vAlign w:val="center"/>
                </w:tcPr>
                <w:p w14:paraId="4E7E58A8">
                  <w:pPr>
                    <w:adjustRightInd w:val="0"/>
                    <w:snapToGrid w:val="0"/>
                    <w:jc w:val="center"/>
                    <w:rPr>
                      <w:color w:val="auto"/>
                      <w:sz w:val="18"/>
                      <w:szCs w:val="18"/>
                    </w:rPr>
                  </w:pPr>
                  <w:r>
                    <w:rPr>
                      <w:rFonts w:hint="eastAsia"/>
                      <w:color w:val="auto"/>
                      <w:sz w:val="18"/>
                      <w:szCs w:val="18"/>
                    </w:rPr>
                    <w:t>0.1176</w:t>
                  </w:r>
                </w:p>
              </w:tc>
              <w:tc>
                <w:tcPr>
                  <w:tcW w:w="191" w:type="pct"/>
                  <w:vAlign w:val="center"/>
                </w:tcPr>
                <w:p w14:paraId="633DB0A3">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21148B07">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F3C7289">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32" w:type="pct"/>
                  <w:vMerge w:val="restart"/>
                  <w:vAlign w:val="center"/>
                </w:tcPr>
                <w:p w14:paraId="126DAACA">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3A2475A3">
                  <w:pPr>
                    <w:adjustRightInd w:val="0"/>
                    <w:snapToGrid w:val="0"/>
                    <w:jc w:val="center"/>
                    <w:rPr>
                      <w:color w:val="auto"/>
                      <w:sz w:val="18"/>
                      <w:szCs w:val="18"/>
                    </w:rPr>
                  </w:pPr>
                  <w:r>
                    <w:rPr>
                      <w:rFonts w:hint="eastAsia"/>
                      <w:color w:val="auto"/>
                      <w:sz w:val="18"/>
                      <w:szCs w:val="18"/>
                    </w:rPr>
                    <w:t>2000</w:t>
                  </w:r>
                </w:p>
              </w:tc>
              <w:tc>
                <w:tcPr>
                  <w:tcW w:w="400" w:type="pct"/>
                  <w:vAlign w:val="center"/>
                </w:tcPr>
                <w:p w14:paraId="59D1BFD6">
                  <w:pPr>
                    <w:adjustRightInd w:val="0"/>
                    <w:snapToGrid w:val="0"/>
                    <w:jc w:val="center"/>
                    <w:rPr>
                      <w:color w:val="auto"/>
                      <w:sz w:val="18"/>
                      <w:szCs w:val="18"/>
                    </w:rPr>
                  </w:pPr>
                  <w:r>
                    <w:rPr>
                      <w:rFonts w:hint="eastAsia"/>
                      <w:color w:val="auto"/>
                      <w:sz w:val="18"/>
                      <w:szCs w:val="18"/>
                    </w:rPr>
                    <w:t>0.82</w:t>
                  </w:r>
                </w:p>
              </w:tc>
              <w:tc>
                <w:tcPr>
                  <w:tcW w:w="298" w:type="pct"/>
                  <w:vAlign w:val="center"/>
                </w:tcPr>
                <w:p w14:paraId="73DE2E88">
                  <w:pPr>
                    <w:adjustRightInd w:val="0"/>
                    <w:snapToGrid w:val="0"/>
                    <w:jc w:val="center"/>
                    <w:rPr>
                      <w:color w:val="auto"/>
                      <w:sz w:val="18"/>
                      <w:szCs w:val="18"/>
                    </w:rPr>
                  </w:pPr>
                  <w:r>
                    <w:rPr>
                      <w:rFonts w:hint="eastAsia"/>
                      <w:color w:val="auto"/>
                      <w:sz w:val="18"/>
                      <w:szCs w:val="18"/>
                    </w:rPr>
                    <w:t>0.0016</w:t>
                  </w:r>
                </w:p>
              </w:tc>
              <w:tc>
                <w:tcPr>
                  <w:tcW w:w="307" w:type="pct"/>
                  <w:vAlign w:val="center"/>
                </w:tcPr>
                <w:p w14:paraId="3D5468EC">
                  <w:pPr>
                    <w:adjustRightInd w:val="0"/>
                    <w:snapToGrid w:val="0"/>
                    <w:jc w:val="center"/>
                    <w:rPr>
                      <w:color w:val="auto"/>
                      <w:sz w:val="18"/>
                      <w:szCs w:val="18"/>
                    </w:rPr>
                  </w:pPr>
                  <w:r>
                    <w:rPr>
                      <w:rFonts w:hint="eastAsia"/>
                      <w:color w:val="auto"/>
                      <w:sz w:val="18"/>
                      <w:szCs w:val="18"/>
                    </w:rPr>
                    <w:t>0.0059</w:t>
                  </w:r>
                </w:p>
              </w:tc>
              <w:tc>
                <w:tcPr>
                  <w:tcW w:w="360" w:type="pct"/>
                  <w:vAlign w:val="center"/>
                </w:tcPr>
                <w:p w14:paraId="6F3DFF8A">
                  <w:pPr>
                    <w:adjustRightInd w:val="0"/>
                    <w:snapToGrid w:val="0"/>
                    <w:jc w:val="center"/>
                    <w:rPr>
                      <w:color w:val="auto"/>
                      <w:sz w:val="18"/>
                      <w:szCs w:val="18"/>
                    </w:rPr>
                  </w:pPr>
                  <w:r>
                    <w:rPr>
                      <w:rFonts w:hint="eastAsia"/>
                      <w:color w:val="auto"/>
                      <w:sz w:val="18"/>
                      <w:szCs w:val="18"/>
                    </w:rPr>
                    <w:t>20</w:t>
                  </w:r>
                </w:p>
              </w:tc>
              <w:tc>
                <w:tcPr>
                  <w:tcW w:w="319" w:type="pct"/>
                  <w:vAlign w:val="center"/>
                </w:tcPr>
                <w:p w14:paraId="41B388C2">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5B7ED12F">
                  <w:pPr>
                    <w:adjustRightInd w:val="0"/>
                    <w:snapToGrid w:val="0"/>
                    <w:jc w:val="center"/>
                    <w:rPr>
                      <w:color w:val="auto"/>
                      <w:sz w:val="18"/>
                      <w:szCs w:val="18"/>
                    </w:rPr>
                  </w:pPr>
                  <w:r>
                    <w:rPr>
                      <w:rFonts w:hint="eastAsia"/>
                      <w:color w:val="auto"/>
                      <w:sz w:val="18"/>
                      <w:szCs w:val="18"/>
                    </w:rPr>
                    <w:t>3600</w:t>
                  </w:r>
                </w:p>
              </w:tc>
            </w:tr>
            <w:tr w14:paraId="5CA58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7F0EB29F">
                  <w:pPr>
                    <w:widowControl/>
                    <w:adjustRightInd w:val="0"/>
                    <w:snapToGrid w:val="0"/>
                    <w:jc w:val="center"/>
                    <w:rPr>
                      <w:color w:val="auto"/>
                      <w:kern w:val="0"/>
                      <w:sz w:val="18"/>
                      <w:szCs w:val="18"/>
                    </w:rPr>
                  </w:pPr>
                </w:p>
              </w:tc>
              <w:tc>
                <w:tcPr>
                  <w:tcW w:w="232" w:type="pct"/>
                  <w:vMerge w:val="continue"/>
                  <w:vAlign w:val="center"/>
                </w:tcPr>
                <w:p w14:paraId="130C08EC">
                  <w:pPr>
                    <w:widowControl/>
                    <w:adjustRightInd w:val="0"/>
                    <w:snapToGrid w:val="0"/>
                    <w:jc w:val="center"/>
                    <w:rPr>
                      <w:color w:val="auto"/>
                      <w:kern w:val="0"/>
                      <w:sz w:val="18"/>
                      <w:szCs w:val="18"/>
                    </w:rPr>
                  </w:pPr>
                </w:p>
              </w:tc>
              <w:tc>
                <w:tcPr>
                  <w:tcW w:w="230" w:type="pct"/>
                  <w:vAlign w:val="center"/>
                </w:tcPr>
                <w:p w14:paraId="6F357C80">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31B12039">
                  <w:pPr>
                    <w:widowControl/>
                    <w:adjustRightInd w:val="0"/>
                    <w:snapToGrid w:val="0"/>
                    <w:jc w:val="center"/>
                    <w:rPr>
                      <w:color w:val="auto"/>
                      <w:kern w:val="0"/>
                      <w:sz w:val="18"/>
                      <w:szCs w:val="18"/>
                    </w:rPr>
                  </w:pPr>
                </w:p>
              </w:tc>
              <w:tc>
                <w:tcPr>
                  <w:tcW w:w="130" w:type="pct"/>
                  <w:vMerge w:val="continue"/>
                  <w:vAlign w:val="center"/>
                </w:tcPr>
                <w:p w14:paraId="2F3AF438">
                  <w:pPr>
                    <w:widowControl/>
                    <w:adjustRightInd w:val="0"/>
                    <w:snapToGrid w:val="0"/>
                    <w:jc w:val="center"/>
                    <w:rPr>
                      <w:color w:val="auto"/>
                      <w:kern w:val="0"/>
                      <w:sz w:val="18"/>
                      <w:szCs w:val="18"/>
                    </w:rPr>
                  </w:pPr>
                </w:p>
              </w:tc>
              <w:tc>
                <w:tcPr>
                  <w:tcW w:w="357" w:type="pct"/>
                  <w:vMerge w:val="continue"/>
                  <w:vAlign w:val="center"/>
                </w:tcPr>
                <w:p w14:paraId="5BF7B48D">
                  <w:pPr>
                    <w:adjustRightInd w:val="0"/>
                    <w:snapToGrid w:val="0"/>
                    <w:jc w:val="center"/>
                    <w:rPr>
                      <w:color w:val="auto"/>
                      <w:sz w:val="18"/>
                      <w:szCs w:val="18"/>
                    </w:rPr>
                  </w:pPr>
                </w:p>
              </w:tc>
              <w:tc>
                <w:tcPr>
                  <w:tcW w:w="399" w:type="pct"/>
                  <w:vAlign w:val="center"/>
                </w:tcPr>
                <w:p w14:paraId="76D7A5D8">
                  <w:pPr>
                    <w:adjustRightInd w:val="0"/>
                    <w:snapToGrid w:val="0"/>
                    <w:jc w:val="center"/>
                    <w:rPr>
                      <w:color w:val="auto"/>
                      <w:sz w:val="18"/>
                      <w:szCs w:val="18"/>
                    </w:rPr>
                  </w:pPr>
                  <w:r>
                    <w:rPr>
                      <w:rFonts w:hint="eastAsia"/>
                      <w:color w:val="auto"/>
                      <w:sz w:val="18"/>
                      <w:szCs w:val="18"/>
                    </w:rPr>
                    <w:t>/</w:t>
                  </w:r>
                </w:p>
              </w:tc>
              <w:tc>
                <w:tcPr>
                  <w:tcW w:w="298" w:type="pct"/>
                  <w:vAlign w:val="center"/>
                </w:tcPr>
                <w:p w14:paraId="1EAB3B01">
                  <w:pPr>
                    <w:adjustRightInd w:val="0"/>
                    <w:snapToGrid w:val="0"/>
                    <w:jc w:val="center"/>
                    <w:rPr>
                      <w:color w:val="auto"/>
                      <w:sz w:val="18"/>
                      <w:szCs w:val="18"/>
                    </w:rPr>
                  </w:pPr>
                  <w:r>
                    <w:rPr>
                      <w:rFonts w:hint="eastAsia"/>
                      <w:color w:val="auto"/>
                      <w:sz w:val="18"/>
                      <w:szCs w:val="18"/>
                    </w:rPr>
                    <w:t>0.0082</w:t>
                  </w:r>
                </w:p>
              </w:tc>
              <w:tc>
                <w:tcPr>
                  <w:tcW w:w="265" w:type="pct"/>
                  <w:vAlign w:val="center"/>
                </w:tcPr>
                <w:p w14:paraId="2BB55D52">
                  <w:pPr>
                    <w:adjustRightInd w:val="0"/>
                    <w:snapToGrid w:val="0"/>
                    <w:jc w:val="center"/>
                    <w:rPr>
                      <w:color w:val="auto"/>
                      <w:sz w:val="18"/>
                      <w:szCs w:val="18"/>
                    </w:rPr>
                  </w:pPr>
                  <w:r>
                    <w:rPr>
                      <w:rFonts w:hint="eastAsia"/>
                      <w:color w:val="auto"/>
                      <w:sz w:val="18"/>
                      <w:szCs w:val="18"/>
                    </w:rPr>
                    <w:t>0.0294</w:t>
                  </w:r>
                </w:p>
              </w:tc>
              <w:tc>
                <w:tcPr>
                  <w:tcW w:w="191" w:type="pct"/>
                  <w:vAlign w:val="center"/>
                </w:tcPr>
                <w:p w14:paraId="0DBBA133">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3CA69CDB">
                  <w:pPr>
                    <w:widowControl/>
                    <w:jc w:val="center"/>
                    <w:rPr>
                      <w:color w:val="auto"/>
                      <w:kern w:val="0"/>
                      <w:sz w:val="18"/>
                      <w:szCs w:val="18"/>
                    </w:rPr>
                  </w:pPr>
                </w:p>
              </w:tc>
              <w:tc>
                <w:tcPr>
                  <w:tcW w:w="132" w:type="pct"/>
                  <w:vMerge w:val="continue"/>
                  <w:vAlign w:val="center"/>
                </w:tcPr>
                <w:p w14:paraId="7203FD9F">
                  <w:pPr>
                    <w:widowControl/>
                    <w:jc w:val="center"/>
                    <w:rPr>
                      <w:color w:val="auto"/>
                      <w:kern w:val="0"/>
                      <w:sz w:val="18"/>
                      <w:szCs w:val="18"/>
                    </w:rPr>
                  </w:pPr>
                </w:p>
              </w:tc>
              <w:tc>
                <w:tcPr>
                  <w:tcW w:w="357" w:type="pct"/>
                  <w:vMerge w:val="continue"/>
                  <w:vAlign w:val="center"/>
                </w:tcPr>
                <w:p w14:paraId="05A08433">
                  <w:pPr>
                    <w:adjustRightInd w:val="0"/>
                    <w:snapToGrid w:val="0"/>
                    <w:jc w:val="center"/>
                    <w:rPr>
                      <w:color w:val="auto"/>
                      <w:sz w:val="18"/>
                      <w:szCs w:val="18"/>
                    </w:rPr>
                  </w:pPr>
                </w:p>
              </w:tc>
              <w:tc>
                <w:tcPr>
                  <w:tcW w:w="400" w:type="pct"/>
                  <w:vAlign w:val="center"/>
                </w:tcPr>
                <w:p w14:paraId="143F372A">
                  <w:pPr>
                    <w:adjustRightInd w:val="0"/>
                    <w:snapToGrid w:val="0"/>
                    <w:jc w:val="center"/>
                    <w:rPr>
                      <w:color w:val="auto"/>
                      <w:sz w:val="18"/>
                      <w:szCs w:val="18"/>
                    </w:rPr>
                  </w:pPr>
                  <w:r>
                    <w:rPr>
                      <w:rFonts w:hint="eastAsia"/>
                      <w:color w:val="auto"/>
                      <w:sz w:val="18"/>
                      <w:szCs w:val="18"/>
                    </w:rPr>
                    <w:t>/</w:t>
                  </w:r>
                </w:p>
              </w:tc>
              <w:tc>
                <w:tcPr>
                  <w:tcW w:w="298" w:type="pct"/>
                  <w:vAlign w:val="center"/>
                </w:tcPr>
                <w:p w14:paraId="2DB868B3">
                  <w:pPr>
                    <w:adjustRightInd w:val="0"/>
                    <w:snapToGrid w:val="0"/>
                    <w:jc w:val="center"/>
                    <w:rPr>
                      <w:color w:val="auto"/>
                      <w:sz w:val="18"/>
                      <w:szCs w:val="18"/>
                    </w:rPr>
                  </w:pPr>
                  <w:r>
                    <w:rPr>
                      <w:rFonts w:hint="eastAsia"/>
                      <w:color w:val="auto"/>
                      <w:sz w:val="18"/>
                      <w:szCs w:val="18"/>
                    </w:rPr>
                    <w:t>0.0082</w:t>
                  </w:r>
                </w:p>
              </w:tc>
              <w:tc>
                <w:tcPr>
                  <w:tcW w:w="307" w:type="pct"/>
                  <w:vAlign w:val="center"/>
                </w:tcPr>
                <w:p w14:paraId="3194AB7A">
                  <w:pPr>
                    <w:adjustRightInd w:val="0"/>
                    <w:snapToGrid w:val="0"/>
                    <w:jc w:val="center"/>
                    <w:rPr>
                      <w:color w:val="auto"/>
                      <w:sz w:val="18"/>
                      <w:szCs w:val="18"/>
                    </w:rPr>
                  </w:pPr>
                  <w:r>
                    <w:rPr>
                      <w:rFonts w:hint="eastAsia"/>
                      <w:color w:val="auto"/>
                      <w:sz w:val="18"/>
                      <w:szCs w:val="18"/>
                    </w:rPr>
                    <w:t>0.0294</w:t>
                  </w:r>
                </w:p>
              </w:tc>
              <w:tc>
                <w:tcPr>
                  <w:tcW w:w="360" w:type="pct"/>
                  <w:vAlign w:val="center"/>
                </w:tcPr>
                <w:p w14:paraId="3694900D">
                  <w:pPr>
                    <w:adjustRightInd w:val="0"/>
                    <w:snapToGrid w:val="0"/>
                    <w:jc w:val="center"/>
                    <w:rPr>
                      <w:color w:val="auto"/>
                      <w:sz w:val="18"/>
                      <w:szCs w:val="18"/>
                    </w:rPr>
                  </w:pPr>
                  <w:r>
                    <w:rPr>
                      <w:rFonts w:hint="eastAsia"/>
                      <w:color w:val="auto"/>
                      <w:sz w:val="18"/>
                      <w:szCs w:val="18"/>
                    </w:rPr>
                    <w:t>0.5</w:t>
                  </w:r>
                </w:p>
              </w:tc>
              <w:tc>
                <w:tcPr>
                  <w:tcW w:w="319" w:type="pct"/>
                  <w:vAlign w:val="center"/>
                </w:tcPr>
                <w:p w14:paraId="60F80DA8">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540E83DE">
                  <w:pPr>
                    <w:adjustRightInd w:val="0"/>
                    <w:snapToGrid w:val="0"/>
                    <w:jc w:val="center"/>
                    <w:rPr>
                      <w:color w:val="auto"/>
                      <w:sz w:val="18"/>
                      <w:szCs w:val="18"/>
                    </w:rPr>
                  </w:pPr>
                </w:p>
              </w:tc>
            </w:tr>
            <w:tr w14:paraId="3CAA6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1" w:hRule="atLeast"/>
                <w:tblHeader/>
                <w:jc w:val="center"/>
              </w:trPr>
              <w:tc>
                <w:tcPr>
                  <w:tcW w:w="147" w:type="pct"/>
                  <w:vMerge w:val="continue"/>
                  <w:vAlign w:val="center"/>
                </w:tcPr>
                <w:p w14:paraId="4C9ED660">
                  <w:pPr>
                    <w:widowControl/>
                    <w:adjustRightInd w:val="0"/>
                    <w:snapToGrid w:val="0"/>
                    <w:jc w:val="center"/>
                    <w:rPr>
                      <w:color w:val="auto"/>
                      <w:kern w:val="0"/>
                      <w:sz w:val="18"/>
                      <w:szCs w:val="18"/>
                    </w:rPr>
                  </w:pPr>
                </w:p>
              </w:tc>
              <w:tc>
                <w:tcPr>
                  <w:tcW w:w="232" w:type="pct"/>
                  <w:vMerge w:val="restart"/>
                  <w:vAlign w:val="center"/>
                </w:tcPr>
                <w:p w14:paraId="13628338">
                  <w:pPr>
                    <w:widowControl/>
                    <w:adjustRightInd w:val="0"/>
                    <w:snapToGrid w:val="0"/>
                    <w:jc w:val="center"/>
                    <w:rPr>
                      <w:color w:val="auto"/>
                      <w:kern w:val="0"/>
                      <w:sz w:val="18"/>
                      <w:szCs w:val="18"/>
                    </w:rPr>
                  </w:pPr>
                  <w:r>
                    <w:rPr>
                      <w:rFonts w:hint="eastAsia"/>
                      <w:color w:val="auto"/>
                      <w:kern w:val="0"/>
                      <w:sz w:val="18"/>
                      <w:szCs w:val="18"/>
                    </w:rPr>
                    <w:t>封边</w:t>
                  </w:r>
                </w:p>
              </w:tc>
              <w:tc>
                <w:tcPr>
                  <w:tcW w:w="230" w:type="pct"/>
                  <w:vAlign w:val="center"/>
                </w:tcPr>
                <w:p w14:paraId="2D7C2A6F">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156B8AEE">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10C82B88">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6A7ABF7D">
                  <w:pPr>
                    <w:adjustRightInd w:val="0"/>
                    <w:snapToGrid w:val="0"/>
                    <w:jc w:val="center"/>
                    <w:rPr>
                      <w:color w:val="auto"/>
                      <w:sz w:val="18"/>
                      <w:szCs w:val="18"/>
                    </w:rPr>
                  </w:pPr>
                  <w:r>
                    <w:rPr>
                      <w:rFonts w:hint="eastAsia"/>
                      <w:color w:val="auto"/>
                      <w:sz w:val="18"/>
                      <w:szCs w:val="18"/>
                    </w:rPr>
                    <w:t>1000</w:t>
                  </w:r>
                </w:p>
              </w:tc>
              <w:tc>
                <w:tcPr>
                  <w:tcW w:w="399" w:type="pct"/>
                  <w:vAlign w:val="center"/>
                </w:tcPr>
                <w:p w14:paraId="792EE9B4">
                  <w:pPr>
                    <w:adjustRightInd w:val="0"/>
                    <w:snapToGrid w:val="0"/>
                    <w:jc w:val="center"/>
                    <w:rPr>
                      <w:color w:val="auto"/>
                      <w:sz w:val="18"/>
                      <w:szCs w:val="18"/>
                    </w:rPr>
                  </w:pPr>
                  <w:r>
                    <w:rPr>
                      <w:rFonts w:hint="eastAsia"/>
                      <w:color w:val="auto"/>
                      <w:sz w:val="18"/>
                      <w:szCs w:val="18"/>
                    </w:rPr>
                    <w:t>0.11</w:t>
                  </w:r>
                </w:p>
              </w:tc>
              <w:tc>
                <w:tcPr>
                  <w:tcW w:w="298" w:type="pct"/>
                  <w:vAlign w:val="center"/>
                </w:tcPr>
                <w:p w14:paraId="1D9E6892">
                  <w:pPr>
                    <w:adjustRightInd w:val="0"/>
                    <w:snapToGrid w:val="0"/>
                    <w:jc w:val="center"/>
                    <w:rPr>
                      <w:color w:val="auto"/>
                      <w:sz w:val="18"/>
                      <w:szCs w:val="18"/>
                    </w:rPr>
                  </w:pPr>
                  <w:r>
                    <w:rPr>
                      <w:rFonts w:hint="eastAsia"/>
                      <w:color w:val="auto"/>
                      <w:sz w:val="18"/>
                      <w:szCs w:val="18"/>
                    </w:rPr>
                    <w:t>0.0001</w:t>
                  </w:r>
                </w:p>
              </w:tc>
              <w:tc>
                <w:tcPr>
                  <w:tcW w:w="265" w:type="pct"/>
                  <w:vAlign w:val="center"/>
                </w:tcPr>
                <w:p w14:paraId="6DCDEC01">
                  <w:pPr>
                    <w:adjustRightInd w:val="0"/>
                    <w:snapToGrid w:val="0"/>
                    <w:jc w:val="center"/>
                    <w:rPr>
                      <w:color w:val="auto"/>
                      <w:sz w:val="18"/>
                      <w:szCs w:val="18"/>
                    </w:rPr>
                  </w:pPr>
                  <w:r>
                    <w:rPr>
                      <w:rFonts w:hint="eastAsia"/>
                      <w:color w:val="auto"/>
                      <w:sz w:val="18"/>
                      <w:szCs w:val="18"/>
                    </w:rPr>
                    <w:t>0.0004</w:t>
                  </w:r>
                </w:p>
              </w:tc>
              <w:tc>
                <w:tcPr>
                  <w:tcW w:w="191" w:type="pct"/>
                  <w:vAlign w:val="center"/>
                </w:tcPr>
                <w:p w14:paraId="55C59532">
                  <w:pPr>
                    <w:widowControl/>
                    <w:jc w:val="center"/>
                    <w:rPr>
                      <w:color w:val="auto"/>
                      <w:kern w:val="0"/>
                      <w:sz w:val="18"/>
                      <w:szCs w:val="18"/>
                    </w:rPr>
                  </w:pPr>
                  <w:r>
                    <w:rPr>
                      <w:color w:val="auto"/>
                      <w:kern w:val="0"/>
                      <w:sz w:val="18"/>
                      <w:szCs w:val="18"/>
                    </w:rPr>
                    <w:t>二级活性</w:t>
                  </w:r>
                  <w:r>
                    <w:rPr>
                      <w:rFonts w:hint="eastAsia"/>
                      <w:color w:val="auto"/>
                      <w:kern w:val="0"/>
                      <w:sz w:val="18"/>
                      <w:szCs w:val="18"/>
                    </w:rPr>
                    <w:t>炭</w:t>
                  </w:r>
                </w:p>
              </w:tc>
              <w:tc>
                <w:tcPr>
                  <w:tcW w:w="232" w:type="pct"/>
                  <w:vMerge w:val="restart"/>
                  <w:vAlign w:val="center"/>
                </w:tcPr>
                <w:p w14:paraId="4019FC70">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1DF2E137">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1242C00F">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70A66C34">
                  <w:pPr>
                    <w:adjustRightInd w:val="0"/>
                    <w:snapToGrid w:val="0"/>
                    <w:jc w:val="center"/>
                    <w:rPr>
                      <w:color w:val="auto"/>
                      <w:sz w:val="18"/>
                      <w:szCs w:val="18"/>
                    </w:rPr>
                  </w:pPr>
                  <w:r>
                    <w:rPr>
                      <w:rFonts w:hint="eastAsia"/>
                      <w:color w:val="auto"/>
                      <w:sz w:val="18"/>
                      <w:szCs w:val="18"/>
                    </w:rPr>
                    <w:t>1000</w:t>
                  </w:r>
                </w:p>
              </w:tc>
              <w:tc>
                <w:tcPr>
                  <w:tcW w:w="400" w:type="pct"/>
                  <w:vAlign w:val="center"/>
                </w:tcPr>
                <w:p w14:paraId="079D550A">
                  <w:pPr>
                    <w:adjustRightInd w:val="0"/>
                    <w:snapToGrid w:val="0"/>
                    <w:jc w:val="center"/>
                    <w:rPr>
                      <w:color w:val="auto"/>
                      <w:sz w:val="18"/>
                      <w:szCs w:val="18"/>
                    </w:rPr>
                  </w:pPr>
                  <w:r>
                    <w:rPr>
                      <w:rFonts w:hint="eastAsia"/>
                      <w:color w:val="auto"/>
                      <w:sz w:val="18"/>
                      <w:szCs w:val="18"/>
                    </w:rPr>
                    <w:t>0.01</w:t>
                  </w:r>
                </w:p>
              </w:tc>
              <w:tc>
                <w:tcPr>
                  <w:tcW w:w="298" w:type="pct"/>
                  <w:vAlign w:val="center"/>
                </w:tcPr>
                <w:p w14:paraId="41A1080E">
                  <w:pPr>
                    <w:adjustRightInd w:val="0"/>
                    <w:snapToGrid w:val="0"/>
                    <w:jc w:val="center"/>
                    <w:rPr>
                      <w:color w:val="auto"/>
                      <w:sz w:val="18"/>
                      <w:szCs w:val="18"/>
                    </w:rPr>
                  </w:pPr>
                  <w:r>
                    <w:rPr>
                      <w:rFonts w:hint="eastAsia"/>
                      <w:color w:val="auto"/>
                      <w:sz w:val="18"/>
                      <w:szCs w:val="18"/>
                    </w:rPr>
                    <w:t>0.00001</w:t>
                  </w:r>
                </w:p>
              </w:tc>
              <w:tc>
                <w:tcPr>
                  <w:tcW w:w="307" w:type="pct"/>
                  <w:vAlign w:val="center"/>
                </w:tcPr>
                <w:p w14:paraId="49C8DC60">
                  <w:pPr>
                    <w:adjustRightInd w:val="0"/>
                    <w:snapToGrid w:val="0"/>
                    <w:jc w:val="center"/>
                    <w:rPr>
                      <w:color w:val="auto"/>
                      <w:sz w:val="18"/>
                      <w:szCs w:val="18"/>
                    </w:rPr>
                  </w:pPr>
                  <w:r>
                    <w:rPr>
                      <w:rFonts w:hint="eastAsia"/>
                      <w:color w:val="auto"/>
                      <w:sz w:val="18"/>
                      <w:szCs w:val="18"/>
                    </w:rPr>
                    <w:t>0.00004</w:t>
                  </w:r>
                </w:p>
              </w:tc>
              <w:tc>
                <w:tcPr>
                  <w:tcW w:w="360" w:type="pct"/>
                  <w:vAlign w:val="center"/>
                </w:tcPr>
                <w:p w14:paraId="714B78CD">
                  <w:pPr>
                    <w:adjustRightInd w:val="0"/>
                    <w:snapToGrid w:val="0"/>
                    <w:jc w:val="center"/>
                    <w:rPr>
                      <w:color w:val="auto"/>
                      <w:sz w:val="18"/>
                      <w:szCs w:val="18"/>
                    </w:rPr>
                  </w:pPr>
                  <w:r>
                    <w:rPr>
                      <w:rFonts w:hint="eastAsia"/>
                      <w:color w:val="auto"/>
                      <w:sz w:val="18"/>
                      <w:szCs w:val="18"/>
                    </w:rPr>
                    <w:t>50</w:t>
                  </w:r>
                </w:p>
              </w:tc>
              <w:tc>
                <w:tcPr>
                  <w:tcW w:w="319" w:type="pct"/>
                  <w:vAlign w:val="center"/>
                </w:tcPr>
                <w:p w14:paraId="3B18D71F">
                  <w:pPr>
                    <w:adjustRightInd w:val="0"/>
                    <w:snapToGrid w:val="0"/>
                    <w:jc w:val="center"/>
                    <w:rPr>
                      <w:color w:val="auto"/>
                      <w:sz w:val="18"/>
                      <w:szCs w:val="18"/>
                    </w:rPr>
                  </w:pPr>
                  <w:r>
                    <w:rPr>
                      <w:rFonts w:hint="eastAsia"/>
                      <w:color w:val="auto"/>
                      <w:sz w:val="18"/>
                      <w:szCs w:val="18"/>
                    </w:rPr>
                    <w:t>2.0</w:t>
                  </w:r>
                </w:p>
              </w:tc>
              <w:tc>
                <w:tcPr>
                  <w:tcW w:w="213" w:type="pct"/>
                  <w:vMerge w:val="restart"/>
                  <w:vAlign w:val="center"/>
                </w:tcPr>
                <w:p w14:paraId="4A5F9F0E">
                  <w:pPr>
                    <w:adjustRightInd w:val="0"/>
                    <w:snapToGrid w:val="0"/>
                    <w:jc w:val="center"/>
                    <w:rPr>
                      <w:color w:val="auto"/>
                      <w:sz w:val="18"/>
                      <w:szCs w:val="18"/>
                    </w:rPr>
                  </w:pPr>
                  <w:r>
                    <w:rPr>
                      <w:rFonts w:hint="eastAsia"/>
                      <w:color w:val="auto"/>
                      <w:sz w:val="18"/>
                      <w:szCs w:val="18"/>
                    </w:rPr>
                    <w:t>3600</w:t>
                  </w:r>
                </w:p>
              </w:tc>
            </w:tr>
            <w:tr w14:paraId="5FE28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50C46CD7">
                  <w:pPr>
                    <w:widowControl/>
                    <w:adjustRightInd w:val="0"/>
                    <w:snapToGrid w:val="0"/>
                    <w:jc w:val="center"/>
                    <w:rPr>
                      <w:color w:val="auto"/>
                      <w:kern w:val="0"/>
                      <w:sz w:val="18"/>
                      <w:szCs w:val="18"/>
                    </w:rPr>
                  </w:pPr>
                </w:p>
              </w:tc>
              <w:tc>
                <w:tcPr>
                  <w:tcW w:w="232" w:type="pct"/>
                  <w:vMerge w:val="continue"/>
                  <w:vAlign w:val="center"/>
                </w:tcPr>
                <w:p w14:paraId="20E69A9D">
                  <w:pPr>
                    <w:widowControl/>
                    <w:adjustRightInd w:val="0"/>
                    <w:snapToGrid w:val="0"/>
                    <w:jc w:val="center"/>
                    <w:rPr>
                      <w:color w:val="auto"/>
                      <w:kern w:val="0"/>
                      <w:sz w:val="18"/>
                      <w:szCs w:val="18"/>
                    </w:rPr>
                  </w:pPr>
                </w:p>
              </w:tc>
              <w:tc>
                <w:tcPr>
                  <w:tcW w:w="230" w:type="pct"/>
                  <w:vAlign w:val="center"/>
                </w:tcPr>
                <w:p w14:paraId="48B5D72D">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7E935D4B">
                  <w:pPr>
                    <w:widowControl/>
                    <w:adjustRightInd w:val="0"/>
                    <w:snapToGrid w:val="0"/>
                    <w:jc w:val="center"/>
                    <w:rPr>
                      <w:color w:val="auto"/>
                      <w:kern w:val="0"/>
                      <w:sz w:val="18"/>
                      <w:szCs w:val="18"/>
                    </w:rPr>
                  </w:pPr>
                </w:p>
              </w:tc>
              <w:tc>
                <w:tcPr>
                  <w:tcW w:w="130" w:type="pct"/>
                  <w:vMerge w:val="continue"/>
                  <w:vAlign w:val="center"/>
                </w:tcPr>
                <w:p w14:paraId="5B2701E9">
                  <w:pPr>
                    <w:widowControl/>
                    <w:adjustRightInd w:val="0"/>
                    <w:snapToGrid w:val="0"/>
                    <w:jc w:val="center"/>
                    <w:rPr>
                      <w:color w:val="auto"/>
                      <w:kern w:val="0"/>
                      <w:sz w:val="18"/>
                      <w:szCs w:val="18"/>
                    </w:rPr>
                  </w:pPr>
                </w:p>
              </w:tc>
              <w:tc>
                <w:tcPr>
                  <w:tcW w:w="357" w:type="pct"/>
                  <w:vMerge w:val="continue"/>
                  <w:vAlign w:val="center"/>
                </w:tcPr>
                <w:p w14:paraId="288FB8D4">
                  <w:pPr>
                    <w:adjustRightInd w:val="0"/>
                    <w:snapToGrid w:val="0"/>
                    <w:jc w:val="center"/>
                    <w:rPr>
                      <w:color w:val="auto"/>
                      <w:sz w:val="18"/>
                      <w:szCs w:val="18"/>
                    </w:rPr>
                  </w:pPr>
                </w:p>
              </w:tc>
              <w:tc>
                <w:tcPr>
                  <w:tcW w:w="399" w:type="pct"/>
                  <w:vAlign w:val="center"/>
                </w:tcPr>
                <w:p w14:paraId="5C6EE0B9">
                  <w:pPr>
                    <w:adjustRightInd w:val="0"/>
                    <w:snapToGrid w:val="0"/>
                    <w:jc w:val="center"/>
                    <w:rPr>
                      <w:color w:val="auto"/>
                      <w:sz w:val="18"/>
                      <w:szCs w:val="18"/>
                    </w:rPr>
                  </w:pPr>
                  <w:r>
                    <w:rPr>
                      <w:rFonts w:hint="eastAsia"/>
                      <w:color w:val="auto"/>
                      <w:sz w:val="18"/>
                      <w:szCs w:val="18"/>
                    </w:rPr>
                    <w:t>/</w:t>
                  </w:r>
                </w:p>
              </w:tc>
              <w:tc>
                <w:tcPr>
                  <w:tcW w:w="298" w:type="pct"/>
                  <w:vAlign w:val="center"/>
                </w:tcPr>
                <w:p w14:paraId="7D2F3C6B">
                  <w:pPr>
                    <w:adjustRightInd w:val="0"/>
                    <w:snapToGrid w:val="0"/>
                    <w:jc w:val="center"/>
                    <w:rPr>
                      <w:color w:val="auto"/>
                      <w:sz w:val="18"/>
                      <w:szCs w:val="18"/>
                    </w:rPr>
                  </w:pPr>
                  <w:r>
                    <w:rPr>
                      <w:rFonts w:hint="eastAsia"/>
                      <w:color w:val="auto"/>
                      <w:sz w:val="18"/>
                      <w:szCs w:val="18"/>
                    </w:rPr>
                    <w:t>0.00003</w:t>
                  </w:r>
                </w:p>
              </w:tc>
              <w:tc>
                <w:tcPr>
                  <w:tcW w:w="265" w:type="pct"/>
                  <w:vAlign w:val="center"/>
                </w:tcPr>
                <w:p w14:paraId="0BEFDA4B">
                  <w:pPr>
                    <w:adjustRightInd w:val="0"/>
                    <w:snapToGrid w:val="0"/>
                    <w:jc w:val="center"/>
                    <w:rPr>
                      <w:color w:val="auto"/>
                      <w:sz w:val="18"/>
                      <w:szCs w:val="18"/>
                    </w:rPr>
                  </w:pPr>
                  <w:r>
                    <w:rPr>
                      <w:rFonts w:hint="eastAsia"/>
                      <w:color w:val="auto"/>
                      <w:sz w:val="18"/>
                      <w:szCs w:val="18"/>
                    </w:rPr>
                    <w:t>0.0001</w:t>
                  </w:r>
                </w:p>
              </w:tc>
              <w:tc>
                <w:tcPr>
                  <w:tcW w:w="191" w:type="pct"/>
                  <w:vAlign w:val="center"/>
                </w:tcPr>
                <w:p w14:paraId="6E64755C">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231F5692">
                  <w:pPr>
                    <w:widowControl/>
                    <w:jc w:val="center"/>
                    <w:rPr>
                      <w:color w:val="auto"/>
                      <w:kern w:val="0"/>
                      <w:sz w:val="18"/>
                      <w:szCs w:val="18"/>
                    </w:rPr>
                  </w:pPr>
                </w:p>
              </w:tc>
              <w:tc>
                <w:tcPr>
                  <w:tcW w:w="132" w:type="pct"/>
                  <w:vMerge w:val="continue"/>
                  <w:vAlign w:val="center"/>
                </w:tcPr>
                <w:p w14:paraId="69112E11">
                  <w:pPr>
                    <w:widowControl/>
                    <w:jc w:val="center"/>
                    <w:rPr>
                      <w:color w:val="auto"/>
                      <w:kern w:val="0"/>
                      <w:sz w:val="18"/>
                      <w:szCs w:val="18"/>
                    </w:rPr>
                  </w:pPr>
                </w:p>
              </w:tc>
              <w:tc>
                <w:tcPr>
                  <w:tcW w:w="357" w:type="pct"/>
                  <w:vMerge w:val="continue"/>
                  <w:vAlign w:val="center"/>
                </w:tcPr>
                <w:p w14:paraId="37418ABC">
                  <w:pPr>
                    <w:adjustRightInd w:val="0"/>
                    <w:snapToGrid w:val="0"/>
                    <w:jc w:val="center"/>
                    <w:rPr>
                      <w:color w:val="auto"/>
                      <w:sz w:val="18"/>
                      <w:szCs w:val="18"/>
                    </w:rPr>
                  </w:pPr>
                </w:p>
              </w:tc>
              <w:tc>
                <w:tcPr>
                  <w:tcW w:w="400" w:type="pct"/>
                  <w:vAlign w:val="center"/>
                </w:tcPr>
                <w:p w14:paraId="43E53650">
                  <w:pPr>
                    <w:adjustRightInd w:val="0"/>
                    <w:snapToGrid w:val="0"/>
                    <w:jc w:val="center"/>
                    <w:rPr>
                      <w:color w:val="auto"/>
                      <w:sz w:val="18"/>
                      <w:szCs w:val="18"/>
                    </w:rPr>
                  </w:pPr>
                  <w:r>
                    <w:rPr>
                      <w:rFonts w:hint="eastAsia"/>
                      <w:color w:val="auto"/>
                      <w:sz w:val="18"/>
                      <w:szCs w:val="18"/>
                    </w:rPr>
                    <w:t>/</w:t>
                  </w:r>
                </w:p>
              </w:tc>
              <w:tc>
                <w:tcPr>
                  <w:tcW w:w="298" w:type="pct"/>
                  <w:vAlign w:val="center"/>
                </w:tcPr>
                <w:p w14:paraId="266CF521">
                  <w:pPr>
                    <w:adjustRightInd w:val="0"/>
                    <w:snapToGrid w:val="0"/>
                    <w:jc w:val="center"/>
                    <w:rPr>
                      <w:color w:val="auto"/>
                      <w:sz w:val="18"/>
                      <w:szCs w:val="18"/>
                    </w:rPr>
                  </w:pPr>
                  <w:r>
                    <w:rPr>
                      <w:rFonts w:hint="eastAsia"/>
                      <w:color w:val="auto"/>
                      <w:sz w:val="18"/>
                      <w:szCs w:val="18"/>
                    </w:rPr>
                    <w:t>0.00003</w:t>
                  </w:r>
                </w:p>
              </w:tc>
              <w:tc>
                <w:tcPr>
                  <w:tcW w:w="307" w:type="pct"/>
                  <w:vAlign w:val="center"/>
                </w:tcPr>
                <w:p w14:paraId="40C17949">
                  <w:pPr>
                    <w:adjustRightInd w:val="0"/>
                    <w:snapToGrid w:val="0"/>
                    <w:jc w:val="center"/>
                    <w:rPr>
                      <w:color w:val="auto"/>
                      <w:sz w:val="18"/>
                      <w:szCs w:val="18"/>
                    </w:rPr>
                  </w:pPr>
                  <w:r>
                    <w:rPr>
                      <w:rFonts w:hint="eastAsia"/>
                      <w:color w:val="auto"/>
                      <w:sz w:val="18"/>
                      <w:szCs w:val="18"/>
                    </w:rPr>
                    <w:t>0.0001</w:t>
                  </w:r>
                </w:p>
              </w:tc>
              <w:tc>
                <w:tcPr>
                  <w:tcW w:w="360" w:type="pct"/>
                  <w:vAlign w:val="center"/>
                </w:tcPr>
                <w:p w14:paraId="14FD9B74">
                  <w:pPr>
                    <w:adjustRightInd w:val="0"/>
                    <w:snapToGrid w:val="0"/>
                    <w:jc w:val="center"/>
                    <w:rPr>
                      <w:color w:val="auto"/>
                      <w:sz w:val="18"/>
                      <w:szCs w:val="18"/>
                    </w:rPr>
                  </w:pPr>
                  <w:r>
                    <w:rPr>
                      <w:rFonts w:hint="eastAsia"/>
                      <w:color w:val="auto"/>
                      <w:sz w:val="18"/>
                      <w:szCs w:val="18"/>
                    </w:rPr>
                    <w:t>4</w:t>
                  </w:r>
                </w:p>
              </w:tc>
              <w:tc>
                <w:tcPr>
                  <w:tcW w:w="319" w:type="pct"/>
                  <w:vAlign w:val="center"/>
                </w:tcPr>
                <w:p w14:paraId="21AD761F">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51D928A8">
                  <w:pPr>
                    <w:adjustRightInd w:val="0"/>
                    <w:snapToGrid w:val="0"/>
                    <w:jc w:val="center"/>
                    <w:rPr>
                      <w:color w:val="auto"/>
                      <w:sz w:val="18"/>
                      <w:szCs w:val="18"/>
                    </w:rPr>
                  </w:pPr>
                </w:p>
              </w:tc>
            </w:tr>
            <w:tr w14:paraId="1A795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1" w:hRule="atLeast"/>
                <w:tblHeader/>
                <w:jc w:val="center"/>
              </w:trPr>
              <w:tc>
                <w:tcPr>
                  <w:tcW w:w="147" w:type="pct"/>
                  <w:vMerge w:val="continue"/>
                  <w:vAlign w:val="center"/>
                </w:tcPr>
                <w:p w14:paraId="05F143F6">
                  <w:pPr>
                    <w:widowControl/>
                    <w:adjustRightInd w:val="0"/>
                    <w:snapToGrid w:val="0"/>
                    <w:jc w:val="center"/>
                    <w:rPr>
                      <w:color w:val="auto"/>
                      <w:kern w:val="0"/>
                      <w:sz w:val="18"/>
                      <w:szCs w:val="18"/>
                    </w:rPr>
                  </w:pPr>
                </w:p>
              </w:tc>
              <w:tc>
                <w:tcPr>
                  <w:tcW w:w="232" w:type="pct"/>
                  <w:vMerge w:val="restart"/>
                  <w:vAlign w:val="center"/>
                </w:tcPr>
                <w:p w14:paraId="0AE637D7">
                  <w:pPr>
                    <w:widowControl/>
                    <w:adjustRightInd w:val="0"/>
                    <w:snapToGrid w:val="0"/>
                    <w:jc w:val="center"/>
                    <w:rPr>
                      <w:color w:val="auto"/>
                      <w:kern w:val="0"/>
                      <w:sz w:val="18"/>
                      <w:szCs w:val="18"/>
                    </w:rPr>
                  </w:pPr>
                  <w:r>
                    <w:rPr>
                      <w:rFonts w:hint="eastAsia"/>
                      <w:color w:val="auto"/>
                      <w:kern w:val="0"/>
                      <w:sz w:val="18"/>
                      <w:szCs w:val="18"/>
                    </w:rPr>
                    <w:t>倒角</w:t>
                  </w:r>
                </w:p>
              </w:tc>
              <w:tc>
                <w:tcPr>
                  <w:tcW w:w="230" w:type="pct"/>
                  <w:vAlign w:val="center"/>
                </w:tcPr>
                <w:p w14:paraId="17CCAF30">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0E60DF03">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restart"/>
                  <w:vAlign w:val="center"/>
                </w:tcPr>
                <w:p w14:paraId="23EEF9A7">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C2793CD">
                  <w:pPr>
                    <w:adjustRightInd w:val="0"/>
                    <w:snapToGrid w:val="0"/>
                    <w:jc w:val="center"/>
                    <w:rPr>
                      <w:color w:val="auto"/>
                      <w:sz w:val="18"/>
                      <w:szCs w:val="18"/>
                    </w:rPr>
                  </w:pPr>
                  <w:r>
                    <w:rPr>
                      <w:rFonts w:hint="eastAsia"/>
                      <w:color w:val="auto"/>
                      <w:sz w:val="18"/>
                      <w:szCs w:val="18"/>
                    </w:rPr>
                    <w:t>1000</w:t>
                  </w:r>
                </w:p>
              </w:tc>
              <w:tc>
                <w:tcPr>
                  <w:tcW w:w="399" w:type="pct"/>
                  <w:vAlign w:val="center"/>
                </w:tcPr>
                <w:p w14:paraId="751D0D39">
                  <w:pPr>
                    <w:adjustRightInd w:val="0"/>
                    <w:snapToGrid w:val="0"/>
                    <w:jc w:val="center"/>
                    <w:rPr>
                      <w:color w:val="auto"/>
                      <w:sz w:val="18"/>
                      <w:szCs w:val="18"/>
                    </w:rPr>
                  </w:pPr>
                  <w:r>
                    <w:rPr>
                      <w:rFonts w:hint="eastAsia"/>
                      <w:color w:val="auto"/>
                      <w:sz w:val="18"/>
                      <w:szCs w:val="18"/>
                    </w:rPr>
                    <w:t>6</w:t>
                  </w:r>
                </w:p>
              </w:tc>
              <w:tc>
                <w:tcPr>
                  <w:tcW w:w="298" w:type="pct"/>
                  <w:vAlign w:val="center"/>
                </w:tcPr>
                <w:p w14:paraId="76D30088">
                  <w:pPr>
                    <w:adjustRightInd w:val="0"/>
                    <w:snapToGrid w:val="0"/>
                    <w:jc w:val="center"/>
                    <w:rPr>
                      <w:color w:val="auto"/>
                      <w:sz w:val="18"/>
                      <w:szCs w:val="18"/>
                    </w:rPr>
                  </w:pPr>
                  <w:r>
                    <w:rPr>
                      <w:rFonts w:hint="eastAsia"/>
                      <w:color w:val="auto"/>
                      <w:sz w:val="18"/>
                      <w:szCs w:val="18"/>
                    </w:rPr>
                    <w:t>0.006</w:t>
                  </w:r>
                </w:p>
              </w:tc>
              <w:tc>
                <w:tcPr>
                  <w:tcW w:w="265" w:type="pct"/>
                  <w:vAlign w:val="center"/>
                </w:tcPr>
                <w:p w14:paraId="46247B0F">
                  <w:pPr>
                    <w:adjustRightInd w:val="0"/>
                    <w:snapToGrid w:val="0"/>
                    <w:jc w:val="center"/>
                    <w:rPr>
                      <w:color w:val="auto"/>
                      <w:sz w:val="18"/>
                      <w:szCs w:val="18"/>
                    </w:rPr>
                  </w:pPr>
                  <w:r>
                    <w:rPr>
                      <w:rFonts w:hint="eastAsia"/>
                      <w:color w:val="auto"/>
                      <w:sz w:val="18"/>
                      <w:szCs w:val="18"/>
                    </w:rPr>
                    <w:t>0.0216</w:t>
                  </w:r>
                </w:p>
              </w:tc>
              <w:tc>
                <w:tcPr>
                  <w:tcW w:w="191" w:type="pct"/>
                  <w:vAlign w:val="center"/>
                </w:tcPr>
                <w:p w14:paraId="5F9DB482">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66C79A5A">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43435522">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32" w:type="pct"/>
                  <w:vMerge w:val="restart"/>
                  <w:vAlign w:val="center"/>
                </w:tcPr>
                <w:p w14:paraId="342DF814">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9AE2AE7">
                  <w:pPr>
                    <w:adjustRightInd w:val="0"/>
                    <w:snapToGrid w:val="0"/>
                    <w:jc w:val="center"/>
                    <w:rPr>
                      <w:color w:val="auto"/>
                      <w:sz w:val="18"/>
                      <w:szCs w:val="18"/>
                    </w:rPr>
                  </w:pPr>
                  <w:r>
                    <w:rPr>
                      <w:rFonts w:hint="eastAsia"/>
                      <w:color w:val="auto"/>
                      <w:sz w:val="18"/>
                      <w:szCs w:val="18"/>
                    </w:rPr>
                    <w:t>1000</w:t>
                  </w:r>
                </w:p>
              </w:tc>
              <w:tc>
                <w:tcPr>
                  <w:tcW w:w="400" w:type="pct"/>
                  <w:vAlign w:val="center"/>
                </w:tcPr>
                <w:p w14:paraId="64E15AE9">
                  <w:pPr>
                    <w:adjustRightInd w:val="0"/>
                    <w:snapToGrid w:val="0"/>
                    <w:jc w:val="center"/>
                    <w:rPr>
                      <w:color w:val="auto"/>
                      <w:sz w:val="18"/>
                      <w:szCs w:val="18"/>
                    </w:rPr>
                  </w:pPr>
                  <w:r>
                    <w:rPr>
                      <w:rFonts w:hint="eastAsia"/>
                      <w:color w:val="auto"/>
                      <w:sz w:val="18"/>
                      <w:szCs w:val="18"/>
                    </w:rPr>
                    <w:t>0.31</w:t>
                  </w:r>
                </w:p>
              </w:tc>
              <w:tc>
                <w:tcPr>
                  <w:tcW w:w="298" w:type="pct"/>
                  <w:vAlign w:val="center"/>
                </w:tcPr>
                <w:p w14:paraId="762CAF7B">
                  <w:pPr>
                    <w:adjustRightInd w:val="0"/>
                    <w:snapToGrid w:val="0"/>
                    <w:jc w:val="center"/>
                    <w:rPr>
                      <w:color w:val="auto"/>
                      <w:sz w:val="18"/>
                      <w:szCs w:val="18"/>
                    </w:rPr>
                  </w:pPr>
                  <w:r>
                    <w:rPr>
                      <w:rFonts w:hint="eastAsia"/>
                      <w:color w:val="auto"/>
                      <w:sz w:val="18"/>
                      <w:szCs w:val="18"/>
                    </w:rPr>
                    <w:t>0.0003</w:t>
                  </w:r>
                </w:p>
              </w:tc>
              <w:tc>
                <w:tcPr>
                  <w:tcW w:w="307" w:type="pct"/>
                  <w:vAlign w:val="center"/>
                </w:tcPr>
                <w:p w14:paraId="4AE4C284">
                  <w:pPr>
                    <w:adjustRightInd w:val="0"/>
                    <w:snapToGrid w:val="0"/>
                    <w:jc w:val="center"/>
                    <w:rPr>
                      <w:color w:val="auto"/>
                      <w:sz w:val="18"/>
                      <w:szCs w:val="18"/>
                    </w:rPr>
                  </w:pPr>
                  <w:r>
                    <w:rPr>
                      <w:rFonts w:hint="eastAsia"/>
                      <w:color w:val="auto"/>
                      <w:sz w:val="18"/>
                      <w:szCs w:val="18"/>
                    </w:rPr>
                    <w:t>0.0011</w:t>
                  </w:r>
                </w:p>
              </w:tc>
              <w:tc>
                <w:tcPr>
                  <w:tcW w:w="360" w:type="pct"/>
                  <w:vAlign w:val="center"/>
                </w:tcPr>
                <w:p w14:paraId="6A7D530A">
                  <w:pPr>
                    <w:adjustRightInd w:val="0"/>
                    <w:snapToGrid w:val="0"/>
                    <w:jc w:val="center"/>
                    <w:rPr>
                      <w:color w:val="auto"/>
                      <w:sz w:val="18"/>
                      <w:szCs w:val="18"/>
                    </w:rPr>
                  </w:pPr>
                  <w:r>
                    <w:rPr>
                      <w:rFonts w:hint="eastAsia"/>
                      <w:color w:val="auto"/>
                      <w:sz w:val="18"/>
                      <w:szCs w:val="18"/>
                    </w:rPr>
                    <w:t>20</w:t>
                  </w:r>
                </w:p>
              </w:tc>
              <w:tc>
                <w:tcPr>
                  <w:tcW w:w="319" w:type="pct"/>
                  <w:vAlign w:val="center"/>
                </w:tcPr>
                <w:p w14:paraId="5E5F07D2">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2F58015B">
                  <w:pPr>
                    <w:adjustRightInd w:val="0"/>
                    <w:snapToGrid w:val="0"/>
                    <w:jc w:val="center"/>
                    <w:rPr>
                      <w:color w:val="auto"/>
                      <w:sz w:val="18"/>
                      <w:szCs w:val="18"/>
                    </w:rPr>
                  </w:pPr>
                  <w:r>
                    <w:rPr>
                      <w:rFonts w:hint="eastAsia"/>
                      <w:color w:val="auto"/>
                      <w:sz w:val="18"/>
                      <w:szCs w:val="18"/>
                    </w:rPr>
                    <w:t>3600</w:t>
                  </w:r>
                </w:p>
              </w:tc>
            </w:tr>
            <w:tr w14:paraId="6ACCE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6" w:hRule="atLeast"/>
                <w:tblHeader/>
                <w:jc w:val="center"/>
              </w:trPr>
              <w:tc>
                <w:tcPr>
                  <w:tcW w:w="147" w:type="pct"/>
                  <w:vMerge w:val="continue"/>
                  <w:vAlign w:val="center"/>
                </w:tcPr>
                <w:p w14:paraId="28EA0F18">
                  <w:pPr>
                    <w:widowControl/>
                    <w:adjustRightInd w:val="0"/>
                    <w:snapToGrid w:val="0"/>
                    <w:jc w:val="center"/>
                    <w:rPr>
                      <w:color w:val="auto"/>
                      <w:kern w:val="0"/>
                      <w:sz w:val="18"/>
                      <w:szCs w:val="18"/>
                    </w:rPr>
                  </w:pPr>
                </w:p>
              </w:tc>
              <w:tc>
                <w:tcPr>
                  <w:tcW w:w="232" w:type="pct"/>
                  <w:vMerge w:val="continue"/>
                  <w:vAlign w:val="center"/>
                </w:tcPr>
                <w:p w14:paraId="3448F11E">
                  <w:pPr>
                    <w:widowControl/>
                    <w:adjustRightInd w:val="0"/>
                    <w:snapToGrid w:val="0"/>
                    <w:jc w:val="center"/>
                    <w:rPr>
                      <w:color w:val="auto"/>
                      <w:kern w:val="0"/>
                      <w:sz w:val="18"/>
                      <w:szCs w:val="18"/>
                    </w:rPr>
                  </w:pPr>
                </w:p>
              </w:tc>
              <w:tc>
                <w:tcPr>
                  <w:tcW w:w="230" w:type="pct"/>
                  <w:vAlign w:val="center"/>
                </w:tcPr>
                <w:p w14:paraId="3345D5B1">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657421F6">
                  <w:pPr>
                    <w:widowControl/>
                    <w:adjustRightInd w:val="0"/>
                    <w:snapToGrid w:val="0"/>
                    <w:jc w:val="center"/>
                    <w:rPr>
                      <w:color w:val="auto"/>
                      <w:kern w:val="0"/>
                      <w:sz w:val="18"/>
                      <w:szCs w:val="18"/>
                    </w:rPr>
                  </w:pPr>
                </w:p>
              </w:tc>
              <w:tc>
                <w:tcPr>
                  <w:tcW w:w="130" w:type="pct"/>
                  <w:vMerge w:val="continue"/>
                  <w:vAlign w:val="center"/>
                </w:tcPr>
                <w:p w14:paraId="4277FCC1">
                  <w:pPr>
                    <w:widowControl/>
                    <w:adjustRightInd w:val="0"/>
                    <w:snapToGrid w:val="0"/>
                    <w:jc w:val="center"/>
                    <w:rPr>
                      <w:color w:val="auto"/>
                      <w:kern w:val="0"/>
                      <w:sz w:val="18"/>
                      <w:szCs w:val="18"/>
                    </w:rPr>
                  </w:pPr>
                </w:p>
              </w:tc>
              <w:tc>
                <w:tcPr>
                  <w:tcW w:w="357" w:type="pct"/>
                  <w:vMerge w:val="continue"/>
                  <w:vAlign w:val="center"/>
                </w:tcPr>
                <w:p w14:paraId="1E43C734">
                  <w:pPr>
                    <w:adjustRightInd w:val="0"/>
                    <w:snapToGrid w:val="0"/>
                    <w:jc w:val="center"/>
                    <w:rPr>
                      <w:color w:val="auto"/>
                      <w:sz w:val="18"/>
                      <w:szCs w:val="18"/>
                    </w:rPr>
                  </w:pPr>
                </w:p>
              </w:tc>
              <w:tc>
                <w:tcPr>
                  <w:tcW w:w="399" w:type="pct"/>
                  <w:vAlign w:val="center"/>
                </w:tcPr>
                <w:p w14:paraId="4D2C8219">
                  <w:pPr>
                    <w:adjustRightInd w:val="0"/>
                    <w:snapToGrid w:val="0"/>
                    <w:jc w:val="center"/>
                    <w:rPr>
                      <w:color w:val="auto"/>
                      <w:sz w:val="18"/>
                      <w:szCs w:val="18"/>
                    </w:rPr>
                  </w:pPr>
                  <w:r>
                    <w:rPr>
                      <w:rFonts w:hint="eastAsia"/>
                      <w:color w:val="auto"/>
                      <w:sz w:val="18"/>
                      <w:szCs w:val="18"/>
                    </w:rPr>
                    <w:t>/</w:t>
                  </w:r>
                </w:p>
              </w:tc>
              <w:tc>
                <w:tcPr>
                  <w:tcW w:w="298" w:type="pct"/>
                  <w:vAlign w:val="center"/>
                </w:tcPr>
                <w:p w14:paraId="02A4151A">
                  <w:pPr>
                    <w:adjustRightInd w:val="0"/>
                    <w:snapToGrid w:val="0"/>
                    <w:jc w:val="center"/>
                    <w:rPr>
                      <w:color w:val="auto"/>
                      <w:sz w:val="18"/>
                      <w:szCs w:val="18"/>
                    </w:rPr>
                  </w:pPr>
                  <w:r>
                    <w:rPr>
                      <w:rFonts w:hint="eastAsia"/>
                      <w:color w:val="auto"/>
                      <w:sz w:val="18"/>
                      <w:szCs w:val="18"/>
                    </w:rPr>
                    <w:t>0.0015</w:t>
                  </w:r>
                </w:p>
              </w:tc>
              <w:tc>
                <w:tcPr>
                  <w:tcW w:w="265" w:type="pct"/>
                  <w:vAlign w:val="center"/>
                </w:tcPr>
                <w:p w14:paraId="5E027914">
                  <w:pPr>
                    <w:adjustRightInd w:val="0"/>
                    <w:snapToGrid w:val="0"/>
                    <w:jc w:val="center"/>
                    <w:rPr>
                      <w:color w:val="auto"/>
                      <w:sz w:val="18"/>
                      <w:szCs w:val="18"/>
                    </w:rPr>
                  </w:pPr>
                  <w:r>
                    <w:rPr>
                      <w:rFonts w:hint="eastAsia"/>
                      <w:color w:val="auto"/>
                      <w:sz w:val="18"/>
                      <w:szCs w:val="18"/>
                    </w:rPr>
                    <w:t>0.0054</w:t>
                  </w:r>
                </w:p>
              </w:tc>
              <w:tc>
                <w:tcPr>
                  <w:tcW w:w="191" w:type="pct"/>
                  <w:vAlign w:val="center"/>
                </w:tcPr>
                <w:p w14:paraId="2D8FA6F8">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46A98481">
                  <w:pPr>
                    <w:widowControl/>
                    <w:jc w:val="center"/>
                    <w:rPr>
                      <w:color w:val="auto"/>
                      <w:kern w:val="0"/>
                      <w:sz w:val="18"/>
                      <w:szCs w:val="18"/>
                    </w:rPr>
                  </w:pPr>
                </w:p>
              </w:tc>
              <w:tc>
                <w:tcPr>
                  <w:tcW w:w="132" w:type="pct"/>
                  <w:vMerge w:val="continue"/>
                  <w:vAlign w:val="center"/>
                </w:tcPr>
                <w:p w14:paraId="06CA9302">
                  <w:pPr>
                    <w:widowControl/>
                    <w:jc w:val="center"/>
                    <w:rPr>
                      <w:color w:val="auto"/>
                      <w:kern w:val="0"/>
                      <w:sz w:val="18"/>
                      <w:szCs w:val="18"/>
                    </w:rPr>
                  </w:pPr>
                </w:p>
              </w:tc>
              <w:tc>
                <w:tcPr>
                  <w:tcW w:w="357" w:type="pct"/>
                  <w:vMerge w:val="continue"/>
                  <w:vAlign w:val="center"/>
                </w:tcPr>
                <w:p w14:paraId="249538D4">
                  <w:pPr>
                    <w:adjustRightInd w:val="0"/>
                    <w:snapToGrid w:val="0"/>
                    <w:jc w:val="center"/>
                    <w:rPr>
                      <w:color w:val="auto"/>
                      <w:sz w:val="18"/>
                      <w:szCs w:val="18"/>
                    </w:rPr>
                  </w:pPr>
                </w:p>
              </w:tc>
              <w:tc>
                <w:tcPr>
                  <w:tcW w:w="400" w:type="pct"/>
                  <w:vAlign w:val="center"/>
                </w:tcPr>
                <w:p w14:paraId="534AF18E">
                  <w:pPr>
                    <w:adjustRightInd w:val="0"/>
                    <w:snapToGrid w:val="0"/>
                    <w:jc w:val="center"/>
                    <w:rPr>
                      <w:color w:val="auto"/>
                      <w:sz w:val="18"/>
                      <w:szCs w:val="18"/>
                    </w:rPr>
                  </w:pPr>
                  <w:r>
                    <w:rPr>
                      <w:rFonts w:hint="eastAsia"/>
                      <w:color w:val="auto"/>
                      <w:sz w:val="18"/>
                      <w:szCs w:val="18"/>
                    </w:rPr>
                    <w:t>/</w:t>
                  </w:r>
                </w:p>
              </w:tc>
              <w:tc>
                <w:tcPr>
                  <w:tcW w:w="298" w:type="pct"/>
                  <w:vAlign w:val="center"/>
                </w:tcPr>
                <w:p w14:paraId="70084F5E">
                  <w:pPr>
                    <w:adjustRightInd w:val="0"/>
                    <w:snapToGrid w:val="0"/>
                    <w:jc w:val="center"/>
                    <w:rPr>
                      <w:color w:val="auto"/>
                      <w:sz w:val="18"/>
                      <w:szCs w:val="18"/>
                    </w:rPr>
                  </w:pPr>
                  <w:r>
                    <w:rPr>
                      <w:rFonts w:hint="eastAsia"/>
                      <w:color w:val="auto"/>
                      <w:sz w:val="18"/>
                      <w:szCs w:val="18"/>
                    </w:rPr>
                    <w:t>0.0015</w:t>
                  </w:r>
                </w:p>
              </w:tc>
              <w:tc>
                <w:tcPr>
                  <w:tcW w:w="307" w:type="pct"/>
                  <w:vAlign w:val="center"/>
                </w:tcPr>
                <w:p w14:paraId="18DF72AE">
                  <w:pPr>
                    <w:adjustRightInd w:val="0"/>
                    <w:snapToGrid w:val="0"/>
                    <w:jc w:val="center"/>
                    <w:rPr>
                      <w:color w:val="auto"/>
                      <w:sz w:val="18"/>
                      <w:szCs w:val="18"/>
                    </w:rPr>
                  </w:pPr>
                  <w:r>
                    <w:rPr>
                      <w:rFonts w:hint="eastAsia"/>
                      <w:color w:val="auto"/>
                      <w:sz w:val="18"/>
                      <w:szCs w:val="18"/>
                    </w:rPr>
                    <w:t>0.0054</w:t>
                  </w:r>
                </w:p>
              </w:tc>
              <w:tc>
                <w:tcPr>
                  <w:tcW w:w="360" w:type="pct"/>
                  <w:vAlign w:val="center"/>
                </w:tcPr>
                <w:p w14:paraId="5259D466">
                  <w:pPr>
                    <w:adjustRightInd w:val="0"/>
                    <w:snapToGrid w:val="0"/>
                    <w:jc w:val="center"/>
                    <w:rPr>
                      <w:color w:val="auto"/>
                      <w:sz w:val="18"/>
                      <w:szCs w:val="18"/>
                    </w:rPr>
                  </w:pPr>
                  <w:r>
                    <w:rPr>
                      <w:rFonts w:hint="eastAsia"/>
                      <w:color w:val="auto"/>
                      <w:sz w:val="18"/>
                      <w:szCs w:val="18"/>
                    </w:rPr>
                    <w:t>0.5</w:t>
                  </w:r>
                </w:p>
              </w:tc>
              <w:tc>
                <w:tcPr>
                  <w:tcW w:w="319" w:type="pct"/>
                  <w:vAlign w:val="center"/>
                </w:tcPr>
                <w:p w14:paraId="1EE65026">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15C096BE">
                  <w:pPr>
                    <w:adjustRightInd w:val="0"/>
                    <w:snapToGrid w:val="0"/>
                    <w:jc w:val="center"/>
                    <w:rPr>
                      <w:color w:val="auto"/>
                      <w:sz w:val="18"/>
                      <w:szCs w:val="18"/>
                    </w:rPr>
                  </w:pPr>
                </w:p>
              </w:tc>
            </w:tr>
            <w:tr w14:paraId="56620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5" w:hRule="atLeast"/>
                <w:tblHeader/>
                <w:jc w:val="center"/>
              </w:trPr>
              <w:tc>
                <w:tcPr>
                  <w:tcW w:w="147" w:type="pct"/>
                  <w:vMerge w:val="continue"/>
                  <w:vAlign w:val="center"/>
                </w:tcPr>
                <w:p w14:paraId="3360034B">
                  <w:pPr>
                    <w:widowControl/>
                    <w:adjustRightInd w:val="0"/>
                    <w:snapToGrid w:val="0"/>
                    <w:jc w:val="center"/>
                    <w:rPr>
                      <w:color w:val="auto"/>
                      <w:kern w:val="0"/>
                      <w:sz w:val="18"/>
                      <w:szCs w:val="18"/>
                    </w:rPr>
                  </w:pPr>
                </w:p>
              </w:tc>
              <w:tc>
                <w:tcPr>
                  <w:tcW w:w="232" w:type="pct"/>
                  <w:vMerge w:val="restart"/>
                  <w:vAlign w:val="center"/>
                </w:tcPr>
                <w:p w14:paraId="3385119A">
                  <w:pPr>
                    <w:widowControl/>
                    <w:adjustRightInd w:val="0"/>
                    <w:snapToGrid w:val="0"/>
                    <w:jc w:val="center"/>
                    <w:rPr>
                      <w:color w:val="auto"/>
                      <w:kern w:val="0"/>
                      <w:sz w:val="18"/>
                      <w:szCs w:val="18"/>
                    </w:rPr>
                  </w:pPr>
                  <w:r>
                    <w:rPr>
                      <w:rFonts w:hint="eastAsia"/>
                      <w:color w:val="auto"/>
                      <w:kern w:val="0"/>
                      <w:sz w:val="18"/>
                      <w:szCs w:val="18"/>
                    </w:rPr>
                    <w:t>贴皮</w:t>
                  </w:r>
                </w:p>
              </w:tc>
              <w:tc>
                <w:tcPr>
                  <w:tcW w:w="230" w:type="pct"/>
                  <w:vAlign w:val="center"/>
                </w:tcPr>
                <w:p w14:paraId="78F256E8">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1458EFE4">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0ADEC1E7">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42B4E877">
                  <w:pPr>
                    <w:adjustRightInd w:val="0"/>
                    <w:snapToGrid w:val="0"/>
                    <w:jc w:val="center"/>
                    <w:rPr>
                      <w:color w:val="auto"/>
                      <w:sz w:val="18"/>
                      <w:szCs w:val="18"/>
                    </w:rPr>
                  </w:pPr>
                  <w:r>
                    <w:rPr>
                      <w:rFonts w:hint="eastAsia"/>
                      <w:color w:val="auto"/>
                      <w:sz w:val="18"/>
                      <w:szCs w:val="18"/>
                    </w:rPr>
                    <w:t>2000</w:t>
                  </w:r>
                </w:p>
              </w:tc>
              <w:tc>
                <w:tcPr>
                  <w:tcW w:w="399" w:type="pct"/>
                  <w:vAlign w:val="center"/>
                </w:tcPr>
                <w:p w14:paraId="17D55E19">
                  <w:pPr>
                    <w:adjustRightInd w:val="0"/>
                    <w:snapToGrid w:val="0"/>
                    <w:jc w:val="center"/>
                    <w:rPr>
                      <w:color w:val="auto"/>
                      <w:sz w:val="18"/>
                      <w:szCs w:val="18"/>
                    </w:rPr>
                  </w:pPr>
                  <w:r>
                    <w:rPr>
                      <w:rFonts w:hint="eastAsia"/>
                      <w:color w:val="auto"/>
                      <w:sz w:val="18"/>
                      <w:szCs w:val="18"/>
                    </w:rPr>
                    <w:t>0.68</w:t>
                  </w:r>
                </w:p>
              </w:tc>
              <w:tc>
                <w:tcPr>
                  <w:tcW w:w="298" w:type="pct"/>
                  <w:vAlign w:val="center"/>
                </w:tcPr>
                <w:p w14:paraId="6E349609">
                  <w:pPr>
                    <w:adjustRightInd w:val="0"/>
                    <w:snapToGrid w:val="0"/>
                    <w:jc w:val="center"/>
                    <w:rPr>
                      <w:color w:val="auto"/>
                      <w:sz w:val="18"/>
                      <w:szCs w:val="18"/>
                    </w:rPr>
                  </w:pPr>
                  <w:r>
                    <w:rPr>
                      <w:rFonts w:hint="eastAsia"/>
                      <w:color w:val="auto"/>
                      <w:sz w:val="18"/>
                      <w:szCs w:val="18"/>
                    </w:rPr>
                    <w:t>0.0014</w:t>
                  </w:r>
                </w:p>
              </w:tc>
              <w:tc>
                <w:tcPr>
                  <w:tcW w:w="265" w:type="pct"/>
                  <w:vAlign w:val="center"/>
                </w:tcPr>
                <w:p w14:paraId="319A7173">
                  <w:pPr>
                    <w:adjustRightInd w:val="0"/>
                    <w:snapToGrid w:val="0"/>
                    <w:jc w:val="center"/>
                    <w:rPr>
                      <w:color w:val="auto"/>
                      <w:sz w:val="18"/>
                      <w:szCs w:val="18"/>
                    </w:rPr>
                  </w:pPr>
                  <w:r>
                    <w:rPr>
                      <w:rFonts w:hint="eastAsia"/>
                      <w:color w:val="auto"/>
                      <w:sz w:val="18"/>
                      <w:szCs w:val="18"/>
                    </w:rPr>
                    <w:t>0.0049</w:t>
                  </w:r>
                </w:p>
              </w:tc>
              <w:tc>
                <w:tcPr>
                  <w:tcW w:w="191" w:type="pct"/>
                  <w:vAlign w:val="center"/>
                </w:tcPr>
                <w:p w14:paraId="660A1D3A">
                  <w:pPr>
                    <w:widowControl/>
                    <w:jc w:val="center"/>
                    <w:rPr>
                      <w:color w:val="auto"/>
                      <w:kern w:val="0"/>
                      <w:sz w:val="18"/>
                      <w:szCs w:val="18"/>
                    </w:rPr>
                  </w:pPr>
                  <w:r>
                    <w:rPr>
                      <w:color w:val="auto"/>
                      <w:kern w:val="0"/>
                      <w:sz w:val="18"/>
                      <w:szCs w:val="18"/>
                    </w:rPr>
                    <w:t>二级活性</w:t>
                  </w:r>
                  <w:r>
                    <w:rPr>
                      <w:rFonts w:hint="eastAsia"/>
                      <w:color w:val="auto"/>
                      <w:kern w:val="0"/>
                      <w:sz w:val="18"/>
                      <w:szCs w:val="18"/>
                    </w:rPr>
                    <w:t>炭</w:t>
                  </w:r>
                </w:p>
              </w:tc>
              <w:tc>
                <w:tcPr>
                  <w:tcW w:w="232" w:type="pct"/>
                  <w:vMerge w:val="restart"/>
                  <w:vAlign w:val="center"/>
                </w:tcPr>
                <w:p w14:paraId="04B8A073">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694B241D">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719B04D7">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6FE1A023">
                  <w:pPr>
                    <w:adjustRightInd w:val="0"/>
                    <w:snapToGrid w:val="0"/>
                    <w:jc w:val="center"/>
                    <w:rPr>
                      <w:color w:val="auto"/>
                      <w:sz w:val="18"/>
                      <w:szCs w:val="18"/>
                    </w:rPr>
                  </w:pPr>
                  <w:r>
                    <w:rPr>
                      <w:rFonts w:hint="eastAsia"/>
                      <w:color w:val="auto"/>
                      <w:sz w:val="18"/>
                      <w:szCs w:val="18"/>
                    </w:rPr>
                    <w:t>2000</w:t>
                  </w:r>
                </w:p>
              </w:tc>
              <w:tc>
                <w:tcPr>
                  <w:tcW w:w="400" w:type="pct"/>
                  <w:vAlign w:val="center"/>
                </w:tcPr>
                <w:p w14:paraId="73B7A1D9">
                  <w:pPr>
                    <w:adjustRightInd w:val="0"/>
                    <w:snapToGrid w:val="0"/>
                    <w:jc w:val="center"/>
                    <w:rPr>
                      <w:color w:val="auto"/>
                      <w:sz w:val="18"/>
                      <w:szCs w:val="18"/>
                    </w:rPr>
                  </w:pPr>
                  <w:r>
                    <w:rPr>
                      <w:rFonts w:hint="eastAsia"/>
                      <w:color w:val="auto"/>
                      <w:sz w:val="18"/>
                      <w:szCs w:val="18"/>
                    </w:rPr>
                    <w:t>0.07</w:t>
                  </w:r>
                </w:p>
              </w:tc>
              <w:tc>
                <w:tcPr>
                  <w:tcW w:w="298" w:type="pct"/>
                  <w:vAlign w:val="center"/>
                </w:tcPr>
                <w:p w14:paraId="1A79E811">
                  <w:pPr>
                    <w:adjustRightInd w:val="0"/>
                    <w:snapToGrid w:val="0"/>
                    <w:jc w:val="center"/>
                    <w:rPr>
                      <w:color w:val="auto"/>
                      <w:sz w:val="18"/>
                      <w:szCs w:val="18"/>
                    </w:rPr>
                  </w:pPr>
                  <w:r>
                    <w:rPr>
                      <w:rFonts w:hint="eastAsia"/>
                      <w:color w:val="auto"/>
                      <w:sz w:val="18"/>
                      <w:szCs w:val="18"/>
                    </w:rPr>
                    <w:t>0.0001</w:t>
                  </w:r>
                </w:p>
              </w:tc>
              <w:tc>
                <w:tcPr>
                  <w:tcW w:w="307" w:type="pct"/>
                  <w:vAlign w:val="center"/>
                </w:tcPr>
                <w:p w14:paraId="5F8A5774">
                  <w:pPr>
                    <w:adjustRightInd w:val="0"/>
                    <w:snapToGrid w:val="0"/>
                    <w:jc w:val="center"/>
                    <w:rPr>
                      <w:color w:val="auto"/>
                      <w:sz w:val="18"/>
                      <w:szCs w:val="18"/>
                    </w:rPr>
                  </w:pPr>
                  <w:r>
                    <w:rPr>
                      <w:rFonts w:hint="eastAsia"/>
                      <w:color w:val="auto"/>
                      <w:sz w:val="18"/>
                      <w:szCs w:val="18"/>
                    </w:rPr>
                    <w:t>0.0005</w:t>
                  </w:r>
                </w:p>
              </w:tc>
              <w:tc>
                <w:tcPr>
                  <w:tcW w:w="360" w:type="pct"/>
                  <w:vAlign w:val="center"/>
                </w:tcPr>
                <w:p w14:paraId="172488AD">
                  <w:pPr>
                    <w:adjustRightInd w:val="0"/>
                    <w:snapToGrid w:val="0"/>
                    <w:jc w:val="center"/>
                    <w:rPr>
                      <w:color w:val="auto"/>
                      <w:sz w:val="18"/>
                      <w:szCs w:val="18"/>
                    </w:rPr>
                  </w:pPr>
                  <w:r>
                    <w:rPr>
                      <w:rFonts w:hint="eastAsia"/>
                      <w:color w:val="auto"/>
                      <w:sz w:val="18"/>
                      <w:szCs w:val="18"/>
                    </w:rPr>
                    <w:t>50</w:t>
                  </w:r>
                </w:p>
              </w:tc>
              <w:tc>
                <w:tcPr>
                  <w:tcW w:w="319" w:type="pct"/>
                  <w:vAlign w:val="center"/>
                </w:tcPr>
                <w:p w14:paraId="42FF344E">
                  <w:pPr>
                    <w:adjustRightInd w:val="0"/>
                    <w:snapToGrid w:val="0"/>
                    <w:jc w:val="center"/>
                    <w:rPr>
                      <w:color w:val="auto"/>
                      <w:sz w:val="18"/>
                      <w:szCs w:val="18"/>
                    </w:rPr>
                  </w:pPr>
                  <w:r>
                    <w:rPr>
                      <w:rFonts w:hint="eastAsia"/>
                      <w:color w:val="auto"/>
                      <w:sz w:val="18"/>
                      <w:szCs w:val="18"/>
                    </w:rPr>
                    <w:t>2.0</w:t>
                  </w:r>
                </w:p>
              </w:tc>
              <w:tc>
                <w:tcPr>
                  <w:tcW w:w="213" w:type="pct"/>
                  <w:vMerge w:val="restart"/>
                  <w:vAlign w:val="center"/>
                </w:tcPr>
                <w:p w14:paraId="093EBB6B">
                  <w:pPr>
                    <w:adjustRightInd w:val="0"/>
                    <w:snapToGrid w:val="0"/>
                    <w:jc w:val="center"/>
                    <w:rPr>
                      <w:color w:val="auto"/>
                      <w:sz w:val="18"/>
                      <w:szCs w:val="18"/>
                    </w:rPr>
                  </w:pPr>
                  <w:r>
                    <w:rPr>
                      <w:rFonts w:hint="eastAsia"/>
                      <w:color w:val="auto"/>
                      <w:sz w:val="18"/>
                      <w:szCs w:val="18"/>
                    </w:rPr>
                    <w:t>3600</w:t>
                  </w:r>
                </w:p>
              </w:tc>
            </w:tr>
            <w:tr w14:paraId="6AC10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tblHeader/>
                <w:jc w:val="center"/>
              </w:trPr>
              <w:tc>
                <w:tcPr>
                  <w:tcW w:w="147" w:type="pct"/>
                  <w:vMerge w:val="continue"/>
                  <w:vAlign w:val="center"/>
                </w:tcPr>
                <w:p w14:paraId="53A27100">
                  <w:pPr>
                    <w:widowControl/>
                    <w:adjustRightInd w:val="0"/>
                    <w:snapToGrid w:val="0"/>
                    <w:jc w:val="center"/>
                    <w:rPr>
                      <w:color w:val="auto"/>
                      <w:kern w:val="0"/>
                      <w:sz w:val="18"/>
                      <w:szCs w:val="18"/>
                    </w:rPr>
                  </w:pPr>
                </w:p>
              </w:tc>
              <w:tc>
                <w:tcPr>
                  <w:tcW w:w="232" w:type="pct"/>
                  <w:vMerge w:val="continue"/>
                  <w:vAlign w:val="center"/>
                </w:tcPr>
                <w:p w14:paraId="109C3FEE">
                  <w:pPr>
                    <w:widowControl/>
                    <w:adjustRightInd w:val="0"/>
                    <w:snapToGrid w:val="0"/>
                    <w:jc w:val="center"/>
                    <w:rPr>
                      <w:color w:val="auto"/>
                      <w:kern w:val="0"/>
                      <w:sz w:val="18"/>
                      <w:szCs w:val="18"/>
                    </w:rPr>
                  </w:pPr>
                </w:p>
              </w:tc>
              <w:tc>
                <w:tcPr>
                  <w:tcW w:w="230" w:type="pct"/>
                  <w:vAlign w:val="center"/>
                </w:tcPr>
                <w:p w14:paraId="1F1AC364">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3A0EFC8A">
                  <w:pPr>
                    <w:widowControl/>
                    <w:adjustRightInd w:val="0"/>
                    <w:snapToGrid w:val="0"/>
                    <w:jc w:val="center"/>
                    <w:rPr>
                      <w:color w:val="auto"/>
                      <w:kern w:val="0"/>
                      <w:sz w:val="18"/>
                      <w:szCs w:val="18"/>
                    </w:rPr>
                  </w:pPr>
                </w:p>
              </w:tc>
              <w:tc>
                <w:tcPr>
                  <w:tcW w:w="130" w:type="pct"/>
                  <w:vMerge w:val="continue"/>
                  <w:vAlign w:val="center"/>
                </w:tcPr>
                <w:p w14:paraId="29722B00">
                  <w:pPr>
                    <w:widowControl/>
                    <w:adjustRightInd w:val="0"/>
                    <w:snapToGrid w:val="0"/>
                    <w:jc w:val="center"/>
                    <w:rPr>
                      <w:color w:val="auto"/>
                      <w:kern w:val="0"/>
                      <w:sz w:val="18"/>
                      <w:szCs w:val="18"/>
                    </w:rPr>
                  </w:pPr>
                </w:p>
              </w:tc>
              <w:tc>
                <w:tcPr>
                  <w:tcW w:w="357" w:type="pct"/>
                  <w:vMerge w:val="continue"/>
                  <w:vAlign w:val="center"/>
                </w:tcPr>
                <w:p w14:paraId="545DC65F">
                  <w:pPr>
                    <w:adjustRightInd w:val="0"/>
                    <w:snapToGrid w:val="0"/>
                    <w:jc w:val="center"/>
                    <w:rPr>
                      <w:color w:val="auto"/>
                      <w:sz w:val="18"/>
                      <w:szCs w:val="18"/>
                    </w:rPr>
                  </w:pPr>
                </w:p>
              </w:tc>
              <w:tc>
                <w:tcPr>
                  <w:tcW w:w="399" w:type="pct"/>
                  <w:vAlign w:val="center"/>
                </w:tcPr>
                <w:p w14:paraId="70257B70">
                  <w:pPr>
                    <w:adjustRightInd w:val="0"/>
                    <w:snapToGrid w:val="0"/>
                    <w:jc w:val="center"/>
                    <w:rPr>
                      <w:color w:val="auto"/>
                      <w:sz w:val="18"/>
                      <w:szCs w:val="18"/>
                    </w:rPr>
                  </w:pPr>
                  <w:r>
                    <w:rPr>
                      <w:rFonts w:hint="eastAsia"/>
                      <w:color w:val="auto"/>
                      <w:sz w:val="18"/>
                      <w:szCs w:val="18"/>
                    </w:rPr>
                    <w:t>/</w:t>
                  </w:r>
                </w:p>
              </w:tc>
              <w:tc>
                <w:tcPr>
                  <w:tcW w:w="298" w:type="pct"/>
                  <w:vAlign w:val="center"/>
                </w:tcPr>
                <w:p w14:paraId="52CC0768">
                  <w:pPr>
                    <w:adjustRightInd w:val="0"/>
                    <w:snapToGrid w:val="0"/>
                    <w:jc w:val="center"/>
                    <w:rPr>
                      <w:color w:val="auto"/>
                      <w:sz w:val="18"/>
                      <w:szCs w:val="18"/>
                    </w:rPr>
                  </w:pPr>
                  <w:r>
                    <w:rPr>
                      <w:rFonts w:hint="eastAsia"/>
                      <w:color w:val="auto"/>
                      <w:sz w:val="18"/>
                      <w:szCs w:val="18"/>
                    </w:rPr>
                    <w:t>0.0003</w:t>
                  </w:r>
                </w:p>
              </w:tc>
              <w:tc>
                <w:tcPr>
                  <w:tcW w:w="265" w:type="pct"/>
                  <w:vAlign w:val="center"/>
                </w:tcPr>
                <w:p w14:paraId="74E33624">
                  <w:pPr>
                    <w:adjustRightInd w:val="0"/>
                    <w:snapToGrid w:val="0"/>
                    <w:jc w:val="center"/>
                    <w:rPr>
                      <w:color w:val="auto"/>
                      <w:sz w:val="18"/>
                      <w:szCs w:val="18"/>
                    </w:rPr>
                  </w:pPr>
                  <w:r>
                    <w:rPr>
                      <w:rFonts w:hint="eastAsia"/>
                      <w:color w:val="auto"/>
                      <w:sz w:val="18"/>
                      <w:szCs w:val="18"/>
                    </w:rPr>
                    <w:t>0.0012</w:t>
                  </w:r>
                </w:p>
              </w:tc>
              <w:tc>
                <w:tcPr>
                  <w:tcW w:w="191" w:type="pct"/>
                  <w:vAlign w:val="center"/>
                </w:tcPr>
                <w:p w14:paraId="17ADA2E8">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39EBB7AE">
                  <w:pPr>
                    <w:widowControl/>
                    <w:jc w:val="center"/>
                    <w:rPr>
                      <w:color w:val="auto"/>
                      <w:kern w:val="0"/>
                      <w:sz w:val="18"/>
                      <w:szCs w:val="18"/>
                    </w:rPr>
                  </w:pPr>
                </w:p>
              </w:tc>
              <w:tc>
                <w:tcPr>
                  <w:tcW w:w="132" w:type="pct"/>
                  <w:vMerge w:val="continue"/>
                  <w:vAlign w:val="center"/>
                </w:tcPr>
                <w:p w14:paraId="05A914BA">
                  <w:pPr>
                    <w:widowControl/>
                    <w:jc w:val="center"/>
                    <w:rPr>
                      <w:color w:val="auto"/>
                      <w:kern w:val="0"/>
                      <w:sz w:val="18"/>
                      <w:szCs w:val="18"/>
                    </w:rPr>
                  </w:pPr>
                </w:p>
              </w:tc>
              <w:tc>
                <w:tcPr>
                  <w:tcW w:w="357" w:type="pct"/>
                  <w:vMerge w:val="continue"/>
                  <w:vAlign w:val="center"/>
                </w:tcPr>
                <w:p w14:paraId="6D978A7E">
                  <w:pPr>
                    <w:adjustRightInd w:val="0"/>
                    <w:snapToGrid w:val="0"/>
                    <w:jc w:val="center"/>
                    <w:rPr>
                      <w:color w:val="auto"/>
                      <w:sz w:val="18"/>
                      <w:szCs w:val="18"/>
                    </w:rPr>
                  </w:pPr>
                </w:p>
              </w:tc>
              <w:tc>
                <w:tcPr>
                  <w:tcW w:w="400" w:type="pct"/>
                  <w:vAlign w:val="center"/>
                </w:tcPr>
                <w:p w14:paraId="67A1331F">
                  <w:pPr>
                    <w:adjustRightInd w:val="0"/>
                    <w:snapToGrid w:val="0"/>
                    <w:jc w:val="center"/>
                    <w:rPr>
                      <w:color w:val="auto"/>
                      <w:sz w:val="18"/>
                      <w:szCs w:val="18"/>
                    </w:rPr>
                  </w:pPr>
                  <w:r>
                    <w:rPr>
                      <w:rFonts w:hint="eastAsia"/>
                      <w:color w:val="auto"/>
                      <w:sz w:val="18"/>
                      <w:szCs w:val="18"/>
                    </w:rPr>
                    <w:t>/</w:t>
                  </w:r>
                </w:p>
              </w:tc>
              <w:tc>
                <w:tcPr>
                  <w:tcW w:w="298" w:type="pct"/>
                  <w:vAlign w:val="center"/>
                </w:tcPr>
                <w:p w14:paraId="7DF806B4">
                  <w:pPr>
                    <w:adjustRightInd w:val="0"/>
                    <w:snapToGrid w:val="0"/>
                    <w:jc w:val="center"/>
                    <w:rPr>
                      <w:color w:val="auto"/>
                      <w:sz w:val="18"/>
                      <w:szCs w:val="18"/>
                    </w:rPr>
                  </w:pPr>
                  <w:r>
                    <w:rPr>
                      <w:rFonts w:hint="eastAsia"/>
                      <w:color w:val="auto"/>
                      <w:sz w:val="18"/>
                      <w:szCs w:val="18"/>
                    </w:rPr>
                    <w:t>0.0003</w:t>
                  </w:r>
                </w:p>
              </w:tc>
              <w:tc>
                <w:tcPr>
                  <w:tcW w:w="307" w:type="pct"/>
                  <w:vAlign w:val="center"/>
                </w:tcPr>
                <w:p w14:paraId="1702FB30">
                  <w:pPr>
                    <w:adjustRightInd w:val="0"/>
                    <w:snapToGrid w:val="0"/>
                    <w:jc w:val="center"/>
                    <w:rPr>
                      <w:color w:val="auto"/>
                      <w:sz w:val="18"/>
                      <w:szCs w:val="18"/>
                    </w:rPr>
                  </w:pPr>
                  <w:r>
                    <w:rPr>
                      <w:rFonts w:hint="eastAsia"/>
                      <w:color w:val="auto"/>
                      <w:sz w:val="18"/>
                      <w:szCs w:val="18"/>
                    </w:rPr>
                    <w:t>0.0012</w:t>
                  </w:r>
                </w:p>
              </w:tc>
              <w:tc>
                <w:tcPr>
                  <w:tcW w:w="360" w:type="pct"/>
                  <w:vAlign w:val="center"/>
                </w:tcPr>
                <w:p w14:paraId="306EB346">
                  <w:pPr>
                    <w:adjustRightInd w:val="0"/>
                    <w:snapToGrid w:val="0"/>
                    <w:jc w:val="center"/>
                    <w:rPr>
                      <w:color w:val="auto"/>
                      <w:sz w:val="18"/>
                      <w:szCs w:val="18"/>
                    </w:rPr>
                  </w:pPr>
                  <w:r>
                    <w:rPr>
                      <w:rFonts w:hint="eastAsia"/>
                      <w:color w:val="auto"/>
                      <w:sz w:val="18"/>
                      <w:szCs w:val="18"/>
                    </w:rPr>
                    <w:t>4</w:t>
                  </w:r>
                </w:p>
              </w:tc>
              <w:tc>
                <w:tcPr>
                  <w:tcW w:w="319" w:type="pct"/>
                  <w:vAlign w:val="center"/>
                </w:tcPr>
                <w:p w14:paraId="38BF17C4">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5EEC23C5">
                  <w:pPr>
                    <w:adjustRightInd w:val="0"/>
                    <w:snapToGrid w:val="0"/>
                    <w:jc w:val="center"/>
                    <w:rPr>
                      <w:color w:val="auto"/>
                      <w:sz w:val="18"/>
                      <w:szCs w:val="18"/>
                    </w:rPr>
                  </w:pPr>
                </w:p>
              </w:tc>
            </w:tr>
            <w:tr w14:paraId="13CA3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8" w:hRule="atLeast"/>
                <w:tblHeader/>
                <w:jc w:val="center"/>
              </w:trPr>
              <w:tc>
                <w:tcPr>
                  <w:tcW w:w="147" w:type="pct"/>
                  <w:vMerge w:val="continue"/>
                  <w:vAlign w:val="center"/>
                </w:tcPr>
                <w:p w14:paraId="2085207C">
                  <w:pPr>
                    <w:widowControl/>
                    <w:adjustRightInd w:val="0"/>
                    <w:snapToGrid w:val="0"/>
                    <w:jc w:val="center"/>
                    <w:rPr>
                      <w:color w:val="auto"/>
                      <w:kern w:val="0"/>
                      <w:sz w:val="18"/>
                      <w:szCs w:val="18"/>
                    </w:rPr>
                  </w:pPr>
                </w:p>
              </w:tc>
              <w:tc>
                <w:tcPr>
                  <w:tcW w:w="232" w:type="pct"/>
                  <w:vMerge w:val="restart"/>
                  <w:vAlign w:val="center"/>
                </w:tcPr>
                <w:p w14:paraId="70B8E689">
                  <w:pPr>
                    <w:widowControl/>
                    <w:adjustRightInd w:val="0"/>
                    <w:snapToGrid w:val="0"/>
                    <w:jc w:val="center"/>
                    <w:rPr>
                      <w:color w:val="auto"/>
                      <w:kern w:val="0"/>
                      <w:sz w:val="18"/>
                      <w:szCs w:val="18"/>
                    </w:rPr>
                  </w:pPr>
                  <w:r>
                    <w:rPr>
                      <w:rFonts w:hint="eastAsia"/>
                      <w:color w:val="auto"/>
                      <w:kern w:val="0"/>
                      <w:sz w:val="18"/>
                      <w:szCs w:val="18"/>
                    </w:rPr>
                    <w:t>修边、磨平、打磨</w:t>
                  </w:r>
                </w:p>
              </w:tc>
              <w:tc>
                <w:tcPr>
                  <w:tcW w:w="230" w:type="pct"/>
                  <w:vAlign w:val="center"/>
                </w:tcPr>
                <w:p w14:paraId="1B66FF0A">
                  <w:pPr>
                    <w:widowControl/>
                    <w:adjustRightInd w:val="0"/>
                    <w:snapToGrid w:val="0"/>
                    <w:jc w:val="center"/>
                    <w:rPr>
                      <w:color w:val="auto"/>
                      <w:kern w:val="0"/>
                      <w:sz w:val="18"/>
                      <w:szCs w:val="18"/>
                    </w:rPr>
                  </w:pPr>
                  <w:r>
                    <w:rPr>
                      <w:rFonts w:hint="eastAsia"/>
                      <w:color w:val="auto"/>
                      <w:kern w:val="0"/>
                      <w:sz w:val="18"/>
                      <w:szCs w:val="18"/>
                    </w:rPr>
                    <w:t>DA002</w:t>
                  </w:r>
                </w:p>
              </w:tc>
              <w:tc>
                <w:tcPr>
                  <w:tcW w:w="130" w:type="pct"/>
                  <w:vMerge w:val="restart"/>
                  <w:vAlign w:val="center"/>
                </w:tcPr>
                <w:p w14:paraId="165414AA">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restart"/>
                  <w:vAlign w:val="center"/>
                </w:tcPr>
                <w:p w14:paraId="20754573">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7936B380">
                  <w:pPr>
                    <w:adjustRightInd w:val="0"/>
                    <w:snapToGrid w:val="0"/>
                    <w:jc w:val="center"/>
                    <w:rPr>
                      <w:color w:val="auto"/>
                      <w:sz w:val="18"/>
                      <w:szCs w:val="18"/>
                    </w:rPr>
                  </w:pPr>
                  <w:r>
                    <w:rPr>
                      <w:rFonts w:hint="eastAsia"/>
                      <w:color w:val="auto"/>
                      <w:sz w:val="18"/>
                      <w:szCs w:val="18"/>
                    </w:rPr>
                    <w:t>4000</w:t>
                  </w:r>
                </w:p>
              </w:tc>
              <w:tc>
                <w:tcPr>
                  <w:tcW w:w="399" w:type="pct"/>
                  <w:vAlign w:val="center"/>
                </w:tcPr>
                <w:p w14:paraId="275E5E2E">
                  <w:pPr>
                    <w:adjustRightInd w:val="0"/>
                    <w:snapToGrid w:val="0"/>
                    <w:jc w:val="center"/>
                    <w:rPr>
                      <w:color w:val="auto"/>
                      <w:sz w:val="18"/>
                      <w:szCs w:val="18"/>
                    </w:rPr>
                  </w:pPr>
                  <w:r>
                    <w:rPr>
                      <w:rFonts w:hint="eastAsia"/>
                      <w:color w:val="auto"/>
                      <w:sz w:val="18"/>
                      <w:szCs w:val="18"/>
                    </w:rPr>
                    <w:t>53.33</w:t>
                  </w:r>
                </w:p>
              </w:tc>
              <w:tc>
                <w:tcPr>
                  <w:tcW w:w="298" w:type="pct"/>
                  <w:vAlign w:val="center"/>
                </w:tcPr>
                <w:p w14:paraId="2AF5351A">
                  <w:pPr>
                    <w:adjustRightInd w:val="0"/>
                    <w:snapToGrid w:val="0"/>
                    <w:jc w:val="center"/>
                    <w:rPr>
                      <w:color w:val="auto"/>
                      <w:sz w:val="18"/>
                      <w:szCs w:val="18"/>
                    </w:rPr>
                  </w:pPr>
                  <w:r>
                    <w:rPr>
                      <w:rFonts w:hint="eastAsia"/>
                      <w:color w:val="auto"/>
                      <w:sz w:val="18"/>
                      <w:szCs w:val="18"/>
                    </w:rPr>
                    <w:t>0.2133</w:t>
                  </w:r>
                </w:p>
              </w:tc>
              <w:tc>
                <w:tcPr>
                  <w:tcW w:w="265" w:type="pct"/>
                  <w:vAlign w:val="center"/>
                </w:tcPr>
                <w:p w14:paraId="48F0AB6D">
                  <w:pPr>
                    <w:adjustRightInd w:val="0"/>
                    <w:snapToGrid w:val="0"/>
                    <w:jc w:val="center"/>
                    <w:rPr>
                      <w:color w:val="auto"/>
                      <w:sz w:val="18"/>
                      <w:szCs w:val="18"/>
                    </w:rPr>
                  </w:pPr>
                  <w:r>
                    <w:rPr>
                      <w:rFonts w:hint="eastAsia"/>
                      <w:color w:val="auto"/>
                      <w:sz w:val="18"/>
                      <w:szCs w:val="18"/>
                    </w:rPr>
                    <w:t>0.768</w:t>
                  </w:r>
                </w:p>
              </w:tc>
              <w:tc>
                <w:tcPr>
                  <w:tcW w:w="191" w:type="pct"/>
                  <w:vAlign w:val="center"/>
                </w:tcPr>
                <w:p w14:paraId="53F00B87">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4DB748C8">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38D5846">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32" w:type="pct"/>
                  <w:vMerge w:val="restart"/>
                  <w:vAlign w:val="center"/>
                </w:tcPr>
                <w:p w14:paraId="03522F28">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80C1577">
                  <w:pPr>
                    <w:adjustRightInd w:val="0"/>
                    <w:snapToGrid w:val="0"/>
                    <w:jc w:val="center"/>
                    <w:rPr>
                      <w:color w:val="auto"/>
                      <w:sz w:val="18"/>
                      <w:szCs w:val="18"/>
                    </w:rPr>
                  </w:pPr>
                  <w:r>
                    <w:rPr>
                      <w:rFonts w:hint="eastAsia"/>
                      <w:color w:val="auto"/>
                      <w:sz w:val="18"/>
                      <w:szCs w:val="18"/>
                    </w:rPr>
                    <w:t>4000</w:t>
                  </w:r>
                </w:p>
              </w:tc>
              <w:tc>
                <w:tcPr>
                  <w:tcW w:w="400" w:type="pct"/>
                  <w:vAlign w:val="center"/>
                </w:tcPr>
                <w:p w14:paraId="21279C4A">
                  <w:pPr>
                    <w:adjustRightInd w:val="0"/>
                    <w:snapToGrid w:val="0"/>
                    <w:jc w:val="center"/>
                    <w:rPr>
                      <w:color w:val="auto"/>
                      <w:sz w:val="18"/>
                      <w:szCs w:val="18"/>
                    </w:rPr>
                  </w:pPr>
                  <w:r>
                    <w:rPr>
                      <w:rFonts w:hint="eastAsia"/>
                      <w:color w:val="auto"/>
                      <w:sz w:val="18"/>
                      <w:szCs w:val="18"/>
                    </w:rPr>
                    <w:t>2.67</w:t>
                  </w:r>
                </w:p>
              </w:tc>
              <w:tc>
                <w:tcPr>
                  <w:tcW w:w="298" w:type="pct"/>
                  <w:vAlign w:val="center"/>
                </w:tcPr>
                <w:p w14:paraId="16157A40">
                  <w:pPr>
                    <w:adjustRightInd w:val="0"/>
                    <w:snapToGrid w:val="0"/>
                    <w:jc w:val="center"/>
                    <w:rPr>
                      <w:color w:val="auto"/>
                      <w:sz w:val="18"/>
                      <w:szCs w:val="18"/>
                    </w:rPr>
                  </w:pPr>
                  <w:r>
                    <w:rPr>
                      <w:rFonts w:hint="eastAsia"/>
                      <w:color w:val="auto"/>
                      <w:sz w:val="18"/>
                      <w:szCs w:val="18"/>
                    </w:rPr>
                    <w:t>0.0107</w:t>
                  </w:r>
                </w:p>
              </w:tc>
              <w:tc>
                <w:tcPr>
                  <w:tcW w:w="307" w:type="pct"/>
                  <w:vAlign w:val="center"/>
                </w:tcPr>
                <w:p w14:paraId="220A5EE9">
                  <w:pPr>
                    <w:adjustRightInd w:val="0"/>
                    <w:snapToGrid w:val="0"/>
                    <w:jc w:val="center"/>
                    <w:rPr>
                      <w:color w:val="auto"/>
                      <w:sz w:val="18"/>
                      <w:szCs w:val="18"/>
                    </w:rPr>
                  </w:pPr>
                  <w:r>
                    <w:rPr>
                      <w:rFonts w:hint="eastAsia"/>
                      <w:color w:val="auto"/>
                      <w:sz w:val="18"/>
                      <w:szCs w:val="18"/>
                    </w:rPr>
                    <w:t>0.0384</w:t>
                  </w:r>
                </w:p>
              </w:tc>
              <w:tc>
                <w:tcPr>
                  <w:tcW w:w="360" w:type="pct"/>
                  <w:vAlign w:val="center"/>
                </w:tcPr>
                <w:p w14:paraId="11C4E8A1">
                  <w:pPr>
                    <w:adjustRightInd w:val="0"/>
                    <w:snapToGrid w:val="0"/>
                    <w:jc w:val="center"/>
                    <w:rPr>
                      <w:color w:val="auto"/>
                      <w:sz w:val="18"/>
                      <w:szCs w:val="18"/>
                    </w:rPr>
                  </w:pPr>
                  <w:r>
                    <w:rPr>
                      <w:rFonts w:hint="eastAsia"/>
                      <w:color w:val="auto"/>
                      <w:sz w:val="18"/>
                      <w:szCs w:val="18"/>
                    </w:rPr>
                    <w:t>20</w:t>
                  </w:r>
                </w:p>
              </w:tc>
              <w:tc>
                <w:tcPr>
                  <w:tcW w:w="319" w:type="pct"/>
                  <w:vAlign w:val="center"/>
                </w:tcPr>
                <w:p w14:paraId="19E10A4A">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41F4E5EC">
                  <w:pPr>
                    <w:adjustRightInd w:val="0"/>
                    <w:snapToGrid w:val="0"/>
                    <w:jc w:val="center"/>
                    <w:rPr>
                      <w:color w:val="auto"/>
                      <w:sz w:val="18"/>
                      <w:szCs w:val="18"/>
                    </w:rPr>
                  </w:pPr>
                  <w:r>
                    <w:rPr>
                      <w:rFonts w:hint="eastAsia"/>
                      <w:color w:val="auto"/>
                      <w:sz w:val="18"/>
                      <w:szCs w:val="18"/>
                    </w:rPr>
                    <w:t>3600</w:t>
                  </w:r>
                </w:p>
              </w:tc>
            </w:tr>
            <w:tr w14:paraId="3B8E3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2A2B12A1">
                  <w:pPr>
                    <w:widowControl/>
                    <w:adjustRightInd w:val="0"/>
                    <w:snapToGrid w:val="0"/>
                    <w:jc w:val="center"/>
                    <w:rPr>
                      <w:color w:val="auto"/>
                      <w:kern w:val="0"/>
                      <w:sz w:val="18"/>
                      <w:szCs w:val="18"/>
                    </w:rPr>
                  </w:pPr>
                </w:p>
              </w:tc>
              <w:tc>
                <w:tcPr>
                  <w:tcW w:w="232" w:type="pct"/>
                  <w:vMerge w:val="continue"/>
                  <w:vAlign w:val="center"/>
                </w:tcPr>
                <w:p w14:paraId="72045899">
                  <w:pPr>
                    <w:widowControl/>
                    <w:adjustRightInd w:val="0"/>
                    <w:snapToGrid w:val="0"/>
                    <w:jc w:val="center"/>
                    <w:rPr>
                      <w:color w:val="auto"/>
                      <w:kern w:val="0"/>
                      <w:sz w:val="18"/>
                      <w:szCs w:val="18"/>
                    </w:rPr>
                  </w:pPr>
                </w:p>
              </w:tc>
              <w:tc>
                <w:tcPr>
                  <w:tcW w:w="230" w:type="pct"/>
                  <w:vAlign w:val="center"/>
                </w:tcPr>
                <w:p w14:paraId="287065D5">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47C86E8C">
                  <w:pPr>
                    <w:widowControl/>
                    <w:adjustRightInd w:val="0"/>
                    <w:snapToGrid w:val="0"/>
                    <w:jc w:val="center"/>
                    <w:rPr>
                      <w:color w:val="auto"/>
                      <w:kern w:val="0"/>
                      <w:sz w:val="18"/>
                      <w:szCs w:val="18"/>
                    </w:rPr>
                  </w:pPr>
                </w:p>
              </w:tc>
              <w:tc>
                <w:tcPr>
                  <w:tcW w:w="130" w:type="pct"/>
                  <w:vMerge w:val="continue"/>
                  <w:vAlign w:val="center"/>
                </w:tcPr>
                <w:p w14:paraId="71A64ECD">
                  <w:pPr>
                    <w:widowControl/>
                    <w:adjustRightInd w:val="0"/>
                    <w:snapToGrid w:val="0"/>
                    <w:jc w:val="center"/>
                    <w:rPr>
                      <w:color w:val="auto"/>
                      <w:kern w:val="0"/>
                      <w:sz w:val="18"/>
                      <w:szCs w:val="18"/>
                    </w:rPr>
                  </w:pPr>
                </w:p>
              </w:tc>
              <w:tc>
                <w:tcPr>
                  <w:tcW w:w="357" w:type="pct"/>
                  <w:vMerge w:val="continue"/>
                  <w:vAlign w:val="center"/>
                </w:tcPr>
                <w:p w14:paraId="5C136C6F">
                  <w:pPr>
                    <w:adjustRightInd w:val="0"/>
                    <w:snapToGrid w:val="0"/>
                    <w:jc w:val="center"/>
                    <w:rPr>
                      <w:color w:val="auto"/>
                      <w:sz w:val="18"/>
                      <w:szCs w:val="18"/>
                    </w:rPr>
                  </w:pPr>
                </w:p>
              </w:tc>
              <w:tc>
                <w:tcPr>
                  <w:tcW w:w="399" w:type="pct"/>
                  <w:vAlign w:val="center"/>
                </w:tcPr>
                <w:p w14:paraId="5CD0DF31">
                  <w:pPr>
                    <w:adjustRightInd w:val="0"/>
                    <w:snapToGrid w:val="0"/>
                    <w:jc w:val="center"/>
                    <w:rPr>
                      <w:color w:val="auto"/>
                      <w:sz w:val="18"/>
                      <w:szCs w:val="18"/>
                    </w:rPr>
                  </w:pPr>
                  <w:r>
                    <w:rPr>
                      <w:rFonts w:hint="eastAsia"/>
                      <w:color w:val="auto"/>
                      <w:sz w:val="18"/>
                      <w:szCs w:val="18"/>
                    </w:rPr>
                    <w:t>/</w:t>
                  </w:r>
                </w:p>
              </w:tc>
              <w:tc>
                <w:tcPr>
                  <w:tcW w:w="298" w:type="pct"/>
                  <w:vAlign w:val="center"/>
                </w:tcPr>
                <w:p w14:paraId="6E10EE63">
                  <w:pPr>
                    <w:adjustRightInd w:val="0"/>
                    <w:snapToGrid w:val="0"/>
                    <w:jc w:val="center"/>
                    <w:rPr>
                      <w:color w:val="auto"/>
                      <w:sz w:val="18"/>
                      <w:szCs w:val="18"/>
                    </w:rPr>
                  </w:pPr>
                  <w:r>
                    <w:rPr>
                      <w:rFonts w:hint="eastAsia"/>
                      <w:color w:val="auto"/>
                      <w:sz w:val="18"/>
                      <w:szCs w:val="18"/>
                    </w:rPr>
                    <w:t>0.0533</w:t>
                  </w:r>
                </w:p>
              </w:tc>
              <w:tc>
                <w:tcPr>
                  <w:tcW w:w="265" w:type="pct"/>
                  <w:vAlign w:val="center"/>
                </w:tcPr>
                <w:p w14:paraId="3FDBB412">
                  <w:pPr>
                    <w:adjustRightInd w:val="0"/>
                    <w:snapToGrid w:val="0"/>
                    <w:jc w:val="center"/>
                    <w:rPr>
                      <w:color w:val="auto"/>
                      <w:sz w:val="18"/>
                      <w:szCs w:val="18"/>
                    </w:rPr>
                  </w:pPr>
                  <w:r>
                    <w:rPr>
                      <w:rFonts w:hint="eastAsia"/>
                      <w:color w:val="auto"/>
                      <w:sz w:val="18"/>
                      <w:szCs w:val="18"/>
                    </w:rPr>
                    <w:t>0.192</w:t>
                  </w:r>
                </w:p>
              </w:tc>
              <w:tc>
                <w:tcPr>
                  <w:tcW w:w="191" w:type="pct"/>
                  <w:vAlign w:val="center"/>
                </w:tcPr>
                <w:p w14:paraId="10C0A1D2">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471A5229">
                  <w:pPr>
                    <w:widowControl/>
                    <w:jc w:val="center"/>
                    <w:rPr>
                      <w:color w:val="auto"/>
                      <w:kern w:val="0"/>
                      <w:sz w:val="18"/>
                      <w:szCs w:val="18"/>
                    </w:rPr>
                  </w:pPr>
                </w:p>
              </w:tc>
              <w:tc>
                <w:tcPr>
                  <w:tcW w:w="132" w:type="pct"/>
                  <w:vMerge w:val="continue"/>
                  <w:vAlign w:val="center"/>
                </w:tcPr>
                <w:p w14:paraId="6D77AAC6">
                  <w:pPr>
                    <w:widowControl/>
                    <w:jc w:val="center"/>
                    <w:rPr>
                      <w:color w:val="auto"/>
                      <w:kern w:val="0"/>
                      <w:sz w:val="18"/>
                      <w:szCs w:val="18"/>
                    </w:rPr>
                  </w:pPr>
                </w:p>
              </w:tc>
              <w:tc>
                <w:tcPr>
                  <w:tcW w:w="357" w:type="pct"/>
                  <w:vMerge w:val="continue"/>
                  <w:vAlign w:val="center"/>
                </w:tcPr>
                <w:p w14:paraId="79DF79A7">
                  <w:pPr>
                    <w:adjustRightInd w:val="0"/>
                    <w:snapToGrid w:val="0"/>
                    <w:jc w:val="center"/>
                    <w:rPr>
                      <w:color w:val="auto"/>
                      <w:sz w:val="18"/>
                      <w:szCs w:val="18"/>
                    </w:rPr>
                  </w:pPr>
                </w:p>
              </w:tc>
              <w:tc>
                <w:tcPr>
                  <w:tcW w:w="400" w:type="pct"/>
                  <w:vAlign w:val="center"/>
                </w:tcPr>
                <w:p w14:paraId="28B1901F">
                  <w:pPr>
                    <w:adjustRightInd w:val="0"/>
                    <w:snapToGrid w:val="0"/>
                    <w:jc w:val="center"/>
                    <w:rPr>
                      <w:color w:val="auto"/>
                      <w:sz w:val="18"/>
                      <w:szCs w:val="18"/>
                    </w:rPr>
                  </w:pPr>
                  <w:r>
                    <w:rPr>
                      <w:rFonts w:hint="eastAsia"/>
                      <w:color w:val="auto"/>
                      <w:sz w:val="18"/>
                      <w:szCs w:val="18"/>
                    </w:rPr>
                    <w:t>/</w:t>
                  </w:r>
                </w:p>
              </w:tc>
              <w:tc>
                <w:tcPr>
                  <w:tcW w:w="298" w:type="pct"/>
                  <w:vAlign w:val="center"/>
                </w:tcPr>
                <w:p w14:paraId="3DF76D04">
                  <w:pPr>
                    <w:adjustRightInd w:val="0"/>
                    <w:snapToGrid w:val="0"/>
                    <w:jc w:val="center"/>
                    <w:rPr>
                      <w:color w:val="auto"/>
                      <w:sz w:val="18"/>
                      <w:szCs w:val="18"/>
                    </w:rPr>
                  </w:pPr>
                  <w:r>
                    <w:rPr>
                      <w:rFonts w:hint="eastAsia"/>
                      <w:color w:val="auto"/>
                      <w:sz w:val="18"/>
                      <w:szCs w:val="18"/>
                    </w:rPr>
                    <w:t>0.0533</w:t>
                  </w:r>
                </w:p>
              </w:tc>
              <w:tc>
                <w:tcPr>
                  <w:tcW w:w="307" w:type="pct"/>
                  <w:vAlign w:val="center"/>
                </w:tcPr>
                <w:p w14:paraId="29E10CBC">
                  <w:pPr>
                    <w:adjustRightInd w:val="0"/>
                    <w:snapToGrid w:val="0"/>
                    <w:jc w:val="center"/>
                    <w:rPr>
                      <w:color w:val="auto"/>
                      <w:sz w:val="18"/>
                      <w:szCs w:val="18"/>
                    </w:rPr>
                  </w:pPr>
                  <w:r>
                    <w:rPr>
                      <w:rFonts w:hint="eastAsia"/>
                      <w:color w:val="auto"/>
                      <w:sz w:val="18"/>
                      <w:szCs w:val="18"/>
                    </w:rPr>
                    <w:t>0.192</w:t>
                  </w:r>
                </w:p>
              </w:tc>
              <w:tc>
                <w:tcPr>
                  <w:tcW w:w="360" w:type="pct"/>
                  <w:vAlign w:val="center"/>
                </w:tcPr>
                <w:p w14:paraId="2AA16493">
                  <w:pPr>
                    <w:adjustRightInd w:val="0"/>
                    <w:snapToGrid w:val="0"/>
                    <w:jc w:val="center"/>
                    <w:rPr>
                      <w:color w:val="auto"/>
                      <w:sz w:val="18"/>
                      <w:szCs w:val="18"/>
                    </w:rPr>
                  </w:pPr>
                  <w:r>
                    <w:rPr>
                      <w:rFonts w:hint="eastAsia"/>
                      <w:color w:val="auto"/>
                      <w:sz w:val="18"/>
                      <w:szCs w:val="18"/>
                    </w:rPr>
                    <w:t>0.5</w:t>
                  </w:r>
                </w:p>
              </w:tc>
              <w:tc>
                <w:tcPr>
                  <w:tcW w:w="319" w:type="pct"/>
                  <w:vAlign w:val="center"/>
                </w:tcPr>
                <w:p w14:paraId="446DEF14">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68470ADD">
                  <w:pPr>
                    <w:adjustRightInd w:val="0"/>
                    <w:snapToGrid w:val="0"/>
                    <w:jc w:val="center"/>
                    <w:rPr>
                      <w:color w:val="auto"/>
                      <w:sz w:val="18"/>
                      <w:szCs w:val="18"/>
                    </w:rPr>
                  </w:pPr>
                </w:p>
              </w:tc>
            </w:tr>
            <w:tr w14:paraId="507A8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jc w:val="center"/>
              </w:trPr>
              <w:tc>
                <w:tcPr>
                  <w:tcW w:w="147" w:type="pct"/>
                  <w:vMerge w:val="continue"/>
                  <w:vAlign w:val="center"/>
                </w:tcPr>
                <w:p w14:paraId="2823E056">
                  <w:pPr>
                    <w:widowControl/>
                    <w:adjustRightInd w:val="0"/>
                    <w:snapToGrid w:val="0"/>
                    <w:jc w:val="center"/>
                    <w:rPr>
                      <w:color w:val="auto"/>
                      <w:kern w:val="0"/>
                      <w:sz w:val="18"/>
                      <w:szCs w:val="18"/>
                    </w:rPr>
                  </w:pPr>
                </w:p>
              </w:tc>
              <w:tc>
                <w:tcPr>
                  <w:tcW w:w="232" w:type="pct"/>
                  <w:vMerge w:val="restart"/>
                  <w:vAlign w:val="center"/>
                </w:tcPr>
                <w:p w14:paraId="5BCEBA1D">
                  <w:pPr>
                    <w:widowControl/>
                    <w:adjustRightInd w:val="0"/>
                    <w:snapToGrid w:val="0"/>
                    <w:jc w:val="center"/>
                    <w:rPr>
                      <w:color w:val="auto"/>
                      <w:kern w:val="0"/>
                      <w:sz w:val="18"/>
                      <w:szCs w:val="18"/>
                    </w:rPr>
                  </w:pPr>
                  <w:r>
                    <w:rPr>
                      <w:rFonts w:hint="eastAsia"/>
                      <w:color w:val="auto"/>
                      <w:kern w:val="0"/>
                      <w:sz w:val="18"/>
                      <w:szCs w:val="18"/>
                    </w:rPr>
                    <w:t>批灰</w:t>
                  </w:r>
                </w:p>
              </w:tc>
              <w:tc>
                <w:tcPr>
                  <w:tcW w:w="230" w:type="pct"/>
                  <w:vAlign w:val="center"/>
                </w:tcPr>
                <w:p w14:paraId="4619A24B">
                  <w:pPr>
                    <w:widowControl/>
                    <w:adjustRightInd w:val="0"/>
                    <w:snapToGrid w:val="0"/>
                    <w:jc w:val="center"/>
                    <w:rPr>
                      <w:color w:val="auto"/>
                      <w:kern w:val="0"/>
                      <w:sz w:val="18"/>
                      <w:szCs w:val="18"/>
                    </w:rPr>
                  </w:pPr>
                  <w:r>
                    <w:rPr>
                      <w:rFonts w:hint="eastAsia"/>
                      <w:color w:val="auto"/>
                      <w:kern w:val="0"/>
                      <w:sz w:val="18"/>
                      <w:szCs w:val="18"/>
                    </w:rPr>
                    <w:t>DA003</w:t>
                  </w:r>
                </w:p>
              </w:tc>
              <w:tc>
                <w:tcPr>
                  <w:tcW w:w="130" w:type="pct"/>
                  <w:vMerge w:val="restart"/>
                  <w:vAlign w:val="center"/>
                </w:tcPr>
                <w:p w14:paraId="536F9683">
                  <w:pPr>
                    <w:widowControl/>
                    <w:adjustRightInd w:val="0"/>
                    <w:snapToGrid w:val="0"/>
                    <w:jc w:val="center"/>
                    <w:rPr>
                      <w:color w:val="auto"/>
                      <w:kern w:val="0"/>
                      <w:sz w:val="18"/>
                      <w:szCs w:val="18"/>
                    </w:rPr>
                  </w:pPr>
                  <w:r>
                    <w:rPr>
                      <w:rFonts w:hint="eastAsia"/>
                      <w:color w:val="auto"/>
                      <w:kern w:val="0"/>
                      <w:sz w:val="18"/>
                      <w:szCs w:val="18"/>
                    </w:rPr>
                    <w:t>苯乙烯</w:t>
                  </w:r>
                </w:p>
              </w:tc>
              <w:tc>
                <w:tcPr>
                  <w:tcW w:w="130" w:type="pct"/>
                  <w:vMerge w:val="restart"/>
                  <w:vAlign w:val="center"/>
                </w:tcPr>
                <w:p w14:paraId="3A776738">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2296DFB4">
                  <w:pPr>
                    <w:adjustRightInd w:val="0"/>
                    <w:snapToGrid w:val="0"/>
                    <w:jc w:val="center"/>
                    <w:rPr>
                      <w:color w:val="auto"/>
                      <w:sz w:val="18"/>
                      <w:szCs w:val="18"/>
                    </w:rPr>
                  </w:pPr>
                  <w:r>
                    <w:rPr>
                      <w:rFonts w:hint="eastAsia"/>
                      <w:color w:val="auto"/>
                      <w:sz w:val="18"/>
                      <w:szCs w:val="18"/>
                    </w:rPr>
                    <w:t>5000</w:t>
                  </w:r>
                </w:p>
              </w:tc>
              <w:tc>
                <w:tcPr>
                  <w:tcW w:w="399" w:type="pct"/>
                  <w:vAlign w:val="center"/>
                </w:tcPr>
                <w:p w14:paraId="5372E5A1">
                  <w:pPr>
                    <w:adjustRightInd w:val="0"/>
                    <w:snapToGrid w:val="0"/>
                    <w:jc w:val="center"/>
                    <w:rPr>
                      <w:color w:val="auto"/>
                      <w:sz w:val="18"/>
                      <w:szCs w:val="18"/>
                    </w:rPr>
                  </w:pPr>
                  <w:r>
                    <w:rPr>
                      <w:rFonts w:hint="eastAsia"/>
                      <w:color w:val="auto"/>
                      <w:sz w:val="18"/>
                      <w:szCs w:val="18"/>
                    </w:rPr>
                    <w:t>8.41</w:t>
                  </w:r>
                </w:p>
              </w:tc>
              <w:tc>
                <w:tcPr>
                  <w:tcW w:w="298" w:type="pct"/>
                  <w:vAlign w:val="center"/>
                </w:tcPr>
                <w:p w14:paraId="20876985">
                  <w:pPr>
                    <w:adjustRightInd w:val="0"/>
                    <w:snapToGrid w:val="0"/>
                    <w:jc w:val="center"/>
                    <w:rPr>
                      <w:color w:val="auto"/>
                      <w:sz w:val="18"/>
                      <w:szCs w:val="18"/>
                    </w:rPr>
                  </w:pPr>
                  <w:r>
                    <w:rPr>
                      <w:rFonts w:hint="eastAsia"/>
                      <w:color w:val="auto"/>
                      <w:sz w:val="18"/>
                      <w:szCs w:val="18"/>
                    </w:rPr>
                    <w:t>0.0421</w:t>
                  </w:r>
                </w:p>
              </w:tc>
              <w:tc>
                <w:tcPr>
                  <w:tcW w:w="265" w:type="pct"/>
                  <w:vAlign w:val="center"/>
                </w:tcPr>
                <w:p w14:paraId="1F27C07E">
                  <w:pPr>
                    <w:adjustRightInd w:val="0"/>
                    <w:snapToGrid w:val="0"/>
                    <w:jc w:val="center"/>
                    <w:rPr>
                      <w:color w:val="auto"/>
                      <w:sz w:val="18"/>
                      <w:szCs w:val="18"/>
                    </w:rPr>
                  </w:pPr>
                  <w:r>
                    <w:rPr>
                      <w:rFonts w:hint="eastAsia"/>
                      <w:color w:val="auto"/>
                      <w:sz w:val="18"/>
                      <w:szCs w:val="18"/>
                    </w:rPr>
                    <w:t>0.1514</w:t>
                  </w:r>
                </w:p>
              </w:tc>
              <w:tc>
                <w:tcPr>
                  <w:tcW w:w="191" w:type="pct"/>
                  <w:vAlign w:val="center"/>
                </w:tcPr>
                <w:p w14:paraId="6FC4734E">
                  <w:pPr>
                    <w:widowControl/>
                    <w:jc w:val="center"/>
                    <w:rPr>
                      <w:color w:val="auto"/>
                      <w:kern w:val="0"/>
                      <w:sz w:val="18"/>
                      <w:szCs w:val="18"/>
                    </w:rPr>
                  </w:pPr>
                  <w:r>
                    <w:rPr>
                      <w:rFonts w:hint="eastAsia"/>
                      <w:color w:val="auto"/>
                      <w:kern w:val="0"/>
                      <w:sz w:val="18"/>
                      <w:szCs w:val="18"/>
                    </w:rPr>
                    <w:t>干式过滤器</w:t>
                  </w:r>
                  <w:r>
                    <w:rPr>
                      <w:color w:val="auto"/>
                      <w:kern w:val="0"/>
                      <w:sz w:val="18"/>
                      <w:szCs w:val="18"/>
                    </w:rPr>
                    <w:t>+二级活性炭</w:t>
                  </w:r>
                </w:p>
              </w:tc>
              <w:tc>
                <w:tcPr>
                  <w:tcW w:w="232" w:type="pct"/>
                  <w:vMerge w:val="restart"/>
                  <w:vAlign w:val="center"/>
                </w:tcPr>
                <w:p w14:paraId="40909013">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2BEA086">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299B146D">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738E989C">
                  <w:pPr>
                    <w:adjustRightInd w:val="0"/>
                    <w:snapToGrid w:val="0"/>
                    <w:jc w:val="center"/>
                    <w:rPr>
                      <w:color w:val="auto"/>
                      <w:sz w:val="18"/>
                      <w:szCs w:val="18"/>
                    </w:rPr>
                  </w:pPr>
                  <w:r>
                    <w:rPr>
                      <w:rFonts w:hint="eastAsia"/>
                      <w:color w:val="auto"/>
                      <w:sz w:val="18"/>
                      <w:szCs w:val="18"/>
                    </w:rPr>
                    <w:t>5000</w:t>
                  </w:r>
                </w:p>
              </w:tc>
              <w:tc>
                <w:tcPr>
                  <w:tcW w:w="400" w:type="pct"/>
                  <w:vAlign w:val="center"/>
                </w:tcPr>
                <w:p w14:paraId="49B40CDE">
                  <w:pPr>
                    <w:adjustRightInd w:val="0"/>
                    <w:snapToGrid w:val="0"/>
                    <w:jc w:val="center"/>
                    <w:rPr>
                      <w:color w:val="auto"/>
                      <w:sz w:val="18"/>
                      <w:szCs w:val="18"/>
                    </w:rPr>
                  </w:pPr>
                  <w:r>
                    <w:rPr>
                      <w:rFonts w:hint="eastAsia"/>
                      <w:color w:val="auto"/>
                      <w:sz w:val="18"/>
                      <w:szCs w:val="18"/>
                    </w:rPr>
                    <w:t>0.84</w:t>
                  </w:r>
                </w:p>
              </w:tc>
              <w:tc>
                <w:tcPr>
                  <w:tcW w:w="298" w:type="pct"/>
                  <w:vAlign w:val="center"/>
                </w:tcPr>
                <w:p w14:paraId="1634F810">
                  <w:pPr>
                    <w:adjustRightInd w:val="0"/>
                    <w:snapToGrid w:val="0"/>
                    <w:jc w:val="center"/>
                    <w:rPr>
                      <w:color w:val="auto"/>
                    </w:rPr>
                  </w:pPr>
                  <w:r>
                    <w:rPr>
                      <w:rFonts w:hint="eastAsia"/>
                      <w:color w:val="auto"/>
                      <w:sz w:val="18"/>
                      <w:szCs w:val="18"/>
                    </w:rPr>
                    <w:t>0.0042</w:t>
                  </w:r>
                </w:p>
              </w:tc>
              <w:tc>
                <w:tcPr>
                  <w:tcW w:w="307" w:type="pct"/>
                  <w:vAlign w:val="center"/>
                </w:tcPr>
                <w:p w14:paraId="2E4CBE68">
                  <w:pPr>
                    <w:adjustRightInd w:val="0"/>
                    <w:snapToGrid w:val="0"/>
                    <w:jc w:val="center"/>
                    <w:rPr>
                      <w:color w:val="auto"/>
                      <w:sz w:val="18"/>
                      <w:szCs w:val="18"/>
                    </w:rPr>
                  </w:pPr>
                  <w:r>
                    <w:rPr>
                      <w:rFonts w:hint="eastAsia"/>
                      <w:color w:val="auto"/>
                      <w:sz w:val="18"/>
                      <w:szCs w:val="18"/>
                    </w:rPr>
                    <w:t>0.0151</w:t>
                  </w:r>
                </w:p>
              </w:tc>
              <w:tc>
                <w:tcPr>
                  <w:tcW w:w="360" w:type="pct"/>
                  <w:vAlign w:val="center"/>
                </w:tcPr>
                <w:p w14:paraId="69FFEB07">
                  <w:pPr>
                    <w:adjustRightInd w:val="0"/>
                    <w:snapToGrid w:val="0"/>
                    <w:jc w:val="center"/>
                    <w:rPr>
                      <w:color w:val="auto"/>
                      <w:sz w:val="18"/>
                      <w:szCs w:val="18"/>
                    </w:rPr>
                  </w:pPr>
                  <w:r>
                    <w:rPr>
                      <w:rFonts w:hint="eastAsia"/>
                      <w:color w:val="auto"/>
                      <w:sz w:val="18"/>
                      <w:szCs w:val="18"/>
                    </w:rPr>
                    <w:t>15</w:t>
                  </w:r>
                </w:p>
              </w:tc>
              <w:tc>
                <w:tcPr>
                  <w:tcW w:w="319" w:type="pct"/>
                  <w:vAlign w:val="center"/>
                </w:tcPr>
                <w:p w14:paraId="03ABAF9B">
                  <w:pPr>
                    <w:adjustRightInd w:val="0"/>
                    <w:snapToGrid w:val="0"/>
                    <w:jc w:val="center"/>
                    <w:rPr>
                      <w:color w:val="auto"/>
                      <w:sz w:val="18"/>
                      <w:szCs w:val="18"/>
                    </w:rPr>
                  </w:pPr>
                  <w:r>
                    <w:rPr>
                      <w:rFonts w:hint="eastAsia"/>
                      <w:color w:val="auto"/>
                      <w:sz w:val="18"/>
                      <w:szCs w:val="18"/>
                    </w:rPr>
                    <w:t>/</w:t>
                  </w:r>
                </w:p>
              </w:tc>
              <w:tc>
                <w:tcPr>
                  <w:tcW w:w="213" w:type="pct"/>
                  <w:vMerge w:val="restart"/>
                  <w:vAlign w:val="center"/>
                </w:tcPr>
                <w:p w14:paraId="14445BC0">
                  <w:pPr>
                    <w:adjustRightInd w:val="0"/>
                    <w:snapToGrid w:val="0"/>
                    <w:jc w:val="center"/>
                    <w:rPr>
                      <w:color w:val="auto"/>
                      <w:sz w:val="18"/>
                      <w:szCs w:val="18"/>
                    </w:rPr>
                  </w:pPr>
                  <w:r>
                    <w:rPr>
                      <w:rFonts w:hint="eastAsia"/>
                      <w:color w:val="auto"/>
                      <w:sz w:val="18"/>
                      <w:szCs w:val="18"/>
                    </w:rPr>
                    <w:t>3600</w:t>
                  </w:r>
                </w:p>
              </w:tc>
            </w:tr>
            <w:tr w14:paraId="1DC5B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670BF069">
                  <w:pPr>
                    <w:widowControl/>
                    <w:adjustRightInd w:val="0"/>
                    <w:snapToGrid w:val="0"/>
                    <w:jc w:val="center"/>
                    <w:rPr>
                      <w:color w:val="auto"/>
                      <w:kern w:val="0"/>
                      <w:sz w:val="18"/>
                      <w:szCs w:val="18"/>
                    </w:rPr>
                  </w:pPr>
                </w:p>
              </w:tc>
              <w:tc>
                <w:tcPr>
                  <w:tcW w:w="232" w:type="pct"/>
                  <w:vMerge w:val="continue"/>
                  <w:vAlign w:val="center"/>
                </w:tcPr>
                <w:p w14:paraId="68EC7C37">
                  <w:pPr>
                    <w:widowControl/>
                    <w:adjustRightInd w:val="0"/>
                    <w:snapToGrid w:val="0"/>
                    <w:jc w:val="center"/>
                    <w:rPr>
                      <w:color w:val="auto"/>
                      <w:kern w:val="0"/>
                      <w:sz w:val="18"/>
                      <w:szCs w:val="18"/>
                    </w:rPr>
                  </w:pPr>
                </w:p>
              </w:tc>
              <w:tc>
                <w:tcPr>
                  <w:tcW w:w="230" w:type="pct"/>
                  <w:vAlign w:val="center"/>
                </w:tcPr>
                <w:p w14:paraId="4879E244">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43E30B6D">
                  <w:pPr>
                    <w:widowControl/>
                    <w:adjustRightInd w:val="0"/>
                    <w:snapToGrid w:val="0"/>
                    <w:jc w:val="center"/>
                    <w:rPr>
                      <w:color w:val="auto"/>
                      <w:kern w:val="0"/>
                      <w:sz w:val="18"/>
                      <w:szCs w:val="18"/>
                    </w:rPr>
                  </w:pPr>
                </w:p>
              </w:tc>
              <w:tc>
                <w:tcPr>
                  <w:tcW w:w="130" w:type="pct"/>
                  <w:vMerge w:val="continue"/>
                  <w:vAlign w:val="center"/>
                </w:tcPr>
                <w:p w14:paraId="179F7CD9">
                  <w:pPr>
                    <w:widowControl/>
                    <w:adjustRightInd w:val="0"/>
                    <w:snapToGrid w:val="0"/>
                    <w:jc w:val="center"/>
                    <w:rPr>
                      <w:color w:val="auto"/>
                      <w:kern w:val="0"/>
                      <w:sz w:val="18"/>
                      <w:szCs w:val="18"/>
                    </w:rPr>
                  </w:pPr>
                </w:p>
              </w:tc>
              <w:tc>
                <w:tcPr>
                  <w:tcW w:w="357" w:type="pct"/>
                  <w:vMerge w:val="continue"/>
                  <w:vAlign w:val="center"/>
                </w:tcPr>
                <w:p w14:paraId="547EE0A9">
                  <w:pPr>
                    <w:adjustRightInd w:val="0"/>
                    <w:snapToGrid w:val="0"/>
                    <w:jc w:val="center"/>
                    <w:rPr>
                      <w:color w:val="auto"/>
                      <w:sz w:val="18"/>
                      <w:szCs w:val="18"/>
                    </w:rPr>
                  </w:pPr>
                </w:p>
              </w:tc>
              <w:tc>
                <w:tcPr>
                  <w:tcW w:w="399" w:type="pct"/>
                  <w:vAlign w:val="center"/>
                </w:tcPr>
                <w:p w14:paraId="106F5860">
                  <w:pPr>
                    <w:adjustRightInd w:val="0"/>
                    <w:snapToGrid w:val="0"/>
                    <w:jc w:val="center"/>
                    <w:rPr>
                      <w:color w:val="auto"/>
                      <w:sz w:val="18"/>
                      <w:szCs w:val="18"/>
                    </w:rPr>
                  </w:pPr>
                  <w:r>
                    <w:rPr>
                      <w:rFonts w:hint="eastAsia"/>
                      <w:color w:val="auto"/>
                      <w:sz w:val="18"/>
                      <w:szCs w:val="18"/>
                    </w:rPr>
                    <w:t>/</w:t>
                  </w:r>
                </w:p>
              </w:tc>
              <w:tc>
                <w:tcPr>
                  <w:tcW w:w="298" w:type="pct"/>
                  <w:vAlign w:val="center"/>
                </w:tcPr>
                <w:p w14:paraId="36978C42">
                  <w:pPr>
                    <w:adjustRightInd w:val="0"/>
                    <w:snapToGrid w:val="0"/>
                    <w:jc w:val="center"/>
                    <w:rPr>
                      <w:color w:val="auto"/>
                      <w:sz w:val="18"/>
                      <w:szCs w:val="18"/>
                    </w:rPr>
                  </w:pPr>
                  <w:r>
                    <w:rPr>
                      <w:rFonts w:hint="eastAsia"/>
                      <w:color w:val="auto"/>
                      <w:sz w:val="18"/>
                      <w:szCs w:val="18"/>
                    </w:rPr>
                    <w:t>0.0105</w:t>
                  </w:r>
                </w:p>
              </w:tc>
              <w:tc>
                <w:tcPr>
                  <w:tcW w:w="265" w:type="pct"/>
                  <w:vAlign w:val="center"/>
                </w:tcPr>
                <w:p w14:paraId="3FD7329E">
                  <w:pPr>
                    <w:adjustRightInd w:val="0"/>
                    <w:snapToGrid w:val="0"/>
                    <w:jc w:val="center"/>
                    <w:rPr>
                      <w:color w:val="auto"/>
                      <w:sz w:val="18"/>
                      <w:szCs w:val="18"/>
                    </w:rPr>
                  </w:pPr>
                  <w:r>
                    <w:rPr>
                      <w:rFonts w:hint="eastAsia"/>
                      <w:color w:val="auto"/>
                      <w:sz w:val="18"/>
                      <w:szCs w:val="18"/>
                    </w:rPr>
                    <w:t>0.0379</w:t>
                  </w:r>
                </w:p>
              </w:tc>
              <w:tc>
                <w:tcPr>
                  <w:tcW w:w="191" w:type="pct"/>
                  <w:vAlign w:val="center"/>
                </w:tcPr>
                <w:p w14:paraId="512A2A09">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032EACBE">
                  <w:pPr>
                    <w:widowControl/>
                    <w:jc w:val="center"/>
                    <w:rPr>
                      <w:color w:val="auto"/>
                      <w:kern w:val="0"/>
                      <w:sz w:val="18"/>
                      <w:szCs w:val="18"/>
                    </w:rPr>
                  </w:pPr>
                </w:p>
              </w:tc>
              <w:tc>
                <w:tcPr>
                  <w:tcW w:w="132" w:type="pct"/>
                  <w:vMerge w:val="continue"/>
                  <w:vAlign w:val="center"/>
                </w:tcPr>
                <w:p w14:paraId="16E884D3">
                  <w:pPr>
                    <w:widowControl/>
                    <w:jc w:val="center"/>
                    <w:rPr>
                      <w:color w:val="auto"/>
                      <w:kern w:val="0"/>
                      <w:sz w:val="18"/>
                      <w:szCs w:val="18"/>
                    </w:rPr>
                  </w:pPr>
                </w:p>
              </w:tc>
              <w:tc>
                <w:tcPr>
                  <w:tcW w:w="357" w:type="pct"/>
                  <w:vMerge w:val="continue"/>
                  <w:vAlign w:val="center"/>
                </w:tcPr>
                <w:p w14:paraId="37BD6AA2">
                  <w:pPr>
                    <w:adjustRightInd w:val="0"/>
                    <w:snapToGrid w:val="0"/>
                    <w:jc w:val="center"/>
                    <w:rPr>
                      <w:color w:val="auto"/>
                      <w:sz w:val="18"/>
                      <w:szCs w:val="18"/>
                    </w:rPr>
                  </w:pPr>
                </w:p>
              </w:tc>
              <w:tc>
                <w:tcPr>
                  <w:tcW w:w="400" w:type="pct"/>
                  <w:vAlign w:val="center"/>
                </w:tcPr>
                <w:p w14:paraId="37461E80">
                  <w:pPr>
                    <w:adjustRightInd w:val="0"/>
                    <w:snapToGrid w:val="0"/>
                    <w:jc w:val="center"/>
                    <w:rPr>
                      <w:color w:val="auto"/>
                      <w:sz w:val="18"/>
                      <w:szCs w:val="18"/>
                    </w:rPr>
                  </w:pPr>
                  <w:r>
                    <w:rPr>
                      <w:rFonts w:hint="eastAsia"/>
                      <w:color w:val="auto"/>
                      <w:sz w:val="18"/>
                      <w:szCs w:val="18"/>
                    </w:rPr>
                    <w:t>/</w:t>
                  </w:r>
                </w:p>
              </w:tc>
              <w:tc>
                <w:tcPr>
                  <w:tcW w:w="298" w:type="pct"/>
                  <w:vAlign w:val="center"/>
                </w:tcPr>
                <w:p w14:paraId="79B5C812">
                  <w:pPr>
                    <w:adjustRightInd w:val="0"/>
                    <w:snapToGrid w:val="0"/>
                    <w:jc w:val="center"/>
                    <w:rPr>
                      <w:color w:val="auto"/>
                      <w:sz w:val="18"/>
                      <w:szCs w:val="18"/>
                    </w:rPr>
                  </w:pPr>
                  <w:r>
                    <w:rPr>
                      <w:rFonts w:hint="eastAsia"/>
                      <w:color w:val="auto"/>
                      <w:sz w:val="18"/>
                      <w:szCs w:val="18"/>
                    </w:rPr>
                    <w:t>0.0105</w:t>
                  </w:r>
                </w:p>
              </w:tc>
              <w:tc>
                <w:tcPr>
                  <w:tcW w:w="307" w:type="pct"/>
                  <w:vAlign w:val="center"/>
                </w:tcPr>
                <w:p w14:paraId="547EBA03">
                  <w:pPr>
                    <w:adjustRightInd w:val="0"/>
                    <w:snapToGrid w:val="0"/>
                    <w:jc w:val="center"/>
                    <w:rPr>
                      <w:color w:val="auto"/>
                      <w:sz w:val="18"/>
                      <w:szCs w:val="18"/>
                    </w:rPr>
                  </w:pPr>
                  <w:r>
                    <w:rPr>
                      <w:rFonts w:hint="eastAsia"/>
                      <w:color w:val="auto"/>
                      <w:sz w:val="18"/>
                      <w:szCs w:val="18"/>
                    </w:rPr>
                    <w:t>0.0379</w:t>
                  </w:r>
                </w:p>
              </w:tc>
              <w:tc>
                <w:tcPr>
                  <w:tcW w:w="360" w:type="pct"/>
                  <w:vAlign w:val="center"/>
                </w:tcPr>
                <w:p w14:paraId="4EA1872B">
                  <w:pPr>
                    <w:adjustRightInd w:val="0"/>
                    <w:snapToGrid w:val="0"/>
                    <w:jc w:val="center"/>
                    <w:rPr>
                      <w:color w:val="auto"/>
                      <w:sz w:val="18"/>
                      <w:szCs w:val="18"/>
                    </w:rPr>
                  </w:pPr>
                  <w:r>
                    <w:rPr>
                      <w:rFonts w:hint="eastAsia"/>
                      <w:color w:val="auto"/>
                      <w:sz w:val="18"/>
                      <w:szCs w:val="18"/>
                    </w:rPr>
                    <w:t>4</w:t>
                  </w:r>
                </w:p>
              </w:tc>
              <w:tc>
                <w:tcPr>
                  <w:tcW w:w="319" w:type="pct"/>
                  <w:vAlign w:val="center"/>
                </w:tcPr>
                <w:p w14:paraId="711C596D">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40E83D13">
                  <w:pPr>
                    <w:adjustRightInd w:val="0"/>
                    <w:snapToGrid w:val="0"/>
                    <w:jc w:val="center"/>
                    <w:rPr>
                      <w:color w:val="auto"/>
                      <w:sz w:val="18"/>
                      <w:szCs w:val="18"/>
                    </w:rPr>
                  </w:pPr>
                </w:p>
              </w:tc>
            </w:tr>
            <w:tr w14:paraId="564F1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4" w:hRule="atLeast"/>
                <w:tblHeader/>
                <w:jc w:val="center"/>
              </w:trPr>
              <w:tc>
                <w:tcPr>
                  <w:tcW w:w="147" w:type="pct"/>
                  <w:vMerge w:val="continue"/>
                  <w:vAlign w:val="center"/>
                </w:tcPr>
                <w:p w14:paraId="5DF3892F">
                  <w:pPr>
                    <w:widowControl/>
                    <w:adjustRightInd w:val="0"/>
                    <w:snapToGrid w:val="0"/>
                    <w:jc w:val="center"/>
                    <w:rPr>
                      <w:color w:val="auto"/>
                      <w:kern w:val="0"/>
                      <w:sz w:val="18"/>
                      <w:szCs w:val="18"/>
                    </w:rPr>
                  </w:pPr>
                </w:p>
              </w:tc>
              <w:tc>
                <w:tcPr>
                  <w:tcW w:w="232" w:type="pct"/>
                  <w:vMerge w:val="restart"/>
                  <w:vAlign w:val="center"/>
                </w:tcPr>
                <w:p w14:paraId="6D771A68">
                  <w:pPr>
                    <w:widowControl/>
                    <w:adjustRightInd w:val="0"/>
                    <w:snapToGrid w:val="0"/>
                    <w:jc w:val="center"/>
                    <w:rPr>
                      <w:color w:val="auto"/>
                      <w:kern w:val="0"/>
                      <w:sz w:val="18"/>
                      <w:szCs w:val="18"/>
                    </w:rPr>
                  </w:pPr>
                  <w:r>
                    <w:rPr>
                      <w:rFonts w:hint="eastAsia"/>
                      <w:color w:val="auto"/>
                      <w:kern w:val="0"/>
                      <w:sz w:val="18"/>
                      <w:szCs w:val="18"/>
                    </w:rPr>
                    <w:t>喷漆、晾干/烘干、调漆</w:t>
                  </w:r>
                </w:p>
              </w:tc>
              <w:tc>
                <w:tcPr>
                  <w:tcW w:w="230" w:type="pct"/>
                  <w:vAlign w:val="center"/>
                </w:tcPr>
                <w:p w14:paraId="5E24C475">
                  <w:pPr>
                    <w:widowControl/>
                    <w:adjustRightInd w:val="0"/>
                    <w:snapToGrid w:val="0"/>
                    <w:jc w:val="center"/>
                    <w:rPr>
                      <w:color w:val="auto"/>
                      <w:kern w:val="0"/>
                      <w:sz w:val="18"/>
                      <w:szCs w:val="18"/>
                    </w:rPr>
                  </w:pPr>
                  <w:r>
                    <w:rPr>
                      <w:rFonts w:hint="eastAsia"/>
                      <w:color w:val="auto"/>
                      <w:kern w:val="0"/>
                      <w:sz w:val="18"/>
                      <w:szCs w:val="18"/>
                    </w:rPr>
                    <w:t>DA003</w:t>
                  </w:r>
                </w:p>
              </w:tc>
              <w:tc>
                <w:tcPr>
                  <w:tcW w:w="130" w:type="pct"/>
                  <w:vMerge w:val="restart"/>
                  <w:vAlign w:val="center"/>
                </w:tcPr>
                <w:p w14:paraId="39061A93">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2A2C47B4">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783F457B">
                  <w:pPr>
                    <w:adjustRightInd w:val="0"/>
                    <w:snapToGrid w:val="0"/>
                    <w:jc w:val="center"/>
                    <w:rPr>
                      <w:color w:val="auto"/>
                      <w:sz w:val="18"/>
                      <w:szCs w:val="18"/>
                    </w:rPr>
                  </w:pPr>
                  <w:r>
                    <w:rPr>
                      <w:rFonts w:hint="eastAsia"/>
                      <w:color w:val="auto"/>
                      <w:sz w:val="18"/>
                      <w:szCs w:val="18"/>
                    </w:rPr>
                    <w:t>10000</w:t>
                  </w:r>
                </w:p>
              </w:tc>
              <w:tc>
                <w:tcPr>
                  <w:tcW w:w="399" w:type="pct"/>
                  <w:vAlign w:val="center"/>
                </w:tcPr>
                <w:p w14:paraId="715E8F4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39.33</w:t>
                  </w:r>
                </w:p>
              </w:tc>
              <w:tc>
                <w:tcPr>
                  <w:tcW w:w="298" w:type="pct"/>
                  <w:vAlign w:val="center"/>
                </w:tcPr>
                <w:p w14:paraId="73ED1C8C">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3933</w:t>
                  </w:r>
                </w:p>
              </w:tc>
              <w:tc>
                <w:tcPr>
                  <w:tcW w:w="265" w:type="pct"/>
                  <w:vAlign w:val="center"/>
                </w:tcPr>
                <w:p w14:paraId="467B34A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1.4159</w:t>
                  </w:r>
                </w:p>
              </w:tc>
              <w:tc>
                <w:tcPr>
                  <w:tcW w:w="191" w:type="pct"/>
                  <w:vAlign w:val="center"/>
                </w:tcPr>
                <w:p w14:paraId="5F773305">
                  <w:pPr>
                    <w:widowControl/>
                    <w:jc w:val="center"/>
                    <w:rPr>
                      <w:color w:val="auto"/>
                      <w:kern w:val="0"/>
                      <w:sz w:val="18"/>
                      <w:szCs w:val="18"/>
                    </w:rPr>
                  </w:pPr>
                  <w:r>
                    <w:rPr>
                      <w:rFonts w:hint="eastAsia"/>
                      <w:color w:val="auto"/>
                      <w:kern w:val="0"/>
                      <w:sz w:val="18"/>
                      <w:szCs w:val="18"/>
                    </w:rPr>
                    <w:t>干式过滤器</w:t>
                  </w:r>
                  <w:r>
                    <w:rPr>
                      <w:color w:val="auto"/>
                      <w:kern w:val="0"/>
                      <w:sz w:val="18"/>
                      <w:szCs w:val="18"/>
                    </w:rPr>
                    <w:t>+二级活性炭</w:t>
                  </w:r>
                </w:p>
              </w:tc>
              <w:tc>
                <w:tcPr>
                  <w:tcW w:w="232" w:type="pct"/>
                  <w:vMerge w:val="restart"/>
                  <w:vAlign w:val="center"/>
                </w:tcPr>
                <w:p w14:paraId="478F0234">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273653C4">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580BA8E4">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65D14690">
                  <w:pPr>
                    <w:adjustRightInd w:val="0"/>
                    <w:snapToGrid w:val="0"/>
                    <w:jc w:val="center"/>
                    <w:rPr>
                      <w:color w:val="auto"/>
                      <w:sz w:val="18"/>
                      <w:szCs w:val="18"/>
                    </w:rPr>
                  </w:pPr>
                  <w:r>
                    <w:rPr>
                      <w:rFonts w:hint="eastAsia"/>
                      <w:color w:val="auto"/>
                      <w:sz w:val="18"/>
                      <w:szCs w:val="18"/>
                    </w:rPr>
                    <w:t>10000</w:t>
                  </w:r>
                </w:p>
              </w:tc>
              <w:tc>
                <w:tcPr>
                  <w:tcW w:w="400" w:type="pct"/>
                  <w:vAlign w:val="center"/>
                </w:tcPr>
                <w:p w14:paraId="06E25A9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3.93</w:t>
                  </w:r>
                </w:p>
              </w:tc>
              <w:tc>
                <w:tcPr>
                  <w:tcW w:w="298" w:type="pct"/>
                  <w:vAlign w:val="center"/>
                </w:tcPr>
                <w:p w14:paraId="026C4E0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0.0393</w:t>
                  </w:r>
                </w:p>
              </w:tc>
              <w:tc>
                <w:tcPr>
                  <w:tcW w:w="307" w:type="pct"/>
                  <w:vAlign w:val="center"/>
                </w:tcPr>
                <w:p w14:paraId="783C011B">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1416</w:t>
                  </w:r>
                </w:p>
              </w:tc>
              <w:tc>
                <w:tcPr>
                  <w:tcW w:w="360" w:type="pct"/>
                  <w:vAlign w:val="center"/>
                </w:tcPr>
                <w:p w14:paraId="1C92562A">
                  <w:pPr>
                    <w:adjustRightInd w:val="0"/>
                    <w:snapToGrid w:val="0"/>
                    <w:jc w:val="center"/>
                    <w:rPr>
                      <w:color w:val="auto"/>
                      <w:sz w:val="18"/>
                      <w:szCs w:val="18"/>
                    </w:rPr>
                  </w:pPr>
                  <w:r>
                    <w:rPr>
                      <w:rFonts w:hint="eastAsia"/>
                      <w:color w:val="auto"/>
                      <w:sz w:val="18"/>
                      <w:szCs w:val="18"/>
                    </w:rPr>
                    <w:t>50</w:t>
                  </w:r>
                </w:p>
              </w:tc>
              <w:tc>
                <w:tcPr>
                  <w:tcW w:w="319" w:type="pct"/>
                  <w:vAlign w:val="center"/>
                </w:tcPr>
                <w:p w14:paraId="5617C1D7">
                  <w:pPr>
                    <w:adjustRightInd w:val="0"/>
                    <w:snapToGrid w:val="0"/>
                    <w:jc w:val="center"/>
                    <w:rPr>
                      <w:color w:val="auto"/>
                      <w:sz w:val="18"/>
                      <w:szCs w:val="18"/>
                    </w:rPr>
                  </w:pPr>
                  <w:r>
                    <w:rPr>
                      <w:rFonts w:hint="eastAsia"/>
                      <w:color w:val="auto"/>
                      <w:sz w:val="18"/>
                      <w:szCs w:val="18"/>
                    </w:rPr>
                    <w:t>2.0</w:t>
                  </w:r>
                </w:p>
              </w:tc>
              <w:tc>
                <w:tcPr>
                  <w:tcW w:w="213" w:type="pct"/>
                  <w:vMerge w:val="restart"/>
                  <w:vAlign w:val="center"/>
                </w:tcPr>
                <w:p w14:paraId="685584F7">
                  <w:pPr>
                    <w:adjustRightInd w:val="0"/>
                    <w:snapToGrid w:val="0"/>
                    <w:jc w:val="center"/>
                    <w:rPr>
                      <w:color w:val="auto"/>
                      <w:sz w:val="18"/>
                      <w:szCs w:val="18"/>
                    </w:rPr>
                  </w:pPr>
                  <w:r>
                    <w:rPr>
                      <w:rFonts w:hint="eastAsia"/>
                      <w:color w:val="auto"/>
                      <w:sz w:val="18"/>
                      <w:szCs w:val="18"/>
                    </w:rPr>
                    <w:t>3600</w:t>
                  </w:r>
                </w:p>
              </w:tc>
            </w:tr>
            <w:tr w14:paraId="33E81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47F56383">
                  <w:pPr>
                    <w:widowControl/>
                    <w:adjustRightInd w:val="0"/>
                    <w:snapToGrid w:val="0"/>
                    <w:jc w:val="center"/>
                    <w:rPr>
                      <w:color w:val="auto"/>
                      <w:kern w:val="0"/>
                      <w:sz w:val="18"/>
                      <w:szCs w:val="18"/>
                    </w:rPr>
                  </w:pPr>
                </w:p>
              </w:tc>
              <w:tc>
                <w:tcPr>
                  <w:tcW w:w="232" w:type="pct"/>
                  <w:vMerge w:val="continue"/>
                  <w:vAlign w:val="center"/>
                </w:tcPr>
                <w:p w14:paraId="33124498">
                  <w:pPr>
                    <w:widowControl/>
                    <w:adjustRightInd w:val="0"/>
                    <w:snapToGrid w:val="0"/>
                    <w:jc w:val="center"/>
                    <w:rPr>
                      <w:color w:val="auto"/>
                      <w:kern w:val="0"/>
                      <w:sz w:val="18"/>
                      <w:szCs w:val="18"/>
                    </w:rPr>
                  </w:pPr>
                </w:p>
              </w:tc>
              <w:tc>
                <w:tcPr>
                  <w:tcW w:w="230" w:type="pct"/>
                  <w:vAlign w:val="center"/>
                </w:tcPr>
                <w:p w14:paraId="6075A4CC">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18672911">
                  <w:pPr>
                    <w:widowControl/>
                    <w:adjustRightInd w:val="0"/>
                    <w:snapToGrid w:val="0"/>
                    <w:jc w:val="center"/>
                    <w:rPr>
                      <w:color w:val="auto"/>
                      <w:kern w:val="0"/>
                      <w:sz w:val="18"/>
                      <w:szCs w:val="18"/>
                    </w:rPr>
                  </w:pPr>
                </w:p>
              </w:tc>
              <w:tc>
                <w:tcPr>
                  <w:tcW w:w="130" w:type="pct"/>
                  <w:vMerge w:val="continue"/>
                  <w:vAlign w:val="center"/>
                </w:tcPr>
                <w:p w14:paraId="28285675">
                  <w:pPr>
                    <w:widowControl/>
                    <w:adjustRightInd w:val="0"/>
                    <w:snapToGrid w:val="0"/>
                    <w:jc w:val="center"/>
                    <w:rPr>
                      <w:color w:val="auto"/>
                      <w:kern w:val="0"/>
                      <w:sz w:val="18"/>
                      <w:szCs w:val="18"/>
                    </w:rPr>
                  </w:pPr>
                </w:p>
              </w:tc>
              <w:tc>
                <w:tcPr>
                  <w:tcW w:w="357" w:type="pct"/>
                  <w:vMerge w:val="continue"/>
                  <w:vAlign w:val="center"/>
                </w:tcPr>
                <w:p w14:paraId="5249C2CE">
                  <w:pPr>
                    <w:adjustRightInd w:val="0"/>
                    <w:snapToGrid w:val="0"/>
                    <w:jc w:val="center"/>
                    <w:rPr>
                      <w:color w:val="auto"/>
                      <w:sz w:val="18"/>
                      <w:szCs w:val="18"/>
                    </w:rPr>
                  </w:pPr>
                </w:p>
              </w:tc>
              <w:tc>
                <w:tcPr>
                  <w:tcW w:w="399" w:type="pct"/>
                  <w:vAlign w:val="center"/>
                </w:tcPr>
                <w:p w14:paraId="7DF3383A">
                  <w:pPr>
                    <w:adjustRightInd w:val="0"/>
                    <w:snapToGrid w:val="0"/>
                    <w:jc w:val="center"/>
                    <w:rPr>
                      <w:color w:val="auto"/>
                      <w:sz w:val="18"/>
                      <w:szCs w:val="18"/>
                    </w:rPr>
                  </w:pPr>
                  <w:r>
                    <w:rPr>
                      <w:rFonts w:hint="eastAsia"/>
                      <w:color w:val="auto"/>
                      <w:sz w:val="18"/>
                      <w:szCs w:val="18"/>
                    </w:rPr>
                    <w:t>/</w:t>
                  </w:r>
                </w:p>
              </w:tc>
              <w:tc>
                <w:tcPr>
                  <w:tcW w:w="298" w:type="pct"/>
                  <w:vAlign w:val="center"/>
                </w:tcPr>
                <w:p w14:paraId="16BE6FC1">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207</w:t>
                  </w:r>
                </w:p>
              </w:tc>
              <w:tc>
                <w:tcPr>
                  <w:tcW w:w="265" w:type="pct"/>
                  <w:vAlign w:val="center"/>
                </w:tcPr>
                <w:p w14:paraId="58136897">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745</w:t>
                  </w:r>
                </w:p>
              </w:tc>
              <w:tc>
                <w:tcPr>
                  <w:tcW w:w="191" w:type="pct"/>
                  <w:vAlign w:val="center"/>
                </w:tcPr>
                <w:p w14:paraId="6F12AD43">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2F69FBC4">
                  <w:pPr>
                    <w:widowControl/>
                    <w:jc w:val="center"/>
                    <w:rPr>
                      <w:color w:val="auto"/>
                      <w:kern w:val="0"/>
                      <w:sz w:val="18"/>
                      <w:szCs w:val="18"/>
                    </w:rPr>
                  </w:pPr>
                </w:p>
              </w:tc>
              <w:tc>
                <w:tcPr>
                  <w:tcW w:w="132" w:type="pct"/>
                  <w:vMerge w:val="continue"/>
                  <w:vAlign w:val="center"/>
                </w:tcPr>
                <w:p w14:paraId="7D1D1B50">
                  <w:pPr>
                    <w:widowControl/>
                    <w:jc w:val="center"/>
                    <w:rPr>
                      <w:color w:val="auto"/>
                      <w:kern w:val="0"/>
                      <w:sz w:val="18"/>
                      <w:szCs w:val="18"/>
                    </w:rPr>
                  </w:pPr>
                </w:p>
              </w:tc>
              <w:tc>
                <w:tcPr>
                  <w:tcW w:w="357" w:type="pct"/>
                  <w:vMerge w:val="continue"/>
                  <w:vAlign w:val="center"/>
                </w:tcPr>
                <w:p w14:paraId="03DD7FDC">
                  <w:pPr>
                    <w:adjustRightInd w:val="0"/>
                    <w:snapToGrid w:val="0"/>
                    <w:jc w:val="center"/>
                    <w:rPr>
                      <w:color w:val="auto"/>
                      <w:sz w:val="18"/>
                      <w:szCs w:val="18"/>
                    </w:rPr>
                  </w:pPr>
                </w:p>
              </w:tc>
              <w:tc>
                <w:tcPr>
                  <w:tcW w:w="400" w:type="pct"/>
                  <w:vAlign w:val="center"/>
                </w:tcPr>
                <w:p w14:paraId="0A7E4298">
                  <w:pPr>
                    <w:adjustRightInd w:val="0"/>
                    <w:snapToGrid w:val="0"/>
                    <w:jc w:val="center"/>
                    <w:rPr>
                      <w:color w:val="auto"/>
                      <w:sz w:val="18"/>
                      <w:szCs w:val="18"/>
                    </w:rPr>
                  </w:pPr>
                  <w:r>
                    <w:rPr>
                      <w:rFonts w:hint="eastAsia"/>
                      <w:color w:val="auto"/>
                      <w:sz w:val="18"/>
                      <w:szCs w:val="18"/>
                    </w:rPr>
                    <w:t>/</w:t>
                  </w:r>
                </w:p>
              </w:tc>
              <w:tc>
                <w:tcPr>
                  <w:tcW w:w="298" w:type="pct"/>
                  <w:vAlign w:val="center"/>
                </w:tcPr>
                <w:p w14:paraId="1231CD04">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207</w:t>
                  </w:r>
                </w:p>
              </w:tc>
              <w:tc>
                <w:tcPr>
                  <w:tcW w:w="307" w:type="pct"/>
                  <w:vAlign w:val="center"/>
                </w:tcPr>
                <w:p w14:paraId="6FA6D3ED">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745</w:t>
                  </w:r>
                </w:p>
              </w:tc>
              <w:tc>
                <w:tcPr>
                  <w:tcW w:w="360" w:type="pct"/>
                  <w:vAlign w:val="center"/>
                </w:tcPr>
                <w:p w14:paraId="197C06E8">
                  <w:pPr>
                    <w:adjustRightInd w:val="0"/>
                    <w:snapToGrid w:val="0"/>
                    <w:jc w:val="center"/>
                    <w:rPr>
                      <w:color w:val="auto"/>
                      <w:sz w:val="18"/>
                      <w:szCs w:val="18"/>
                    </w:rPr>
                  </w:pPr>
                  <w:r>
                    <w:rPr>
                      <w:rFonts w:hint="eastAsia"/>
                      <w:color w:val="auto"/>
                      <w:sz w:val="18"/>
                      <w:szCs w:val="18"/>
                    </w:rPr>
                    <w:t>4</w:t>
                  </w:r>
                </w:p>
              </w:tc>
              <w:tc>
                <w:tcPr>
                  <w:tcW w:w="319" w:type="pct"/>
                  <w:vAlign w:val="center"/>
                </w:tcPr>
                <w:p w14:paraId="1737CEED">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5F00CE3D">
                  <w:pPr>
                    <w:adjustRightInd w:val="0"/>
                    <w:snapToGrid w:val="0"/>
                    <w:jc w:val="center"/>
                    <w:rPr>
                      <w:color w:val="auto"/>
                      <w:sz w:val="18"/>
                      <w:szCs w:val="18"/>
                    </w:rPr>
                  </w:pPr>
                </w:p>
              </w:tc>
            </w:tr>
            <w:tr w14:paraId="0C027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4588B8A9">
                  <w:pPr>
                    <w:widowControl/>
                    <w:adjustRightInd w:val="0"/>
                    <w:snapToGrid w:val="0"/>
                    <w:jc w:val="center"/>
                    <w:rPr>
                      <w:color w:val="auto"/>
                      <w:kern w:val="0"/>
                      <w:sz w:val="18"/>
                      <w:szCs w:val="18"/>
                    </w:rPr>
                  </w:pPr>
                </w:p>
              </w:tc>
              <w:tc>
                <w:tcPr>
                  <w:tcW w:w="232" w:type="pct"/>
                  <w:vMerge w:val="continue"/>
                  <w:vAlign w:val="center"/>
                </w:tcPr>
                <w:p w14:paraId="04E15EF3">
                  <w:pPr>
                    <w:widowControl/>
                    <w:adjustRightInd w:val="0"/>
                    <w:snapToGrid w:val="0"/>
                    <w:jc w:val="center"/>
                    <w:rPr>
                      <w:color w:val="auto"/>
                      <w:kern w:val="0"/>
                      <w:sz w:val="18"/>
                      <w:szCs w:val="18"/>
                    </w:rPr>
                  </w:pPr>
                </w:p>
              </w:tc>
              <w:tc>
                <w:tcPr>
                  <w:tcW w:w="230" w:type="pct"/>
                  <w:vAlign w:val="center"/>
                </w:tcPr>
                <w:p w14:paraId="613E20B2">
                  <w:pPr>
                    <w:widowControl/>
                    <w:adjustRightInd w:val="0"/>
                    <w:snapToGrid w:val="0"/>
                    <w:jc w:val="center"/>
                    <w:rPr>
                      <w:color w:val="auto"/>
                      <w:kern w:val="0"/>
                      <w:sz w:val="18"/>
                      <w:szCs w:val="18"/>
                    </w:rPr>
                  </w:pPr>
                  <w:r>
                    <w:rPr>
                      <w:rFonts w:hint="eastAsia"/>
                      <w:color w:val="auto"/>
                      <w:kern w:val="0"/>
                      <w:sz w:val="18"/>
                      <w:szCs w:val="18"/>
                    </w:rPr>
                    <w:t>DA003</w:t>
                  </w:r>
                </w:p>
              </w:tc>
              <w:tc>
                <w:tcPr>
                  <w:tcW w:w="130" w:type="pct"/>
                  <w:vMerge w:val="restart"/>
                  <w:vAlign w:val="center"/>
                </w:tcPr>
                <w:p w14:paraId="37B77F73">
                  <w:pPr>
                    <w:widowControl/>
                    <w:adjustRightInd w:val="0"/>
                    <w:snapToGrid w:val="0"/>
                    <w:jc w:val="center"/>
                    <w:rPr>
                      <w:color w:val="auto"/>
                      <w:kern w:val="0"/>
                      <w:sz w:val="18"/>
                      <w:szCs w:val="18"/>
                    </w:rPr>
                  </w:pPr>
                  <w:r>
                    <w:rPr>
                      <w:rFonts w:hint="eastAsia"/>
                      <w:color w:val="auto"/>
                      <w:kern w:val="0"/>
                      <w:sz w:val="18"/>
                      <w:szCs w:val="18"/>
                      <w:lang w:eastAsia="zh-CN"/>
                    </w:rPr>
                    <w:t>二、</w:t>
                  </w:r>
                  <w:r>
                    <w:rPr>
                      <w:rFonts w:hint="eastAsia"/>
                      <w:color w:val="auto"/>
                      <w:kern w:val="0"/>
                      <w:sz w:val="18"/>
                      <w:szCs w:val="18"/>
                    </w:rPr>
                    <w:t>甲苯</w:t>
                  </w:r>
                </w:p>
              </w:tc>
              <w:tc>
                <w:tcPr>
                  <w:tcW w:w="130" w:type="pct"/>
                  <w:vMerge w:val="restart"/>
                  <w:vAlign w:val="center"/>
                </w:tcPr>
                <w:p w14:paraId="7003D262">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23BDA929">
                  <w:pPr>
                    <w:adjustRightInd w:val="0"/>
                    <w:snapToGrid w:val="0"/>
                    <w:jc w:val="center"/>
                    <w:rPr>
                      <w:color w:val="auto"/>
                      <w:sz w:val="18"/>
                      <w:szCs w:val="18"/>
                    </w:rPr>
                  </w:pPr>
                  <w:r>
                    <w:rPr>
                      <w:rFonts w:hint="eastAsia"/>
                      <w:color w:val="auto"/>
                      <w:sz w:val="18"/>
                      <w:szCs w:val="18"/>
                    </w:rPr>
                    <w:t>10000</w:t>
                  </w:r>
                </w:p>
              </w:tc>
              <w:tc>
                <w:tcPr>
                  <w:tcW w:w="399" w:type="pct"/>
                  <w:vAlign w:val="center"/>
                </w:tcPr>
                <w:p w14:paraId="0CCB7609">
                  <w:pPr>
                    <w:adjustRightInd w:val="0"/>
                    <w:snapToGrid w:val="0"/>
                    <w:jc w:val="center"/>
                    <w:rPr>
                      <w:color w:val="auto"/>
                      <w:sz w:val="18"/>
                      <w:szCs w:val="18"/>
                    </w:rPr>
                  </w:pPr>
                  <w:r>
                    <w:rPr>
                      <w:rFonts w:hint="eastAsia"/>
                      <w:color w:val="auto"/>
                      <w:sz w:val="18"/>
                      <w:szCs w:val="18"/>
                    </w:rPr>
                    <w:t>0.79</w:t>
                  </w:r>
                </w:p>
              </w:tc>
              <w:tc>
                <w:tcPr>
                  <w:tcW w:w="298" w:type="pct"/>
                  <w:vAlign w:val="center"/>
                </w:tcPr>
                <w:p w14:paraId="367F4BA8">
                  <w:pPr>
                    <w:adjustRightInd w:val="0"/>
                    <w:snapToGrid w:val="0"/>
                    <w:jc w:val="center"/>
                    <w:rPr>
                      <w:color w:val="auto"/>
                      <w:sz w:val="18"/>
                      <w:szCs w:val="18"/>
                    </w:rPr>
                  </w:pPr>
                  <w:r>
                    <w:rPr>
                      <w:rFonts w:hint="eastAsia"/>
                      <w:color w:val="auto"/>
                      <w:sz w:val="18"/>
                      <w:szCs w:val="18"/>
                    </w:rPr>
                    <w:t>0.0158</w:t>
                  </w:r>
                </w:p>
              </w:tc>
              <w:tc>
                <w:tcPr>
                  <w:tcW w:w="265" w:type="pct"/>
                  <w:vAlign w:val="center"/>
                </w:tcPr>
                <w:p w14:paraId="5917A9DC">
                  <w:pPr>
                    <w:adjustRightInd w:val="0"/>
                    <w:snapToGrid w:val="0"/>
                    <w:jc w:val="center"/>
                    <w:rPr>
                      <w:color w:val="auto"/>
                      <w:sz w:val="18"/>
                      <w:szCs w:val="18"/>
                    </w:rPr>
                  </w:pPr>
                  <w:r>
                    <w:rPr>
                      <w:rFonts w:hint="eastAsia"/>
                      <w:color w:val="auto"/>
                      <w:sz w:val="18"/>
                      <w:szCs w:val="18"/>
                    </w:rPr>
                    <w:t>0.057</w:t>
                  </w:r>
                </w:p>
              </w:tc>
              <w:tc>
                <w:tcPr>
                  <w:tcW w:w="191" w:type="pct"/>
                  <w:vAlign w:val="center"/>
                </w:tcPr>
                <w:p w14:paraId="4BFFE455">
                  <w:pPr>
                    <w:widowControl/>
                    <w:jc w:val="center"/>
                    <w:rPr>
                      <w:color w:val="auto"/>
                      <w:kern w:val="0"/>
                      <w:sz w:val="18"/>
                      <w:szCs w:val="18"/>
                    </w:rPr>
                  </w:pPr>
                  <w:r>
                    <w:rPr>
                      <w:rFonts w:hint="eastAsia"/>
                      <w:color w:val="auto"/>
                      <w:kern w:val="0"/>
                      <w:sz w:val="18"/>
                      <w:szCs w:val="18"/>
                    </w:rPr>
                    <w:t>干式过滤器</w:t>
                  </w:r>
                  <w:r>
                    <w:rPr>
                      <w:color w:val="auto"/>
                      <w:kern w:val="0"/>
                      <w:sz w:val="18"/>
                      <w:szCs w:val="18"/>
                    </w:rPr>
                    <w:t>+二级活性炭</w:t>
                  </w:r>
                </w:p>
              </w:tc>
              <w:tc>
                <w:tcPr>
                  <w:tcW w:w="232" w:type="pct"/>
                  <w:vMerge w:val="restart"/>
                  <w:vAlign w:val="center"/>
                </w:tcPr>
                <w:p w14:paraId="23BC7C93">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420B59C9">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539290BC">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3535056C">
                  <w:pPr>
                    <w:adjustRightInd w:val="0"/>
                    <w:snapToGrid w:val="0"/>
                    <w:jc w:val="center"/>
                    <w:rPr>
                      <w:color w:val="auto"/>
                      <w:sz w:val="18"/>
                      <w:szCs w:val="18"/>
                    </w:rPr>
                  </w:pPr>
                  <w:r>
                    <w:rPr>
                      <w:rFonts w:hint="eastAsia"/>
                      <w:color w:val="auto"/>
                      <w:sz w:val="18"/>
                      <w:szCs w:val="18"/>
                    </w:rPr>
                    <w:t>10000</w:t>
                  </w:r>
                </w:p>
              </w:tc>
              <w:tc>
                <w:tcPr>
                  <w:tcW w:w="400" w:type="pct"/>
                  <w:vAlign w:val="center"/>
                </w:tcPr>
                <w:p w14:paraId="12520E2E">
                  <w:pPr>
                    <w:adjustRightInd w:val="0"/>
                    <w:snapToGrid w:val="0"/>
                    <w:jc w:val="center"/>
                    <w:rPr>
                      <w:color w:val="auto"/>
                      <w:sz w:val="18"/>
                      <w:szCs w:val="18"/>
                    </w:rPr>
                  </w:pPr>
                  <w:r>
                    <w:rPr>
                      <w:rFonts w:hint="eastAsia"/>
                      <w:color w:val="auto"/>
                      <w:sz w:val="18"/>
                      <w:szCs w:val="18"/>
                    </w:rPr>
                    <w:t>0.08</w:t>
                  </w:r>
                </w:p>
              </w:tc>
              <w:tc>
                <w:tcPr>
                  <w:tcW w:w="298" w:type="pct"/>
                  <w:vAlign w:val="center"/>
                </w:tcPr>
                <w:p w14:paraId="17BF2C6F">
                  <w:pPr>
                    <w:adjustRightInd w:val="0"/>
                    <w:snapToGrid w:val="0"/>
                    <w:jc w:val="center"/>
                    <w:rPr>
                      <w:color w:val="auto"/>
                      <w:sz w:val="18"/>
                      <w:szCs w:val="18"/>
                    </w:rPr>
                  </w:pPr>
                  <w:r>
                    <w:rPr>
                      <w:rFonts w:hint="eastAsia"/>
                      <w:color w:val="auto"/>
                      <w:sz w:val="18"/>
                      <w:szCs w:val="18"/>
                    </w:rPr>
                    <w:t>0</w:t>
                  </w:r>
                  <w:r>
                    <w:rPr>
                      <w:rFonts w:hint="eastAsia"/>
                      <w:color w:val="auto"/>
                      <w:sz w:val="18"/>
                      <w:szCs w:val="18"/>
                      <w:lang w:eastAsia="zh-CN"/>
                    </w:rPr>
                    <w:t>.</w:t>
                  </w:r>
                  <w:r>
                    <w:rPr>
                      <w:rFonts w:hint="eastAsia"/>
                      <w:color w:val="auto"/>
                      <w:sz w:val="18"/>
                      <w:szCs w:val="18"/>
                    </w:rPr>
                    <w:t>0016</w:t>
                  </w:r>
                </w:p>
              </w:tc>
              <w:tc>
                <w:tcPr>
                  <w:tcW w:w="307" w:type="pct"/>
                  <w:vAlign w:val="center"/>
                </w:tcPr>
                <w:p w14:paraId="3D65C274">
                  <w:pPr>
                    <w:adjustRightInd w:val="0"/>
                    <w:snapToGrid w:val="0"/>
                    <w:jc w:val="center"/>
                    <w:rPr>
                      <w:color w:val="auto"/>
                      <w:sz w:val="18"/>
                      <w:szCs w:val="18"/>
                    </w:rPr>
                  </w:pPr>
                  <w:r>
                    <w:rPr>
                      <w:rFonts w:hint="eastAsia"/>
                      <w:color w:val="auto"/>
                      <w:sz w:val="18"/>
                      <w:szCs w:val="18"/>
                    </w:rPr>
                    <w:t>0.0057</w:t>
                  </w:r>
                </w:p>
              </w:tc>
              <w:tc>
                <w:tcPr>
                  <w:tcW w:w="360" w:type="pct"/>
                  <w:vAlign w:val="center"/>
                </w:tcPr>
                <w:p w14:paraId="0E51272B">
                  <w:pPr>
                    <w:adjustRightInd w:val="0"/>
                    <w:snapToGrid w:val="0"/>
                    <w:jc w:val="center"/>
                    <w:rPr>
                      <w:color w:val="auto"/>
                      <w:sz w:val="18"/>
                      <w:szCs w:val="18"/>
                    </w:rPr>
                  </w:pPr>
                  <w:r>
                    <w:rPr>
                      <w:rFonts w:hint="eastAsia"/>
                      <w:color w:val="auto"/>
                      <w:sz w:val="18"/>
                      <w:szCs w:val="18"/>
                    </w:rPr>
                    <w:t>10</w:t>
                  </w:r>
                </w:p>
              </w:tc>
              <w:tc>
                <w:tcPr>
                  <w:tcW w:w="319" w:type="pct"/>
                  <w:vAlign w:val="center"/>
                </w:tcPr>
                <w:p w14:paraId="3DD019B2">
                  <w:pPr>
                    <w:adjustRightInd w:val="0"/>
                    <w:snapToGrid w:val="0"/>
                    <w:jc w:val="center"/>
                    <w:rPr>
                      <w:color w:val="auto"/>
                      <w:sz w:val="18"/>
                      <w:szCs w:val="18"/>
                    </w:rPr>
                  </w:pPr>
                  <w:r>
                    <w:rPr>
                      <w:rFonts w:hint="eastAsia"/>
                      <w:color w:val="auto"/>
                      <w:sz w:val="18"/>
                      <w:szCs w:val="18"/>
                    </w:rPr>
                    <w:t>0.72</w:t>
                  </w:r>
                </w:p>
              </w:tc>
              <w:tc>
                <w:tcPr>
                  <w:tcW w:w="213" w:type="pct"/>
                  <w:vMerge w:val="restart"/>
                  <w:vAlign w:val="center"/>
                </w:tcPr>
                <w:p w14:paraId="02907338">
                  <w:pPr>
                    <w:adjustRightInd w:val="0"/>
                    <w:snapToGrid w:val="0"/>
                    <w:jc w:val="center"/>
                    <w:rPr>
                      <w:color w:val="auto"/>
                      <w:sz w:val="18"/>
                      <w:szCs w:val="18"/>
                    </w:rPr>
                  </w:pPr>
                  <w:r>
                    <w:rPr>
                      <w:rFonts w:hint="eastAsia"/>
                      <w:color w:val="auto"/>
                      <w:sz w:val="18"/>
                      <w:szCs w:val="18"/>
                    </w:rPr>
                    <w:t>3600</w:t>
                  </w:r>
                </w:p>
              </w:tc>
            </w:tr>
            <w:tr w14:paraId="57D03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6660AA25">
                  <w:pPr>
                    <w:widowControl/>
                    <w:adjustRightInd w:val="0"/>
                    <w:snapToGrid w:val="0"/>
                    <w:jc w:val="center"/>
                    <w:rPr>
                      <w:color w:val="auto"/>
                      <w:kern w:val="0"/>
                      <w:sz w:val="18"/>
                      <w:szCs w:val="18"/>
                    </w:rPr>
                  </w:pPr>
                </w:p>
              </w:tc>
              <w:tc>
                <w:tcPr>
                  <w:tcW w:w="232" w:type="pct"/>
                  <w:vMerge w:val="continue"/>
                  <w:vAlign w:val="center"/>
                </w:tcPr>
                <w:p w14:paraId="652F2CD4">
                  <w:pPr>
                    <w:widowControl/>
                    <w:adjustRightInd w:val="0"/>
                    <w:snapToGrid w:val="0"/>
                    <w:jc w:val="center"/>
                    <w:rPr>
                      <w:color w:val="auto"/>
                      <w:kern w:val="0"/>
                      <w:sz w:val="18"/>
                      <w:szCs w:val="18"/>
                    </w:rPr>
                  </w:pPr>
                </w:p>
              </w:tc>
              <w:tc>
                <w:tcPr>
                  <w:tcW w:w="230" w:type="pct"/>
                  <w:vAlign w:val="center"/>
                </w:tcPr>
                <w:p w14:paraId="42CDEBD8">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4B354AD9">
                  <w:pPr>
                    <w:widowControl/>
                    <w:adjustRightInd w:val="0"/>
                    <w:snapToGrid w:val="0"/>
                    <w:jc w:val="center"/>
                    <w:rPr>
                      <w:color w:val="auto"/>
                      <w:kern w:val="0"/>
                      <w:sz w:val="18"/>
                      <w:szCs w:val="18"/>
                    </w:rPr>
                  </w:pPr>
                </w:p>
              </w:tc>
              <w:tc>
                <w:tcPr>
                  <w:tcW w:w="130" w:type="pct"/>
                  <w:vMerge w:val="continue"/>
                  <w:vAlign w:val="center"/>
                </w:tcPr>
                <w:p w14:paraId="10221548">
                  <w:pPr>
                    <w:widowControl/>
                    <w:adjustRightInd w:val="0"/>
                    <w:snapToGrid w:val="0"/>
                    <w:jc w:val="center"/>
                    <w:rPr>
                      <w:color w:val="auto"/>
                      <w:kern w:val="0"/>
                      <w:sz w:val="18"/>
                      <w:szCs w:val="18"/>
                    </w:rPr>
                  </w:pPr>
                </w:p>
              </w:tc>
              <w:tc>
                <w:tcPr>
                  <w:tcW w:w="357" w:type="pct"/>
                  <w:vMerge w:val="continue"/>
                  <w:vAlign w:val="center"/>
                </w:tcPr>
                <w:p w14:paraId="03F65EA1">
                  <w:pPr>
                    <w:adjustRightInd w:val="0"/>
                    <w:snapToGrid w:val="0"/>
                    <w:jc w:val="center"/>
                    <w:rPr>
                      <w:color w:val="auto"/>
                      <w:sz w:val="18"/>
                      <w:szCs w:val="18"/>
                    </w:rPr>
                  </w:pPr>
                </w:p>
              </w:tc>
              <w:tc>
                <w:tcPr>
                  <w:tcW w:w="399" w:type="pct"/>
                  <w:vAlign w:val="center"/>
                </w:tcPr>
                <w:p w14:paraId="2F909FE5">
                  <w:pPr>
                    <w:adjustRightInd w:val="0"/>
                    <w:snapToGrid w:val="0"/>
                    <w:jc w:val="center"/>
                    <w:rPr>
                      <w:color w:val="auto"/>
                      <w:sz w:val="18"/>
                      <w:szCs w:val="18"/>
                    </w:rPr>
                  </w:pPr>
                  <w:r>
                    <w:rPr>
                      <w:rFonts w:hint="eastAsia"/>
                      <w:color w:val="auto"/>
                      <w:sz w:val="18"/>
                      <w:szCs w:val="18"/>
                    </w:rPr>
                    <w:t>/</w:t>
                  </w:r>
                </w:p>
              </w:tc>
              <w:tc>
                <w:tcPr>
                  <w:tcW w:w="298" w:type="pct"/>
                  <w:vAlign w:val="center"/>
                </w:tcPr>
                <w:p w14:paraId="05BFA449">
                  <w:pPr>
                    <w:adjustRightInd w:val="0"/>
                    <w:snapToGrid w:val="0"/>
                    <w:jc w:val="center"/>
                    <w:rPr>
                      <w:color w:val="auto"/>
                      <w:sz w:val="18"/>
                      <w:szCs w:val="18"/>
                    </w:rPr>
                  </w:pPr>
                  <w:r>
                    <w:rPr>
                      <w:rFonts w:hint="eastAsia"/>
                      <w:color w:val="auto"/>
                      <w:sz w:val="18"/>
                      <w:szCs w:val="18"/>
                    </w:rPr>
                    <w:t>0.0008</w:t>
                  </w:r>
                </w:p>
              </w:tc>
              <w:tc>
                <w:tcPr>
                  <w:tcW w:w="265" w:type="pct"/>
                  <w:vAlign w:val="center"/>
                </w:tcPr>
                <w:p w14:paraId="151CE5A0">
                  <w:pPr>
                    <w:adjustRightInd w:val="0"/>
                    <w:snapToGrid w:val="0"/>
                    <w:jc w:val="center"/>
                    <w:rPr>
                      <w:color w:val="auto"/>
                      <w:sz w:val="18"/>
                      <w:szCs w:val="18"/>
                    </w:rPr>
                  </w:pPr>
                  <w:r>
                    <w:rPr>
                      <w:rFonts w:hint="eastAsia"/>
                      <w:color w:val="auto"/>
                      <w:sz w:val="18"/>
                      <w:szCs w:val="18"/>
                    </w:rPr>
                    <w:t>0.003</w:t>
                  </w:r>
                </w:p>
              </w:tc>
              <w:tc>
                <w:tcPr>
                  <w:tcW w:w="191" w:type="pct"/>
                  <w:vAlign w:val="center"/>
                </w:tcPr>
                <w:p w14:paraId="6F671607">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1A0025CA">
                  <w:pPr>
                    <w:widowControl/>
                    <w:jc w:val="center"/>
                    <w:rPr>
                      <w:color w:val="auto"/>
                      <w:kern w:val="0"/>
                      <w:sz w:val="18"/>
                      <w:szCs w:val="18"/>
                    </w:rPr>
                  </w:pPr>
                </w:p>
              </w:tc>
              <w:tc>
                <w:tcPr>
                  <w:tcW w:w="132" w:type="pct"/>
                  <w:vMerge w:val="continue"/>
                  <w:vAlign w:val="center"/>
                </w:tcPr>
                <w:p w14:paraId="1A770F05">
                  <w:pPr>
                    <w:widowControl/>
                    <w:jc w:val="center"/>
                    <w:rPr>
                      <w:color w:val="auto"/>
                      <w:kern w:val="0"/>
                      <w:sz w:val="18"/>
                      <w:szCs w:val="18"/>
                    </w:rPr>
                  </w:pPr>
                </w:p>
              </w:tc>
              <w:tc>
                <w:tcPr>
                  <w:tcW w:w="357" w:type="pct"/>
                  <w:vMerge w:val="continue"/>
                  <w:vAlign w:val="center"/>
                </w:tcPr>
                <w:p w14:paraId="34D2F7AB">
                  <w:pPr>
                    <w:adjustRightInd w:val="0"/>
                    <w:snapToGrid w:val="0"/>
                    <w:jc w:val="center"/>
                    <w:rPr>
                      <w:color w:val="auto"/>
                      <w:sz w:val="18"/>
                      <w:szCs w:val="18"/>
                    </w:rPr>
                  </w:pPr>
                </w:p>
              </w:tc>
              <w:tc>
                <w:tcPr>
                  <w:tcW w:w="400" w:type="pct"/>
                  <w:vAlign w:val="center"/>
                </w:tcPr>
                <w:p w14:paraId="1EEAE4C4">
                  <w:pPr>
                    <w:adjustRightInd w:val="0"/>
                    <w:snapToGrid w:val="0"/>
                    <w:jc w:val="center"/>
                    <w:rPr>
                      <w:color w:val="auto"/>
                      <w:sz w:val="18"/>
                      <w:szCs w:val="18"/>
                    </w:rPr>
                  </w:pPr>
                  <w:r>
                    <w:rPr>
                      <w:rFonts w:hint="eastAsia"/>
                      <w:color w:val="auto"/>
                      <w:sz w:val="18"/>
                      <w:szCs w:val="18"/>
                    </w:rPr>
                    <w:t>/</w:t>
                  </w:r>
                </w:p>
              </w:tc>
              <w:tc>
                <w:tcPr>
                  <w:tcW w:w="298" w:type="pct"/>
                  <w:vAlign w:val="center"/>
                </w:tcPr>
                <w:p w14:paraId="1FB20A4A">
                  <w:pPr>
                    <w:adjustRightInd w:val="0"/>
                    <w:snapToGrid w:val="0"/>
                    <w:jc w:val="center"/>
                    <w:rPr>
                      <w:color w:val="auto"/>
                      <w:sz w:val="18"/>
                      <w:szCs w:val="18"/>
                    </w:rPr>
                  </w:pPr>
                  <w:r>
                    <w:rPr>
                      <w:rFonts w:hint="eastAsia"/>
                      <w:color w:val="auto"/>
                      <w:sz w:val="18"/>
                      <w:szCs w:val="18"/>
                    </w:rPr>
                    <w:t>0.0008</w:t>
                  </w:r>
                </w:p>
              </w:tc>
              <w:tc>
                <w:tcPr>
                  <w:tcW w:w="307" w:type="pct"/>
                  <w:vAlign w:val="center"/>
                </w:tcPr>
                <w:p w14:paraId="7FBB9AF4">
                  <w:pPr>
                    <w:adjustRightInd w:val="0"/>
                    <w:snapToGrid w:val="0"/>
                    <w:jc w:val="center"/>
                    <w:rPr>
                      <w:color w:val="auto"/>
                      <w:sz w:val="18"/>
                      <w:szCs w:val="18"/>
                    </w:rPr>
                  </w:pPr>
                  <w:r>
                    <w:rPr>
                      <w:rFonts w:hint="eastAsia"/>
                      <w:color w:val="auto"/>
                      <w:sz w:val="18"/>
                      <w:szCs w:val="18"/>
                    </w:rPr>
                    <w:t>0.003</w:t>
                  </w:r>
                </w:p>
              </w:tc>
              <w:tc>
                <w:tcPr>
                  <w:tcW w:w="360" w:type="pct"/>
                  <w:vAlign w:val="center"/>
                </w:tcPr>
                <w:p w14:paraId="6A8F5E42">
                  <w:pPr>
                    <w:adjustRightInd w:val="0"/>
                    <w:snapToGrid w:val="0"/>
                    <w:jc w:val="center"/>
                    <w:rPr>
                      <w:color w:val="auto"/>
                      <w:sz w:val="18"/>
                      <w:szCs w:val="18"/>
                    </w:rPr>
                  </w:pPr>
                  <w:r>
                    <w:rPr>
                      <w:rFonts w:hint="eastAsia"/>
                      <w:color w:val="auto"/>
                      <w:sz w:val="18"/>
                      <w:szCs w:val="18"/>
                    </w:rPr>
                    <w:t>4</w:t>
                  </w:r>
                </w:p>
              </w:tc>
              <w:tc>
                <w:tcPr>
                  <w:tcW w:w="319" w:type="pct"/>
                  <w:vAlign w:val="center"/>
                </w:tcPr>
                <w:p w14:paraId="44E605A0">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4DB683C7">
                  <w:pPr>
                    <w:adjustRightInd w:val="0"/>
                    <w:snapToGrid w:val="0"/>
                    <w:jc w:val="center"/>
                    <w:rPr>
                      <w:color w:val="auto"/>
                      <w:sz w:val="18"/>
                      <w:szCs w:val="18"/>
                    </w:rPr>
                  </w:pPr>
                </w:p>
              </w:tc>
            </w:tr>
            <w:tr w14:paraId="18FC9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7" w:hRule="atLeast"/>
                <w:tblHeader/>
                <w:jc w:val="center"/>
              </w:trPr>
              <w:tc>
                <w:tcPr>
                  <w:tcW w:w="147" w:type="pct"/>
                  <w:vMerge w:val="continue"/>
                  <w:vAlign w:val="center"/>
                </w:tcPr>
                <w:p w14:paraId="33DF20C2">
                  <w:pPr>
                    <w:widowControl/>
                    <w:adjustRightInd w:val="0"/>
                    <w:snapToGrid w:val="0"/>
                    <w:jc w:val="center"/>
                    <w:rPr>
                      <w:color w:val="auto"/>
                      <w:kern w:val="0"/>
                      <w:sz w:val="18"/>
                      <w:szCs w:val="18"/>
                    </w:rPr>
                  </w:pPr>
                </w:p>
              </w:tc>
              <w:tc>
                <w:tcPr>
                  <w:tcW w:w="232" w:type="pct"/>
                  <w:vMerge w:val="restart"/>
                  <w:vAlign w:val="center"/>
                </w:tcPr>
                <w:p w14:paraId="61B0936C">
                  <w:pPr>
                    <w:widowControl/>
                    <w:adjustRightInd w:val="0"/>
                    <w:snapToGrid w:val="0"/>
                    <w:jc w:val="center"/>
                    <w:rPr>
                      <w:color w:val="auto"/>
                      <w:kern w:val="0"/>
                      <w:sz w:val="18"/>
                      <w:szCs w:val="18"/>
                    </w:rPr>
                  </w:pPr>
                  <w:r>
                    <w:rPr>
                      <w:rFonts w:hint="eastAsia"/>
                      <w:color w:val="auto"/>
                      <w:kern w:val="0"/>
                      <w:sz w:val="18"/>
                      <w:szCs w:val="18"/>
                    </w:rPr>
                    <w:t>喷漆</w:t>
                  </w:r>
                </w:p>
              </w:tc>
              <w:tc>
                <w:tcPr>
                  <w:tcW w:w="230" w:type="pct"/>
                  <w:vAlign w:val="center"/>
                </w:tcPr>
                <w:p w14:paraId="14B961BB">
                  <w:pPr>
                    <w:widowControl/>
                    <w:adjustRightInd w:val="0"/>
                    <w:snapToGrid w:val="0"/>
                    <w:jc w:val="center"/>
                    <w:rPr>
                      <w:color w:val="auto"/>
                      <w:kern w:val="0"/>
                      <w:sz w:val="18"/>
                      <w:szCs w:val="18"/>
                    </w:rPr>
                  </w:pPr>
                  <w:r>
                    <w:rPr>
                      <w:rFonts w:hint="eastAsia"/>
                      <w:color w:val="auto"/>
                      <w:kern w:val="0"/>
                      <w:sz w:val="18"/>
                      <w:szCs w:val="18"/>
                    </w:rPr>
                    <w:t>DA003</w:t>
                  </w:r>
                </w:p>
              </w:tc>
              <w:tc>
                <w:tcPr>
                  <w:tcW w:w="130" w:type="pct"/>
                  <w:vMerge w:val="restart"/>
                  <w:vAlign w:val="center"/>
                </w:tcPr>
                <w:p w14:paraId="1A43EEDD">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restart"/>
                  <w:vAlign w:val="center"/>
                </w:tcPr>
                <w:p w14:paraId="215A3E32">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1106CA37">
                  <w:pPr>
                    <w:adjustRightInd w:val="0"/>
                    <w:snapToGrid w:val="0"/>
                    <w:jc w:val="center"/>
                    <w:rPr>
                      <w:color w:val="auto"/>
                      <w:sz w:val="18"/>
                      <w:szCs w:val="18"/>
                    </w:rPr>
                  </w:pPr>
                  <w:r>
                    <w:rPr>
                      <w:rFonts w:hint="eastAsia"/>
                      <w:color w:val="auto"/>
                      <w:sz w:val="18"/>
                      <w:szCs w:val="18"/>
                    </w:rPr>
                    <w:t>10000</w:t>
                  </w:r>
                </w:p>
              </w:tc>
              <w:tc>
                <w:tcPr>
                  <w:tcW w:w="399" w:type="pct"/>
                  <w:vAlign w:val="center"/>
                </w:tcPr>
                <w:p w14:paraId="681C9D4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19.12</w:t>
                  </w:r>
                </w:p>
              </w:tc>
              <w:tc>
                <w:tcPr>
                  <w:tcW w:w="298" w:type="pct"/>
                  <w:vAlign w:val="center"/>
                </w:tcPr>
                <w:p w14:paraId="3D75FE0D">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1912</w:t>
                  </w:r>
                </w:p>
              </w:tc>
              <w:tc>
                <w:tcPr>
                  <w:tcW w:w="265" w:type="pct"/>
                  <w:vAlign w:val="center"/>
                </w:tcPr>
                <w:p w14:paraId="15F2D4F9">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6882</w:t>
                  </w:r>
                </w:p>
              </w:tc>
              <w:tc>
                <w:tcPr>
                  <w:tcW w:w="191" w:type="pct"/>
                  <w:vAlign w:val="center"/>
                </w:tcPr>
                <w:p w14:paraId="21A696F1">
                  <w:pPr>
                    <w:widowControl/>
                    <w:jc w:val="center"/>
                    <w:rPr>
                      <w:color w:val="auto"/>
                      <w:kern w:val="0"/>
                      <w:sz w:val="18"/>
                      <w:szCs w:val="18"/>
                    </w:rPr>
                  </w:pPr>
                  <w:r>
                    <w:rPr>
                      <w:rFonts w:hint="eastAsia"/>
                      <w:color w:val="auto"/>
                      <w:kern w:val="0"/>
                      <w:sz w:val="18"/>
                      <w:szCs w:val="18"/>
                    </w:rPr>
                    <w:t>干式过滤器</w:t>
                  </w:r>
                  <w:r>
                    <w:rPr>
                      <w:color w:val="auto"/>
                      <w:kern w:val="0"/>
                      <w:sz w:val="18"/>
                      <w:szCs w:val="18"/>
                    </w:rPr>
                    <w:t>+二级活性炭</w:t>
                  </w:r>
                </w:p>
              </w:tc>
              <w:tc>
                <w:tcPr>
                  <w:tcW w:w="232" w:type="pct"/>
                  <w:vMerge w:val="restart"/>
                  <w:vAlign w:val="center"/>
                </w:tcPr>
                <w:p w14:paraId="58B21797">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6F5124FC">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21F33DB0">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3B68EFC1">
                  <w:pPr>
                    <w:adjustRightInd w:val="0"/>
                    <w:snapToGrid w:val="0"/>
                    <w:jc w:val="center"/>
                    <w:rPr>
                      <w:color w:val="auto"/>
                      <w:sz w:val="18"/>
                      <w:szCs w:val="18"/>
                    </w:rPr>
                  </w:pPr>
                  <w:r>
                    <w:rPr>
                      <w:rFonts w:hint="eastAsia"/>
                      <w:color w:val="auto"/>
                      <w:sz w:val="18"/>
                      <w:szCs w:val="18"/>
                    </w:rPr>
                    <w:t>10000</w:t>
                  </w:r>
                </w:p>
              </w:tc>
              <w:tc>
                <w:tcPr>
                  <w:tcW w:w="400" w:type="pct"/>
                  <w:vAlign w:val="center"/>
                </w:tcPr>
                <w:p w14:paraId="069692E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1.91</w:t>
                  </w:r>
                </w:p>
              </w:tc>
              <w:tc>
                <w:tcPr>
                  <w:tcW w:w="298" w:type="pct"/>
                  <w:vAlign w:val="center"/>
                </w:tcPr>
                <w:p w14:paraId="6C606F33">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191</w:t>
                  </w:r>
                </w:p>
              </w:tc>
              <w:tc>
                <w:tcPr>
                  <w:tcW w:w="307" w:type="pct"/>
                  <w:vAlign w:val="center"/>
                </w:tcPr>
                <w:p w14:paraId="07DBDC2E">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688</w:t>
                  </w:r>
                </w:p>
              </w:tc>
              <w:tc>
                <w:tcPr>
                  <w:tcW w:w="360" w:type="pct"/>
                  <w:vAlign w:val="center"/>
                </w:tcPr>
                <w:p w14:paraId="7E86DB4B">
                  <w:pPr>
                    <w:adjustRightInd w:val="0"/>
                    <w:snapToGrid w:val="0"/>
                    <w:jc w:val="center"/>
                    <w:rPr>
                      <w:color w:val="auto"/>
                      <w:sz w:val="18"/>
                      <w:szCs w:val="18"/>
                    </w:rPr>
                  </w:pPr>
                  <w:r>
                    <w:rPr>
                      <w:rFonts w:hint="eastAsia"/>
                      <w:color w:val="auto"/>
                      <w:sz w:val="18"/>
                      <w:szCs w:val="18"/>
                    </w:rPr>
                    <w:t>10</w:t>
                  </w:r>
                </w:p>
              </w:tc>
              <w:tc>
                <w:tcPr>
                  <w:tcW w:w="319" w:type="pct"/>
                  <w:vAlign w:val="center"/>
                </w:tcPr>
                <w:p w14:paraId="1D6CDC86">
                  <w:pPr>
                    <w:adjustRightInd w:val="0"/>
                    <w:snapToGrid w:val="0"/>
                    <w:jc w:val="center"/>
                    <w:rPr>
                      <w:color w:val="auto"/>
                      <w:sz w:val="18"/>
                      <w:szCs w:val="18"/>
                    </w:rPr>
                  </w:pPr>
                  <w:r>
                    <w:rPr>
                      <w:rFonts w:hint="eastAsia"/>
                      <w:color w:val="auto"/>
                      <w:sz w:val="18"/>
                      <w:szCs w:val="18"/>
                    </w:rPr>
                    <w:t>0.4</w:t>
                  </w:r>
                </w:p>
              </w:tc>
              <w:tc>
                <w:tcPr>
                  <w:tcW w:w="213" w:type="pct"/>
                  <w:vMerge w:val="restart"/>
                  <w:vAlign w:val="center"/>
                </w:tcPr>
                <w:p w14:paraId="27883EB3">
                  <w:pPr>
                    <w:adjustRightInd w:val="0"/>
                    <w:snapToGrid w:val="0"/>
                    <w:jc w:val="center"/>
                    <w:rPr>
                      <w:color w:val="auto"/>
                      <w:sz w:val="18"/>
                      <w:szCs w:val="18"/>
                    </w:rPr>
                  </w:pPr>
                  <w:r>
                    <w:rPr>
                      <w:rFonts w:hint="eastAsia"/>
                      <w:color w:val="auto"/>
                      <w:sz w:val="18"/>
                      <w:szCs w:val="18"/>
                    </w:rPr>
                    <w:t>3600</w:t>
                  </w:r>
                </w:p>
              </w:tc>
            </w:tr>
            <w:tr w14:paraId="52675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3" w:hRule="atLeast"/>
                <w:tblHeader/>
                <w:jc w:val="center"/>
              </w:trPr>
              <w:tc>
                <w:tcPr>
                  <w:tcW w:w="147" w:type="pct"/>
                  <w:vMerge w:val="continue"/>
                  <w:vAlign w:val="center"/>
                </w:tcPr>
                <w:p w14:paraId="3944321F">
                  <w:pPr>
                    <w:widowControl/>
                    <w:adjustRightInd w:val="0"/>
                    <w:snapToGrid w:val="0"/>
                    <w:jc w:val="center"/>
                    <w:rPr>
                      <w:color w:val="auto"/>
                      <w:kern w:val="0"/>
                      <w:sz w:val="18"/>
                      <w:szCs w:val="18"/>
                    </w:rPr>
                  </w:pPr>
                </w:p>
              </w:tc>
              <w:tc>
                <w:tcPr>
                  <w:tcW w:w="232" w:type="pct"/>
                  <w:vMerge w:val="continue"/>
                  <w:vAlign w:val="center"/>
                </w:tcPr>
                <w:p w14:paraId="44C7172B">
                  <w:pPr>
                    <w:widowControl/>
                    <w:adjustRightInd w:val="0"/>
                    <w:snapToGrid w:val="0"/>
                    <w:jc w:val="center"/>
                    <w:rPr>
                      <w:color w:val="auto"/>
                      <w:kern w:val="0"/>
                      <w:sz w:val="18"/>
                      <w:szCs w:val="18"/>
                    </w:rPr>
                  </w:pPr>
                </w:p>
              </w:tc>
              <w:tc>
                <w:tcPr>
                  <w:tcW w:w="230" w:type="pct"/>
                  <w:vAlign w:val="center"/>
                </w:tcPr>
                <w:p w14:paraId="1BEC4CBE">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75A8CD66">
                  <w:pPr>
                    <w:widowControl/>
                    <w:adjustRightInd w:val="0"/>
                    <w:snapToGrid w:val="0"/>
                    <w:jc w:val="center"/>
                    <w:rPr>
                      <w:color w:val="auto"/>
                      <w:kern w:val="0"/>
                      <w:sz w:val="18"/>
                      <w:szCs w:val="18"/>
                    </w:rPr>
                  </w:pPr>
                </w:p>
              </w:tc>
              <w:tc>
                <w:tcPr>
                  <w:tcW w:w="130" w:type="pct"/>
                  <w:vMerge w:val="continue"/>
                  <w:vAlign w:val="center"/>
                </w:tcPr>
                <w:p w14:paraId="45D19D67">
                  <w:pPr>
                    <w:widowControl/>
                    <w:adjustRightInd w:val="0"/>
                    <w:snapToGrid w:val="0"/>
                    <w:jc w:val="center"/>
                    <w:rPr>
                      <w:color w:val="auto"/>
                      <w:kern w:val="0"/>
                      <w:sz w:val="18"/>
                      <w:szCs w:val="18"/>
                    </w:rPr>
                  </w:pPr>
                </w:p>
              </w:tc>
              <w:tc>
                <w:tcPr>
                  <w:tcW w:w="357" w:type="pct"/>
                  <w:vMerge w:val="continue"/>
                  <w:vAlign w:val="center"/>
                </w:tcPr>
                <w:p w14:paraId="1CFAF5B3">
                  <w:pPr>
                    <w:adjustRightInd w:val="0"/>
                    <w:snapToGrid w:val="0"/>
                    <w:jc w:val="center"/>
                    <w:rPr>
                      <w:color w:val="auto"/>
                      <w:sz w:val="18"/>
                      <w:szCs w:val="18"/>
                    </w:rPr>
                  </w:pPr>
                </w:p>
              </w:tc>
              <w:tc>
                <w:tcPr>
                  <w:tcW w:w="399" w:type="pct"/>
                  <w:vAlign w:val="center"/>
                </w:tcPr>
                <w:p w14:paraId="19766160">
                  <w:pPr>
                    <w:adjustRightInd w:val="0"/>
                    <w:snapToGrid w:val="0"/>
                    <w:jc w:val="center"/>
                    <w:rPr>
                      <w:color w:val="auto"/>
                      <w:sz w:val="18"/>
                      <w:szCs w:val="18"/>
                    </w:rPr>
                  </w:pPr>
                  <w:r>
                    <w:rPr>
                      <w:rFonts w:hint="eastAsia"/>
                      <w:color w:val="auto"/>
                      <w:sz w:val="18"/>
                      <w:szCs w:val="18"/>
                    </w:rPr>
                    <w:t>/</w:t>
                  </w:r>
                </w:p>
              </w:tc>
              <w:tc>
                <w:tcPr>
                  <w:tcW w:w="298" w:type="pct"/>
                  <w:vAlign w:val="center"/>
                </w:tcPr>
                <w:p w14:paraId="385CE50E">
                  <w:pPr>
                    <w:adjustRightInd w:val="0"/>
                    <w:snapToGrid w:val="0"/>
                    <w:jc w:val="center"/>
                    <w:rPr>
                      <w:color w:val="auto"/>
                      <w:sz w:val="18"/>
                      <w:szCs w:val="18"/>
                    </w:rPr>
                  </w:pPr>
                  <w:r>
                    <w:rPr>
                      <w:rFonts w:hint="eastAsia"/>
                      <w:color w:val="auto"/>
                      <w:sz w:val="18"/>
                      <w:szCs w:val="18"/>
                    </w:rPr>
                    <w:t>0.01</w:t>
                  </w:r>
                  <w:r>
                    <w:rPr>
                      <w:rFonts w:hint="eastAsia"/>
                      <w:color w:val="auto"/>
                      <w:sz w:val="18"/>
                      <w:szCs w:val="18"/>
                      <w:lang w:val="en-US" w:eastAsia="zh-CN"/>
                    </w:rPr>
                    <w:t>0</w:t>
                  </w:r>
                  <w:r>
                    <w:rPr>
                      <w:rFonts w:hint="eastAsia"/>
                      <w:color w:val="auto"/>
                      <w:sz w:val="18"/>
                      <w:szCs w:val="18"/>
                    </w:rPr>
                    <w:t>1</w:t>
                  </w:r>
                </w:p>
              </w:tc>
              <w:tc>
                <w:tcPr>
                  <w:tcW w:w="265" w:type="pct"/>
                  <w:vAlign w:val="center"/>
                </w:tcPr>
                <w:p w14:paraId="1EF5E270">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362</w:t>
                  </w:r>
                </w:p>
              </w:tc>
              <w:tc>
                <w:tcPr>
                  <w:tcW w:w="191" w:type="pct"/>
                  <w:vAlign w:val="center"/>
                </w:tcPr>
                <w:p w14:paraId="6C955A21">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12B9FB74">
                  <w:pPr>
                    <w:widowControl/>
                    <w:jc w:val="center"/>
                    <w:rPr>
                      <w:color w:val="auto"/>
                      <w:kern w:val="0"/>
                      <w:sz w:val="18"/>
                      <w:szCs w:val="18"/>
                    </w:rPr>
                  </w:pPr>
                </w:p>
              </w:tc>
              <w:tc>
                <w:tcPr>
                  <w:tcW w:w="132" w:type="pct"/>
                  <w:vMerge w:val="continue"/>
                  <w:vAlign w:val="center"/>
                </w:tcPr>
                <w:p w14:paraId="4DAC7C0C">
                  <w:pPr>
                    <w:widowControl/>
                    <w:jc w:val="center"/>
                    <w:rPr>
                      <w:color w:val="auto"/>
                      <w:kern w:val="0"/>
                      <w:sz w:val="18"/>
                      <w:szCs w:val="18"/>
                    </w:rPr>
                  </w:pPr>
                </w:p>
              </w:tc>
              <w:tc>
                <w:tcPr>
                  <w:tcW w:w="357" w:type="pct"/>
                  <w:vMerge w:val="continue"/>
                  <w:vAlign w:val="center"/>
                </w:tcPr>
                <w:p w14:paraId="5886C0EB">
                  <w:pPr>
                    <w:adjustRightInd w:val="0"/>
                    <w:snapToGrid w:val="0"/>
                    <w:jc w:val="center"/>
                    <w:rPr>
                      <w:color w:val="auto"/>
                      <w:sz w:val="18"/>
                      <w:szCs w:val="18"/>
                    </w:rPr>
                  </w:pPr>
                </w:p>
              </w:tc>
              <w:tc>
                <w:tcPr>
                  <w:tcW w:w="400" w:type="pct"/>
                  <w:vAlign w:val="center"/>
                </w:tcPr>
                <w:p w14:paraId="78CDDA74">
                  <w:pPr>
                    <w:adjustRightInd w:val="0"/>
                    <w:snapToGrid w:val="0"/>
                    <w:jc w:val="center"/>
                    <w:rPr>
                      <w:color w:val="auto"/>
                      <w:sz w:val="18"/>
                      <w:szCs w:val="18"/>
                    </w:rPr>
                  </w:pPr>
                  <w:r>
                    <w:rPr>
                      <w:rFonts w:hint="eastAsia"/>
                      <w:color w:val="auto"/>
                      <w:sz w:val="18"/>
                      <w:szCs w:val="18"/>
                    </w:rPr>
                    <w:t>/</w:t>
                  </w:r>
                </w:p>
              </w:tc>
              <w:tc>
                <w:tcPr>
                  <w:tcW w:w="298" w:type="pct"/>
                  <w:vAlign w:val="center"/>
                </w:tcPr>
                <w:p w14:paraId="55FF1DB7">
                  <w:pPr>
                    <w:adjustRightInd w:val="0"/>
                    <w:snapToGrid w:val="0"/>
                    <w:jc w:val="center"/>
                    <w:rPr>
                      <w:color w:val="auto"/>
                      <w:sz w:val="18"/>
                      <w:szCs w:val="18"/>
                    </w:rPr>
                  </w:pPr>
                  <w:r>
                    <w:rPr>
                      <w:rFonts w:hint="eastAsia"/>
                      <w:color w:val="auto"/>
                      <w:sz w:val="18"/>
                      <w:szCs w:val="18"/>
                    </w:rPr>
                    <w:t>0.01</w:t>
                  </w:r>
                  <w:r>
                    <w:rPr>
                      <w:rFonts w:hint="eastAsia"/>
                      <w:color w:val="auto"/>
                      <w:sz w:val="18"/>
                      <w:szCs w:val="18"/>
                      <w:lang w:val="en-US" w:eastAsia="zh-CN"/>
                    </w:rPr>
                    <w:t>0</w:t>
                  </w:r>
                  <w:r>
                    <w:rPr>
                      <w:rFonts w:hint="eastAsia"/>
                      <w:color w:val="auto"/>
                      <w:sz w:val="18"/>
                      <w:szCs w:val="18"/>
                    </w:rPr>
                    <w:t>1</w:t>
                  </w:r>
                </w:p>
              </w:tc>
              <w:tc>
                <w:tcPr>
                  <w:tcW w:w="307" w:type="pct"/>
                  <w:vAlign w:val="center"/>
                </w:tcPr>
                <w:p w14:paraId="340D0626">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362</w:t>
                  </w:r>
                </w:p>
              </w:tc>
              <w:tc>
                <w:tcPr>
                  <w:tcW w:w="360" w:type="pct"/>
                  <w:vAlign w:val="center"/>
                </w:tcPr>
                <w:p w14:paraId="0C35E467">
                  <w:pPr>
                    <w:adjustRightInd w:val="0"/>
                    <w:snapToGrid w:val="0"/>
                    <w:jc w:val="center"/>
                    <w:rPr>
                      <w:color w:val="auto"/>
                      <w:sz w:val="18"/>
                      <w:szCs w:val="18"/>
                    </w:rPr>
                  </w:pPr>
                  <w:r>
                    <w:rPr>
                      <w:rFonts w:hint="eastAsia"/>
                      <w:color w:val="auto"/>
                      <w:sz w:val="18"/>
                      <w:szCs w:val="18"/>
                    </w:rPr>
                    <w:t>0.5</w:t>
                  </w:r>
                </w:p>
              </w:tc>
              <w:tc>
                <w:tcPr>
                  <w:tcW w:w="319" w:type="pct"/>
                  <w:vAlign w:val="center"/>
                </w:tcPr>
                <w:p w14:paraId="56A31FC1">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4D610800">
                  <w:pPr>
                    <w:adjustRightInd w:val="0"/>
                    <w:snapToGrid w:val="0"/>
                    <w:jc w:val="center"/>
                    <w:rPr>
                      <w:color w:val="auto"/>
                      <w:sz w:val="18"/>
                      <w:szCs w:val="18"/>
                    </w:rPr>
                  </w:pPr>
                </w:p>
              </w:tc>
            </w:tr>
            <w:tr w14:paraId="46495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77" w:hRule="atLeast"/>
                <w:tblHeader/>
                <w:jc w:val="center"/>
              </w:trPr>
              <w:tc>
                <w:tcPr>
                  <w:tcW w:w="147" w:type="pct"/>
                  <w:vMerge w:val="restart"/>
                  <w:vAlign w:val="center"/>
                </w:tcPr>
                <w:p w14:paraId="78320DFE">
                  <w:pPr>
                    <w:widowControl/>
                    <w:adjustRightInd w:val="0"/>
                    <w:snapToGrid w:val="0"/>
                    <w:jc w:val="center"/>
                    <w:rPr>
                      <w:color w:val="auto"/>
                      <w:kern w:val="0"/>
                      <w:sz w:val="18"/>
                      <w:szCs w:val="18"/>
                    </w:rPr>
                  </w:pPr>
                  <w:r>
                    <w:rPr>
                      <w:rFonts w:hint="eastAsia"/>
                      <w:color w:val="auto"/>
                      <w:kern w:val="0"/>
                      <w:sz w:val="18"/>
                      <w:szCs w:val="18"/>
                    </w:rPr>
                    <w:t>大理石组件生产</w:t>
                  </w:r>
                </w:p>
              </w:tc>
              <w:tc>
                <w:tcPr>
                  <w:tcW w:w="232" w:type="pct"/>
                  <w:vMerge w:val="restart"/>
                  <w:vAlign w:val="center"/>
                </w:tcPr>
                <w:p w14:paraId="62085E7A">
                  <w:pPr>
                    <w:widowControl/>
                    <w:adjustRightInd w:val="0"/>
                    <w:snapToGrid w:val="0"/>
                    <w:jc w:val="center"/>
                    <w:rPr>
                      <w:color w:val="auto"/>
                      <w:kern w:val="0"/>
                      <w:sz w:val="18"/>
                      <w:szCs w:val="18"/>
                    </w:rPr>
                  </w:pPr>
                  <w:r>
                    <w:rPr>
                      <w:rFonts w:hint="eastAsia"/>
                      <w:color w:val="auto"/>
                      <w:kern w:val="0"/>
                      <w:sz w:val="18"/>
                      <w:szCs w:val="18"/>
                    </w:rPr>
                    <w:t>下料</w:t>
                  </w:r>
                </w:p>
              </w:tc>
              <w:tc>
                <w:tcPr>
                  <w:tcW w:w="230" w:type="pct"/>
                  <w:vAlign w:val="center"/>
                </w:tcPr>
                <w:p w14:paraId="3680B515">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788DDC3B">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restart"/>
                  <w:vAlign w:val="center"/>
                </w:tcPr>
                <w:p w14:paraId="3D3D233F">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E72C7BE">
                  <w:pPr>
                    <w:adjustRightInd w:val="0"/>
                    <w:snapToGrid w:val="0"/>
                    <w:jc w:val="center"/>
                    <w:rPr>
                      <w:color w:val="auto"/>
                      <w:sz w:val="18"/>
                      <w:szCs w:val="18"/>
                    </w:rPr>
                  </w:pPr>
                  <w:r>
                    <w:rPr>
                      <w:rFonts w:hint="eastAsia"/>
                      <w:color w:val="auto"/>
                      <w:sz w:val="18"/>
                      <w:szCs w:val="18"/>
                    </w:rPr>
                    <w:t>2000</w:t>
                  </w:r>
                </w:p>
              </w:tc>
              <w:tc>
                <w:tcPr>
                  <w:tcW w:w="399" w:type="pct"/>
                  <w:vAlign w:val="center"/>
                </w:tcPr>
                <w:p w14:paraId="60C91C2E">
                  <w:pPr>
                    <w:adjustRightInd w:val="0"/>
                    <w:snapToGrid w:val="0"/>
                    <w:jc w:val="center"/>
                    <w:rPr>
                      <w:color w:val="auto"/>
                      <w:sz w:val="18"/>
                      <w:szCs w:val="18"/>
                    </w:rPr>
                  </w:pPr>
                  <w:r>
                    <w:rPr>
                      <w:rFonts w:hint="eastAsia"/>
                      <w:color w:val="auto"/>
                      <w:sz w:val="18"/>
                      <w:szCs w:val="18"/>
                    </w:rPr>
                    <w:t>12.67</w:t>
                  </w:r>
                </w:p>
              </w:tc>
              <w:tc>
                <w:tcPr>
                  <w:tcW w:w="298" w:type="pct"/>
                  <w:vAlign w:val="center"/>
                </w:tcPr>
                <w:p w14:paraId="1019FC06">
                  <w:pPr>
                    <w:adjustRightInd w:val="0"/>
                    <w:snapToGrid w:val="0"/>
                    <w:jc w:val="center"/>
                    <w:rPr>
                      <w:color w:val="auto"/>
                      <w:sz w:val="18"/>
                      <w:szCs w:val="18"/>
                    </w:rPr>
                  </w:pPr>
                  <w:r>
                    <w:rPr>
                      <w:rFonts w:hint="eastAsia"/>
                      <w:color w:val="auto"/>
                      <w:sz w:val="18"/>
                      <w:szCs w:val="18"/>
                    </w:rPr>
                    <w:t>0.0253</w:t>
                  </w:r>
                </w:p>
              </w:tc>
              <w:tc>
                <w:tcPr>
                  <w:tcW w:w="265" w:type="pct"/>
                  <w:vAlign w:val="center"/>
                </w:tcPr>
                <w:p w14:paraId="7BA9FEB0">
                  <w:pPr>
                    <w:adjustRightInd w:val="0"/>
                    <w:snapToGrid w:val="0"/>
                    <w:jc w:val="center"/>
                    <w:rPr>
                      <w:color w:val="auto"/>
                      <w:sz w:val="18"/>
                      <w:szCs w:val="18"/>
                    </w:rPr>
                  </w:pPr>
                  <w:r>
                    <w:rPr>
                      <w:rFonts w:hint="eastAsia"/>
                      <w:color w:val="auto"/>
                      <w:sz w:val="18"/>
                      <w:szCs w:val="18"/>
                    </w:rPr>
                    <w:t>0.0912</w:t>
                  </w:r>
                </w:p>
              </w:tc>
              <w:tc>
                <w:tcPr>
                  <w:tcW w:w="191" w:type="pct"/>
                  <w:vAlign w:val="center"/>
                </w:tcPr>
                <w:p w14:paraId="3D847853">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22F7BAC3">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4D5C4AA7">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4D85C00D">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761C832B">
                  <w:pPr>
                    <w:adjustRightInd w:val="0"/>
                    <w:snapToGrid w:val="0"/>
                    <w:jc w:val="center"/>
                    <w:rPr>
                      <w:color w:val="auto"/>
                      <w:sz w:val="18"/>
                      <w:szCs w:val="18"/>
                    </w:rPr>
                  </w:pPr>
                  <w:r>
                    <w:rPr>
                      <w:rFonts w:hint="eastAsia"/>
                      <w:color w:val="auto"/>
                      <w:sz w:val="18"/>
                      <w:szCs w:val="18"/>
                    </w:rPr>
                    <w:t>2000</w:t>
                  </w:r>
                </w:p>
              </w:tc>
              <w:tc>
                <w:tcPr>
                  <w:tcW w:w="400" w:type="pct"/>
                  <w:vAlign w:val="center"/>
                </w:tcPr>
                <w:p w14:paraId="01E6547A">
                  <w:pPr>
                    <w:adjustRightInd w:val="0"/>
                    <w:snapToGrid w:val="0"/>
                    <w:jc w:val="center"/>
                    <w:rPr>
                      <w:color w:val="auto"/>
                      <w:sz w:val="18"/>
                      <w:szCs w:val="18"/>
                    </w:rPr>
                  </w:pPr>
                  <w:r>
                    <w:rPr>
                      <w:rFonts w:hint="eastAsia"/>
                      <w:color w:val="auto"/>
                      <w:sz w:val="18"/>
                      <w:szCs w:val="18"/>
                    </w:rPr>
                    <w:t>0.64</w:t>
                  </w:r>
                </w:p>
              </w:tc>
              <w:tc>
                <w:tcPr>
                  <w:tcW w:w="298" w:type="pct"/>
                  <w:vAlign w:val="center"/>
                </w:tcPr>
                <w:p w14:paraId="65BFD157">
                  <w:pPr>
                    <w:adjustRightInd w:val="0"/>
                    <w:snapToGrid w:val="0"/>
                    <w:jc w:val="center"/>
                    <w:rPr>
                      <w:color w:val="auto"/>
                      <w:sz w:val="18"/>
                      <w:szCs w:val="18"/>
                    </w:rPr>
                  </w:pPr>
                  <w:r>
                    <w:rPr>
                      <w:rFonts w:hint="eastAsia"/>
                      <w:color w:val="auto"/>
                      <w:sz w:val="18"/>
                      <w:szCs w:val="18"/>
                    </w:rPr>
                    <w:t>0.0013</w:t>
                  </w:r>
                </w:p>
              </w:tc>
              <w:tc>
                <w:tcPr>
                  <w:tcW w:w="307" w:type="pct"/>
                  <w:vAlign w:val="center"/>
                </w:tcPr>
                <w:p w14:paraId="51D65A21">
                  <w:pPr>
                    <w:adjustRightInd w:val="0"/>
                    <w:snapToGrid w:val="0"/>
                    <w:jc w:val="center"/>
                    <w:rPr>
                      <w:color w:val="auto"/>
                      <w:sz w:val="18"/>
                      <w:szCs w:val="18"/>
                    </w:rPr>
                  </w:pPr>
                  <w:r>
                    <w:rPr>
                      <w:rFonts w:hint="eastAsia"/>
                      <w:color w:val="auto"/>
                      <w:sz w:val="18"/>
                      <w:szCs w:val="18"/>
                    </w:rPr>
                    <w:t>0.0046</w:t>
                  </w:r>
                </w:p>
              </w:tc>
              <w:tc>
                <w:tcPr>
                  <w:tcW w:w="360" w:type="pct"/>
                  <w:vAlign w:val="center"/>
                </w:tcPr>
                <w:p w14:paraId="0F0B14CC">
                  <w:pPr>
                    <w:adjustRightInd w:val="0"/>
                    <w:snapToGrid w:val="0"/>
                    <w:jc w:val="center"/>
                    <w:rPr>
                      <w:color w:val="auto"/>
                      <w:sz w:val="18"/>
                      <w:szCs w:val="18"/>
                    </w:rPr>
                  </w:pPr>
                  <w:r>
                    <w:rPr>
                      <w:rFonts w:hint="eastAsia"/>
                      <w:color w:val="auto"/>
                      <w:sz w:val="18"/>
                      <w:szCs w:val="18"/>
                    </w:rPr>
                    <w:t>20</w:t>
                  </w:r>
                </w:p>
              </w:tc>
              <w:tc>
                <w:tcPr>
                  <w:tcW w:w="319" w:type="pct"/>
                  <w:vAlign w:val="center"/>
                </w:tcPr>
                <w:p w14:paraId="10623E29">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269A73ED">
                  <w:pPr>
                    <w:adjustRightInd w:val="0"/>
                    <w:snapToGrid w:val="0"/>
                    <w:jc w:val="center"/>
                    <w:rPr>
                      <w:color w:val="auto"/>
                      <w:sz w:val="18"/>
                      <w:szCs w:val="18"/>
                    </w:rPr>
                  </w:pPr>
                  <w:r>
                    <w:rPr>
                      <w:rFonts w:hint="eastAsia"/>
                      <w:color w:val="auto"/>
                      <w:sz w:val="18"/>
                      <w:szCs w:val="18"/>
                    </w:rPr>
                    <w:t>3600</w:t>
                  </w:r>
                </w:p>
              </w:tc>
            </w:tr>
            <w:tr w14:paraId="48EFC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147" w:type="pct"/>
                  <w:vMerge w:val="continue"/>
                  <w:vAlign w:val="center"/>
                </w:tcPr>
                <w:p w14:paraId="0A046569">
                  <w:pPr>
                    <w:widowControl/>
                    <w:adjustRightInd w:val="0"/>
                    <w:snapToGrid w:val="0"/>
                    <w:jc w:val="center"/>
                    <w:rPr>
                      <w:color w:val="auto"/>
                      <w:kern w:val="0"/>
                      <w:sz w:val="18"/>
                      <w:szCs w:val="18"/>
                    </w:rPr>
                  </w:pPr>
                </w:p>
              </w:tc>
              <w:tc>
                <w:tcPr>
                  <w:tcW w:w="232" w:type="pct"/>
                  <w:vMerge w:val="continue"/>
                  <w:vAlign w:val="center"/>
                </w:tcPr>
                <w:p w14:paraId="2D625377">
                  <w:pPr>
                    <w:widowControl/>
                    <w:adjustRightInd w:val="0"/>
                    <w:snapToGrid w:val="0"/>
                    <w:jc w:val="center"/>
                    <w:rPr>
                      <w:color w:val="auto"/>
                      <w:kern w:val="0"/>
                      <w:sz w:val="18"/>
                      <w:szCs w:val="18"/>
                    </w:rPr>
                  </w:pPr>
                </w:p>
              </w:tc>
              <w:tc>
                <w:tcPr>
                  <w:tcW w:w="230" w:type="pct"/>
                  <w:vAlign w:val="center"/>
                </w:tcPr>
                <w:p w14:paraId="61F4BCBB">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4D0CB4F2">
                  <w:pPr>
                    <w:widowControl/>
                    <w:adjustRightInd w:val="0"/>
                    <w:snapToGrid w:val="0"/>
                    <w:jc w:val="center"/>
                    <w:rPr>
                      <w:color w:val="auto"/>
                      <w:kern w:val="0"/>
                      <w:sz w:val="18"/>
                      <w:szCs w:val="18"/>
                    </w:rPr>
                  </w:pPr>
                </w:p>
              </w:tc>
              <w:tc>
                <w:tcPr>
                  <w:tcW w:w="130" w:type="pct"/>
                  <w:vMerge w:val="continue"/>
                  <w:vAlign w:val="center"/>
                </w:tcPr>
                <w:p w14:paraId="196868FA">
                  <w:pPr>
                    <w:widowControl/>
                    <w:adjustRightInd w:val="0"/>
                    <w:snapToGrid w:val="0"/>
                    <w:jc w:val="center"/>
                    <w:rPr>
                      <w:color w:val="auto"/>
                      <w:kern w:val="0"/>
                      <w:sz w:val="18"/>
                      <w:szCs w:val="18"/>
                    </w:rPr>
                  </w:pPr>
                </w:p>
              </w:tc>
              <w:tc>
                <w:tcPr>
                  <w:tcW w:w="357" w:type="pct"/>
                  <w:vMerge w:val="continue"/>
                  <w:vAlign w:val="center"/>
                </w:tcPr>
                <w:p w14:paraId="1AE6D654">
                  <w:pPr>
                    <w:adjustRightInd w:val="0"/>
                    <w:snapToGrid w:val="0"/>
                    <w:jc w:val="center"/>
                    <w:rPr>
                      <w:color w:val="auto"/>
                      <w:sz w:val="18"/>
                      <w:szCs w:val="18"/>
                    </w:rPr>
                  </w:pPr>
                </w:p>
              </w:tc>
              <w:tc>
                <w:tcPr>
                  <w:tcW w:w="399" w:type="pct"/>
                  <w:vAlign w:val="center"/>
                </w:tcPr>
                <w:p w14:paraId="4B8AFE4E">
                  <w:pPr>
                    <w:adjustRightInd w:val="0"/>
                    <w:snapToGrid w:val="0"/>
                    <w:jc w:val="center"/>
                    <w:rPr>
                      <w:color w:val="auto"/>
                      <w:sz w:val="18"/>
                      <w:szCs w:val="18"/>
                    </w:rPr>
                  </w:pPr>
                  <w:r>
                    <w:rPr>
                      <w:rFonts w:hint="eastAsia"/>
                      <w:color w:val="auto"/>
                      <w:sz w:val="18"/>
                      <w:szCs w:val="18"/>
                    </w:rPr>
                    <w:t>/</w:t>
                  </w:r>
                </w:p>
              </w:tc>
              <w:tc>
                <w:tcPr>
                  <w:tcW w:w="298" w:type="pct"/>
                  <w:vAlign w:val="center"/>
                </w:tcPr>
                <w:p w14:paraId="452744EC">
                  <w:pPr>
                    <w:adjustRightInd w:val="0"/>
                    <w:snapToGrid w:val="0"/>
                    <w:jc w:val="center"/>
                    <w:rPr>
                      <w:color w:val="auto"/>
                      <w:sz w:val="18"/>
                      <w:szCs w:val="18"/>
                    </w:rPr>
                  </w:pPr>
                  <w:r>
                    <w:rPr>
                      <w:rFonts w:hint="eastAsia"/>
                      <w:color w:val="auto"/>
                      <w:sz w:val="18"/>
                      <w:szCs w:val="18"/>
                    </w:rPr>
                    <w:t>0.0063</w:t>
                  </w:r>
                </w:p>
              </w:tc>
              <w:tc>
                <w:tcPr>
                  <w:tcW w:w="265" w:type="pct"/>
                  <w:vAlign w:val="center"/>
                </w:tcPr>
                <w:p w14:paraId="5D526336">
                  <w:pPr>
                    <w:adjustRightInd w:val="0"/>
                    <w:snapToGrid w:val="0"/>
                    <w:jc w:val="center"/>
                    <w:rPr>
                      <w:color w:val="auto"/>
                      <w:sz w:val="18"/>
                      <w:szCs w:val="18"/>
                    </w:rPr>
                  </w:pPr>
                  <w:r>
                    <w:rPr>
                      <w:rFonts w:hint="eastAsia"/>
                      <w:color w:val="auto"/>
                      <w:sz w:val="18"/>
                      <w:szCs w:val="18"/>
                    </w:rPr>
                    <w:t>0.0228</w:t>
                  </w:r>
                </w:p>
              </w:tc>
              <w:tc>
                <w:tcPr>
                  <w:tcW w:w="191" w:type="pct"/>
                  <w:vAlign w:val="center"/>
                </w:tcPr>
                <w:p w14:paraId="789928EE">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2755120D">
                  <w:pPr>
                    <w:widowControl/>
                    <w:jc w:val="center"/>
                    <w:rPr>
                      <w:color w:val="auto"/>
                      <w:kern w:val="0"/>
                      <w:sz w:val="18"/>
                      <w:szCs w:val="18"/>
                    </w:rPr>
                  </w:pPr>
                </w:p>
              </w:tc>
              <w:tc>
                <w:tcPr>
                  <w:tcW w:w="132" w:type="pct"/>
                  <w:vMerge w:val="continue"/>
                  <w:vAlign w:val="center"/>
                </w:tcPr>
                <w:p w14:paraId="05640999">
                  <w:pPr>
                    <w:widowControl/>
                    <w:jc w:val="center"/>
                    <w:rPr>
                      <w:color w:val="auto"/>
                      <w:kern w:val="0"/>
                      <w:sz w:val="18"/>
                      <w:szCs w:val="18"/>
                    </w:rPr>
                  </w:pPr>
                </w:p>
              </w:tc>
              <w:tc>
                <w:tcPr>
                  <w:tcW w:w="357" w:type="pct"/>
                  <w:vMerge w:val="continue"/>
                  <w:vAlign w:val="center"/>
                </w:tcPr>
                <w:p w14:paraId="2A5E7058">
                  <w:pPr>
                    <w:adjustRightInd w:val="0"/>
                    <w:snapToGrid w:val="0"/>
                    <w:jc w:val="center"/>
                    <w:rPr>
                      <w:color w:val="auto"/>
                      <w:sz w:val="18"/>
                      <w:szCs w:val="18"/>
                    </w:rPr>
                  </w:pPr>
                </w:p>
              </w:tc>
              <w:tc>
                <w:tcPr>
                  <w:tcW w:w="400" w:type="pct"/>
                  <w:vAlign w:val="center"/>
                </w:tcPr>
                <w:p w14:paraId="404F301E">
                  <w:pPr>
                    <w:adjustRightInd w:val="0"/>
                    <w:snapToGrid w:val="0"/>
                    <w:jc w:val="center"/>
                    <w:rPr>
                      <w:color w:val="auto"/>
                      <w:sz w:val="18"/>
                      <w:szCs w:val="18"/>
                    </w:rPr>
                  </w:pPr>
                  <w:r>
                    <w:rPr>
                      <w:rFonts w:hint="eastAsia"/>
                      <w:color w:val="auto"/>
                      <w:sz w:val="18"/>
                      <w:szCs w:val="18"/>
                    </w:rPr>
                    <w:t>/</w:t>
                  </w:r>
                </w:p>
              </w:tc>
              <w:tc>
                <w:tcPr>
                  <w:tcW w:w="298" w:type="pct"/>
                  <w:vAlign w:val="center"/>
                </w:tcPr>
                <w:p w14:paraId="1175A885">
                  <w:pPr>
                    <w:adjustRightInd w:val="0"/>
                    <w:snapToGrid w:val="0"/>
                    <w:jc w:val="center"/>
                    <w:rPr>
                      <w:color w:val="auto"/>
                      <w:sz w:val="18"/>
                      <w:szCs w:val="18"/>
                    </w:rPr>
                  </w:pPr>
                  <w:r>
                    <w:rPr>
                      <w:rFonts w:hint="eastAsia"/>
                      <w:color w:val="auto"/>
                      <w:sz w:val="18"/>
                      <w:szCs w:val="18"/>
                    </w:rPr>
                    <w:t>0.0063</w:t>
                  </w:r>
                </w:p>
              </w:tc>
              <w:tc>
                <w:tcPr>
                  <w:tcW w:w="307" w:type="pct"/>
                  <w:vAlign w:val="center"/>
                </w:tcPr>
                <w:p w14:paraId="25FDF2A7">
                  <w:pPr>
                    <w:adjustRightInd w:val="0"/>
                    <w:snapToGrid w:val="0"/>
                    <w:jc w:val="center"/>
                    <w:rPr>
                      <w:color w:val="auto"/>
                      <w:sz w:val="18"/>
                      <w:szCs w:val="18"/>
                    </w:rPr>
                  </w:pPr>
                  <w:r>
                    <w:rPr>
                      <w:rFonts w:hint="eastAsia"/>
                      <w:color w:val="auto"/>
                      <w:sz w:val="18"/>
                      <w:szCs w:val="18"/>
                    </w:rPr>
                    <w:t>0.0228</w:t>
                  </w:r>
                </w:p>
              </w:tc>
              <w:tc>
                <w:tcPr>
                  <w:tcW w:w="360" w:type="pct"/>
                  <w:vAlign w:val="center"/>
                </w:tcPr>
                <w:p w14:paraId="784C809C">
                  <w:pPr>
                    <w:adjustRightInd w:val="0"/>
                    <w:snapToGrid w:val="0"/>
                    <w:jc w:val="center"/>
                    <w:rPr>
                      <w:color w:val="auto"/>
                      <w:sz w:val="18"/>
                      <w:szCs w:val="18"/>
                    </w:rPr>
                  </w:pPr>
                  <w:r>
                    <w:rPr>
                      <w:rFonts w:hint="eastAsia"/>
                      <w:color w:val="auto"/>
                      <w:sz w:val="18"/>
                      <w:szCs w:val="18"/>
                    </w:rPr>
                    <w:t>0.5</w:t>
                  </w:r>
                </w:p>
              </w:tc>
              <w:tc>
                <w:tcPr>
                  <w:tcW w:w="319" w:type="pct"/>
                  <w:vAlign w:val="center"/>
                </w:tcPr>
                <w:p w14:paraId="652190D1">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527EB83D">
                  <w:pPr>
                    <w:adjustRightInd w:val="0"/>
                    <w:snapToGrid w:val="0"/>
                    <w:jc w:val="center"/>
                    <w:rPr>
                      <w:color w:val="auto"/>
                      <w:sz w:val="18"/>
                      <w:szCs w:val="18"/>
                    </w:rPr>
                  </w:pPr>
                </w:p>
              </w:tc>
            </w:tr>
            <w:tr w14:paraId="717BE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5" w:hRule="atLeast"/>
                <w:tblHeader/>
                <w:jc w:val="center"/>
              </w:trPr>
              <w:tc>
                <w:tcPr>
                  <w:tcW w:w="147" w:type="pct"/>
                  <w:vMerge w:val="continue"/>
                  <w:vAlign w:val="center"/>
                </w:tcPr>
                <w:p w14:paraId="6593D4FA">
                  <w:pPr>
                    <w:widowControl/>
                    <w:adjustRightInd w:val="0"/>
                    <w:snapToGrid w:val="0"/>
                    <w:jc w:val="center"/>
                    <w:rPr>
                      <w:color w:val="auto"/>
                      <w:kern w:val="0"/>
                      <w:sz w:val="18"/>
                      <w:szCs w:val="18"/>
                    </w:rPr>
                  </w:pPr>
                </w:p>
              </w:tc>
              <w:tc>
                <w:tcPr>
                  <w:tcW w:w="232" w:type="pct"/>
                  <w:vMerge w:val="restart"/>
                  <w:vAlign w:val="center"/>
                </w:tcPr>
                <w:p w14:paraId="7C4D7A31">
                  <w:pPr>
                    <w:widowControl/>
                    <w:adjustRightInd w:val="0"/>
                    <w:snapToGrid w:val="0"/>
                    <w:jc w:val="center"/>
                    <w:rPr>
                      <w:color w:val="auto"/>
                      <w:kern w:val="0"/>
                      <w:sz w:val="18"/>
                      <w:szCs w:val="18"/>
                    </w:rPr>
                  </w:pPr>
                  <w:r>
                    <w:rPr>
                      <w:rFonts w:hint="eastAsia"/>
                      <w:color w:val="auto"/>
                      <w:kern w:val="0"/>
                      <w:sz w:val="18"/>
                      <w:szCs w:val="18"/>
                    </w:rPr>
                    <w:t>粘接</w:t>
                  </w:r>
                </w:p>
              </w:tc>
              <w:tc>
                <w:tcPr>
                  <w:tcW w:w="230" w:type="pct"/>
                  <w:vAlign w:val="center"/>
                </w:tcPr>
                <w:p w14:paraId="20539B25">
                  <w:pPr>
                    <w:widowControl/>
                    <w:adjustRightInd w:val="0"/>
                    <w:snapToGrid w:val="0"/>
                    <w:jc w:val="center"/>
                    <w:rPr>
                      <w:color w:val="auto"/>
                      <w:kern w:val="0"/>
                      <w:sz w:val="18"/>
                      <w:szCs w:val="18"/>
                    </w:rPr>
                  </w:pPr>
                  <w:r>
                    <w:rPr>
                      <w:rFonts w:hint="eastAsia"/>
                      <w:color w:val="auto"/>
                      <w:kern w:val="0"/>
                      <w:sz w:val="18"/>
                      <w:szCs w:val="18"/>
                    </w:rPr>
                    <w:t>DA001</w:t>
                  </w:r>
                </w:p>
              </w:tc>
              <w:tc>
                <w:tcPr>
                  <w:tcW w:w="130" w:type="pct"/>
                  <w:vMerge w:val="restart"/>
                  <w:vAlign w:val="center"/>
                </w:tcPr>
                <w:p w14:paraId="09F74D7D">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6A057830">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7BC8CFD0">
                  <w:pPr>
                    <w:adjustRightInd w:val="0"/>
                    <w:snapToGrid w:val="0"/>
                    <w:jc w:val="center"/>
                    <w:rPr>
                      <w:color w:val="auto"/>
                      <w:sz w:val="18"/>
                      <w:szCs w:val="18"/>
                    </w:rPr>
                  </w:pPr>
                  <w:r>
                    <w:rPr>
                      <w:rFonts w:hint="eastAsia"/>
                      <w:color w:val="auto"/>
                      <w:sz w:val="18"/>
                      <w:szCs w:val="18"/>
                    </w:rPr>
                    <w:t>2000</w:t>
                  </w:r>
                </w:p>
              </w:tc>
              <w:tc>
                <w:tcPr>
                  <w:tcW w:w="399" w:type="pct"/>
                  <w:vAlign w:val="center"/>
                </w:tcPr>
                <w:p w14:paraId="3F2763FF">
                  <w:pPr>
                    <w:adjustRightInd w:val="0"/>
                    <w:snapToGrid w:val="0"/>
                    <w:jc w:val="center"/>
                    <w:rPr>
                      <w:color w:val="auto"/>
                      <w:sz w:val="18"/>
                      <w:szCs w:val="18"/>
                    </w:rPr>
                  </w:pPr>
                  <w:r>
                    <w:rPr>
                      <w:rFonts w:hint="eastAsia"/>
                      <w:color w:val="auto"/>
                      <w:sz w:val="18"/>
                      <w:szCs w:val="18"/>
                    </w:rPr>
                    <w:t>0.07</w:t>
                  </w:r>
                </w:p>
              </w:tc>
              <w:tc>
                <w:tcPr>
                  <w:tcW w:w="298" w:type="pct"/>
                  <w:vAlign w:val="center"/>
                </w:tcPr>
                <w:p w14:paraId="4479B4C2">
                  <w:pPr>
                    <w:adjustRightInd w:val="0"/>
                    <w:snapToGrid w:val="0"/>
                    <w:jc w:val="center"/>
                    <w:rPr>
                      <w:color w:val="auto"/>
                      <w:sz w:val="18"/>
                      <w:szCs w:val="18"/>
                    </w:rPr>
                  </w:pPr>
                  <w:r>
                    <w:rPr>
                      <w:rFonts w:hint="eastAsia"/>
                      <w:color w:val="auto"/>
                      <w:sz w:val="18"/>
                      <w:szCs w:val="18"/>
                    </w:rPr>
                    <w:t>0.0001</w:t>
                  </w:r>
                </w:p>
              </w:tc>
              <w:tc>
                <w:tcPr>
                  <w:tcW w:w="265" w:type="pct"/>
                  <w:vAlign w:val="center"/>
                </w:tcPr>
                <w:p w14:paraId="58498B8B">
                  <w:pPr>
                    <w:adjustRightInd w:val="0"/>
                    <w:snapToGrid w:val="0"/>
                    <w:jc w:val="center"/>
                    <w:rPr>
                      <w:color w:val="auto"/>
                      <w:sz w:val="18"/>
                      <w:szCs w:val="18"/>
                    </w:rPr>
                  </w:pPr>
                  <w:r>
                    <w:rPr>
                      <w:rFonts w:hint="eastAsia"/>
                      <w:color w:val="auto"/>
                      <w:sz w:val="18"/>
                      <w:szCs w:val="18"/>
                    </w:rPr>
                    <w:t>0.00048</w:t>
                  </w:r>
                </w:p>
              </w:tc>
              <w:tc>
                <w:tcPr>
                  <w:tcW w:w="191" w:type="pct"/>
                  <w:vAlign w:val="center"/>
                </w:tcPr>
                <w:p w14:paraId="7EF7858F">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7622C6E6">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C7E1472">
                  <w:pPr>
                    <w:widowControl/>
                    <w:jc w:val="center"/>
                    <w:rPr>
                      <w:color w:val="auto"/>
                      <w:kern w:val="0"/>
                      <w:sz w:val="18"/>
                      <w:szCs w:val="18"/>
                    </w:rPr>
                  </w:pPr>
                  <w:r>
                    <w:rPr>
                      <w:color w:val="auto"/>
                      <w:kern w:val="0"/>
                      <w:sz w:val="18"/>
                      <w:szCs w:val="18"/>
                    </w:rPr>
                    <w:t>处理效率90%</w:t>
                  </w:r>
                </w:p>
              </w:tc>
              <w:tc>
                <w:tcPr>
                  <w:tcW w:w="132" w:type="pct"/>
                  <w:vMerge w:val="restart"/>
                  <w:vAlign w:val="center"/>
                </w:tcPr>
                <w:p w14:paraId="262F6886">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0AB09BD6">
                  <w:pPr>
                    <w:adjustRightInd w:val="0"/>
                    <w:snapToGrid w:val="0"/>
                    <w:jc w:val="center"/>
                    <w:rPr>
                      <w:color w:val="auto"/>
                      <w:sz w:val="18"/>
                      <w:szCs w:val="18"/>
                    </w:rPr>
                  </w:pPr>
                  <w:r>
                    <w:rPr>
                      <w:rFonts w:hint="eastAsia"/>
                      <w:color w:val="auto"/>
                      <w:sz w:val="18"/>
                      <w:szCs w:val="18"/>
                    </w:rPr>
                    <w:t>2000</w:t>
                  </w:r>
                </w:p>
              </w:tc>
              <w:tc>
                <w:tcPr>
                  <w:tcW w:w="400" w:type="pct"/>
                  <w:vAlign w:val="center"/>
                </w:tcPr>
                <w:p w14:paraId="1B440E85">
                  <w:pPr>
                    <w:adjustRightInd w:val="0"/>
                    <w:snapToGrid w:val="0"/>
                    <w:jc w:val="center"/>
                    <w:rPr>
                      <w:color w:val="auto"/>
                      <w:sz w:val="18"/>
                      <w:szCs w:val="18"/>
                    </w:rPr>
                  </w:pPr>
                  <w:r>
                    <w:rPr>
                      <w:rFonts w:hint="eastAsia"/>
                      <w:color w:val="auto"/>
                      <w:sz w:val="18"/>
                      <w:szCs w:val="18"/>
                    </w:rPr>
                    <w:t>0.007</w:t>
                  </w:r>
                </w:p>
              </w:tc>
              <w:tc>
                <w:tcPr>
                  <w:tcW w:w="298" w:type="pct"/>
                  <w:vAlign w:val="center"/>
                </w:tcPr>
                <w:p w14:paraId="49A259C2">
                  <w:pPr>
                    <w:adjustRightInd w:val="0"/>
                    <w:snapToGrid w:val="0"/>
                    <w:jc w:val="center"/>
                    <w:rPr>
                      <w:color w:val="auto"/>
                      <w:sz w:val="18"/>
                      <w:szCs w:val="18"/>
                    </w:rPr>
                  </w:pPr>
                  <w:r>
                    <w:rPr>
                      <w:rFonts w:hint="eastAsia"/>
                      <w:color w:val="auto"/>
                      <w:sz w:val="18"/>
                      <w:szCs w:val="18"/>
                    </w:rPr>
                    <w:t>0.00001</w:t>
                  </w:r>
                </w:p>
              </w:tc>
              <w:tc>
                <w:tcPr>
                  <w:tcW w:w="307" w:type="pct"/>
                  <w:vAlign w:val="center"/>
                </w:tcPr>
                <w:p w14:paraId="0EAFB139">
                  <w:pPr>
                    <w:adjustRightInd w:val="0"/>
                    <w:snapToGrid w:val="0"/>
                    <w:jc w:val="center"/>
                    <w:rPr>
                      <w:color w:val="auto"/>
                      <w:sz w:val="18"/>
                      <w:szCs w:val="18"/>
                    </w:rPr>
                  </w:pPr>
                  <w:r>
                    <w:rPr>
                      <w:rFonts w:hint="eastAsia"/>
                      <w:color w:val="auto"/>
                      <w:sz w:val="18"/>
                      <w:szCs w:val="18"/>
                    </w:rPr>
                    <w:t>0.00005</w:t>
                  </w:r>
                </w:p>
              </w:tc>
              <w:tc>
                <w:tcPr>
                  <w:tcW w:w="360" w:type="pct"/>
                  <w:vAlign w:val="center"/>
                </w:tcPr>
                <w:p w14:paraId="1CC98012">
                  <w:pPr>
                    <w:adjustRightInd w:val="0"/>
                    <w:snapToGrid w:val="0"/>
                    <w:jc w:val="center"/>
                    <w:rPr>
                      <w:color w:val="auto"/>
                      <w:sz w:val="18"/>
                      <w:szCs w:val="18"/>
                    </w:rPr>
                  </w:pPr>
                  <w:r>
                    <w:rPr>
                      <w:rFonts w:hint="eastAsia"/>
                      <w:color w:val="auto"/>
                      <w:sz w:val="18"/>
                      <w:szCs w:val="18"/>
                    </w:rPr>
                    <w:t>50</w:t>
                  </w:r>
                </w:p>
              </w:tc>
              <w:tc>
                <w:tcPr>
                  <w:tcW w:w="319" w:type="pct"/>
                  <w:vAlign w:val="center"/>
                </w:tcPr>
                <w:p w14:paraId="1E3FE320">
                  <w:pPr>
                    <w:adjustRightInd w:val="0"/>
                    <w:snapToGrid w:val="0"/>
                    <w:jc w:val="center"/>
                    <w:rPr>
                      <w:color w:val="auto"/>
                      <w:sz w:val="18"/>
                      <w:szCs w:val="18"/>
                    </w:rPr>
                  </w:pPr>
                  <w:r>
                    <w:rPr>
                      <w:rFonts w:hint="eastAsia"/>
                      <w:color w:val="auto"/>
                      <w:sz w:val="18"/>
                      <w:szCs w:val="18"/>
                    </w:rPr>
                    <w:t>2.0</w:t>
                  </w:r>
                </w:p>
              </w:tc>
              <w:tc>
                <w:tcPr>
                  <w:tcW w:w="213" w:type="pct"/>
                  <w:vMerge w:val="restart"/>
                  <w:vAlign w:val="center"/>
                </w:tcPr>
                <w:p w14:paraId="464E17EF">
                  <w:pPr>
                    <w:adjustRightInd w:val="0"/>
                    <w:snapToGrid w:val="0"/>
                    <w:jc w:val="center"/>
                    <w:rPr>
                      <w:color w:val="auto"/>
                      <w:sz w:val="18"/>
                      <w:szCs w:val="18"/>
                    </w:rPr>
                  </w:pPr>
                  <w:r>
                    <w:rPr>
                      <w:rFonts w:hint="eastAsia"/>
                      <w:color w:val="auto"/>
                      <w:sz w:val="18"/>
                      <w:szCs w:val="18"/>
                    </w:rPr>
                    <w:t>3600</w:t>
                  </w:r>
                </w:p>
              </w:tc>
            </w:tr>
            <w:tr w14:paraId="35C8A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656AA35D">
                  <w:pPr>
                    <w:widowControl/>
                    <w:adjustRightInd w:val="0"/>
                    <w:snapToGrid w:val="0"/>
                    <w:jc w:val="center"/>
                    <w:rPr>
                      <w:color w:val="auto"/>
                      <w:kern w:val="0"/>
                      <w:sz w:val="18"/>
                      <w:szCs w:val="18"/>
                    </w:rPr>
                  </w:pPr>
                </w:p>
              </w:tc>
              <w:tc>
                <w:tcPr>
                  <w:tcW w:w="232" w:type="pct"/>
                  <w:vMerge w:val="continue"/>
                  <w:vAlign w:val="center"/>
                </w:tcPr>
                <w:p w14:paraId="6AE6A246">
                  <w:pPr>
                    <w:widowControl/>
                    <w:adjustRightInd w:val="0"/>
                    <w:snapToGrid w:val="0"/>
                    <w:jc w:val="center"/>
                    <w:rPr>
                      <w:color w:val="auto"/>
                      <w:kern w:val="0"/>
                      <w:sz w:val="18"/>
                      <w:szCs w:val="18"/>
                    </w:rPr>
                  </w:pPr>
                </w:p>
              </w:tc>
              <w:tc>
                <w:tcPr>
                  <w:tcW w:w="230" w:type="pct"/>
                  <w:vAlign w:val="center"/>
                </w:tcPr>
                <w:p w14:paraId="2CFCB738">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28246E74">
                  <w:pPr>
                    <w:widowControl/>
                    <w:adjustRightInd w:val="0"/>
                    <w:snapToGrid w:val="0"/>
                    <w:jc w:val="center"/>
                    <w:rPr>
                      <w:color w:val="auto"/>
                      <w:kern w:val="0"/>
                      <w:sz w:val="18"/>
                      <w:szCs w:val="18"/>
                    </w:rPr>
                  </w:pPr>
                </w:p>
              </w:tc>
              <w:tc>
                <w:tcPr>
                  <w:tcW w:w="130" w:type="pct"/>
                  <w:vMerge w:val="continue"/>
                  <w:vAlign w:val="center"/>
                </w:tcPr>
                <w:p w14:paraId="359EFF15">
                  <w:pPr>
                    <w:widowControl/>
                    <w:adjustRightInd w:val="0"/>
                    <w:snapToGrid w:val="0"/>
                    <w:jc w:val="center"/>
                    <w:rPr>
                      <w:color w:val="auto"/>
                      <w:kern w:val="0"/>
                      <w:sz w:val="18"/>
                      <w:szCs w:val="18"/>
                    </w:rPr>
                  </w:pPr>
                </w:p>
              </w:tc>
              <w:tc>
                <w:tcPr>
                  <w:tcW w:w="357" w:type="pct"/>
                  <w:vMerge w:val="continue"/>
                  <w:vAlign w:val="center"/>
                </w:tcPr>
                <w:p w14:paraId="3C6EA62E">
                  <w:pPr>
                    <w:adjustRightInd w:val="0"/>
                    <w:snapToGrid w:val="0"/>
                    <w:jc w:val="center"/>
                    <w:rPr>
                      <w:color w:val="auto"/>
                      <w:sz w:val="18"/>
                      <w:szCs w:val="18"/>
                    </w:rPr>
                  </w:pPr>
                </w:p>
              </w:tc>
              <w:tc>
                <w:tcPr>
                  <w:tcW w:w="399" w:type="pct"/>
                  <w:vAlign w:val="center"/>
                </w:tcPr>
                <w:p w14:paraId="54E5EF8B">
                  <w:pPr>
                    <w:adjustRightInd w:val="0"/>
                    <w:snapToGrid w:val="0"/>
                    <w:jc w:val="center"/>
                    <w:rPr>
                      <w:color w:val="auto"/>
                      <w:sz w:val="18"/>
                      <w:szCs w:val="18"/>
                    </w:rPr>
                  </w:pPr>
                  <w:r>
                    <w:rPr>
                      <w:rFonts w:hint="eastAsia"/>
                      <w:color w:val="auto"/>
                      <w:sz w:val="18"/>
                      <w:szCs w:val="18"/>
                    </w:rPr>
                    <w:t>/</w:t>
                  </w:r>
                </w:p>
              </w:tc>
              <w:tc>
                <w:tcPr>
                  <w:tcW w:w="298" w:type="pct"/>
                  <w:vAlign w:val="center"/>
                </w:tcPr>
                <w:p w14:paraId="58439DDC">
                  <w:pPr>
                    <w:adjustRightInd w:val="0"/>
                    <w:snapToGrid w:val="0"/>
                    <w:jc w:val="center"/>
                    <w:rPr>
                      <w:color w:val="auto"/>
                      <w:sz w:val="18"/>
                      <w:szCs w:val="18"/>
                    </w:rPr>
                  </w:pPr>
                  <w:r>
                    <w:rPr>
                      <w:rFonts w:hint="eastAsia"/>
                      <w:color w:val="auto"/>
                      <w:sz w:val="18"/>
                      <w:szCs w:val="18"/>
                    </w:rPr>
                    <w:t>0.00003</w:t>
                  </w:r>
                </w:p>
              </w:tc>
              <w:tc>
                <w:tcPr>
                  <w:tcW w:w="265" w:type="pct"/>
                  <w:vAlign w:val="center"/>
                </w:tcPr>
                <w:p w14:paraId="7FC2E563">
                  <w:pPr>
                    <w:adjustRightInd w:val="0"/>
                    <w:snapToGrid w:val="0"/>
                    <w:jc w:val="center"/>
                    <w:rPr>
                      <w:color w:val="auto"/>
                      <w:sz w:val="18"/>
                      <w:szCs w:val="18"/>
                    </w:rPr>
                  </w:pPr>
                  <w:r>
                    <w:rPr>
                      <w:rFonts w:hint="eastAsia"/>
                      <w:color w:val="auto"/>
                      <w:sz w:val="18"/>
                      <w:szCs w:val="18"/>
                    </w:rPr>
                    <w:t>0.00012</w:t>
                  </w:r>
                </w:p>
              </w:tc>
              <w:tc>
                <w:tcPr>
                  <w:tcW w:w="191" w:type="pct"/>
                  <w:vAlign w:val="center"/>
                </w:tcPr>
                <w:p w14:paraId="61A4ED7D">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7CC09283">
                  <w:pPr>
                    <w:widowControl/>
                    <w:jc w:val="center"/>
                    <w:rPr>
                      <w:color w:val="auto"/>
                      <w:kern w:val="0"/>
                      <w:sz w:val="18"/>
                      <w:szCs w:val="18"/>
                    </w:rPr>
                  </w:pPr>
                </w:p>
              </w:tc>
              <w:tc>
                <w:tcPr>
                  <w:tcW w:w="132" w:type="pct"/>
                  <w:vMerge w:val="continue"/>
                  <w:vAlign w:val="center"/>
                </w:tcPr>
                <w:p w14:paraId="7C158DD6">
                  <w:pPr>
                    <w:widowControl/>
                    <w:jc w:val="center"/>
                    <w:rPr>
                      <w:color w:val="auto"/>
                      <w:kern w:val="0"/>
                      <w:sz w:val="18"/>
                      <w:szCs w:val="18"/>
                    </w:rPr>
                  </w:pPr>
                </w:p>
              </w:tc>
              <w:tc>
                <w:tcPr>
                  <w:tcW w:w="357" w:type="pct"/>
                  <w:vMerge w:val="continue"/>
                  <w:vAlign w:val="center"/>
                </w:tcPr>
                <w:p w14:paraId="60C39918">
                  <w:pPr>
                    <w:adjustRightInd w:val="0"/>
                    <w:snapToGrid w:val="0"/>
                    <w:jc w:val="center"/>
                    <w:rPr>
                      <w:color w:val="auto"/>
                      <w:sz w:val="18"/>
                      <w:szCs w:val="18"/>
                    </w:rPr>
                  </w:pPr>
                </w:p>
              </w:tc>
              <w:tc>
                <w:tcPr>
                  <w:tcW w:w="400" w:type="pct"/>
                  <w:vAlign w:val="center"/>
                </w:tcPr>
                <w:p w14:paraId="1DE883FF">
                  <w:pPr>
                    <w:adjustRightInd w:val="0"/>
                    <w:snapToGrid w:val="0"/>
                    <w:jc w:val="center"/>
                    <w:rPr>
                      <w:color w:val="auto"/>
                      <w:sz w:val="18"/>
                      <w:szCs w:val="18"/>
                    </w:rPr>
                  </w:pPr>
                  <w:r>
                    <w:rPr>
                      <w:rFonts w:hint="eastAsia"/>
                      <w:color w:val="auto"/>
                      <w:sz w:val="18"/>
                      <w:szCs w:val="18"/>
                    </w:rPr>
                    <w:t>/</w:t>
                  </w:r>
                </w:p>
              </w:tc>
              <w:tc>
                <w:tcPr>
                  <w:tcW w:w="298" w:type="pct"/>
                  <w:vAlign w:val="center"/>
                </w:tcPr>
                <w:p w14:paraId="5B33851F">
                  <w:pPr>
                    <w:adjustRightInd w:val="0"/>
                    <w:snapToGrid w:val="0"/>
                    <w:jc w:val="center"/>
                    <w:rPr>
                      <w:color w:val="auto"/>
                      <w:sz w:val="18"/>
                      <w:szCs w:val="18"/>
                    </w:rPr>
                  </w:pPr>
                  <w:r>
                    <w:rPr>
                      <w:rFonts w:hint="eastAsia"/>
                      <w:color w:val="auto"/>
                      <w:sz w:val="18"/>
                      <w:szCs w:val="18"/>
                    </w:rPr>
                    <w:t>0.00003</w:t>
                  </w:r>
                </w:p>
              </w:tc>
              <w:tc>
                <w:tcPr>
                  <w:tcW w:w="307" w:type="pct"/>
                  <w:vAlign w:val="center"/>
                </w:tcPr>
                <w:p w14:paraId="655DB030">
                  <w:pPr>
                    <w:adjustRightInd w:val="0"/>
                    <w:snapToGrid w:val="0"/>
                    <w:jc w:val="center"/>
                    <w:rPr>
                      <w:color w:val="auto"/>
                      <w:sz w:val="18"/>
                      <w:szCs w:val="18"/>
                    </w:rPr>
                  </w:pPr>
                  <w:r>
                    <w:rPr>
                      <w:rFonts w:hint="eastAsia"/>
                      <w:color w:val="auto"/>
                      <w:sz w:val="18"/>
                      <w:szCs w:val="18"/>
                    </w:rPr>
                    <w:t>0.00012</w:t>
                  </w:r>
                </w:p>
              </w:tc>
              <w:tc>
                <w:tcPr>
                  <w:tcW w:w="360" w:type="pct"/>
                  <w:vAlign w:val="center"/>
                </w:tcPr>
                <w:p w14:paraId="73C5B852">
                  <w:pPr>
                    <w:adjustRightInd w:val="0"/>
                    <w:snapToGrid w:val="0"/>
                    <w:jc w:val="center"/>
                    <w:rPr>
                      <w:color w:val="auto"/>
                      <w:sz w:val="18"/>
                      <w:szCs w:val="18"/>
                    </w:rPr>
                  </w:pPr>
                  <w:r>
                    <w:rPr>
                      <w:rFonts w:hint="eastAsia"/>
                      <w:color w:val="auto"/>
                      <w:sz w:val="18"/>
                      <w:szCs w:val="18"/>
                    </w:rPr>
                    <w:t>4</w:t>
                  </w:r>
                </w:p>
              </w:tc>
              <w:tc>
                <w:tcPr>
                  <w:tcW w:w="319" w:type="pct"/>
                  <w:vAlign w:val="center"/>
                </w:tcPr>
                <w:p w14:paraId="4CE7B486">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68608292">
                  <w:pPr>
                    <w:adjustRightInd w:val="0"/>
                    <w:snapToGrid w:val="0"/>
                    <w:jc w:val="center"/>
                    <w:rPr>
                      <w:color w:val="auto"/>
                      <w:sz w:val="18"/>
                      <w:szCs w:val="18"/>
                    </w:rPr>
                  </w:pPr>
                </w:p>
              </w:tc>
            </w:tr>
            <w:tr w14:paraId="76EB2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tblHeader/>
                <w:jc w:val="center"/>
              </w:trPr>
              <w:tc>
                <w:tcPr>
                  <w:tcW w:w="147" w:type="pct"/>
                  <w:vMerge w:val="continue"/>
                  <w:vAlign w:val="center"/>
                </w:tcPr>
                <w:p w14:paraId="23493885">
                  <w:pPr>
                    <w:widowControl/>
                    <w:adjustRightInd w:val="0"/>
                    <w:snapToGrid w:val="0"/>
                    <w:jc w:val="center"/>
                    <w:rPr>
                      <w:color w:val="auto"/>
                      <w:kern w:val="0"/>
                      <w:sz w:val="18"/>
                      <w:szCs w:val="18"/>
                    </w:rPr>
                  </w:pPr>
                </w:p>
              </w:tc>
              <w:tc>
                <w:tcPr>
                  <w:tcW w:w="232" w:type="pct"/>
                  <w:vMerge w:val="restart"/>
                  <w:vAlign w:val="center"/>
                </w:tcPr>
                <w:p w14:paraId="4561607C">
                  <w:pPr>
                    <w:widowControl/>
                    <w:adjustRightInd w:val="0"/>
                    <w:snapToGrid w:val="0"/>
                    <w:jc w:val="center"/>
                    <w:rPr>
                      <w:color w:val="auto"/>
                      <w:kern w:val="0"/>
                      <w:sz w:val="18"/>
                      <w:szCs w:val="18"/>
                    </w:rPr>
                  </w:pPr>
                  <w:r>
                    <w:rPr>
                      <w:rFonts w:hint="eastAsia"/>
                      <w:color w:val="auto"/>
                      <w:kern w:val="0"/>
                      <w:sz w:val="18"/>
                      <w:szCs w:val="18"/>
                    </w:rPr>
                    <w:t>修边打磨</w:t>
                  </w:r>
                </w:p>
              </w:tc>
              <w:tc>
                <w:tcPr>
                  <w:tcW w:w="230" w:type="pct"/>
                  <w:vAlign w:val="center"/>
                </w:tcPr>
                <w:p w14:paraId="645365F5">
                  <w:pPr>
                    <w:widowControl/>
                    <w:adjustRightInd w:val="0"/>
                    <w:snapToGrid w:val="0"/>
                    <w:jc w:val="center"/>
                    <w:rPr>
                      <w:color w:val="auto"/>
                      <w:kern w:val="0"/>
                      <w:sz w:val="18"/>
                      <w:szCs w:val="18"/>
                    </w:rPr>
                  </w:pPr>
                  <w:r>
                    <w:rPr>
                      <w:rFonts w:hint="eastAsia"/>
                      <w:color w:val="auto"/>
                      <w:kern w:val="0"/>
                      <w:sz w:val="18"/>
                      <w:szCs w:val="18"/>
                    </w:rPr>
                    <w:t>DA002</w:t>
                  </w:r>
                </w:p>
              </w:tc>
              <w:tc>
                <w:tcPr>
                  <w:tcW w:w="130" w:type="pct"/>
                  <w:vMerge w:val="restart"/>
                  <w:vAlign w:val="center"/>
                </w:tcPr>
                <w:p w14:paraId="58FEC06A">
                  <w:pPr>
                    <w:widowControl/>
                    <w:adjustRightInd w:val="0"/>
                    <w:snapToGrid w:val="0"/>
                    <w:jc w:val="center"/>
                    <w:rPr>
                      <w:color w:val="auto"/>
                      <w:kern w:val="0"/>
                      <w:sz w:val="18"/>
                      <w:szCs w:val="18"/>
                    </w:rPr>
                  </w:pPr>
                  <w:r>
                    <w:rPr>
                      <w:color w:val="auto"/>
                      <w:kern w:val="0"/>
                      <w:sz w:val="18"/>
                      <w:szCs w:val="18"/>
                    </w:rPr>
                    <w:t>颗粒物</w:t>
                  </w:r>
                </w:p>
              </w:tc>
              <w:tc>
                <w:tcPr>
                  <w:tcW w:w="130" w:type="pct"/>
                  <w:vMerge w:val="restart"/>
                  <w:vAlign w:val="center"/>
                </w:tcPr>
                <w:p w14:paraId="74AE5F3C">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3C13FD6C">
                  <w:pPr>
                    <w:adjustRightInd w:val="0"/>
                    <w:snapToGrid w:val="0"/>
                    <w:jc w:val="center"/>
                    <w:rPr>
                      <w:color w:val="auto"/>
                      <w:sz w:val="18"/>
                      <w:szCs w:val="18"/>
                    </w:rPr>
                  </w:pPr>
                  <w:r>
                    <w:rPr>
                      <w:rFonts w:hint="eastAsia"/>
                      <w:color w:val="auto"/>
                      <w:sz w:val="18"/>
                      <w:szCs w:val="18"/>
                    </w:rPr>
                    <w:t>2000</w:t>
                  </w:r>
                </w:p>
              </w:tc>
              <w:tc>
                <w:tcPr>
                  <w:tcW w:w="399" w:type="pct"/>
                  <w:vAlign w:val="center"/>
                </w:tcPr>
                <w:p w14:paraId="24DBBDE2">
                  <w:pPr>
                    <w:adjustRightInd w:val="0"/>
                    <w:snapToGrid w:val="0"/>
                    <w:jc w:val="center"/>
                    <w:rPr>
                      <w:color w:val="auto"/>
                      <w:sz w:val="18"/>
                      <w:szCs w:val="18"/>
                    </w:rPr>
                  </w:pPr>
                  <w:r>
                    <w:rPr>
                      <w:rFonts w:hint="eastAsia"/>
                      <w:color w:val="auto"/>
                      <w:sz w:val="18"/>
                      <w:szCs w:val="18"/>
                      <w:lang w:val="en-US" w:eastAsia="zh-CN"/>
                    </w:rPr>
                    <w:t>23.68</w:t>
                  </w:r>
                </w:p>
              </w:tc>
              <w:tc>
                <w:tcPr>
                  <w:tcW w:w="298" w:type="pct"/>
                  <w:vAlign w:val="center"/>
                </w:tcPr>
                <w:p w14:paraId="67A8130A">
                  <w:pPr>
                    <w:adjustRightInd w:val="0"/>
                    <w:snapToGrid w:val="0"/>
                    <w:jc w:val="center"/>
                    <w:rPr>
                      <w:color w:val="auto"/>
                      <w:sz w:val="18"/>
                      <w:szCs w:val="18"/>
                    </w:rPr>
                  </w:pPr>
                  <w:r>
                    <w:rPr>
                      <w:rFonts w:hint="eastAsia"/>
                      <w:color w:val="auto"/>
                      <w:sz w:val="18"/>
                      <w:szCs w:val="18"/>
                    </w:rPr>
                    <w:t>0.0474</w:t>
                  </w:r>
                </w:p>
              </w:tc>
              <w:tc>
                <w:tcPr>
                  <w:tcW w:w="265" w:type="pct"/>
                  <w:vAlign w:val="center"/>
                </w:tcPr>
                <w:p w14:paraId="6F935CD2">
                  <w:pPr>
                    <w:adjustRightInd w:val="0"/>
                    <w:snapToGrid w:val="0"/>
                    <w:jc w:val="center"/>
                    <w:rPr>
                      <w:color w:val="auto"/>
                      <w:sz w:val="18"/>
                      <w:szCs w:val="18"/>
                    </w:rPr>
                  </w:pPr>
                  <w:r>
                    <w:rPr>
                      <w:rFonts w:hint="eastAsia"/>
                      <w:color w:val="auto"/>
                      <w:sz w:val="18"/>
                      <w:szCs w:val="18"/>
                    </w:rPr>
                    <w:t>0.1705</w:t>
                  </w:r>
                </w:p>
              </w:tc>
              <w:tc>
                <w:tcPr>
                  <w:tcW w:w="191" w:type="pct"/>
                  <w:vAlign w:val="center"/>
                </w:tcPr>
                <w:p w14:paraId="1F9A4BE9">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77399D59">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4AD6F586">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32" w:type="pct"/>
                  <w:vMerge w:val="restart"/>
                  <w:vAlign w:val="center"/>
                </w:tcPr>
                <w:p w14:paraId="34B5F8F2">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11F95D1F">
                  <w:pPr>
                    <w:adjustRightInd w:val="0"/>
                    <w:snapToGrid w:val="0"/>
                    <w:jc w:val="center"/>
                    <w:rPr>
                      <w:color w:val="auto"/>
                      <w:sz w:val="18"/>
                      <w:szCs w:val="18"/>
                    </w:rPr>
                  </w:pPr>
                  <w:r>
                    <w:rPr>
                      <w:rFonts w:hint="eastAsia"/>
                      <w:color w:val="auto"/>
                      <w:sz w:val="18"/>
                      <w:szCs w:val="18"/>
                      <w:lang w:val="en-US" w:eastAsia="zh-CN"/>
                    </w:rPr>
                    <w:t>2</w:t>
                  </w:r>
                  <w:r>
                    <w:rPr>
                      <w:rFonts w:hint="eastAsia"/>
                      <w:color w:val="auto"/>
                      <w:sz w:val="18"/>
                      <w:szCs w:val="18"/>
                    </w:rPr>
                    <w:t>000</w:t>
                  </w:r>
                </w:p>
              </w:tc>
              <w:tc>
                <w:tcPr>
                  <w:tcW w:w="400" w:type="pct"/>
                  <w:vAlign w:val="center"/>
                </w:tcPr>
                <w:p w14:paraId="1B062E00">
                  <w:pPr>
                    <w:adjustRightInd w:val="0"/>
                    <w:snapToGrid w:val="0"/>
                    <w:jc w:val="center"/>
                    <w:rPr>
                      <w:color w:val="auto"/>
                      <w:sz w:val="18"/>
                      <w:szCs w:val="18"/>
                    </w:rPr>
                  </w:pPr>
                  <w:r>
                    <w:rPr>
                      <w:rFonts w:hint="eastAsia"/>
                      <w:color w:val="auto"/>
                      <w:sz w:val="18"/>
                      <w:szCs w:val="18"/>
                      <w:lang w:val="en-US" w:eastAsia="zh-CN"/>
                    </w:rPr>
                    <w:t>1.18</w:t>
                  </w:r>
                </w:p>
              </w:tc>
              <w:tc>
                <w:tcPr>
                  <w:tcW w:w="298" w:type="pct"/>
                  <w:vAlign w:val="center"/>
                </w:tcPr>
                <w:p w14:paraId="21A698D4">
                  <w:pPr>
                    <w:adjustRightInd w:val="0"/>
                    <w:snapToGrid w:val="0"/>
                    <w:jc w:val="center"/>
                    <w:rPr>
                      <w:color w:val="auto"/>
                      <w:sz w:val="18"/>
                      <w:szCs w:val="18"/>
                    </w:rPr>
                  </w:pPr>
                  <w:r>
                    <w:rPr>
                      <w:rFonts w:hint="eastAsia"/>
                      <w:color w:val="auto"/>
                      <w:sz w:val="18"/>
                      <w:szCs w:val="18"/>
                    </w:rPr>
                    <w:t>0.0024</w:t>
                  </w:r>
                </w:p>
              </w:tc>
              <w:tc>
                <w:tcPr>
                  <w:tcW w:w="307" w:type="pct"/>
                  <w:vAlign w:val="center"/>
                </w:tcPr>
                <w:p w14:paraId="772A9043">
                  <w:pPr>
                    <w:adjustRightInd w:val="0"/>
                    <w:snapToGrid w:val="0"/>
                    <w:jc w:val="center"/>
                    <w:rPr>
                      <w:color w:val="auto"/>
                      <w:sz w:val="18"/>
                      <w:szCs w:val="18"/>
                    </w:rPr>
                  </w:pPr>
                  <w:r>
                    <w:rPr>
                      <w:rFonts w:hint="eastAsia"/>
                      <w:color w:val="auto"/>
                      <w:sz w:val="18"/>
                      <w:szCs w:val="18"/>
                    </w:rPr>
                    <w:t>0.0085</w:t>
                  </w:r>
                </w:p>
              </w:tc>
              <w:tc>
                <w:tcPr>
                  <w:tcW w:w="360" w:type="pct"/>
                  <w:vAlign w:val="center"/>
                </w:tcPr>
                <w:p w14:paraId="6141C233">
                  <w:pPr>
                    <w:adjustRightInd w:val="0"/>
                    <w:snapToGrid w:val="0"/>
                    <w:jc w:val="center"/>
                    <w:rPr>
                      <w:color w:val="auto"/>
                      <w:sz w:val="18"/>
                      <w:szCs w:val="18"/>
                    </w:rPr>
                  </w:pPr>
                  <w:r>
                    <w:rPr>
                      <w:rFonts w:hint="eastAsia"/>
                      <w:color w:val="auto"/>
                      <w:sz w:val="18"/>
                      <w:szCs w:val="18"/>
                    </w:rPr>
                    <w:t>20</w:t>
                  </w:r>
                </w:p>
              </w:tc>
              <w:tc>
                <w:tcPr>
                  <w:tcW w:w="319" w:type="pct"/>
                  <w:vAlign w:val="center"/>
                </w:tcPr>
                <w:p w14:paraId="11BB2710">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2C4AADA1">
                  <w:pPr>
                    <w:adjustRightInd w:val="0"/>
                    <w:snapToGrid w:val="0"/>
                    <w:jc w:val="center"/>
                    <w:rPr>
                      <w:color w:val="auto"/>
                      <w:sz w:val="18"/>
                      <w:szCs w:val="18"/>
                    </w:rPr>
                  </w:pPr>
                  <w:r>
                    <w:rPr>
                      <w:rFonts w:hint="eastAsia"/>
                      <w:color w:val="auto"/>
                      <w:sz w:val="18"/>
                      <w:szCs w:val="18"/>
                    </w:rPr>
                    <w:t>3600</w:t>
                  </w:r>
                </w:p>
              </w:tc>
            </w:tr>
            <w:tr w14:paraId="0BC60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47" w:type="pct"/>
                  <w:vMerge w:val="continue"/>
                  <w:vAlign w:val="center"/>
                </w:tcPr>
                <w:p w14:paraId="14790533">
                  <w:pPr>
                    <w:widowControl/>
                    <w:adjustRightInd w:val="0"/>
                    <w:snapToGrid w:val="0"/>
                    <w:jc w:val="center"/>
                    <w:rPr>
                      <w:color w:val="auto"/>
                      <w:kern w:val="0"/>
                      <w:sz w:val="18"/>
                      <w:szCs w:val="18"/>
                    </w:rPr>
                  </w:pPr>
                </w:p>
              </w:tc>
              <w:tc>
                <w:tcPr>
                  <w:tcW w:w="232" w:type="pct"/>
                  <w:vMerge w:val="continue"/>
                  <w:vAlign w:val="center"/>
                </w:tcPr>
                <w:p w14:paraId="4E72B5FC">
                  <w:pPr>
                    <w:widowControl/>
                    <w:adjustRightInd w:val="0"/>
                    <w:snapToGrid w:val="0"/>
                    <w:jc w:val="center"/>
                    <w:rPr>
                      <w:color w:val="auto"/>
                      <w:kern w:val="0"/>
                      <w:sz w:val="18"/>
                      <w:szCs w:val="18"/>
                    </w:rPr>
                  </w:pPr>
                </w:p>
              </w:tc>
              <w:tc>
                <w:tcPr>
                  <w:tcW w:w="230" w:type="pct"/>
                  <w:vAlign w:val="center"/>
                </w:tcPr>
                <w:p w14:paraId="7F5698F2">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15DC6ADC">
                  <w:pPr>
                    <w:widowControl/>
                    <w:adjustRightInd w:val="0"/>
                    <w:snapToGrid w:val="0"/>
                    <w:jc w:val="center"/>
                    <w:rPr>
                      <w:color w:val="auto"/>
                      <w:kern w:val="0"/>
                      <w:sz w:val="18"/>
                      <w:szCs w:val="18"/>
                    </w:rPr>
                  </w:pPr>
                </w:p>
              </w:tc>
              <w:tc>
                <w:tcPr>
                  <w:tcW w:w="130" w:type="pct"/>
                  <w:vMerge w:val="continue"/>
                  <w:vAlign w:val="center"/>
                </w:tcPr>
                <w:p w14:paraId="14241ABC">
                  <w:pPr>
                    <w:widowControl/>
                    <w:adjustRightInd w:val="0"/>
                    <w:snapToGrid w:val="0"/>
                    <w:jc w:val="center"/>
                    <w:rPr>
                      <w:color w:val="auto"/>
                      <w:kern w:val="0"/>
                      <w:sz w:val="18"/>
                      <w:szCs w:val="18"/>
                    </w:rPr>
                  </w:pPr>
                </w:p>
              </w:tc>
              <w:tc>
                <w:tcPr>
                  <w:tcW w:w="357" w:type="pct"/>
                  <w:vMerge w:val="continue"/>
                  <w:vAlign w:val="center"/>
                </w:tcPr>
                <w:p w14:paraId="66EE4F8B">
                  <w:pPr>
                    <w:adjustRightInd w:val="0"/>
                    <w:snapToGrid w:val="0"/>
                    <w:jc w:val="center"/>
                    <w:rPr>
                      <w:color w:val="auto"/>
                      <w:sz w:val="18"/>
                      <w:szCs w:val="18"/>
                    </w:rPr>
                  </w:pPr>
                </w:p>
              </w:tc>
              <w:tc>
                <w:tcPr>
                  <w:tcW w:w="399" w:type="pct"/>
                  <w:vAlign w:val="center"/>
                </w:tcPr>
                <w:p w14:paraId="5B7C2CDA">
                  <w:pPr>
                    <w:adjustRightInd w:val="0"/>
                    <w:snapToGrid w:val="0"/>
                    <w:jc w:val="center"/>
                    <w:rPr>
                      <w:color w:val="auto"/>
                      <w:sz w:val="18"/>
                      <w:szCs w:val="18"/>
                    </w:rPr>
                  </w:pPr>
                  <w:r>
                    <w:rPr>
                      <w:rFonts w:hint="eastAsia"/>
                      <w:color w:val="auto"/>
                      <w:sz w:val="18"/>
                      <w:szCs w:val="18"/>
                    </w:rPr>
                    <w:t>/</w:t>
                  </w:r>
                </w:p>
              </w:tc>
              <w:tc>
                <w:tcPr>
                  <w:tcW w:w="298" w:type="pct"/>
                  <w:vAlign w:val="center"/>
                </w:tcPr>
                <w:p w14:paraId="0B741771">
                  <w:pPr>
                    <w:adjustRightInd w:val="0"/>
                    <w:snapToGrid w:val="0"/>
                    <w:jc w:val="center"/>
                    <w:rPr>
                      <w:color w:val="auto"/>
                      <w:sz w:val="18"/>
                      <w:szCs w:val="18"/>
                    </w:rPr>
                  </w:pPr>
                  <w:r>
                    <w:rPr>
                      <w:rFonts w:hint="eastAsia"/>
                      <w:color w:val="auto"/>
                      <w:sz w:val="18"/>
                      <w:szCs w:val="18"/>
                    </w:rPr>
                    <w:t>0.0118</w:t>
                  </w:r>
                </w:p>
              </w:tc>
              <w:tc>
                <w:tcPr>
                  <w:tcW w:w="265" w:type="pct"/>
                  <w:vAlign w:val="center"/>
                </w:tcPr>
                <w:p w14:paraId="1D707C5F">
                  <w:pPr>
                    <w:adjustRightInd w:val="0"/>
                    <w:snapToGrid w:val="0"/>
                    <w:jc w:val="center"/>
                    <w:rPr>
                      <w:color w:val="auto"/>
                      <w:sz w:val="18"/>
                      <w:szCs w:val="18"/>
                    </w:rPr>
                  </w:pPr>
                  <w:r>
                    <w:rPr>
                      <w:rFonts w:hint="eastAsia"/>
                      <w:color w:val="auto"/>
                      <w:sz w:val="18"/>
                      <w:szCs w:val="18"/>
                    </w:rPr>
                    <w:t>0.0426</w:t>
                  </w:r>
                </w:p>
              </w:tc>
              <w:tc>
                <w:tcPr>
                  <w:tcW w:w="191" w:type="pct"/>
                  <w:vAlign w:val="center"/>
                </w:tcPr>
                <w:p w14:paraId="35F52081">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68154F15">
                  <w:pPr>
                    <w:widowControl/>
                    <w:jc w:val="center"/>
                    <w:rPr>
                      <w:color w:val="auto"/>
                      <w:kern w:val="0"/>
                      <w:sz w:val="18"/>
                      <w:szCs w:val="18"/>
                    </w:rPr>
                  </w:pPr>
                </w:p>
              </w:tc>
              <w:tc>
                <w:tcPr>
                  <w:tcW w:w="132" w:type="pct"/>
                  <w:vMerge w:val="continue"/>
                  <w:vAlign w:val="center"/>
                </w:tcPr>
                <w:p w14:paraId="5B1EE0C9">
                  <w:pPr>
                    <w:widowControl/>
                    <w:jc w:val="center"/>
                    <w:rPr>
                      <w:color w:val="auto"/>
                      <w:kern w:val="0"/>
                      <w:sz w:val="18"/>
                      <w:szCs w:val="18"/>
                    </w:rPr>
                  </w:pPr>
                </w:p>
              </w:tc>
              <w:tc>
                <w:tcPr>
                  <w:tcW w:w="357" w:type="pct"/>
                  <w:vMerge w:val="continue"/>
                  <w:vAlign w:val="center"/>
                </w:tcPr>
                <w:p w14:paraId="72E1BB38">
                  <w:pPr>
                    <w:adjustRightInd w:val="0"/>
                    <w:snapToGrid w:val="0"/>
                    <w:jc w:val="center"/>
                    <w:rPr>
                      <w:color w:val="auto"/>
                      <w:sz w:val="18"/>
                      <w:szCs w:val="18"/>
                    </w:rPr>
                  </w:pPr>
                </w:p>
              </w:tc>
              <w:tc>
                <w:tcPr>
                  <w:tcW w:w="400" w:type="pct"/>
                  <w:vAlign w:val="center"/>
                </w:tcPr>
                <w:p w14:paraId="76927167">
                  <w:pPr>
                    <w:adjustRightInd w:val="0"/>
                    <w:snapToGrid w:val="0"/>
                    <w:jc w:val="center"/>
                    <w:rPr>
                      <w:color w:val="auto"/>
                      <w:sz w:val="18"/>
                      <w:szCs w:val="18"/>
                    </w:rPr>
                  </w:pPr>
                  <w:r>
                    <w:rPr>
                      <w:rFonts w:hint="eastAsia"/>
                      <w:color w:val="auto"/>
                      <w:sz w:val="18"/>
                      <w:szCs w:val="18"/>
                    </w:rPr>
                    <w:t>/</w:t>
                  </w:r>
                </w:p>
              </w:tc>
              <w:tc>
                <w:tcPr>
                  <w:tcW w:w="298" w:type="pct"/>
                  <w:vAlign w:val="center"/>
                </w:tcPr>
                <w:p w14:paraId="44CDBB17">
                  <w:pPr>
                    <w:adjustRightInd w:val="0"/>
                    <w:snapToGrid w:val="0"/>
                    <w:jc w:val="center"/>
                    <w:rPr>
                      <w:color w:val="auto"/>
                      <w:sz w:val="18"/>
                      <w:szCs w:val="18"/>
                    </w:rPr>
                  </w:pPr>
                  <w:r>
                    <w:rPr>
                      <w:rFonts w:hint="eastAsia"/>
                      <w:color w:val="auto"/>
                      <w:sz w:val="18"/>
                      <w:szCs w:val="18"/>
                    </w:rPr>
                    <w:t>0.0118</w:t>
                  </w:r>
                </w:p>
              </w:tc>
              <w:tc>
                <w:tcPr>
                  <w:tcW w:w="307" w:type="pct"/>
                  <w:vAlign w:val="center"/>
                </w:tcPr>
                <w:p w14:paraId="362F6E74">
                  <w:pPr>
                    <w:adjustRightInd w:val="0"/>
                    <w:snapToGrid w:val="0"/>
                    <w:jc w:val="center"/>
                    <w:rPr>
                      <w:color w:val="auto"/>
                      <w:sz w:val="18"/>
                      <w:szCs w:val="18"/>
                    </w:rPr>
                  </w:pPr>
                  <w:r>
                    <w:rPr>
                      <w:rFonts w:hint="eastAsia"/>
                      <w:color w:val="auto"/>
                      <w:sz w:val="18"/>
                      <w:szCs w:val="18"/>
                    </w:rPr>
                    <w:t>0.0426</w:t>
                  </w:r>
                </w:p>
              </w:tc>
              <w:tc>
                <w:tcPr>
                  <w:tcW w:w="360" w:type="pct"/>
                  <w:vAlign w:val="center"/>
                </w:tcPr>
                <w:p w14:paraId="1EED1181">
                  <w:pPr>
                    <w:adjustRightInd w:val="0"/>
                    <w:snapToGrid w:val="0"/>
                    <w:jc w:val="center"/>
                    <w:rPr>
                      <w:color w:val="auto"/>
                      <w:sz w:val="18"/>
                      <w:szCs w:val="18"/>
                    </w:rPr>
                  </w:pPr>
                  <w:r>
                    <w:rPr>
                      <w:rFonts w:hint="eastAsia"/>
                      <w:color w:val="auto"/>
                      <w:sz w:val="18"/>
                      <w:szCs w:val="18"/>
                    </w:rPr>
                    <w:t>0.5</w:t>
                  </w:r>
                </w:p>
              </w:tc>
              <w:tc>
                <w:tcPr>
                  <w:tcW w:w="319" w:type="pct"/>
                  <w:vAlign w:val="center"/>
                </w:tcPr>
                <w:p w14:paraId="08591EDD">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050C77E5">
                  <w:pPr>
                    <w:adjustRightInd w:val="0"/>
                    <w:snapToGrid w:val="0"/>
                    <w:jc w:val="center"/>
                    <w:rPr>
                      <w:color w:val="auto"/>
                      <w:sz w:val="18"/>
                      <w:szCs w:val="18"/>
                    </w:rPr>
                  </w:pPr>
                </w:p>
              </w:tc>
            </w:tr>
            <w:tr w14:paraId="2C065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7" w:hRule="atLeast"/>
                <w:jc w:val="center"/>
              </w:trPr>
              <w:tc>
                <w:tcPr>
                  <w:tcW w:w="147" w:type="pct"/>
                  <w:vMerge w:val="restart"/>
                  <w:vAlign w:val="center"/>
                </w:tcPr>
                <w:p w14:paraId="723381A4">
                  <w:pPr>
                    <w:widowControl/>
                    <w:adjustRightInd w:val="0"/>
                    <w:snapToGrid w:val="0"/>
                    <w:jc w:val="center"/>
                    <w:rPr>
                      <w:color w:val="auto"/>
                      <w:kern w:val="0"/>
                      <w:sz w:val="18"/>
                      <w:szCs w:val="18"/>
                    </w:rPr>
                  </w:pPr>
                  <w:r>
                    <w:rPr>
                      <w:rFonts w:hint="eastAsia"/>
                      <w:color w:val="auto"/>
                      <w:kern w:val="0"/>
                      <w:sz w:val="18"/>
                      <w:szCs w:val="18"/>
                    </w:rPr>
                    <w:t>金属组件生产</w:t>
                  </w:r>
                </w:p>
              </w:tc>
              <w:tc>
                <w:tcPr>
                  <w:tcW w:w="232" w:type="pct"/>
                  <w:vMerge w:val="restart"/>
                  <w:vAlign w:val="center"/>
                </w:tcPr>
                <w:p w14:paraId="20E042FD">
                  <w:pPr>
                    <w:widowControl/>
                    <w:adjustRightInd w:val="0"/>
                    <w:snapToGrid w:val="0"/>
                    <w:jc w:val="center"/>
                    <w:rPr>
                      <w:color w:val="auto"/>
                      <w:kern w:val="0"/>
                      <w:sz w:val="18"/>
                      <w:szCs w:val="18"/>
                    </w:rPr>
                  </w:pPr>
                  <w:r>
                    <w:rPr>
                      <w:rFonts w:hint="eastAsia"/>
                      <w:color w:val="auto"/>
                      <w:kern w:val="0"/>
                      <w:sz w:val="18"/>
                      <w:szCs w:val="18"/>
                    </w:rPr>
                    <w:t>下料</w:t>
                  </w:r>
                </w:p>
              </w:tc>
              <w:tc>
                <w:tcPr>
                  <w:tcW w:w="230" w:type="pct"/>
                  <w:vAlign w:val="center"/>
                </w:tcPr>
                <w:p w14:paraId="47C32B6D">
                  <w:pPr>
                    <w:widowControl/>
                    <w:adjustRightInd w:val="0"/>
                    <w:snapToGrid w:val="0"/>
                    <w:jc w:val="center"/>
                    <w:rPr>
                      <w:color w:val="auto"/>
                      <w:kern w:val="0"/>
                      <w:sz w:val="18"/>
                      <w:szCs w:val="18"/>
                    </w:rPr>
                  </w:pPr>
                  <w:r>
                    <w:rPr>
                      <w:rFonts w:hint="eastAsia"/>
                      <w:color w:val="auto"/>
                      <w:kern w:val="0"/>
                      <w:sz w:val="18"/>
                      <w:szCs w:val="18"/>
                    </w:rPr>
                    <w:t>DA004</w:t>
                  </w:r>
                </w:p>
              </w:tc>
              <w:tc>
                <w:tcPr>
                  <w:tcW w:w="130" w:type="pct"/>
                  <w:vMerge w:val="restart"/>
                  <w:vAlign w:val="center"/>
                </w:tcPr>
                <w:p w14:paraId="57752825">
                  <w:pPr>
                    <w:widowControl/>
                    <w:adjustRightInd w:val="0"/>
                    <w:snapToGrid w:val="0"/>
                    <w:jc w:val="center"/>
                    <w:rPr>
                      <w:color w:val="auto"/>
                      <w:kern w:val="0"/>
                      <w:sz w:val="18"/>
                      <w:szCs w:val="18"/>
                    </w:rPr>
                  </w:pPr>
                  <w:r>
                    <w:rPr>
                      <w:color w:val="auto"/>
                      <w:kern w:val="0"/>
                      <w:sz w:val="18"/>
                      <w:szCs w:val="18"/>
                    </w:rPr>
                    <w:t>颗粒物</w:t>
                  </w:r>
                </w:p>
              </w:tc>
              <w:tc>
                <w:tcPr>
                  <w:tcW w:w="130" w:type="pct"/>
                  <w:vMerge w:val="restart"/>
                  <w:vAlign w:val="center"/>
                </w:tcPr>
                <w:p w14:paraId="7C20FE5E">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03DE49F4">
                  <w:pPr>
                    <w:jc w:val="center"/>
                    <w:rPr>
                      <w:color w:val="auto"/>
                      <w:sz w:val="18"/>
                      <w:szCs w:val="18"/>
                    </w:rPr>
                  </w:pPr>
                  <w:r>
                    <w:rPr>
                      <w:rFonts w:hint="eastAsia"/>
                      <w:color w:val="auto"/>
                      <w:sz w:val="18"/>
                      <w:szCs w:val="18"/>
                    </w:rPr>
                    <w:t>2000</w:t>
                  </w:r>
                </w:p>
              </w:tc>
              <w:tc>
                <w:tcPr>
                  <w:tcW w:w="399" w:type="pct"/>
                  <w:vAlign w:val="center"/>
                </w:tcPr>
                <w:p w14:paraId="482BED72">
                  <w:pPr>
                    <w:jc w:val="center"/>
                    <w:rPr>
                      <w:color w:val="auto"/>
                      <w:sz w:val="18"/>
                      <w:szCs w:val="18"/>
                    </w:rPr>
                  </w:pPr>
                  <w:r>
                    <w:rPr>
                      <w:rFonts w:hint="eastAsia"/>
                      <w:color w:val="auto"/>
                      <w:sz w:val="18"/>
                      <w:szCs w:val="18"/>
                    </w:rPr>
                    <w:t>6.125</w:t>
                  </w:r>
                </w:p>
              </w:tc>
              <w:tc>
                <w:tcPr>
                  <w:tcW w:w="298" w:type="pct"/>
                  <w:vAlign w:val="center"/>
                </w:tcPr>
                <w:p w14:paraId="7EE98587">
                  <w:pPr>
                    <w:adjustRightInd w:val="0"/>
                    <w:snapToGrid w:val="0"/>
                    <w:jc w:val="center"/>
                    <w:rPr>
                      <w:color w:val="auto"/>
                      <w:sz w:val="18"/>
                      <w:szCs w:val="18"/>
                    </w:rPr>
                  </w:pPr>
                  <w:r>
                    <w:rPr>
                      <w:rFonts w:hint="eastAsia"/>
                      <w:color w:val="auto"/>
                      <w:sz w:val="18"/>
                      <w:szCs w:val="18"/>
                    </w:rPr>
                    <w:t>0</w:t>
                  </w:r>
                  <w:r>
                    <w:rPr>
                      <w:color w:val="auto"/>
                      <w:sz w:val="18"/>
                      <w:szCs w:val="18"/>
                    </w:rPr>
                    <w:t>.0</w:t>
                  </w:r>
                  <w:r>
                    <w:rPr>
                      <w:rFonts w:hint="eastAsia"/>
                      <w:color w:val="auto"/>
                      <w:sz w:val="18"/>
                      <w:szCs w:val="18"/>
                    </w:rPr>
                    <w:t>123</w:t>
                  </w:r>
                </w:p>
              </w:tc>
              <w:tc>
                <w:tcPr>
                  <w:tcW w:w="265" w:type="pct"/>
                  <w:vAlign w:val="center"/>
                </w:tcPr>
                <w:p w14:paraId="223DC747">
                  <w:pPr>
                    <w:adjustRightInd w:val="0"/>
                    <w:snapToGrid w:val="0"/>
                    <w:jc w:val="center"/>
                    <w:rPr>
                      <w:color w:val="auto"/>
                      <w:sz w:val="18"/>
                      <w:szCs w:val="18"/>
                    </w:rPr>
                  </w:pPr>
                  <w:r>
                    <w:rPr>
                      <w:rFonts w:hint="eastAsia"/>
                      <w:color w:val="auto"/>
                      <w:sz w:val="18"/>
                      <w:szCs w:val="18"/>
                    </w:rPr>
                    <w:t>0.0441</w:t>
                  </w:r>
                </w:p>
              </w:tc>
              <w:tc>
                <w:tcPr>
                  <w:tcW w:w="191" w:type="pct"/>
                  <w:vAlign w:val="center"/>
                </w:tcPr>
                <w:p w14:paraId="75F3131F">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62EBF16C">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6151BDEF">
                  <w:pPr>
                    <w:jc w:val="center"/>
                    <w:rPr>
                      <w:color w:val="auto"/>
                      <w:kern w:val="0"/>
                      <w:sz w:val="18"/>
                      <w:szCs w:val="18"/>
                    </w:rPr>
                  </w:pPr>
                  <w:r>
                    <w:rPr>
                      <w:color w:val="auto"/>
                      <w:kern w:val="0"/>
                      <w:sz w:val="18"/>
                      <w:szCs w:val="18"/>
                    </w:rPr>
                    <w:t>处理效率</w:t>
                  </w:r>
                  <w:r>
                    <w:rPr>
                      <w:rFonts w:hint="eastAsia"/>
                      <w:color w:val="auto"/>
                      <w:kern w:val="0"/>
                      <w:sz w:val="18"/>
                      <w:szCs w:val="18"/>
                    </w:rPr>
                    <w:t>95</w:t>
                  </w:r>
                  <w:r>
                    <w:rPr>
                      <w:color w:val="auto"/>
                      <w:kern w:val="0"/>
                      <w:sz w:val="18"/>
                      <w:szCs w:val="18"/>
                    </w:rPr>
                    <w:t>%</w:t>
                  </w:r>
                </w:p>
              </w:tc>
              <w:tc>
                <w:tcPr>
                  <w:tcW w:w="132" w:type="pct"/>
                  <w:vMerge w:val="restart"/>
                  <w:vAlign w:val="center"/>
                </w:tcPr>
                <w:p w14:paraId="4990A0B1">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136B703A">
                  <w:pPr>
                    <w:jc w:val="center"/>
                    <w:rPr>
                      <w:color w:val="auto"/>
                      <w:sz w:val="18"/>
                      <w:szCs w:val="18"/>
                    </w:rPr>
                  </w:pPr>
                  <w:r>
                    <w:rPr>
                      <w:rFonts w:hint="eastAsia"/>
                      <w:color w:val="auto"/>
                      <w:sz w:val="18"/>
                      <w:szCs w:val="18"/>
                    </w:rPr>
                    <w:t>2000</w:t>
                  </w:r>
                </w:p>
              </w:tc>
              <w:tc>
                <w:tcPr>
                  <w:tcW w:w="400" w:type="pct"/>
                  <w:vAlign w:val="center"/>
                </w:tcPr>
                <w:p w14:paraId="2DC799D2">
                  <w:pPr>
                    <w:jc w:val="center"/>
                    <w:rPr>
                      <w:color w:val="auto"/>
                      <w:sz w:val="18"/>
                      <w:szCs w:val="18"/>
                    </w:rPr>
                  </w:pPr>
                  <w:r>
                    <w:rPr>
                      <w:rFonts w:hint="eastAsia"/>
                      <w:color w:val="auto"/>
                      <w:sz w:val="18"/>
                      <w:szCs w:val="18"/>
                    </w:rPr>
                    <w:t>0.31</w:t>
                  </w:r>
                </w:p>
              </w:tc>
              <w:tc>
                <w:tcPr>
                  <w:tcW w:w="298" w:type="pct"/>
                  <w:vAlign w:val="center"/>
                </w:tcPr>
                <w:p w14:paraId="46E6AF35">
                  <w:pPr>
                    <w:adjustRightInd w:val="0"/>
                    <w:snapToGrid w:val="0"/>
                    <w:jc w:val="center"/>
                    <w:rPr>
                      <w:color w:val="auto"/>
                      <w:sz w:val="18"/>
                      <w:szCs w:val="18"/>
                    </w:rPr>
                  </w:pPr>
                  <w:r>
                    <w:rPr>
                      <w:rFonts w:hint="eastAsia"/>
                      <w:color w:val="auto"/>
                      <w:sz w:val="18"/>
                      <w:szCs w:val="18"/>
                    </w:rPr>
                    <w:t>0</w:t>
                  </w:r>
                  <w:r>
                    <w:rPr>
                      <w:color w:val="auto"/>
                      <w:sz w:val="18"/>
                      <w:szCs w:val="18"/>
                    </w:rPr>
                    <w:t>.000</w:t>
                  </w:r>
                  <w:r>
                    <w:rPr>
                      <w:rFonts w:hint="eastAsia"/>
                      <w:color w:val="auto"/>
                      <w:sz w:val="18"/>
                      <w:szCs w:val="18"/>
                    </w:rPr>
                    <w:t>6</w:t>
                  </w:r>
                </w:p>
              </w:tc>
              <w:tc>
                <w:tcPr>
                  <w:tcW w:w="307" w:type="pct"/>
                  <w:vAlign w:val="center"/>
                </w:tcPr>
                <w:p w14:paraId="28AC9043">
                  <w:pPr>
                    <w:adjustRightInd w:val="0"/>
                    <w:snapToGrid w:val="0"/>
                    <w:jc w:val="center"/>
                    <w:rPr>
                      <w:color w:val="auto"/>
                      <w:sz w:val="18"/>
                      <w:szCs w:val="18"/>
                    </w:rPr>
                  </w:pPr>
                  <w:r>
                    <w:rPr>
                      <w:rFonts w:hint="eastAsia"/>
                      <w:color w:val="auto"/>
                      <w:sz w:val="18"/>
                      <w:szCs w:val="18"/>
                    </w:rPr>
                    <w:t>0.0022</w:t>
                  </w:r>
                </w:p>
              </w:tc>
              <w:tc>
                <w:tcPr>
                  <w:tcW w:w="360" w:type="pct"/>
                  <w:vAlign w:val="center"/>
                </w:tcPr>
                <w:p w14:paraId="7EB4F68F">
                  <w:pPr>
                    <w:adjustRightInd w:val="0"/>
                    <w:snapToGrid w:val="0"/>
                    <w:jc w:val="center"/>
                    <w:rPr>
                      <w:color w:val="auto"/>
                      <w:kern w:val="0"/>
                      <w:sz w:val="18"/>
                      <w:szCs w:val="18"/>
                    </w:rPr>
                  </w:pPr>
                  <w:r>
                    <w:rPr>
                      <w:rFonts w:hint="eastAsia"/>
                      <w:color w:val="auto"/>
                      <w:sz w:val="18"/>
                      <w:szCs w:val="18"/>
                    </w:rPr>
                    <w:t>20</w:t>
                  </w:r>
                </w:p>
              </w:tc>
              <w:tc>
                <w:tcPr>
                  <w:tcW w:w="319" w:type="pct"/>
                  <w:vAlign w:val="center"/>
                </w:tcPr>
                <w:p w14:paraId="7DE5D8A3">
                  <w:pPr>
                    <w:adjustRightInd w:val="0"/>
                    <w:snapToGrid w:val="0"/>
                    <w:jc w:val="center"/>
                    <w:rPr>
                      <w:color w:val="auto"/>
                      <w:kern w:val="0"/>
                      <w:sz w:val="18"/>
                      <w:szCs w:val="18"/>
                    </w:rPr>
                  </w:pPr>
                  <w:r>
                    <w:rPr>
                      <w:rFonts w:hint="eastAsia"/>
                      <w:color w:val="auto"/>
                      <w:sz w:val="18"/>
                      <w:szCs w:val="18"/>
                    </w:rPr>
                    <w:t>1.0</w:t>
                  </w:r>
                </w:p>
              </w:tc>
              <w:tc>
                <w:tcPr>
                  <w:tcW w:w="213" w:type="pct"/>
                  <w:vMerge w:val="restart"/>
                  <w:vAlign w:val="center"/>
                </w:tcPr>
                <w:p w14:paraId="351A39F4">
                  <w:pPr>
                    <w:widowControl/>
                    <w:adjustRightInd w:val="0"/>
                    <w:snapToGrid w:val="0"/>
                    <w:jc w:val="center"/>
                    <w:rPr>
                      <w:color w:val="auto"/>
                      <w:kern w:val="0"/>
                      <w:sz w:val="18"/>
                      <w:szCs w:val="18"/>
                    </w:rPr>
                  </w:pPr>
                  <w:r>
                    <w:rPr>
                      <w:rFonts w:hint="eastAsia"/>
                      <w:color w:val="auto"/>
                      <w:kern w:val="0"/>
                      <w:sz w:val="18"/>
                      <w:szCs w:val="18"/>
                    </w:rPr>
                    <w:t>3600</w:t>
                  </w:r>
                </w:p>
              </w:tc>
            </w:tr>
            <w:tr w14:paraId="7B945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523FDA53">
                  <w:pPr>
                    <w:widowControl/>
                    <w:adjustRightInd w:val="0"/>
                    <w:snapToGrid w:val="0"/>
                    <w:jc w:val="center"/>
                    <w:rPr>
                      <w:color w:val="auto"/>
                      <w:kern w:val="0"/>
                      <w:sz w:val="18"/>
                      <w:szCs w:val="18"/>
                    </w:rPr>
                  </w:pPr>
                </w:p>
              </w:tc>
              <w:tc>
                <w:tcPr>
                  <w:tcW w:w="232" w:type="pct"/>
                  <w:vMerge w:val="continue"/>
                  <w:vAlign w:val="center"/>
                </w:tcPr>
                <w:p w14:paraId="235BEC2E">
                  <w:pPr>
                    <w:widowControl/>
                    <w:adjustRightInd w:val="0"/>
                    <w:snapToGrid w:val="0"/>
                    <w:jc w:val="center"/>
                    <w:rPr>
                      <w:color w:val="auto"/>
                      <w:kern w:val="0"/>
                      <w:sz w:val="18"/>
                      <w:szCs w:val="18"/>
                    </w:rPr>
                  </w:pPr>
                </w:p>
              </w:tc>
              <w:tc>
                <w:tcPr>
                  <w:tcW w:w="230" w:type="pct"/>
                  <w:vAlign w:val="center"/>
                </w:tcPr>
                <w:p w14:paraId="01FC8F25">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5D997C39">
                  <w:pPr>
                    <w:widowControl/>
                    <w:adjustRightInd w:val="0"/>
                    <w:snapToGrid w:val="0"/>
                    <w:jc w:val="center"/>
                    <w:rPr>
                      <w:color w:val="auto"/>
                      <w:kern w:val="0"/>
                      <w:sz w:val="18"/>
                      <w:szCs w:val="18"/>
                    </w:rPr>
                  </w:pPr>
                </w:p>
              </w:tc>
              <w:tc>
                <w:tcPr>
                  <w:tcW w:w="130" w:type="pct"/>
                  <w:vMerge w:val="continue"/>
                  <w:vAlign w:val="center"/>
                </w:tcPr>
                <w:p w14:paraId="2C78D532">
                  <w:pPr>
                    <w:widowControl/>
                    <w:adjustRightInd w:val="0"/>
                    <w:snapToGrid w:val="0"/>
                    <w:jc w:val="center"/>
                    <w:rPr>
                      <w:color w:val="auto"/>
                      <w:kern w:val="0"/>
                      <w:sz w:val="18"/>
                      <w:szCs w:val="18"/>
                    </w:rPr>
                  </w:pPr>
                </w:p>
              </w:tc>
              <w:tc>
                <w:tcPr>
                  <w:tcW w:w="357" w:type="pct"/>
                  <w:vMerge w:val="continue"/>
                  <w:vAlign w:val="center"/>
                </w:tcPr>
                <w:p w14:paraId="3783D122">
                  <w:pPr>
                    <w:jc w:val="center"/>
                    <w:rPr>
                      <w:color w:val="auto"/>
                      <w:sz w:val="18"/>
                      <w:szCs w:val="18"/>
                    </w:rPr>
                  </w:pPr>
                </w:p>
              </w:tc>
              <w:tc>
                <w:tcPr>
                  <w:tcW w:w="399" w:type="pct"/>
                  <w:vAlign w:val="center"/>
                </w:tcPr>
                <w:p w14:paraId="29EC93F5">
                  <w:pPr>
                    <w:jc w:val="center"/>
                    <w:rPr>
                      <w:color w:val="auto"/>
                      <w:sz w:val="18"/>
                      <w:szCs w:val="18"/>
                    </w:rPr>
                  </w:pPr>
                  <w:r>
                    <w:rPr>
                      <w:rFonts w:hint="eastAsia"/>
                      <w:color w:val="auto"/>
                      <w:sz w:val="18"/>
                      <w:szCs w:val="18"/>
                    </w:rPr>
                    <w:t>/</w:t>
                  </w:r>
                </w:p>
              </w:tc>
              <w:tc>
                <w:tcPr>
                  <w:tcW w:w="298" w:type="pct"/>
                  <w:vAlign w:val="center"/>
                </w:tcPr>
                <w:p w14:paraId="1F35BBC0">
                  <w:pPr>
                    <w:adjustRightInd w:val="0"/>
                    <w:snapToGrid w:val="0"/>
                    <w:jc w:val="center"/>
                    <w:rPr>
                      <w:color w:val="auto"/>
                      <w:sz w:val="18"/>
                      <w:szCs w:val="18"/>
                    </w:rPr>
                  </w:pPr>
                  <w:r>
                    <w:rPr>
                      <w:rFonts w:hint="eastAsia"/>
                      <w:color w:val="auto"/>
                      <w:sz w:val="18"/>
                      <w:szCs w:val="18"/>
                    </w:rPr>
                    <w:t>0.0031</w:t>
                  </w:r>
                </w:p>
              </w:tc>
              <w:tc>
                <w:tcPr>
                  <w:tcW w:w="265" w:type="pct"/>
                  <w:vAlign w:val="center"/>
                </w:tcPr>
                <w:p w14:paraId="2FA69497">
                  <w:pPr>
                    <w:adjustRightInd w:val="0"/>
                    <w:snapToGrid w:val="0"/>
                    <w:jc w:val="center"/>
                    <w:rPr>
                      <w:color w:val="auto"/>
                      <w:sz w:val="18"/>
                      <w:szCs w:val="18"/>
                    </w:rPr>
                  </w:pPr>
                  <w:r>
                    <w:rPr>
                      <w:rFonts w:hint="eastAsia"/>
                      <w:color w:val="auto"/>
                      <w:sz w:val="18"/>
                      <w:szCs w:val="18"/>
                    </w:rPr>
                    <w:t>0.0110</w:t>
                  </w:r>
                </w:p>
              </w:tc>
              <w:tc>
                <w:tcPr>
                  <w:tcW w:w="191" w:type="pct"/>
                  <w:vAlign w:val="center"/>
                </w:tcPr>
                <w:p w14:paraId="1FFD1C04">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2759210E">
                  <w:pPr>
                    <w:jc w:val="center"/>
                    <w:rPr>
                      <w:color w:val="auto"/>
                      <w:kern w:val="0"/>
                      <w:sz w:val="18"/>
                      <w:szCs w:val="18"/>
                    </w:rPr>
                  </w:pPr>
                </w:p>
              </w:tc>
              <w:tc>
                <w:tcPr>
                  <w:tcW w:w="132" w:type="pct"/>
                  <w:vMerge w:val="continue"/>
                  <w:vAlign w:val="center"/>
                </w:tcPr>
                <w:p w14:paraId="46452754">
                  <w:pPr>
                    <w:widowControl/>
                    <w:jc w:val="center"/>
                    <w:rPr>
                      <w:color w:val="auto"/>
                      <w:kern w:val="0"/>
                      <w:sz w:val="18"/>
                      <w:szCs w:val="18"/>
                    </w:rPr>
                  </w:pPr>
                </w:p>
              </w:tc>
              <w:tc>
                <w:tcPr>
                  <w:tcW w:w="357" w:type="pct"/>
                  <w:vMerge w:val="continue"/>
                  <w:vAlign w:val="center"/>
                </w:tcPr>
                <w:p w14:paraId="2579D68C">
                  <w:pPr>
                    <w:jc w:val="center"/>
                    <w:rPr>
                      <w:color w:val="auto"/>
                      <w:sz w:val="18"/>
                      <w:szCs w:val="18"/>
                    </w:rPr>
                  </w:pPr>
                </w:p>
              </w:tc>
              <w:tc>
                <w:tcPr>
                  <w:tcW w:w="400" w:type="pct"/>
                  <w:vAlign w:val="center"/>
                </w:tcPr>
                <w:p w14:paraId="0A0FFA5C">
                  <w:pPr>
                    <w:jc w:val="center"/>
                    <w:rPr>
                      <w:color w:val="auto"/>
                      <w:sz w:val="18"/>
                      <w:szCs w:val="18"/>
                    </w:rPr>
                  </w:pPr>
                  <w:r>
                    <w:rPr>
                      <w:rFonts w:hint="eastAsia"/>
                      <w:color w:val="auto"/>
                      <w:sz w:val="18"/>
                      <w:szCs w:val="18"/>
                    </w:rPr>
                    <w:t>/</w:t>
                  </w:r>
                </w:p>
              </w:tc>
              <w:tc>
                <w:tcPr>
                  <w:tcW w:w="298" w:type="pct"/>
                  <w:vAlign w:val="center"/>
                </w:tcPr>
                <w:p w14:paraId="66E18CC2">
                  <w:pPr>
                    <w:adjustRightInd w:val="0"/>
                    <w:snapToGrid w:val="0"/>
                    <w:jc w:val="center"/>
                    <w:rPr>
                      <w:color w:val="auto"/>
                      <w:sz w:val="18"/>
                      <w:szCs w:val="18"/>
                    </w:rPr>
                  </w:pPr>
                  <w:r>
                    <w:rPr>
                      <w:rFonts w:hint="eastAsia"/>
                      <w:color w:val="auto"/>
                      <w:sz w:val="18"/>
                      <w:szCs w:val="18"/>
                    </w:rPr>
                    <w:t>0.0031</w:t>
                  </w:r>
                </w:p>
              </w:tc>
              <w:tc>
                <w:tcPr>
                  <w:tcW w:w="307" w:type="pct"/>
                  <w:vAlign w:val="center"/>
                </w:tcPr>
                <w:p w14:paraId="5739462B">
                  <w:pPr>
                    <w:adjustRightInd w:val="0"/>
                    <w:snapToGrid w:val="0"/>
                    <w:jc w:val="center"/>
                    <w:rPr>
                      <w:color w:val="auto"/>
                      <w:sz w:val="18"/>
                      <w:szCs w:val="18"/>
                    </w:rPr>
                  </w:pPr>
                  <w:r>
                    <w:rPr>
                      <w:rFonts w:hint="eastAsia"/>
                      <w:color w:val="auto"/>
                      <w:sz w:val="18"/>
                      <w:szCs w:val="18"/>
                    </w:rPr>
                    <w:t>0.0110</w:t>
                  </w:r>
                </w:p>
              </w:tc>
              <w:tc>
                <w:tcPr>
                  <w:tcW w:w="360" w:type="pct"/>
                  <w:vAlign w:val="center"/>
                </w:tcPr>
                <w:p w14:paraId="2934775B">
                  <w:pPr>
                    <w:adjustRightInd w:val="0"/>
                    <w:snapToGrid w:val="0"/>
                    <w:jc w:val="center"/>
                    <w:rPr>
                      <w:color w:val="auto"/>
                      <w:kern w:val="0"/>
                      <w:sz w:val="18"/>
                      <w:szCs w:val="18"/>
                    </w:rPr>
                  </w:pPr>
                  <w:r>
                    <w:rPr>
                      <w:rFonts w:hint="eastAsia"/>
                      <w:color w:val="auto"/>
                      <w:sz w:val="18"/>
                      <w:szCs w:val="18"/>
                    </w:rPr>
                    <w:t>0.5</w:t>
                  </w:r>
                </w:p>
              </w:tc>
              <w:tc>
                <w:tcPr>
                  <w:tcW w:w="319" w:type="pct"/>
                  <w:vAlign w:val="center"/>
                </w:tcPr>
                <w:p w14:paraId="2FCD5BFB">
                  <w:pPr>
                    <w:adjustRightInd w:val="0"/>
                    <w:snapToGrid w:val="0"/>
                    <w:jc w:val="center"/>
                    <w:rPr>
                      <w:color w:val="auto"/>
                      <w:kern w:val="0"/>
                      <w:sz w:val="18"/>
                      <w:szCs w:val="18"/>
                    </w:rPr>
                  </w:pPr>
                  <w:r>
                    <w:rPr>
                      <w:rFonts w:hint="eastAsia"/>
                      <w:color w:val="auto"/>
                      <w:sz w:val="18"/>
                      <w:szCs w:val="18"/>
                    </w:rPr>
                    <w:t>/</w:t>
                  </w:r>
                </w:p>
              </w:tc>
              <w:tc>
                <w:tcPr>
                  <w:tcW w:w="213" w:type="pct"/>
                  <w:vMerge w:val="continue"/>
                  <w:vAlign w:val="center"/>
                </w:tcPr>
                <w:p w14:paraId="21FFEC42">
                  <w:pPr>
                    <w:widowControl/>
                    <w:adjustRightInd w:val="0"/>
                    <w:snapToGrid w:val="0"/>
                    <w:jc w:val="center"/>
                    <w:rPr>
                      <w:color w:val="auto"/>
                      <w:kern w:val="0"/>
                      <w:sz w:val="18"/>
                      <w:szCs w:val="18"/>
                    </w:rPr>
                  </w:pPr>
                </w:p>
              </w:tc>
            </w:tr>
            <w:tr w14:paraId="57A7F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7" w:hRule="atLeast"/>
                <w:jc w:val="center"/>
              </w:trPr>
              <w:tc>
                <w:tcPr>
                  <w:tcW w:w="147" w:type="pct"/>
                  <w:vMerge w:val="continue"/>
                  <w:vAlign w:val="center"/>
                </w:tcPr>
                <w:p w14:paraId="6C2770C8">
                  <w:pPr>
                    <w:widowControl/>
                    <w:adjustRightInd w:val="0"/>
                    <w:snapToGrid w:val="0"/>
                    <w:jc w:val="center"/>
                    <w:rPr>
                      <w:color w:val="auto"/>
                      <w:kern w:val="0"/>
                      <w:sz w:val="18"/>
                      <w:szCs w:val="18"/>
                    </w:rPr>
                  </w:pPr>
                </w:p>
              </w:tc>
              <w:tc>
                <w:tcPr>
                  <w:tcW w:w="232" w:type="pct"/>
                  <w:vMerge w:val="restart"/>
                  <w:vAlign w:val="center"/>
                </w:tcPr>
                <w:p w14:paraId="224C6ECE">
                  <w:pPr>
                    <w:widowControl/>
                    <w:adjustRightInd w:val="0"/>
                    <w:snapToGrid w:val="0"/>
                    <w:jc w:val="center"/>
                    <w:rPr>
                      <w:color w:val="auto"/>
                      <w:kern w:val="0"/>
                      <w:sz w:val="18"/>
                      <w:szCs w:val="18"/>
                    </w:rPr>
                  </w:pPr>
                  <w:r>
                    <w:rPr>
                      <w:rFonts w:hint="eastAsia"/>
                      <w:color w:val="auto"/>
                      <w:kern w:val="0"/>
                      <w:sz w:val="18"/>
                      <w:szCs w:val="18"/>
                    </w:rPr>
                    <w:t>压合</w:t>
                  </w:r>
                </w:p>
              </w:tc>
              <w:tc>
                <w:tcPr>
                  <w:tcW w:w="230" w:type="pct"/>
                  <w:vAlign w:val="center"/>
                </w:tcPr>
                <w:p w14:paraId="4367BC8B">
                  <w:pPr>
                    <w:widowControl/>
                    <w:adjustRightInd w:val="0"/>
                    <w:snapToGrid w:val="0"/>
                    <w:jc w:val="center"/>
                    <w:rPr>
                      <w:color w:val="auto"/>
                    </w:rPr>
                  </w:pPr>
                  <w:r>
                    <w:rPr>
                      <w:rFonts w:hint="eastAsia"/>
                      <w:color w:val="auto"/>
                      <w:kern w:val="0"/>
                      <w:sz w:val="18"/>
                      <w:szCs w:val="18"/>
                    </w:rPr>
                    <w:t>DA005</w:t>
                  </w:r>
                </w:p>
              </w:tc>
              <w:tc>
                <w:tcPr>
                  <w:tcW w:w="130" w:type="pct"/>
                  <w:vMerge w:val="restart"/>
                  <w:vAlign w:val="center"/>
                </w:tcPr>
                <w:p w14:paraId="67F1F43F">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454DFDE0">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47B2AEC7">
                  <w:pPr>
                    <w:jc w:val="center"/>
                    <w:rPr>
                      <w:color w:val="auto"/>
                      <w:sz w:val="18"/>
                      <w:szCs w:val="18"/>
                    </w:rPr>
                  </w:pPr>
                  <w:r>
                    <w:rPr>
                      <w:rFonts w:hint="eastAsia"/>
                      <w:color w:val="auto"/>
                      <w:sz w:val="18"/>
                      <w:szCs w:val="18"/>
                    </w:rPr>
                    <w:t>1000</w:t>
                  </w:r>
                </w:p>
              </w:tc>
              <w:tc>
                <w:tcPr>
                  <w:tcW w:w="399" w:type="pct"/>
                  <w:vAlign w:val="center"/>
                </w:tcPr>
                <w:p w14:paraId="5B60AC57">
                  <w:pPr>
                    <w:jc w:val="center"/>
                    <w:rPr>
                      <w:color w:val="auto"/>
                      <w:sz w:val="18"/>
                      <w:szCs w:val="18"/>
                    </w:rPr>
                  </w:pPr>
                  <w:r>
                    <w:rPr>
                      <w:rFonts w:hint="eastAsia"/>
                      <w:color w:val="auto"/>
                      <w:sz w:val="18"/>
                      <w:szCs w:val="18"/>
                    </w:rPr>
                    <w:t>2.11</w:t>
                  </w:r>
                </w:p>
              </w:tc>
              <w:tc>
                <w:tcPr>
                  <w:tcW w:w="298" w:type="pct"/>
                  <w:vAlign w:val="center"/>
                </w:tcPr>
                <w:p w14:paraId="3A080CA4">
                  <w:pPr>
                    <w:adjustRightInd w:val="0"/>
                    <w:snapToGrid w:val="0"/>
                    <w:jc w:val="center"/>
                    <w:rPr>
                      <w:color w:val="auto"/>
                      <w:sz w:val="18"/>
                      <w:szCs w:val="18"/>
                    </w:rPr>
                  </w:pPr>
                  <w:r>
                    <w:rPr>
                      <w:rFonts w:hint="eastAsia"/>
                      <w:color w:val="auto"/>
                      <w:sz w:val="18"/>
                      <w:szCs w:val="18"/>
                    </w:rPr>
                    <w:t>0.0021</w:t>
                  </w:r>
                </w:p>
              </w:tc>
              <w:tc>
                <w:tcPr>
                  <w:tcW w:w="265" w:type="pct"/>
                  <w:vAlign w:val="center"/>
                </w:tcPr>
                <w:p w14:paraId="3E22FA14">
                  <w:pPr>
                    <w:widowControl/>
                    <w:jc w:val="center"/>
                    <w:rPr>
                      <w:color w:val="auto"/>
                      <w:kern w:val="0"/>
                      <w:sz w:val="18"/>
                      <w:szCs w:val="18"/>
                    </w:rPr>
                  </w:pPr>
                  <w:r>
                    <w:rPr>
                      <w:rFonts w:hint="eastAsia"/>
                      <w:color w:val="auto"/>
                      <w:kern w:val="0"/>
                      <w:sz w:val="18"/>
                      <w:szCs w:val="18"/>
                    </w:rPr>
                    <w:t>0.0076</w:t>
                  </w:r>
                </w:p>
              </w:tc>
              <w:tc>
                <w:tcPr>
                  <w:tcW w:w="191" w:type="pct"/>
                  <w:vAlign w:val="center"/>
                </w:tcPr>
                <w:p w14:paraId="5F38DCD3">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009ED9E1">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7EB4AFAA">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25214B26">
                  <w:pPr>
                    <w:widowControl/>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5BC9FAC7">
                  <w:pPr>
                    <w:jc w:val="center"/>
                    <w:rPr>
                      <w:color w:val="auto"/>
                      <w:sz w:val="18"/>
                      <w:szCs w:val="18"/>
                    </w:rPr>
                  </w:pPr>
                  <w:r>
                    <w:rPr>
                      <w:rFonts w:hint="eastAsia"/>
                      <w:color w:val="auto"/>
                      <w:sz w:val="18"/>
                      <w:szCs w:val="18"/>
                    </w:rPr>
                    <w:t>1000</w:t>
                  </w:r>
                </w:p>
              </w:tc>
              <w:tc>
                <w:tcPr>
                  <w:tcW w:w="400" w:type="pct"/>
                  <w:vAlign w:val="center"/>
                </w:tcPr>
                <w:p w14:paraId="0176ACB6">
                  <w:pPr>
                    <w:jc w:val="center"/>
                    <w:rPr>
                      <w:color w:val="auto"/>
                      <w:sz w:val="18"/>
                      <w:szCs w:val="18"/>
                    </w:rPr>
                  </w:pPr>
                  <w:r>
                    <w:rPr>
                      <w:rFonts w:hint="eastAsia"/>
                      <w:color w:val="auto"/>
                      <w:sz w:val="18"/>
                      <w:szCs w:val="18"/>
                    </w:rPr>
                    <w:t>0.21</w:t>
                  </w:r>
                </w:p>
              </w:tc>
              <w:tc>
                <w:tcPr>
                  <w:tcW w:w="298" w:type="pct"/>
                  <w:vAlign w:val="center"/>
                </w:tcPr>
                <w:p w14:paraId="5F428BAC">
                  <w:pPr>
                    <w:adjustRightInd w:val="0"/>
                    <w:snapToGrid w:val="0"/>
                    <w:jc w:val="center"/>
                    <w:rPr>
                      <w:color w:val="auto"/>
                      <w:sz w:val="18"/>
                      <w:szCs w:val="18"/>
                    </w:rPr>
                  </w:pPr>
                  <w:r>
                    <w:rPr>
                      <w:rFonts w:hint="eastAsia"/>
                      <w:color w:val="auto"/>
                      <w:sz w:val="18"/>
                      <w:szCs w:val="18"/>
                    </w:rPr>
                    <w:t>0.0002</w:t>
                  </w:r>
                </w:p>
              </w:tc>
              <w:tc>
                <w:tcPr>
                  <w:tcW w:w="307" w:type="pct"/>
                  <w:vAlign w:val="center"/>
                </w:tcPr>
                <w:p w14:paraId="24DA4781">
                  <w:pPr>
                    <w:adjustRightInd w:val="0"/>
                    <w:snapToGrid w:val="0"/>
                    <w:jc w:val="center"/>
                    <w:rPr>
                      <w:color w:val="auto"/>
                      <w:sz w:val="18"/>
                      <w:szCs w:val="18"/>
                    </w:rPr>
                  </w:pPr>
                  <w:r>
                    <w:rPr>
                      <w:rFonts w:hint="eastAsia"/>
                      <w:color w:val="auto"/>
                      <w:sz w:val="18"/>
                      <w:szCs w:val="18"/>
                    </w:rPr>
                    <w:t>0.00076</w:t>
                  </w:r>
                </w:p>
              </w:tc>
              <w:tc>
                <w:tcPr>
                  <w:tcW w:w="360" w:type="pct"/>
                  <w:vAlign w:val="center"/>
                </w:tcPr>
                <w:p w14:paraId="4407B7F5">
                  <w:pPr>
                    <w:adjustRightInd w:val="0"/>
                    <w:snapToGrid w:val="0"/>
                    <w:jc w:val="center"/>
                    <w:rPr>
                      <w:color w:val="auto"/>
                      <w:kern w:val="0"/>
                      <w:sz w:val="18"/>
                      <w:szCs w:val="18"/>
                    </w:rPr>
                  </w:pPr>
                  <w:r>
                    <w:rPr>
                      <w:rFonts w:hint="eastAsia"/>
                      <w:color w:val="auto"/>
                      <w:sz w:val="18"/>
                      <w:szCs w:val="18"/>
                    </w:rPr>
                    <w:t>50</w:t>
                  </w:r>
                </w:p>
              </w:tc>
              <w:tc>
                <w:tcPr>
                  <w:tcW w:w="319" w:type="pct"/>
                  <w:vAlign w:val="center"/>
                </w:tcPr>
                <w:p w14:paraId="4E892E10">
                  <w:pPr>
                    <w:adjustRightInd w:val="0"/>
                    <w:snapToGrid w:val="0"/>
                    <w:jc w:val="center"/>
                    <w:rPr>
                      <w:color w:val="auto"/>
                      <w:kern w:val="0"/>
                      <w:sz w:val="18"/>
                      <w:szCs w:val="18"/>
                    </w:rPr>
                  </w:pPr>
                  <w:r>
                    <w:rPr>
                      <w:rFonts w:hint="eastAsia"/>
                      <w:color w:val="auto"/>
                      <w:sz w:val="18"/>
                      <w:szCs w:val="18"/>
                    </w:rPr>
                    <w:t>2.0</w:t>
                  </w:r>
                </w:p>
              </w:tc>
              <w:tc>
                <w:tcPr>
                  <w:tcW w:w="213" w:type="pct"/>
                  <w:vMerge w:val="restart"/>
                  <w:vAlign w:val="center"/>
                </w:tcPr>
                <w:p w14:paraId="31AD3AD9">
                  <w:pPr>
                    <w:widowControl/>
                    <w:adjustRightInd w:val="0"/>
                    <w:snapToGrid w:val="0"/>
                    <w:jc w:val="center"/>
                    <w:rPr>
                      <w:color w:val="auto"/>
                      <w:kern w:val="0"/>
                      <w:sz w:val="18"/>
                      <w:szCs w:val="18"/>
                    </w:rPr>
                  </w:pPr>
                  <w:r>
                    <w:rPr>
                      <w:rFonts w:hint="eastAsia"/>
                      <w:color w:val="auto"/>
                      <w:kern w:val="0"/>
                      <w:sz w:val="18"/>
                      <w:szCs w:val="18"/>
                    </w:rPr>
                    <w:t>3600</w:t>
                  </w:r>
                </w:p>
              </w:tc>
            </w:tr>
            <w:tr w14:paraId="4DFA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4DBA0573">
                  <w:pPr>
                    <w:widowControl/>
                    <w:adjustRightInd w:val="0"/>
                    <w:snapToGrid w:val="0"/>
                    <w:jc w:val="center"/>
                    <w:rPr>
                      <w:color w:val="auto"/>
                      <w:kern w:val="0"/>
                      <w:sz w:val="18"/>
                      <w:szCs w:val="18"/>
                    </w:rPr>
                  </w:pPr>
                </w:p>
              </w:tc>
              <w:tc>
                <w:tcPr>
                  <w:tcW w:w="232" w:type="pct"/>
                  <w:vMerge w:val="continue"/>
                  <w:vAlign w:val="center"/>
                </w:tcPr>
                <w:p w14:paraId="40EEB6D1">
                  <w:pPr>
                    <w:widowControl/>
                    <w:adjustRightInd w:val="0"/>
                    <w:snapToGrid w:val="0"/>
                    <w:jc w:val="center"/>
                    <w:rPr>
                      <w:color w:val="auto"/>
                      <w:kern w:val="0"/>
                      <w:sz w:val="18"/>
                      <w:szCs w:val="18"/>
                    </w:rPr>
                  </w:pPr>
                </w:p>
              </w:tc>
              <w:tc>
                <w:tcPr>
                  <w:tcW w:w="230" w:type="pct"/>
                  <w:vAlign w:val="center"/>
                </w:tcPr>
                <w:p w14:paraId="33C04DD7">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Merge w:val="continue"/>
                  <w:vAlign w:val="center"/>
                </w:tcPr>
                <w:p w14:paraId="3E240B9C">
                  <w:pPr>
                    <w:widowControl/>
                    <w:adjustRightInd w:val="0"/>
                    <w:snapToGrid w:val="0"/>
                    <w:jc w:val="center"/>
                    <w:rPr>
                      <w:color w:val="auto"/>
                      <w:kern w:val="0"/>
                      <w:sz w:val="18"/>
                      <w:szCs w:val="18"/>
                    </w:rPr>
                  </w:pPr>
                </w:p>
              </w:tc>
              <w:tc>
                <w:tcPr>
                  <w:tcW w:w="130" w:type="pct"/>
                  <w:vMerge w:val="continue"/>
                  <w:vAlign w:val="center"/>
                </w:tcPr>
                <w:p w14:paraId="51D1A1CF">
                  <w:pPr>
                    <w:widowControl/>
                    <w:adjustRightInd w:val="0"/>
                    <w:snapToGrid w:val="0"/>
                    <w:jc w:val="center"/>
                    <w:rPr>
                      <w:color w:val="auto"/>
                      <w:kern w:val="0"/>
                      <w:sz w:val="18"/>
                      <w:szCs w:val="18"/>
                    </w:rPr>
                  </w:pPr>
                </w:p>
              </w:tc>
              <w:tc>
                <w:tcPr>
                  <w:tcW w:w="357" w:type="pct"/>
                  <w:vMerge w:val="continue"/>
                  <w:vAlign w:val="center"/>
                </w:tcPr>
                <w:p w14:paraId="305CFF85">
                  <w:pPr>
                    <w:jc w:val="center"/>
                    <w:rPr>
                      <w:color w:val="auto"/>
                      <w:sz w:val="18"/>
                      <w:szCs w:val="18"/>
                    </w:rPr>
                  </w:pPr>
                </w:p>
              </w:tc>
              <w:tc>
                <w:tcPr>
                  <w:tcW w:w="399" w:type="pct"/>
                  <w:vAlign w:val="center"/>
                </w:tcPr>
                <w:p w14:paraId="4B10D79B">
                  <w:pPr>
                    <w:jc w:val="center"/>
                    <w:rPr>
                      <w:color w:val="auto"/>
                      <w:sz w:val="18"/>
                      <w:szCs w:val="18"/>
                    </w:rPr>
                  </w:pPr>
                  <w:r>
                    <w:rPr>
                      <w:rFonts w:hint="eastAsia"/>
                      <w:color w:val="auto"/>
                      <w:sz w:val="18"/>
                      <w:szCs w:val="18"/>
                    </w:rPr>
                    <w:t>/</w:t>
                  </w:r>
                </w:p>
              </w:tc>
              <w:tc>
                <w:tcPr>
                  <w:tcW w:w="298" w:type="pct"/>
                  <w:vAlign w:val="center"/>
                </w:tcPr>
                <w:p w14:paraId="0BEFB1A8">
                  <w:pPr>
                    <w:adjustRightInd w:val="0"/>
                    <w:snapToGrid w:val="0"/>
                    <w:jc w:val="center"/>
                    <w:rPr>
                      <w:color w:val="auto"/>
                      <w:sz w:val="18"/>
                      <w:szCs w:val="18"/>
                    </w:rPr>
                  </w:pPr>
                  <w:r>
                    <w:rPr>
                      <w:rFonts w:hint="eastAsia"/>
                      <w:color w:val="auto"/>
                      <w:sz w:val="18"/>
                      <w:szCs w:val="18"/>
                    </w:rPr>
                    <w:t>0.0005</w:t>
                  </w:r>
                </w:p>
              </w:tc>
              <w:tc>
                <w:tcPr>
                  <w:tcW w:w="265" w:type="pct"/>
                  <w:vAlign w:val="center"/>
                </w:tcPr>
                <w:p w14:paraId="6EA7EF54">
                  <w:pPr>
                    <w:widowControl/>
                    <w:jc w:val="center"/>
                    <w:rPr>
                      <w:color w:val="auto"/>
                      <w:kern w:val="0"/>
                      <w:sz w:val="18"/>
                      <w:szCs w:val="18"/>
                    </w:rPr>
                  </w:pPr>
                  <w:r>
                    <w:rPr>
                      <w:rFonts w:hint="eastAsia"/>
                      <w:color w:val="auto"/>
                      <w:kern w:val="0"/>
                      <w:sz w:val="18"/>
                      <w:szCs w:val="18"/>
                    </w:rPr>
                    <w:t>0.0019</w:t>
                  </w:r>
                </w:p>
              </w:tc>
              <w:tc>
                <w:tcPr>
                  <w:tcW w:w="191" w:type="pct"/>
                  <w:vAlign w:val="center"/>
                </w:tcPr>
                <w:p w14:paraId="78CD3995">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329A54B4">
                  <w:pPr>
                    <w:jc w:val="center"/>
                    <w:rPr>
                      <w:color w:val="auto"/>
                      <w:kern w:val="0"/>
                      <w:sz w:val="18"/>
                      <w:szCs w:val="18"/>
                    </w:rPr>
                  </w:pPr>
                </w:p>
              </w:tc>
              <w:tc>
                <w:tcPr>
                  <w:tcW w:w="132" w:type="pct"/>
                  <w:vMerge w:val="continue"/>
                  <w:vAlign w:val="center"/>
                </w:tcPr>
                <w:p w14:paraId="16576B1E">
                  <w:pPr>
                    <w:widowControl/>
                    <w:jc w:val="center"/>
                    <w:rPr>
                      <w:color w:val="auto"/>
                      <w:kern w:val="0"/>
                      <w:sz w:val="18"/>
                      <w:szCs w:val="18"/>
                    </w:rPr>
                  </w:pPr>
                </w:p>
              </w:tc>
              <w:tc>
                <w:tcPr>
                  <w:tcW w:w="357" w:type="pct"/>
                  <w:vMerge w:val="continue"/>
                  <w:vAlign w:val="center"/>
                </w:tcPr>
                <w:p w14:paraId="0DA11315">
                  <w:pPr>
                    <w:jc w:val="center"/>
                    <w:rPr>
                      <w:color w:val="auto"/>
                      <w:sz w:val="18"/>
                      <w:szCs w:val="18"/>
                    </w:rPr>
                  </w:pPr>
                </w:p>
              </w:tc>
              <w:tc>
                <w:tcPr>
                  <w:tcW w:w="400" w:type="pct"/>
                  <w:vAlign w:val="center"/>
                </w:tcPr>
                <w:p w14:paraId="64549FAF">
                  <w:pPr>
                    <w:jc w:val="center"/>
                    <w:rPr>
                      <w:color w:val="auto"/>
                      <w:sz w:val="18"/>
                      <w:szCs w:val="18"/>
                    </w:rPr>
                  </w:pPr>
                  <w:r>
                    <w:rPr>
                      <w:rFonts w:hint="eastAsia"/>
                      <w:color w:val="auto"/>
                      <w:sz w:val="18"/>
                      <w:szCs w:val="18"/>
                    </w:rPr>
                    <w:t>/</w:t>
                  </w:r>
                </w:p>
              </w:tc>
              <w:tc>
                <w:tcPr>
                  <w:tcW w:w="298" w:type="pct"/>
                  <w:vAlign w:val="center"/>
                </w:tcPr>
                <w:p w14:paraId="708C8ABA">
                  <w:pPr>
                    <w:adjustRightInd w:val="0"/>
                    <w:snapToGrid w:val="0"/>
                    <w:jc w:val="center"/>
                    <w:rPr>
                      <w:color w:val="auto"/>
                      <w:sz w:val="18"/>
                      <w:szCs w:val="18"/>
                    </w:rPr>
                  </w:pPr>
                  <w:r>
                    <w:rPr>
                      <w:rFonts w:hint="eastAsia"/>
                      <w:color w:val="auto"/>
                      <w:sz w:val="18"/>
                      <w:szCs w:val="18"/>
                    </w:rPr>
                    <w:t>0.0005</w:t>
                  </w:r>
                </w:p>
              </w:tc>
              <w:tc>
                <w:tcPr>
                  <w:tcW w:w="307" w:type="pct"/>
                  <w:vAlign w:val="center"/>
                </w:tcPr>
                <w:p w14:paraId="0A98C2A7">
                  <w:pPr>
                    <w:widowControl/>
                    <w:jc w:val="center"/>
                    <w:rPr>
                      <w:color w:val="auto"/>
                      <w:sz w:val="18"/>
                      <w:szCs w:val="18"/>
                    </w:rPr>
                  </w:pPr>
                  <w:r>
                    <w:rPr>
                      <w:rFonts w:hint="eastAsia"/>
                      <w:color w:val="auto"/>
                      <w:kern w:val="0"/>
                      <w:sz w:val="18"/>
                      <w:szCs w:val="18"/>
                    </w:rPr>
                    <w:t>0.0019</w:t>
                  </w:r>
                </w:p>
              </w:tc>
              <w:tc>
                <w:tcPr>
                  <w:tcW w:w="360" w:type="pct"/>
                  <w:vAlign w:val="center"/>
                </w:tcPr>
                <w:p w14:paraId="30DDEE61">
                  <w:pPr>
                    <w:adjustRightInd w:val="0"/>
                    <w:snapToGrid w:val="0"/>
                    <w:jc w:val="center"/>
                    <w:rPr>
                      <w:color w:val="auto"/>
                      <w:kern w:val="0"/>
                      <w:sz w:val="18"/>
                      <w:szCs w:val="18"/>
                    </w:rPr>
                  </w:pPr>
                  <w:r>
                    <w:rPr>
                      <w:rFonts w:hint="eastAsia"/>
                      <w:color w:val="auto"/>
                      <w:sz w:val="18"/>
                      <w:szCs w:val="18"/>
                    </w:rPr>
                    <w:t>4</w:t>
                  </w:r>
                </w:p>
              </w:tc>
              <w:tc>
                <w:tcPr>
                  <w:tcW w:w="319" w:type="pct"/>
                  <w:vAlign w:val="center"/>
                </w:tcPr>
                <w:p w14:paraId="52547C47">
                  <w:pPr>
                    <w:adjustRightInd w:val="0"/>
                    <w:snapToGrid w:val="0"/>
                    <w:jc w:val="center"/>
                    <w:rPr>
                      <w:color w:val="auto"/>
                      <w:kern w:val="0"/>
                      <w:sz w:val="18"/>
                      <w:szCs w:val="18"/>
                    </w:rPr>
                  </w:pPr>
                  <w:r>
                    <w:rPr>
                      <w:rFonts w:hint="eastAsia"/>
                      <w:color w:val="auto"/>
                      <w:sz w:val="18"/>
                      <w:szCs w:val="18"/>
                    </w:rPr>
                    <w:t>/</w:t>
                  </w:r>
                </w:p>
              </w:tc>
              <w:tc>
                <w:tcPr>
                  <w:tcW w:w="213" w:type="pct"/>
                  <w:vMerge w:val="continue"/>
                  <w:vAlign w:val="center"/>
                </w:tcPr>
                <w:p w14:paraId="76D63F2E">
                  <w:pPr>
                    <w:widowControl/>
                    <w:adjustRightInd w:val="0"/>
                    <w:snapToGrid w:val="0"/>
                    <w:jc w:val="center"/>
                    <w:rPr>
                      <w:color w:val="auto"/>
                      <w:kern w:val="0"/>
                      <w:sz w:val="18"/>
                      <w:szCs w:val="18"/>
                    </w:rPr>
                  </w:pPr>
                </w:p>
              </w:tc>
            </w:tr>
            <w:tr w14:paraId="304F1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7" w:type="pct"/>
                  <w:vMerge w:val="continue"/>
                  <w:vAlign w:val="center"/>
                </w:tcPr>
                <w:p w14:paraId="185CD25A">
                  <w:pPr>
                    <w:widowControl/>
                    <w:adjustRightInd w:val="0"/>
                    <w:snapToGrid w:val="0"/>
                    <w:jc w:val="center"/>
                    <w:rPr>
                      <w:color w:val="auto"/>
                      <w:kern w:val="0"/>
                      <w:sz w:val="18"/>
                      <w:szCs w:val="18"/>
                    </w:rPr>
                  </w:pPr>
                </w:p>
              </w:tc>
              <w:tc>
                <w:tcPr>
                  <w:tcW w:w="232" w:type="pct"/>
                  <w:vAlign w:val="center"/>
                </w:tcPr>
                <w:p w14:paraId="127294B4">
                  <w:pPr>
                    <w:widowControl/>
                    <w:adjustRightInd w:val="0"/>
                    <w:snapToGrid w:val="0"/>
                    <w:jc w:val="center"/>
                    <w:rPr>
                      <w:color w:val="auto"/>
                      <w:kern w:val="0"/>
                      <w:sz w:val="18"/>
                      <w:szCs w:val="18"/>
                    </w:rPr>
                  </w:pPr>
                  <w:r>
                    <w:rPr>
                      <w:rFonts w:hint="eastAsia"/>
                      <w:color w:val="auto"/>
                      <w:kern w:val="0"/>
                      <w:sz w:val="18"/>
                      <w:szCs w:val="18"/>
                    </w:rPr>
                    <w:t>焊接</w:t>
                  </w:r>
                </w:p>
              </w:tc>
              <w:tc>
                <w:tcPr>
                  <w:tcW w:w="230" w:type="pct"/>
                  <w:vAlign w:val="center"/>
                </w:tcPr>
                <w:p w14:paraId="4931DBE3">
                  <w:pPr>
                    <w:widowControl/>
                    <w:adjustRightInd w:val="0"/>
                    <w:snapToGrid w:val="0"/>
                    <w:jc w:val="center"/>
                    <w:rPr>
                      <w:color w:val="auto"/>
                      <w:kern w:val="0"/>
                      <w:sz w:val="18"/>
                      <w:szCs w:val="18"/>
                    </w:rPr>
                  </w:pPr>
                  <w:r>
                    <w:rPr>
                      <w:rFonts w:hint="eastAsia"/>
                      <w:color w:val="auto"/>
                      <w:kern w:val="0"/>
                      <w:sz w:val="18"/>
                      <w:szCs w:val="18"/>
                    </w:rPr>
                    <w:t>无组织</w:t>
                  </w:r>
                </w:p>
              </w:tc>
              <w:tc>
                <w:tcPr>
                  <w:tcW w:w="130" w:type="pct"/>
                  <w:vAlign w:val="center"/>
                </w:tcPr>
                <w:p w14:paraId="45D8F4B4">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Align w:val="center"/>
                </w:tcPr>
                <w:p w14:paraId="43E55C86">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Align w:val="center"/>
                </w:tcPr>
                <w:p w14:paraId="795E8609">
                  <w:pPr>
                    <w:jc w:val="center"/>
                    <w:rPr>
                      <w:color w:val="auto"/>
                      <w:sz w:val="18"/>
                      <w:szCs w:val="18"/>
                    </w:rPr>
                  </w:pPr>
                  <w:r>
                    <w:rPr>
                      <w:rFonts w:hint="eastAsia"/>
                      <w:color w:val="auto"/>
                      <w:sz w:val="18"/>
                      <w:szCs w:val="18"/>
                    </w:rPr>
                    <w:t>/</w:t>
                  </w:r>
                </w:p>
              </w:tc>
              <w:tc>
                <w:tcPr>
                  <w:tcW w:w="399" w:type="pct"/>
                  <w:vAlign w:val="center"/>
                </w:tcPr>
                <w:p w14:paraId="56D3652F">
                  <w:pPr>
                    <w:jc w:val="center"/>
                    <w:rPr>
                      <w:color w:val="auto"/>
                      <w:sz w:val="18"/>
                      <w:szCs w:val="18"/>
                    </w:rPr>
                  </w:pPr>
                  <w:r>
                    <w:rPr>
                      <w:rFonts w:hint="eastAsia"/>
                      <w:color w:val="auto"/>
                      <w:sz w:val="18"/>
                      <w:szCs w:val="18"/>
                    </w:rPr>
                    <w:t>/</w:t>
                  </w:r>
                </w:p>
              </w:tc>
              <w:tc>
                <w:tcPr>
                  <w:tcW w:w="298" w:type="pct"/>
                  <w:vAlign w:val="center"/>
                </w:tcPr>
                <w:p w14:paraId="468C05C9">
                  <w:pPr>
                    <w:adjustRightInd w:val="0"/>
                    <w:snapToGrid w:val="0"/>
                    <w:jc w:val="center"/>
                    <w:rPr>
                      <w:color w:val="auto"/>
                      <w:sz w:val="18"/>
                      <w:szCs w:val="18"/>
                    </w:rPr>
                  </w:pPr>
                </w:p>
              </w:tc>
              <w:tc>
                <w:tcPr>
                  <w:tcW w:w="265" w:type="pct"/>
                  <w:vAlign w:val="center"/>
                </w:tcPr>
                <w:p w14:paraId="0CF53319">
                  <w:pPr>
                    <w:widowControl/>
                    <w:jc w:val="center"/>
                    <w:rPr>
                      <w:color w:val="auto"/>
                      <w:kern w:val="0"/>
                      <w:sz w:val="18"/>
                      <w:szCs w:val="18"/>
                    </w:rPr>
                  </w:pPr>
                  <w:r>
                    <w:rPr>
                      <w:rFonts w:hint="eastAsia"/>
                      <w:color w:val="auto"/>
                      <w:kern w:val="0"/>
                      <w:sz w:val="18"/>
                      <w:szCs w:val="18"/>
                    </w:rPr>
                    <w:t>0.00046</w:t>
                  </w:r>
                </w:p>
              </w:tc>
              <w:tc>
                <w:tcPr>
                  <w:tcW w:w="191" w:type="pct"/>
                  <w:vAlign w:val="center"/>
                </w:tcPr>
                <w:p w14:paraId="4F28516C">
                  <w:pPr>
                    <w:widowControl/>
                    <w:jc w:val="center"/>
                    <w:rPr>
                      <w:color w:val="auto"/>
                      <w:kern w:val="0"/>
                      <w:sz w:val="18"/>
                      <w:szCs w:val="18"/>
                    </w:rPr>
                  </w:pPr>
                  <w:r>
                    <w:rPr>
                      <w:rFonts w:hint="eastAsia"/>
                      <w:color w:val="auto"/>
                      <w:kern w:val="0"/>
                      <w:sz w:val="18"/>
                      <w:szCs w:val="18"/>
                    </w:rPr>
                    <w:t>移动式焊接除尘器</w:t>
                  </w:r>
                </w:p>
              </w:tc>
              <w:tc>
                <w:tcPr>
                  <w:tcW w:w="232" w:type="pct"/>
                  <w:vAlign w:val="center"/>
                </w:tcPr>
                <w:p w14:paraId="4C6A4876">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70D4191E">
                  <w:pPr>
                    <w:jc w:val="center"/>
                    <w:rPr>
                      <w:color w:val="auto"/>
                      <w:kern w:val="0"/>
                      <w:sz w:val="18"/>
                      <w:szCs w:val="18"/>
                    </w:rPr>
                  </w:pPr>
                  <w:r>
                    <w:rPr>
                      <w:color w:val="auto"/>
                      <w:kern w:val="0"/>
                      <w:sz w:val="18"/>
                      <w:szCs w:val="18"/>
                    </w:rPr>
                    <w:t>处理效率</w:t>
                  </w:r>
                  <w:r>
                    <w:rPr>
                      <w:rFonts w:hint="eastAsia"/>
                      <w:color w:val="auto"/>
                      <w:kern w:val="0"/>
                      <w:sz w:val="18"/>
                      <w:szCs w:val="18"/>
                    </w:rPr>
                    <w:t>95</w:t>
                  </w:r>
                  <w:r>
                    <w:rPr>
                      <w:color w:val="auto"/>
                      <w:kern w:val="0"/>
                      <w:sz w:val="18"/>
                      <w:szCs w:val="18"/>
                    </w:rPr>
                    <w:t>%</w:t>
                  </w:r>
                </w:p>
              </w:tc>
              <w:tc>
                <w:tcPr>
                  <w:tcW w:w="132" w:type="pct"/>
                  <w:vAlign w:val="center"/>
                </w:tcPr>
                <w:p w14:paraId="5109C9C5">
                  <w:pPr>
                    <w:widowControl/>
                    <w:jc w:val="center"/>
                    <w:rPr>
                      <w:color w:val="auto"/>
                      <w:kern w:val="0"/>
                      <w:sz w:val="18"/>
                      <w:szCs w:val="18"/>
                    </w:rPr>
                  </w:pPr>
                  <w:r>
                    <w:rPr>
                      <w:rFonts w:hint="eastAsia"/>
                      <w:color w:val="auto"/>
                      <w:kern w:val="0"/>
                      <w:sz w:val="18"/>
                      <w:szCs w:val="18"/>
                    </w:rPr>
                    <w:t>产污系数法</w:t>
                  </w:r>
                </w:p>
              </w:tc>
              <w:tc>
                <w:tcPr>
                  <w:tcW w:w="357" w:type="pct"/>
                  <w:vAlign w:val="center"/>
                </w:tcPr>
                <w:p w14:paraId="4E0ABCC5">
                  <w:pPr>
                    <w:jc w:val="center"/>
                    <w:rPr>
                      <w:color w:val="auto"/>
                      <w:sz w:val="18"/>
                      <w:szCs w:val="18"/>
                    </w:rPr>
                  </w:pPr>
                  <w:r>
                    <w:rPr>
                      <w:rFonts w:hint="eastAsia"/>
                      <w:color w:val="auto"/>
                      <w:sz w:val="18"/>
                      <w:szCs w:val="18"/>
                    </w:rPr>
                    <w:t>/</w:t>
                  </w:r>
                </w:p>
              </w:tc>
              <w:tc>
                <w:tcPr>
                  <w:tcW w:w="400" w:type="pct"/>
                  <w:vAlign w:val="center"/>
                </w:tcPr>
                <w:p w14:paraId="14EF55F1">
                  <w:pPr>
                    <w:jc w:val="center"/>
                    <w:rPr>
                      <w:color w:val="auto"/>
                      <w:sz w:val="18"/>
                      <w:szCs w:val="18"/>
                    </w:rPr>
                  </w:pPr>
                  <w:r>
                    <w:rPr>
                      <w:rFonts w:hint="eastAsia"/>
                      <w:color w:val="auto"/>
                      <w:sz w:val="18"/>
                      <w:szCs w:val="18"/>
                    </w:rPr>
                    <w:t>/</w:t>
                  </w:r>
                </w:p>
              </w:tc>
              <w:tc>
                <w:tcPr>
                  <w:tcW w:w="298" w:type="pct"/>
                  <w:vAlign w:val="center"/>
                </w:tcPr>
                <w:p w14:paraId="69FCE04B">
                  <w:pPr>
                    <w:adjustRightInd w:val="0"/>
                    <w:snapToGrid w:val="0"/>
                    <w:jc w:val="center"/>
                    <w:rPr>
                      <w:color w:val="auto"/>
                      <w:sz w:val="18"/>
                      <w:szCs w:val="18"/>
                    </w:rPr>
                  </w:pPr>
                  <w:r>
                    <w:rPr>
                      <w:rFonts w:hint="eastAsia"/>
                      <w:color w:val="auto"/>
                      <w:sz w:val="18"/>
                      <w:szCs w:val="18"/>
                    </w:rPr>
                    <w:t>0.00003</w:t>
                  </w:r>
                </w:p>
              </w:tc>
              <w:tc>
                <w:tcPr>
                  <w:tcW w:w="307" w:type="pct"/>
                  <w:vAlign w:val="center"/>
                </w:tcPr>
                <w:p w14:paraId="2BE7DA7F">
                  <w:pPr>
                    <w:widowControl/>
                    <w:jc w:val="center"/>
                    <w:rPr>
                      <w:color w:val="auto"/>
                      <w:kern w:val="0"/>
                      <w:sz w:val="18"/>
                      <w:szCs w:val="18"/>
                    </w:rPr>
                  </w:pPr>
                  <w:r>
                    <w:rPr>
                      <w:rFonts w:hint="eastAsia"/>
                      <w:color w:val="auto"/>
                      <w:kern w:val="0"/>
                      <w:sz w:val="18"/>
                      <w:szCs w:val="18"/>
                    </w:rPr>
                    <w:t>0.00011</w:t>
                  </w:r>
                </w:p>
              </w:tc>
              <w:tc>
                <w:tcPr>
                  <w:tcW w:w="360" w:type="pct"/>
                  <w:vAlign w:val="center"/>
                </w:tcPr>
                <w:p w14:paraId="64E3EE97">
                  <w:pPr>
                    <w:adjustRightInd w:val="0"/>
                    <w:snapToGrid w:val="0"/>
                    <w:jc w:val="center"/>
                    <w:rPr>
                      <w:color w:val="auto"/>
                      <w:sz w:val="18"/>
                      <w:szCs w:val="18"/>
                    </w:rPr>
                  </w:pPr>
                  <w:r>
                    <w:rPr>
                      <w:rFonts w:hint="eastAsia"/>
                      <w:color w:val="auto"/>
                      <w:sz w:val="18"/>
                      <w:szCs w:val="18"/>
                    </w:rPr>
                    <w:t>/</w:t>
                  </w:r>
                </w:p>
              </w:tc>
              <w:tc>
                <w:tcPr>
                  <w:tcW w:w="319" w:type="pct"/>
                  <w:vAlign w:val="center"/>
                </w:tcPr>
                <w:p w14:paraId="4592DF01">
                  <w:pPr>
                    <w:adjustRightInd w:val="0"/>
                    <w:snapToGrid w:val="0"/>
                    <w:jc w:val="center"/>
                    <w:rPr>
                      <w:color w:val="auto"/>
                      <w:sz w:val="18"/>
                      <w:szCs w:val="18"/>
                    </w:rPr>
                  </w:pPr>
                  <w:r>
                    <w:rPr>
                      <w:rFonts w:hint="eastAsia"/>
                      <w:color w:val="auto"/>
                      <w:sz w:val="18"/>
                      <w:szCs w:val="18"/>
                    </w:rPr>
                    <w:t>/</w:t>
                  </w:r>
                </w:p>
              </w:tc>
              <w:tc>
                <w:tcPr>
                  <w:tcW w:w="213" w:type="pct"/>
                  <w:vAlign w:val="center"/>
                </w:tcPr>
                <w:p w14:paraId="43970DD6">
                  <w:pPr>
                    <w:widowControl/>
                    <w:adjustRightInd w:val="0"/>
                    <w:snapToGrid w:val="0"/>
                    <w:jc w:val="center"/>
                    <w:rPr>
                      <w:color w:val="auto"/>
                      <w:kern w:val="0"/>
                      <w:sz w:val="18"/>
                      <w:szCs w:val="18"/>
                    </w:rPr>
                  </w:pPr>
                  <w:r>
                    <w:rPr>
                      <w:rFonts w:hint="eastAsia"/>
                      <w:color w:val="auto"/>
                      <w:kern w:val="0"/>
                      <w:sz w:val="18"/>
                      <w:szCs w:val="18"/>
                    </w:rPr>
                    <w:t>3600</w:t>
                  </w:r>
                </w:p>
              </w:tc>
            </w:tr>
            <w:tr w14:paraId="0452B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147" w:type="pct"/>
                  <w:vMerge w:val="continue"/>
                  <w:vAlign w:val="center"/>
                </w:tcPr>
                <w:p w14:paraId="5615E7DE">
                  <w:pPr>
                    <w:widowControl/>
                    <w:adjustRightInd w:val="0"/>
                    <w:snapToGrid w:val="0"/>
                    <w:jc w:val="center"/>
                    <w:rPr>
                      <w:color w:val="auto"/>
                      <w:kern w:val="0"/>
                      <w:sz w:val="18"/>
                      <w:szCs w:val="18"/>
                    </w:rPr>
                  </w:pPr>
                </w:p>
              </w:tc>
              <w:tc>
                <w:tcPr>
                  <w:tcW w:w="232" w:type="pct"/>
                  <w:vMerge w:val="restart"/>
                  <w:vAlign w:val="center"/>
                </w:tcPr>
                <w:p w14:paraId="64626C42">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rPr>
                    <w:t>打磨</w:t>
                  </w:r>
                  <w:r>
                    <w:rPr>
                      <w:rFonts w:hint="eastAsia"/>
                      <w:color w:val="auto"/>
                      <w:kern w:val="0"/>
                      <w:sz w:val="18"/>
                      <w:szCs w:val="18"/>
                      <w:lang w:val="en-US" w:eastAsia="zh-CN"/>
                    </w:rPr>
                    <w:t>/抛丸</w:t>
                  </w:r>
                </w:p>
              </w:tc>
              <w:tc>
                <w:tcPr>
                  <w:tcW w:w="230" w:type="pct"/>
                  <w:vAlign w:val="center"/>
                </w:tcPr>
                <w:p w14:paraId="02E044ED">
                  <w:pPr>
                    <w:widowControl/>
                    <w:adjustRightInd w:val="0"/>
                    <w:snapToGrid w:val="0"/>
                    <w:jc w:val="center"/>
                    <w:rPr>
                      <w:color w:val="auto"/>
                      <w:kern w:val="0"/>
                      <w:sz w:val="18"/>
                      <w:szCs w:val="18"/>
                    </w:rPr>
                  </w:pPr>
                  <w:r>
                    <w:rPr>
                      <w:rFonts w:hint="eastAsia"/>
                      <w:color w:val="auto"/>
                      <w:kern w:val="0"/>
                      <w:sz w:val="18"/>
                      <w:szCs w:val="18"/>
                    </w:rPr>
                    <w:t>DA004</w:t>
                  </w:r>
                </w:p>
              </w:tc>
              <w:tc>
                <w:tcPr>
                  <w:tcW w:w="130" w:type="pct"/>
                  <w:vMerge w:val="restart"/>
                  <w:vAlign w:val="center"/>
                </w:tcPr>
                <w:p w14:paraId="769F01ED">
                  <w:pPr>
                    <w:widowControl/>
                    <w:adjustRightInd w:val="0"/>
                    <w:snapToGrid w:val="0"/>
                    <w:jc w:val="center"/>
                    <w:rPr>
                      <w:color w:val="auto"/>
                      <w:kern w:val="0"/>
                      <w:sz w:val="18"/>
                      <w:szCs w:val="18"/>
                    </w:rPr>
                  </w:pPr>
                  <w:r>
                    <w:rPr>
                      <w:color w:val="auto"/>
                      <w:kern w:val="0"/>
                      <w:sz w:val="18"/>
                      <w:szCs w:val="18"/>
                    </w:rPr>
                    <w:t>颗粒物</w:t>
                  </w:r>
                </w:p>
              </w:tc>
              <w:tc>
                <w:tcPr>
                  <w:tcW w:w="130" w:type="pct"/>
                  <w:vMerge w:val="restart"/>
                  <w:vAlign w:val="center"/>
                </w:tcPr>
                <w:p w14:paraId="3EF03617">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7C740B71">
                  <w:pPr>
                    <w:jc w:val="center"/>
                    <w:rPr>
                      <w:color w:val="auto"/>
                      <w:sz w:val="18"/>
                      <w:szCs w:val="18"/>
                    </w:rPr>
                  </w:pPr>
                  <w:r>
                    <w:rPr>
                      <w:rFonts w:hint="eastAsia"/>
                      <w:color w:val="auto"/>
                      <w:sz w:val="18"/>
                      <w:szCs w:val="18"/>
                    </w:rPr>
                    <w:t>2000</w:t>
                  </w:r>
                </w:p>
              </w:tc>
              <w:tc>
                <w:tcPr>
                  <w:tcW w:w="399" w:type="pct"/>
                  <w:vAlign w:val="center"/>
                </w:tcPr>
                <w:p w14:paraId="2146F5B0">
                  <w:pPr>
                    <w:jc w:val="center"/>
                    <w:rPr>
                      <w:color w:val="auto"/>
                      <w:sz w:val="18"/>
                      <w:szCs w:val="18"/>
                    </w:rPr>
                  </w:pPr>
                  <w:r>
                    <w:rPr>
                      <w:rFonts w:hint="eastAsia"/>
                      <w:color w:val="auto"/>
                      <w:sz w:val="18"/>
                      <w:szCs w:val="18"/>
                    </w:rPr>
                    <w:t>10.22</w:t>
                  </w:r>
                </w:p>
              </w:tc>
              <w:tc>
                <w:tcPr>
                  <w:tcW w:w="298" w:type="pct"/>
                  <w:vAlign w:val="center"/>
                </w:tcPr>
                <w:p w14:paraId="309454F2">
                  <w:pPr>
                    <w:adjustRightInd w:val="0"/>
                    <w:snapToGrid w:val="0"/>
                    <w:jc w:val="center"/>
                    <w:rPr>
                      <w:color w:val="auto"/>
                      <w:sz w:val="18"/>
                      <w:szCs w:val="18"/>
                    </w:rPr>
                  </w:pPr>
                  <w:r>
                    <w:rPr>
                      <w:rFonts w:hint="eastAsia"/>
                      <w:color w:val="auto"/>
                      <w:sz w:val="18"/>
                      <w:szCs w:val="18"/>
                    </w:rPr>
                    <w:t>0.0204</w:t>
                  </w:r>
                </w:p>
              </w:tc>
              <w:tc>
                <w:tcPr>
                  <w:tcW w:w="265" w:type="pct"/>
                  <w:vAlign w:val="center"/>
                </w:tcPr>
                <w:p w14:paraId="285F5974">
                  <w:pPr>
                    <w:widowControl/>
                    <w:jc w:val="center"/>
                    <w:rPr>
                      <w:color w:val="auto"/>
                      <w:kern w:val="0"/>
                      <w:sz w:val="18"/>
                      <w:szCs w:val="18"/>
                    </w:rPr>
                  </w:pPr>
                  <w:r>
                    <w:rPr>
                      <w:rFonts w:hint="eastAsia"/>
                      <w:color w:val="auto"/>
                      <w:kern w:val="0"/>
                      <w:sz w:val="18"/>
                      <w:szCs w:val="18"/>
                    </w:rPr>
                    <w:t>0.0736</w:t>
                  </w:r>
                </w:p>
              </w:tc>
              <w:tc>
                <w:tcPr>
                  <w:tcW w:w="191" w:type="pct"/>
                  <w:vAlign w:val="center"/>
                </w:tcPr>
                <w:p w14:paraId="5E4E3170">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0BA54937">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1721EFA5">
                  <w:pPr>
                    <w:jc w:val="center"/>
                    <w:rPr>
                      <w:color w:val="auto"/>
                      <w:kern w:val="0"/>
                      <w:sz w:val="18"/>
                      <w:szCs w:val="18"/>
                    </w:rPr>
                  </w:pPr>
                  <w:r>
                    <w:rPr>
                      <w:color w:val="auto"/>
                      <w:kern w:val="0"/>
                      <w:sz w:val="18"/>
                      <w:szCs w:val="18"/>
                    </w:rPr>
                    <w:t>处理效率</w:t>
                  </w:r>
                  <w:r>
                    <w:rPr>
                      <w:rFonts w:hint="eastAsia"/>
                      <w:color w:val="auto"/>
                      <w:kern w:val="0"/>
                      <w:sz w:val="18"/>
                      <w:szCs w:val="18"/>
                    </w:rPr>
                    <w:t>95</w:t>
                  </w:r>
                  <w:r>
                    <w:rPr>
                      <w:color w:val="auto"/>
                      <w:kern w:val="0"/>
                      <w:sz w:val="18"/>
                      <w:szCs w:val="18"/>
                    </w:rPr>
                    <w:t>%</w:t>
                  </w:r>
                </w:p>
              </w:tc>
              <w:tc>
                <w:tcPr>
                  <w:tcW w:w="132" w:type="pct"/>
                  <w:vMerge w:val="restart"/>
                  <w:vAlign w:val="center"/>
                </w:tcPr>
                <w:p w14:paraId="7061CB4D">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F1C33B5">
                  <w:pPr>
                    <w:jc w:val="center"/>
                    <w:rPr>
                      <w:color w:val="auto"/>
                      <w:sz w:val="18"/>
                      <w:szCs w:val="18"/>
                    </w:rPr>
                  </w:pPr>
                  <w:r>
                    <w:rPr>
                      <w:rFonts w:hint="eastAsia"/>
                      <w:color w:val="auto"/>
                      <w:sz w:val="18"/>
                      <w:szCs w:val="18"/>
                    </w:rPr>
                    <w:t>2000</w:t>
                  </w:r>
                </w:p>
              </w:tc>
              <w:tc>
                <w:tcPr>
                  <w:tcW w:w="400" w:type="pct"/>
                  <w:vAlign w:val="center"/>
                </w:tcPr>
                <w:p w14:paraId="0BF9392B">
                  <w:pPr>
                    <w:jc w:val="center"/>
                    <w:rPr>
                      <w:color w:val="auto"/>
                      <w:sz w:val="18"/>
                      <w:szCs w:val="18"/>
                    </w:rPr>
                  </w:pPr>
                  <w:r>
                    <w:rPr>
                      <w:rFonts w:hint="eastAsia"/>
                      <w:color w:val="auto"/>
                      <w:sz w:val="18"/>
                      <w:szCs w:val="18"/>
                    </w:rPr>
                    <w:t>0.51</w:t>
                  </w:r>
                </w:p>
              </w:tc>
              <w:tc>
                <w:tcPr>
                  <w:tcW w:w="298" w:type="pct"/>
                  <w:vAlign w:val="center"/>
                </w:tcPr>
                <w:p w14:paraId="4FDCD8AE">
                  <w:pPr>
                    <w:adjustRightInd w:val="0"/>
                    <w:snapToGrid w:val="0"/>
                    <w:jc w:val="center"/>
                    <w:rPr>
                      <w:color w:val="auto"/>
                      <w:sz w:val="18"/>
                      <w:szCs w:val="18"/>
                    </w:rPr>
                  </w:pPr>
                  <w:r>
                    <w:rPr>
                      <w:rFonts w:hint="eastAsia"/>
                      <w:color w:val="auto"/>
                      <w:sz w:val="18"/>
                      <w:szCs w:val="18"/>
                    </w:rPr>
                    <w:t>0.001</w:t>
                  </w:r>
                </w:p>
              </w:tc>
              <w:tc>
                <w:tcPr>
                  <w:tcW w:w="307" w:type="pct"/>
                  <w:vAlign w:val="center"/>
                </w:tcPr>
                <w:p w14:paraId="4AEF72E5">
                  <w:pPr>
                    <w:widowControl/>
                    <w:jc w:val="center"/>
                    <w:rPr>
                      <w:color w:val="auto"/>
                      <w:kern w:val="0"/>
                      <w:sz w:val="18"/>
                      <w:szCs w:val="18"/>
                    </w:rPr>
                  </w:pPr>
                  <w:r>
                    <w:rPr>
                      <w:rFonts w:hint="eastAsia"/>
                      <w:color w:val="auto"/>
                      <w:kern w:val="0"/>
                      <w:sz w:val="18"/>
                      <w:szCs w:val="18"/>
                    </w:rPr>
                    <w:t>0.0037</w:t>
                  </w:r>
                </w:p>
              </w:tc>
              <w:tc>
                <w:tcPr>
                  <w:tcW w:w="360" w:type="pct"/>
                  <w:vAlign w:val="center"/>
                </w:tcPr>
                <w:p w14:paraId="70E4D5DD">
                  <w:pPr>
                    <w:adjustRightInd w:val="0"/>
                    <w:snapToGrid w:val="0"/>
                    <w:jc w:val="center"/>
                    <w:rPr>
                      <w:color w:val="auto"/>
                      <w:sz w:val="18"/>
                      <w:szCs w:val="18"/>
                    </w:rPr>
                  </w:pPr>
                  <w:r>
                    <w:rPr>
                      <w:rFonts w:hint="eastAsia"/>
                      <w:color w:val="auto"/>
                      <w:sz w:val="18"/>
                      <w:szCs w:val="18"/>
                    </w:rPr>
                    <w:t>20</w:t>
                  </w:r>
                </w:p>
              </w:tc>
              <w:tc>
                <w:tcPr>
                  <w:tcW w:w="319" w:type="pct"/>
                  <w:vAlign w:val="center"/>
                </w:tcPr>
                <w:p w14:paraId="1ADB9105">
                  <w:pPr>
                    <w:adjustRightInd w:val="0"/>
                    <w:snapToGrid w:val="0"/>
                    <w:jc w:val="center"/>
                    <w:rPr>
                      <w:color w:val="auto"/>
                      <w:sz w:val="18"/>
                      <w:szCs w:val="18"/>
                    </w:rPr>
                  </w:pPr>
                  <w:r>
                    <w:rPr>
                      <w:rFonts w:hint="eastAsia"/>
                      <w:color w:val="auto"/>
                      <w:sz w:val="18"/>
                      <w:szCs w:val="18"/>
                    </w:rPr>
                    <w:t>1.0</w:t>
                  </w:r>
                </w:p>
              </w:tc>
              <w:tc>
                <w:tcPr>
                  <w:tcW w:w="213" w:type="pct"/>
                  <w:vMerge w:val="restart"/>
                  <w:vAlign w:val="center"/>
                </w:tcPr>
                <w:p w14:paraId="568A6819">
                  <w:pPr>
                    <w:widowControl/>
                    <w:adjustRightInd w:val="0"/>
                    <w:snapToGrid w:val="0"/>
                    <w:jc w:val="center"/>
                    <w:rPr>
                      <w:color w:val="auto"/>
                      <w:kern w:val="0"/>
                      <w:sz w:val="18"/>
                      <w:szCs w:val="18"/>
                    </w:rPr>
                  </w:pPr>
                  <w:r>
                    <w:rPr>
                      <w:rFonts w:hint="eastAsia"/>
                      <w:color w:val="auto"/>
                      <w:kern w:val="0"/>
                      <w:sz w:val="18"/>
                      <w:szCs w:val="18"/>
                    </w:rPr>
                    <w:t>3600</w:t>
                  </w:r>
                </w:p>
              </w:tc>
            </w:tr>
            <w:tr w14:paraId="4F729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46B5BC6F">
                  <w:pPr>
                    <w:widowControl/>
                    <w:adjustRightInd w:val="0"/>
                    <w:snapToGrid w:val="0"/>
                    <w:jc w:val="center"/>
                    <w:rPr>
                      <w:color w:val="auto"/>
                      <w:kern w:val="0"/>
                      <w:sz w:val="18"/>
                      <w:szCs w:val="18"/>
                    </w:rPr>
                  </w:pPr>
                </w:p>
              </w:tc>
              <w:tc>
                <w:tcPr>
                  <w:tcW w:w="232" w:type="pct"/>
                  <w:vMerge w:val="continue"/>
                  <w:vAlign w:val="center"/>
                </w:tcPr>
                <w:p w14:paraId="5A53DCD1">
                  <w:pPr>
                    <w:widowControl/>
                    <w:adjustRightInd w:val="0"/>
                    <w:snapToGrid w:val="0"/>
                    <w:jc w:val="center"/>
                    <w:rPr>
                      <w:color w:val="auto"/>
                      <w:kern w:val="0"/>
                      <w:sz w:val="18"/>
                      <w:szCs w:val="18"/>
                    </w:rPr>
                  </w:pPr>
                </w:p>
              </w:tc>
              <w:tc>
                <w:tcPr>
                  <w:tcW w:w="230" w:type="pct"/>
                  <w:vAlign w:val="center"/>
                </w:tcPr>
                <w:p w14:paraId="13C9A600">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0B9A35BE">
                  <w:pPr>
                    <w:widowControl/>
                    <w:adjustRightInd w:val="0"/>
                    <w:snapToGrid w:val="0"/>
                    <w:jc w:val="center"/>
                    <w:rPr>
                      <w:color w:val="auto"/>
                      <w:kern w:val="0"/>
                      <w:sz w:val="18"/>
                      <w:szCs w:val="18"/>
                    </w:rPr>
                  </w:pPr>
                </w:p>
              </w:tc>
              <w:tc>
                <w:tcPr>
                  <w:tcW w:w="130" w:type="pct"/>
                  <w:vMerge w:val="continue"/>
                  <w:vAlign w:val="center"/>
                </w:tcPr>
                <w:p w14:paraId="248FBD6A">
                  <w:pPr>
                    <w:widowControl/>
                    <w:adjustRightInd w:val="0"/>
                    <w:snapToGrid w:val="0"/>
                    <w:jc w:val="center"/>
                    <w:rPr>
                      <w:color w:val="auto"/>
                      <w:kern w:val="0"/>
                      <w:sz w:val="18"/>
                      <w:szCs w:val="18"/>
                    </w:rPr>
                  </w:pPr>
                </w:p>
              </w:tc>
              <w:tc>
                <w:tcPr>
                  <w:tcW w:w="357" w:type="pct"/>
                  <w:vMerge w:val="continue"/>
                  <w:vAlign w:val="center"/>
                </w:tcPr>
                <w:p w14:paraId="4AE37B22">
                  <w:pPr>
                    <w:jc w:val="center"/>
                    <w:rPr>
                      <w:color w:val="auto"/>
                      <w:sz w:val="18"/>
                      <w:szCs w:val="18"/>
                    </w:rPr>
                  </w:pPr>
                </w:p>
              </w:tc>
              <w:tc>
                <w:tcPr>
                  <w:tcW w:w="399" w:type="pct"/>
                  <w:vAlign w:val="center"/>
                </w:tcPr>
                <w:p w14:paraId="7D257835">
                  <w:pPr>
                    <w:jc w:val="center"/>
                    <w:rPr>
                      <w:color w:val="auto"/>
                      <w:sz w:val="18"/>
                      <w:szCs w:val="18"/>
                    </w:rPr>
                  </w:pPr>
                  <w:r>
                    <w:rPr>
                      <w:rFonts w:hint="eastAsia"/>
                      <w:color w:val="auto"/>
                      <w:sz w:val="18"/>
                      <w:szCs w:val="18"/>
                    </w:rPr>
                    <w:t>/</w:t>
                  </w:r>
                </w:p>
              </w:tc>
              <w:tc>
                <w:tcPr>
                  <w:tcW w:w="298" w:type="pct"/>
                  <w:vAlign w:val="center"/>
                </w:tcPr>
                <w:p w14:paraId="56525F5E">
                  <w:pPr>
                    <w:adjustRightInd w:val="0"/>
                    <w:snapToGrid w:val="0"/>
                    <w:jc w:val="center"/>
                    <w:rPr>
                      <w:color w:val="auto"/>
                      <w:sz w:val="18"/>
                      <w:szCs w:val="18"/>
                    </w:rPr>
                  </w:pPr>
                  <w:r>
                    <w:rPr>
                      <w:rFonts w:hint="eastAsia"/>
                      <w:color w:val="auto"/>
                      <w:sz w:val="18"/>
                      <w:szCs w:val="18"/>
                    </w:rPr>
                    <w:t>0.0051</w:t>
                  </w:r>
                </w:p>
              </w:tc>
              <w:tc>
                <w:tcPr>
                  <w:tcW w:w="265" w:type="pct"/>
                  <w:vAlign w:val="center"/>
                </w:tcPr>
                <w:p w14:paraId="6E1B5ED1">
                  <w:pPr>
                    <w:widowControl/>
                    <w:jc w:val="center"/>
                    <w:rPr>
                      <w:color w:val="auto"/>
                      <w:kern w:val="0"/>
                      <w:sz w:val="18"/>
                      <w:szCs w:val="18"/>
                    </w:rPr>
                  </w:pPr>
                  <w:r>
                    <w:rPr>
                      <w:rFonts w:hint="eastAsia"/>
                      <w:color w:val="auto"/>
                      <w:kern w:val="0"/>
                      <w:sz w:val="18"/>
                      <w:szCs w:val="18"/>
                    </w:rPr>
                    <w:t>0.0184</w:t>
                  </w:r>
                </w:p>
              </w:tc>
              <w:tc>
                <w:tcPr>
                  <w:tcW w:w="191" w:type="pct"/>
                  <w:vAlign w:val="center"/>
                </w:tcPr>
                <w:p w14:paraId="31437D9A">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090BDFCC">
                  <w:pPr>
                    <w:jc w:val="center"/>
                    <w:rPr>
                      <w:color w:val="auto"/>
                      <w:kern w:val="0"/>
                      <w:sz w:val="18"/>
                      <w:szCs w:val="18"/>
                    </w:rPr>
                  </w:pPr>
                </w:p>
              </w:tc>
              <w:tc>
                <w:tcPr>
                  <w:tcW w:w="132" w:type="pct"/>
                  <w:vMerge w:val="continue"/>
                  <w:vAlign w:val="center"/>
                </w:tcPr>
                <w:p w14:paraId="538533F1">
                  <w:pPr>
                    <w:widowControl/>
                    <w:jc w:val="center"/>
                    <w:rPr>
                      <w:color w:val="auto"/>
                      <w:kern w:val="0"/>
                      <w:sz w:val="18"/>
                      <w:szCs w:val="18"/>
                    </w:rPr>
                  </w:pPr>
                </w:p>
              </w:tc>
              <w:tc>
                <w:tcPr>
                  <w:tcW w:w="357" w:type="pct"/>
                  <w:vMerge w:val="continue"/>
                  <w:vAlign w:val="center"/>
                </w:tcPr>
                <w:p w14:paraId="42A1F4E5">
                  <w:pPr>
                    <w:jc w:val="center"/>
                    <w:rPr>
                      <w:color w:val="auto"/>
                      <w:sz w:val="18"/>
                      <w:szCs w:val="18"/>
                    </w:rPr>
                  </w:pPr>
                </w:p>
              </w:tc>
              <w:tc>
                <w:tcPr>
                  <w:tcW w:w="400" w:type="pct"/>
                  <w:vAlign w:val="center"/>
                </w:tcPr>
                <w:p w14:paraId="5DFFFD77">
                  <w:pPr>
                    <w:jc w:val="center"/>
                    <w:rPr>
                      <w:color w:val="auto"/>
                      <w:sz w:val="18"/>
                      <w:szCs w:val="18"/>
                    </w:rPr>
                  </w:pPr>
                  <w:r>
                    <w:rPr>
                      <w:rFonts w:hint="eastAsia"/>
                      <w:color w:val="auto"/>
                      <w:sz w:val="18"/>
                      <w:szCs w:val="18"/>
                    </w:rPr>
                    <w:t>/</w:t>
                  </w:r>
                </w:p>
              </w:tc>
              <w:tc>
                <w:tcPr>
                  <w:tcW w:w="298" w:type="pct"/>
                  <w:vAlign w:val="center"/>
                </w:tcPr>
                <w:p w14:paraId="4257693F">
                  <w:pPr>
                    <w:adjustRightInd w:val="0"/>
                    <w:snapToGrid w:val="0"/>
                    <w:jc w:val="center"/>
                    <w:rPr>
                      <w:color w:val="auto"/>
                      <w:sz w:val="18"/>
                      <w:szCs w:val="18"/>
                    </w:rPr>
                  </w:pPr>
                  <w:r>
                    <w:rPr>
                      <w:rFonts w:hint="eastAsia"/>
                      <w:color w:val="auto"/>
                      <w:sz w:val="18"/>
                      <w:szCs w:val="18"/>
                    </w:rPr>
                    <w:t>0.0051</w:t>
                  </w:r>
                </w:p>
              </w:tc>
              <w:tc>
                <w:tcPr>
                  <w:tcW w:w="307" w:type="pct"/>
                  <w:vAlign w:val="center"/>
                </w:tcPr>
                <w:p w14:paraId="52D17259">
                  <w:pPr>
                    <w:widowControl/>
                    <w:jc w:val="center"/>
                    <w:rPr>
                      <w:color w:val="auto"/>
                      <w:kern w:val="0"/>
                      <w:sz w:val="18"/>
                      <w:szCs w:val="18"/>
                    </w:rPr>
                  </w:pPr>
                  <w:r>
                    <w:rPr>
                      <w:rFonts w:hint="eastAsia"/>
                      <w:color w:val="auto"/>
                      <w:kern w:val="0"/>
                      <w:sz w:val="18"/>
                      <w:szCs w:val="18"/>
                    </w:rPr>
                    <w:t>0.0184</w:t>
                  </w:r>
                </w:p>
              </w:tc>
              <w:tc>
                <w:tcPr>
                  <w:tcW w:w="360" w:type="pct"/>
                  <w:vAlign w:val="center"/>
                </w:tcPr>
                <w:p w14:paraId="4C188D2E">
                  <w:pPr>
                    <w:adjustRightInd w:val="0"/>
                    <w:snapToGrid w:val="0"/>
                    <w:jc w:val="center"/>
                    <w:rPr>
                      <w:color w:val="auto"/>
                      <w:sz w:val="18"/>
                      <w:szCs w:val="18"/>
                    </w:rPr>
                  </w:pPr>
                  <w:r>
                    <w:rPr>
                      <w:rFonts w:hint="eastAsia"/>
                      <w:color w:val="auto"/>
                      <w:sz w:val="18"/>
                      <w:szCs w:val="18"/>
                    </w:rPr>
                    <w:t>0.5</w:t>
                  </w:r>
                </w:p>
              </w:tc>
              <w:tc>
                <w:tcPr>
                  <w:tcW w:w="319" w:type="pct"/>
                  <w:vAlign w:val="center"/>
                </w:tcPr>
                <w:p w14:paraId="581B6D59">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3C5C0E3E">
                  <w:pPr>
                    <w:widowControl/>
                    <w:adjustRightInd w:val="0"/>
                    <w:snapToGrid w:val="0"/>
                    <w:jc w:val="center"/>
                    <w:rPr>
                      <w:color w:val="auto"/>
                      <w:kern w:val="0"/>
                      <w:sz w:val="18"/>
                      <w:szCs w:val="18"/>
                    </w:rPr>
                  </w:pPr>
                </w:p>
              </w:tc>
            </w:tr>
            <w:tr w14:paraId="30BA6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147" w:type="pct"/>
                  <w:vMerge w:val="continue"/>
                  <w:vAlign w:val="center"/>
                </w:tcPr>
                <w:p w14:paraId="4A1748F1">
                  <w:pPr>
                    <w:widowControl/>
                    <w:adjustRightInd w:val="0"/>
                    <w:snapToGrid w:val="0"/>
                    <w:jc w:val="center"/>
                    <w:rPr>
                      <w:color w:val="auto"/>
                      <w:kern w:val="0"/>
                      <w:sz w:val="18"/>
                      <w:szCs w:val="18"/>
                    </w:rPr>
                  </w:pPr>
                </w:p>
              </w:tc>
              <w:tc>
                <w:tcPr>
                  <w:tcW w:w="232" w:type="pct"/>
                  <w:vMerge w:val="restart"/>
                  <w:vAlign w:val="center"/>
                </w:tcPr>
                <w:p w14:paraId="62EEA442">
                  <w:pPr>
                    <w:widowControl/>
                    <w:adjustRightInd w:val="0"/>
                    <w:snapToGrid w:val="0"/>
                    <w:jc w:val="center"/>
                    <w:rPr>
                      <w:color w:val="auto"/>
                      <w:kern w:val="0"/>
                      <w:sz w:val="18"/>
                      <w:szCs w:val="18"/>
                    </w:rPr>
                  </w:pPr>
                  <w:r>
                    <w:rPr>
                      <w:rFonts w:hint="eastAsia"/>
                      <w:color w:val="auto"/>
                      <w:kern w:val="0"/>
                      <w:sz w:val="18"/>
                      <w:szCs w:val="18"/>
                    </w:rPr>
                    <w:t>天然气燃烧</w:t>
                  </w:r>
                </w:p>
              </w:tc>
              <w:tc>
                <w:tcPr>
                  <w:tcW w:w="230" w:type="pct"/>
                  <w:vMerge w:val="restart"/>
                  <w:vAlign w:val="center"/>
                </w:tcPr>
                <w:p w14:paraId="121ECD0E">
                  <w:pPr>
                    <w:widowControl/>
                    <w:adjustRightInd w:val="0"/>
                    <w:snapToGrid w:val="0"/>
                    <w:jc w:val="center"/>
                    <w:rPr>
                      <w:color w:val="auto"/>
                      <w:kern w:val="0"/>
                      <w:sz w:val="18"/>
                      <w:szCs w:val="18"/>
                    </w:rPr>
                  </w:pPr>
                  <w:r>
                    <w:rPr>
                      <w:rFonts w:hint="eastAsia"/>
                      <w:color w:val="auto"/>
                      <w:kern w:val="0"/>
                      <w:sz w:val="18"/>
                      <w:szCs w:val="18"/>
                    </w:rPr>
                    <w:t>DA005</w:t>
                  </w:r>
                </w:p>
              </w:tc>
              <w:tc>
                <w:tcPr>
                  <w:tcW w:w="130" w:type="pct"/>
                  <w:vAlign w:val="center"/>
                </w:tcPr>
                <w:p w14:paraId="22CEC8A0">
                  <w:pPr>
                    <w:widowControl/>
                    <w:adjustRightInd w:val="0"/>
                    <w:snapToGrid w:val="0"/>
                    <w:jc w:val="center"/>
                    <w:rPr>
                      <w:color w:val="auto"/>
                      <w:kern w:val="0"/>
                      <w:sz w:val="18"/>
                      <w:szCs w:val="18"/>
                    </w:rPr>
                  </w:pPr>
                  <w:r>
                    <w:rPr>
                      <w:rFonts w:hint="eastAsia"/>
                      <w:color w:val="auto"/>
                      <w:kern w:val="0"/>
                      <w:sz w:val="18"/>
                      <w:szCs w:val="18"/>
                      <w:lang w:eastAsia="zh-CN"/>
                    </w:rPr>
                    <w:t>二、</w:t>
                  </w:r>
                  <w:r>
                    <w:rPr>
                      <w:rFonts w:hint="eastAsia"/>
                      <w:color w:val="auto"/>
                      <w:kern w:val="0"/>
                      <w:sz w:val="18"/>
                      <w:szCs w:val="18"/>
                    </w:rPr>
                    <w:t>氧化硫</w:t>
                  </w:r>
                </w:p>
              </w:tc>
              <w:tc>
                <w:tcPr>
                  <w:tcW w:w="130" w:type="pct"/>
                  <w:vMerge w:val="restart"/>
                  <w:vAlign w:val="center"/>
                </w:tcPr>
                <w:p w14:paraId="10690EB4">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611B9700">
                  <w:pPr>
                    <w:jc w:val="center"/>
                    <w:rPr>
                      <w:color w:val="auto"/>
                      <w:sz w:val="18"/>
                      <w:szCs w:val="18"/>
                    </w:rPr>
                  </w:pPr>
                  <w:r>
                    <w:rPr>
                      <w:rFonts w:hint="eastAsia"/>
                      <w:color w:val="auto"/>
                      <w:sz w:val="18"/>
                      <w:szCs w:val="18"/>
                    </w:rPr>
                    <w:t>13555</w:t>
                  </w:r>
                </w:p>
              </w:tc>
              <w:tc>
                <w:tcPr>
                  <w:tcW w:w="399" w:type="pct"/>
                  <w:vAlign w:val="center"/>
                </w:tcPr>
                <w:p w14:paraId="09E96528">
                  <w:pPr>
                    <w:jc w:val="center"/>
                    <w:rPr>
                      <w:color w:val="auto"/>
                      <w:sz w:val="18"/>
                      <w:szCs w:val="18"/>
                    </w:rPr>
                  </w:pPr>
                  <w:r>
                    <w:rPr>
                      <w:rFonts w:hint="eastAsia"/>
                      <w:color w:val="auto"/>
                      <w:sz w:val="18"/>
                      <w:szCs w:val="18"/>
                    </w:rPr>
                    <w:t>0.12</w:t>
                  </w:r>
                </w:p>
              </w:tc>
              <w:tc>
                <w:tcPr>
                  <w:tcW w:w="298" w:type="pct"/>
                  <w:vAlign w:val="center"/>
                </w:tcPr>
                <w:p w14:paraId="181809D0">
                  <w:pPr>
                    <w:adjustRightInd w:val="0"/>
                    <w:snapToGrid w:val="0"/>
                    <w:jc w:val="center"/>
                    <w:rPr>
                      <w:color w:val="auto"/>
                      <w:sz w:val="18"/>
                      <w:szCs w:val="18"/>
                    </w:rPr>
                  </w:pPr>
                  <w:r>
                    <w:rPr>
                      <w:rFonts w:hint="eastAsia"/>
                      <w:color w:val="auto"/>
                      <w:sz w:val="18"/>
                      <w:szCs w:val="18"/>
                    </w:rPr>
                    <w:t>0.0016</w:t>
                  </w:r>
                </w:p>
              </w:tc>
              <w:tc>
                <w:tcPr>
                  <w:tcW w:w="265" w:type="pct"/>
                  <w:vAlign w:val="center"/>
                </w:tcPr>
                <w:p w14:paraId="0FA969D5">
                  <w:pPr>
                    <w:widowControl/>
                    <w:jc w:val="center"/>
                    <w:rPr>
                      <w:color w:val="auto"/>
                      <w:kern w:val="0"/>
                      <w:sz w:val="18"/>
                      <w:szCs w:val="18"/>
                    </w:rPr>
                  </w:pPr>
                  <w:r>
                    <w:rPr>
                      <w:rFonts w:hint="eastAsia"/>
                      <w:color w:val="auto"/>
                      <w:kern w:val="0"/>
                      <w:sz w:val="18"/>
                      <w:szCs w:val="18"/>
                    </w:rPr>
                    <w:t>0.00588</w:t>
                  </w:r>
                </w:p>
              </w:tc>
              <w:tc>
                <w:tcPr>
                  <w:tcW w:w="191" w:type="pct"/>
                  <w:vMerge w:val="restart"/>
                  <w:vAlign w:val="center"/>
                </w:tcPr>
                <w:p w14:paraId="19B6D76E">
                  <w:pPr>
                    <w:widowControl/>
                    <w:jc w:val="center"/>
                    <w:rPr>
                      <w:color w:val="auto"/>
                      <w:kern w:val="0"/>
                      <w:sz w:val="18"/>
                      <w:szCs w:val="18"/>
                    </w:rPr>
                  </w:pPr>
                  <w:r>
                    <w:rPr>
                      <w:rFonts w:hint="eastAsia"/>
                      <w:color w:val="auto"/>
                      <w:kern w:val="0"/>
                      <w:sz w:val="18"/>
                      <w:szCs w:val="18"/>
                    </w:rPr>
                    <w:t>直排</w:t>
                  </w:r>
                </w:p>
              </w:tc>
              <w:tc>
                <w:tcPr>
                  <w:tcW w:w="232" w:type="pct"/>
                  <w:vMerge w:val="restart"/>
                  <w:vAlign w:val="center"/>
                </w:tcPr>
                <w:p w14:paraId="2C3AD68F">
                  <w:pPr>
                    <w:jc w:val="center"/>
                    <w:rPr>
                      <w:color w:val="auto"/>
                      <w:kern w:val="0"/>
                      <w:sz w:val="18"/>
                      <w:szCs w:val="18"/>
                    </w:rPr>
                  </w:pPr>
                  <w:r>
                    <w:rPr>
                      <w:color w:val="auto"/>
                      <w:kern w:val="0"/>
                      <w:sz w:val="18"/>
                      <w:szCs w:val="18"/>
                    </w:rPr>
                    <w:t>收集效率</w:t>
                  </w:r>
                  <w:r>
                    <w:rPr>
                      <w:rFonts w:hint="eastAsia"/>
                      <w:color w:val="auto"/>
                      <w:kern w:val="0"/>
                      <w:sz w:val="18"/>
                      <w:szCs w:val="18"/>
                    </w:rPr>
                    <w:t>100</w:t>
                  </w:r>
                  <w:r>
                    <w:rPr>
                      <w:color w:val="auto"/>
                      <w:kern w:val="0"/>
                      <w:sz w:val="18"/>
                      <w:szCs w:val="18"/>
                    </w:rPr>
                    <w:t>%</w:t>
                  </w:r>
                </w:p>
                <w:p w14:paraId="61A4C9CA">
                  <w:pPr>
                    <w:jc w:val="center"/>
                    <w:rPr>
                      <w:color w:val="auto"/>
                      <w:kern w:val="0"/>
                      <w:sz w:val="18"/>
                      <w:szCs w:val="18"/>
                    </w:rPr>
                  </w:pPr>
                  <w:r>
                    <w:rPr>
                      <w:color w:val="auto"/>
                      <w:kern w:val="0"/>
                      <w:sz w:val="18"/>
                      <w:szCs w:val="18"/>
                    </w:rPr>
                    <w:t>处理效率</w:t>
                  </w:r>
                  <w:r>
                    <w:rPr>
                      <w:rFonts w:hint="eastAsia"/>
                      <w:color w:val="auto"/>
                      <w:kern w:val="0"/>
                      <w:sz w:val="18"/>
                      <w:szCs w:val="18"/>
                    </w:rPr>
                    <w:t>0</w:t>
                  </w:r>
                  <w:r>
                    <w:rPr>
                      <w:color w:val="auto"/>
                      <w:kern w:val="0"/>
                      <w:sz w:val="18"/>
                      <w:szCs w:val="18"/>
                    </w:rPr>
                    <w:t>%</w:t>
                  </w:r>
                </w:p>
              </w:tc>
              <w:tc>
                <w:tcPr>
                  <w:tcW w:w="132" w:type="pct"/>
                  <w:vMerge w:val="restart"/>
                  <w:vAlign w:val="center"/>
                </w:tcPr>
                <w:p w14:paraId="5379B9D4">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408954C6">
                  <w:pPr>
                    <w:jc w:val="center"/>
                    <w:rPr>
                      <w:color w:val="auto"/>
                      <w:sz w:val="18"/>
                      <w:szCs w:val="18"/>
                    </w:rPr>
                  </w:pPr>
                  <w:r>
                    <w:rPr>
                      <w:rFonts w:hint="eastAsia"/>
                      <w:color w:val="auto"/>
                      <w:sz w:val="18"/>
                      <w:szCs w:val="18"/>
                    </w:rPr>
                    <w:t>13555</w:t>
                  </w:r>
                </w:p>
              </w:tc>
              <w:tc>
                <w:tcPr>
                  <w:tcW w:w="400" w:type="pct"/>
                  <w:vAlign w:val="center"/>
                </w:tcPr>
                <w:p w14:paraId="09FB2B5E">
                  <w:pPr>
                    <w:jc w:val="center"/>
                    <w:rPr>
                      <w:color w:val="auto"/>
                      <w:sz w:val="18"/>
                      <w:szCs w:val="18"/>
                    </w:rPr>
                  </w:pPr>
                  <w:r>
                    <w:rPr>
                      <w:rFonts w:hint="eastAsia"/>
                      <w:color w:val="auto"/>
                      <w:sz w:val="18"/>
                      <w:szCs w:val="18"/>
                    </w:rPr>
                    <w:t>0.12</w:t>
                  </w:r>
                </w:p>
              </w:tc>
              <w:tc>
                <w:tcPr>
                  <w:tcW w:w="298" w:type="pct"/>
                  <w:vAlign w:val="center"/>
                </w:tcPr>
                <w:p w14:paraId="3A5034FD">
                  <w:pPr>
                    <w:adjustRightInd w:val="0"/>
                    <w:snapToGrid w:val="0"/>
                    <w:jc w:val="center"/>
                    <w:rPr>
                      <w:color w:val="auto"/>
                      <w:sz w:val="18"/>
                      <w:szCs w:val="18"/>
                    </w:rPr>
                  </w:pPr>
                  <w:r>
                    <w:rPr>
                      <w:rFonts w:hint="eastAsia"/>
                      <w:color w:val="auto"/>
                      <w:sz w:val="18"/>
                      <w:szCs w:val="18"/>
                    </w:rPr>
                    <w:t>0.0016</w:t>
                  </w:r>
                </w:p>
              </w:tc>
              <w:tc>
                <w:tcPr>
                  <w:tcW w:w="307" w:type="pct"/>
                  <w:vAlign w:val="center"/>
                </w:tcPr>
                <w:p w14:paraId="319B069C">
                  <w:pPr>
                    <w:widowControl/>
                    <w:jc w:val="center"/>
                    <w:rPr>
                      <w:color w:val="auto"/>
                      <w:kern w:val="0"/>
                      <w:sz w:val="18"/>
                      <w:szCs w:val="18"/>
                    </w:rPr>
                  </w:pPr>
                  <w:r>
                    <w:rPr>
                      <w:rFonts w:hint="eastAsia"/>
                      <w:color w:val="auto"/>
                      <w:kern w:val="0"/>
                      <w:sz w:val="18"/>
                      <w:szCs w:val="18"/>
                    </w:rPr>
                    <w:t>0.00588</w:t>
                  </w:r>
                </w:p>
              </w:tc>
              <w:tc>
                <w:tcPr>
                  <w:tcW w:w="360" w:type="pct"/>
                  <w:vAlign w:val="center"/>
                </w:tcPr>
                <w:p w14:paraId="26DA6368">
                  <w:pPr>
                    <w:adjustRightInd w:val="0"/>
                    <w:snapToGrid w:val="0"/>
                    <w:jc w:val="center"/>
                    <w:rPr>
                      <w:color w:val="auto"/>
                      <w:sz w:val="18"/>
                      <w:szCs w:val="18"/>
                    </w:rPr>
                  </w:pPr>
                  <w:r>
                    <w:rPr>
                      <w:rFonts w:hint="eastAsia"/>
                      <w:color w:val="auto"/>
                      <w:sz w:val="18"/>
                      <w:szCs w:val="18"/>
                    </w:rPr>
                    <w:t>80</w:t>
                  </w:r>
                </w:p>
              </w:tc>
              <w:tc>
                <w:tcPr>
                  <w:tcW w:w="319" w:type="pct"/>
                  <w:vAlign w:val="center"/>
                </w:tcPr>
                <w:p w14:paraId="737CCE21">
                  <w:pPr>
                    <w:adjustRightInd w:val="0"/>
                    <w:snapToGrid w:val="0"/>
                    <w:jc w:val="center"/>
                    <w:rPr>
                      <w:color w:val="auto"/>
                      <w:sz w:val="18"/>
                      <w:szCs w:val="18"/>
                    </w:rPr>
                  </w:pPr>
                  <w:r>
                    <w:rPr>
                      <w:rFonts w:hint="eastAsia"/>
                      <w:color w:val="auto"/>
                      <w:sz w:val="18"/>
                      <w:szCs w:val="18"/>
                    </w:rPr>
                    <w:t>/</w:t>
                  </w:r>
                </w:p>
              </w:tc>
              <w:tc>
                <w:tcPr>
                  <w:tcW w:w="213" w:type="pct"/>
                  <w:vMerge w:val="restart"/>
                  <w:vAlign w:val="center"/>
                </w:tcPr>
                <w:p w14:paraId="4E27F0F5">
                  <w:pPr>
                    <w:widowControl/>
                    <w:adjustRightInd w:val="0"/>
                    <w:snapToGrid w:val="0"/>
                    <w:jc w:val="center"/>
                    <w:rPr>
                      <w:color w:val="auto"/>
                      <w:kern w:val="0"/>
                      <w:sz w:val="18"/>
                      <w:szCs w:val="18"/>
                    </w:rPr>
                  </w:pPr>
                  <w:r>
                    <w:rPr>
                      <w:rFonts w:hint="eastAsia"/>
                      <w:color w:val="auto"/>
                      <w:kern w:val="0"/>
                      <w:sz w:val="18"/>
                      <w:szCs w:val="18"/>
                    </w:rPr>
                    <w:t>3600</w:t>
                  </w:r>
                </w:p>
              </w:tc>
            </w:tr>
            <w:tr w14:paraId="7EECA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3" w:hRule="atLeast"/>
                <w:jc w:val="center"/>
              </w:trPr>
              <w:tc>
                <w:tcPr>
                  <w:tcW w:w="147" w:type="pct"/>
                  <w:vMerge w:val="continue"/>
                  <w:vAlign w:val="center"/>
                </w:tcPr>
                <w:p w14:paraId="5D1DEA54">
                  <w:pPr>
                    <w:widowControl/>
                    <w:adjustRightInd w:val="0"/>
                    <w:snapToGrid w:val="0"/>
                    <w:jc w:val="center"/>
                    <w:rPr>
                      <w:color w:val="auto"/>
                      <w:kern w:val="0"/>
                      <w:sz w:val="18"/>
                      <w:szCs w:val="18"/>
                    </w:rPr>
                  </w:pPr>
                </w:p>
              </w:tc>
              <w:tc>
                <w:tcPr>
                  <w:tcW w:w="232" w:type="pct"/>
                  <w:vMerge w:val="continue"/>
                  <w:vAlign w:val="center"/>
                </w:tcPr>
                <w:p w14:paraId="067EC2A5">
                  <w:pPr>
                    <w:widowControl/>
                    <w:adjustRightInd w:val="0"/>
                    <w:snapToGrid w:val="0"/>
                    <w:jc w:val="center"/>
                    <w:rPr>
                      <w:color w:val="auto"/>
                      <w:kern w:val="0"/>
                      <w:sz w:val="18"/>
                      <w:szCs w:val="18"/>
                    </w:rPr>
                  </w:pPr>
                </w:p>
              </w:tc>
              <w:tc>
                <w:tcPr>
                  <w:tcW w:w="230" w:type="pct"/>
                  <w:vMerge w:val="continue"/>
                  <w:vAlign w:val="center"/>
                </w:tcPr>
                <w:p w14:paraId="12772643">
                  <w:pPr>
                    <w:widowControl/>
                    <w:adjustRightInd w:val="0"/>
                    <w:snapToGrid w:val="0"/>
                    <w:jc w:val="center"/>
                    <w:rPr>
                      <w:color w:val="auto"/>
                      <w:kern w:val="0"/>
                      <w:sz w:val="18"/>
                      <w:szCs w:val="18"/>
                    </w:rPr>
                  </w:pPr>
                </w:p>
              </w:tc>
              <w:tc>
                <w:tcPr>
                  <w:tcW w:w="130" w:type="pct"/>
                  <w:vAlign w:val="center"/>
                </w:tcPr>
                <w:p w14:paraId="4EC59EE6">
                  <w:pPr>
                    <w:widowControl/>
                    <w:adjustRightInd w:val="0"/>
                    <w:snapToGrid w:val="0"/>
                    <w:jc w:val="center"/>
                    <w:rPr>
                      <w:color w:val="auto"/>
                      <w:kern w:val="0"/>
                      <w:sz w:val="18"/>
                      <w:szCs w:val="18"/>
                    </w:rPr>
                  </w:pPr>
                  <w:r>
                    <w:rPr>
                      <w:rFonts w:hint="eastAsia"/>
                      <w:color w:val="auto"/>
                      <w:kern w:val="0"/>
                      <w:sz w:val="18"/>
                      <w:szCs w:val="18"/>
                    </w:rPr>
                    <w:t>氮氧化物</w:t>
                  </w:r>
                </w:p>
              </w:tc>
              <w:tc>
                <w:tcPr>
                  <w:tcW w:w="130" w:type="pct"/>
                  <w:vMerge w:val="continue"/>
                  <w:vAlign w:val="center"/>
                </w:tcPr>
                <w:p w14:paraId="0B8EAF50">
                  <w:pPr>
                    <w:widowControl/>
                    <w:adjustRightInd w:val="0"/>
                    <w:snapToGrid w:val="0"/>
                    <w:jc w:val="center"/>
                    <w:rPr>
                      <w:color w:val="auto"/>
                      <w:kern w:val="0"/>
                      <w:sz w:val="18"/>
                      <w:szCs w:val="18"/>
                    </w:rPr>
                  </w:pPr>
                </w:p>
              </w:tc>
              <w:tc>
                <w:tcPr>
                  <w:tcW w:w="357" w:type="pct"/>
                  <w:vMerge w:val="continue"/>
                  <w:vAlign w:val="center"/>
                </w:tcPr>
                <w:p w14:paraId="1D79E533">
                  <w:pPr>
                    <w:jc w:val="center"/>
                    <w:rPr>
                      <w:color w:val="auto"/>
                      <w:sz w:val="18"/>
                      <w:szCs w:val="18"/>
                    </w:rPr>
                  </w:pPr>
                </w:p>
              </w:tc>
              <w:tc>
                <w:tcPr>
                  <w:tcW w:w="399" w:type="pct"/>
                  <w:vAlign w:val="center"/>
                </w:tcPr>
                <w:p w14:paraId="64F9CCF4">
                  <w:pPr>
                    <w:jc w:val="center"/>
                    <w:rPr>
                      <w:color w:val="auto"/>
                      <w:sz w:val="18"/>
                      <w:szCs w:val="18"/>
                    </w:rPr>
                  </w:pPr>
                  <w:r>
                    <w:rPr>
                      <w:rFonts w:hint="eastAsia"/>
                      <w:color w:val="auto"/>
                      <w:sz w:val="18"/>
                      <w:szCs w:val="18"/>
                    </w:rPr>
                    <w:t>5.63</w:t>
                  </w:r>
                </w:p>
              </w:tc>
              <w:tc>
                <w:tcPr>
                  <w:tcW w:w="298" w:type="pct"/>
                  <w:vAlign w:val="center"/>
                </w:tcPr>
                <w:p w14:paraId="43C4CB79">
                  <w:pPr>
                    <w:adjustRightInd w:val="0"/>
                    <w:snapToGrid w:val="0"/>
                    <w:jc w:val="center"/>
                    <w:rPr>
                      <w:color w:val="auto"/>
                      <w:sz w:val="18"/>
                      <w:szCs w:val="18"/>
                    </w:rPr>
                  </w:pPr>
                  <w:r>
                    <w:rPr>
                      <w:rFonts w:hint="eastAsia"/>
                      <w:color w:val="auto"/>
                      <w:sz w:val="18"/>
                      <w:szCs w:val="18"/>
                    </w:rPr>
                    <w:t>0.0764</w:t>
                  </w:r>
                </w:p>
              </w:tc>
              <w:tc>
                <w:tcPr>
                  <w:tcW w:w="265" w:type="pct"/>
                  <w:vAlign w:val="center"/>
                </w:tcPr>
                <w:p w14:paraId="28940D8A">
                  <w:pPr>
                    <w:widowControl/>
                    <w:jc w:val="center"/>
                    <w:rPr>
                      <w:color w:val="auto"/>
                      <w:kern w:val="0"/>
                      <w:sz w:val="18"/>
                      <w:szCs w:val="18"/>
                    </w:rPr>
                  </w:pPr>
                  <w:r>
                    <w:rPr>
                      <w:rFonts w:hint="eastAsia"/>
                      <w:color w:val="auto"/>
                      <w:kern w:val="0"/>
                      <w:sz w:val="18"/>
                      <w:szCs w:val="18"/>
                    </w:rPr>
                    <w:t>0.27489</w:t>
                  </w:r>
                </w:p>
              </w:tc>
              <w:tc>
                <w:tcPr>
                  <w:tcW w:w="191" w:type="pct"/>
                  <w:vMerge w:val="continue"/>
                  <w:vAlign w:val="center"/>
                </w:tcPr>
                <w:p w14:paraId="09678103">
                  <w:pPr>
                    <w:widowControl/>
                    <w:jc w:val="center"/>
                    <w:rPr>
                      <w:color w:val="auto"/>
                      <w:kern w:val="0"/>
                      <w:sz w:val="18"/>
                      <w:szCs w:val="18"/>
                    </w:rPr>
                  </w:pPr>
                </w:p>
              </w:tc>
              <w:tc>
                <w:tcPr>
                  <w:tcW w:w="232" w:type="pct"/>
                  <w:vMerge w:val="continue"/>
                  <w:vAlign w:val="center"/>
                </w:tcPr>
                <w:p w14:paraId="288DEEA0">
                  <w:pPr>
                    <w:jc w:val="center"/>
                    <w:rPr>
                      <w:color w:val="auto"/>
                      <w:kern w:val="0"/>
                      <w:sz w:val="18"/>
                      <w:szCs w:val="18"/>
                    </w:rPr>
                  </w:pPr>
                </w:p>
              </w:tc>
              <w:tc>
                <w:tcPr>
                  <w:tcW w:w="132" w:type="pct"/>
                  <w:vMerge w:val="continue"/>
                  <w:vAlign w:val="center"/>
                </w:tcPr>
                <w:p w14:paraId="67A043D5">
                  <w:pPr>
                    <w:widowControl/>
                    <w:jc w:val="center"/>
                    <w:rPr>
                      <w:color w:val="auto"/>
                      <w:kern w:val="0"/>
                      <w:sz w:val="18"/>
                      <w:szCs w:val="18"/>
                    </w:rPr>
                  </w:pPr>
                </w:p>
              </w:tc>
              <w:tc>
                <w:tcPr>
                  <w:tcW w:w="357" w:type="pct"/>
                  <w:vMerge w:val="continue"/>
                  <w:vAlign w:val="center"/>
                </w:tcPr>
                <w:p w14:paraId="7A7A667E">
                  <w:pPr>
                    <w:jc w:val="center"/>
                    <w:rPr>
                      <w:color w:val="auto"/>
                      <w:sz w:val="18"/>
                      <w:szCs w:val="18"/>
                    </w:rPr>
                  </w:pPr>
                </w:p>
              </w:tc>
              <w:tc>
                <w:tcPr>
                  <w:tcW w:w="400" w:type="pct"/>
                  <w:vAlign w:val="center"/>
                </w:tcPr>
                <w:p w14:paraId="51D53BD3">
                  <w:pPr>
                    <w:jc w:val="center"/>
                    <w:rPr>
                      <w:color w:val="auto"/>
                      <w:sz w:val="18"/>
                      <w:szCs w:val="18"/>
                    </w:rPr>
                  </w:pPr>
                  <w:r>
                    <w:rPr>
                      <w:rFonts w:hint="eastAsia"/>
                      <w:color w:val="auto"/>
                      <w:sz w:val="18"/>
                      <w:szCs w:val="18"/>
                    </w:rPr>
                    <w:t>5.63</w:t>
                  </w:r>
                </w:p>
              </w:tc>
              <w:tc>
                <w:tcPr>
                  <w:tcW w:w="298" w:type="pct"/>
                  <w:vAlign w:val="center"/>
                </w:tcPr>
                <w:p w14:paraId="5B117D99">
                  <w:pPr>
                    <w:adjustRightInd w:val="0"/>
                    <w:snapToGrid w:val="0"/>
                    <w:jc w:val="center"/>
                    <w:rPr>
                      <w:color w:val="auto"/>
                      <w:sz w:val="18"/>
                      <w:szCs w:val="18"/>
                    </w:rPr>
                  </w:pPr>
                  <w:r>
                    <w:rPr>
                      <w:rFonts w:hint="eastAsia"/>
                      <w:color w:val="auto"/>
                      <w:sz w:val="18"/>
                      <w:szCs w:val="18"/>
                    </w:rPr>
                    <w:t>0.0764</w:t>
                  </w:r>
                </w:p>
              </w:tc>
              <w:tc>
                <w:tcPr>
                  <w:tcW w:w="307" w:type="pct"/>
                  <w:vAlign w:val="center"/>
                </w:tcPr>
                <w:p w14:paraId="55A5F904">
                  <w:pPr>
                    <w:widowControl/>
                    <w:jc w:val="center"/>
                    <w:rPr>
                      <w:color w:val="auto"/>
                      <w:kern w:val="0"/>
                      <w:sz w:val="18"/>
                      <w:szCs w:val="18"/>
                    </w:rPr>
                  </w:pPr>
                  <w:r>
                    <w:rPr>
                      <w:rFonts w:hint="eastAsia"/>
                      <w:color w:val="auto"/>
                      <w:kern w:val="0"/>
                      <w:sz w:val="18"/>
                      <w:szCs w:val="18"/>
                    </w:rPr>
                    <w:t>0.27489</w:t>
                  </w:r>
                </w:p>
              </w:tc>
              <w:tc>
                <w:tcPr>
                  <w:tcW w:w="360" w:type="pct"/>
                  <w:vAlign w:val="center"/>
                </w:tcPr>
                <w:p w14:paraId="2C4C33B7">
                  <w:pPr>
                    <w:adjustRightInd w:val="0"/>
                    <w:snapToGrid w:val="0"/>
                    <w:jc w:val="center"/>
                    <w:rPr>
                      <w:color w:val="auto"/>
                      <w:sz w:val="18"/>
                      <w:szCs w:val="18"/>
                    </w:rPr>
                  </w:pPr>
                  <w:r>
                    <w:rPr>
                      <w:rFonts w:hint="eastAsia"/>
                      <w:color w:val="auto"/>
                      <w:sz w:val="18"/>
                      <w:szCs w:val="18"/>
                    </w:rPr>
                    <w:t>180</w:t>
                  </w:r>
                </w:p>
              </w:tc>
              <w:tc>
                <w:tcPr>
                  <w:tcW w:w="319" w:type="pct"/>
                  <w:vAlign w:val="center"/>
                </w:tcPr>
                <w:p w14:paraId="34C540F4">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3C275F69">
                  <w:pPr>
                    <w:widowControl/>
                    <w:adjustRightInd w:val="0"/>
                    <w:snapToGrid w:val="0"/>
                    <w:jc w:val="center"/>
                    <w:rPr>
                      <w:color w:val="auto"/>
                      <w:kern w:val="0"/>
                      <w:sz w:val="18"/>
                      <w:szCs w:val="18"/>
                    </w:rPr>
                  </w:pPr>
                </w:p>
              </w:tc>
            </w:tr>
            <w:tr w14:paraId="7281C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8" w:hRule="atLeast"/>
                <w:jc w:val="center"/>
              </w:trPr>
              <w:tc>
                <w:tcPr>
                  <w:tcW w:w="147" w:type="pct"/>
                  <w:vMerge w:val="continue"/>
                  <w:vAlign w:val="center"/>
                </w:tcPr>
                <w:p w14:paraId="22CB6A63">
                  <w:pPr>
                    <w:widowControl/>
                    <w:adjustRightInd w:val="0"/>
                    <w:snapToGrid w:val="0"/>
                    <w:jc w:val="center"/>
                    <w:rPr>
                      <w:color w:val="auto"/>
                      <w:kern w:val="0"/>
                      <w:sz w:val="18"/>
                      <w:szCs w:val="18"/>
                    </w:rPr>
                  </w:pPr>
                </w:p>
              </w:tc>
              <w:tc>
                <w:tcPr>
                  <w:tcW w:w="232" w:type="pct"/>
                  <w:vMerge w:val="continue"/>
                  <w:vAlign w:val="center"/>
                </w:tcPr>
                <w:p w14:paraId="400CA928">
                  <w:pPr>
                    <w:widowControl/>
                    <w:adjustRightInd w:val="0"/>
                    <w:snapToGrid w:val="0"/>
                    <w:jc w:val="center"/>
                    <w:rPr>
                      <w:color w:val="auto"/>
                      <w:kern w:val="0"/>
                      <w:sz w:val="18"/>
                      <w:szCs w:val="18"/>
                    </w:rPr>
                  </w:pPr>
                </w:p>
              </w:tc>
              <w:tc>
                <w:tcPr>
                  <w:tcW w:w="230" w:type="pct"/>
                  <w:vMerge w:val="continue"/>
                  <w:vAlign w:val="center"/>
                </w:tcPr>
                <w:p w14:paraId="5F14EE26">
                  <w:pPr>
                    <w:widowControl/>
                    <w:adjustRightInd w:val="0"/>
                    <w:snapToGrid w:val="0"/>
                    <w:jc w:val="center"/>
                    <w:rPr>
                      <w:color w:val="auto"/>
                      <w:kern w:val="0"/>
                      <w:sz w:val="18"/>
                      <w:szCs w:val="18"/>
                    </w:rPr>
                  </w:pPr>
                </w:p>
              </w:tc>
              <w:tc>
                <w:tcPr>
                  <w:tcW w:w="130" w:type="pct"/>
                  <w:vAlign w:val="center"/>
                </w:tcPr>
                <w:p w14:paraId="26E87A30">
                  <w:pPr>
                    <w:widowControl/>
                    <w:adjustRightInd w:val="0"/>
                    <w:snapToGrid w:val="0"/>
                    <w:jc w:val="center"/>
                    <w:rPr>
                      <w:color w:val="auto"/>
                      <w:kern w:val="0"/>
                      <w:sz w:val="18"/>
                      <w:szCs w:val="18"/>
                    </w:rPr>
                  </w:pPr>
                  <w:r>
                    <w:rPr>
                      <w:rFonts w:hint="eastAsia"/>
                      <w:color w:val="auto"/>
                      <w:kern w:val="0"/>
                      <w:sz w:val="18"/>
                      <w:szCs w:val="18"/>
                    </w:rPr>
                    <w:t>颗粒物</w:t>
                  </w:r>
                </w:p>
              </w:tc>
              <w:tc>
                <w:tcPr>
                  <w:tcW w:w="130" w:type="pct"/>
                  <w:vMerge w:val="continue"/>
                  <w:vAlign w:val="center"/>
                </w:tcPr>
                <w:p w14:paraId="6584558C">
                  <w:pPr>
                    <w:widowControl/>
                    <w:adjustRightInd w:val="0"/>
                    <w:snapToGrid w:val="0"/>
                    <w:jc w:val="center"/>
                    <w:rPr>
                      <w:color w:val="auto"/>
                      <w:kern w:val="0"/>
                      <w:sz w:val="18"/>
                      <w:szCs w:val="18"/>
                    </w:rPr>
                  </w:pPr>
                </w:p>
              </w:tc>
              <w:tc>
                <w:tcPr>
                  <w:tcW w:w="357" w:type="pct"/>
                  <w:vMerge w:val="continue"/>
                  <w:vAlign w:val="center"/>
                </w:tcPr>
                <w:p w14:paraId="4AEF98B3">
                  <w:pPr>
                    <w:jc w:val="center"/>
                    <w:rPr>
                      <w:color w:val="auto"/>
                      <w:sz w:val="18"/>
                      <w:szCs w:val="18"/>
                    </w:rPr>
                  </w:pPr>
                </w:p>
              </w:tc>
              <w:tc>
                <w:tcPr>
                  <w:tcW w:w="399" w:type="pct"/>
                  <w:vAlign w:val="center"/>
                </w:tcPr>
                <w:p w14:paraId="2C51205E">
                  <w:pPr>
                    <w:jc w:val="center"/>
                    <w:rPr>
                      <w:color w:val="auto"/>
                      <w:sz w:val="18"/>
                      <w:szCs w:val="18"/>
                    </w:rPr>
                  </w:pPr>
                  <w:r>
                    <w:rPr>
                      <w:rFonts w:hint="eastAsia"/>
                      <w:color w:val="auto"/>
                      <w:sz w:val="18"/>
                      <w:szCs w:val="18"/>
                    </w:rPr>
                    <w:t>0.86</w:t>
                  </w:r>
                </w:p>
              </w:tc>
              <w:tc>
                <w:tcPr>
                  <w:tcW w:w="298" w:type="pct"/>
                  <w:vAlign w:val="center"/>
                </w:tcPr>
                <w:p w14:paraId="066338C9">
                  <w:pPr>
                    <w:adjustRightInd w:val="0"/>
                    <w:snapToGrid w:val="0"/>
                    <w:jc w:val="center"/>
                    <w:rPr>
                      <w:color w:val="auto"/>
                      <w:sz w:val="18"/>
                      <w:szCs w:val="18"/>
                    </w:rPr>
                  </w:pPr>
                  <w:r>
                    <w:rPr>
                      <w:rFonts w:hint="eastAsia"/>
                      <w:color w:val="auto"/>
                      <w:sz w:val="18"/>
                      <w:szCs w:val="18"/>
                    </w:rPr>
                    <w:t>0.0117</w:t>
                  </w:r>
                </w:p>
              </w:tc>
              <w:tc>
                <w:tcPr>
                  <w:tcW w:w="265" w:type="pct"/>
                  <w:vAlign w:val="center"/>
                </w:tcPr>
                <w:p w14:paraId="4713CA02">
                  <w:pPr>
                    <w:widowControl/>
                    <w:jc w:val="center"/>
                    <w:rPr>
                      <w:color w:val="auto"/>
                      <w:kern w:val="0"/>
                      <w:sz w:val="18"/>
                      <w:szCs w:val="18"/>
                    </w:rPr>
                  </w:pPr>
                  <w:r>
                    <w:rPr>
                      <w:rFonts w:hint="eastAsia"/>
                      <w:color w:val="auto"/>
                      <w:kern w:val="0"/>
                      <w:sz w:val="18"/>
                      <w:szCs w:val="18"/>
                    </w:rPr>
                    <w:t>0.0420</w:t>
                  </w:r>
                </w:p>
              </w:tc>
              <w:tc>
                <w:tcPr>
                  <w:tcW w:w="191" w:type="pct"/>
                  <w:vMerge w:val="continue"/>
                  <w:vAlign w:val="center"/>
                </w:tcPr>
                <w:p w14:paraId="144D0424">
                  <w:pPr>
                    <w:widowControl/>
                    <w:jc w:val="center"/>
                    <w:rPr>
                      <w:color w:val="auto"/>
                      <w:kern w:val="0"/>
                      <w:sz w:val="18"/>
                      <w:szCs w:val="18"/>
                    </w:rPr>
                  </w:pPr>
                </w:p>
              </w:tc>
              <w:tc>
                <w:tcPr>
                  <w:tcW w:w="232" w:type="pct"/>
                  <w:vMerge w:val="continue"/>
                  <w:vAlign w:val="center"/>
                </w:tcPr>
                <w:p w14:paraId="33E49732">
                  <w:pPr>
                    <w:jc w:val="center"/>
                    <w:rPr>
                      <w:color w:val="auto"/>
                      <w:kern w:val="0"/>
                      <w:sz w:val="18"/>
                      <w:szCs w:val="18"/>
                    </w:rPr>
                  </w:pPr>
                </w:p>
              </w:tc>
              <w:tc>
                <w:tcPr>
                  <w:tcW w:w="132" w:type="pct"/>
                  <w:vMerge w:val="continue"/>
                  <w:vAlign w:val="center"/>
                </w:tcPr>
                <w:p w14:paraId="06F0D148">
                  <w:pPr>
                    <w:widowControl/>
                    <w:jc w:val="center"/>
                    <w:rPr>
                      <w:color w:val="auto"/>
                      <w:kern w:val="0"/>
                      <w:sz w:val="18"/>
                      <w:szCs w:val="18"/>
                    </w:rPr>
                  </w:pPr>
                </w:p>
              </w:tc>
              <w:tc>
                <w:tcPr>
                  <w:tcW w:w="357" w:type="pct"/>
                  <w:vMerge w:val="continue"/>
                  <w:vAlign w:val="center"/>
                </w:tcPr>
                <w:p w14:paraId="34B52F00">
                  <w:pPr>
                    <w:jc w:val="center"/>
                    <w:rPr>
                      <w:color w:val="auto"/>
                      <w:sz w:val="18"/>
                      <w:szCs w:val="18"/>
                    </w:rPr>
                  </w:pPr>
                </w:p>
              </w:tc>
              <w:tc>
                <w:tcPr>
                  <w:tcW w:w="400" w:type="pct"/>
                  <w:vAlign w:val="center"/>
                </w:tcPr>
                <w:p w14:paraId="3ECF552D">
                  <w:pPr>
                    <w:jc w:val="center"/>
                    <w:rPr>
                      <w:color w:val="auto"/>
                      <w:sz w:val="18"/>
                      <w:szCs w:val="18"/>
                    </w:rPr>
                  </w:pPr>
                  <w:r>
                    <w:rPr>
                      <w:rFonts w:hint="eastAsia"/>
                      <w:color w:val="auto"/>
                      <w:sz w:val="18"/>
                      <w:szCs w:val="18"/>
                    </w:rPr>
                    <w:t>0.86</w:t>
                  </w:r>
                </w:p>
              </w:tc>
              <w:tc>
                <w:tcPr>
                  <w:tcW w:w="298" w:type="pct"/>
                  <w:vAlign w:val="center"/>
                </w:tcPr>
                <w:p w14:paraId="2A0C62A2">
                  <w:pPr>
                    <w:adjustRightInd w:val="0"/>
                    <w:snapToGrid w:val="0"/>
                    <w:jc w:val="center"/>
                    <w:rPr>
                      <w:color w:val="auto"/>
                      <w:sz w:val="18"/>
                      <w:szCs w:val="18"/>
                    </w:rPr>
                  </w:pPr>
                  <w:r>
                    <w:rPr>
                      <w:rFonts w:hint="eastAsia"/>
                      <w:color w:val="auto"/>
                      <w:sz w:val="18"/>
                      <w:szCs w:val="18"/>
                    </w:rPr>
                    <w:t>0.0117</w:t>
                  </w:r>
                </w:p>
              </w:tc>
              <w:tc>
                <w:tcPr>
                  <w:tcW w:w="307" w:type="pct"/>
                  <w:vAlign w:val="center"/>
                </w:tcPr>
                <w:p w14:paraId="50ADC1D2">
                  <w:pPr>
                    <w:widowControl/>
                    <w:jc w:val="center"/>
                    <w:rPr>
                      <w:color w:val="auto"/>
                      <w:kern w:val="0"/>
                      <w:sz w:val="18"/>
                      <w:szCs w:val="18"/>
                    </w:rPr>
                  </w:pPr>
                  <w:r>
                    <w:rPr>
                      <w:rFonts w:hint="eastAsia"/>
                      <w:color w:val="auto"/>
                      <w:kern w:val="0"/>
                      <w:sz w:val="18"/>
                      <w:szCs w:val="18"/>
                    </w:rPr>
                    <w:t>0.0420</w:t>
                  </w:r>
                </w:p>
              </w:tc>
              <w:tc>
                <w:tcPr>
                  <w:tcW w:w="360" w:type="pct"/>
                  <w:vAlign w:val="center"/>
                </w:tcPr>
                <w:p w14:paraId="0A57B9CC">
                  <w:pPr>
                    <w:adjustRightInd w:val="0"/>
                    <w:snapToGrid w:val="0"/>
                    <w:jc w:val="center"/>
                    <w:rPr>
                      <w:color w:val="auto"/>
                      <w:sz w:val="18"/>
                      <w:szCs w:val="18"/>
                    </w:rPr>
                  </w:pPr>
                  <w:r>
                    <w:rPr>
                      <w:rFonts w:hint="eastAsia"/>
                      <w:color w:val="auto"/>
                      <w:sz w:val="18"/>
                      <w:szCs w:val="18"/>
                    </w:rPr>
                    <w:t>20</w:t>
                  </w:r>
                </w:p>
              </w:tc>
              <w:tc>
                <w:tcPr>
                  <w:tcW w:w="319" w:type="pct"/>
                  <w:vAlign w:val="center"/>
                </w:tcPr>
                <w:p w14:paraId="1BD8A918">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444CB0EB">
                  <w:pPr>
                    <w:widowControl/>
                    <w:adjustRightInd w:val="0"/>
                    <w:snapToGrid w:val="0"/>
                    <w:jc w:val="center"/>
                    <w:rPr>
                      <w:color w:val="auto"/>
                      <w:kern w:val="0"/>
                      <w:sz w:val="18"/>
                      <w:szCs w:val="18"/>
                    </w:rPr>
                  </w:pPr>
                </w:p>
              </w:tc>
            </w:tr>
            <w:tr w14:paraId="63BAA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47" w:type="pct"/>
                  <w:vMerge w:val="continue"/>
                  <w:vAlign w:val="center"/>
                </w:tcPr>
                <w:p w14:paraId="299C3321">
                  <w:pPr>
                    <w:widowControl/>
                    <w:adjustRightInd w:val="0"/>
                    <w:snapToGrid w:val="0"/>
                    <w:jc w:val="center"/>
                    <w:rPr>
                      <w:color w:val="auto"/>
                      <w:kern w:val="0"/>
                      <w:sz w:val="18"/>
                      <w:szCs w:val="18"/>
                    </w:rPr>
                  </w:pPr>
                </w:p>
              </w:tc>
              <w:tc>
                <w:tcPr>
                  <w:tcW w:w="232" w:type="pct"/>
                  <w:vMerge w:val="restart"/>
                  <w:vAlign w:val="center"/>
                </w:tcPr>
                <w:p w14:paraId="6BABCBFA">
                  <w:pPr>
                    <w:widowControl/>
                    <w:adjustRightInd w:val="0"/>
                    <w:snapToGrid w:val="0"/>
                    <w:jc w:val="center"/>
                    <w:rPr>
                      <w:color w:val="auto"/>
                      <w:kern w:val="0"/>
                      <w:sz w:val="18"/>
                      <w:szCs w:val="18"/>
                    </w:rPr>
                  </w:pPr>
                  <w:r>
                    <w:rPr>
                      <w:rFonts w:hint="eastAsia"/>
                      <w:color w:val="auto"/>
                      <w:kern w:val="0"/>
                      <w:sz w:val="18"/>
                      <w:szCs w:val="18"/>
                    </w:rPr>
                    <w:t>喷粉</w:t>
                  </w:r>
                </w:p>
              </w:tc>
              <w:tc>
                <w:tcPr>
                  <w:tcW w:w="230" w:type="pct"/>
                  <w:vAlign w:val="center"/>
                </w:tcPr>
                <w:p w14:paraId="26908151">
                  <w:pPr>
                    <w:widowControl/>
                    <w:adjustRightInd w:val="0"/>
                    <w:snapToGrid w:val="0"/>
                    <w:jc w:val="center"/>
                    <w:rPr>
                      <w:color w:val="auto"/>
                      <w:kern w:val="0"/>
                      <w:sz w:val="18"/>
                      <w:szCs w:val="18"/>
                    </w:rPr>
                  </w:pPr>
                  <w:r>
                    <w:rPr>
                      <w:rFonts w:hint="eastAsia"/>
                      <w:color w:val="auto"/>
                      <w:kern w:val="0"/>
                      <w:sz w:val="18"/>
                      <w:szCs w:val="18"/>
                    </w:rPr>
                    <w:t>DA005</w:t>
                  </w:r>
                </w:p>
              </w:tc>
              <w:tc>
                <w:tcPr>
                  <w:tcW w:w="130" w:type="pct"/>
                  <w:vMerge w:val="restart"/>
                  <w:vAlign w:val="center"/>
                </w:tcPr>
                <w:p w14:paraId="4A93DE9B">
                  <w:pPr>
                    <w:widowControl/>
                    <w:adjustRightInd w:val="0"/>
                    <w:snapToGrid w:val="0"/>
                    <w:jc w:val="center"/>
                    <w:rPr>
                      <w:color w:val="auto"/>
                      <w:kern w:val="0"/>
                      <w:sz w:val="18"/>
                      <w:szCs w:val="18"/>
                    </w:rPr>
                  </w:pPr>
                  <w:r>
                    <w:rPr>
                      <w:color w:val="auto"/>
                      <w:kern w:val="0"/>
                      <w:sz w:val="18"/>
                      <w:szCs w:val="18"/>
                    </w:rPr>
                    <w:t>颗粒物</w:t>
                  </w:r>
                </w:p>
              </w:tc>
              <w:tc>
                <w:tcPr>
                  <w:tcW w:w="130" w:type="pct"/>
                  <w:vMerge w:val="restart"/>
                  <w:vAlign w:val="center"/>
                </w:tcPr>
                <w:p w14:paraId="22A689CE">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7646236A">
                  <w:pPr>
                    <w:jc w:val="center"/>
                    <w:rPr>
                      <w:color w:val="auto"/>
                      <w:sz w:val="18"/>
                      <w:szCs w:val="18"/>
                    </w:rPr>
                  </w:pPr>
                  <w:r>
                    <w:rPr>
                      <w:rFonts w:hint="eastAsia"/>
                      <w:color w:val="auto"/>
                      <w:sz w:val="18"/>
                      <w:szCs w:val="18"/>
                    </w:rPr>
                    <w:t>10000</w:t>
                  </w:r>
                </w:p>
              </w:tc>
              <w:tc>
                <w:tcPr>
                  <w:tcW w:w="399" w:type="pct"/>
                  <w:vAlign w:val="center"/>
                </w:tcPr>
                <w:p w14:paraId="46C35DBF">
                  <w:pPr>
                    <w:jc w:val="center"/>
                    <w:rPr>
                      <w:color w:val="auto"/>
                      <w:sz w:val="18"/>
                      <w:szCs w:val="18"/>
                    </w:rPr>
                  </w:pPr>
                  <w:r>
                    <w:rPr>
                      <w:rFonts w:hint="eastAsia"/>
                      <w:color w:val="auto"/>
                      <w:sz w:val="18"/>
                      <w:szCs w:val="18"/>
                    </w:rPr>
                    <w:t>158.33</w:t>
                  </w:r>
                </w:p>
              </w:tc>
              <w:tc>
                <w:tcPr>
                  <w:tcW w:w="298" w:type="pct"/>
                  <w:vAlign w:val="center"/>
                </w:tcPr>
                <w:p w14:paraId="134EC090">
                  <w:pPr>
                    <w:adjustRightInd w:val="0"/>
                    <w:snapToGrid w:val="0"/>
                    <w:jc w:val="center"/>
                    <w:rPr>
                      <w:color w:val="auto"/>
                      <w:sz w:val="18"/>
                      <w:szCs w:val="18"/>
                    </w:rPr>
                  </w:pPr>
                  <w:r>
                    <w:rPr>
                      <w:rFonts w:hint="eastAsia"/>
                      <w:color w:val="auto"/>
                      <w:sz w:val="18"/>
                      <w:szCs w:val="18"/>
                    </w:rPr>
                    <w:t>1.5833</w:t>
                  </w:r>
                </w:p>
              </w:tc>
              <w:tc>
                <w:tcPr>
                  <w:tcW w:w="265" w:type="pct"/>
                  <w:vAlign w:val="center"/>
                </w:tcPr>
                <w:p w14:paraId="2F7A391A">
                  <w:pPr>
                    <w:widowControl/>
                    <w:jc w:val="center"/>
                    <w:rPr>
                      <w:color w:val="auto"/>
                      <w:kern w:val="0"/>
                      <w:sz w:val="18"/>
                      <w:szCs w:val="18"/>
                    </w:rPr>
                  </w:pPr>
                  <w:r>
                    <w:rPr>
                      <w:rFonts w:hint="eastAsia"/>
                      <w:color w:val="auto"/>
                      <w:kern w:val="0"/>
                      <w:sz w:val="18"/>
                      <w:szCs w:val="18"/>
                    </w:rPr>
                    <w:t>5.7</w:t>
                  </w:r>
                </w:p>
              </w:tc>
              <w:tc>
                <w:tcPr>
                  <w:tcW w:w="191" w:type="pct"/>
                  <w:vAlign w:val="center"/>
                </w:tcPr>
                <w:p w14:paraId="09F1E8D7">
                  <w:pPr>
                    <w:widowControl/>
                    <w:jc w:val="center"/>
                    <w:rPr>
                      <w:color w:val="auto"/>
                      <w:kern w:val="0"/>
                      <w:sz w:val="18"/>
                      <w:szCs w:val="18"/>
                    </w:rPr>
                  </w:pPr>
                  <w:r>
                    <w:rPr>
                      <w:rFonts w:hint="eastAsia"/>
                      <w:color w:val="auto"/>
                      <w:kern w:val="0"/>
                      <w:sz w:val="18"/>
                      <w:szCs w:val="18"/>
                    </w:rPr>
                    <w:t>喷粉回收处置系统</w:t>
                  </w:r>
                </w:p>
              </w:tc>
              <w:tc>
                <w:tcPr>
                  <w:tcW w:w="232" w:type="pct"/>
                  <w:vMerge w:val="restart"/>
                  <w:vAlign w:val="center"/>
                </w:tcPr>
                <w:p w14:paraId="0730A4CB">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43E2CD2F">
                  <w:pPr>
                    <w:jc w:val="center"/>
                    <w:rPr>
                      <w:color w:val="auto"/>
                      <w:kern w:val="0"/>
                      <w:sz w:val="18"/>
                      <w:szCs w:val="18"/>
                    </w:rPr>
                  </w:pPr>
                  <w:r>
                    <w:rPr>
                      <w:color w:val="auto"/>
                      <w:kern w:val="0"/>
                      <w:sz w:val="18"/>
                      <w:szCs w:val="18"/>
                    </w:rPr>
                    <w:t>处理效率</w:t>
                  </w:r>
                  <w:r>
                    <w:rPr>
                      <w:rFonts w:hint="eastAsia"/>
                      <w:color w:val="auto"/>
                      <w:kern w:val="0"/>
                      <w:sz w:val="18"/>
                      <w:szCs w:val="18"/>
                    </w:rPr>
                    <w:t>95</w:t>
                  </w:r>
                  <w:r>
                    <w:rPr>
                      <w:color w:val="auto"/>
                      <w:kern w:val="0"/>
                      <w:sz w:val="18"/>
                      <w:szCs w:val="18"/>
                    </w:rPr>
                    <w:t>%</w:t>
                  </w:r>
                </w:p>
              </w:tc>
              <w:tc>
                <w:tcPr>
                  <w:tcW w:w="132" w:type="pct"/>
                  <w:vMerge w:val="restart"/>
                  <w:vAlign w:val="center"/>
                </w:tcPr>
                <w:p w14:paraId="098EC12C">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232AB4D7">
                  <w:pPr>
                    <w:jc w:val="center"/>
                    <w:rPr>
                      <w:color w:val="auto"/>
                      <w:sz w:val="18"/>
                      <w:szCs w:val="18"/>
                    </w:rPr>
                  </w:pPr>
                  <w:r>
                    <w:rPr>
                      <w:rFonts w:hint="eastAsia"/>
                      <w:color w:val="auto"/>
                      <w:sz w:val="18"/>
                      <w:szCs w:val="18"/>
                    </w:rPr>
                    <w:t>10000</w:t>
                  </w:r>
                </w:p>
              </w:tc>
              <w:tc>
                <w:tcPr>
                  <w:tcW w:w="400" w:type="pct"/>
                  <w:vAlign w:val="center"/>
                </w:tcPr>
                <w:p w14:paraId="274D3E1B">
                  <w:pPr>
                    <w:jc w:val="center"/>
                    <w:rPr>
                      <w:color w:val="auto"/>
                      <w:sz w:val="18"/>
                      <w:szCs w:val="18"/>
                    </w:rPr>
                  </w:pPr>
                  <w:r>
                    <w:rPr>
                      <w:rFonts w:hint="eastAsia"/>
                      <w:color w:val="auto"/>
                      <w:sz w:val="18"/>
                      <w:szCs w:val="18"/>
                    </w:rPr>
                    <w:t>7.92</w:t>
                  </w:r>
                </w:p>
              </w:tc>
              <w:tc>
                <w:tcPr>
                  <w:tcW w:w="298" w:type="pct"/>
                  <w:vAlign w:val="center"/>
                </w:tcPr>
                <w:p w14:paraId="411375BB">
                  <w:pPr>
                    <w:adjustRightInd w:val="0"/>
                    <w:snapToGrid w:val="0"/>
                    <w:jc w:val="center"/>
                    <w:rPr>
                      <w:color w:val="auto"/>
                      <w:sz w:val="18"/>
                      <w:szCs w:val="18"/>
                    </w:rPr>
                  </w:pPr>
                  <w:r>
                    <w:rPr>
                      <w:rFonts w:hint="eastAsia"/>
                      <w:color w:val="auto"/>
                      <w:sz w:val="18"/>
                      <w:szCs w:val="18"/>
                    </w:rPr>
                    <w:t>0.0792</w:t>
                  </w:r>
                </w:p>
              </w:tc>
              <w:tc>
                <w:tcPr>
                  <w:tcW w:w="307" w:type="pct"/>
                  <w:vAlign w:val="center"/>
                </w:tcPr>
                <w:p w14:paraId="6FF8508E">
                  <w:pPr>
                    <w:widowControl/>
                    <w:jc w:val="center"/>
                    <w:rPr>
                      <w:color w:val="auto"/>
                      <w:kern w:val="0"/>
                      <w:sz w:val="18"/>
                      <w:szCs w:val="18"/>
                    </w:rPr>
                  </w:pPr>
                  <w:r>
                    <w:rPr>
                      <w:rFonts w:hint="eastAsia"/>
                      <w:color w:val="auto"/>
                      <w:kern w:val="0"/>
                      <w:sz w:val="18"/>
                      <w:szCs w:val="18"/>
                    </w:rPr>
                    <w:t>0.285</w:t>
                  </w:r>
                </w:p>
              </w:tc>
              <w:tc>
                <w:tcPr>
                  <w:tcW w:w="360" w:type="pct"/>
                  <w:vAlign w:val="center"/>
                </w:tcPr>
                <w:p w14:paraId="69D69E33">
                  <w:pPr>
                    <w:adjustRightInd w:val="0"/>
                    <w:snapToGrid w:val="0"/>
                    <w:jc w:val="center"/>
                    <w:rPr>
                      <w:color w:val="auto"/>
                      <w:sz w:val="18"/>
                      <w:szCs w:val="18"/>
                    </w:rPr>
                  </w:pPr>
                  <w:r>
                    <w:rPr>
                      <w:rFonts w:hint="eastAsia"/>
                      <w:color w:val="auto"/>
                      <w:sz w:val="18"/>
                      <w:szCs w:val="18"/>
                    </w:rPr>
                    <w:t>10</w:t>
                  </w:r>
                </w:p>
              </w:tc>
              <w:tc>
                <w:tcPr>
                  <w:tcW w:w="319" w:type="pct"/>
                  <w:vAlign w:val="center"/>
                </w:tcPr>
                <w:p w14:paraId="4D181768">
                  <w:pPr>
                    <w:adjustRightInd w:val="0"/>
                    <w:snapToGrid w:val="0"/>
                    <w:jc w:val="center"/>
                    <w:rPr>
                      <w:color w:val="auto"/>
                      <w:sz w:val="18"/>
                      <w:szCs w:val="18"/>
                    </w:rPr>
                  </w:pPr>
                  <w:r>
                    <w:rPr>
                      <w:rFonts w:hint="eastAsia"/>
                      <w:color w:val="auto"/>
                      <w:sz w:val="18"/>
                      <w:szCs w:val="18"/>
                    </w:rPr>
                    <w:t>0.4</w:t>
                  </w:r>
                </w:p>
              </w:tc>
              <w:tc>
                <w:tcPr>
                  <w:tcW w:w="213" w:type="pct"/>
                  <w:vMerge w:val="restart"/>
                  <w:vAlign w:val="center"/>
                </w:tcPr>
                <w:p w14:paraId="37847C94">
                  <w:pPr>
                    <w:widowControl/>
                    <w:adjustRightInd w:val="0"/>
                    <w:snapToGrid w:val="0"/>
                    <w:jc w:val="center"/>
                    <w:rPr>
                      <w:color w:val="auto"/>
                      <w:kern w:val="0"/>
                      <w:sz w:val="18"/>
                      <w:szCs w:val="18"/>
                    </w:rPr>
                  </w:pPr>
                  <w:r>
                    <w:rPr>
                      <w:rFonts w:hint="eastAsia"/>
                      <w:color w:val="auto"/>
                      <w:kern w:val="0"/>
                      <w:sz w:val="18"/>
                      <w:szCs w:val="18"/>
                    </w:rPr>
                    <w:t>3600</w:t>
                  </w:r>
                </w:p>
              </w:tc>
            </w:tr>
            <w:tr w14:paraId="43FF7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7" w:type="pct"/>
                  <w:vMerge w:val="continue"/>
                  <w:vAlign w:val="center"/>
                </w:tcPr>
                <w:p w14:paraId="2FE5BA54">
                  <w:pPr>
                    <w:widowControl/>
                    <w:adjustRightInd w:val="0"/>
                    <w:snapToGrid w:val="0"/>
                    <w:jc w:val="center"/>
                    <w:rPr>
                      <w:color w:val="auto"/>
                      <w:kern w:val="0"/>
                      <w:sz w:val="18"/>
                      <w:szCs w:val="18"/>
                    </w:rPr>
                  </w:pPr>
                </w:p>
              </w:tc>
              <w:tc>
                <w:tcPr>
                  <w:tcW w:w="232" w:type="pct"/>
                  <w:vMerge w:val="continue"/>
                  <w:vAlign w:val="center"/>
                </w:tcPr>
                <w:p w14:paraId="76BEDC1C">
                  <w:pPr>
                    <w:widowControl/>
                    <w:adjustRightInd w:val="0"/>
                    <w:snapToGrid w:val="0"/>
                    <w:jc w:val="center"/>
                    <w:rPr>
                      <w:color w:val="auto"/>
                      <w:kern w:val="0"/>
                      <w:sz w:val="18"/>
                      <w:szCs w:val="18"/>
                    </w:rPr>
                  </w:pPr>
                </w:p>
              </w:tc>
              <w:tc>
                <w:tcPr>
                  <w:tcW w:w="230" w:type="pct"/>
                  <w:vAlign w:val="center"/>
                </w:tcPr>
                <w:p w14:paraId="162FAD92">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121B83B0">
                  <w:pPr>
                    <w:widowControl/>
                    <w:adjustRightInd w:val="0"/>
                    <w:snapToGrid w:val="0"/>
                    <w:jc w:val="center"/>
                    <w:rPr>
                      <w:color w:val="auto"/>
                      <w:kern w:val="0"/>
                      <w:sz w:val="18"/>
                      <w:szCs w:val="18"/>
                    </w:rPr>
                  </w:pPr>
                </w:p>
              </w:tc>
              <w:tc>
                <w:tcPr>
                  <w:tcW w:w="130" w:type="pct"/>
                  <w:vMerge w:val="continue"/>
                  <w:vAlign w:val="center"/>
                </w:tcPr>
                <w:p w14:paraId="0EAAFDE7">
                  <w:pPr>
                    <w:widowControl/>
                    <w:adjustRightInd w:val="0"/>
                    <w:snapToGrid w:val="0"/>
                    <w:jc w:val="center"/>
                    <w:rPr>
                      <w:color w:val="auto"/>
                      <w:kern w:val="0"/>
                      <w:sz w:val="18"/>
                      <w:szCs w:val="18"/>
                    </w:rPr>
                  </w:pPr>
                </w:p>
              </w:tc>
              <w:tc>
                <w:tcPr>
                  <w:tcW w:w="357" w:type="pct"/>
                  <w:vMerge w:val="continue"/>
                  <w:vAlign w:val="center"/>
                </w:tcPr>
                <w:p w14:paraId="7618DD2C">
                  <w:pPr>
                    <w:jc w:val="center"/>
                    <w:rPr>
                      <w:color w:val="auto"/>
                      <w:sz w:val="18"/>
                      <w:szCs w:val="18"/>
                    </w:rPr>
                  </w:pPr>
                </w:p>
              </w:tc>
              <w:tc>
                <w:tcPr>
                  <w:tcW w:w="399" w:type="pct"/>
                  <w:vAlign w:val="center"/>
                </w:tcPr>
                <w:p w14:paraId="6F964E69">
                  <w:pPr>
                    <w:jc w:val="center"/>
                    <w:rPr>
                      <w:color w:val="auto"/>
                      <w:sz w:val="18"/>
                      <w:szCs w:val="18"/>
                    </w:rPr>
                  </w:pPr>
                  <w:r>
                    <w:rPr>
                      <w:rFonts w:hint="eastAsia"/>
                      <w:color w:val="auto"/>
                      <w:sz w:val="18"/>
                      <w:szCs w:val="18"/>
                    </w:rPr>
                    <w:t>/</w:t>
                  </w:r>
                </w:p>
              </w:tc>
              <w:tc>
                <w:tcPr>
                  <w:tcW w:w="298" w:type="pct"/>
                  <w:vAlign w:val="center"/>
                </w:tcPr>
                <w:p w14:paraId="3EE1A7E0">
                  <w:pPr>
                    <w:adjustRightInd w:val="0"/>
                    <w:snapToGrid w:val="0"/>
                    <w:jc w:val="center"/>
                    <w:rPr>
                      <w:color w:val="auto"/>
                      <w:sz w:val="18"/>
                      <w:szCs w:val="18"/>
                    </w:rPr>
                  </w:pPr>
                  <w:r>
                    <w:rPr>
                      <w:rFonts w:hint="eastAsia"/>
                      <w:color w:val="auto"/>
                      <w:sz w:val="18"/>
                      <w:szCs w:val="18"/>
                    </w:rPr>
                    <w:t>0.0833</w:t>
                  </w:r>
                </w:p>
              </w:tc>
              <w:tc>
                <w:tcPr>
                  <w:tcW w:w="265" w:type="pct"/>
                  <w:vAlign w:val="center"/>
                </w:tcPr>
                <w:p w14:paraId="7B2FA204">
                  <w:pPr>
                    <w:widowControl/>
                    <w:jc w:val="center"/>
                    <w:rPr>
                      <w:color w:val="auto"/>
                      <w:kern w:val="0"/>
                      <w:sz w:val="18"/>
                      <w:szCs w:val="18"/>
                    </w:rPr>
                  </w:pPr>
                  <w:r>
                    <w:rPr>
                      <w:rFonts w:hint="eastAsia"/>
                      <w:color w:val="auto"/>
                      <w:kern w:val="0"/>
                      <w:sz w:val="18"/>
                      <w:szCs w:val="18"/>
                    </w:rPr>
                    <w:t>0.3</w:t>
                  </w:r>
                </w:p>
              </w:tc>
              <w:tc>
                <w:tcPr>
                  <w:tcW w:w="191" w:type="pct"/>
                  <w:vAlign w:val="center"/>
                </w:tcPr>
                <w:p w14:paraId="15390AFB">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2F7F9F9F">
                  <w:pPr>
                    <w:jc w:val="center"/>
                    <w:rPr>
                      <w:color w:val="auto"/>
                      <w:kern w:val="0"/>
                      <w:sz w:val="18"/>
                      <w:szCs w:val="18"/>
                    </w:rPr>
                  </w:pPr>
                </w:p>
              </w:tc>
              <w:tc>
                <w:tcPr>
                  <w:tcW w:w="132" w:type="pct"/>
                  <w:vMerge w:val="continue"/>
                  <w:vAlign w:val="center"/>
                </w:tcPr>
                <w:p w14:paraId="6B4C80EE">
                  <w:pPr>
                    <w:widowControl/>
                    <w:jc w:val="center"/>
                    <w:rPr>
                      <w:color w:val="auto"/>
                      <w:kern w:val="0"/>
                      <w:sz w:val="18"/>
                      <w:szCs w:val="18"/>
                    </w:rPr>
                  </w:pPr>
                </w:p>
              </w:tc>
              <w:tc>
                <w:tcPr>
                  <w:tcW w:w="357" w:type="pct"/>
                  <w:vMerge w:val="continue"/>
                  <w:vAlign w:val="center"/>
                </w:tcPr>
                <w:p w14:paraId="40CFBC1B">
                  <w:pPr>
                    <w:jc w:val="center"/>
                    <w:rPr>
                      <w:color w:val="auto"/>
                      <w:sz w:val="18"/>
                      <w:szCs w:val="18"/>
                    </w:rPr>
                  </w:pPr>
                </w:p>
              </w:tc>
              <w:tc>
                <w:tcPr>
                  <w:tcW w:w="400" w:type="pct"/>
                  <w:vAlign w:val="center"/>
                </w:tcPr>
                <w:p w14:paraId="7A9462B2">
                  <w:pPr>
                    <w:jc w:val="center"/>
                    <w:rPr>
                      <w:color w:val="auto"/>
                      <w:sz w:val="18"/>
                      <w:szCs w:val="18"/>
                    </w:rPr>
                  </w:pPr>
                  <w:r>
                    <w:rPr>
                      <w:rFonts w:hint="eastAsia"/>
                      <w:color w:val="auto"/>
                      <w:sz w:val="18"/>
                      <w:szCs w:val="18"/>
                    </w:rPr>
                    <w:t>/</w:t>
                  </w:r>
                </w:p>
              </w:tc>
              <w:tc>
                <w:tcPr>
                  <w:tcW w:w="298" w:type="pct"/>
                  <w:vAlign w:val="center"/>
                </w:tcPr>
                <w:p w14:paraId="1D9C9AA9">
                  <w:pPr>
                    <w:adjustRightInd w:val="0"/>
                    <w:snapToGrid w:val="0"/>
                    <w:jc w:val="center"/>
                    <w:rPr>
                      <w:color w:val="auto"/>
                      <w:sz w:val="18"/>
                      <w:szCs w:val="18"/>
                    </w:rPr>
                  </w:pPr>
                  <w:r>
                    <w:rPr>
                      <w:rFonts w:hint="eastAsia"/>
                      <w:color w:val="auto"/>
                      <w:sz w:val="18"/>
                      <w:szCs w:val="18"/>
                    </w:rPr>
                    <w:t>0.0833</w:t>
                  </w:r>
                </w:p>
              </w:tc>
              <w:tc>
                <w:tcPr>
                  <w:tcW w:w="307" w:type="pct"/>
                  <w:vAlign w:val="center"/>
                </w:tcPr>
                <w:p w14:paraId="2B04807A">
                  <w:pPr>
                    <w:widowControl/>
                    <w:jc w:val="center"/>
                    <w:rPr>
                      <w:color w:val="auto"/>
                      <w:kern w:val="0"/>
                      <w:sz w:val="18"/>
                      <w:szCs w:val="18"/>
                    </w:rPr>
                  </w:pPr>
                  <w:r>
                    <w:rPr>
                      <w:rFonts w:hint="eastAsia"/>
                      <w:color w:val="auto"/>
                      <w:kern w:val="0"/>
                      <w:sz w:val="18"/>
                      <w:szCs w:val="18"/>
                    </w:rPr>
                    <w:t>0.3</w:t>
                  </w:r>
                </w:p>
              </w:tc>
              <w:tc>
                <w:tcPr>
                  <w:tcW w:w="360" w:type="pct"/>
                  <w:vAlign w:val="center"/>
                </w:tcPr>
                <w:p w14:paraId="1F85BC5F">
                  <w:pPr>
                    <w:adjustRightInd w:val="0"/>
                    <w:snapToGrid w:val="0"/>
                    <w:jc w:val="center"/>
                    <w:rPr>
                      <w:color w:val="auto"/>
                      <w:sz w:val="18"/>
                      <w:szCs w:val="18"/>
                    </w:rPr>
                  </w:pPr>
                  <w:r>
                    <w:rPr>
                      <w:rFonts w:hint="eastAsia"/>
                      <w:color w:val="auto"/>
                      <w:sz w:val="18"/>
                      <w:szCs w:val="18"/>
                    </w:rPr>
                    <w:t>0.5</w:t>
                  </w:r>
                </w:p>
              </w:tc>
              <w:tc>
                <w:tcPr>
                  <w:tcW w:w="319" w:type="pct"/>
                  <w:vAlign w:val="center"/>
                </w:tcPr>
                <w:p w14:paraId="4E98C40E">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0B5F1CA0">
                  <w:pPr>
                    <w:widowControl/>
                    <w:adjustRightInd w:val="0"/>
                    <w:snapToGrid w:val="0"/>
                    <w:jc w:val="center"/>
                    <w:rPr>
                      <w:color w:val="auto"/>
                      <w:kern w:val="0"/>
                      <w:sz w:val="18"/>
                      <w:szCs w:val="18"/>
                    </w:rPr>
                  </w:pPr>
                </w:p>
              </w:tc>
            </w:tr>
            <w:tr w14:paraId="3BC81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6" w:hRule="atLeast"/>
                <w:jc w:val="center"/>
              </w:trPr>
              <w:tc>
                <w:tcPr>
                  <w:tcW w:w="147" w:type="pct"/>
                  <w:vMerge w:val="continue"/>
                  <w:vAlign w:val="center"/>
                </w:tcPr>
                <w:p w14:paraId="7458F952">
                  <w:pPr>
                    <w:widowControl/>
                    <w:adjustRightInd w:val="0"/>
                    <w:snapToGrid w:val="0"/>
                    <w:jc w:val="center"/>
                    <w:rPr>
                      <w:color w:val="auto"/>
                      <w:kern w:val="0"/>
                      <w:sz w:val="18"/>
                      <w:szCs w:val="18"/>
                    </w:rPr>
                  </w:pPr>
                </w:p>
              </w:tc>
              <w:tc>
                <w:tcPr>
                  <w:tcW w:w="232" w:type="pct"/>
                  <w:vMerge w:val="restart"/>
                  <w:vAlign w:val="center"/>
                </w:tcPr>
                <w:p w14:paraId="184FB2C4">
                  <w:pPr>
                    <w:widowControl/>
                    <w:adjustRightInd w:val="0"/>
                    <w:snapToGrid w:val="0"/>
                    <w:jc w:val="center"/>
                    <w:rPr>
                      <w:color w:val="auto"/>
                      <w:kern w:val="0"/>
                      <w:sz w:val="18"/>
                      <w:szCs w:val="18"/>
                    </w:rPr>
                  </w:pPr>
                  <w:r>
                    <w:rPr>
                      <w:rFonts w:hint="eastAsia"/>
                      <w:color w:val="auto"/>
                      <w:kern w:val="0"/>
                      <w:sz w:val="18"/>
                      <w:szCs w:val="18"/>
                    </w:rPr>
                    <w:t>烘烤固化</w:t>
                  </w:r>
                </w:p>
              </w:tc>
              <w:tc>
                <w:tcPr>
                  <w:tcW w:w="230" w:type="pct"/>
                  <w:vAlign w:val="center"/>
                </w:tcPr>
                <w:p w14:paraId="4483E1A3">
                  <w:pPr>
                    <w:widowControl/>
                    <w:adjustRightInd w:val="0"/>
                    <w:snapToGrid w:val="0"/>
                    <w:jc w:val="center"/>
                    <w:rPr>
                      <w:color w:val="auto"/>
                      <w:kern w:val="0"/>
                      <w:sz w:val="18"/>
                      <w:szCs w:val="18"/>
                    </w:rPr>
                  </w:pPr>
                  <w:r>
                    <w:rPr>
                      <w:rFonts w:hint="eastAsia"/>
                      <w:color w:val="auto"/>
                      <w:kern w:val="0"/>
                      <w:sz w:val="18"/>
                      <w:szCs w:val="18"/>
                    </w:rPr>
                    <w:t>DA005</w:t>
                  </w:r>
                </w:p>
              </w:tc>
              <w:tc>
                <w:tcPr>
                  <w:tcW w:w="130" w:type="pct"/>
                  <w:vMerge w:val="restart"/>
                  <w:vAlign w:val="center"/>
                </w:tcPr>
                <w:p w14:paraId="7FF914D7">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79063787">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54FAFC38">
                  <w:pPr>
                    <w:jc w:val="center"/>
                    <w:rPr>
                      <w:color w:val="auto"/>
                      <w:sz w:val="18"/>
                      <w:szCs w:val="18"/>
                    </w:rPr>
                  </w:pPr>
                  <w:r>
                    <w:rPr>
                      <w:rFonts w:hint="eastAsia"/>
                      <w:color w:val="auto"/>
                      <w:sz w:val="18"/>
                      <w:szCs w:val="18"/>
                    </w:rPr>
                    <w:t>2000</w:t>
                  </w:r>
                </w:p>
              </w:tc>
              <w:tc>
                <w:tcPr>
                  <w:tcW w:w="399" w:type="pct"/>
                  <w:vAlign w:val="center"/>
                </w:tcPr>
                <w:p w14:paraId="720FB415">
                  <w:pPr>
                    <w:jc w:val="center"/>
                    <w:rPr>
                      <w:color w:val="auto"/>
                      <w:sz w:val="18"/>
                      <w:szCs w:val="18"/>
                    </w:rPr>
                  </w:pPr>
                  <w:r>
                    <w:rPr>
                      <w:rFonts w:hint="eastAsia"/>
                      <w:color w:val="auto"/>
                      <w:sz w:val="18"/>
                      <w:szCs w:val="18"/>
                    </w:rPr>
                    <w:t>3.17</w:t>
                  </w:r>
                </w:p>
              </w:tc>
              <w:tc>
                <w:tcPr>
                  <w:tcW w:w="298" w:type="pct"/>
                  <w:vAlign w:val="center"/>
                </w:tcPr>
                <w:p w14:paraId="07DE495B">
                  <w:pPr>
                    <w:adjustRightInd w:val="0"/>
                    <w:snapToGrid w:val="0"/>
                    <w:jc w:val="center"/>
                    <w:rPr>
                      <w:color w:val="auto"/>
                      <w:sz w:val="18"/>
                      <w:szCs w:val="18"/>
                    </w:rPr>
                  </w:pPr>
                  <w:r>
                    <w:rPr>
                      <w:rFonts w:hint="eastAsia"/>
                      <w:color w:val="auto"/>
                      <w:sz w:val="18"/>
                      <w:szCs w:val="18"/>
                    </w:rPr>
                    <w:t>0.0063</w:t>
                  </w:r>
                </w:p>
              </w:tc>
              <w:tc>
                <w:tcPr>
                  <w:tcW w:w="265" w:type="pct"/>
                  <w:vAlign w:val="center"/>
                </w:tcPr>
                <w:p w14:paraId="1D39010E">
                  <w:pPr>
                    <w:widowControl/>
                    <w:jc w:val="center"/>
                    <w:rPr>
                      <w:color w:val="auto"/>
                      <w:kern w:val="0"/>
                      <w:sz w:val="18"/>
                      <w:szCs w:val="18"/>
                    </w:rPr>
                  </w:pPr>
                  <w:r>
                    <w:rPr>
                      <w:rFonts w:hint="eastAsia"/>
                      <w:color w:val="auto"/>
                      <w:kern w:val="0"/>
                      <w:sz w:val="18"/>
                      <w:szCs w:val="18"/>
                    </w:rPr>
                    <w:t>0.0228</w:t>
                  </w:r>
                </w:p>
              </w:tc>
              <w:tc>
                <w:tcPr>
                  <w:tcW w:w="191" w:type="pct"/>
                  <w:vAlign w:val="center"/>
                </w:tcPr>
                <w:p w14:paraId="00BC03B0">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4973677A">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6C8F6110">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3C2E490F">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1F8326BF">
                  <w:pPr>
                    <w:jc w:val="center"/>
                    <w:rPr>
                      <w:color w:val="auto"/>
                      <w:sz w:val="18"/>
                      <w:szCs w:val="18"/>
                    </w:rPr>
                  </w:pPr>
                  <w:r>
                    <w:rPr>
                      <w:rFonts w:hint="eastAsia"/>
                      <w:color w:val="auto"/>
                      <w:sz w:val="18"/>
                      <w:szCs w:val="18"/>
                    </w:rPr>
                    <w:t>2000</w:t>
                  </w:r>
                </w:p>
              </w:tc>
              <w:tc>
                <w:tcPr>
                  <w:tcW w:w="400" w:type="pct"/>
                  <w:vAlign w:val="center"/>
                </w:tcPr>
                <w:p w14:paraId="017F9A1C">
                  <w:pPr>
                    <w:jc w:val="center"/>
                    <w:rPr>
                      <w:color w:val="auto"/>
                      <w:sz w:val="18"/>
                      <w:szCs w:val="18"/>
                    </w:rPr>
                  </w:pPr>
                  <w:r>
                    <w:rPr>
                      <w:rFonts w:hint="eastAsia"/>
                      <w:color w:val="auto"/>
                      <w:sz w:val="18"/>
                      <w:szCs w:val="18"/>
                    </w:rPr>
                    <w:t>0.32</w:t>
                  </w:r>
                </w:p>
              </w:tc>
              <w:tc>
                <w:tcPr>
                  <w:tcW w:w="298" w:type="pct"/>
                  <w:vAlign w:val="center"/>
                </w:tcPr>
                <w:p w14:paraId="2ECEA245">
                  <w:pPr>
                    <w:adjustRightInd w:val="0"/>
                    <w:snapToGrid w:val="0"/>
                    <w:jc w:val="center"/>
                    <w:rPr>
                      <w:color w:val="auto"/>
                      <w:sz w:val="18"/>
                      <w:szCs w:val="18"/>
                    </w:rPr>
                  </w:pPr>
                  <w:r>
                    <w:rPr>
                      <w:rFonts w:hint="eastAsia"/>
                      <w:color w:val="auto"/>
                      <w:sz w:val="18"/>
                      <w:szCs w:val="18"/>
                    </w:rPr>
                    <w:t>0.0006</w:t>
                  </w:r>
                </w:p>
              </w:tc>
              <w:tc>
                <w:tcPr>
                  <w:tcW w:w="307" w:type="pct"/>
                  <w:vAlign w:val="center"/>
                </w:tcPr>
                <w:p w14:paraId="709A301A">
                  <w:pPr>
                    <w:widowControl/>
                    <w:jc w:val="center"/>
                    <w:rPr>
                      <w:color w:val="auto"/>
                      <w:kern w:val="0"/>
                      <w:sz w:val="18"/>
                      <w:szCs w:val="18"/>
                    </w:rPr>
                  </w:pPr>
                  <w:r>
                    <w:rPr>
                      <w:rFonts w:hint="eastAsia"/>
                      <w:color w:val="auto"/>
                      <w:kern w:val="0"/>
                      <w:sz w:val="18"/>
                      <w:szCs w:val="18"/>
                    </w:rPr>
                    <w:t>0.00228</w:t>
                  </w:r>
                </w:p>
              </w:tc>
              <w:tc>
                <w:tcPr>
                  <w:tcW w:w="360" w:type="pct"/>
                  <w:vAlign w:val="center"/>
                </w:tcPr>
                <w:p w14:paraId="7E219354">
                  <w:pPr>
                    <w:adjustRightInd w:val="0"/>
                    <w:snapToGrid w:val="0"/>
                    <w:jc w:val="center"/>
                    <w:rPr>
                      <w:color w:val="auto"/>
                      <w:sz w:val="18"/>
                      <w:szCs w:val="18"/>
                    </w:rPr>
                  </w:pPr>
                  <w:r>
                    <w:rPr>
                      <w:rFonts w:hint="eastAsia"/>
                      <w:color w:val="auto"/>
                      <w:sz w:val="18"/>
                      <w:szCs w:val="18"/>
                    </w:rPr>
                    <w:t>50</w:t>
                  </w:r>
                </w:p>
              </w:tc>
              <w:tc>
                <w:tcPr>
                  <w:tcW w:w="319" w:type="pct"/>
                  <w:vAlign w:val="center"/>
                </w:tcPr>
                <w:p w14:paraId="6DE5057E">
                  <w:pPr>
                    <w:adjustRightInd w:val="0"/>
                    <w:snapToGrid w:val="0"/>
                    <w:jc w:val="center"/>
                    <w:rPr>
                      <w:color w:val="auto"/>
                      <w:sz w:val="18"/>
                      <w:szCs w:val="18"/>
                    </w:rPr>
                  </w:pPr>
                  <w:r>
                    <w:rPr>
                      <w:rFonts w:hint="eastAsia"/>
                      <w:color w:val="auto"/>
                      <w:sz w:val="18"/>
                      <w:szCs w:val="18"/>
                    </w:rPr>
                    <w:t>2.0</w:t>
                  </w:r>
                </w:p>
              </w:tc>
              <w:tc>
                <w:tcPr>
                  <w:tcW w:w="213" w:type="pct"/>
                  <w:vMerge w:val="restart"/>
                  <w:vAlign w:val="center"/>
                </w:tcPr>
                <w:p w14:paraId="0642BF25">
                  <w:pPr>
                    <w:widowControl/>
                    <w:adjustRightInd w:val="0"/>
                    <w:snapToGrid w:val="0"/>
                    <w:jc w:val="center"/>
                    <w:rPr>
                      <w:color w:val="auto"/>
                      <w:kern w:val="0"/>
                      <w:sz w:val="18"/>
                      <w:szCs w:val="18"/>
                    </w:rPr>
                  </w:pPr>
                  <w:r>
                    <w:rPr>
                      <w:rFonts w:hint="eastAsia"/>
                      <w:color w:val="auto"/>
                      <w:kern w:val="0"/>
                      <w:sz w:val="18"/>
                      <w:szCs w:val="18"/>
                    </w:rPr>
                    <w:t>3600</w:t>
                  </w:r>
                </w:p>
              </w:tc>
            </w:tr>
            <w:tr w14:paraId="49926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06A4D7B9">
                  <w:pPr>
                    <w:widowControl/>
                    <w:adjustRightInd w:val="0"/>
                    <w:snapToGrid w:val="0"/>
                    <w:jc w:val="center"/>
                    <w:rPr>
                      <w:color w:val="auto"/>
                      <w:kern w:val="0"/>
                      <w:sz w:val="18"/>
                      <w:szCs w:val="18"/>
                    </w:rPr>
                  </w:pPr>
                </w:p>
              </w:tc>
              <w:tc>
                <w:tcPr>
                  <w:tcW w:w="232" w:type="pct"/>
                  <w:vMerge w:val="continue"/>
                  <w:vAlign w:val="center"/>
                </w:tcPr>
                <w:p w14:paraId="55F1CD4A">
                  <w:pPr>
                    <w:widowControl/>
                    <w:adjustRightInd w:val="0"/>
                    <w:snapToGrid w:val="0"/>
                    <w:jc w:val="center"/>
                    <w:rPr>
                      <w:color w:val="auto"/>
                      <w:kern w:val="0"/>
                      <w:sz w:val="18"/>
                      <w:szCs w:val="18"/>
                    </w:rPr>
                  </w:pPr>
                </w:p>
              </w:tc>
              <w:tc>
                <w:tcPr>
                  <w:tcW w:w="230" w:type="pct"/>
                  <w:vAlign w:val="center"/>
                </w:tcPr>
                <w:p w14:paraId="5B9AC0A7">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4AE162E6">
                  <w:pPr>
                    <w:widowControl/>
                    <w:adjustRightInd w:val="0"/>
                    <w:snapToGrid w:val="0"/>
                    <w:jc w:val="center"/>
                    <w:rPr>
                      <w:color w:val="auto"/>
                      <w:kern w:val="0"/>
                      <w:sz w:val="18"/>
                      <w:szCs w:val="18"/>
                    </w:rPr>
                  </w:pPr>
                </w:p>
              </w:tc>
              <w:tc>
                <w:tcPr>
                  <w:tcW w:w="130" w:type="pct"/>
                  <w:vMerge w:val="continue"/>
                  <w:vAlign w:val="center"/>
                </w:tcPr>
                <w:p w14:paraId="33A82803">
                  <w:pPr>
                    <w:widowControl/>
                    <w:adjustRightInd w:val="0"/>
                    <w:snapToGrid w:val="0"/>
                    <w:jc w:val="center"/>
                    <w:rPr>
                      <w:color w:val="auto"/>
                      <w:kern w:val="0"/>
                      <w:sz w:val="18"/>
                      <w:szCs w:val="18"/>
                    </w:rPr>
                  </w:pPr>
                </w:p>
              </w:tc>
              <w:tc>
                <w:tcPr>
                  <w:tcW w:w="357" w:type="pct"/>
                  <w:vMerge w:val="continue"/>
                  <w:vAlign w:val="center"/>
                </w:tcPr>
                <w:p w14:paraId="3B089100">
                  <w:pPr>
                    <w:jc w:val="center"/>
                    <w:rPr>
                      <w:color w:val="auto"/>
                      <w:sz w:val="18"/>
                      <w:szCs w:val="18"/>
                    </w:rPr>
                  </w:pPr>
                </w:p>
              </w:tc>
              <w:tc>
                <w:tcPr>
                  <w:tcW w:w="399" w:type="pct"/>
                  <w:vAlign w:val="center"/>
                </w:tcPr>
                <w:p w14:paraId="6ECCBA15">
                  <w:pPr>
                    <w:jc w:val="center"/>
                    <w:rPr>
                      <w:color w:val="auto"/>
                      <w:sz w:val="18"/>
                      <w:szCs w:val="18"/>
                    </w:rPr>
                  </w:pPr>
                  <w:r>
                    <w:rPr>
                      <w:rFonts w:hint="eastAsia"/>
                      <w:color w:val="auto"/>
                      <w:sz w:val="18"/>
                      <w:szCs w:val="18"/>
                    </w:rPr>
                    <w:t>/</w:t>
                  </w:r>
                </w:p>
              </w:tc>
              <w:tc>
                <w:tcPr>
                  <w:tcW w:w="298" w:type="pct"/>
                  <w:vAlign w:val="center"/>
                </w:tcPr>
                <w:p w14:paraId="3AB64D3B">
                  <w:pPr>
                    <w:adjustRightInd w:val="0"/>
                    <w:snapToGrid w:val="0"/>
                    <w:jc w:val="center"/>
                    <w:rPr>
                      <w:color w:val="auto"/>
                      <w:sz w:val="18"/>
                      <w:szCs w:val="18"/>
                    </w:rPr>
                  </w:pPr>
                  <w:r>
                    <w:rPr>
                      <w:rFonts w:hint="eastAsia"/>
                      <w:color w:val="auto"/>
                      <w:sz w:val="18"/>
                      <w:szCs w:val="18"/>
                    </w:rPr>
                    <w:t>0.0003</w:t>
                  </w:r>
                </w:p>
              </w:tc>
              <w:tc>
                <w:tcPr>
                  <w:tcW w:w="265" w:type="pct"/>
                  <w:vAlign w:val="center"/>
                </w:tcPr>
                <w:p w14:paraId="63B1592A">
                  <w:pPr>
                    <w:widowControl/>
                    <w:jc w:val="center"/>
                    <w:rPr>
                      <w:color w:val="auto"/>
                      <w:kern w:val="0"/>
                      <w:sz w:val="18"/>
                      <w:szCs w:val="18"/>
                    </w:rPr>
                  </w:pPr>
                  <w:r>
                    <w:rPr>
                      <w:rFonts w:hint="eastAsia"/>
                      <w:color w:val="auto"/>
                      <w:kern w:val="0"/>
                      <w:sz w:val="18"/>
                      <w:szCs w:val="18"/>
                    </w:rPr>
                    <w:t>0.0012</w:t>
                  </w:r>
                </w:p>
              </w:tc>
              <w:tc>
                <w:tcPr>
                  <w:tcW w:w="191" w:type="pct"/>
                  <w:vAlign w:val="center"/>
                </w:tcPr>
                <w:p w14:paraId="03E1C9FB">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363B359F">
                  <w:pPr>
                    <w:jc w:val="center"/>
                    <w:rPr>
                      <w:color w:val="auto"/>
                      <w:kern w:val="0"/>
                      <w:sz w:val="18"/>
                      <w:szCs w:val="18"/>
                    </w:rPr>
                  </w:pPr>
                </w:p>
              </w:tc>
              <w:tc>
                <w:tcPr>
                  <w:tcW w:w="132" w:type="pct"/>
                  <w:vMerge w:val="continue"/>
                  <w:vAlign w:val="center"/>
                </w:tcPr>
                <w:p w14:paraId="5980E37C">
                  <w:pPr>
                    <w:widowControl/>
                    <w:jc w:val="center"/>
                    <w:rPr>
                      <w:color w:val="auto"/>
                      <w:kern w:val="0"/>
                      <w:sz w:val="18"/>
                      <w:szCs w:val="18"/>
                    </w:rPr>
                  </w:pPr>
                </w:p>
              </w:tc>
              <w:tc>
                <w:tcPr>
                  <w:tcW w:w="357" w:type="pct"/>
                  <w:vMerge w:val="continue"/>
                  <w:vAlign w:val="center"/>
                </w:tcPr>
                <w:p w14:paraId="6A10C33D">
                  <w:pPr>
                    <w:jc w:val="center"/>
                    <w:rPr>
                      <w:color w:val="auto"/>
                      <w:sz w:val="18"/>
                      <w:szCs w:val="18"/>
                    </w:rPr>
                  </w:pPr>
                </w:p>
              </w:tc>
              <w:tc>
                <w:tcPr>
                  <w:tcW w:w="400" w:type="pct"/>
                  <w:vAlign w:val="center"/>
                </w:tcPr>
                <w:p w14:paraId="4593BF53">
                  <w:pPr>
                    <w:jc w:val="center"/>
                    <w:rPr>
                      <w:color w:val="auto"/>
                      <w:sz w:val="18"/>
                      <w:szCs w:val="18"/>
                    </w:rPr>
                  </w:pPr>
                  <w:r>
                    <w:rPr>
                      <w:rFonts w:hint="eastAsia"/>
                      <w:color w:val="auto"/>
                      <w:sz w:val="18"/>
                      <w:szCs w:val="18"/>
                    </w:rPr>
                    <w:t>/</w:t>
                  </w:r>
                </w:p>
              </w:tc>
              <w:tc>
                <w:tcPr>
                  <w:tcW w:w="298" w:type="pct"/>
                  <w:vAlign w:val="center"/>
                </w:tcPr>
                <w:p w14:paraId="066F69F3">
                  <w:pPr>
                    <w:adjustRightInd w:val="0"/>
                    <w:snapToGrid w:val="0"/>
                    <w:jc w:val="center"/>
                    <w:rPr>
                      <w:color w:val="auto"/>
                      <w:sz w:val="18"/>
                      <w:szCs w:val="18"/>
                    </w:rPr>
                  </w:pPr>
                  <w:r>
                    <w:rPr>
                      <w:rFonts w:hint="eastAsia"/>
                      <w:color w:val="auto"/>
                      <w:sz w:val="18"/>
                      <w:szCs w:val="18"/>
                    </w:rPr>
                    <w:t>0.0003</w:t>
                  </w:r>
                </w:p>
              </w:tc>
              <w:tc>
                <w:tcPr>
                  <w:tcW w:w="307" w:type="pct"/>
                  <w:vAlign w:val="center"/>
                </w:tcPr>
                <w:p w14:paraId="0AA974BC">
                  <w:pPr>
                    <w:widowControl/>
                    <w:jc w:val="center"/>
                    <w:rPr>
                      <w:color w:val="auto"/>
                      <w:kern w:val="0"/>
                      <w:sz w:val="18"/>
                      <w:szCs w:val="18"/>
                    </w:rPr>
                  </w:pPr>
                  <w:r>
                    <w:rPr>
                      <w:rFonts w:hint="eastAsia"/>
                      <w:color w:val="auto"/>
                      <w:kern w:val="0"/>
                      <w:sz w:val="18"/>
                      <w:szCs w:val="18"/>
                    </w:rPr>
                    <w:t>0.0012</w:t>
                  </w:r>
                </w:p>
              </w:tc>
              <w:tc>
                <w:tcPr>
                  <w:tcW w:w="360" w:type="pct"/>
                  <w:vAlign w:val="center"/>
                </w:tcPr>
                <w:p w14:paraId="6193E274">
                  <w:pPr>
                    <w:adjustRightInd w:val="0"/>
                    <w:snapToGrid w:val="0"/>
                    <w:jc w:val="center"/>
                    <w:rPr>
                      <w:color w:val="auto"/>
                      <w:sz w:val="18"/>
                      <w:szCs w:val="18"/>
                    </w:rPr>
                  </w:pPr>
                  <w:r>
                    <w:rPr>
                      <w:rFonts w:hint="eastAsia"/>
                      <w:color w:val="auto"/>
                      <w:sz w:val="18"/>
                      <w:szCs w:val="18"/>
                    </w:rPr>
                    <w:t>4</w:t>
                  </w:r>
                </w:p>
              </w:tc>
              <w:tc>
                <w:tcPr>
                  <w:tcW w:w="319" w:type="pct"/>
                  <w:vAlign w:val="center"/>
                </w:tcPr>
                <w:p w14:paraId="33691ABC">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27C7A8B3">
                  <w:pPr>
                    <w:widowControl/>
                    <w:adjustRightInd w:val="0"/>
                    <w:snapToGrid w:val="0"/>
                    <w:jc w:val="center"/>
                    <w:rPr>
                      <w:color w:val="auto"/>
                      <w:kern w:val="0"/>
                      <w:sz w:val="18"/>
                      <w:szCs w:val="18"/>
                    </w:rPr>
                  </w:pPr>
                </w:p>
              </w:tc>
            </w:tr>
            <w:tr w14:paraId="32A39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147" w:type="pct"/>
                  <w:vMerge w:val="restart"/>
                  <w:vAlign w:val="center"/>
                </w:tcPr>
                <w:p w14:paraId="2C5413BF">
                  <w:pPr>
                    <w:widowControl/>
                    <w:adjustRightInd w:val="0"/>
                    <w:snapToGrid w:val="0"/>
                    <w:jc w:val="center"/>
                    <w:rPr>
                      <w:color w:val="auto"/>
                      <w:kern w:val="0"/>
                      <w:sz w:val="18"/>
                      <w:szCs w:val="18"/>
                    </w:rPr>
                  </w:pPr>
                  <w:r>
                    <w:rPr>
                      <w:rFonts w:hint="eastAsia"/>
                      <w:color w:val="auto"/>
                      <w:kern w:val="0"/>
                      <w:sz w:val="18"/>
                      <w:szCs w:val="18"/>
                    </w:rPr>
                    <w:t>亚克力组件生产</w:t>
                  </w:r>
                </w:p>
              </w:tc>
              <w:tc>
                <w:tcPr>
                  <w:tcW w:w="232" w:type="pct"/>
                  <w:vMerge w:val="restart"/>
                  <w:vAlign w:val="center"/>
                </w:tcPr>
                <w:p w14:paraId="60FB0AE6">
                  <w:pPr>
                    <w:widowControl/>
                    <w:adjustRightInd w:val="0"/>
                    <w:snapToGrid w:val="0"/>
                    <w:jc w:val="center"/>
                    <w:rPr>
                      <w:color w:val="auto"/>
                      <w:kern w:val="0"/>
                      <w:sz w:val="18"/>
                      <w:szCs w:val="18"/>
                    </w:rPr>
                  </w:pPr>
                  <w:r>
                    <w:rPr>
                      <w:rFonts w:hint="eastAsia"/>
                      <w:color w:val="auto"/>
                      <w:kern w:val="0"/>
                      <w:sz w:val="18"/>
                      <w:szCs w:val="18"/>
                    </w:rPr>
                    <w:t>下料、打标、热弯</w:t>
                  </w:r>
                </w:p>
              </w:tc>
              <w:tc>
                <w:tcPr>
                  <w:tcW w:w="230" w:type="pct"/>
                  <w:vAlign w:val="center"/>
                </w:tcPr>
                <w:p w14:paraId="00A6CAF0">
                  <w:pPr>
                    <w:widowControl/>
                    <w:adjustRightInd w:val="0"/>
                    <w:snapToGrid w:val="0"/>
                    <w:jc w:val="center"/>
                    <w:rPr>
                      <w:color w:val="auto"/>
                      <w:kern w:val="0"/>
                      <w:sz w:val="18"/>
                      <w:szCs w:val="18"/>
                    </w:rPr>
                  </w:pPr>
                  <w:r>
                    <w:rPr>
                      <w:rFonts w:hint="eastAsia"/>
                      <w:color w:val="auto"/>
                      <w:kern w:val="0"/>
                      <w:sz w:val="18"/>
                      <w:szCs w:val="18"/>
                    </w:rPr>
                    <w:t>DA006</w:t>
                  </w:r>
                </w:p>
              </w:tc>
              <w:tc>
                <w:tcPr>
                  <w:tcW w:w="130" w:type="pct"/>
                  <w:vMerge w:val="restart"/>
                  <w:vAlign w:val="center"/>
                </w:tcPr>
                <w:p w14:paraId="4634913B">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11109145">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58288D9D">
                  <w:pPr>
                    <w:jc w:val="center"/>
                    <w:rPr>
                      <w:color w:val="auto"/>
                      <w:sz w:val="18"/>
                      <w:szCs w:val="18"/>
                    </w:rPr>
                  </w:pPr>
                  <w:r>
                    <w:rPr>
                      <w:rFonts w:hint="eastAsia"/>
                      <w:color w:val="auto"/>
                      <w:sz w:val="18"/>
                      <w:szCs w:val="18"/>
                    </w:rPr>
                    <w:t>3000</w:t>
                  </w:r>
                </w:p>
              </w:tc>
              <w:tc>
                <w:tcPr>
                  <w:tcW w:w="399" w:type="pct"/>
                  <w:vAlign w:val="center"/>
                </w:tcPr>
                <w:p w14:paraId="34C10B92">
                  <w:pPr>
                    <w:jc w:val="center"/>
                    <w:rPr>
                      <w:color w:val="auto"/>
                      <w:sz w:val="18"/>
                      <w:szCs w:val="18"/>
                    </w:rPr>
                  </w:pPr>
                  <w:r>
                    <w:rPr>
                      <w:rFonts w:hint="eastAsia"/>
                      <w:color w:val="auto"/>
                      <w:sz w:val="18"/>
                      <w:szCs w:val="18"/>
                    </w:rPr>
                    <w:t>1.30</w:t>
                  </w:r>
                </w:p>
              </w:tc>
              <w:tc>
                <w:tcPr>
                  <w:tcW w:w="298" w:type="pct"/>
                  <w:vAlign w:val="center"/>
                </w:tcPr>
                <w:p w14:paraId="2F9D6BD0">
                  <w:pPr>
                    <w:adjustRightInd w:val="0"/>
                    <w:snapToGrid w:val="0"/>
                    <w:jc w:val="center"/>
                    <w:rPr>
                      <w:color w:val="auto"/>
                      <w:sz w:val="18"/>
                      <w:szCs w:val="18"/>
                    </w:rPr>
                  </w:pPr>
                  <w:r>
                    <w:rPr>
                      <w:rFonts w:hint="eastAsia"/>
                      <w:color w:val="auto"/>
                      <w:sz w:val="18"/>
                      <w:szCs w:val="18"/>
                    </w:rPr>
                    <w:t>0.0039</w:t>
                  </w:r>
                </w:p>
              </w:tc>
              <w:tc>
                <w:tcPr>
                  <w:tcW w:w="265" w:type="pct"/>
                  <w:vAlign w:val="center"/>
                </w:tcPr>
                <w:p w14:paraId="63DEC456">
                  <w:pPr>
                    <w:widowControl/>
                    <w:jc w:val="center"/>
                    <w:rPr>
                      <w:color w:val="auto"/>
                      <w:kern w:val="0"/>
                      <w:sz w:val="18"/>
                      <w:szCs w:val="18"/>
                    </w:rPr>
                  </w:pPr>
                  <w:r>
                    <w:rPr>
                      <w:rFonts w:hint="eastAsia"/>
                      <w:color w:val="auto"/>
                      <w:kern w:val="0"/>
                      <w:sz w:val="18"/>
                      <w:szCs w:val="18"/>
                    </w:rPr>
                    <w:t>0.014</w:t>
                  </w:r>
                </w:p>
              </w:tc>
              <w:tc>
                <w:tcPr>
                  <w:tcW w:w="191" w:type="pct"/>
                  <w:vAlign w:val="center"/>
                </w:tcPr>
                <w:p w14:paraId="13378260">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69F8CF5C">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93A0B28">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3F15C4E8">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69344D0A">
                  <w:pPr>
                    <w:jc w:val="center"/>
                    <w:rPr>
                      <w:color w:val="auto"/>
                      <w:sz w:val="18"/>
                      <w:szCs w:val="18"/>
                    </w:rPr>
                  </w:pPr>
                  <w:r>
                    <w:rPr>
                      <w:rFonts w:hint="eastAsia"/>
                      <w:color w:val="auto"/>
                      <w:sz w:val="18"/>
                      <w:szCs w:val="18"/>
                    </w:rPr>
                    <w:t>3000</w:t>
                  </w:r>
                </w:p>
              </w:tc>
              <w:tc>
                <w:tcPr>
                  <w:tcW w:w="400" w:type="pct"/>
                  <w:vAlign w:val="center"/>
                </w:tcPr>
                <w:p w14:paraId="31277DB8">
                  <w:pPr>
                    <w:jc w:val="center"/>
                    <w:rPr>
                      <w:color w:val="auto"/>
                      <w:sz w:val="18"/>
                      <w:szCs w:val="18"/>
                    </w:rPr>
                  </w:pPr>
                  <w:r>
                    <w:rPr>
                      <w:rFonts w:hint="eastAsia"/>
                      <w:color w:val="auto"/>
                      <w:sz w:val="18"/>
                      <w:szCs w:val="18"/>
                    </w:rPr>
                    <w:t>0.13</w:t>
                  </w:r>
                </w:p>
              </w:tc>
              <w:tc>
                <w:tcPr>
                  <w:tcW w:w="298" w:type="pct"/>
                  <w:vAlign w:val="center"/>
                </w:tcPr>
                <w:p w14:paraId="2588DDCE">
                  <w:pPr>
                    <w:adjustRightInd w:val="0"/>
                    <w:snapToGrid w:val="0"/>
                    <w:jc w:val="center"/>
                    <w:rPr>
                      <w:color w:val="auto"/>
                      <w:sz w:val="18"/>
                      <w:szCs w:val="18"/>
                    </w:rPr>
                  </w:pPr>
                  <w:r>
                    <w:rPr>
                      <w:rFonts w:hint="eastAsia"/>
                      <w:color w:val="auto"/>
                      <w:sz w:val="18"/>
                      <w:szCs w:val="18"/>
                    </w:rPr>
                    <w:t>0.0004</w:t>
                  </w:r>
                </w:p>
              </w:tc>
              <w:tc>
                <w:tcPr>
                  <w:tcW w:w="307" w:type="pct"/>
                  <w:vAlign w:val="center"/>
                </w:tcPr>
                <w:p w14:paraId="3B143A87">
                  <w:pPr>
                    <w:widowControl/>
                    <w:jc w:val="center"/>
                    <w:rPr>
                      <w:color w:val="auto"/>
                      <w:kern w:val="0"/>
                      <w:sz w:val="18"/>
                      <w:szCs w:val="18"/>
                    </w:rPr>
                  </w:pPr>
                  <w:r>
                    <w:rPr>
                      <w:rFonts w:hint="eastAsia"/>
                      <w:color w:val="auto"/>
                      <w:kern w:val="0"/>
                      <w:sz w:val="18"/>
                      <w:szCs w:val="18"/>
                    </w:rPr>
                    <w:t>0.0014</w:t>
                  </w:r>
                </w:p>
              </w:tc>
              <w:tc>
                <w:tcPr>
                  <w:tcW w:w="360" w:type="pct"/>
                  <w:vAlign w:val="center"/>
                </w:tcPr>
                <w:p w14:paraId="5DDE44D4">
                  <w:pPr>
                    <w:adjustRightInd w:val="0"/>
                    <w:snapToGrid w:val="0"/>
                    <w:jc w:val="center"/>
                    <w:rPr>
                      <w:color w:val="auto"/>
                      <w:sz w:val="18"/>
                      <w:szCs w:val="18"/>
                    </w:rPr>
                  </w:pPr>
                  <w:r>
                    <w:rPr>
                      <w:rFonts w:hint="eastAsia"/>
                      <w:color w:val="auto"/>
                      <w:sz w:val="18"/>
                      <w:szCs w:val="18"/>
                    </w:rPr>
                    <w:t>50</w:t>
                  </w:r>
                </w:p>
              </w:tc>
              <w:tc>
                <w:tcPr>
                  <w:tcW w:w="319" w:type="pct"/>
                  <w:vAlign w:val="center"/>
                </w:tcPr>
                <w:p w14:paraId="4A59E50A">
                  <w:pPr>
                    <w:adjustRightInd w:val="0"/>
                    <w:snapToGrid w:val="0"/>
                    <w:jc w:val="center"/>
                    <w:rPr>
                      <w:color w:val="auto"/>
                      <w:sz w:val="18"/>
                      <w:szCs w:val="18"/>
                    </w:rPr>
                  </w:pPr>
                  <w:r>
                    <w:rPr>
                      <w:rFonts w:hint="eastAsia"/>
                      <w:color w:val="auto"/>
                      <w:sz w:val="18"/>
                      <w:szCs w:val="18"/>
                    </w:rPr>
                    <w:t>1.8</w:t>
                  </w:r>
                </w:p>
              </w:tc>
              <w:tc>
                <w:tcPr>
                  <w:tcW w:w="213" w:type="pct"/>
                  <w:vMerge w:val="restart"/>
                  <w:vAlign w:val="center"/>
                </w:tcPr>
                <w:p w14:paraId="12935085">
                  <w:pPr>
                    <w:widowControl/>
                    <w:adjustRightInd w:val="0"/>
                    <w:snapToGrid w:val="0"/>
                    <w:jc w:val="center"/>
                    <w:rPr>
                      <w:color w:val="auto"/>
                      <w:kern w:val="0"/>
                      <w:sz w:val="18"/>
                      <w:szCs w:val="18"/>
                    </w:rPr>
                  </w:pPr>
                  <w:r>
                    <w:rPr>
                      <w:rFonts w:hint="eastAsia"/>
                      <w:color w:val="auto"/>
                      <w:kern w:val="0"/>
                      <w:sz w:val="18"/>
                      <w:szCs w:val="18"/>
                    </w:rPr>
                    <w:t>3600</w:t>
                  </w:r>
                </w:p>
              </w:tc>
            </w:tr>
            <w:tr w14:paraId="60F92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50A79254">
                  <w:pPr>
                    <w:widowControl/>
                    <w:adjustRightInd w:val="0"/>
                    <w:snapToGrid w:val="0"/>
                    <w:jc w:val="center"/>
                    <w:rPr>
                      <w:color w:val="auto"/>
                      <w:kern w:val="0"/>
                      <w:sz w:val="18"/>
                      <w:szCs w:val="18"/>
                    </w:rPr>
                  </w:pPr>
                </w:p>
              </w:tc>
              <w:tc>
                <w:tcPr>
                  <w:tcW w:w="232" w:type="pct"/>
                  <w:vMerge w:val="continue"/>
                  <w:vAlign w:val="center"/>
                </w:tcPr>
                <w:p w14:paraId="62B1F779">
                  <w:pPr>
                    <w:widowControl/>
                    <w:adjustRightInd w:val="0"/>
                    <w:snapToGrid w:val="0"/>
                    <w:jc w:val="center"/>
                    <w:rPr>
                      <w:color w:val="auto"/>
                      <w:kern w:val="0"/>
                      <w:sz w:val="18"/>
                      <w:szCs w:val="18"/>
                    </w:rPr>
                  </w:pPr>
                </w:p>
              </w:tc>
              <w:tc>
                <w:tcPr>
                  <w:tcW w:w="230" w:type="pct"/>
                  <w:vAlign w:val="center"/>
                </w:tcPr>
                <w:p w14:paraId="45AA7C7D">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37F6D55E">
                  <w:pPr>
                    <w:widowControl/>
                    <w:adjustRightInd w:val="0"/>
                    <w:snapToGrid w:val="0"/>
                    <w:jc w:val="center"/>
                    <w:rPr>
                      <w:color w:val="auto"/>
                      <w:kern w:val="0"/>
                      <w:sz w:val="18"/>
                      <w:szCs w:val="18"/>
                    </w:rPr>
                  </w:pPr>
                </w:p>
              </w:tc>
              <w:tc>
                <w:tcPr>
                  <w:tcW w:w="130" w:type="pct"/>
                  <w:vMerge w:val="continue"/>
                  <w:vAlign w:val="center"/>
                </w:tcPr>
                <w:p w14:paraId="4EDDC7CD">
                  <w:pPr>
                    <w:widowControl/>
                    <w:adjustRightInd w:val="0"/>
                    <w:snapToGrid w:val="0"/>
                    <w:jc w:val="center"/>
                    <w:rPr>
                      <w:color w:val="auto"/>
                      <w:kern w:val="0"/>
                      <w:sz w:val="18"/>
                      <w:szCs w:val="18"/>
                    </w:rPr>
                  </w:pPr>
                </w:p>
              </w:tc>
              <w:tc>
                <w:tcPr>
                  <w:tcW w:w="357" w:type="pct"/>
                  <w:vMerge w:val="continue"/>
                  <w:vAlign w:val="center"/>
                </w:tcPr>
                <w:p w14:paraId="6E30A08F">
                  <w:pPr>
                    <w:jc w:val="center"/>
                    <w:rPr>
                      <w:color w:val="auto"/>
                      <w:sz w:val="18"/>
                      <w:szCs w:val="18"/>
                    </w:rPr>
                  </w:pPr>
                </w:p>
              </w:tc>
              <w:tc>
                <w:tcPr>
                  <w:tcW w:w="399" w:type="pct"/>
                  <w:vAlign w:val="center"/>
                </w:tcPr>
                <w:p w14:paraId="197D3E60">
                  <w:pPr>
                    <w:jc w:val="center"/>
                    <w:rPr>
                      <w:color w:val="auto"/>
                      <w:sz w:val="18"/>
                      <w:szCs w:val="18"/>
                    </w:rPr>
                  </w:pPr>
                  <w:r>
                    <w:rPr>
                      <w:rFonts w:hint="eastAsia"/>
                      <w:color w:val="auto"/>
                      <w:sz w:val="18"/>
                      <w:szCs w:val="18"/>
                    </w:rPr>
                    <w:t>/</w:t>
                  </w:r>
                </w:p>
              </w:tc>
              <w:tc>
                <w:tcPr>
                  <w:tcW w:w="298" w:type="pct"/>
                  <w:vAlign w:val="center"/>
                </w:tcPr>
                <w:p w14:paraId="3EE819CB">
                  <w:pPr>
                    <w:jc w:val="center"/>
                    <w:rPr>
                      <w:color w:val="auto"/>
                      <w:sz w:val="18"/>
                      <w:szCs w:val="18"/>
                    </w:rPr>
                  </w:pPr>
                  <w:r>
                    <w:rPr>
                      <w:rFonts w:hint="eastAsia"/>
                      <w:color w:val="auto"/>
                      <w:sz w:val="18"/>
                      <w:szCs w:val="18"/>
                    </w:rPr>
                    <w:t>0.0010</w:t>
                  </w:r>
                </w:p>
              </w:tc>
              <w:tc>
                <w:tcPr>
                  <w:tcW w:w="265" w:type="pct"/>
                  <w:vAlign w:val="center"/>
                </w:tcPr>
                <w:p w14:paraId="28B17329">
                  <w:pPr>
                    <w:adjustRightInd w:val="0"/>
                    <w:snapToGrid w:val="0"/>
                    <w:jc w:val="center"/>
                    <w:rPr>
                      <w:color w:val="auto"/>
                      <w:kern w:val="0"/>
                      <w:sz w:val="18"/>
                      <w:szCs w:val="18"/>
                    </w:rPr>
                  </w:pPr>
                  <w:r>
                    <w:rPr>
                      <w:rFonts w:hint="eastAsia"/>
                      <w:color w:val="auto"/>
                      <w:sz w:val="18"/>
                      <w:szCs w:val="18"/>
                    </w:rPr>
                    <w:t>0.0035</w:t>
                  </w:r>
                </w:p>
              </w:tc>
              <w:tc>
                <w:tcPr>
                  <w:tcW w:w="191" w:type="pct"/>
                  <w:vAlign w:val="center"/>
                </w:tcPr>
                <w:p w14:paraId="282BBD08">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0102C2E3">
                  <w:pPr>
                    <w:jc w:val="center"/>
                    <w:rPr>
                      <w:color w:val="auto"/>
                      <w:kern w:val="0"/>
                      <w:sz w:val="18"/>
                      <w:szCs w:val="18"/>
                    </w:rPr>
                  </w:pPr>
                </w:p>
              </w:tc>
              <w:tc>
                <w:tcPr>
                  <w:tcW w:w="132" w:type="pct"/>
                  <w:vMerge w:val="continue"/>
                  <w:vAlign w:val="center"/>
                </w:tcPr>
                <w:p w14:paraId="0BD29DCC">
                  <w:pPr>
                    <w:widowControl/>
                    <w:jc w:val="center"/>
                    <w:rPr>
                      <w:color w:val="auto"/>
                      <w:kern w:val="0"/>
                      <w:sz w:val="18"/>
                      <w:szCs w:val="18"/>
                    </w:rPr>
                  </w:pPr>
                </w:p>
              </w:tc>
              <w:tc>
                <w:tcPr>
                  <w:tcW w:w="357" w:type="pct"/>
                  <w:vMerge w:val="continue"/>
                  <w:vAlign w:val="center"/>
                </w:tcPr>
                <w:p w14:paraId="744CBC01">
                  <w:pPr>
                    <w:jc w:val="center"/>
                    <w:rPr>
                      <w:color w:val="auto"/>
                      <w:sz w:val="18"/>
                      <w:szCs w:val="18"/>
                    </w:rPr>
                  </w:pPr>
                </w:p>
              </w:tc>
              <w:tc>
                <w:tcPr>
                  <w:tcW w:w="400" w:type="pct"/>
                  <w:vAlign w:val="center"/>
                </w:tcPr>
                <w:p w14:paraId="02477FF7">
                  <w:pPr>
                    <w:jc w:val="center"/>
                    <w:rPr>
                      <w:color w:val="auto"/>
                      <w:sz w:val="18"/>
                      <w:szCs w:val="18"/>
                    </w:rPr>
                  </w:pPr>
                  <w:r>
                    <w:rPr>
                      <w:rFonts w:hint="eastAsia"/>
                      <w:color w:val="auto"/>
                      <w:sz w:val="18"/>
                      <w:szCs w:val="18"/>
                    </w:rPr>
                    <w:t>/</w:t>
                  </w:r>
                </w:p>
              </w:tc>
              <w:tc>
                <w:tcPr>
                  <w:tcW w:w="298" w:type="pct"/>
                  <w:vAlign w:val="center"/>
                </w:tcPr>
                <w:p w14:paraId="46782DED">
                  <w:pPr>
                    <w:jc w:val="center"/>
                    <w:rPr>
                      <w:color w:val="auto"/>
                      <w:sz w:val="18"/>
                      <w:szCs w:val="18"/>
                    </w:rPr>
                  </w:pPr>
                  <w:r>
                    <w:rPr>
                      <w:rFonts w:hint="eastAsia"/>
                      <w:color w:val="auto"/>
                      <w:sz w:val="18"/>
                      <w:szCs w:val="18"/>
                    </w:rPr>
                    <w:t>0.0010</w:t>
                  </w:r>
                </w:p>
              </w:tc>
              <w:tc>
                <w:tcPr>
                  <w:tcW w:w="307" w:type="pct"/>
                  <w:vAlign w:val="center"/>
                </w:tcPr>
                <w:p w14:paraId="7A37C3F6">
                  <w:pPr>
                    <w:adjustRightInd w:val="0"/>
                    <w:snapToGrid w:val="0"/>
                    <w:jc w:val="center"/>
                    <w:rPr>
                      <w:color w:val="auto"/>
                      <w:kern w:val="0"/>
                      <w:sz w:val="18"/>
                      <w:szCs w:val="18"/>
                    </w:rPr>
                  </w:pPr>
                  <w:r>
                    <w:rPr>
                      <w:rFonts w:hint="eastAsia"/>
                      <w:color w:val="auto"/>
                      <w:sz w:val="18"/>
                      <w:szCs w:val="18"/>
                    </w:rPr>
                    <w:t>0.0035</w:t>
                  </w:r>
                </w:p>
              </w:tc>
              <w:tc>
                <w:tcPr>
                  <w:tcW w:w="360" w:type="pct"/>
                  <w:vAlign w:val="center"/>
                </w:tcPr>
                <w:p w14:paraId="78E37F17">
                  <w:pPr>
                    <w:adjustRightInd w:val="0"/>
                    <w:snapToGrid w:val="0"/>
                    <w:jc w:val="center"/>
                    <w:rPr>
                      <w:color w:val="auto"/>
                      <w:sz w:val="18"/>
                      <w:szCs w:val="18"/>
                    </w:rPr>
                  </w:pPr>
                  <w:r>
                    <w:rPr>
                      <w:rFonts w:hint="eastAsia"/>
                      <w:color w:val="auto"/>
                      <w:sz w:val="18"/>
                      <w:szCs w:val="18"/>
                    </w:rPr>
                    <w:t>6</w:t>
                  </w:r>
                </w:p>
              </w:tc>
              <w:tc>
                <w:tcPr>
                  <w:tcW w:w="319" w:type="pct"/>
                  <w:vAlign w:val="center"/>
                </w:tcPr>
                <w:p w14:paraId="3C164301">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2A95D842">
                  <w:pPr>
                    <w:widowControl/>
                    <w:adjustRightInd w:val="0"/>
                    <w:snapToGrid w:val="0"/>
                    <w:jc w:val="center"/>
                    <w:rPr>
                      <w:color w:val="auto"/>
                      <w:kern w:val="0"/>
                      <w:sz w:val="18"/>
                      <w:szCs w:val="18"/>
                    </w:rPr>
                  </w:pPr>
                </w:p>
              </w:tc>
            </w:tr>
            <w:tr w14:paraId="71AD7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8" w:hRule="atLeast"/>
                <w:jc w:val="center"/>
              </w:trPr>
              <w:tc>
                <w:tcPr>
                  <w:tcW w:w="147" w:type="pct"/>
                  <w:vMerge w:val="continue"/>
                  <w:vAlign w:val="center"/>
                </w:tcPr>
                <w:p w14:paraId="67D06065">
                  <w:pPr>
                    <w:widowControl/>
                    <w:adjustRightInd w:val="0"/>
                    <w:snapToGrid w:val="0"/>
                    <w:jc w:val="center"/>
                    <w:rPr>
                      <w:color w:val="auto"/>
                      <w:kern w:val="0"/>
                      <w:sz w:val="18"/>
                      <w:szCs w:val="18"/>
                    </w:rPr>
                  </w:pPr>
                </w:p>
              </w:tc>
              <w:tc>
                <w:tcPr>
                  <w:tcW w:w="232" w:type="pct"/>
                  <w:vMerge w:val="restart"/>
                  <w:vAlign w:val="center"/>
                </w:tcPr>
                <w:p w14:paraId="12DFFB7C">
                  <w:pPr>
                    <w:widowControl/>
                    <w:adjustRightInd w:val="0"/>
                    <w:snapToGrid w:val="0"/>
                    <w:jc w:val="center"/>
                    <w:rPr>
                      <w:color w:val="auto"/>
                      <w:kern w:val="0"/>
                      <w:sz w:val="18"/>
                      <w:szCs w:val="18"/>
                    </w:rPr>
                  </w:pPr>
                  <w:r>
                    <w:rPr>
                      <w:rFonts w:hint="eastAsia"/>
                      <w:color w:val="auto"/>
                      <w:kern w:val="0"/>
                      <w:sz w:val="18"/>
                      <w:szCs w:val="18"/>
                    </w:rPr>
                    <w:t>倒角</w:t>
                  </w:r>
                </w:p>
              </w:tc>
              <w:tc>
                <w:tcPr>
                  <w:tcW w:w="230" w:type="pct"/>
                  <w:vAlign w:val="center"/>
                </w:tcPr>
                <w:p w14:paraId="4BF0539E">
                  <w:pPr>
                    <w:widowControl/>
                    <w:adjustRightInd w:val="0"/>
                    <w:snapToGrid w:val="0"/>
                    <w:jc w:val="center"/>
                    <w:rPr>
                      <w:color w:val="auto"/>
                      <w:kern w:val="0"/>
                      <w:sz w:val="18"/>
                      <w:szCs w:val="18"/>
                    </w:rPr>
                  </w:pPr>
                  <w:r>
                    <w:rPr>
                      <w:rFonts w:hint="eastAsia"/>
                      <w:color w:val="auto"/>
                      <w:kern w:val="0"/>
                      <w:sz w:val="18"/>
                      <w:szCs w:val="18"/>
                    </w:rPr>
                    <w:t>DA006</w:t>
                  </w:r>
                </w:p>
              </w:tc>
              <w:tc>
                <w:tcPr>
                  <w:tcW w:w="130" w:type="pct"/>
                  <w:vMerge w:val="restart"/>
                  <w:vAlign w:val="center"/>
                </w:tcPr>
                <w:p w14:paraId="747275DC">
                  <w:pPr>
                    <w:widowControl/>
                    <w:adjustRightInd w:val="0"/>
                    <w:snapToGrid w:val="0"/>
                    <w:jc w:val="center"/>
                    <w:rPr>
                      <w:color w:val="auto"/>
                      <w:kern w:val="0"/>
                      <w:sz w:val="18"/>
                      <w:szCs w:val="18"/>
                    </w:rPr>
                  </w:pPr>
                  <w:r>
                    <w:rPr>
                      <w:color w:val="auto"/>
                      <w:kern w:val="0"/>
                      <w:sz w:val="18"/>
                      <w:szCs w:val="18"/>
                    </w:rPr>
                    <w:t>颗粒物</w:t>
                  </w:r>
                </w:p>
              </w:tc>
              <w:tc>
                <w:tcPr>
                  <w:tcW w:w="130" w:type="pct"/>
                  <w:vMerge w:val="restart"/>
                  <w:vAlign w:val="center"/>
                </w:tcPr>
                <w:p w14:paraId="04710CC8">
                  <w:pPr>
                    <w:widowControl/>
                    <w:adjustRightInd w:val="0"/>
                    <w:snapToGrid w:val="0"/>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051A25E2">
                  <w:pPr>
                    <w:jc w:val="center"/>
                    <w:rPr>
                      <w:color w:val="auto"/>
                      <w:sz w:val="18"/>
                      <w:szCs w:val="18"/>
                    </w:rPr>
                  </w:pPr>
                  <w:r>
                    <w:rPr>
                      <w:rFonts w:hint="eastAsia"/>
                      <w:color w:val="auto"/>
                      <w:sz w:val="18"/>
                      <w:szCs w:val="18"/>
                    </w:rPr>
                    <w:t>1000</w:t>
                  </w:r>
                </w:p>
              </w:tc>
              <w:tc>
                <w:tcPr>
                  <w:tcW w:w="399" w:type="pct"/>
                  <w:vAlign w:val="center"/>
                </w:tcPr>
                <w:p w14:paraId="766D4363">
                  <w:pPr>
                    <w:jc w:val="center"/>
                    <w:rPr>
                      <w:color w:val="auto"/>
                      <w:sz w:val="18"/>
                      <w:szCs w:val="18"/>
                    </w:rPr>
                  </w:pPr>
                  <w:r>
                    <w:rPr>
                      <w:rFonts w:hint="eastAsia"/>
                      <w:color w:val="auto"/>
                      <w:sz w:val="18"/>
                      <w:szCs w:val="18"/>
                    </w:rPr>
                    <w:t>10.6</w:t>
                  </w:r>
                </w:p>
              </w:tc>
              <w:tc>
                <w:tcPr>
                  <w:tcW w:w="298" w:type="pct"/>
                  <w:vAlign w:val="center"/>
                </w:tcPr>
                <w:p w14:paraId="3B3E17C4">
                  <w:pPr>
                    <w:adjustRightInd w:val="0"/>
                    <w:snapToGrid w:val="0"/>
                    <w:jc w:val="center"/>
                    <w:rPr>
                      <w:color w:val="auto"/>
                      <w:sz w:val="18"/>
                      <w:szCs w:val="18"/>
                    </w:rPr>
                  </w:pPr>
                  <w:r>
                    <w:rPr>
                      <w:rFonts w:hint="eastAsia"/>
                      <w:color w:val="auto"/>
                      <w:sz w:val="18"/>
                      <w:szCs w:val="18"/>
                    </w:rPr>
                    <w:t>0.0106</w:t>
                  </w:r>
                </w:p>
              </w:tc>
              <w:tc>
                <w:tcPr>
                  <w:tcW w:w="265" w:type="pct"/>
                  <w:vAlign w:val="center"/>
                </w:tcPr>
                <w:p w14:paraId="584061B7">
                  <w:pPr>
                    <w:widowControl/>
                    <w:jc w:val="center"/>
                    <w:rPr>
                      <w:color w:val="auto"/>
                      <w:kern w:val="0"/>
                      <w:sz w:val="18"/>
                      <w:szCs w:val="18"/>
                    </w:rPr>
                  </w:pPr>
                  <w:r>
                    <w:rPr>
                      <w:rFonts w:hint="eastAsia"/>
                      <w:color w:val="auto"/>
                      <w:kern w:val="0"/>
                      <w:sz w:val="18"/>
                      <w:szCs w:val="18"/>
                    </w:rPr>
                    <w:t>0.03816</w:t>
                  </w:r>
                </w:p>
              </w:tc>
              <w:tc>
                <w:tcPr>
                  <w:tcW w:w="191" w:type="pct"/>
                  <w:vAlign w:val="center"/>
                </w:tcPr>
                <w:p w14:paraId="60D2FDA5">
                  <w:pPr>
                    <w:widowControl/>
                    <w:jc w:val="center"/>
                    <w:rPr>
                      <w:color w:val="auto"/>
                      <w:kern w:val="0"/>
                      <w:sz w:val="18"/>
                      <w:szCs w:val="18"/>
                    </w:rPr>
                  </w:pPr>
                  <w:r>
                    <w:rPr>
                      <w:rFonts w:hint="eastAsia"/>
                      <w:color w:val="auto"/>
                      <w:kern w:val="0"/>
                      <w:sz w:val="18"/>
                      <w:szCs w:val="18"/>
                    </w:rPr>
                    <w:t>布袋除尘</w:t>
                  </w:r>
                </w:p>
              </w:tc>
              <w:tc>
                <w:tcPr>
                  <w:tcW w:w="232" w:type="pct"/>
                  <w:vMerge w:val="restart"/>
                  <w:vAlign w:val="center"/>
                </w:tcPr>
                <w:p w14:paraId="5E066BFA">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1EEA3859">
                  <w:pPr>
                    <w:jc w:val="center"/>
                    <w:rPr>
                      <w:color w:val="auto"/>
                      <w:kern w:val="0"/>
                      <w:sz w:val="18"/>
                      <w:szCs w:val="18"/>
                    </w:rPr>
                  </w:pPr>
                  <w:r>
                    <w:rPr>
                      <w:color w:val="auto"/>
                      <w:kern w:val="0"/>
                      <w:sz w:val="18"/>
                      <w:szCs w:val="18"/>
                    </w:rPr>
                    <w:t>处理效率</w:t>
                  </w:r>
                  <w:r>
                    <w:rPr>
                      <w:rFonts w:hint="eastAsia"/>
                      <w:color w:val="auto"/>
                      <w:kern w:val="0"/>
                      <w:sz w:val="18"/>
                      <w:szCs w:val="18"/>
                    </w:rPr>
                    <w:t>95</w:t>
                  </w:r>
                  <w:r>
                    <w:rPr>
                      <w:color w:val="auto"/>
                      <w:kern w:val="0"/>
                      <w:sz w:val="18"/>
                      <w:szCs w:val="18"/>
                    </w:rPr>
                    <w:t>%</w:t>
                  </w:r>
                </w:p>
              </w:tc>
              <w:tc>
                <w:tcPr>
                  <w:tcW w:w="132" w:type="pct"/>
                  <w:vMerge w:val="restart"/>
                  <w:vAlign w:val="center"/>
                </w:tcPr>
                <w:p w14:paraId="18A07E6C">
                  <w:pPr>
                    <w:widowControl/>
                    <w:jc w:val="center"/>
                    <w:rPr>
                      <w:color w:val="auto"/>
                      <w:kern w:val="0"/>
                      <w:sz w:val="18"/>
                      <w:szCs w:val="18"/>
                    </w:rPr>
                  </w:pPr>
                  <w:r>
                    <w:rPr>
                      <w:rFonts w:hint="eastAsia"/>
                      <w:color w:val="auto"/>
                      <w:kern w:val="0"/>
                      <w:sz w:val="18"/>
                      <w:szCs w:val="18"/>
                    </w:rPr>
                    <w:t>产污系数法</w:t>
                  </w:r>
                </w:p>
              </w:tc>
              <w:tc>
                <w:tcPr>
                  <w:tcW w:w="357" w:type="pct"/>
                  <w:vMerge w:val="restart"/>
                  <w:vAlign w:val="center"/>
                </w:tcPr>
                <w:p w14:paraId="11E09AA8">
                  <w:pPr>
                    <w:jc w:val="center"/>
                    <w:rPr>
                      <w:color w:val="auto"/>
                      <w:sz w:val="18"/>
                      <w:szCs w:val="18"/>
                    </w:rPr>
                  </w:pPr>
                  <w:r>
                    <w:rPr>
                      <w:rFonts w:hint="eastAsia"/>
                      <w:color w:val="auto"/>
                      <w:sz w:val="18"/>
                      <w:szCs w:val="18"/>
                    </w:rPr>
                    <w:t>1000</w:t>
                  </w:r>
                </w:p>
              </w:tc>
              <w:tc>
                <w:tcPr>
                  <w:tcW w:w="400" w:type="pct"/>
                  <w:vAlign w:val="center"/>
                </w:tcPr>
                <w:p w14:paraId="4FF4526E">
                  <w:pPr>
                    <w:jc w:val="center"/>
                    <w:rPr>
                      <w:color w:val="auto"/>
                      <w:sz w:val="18"/>
                      <w:szCs w:val="18"/>
                    </w:rPr>
                  </w:pPr>
                  <w:r>
                    <w:rPr>
                      <w:rFonts w:hint="eastAsia"/>
                      <w:color w:val="auto"/>
                      <w:sz w:val="18"/>
                      <w:szCs w:val="18"/>
                    </w:rPr>
                    <w:t>0.53</w:t>
                  </w:r>
                </w:p>
              </w:tc>
              <w:tc>
                <w:tcPr>
                  <w:tcW w:w="298" w:type="pct"/>
                  <w:vAlign w:val="center"/>
                </w:tcPr>
                <w:p w14:paraId="422D7011">
                  <w:pPr>
                    <w:adjustRightInd w:val="0"/>
                    <w:snapToGrid w:val="0"/>
                    <w:jc w:val="center"/>
                    <w:rPr>
                      <w:color w:val="auto"/>
                      <w:sz w:val="18"/>
                      <w:szCs w:val="18"/>
                    </w:rPr>
                  </w:pPr>
                  <w:r>
                    <w:rPr>
                      <w:rFonts w:hint="eastAsia"/>
                      <w:color w:val="auto"/>
                      <w:sz w:val="18"/>
                      <w:szCs w:val="18"/>
                    </w:rPr>
                    <w:t>0.0005</w:t>
                  </w:r>
                </w:p>
              </w:tc>
              <w:tc>
                <w:tcPr>
                  <w:tcW w:w="307" w:type="pct"/>
                  <w:vAlign w:val="center"/>
                </w:tcPr>
                <w:p w14:paraId="628C1FB0">
                  <w:pPr>
                    <w:widowControl/>
                    <w:jc w:val="center"/>
                    <w:rPr>
                      <w:color w:val="auto"/>
                      <w:kern w:val="0"/>
                      <w:sz w:val="18"/>
                      <w:szCs w:val="18"/>
                    </w:rPr>
                  </w:pPr>
                  <w:r>
                    <w:rPr>
                      <w:rFonts w:hint="eastAsia"/>
                      <w:color w:val="auto"/>
                      <w:kern w:val="0"/>
                      <w:sz w:val="18"/>
                      <w:szCs w:val="18"/>
                    </w:rPr>
                    <w:t>0.0019</w:t>
                  </w:r>
                </w:p>
              </w:tc>
              <w:tc>
                <w:tcPr>
                  <w:tcW w:w="360" w:type="pct"/>
                  <w:vAlign w:val="center"/>
                </w:tcPr>
                <w:p w14:paraId="2D69A8DC">
                  <w:pPr>
                    <w:adjustRightInd w:val="0"/>
                    <w:snapToGrid w:val="0"/>
                    <w:jc w:val="center"/>
                    <w:rPr>
                      <w:color w:val="auto"/>
                      <w:sz w:val="18"/>
                      <w:szCs w:val="18"/>
                    </w:rPr>
                  </w:pPr>
                  <w:r>
                    <w:rPr>
                      <w:rFonts w:hint="eastAsia"/>
                      <w:color w:val="auto"/>
                      <w:sz w:val="18"/>
                      <w:szCs w:val="18"/>
                    </w:rPr>
                    <w:t>10</w:t>
                  </w:r>
                </w:p>
              </w:tc>
              <w:tc>
                <w:tcPr>
                  <w:tcW w:w="319" w:type="pct"/>
                  <w:vAlign w:val="center"/>
                </w:tcPr>
                <w:p w14:paraId="6DAE7A4E">
                  <w:pPr>
                    <w:adjustRightInd w:val="0"/>
                    <w:snapToGrid w:val="0"/>
                    <w:jc w:val="center"/>
                    <w:rPr>
                      <w:color w:val="auto"/>
                      <w:sz w:val="18"/>
                      <w:szCs w:val="18"/>
                    </w:rPr>
                  </w:pPr>
                  <w:r>
                    <w:rPr>
                      <w:rFonts w:hint="eastAsia"/>
                      <w:color w:val="auto"/>
                      <w:sz w:val="18"/>
                      <w:szCs w:val="18"/>
                    </w:rPr>
                    <w:t>0.4</w:t>
                  </w:r>
                </w:p>
              </w:tc>
              <w:tc>
                <w:tcPr>
                  <w:tcW w:w="213" w:type="pct"/>
                  <w:vMerge w:val="restart"/>
                  <w:vAlign w:val="center"/>
                </w:tcPr>
                <w:p w14:paraId="3F3F023A">
                  <w:pPr>
                    <w:widowControl/>
                    <w:adjustRightInd w:val="0"/>
                    <w:snapToGrid w:val="0"/>
                    <w:jc w:val="center"/>
                    <w:rPr>
                      <w:color w:val="auto"/>
                      <w:kern w:val="0"/>
                      <w:sz w:val="18"/>
                      <w:szCs w:val="18"/>
                    </w:rPr>
                  </w:pPr>
                  <w:r>
                    <w:rPr>
                      <w:rFonts w:hint="eastAsia"/>
                      <w:color w:val="auto"/>
                      <w:kern w:val="0"/>
                      <w:sz w:val="18"/>
                      <w:szCs w:val="18"/>
                    </w:rPr>
                    <w:t>3600</w:t>
                  </w:r>
                </w:p>
              </w:tc>
            </w:tr>
            <w:tr w14:paraId="65B18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6" w:hRule="atLeast"/>
                <w:jc w:val="center"/>
              </w:trPr>
              <w:tc>
                <w:tcPr>
                  <w:tcW w:w="147" w:type="pct"/>
                  <w:vMerge w:val="continue"/>
                  <w:vAlign w:val="center"/>
                </w:tcPr>
                <w:p w14:paraId="18385130">
                  <w:pPr>
                    <w:widowControl/>
                    <w:adjustRightInd w:val="0"/>
                    <w:snapToGrid w:val="0"/>
                    <w:jc w:val="center"/>
                    <w:rPr>
                      <w:color w:val="auto"/>
                      <w:kern w:val="0"/>
                      <w:sz w:val="18"/>
                      <w:szCs w:val="18"/>
                    </w:rPr>
                  </w:pPr>
                </w:p>
              </w:tc>
              <w:tc>
                <w:tcPr>
                  <w:tcW w:w="232" w:type="pct"/>
                  <w:vMerge w:val="continue"/>
                  <w:vAlign w:val="center"/>
                </w:tcPr>
                <w:p w14:paraId="765088CF">
                  <w:pPr>
                    <w:widowControl/>
                    <w:adjustRightInd w:val="0"/>
                    <w:snapToGrid w:val="0"/>
                    <w:jc w:val="center"/>
                    <w:rPr>
                      <w:color w:val="auto"/>
                      <w:kern w:val="0"/>
                      <w:sz w:val="18"/>
                      <w:szCs w:val="18"/>
                    </w:rPr>
                  </w:pPr>
                </w:p>
              </w:tc>
              <w:tc>
                <w:tcPr>
                  <w:tcW w:w="230" w:type="pct"/>
                  <w:vAlign w:val="center"/>
                </w:tcPr>
                <w:p w14:paraId="70BEBF07">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0C00BAFE">
                  <w:pPr>
                    <w:widowControl/>
                    <w:adjustRightInd w:val="0"/>
                    <w:snapToGrid w:val="0"/>
                    <w:jc w:val="center"/>
                    <w:rPr>
                      <w:color w:val="auto"/>
                      <w:kern w:val="0"/>
                      <w:sz w:val="18"/>
                      <w:szCs w:val="18"/>
                    </w:rPr>
                  </w:pPr>
                </w:p>
              </w:tc>
              <w:tc>
                <w:tcPr>
                  <w:tcW w:w="130" w:type="pct"/>
                  <w:vMerge w:val="continue"/>
                  <w:vAlign w:val="center"/>
                </w:tcPr>
                <w:p w14:paraId="05741B44">
                  <w:pPr>
                    <w:widowControl/>
                    <w:adjustRightInd w:val="0"/>
                    <w:snapToGrid w:val="0"/>
                    <w:jc w:val="center"/>
                    <w:rPr>
                      <w:color w:val="auto"/>
                      <w:kern w:val="0"/>
                      <w:sz w:val="18"/>
                      <w:szCs w:val="18"/>
                    </w:rPr>
                  </w:pPr>
                </w:p>
              </w:tc>
              <w:tc>
                <w:tcPr>
                  <w:tcW w:w="357" w:type="pct"/>
                  <w:vMerge w:val="continue"/>
                  <w:vAlign w:val="center"/>
                </w:tcPr>
                <w:p w14:paraId="0698443E">
                  <w:pPr>
                    <w:jc w:val="center"/>
                    <w:rPr>
                      <w:color w:val="auto"/>
                      <w:sz w:val="18"/>
                      <w:szCs w:val="18"/>
                    </w:rPr>
                  </w:pPr>
                </w:p>
              </w:tc>
              <w:tc>
                <w:tcPr>
                  <w:tcW w:w="399" w:type="pct"/>
                  <w:vAlign w:val="center"/>
                </w:tcPr>
                <w:p w14:paraId="1D71E5D4">
                  <w:pPr>
                    <w:jc w:val="center"/>
                    <w:rPr>
                      <w:color w:val="auto"/>
                      <w:sz w:val="18"/>
                      <w:szCs w:val="18"/>
                    </w:rPr>
                  </w:pPr>
                  <w:r>
                    <w:rPr>
                      <w:rFonts w:hint="eastAsia"/>
                      <w:color w:val="auto"/>
                      <w:sz w:val="18"/>
                      <w:szCs w:val="18"/>
                    </w:rPr>
                    <w:t>/</w:t>
                  </w:r>
                </w:p>
              </w:tc>
              <w:tc>
                <w:tcPr>
                  <w:tcW w:w="298" w:type="pct"/>
                  <w:vAlign w:val="center"/>
                </w:tcPr>
                <w:p w14:paraId="221D1D86">
                  <w:pPr>
                    <w:adjustRightInd w:val="0"/>
                    <w:snapToGrid w:val="0"/>
                    <w:jc w:val="center"/>
                    <w:rPr>
                      <w:color w:val="auto"/>
                      <w:sz w:val="18"/>
                      <w:szCs w:val="18"/>
                    </w:rPr>
                  </w:pPr>
                  <w:r>
                    <w:rPr>
                      <w:rFonts w:hint="eastAsia"/>
                      <w:color w:val="auto"/>
                      <w:sz w:val="18"/>
                      <w:szCs w:val="18"/>
                    </w:rPr>
                    <w:t>0.0027</w:t>
                  </w:r>
                </w:p>
              </w:tc>
              <w:tc>
                <w:tcPr>
                  <w:tcW w:w="265" w:type="pct"/>
                  <w:vAlign w:val="center"/>
                </w:tcPr>
                <w:p w14:paraId="154D2CCF">
                  <w:pPr>
                    <w:widowControl/>
                    <w:jc w:val="center"/>
                    <w:rPr>
                      <w:color w:val="auto"/>
                      <w:kern w:val="0"/>
                      <w:sz w:val="18"/>
                      <w:szCs w:val="18"/>
                    </w:rPr>
                  </w:pPr>
                  <w:r>
                    <w:rPr>
                      <w:rFonts w:hint="eastAsia"/>
                      <w:color w:val="auto"/>
                      <w:kern w:val="0"/>
                      <w:sz w:val="18"/>
                      <w:szCs w:val="18"/>
                    </w:rPr>
                    <w:t>0.00954</w:t>
                  </w:r>
                </w:p>
              </w:tc>
              <w:tc>
                <w:tcPr>
                  <w:tcW w:w="191" w:type="pct"/>
                  <w:vAlign w:val="center"/>
                </w:tcPr>
                <w:p w14:paraId="6E59B522">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4F458EF0">
                  <w:pPr>
                    <w:jc w:val="center"/>
                    <w:rPr>
                      <w:color w:val="auto"/>
                      <w:kern w:val="0"/>
                      <w:sz w:val="18"/>
                      <w:szCs w:val="18"/>
                    </w:rPr>
                  </w:pPr>
                </w:p>
              </w:tc>
              <w:tc>
                <w:tcPr>
                  <w:tcW w:w="132" w:type="pct"/>
                  <w:vMerge w:val="continue"/>
                  <w:vAlign w:val="center"/>
                </w:tcPr>
                <w:p w14:paraId="02865E7F">
                  <w:pPr>
                    <w:widowControl/>
                    <w:jc w:val="center"/>
                    <w:rPr>
                      <w:color w:val="auto"/>
                      <w:kern w:val="0"/>
                      <w:sz w:val="18"/>
                      <w:szCs w:val="18"/>
                    </w:rPr>
                  </w:pPr>
                </w:p>
              </w:tc>
              <w:tc>
                <w:tcPr>
                  <w:tcW w:w="357" w:type="pct"/>
                  <w:vMerge w:val="continue"/>
                  <w:vAlign w:val="center"/>
                </w:tcPr>
                <w:p w14:paraId="1F30ACB9">
                  <w:pPr>
                    <w:jc w:val="center"/>
                    <w:rPr>
                      <w:color w:val="auto"/>
                      <w:sz w:val="18"/>
                      <w:szCs w:val="18"/>
                    </w:rPr>
                  </w:pPr>
                </w:p>
              </w:tc>
              <w:tc>
                <w:tcPr>
                  <w:tcW w:w="400" w:type="pct"/>
                  <w:vAlign w:val="center"/>
                </w:tcPr>
                <w:p w14:paraId="3B18B2BD">
                  <w:pPr>
                    <w:jc w:val="center"/>
                    <w:rPr>
                      <w:color w:val="auto"/>
                      <w:sz w:val="18"/>
                      <w:szCs w:val="18"/>
                    </w:rPr>
                  </w:pPr>
                  <w:r>
                    <w:rPr>
                      <w:rFonts w:hint="eastAsia"/>
                      <w:color w:val="auto"/>
                      <w:sz w:val="18"/>
                      <w:szCs w:val="18"/>
                    </w:rPr>
                    <w:t>/</w:t>
                  </w:r>
                </w:p>
              </w:tc>
              <w:tc>
                <w:tcPr>
                  <w:tcW w:w="298" w:type="pct"/>
                  <w:vAlign w:val="center"/>
                </w:tcPr>
                <w:p w14:paraId="20DEC9BD">
                  <w:pPr>
                    <w:adjustRightInd w:val="0"/>
                    <w:snapToGrid w:val="0"/>
                    <w:jc w:val="center"/>
                    <w:rPr>
                      <w:color w:val="auto"/>
                      <w:sz w:val="18"/>
                      <w:szCs w:val="18"/>
                    </w:rPr>
                  </w:pPr>
                  <w:r>
                    <w:rPr>
                      <w:rFonts w:hint="eastAsia"/>
                      <w:color w:val="auto"/>
                      <w:sz w:val="18"/>
                      <w:szCs w:val="18"/>
                    </w:rPr>
                    <w:t>0.0027</w:t>
                  </w:r>
                </w:p>
              </w:tc>
              <w:tc>
                <w:tcPr>
                  <w:tcW w:w="307" w:type="pct"/>
                  <w:vAlign w:val="center"/>
                </w:tcPr>
                <w:p w14:paraId="263444D8">
                  <w:pPr>
                    <w:widowControl/>
                    <w:jc w:val="center"/>
                    <w:rPr>
                      <w:color w:val="auto"/>
                      <w:kern w:val="0"/>
                      <w:sz w:val="18"/>
                      <w:szCs w:val="18"/>
                    </w:rPr>
                  </w:pPr>
                  <w:r>
                    <w:rPr>
                      <w:rFonts w:hint="eastAsia"/>
                      <w:color w:val="auto"/>
                      <w:kern w:val="0"/>
                      <w:sz w:val="18"/>
                      <w:szCs w:val="18"/>
                    </w:rPr>
                    <w:t>0.00954</w:t>
                  </w:r>
                </w:p>
              </w:tc>
              <w:tc>
                <w:tcPr>
                  <w:tcW w:w="360" w:type="pct"/>
                  <w:vAlign w:val="center"/>
                </w:tcPr>
                <w:p w14:paraId="2C3DD6AE">
                  <w:pPr>
                    <w:adjustRightInd w:val="0"/>
                    <w:snapToGrid w:val="0"/>
                    <w:jc w:val="center"/>
                    <w:rPr>
                      <w:color w:val="auto"/>
                      <w:sz w:val="18"/>
                      <w:szCs w:val="18"/>
                    </w:rPr>
                  </w:pPr>
                  <w:r>
                    <w:rPr>
                      <w:rFonts w:hint="eastAsia"/>
                      <w:color w:val="auto"/>
                      <w:sz w:val="18"/>
                      <w:szCs w:val="18"/>
                    </w:rPr>
                    <w:t>/</w:t>
                  </w:r>
                </w:p>
              </w:tc>
              <w:tc>
                <w:tcPr>
                  <w:tcW w:w="319" w:type="pct"/>
                  <w:vAlign w:val="center"/>
                </w:tcPr>
                <w:p w14:paraId="0DF3ED19">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642B85C7">
                  <w:pPr>
                    <w:widowControl/>
                    <w:adjustRightInd w:val="0"/>
                    <w:snapToGrid w:val="0"/>
                    <w:jc w:val="center"/>
                    <w:rPr>
                      <w:color w:val="auto"/>
                      <w:kern w:val="0"/>
                      <w:sz w:val="18"/>
                      <w:szCs w:val="18"/>
                    </w:rPr>
                  </w:pPr>
                </w:p>
              </w:tc>
            </w:tr>
            <w:tr w14:paraId="7F243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147" w:type="pct"/>
                  <w:vMerge w:val="continue"/>
                  <w:vAlign w:val="center"/>
                </w:tcPr>
                <w:p w14:paraId="77B1037C">
                  <w:pPr>
                    <w:widowControl/>
                    <w:adjustRightInd w:val="0"/>
                    <w:snapToGrid w:val="0"/>
                    <w:jc w:val="center"/>
                    <w:rPr>
                      <w:color w:val="auto"/>
                      <w:kern w:val="0"/>
                      <w:sz w:val="18"/>
                      <w:szCs w:val="18"/>
                    </w:rPr>
                  </w:pPr>
                </w:p>
              </w:tc>
              <w:tc>
                <w:tcPr>
                  <w:tcW w:w="232" w:type="pct"/>
                  <w:vMerge w:val="restart"/>
                  <w:vAlign w:val="center"/>
                </w:tcPr>
                <w:p w14:paraId="039036AD">
                  <w:pPr>
                    <w:widowControl/>
                    <w:adjustRightInd w:val="0"/>
                    <w:snapToGrid w:val="0"/>
                    <w:jc w:val="center"/>
                    <w:rPr>
                      <w:color w:val="auto"/>
                      <w:kern w:val="0"/>
                      <w:sz w:val="18"/>
                      <w:szCs w:val="18"/>
                    </w:rPr>
                  </w:pPr>
                  <w:r>
                    <w:rPr>
                      <w:rFonts w:hint="eastAsia"/>
                      <w:color w:val="auto"/>
                      <w:kern w:val="0"/>
                      <w:sz w:val="18"/>
                      <w:szCs w:val="18"/>
                    </w:rPr>
                    <w:t>丝印、</w:t>
                  </w:r>
                  <w:r>
                    <w:rPr>
                      <w:rFonts w:hint="eastAsia"/>
                      <w:color w:val="auto"/>
                      <w:kern w:val="0"/>
                      <w:sz w:val="18"/>
                      <w:szCs w:val="18"/>
                      <w:lang w:val="en-US" w:eastAsia="zh-CN"/>
                    </w:rPr>
                    <w:t>烘干、</w:t>
                  </w:r>
                  <w:r>
                    <w:rPr>
                      <w:rFonts w:hint="eastAsia"/>
                      <w:color w:val="auto"/>
                      <w:kern w:val="0"/>
                      <w:sz w:val="18"/>
                      <w:szCs w:val="18"/>
                    </w:rPr>
                    <w:t>洗网水</w:t>
                  </w:r>
                </w:p>
              </w:tc>
              <w:tc>
                <w:tcPr>
                  <w:tcW w:w="230" w:type="pct"/>
                  <w:vAlign w:val="center"/>
                </w:tcPr>
                <w:p w14:paraId="00502F23">
                  <w:pPr>
                    <w:widowControl/>
                    <w:adjustRightInd w:val="0"/>
                    <w:snapToGrid w:val="0"/>
                    <w:jc w:val="center"/>
                    <w:rPr>
                      <w:color w:val="auto"/>
                      <w:kern w:val="0"/>
                      <w:sz w:val="18"/>
                      <w:szCs w:val="18"/>
                    </w:rPr>
                  </w:pPr>
                  <w:r>
                    <w:rPr>
                      <w:rFonts w:hint="eastAsia"/>
                      <w:color w:val="auto"/>
                      <w:kern w:val="0"/>
                      <w:sz w:val="18"/>
                      <w:szCs w:val="18"/>
                    </w:rPr>
                    <w:t>DA006</w:t>
                  </w:r>
                </w:p>
              </w:tc>
              <w:tc>
                <w:tcPr>
                  <w:tcW w:w="130" w:type="pct"/>
                  <w:vMerge w:val="restart"/>
                  <w:vAlign w:val="center"/>
                </w:tcPr>
                <w:p w14:paraId="40B89551">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1621329A">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2471BE73">
                  <w:pPr>
                    <w:jc w:val="center"/>
                    <w:rPr>
                      <w:color w:val="auto"/>
                      <w:sz w:val="18"/>
                      <w:szCs w:val="18"/>
                    </w:rPr>
                  </w:pPr>
                  <w:r>
                    <w:rPr>
                      <w:rFonts w:hint="eastAsia"/>
                      <w:color w:val="auto"/>
                      <w:sz w:val="18"/>
                      <w:szCs w:val="18"/>
                    </w:rPr>
                    <w:t>4000</w:t>
                  </w:r>
                </w:p>
              </w:tc>
              <w:tc>
                <w:tcPr>
                  <w:tcW w:w="399" w:type="pct"/>
                  <w:vAlign w:val="center"/>
                </w:tcPr>
                <w:p w14:paraId="3263227C">
                  <w:pPr>
                    <w:jc w:val="center"/>
                    <w:rPr>
                      <w:color w:val="auto"/>
                      <w:sz w:val="18"/>
                      <w:szCs w:val="18"/>
                    </w:rPr>
                  </w:pPr>
                  <w:r>
                    <w:rPr>
                      <w:rFonts w:hint="eastAsia"/>
                      <w:color w:val="auto"/>
                      <w:sz w:val="18"/>
                      <w:szCs w:val="18"/>
                    </w:rPr>
                    <w:t>19.59</w:t>
                  </w:r>
                </w:p>
              </w:tc>
              <w:tc>
                <w:tcPr>
                  <w:tcW w:w="298" w:type="pct"/>
                  <w:vAlign w:val="center"/>
                </w:tcPr>
                <w:p w14:paraId="2094B3D7">
                  <w:pPr>
                    <w:adjustRightInd w:val="0"/>
                    <w:snapToGrid w:val="0"/>
                    <w:jc w:val="center"/>
                    <w:rPr>
                      <w:color w:val="auto"/>
                      <w:sz w:val="18"/>
                      <w:szCs w:val="18"/>
                    </w:rPr>
                  </w:pPr>
                  <w:r>
                    <w:rPr>
                      <w:rFonts w:hint="eastAsia"/>
                      <w:color w:val="auto"/>
                      <w:sz w:val="18"/>
                      <w:szCs w:val="18"/>
                    </w:rPr>
                    <w:t>0.0784</w:t>
                  </w:r>
                </w:p>
              </w:tc>
              <w:tc>
                <w:tcPr>
                  <w:tcW w:w="265" w:type="pct"/>
                  <w:vAlign w:val="center"/>
                </w:tcPr>
                <w:p w14:paraId="6E3B5456">
                  <w:pPr>
                    <w:widowControl/>
                    <w:jc w:val="center"/>
                    <w:rPr>
                      <w:color w:val="auto"/>
                      <w:kern w:val="0"/>
                      <w:sz w:val="18"/>
                      <w:szCs w:val="18"/>
                    </w:rPr>
                  </w:pPr>
                  <w:r>
                    <w:rPr>
                      <w:rFonts w:hint="eastAsia"/>
                      <w:color w:val="auto"/>
                      <w:kern w:val="0"/>
                      <w:sz w:val="18"/>
                      <w:szCs w:val="18"/>
                    </w:rPr>
                    <w:t>0.28208</w:t>
                  </w:r>
                </w:p>
              </w:tc>
              <w:tc>
                <w:tcPr>
                  <w:tcW w:w="191" w:type="pct"/>
                  <w:vAlign w:val="center"/>
                </w:tcPr>
                <w:p w14:paraId="67BB36C9">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67BE36D4">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38462F8">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45588CB4">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72F58E89">
                  <w:pPr>
                    <w:jc w:val="center"/>
                    <w:rPr>
                      <w:color w:val="auto"/>
                      <w:sz w:val="18"/>
                      <w:szCs w:val="18"/>
                    </w:rPr>
                  </w:pPr>
                  <w:r>
                    <w:rPr>
                      <w:rFonts w:hint="eastAsia"/>
                      <w:color w:val="auto"/>
                      <w:sz w:val="18"/>
                      <w:szCs w:val="18"/>
                    </w:rPr>
                    <w:t>4000</w:t>
                  </w:r>
                </w:p>
              </w:tc>
              <w:tc>
                <w:tcPr>
                  <w:tcW w:w="400" w:type="pct"/>
                  <w:vAlign w:val="center"/>
                </w:tcPr>
                <w:p w14:paraId="03918E26">
                  <w:pPr>
                    <w:jc w:val="center"/>
                    <w:rPr>
                      <w:color w:val="auto"/>
                      <w:sz w:val="18"/>
                      <w:szCs w:val="18"/>
                    </w:rPr>
                  </w:pPr>
                  <w:r>
                    <w:rPr>
                      <w:rFonts w:hint="eastAsia"/>
                      <w:color w:val="auto"/>
                      <w:sz w:val="18"/>
                      <w:szCs w:val="18"/>
                    </w:rPr>
                    <w:t>1.96</w:t>
                  </w:r>
                </w:p>
              </w:tc>
              <w:tc>
                <w:tcPr>
                  <w:tcW w:w="298" w:type="pct"/>
                  <w:vAlign w:val="center"/>
                </w:tcPr>
                <w:p w14:paraId="36FD512D">
                  <w:pPr>
                    <w:adjustRightInd w:val="0"/>
                    <w:snapToGrid w:val="0"/>
                    <w:jc w:val="center"/>
                    <w:rPr>
                      <w:color w:val="auto"/>
                      <w:sz w:val="18"/>
                      <w:szCs w:val="18"/>
                    </w:rPr>
                  </w:pPr>
                  <w:r>
                    <w:rPr>
                      <w:rFonts w:hint="eastAsia"/>
                      <w:color w:val="auto"/>
                      <w:sz w:val="18"/>
                      <w:szCs w:val="18"/>
                    </w:rPr>
                    <w:t>0.0078</w:t>
                  </w:r>
                </w:p>
              </w:tc>
              <w:tc>
                <w:tcPr>
                  <w:tcW w:w="307" w:type="pct"/>
                  <w:vAlign w:val="center"/>
                </w:tcPr>
                <w:p w14:paraId="5C983B85">
                  <w:pPr>
                    <w:widowControl/>
                    <w:jc w:val="center"/>
                    <w:rPr>
                      <w:color w:val="auto"/>
                      <w:kern w:val="0"/>
                      <w:sz w:val="18"/>
                      <w:szCs w:val="18"/>
                    </w:rPr>
                  </w:pPr>
                  <w:r>
                    <w:rPr>
                      <w:rFonts w:hint="eastAsia"/>
                      <w:color w:val="auto"/>
                      <w:kern w:val="0"/>
                      <w:sz w:val="18"/>
                      <w:szCs w:val="18"/>
                    </w:rPr>
                    <w:t>0.0282</w:t>
                  </w:r>
                </w:p>
              </w:tc>
              <w:tc>
                <w:tcPr>
                  <w:tcW w:w="360" w:type="pct"/>
                  <w:vAlign w:val="center"/>
                </w:tcPr>
                <w:p w14:paraId="20CA7AEA">
                  <w:pPr>
                    <w:adjustRightInd w:val="0"/>
                    <w:snapToGrid w:val="0"/>
                    <w:jc w:val="center"/>
                    <w:rPr>
                      <w:color w:val="auto"/>
                      <w:sz w:val="18"/>
                      <w:szCs w:val="18"/>
                    </w:rPr>
                  </w:pPr>
                  <w:r>
                    <w:rPr>
                      <w:rFonts w:hint="eastAsia"/>
                      <w:color w:val="auto"/>
                      <w:sz w:val="18"/>
                      <w:szCs w:val="18"/>
                    </w:rPr>
                    <w:t>50</w:t>
                  </w:r>
                </w:p>
              </w:tc>
              <w:tc>
                <w:tcPr>
                  <w:tcW w:w="319" w:type="pct"/>
                  <w:vAlign w:val="center"/>
                </w:tcPr>
                <w:p w14:paraId="103B2207">
                  <w:pPr>
                    <w:adjustRightInd w:val="0"/>
                    <w:snapToGrid w:val="0"/>
                    <w:jc w:val="center"/>
                    <w:rPr>
                      <w:color w:val="auto"/>
                      <w:sz w:val="18"/>
                      <w:szCs w:val="18"/>
                    </w:rPr>
                  </w:pPr>
                  <w:r>
                    <w:rPr>
                      <w:rFonts w:hint="eastAsia"/>
                      <w:color w:val="auto"/>
                      <w:sz w:val="18"/>
                      <w:szCs w:val="18"/>
                    </w:rPr>
                    <w:t>1.8</w:t>
                  </w:r>
                </w:p>
              </w:tc>
              <w:tc>
                <w:tcPr>
                  <w:tcW w:w="213" w:type="pct"/>
                  <w:vMerge w:val="restart"/>
                  <w:vAlign w:val="center"/>
                </w:tcPr>
                <w:p w14:paraId="01822B8A">
                  <w:pPr>
                    <w:widowControl/>
                    <w:adjustRightInd w:val="0"/>
                    <w:snapToGrid w:val="0"/>
                    <w:jc w:val="center"/>
                    <w:rPr>
                      <w:color w:val="auto"/>
                      <w:kern w:val="0"/>
                      <w:sz w:val="18"/>
                      <w:szCs w:val="18"/>
                    </w:rPr>
                  </w:pPr>
                  <w:r>
                    <w:rPr>
                      <w:rFonts w:hint="eastAsia"/>
                      <w:color w:val="auto"/>
                      <w:kern w:val="0"/>
                      <w:sz w:val="18"/>
                      <w:szCs w:val="18"/>
                    </w:rPr>
                    <w:t>3600</w:t>
                  </w:r>
                </w:p>
              </w:tc>
            </w:tr>
            <w:tr w14:paraId="35B5C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72" w:hRule="atLeast"/>
                <w:jc w:val="center"/>
              </w:trPr>
              <w:tc>
                <w:tcPr>
                  <w:tcW w:w="147" w:type="pct"/>
                  <w:vMerge w:val="continue"/>
                  <w:vAlign w:val="center"/>
                </w:tcPr>
                <w:p w14:paraId="199C930D">
                  <w:pPr>
                    <w:widowControl/>
                    <w:adjustRightInd w:val="0"/>
                    <w:snapToGrid w:val="0"/>
                    <w:jc w:val="center"/>
                    <w:rPr>
                      <w:color w:val="auto"/>
                      <w:kern w:val="0"/>
                      <w:sz w:val="18"/>
                      <w:szCs w:val="18"/>
                    </w:rPr>
                  </w:pPr>
                </w:p>
              </w:tc>
              <w:tc>
                <w:tcPr>
                  <w:tcW w:w="232" w:type="pct"/>
                  <w:vMerge w:val="continue"/>
                  <w:vAlign w:val="center"/>
                </w:tcPr>
                <w:p w14:paraId="6174734F">
                  <w:pPr>
                    <w:widowControl/>
                    <w:adjustRightInd w:val="0"/>
                    <w:snapToGrid w:val="0"/>
                    <w:jc w:val="center"/>
                    <w:rPr>
                      <w:color w:val="auto"/>
                      <w:kern w:val="0"/>
                      <w:sz w:val="18"/>
                      <w:szCs w:val="18"/>
                    </w:rPr>
                  </w:pPr>
                </w:p>
              </w:tc>
              <w:tc>
                <w:tcPr>
                  <w:tcW w:w="230" w:type="pct"/>
                  <w:vAlign w:val="center"/>
                </w:tcPr>
                <w:p w14:paraId="6ED4285B">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5B8D2759">
                  <w:pPr>
                    <w:widowControl/>
                    <w:adjustRightInd w:val="0"/>
                    <w:snapToGrid w:val="0"/>
                    <w:jc w:val="center"/>
                    <w:rPr>
                      <w:color w:val="auto"/>
                      <w:kern w:val="0"/>
                      <w:sz w:val="18"/>
                      <w:szCs w:val="18"/>
                    </w:rPr>
                  </w:pPr>
                </w:p>
              </w:tc>
              <w:tc>
                <w:tcPr>
                  <w:tcW w:w="130" w:type="pct"/>
                  <w:vMerge w:val="continue"/>
                  <w:vAlign w:val="center"/>
                </w:tcPr>
                <w:p w14:paraId="719FBE47">
                  <w:pPr>
                    <w:widowControl/>
                    <w:adjustRightInd w:val="0"/>
                    <w:snapToGrid w:val="0"/>
                    <w:jc w:val="center"/>
                    <w:rPr>
                      <w:color w:val="auto"/>
                      <w:kern w:val="0"/>
                      <w:sz w:val="18"/>
                      <w:szCs w:val="18"/>
                    </w:rPr>
                  </w:pPr>
                </w:p>
              </w:tc>
              <w:tc>
                <w:tcPr>
                  <w:tcW w:w="357" w:type="pct"/>
                  <w:vMerge w:val="continue"/>
                  <w:vAlign w:val="center"/>
                </w:tcPr>
                <w:p w14:paraId="5582E8F5">
                  <w:pPr>
                    <w:jc w:val="center"/>
                    <w:rPr>
                      <w:color w:val="auto"/>
                      <w:sz w:val="18"/>
                      <w:szCs w:val="18"/>
                    </w:rPr>
                  </w:pPr>
                </w:p>
              </w:tc>
              <w:tc>
                <w:tcPr>
                  <w:tcW w:w="399" w:type="pct"/>
                  <w:vAlign w:val="center"/>
                </w:tcPr>
                <w:p w14:paraId="786F4A87">
                  <w:pPr>
                    <w:jc w:val="center"/>
                    <w:rPr>
                      <w:color w:val="auto"/>
                      <w:sz w:val="18"/>
                      <w:szCs w:val="18"/>
                    </w:rPr>
                  </w:pPr>
                  <w:r>
                    <w:rPr>
                      <w:rFonts w:hint="eastAsia"/>
                      <w:color w:val="auto"/>
                      <w:sz w:val="18"/>
                      <w:szCs w:val="18"/>
                    </w:rPr>
                    <w:t>/</w:t>
                  </w:r>
                </w:p>
              </w:tc>
              <w:tc>
                <w:tcPr>
                  <w:tcW w:w="298" w:type="pct"/>
                  <w:vAlign w:val="center"/>
                </w:tcPr>
                <w:p w14:paraId="7AD2AC29">
                  <w:pPr>
                    <w:adjustRightInd w:val="0"/>
                    <w:snapToGrid w:val="0"/>
                    <w:jc w:val="center"/>
                    <w:rPr>
                      <w:color w:val="auto"/>
                      <w:sz w:val="18"/>
                      <w:szCs w:val="18"/>
                    </w:rPr>
                  </w:pPr>
                  <w:r>
                    <w:rPr>
                      <w:rFonts w:hint="eastAsia"/>
                      <w:color w:val="auto"/>
                      <w:sz w:val="18"/>
                      <w:szCs w:val="18"/>
                    </w:rPr>
                    <w:t>0.0196</w:t>
                  </w:r>
                </w:p>
              </w:tc>
              <w:tc>
                <w:tcPr>
                  <w:tcW w:w="265" w:type="pct"/>
                  <w:vAlign w:val="center"/>
                </w:tcPr>
                <w:p w14:paraId="52831D29">
                  <w:pPr>
                    <w:widowControl/>
                    <w:jc w:val="center"/>
                    <w:rPr>
                      <w:color w:val="auto"/>
                      <w:kern w:val="0"/>
                      <w:sz w:val="18"/>
                      <w:szCs w:val="18"/>
                    </w:rPr>
                  </w:pPr>
                  <w:r>
                    <w:rPr>
                      <w:rFonts w:hint="eastAsia"/>
                      <w:color w:val="auto"/>
                      <w:kern w:val="0"/>
                      <w:sz w:val="18"/>
                      <w:szCs w:val="18"/>
                    </w:rPr>
                    <w:t>0.07052</w:t>
                  </w:r>
                </w:p>
              </w:tc>
              <w:tc>
                <w:tcPr>
                  <w:tcW w:w="191" w:type="pct"/>
                  <w:vAlign w:val="center"/>
                </w:tcPr>
                <w:p w14:paraId="4BC05711">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61CA6501">
                  <w:pPr>
                    <w:jc w:val="center"/>
                    <w:rPr>
                      <w:color w:val="auto"/>
                      <w:kern w:val="0"/>
                      <w:sz w:val="18"/>
                      <w:szCs w:val="18"/>
                    </w:rPr>
                  </w:pPr>
                </w:p>
              </w:tc>
              <w:tc>
                <w:tcPr>
                  <w:tcW w:w="132" w:type="pct"/>
                  <w:vMerge w:val="continue"/>
                  <w:vAlign w:val="center"/>
                </w:tcPr>
                <w:p w14:paraId="61D2B37B">
                  <w:pPr>
                    <w:widowControl/>
                    <w:jc w:val="center"/>
                    <w:rPr>
                      <w:color w:val="auto"/>
                      <w:kern w:val="0"/>
                      <w:sz w:val="18"/>
                      <w:szCs w:val="18"/>
                    </w:rPr>
                  </w:pPr>
                </w:p>
              </w:tc>
              <w:tc>
                <w:tcPr>
                  <w:tcW w:w="357" w:type="pct"/>
                  <w:vMerge w:val="continue"/>
                  <w:vAlign w:val="center"/>
                </w:tcPr>
                <w:p w14:paraId="10136EA0">
                  <w:pPr>
                    <w:jc w:val="center"/>
                    <w:rPr>
                      <w:color w:val="auto"/>
                      <w:sz w:val="18"/>
                      <w:szCs w:val="18"/>
                    </w:rPr>
                  </w:pPr>
                </w:p>
              </w:tc>
              <w:tc>
                <w:tcPr>
                  <w:tcW w:w="400" w:type="pct"/>
                  <w:vAlign w:val="center"/>
                </w:tcPr>
                <w:p w14:paraId="397D6F9D">
                  <w:pPr>
                    <w:jc w:val="center"/>
                    <w:rPr>
                      <w:color w:val="auto"/>
                      <w:sz w:val="18"/>
                      <w:szCs w:val="18"/>
                    </w:rPr>
                  </w:pPr>
                  <w:r>
                    <w:rPr>
                      <w:rFonts w:hint="eastAsia"/>
                      <w:color w:val="auto"/>
                      <w:sz w:val="18"/>
                      <w:szCs w:val="18"/>
                    </w:rPr>
                    <w:t>/</w:t>
                  </w:r>
                </w:p>
              </w:tc>
              <w:tc>
                <w:tcPr>
                  <w:tcW w:w="298" w:type="pct"/>
                  <w:vAlign w:val="center"/>
                </w:tcPr>
                <w:p w14:paraId="0C769D94">
                  <w:pPr>
                    <w:adjustRightInd w:val="0"/>
                    <w:snapToGrid w:val="0"/>
                    <w:jc w:val="center"/>
                    <w:rPr>
                      <w:color w:val="auto"/>
                      <w:sz w:val="18"/>
                      <w:szCs w:val="18"/>
                    </w:rPr>
                  </w:pPr>
                  <w:r>
                    <w:rPr>
                      <w:rFonts w:hint="eastAsia"/>
                      <w:color w:val="auto"/>
                      <w:sz w:val="18"/>
                      <w:szCs w:val="18"/>
                    </w:rPr>
                    <w:t>0.0196</w:t>
                  </w:r>
                </w:p>
              </w:tc>
              <w:tc>
                <w:tcPr>
                  <w:tcW w:w="307" w:type="pct"/>
                  <w:vAlign w:val="center"/>
                </w:tcPr>
                <w:p w14:paraId="776D5961">
                  <w:pPr>
                    <w:widowControl/>
                    <w:jc w:val="center"/>
                    <w:rPr>
                      <w:color w:val="auto"/>
                      <w:kern w:val="0"/>
                      <w:sz w:val="18"/>
                      <w:szCs w:val="18"/>
                    </w:rPr>
                  </w:pPr>
                  <w:r>
                    <w:rPr>
                      <w:rFonts w:hint="eastAsia"/>
                      <w:color w:val="auto"/>
                      <w:kern w:val="0"/>
                      <w:sz w:val="18"/>
                      <w:szCs w:val="18"/>
                    </w:rPr>
                    <w:t>0.07052</w:t>
                  </w:r>
                </w:p>
              </w:tc>
              <w:tc>
                <w:tcPr>
                  <w:tcW w:w="360" w:type="pct"/>
                  <w:vAlign w:val="center"/>
                </w:tcPr>
                <w:p w14:paraId="76903045">
                  <w:pPr>
                    <w:adjustRightInd w:val="0"/>
                    <w:snapToGrid w:val="0"/>
                    <w:jc w:val="center"/>
                    <w:rPr>
                      <w:color w:val="auto"/>
                      <w:sz w:val="18"/>
                      <w:szCs w:val="18"/>
                    </w:rPr>
                  </w:pPr>
                  <w:r>
                    <w:rPr>
                      <w:rFonts w:hint="eastAsia"/>
                      <w:color w:val="auto"/>
                      <w:sz w:val="18"/>
                      <w:szCs w:val="18"/>
                    </w:rPr>
                    <w:t>6</w:t>
                  </w:r>
                </w:p>
              </w:tc>
              <w:tc>
                <w:tcPr>
                  <w:tcW w:w="319" w:type="pct"/>
                  <w:vAlign w:val="center"/>
                </w:tcPr>
                <w:p w14:paraId="0475DF41">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3B4D16C3">
                  <w:pPr>
                    <w:widowControl/>
                    <w:adjustRightInd w:val="0"/>
                    <w:snapToGrid w:val="0"/>
                    <w:jc w:val="center"/>
                    <w:rPr>
                      <w:color w:val="auto"/>
                      <w:kern w:val="0"/>
                      <w:sz w:val="18"/>
                      <w:szCs w:val="18"/>
                    </w:rPr>
                  </w:pPr>
                </w:p>
              </w:tc>
            </w:tr>
            <w:tr w14:paraId="06357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8" w:hRule="atLeast"/>
                <w:jc w:val="center"/>
              </w:trPr>
              <w:tc>
                <w:tcPr>
                  <w:tcW w:w="147" w:type="pct"/>
                  <w:vMerge w:val="continue"/>
                  <w:vAlign w:val="center"/>
                </w:tcPr>
                <w:p w14:paraId="7D1C797D">
                  <w:pPr>
                    <w:widowControl/>
                    <w:adjustRightInd w:val="0"/>
                    <w:snapToGrid w:val="0"/>
                    <w:jc w:val="center"/>
                    <w:rPr>
                      <w:color w:val="auto"/>
                      <w:kern w:val="0"/>
                      <w:sz w:val="18"/>
                      <w:szCs w:val="18"/>
                    </w:rPr>
                  </w:pPr>
                </w:p>
              </w:tc>
              <w:tc>
                <w:tcPr>
                  <w:tcW w:w="232" w:type="pct"/>
                  <w:vMerge w:val="restart"/>
                  <w:vAlign w:val="center"/>
                </w:tcPr>
                <w:p w14:paraId="13DCE398">
                  <w:pPr>
                    <w:widowControl/>
                    <w:adjustRightInd w:val="0"/>
                    <w:snapToGrid w:val="0"/>
                    <w:jc w:val="center"/>
                    <w:rPr>
                      <w:color w:val="auto"/>
                      <w:kern w:val="0"/>
                      <w:sz w:val="18"/>
                      <w:szCs w:val="18"/>
                    </w:rPr>
                  </w:pPr>
                  <w:r>
                    <w:rPr>
                      <w:rFonts w:hint="eastAsia"/>
                      <w:color w:val="auto"/>
                      <w:kern w:val="0"/>
                      <w:sz w:val="18"/>
                      <w:szCs w:val="18"/>
                    </w:rPr>
                    <w:t>粘接</w:t>
                  </w:r>
                </w:p>
              </w:tc>
              <w:tc>
                <w:tcPr>
                  <w:tcW w:w="230" w:type="pct"/>
                  <w:vAlign w:val="center"/>
                </w:tcPr>
                <w:p w14:paraId="4E08DFCE">
                  <w:pPr>
                    <w:widowControl/>
                    <w:adjustRightInd w:val="0"/>
                    <w:snapToGrid w:val="0"/>
                    <w:jc w:val="center"/>
                    <w:rPr>
                      <w:color w:val="auto"/>
                      <w:kern w:val="0"/>
                      <w:sz w:val="18"/>
                      <w:szCs w:val="18"/>
                    </w:rPr>
                  </w:pPr>
                  <w:r>
                    <w:rPr>
                      <w:rFonts w:hint="eastAsia"/>
                      <w:color w:val="auto"/>
                      <w:kern w:val="0"/>
                      <w:sz w:val="18"/>
                      <w:szCs w:val="18"/>
                    </w:rPr>
                    <w:t>DA006</w:t>
                  </w:r>
                </w:p>
              </w:tc>
              <w:tc>
                <w:tcPr>
                  <w:tcW w:w="130" w:type="pct"/>
                  <w:vMerge w:val="restart"/>
                  <w:vAlign w:val="center"/>
                </w:tcPr>
                <w:p w14:paraId="656AED1A">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18D34C3E">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52FDF24C">
                  <w:pPr>
                    <w:jc w:val="center"/>
                    <w:rPr>
                      <w:color w:val="auto"/>
                      <w:sz w:val="18"/>
                      <w:szCs w:val="18"/>
                    </w:rPr>
                  </w:pPr>
                  <w:r>
                    <w:rPr>
                      <w:rFonts w:hint="eastAsia"/>
                      <w:color w:val="auto"/>
                      <w:sz w:val="18"/>
                      <w:szCs w:val="18"/>
                    </w:rPr>
                    <w:t>1000</w:t>
                  </w:r>
                </w:p>
              </w:tc>
              <w:tc>
                <w:tcPr>
                  <w:tcW w:w="399" w:type="pct"/>
                  <w:vAlign w:val="center"/>
                </w:tcPr>
                <w:p w14:paraId="668B94DE">
                  <w:pPr>
                    <w:jc w:val="center"/>
                    <w:rPr>
                      <w:color w:val="auto"/>
                      <w:sz w:val="18"/>
                      <w:szCs w:val="18"/>
                    </w:rPr>
                  </w:pPr>
                  <w:r>
                    <w:rPr>
                      <w:rFonts w:hint="eastAsia"/>
                      <w:color w:val="auto"/>
                      <w:sz w:val="18"/>
                      <w:szCs w:val="18"/>
                    </w:rPr>
                    <w:t>1.17</w:t>
                  </w:r>
                </w:p>
              </w:tc>
              <w:tc>
                <w:tcPr>
                  <w:tcW w:w="298" w:type="pct"/>
                  <w:vAlign w:val="center"/>
                </w:tcPr>
                <w:p w14:paraId="08EABEB6">
                  <w:pPr>
                    <w:adjustRightInd w:val="0"/>
                    <w:snapToGrid w:val="0"/>
                    <w:jc w:val="center"/>
                    <w:rPr>
                      <w:color w:val="auto"/>
                      <w:sz w:val="18"/>
                      <w:szCs w:val="18"/>
                    </w:rPr>
                  </w:pPr>
                  <w:r>
                    <w:rPr>
                      <w:rFonts w:hint="eastAsia"/>
                      <w:color w:val="auto"/>
                      <w:sz w:val="18"/>
                      <w:szCs w:val="18"/>
                    </w:rPr>
                    <w:t>0.0012</w:t>
                  </w:r>
                </w:p>
              </w:tc>
              <w:tc>
                <w:tcPr>
                  <w:tcW w:w="265" w:type="pct"/>
                  <w:vAlign w:val="center"/>
                </w:tcPr>
                <w:p w14:paraId="6A005A73">
                  <w:pPr>
                    <w:widowControl/>
                    <w:jc w:val="center"/>
                    <w:rPr>
                      <w:color w:val="auto"/>
                      <w:kern w:val="0"/>
                      <w:sz w:val="18"/>
                      <w:szCs w:val="18"/>
                    </w:rPr>
                  </w:pPr>
                  <w:r>
                    <w:rPr>
                      <w:rFonts w:hint="eastAsia"/>
                      <w:color w:val="auto"/>
                      <w:kern w:val="0"/>
                      <w:sz w:val="18"/>
                      <w:szCs w:val="18"/>
                    </w:rPr>
                    <w:t>0.00422</w:t>
                  </w:r>
                </w:p>
              </w:tc>
              <w:tc>
                <w:tcPr>
                  <w:tcW w:w="191" w:type="pct"/>
                  <w:vAlign w:val="center"/>
                </w:tcPr>
                <w:p w14:paraId="347B5B7F">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0687D63C">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6F644607">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56610120">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41B27B48">
                  <w:pPr>
                    <w:jc w:val="center"/>
                    <w:rPr>
                      <w:color w:val="auto"/>
                      <w:sz w:val="18"/>
                      <w:szCs w:val="18"/>
                    </w:rPr>
                  </w:pPr>
                  <w:r>
                    <w:rPr>
                      <w:rFonts w:hint="eastAsia"/>
                      <w:color w:val="auto"/>
                      <w:sz w:val="18"/>
                      <w:szCs w:val="18"/>
                    </w:rPr>
                    <w:t>1000</w:t>
                  </w:r>
                </w:p>
              </w:tc>
              <w:tc>
                <w:tcPr>
                  <w:tcW w:w="400" w:type="pct"/>
                  <w:vAlign w:val="center"/>
                </w:tcPr>
                <w:p w14:paraId="6228796B">
                  <w:pPr>
                    <w:jc w:val="center"/>
                    <w:rPr>
                      <w:color w:val="auto"/>
                      <w:sz w:val="18"/>
                      <w:szCs w:val="18"/>
                    </w:rPr>
                  </w:pPr>
                  <w:r>
                    <w:rPr>
                      <w:rFonts w:hint="eastAsia"/>
                      <w:color w:val="auto"/>
                      <w:sz w:val="18"/>
                      <w:szCs w:val="18"/>
                    </w:rPr>
                    <w:t>0.12</w:t>
                  </w:r>
                </w:p>
              </w:tc>
              <w:tc>
                <w:tcPr>
                  <w:tcW w:w="298" w:type="pct"/>
                  <w:vAlign w:val="center"/>
                </w:tcPr>
                <w:p w14:paraId="1DA3E560">
                  <w:pPr>
                    <w:adjustRightInd w:val="0"/>
                    <w:snapToGrid w:val="0"/>
                    <w:jc w:val="center"/>
                    <w:rPr>
                      <w:color w:val="auto"/>
                      <w:sz w:val="18"/>
                      <w:szCs w:val="18"/>
                    </w:rPr>
                  </w:pPr>
                  <w:r>
                    <w:rPr>
                      <w:rFonts w:hint="eastAsia"/>
                      <w:color w:val="auto"/>
                      <w:sz w:val="18"/>
                      <w:szCs w:val="18"/>
                    </w:rPr>
                    <w:t>0.0001</w:t>
                  </w:r>
                </w:p>
              </w:tc>
              <w:tc>
                <w:tcPr>
                  <w:tcW w:w="307" w:type="pct"/>
                  <w:vAlign w:val="center"/>
                </w:tcPr>
                <w:p w14:paraId="4E86E8A0">
                  <w:pPr>
                    <w:widowControl/>
                    <w:jc w:val="center"/>
                    <w:rPr>
                      <w:color w:val="auto"/>
                      <w:kern w:val="0"/>
                      <w:sz w:val="18"/>
                      <w:szCs w:val="18"/>
                    </w:rPr>
                  </w:pPr>
                  <w:r>
                    <w:rPr>
                      <w:rFonts w:hint="eastAsia"/>
                      <w:color w:val="auto"/>
                      <w:sz w:val="18"/>
                      <w:szCs w:val="18"/>
                    </w:rPr>
                    <w:t>0.00042</w:t>
                  </w:r>
                </w:p>
              </w:tc>
              <w:tc>
                <w:tcPr>
                  <w:tcW w:w="360" w:type="pct"/>
                  <w:vAlign w:val="center"/>
                </w:tcPr>
                <w:p w14:paraId="60AC1D1B">
                  <w:pPr>
                    <w:adjustRightInd w:val="0"/>
                    <w:snapToGrid w:val="0"/>
                    <w:jc w:val="center"/>
                    <w:rPr>
                      <w:color w:val="auto"/>
                      <w:sz w:val="18"/>
                      <w:szCs w:val="18"/>
                    </w:rPr>
                  </w:pPr>
                  <w:r>
                    <w:rPr>
                      <w:rFonts w:hint="eastAsia"/>
                      <w:color w:val="auto"/>
                      <w:sz w:val="18"/>
                      <w:szCs w:val="18"/>
                    </w:rPr>
                    <w:t>50</w:t>
                  </w:r>
                </w:p>
              </w:tc>
              <w:tc>
                <w:tcPr>
                  <w:tcW w:w="319" w:type="pct"/>
                  <w:vAlign w:val="center"/>
                </w:tcPr>
                <w:p w14:paraId="6FC14AEF">
                  <w:pPr>
                    <w:adjustRightInd w:val="0"/>
                    <w:snapToGrid w:val="0"/>
                    <w:jc w:val="center"/>
                    <w:rPr>
                      <w:color w:val="auto"/>
                      <w:sz w:val="18"/>
                      <w:szCs w:val="18"/>
                    </w:rPr>
                  </w:pPr>
                  <w:r>
                    <w:rPr>
                      <w:rFonts w:hint="eastAsia"/>
                      <w:color w:val="auto"/>
                      <w:sz w:val="18"/>
                      <w:szCs w:val="18"/>
                    </w:rPr>
                    <w:t>1.8</w:t>
                  </w:r>
                </w:p>
              </w:tc>
              <w:tc>
                <w:tcPr>
                  <w:tcW w:w="213" w:type="pct"/>
                  <w:vMerge w:val="restart"/>
                  <w:vAlign w:val="center"/>
                </w:tcPr>
                <w:p w14:paraId="1A19C959">
                  <w:pPr>
                    <w:widowControl/>
                    <w:adjustRightInd w:val="0"/>
                    <w:snapToGrid w:val="0"/>
                    <w:jc w:val="center"/>
                    <w:rPr>
                      <w:color w:val="auto"/>
                      <w:kern w:val="0"/>
                      <w:sz w:val="18"/>
                      <w:szCs w:val="18"/>
                    </w:rPr>
                  </w:pPr>
                  <w:r>
                    <w:rPr>
                      <w:rFonts w:hint="eastAsia"/>
                      <w:color w:val="auto"/>
                      <w:kern w:val="0"/>
                      <w:sz w:val="18"/>
                      <w:szCs w:val="18"/>
                    </w:rPr>
                    <w:t>3600</w:t>
                  </w:r>
                </w:p>
              </w:tc>
            </w:tr>
            <w:tr w14:paraId="6C991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0C84BAF9">
                  <w:pPr>
                    <w:widowControl/>
                    <w:adjustRightInd w:val="0"/>
                    <w:snapToGrid w:val="0"/>
                    <w:jc w:val="center"/>
                    <w:rPr>
                      <w:color w:val="auto"/>
                      <w:kern w:val="0"/>
                      <w:sz w:val="18"/>
                      <w:szCs w:val="18"/>
                    </w:rPr>
                  </w:pPr>
                </w:p>
              </w:tc>
              <w:tc>
                <w:tcPr>
                  <w:tcW w:w="232" w:type="pct"/>
                  <w:vMerge w:val="continue"/>
                  <w:vAlign w:val="center"/>
                </w:tcPr>
                <w:p w14:paraId="20B31F93">
                  <w:pPr>
                    <w:widowControl/>
                    <w:adjustRightInd w:val="0"/>
                    <w:snapToGrid w:val="0"/>
                    <w:jc w:val="center"/>
                    <w:rPr>
                      <w:color w:val="auto"/>
                      <w:kern w:val="0"/>
                      <w:sz w:val="18"/>
                      <w:szCs w:val="18"/>
                    </w:rPr>
                  </w:pPr>
                </w:p>
              </w:tc>
              <w:tc>
                <w:tcPr>
                  <w:tcW w:w="230" w:type="pct"/>
                  <w:vAlign w:val="center"/>
                </w:tcPr>
                <w:p w14:paraId="3DD2B89B">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2066ADAF">
                  <w:pPr>
                    <w:widowControl/>
                    <w:adjustRightInd w:val="0"/>
                    <w:snapToGrid w:val="0"/>
                    <w:jc w:val="center"/>
                    <w:rPr>
                      <w:color w:val="auto"/>
                      <w:kern w:val="0"/>
                      <w:sz w:val="18"/>
                      <w:szCs w:val="18"/>
                    </w:rPr>
                  </w:pPr>
                </w:p>
              </w:tc>
              <w:tc>
                <w:tcPr>
                  <w:tcW w:w="130" w:type="pct"/>
                  <w:vMerge w:val="continue"/>
                  <w:vAlign w:val="center"/>
                </w:tcPr>
                <w:p w14:paraId="0AD2EB5D">
                  <w:pPr>
                    <w:widowControl/>
                    <w:adjustRightInd w:val="0"/>
                    <w:snapToGrid w:val="0"/>
                    <w:jc w:val="center"/>
                    <w:rPr>
                      <w:color w:val="auto"/>
                      <w:kern w:val="0"/>
                      <w:sz w:val="18"/>
                      <w:szCs w:val="18"/>
                    </w:rPr>
                  </w:pPr>
                </w:p>
              </w:tc>
              <w:tc>
                <w:tcPr>
                  <w:tcW w:w="357" w:type="pct"/>
                  <w:vMerge w:val="continue"/>
                  <w:vAlign w:val="center"/>
                </w:tcPr>
                <w:p w14:paraId="6BB48C7D">
                  <w:pPr>
                    <w:jc w:val="center"/>
                    <w:rPr>
                      <w:color w:val="auto"/>
                      <w:sz w:val="18"/>
                      <w:szCs w:val="18"/>
                    </w:rPr>
                  </w:pPr>
                </w:p>
              </w:tc>
              <w:tc>
                <w:tcPr>
                  <w:tcW w:w="399" w:type="pct"/>
                  <w:vAlign w:val="center"/>
                </w:tcPr>
                <w:p w14:paraId="328C2A58">
                  <w:pPr>
                    <w:jc w:val="center"/>
                    <w:rPr>
                      <w:color w:val="auto"/>
                      <w:sz w:val="18"/>
                      <w:szCs w:val="18"/>
                    </w:rPr>
                  </w:pPr>
                  <w:r>
                    <w:rPr>
                      <w:rFonts w:hint="eastAsia"/>
                      <w:color w:val="auto"/>
                      <w:sz w:val="18"/>
                      <w:szCs w:val="18"/>
                    </w:rPr>
                    <w:t>/</w:t>
                  </w:r>
                </w:p>
              </w:tc>
              <w:tc>
                <w:tcPr>
                  <w:tcW w:w="298" w:type="pct"/>
                  <w:vAlign w:val="center"/>
                </w:tcPr>
                <w:p w14:paraId="3CB8A5A9">
                  <w:pPr>
                    <w:adjustRightInd w:val="0"/>
                    <w:snapToGrid w:val="0"/>
                    <w:jc w:val="center"/>
                    <w:rPr>
                      <w:color w:val="auto"/>
                      <w:sz w:val="18"/>
                      <w:szCs w:val="18"/>
                    </w:rPr>
                  </w:pPr>
                  <w:r>
                    <w:rPr>
                      <w:rFonts w:hint="eastAsia"/>
                      <w:color w:val="auto"/>
                      <w:sz w:val="18"/>
                      <w:szCs w:val="18"/>
                    </w:rPr>
                    <w:t>0.0003</w:t>
                  </w:r>
                </w:p>
              </w:tc>
              <w:tc>
                <w:tcPr>
                  <w:tcW w:w="265" w:type="pct"/>
                  <w:vAlign w:val="center"/>
                </w:tcPr>
                <w:p w14:paraId="284333BA">
                  <w:pPr>
                    <w:widowControl/>
                    <w:jc w:val="center"/>
                    <w:rPr>
                      <w:color w:val="auto"/>
                      <w:kern w:val="0"/>
                      <w:sz w:val="18"/>
                      <w:szCs w:val="18"/>
                    </w:rPr>
                  </w:pPr>
                  <w:r>
                    <w:rPr>
                      <w:rFonts w:hint="eastAsia"/>
                      <w:color w:val="auto"/>
                      <w:kern w:val="0"/>
                      <w:sz w:val="18"/>
                      <w:szCs w:val="18"/>
                    </w:rPr>
                    <w:t>0.00106</w:t>
                  </w:r>
                </w:p>
              </w:tc>
              <w:tc>
                <w:tcPr>
                  <w:tcW w:w="191" w:type="pct"/>
                  <w:vAlign w:val="center"/>
                </w:tcPr>
                <w:p w14:paraId="60EF35BD">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5D1FD4F0">
                  <w:pPr>
                    <w:jc w:val="center"/>
                    <w:rPr>
                      <w:color w:val="auto"/>
                      <w:kern w:val="0"/>
                      <w:sz w:val="18"/>
                      <w:szCs w:val="18"/>
                    </w:rPr>
                  </w:pPr>
                </w:p>
              </w:tc>
              <w:tc>
                <w:tcPr>
                  <w:tcW w:w="132" w:type="pct"/>
                  <w:vMerge w:val="continue"/>
                  <w:vAlign w:val="center"/>
                </w:tcPr>
                <w:p w14:paraId="664792E3">
                  <w:pPr>
                    <w:widowControl/>
                    <w:jc w:val="center"/>
                    <w:rPr>
                      <w:color w:val="auto"/>
                      <w:kern w:val="0"/>
                      <w:sz w:val="18"/>
                      <w:szCs w:val="18"/>
                    </w:rPr>
                  </w:pPr>
                </w:p>
              </w:tc>
              <w:tc>
                <w:tcPr>
                  <w:tcW w:w="357" w:type="pct"/>
                  <w:vMerge w:val="continue"/>
                  <w:vAlign w:val="center"/>
                </w:tcPr>
                <w:p w14:paraId="158630F0">
                  <w:pPr>
                    <w:jc w:val="center"/>
                    <w:rPr>
                      <w:color w:val="auto"/>
                      <w:sz w:val="18"/>
                      <w:szCs w:val="18"/>
                    </w:rPr>
                  </w:pPr>
                </w:p>
              </w:tc>
              <w:tc>
                <w:tcPr>
                  <w:tcW w:w="400" w:type="pct"/>
                  <w:vAlign w:val="center"/>
                </w:tcPr>
                <w:p w14:paraId="17127688">
                  <w:pPr>
                    <w:jc w:val="center"/>
                    <w:rPr>
                      <w:color w:val="auto"/>
                      <w:sz w:val="18"/>
                      <w:szCs w:val="18"/>
                    </w:rPr>
                  </w:pPr>
                  <w:r>
                    <w:rPr>
                      <w:rFonts w:hint="eastAsia"/>
                      <w:color w:val="auto"/>
                      <w:sz w:val="18"/>
                      <w:szCs w:val="18"/>
                    </w:rPr>
                    <w:t>/</w:t>
                  </w:r>
                </w:p>
              </w:tc>
              <w:tc>
                <w:tcPr>
                  <w:tcW w:w="298" w:type="pct"/>
                  <w:vAlign w:val="center"/>
                </w:tcPr>
                <w:p w14:paraId="76FB21DF">
                  <w:pPr>
                    <w:adjustRightInd w:val="0"/>
                    <w:snapToGrid w:val="0"/>
                    <w:jc w:val="center"/>
                    <w:rPr>
                      <w:color w:val="auto"/>
                      <w:sz w:val="18"/>
                      <w:szCs w:val="18"/>
                    </w:rPr>
                  </w:pPr>
                  <w:r>
                    <w:rPr>
                      <w:rFonts w:hint="eastAsia"/>
                      <w:color w:val="auto"/>
                      <w:sz w:val="18"/>
                      <w:szCs w:val="18"/>
                    </w:rPr>
                    <w:t>0.0003</w:t>
                  </w:r>
                </w:p>
              </w:tc>
              <w:tc>
                <w:tcPr>
                  <w:tcW w:w="307" w:type="pct"/>
                  <w:vAlign w:val="center"/>
                </w:tcPr>
                <w:p w14:paraId="093CA4D7">
                  <w:pPr>
                    <w:widowControl/>
                    <w:jc w:val="center"/>
                    <w:rPr>
                      <w:color w:val="auto"/>
                      <w:kern w:val="0"/>
                      <w:sz w:val="18"/>
                      <w:szCs w:val="18"/>
                    </w:rPr>
                  </w:pPr>
                  <w:r>
                    <w:rPr>
                      <w:rFonts w:hint="eastAsia"/>
                      <w:color w:val="auto"/>
                      <w:kern w:val="0"/>
                      <w:sz w:val="18"/>
                      <w:szCs w:val="18"/>
                    </w:rPr>
                    <w:t>0.00106</w:t>
                  </w:r>
                </w:p>
              </w:tc>
              <w:tc>
                <w:tcPr>
                  <w:tcW w:w="360" w:type="pct"/>
                  <w:vAlign w:val="center"/>
                </w:tcPr>
                <w:p w14:paraId="53E0DBD6">
                  <w:pPr>
                    <w:adjustRightInd w:val="0"/>
                    <w:snapToGrid w:val="0"/>
                    <w:jc w:val="center"/>
                    <w:rPr>
                      <w:color w:val="auto"/>
                      <w:sz w:val="18"/>
                      <w:szCs w:val="18"/>
                    </w:rPr>
                  </w:pPr>
                  <w:r>
                    <w:rPr>
                      <w:rFonts w:hint="eastAsia"/>
                      <w:color w:val="auto"/>
                      <w:sz w:val="18"/>
                      <w:szCs w:val="18"/>
                    </w:rPr>
                    <w:t>6</w:t>
                  </w:r>
                </w:p>
              </w:tc>
              <w:tc>
                <w:tcPr>
                  <w:tcW w:w="319" w:type="pct"/>
                  <w:vAlign w:val="center"/>
                </w:tcPr>
                <w:p w14:paraId="39CCF409">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0AD4B7BF">
                  <w:pPr>
                    <w:widowControl/>
                    <w:adjustRightInd w:val="0"/>
                    <w:snapToGrid w:val="0"/>
                    <w:jc w:val="center"/>
                    <w:rPr>
                      <w:color w:val="auto"/>
                      <w:kern w:val="0"/>
                      <w:sz w:val="18"/>
                      <w:szCs w:val="18"/>
                    </w:rPr>
                  </w:pPr>
                </w:p>
              </w:tc>
            </w:tr>
            <w:tr w14:paraId="2342A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147" w:type="pct"/>
                  <w:vMerge w:val="continue"/>
                  <w:vAlign w:val="center"/>
                </w:tcPr>
                <w:p w14:paraId="24E99DC9">
                  <w:pPr>
                    <w:widowControl/>
                    <w:adjustRightInd w:val="0"/>
                    <w:snapToGrid w:val="0"/>
                    <w:jc w:val="center"/>
                    <w:rPr>
                      <w:color w:val="auto"/>
                      <w:kern w:val="0"/>
                      <w:sz w:val="18"/>
                      <w:szCs w:val="18"/>
                    </w:rPr>
                  </w:pPr>
                </w:p>
              </w:tc>
              <w:tc>
                <w:tcPr>
                  <w:tcW w:w="232" w:type="pct"/>
                  <w:vMerge w:val="restart"/>
                  <w:vAlign w:val="center"/>
                </w:tcPr>
                <w:p w14:paraId="340E51AF">
                  <w:pPr>
                    <w:widowControl/>
                    <w:adjustRightInd w:val="0"/>
                    <w:snapToGrid w:val="0"/>
                    <w:jc w:val="center"/>
                    <w:rPr>
                      <w:color w:val="auto"/>
                      <w:kern w:val="0"/>
                      <w:sz w:val="18"/>
                      <w:szCs w:val="18"/>
                    </w:rPr>
                  </w:pPr>
                  <w:r>
                    <w:rPr>
                      <w:rFonts w:hint="eastAsia"/>
                      <w:color w:val="auto"/>
                      <w:kern w:val="0"/>
                      <w:sz w:val="18"/>
                      <w:szCs w:val="18"/>
                    </w:rPr>
                    <w:t>清洗</w:t>
                  </w:r>
                </w:p>
              </w:tc>
              <w:tc>
                <w:tcPr>
                  <w:tcW w:w="230" w:type="pct"/>
                  <w:vAlign w:val="center"/>
                </w:tcPr>
                <w:p w14:paraId="7DA4BE27">
                  <w:pPr>
                    <w:widowControl/>
                    <w:adjustRightInd w:val="0"/>
                    <w:snapToGrid w:val="0"/>
                    <w:jc w:val="center"/>
                    <w:rPr>
                      <w:color w:val="auto"/>
                      <w:kern w:val="0"/>
                      <w:sz w:val="18"/>
                      <w:szCs w:val="18"/>
                    </w:rPr>
                  </w:pPr>
                  <w:r>
                    <w:rPr>
                      <w:rFonts w:hint="eastAsia"/>
                      <w:color w:val="auto"/>
                      <w:kern w:val="0"/>
                      <w:sz w:val="18"/>
                      <w:szCs w:val="18"/>
                    </w:rPr>
                    <w:t>DA006</w:t>
                  </w:r>
                </w:p>
              </w:tc>
              <w:tc>
                <w:tcPr>
                  <w:tcW w:w="130" w:type="pct"/>
                  <w:vMerge w:val="restart"/>
                  <w:vAlign w:val="center"/>
                </w:tcPr>
                <w:p w14:paraId="09AD33CD">
                  <w:pPr>
                    <w:widowControl/>
                    <w:adjustRightInd w:val="0"/>
                    <w:snapToGrid w:val="0"/>
                    <w:jc w:val="center"/>
                    <w:rPr>
                      <w:color w:val="auto"/>
                      <w:kern w:val="0"/>
                      <w:sz w:val="18"/>
                      <w:szCs w:val="18"/>
                    </w:rPr>
                  </w:pPr>
                  <w:r>
                    <w:rPr>
                      <w:rFonts w:hint="eastAsia"/>
                      <w:color w:val="auto"/>
                      <w:kern w:val="0"/>
                      <w:sz w:val="18"/>
                      <w:szCs w:val="18"/>
                    </w:rPr>
                    <w:t>非甲烷总烃</w:t>
                  </w:r>
                </w:p>
              </w:tc>
              <w:tc>
                <w:tcPr>
                  <w:tcW w:w="130" w:type="pct"/>
                  <w:vMerge w:val="restart"/>
                  <w:vAlign w:val="center"/>
                </w:tcPr>
                <w:p w14:paraId="5B9E91FC">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4843FC68">
                  <w:pPr>
                    <w:jc w:val="center"/>
                    <w:rPr>
                      <w:color w:val="auto"/>
                      <w:sz w:val="18"/>
                      <w:szCs w:val="18"/>
                    </w:rPr>
                  </w:pPr>
                  <w:r>
                    <w:rPr>
                      <w:rFonts w:hint="eastAsia"/>
                      <w:color w:val="auto"/>
                      <w:sz w:val="18"/>
                      <w:szCs w:val="18"/>
                    </w:rPr>
                    <w:t>8000</w:t>
                  </w:r>
                </w:p>
              </w:tc>
              <w:tc>
                <w:tcPr>
                  <w:tcW w:w="399" w:type="pct"/>
                  <w:vAlign w:val="center"/>
                </w:tcPr>
                <w:p w14:paraId="36DE54A1">
                  <w:pPr>
                    <w:jc w:val="center"/>
                    <w:rPr>
                      <w:color w:val="auto"/>
                      <w:sz w:val="18"/>
                      <w:szCs w:val="18"/>
                    </w:rPr>
                  </w:pPr>
                  <w:r>
                    <w:rPr>
                      <w:rFonts w:hint="eastAsia"/>
                      <w:color w:val="auto"/>
                      <w:sz w:val="18"/>
                      <w:szCs w:val="18"/>
                    </w:rPr>
                    <w:t>24.44</w:t>
                  </w:r>
                </w:p>
              </w:tc>
              <w:tc>
                <w:tcPr>
                  <w:tcW w:w="298" w:type="pct"/>
                  <w:vAlign w:val="center"/>
                </w:tcPr>
                <w:p w14:paraId="0701DA86">
                  <w:pPr>
                    <w:adjustRightInd w:val="0"/>
                    <w:snapToGrid w:val="0"/>
                    <w:jc w:val="center"/>
                    <w:rPr>
                      <w:color w:val="auto"/>
                      <w:sz w:val="18"/>
                      <w:szCs w:val="18"/>
                    </w:rPr>
                  </w:pPr>
                  <w:r>
                    <w:rPr>
                      <w:rFonts w:hint="eastAsia"/>
                      <w:color w:val="auto"/>
                      <w:sz w:val="18"/>
                      <w:szCs w:val="18"/>
                    </w:rPr>
                    <w:t>0.1956</w:t>
                  </w:r>
                </w:p>
              </w:tc>
              <w:tc>
                <w:tcPr>
                  <w:tcW w:w="265" w:type="pct"/>
                  <w:vAlign w:val="center"/>
                </w:tcPr>
                <w:p w14:paraId="721EA51E">
                  <w:pPr>
                    <w:widowControl/>
                    <w:jc w:val="center"/>
                    <w:rPr>
                      <w:color w:val="auto"/>
                      <w:kern w:val="0"/>
                      <w:sz w:val="18"/>
                      <w:szCs w:val="18"/>
                    </w:rPr>
                  </w:pPr>
                  <w:r>
                    <w:rPr>
                      <w:rFonts w:hint="eastAsia"/>
                      <w:color w:val="auto"/>
                      <w:kern w:val="0"/>
                      <w:sz w:val="18"/>
                      <w:szCs w:val="18"/>
                    </w:rPr>
                    <w:t>0.704</w:t>
                  </w:r>
                </w:p>
              </w:tc>
              <w:tc>
                <w:tcPr>
                  <w:tcW w:w="191" w:type="pct"/>
                  <w:vAlign w:val="center"/>
                </w:tcPr>
                <w:p w14:paraId="31420745">
                  <w:pPr>
                    <w:widowControl/>
                    <w:jc w:val="center"/>
                    <w:rPr>
                      <w:color w:val="auto"/>
                      <w:kern w:val="0"/>
                      <w:sz w:val="18"/>
                      <w:szCs w:val="18"/>
                    </w:rPr>
                  </w:pPr>
                  <w:r>
                    <w:rPr>
                      <w:color w:val="auto"/>
                      <w:kern w:val="0"/>
                      <w:sz w:val="18"/>
                      <w:szCs w:val="18"/>
                    </w:rPr>
                    <w:t>二级活性炭</w:t>
                  </w:r>
                </w:p>
              </w:tc>
              <w:tc>
                <w:tcPr>
                  <w:tcW w:w="232" w:type="pct"/>
                  <w:vMerge w:val="restart"/>
                  <w:vAlign w:val="center"/>
                </w:tcPr>
                <w:p w14:paraId="037D8373">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BF53555">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32" w:type="pct"/>
                  <w:vMerge w:val="restart"/>
                  <w:vAlign w:val="center"/>
                </w:tcPr>
                <w:p w14:paraId="2980FB82">
                  <w:pPr>
                    <w:widowControl/>
                    <w:adjustRightInd w:val="0"/>
                    <w:snapToGrid w:val="0"/>
                    <w:jc w:val="center"/>
                    <w:rPr>
                      <w:color w:val="auto"/>
                      <w:kern w:val="0"/>
                      <w:sz w:val="18"/>
                      <w:szCs w:val="18"/>
                    </w:rPr>
                  </w:pPr>
                  <w:r>
                    <w:rPr>
                      <w:rFonts w:hint="eastAsia"/>
                      <w:color w:val="auto"/>
                      <w:kern w:val="0"/>
                      <w:sz w:val="18"/>
                      <w:szCs w:val="18"/>
                    </w:rPr>
                    <w:t>物料衡算法</w:t>
                  </w:r>
                </w:p>
              </w:tc>
              <w:tc>
                <w:tcPr>
                  <w:tcW w:w="357" w:type="pct"/>
                  <w:vMerge w:val="restart"/>
                  <w:vAlign w:val="center"/>
                </w:tcPr>
                <w:p w14:paraId="1388253A">
                  <w:pPr>
                    <w:jc w:val="center"/>
                    <w:rPr>
                      <w:color w:val="auto"/>
                      <w:sz w:val="18"/>
                      <w:szCs w:val="18"/>
                    </w:rPr>
                  </w:pPr>
                  <w:r>
                    <w:rPr>
                      <w:rFonts w:hint="eastAsia"/>
                      <w:color w:val="auto"/>
                      <w:sz w:val="18"/>
                      <w:szCs w:val="18"/>
                    </w:rPr>
                    <w:t>8000</w:t>
                  </w:r>
                </w:p>
              </w:tc>
              <w:tc>
                <w:tcPr>
                  <w:tcW w:w="400" w:type="pct"/>
                  <w:vAlign w:val="center"/>
                </w:tcPr>
                <w:p w14:paraId="22482542">
                  <w:pPr>
                    <w:jc w:val="center"/>
                    <w:rPr>
                      <w:color w:val="auto"/>
                      <w:sz w:val="18"/>
                      <w:szCs w:val="18"/>
                    </w:rPr>
                  </w:pPr>
                  <w:r>
                    <w:rPr>
                      <w:rFonts w:hint="eastAsia"/>
                      <w:color w:val="auto"/>
                      <w:sz w:val="18"/>
                      <w:szCs w:val="18"/>
                    </w:rPr>
                    <w:t>2.44</w:t>
                  </w:r>
                </w:p>
              </w:tc>
              <w:tc>
                <w:tcPr>
                  <w:tcW w:w="298" w:type="pct"/>
                  <w:vAlign w:val="center"/>
                </w:tcPr>
                <w:p w14:paraId="1FC298C1">
                  <w:pPr>
                    <w:adjustRightInd w:val="0"/>
                    <w:snapToGrid w:val="0"/>
                    <w:jc w:val="center"/>
                    <w:rPr>
                      <w:color w:val="auto"/>
                      <w:sz w:val="18"/>
                      <w:szCs w:val="18"/>
                    </w:rPr>
                  </w:pPr>
                  <w:r>
                    <w:rPr>
                      <w:rFonts w:hint="eastAsia"/>
                      <w:color w:val="auto"/>
                      <w:sz w:val="18"/>
                      <w:szCs w:val="18"/>
                    </w:rPr>
                    <w:t>0.0196</w:t>
                  </w:r>
                </w:p>
              </w:tc>
              <w:tc>
                <w:tcPr>
                  <w:tcW w:w="307" w:type="pct"/>
                  <w:vAlign w:val="center"/>
                </w:tcPr>
                <w:p w14:paraId="7ACAFC28">
                  <w:pPr>
                    <w:widowControl/>
                    <w:jc w:val="center"/>
                    <w:rPr>
                      <w:color w:val="auto"/>
                      <w:kern w:val="0"/>
                      <w:sz w:val="18"/>
                      <w:szCs w:val="18"/>
                    </w:rPr>
                  </w:pPr>
                  <w:r>
                    <w:rPr>
                      <w:rFonts w:hint="eastAsia"/>
                      <w:color w:val="auto"/>
                      <w:kern w:val="0"/>
                      <w:sz w:val="18"/>
                      <w:szCs w:val="18"/>
                    </w:rPr>
                    <w:t>0.0704</w:t>
                  </w:r>
                </w:p>
              </w:tc>
              <w:tc>
                <w:tcPr>
                  <w:tcW w:w="360" w:type="pct"/>
                  <w:vAlign w:val="center"/>
                </w:tcPr>
                <w:p w14:paraId="0228D885">
                  <w:pPr>
                    <w:adjustRightInd w:val="0"/>
                    <w:snapToGrid w:val="0"/>
                    <w:jc w:val="center"/>
                    <w:rPr>
                      <w:color w:val="auto"/>
                      <w:sz w:val="18"/>
                      <w:szCs w:val="18"/>
                    </w:rPr>
                  </w:pPr>
                  <w:r>
                    <w:rPr>
                      <w:rFonts w:hint="eastAsia"/>
                      <w:color w:val="auto"/>
                      <w:sz w:val="18"/>
                      <w:szCs w:val="18"/>
                    </w:rPr>
                    <w:t>50</w:t>
                  </w:r>
                </w:p>
              </w:tc>
              <w:tc>
                <w:tcPr>
                  <w:tcW w:w="319" w:type="pct"/>
                  <w:vAlign w:val="center"/>
                </w:tcPr>
                <w:p w14:paraId="03D5FC8F">
                  <w:pPr>
                    <w:adjustRightInd w:val="0"/>
                    <w:snapToGrid w:val="0"/>
                    <w:jc w:val="center"/>
                    <w:rPr>
                      <w:color w:val="auto"/>
                      <w:sz w:val="18"/>
                      <w:szCs w:val="18"/>
                    </w:rPr>
                  </w:pPr>
                  <w:r>
                    <w:rPr>
                      <w:rFonts w:hint="eastAsia"/>
                      <w:color w:val="auto"/>
                      <w:sz w:val="18"/>
                      <w:szCs w:val="18"/>
                    </w:rPr>
                    <w:t>1.8</w:t>
                  </w:r>
                </w:p>
              </w:tc>
              <w:tc>
                <w:tcPr>
                  <w:tcW w:w="213" w:type="pct"/>
                  <w:vMerge w:val="restart"/>
                  <w:vAlign w:val="center"/>
                </w:tcPr>
                <w:p w14:paraId="6450B479">
                  <w:pPr>
                    <w:widowControl/>
                    <w:adjustRightInd w:val="0"/>
                    <w:snapToGrid w:val="0"/>
                    <w:jc w:val="center"/>
                    <w:rPr>
                      <w:color w:val="auto"/>
                      <w:kern w:val="0"/>
                      <w:sz w:val="18"/>
                      <w:szCs w:val="18"/>
                    </w:rPr>
                  </w:pPr>
                  <w:r>
                    <w:rPr>
                      <w:rFonts w:hint="eastAsia"/>
                      <w:color w:val="auto"/>
                      <w:kern w:val="0"/>
                      <w:sz w:val="18"/>
                      <w:szCs w:val="18"/>
                    </w:rPr>
                    <w:t>3600</w:t>
                  </w:r>
                </w:p>
              </w:tc>
            </w:tr>
            <w:tr w14:paraId="1A568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7" w:type="pct"/>
                  <w:vMerge w:val="continue"/>
                  <w:vAlign w:val="center"/>
                </w:tcPr>
                <w:p w14:paraId="0FBDD159">
                  <w:pPr>
                    <w:widowControl/>
                    <w:adjustRightInd w:val="0"/>
                    <w:snapToGrid w:val="0"/>
                    <w:jc w:val="center"/>
                    <w:rPr>
                      <w:color w:val="auto"/>
                      <w:kern w:val="0"/>
                      <w:sz w:val="18"/>
                      <w:szCs w:val="18"/>
                    </w:rPr>
                  </w:pPr>
                </w:p>
              </w:tc>
              <w:tc>
                <w:tcPr>
                  <w:tcW w:w="232" w:type="pct"/>
                  <w:vMerge w:val="continue"/>
                  <w:vAlign w:val="center"/>
                </w:tcPr>
                <w:p w14:paraId="67F517E4">
                  <w:pPr>
                    <w:widowControl/>
                    <w:adjustRightInd w:val="0"/>
                    <w:snapToGrid w:val="0"/>
                    <w:jc w:val="center"/>
                    <w:rPr>
                      <w:color w:val="auto"/>
                      <w:kern w:val="0"/>
                      <w:sz w:val="18"/>
                      <w:szCs w:val="18"/>
                    </w:rPr>
                  </w:pPr>
                </w:p>
              </w:tc>
              <w:tc>
                <w:tcPr>
                  <w:tcW w:w="230" w:type="pct"/>
                  <w:vAlign w:val="center"/>
                </w:tcPr>
                <w:p w14:paraId="1E81ACCC">
                  <w:pPr>
                    <w:widowControl/>
                    <w:adjustRightInd w:val="0"/>
                    <w:snapToGrid w:val="0"/>
                    <w:jc w:val="center"/>
                    <w:rPr>
                      <w:color w:val="auto"/>
                      <w:kern w:val="0"/>
                      <w:sz w:val="18"/>
                      <w:szCs w:val="18"/>
                    </w:rPr>
                  </w:pPr>
                  <w:r>
                    <w:rPr>
                      <w:color w:val="auto"/>
                      <w:kern w:val="0"/>
                      <w:sz w:val="18"/>
                      <w:szCs w:val="18"/>
                    </w:rPr>
                    <w:t>无组织</w:t>
                  </w:r>
                </w:p>
              </w:tc>
              <w:tc>
                <w:tcPr>
                  <w:tcW w:w="130" w:type="pct"/>
                  <w:vMerge w:val="continue"/>
                  <w:vAlign w:val="center"/>
                </w:tcPr>
                <w:p w14:paraId="6CC1AFC4">
                  <w:pPr>
                    <w:widowControl/>
                    <w:adjustRightInd w:val="0"/>
                    <w:snapToGrid w:val="0"/>
                    <w:jc w:val="center"/>
                    <w:rPr>
                      <w:color w:val="auto"/>
                      <w:kern w:val="0"/>
                      <w:sz w:val="18"/>
                      <w:szCs w:val="18"/>
                    </w:rPr>
                  </w:pPr>
                </w:p>
              </w:tc>
              <w:tc>
                <w:tcPr>
                  <w:tcW w:w="130" w:type="pct"/>
                  <w:vMerge w:val="continue"/>
                  <w:vAlign w:val="center"/>
                </w:tcPr>
                <w:p w14:paraId="197752AB">
                  <w:pPr>
                    <w:widowControl/>
                    <w:adjustRightInd w:val="0"/>
                    <w:snapToGrid w:val="0"/>
                    <w:jc w:val="center"/>
                    <w:rPr>
                      <w:color w:val="auto"/>
                      <w:kern w:val="0"/>
                      <w:sz w:val="18"/>
                      <w:szCs w:val="18"/>
                    </w:rPr>
                  </w:pPr>
                </w:p>
              </w:tc>
              <w:tc>
                <w:tcPr>
                  <w:tcW w:w="357" w:type="pct"/>
                  <w:vMerge w:val="continue"/>
                  <w:vAlign w:val="center"/>
                </w:tcPr>
                <w:p w14:paraId="29F87E0D">
                  <w:pPr>
                    <w:jc w:val="center"/>
                    <w:rPr>
                      <w:color w:val="auto"/>
                      <w:sz w:val="18"/>
                      <w:szCs w:val="18"/>
                    </w:rPr>
                  </w:pPr>
                </w:p>
              </w:tc>
              <w:tc>
                <w:tcPr>
                  <w:tcW w:w="399" w:type="pct"/>
                  <w:vAlign w:val="center"/>
                </w:tcPr>
                <w:p w14:paraId="1C2CFCD8">
                  <w:pPr>
                    <w:jc w:val="center"/>
                    <w:rPr>
                      <w:color w:val="auto"/>
                      <w:sz w:val="18"/>
                      <w:szCs w:val="18"/>
                    </w:rPr>
                  </w:pPr>
                  <w:r>
                    <w:rPr>
                      <w:rFonts w:hint="eastAsia"/>
                      <w:color w:val="auto"/>
                      <w:sz w:val="18"/>
                      <w:szCs w:val="18"/>
                    </w:rPr>
                    <w:t>/</w:t>
                  </w:r>
                </w:p>
              </w:tc>
              <w:tc>
                <w:tcPr>
                  <w:tcW w:w="298" w:type="pct"/>
                  <w:vAlign w:val="center"/>
                </w:tcPr>
                <w:p w14:paraId="3B3D3B79">
                  <w:pPr>
                    <w:adjustRightInd w:val="0"/>
                    <w:snapToGrid w:val="0"/>
                    <w:jc w:val="center"/>
                    <w:rPr>
                      <w:color w:val="auto"/>
                      <w:sz w:val="18"/>
                      <w:szCs w:val="18"/>
                    </w:rPr>
                  </w:pPr>
                  <w:r>
                    <w:rPr>
                      <w:rFonts w:hint="eastAsia"/>
                      <w:color w:val="auto"/>
                      <w:sz w:val="18"/>
                      <w:szCs w:val="18"/>
                    </w:rPr>
                    <w:t>0.0489</w:t>
                  </w:r>
                </w:p>
              </w:tc>
              <w:tc>
                <w:tcPr>
                  <w:tcW w:w="265" w:type="pct"/>
                  <w:vAlign w:val="center"/>
                </w:tcPr>
                <w:p w14:paraId="4CB949E9">
                  <w:pPr>
                    <w:widowControl/>
                    <w:jc w:val="center"/>
                    <w:rPr>
                      <w:color w:val="auto"/>
                      <w:kern w:val="0"/>
                      <w:sz w:val="18"/>
                      <w:szCs w:val="18"/>
                    </w:rPr>
                  </w:pPr>
                  <w:r>
                    <w:rPr>
                      <w:rFonts w:hint="eastAsia"/>
                      <w:color w:val="auto"/>
                      <w:kern w:val="0"/>
                      <w:sz w:val="18"/>
                      <w:szCs w:val="18"/>
                    </w:rPr>
                    <w:t>0.176</w:t>
                  </w:r>
                </w:p>
              </w:tc>
              <w:tc>
                <w:tcPr>
                  <w:tcW w:w="191" w:type="pct"/>
                  <w:vAlign w:val="center"/>
                </w:tcPr>
                <w:p w14:paraId="1AE03CAB">
                  <w:pPr>
                    <w:widowControl/>
                    <w:jc w:val="center"/>
                    <w:rPr>
                      <w:color w:val="auto"/>
                      <w:kern w:val="0"/>
                      <w:sz w:val="18"/>
                      <w:szCs w:val="18"/>
                    </w:rPr>
                  </w:pPr>
                  <w:r>
                    <w:rPr>
                      <w:rFonts w:hint="eastAsia"/>
                      <w:color w:val="auto"/>
                      <w:kern w:val="0"/>
                      <w:sz w:val="18"/>
                      <w:szCs w:val="18"/>
                    </w:rPr>
                    <w:t>/</w:t>
                  </w:r>
                </w:p>
              </w:tc>
              <w:tc>
                <w:tcPr>
                  <w:tcW w:w="232" w:type="pct"/>
                  <w:vMerge w:val="continue"/>
                  <w:vAlign w:val="center"/>
                </w:tcPr>
                <w:p w14:paraId="53F38FC8">
                  <w:pPr>
                    <w:jc w:val="center"/>
                    <w:rPr>
                      <w:color w:val="auto"/>
                      <w:kern w:val="0"/>
                      <w:sz w:val="18"/>
                      <w:szCs w:val="18"/>
                    </w:rPr>
                  </w:pPr>
                </w:p>
              </w:tc>
              <w:tc>
                <w:tcPr>
                  <w:tcW w:w="132" w:type="pct"/>
                  <w:vMerge w:val="continue"/>
                  <w:vAlign w:val="center"/>
                </w:tcPr>
                <w:p w14:paraId="06BF6664">
                  <w:pPr>
                    <w:widowControl/>
                    <w:jc w:val="center"/>
                    <w:rPr>
                      <w:color w:val="auto"/>
                      <w:kern w:val="0"/>
                      <w:sz w:val="18"/>
                      <w:szCs w:val="18"/>
                    </w:rPr>
                  </w:pPr>
                </w:p>
              </w:tc>
              <w:tc>
                <w:tcPr>
                  <w:tcW w:w="357" w:type="pct"/>
                  <w:vMerge w:val="continue"/>
                  <w:vAlign w:val="center"/>
                </w:tcPr>
                <w:p w14:paraId="39512325">
                  <w:pPr>
                    <w:jc w:val="center"/>
                    <w:rPr>
                      <w:color w:val="auto"/>
                      <w:sz w:val="18"/>
                      <w:szCs w:val="18"/>
                    </w:rPr>
                  </w:pPr>
                </w:p>
              </w:tc>
              <w:tc>
                <w:tcPr>
                  <w:tcW w:w="400" w:type="pct"/>
                  <w:vAlign w:val="center"/>
                </w:tcPr>
                <w:p w14:paraId="788B5051">
                  <w:pPr>
                    <w:jc w:val="center"/>
                    <w:rPr>
                      <w:color w:val="auto"/>
                      <w:sz w:val="18"/>
                      <w:szCs w:val="18"/>
                    </w:rPr>
                  </w:pPr>
                  <w:r>
                    <w:rPr>
                      <w:rFonts w:hint="eastAsia"/>
                      <w:color w:val="auto"/>
                      <w:sz w:val="18"/>
                      <w:szCs w:val="18"/>
                    </w:rPr>
                    <w:t>/</w:t>
                  </w:r>
                </w:p>
              </w:tc>
              <w:tc>
                <w:tcPr>
                  <w:tcW w:w="298" w:type="pct"/>
                  <w:vAlign w:val="center"/>
                </w:tcPr>
                <w:p w14:paraId="158B37AA">
                  <w:pPr>
                    <w:adjustRightInd w:val="0"/>
                    <w:snapToGrid w:val="0"/>
                    <w:jc w:val="center"/>
                    <w:rPr>
                      <w:color w:val="auto"/>
                      <w:sz w:val="18"/>
                      <w:szCs w:val="18"/>
                    </w:rPr>
                  </w:pPr>
                  <w:r>
                    <w:rPr>
                      <w:rFonts w:hint="eastAsia"/>
                      <w:color w:val="auto"/>
                      <w:sz w:val="18"/>
                      <w:szCs w:val="18"/>
                    </w:rPr>
                    <w:t>0.0489</w:t>
                  </w:r>
                </w:p>
              </w:tc>
              <w:tc>
                <w:tcPr>
                  <w:tcW w:w="307" w:type="pct"/>
                  <w:vAlign w:val="center"/>
                </w:tcPr>
                <w:p w14:paraId="32F43345">
                  <w:pPr>
                    <w:widowControl/>
                    <w:jc w:val="center"/>
                    <w:rPr>
                      <w:color w:val="auto"/>
                      <w:kern w:val="0"/>
                      <w:sz w:val="18"/>
                      <w:szCs w:val="18"/>
                    </w:rPr>
                  </w:pPr>
                  <w:r>
                    <w:rPr>
                      <w:rFonts w:hint="eastAsia"/>
                      <w:color w:val="auto"/>
                      <w:kern w:val="0"/>
                      <w:sz w:val="18"/>
                      <w:szCs w:val="18"/>
                    </w:rPr>
                    <w:t>0.176</w:t>
                  </w:r>
                </w:p>
              </w:tc>
              <w:tc>
                <w:tcPr>
                  <w:tcW w:w="360" w:type="pct"/>
                  <w:vAlign w:val="center"/>
                </w:tcPr>
                <w:p w14:paraId="0889779A">
                  <w:pPr>
                    <w:adjustRightInd w:val="0"/>
                    <w:snapToGrid w:val="0"/>
                    <w:jc w:val="center"/>
                    <w:rPr>
                      <w:color w:val="auto"/>
                      <w:sz w:val="18"/>
                      <w:szCs w:val="18"/>
                    </w:rPr>
                  </w:pPr>
                  <w:r>
                    <w:rPr>
                      <w:rFonts w:hint="eastAsia"/>
                      <w:color w:val="auto"/>
                      <w:sz w:val="18"/>
                      <w:szCs w:val="18"/>
                    </w:rPr>
                    <w:t>6</w:t>
                  </w:r>
                </w:p>
              </w:tc>
              <w:tc>
                <w:tcPr>
                  <w:tcW w:w="319" w:type="pct"/>
                  <w:vAlign w:val="center"/>
                </w:tcPr>
                <w:p w14:paraId="380E1312">
                  <w:pPr>
                    <w:adjustRightInd w:val="0"/>
                    <w:snapToGrid w:val="0"/>
                    <w:jc w:val="center"/>
                    <w:rPr>
                      <w:color w:val="auto"/>
                      <w:sz w:val="18"/>
                      <w:szCs w:val="18"/>
                    </w:rPr>
                  </w:pPr>
                  <w:r>
                    <w:rPr>
                      <w:rFonts w:hint="eastAsia"/>
                      <w:color w:val="auto"/>
                      <w:sz w:val="18"/>
                      <w:szCs w:val="18"/>
                    </w:rPr>
                    <w:t>/</w:t>
                  </w:r>
                </w:p>
              </w:tc>
              <w:tc>
                <w:tcPr>
                  <w:tcW w:w="213" w:type="pct"/>
                  <w:vMerge w:val="continue"/>
                  <w:vAlign w:val="center"/>
                </w:tcPr>
                <w:p w14:paraId="10C2A70D">
                  <w:pPr>
                    <w:widowControl/>
                    <w:adjustRightInd w:val="0"/>
                    <w:snapToGrid w:val="0"/>
                    <w:jc w:val="center"/>
                    <w:rPr>
                      <w:color w:val="auto"/>
                      <w:kern w:val="0"/>
                      <w:sz w:val="18"/>
                      <w:szCs w:val="18"/>
                    </w:rPr>
                  </w:pPr>
                </w:p>
              </w:tc>
            </w:tr>
            <w:tr w14:paraId="09F5C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0" w:hRule="atLeast"/>
                <w:jc w:val="center"/>
              </w:trPr>
              <w:tc>
                <w:tcPr>
                  <w:tcW w:w="147" w:type="pct"/>
                  <w:vMerge w:val="restart"/>
                  <w:vAlign w:val="center"/>
                </w:tcPr>
                <w:p w14:paraId="5E5C9656">
                  <w:pPr>
                    <w:widowControl/>
                    <w:adjustRightInd w:val="0"/>
                    <w:snapToGrid w:val="0"/>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危废库废气</w:t>
                  </w:r>
                </w:p>
              </w:tc>
              <w:tc>
                <w:tcPr>
                  <w:tcW w:w="232" w:type="pct"/>
                  <w:vMerge w:val="restart"/>
                  <w:vAlign w:val="center"/>
                </w:tcPr>
                <w:p w14:paraId="7B9BC51D">
                  <w:pPr>
                    <w:widowControl/>
                    <w:adjustRightInd w:val="0"/>
                    <w:snapToGrid w:val="0"/>
                    <w:jc w:val="center"/>
                    <w:rPr>
                      <w:rFonts w:hint="eastAsia" w:eastAsia="宋体"/>
                      <w:b w:val="0"/>
                      <w:bCs w:val="0"/>
                      <w:color w:val="auto"/>
                      <w:kern w:val="0"/>
                      <w:sz w:val="18"/>
                      <w:szCs w:val="18"/>
                      <w:lang w:val="en-US" w:eastAsia="zh-CN"/>
                    </w:rPr>
                  </w:pPr>
                  <w:r>
                    <w:rPr>
                      <w:rFonts w:hint="eastAsia"/>
                      <w:b w:val="0"/>
                      <w:bCs w:val="0"/>
                      <w:color w:val="auto"/>
                      <w:kern w:val="0"/>
                      <w:sz w:val="18"/>
                      <w:szCs w:val="18"/>
                      <w:lang w:val="en-US" w:eastAsia="zh-CN"/>
                    </w:rPr>
                    <w:t>危废库</w:t>
                  </w:r>
                </w:p>
              </w:tc>
              <w:tc>
                <w:tcPr>
                  <w:tcW w:w="230" w:type="pct"/>
                  <w:vAlign w:val="center"/>
                </w:tcPr>
                <w:p w14:paraId="7A2C71F5">
                  <w:pPr>
                    <w:widowControl/>
                    <w:adjustRightInd w:val="0"/>
                    <w:snapToGrid w:val="0"/>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DA003</w:t>
                  </w:r>
                </w:p>
              </w:tc>
              <w:tc>
                <w:tcPr>
                  <w:tcW w:w="130" w:type="pct"/>
                  <w:vMerge w:val="restart"/>
                  <w:vAlign w:val="center"/>
                </w:tcPr>
                <w:p w14:paraId="2733349B">
                  <w:pPr>
                    <w:widowControl/>
                    <w:adjustRightInd w:val="0"/>
                    <w:snapToGrid w:val="0"/>
                    <w:jc w:val="center"/>
                    <w:rPr>
                      <w:rFonts w:hint="eastAsia" w:eastAsia="宋体"/>
                      <w:b w:val="0"/>
                      <w:bCs w:val="0"/>
                      <w:color w:val="auto"/>
                      <w:kern w:val="0"/>
                      <w:sz w:val="18"/>
                      <w:szCs w:val="18"/>
                      <w:lang w:val="en-US" w:eastAsia="zh-CN"/>
                    </w:rPr>
                  </w:pPr>
                  <w:r>
                    <w:rPr>
                      <w:rFonts w:hint="eastAsia"/>
                      <w:b w:val="0"/>
                      <w:bCs w:val="0"/>
                      <w:color w:val="auto"/>
                      <w:kern w:val="0"/>
                      <w:sz w:val="18"/>
                      <w:szCs w:val="18"/>
                      <w:lang w:val="en-US" w:eastAsia="zh-CN"/>
                    </w:rPr>
                    <w:t>非甲烷总烃</w:t>
                  </w:r>
                </w:p>
              </w:tc>
              <w:tc>
                <w:tcPr>
                  <w:tcW w:w="130" w:type="pct"/>
                  <w:vMerge w:val="restart"/>
                  <w:vAlign w:val="center"/>
                </w:tcPr>
                <w:p w14:paraId="44406F46">
                  <w:pPr>
                    <w:widowControl/>
                    <w:adjustRightInd w:val="0"/>
                    <w:snapToGrid w:val="0"/>
                    <w:jc w:val="center"/>
                    <w:rPr>
                      <w:b w:val="0"/>
                      <w:bCs w:val="0"/>
                      <w:color w:val="auto"/>
                      <w:kern w:val="0"/>
                      <w:sz w:val="18"/>
                      <w:szCs w:val="18"/>
                    </w:rPr>
                  </w:pPr>
                  <w:r>
                    <w:rPr>
                      <w:rFonts w:hint="eastAsia"/>
                      <w:b w:val="0"/>
                      <w:bCs w:val="0"/>
                      <w:color w:val="auto"/>
                      <w:kern w:val="0"/>
                      <w:sz w:val="18"/>
                      <w:szCs w:val="18"/>
                    </w:rPr>
                    <w:t>产污系数法</w:t>
                  </w:r>
                </w:p>
              </w:tc>
              <w:tc>
                <w:tcPr>
                  <w:tcW w:w="357" w:type="pct"/>
                  <w:vMerge w:val="restart"/>
                  <w:vAlign w:val="center"/>
                </w:tcPr>
                <w:p w14:paraId="53F93B4B">
                  <w:pPr>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5000</w:t>
                  </w:r>
                </w:p>
              </w:tc>
              <w:tc>
                <w:tcPr>
                  <w:tcW w:w="399" w:type="pct"/>
                  <w:vAlign w:val="center"/>
                </w:tcPr>
                <w:p w14:paraId="1D159F9B">
                  <w:pPr>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4.57</w:t>
                  </w:r>
                </w:p>
              </w:tc>
              <w:tc>
                <w:tcPr>
                  <w:tcW w:w="298" w:type="pct"/>
                  <w:vAlign w:val="center"/>
                </w:tcPr>
                <w:p w14:paraId="1E5D93C1">
                  <w:pPr>
                    <w:adjustRightInd w:val="0"/>
                    <w:snapToGrid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0.0228</w:t>
                  </w:r>
                </w:p>
              </w:tc>
              <w:tc>
                <w:tcPr>
                  <w:tcW w:w="265" w:type="pct"/>
                  <w:vAlign w:val="center"/>
                </w:tcPr>
                <w:p w14:paraId="58CA08FF">
                  <w:pPr>
                    <w:widowControl/>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0.2</w:t>
                  </w:r>
                </w:p>
              </w:tc>
              <w:tc>
                <w:tcPr>
                  <w:tcW w:w="191" w:type="pct"/>
                  <w:vAlign w:val="center"/>
                </w:tcPr>
                <w:p w14:paraId="38032E5E">
                  <w:pPr>
                    <w:widowControl/>
                    <w:jc w:val="center"/>
                    <w:rPr>
                      <w:rFonts w:hint="eastAsia"/>
                      <w:b w:val="0"/>
                      <w:bCs w:val="0"/>
                      <w:color w:val="auto"/>
                      <w:kern w:val="0"/>
                      <w:sz w:val="18"/>
                      <w:szCs w:val="18"/>
                    </w:rPr>
                  </w:pPr>
                  <w:r>
                    <w:rPr>
                      <w:b w:val="0"/>
                      <w:bCs w:val="0"/>
                      <w:color w:val="auto"/>
                      <w:kern w:val="0"/>
                      <w:sz w:val="18"/>
                      <w:szCs w:val="18"/>
                    </w:rPr>
                    <w:t>二级活性炭</w:t>
                  </w:r>
                </w:p>
              </w:tc>
              <w:tc>
                <w:tcPr>
                  <w:tcW w:w="232" w:type="pct"/>
                  <w:vMerge w:val="restart"/>
                  <w:vAlign w:val="center"/>
                </w:tcPr>
                <w:p w14:paraId="534741B7">
                  <w:pPr>
                    <w:jc w:val="center"/>
                    <w:rPr>
                      <w:b w:val="0"/>
                      <w:bCs w:val="0"/>
                      <w:color w:val="auto"/>
                      <w:kern w:val="0"/>
                      <w:sz w:val="18"/>
                      <w:szCs w:val="18"/>
                    </w:rPr>
                  </w:pPr>
                  <w:r>
                    <w:rPr>
                      <w:b w:val="0"/>
                      <w:bCs w:val="0"/>
                      <w:color w:val="auto"/>
                      <w:kern w:val="0"/>
                      <w:sz w:val="18"/>
                      <w:szCs w:val="18"/>
                    </w:rPr>
                    <w:t>收集效率</w:t>
                  </w:r>
                  <w:r>
                    <w:rPr>
                      <w:rFonts w:hint="eastAsia"/>
                      <w:b w:val="0"/>
                      <w:bCs w:val="0"/>
                      <w:color w:val="auto"/>
                      <w:kern w:val="0"/>
                      <w:sz w:val="18"/>
                      <w:szCs w:val="18"/>
                    </w:rPr>
                    <w:t>80</w:t>
                  </w:r>
                  <w:r>
                    <w:rPr>
                      <w:b w:val="0"/>
                      <w:bCs w:val="0"/>
                      <w:color w:val="auto"/>
                      <w:kern w:val="0"/>
                      <w:sz w:val="18"/>
                      <w:szCs w:val="18"/>
                    </w:rPr>
                    <w:t>%</w:t>
                  </w:r>
                </w:p>
                <w:p w14:paraId="3872456B">
                  <w:pPr>
                    <w:jc w:val="center"/>
                    <w:rPr>
                      <w:b w:val="0"/>
                      <w:bCs w:val="0"/>
                      <w:color w:val="auto"/>
                      <w:kern w:val="0"/>
                      <w:sz w:val="18"/>
                      <w:szCs w:val="18"/>
                    </w:rPr>
                  </w:pPr>
                  <w:r>
                    <w:rPr>
                      <w:b w:val="0"/>
                      <w:bCs w:val="0"/>
                      <w:color w:val="auto"/>
                      <w:kern w:val="0"/>
                      <w:sz w:val="18"/>
                      <w:szCs w:val="18"/>
                    </w:rPr>
                    <w:t>处理效率</w:t>
                  </w:r>
                  <w:r>
                    <w:rPr>
                      <w:rFonts w:hint="eastAsia"/>
                      <w:b w:val="0"/>
                      <w:bCs w:val="0"/>
                      <w:color w:val="auto"/>
                      <w:kern w:val="0"/>
                      <w:sz w:val="18"/>
                      <w:szCs w:val="18"/>
                    </w:rPr>
                    <w:t>9</w:t>
                  </w:r>
                  <w:r>
                    <w:rPr>
                      <w:rFonts w:hint="eastAsia"/>
                      <w:b w:val="0"/>
                      <w:bCs w:val="0"/>
                      <w:color w:val="auto"/>
                      <w:kern w:val="0"/>
                      <w:sz w:val="18"/>
                      <w:szCs w:val="18"/>
                      <w:lang w:val="en-US" w:eastAsia="zh-CN"/>
                    </w:rPr>
                    <w:t>0</w:t>
                  </w:r>
                  <w:r>
                    <w:rPr>
                      <w:b w:val="0"/>
                      <w:bCs w:val="0"/>
                      <w:color w:val="auto"/>
                      <w:kern w:val="0"/>
                      <w:sz w:val="18"/>
                      <w:szCs w:val="18"/>
                    </w:rPr>
                    <w:t>%</w:t>
                  </w:r>
                </w:p>
              </w:tc>
              <w:tc>
                <w:tcPr>
                  <w:tcW w:w="132" w:type="pct"/>
                  <w:vMerge w:val="restart"/>
                  <w:vAlign w:val="center"/>
                </w:tcPr>
                <w:p w14:paraId="6A3767AD">
                  <w:pPr>
                    <w:widowControl/>
                    <w:jc w:val="center"/>
                    <w:rPr>
                      <w:b w:val="0"/>
                      <w:bCs w:val="0"/>
                      <w:color w:val="auto"/>
                      <w:kern w:val="0"/>
                      <w:sz w:val="18"/>
                      <w:szCs w:val="18"/>
                    </w:rPr>
                  </w:pPr>
                  <w:r>
                    <w:rPr>
                      <w:rFonts w:hint="eastAsia"/>
                      <w:b w:val="0"/>
                      <w:bCs w:val="0"/>
                      <w:color w:val="auto"/>
                      <w:kern w:val="0"/>
                      <w:sz w:val="18"/>
                      <w:szCs w:val="18"/>
                    </w:rPr>
                    <w:t>产污系数法</w:t>
                  </w:r>
                </w:p>
              </w:tc>
              <w:tc>
                <w:tcPr>
                  <w:tcW w:w="357" w:type="pct"/>
                  <w:vMerge w:val="restart"/>
                  <w:vAlign w:val="center"/>
                </w:tcPr>
                <w:p w14:paraId="0BB9A786">
                  <w:pPr>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5000</w:t>
                  </w:r>
                </w:p>
              </w:tc>
              <w:tc>
                <w:tcPr>
                  <w:tcW w:w="400" w:type="pct"/>
                  <w:vAlign w:val="center"/>
                </w:tcPr>
                <w:p w14:paraId="1EDC8183">
                  <w:pPr>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0.46</w:t>
                  </w:r>
                </w:p>
              </w:tc>
              <w:tc>
                <w:tcPr>
                  <w:tcW w:w="298" w:type="pct"/>
                  <w:vAlign w:val="center"/>
                </w:tcPr>
                <w:p w14:paraId="5A114F68">
                  <w:pPr>
                    <w:adjustRightInd w:val="0"/>
                    <w:snapToGrid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0.0023</w:t>
                  </w:r>
                </w:p>
              </w:tc>
              <w:tc>
                <w:tcPr>
                  <w:tcW w:w="307" w:type="pct"/>
                  <w:vAlign w:val="center"/>
                </w:tcPr>
                <w:p w14:paraId="5835325B">
                  <w:pPr>
                    <w:widowControl/>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0.02</w:t>
                  </w:r>
                </w:p>
              </w:tc>
              <w:tc>
                <w:tcPr>
                  <w:tcW w:w="360" w:type="pct"/>
                  <w:vAlign w:val="center"/>
                </w:tcPr>
                <w:p w14:paraId="1BBD8D81">
                  <w:pPr>
                    <w:adjustRightInd w:val="0"/>
                    <w:snapToGrid w:val="0"/>
                    <w:jc w:val="center"/>
                    <w:rPr>
                      <w:rFonts w:hint="eastAsia"/>
                      <w:b w:val="0"/>
                      <w:bCs w:val="0"/>
                      <w:color w:val="auto"/>
                      <w:sz w:val="18"/>
                      <w:szCs w:val="18"/>
                    </w:rPr>
                  </w:pPr>
                  <w:r>
                    <w:rPr>
                      <w:rFonts w:hint="eastAsia"/>
                      <w:b w:val="0"/>
                      <w:bCs w:val="0"/>
                      <w:color w:val="auto"/>
                      <w:sz w:val="18"/>
                      <w:szCs w:val="18"/>
                    </w:rPr>
                    <w:t>50</w:t>
                  </w:r>
                </w:p>
              </w:tc>
              <w:tc>
                <w:tcPr>
                  <w:tcW w:w="319" w:type="pct"/>
                  <w:vAlign w:val="center"/>
                </w:tcPr>
                <w:p w14:paraId="3C25BA88">
                  <w:pPr>
                    <w:adjustRightInd w:val="0"/>
                    <w:snapToGrid w:val="0"/>
                    <w:jc w:val="center"/>
                    <w:rPr>
                      <w:rFonts w:hint="eastAsia"/>
                      <w:b w:val="0"/>
                      <w:bCs w:val="0"/>
                      <w:color w:val="auto"/>
                      <w:sz w:val="18"/>
                      <w:szCs w:val="18"/>
                    </w:rPr>
                  </w:pPr>
                  <w:r>
                    <w:rPr>
                      <w:rFonts w:hint="eastAsia"/>
                      <w:b w:val="0"/>
                      <w:bCs w:val="0"/>
                      <w:color w:val="auto"/>
                      <w:sz w:val="18"/>
                      <w:szCs w:val="18"/>
                    </w:rPr>
                    <w:t>2.0</w:t>
                  </w:r>
                </w:p>
              </w:tc>
              <w:tc>
                <w:tcPr>
                  <w:tcW w:w="213" w:type="pct"/>
                  <w:vMerge w:val="restart"/>
                  <w:vAlign w:val="center"/>
                </w:tcPr>
                <w:p w14:paraId="31E9D340">
                  <w:pPr>
                    <w:widowControl/>
                    <w:adjustRightInd w:val="0"/>
                    <w:snapToGrid w:val="0"/>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8760</w:t>
                  </w:r>
                </w:p>
              </w:tc>
            </w:tr>
            <w:tr w14:paraId="3848B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47" w:type="pct"/>
                  <w:vMerge w:val="continue"/>
                  <w:vAlign w:val="center"/>
                </w:tcPr>
                <w:p w14:paraId="3B72F45F">
                  <w:pPr>
                    <w:widowControl/>
                    <w:adjustRightInd w:val="0"/>
                    <w:snapToGrid w:val="0"/>
                    <w:jc w:val="center"/>
                    <w:rPr>
                      <w:rFonts w:hint="eastAsia"/>
                      <w:b w:val="0"/>
                      <w:bCs w:val="0"/>
                      <w:color w:val="auto"/>
                      <w:kern w:val="0"/>
                      <w:sz w:val="18"/>
                      <w:szCs w:val="18"/>
                      <w:lang w:val="en-US" w:eastAsia="zh-CN"/>
                    </w:rPr>
                  </w:pPr>
                </w:p>
              </w:tc>
              <w:tc>
                <w:tcPr>
                  <w:tcW w:w="232" w:type="pct"/>
                  <w:vMerge w:val="continue"/>
                  <w:vAlign w:val="center"/>
                </w:tcPr>
                <w:p w14:paraId="43741FBF">
                  <w:pPr>
                    <w:widowControl/>
                    <w:adjustRightInd w:val="0"/>
                    <w:snapToGrid w:val="0"/>
                    <w:jc w:val="center"/>
                    <w:rPr>
                      <w:b w:val="0"/>
                      <w:bCs w:val="0"/>
                      <w:color w:val="auto"/>
                      <w:kern w:val="0"/>
                      <w:sz w:val="18"/>
                      <w:szCs w:val="18"/>
                    </w:rPr>
                  </w:pPr>
                </w:p>
              </w:tc>
              <w:tc>
                <w:tcPr>
                  <w:tcW w:w="230" w:type="pct"/>
                  <w:vAlign w:val="center"/>
                </w:tcPr>
                <w:p w14:paraId="4492E947">
                  <w:pPr>
                    <w:widowControl/>
                    <w:adjustRightInd w:val="0"/>
                    <w:snapToGrid w:val="0"/>
                    <w:jc w:val="center"/>
                    <w:rPr>
                      <w:rFonts w:hint="eastAsia" w:eastAsia="宋体"/>
                      <w:b w:val="0"/>
                      <w:bCs w:val="0"/>
                      <w:color w:val="auto"/>
                      <w:kern w:val="0"/>
                      <w:sz w:val="18"/>
                      <w:szCs w:val="18"/>
                      <w:lang w:val="en-US" w:eastAsia="zh-CN"/>
                    </w:rPr>
                  </w:pPr>
                  <w:r>
                    <w:rPr>
                      <w:rFonts w:hint="eastAsia"/>
                      <w:b w:val="0"/>
                      <w:bCs w:val="0"/>
                      <w:color w:val="auto"/>
                      <w:kern w:val="0"/>
                      <w:sz w:val="18"/>
                      <w:szCs w:val="18"/>
                      <w:lang w:val="en-US" w:eastAsia="zh-CN"/>
                    </w:rPr>
                    <w:t>无组织</w:t>
                  </w:r>
                </w:p>
              </w:tc>
              <w:tc>
                <w:tcPr>
                  <w:tcW w:w="130" w:type="pct"/>
                  <w:vMerge w:val="continue"/>
                  <w:vAlign w:val="center"/>
                </w:tcPr>
                <w:p w14:paraId="3A41648D">
                  <w:pPr>
                    <w:widowControl/>
                    <w:adjustRightInd w:val="0"/>
                    <w:snapToGrid w:val="0"/>
                    <w:jc w:val="center"/>
                    <w:rPr>
                      <w:b w:val="0"/>
                      <w:bCs w:val="0"/>
                      <w:color w:val="auto"/>
                      <w:kern w:val="0"/>
                      <w:sz w:val="18"/>
                      <w:szCs w:val="18"/>
                    </w:rPr>
                  </w:pPr>
                </w:p>
              </w:tc>
              <w:tc>
                <w:tcPr>
                  <w:tcW w:w="130" w:type="pct"/>
                  <w:vMerge w:val="continue"/>
                  <w:vAlign w:val="center"/>
                </w:tcPr>
                <w:p w14:paraId="653BC6B4">
                  <w:pPr>
                    <w:widowControl/>
                    <w:adjustRightInd w:val="0"/>
                    <w:snapToGrid w:val="0"/>
                    <w:jc w:val="center"/>
                    <w:rPr>
                      <w:b w:val="0"/>
                      <w:bCs w:val="0"/>
                      <w:color w:val="auto"/>
                      <w:kern w:val="0"/>
                      <w:sz w:val="18"/>
                      <w:szCs w:val="18"/>
                    </w:rPr>
                  </w:pPr>
                </w:p>
              </w:tc>
              <w:tc>
                <w:tcPr>
                  <w:tcW w:w="357" w:type="pct"/>
                  <w:vMerge w:val="continue"/>
                  <w:vAlign w:val="center"/>
                </w:tcPr>
                <w:p w14:paraId="5A7CC1A7">
                  <w:pPr>
                    <w:jc w:val="center"/>
                    <w:rPr>
                      <w:b w:val="0"/>
                      <w:bCs w:val="0"/>
                      <w:color w:val="auto"/>
                      <w:sz w:val="18"/>
                      <w:szCs w:val="18"/>
                    </w:rPr>
                  </w:pPr>
                </w:p>
              </w:tc>
              <w:tc>
                <w:tcPr>
                  <w:tcW w:w="399" w:type="pct"/>
                  <w:vAlign w:val="center"/>
                </w:tcPr>
                <w:p w14:paraId="0F649E4F">
                  <w:pPr>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w:t>
                  </w:r>
                </w:p>
              </w:tc>
              <w:tc>
                <w:tcPr>
                  <w:tcW w:w="298" w:type="pct"/>
                  <w:vAlign w:val="center"/>
                </w:tcPr>
                <w:p w14:paraId="17A6E872">
                  <w:pPr>
                    <w:adjustRightInd w:val="0"/>
                    <w:snapToGrid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0.0057</w:t>
                  </w:r>
                </w:p>
              </w:tc>
              <w:tc>
                <w:tcPr>
                  <w:tcW w:w="265" w:type="pct"/>
                  <w:vAlign w:val="center"/>
                </w:tcPr>
                <w:p w14:paraId="3D2A4771">
                  <w:pPr>
                    <w:widowControl/>
                    <w:jc w:val="center"/>
                    <w:rPr>
                      <w:rFonts w:hint="default" w:eastAsia="宋体"/>
                      <w:b w:val="0"/>
                      <w:bCs w:val="0"/>
                      <w:color w:val="auto"/>
                      <w:kern w:val="0"/>
                      <w:sz w:val="18"/>
                      <w:szCs w:val="18"/>
                      <w:lang w:val="en-US" w:eastAsia="zh-CN"/>
                    </w:rPr>
                  </w:pPr>
                  <w:r>
                    <w:rPr>
                      <w:rFonts w:hint="eastAsia"/>
                      <w:b w:val="0"/>
                      <w:bCs w:val="0"/>
                      <w:color w:val="auto"/>
                      <w:kern w:val="0"/>
                      <w:sz w:val="18"/>
                      <w:szCs w:val="18"/>
                      <w:lang w:val="en-US" w:eastAsia="zh-CN"/>
                    </w:rPr>
                    <w:t>0.05</w:t>
                  </w:r>
                </w:p>
              </w:tc>
              <w:tc>
                <w:tcPr>
                  <w:tcW w:w="191" w:type="pct"/>
                  <w:vAlign w:val="center"/>
                </w:tcPr>
                <w:p w14:paraId="78EE3E3B">
                  <w:pPr>
                    <w:widowControl/>
                    <w:jc w:val="center"/>
                    <w:rPr>
                      <w:rFonts w:hint="eastAsia"/>
                      <w:b w:val="0"/>
                      <w:bCs w:val="0"/>
                      <w:color w:val="auto"/>
                      <w:kern w:val="0"/>
                      <w:sz w:val="18"/>
                      <w:szCs w:val="18"/>
                    </w:rPr>
                  </w:pPr>
                  <w:r>
                    <w:rPr>
                      <w:rFonts w:hint="eastAsia"/>
                      <w:b w:val="0"/>
                      <w:bCs w:val="0"/>
                      <w:color w:val="auto"/>
                      <w:kern w:val="0"/>
                      <w:sz w:val="18"/>
                      <w:szCs w:val="18"/>
                    </w:rPr>
                    <w:t>/</w:t>
                  </w:r>
                </w:p>
              </w:tc>
              <w:tc>
                <w:tcPr>
                  <w:tcW w:w="232" w:type="pct"/>
                  <w:vMerge w:val="continue"/>
                  <w:vAlign w:val="center"/>
                </w:tcPr>
                <w:p w14:paraId="1F73F64D">
                  <w:pPr>
                    <w:jc w:val="center"/>
                    <w:rPr>
                      <w:b w:val="0"/>
                      <w:bCs w:val="0"/>
                      <w:color w:val="auto"/>
                      <w:kern w:val="0"/>
                      <w:sz w:val="18"/>
                      <w:szCs w:val="18"/>
                    </w:rPr>
                  </w:pPr>
                </w:p>
              </w:tc>
              <w:tc>
                <w:tcPr>
                  <w:tcW w:w="132" w:type="pct"/>
                  <w:vMerge w:val="continue"/>
                  <w:vAlign w:val="center"/>
                </w:tcPr>
                <w:p w14:paraId="16D7F0AD">
                  <w:pPr>
                    <w:widowControl/>
                    <w:jc w:val="center"/>
                    <w:rPr>
                      <w:b w:val="0"/>
                      <w:bCs w:val="0"/>
                      <w:color w:val="auto"/>
                      <w:kern w:val="0"/>
                      <w:sz w:val="18"/>
                      <w:szCs w:val="18"/>
                    </w:rPr>
                  </w:pPr>
                </w:p>
              </w:tc>
              <w:tc>
                <w:tcPr>
                  <w:tcW w:w="357" w:type="pct"/>
                  <w:vMerge w:val="continue"/>
                  <w:vAlign w:val="center"/>
                </w:tcPr>
                <w:p w14:paraId="724EB6E5">
                  <w:pPr>
                    <w:jc w:val="center"/>
                    <w:rPr>
                      <w:b w:val="0"/>
                      <w:bCs w:val="0"/>
                      <w:color w:val="auto"/>
                      <w:sz w:val="18"/>
                      <w:szCs w:val="18"/>
                    </w:rPr>
                  </w:pPr>
                </w:p>
              </w:tc>
              <w:tc>
                <w:tcPr>
                  <w:tcW w:w="400" w:type="pct"/>
                  <w:vAlign w:val="center"/>
                </w:tcPr>
                <w:p w14:paraId="08047A76">
                  <w:pPr>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w:t>
                  </w:r>
                </w:p>
              </w:tc>
              <w:tc>
                <w:tcPr>
                  <w:tcW w:w="298" w:type="pct"/>
                  <w:vAlign w:val="center"/>
                </w:tcPr>
                <w:p w14:paraId="682A4E5F">
                  <w:pPr>
                    <w:adjustRightInd w:val="0"/>
                    <w:snapToGrid w:val="0"/>
                    <w:jc w:val="center"/>
                    <w:rPr>
                      <w:rFonts w:hint="eastAsia"/>
                      <w:b w:val="0"/>
                      <w:bCs w:val="0"/>
                      <w:color w:val="auto"/>
                      <w:sz w:val="18"/>
                      <w:szCs w:val="18"/>
                    </w:rPr>
                  </w:pPr>
                  <w:r>
                    <w:rPr>
                      <w:rFonts w:hint="eastAsia"/>
                      <w:b w:val="0"/>
                      <w:bCs w:val="0"/>
                      <w:color w:val="auto"/>
                      <w:sz w:val="18"/>
                      <w:szCs w:val="18"/>
                      <w:lang w:val="en-US" w:eastAsia="zh-CN"/>
                    </w:rPr>
                    <w:t>0.0057</w:t>
                  </w:r>
                </w:p>
              </w:tc>
              <w:tc>
                <w:tcPr>
                  <w:tcW w:w="307" w:type="pct"/>
                  <w:vAlign w:val="center"/>
                </w:tcPr>
                <w:p w14:paraId="34617561">
                  <w:pPr>
                    <w:widowControl/>
                    <w:jc w:val="center"/>
                    <w:rPr>
                      <w:rFonts w:hint="eastAsia"/>
                      <w:b w:val="0"/>
                      <w:bCs w:val="0"/>
                      <w:color w:val="auto"/>
                      <w:kern w:val="0"/>
                      <w:sz w:val="18"/>
                      <w:szCs w:val="18"/>
                    </w:rPr>
                  </w:pPr>
                  <w:r>
                    <w:rPr>
                      <w:rFonts w:hint="eastAsia"/>
                      <w:b w:val="0"/>
                      <w:bCs w:val="0"/>
                      <w:color w:val="auto"/>
                      <w:kern w:val="0"/>
                      <w:sz w:val="18"/>
                      <w:szCs w:val="18"/>
                      <w:lang w:val="en-US" w:eastAsia="zh-CN"/>
                    </w:rPr>
                    <w:t>0.05</w:t>
                  </w:r>
                </w:p>
              </w:tc>
              <w:tc>
                <w:tcPr>
                  <w:tcW w:w="360" w:type="pct"/>
                  <w:vAlign w:val="center"/>
                </w:tcPr>
                <w:p w14:paraId="46EE3B58">
                  <w:pPr>
                    <w:adjustRightInd w:val="0"/>
                    <w:snapToGrid w:val="0"/>
                    <w:jc w:val="center"/>
                    <w:rPr>
                      <w:rFonts w:hint="eastAsia"/>
                      <w:b w:val="0"/>
                      <w:bCs w:val="0"/>
                      <w:color w:val="auto"/>
                      <w:sz w:val="18"/>
                      <w:szCs w:val="18"/>
                    </w:rPr>
                  </w:pPr>
                  <w:r>
                    <w:rPr>
                      <w:rFonts w:hint="eastAsia"/>
                      <w:b w:val="0"/>
                      <w:bCs w:val="0"/>
                      <w:color w:val="auto"/>
                      <w:sz w:val="18"/>
                      <w:szCs w:val="18"/>
                    </w:rPr>
                    <w:t>4</w:t>
                  </w:r>
                </w:p>
              </w:tc>
              <w:tc>
                <w:tcPr>
                  <w:tcW w:w="319" w:type="pct"/>
                  <w:vAlign w:val="center"/>
                </w:tcPr>
                <w:p w14:paraId="34307E8F">
                  <w:pPr>
                    <w:adjustRightInd w:val="0"/>
                    <w:snapToGrid w:val="0"/>
                    <w:jc w:val="center"/>
                    <w:rPr>
                      <w:rFonts w:hint="eastAsia"/>
                      <w:b w:val="0"/>
                      <w:bCs w:val="0"/>
                      <w:color w:val="auto"/>
                      <w:sz w:val="18"/>
                      <w:szCs w:val="18"/>
                    </w:rPr>
                  </w:pPr>
                  <w:r>
                    <w:rPr>
                      <w:rFonts w:hint="eastAsia"/>
                      <w:b w:val="0"/>
                      <w:bCs w:val="0"/>
                      <w:color w:val="auto"/>
                      <w:sz w:val="18"/>
                      <w:szCs w:val="18"/>
                    </w:rPr>
                    <w:t>/</w:t>
                  </w:r>
                </w:p>
              </w:tc>
              <w:tc>
                <w:tcPr>
                  <w:tcW w:w="213" w:type="pct"/>
                  <w:vMerge w:val="continue"/>
                  <w:vAlign w:val="center"/>
                </w:tcPr>
                <w:p w14:paraId="79B10A80">
                  <w:pPr>
                    <w:widowControl/>
                    <w:adjustRightInd w:val="0"/>
                    <w:snapToGrid w:val="0"/>
                    <w:jc w:val="center"/>
                    <w:rPr>
                      <w:b w:val="0"/>
                      <w:bCs w:val="0"/>
                      <w:color w:val="auto"/>
                      <w:kern w:val="0"/>
                      <w:sz w:val="18"/>
                      <w:szCs w:val="18"/>
                    </w:rPr>
                  </w:pPr>
                </w:p>
              </w:tc>
            </w:tr>
          </w:tbl>
          <w:p w14:paraId="35520B27">
            <w:pPr>
              <w:widowControl/>
              <w:adjustRightInd w:val="0"/>
              <w:snapToGrid w:val="0"/>
              <w:spacing w:before="120" w:beforeLines="50"/>
              <w:jc w:val="center"/>
              <w:rPr>
                <w:b/>
                <w:color w:val="auto"/>
                <w:kern w:val="0"/>
                <w:sz w:val="24"/>
                <w:szCs w:val="20"/>
              </w:rPr>
            </w:pPr>
            <w:r>
              <w:rPr>
                <w:b/>
                <w:color w:val="auto"/>
                <w:kern w:val="0"/>
                <w:sz w:val="24"/>
                <w:szCs w:val="20"/>
              </w:rPr>
              <w:t xml:space="preserve">表4-2  </w:t>
            </w:r>
            <w:r>
              <w:rPr>
                <w:rFonts w:hint="eastAsia"/>
                <w:b/>
                <w:color w:val="auto"/>
                <w:kern w:val="0"/>
                <w:sz w:val="24"/>
                <w:szCs w:val="20"/>
              </w:rPr>
              <w:t>建设项目</w:t>
            </w:r>
            <w:r>
              <w:rPr>
                <w:b/>
                <w:color w:val="auto"/>
                <w:kern w:val="0"/>
                <w:sz w:val="24"/>
                <w:szCs w:val="20"/>
              </w:rPr>
              <w:t>有组织废气源强核算结果及相关参数一览表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09"/>
              <w:gridCol w:w="645"/>
              <w:gridCol w:w="1116"/>
              <w:gridCol w:w="644"/>
              <w:gridCol w:w="853"/>
              <w:gridCol w:w="751"/>
              <w:gridCol w:w="777"/>
              <w:gridCol w:w="1298"/>
              <w:gridCol w:w="292"/>
              <w:gridCol w:w="644"/>
              <w:gridCol w:w="853"/>
              <w:gridCol w:w="751"/>
              <w:gridCol w:w="777"/>
              <w:gridCol w:w="986"/>
              <w:gridCol w:w="1089"/>
              <w:gridCol w:w="830"/>
            </w:tblGrid>
            <w:tr w14:paraId="47B3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0" w:type="pct"/>
                  <w:vMerge w:val="restart"/>
                  <w:noWrap/>
                  <w:vAlign w:val="center"/>
                </w:tcPr>
                <w:p w14:paraId="6F2B4E9A">
                  <w:pPr>
                    <w:widowControl/>
                    <w:adjustRightInd w:val="0"/>
                    <w:snapToGrid w:val="0"/>
                    <w:jc w:val="center"/>
                    <w:rPr>
                      <w:b/>
                      <w:color w:val="auto"/>
                      <w:kern w:val="0"/>
                      <w:sz w:val="18"/>
                      <w:szCs w:val="18"/>
                    </w:rPr>
                  </w:pPr>
                  <w:r>
                    <w:rPr>
                      <w:b/>
                      <w:color w:val="auto"/>
                      <w:kern w:val="0"/>
                      <w:sz w:val="18"/>
                      <w:szCs w:val="18"/>
                    </w:rPr>
                    <w:t>污染源</w:t>
                  </w:r>
                </w:p>
              </w:tc>
              <w:tc>
                <w:tcPr>
                  <w:tcW w:w="253" w:type="pct"/>
                  <w:vMerge w:val="restart"/>
                  <w:noWrap/>
                  <w:vAlign w:val="center"/>
                </w:tcPr>
                <w:p w14:paraId="39B79C28">
                  <w:pPr>
                    <w:widowControl/>
                    <w:adjustRightInd w:val="0"/>
                    <w:snapToGrid w:val="0"/>
                    <w:jc w:val="center"/>
                    <w:rPr>
                      <w:b/>
                      <w:color w:val="auto"/>
                      <w:kern w:val="0"/>
                      <w:sz w:val="18"/>
                      <w:szCs w:val="18"/>
                    </w:rPr>
                  </w:pPr>
                  <w:r>
                    <w:rPr>
                      <w:b/>
                      <w:color w:val="auto"/>
                      <w:kern w:val="0"/>
                      <w:sz w:val="18"/>
                      <w:szCs w:val="18"/>
                    </w:rPr>
                    <w:t>污染物名称</w:t>
                  </w:r>
                </w:p>
              </w:tc>
              <w:tc>
                <w:tcPr>
                  <w:tcW w:w="438" w:type="pct"/>
                  <w:vMerge w:val="restart"/>
                  <w:noWrap/>
                  <w:vAlign w:val="center"/>
                </w:tcPr>
                <w:p w14:paraId="400AF75D">
                  <w:pPr>
                    <w:widowControl/>
                    <w:adjustRightInd w:val="0"/>
                    <w:snapToGrid w:val="0"/>
                    <w:jc w:val="center"/>
                    <w:rPr>
                      <w:b/>
                      <w:color w:val="auto"/>
                      <w:kern w:val="0"/>
                      <w:sz w:val="18"/>
                      <w:szCs w:val="18"/>
                    </w:rPr>
                  </w:pPr>
                  <w:r>
                    <w:rPr>
                      <w:b/>
                      <w:color w:val="auto"/>
                      <w:kern w:val="0"/>
                      <w:sz w:val="18"/>
                      <w:szCs w:val="18"/>
                    </w:rPr>
                    <w:t>废气产生量（m</w:t>
                  </w:r>
                  <w:r>
                    <w:rPr>
                      <w:b/>
                      <w:color w:val="auto"/>
                      <w:kern w:val="0"/>
                      <w:sz w:val="18"/>
                      <w:szCs w:val="18"/>
                      <w:vertAlign w:val="superscript"/>
                    </w:rPr>
                    <w:t>3</w:t>
                  </w:r>
                  <w:r>
                    <w:rPr>
                      <w:b/>
                      <w:color w:val="auto"/>
                      <w:kern w:val="0"/>
                      <w:sz w:val="18"/>
                      <w:szCs w:val="18"/>
                    </w:rPr>
                    <w:t>/h）</w:t>
                  </w:r>
                </w:p>
              </w:tc>
              <w:tc>
                <w:tcPr>
                  <w:tcW w:w="253" w:type="pct"/>
                  <w:vMerge w:val="restart"/>
                  <w:noWrap/>
                  <w:vAlign w:val="center"/>
                </w:tcPr>
                <w:p w14:paraId="634A9B02">
                  <w:pPr>
                    <w:widowControl/>
                    <w:adjustRightInd w:val="0"/>
                    <w:snapToGrid w:val="0"/>
                    <w:jc w:val="center"/>
                    <w:rPr>
                      <w:b/>
                      <w:color w:val="auto"/>
                      <w:kern w:val="0"/>
                      <w:sz w:val="18"/>
                      <w:szCs w:val="18"/>
                    </w:rPr>
                  </w:pPr>
                  <w:r>
                    <w:rPr>
                      <w:b/>
                      <w:color w:val="auto"/>
                      <w:kern w:val="0"/>
                      <w:sz w:val="18"/>
                      <w:szCs w:val="18"/>
                    </w:rPr>
                    <w:t>核算方法</w:t>
                  </w:r>
                </w:p>
              </w:tc>
              <w:tc>
                <w:tcPr>
                  <w:tcW w:w="936" w:type="pct"/>
                  <w:gridSpan w:val="3"/>
                  <w:noWrap/>
                  <w:vAlign w:val="center"/>
                </w:tcPr>
                <w:p w14:paraId="633B1A1B">
                  <w:pPr>
                    <w:widowControl/>
                    <w:adjustRightInd w:val="0"/>
                    <w:snapToGrid w:val="0"/>
                    <w:jc w:val="center"/>
                    <w:rPr>
                      <w:b/>
                      <w:color w:val="auto"/>
                      <w:kern w:val="0"/>
                      <w:sz w:val="18"/>
                      <w:szCs w:val="18"/>
                    </w:rPr>
                  </w:pPr>
                  <w:r>
                    <w:rPr>
                      <w:b/>
                      <w:color w:val="auto"/>
                      <w:kern w:val="0"/>
                      <w:sz w:val="18"/>
                      <w:szCs w:val="18"/>
                    </w:rPr>
                    <w:t>产生情况</w:t>
                  </w:r>
                </w:p>
              </w:tc>
              <w:tc>
                <w:tcPr>
                  <w:tcW w:w="625" w:type="pct"/>
                  <w:gridSpan w:val="2"/>
                  <w:noWrap/>
                  <w:vAlign w:val="center"/>
                </w:tcPr>
                <w:p w14:paraId="622D206B">
                  <w:pPr>
                    <w:widowControl/>
                    <w:adjustRightInd w:val="0"/>
                    <w:snapToGrid w:val="0"/>
                    <w:jc w:val="center"/>
                    <w:rPr>
                      <w:b/>
                      <w:color w:val="auto"/>
                      <w:kern w:val="0"/>
                      <w:sz w:val="18"/>
                      <w:szCs w:val="18"/>
                    </w:rPr>
                  </w:pPr>
                  <w:r>
                    <w:rPr>
                      <w:b/>
                      <w:color w:val="auto"/>
                      <w:kern w:val="0"/>
                      <w:sz w:val="18"/>
                      <w:szCs w:val="18"/>
                    </w:rPr>
                    <w:t>治理措施</w:t>
                  </w:r>
                </w:p>
              </w:tc>
              <w:tc>
                <w:tcPr>
                  <w:tcW w:w="253" w:type="pct"/>
                  <w:vMerge w:val="restart"/>
                  <w:noWrap/>
                  <w:vAlign w:val="center"/>
                </w:tcPr>
                <w:p w14:paraId="6577F3C5">
                  <w:pPr>
                    <w:widowControl/>
                    <w:adjustRightInd w:val="0"/>
                    <w:snapToGrid w:val="0"/>
                    <w:jc w:val="center"/>
                    <w:rPr>
                      <w:b/>
                      <w:color w:val="auto"/>
                      <w:kern w:val="0"/>
                      <w:sz w:val="18"/>
                      <w:szCs w:val="18"/>
                    </w:rPr>
                  </w:pPr>
                  <w:r>
                    <w:rPr>
                      <w:b/>
                      <w:color w:val="auto"/>
                      <w:kern w:val="0"/>
                      <w:sz w:val="18"/>
                      <w:szCs w:val="18"/>
                    </w:rPr>
                    <w:t>核算方法</w:t>
                  </w:r>
                </w:p>
              </w:tc>
              <w:tc>
                <w:tcPr>
                  <w:tcW w:w="936" w:type="pct"/>
                  <w:gridSpan w:val="3"/>
                  <w:noWrap/>
                  <w:vAlign w:val="center"/>
                </w:tcPr>
                <w:p w14:paraId="409B1CEA">
                  <w:pPr>
                    <w:widowControl/>
                    <w:adjustRightInd w:val="0"/>
                    <w:snapToGrid w:val="0"/>
                    <w:jc w:val="center"/>
                    <w:rPr>
                      <w:b/>
                      <w:color w:val="auto"/>
                      <w:kern w:val="0"/>
                      <w:sz w:val="18"/>
                      <w:szCs w:val="18"/>
                    </w:rPr>
                  </w:pPr>
                  <w:r>
                    <w:rPr>
                      <w:b/>
                      <w:color w:val="auto"/>
                      <w:kern w:val="0"/>
                      <w:sz w:val="18"/>
                      <w:szCs w:val="18"/>
                    </w:rPr>
                    <w:t>排放情况</w:t>
                  </w:r>
                </w:p>
              </w:tc>
              <w:tc>
                <w:tcPr>
                  <w:tcW w:w="815" w:type="pct"/>
                  <w:gridSpan w:val="2"/>
                  <w:noWrap/>
                  <w:vAlign w:val="center"/>
                </w:tcPr>
                <w:p w14:paraId="61F10CC3">
                  <w:pPr>
                    <w:widowControl/>
                    <w:adjustRightInd w:val="0"/>
                    <w:snapToGrid w:val="0"/>
                    <w:jc w:val="center"/>
                    <w:rPr>
                      <w:b/>
                      <w:color w:val="auto"/>
                      <w:kern w:val="0"/>
                      <w:sz w:val="18"/>
                      <w:szCs w:val="18"/>
                    </w:rPr>
                  </w:pPr>
                  <w:r>
                    <w:rPr>
                      <w:b/>
                      <w:color w:val="auto"/>
                      <w:kern w:val="0"/>
                      <w:sz w:val="18"/>
                      <w:szCs w:val="18"/>
                    </w:rPr>
                    <w:t>执行标准</w:t>
                  </w:r>
                </w:p>
              </w:tc>
              <w:tc>
                <w:tcPr>
                  <w:tcW w:w="326" w:type="pct"/>
                  <w:vMerge w:val="restart"/>
                  <w:noWrap/>
                  <w:vAlign w:val="center"/>
                </w:tcPr>
                <w:p w14:paraId="5ED139D7">
                  <w:pPr>
                    <w:widowControl/>
                    <w:adjustRightInd w:val="0"/>
                    <w:snapToGrid w:val="0"/>
                    <w:jc w:val="center"/>
                    <w:rPr>
                      <w:b/>
                      <w:color w:val="auto"/>
                      <w:kern w:val="0"/>
                      <w:sz w:val="18"/>
                      <w:szCs w:val="18"/>
                    </w:rPr>
                  </w:pPr>
                  <w:r>
                    <w:rPr>
                      <w:b/>
                      <w:color w:val="auto"/>
                      <w:kern w:val="0"/>
                      <w:sz w:val="18"/>
                      <w:szCs w:val="18"/>
                    </w:rPr>
                    <w:t>排放时间（h）</w:t>
                  </w:r>
                </w:p>
              </w:tc>
            </w:tr>
            <w:tr w14:paraId="14B64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0" w:type="pct"/>
                  <w:vMerge w:val="continue"/>
                  <w:vAlign w:val="center"/>
                </w:tcPr>
                <w:p w14:paraId="4266BCAF">
                  <w:pPr>
                    <w:widowControl/>
                    <w:adjustRightInd w:val="0"/>
                    <w:snapToGrid w:val="0"/>
                    <w:jc w:val="center"/>
                    <w:rPr>
                      <w:b/>
                      <w:color w:val="auto"/>
                      <w:kern w:val="0"/>
                      <w:sz w:val="18"/>
                      <w:szCs w:val="18"/>
                    </w:rPr>
                  </w:pPr>
                </w:p>
              </w:tc>
              <w:tc>
                <w:tcPr>
                  <w:tcW w:w="253" w:type="pct"/>
                  <w:vMerge w:val="continue"/>
                  <w:vAlign w:val="center"/>
                </w:tcPr>
                <w:p w14:paraId="78FD12B6">
                  <w:pPr>
                    <w:widowControl/>
                    <w:adjustRightInd w:val="0"/>
                    <w:snapToGrid w:val="0"/>
                    <w:jc w:val="center"/>
                    <w:rPr>
                      <w:b/>
                      <w:color w:val="auto"/>
                      <w:kern w:val="0"/>
                      <w:sz w:val="18"/>
                      <w:szCs w:val="18"/>
                    </w:rPr>
                  </w:pPr>
                </w:p>
              </w:tc>
              <w:tc>
                <w:tcPr>
                  <w:tcW w:w="438" w:type="pct"/>
                  <w:vMerge w:val="continue"/>
                  <w:vAlign w:val="center"/>
                </w:tcPr>
                <w:p w14:paraId="62D8B09C">
                  <w:pPr>
                    <w:widowControl/>
                    <w:adjustRightInd w:val="0"/>
                    <w:snapToGrid w:val="0"/>
                    <w:jc w:val="center"/>
                    <w:rPr>
                      <w:b/>
                      <w:color w:val="auto"/>
                      <w:kern w:val="0"/>
                      <w:sz w:val="18"/>
                      <w:szCs w:val="18"/>
                    </w:rPr>
                  </w:pPr>
                </w:p>
              </w:tc>
              <w:tc>
                <w:tcPr>
                  <w:tcW w:w="253" w:type="pct"/>
                  <w:vMerge w:val="continue"/>
                  <w:vAlign w:val="center"/>
                </w:tcPr>
                <w:p w14:paraId="0BA228A5">
                  <w:pPr>
                    <w:widowControl/>
                    <w:adjustRightInd w:val="0"/>
                    <w:snapToGrid w:val="0"/>
                    <w:jc w:val="center"/>
                    <w:rPr>
                      <w:b/>
                      <w:color w:val="auto"/>
                      <w:kern w:val="0"/>
                      <w:sz w:val="18"/>
                      <w:szCs w:val="18"/>
                    </w:rPr>
                  </w:pPr>
                </w:p>
              </w:tc>
              <w:tc>
                <w:tcPr>
                  <w:tcW w:w="335" w:type="pct"/>
                  <w:noWrap/>
                  <w:vAlign w:val="center"/>
                </w:tcPr>
                <w:p w14:paraId="63E91839">
                  <w:pPr>
                    <w:widowControl/>
                    <w:adjustRightInd w:val="0"/>
                    <w:snapToGrid w:val="0"/>
                    <w:jc w:val="center"/>
                    <w:rPr>
                      <w:b/>
                      <w:color w:val="auto"/>
                      <w:kern w:val="0"/>
                      <w:sz w:val="18"/>
                      <w:szCs w:val="18"/>
                    </w:rPr>
                  </w:pPr>
                  <w:r>
                    <w:rPr>
                      <w:b/>
                      <w:color w:val="auto"/>
                      <w:kern w:val="0"/>
                      <w:sz w:val="18"/>
                      <w:szCs w:val="18"/>
                    </w:rPr>
                    <w:t>浓度（mg/m</w:t>
                  </w:r>
                  <w:r>
                    <w:rPr>
                      <w:b/>
                      <w:color w:val="auto"/>
                      <w:kern w:val="0"/>
                      <w:sz w:val="18"/>
                      <w:szCs w:val="18"/>
                      <w:vertAlign w:val="superscript"/>
                    </w:rPr>
                    <w:t>3</w:t>
                  </w:r>
                  <w:r>
                    <w:rPr>
                      <w:b/>
                      <w:color w:val="auto"/>
                      <w:kern w:val="0"/>
                      <w:sz w:val="18"/>
                      <w:szCs w:val="18"/>
                    </w:rPr>
                    <w:t>）</w:t>
                  </w:r>
                </w:p>
              </w:tc>
              <w:tc>
                <w:tcPr>
                  <w:tcW w:w="295" w:type="pct"/>
                  <w:noWrap/>
                  <w:vAlign w:val="center"/>
                </w:tcPr>
                <w:p w14:paraId="4E411E7F">
                  <w:pPr>
                    <w:widowControl/>
                    <w:adjustRightInd w:val="0"/>
                    <w:snapToGrid w:val="0"/>
                    <w:jc w:val="center"/>
                    <w:rPr>
                      <w:b/>
                      <w:color w:val="auto"/>
                      <w:kern w:val="0"/>
                      <w:sz w:val="18"/>
                      <w:szCs w:val="18"/>
                    </w:rPr>
                  </w:pPr>
                  <w:r>
                    <w:rPr>
                      <w:b/>
                      <w:color w:val="auto"/>
                      <w:kern w:val="0"/>
                      <w:sz w:val="18"/>
                      <w:szCs w:val="18"/>
                    </w:rPr>
                    <w:t>速率（kg/h）</w:t>
                  </w:r>
                </w:p>
              </w:tc>
              <w:tc>
                <w:tcPr>
                  <w:tcW w:w="305" w:type="pct"/>
                  <w:noWrap/>
                  <w:vAlign w:val="center"/>
                </w:tcPr>
                <w:p w14:paraId="4856B2FA">
                  <w:pPr>
                    <w:widowControl/>
                    <w:adjustRightInd w:val="0"/>
                    <w:snapToGrid w:val="0"/>
                    <w:jc w:val="center"/>
                    <w:rPr>
                      <w:b/>
                      <w:color w:val="auto"/>
                      <w:kern w:val="0"/>
                      <w:sz w:val="18"/>
                      <w:szCs w:val="18"/>
                    </w:rPr>
                  </w:pPr>
                  <w:r>
                    <w:rPr>
                      <w:b/>
                      <w:color w:val="auto"/>
                      <w:kern w:val="0"/>
                      <w:sz w:val="18"/>
                      <w:szCs w:val="18"/>
                    </w:rPr>
                    <w:t>产生量（t/a）</w:t>
                  </w:r>
                </w:p>
              </w:tc>
              <w:tc>
                <w:tcPr>
                  <w:tcW w:w="510" w:type="pct"/>
                  <w:noWrap/>
                  <w:vAlign w:val="center"/>
                </w:tcPr>
                <w:p w14:paraId="0624106C">
                  <w:pPr>
                    <w:widowControl/>
                    <w:adjustRightInd w:val="0"/>
                    <w:snapToGrid w:val="0"/>
                    <w:jc w:val="center"/>
                    <w:rPr>
                      <w:b/>
                      <w:color w:val="auto"/>
                      <w:kern w:val="0"/>
                      <w:sz w:val="18"/>
                      <w:szCs w:val="18"/>
                    </w:rPr>
                  </w:pPr>
                  <w:r>
                    <w:rPr>
                      <w:b/>
                      <w:color w:val="auto"/>
                      <w:kern w:val="0"/>
                      <w:sz w:val="18"/>
                      <w:szCs w:val="18"/>
                    </w:rPr>
                    <w:t>工艺</w:t>
                  </w:r>
                </w:p>
              </w:tc>
              <w:tc>
                <w:tcPr>
                  <w:tcW w:w="114" w:type="pct"/>
                  <w:vAlign w:val="center"/>
                </w:tcPr>
                <w:p w14:paraId="17393D61">
                  <w:pPr>
                    <w:widowControl/>
                    <w:adjustRightInd w:val="0"/>
                    <w:snapToGrid w:val="0"/>
                    <w:jc w:val="center"/>
                    <w:rPr>
                      <w:b/>
                      <w:color w:val="auto"/>
                      <w:kern w:val="0"/>
                      <w:sz w:val="18"/>
                      <w:szCs w:val="18"/>
                    </w:rPr>
                  </w:pPr>
                  <w:r>
                    <w:rPr>
                      <w:b/>
                      <w:color w:val="auto"/>
                      <w:kern w:val="0"/>
                      <w:sz w:val="18"/>
                      <w:szCs w:val="18"/>
                    </w:rPr>
                    <w:t>效率%</w:t>
                  </w:r>
                </w:p>
              </w:tc>
              <w:tc>
                <w:tcPr>
                  <w:tcW w:w="253" w:type="pct"/>
                  <w:vMerge w:val="continue"/>
                  <w:vAlign w:val="center"/>
                </w:tcPr>
                <w:p w14:paraId="585EF93B">
                  <w:pPr>
                    <w:widowControl/>
                    <w:adjustRightInd w:val="0"/>
                    <w:snapToGrid w:val="0"/>
                    <w:jc w:val="center"/>
                    <w:rPr>
                      <w:b/>
                      <w:color w:val="auto"/>
                      <w:kern w:val="0"/>
                      <w:sz w:val="18"/>
                      <w:szCs w:val="18"/>
                    </w:rPr>
                  </w:pPr>
                </w:p>
              </w:tc>
              <w:tc>
                <w:tcPr>
                  <w:tcW w:w="335" w:type="pct"/>
                  <w:noWrap/>
                  <w:vAlign w:val="center"/>
                </w:tcPr>
                <w:p w14:paraId="3E38AAEB">
                  <w:pPr>
                    <w:widowControl/>
                    <w:adjustRightInd w:val="0"/>
                    <w:snapToGrid w:val="0"/>
                    <w:jc w:val="center"/>
                    <w:rPr>
                      <w:b/>
                      <w:color w:val="auto"/>
                      <w:kern w:val="0"/>
                      <w:sz w:val="18"/>
                      <w:szCs w:val="18"/>
                    </w:rPr>
                  </w:pPr>
                  <w:r>
                    <w:rPr>
                      <w:b/>
                      <w:color w:val="auto"/>
                      <w:kern w:val="0"/>
                      <w:sz w:val="18"/>
                      <w:szCs w:val="18"/>
                    </w:rPr>
                    <w:t>浓度（mg/m</w:t>
                  </w:r>
                  <w:r>
                    <w:rPr>
                      <w:b/>
                      <w:color w:val="auto"/>
                      <w:kern w:val="0"/>
                      <w:sz w:val="18"/>
                      <w:szCs w:val="18"/>
                      <w:vertAlign w:val="superscript"/>
                    </w:rPr>
                    <w:t>3</w:t>
                  </w:r>
                  <w:r>
                    <w:rPr>
                      <w:b/>
                      <w:color w:val="auto"/>
                      <w:kern w:val="0"/>
                      <w:sz w:val="18"/>
                      <w:szCs w:val="18"/>
                    </w:rPr>
                    <w:t>）</w:t>
                  </w:r>
                </w:p>
              </w:tc>
              <w:tc>
                <w:tcPr>
                  <w:tcW w:w="295" w:type="pct"/>
                  <w:noWrap/>
                  <w:vAlign w:val="center"/>
                </w:tcPr>
                <w:p w14:paraId="75950A7E">
                  <w:pPr>
                    <w:widowControl/>
                    <w:adjustRightInd w:val="0"/>
                    <w:snapToGrid w:val="0"/>
                    <w:jc w:val="center"/>
                    <w:rPr>
                      <w:b/>
                      <w:color w:val="auto"/>
                      <w:kern w:val="0"/>
                      <w:sz w:val="18"/>
                      <w:szCs w:val="18"/>
                    </w:rPr>
                  </w:pPr>
                  <w:r>
                    <w:rPr>
                      <w:b/>
                      <w:color w:val="auto"/>
                      <w:kern w:val="0"/>
                      <w:sz w:val="18"/>
                      <w:szCs w:val="18"/>
                    </w:rPr>
                    <w:t>速率（kg/h）</w:t>
                  </w:r>
                </w:p>
              </w:tc>
              <w:tc>
                <w:tcPr>
                  <w:tcW w:w="305" w:type="pct"/>
                  <w:noWrap/>
                  <w:vAlign w:val="center"/>
                </w:tcPr>
                <w:p w14:paraId="24C6D195">
                  <w:pPr>
                    <w:widowControl/>
                    <w:adjustRightInd w:val="0"/>
                    <w:snapToGrid w:val="0"/>
                    <w:jc w:val="center"/>
                    <w:rPr>
                      <w:b/>
                      <w:color w:val="auto"/>
                      <w:kern w:val="0"/>
                      <w:sz w:val="18"/>
                      <w:szCs w:val="18"/>
                    </w:rPr>
                  </w:pPr>
                  <w:r>
                    <w:rPr>
                      <w:b/>
                      <w:color w:val="auto"/>
                      <w:kern w:val="0"/>
                      <w:sz w:val="18"/>
                      <w:szCs w:val="18"/>
                    </w:rPr>
                    <w:t>排放量（t/a）</w:t>
                  </w:r>
                </w:p>
              </w:tc>
              <w:tc>
                <w:tcPr>
                  <w:tcW w:w="387" w:type="pct"/>
                  <w:noWrap/>
                  <w:vAlign w:val="center"/>
                </w:tcPr>
                <w:p w14:paraId="0A9D114C">
                  <w:pPr>
                    <w:widowControl/>
                    <w:adjustRightInd w:val="0"/>
                    <w:snapToGrid w:val="0"/>
                    <w:jc w:val="center"/>
                    <w:rPr>
                      <w:color w:val="auto"/>
                      <w:sz w:val="18"/>
                      <w:szCs w:val="18"/>
                    </w:rPr>
                  </w:pPr>
                  <w:r>
                    <w:rPr>
                      <w:rFonts w:hint="eastAsia"/>
                      <w:b/>
                      <w:color w:val="auto"/>
                      <w:kern w:val="0"/>
                      <w:sz w:val="18"/>
                      <w:szCs w:val="18"/>
                    </w:rPr>
                    <w:t>排放速率</w:t>
                  </w:r>
                  <w:r>
                    <w:rPr>
                      <w:b/>
                      <w:color w:val="auto"/>
                      <w:kern w:val="0"/>
                      <w:sz w:val="18"/>
                      <w:szCs w:val="18"/>
                    </w:rPr>
                    <w:t>（kg/h）</w:t>
                  </w:r>
                </w:p>
              </w:tc>
              <w:tc>
                <w:tcPr>
                  <w:tcW w:w="428" w:type="pct"/>
                  <w:noWrap/>
                  <w:vAlign w:val="center"/>
                </w:tcPr>
                <w:p w14:paraId="0AA49E7B">
                  <w:pPr>
                    <w:widowControl/>
                    <w:adjustRightInd w:val="0"/>
                    <w:snapToGrid w:val="0"/>
                    <w:jc w:val="center"/>
                    <w:rPr>
                      <w:color w:val="auto"/>
                      <w:sz w:val="18"/>
                      <w:szCs w:val="18"/>
                    </w:rPr>
                  </w:pPr>
                  <w:r>
                    <w:rPr>
                      <w:rFonts w:hint="eastAsia"/>
                      <w:b/>
                      <w:color w:val="auto"/>
                      <w:kern w:val="0"/>
                      <w:sz w:val="18"/>
                      <w:szCs w:val="18"/>
                    </w:rPr>
                    <w:t>排放浓度</w:t>
                  </w:r>
                  <w:r>
                    <w:rPr>
                      <w:b/>
                      <w:color w:val="auto"/>
                      <w:kern w:val="0"/>
                      <w:sz w:val="18"/>
                      <w:szCs w:val="18"/>
                    </w:rPr>
                    <w:t>（mg/m</w:t>
                  </w:r>
                  <w:r>
                    <w:rPr>
                      <w:b/>
                      <w:color w:val="auto"/>
                      <w:kern w:val="0"/>
                      <w:sz w:val="18"/>
                      <w:szCs w:val="18"/>
                      <w:vertAlign w:val="superscript"/>
                    </w:rPr>
                    <w:t>3</w:t>
                  </w:r>
                  <w:r>
                    <w:rPr>
                      <w:b/>
                      <w:color w:val="auto"/>
                      <w:kern w:val="0"/>
                      <w:sz w:val="18"/>
                      <w:szCs w:val="18"/>
                    </w:rPr>
                    <w:t>）</w:t>
                  </w:r>
                </w:p>
              </w:tc>
              <w:tc>
                <w:tcPr>
                  <w:tcW w:w="326" w:type="pct"/>
                  <w:vMerge w:val="continue"/>
                  <w:vAlign w:val="center"/>
                </w:tcPr>
                <w:p w14:paraId="69413626">
                  <w:pPr>
                    <w:widowControl/>
                    <w:adjustRightInd w:val="0"/>
                    <w:snapToGrid w:val="0"/>
                    <w:jc w:val="center"/>
                    <w:rPr>
                      <w:color w:val="auto"/>
                      <w:kern w:val="0"/>
                      <w:sz w:val="18"/>
                      <w:szCs w:val="18"/>
                    </w:rPr>
                  </w:pPr>
                </w:p>
              </w:tc>
            </w:tr>
            <w:tr w14:paraId="47BA7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trPr>
              <w:tc>
                <w:tcPr>
                  <w:tcW w:w="160" w:type="pct"/>
                  <w:vMerge w:val="restart"/>
                  <w:noWrap/>
                  <w:vAlign w:val="center"/>
                </w:tcPr>
                <w:p w14:paraId="235E387A">
                  <w:pPr>
                    <w:adjustRightInd w:val="0"/>
                    <w:snapToGrid w:val="0"/>
                    <w:jc w:val="center"/>
                    <w:rPr>
                      <w:color w:val="auto"/>
                      <w:kern w:val="0"/>
                      <w:sz w:val="18"/>
                      <w:szCs w:val="18"/>
                    </w:rPr>
                  </w:pPr>
                  <w:r>
                    <w:rPr>
                      <w:color w:val="auto"/>
                      <w:kern w:val="0"/>
                      <w:sz w:val="18"/>
                      <w:szCs w:val="18"/>
                    </w:rPr>
                    <w:t>DA001</w:t>
                  </w:r>
                </w:p>
              </w:tc>
              <w:tc>
                <w:tcPr>
                  <w:tcW w:w="253" w:type="pct"/>
                  <w:noWrap/>
                  <w:vAlign w:val="center"/>
                </w:tcPr>
                <w:p w14:paraId="2C41DFA7">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vMerge w:val="restart"/>
                  <w:noWrap/>
                  <w:vAlign w:val="center"/>
                </w:tcPr>
                <w:p w14:paraId="2D19B18A">
                  <w:pPr>
                    <w:adjustRightInd w:val="0"/>
                    <w:snapToGrid w:val="0"/>
                    <w:jc w:val="center"/>
                    <w:rPr>
                      <w:color w:val="auto"/>
                      <w:kern w:val="0"/>
                      <w:sz w:val="18"/>
                      <w:szCs w:val="18"/>
                    </w:rPr>
                  </w:pPr>
                  <w:r>
                    <w:rPr>
                      <w:rFonts w:hint="eastAsia"/>
                      <w:color w:val="auto"/>
                      <w:kern w:val="0"/>
                      <w:sz w:val="18"/>
                      <w:szCs w:val="18"/>
                    </w:rPr>
                    <w:t>10000</w:t>
                  </w:r>
                </w:p>
              </w:tc>
              <w:tc>
                <w:tcPr>
                  <w:tcW w:w="253" w:type="pct"/>
                  <w:noWrap/>
                  <w:vAlign w:val="center"/>
                </w:tcPr>
                <w:p w14:paraId="0B4F74A0">
                  <w:pPr>
                    <w:adjustRightInd w:val="0"/>
                    <w:snapToGrid w:val="0"/>
                    <w:jc w:val="center"/>
                    <w:rPr>
                      <w:color w:val="auto"/>
                      <w:kern w:val="0"/>
                      <w:sz w:val="18"/>
                      <w:szCs w:val="18"/>
                    </w:rPr>
                  </w:pPr>
                  <w:r>
                    <w:rPr>
                      <w:rFonts w:hint="eastAsia"/>
                      <w:bCs/>
                      <w:color w:val="auto"/>
                      <w:kern w:val="0"/>
                      <w:sz w:val="18"/>
                      <w:szCs w:val="18"/>
                    </w:rPr>
                    <w:t>产污系数法</w:t>
                  </w:r>
                </w:p>
              </w:tc>
              <w:tc>
                <w:tcPr>
                  <w:tcW w:w="335" w:type="pct"/>
                  <w:noWrap/>
                  <w:vAlign w:val="center"/>
                </w:tcPr>
                <w:p w14:paraId="07C83110">
                  <w:pPr>
                    <w:adjustRightInd w:val="0"/>
                    <w:snapToGrid w:val="0"/>
                    <w:jc w:val="center"/>
                    <w:rPr>
                      <w:bCs/>
                      <w:color w:val="auto"/>
                      <w:kern w:val="0"/>
                      <w:sz w:val="18"/>
                      <w:szCs w:val="18"/>
                    </w:rPr>
                  </w:pPr>
                  <w:r>
                    <w:rPr>
                      <w:rFonts w:hint="eastAsia"/>
                      <w:color w:val="auto"/>
                      <w:sz w:val="18"/>
                      <w:szCs w:val="18"/>
                    </w:rPr>
                    <w:t>6.4</w:t>
                  </w:r>
                </w:p>
              </w:tc>
              <w:tc>
                <w:tcPr>
                  <w:tcW w:w="295" w:type="pct"/>
                  <w:noWrap/>
                  <w:vAlign w:val="center"/>
                </w:tcPr>
                <w:p w14:paraId="42CF06EA">
                  <w:pPr>
                    <w:adjustRightInd w:val="0"/>
                    <w:snapToGrid w:val="0"/>
                    <w:jc w:val="center"/>
                    <w:rPr>
                      <w:bCs/>
                      <w:color w:val="auto"/>
                      <w:kern w:val="0"/>
                      <w:sz w:val="18"/>
                      <w:szCs w:val="18"/>
                    </w:rPr>
                  </w:pPr>
                  <w:r>
                    <w:rPr>
                      <w:rFonts w:hint="eastAsia"/>
                      <w:color w:val="auto"/>
                      <w:sz w:val="18"/>
                      <w:szCs w:val="18"/>
                    </w:rPr>
                    <w:t>0.064</w:t>
                  </w:r>
                </w:p>
              </w:tc>
              <w:tc>
                <w:tcPr>
                  <w:tcW w:w="305" w:type="pct"/>
                  <w:noWrap/>
                  <w:vAlign w:val="center"/>
                </w:tcPr>
                <w:p w14:paraId="4BDD7C1C">
                  <w:pPr>
                    <w:adjustRightInd w:val="0"/>
                    <w:snapToGrid w:val="0"/>
                    <w:jc w:val="center"/>
                    <w:rPr>
                      <w:bCs/>
                      <w:color w:val="auto"/>
                      <w:kern w:val="0"/>
                      <w:sz w:val="18"/>
                      <w:szCs w:val="18"/>
                    </w:rPr>
                  </w:pPr>
                  <w:r>
                    <w:rPr>
                      <w:rFonts w:hint="eastAsia"/>
                      <w:color w:val="auto"/>
                      <w:sz w:val="18"/>
                      <w:szCs w:val="18"/>
                    </w:rPr>
                    <w:t>0.2304</w:t>
                  </w:r>
                </w:p>
              </w:tc>
              <w:tc>
                <w:tcPr>
                  <w:tcW w:w="510" w:type="pct"/>
                  <w:noWrap/>
                  <w:vAlign w:val="center"/>
                </w:tcPr>
                <w:p w14:paraId="679463D3">
                  <w:pPr>
                    <w:widowControl/>
                    <w:adjustRightInd w:val="0"/>
                    <w:snapToGrid w:val="0"/>
                    <w:jc w:val="center"/>
                    <w:rPr>
                      <w:color w:val="auto"/>
                      <w:kern w:val="0"/>
                      <w:sz w:val="18"/>
                      <w:szCs w:val="18"/>
                    </w:rPr>
                  </w:pPr>
                  <w:r>
                    <w:rPr>
                      <w:rFonts w:hint="eastAsia"/>
                      <w:bCs/>
                      <w:color w:val="auto"/>
                      <w:kern w:val="0"/>
                      <w:sz w:val="18"/>
                      <w:szCs w:val="18"/>
                    </w:rPr>
                    <w:t>布袋除尘</w:t>
                  </w:r>
                </w:p>
              </w:tc>
              <w:tc>
                <w:tcPr>
                  <w:tcW w:w="114" w:type="pct"/>
                  <w:vAlign w:val="center"/>
                </w:tcPr>
                <w:p w14:paraId="1F904B10">
                  <w:pPr>
                    <w:widowControl/>
                    <w:adjustRightInd w:val="0"/>
                    <w:snapToGrid w:val="0"/>
                    <w:jc w:val="center"/>
                    <w:rPr>
                      <w:color w:val="auto"/>
                      <w:kern w:val="0"/>
                      <w:sz w:val="18"/>
                      <w:szCs w:val="18"/>
                    </w:rPr>
                  </w:pPr>
                  <w:r>
                    <w:rPr>
                      <w:color w:val="auto"/>
                      <w:kern w:val="0"/>
                      <w:sz w:val="18"/>
                      <w:szCs w:val="18"/>
                    </w:rPr>
                    <w:t>9</w:t>
                  </w:r>
                  <w:r>
                    <w:rPr>
                      <w:rFonts w:hint="eastAsia"/>
                      <w:color w:val="auto"/>
                      <w:kern w:val="0"/>
                      <w:sz w:val="18"/>
                      <w:szCs w:val="18"/>
                    </w:rPr>
                    <w:t>5</w:t>
                  </w:r>
                </w:p>
              </w:tc>
              <w:tc>
                <w:tcPr>
                  <w:tcW w:w="253" w:type="pct"/>
                  <w:noWrap/>
                  <w:vAlign w:val="center"/>
                </w:tcPr>
                <w:p w14:paraId="2BA63EE3">
                  <w:pPr>
                    <w:widowControl/>
                    <w:adjustRightInd w:val="0"/>
                    <w:snapToGrid w:val="0"/>
                    <w:jc w:val="center"/>
                    <w:rPr>
                      <w:color w:val="auto"/>
                      <w:kern w:val="0"/>
                      <w:sz w:val="18"/>
                      <w:szCs w:val="18"/>
                    </w:rPr>
                  </w:pPr>
                  <w:r>
                    <w:rPr>
                      <w:rFonts w:hint="eastAsia"/>
                      <w:bCs/>
                      <w:color w:val="auto"/>
                      <w:kern w:val="0"/>
                      <w:sz w:val="18"/>
                      <w:szCs w:val="18"/>
                    </w:rPr>
                    <w:t>产污系数法</w:t>
                  </w:r>
                </w:p>
              </w:tc>
              <w:tc>
                <w:tcPr>
                  <w:tcW w:w="335" w:type="pct"/>
                  <w:noWrap/>
                  <w:vAlign w:val="center"/>
                </w:tcPr>
                <w:p w14:paraId="0BECF6F4">
                  <w:pPr>
                    <w:adjustRightInd w:val="0"/>
                    <w:snapToGrid w:val="0"/>
                    <w:jc w:val="center"/>
                    <w:rPr>
                      <w:bCs/>
                      <w:color w:val="auto"/>
                      <w:sz w:val="18"/>
                      <w:szCs w:val="18"/>
                    </w:rPr>
                  </w:pPr>
                  <w:r>
                    <w:rPr>
                      <w:rFonts w:hint="eastAsia"/>
                      <w:color w:val="auto"/>
                      <w:sz w:val="18"/>
                      <w:szCs w:val="18"/>
                    </w:rPr>
                    <w:t>0.32</w:t>
                  </w:r>
                </w:p>
              </w:tc>
              <w:tc>
                <w:tcPr>
                  <w:tcW w:w="295" w:type="pct"/>
                  <w:noWrap/>
                  <w:vAlign w:val="center"/>
                </w:tcPr>
                <w:p w14:paraId="2782D51A">
                  <w:pPr>
                    <w:adjustRightInd w:val="0"/>
                    <w:snapToGrid w:val="0"/>
                    <w:jc w:val="center"/>
                    <w:rPr>
                      <w:bCs/>
                      <w:color w:val="auto"/>
                      <w:sz w:val="18"/>
                      <w:szCs w:val="18"/>
                    </w:rPr>
                  </w:pPr>
                  <w:r>
                    <w:rPr>
                      <w:rFonts w:hint="eastAsia"/>
                      <w:color w:val="auto"/>
                      <w:sz w:val="18"/>
                      <w:szCs w:val="18"/>
                    </w:rPr>
                    <w:t>0.0032</w:t>
                  </w:r>
                </w:p>
              </w:tc>
              <w:tc>
                <w:tcPr>
                  <w:tcW w:w="305" w:type="pct"/>
                  <w:noWrap/>
                  <w:vAlign w:val="center"/>
                </w:tcPr>
                <w:p w14:paraId="42F8A991">
                  <w:pPr>
                    <w:adjustRightInd w:val="0"/>
                    <w:snapToGrid w:val="0"/>
                    <w:jc w:val="center"/>
                    <w:rPr>
                      <w:bCs/>
                      <w:color w:val="auto"/>
                      <w:sz w:val="18"/>
                      <w:szCs w:val="18"/>
                    </w:rPr>
                  </w:pPr>
                  <w:r>
                    <w:rPr>
                      <w:rFonts w:hint="eastAsia"/>
                      <w:color w:val="auto"/>
                      <w:sz w:val="18"/>
                      <w:szCs w:val="18"/>
                    </w:rPr>
                    <w:t>0.0116</w:t>
                  </w:r>
                </w:p>
              </w:tc>
              <w:tc>
                <w:tcPr>
                  <w:tcW w:w="387" w:type="pct"/>
                  <w:noWrap/>
                  <w:vAlign w:val="center"/>
                </w:tcPr>
                <w:p w14:paraId="613BA44B">
                  <w:pPr>
                    <w:pStyle w:val="196"/>
                    <w:jc w:val="center"/>
                    <w:rPr>
                      <w:color w:val="auto"/>
                      <w:sz w:val="18"/>
                      <w:szCs w:val="18"/>
                    </w:rPr>
                  </w:pPr>
                  <w:r>
                    <w:rPr>
                      <w:rFonts w:hint="eastAsia" w:ascii="Times New Roman" w:cs="Times New Roman"/>
                      <w:bCs/>
                      <w:color w:val="auto"/>
                      <w:sz w:val="18"/>
                      <w:szCs w:val="18"/>
                    </w:rPr>
                    <w:t>1.0</w:t>
                  </w:r>
                </w:p>
              </w:tc>
              <w:tc>
                <w:tcPr>
                  <w:tcW w:w="428" w:type="pct"/>
                  <w:noWrap/>
                  <w:vAlign w:val="center"/>
                </w:tcPr>
                <w:p w14:paraId="34AA5EDF">
                  <w:pPr>
                    <w:pStyle w:val="196"/>
                    <w:jc w:val="center"/>
                    <w:rPr>
                      <w:color w:val="auto"/>
                      <w:sz w:val="18"/>
                      <w:szCs w:val="18"/>
                    </w:rPr>
                  </w:pPr>
                  <w:r>
                    <w:rPr>
                      <w:rFonts w:hint="eastAsia" w:ascii="Times New Roman" w:cs="Times New Roman"/>
                      <w:bCs/>
                      <w:color w:val="auto"/>
                      <w:sz w:val="18"/>
                      <w:szCs w:val="18"/>
                    </w:rPr>
                    <w:t>20</w:t>
                  </w:r>
                </w:p>
              </w:tc>
              <w:tc>
                <w:tcPr>
                  <w:tcW w:w="326" w:type="pct"/>
                  <w:noWrap/>
                  <w:vAlign w:val="center"/>
                </w:tcPr>
                <w:p w14:paraId="5AA0B51B">
                  <w:pPr>
                    <w:adjustRightInd w:val="0"/>
                    <w:snapToGrid w:val="0"/>
                    <w:jc w:val="center"/>
                    <w:rPr>
                      <w:color w:val="auto"/>
                      <w:kern w:val="0"/>
                      <w:sz w:val="18"/>
                      <w:szCs w:val="18"/>
                    </w:rPr>
                  </w:pPr>
                  <w:r>
                    <w:rPr>
                      <w:rFonts w:hint="eastAsia"/>
                      <w:color w:val="auto"/>
                      <w:kern w:val="0"/>
                      <w:sz w:val="18"/>
                      <w:szCs w:val="18"/>
                    </w:rPr>
                    <w:t>3600</w:t>
                  </w:r>
                </w:p>
              </w:tc>
            </w:tr>
            <w:tr w14:paraId="4A7C9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1" w:hRule="atLeast"/>
              </w:trPr>
              <w:tc>
                <w:tcPr>
                  <w:tcW w:w="160" w:type="pct"/>
                  <w:vMerge w:val="continue"/>
                  <w:noWrap/>
                  <w:vAlign w:val="center"/>
                </w:tcPr>
                <w:p w14:paraId="24B0C916">
                  <w:pPr>
                    <w:adjustRightInd w:val="0"/>
                    <w:snapToGrid w:val="0"/>
                    <w:jc w:val="center"/>
                    <w:rPr>
                      <w:color w:val="auto"/>
                      <w:kern w:val="0"/>
                      <w:sz w:val="18"/>
                      <w:szCs w:val="18"/>
                    </w:rPr>
                  </w:pPr>
                </w:p>
              </w:tc>
              <w:tc>
                <w:tcPr>
                  <w:tcW w:w="253" w:type="pct"/>
                  <w:noWrap/>
                  <w:vAlign w:val="center"/>
                </w:tcPr>
                <w:p w14:paraId="264AF0F3">
                  <w:pPr>
                    <w:widowControl/>
                    <w:adjustRightInd w:val="0"/>
                    <w:snapToGrid w:val="0"/>
                    <w:jc w:val="center"/>
                    <w:rPr>
                      <w:color w:val="auto"/>
                      <w:kern w:val="0"/>
                      <w:sz w:val="18"/>
                      <w:szCs w:val="18"/>
                    </w:rPr>
                  </w:pPr>
                  <w:r>
                    <w:rPr>
                      <w:rFonts w:hint="eastAsia"/>
                      <w:color w:val="auto"/>
                      <w:kern w:val="0"/>
                      <w:sz w:val="18"/>
                      <w:szCs w:val="18"/>
                    </w:rPr>
                    <w:t>非甲烷总烃</w:t>
                  </w:r>
                </w:p>
              </w:tc>
              <w:tc>
                <w:tcPr>
                  <w:tcW w:w="438" w:type="pct"/>
                  <w:vMerge w:val="continue"/>
                  <w:noWrap/>
                  <w:vAlign w:val="center"/>
                </w:tcPr>
                <w:p w14:paraId="39004B42">
                  <w:pPr>
                    <w:adjustRightInd w:val="0"/>
                    <w:snapToGrid w:val="0"/>
                    <w:jc w:val="center"/>
                    <w:rPr>
                      <w:color w:val="auto"/>
                      <w:kern w:val="0"/>
                      <w:sz w:val="18"/>
                      <w:szCs w:val="18"/>
                    </w:rPr>
                  </w:pPr>
                </w:p>
              </w:tc>
              <w:tc>
                <w:tcPr>
                  <w:tcW w:w="253" w:type="pct"/>
                  <w:noWrap/>
                  <w:vAlign w:val="center"/>
                </w:tcPr>
                <w:p w14:paraId="3FB18FF5">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459D4D2C">
                  <w:pPr>
                    <w:adjustRightInd w:val="0"/>
                    <w:snapToGrid w:val="0"/>
                    <w:jc w:val="center"/>
                    <w:rPr>
                      <w:bCs/>
                      <w:color w:val="auto"/>
                      <w:kern w:val="0"/>
                      <w:sz w:val="18"/>
                      <w:szCs w:val="18"/>
                    </w:rPr>
                  </w:pPr>
                  <w:r>
                    <w:rPr>
                      <w:rFonts w:hint="eastAsia"/>
                      <w:color w:val="auto"/>
                      <w:sz w:val="18"/>
                      <w:szCs w:val="18"/>
                    </w:rPr>
                    <w:t>0.16</w:t>
                  </w:r>
                </w:p>
              </w:tc>
              <w:tc>
                <w:tcPr>
                  <w:tcW w:w="295" w:type="pct"/>
                  <w:noWrap/>
                  <w:vAlign w:val="center"/>
                </w:tcPr>
                <w:p w14:paraId="7887F494">
                  <w:pPr>
                    <w:adjustRightInd w:val="0"/>
                    <w:snapToGrid w:val="0"/>
                    <w:jc w:val="center"/>
                    <w:rPr>
                      <w:bCs/>
                      <w:color w:val="auto"/>
                      <w:kern w:val="0"/>
                      <w:sz w:val="18"/>
                      <w:szCs w:val="18"/>
                    </w:rPr>
                  </w:pPr>
                  <w:r>
                    <w:rPr>
                      <w:rFonts w:hint="eastAsia"/>
                      <w:color w:val="auto"/>
                      <w:sz w:val="18"/>
                      <w:szCs w:val="18"/>
                    </w:rPr>
                    <w:t>0.0016</w:t>
                  </w:r>
                </w:p>
              </w:tc>
              <w:tc>
                <w:tcPr>
                  <w:tcW w:w="305" w:type="pct"/>
                  <w:noWrap/>
                  <w:vAlign w:val="center"/>
                </w:tcPr>
                <w:p w14:paraId="400A30E9">
                  <w:pPr>
                    <w:adjustRightInd w:val="0"/>
                    <w:snapToGrid w:val="0"/>
                    <w:jc w:val="center"/>
                    <w:rPr>
                      <w:bCs/>
                      <w:color w:val="auto"/>
                      <w:kern w:val="0"/>
                      <w:sz w:val="18"/>
                      <w:szCs w:val="18"/>
                    </w:rPr>
                  </w:pPr>
                  <w:r>
                    <w:rPr>
                      <w:rFonts w:hint="eastAsia"/>
                      <w:color w:val="auto"/>
                      <w:sz w:val="18"/>
                      <w:szCs w:val="18"/>
                    </w:rPr>
                    <w:t>0.00578</w:t>
                  </w:r>
                </w:p>
              </w:tc>
              <w:tc>
                <w:tcPr>
                  <w:tcW w:w="510" w:type="pct"/>
                  <w:noWrap/>
                  <w:vAlign w:val="center"/>
                </w:tcPr>
                <w:p w14:paraId="3C6EE2A8">
                  <w:pPr>
                    <w:widowControl/>
                    <w:adjustRightInd w:val="0"/>
                    <w:snapToGrid w:val="0"/>
                    <w:jc w:val="center"/>
                    <w:rPr>
                      <w:bCs/>
                      <w:color w:val="auto"/>
                      <w:kern w:val="0"/>
                      <w:sz w:val="18"/>
                      <w:szCs w:val="18"/>
                    </w:rPr>
                  </w:pPr>
                  <w:r>
                    <w:rPr>
                      <w:color w:val="auto"/>
                      <w:kern w:val="0"/>
                      <w:sz w:val="18"/>
                      <w:szCs w:val="18"/>
                    </w:rPr>
                    <w:t>二级活性</w:t>
                  </w:r>
                  <w:r>
                    <w:rPr>
                      <w:rFonts w:hint="eastAsia"/>
                      <w:color w:val="auto"/>
                      <w:kern w:val="0"/>
                      <w:sz w:val="18"/>
                      <w:szCs w:val="18"/>
                    </w:rPr>
                    <w:t>炭</w:t>
                  </w:r>
                </w:p>
              </w:tc>
              <w:tc>
                <w:tcPr>
                  <w:tcW w:w="114" w:type="pct"/>
                  <w:vAlign w:val="center"/>
                </w:tcPr>
                <w:p w14:paraId="2B7C5F6A">
                  <w:pPr>
                    <w:widowControl/>
                    <w:adjustRightInd w:val="0"/>
                    <w:snapToGrid w:val="0"/>
                    <w:jc w:val="center"/>
                    <w:rPr>
                      <w:color w:val="auto"/>
                      <w:kern w:val="0"/>
                      <w:sz w:val="18"/>
                      <w:szCs w:val="18"/>
                    </w:rPr>
                  </w:pPr>
                  <w:r>
                    <w:rPr>
                      <w:rFonts w:hint="eastAsia"/>
                      <w:color w:val="auto"/>
                      <w:kern w:val="0"/>
                      <w:sz w:val="18"/>
                      <w:szCs w:val="18"/>
                    </w:rPr>
                    <w:t>90</w:t>
                  </w:r>
                </w:p>
              </w:tc>
              <w:tc>
                <w:tcPr>
                  <w:tcW w:w="253" w:type="pct"/>
                  <w:noWrap/>
                  <w:vAlign w:val="center"/>
                </w:tcPr>
                <w:p w14:paraId="409D869A">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4C4DE6D9">
                  <w:pPr>
                    <w:adjustRightInd w:val="0"/>
                    <w:snapToGrid w:val="0"/>
                    <w:jc w:val="center"/>
                    <w:rPr>
                      <w:bCs/>
                      <w:color w:val="auto"/>
                      <w:sz w:val="18"/>
                      <w:szCs w:val="18"/>
                    </w:rPr>
                  </w:pPr>
                  <w:r>
                    <w:rPr>
                      <w:rFonts w:hint="eastAsia"/>
                      <w:color w:val="auto"/>
                      <w:sz w:val="18"/>
                      <w:szCs w:val="18"/>
                    </w:rPr>
                    <w:t>0.012</w:t>
                  </w:r>
                </w:p>
              </w:tc>
              <w:tc>
                <w:tcPr>
                  <w:tcW w:w="295" w:type="pct"/>
                  <w:noWrap/>
                  <w:vAlign w:val="center"/>
                </w:tcPr>
                <w:p w14:paraId="1CD7629A">
                  <w:pPr>
                    <w:adjustRightInd w:val="0"/>
                    <w:snapToGrid w:val="0"/>
                    <w:jc w:val="center"/>
                    <w:rPr>
                      <w:bCs/>
                      <w:color w:val="auto"/>
                      <w:sz w:val="18"/>
                      <w:szCs w:val="18"/>
                    </w:rPr>
                  </w:pPr>
                  <w:r>
                    <w:rPr>
                      <w:rFonts w:hint="eastAsia"/>
                      <w:color w:val="auto"/>
                      <w:sz w:val="18"/>
                      <w:szCs w:val="18"/>
                    </w:rPr>
                    <w:t>0.00012</w:t>
                  </w:r>
                </w:p>
              </w:tc>
              <w:tc>
                <w:tcPr>
                  <w:tcW w:w="305" w:type="pct"/>
                  <w:noWrap/>
                  <w:vAlign w:val="center"/>
                </w:tcPr>
                <w:p w14:paraId="200FD436">
                  <w:pPr>
                    <w:adjustRightInd w:val="0"/>
                    <w:snapToGrid w:val="0"/>
                    <w:jc w:val="center"/>
                    <w:rPr>
                      <w:bCs/>
                      <w:color w:val="auto"/>
                      <w:sz w:val="18"/>
                      <w:szCs w:val="18"/>
                    </w:rPr>
                  </w:pPr>
                  <w:r>
                    <w:rPr>
                      <w:rFonts w:hint="eastAsia"/>
                      <w:color w:val="auto"/>
                      <w:sz w:val="18"/>
                      <w:szCs w:val="18"/>
                    </w:rPr>
                    <w:t>0.00059</w:t>
                  </w:r>
                </w:p>
              </w:tc>
              <w:tc>
                <w:tcPr>
                  <w:tcW w:w="387" w:type="pct"/>
                  <w:noWrap/>
                  <w:vAlign w:val="center"/>
                </w:tcPr>
                <w:p w14:paraId="257DA036">
                  <w:pPr>
                    <w:pStyle w:val="196"/>
                    <w:jc w:val="center"/>
                    <w:rPr>
                      <w:rFonts w:ascii="Times New Roman" w:cs="Times New Roman"/>
                      <w:bCs/>
                      <w:color w:val="auto"/>
                      <w:sz w:val="18"/>
                      <w:szCs w:val="18"/>
                    </w:rPr>
                  </w:pPr>
                  <w:r>
                    <w:rPr>
                      <w:rFonts w:hint="eastAsia" w:ascii="Times New Roman" w:cs="Times New Roman"/>
                      <w:bCs/>
                      <w:color w:val="auto"/>
                      <w:sz w:val="18"/>
                      <w:szCs w:val="18"/>
                    </w:rPr>
                    <w:t>2.0</w:t>
                  </w:r>
                </w:p>
              </w:tc>
              <w:tc>
                <w:tcPr>
                  <w:tcW w:w="428" w:type="pct"/>
                  <w:noWrap/>
                  <w:vAlign w:val="center"/>
                </w:tcPr>
                <w:p w14:paraId="7CA14249">
                  <w:pPr>
                    <w:pStyle w:val="196"/>
                    <w:jc w:val="center"/>
                    <w:rPr>
                      <w:rFonts w:ascii="Times New Roman" w:cs="Times New Roman"/>
                      <w:bCs/>
                      <w:color w:val="auto"/>
                      <w:sz w:val="18"/>
                      <w:szCs w:val="18"/>
                    </w:rPr>
                  </w:pPr>
                  <w:r>
                    <w:rPr>
                      <w:rFonts w:hint="eastAsia" w:ascii="Times New Roman" w:cs="Times New Roman"/>
                      <w:bCs/>
                      <w:color w:val="auto"/>
                      <w:sz w:val="18"/>
                      <w:szCs w:val="18"/>
                    </w:rPr>
                    <w:t>50</w:t>
                  </w:r>
                </w:p>
              </w:tc>
              <w:tc>
                <w:tcPr>
                  <w:tcW w:w="326" w:type="pct"/>
                  <w:noWrap/>
                  <w:vAlign w:val="center"/>
                </w:tcPr>
                <w:p w14:paraId="179C978F">
                  <w:pPr>
                    <w:adjustRightInd w:val="0"/>
                    <w:snapToGrid w:val="0"/>
                    <w:jc w:val="center"/>
                    <w:rPr>
                      <w:color w:val="auto"/>
                      <w:kern w:val="0"/>
                      <w:sz w:val="18"/>
                      <w:szCs w:val="18"/>
                    </w:rPr>
                  </w:pPr>
                  <w:r>
                    <w:rPr>
                      <w:rFonts w:hint="eastAsia"/>
                      <w:color w:val="auto"/>
                      <w:kern w:val="0"/>
                      <w:sz w:val="18"/>
                      <w:szCs w:val="18"/>
                    </w:rPr>
                    <w:t>3600</w:t>
                  </w:r>
                </w:p>
              </w:tc>
            </w:tr>
            <w:tr w14:paraId="4C5D0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noWrap/>
                  <w:vAlign w:val="center"/>
                </w:tcPr>
                <w:p w14:paraId="318A0F66">
                  <w:pPr>
                    <w:adjustRightInd w:val="0"/>
                    <w:snapToGrid w:val="0"/>
                    <w:jc w:val="center"/>
                    <w:rPr>
                      <w:color w:val="auto"/>
                      <w:kern w:val="0"/>
                      <w:sz w:val="18"/>
                      <w:szCs w:val="18"/>
                    </w:rPr>
                  </w:pPr>
                  <w:r>
                    <w:rPr>
                      <w:rFonts w:hint="eastAsia"/>
                      <w:color w:val="auto"/>
                      <w:kern w:val="0"/>
                      <w:sz w:val="18"/>
                      <w:szCs w:val="18"/>
                    </w:rPr>
                    <w:t>DA002</w:t>
                  </w:r>
                </w:p>
              </w:tc>
              <w:tc>
                <w:tcPr>
                  <w:tcW w:w="253" w:type="pct"/>
                  <w:noWrap/>
                  <w:vAlign w:val="center"/>
                </w:tcPr>
                <w:p w14:paraId="3A2BA929">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noWrap/>
                  <w:vAlign w:val="center"/>
                </w:tcPr>
                <w:p w14:paraId="662C8B71">
                  <w:pPr>
                    <w:adjustRightInd w:val="0"/>
                    <w:snapToGrid w:val="0"/>
                    <w:jc w:val="center"/>
                    <w:rPr>
                      <w:color w:val="auto"/>
                      <w:kern w:val="0"/>
                      <w:sz w:val="18"/>
                      <w:szCs w:val="18"/>
                    </w:rPr>
                  </w:pPr>
                  <w:r>
                    <w:rPr>
                      <w:rFonts w:hint="eastAsia"/>
                      <w:color w:val="auto"/>
                      <w:kern w:val="0"/>
                      <w:sz w:val="18"/>
                      <w:szCs w:val="18"/>
                    </w:rPr>
                    <w:t>6000</w:t>
                  </w:r>
                </w:p>
              </w:tc>
              <w:tc>
                <w:tcPr>
                  <w:tcW w:w="253" w:type="pct"/>
                  <w:noWrap/>
                  <w:vAlign w:val="center"/>
                </w:tcPr>
                <w:p w14:paraId="6BE7D551">
                  <w:pPr>
                    <w:adjustRightInd w:val="0"/>
                    <w:snapToGrid w:val="0"/>
                    <w:jc w:val="center"/>
                    <w:rPr>
                      <w:bCs/>
                      <w:color w:val="auto"/>
                      <w:kern w:val="0"/>
                      <w:sz w:val="18"/>
                      <w:szCs w:val="18"/>
                    </w:rPr>
                  </w:pPr>
                  <w:r>
                    <w:rPr>
                      <w:rFonts w:hint="eastAsia"/>
                      <w:bCs/>
                      <w:color w:val="auto"/>
                      <w:kern w:val="0"/>
                      <w:sz w:val="18"/>
                      <w:szCs w:val="18"/>
                    </w:rPr>
                    <w:t>产污系数法</w:t>
                  </w:r>
                </w:p>
              </w:tc>
              <w:tc>
                <w:tcPr>
                  <w:tcW w:w="335" w:type="pct"/>
                  <w:noWrap/>
                  <w:vAlign w:val="center"/>
                </w:tcPr>
                <w:p w14:paraId="7BD707F5">
                  <w:pPr>
                    <w:adjustRightInd w:val="0"/>
                    <w:snapToGrid w:val="0"/>
                    <w:jc w:val="center"/>
                    <w:rPr>
                      <w:bCs/>
                      <w:color w:val="auto"/>
                      <w:kern w:val="0"/>
                      <w:sz w:val="18"/>
                      <w:szCs w:val="18"/>
                    </w:rPr>
                  </w:pPr>
                  <w:r>
                    <w:rPr>
                      <w:rFonts w:hint="eastAsia"/>
                      <w:color w:val="auto"/>
                      <w:sz w:val="18"/>
                      <w:szCs w:val="18"/>
                    </w:rPr>
                    <w:t>43.45</w:t>
                  </w:r>
                </w:p>
              </w:tc>
              <w:tc>
                <w:tcPr>
                  <w:tcW w:w="295" w:type="pct"/>
                  <w:noWrap/>
                  <w:vAlign w:val="center"/>
                </w:tcPr>
                <w:p w14:paraId="1D5DB514">
                  <w:pPr>
                    <w:adjustRightInd w:val="0"/>
                    <w:snapToGrid w:val="0"/>
                    <w:jc w:val="center"/>
                    <w:rPr>
                      <w:bCs/>
                      <w:color w:val="auto"/>
                      <w:kern w:val="0"/>
                      <w:sz w:val="18"/>
                      <w:szCs w:val="18"/>
                    </w:rPr>
                  </w:pPr>
                  <w:r>
                    <w:rPr>
                      <w:rFonts w:hint="eastAsia"/>
                      <w:color w:val="auto"/>
                      <w:sz w:val="18"/>
                      <w:szCs w:val="18"/>
                    </w:rPr>
                    <w:t>0.2607</w:t>
                  </w:r>
                </w:p>
              </w:tc>
              <w:tc>
                <w:tcPr>
                  <w:tcW w:w="305" w:type="pct"/>
                  <w:noWrap/>
                  <w:vAlign w:val="center"/>
                </w:tcPr>
                <w:p w14:paraId="42A9BA73">
                  <w:pPr>
                    <w:adjustRightInd w:val="0"/>
                    <w:snapToGrid w:val="0"/>
                    <w:jc w:val="center"/>
                    <w:rPr>
                      <w:bCs/>
                      <w:color w:val="auto"/>
                      <w:kern w:val="0"/>
                      <w:sz w:val="18"/>
                      <w:szCs w:val="18"/>
                    </w:rPr>
                  </w:pPr>
                  <w:r>
                    <w:rPr>
                      <w:rFonts w:hint="eastAsia"/>
                      <w:color w:val="auto"/>
                      <w:sz w:val="18"/>
                      <w:szCs w:val="18"/>
                    </w:rPr>
                    <w:t>0.9385</w:t>
                  </w:r>
                </w:p>
              </w:tc>
              <w:tc>
                <w:tcPr>
                  <w:tcW w:w="510" w:type="pct"/>
                  <w:noWrap/>
                  <w:vAlign w:val="center"/>
                </w:tcPr>
                <w:p w14:paraId="1FF3A698">
                  <w:pPr>
                    <w:widowControl/>
                    <w:adjustRightInd w:val="0"/>
                    <w:snapToGrid w:val="0"/>
                    <w:jc w:val="center"/>
                    <w:rPr>
                      <w:bCs/>
                      <w:color w:val="auto"/>
                      <w:kern w:val="0"/>
                      <w:sz w:val="18"/>
                      <w:szCs w:val="18"/>
                    </w:rPr>
                  </w:pPr>
                  <w:r>
                    <w:rPr>
                      <w:rFonts w:hint="eastAsia"/>
                      <w:bCs/>
                      <w:color w:val="auto"/>
                      <w:kern w:val="0"/>
                      <w:sz w:val="18"/>
                      <w:szCs w:val="18"/>
                    </w:rPr>
                    <w:t>布袋除尘</w:t>
                  </w:r>
                </w:p>
              </w:tc>
              <w:tc>
                <w:tcPr>
                  <w:tcW w:w="114" w:type="pct"/>
                  <w:vAlign w:val="center"/>
                </w:tcPr>
                <w:p w14:paraId="491FF761">
                  <w:pPr>
                    <w:widowControl/>
                    <w:adjustRightInd w:val="0"/>
                    <w:snapToGrid w:val="0"/>
                    <w:jc w:val="center"/>
                    <w:rPr>
                      <w:color w:val="auto"/>
                      <w:kern w:val="0"/>
                      <w:sz w:val="18"/>
                      <w:szCs w:val="18"/>
                    </w:rPr>
                  </w:pPr>
                  <w:r>
                    <w:rPr>
                      <w:rFonts w:hint="eastAsia"/>
                      <w:color w:val="auto"/>
                      <w:kern w:val="0"/>
                      <w:sz w:val="18"/>
                      <w:szCs w:val="18"/>
                    </w:rPr>
                    <w:t>95</w:t>
                  </w:r>
                </w:p>
              </w:tc>
              <w:tc>
                <w:tcPr>
                  <w:tcW w:w="253" w:type="pct"/>
                  <w:noWrap/>
                  <w:vAlign w:val="center"/>
                </w:tcPr>
                <w:p w14:paraId="59B2FCAB">
                  <w:pPr>
                    <w:adjustRightInd w:val="0"/>
                    <w:snapToGrid w:val="0"/>
                    <w:jc w:val="center"/>
                    <w:rPr>
                      <w:bCs/>
                      <w:color w:val="auto"/>
                      <w:kern w:val="0"/>
                      <w:sz w:val="18"/>
                      <w:szCs w:val="18"/>
                    </w:rPr>
                  </w:pPr>
                  <w:r>
                    <w:rPr>
                      <w:rFonts w:hint="eastAsia"/>
                      <w:bCs/>
                      <w:color w:val="auto"/>
                      <w:kern w:val="0"/>
                      <w:sz w:val="18"/>
                      <w:szCs w:val="18"/>
                    </w:rPr>
                    <w:t>产污系数法</w:t>
                  </w:r>
                </w:p>
              </w:tc>
              <w:tc>
                <w:tcPr>
                  <w:tcW w:w="335" w:type="pct"/>
                  <w:noWrap/>
                  <w:vAlign w:val="center"/>
                </w:tcPr>
                <w:p w14:paraId="4E810F26">
                  <w:pPr>
                    <w:adjustRightInd w:val="0"/>
                    <w:snapToGrid w:val="0"/>
                    <w:jc w:val="center"/>
                    <w:rPr>
                      <w:bCs/>
                      <w:color w:val="auto"/>
                      <w:sz w:val="18"/>
                      <w:szCs w:val="18"/>
                    </w:rPr>
                  </w:pPr>
                  <w:r>
                    <w:rPr>
                      <w:rFonts w:hint="eastAsia"/>
                      <w:color w:val="auto"/>
                      <w:sz w:val="18"/>
                      <w:szCs w:val="18"/>
                    </w:rPr>
                    <w:t>2.18</w:t>
                  </w:r>
                </w:p>
              </w:tc>
              <w:tc>
                <w:tcPr>
                  <w:tcW w:w="295" w:type="pct"/>
                  <w:noWrap/>
                  <w:vAlign w:val="center"/>
                </w:tcPr>
                <w:p w14:paraId="2020CF72">
                  <w:pPr>
                    <w:adjustRightInd w:val="0"/>
                    <w:snapToGrid w:val="0"/>
                    <w:jc w:val="center"/>
                    <w:rPr>
                      <w:bCs/>
                      <w:color w:val="auto"/>
                      <w:sz w:val="18"/>
                      <w:szCs w:val="18"/>
                    </w:rPr>
                  </w:pPr>
                  <w:r>
                    <w:rPr>
                      <w:rFonts w:hint="eastAsia"/>
                      <w:color w:val="auto"/>
                      <w:sz w:val="18"/>
                      <w:szCs w:val="18"/>
                    </w:rPr>
                    <w:t>0.0131</w:t>
                  </w:r>
                </w:p>
              </w:tc>
              <w:tc>
                <w:tcPr>
                  <w:tcW w:w="305" w:type="pct"/>
                  <w:noWrap/>
                  <w:vAlign w:val="center"/>
                </w:tcPr>
                <w:p w14:paraId="5CD640D6">
                  <w:pPr>
                    <w:adjustRightInd w:val="0"/>
                    <w:snapToGrid w:val="0"/>
                    <w:jc w:val="center"/>
                    <w:rPr>
                      <w:bCs/>
                      <w:color w:val="auto"/>
                      <w:sz w:val="18"/>
                      <w:szCs w:val="18"/>
                    </w:rPr>
                  </w:pPr>
                  <w:r>
                    <w:rPr>
                      <w:rFonts w:hint="eastAsia"/>
                      <w:color w:val="auto"/>
                      <w:sz w:val="18"/>
                      <w:szCs w:val="18"/>
                    </w:rPr>
                    <w:t>0.0469</w:t>
                  </w:r>
                </w:p>
              </w:tc>
              <w:tc>
                <w:tcPr>
                  <w:tcW w:w="387" w:type="pct"/>
                  <w:noWrap/>
                  <w:vAlign w:val="center"/>
                </w:tcPr>
                <w:p w14:paraId="08FE89C5">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428" w:type="pct"/>
                  <w:noWrap/>
                  <w:vAlign w:val="center"/>
                </w:tcPr>
                <w:p w14:paraId="2A1C5371">
                  <w:pPr>
                    <w:pStyle w:val="196"/>
                    <w:jc w:val="center"/>
                    <w:rPr>
                      <w:rFonts w:ascii="Times New Roman" w:cs="Times New Roman"/>
                      <w:bCs/>
                      <w:color w:val="auto"/>
                      <w:sz w:val="18"/>
                      <w:szCs w:val="18"/>
                    </w:rPr>
                  </w:pPr>
                  <w:r>
                    <w:rPr>
                      <w:rFonts w:hint="eastAsia" w:ascii="Times New Roman" w:cs="Times New Roman"/>
                      <w:bCs/>
                      <w:color w:val="auto"/>
                      <w:sz w:val="18"/>
                      <w:szCs w:val="18"/>
                    </w:rPr>
                    <w:t>20</w:t>
                  </w:r>
                </w:p>
              </w:tc>
              <w:tc>
                <w:tcPr>
                  <w:tcW w:w="326" w:type="pct"/>
                  <w:noWrap/>
                  <w:vAlign w:val="center"/>
                </w:tcPr>
                <w:p w14:paraId="30E47D8B">
                  <w:pPr>
                    <w:adjustRightInd w:val="0"/>
                    <w:snapToGrid w:val="0"/>
                    <w:jc w:val="center"/>
                    <w:rPr>
                      <w:color w:val="auto"/>
                      <w:kern w:val="0"/>
                      <w:sz w:val="18"/>
                      <w:szCs w:val="18"/>
                    </w:rPr>
                  </w:pPr>
                  <w:r>
                    <w:rPr>
                      <w:rFonts w:hint="eastAsia"/>
                      <w:color w:val="auto"/>
                      <w:kern w:val="0"/>
                      <w:sz w:val="18"/>
                      <w:szCs w:val="18"/>
                    </w:rPr>
                    <w:t>3600</w:t>
                  </w:r>
                </w:p>
              </w:tc>
            </w:tr>
            <w:tr w14:paraId="3140A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restart"/>
                  <w:noWrap/>
                  <w:vAlign w:val="center"/>
                </w:tcPr>
                <w:p w14:paraId="23DC495F">
                  <w:pPr>
                    <w:adjustRightInd w:val="0"/>
                    <w:snapToGrid w:val="0"/>
                    <w:jc w:val="center"/>
                    <w:rPr>
                      <w:color w:val="auto"/>
                      <w:kern w:val="0"/>
                      <w:sz w:val="18"/>
                      <w:szCs w:val="18"/>
                    </w:rPr>
                  </w:pPr>
                  <w:r>
                    <w:rPr>
                      <w:rFonts w:hint="eastAsia"/>
                      <w:color w:val="auto"/>
                      <w:kern w:val="0"/>
                      <w:sz w:val="18"/>
                      <w:szCs w:val="18"/>
                    </w:rPr>
                    <w:t>DA003</w:t>
                  </w:r>
                </w:p>
              </w:tc>
              <w:tc>
                <w:tcPr>
                  <w:tcW w:w="253" w:type="pct"/>
                  <w:noWrap/>
                  <w:vAlign w:val="center"/>
                </w:tcPr>
                <w:p w14:paraId="684FDD3A">
                  <w:pPr>
                    <w:widowControl/>
                    <w:adjustRightInd w:val="0"/>
                    <w:snapToGrid w:val="0"/>
                    <w:jc w:val="center"/>
                    <w:rPr>
                      <w:color w:val="auto"/>
                      <w:kern w:val="0"/>
                      <w:sz w:val="18"/>
                      <w:szCs w:val="18"/>
                    </w:rPr>
                  </w:pPr>
                  <w:r>
                    <w:rPr>
                      <w:rFonts w:hint="eastAsia"/>
                      <w:color w:val="auto"/>
                      <w:kern w:val="0"/>
                      <w:sz w:val="18"/>
                      <w:szCs w:val="18"/>
                    </w:rPr>
                    <w:t>苯乙烯</w:t>
                  </w:r>
                </w:p>
              </w:tc>
              <w:tc>
                <w:tcPr>
                  <w:tcW w:w="438" w:type="pct"/>
                  <w:vMerge w:val="restart"/>
                  <w:noWrap/>
                  <w:vAlign w:val="center"/>
                </w:tcPr>
                <w:p w14:paraId="6F48646D">
                  <w:pPr>
                    <w:adjustRightInd w:val="0"/>
                    <w:snapToGrid w:val="0"/>
                    <w:jc w:val="center"/>
                    <w:rPr>
                      <w:color w:val="auto"/>
                      <w:kern w:val="0"/>
                      <w:sz w:val="18"/>
                      <w:szCs w:val="18"/>
                    </w:rPr>
                  </w:pPr>
                  <w:r>
                    <w:rPr>
                      <w:rFonts w:hint="eastAsia"/>
                      <w:color w:val="auto"/>
                      <w:kern w:val="0"/>
                      <w:sz w:val="18"/>
                      <w:szCs w:val="18"/>
                    </w:rPr>
                    <w:t>15000</w:t>
                  </w:r>
                </w:p>
              </w:tc>
              <w:tc>
                <w:tcPr>
                  <w:tcW w:w="253" w:type="pct"/>
                  <w:noWrap/>
                  <w:vAlign w:val="center"/>
                </w:tcPr>
                <w:p w14:paraId="3B669F79">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0ACFADA5">
                  <w:pPr>
                    <w:adjustRightInd w:val="0"/>
                    <w:snapToGrid w:val="0"/>
                    <w:jc w:val="center"/>
                    <w:rPr>
                      <w:bCs/>
                      <w:color w:val="auto"/>
                      <w:kern w:val="0"/>
                      <w:sz w:val="18"/>
                      <w:szCs w:val="18"/>
                    </w:rPr>
                  </w:pPr>
                  <w:r>
                    <w:rPr>
                      <w:rFonts w:hint="eastAsia"/>
                      <w:color w:val="auto"/>
                      <w:sz w:val="18"/>
                      <w:szCs w:val="18"/>
                    </w:rPr>
                    <w:t>8.41</w:t>
                  </w:r>
                </w:p>
              </w:tc>
              <w:tc>
                <w:tcPr>
                  <w:tcW w:w="295" w:type="pct"/>
                  <w:noWrap/>
                  <w:vAlign w:val="center"/>
                </w:tcPr>
                <w:p w14:paraId="42CDCFDD">
                  <w:pPr>
                    <w:adjustRightInd w:val="0"/>
                    <w:snapToGrid w:val="0"/>
                    <w:jc w:val="center"/>
                    <w:rPr>
                      <w:bCs/>
                      <w:color w:val="auto"/>
                      <w:kern w:val="0"/>
                      <w:sz w:val="18"/>
                      <w:szCs w:val="18"/>
                    </w:rPr>
                  </w:pPr>
                  <w:r>
                    <w:rPr>
                      <w:rFonts w:hint="eastAsia"/>
                      <w:color w:val="auto"/>
                      <w:sz w:val="18"/>
                      <w:szCs w:val="18"/>
                    </w:rPr>
                    <w:t>0.0421</w:t>
                  </w:r>
                </w:p>
              </w:tc>
              <w:tc>
                <w:tcPr>
                  <w:tcW w:w="305" w:type="pct"/>
                  <w:noWrap/>
                  <w:vAlign w:val="center"/>
                </w:tcPr>
                <w:p w14:paraId="03CA4DC5">
                  <w:pPr>
                    <w:adjustRightInd w:val="0"/>
                    <w:snapToGrid w:val="0"/>
                    <w:jc w:val="center"/>
                    <w:rPr>
                      <w:bCs/>
                      <w:color w:val="auto"/>
                      <w:kern w:val="0"/>
                      <w:sz w:val="18"/>
                      <w:szCs w:val="18"/>
                    </w:rPr>
                  </w:pPr>
                  <w:r>
                    <w:rPr>
                      <w:rFonts w:hint="eastAsia"/>
                      <w:color w:val="auto"/>
                      <w:sz w:val="18"/>
                      <w:szCs w:val="18"/>
                    </w:rPr>
                    <w:t>0.1514</w:t>
                  </w:r>
                </w:p>
              </w:tc>
              <w:tc>
                <w:tcPr>
                  <w:tcW w:w="510" w:type="pct"/>
                  <w:vMerge w:val="restart"/>
                  <w:noWrap/>
                  <w:vAlign w:val="center"/>
                </w:tcPr>
                <w:p w14:paraId="6BA09D84">
                  <w:pPr>
                    <w:widowControl/>
                    <w:adjustRightInd w:val="0"/>
                    <w:snapToGrid w:val="0"/>
                    <w:jc w:val="center"/>
                    <w:rPr>
                      <w:bCs/>
                      <w:color w:val="auto"/>
                      <w:kern w:val="0"/>
                      <w:sz w:val="18"/>
                      <w:szCs w:val="18"/>
                    </w:rPr>
                  </w:pPr>
                  <w:r>
                    <w:rPr>
                      <w:rFonts w:hint="eastAsia"/>
                      <w:color w:val="auto"/>
                      <w:kern w:val="0"/>
                      <w:sz w:val="18"/>
                      <w:szCs w:val="18"/>
                    </w:rPr>
                    <w:t>干式过滤器</w:t>
                  </w:r>
                  <w:r>
                    <w:rPr>
                      <w:color w:val="auto"/>
                      <w:kern w:val="0"/>
                      <w:sz w:val="18"/>
                      <w:szCs w:val="18"/>
                    </w:rPr>
                    <w:t>+二级活性炭</w:t>
                  </w:r>
                </w:p>
              </w:tc>
              <w:tc>
                <w:tcPr>
                  <w:tcW w:w="114" w:type="pct"/>
                  <w:vMerge w:val="restart"/>
                  <w:vAlign w:val="center"/>
                </w:tcPr>
                <w:p w14:paraId="2AE36E23">
                  <w:pPr>
                    <w:widowControl/>
                    <w:adjustRightInd w:val="0"/>
                    <w:snapToGrid w:val="0"/>
                    <w:jc w:val="center"/>
                    <w:rPr>
                      <w:color w:val="auto"/>
                      <w:kern w:val="0"/>
                      <w:sz w:val="18"/>
                      <w:szCs w:val="18"/>
                    </w:rPr>
                  </w:pPr>
                  <w:r>
                    <w:rPr>
                      <w:rFonts w:hint="eastAsia"/>
                      <w:color w:val="auto"/>
                      <w:kern w:val="0"/>
                      <w:sz w:val="18"/>
                      <w:szCs w:val="18"/>
                    </w:rPr>
                    <w:t>90</w:t>
                  </w:r>
                </w:p>
              </w:tc>
              <w:tc>
                <w:tcPr>
                  <w:tcW w:w="253" w:type="pct"/>
                  <w:noWrap/>
                  <w:vAlign w:val="center"/>
                </w:tcPr>
                <w:p w14:paraId="2E31C666">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7004245B">
                  <w:pPr>
                    <w:adjustRightInd w:val="0"/>
                    <w:snapToGrid w:val="0"/>
                    <w:jc w:val="center"/>
                    <w:rPr>
                      <w:bCs/>
                      <w:color w:val="auto"/>
                      <w:sz w:val="18"/>
                      <w:szCs w:val="18"/>
                    </w:rPr>
                  </w:pPr>
                  <w:r>
                    <w:rPr>
                      <w:rFonts w:hint="eastAsia"/>
                      <w:color w:val="auto"/>
                      <w:sz w:val="18"/>
                      <w:szCs w:val="18"/>
                    </w:rPr>
                    <w:t>0.84</w:t>
                  </w:r>
                </w:p>
              </w:tc>
              <w:tc>
                <w:tcPr>
                  <w:tcW w:w="295" w:type="pct"/>
                  <w:noWrap/>
                  <w:vAlign w:val="center"/>
                </w:tcPr>
                <w:p w14:paraId="63FFA166">
                  <w:pPr>
                    <w:adjustRightInd w:val="0"/>
                    <w:snapToGrid w:val="0"/>
                    <w:jc w:val="center"/>
                    <w:rPr>
                      <w:bCs/>
                      <w:color w:val="auto"/>
                      <w:sz w:val="18"/>
                      <w:szCs w:val="18"/>
                    </w:rPr>
                  </w:pPr>
                  <w:r>
                    <w:rPr>
                      <w:rFonts w:hint="eastAsia"/>
                      <w:color w:val="auto"/>
                      <w:sz w:val="18"/>
                      <w:szCs w:val="18"/>
                    </w:rPr>
                    <w:t>0.0042</w:t>
                  </w:r>
                </w:p>
              </w:tc>
              <w:tc>
                <w:tcPr>
                  <w:tcW w:w="305" w:type="pct"/>
                  <w:noWrap/>
                  <w:vAlign w:val="center"/>
                </w:tcPr>
                <w:p w14:paraId="664D53CD">
                  <w:pPr>
                    <w:adjustRightInd w:val="0"/>
                    <w:snapToGrid w:val="0"/>
                    <w:jc w:val="center"/>
                    <w:rPr>
                      <w:bCs/>
                      <w:color w:val="auto"/>
                      <w:sz w:val="18"/>
                      <w:szCs w:val="18"/>
                    </w:rPr>
                  </w:pPr>
                  <w:r>
                    <w:rPr>
                      <w:rFonts w:hint="eastAsia"/>
                      <w:color w:val="auto"/>
                      <w:sz w:val="18"/>
                      <w:szCs w:val="18"/>
                    </w:rPr>
                    <w:t>0.0151</w:t>
                  </w:r>
                </w:p>
              </w:tc>
              <w:tc>
                <w:tcPr>
                  <w:tcW w:w="387" w:type="pct"/>
                  <w:noWrap/>
                  <w:vAlign w:val="center"/>
                </w:tcPr>
                <w:p w14:paraId="4D181379">
                  <w:pPr>
                    <w:pStyle w:val="196"/>
                    <w:jc w:val="center"/>
                    <w:rPr>
                      <w:rFonts w:ascii="Times New Roman" w:cs="Times New Roman"/>
                      <w:bCs/>
                      <w:color w:val="auto"/>
                      <w:sz w:val="18"/>
                      <w:szCs w:val="18"/>
                    </w:rPr>
                  </w:pPr>
                  <w:r>
                    <w:rPr>
                      <w:rFonts w:hint="eastAsia" w:ascii="Times New Roman" w:cs="Times New Roman"/>
                      <w:bCs/>
                      <w:color w:val="auto"/>
                      <w:sz w:val="18"/>
                      <w:szCs w:val="18"/>
                    </w:rPr>
                    <w:t>0.72</w:t>
                  </w:r>
                </w:p>
              </w:tc>
              <w:tc>
                <w:tcPr>
                  <w:tcW w:w="428" w:type="pct"/>
                  <w:noWrap/>
                  <w:vAlign w:val="center"/>
                </w:tcPr>
                <w:p w14:paraId="1688A268">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326" w:type="pct"/>
                  <w:noWrap/>
                  <w:vAlign w:val="center"/>
                </w:tcPr>
                <w:p w14:paraId="2AA1ED2B">
                  <w:pPr>
                    <w:adjustRightInd w:val="0"/>
                    <w:snapToGrid w:val="0"/>
                    <w:jc w:val="center"/>
                    <w:rPr>
                      <w:color w:val="auto"/>
                      <w:kern w:val="0"/>
                      <w:sz w:val="18"/>
                      <w:szCs w:val="18"/>
                    </w:rPr>
                  </w:pPr>
                  <w:r>
                    <w:rPr>
                      <w:rFonts w:hint="eastAsia"/>
                      <w:color w:val="auto"/>
                      <w:kern w:val="0"/>
                      <w:sz w:val="18"/>
                      <w:szCs w:val="18"/>
                    </w:rPr>
                    <w:t>3600</w:t>
                  </w:r>
                </w:p>
              </w:tc>
            </w:tr>
            <w:tr w14:paraId="4FBF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60" w:type="pct"/>
                  <w:vMerge w:val="continue"/>
                  <w:noWrap/>
                  <w:vAlign w:val="center"/>
                </w:tcPr>
                <w:p w14:paraId="0C5E125C">
                  <w:pPr>
                    <w:adjustRightInd w:val="0"/>
                    <w:snapToGrid w:val="0"/>
                    <w:jc w:val="center"/>
                    <w:rPr>
                      <w:color w:val="auto"/>
                      <w:kern w:val="0"/>
                      <w:sz w:val="18"/>
                      <w:szCs w:val="18"/>
                    </w:rPr>
                  </w:pPr>
                </w:p>
              </w:tc>
              <w:tc>
                <w:tcPr>
                  <w:tcW w:w="253" w:type="pct"/>
                  <w:noWrap/>
                  <w:vAlign w:val="center"/>
                </w:tcPr>
                <w:p w14:paraId="7E48AFBA">
                  <w:pPr>
                    <w:widowControl/>
                    <w:adjustRightInd w:val="0"/>
                    <w:snapToGrid w:val="0"/>
                    <w:jc w:val="center"/>
                    <w:rPr>
                      <w:color w:val="auto"/>
                      <w:kern w:val="0"/>
                      <w:sz w:val="18"/>
                      <w:szCs w:val="18"/>
                    </w:rPr>
                  </w:pPr>
                  <w:r>
                    <w:rPr>
                      <w:rFonts w:hint="eastAsia"/>
                      <w:color w:val="auto"/>
                      <w:kern w:val="0"/>
                      <w:sz w:val="18"/>
                      <w:szCs w:val="18"/>
                      <w:lang w:eastAsia="zh-CN"/>
                    </w:rPr>
                    <w:t>二、</w:t>
                  </w:r>
                  <w:r>
                    <w:rPr>
                      <w:rFonts w:hint="eastAsia"/>
                      <w:color w:val="auto"/>
                      <w:kern w:val="0"/>
                      <w:sz w:val="18"/>
                      <w:szCs w:val="18"/>
                    </w:rPr>
                    <w:t>甲苯</w:t>
                  </w:r>
                </w:p>
              </w:tc>
              <w:tc>
                <w:tcPr>
                  <w:tcW w:w="438" w:type="pct"/>
                  <w:vMerge w:val="continue"/>
                  <w:noWrap/>
                  <w:vAlign w:val="center"/>
                </w:tcPr>
                <w:p w14:paraId="1080D127">
                  <w:pPr>
                    <w:adjustRightInd w:val="0"/>
                    <w:snapToGrid w:val="0"/>
                    <w:jc w:val="center"/>
                    <w:rPr>
                      <w:color w:val="auto"/>
                      <w:kern w:val="0"/>
                      <w:sz w:val="18"/>
                      <w:szCs w:val="18"/>
                    </w:rPr>
                  </w:pPr>
                </w:p>
              </w:tc>
              <w:tc>
                <w:tcPr>
                  <w:tcW w:w="253" w:type="pct"/>
                  <w:noWrap/>
                  <w:vAlign w:val="center"/>
                </w:tcPr>
                <w:p w14:paraId="2BF376C0">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704485B6">
                  <w:pPr>
                    <w:adjustRightInd w:val="0"/>
                    <w:snapToGrid w:val="0"/>
                    <w:jc w:val="center"/>
                    <w:rPr>
                      <w:bCs/>
                      <w:color w:val="auto"/>
                      <w:kern w:val="0"/>
                      <w:sz w:val="18"/>
                      <w:szCs w:val="18"/>
                    </w:rPr>
                  </w:pPr>
                  <w:r>
                    <w:rPr>
                      <w:rFonts w:hint="eastAsia"/>
                      <w:color w:val="auto"/>
                      <w:sz w:val="18"/>
                      <w:szCs w:val="18"/>
                    </w:rPr>
                    <w:t>0.79</w:t>
                  </w:r>
                </w:p>
              </w:tc>
              <w:tc>
                <w:tcPr>
                  <w:tcW w:w="295" w:type="pct"/>
                  <w:noWrap/>
                  <w:vAlign w:val="center"/>
                </w:tcPr>
                <w:p w14:paraId="71FA3A3F">
                  <w:pPr>
                    <w:adjustRightInd w:val="0"/>
                    <w:snapToGrid w:val="0"/>
                    <w:jc w:val="center"/>
                    <w:rPr>
                      <w:bCs/>
                      <w:color w:val="auto"/>
                      <w:kern w:val="0"/>
                      <w:sz w:val="18"/>
                      <w:szCs w:val="18"/>
                    </w:rPr>
                  </w:pPr>
                  <w:r>
                    <w:rPr>
                      <w:rFonts w:hint="eastAsia"/>
                      <w:color w:val="auto"/>
                      <w:sz w:val="18"/>
                      <w:szCs w:val="18"/>
                    </w:rPr>
                    <w:t>0.0158</w:t>
                  </w:r>
                </w:p>
              </w:tc>
              <w:tc>
                <w:tcPr>
                  <w:tcW w:w="305" w:type="pct"/>
                  <w:noWrap/>
                  <w:vAlign w:val="center"/>
                </w:tcPr>
                <w:p w14:paraId="4E90C14B">
                  <w:pPr>
                    <w:adjustRightInd w:val="0"/>
                    <w:snapToGrid w:val="0"/>
                    <w:jc w:val="center"/>
                    <w:rPr>
                      <w:bCs/>
                      <w:color w:val="auto"/>
                      <w:kern w:val="0"/>
                      <w:sz w:val="18"/>
                      <w:szCs w:val="18"/>
                    </w:rPr>
                  </w:pPr>
                  <w:r>
                    <w:rPr>
                      <w:rFonts w:hint="eastAsia"/>
                      <w:color w:val="auto"/>
                      <w:sz w:val="18"/>
                      <w:szCs w:val="18"/>
                    </w:rPr>
                    <w:t>0.057</w:t>
                  </w:r>
                </w:p>
              </w:tc>
              <w:tc>
                <w:tcPr>
                  <w:tcW w:w="510" w:type="pct"/>
                  <w:vMerge w:val="continue"/>
                  <w:noWrap/>
                  <w:vAlign w:val="center"/>
                </w:tcPr>
                <w:p w14:paraId="04B91C28">
                  <w:pPr>
                    <w:widowControl/>
                    <w:adjustRightInd w:val="0"/>
                    <w:snapToGrid w:val="0"/>
                    <w:jc w:val="center"/>
                    <w:rPr>
                      <w:bCs/>
                      <w:color w:val="auto"/>
                      <w:kern w:val="0"/>
                      <w:sz w:val="18"/>
                      <w:szCs w:val="18"/>
                    </w:rPr>
                  </w:pPr>
                </w:p>
              </w:tc>
              <w:tc>
                <w:tcPr>
                  <w:tcW w:w="114" w:type="pct"/>
                  <w:vMerge w:val="continue"/>
                  <w:vAlign w:val="center"/>
                </w:tcPr>
                <w:p w14:paraId="6DCC85A1">
                  <w:pPr>
                    <w:widowControl/>
                    <w:adjustRightInd w:val="0"/>
                    <w:snapToGrid w:val="0"/>
                    <w:jc w:val="center"/>
                    <w:rPr>
                      <w:color w:val="auto"/>
                      <w:kern w:val="0"/>
                      <w:sz w:val="18"/>
                      <w:szCs w:val="18"/>
                    </w:rPr>
                  </w:pPr>
                </w:p>
              </w:tc>
              <w:tc>
                <w:tcPr>
                  <w:tcW w:w="253" w:type="pct"/>
                  <w:noWrap/>
                  <w:vAlign w:val="center"/>
                </w:tcPr>
                <w:p w14:paraId="6B3E9B6B">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640BAB9E">
                  <w:pPr>
                    <w:adjustRightInd w:val="0"/>
                    <w:snapToGrid w:val="0"/>
                    <w:jc w:val="center"/>
                    <w:rPr>
                      <w:bCs/>
                      <w:color w:val="auto"/>
                      <w:sz w:val="18"/>
                      <w:szCs w:val="18"/>
                    </w:rPr>
                  </w:pPr>
                  <w:r>
                    <w:rPr>
                      <w:rFonts w:hint="eastAsia"/>
                      <w:color w:val="auto"/>
                      <w:sz w:val="18"/>
                      <w:szCs w:val="18"/>
                    </w:rPr>
                    <w:t>0.08</w:t>
                  </w:r>
                </w:p>
              </w:tc>
              <w:tc>
                <w:tcPr>
                  <w:tcW w:w="295" w:type="pct"/>
                  <w:noWrap/>
                  <w:vAlign w:val="center"/>
                </w:tcPr>
                <w:p w14:paraId="2F54249D">
                  <w:pPr>
                    <w:adjustRightInd w:val="0"/>
                    <w:snapToGrid w:val="0"/>
                    <w:jc w:val="center"/>
                    <w:rPr>
                      <w:bCs/>
                      <w:color w:val="auto"/>
                      <w:sz w:val="18"/>
                      <w:szCs w:val="18"/>
                    </w:rPr>
                  </w:pPr>
                  <w:r>
                    <w:rPr>
                      <w:rFonts w:hint="eastAsia"/>
                      <w:color w:val="auto"/>
                      <w:sz w:val="18"/>
                      <w:szCs w:val="18"/>
                    </w:rPr>
                    <w:t>0.0016</w:t>
                  </w:r>
                </w:p>
              </w:tc>
              <w:tc>
                <w:tcPr>
                  <w:tcW w:w="305" w:type="pct"/>
                  <w:noWrap/>
                  <w:vAlign w:val="center"/>
                </w:tcPr>
                <w:p w14:paraId="69A2F9A5">
                  <w:pPr>
                    <w:adjustRightInd w:val="0"/>
                    <w:snapToGrid w:val="0"/>
                    <w:jc w:val="center"/>
                    <w:rPr>
                      <w:bCs/>
                      <w:color w:val="auto"/>
                      <w:sz w:val="18"/>
                      <w:szCs w:val="18"/>
                    </w:rPr>
                  </w:pPr>
                  <w:r>
                    <w:rPr>
                      <w:rFonts w:hint="eastAsia"/>
                      <w:color w:val="auto"/>
                      <w:sz w:val="18"/>
                      <w:szCs w:val="18"/>
                    </w:rPr>
                    <w:t>0.0057</w:t>
                  </w:r>
                </w:p>
              </w:tc>
              <w:tc>
                <w:tcPr>
                  <w:tcW w:w="387" w:type="pct"/>
                  <w:noWrap/>
                  <w:vAlign w:val="center"/>
                </w:tcPr>
                <w:p w14:paraId="33DEAB75">
                  <w:pPr>
                    <w:pStyle w:val="196"/>
                    <w:jc w:val="center"/>
                    <w:rPr>
                      <w:rFonts w:ascii="Times New Roman" w:cs="Times New Roman"/>
                      <w:bCs/>
                      <w:color w:val="auto"/>
                      <w:sz w:val="18"/>
                      <w:szCs w:val="18"/>
                    </w:rPr>
                  </w:pPr>
                  <w:r>
                    <w:rPr>
                      <w:rFonts w:hint="eastAsia" w:ascii="Times New Roman" w:cs="Times New Roman"/>
                      <w:bCs/>
                      <w:color w:val="auto"/>
                      <w:sz w:val="18"/>
                      <w:szCs w:val="18"/>
                    </w:rPr>
                    <w:t>/</w:t>
                  </w:r>
                </w:p>
              </w:tc>
              <w:tc>
                <w:tcPr>
                  <w:tcW w:w="428" w:type="pct"/>
                  <w:noWrap/>
                  <w:vAlign w:val="center"/>
                </w:tcPr>
                <w:p w14:paraId="59206821">
                  <w:pPr>
                    <w:pStyle w:val="196"/>
                    <w:jc w:val="center"/>
                    <w:rPr>
                      <w:rFonts w:ascii="Times New Roman" w:cs="Times New Roman"/>
                      <w:bCs/>
                      <w:color w:val="auto"/>
                      <w:sz w:val="18"/>
                      <w:szCs w:val="18"/>
                    </w:rPr>
                  </w:pPr>
                  <w:r>
                    <w:rPr>
                      <w:rFonts w:hint="eastAsia" w:ascii="Times New Roman" w:cs="Times New Roman"/>
                      <w:bCs/>
                      <w:color w:val="auto"/>
                      <w:sz w:val="18"/>
                      <w:szCs w:val="18"/>
                    </w:rPr>
                    <w:t>15</w:t>
                  </w:r>
                </w:p>
              </w:tc>
              <w:tc>
                <w:tcPr>
                  <w:tcW w:w="326" w:type="pct"/>
                  <w:noWrap/>
                  <w:vAlign w:val="center"/>
                </w:tcPr>
                <w:p w14:paraId="29534F07">
                  <w:pPr>
                    <w:adjustRightInd w:val="0"/>
                    <w:snapToGrid w:val="0"/>
                    <w:jc w:val="center"/>
                    <w:rPr>
                      <w:color w:val="auto"/>
                      <w:kern w:val="0"/>
                      <w:sz w:val="18"/>
                      <w:szCs w:val="18"/>
                    </w:rPr>
                  </w:pPr>
                  <w:r>
                    <w:rPr>
                      <w:rFonts w:hint="eastAsia"/>
                      <w:color w:val="auto"/>
                      <w:kern w:val="0"/>
                      <w:sz w:val="18"/>
                      <w:szCs w:val="18"/>
                    </w:rPr>
                    <w:t>3600</w:t>
                  </w:r>
                </w:p>
              </w:tc>
            </w:tr>
            <w:tr w14:paraId="11BE0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0BDDF2B6">
                  <w:pPr>
                    <w:adjustRightInd w:val="0"/>
                    <w:snapToGrid w:val="0"/>
                    <w:jc w:val="center"/>
                    <w:rPr>
                      <w:color w:val="auto"/>
                      <w:kern w:val="0"/>
                      <w:sz w:val="18"/>
                      <w:szCs w:val="18"/>
                    </w:rPr>
                  </w:pPr>
                </w:p>
              </w:tc>
              <w:tc>
                <w:tcPr>
                  <w:tcW w:w="253" w:type="pct"/>
                  <w:noWrap/>
                  <w:vAlign w:val="center"/>
                </w:tcPr>
                <w:p w14:paraId="7F198156">
                  <w:pPr>
                    <w:widowControl/>
                    <w:adjustRightInd w:val="0"/>
                    <w:snapToGrid w:val="0"/>
                    <w:jc w:val="center"/>
                    <w:rPr>
                      <w:color w:val="auto"/>
                      <w:kern w:val="0"/>
                      <w:sz w:val="18"/>
                      <w:szCs w:val="18"/>
                    </w:rPr>
                  </w:pPr>
                  <w:r>
                    <w:rPr>
                      <w:rFonts w:hint="eastAsia"/>
                      <w:color w:val="auto"/>
                      <w:kern w:val="0"/>
                      <w:sz w:val="18"/>
                      <w:szCs w:val="18"/>
                    </w:rPr>
                    <w:t>非甲烷总烃</w:t>
                  </w:r>
                </w:p>
              </w:tc>
              <w:tc>
                <w:tcPr>
                  <w:tcW w:w="438" w:type="pct"/>
                  <w:vMerge w:val="continue"/>
                  <w:noWrap/>
                  <w:vAlign w:val="center"/>
                </w:tcPr>
                <w:p w14:paraId="505766E9">
                  <w:pPr>
                    <w:adjustRightInd w:val="0"/>
                    <w:snapToGrid w:val="0"/>
                    <w:jc w:val="center"/>
                    <w:rPr>
                      <w:color w:val="auto"/>
                      <w:kern w:val="0"/>
                      <w:sz w:val="18"/>
                      <w:szCs w:val="18"/>
                    </w:rPr>
                  </w:pPr>
                </w:p>
              </w:tc>
              <w:tc>
                <w:tcPr>
                  <w:tcW w:w="253" w:type="pct"/>
                  <w:shd w:val="clear" w:color="auto" w:fill="auto"/>
                  <w:noWrap/>
                  <w:vAlign w:val="center"/>
                </w:tcPr>
                <w:p w14:paraId="48B73E73">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shd w:val="clear" w:color="auto" w:fill="auto"/>
                  <w:noWrap/>
                  <w:vAlign w:val="center"/>
                </w:tcPr>
                <w:p w14:paraId="08096531">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30.55</w:t>
                  </w:r>
                </w:p>
              </w:tc>
              <w:tc>
                <w:tcPr>
                  <w:tcW w:w="295" w:type="pct"/>
                  <w:shd w:val="clear" w:color="auto" w:fill="auto"/>
                  <w:noWrap/>
                  <w:vAlign w:val="center"/>
                </w:tcPr>
                <w:p w14:paraId="2D06CEE6">
                  <w:pPr>
                    <w:adjustRightInd w:val="0"/>
                    <w:snapToGrid w:val="0"/>
                    <w:jc w:val="center"/>
                    <w:rPr>
                      <w:rFonts w:hint="default" w:eastAsia="宋体"/>
                      <w:bCs/>
                      <w:color w:val="auto"/>
                      <w:kern w:val="0"/>
                      <w:sz w:val="18"/>
                      <w:szCs w:val="18"/>
                      <w:lang w:val="en-US" w:eastAsia="zh-CN"/>
                    </w:rPr>
                  </w:pPr>
                  <w:r>
                    <w:rPr>
                      <w:rFonts w:hint="eastAsia"/>
                      <w:color w:val="auto"/>
                      <w:sz w:val="18"/>
                      <w:szCs w:val="18"/>
                    </w:rPr>
                    <w:t>0.</w:t>
                  </w:r>
                  <w:r>
                    <w:rPr>
                      <w:rFonts w:hint="eastAsia"/>
                      <w:color w:val="auto"/>
                      <w:sz w:val="18"/>
                      <w:szCs w:val="18"/>
                      <w:lang w:val="en-US" w:eastAsia="zh-CN"/>
                    </w:rPr>
                    <w:t>4582</w:t>
                  </w:r>
                </w:p>
              </w:tc>
              <w:tc>
                <w:tcPr>
                  <w:tcW w:w="305" w:type="pct"/>
                  <w:shd w:val="clear" w:color="auto" w:fill="auto"/>
                  <w:noWrap/>
                  <w:vAlign w:val="center"/>
                </w:tcPr>
                <w:p w14:paraId="3D2B0717">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1.7673</w:t>
                  </w:r>
                </w:p>
              </w:tc>
              <w:tc>
                <w:tcPr>
                  <w:tcW w:w="510" w:type="pct"/>
                  <w:vMerge w:val="continue"/>
                  <w:shd w:val="clear" w:color="auto" w:fill="auto"/>
                  <w:noWrap/>
                  <w:vAlign w:val="center"/>
                </w:tcPr>
                <w:p w14:paraId="15181E48">
                  <w:pPr>
                    <w:widowControl/>
                    <w:adjustRightInd w:val="0"/>
                    <w:snapToGrid w:val="0"/>
                    <w:jc w:val="center"/>
                    <w:rPr>
                      <w:bCs/>
                      <w:color w:val="auto"/>
                      <w:kern w:val="0"/>
                      <w:sz w:val="18"/>
                      <w:szCs w:val="18"/>
                    </w:rPr>
                  </w:pPr>
                </w:p>
              </w:tc>
              <w:tc>
                <w:tcPr>
                  <w:tcW w:w="114" w:type="pct"/>
                  <w:vMerge w:val="continue"/>
                  <w:shd w:val="clear" w:color="auto" w:fill="auto"/>
                  <w:vAlign w:val="center"/>
                </w:tcPr>
                <w:p w14:paraId="4BF351E2">
                  <w:pPr>
                    <w:widowControl/>
                    <w:adjustRightInd w:val="0"/>
                    <w:snapToGrid w:val="0"/>
                    <w:jc w:val="center"/>
                    <w:rPr>
                      <w:color w:val="auto"/>
                      <w:kern w:val="0"/>
                      <w:sz w:val="18"/>
                      <w:szCs w:val="18"/>
                    </w:rPr>
                  </w:pPr>
                </w:p>
              </w:tc>
              <w:tc>
                <w:tcPr>
                  <w:tcW w:w="253" w:type="pct"/>
                  <w:shd w:val="clear" w:color="auto" w:fill="auto"/>
                  <w:noWrap/>
                  <w:vAlign w:val="center"/>
                </w:tcPr>
                <w:p w14:paraId="7BACD350">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shd w:val="clear" w:color="auto" w:fill="auto"/>
                  <w:noWrap/>
                  <w:vAlign w:val="center"/>
                </w:tcPr>
                <w:p w14:paraId="784ED476">
                  <w:pPr>
                    <w:adjustRightInd w:val="0"/>
                    <w:snapToGrid w:val="0"/>
                    <w:jc w:val="center"/>
                    <w:rPr>
                      <w:rFonts w:hint="default" w:eastAsia="宋体"/>
                      <w:bCs/>
                      <w:color w:val="auto"/>
                      <w:sz w:val="18"/>
                      <w:szCs w:val="18"/>
                      <w:lang w:val="en-US" w:eastAsia="zh-CN"/>
                    </w:rPr>
                  </w:pPr>
                  <w:r>
                    <w:rPr>
                      <w:rFonts w:hint="eastAsia"/>
                      <w:color w:val="auto"/>
                      <w:sz w:val="18"/>
                      <w:szCs w:val="18"/>
                      <w:lang w:val="en-US" w:eastAsia="zh-CN"/>
                    </w:rPr>
                    <w:t>3.05</w:t>
                  </w:r>
                </w:p>
              </w:tc>
              <w:tc>
                <w:tcPr>
                  <w:tcW w:w="295" w:type="pct"/>
                  <w:shd w:val="clear" w:color="auto" w:fill="auto"/>
                  <w:noWrap/>
                  <w:vAlign w:val="center"/>
                </w:tcPr>
                <w:p w14:paraId="3C419C86">
                  <w:pPr>
                    <w:adjustRightInd w:val="0"/>
                    <w:snapToGrid w:val="0"/>
                    <w:jc w:val="center"/>
                    <w:rPr>
                      <w:rFonts w:hint="default" w:eastAsia="宋体"/>
                      <w:bCs/>
                      <w:color w:val="auto"/>
                      <w:sz w:val="18"/>
                      <w:szCs w:val="18"/>
                      <w:lang w:val="en-US" w:eastAsia="zh-CN"/>
                    </w:rPr>
                  </w:pPr>
                  <w:r>
                    <w:rPr>
                      <w:rFonts w:hint="eastAsia"/>
                      <w:color w:val="auto"/>
                      <w:sz w:val="18"/>
                      <w:szCs w:val="18"/>
                    </w:rPr>
                    <w:t>0.0</w:t>
                  </w:r>
                  <w:r>
                    <w:rPr>
                      <w:rFonts w:hint="eastAsia"/>
                      <w:color w:val="auto"/>
                      <w:sz w:val="18"/>
                      <w:szCs w:val="18"/>
                      <w:lang w:val="en-US" w:eastAsia="zh-CN"/>
                    </w:rPr>
                    <w:t>457</w:t>
                  </w:r>
                </w:p>
              </w:tc>
              <w:tc>
                <w:tcPr>
                  <w:tcW w:w="305" w:type="pct"/>
                  <w:shd w:val="clear" w:color="auto" w:fill="auto"/>
                  <w:noWrap/>
                  <w:vAlign w:val="center"/>
                </w:tcPr>
                <w:p w14:paraId="4EE83E54">
                  <w:pPr>
                    <w:adjustRightInd w:val="0"/>
                    <w:snapToGrid w:val="0"/>
                    <w:jc w:val="center"/>
                    <w:rPr>
                      <w:rFonts w:hint="default" w:eastAsia="宋体"/>
                      <w:bCs/>
                      <w:color w:val="auto"/>
                      <w:sz w:val="18"/>
                      <w:szCs w:val="18"/>
                      <w:lang w:val="en-US" w:eastAsia="zh-CN"/>
                    </w:rPr>
                  </w:pPr>
                  <w:r>
                    <w:rPr>
                      <w:rFonts w:hint="eastAsia"/>
                      <w:color w:val="auto"/>
                      <w:sz w:val="18"/>
                      <w:szCs w:val="18"/>
                    </w:rPr>
                    <w:t>0.</w:t>
                  </w:r>
                  <w:r>
                    <w:rPr>
                      <w:rFonts w:hint="eastAsia"/>
                      <w:color w:val="auto"/>
                      <w:sz w:val="18"/>
                      <w:szCs w:val="18"/>
                      <w:lang w:val="en-US" w:eastAsia="zh-CN"/>
                    </w:rPr>
                    <w:t>1767</w:t>
                  </w:r>
                </w:p>
              </w:tc>
              <w:tc>
                <w:tcPr>
                  <w:tcW w:w="387" w:type="pct"/>
                  <w:noWrap/>
                  <w:vAlign w:val="center"/>
                </w:tcPr>
                <w:p w14:paraId="074F4C2E">
                  <w:pPr>
                    <w:pStyle w:val="196"/>
                    <w:jc w:val="center"/>
                    <w:rPr>
                      <w:rFonts w:ascii="Times New Roman" w:cs="Times New Roman"/>
                      <w:bCs/>
                      <w:color w:val="auto"/>
                      <w:sz w:val="18"/>
                      <w:szCs w:val="18"/>
                    </w:rPr>
                  </w:pPr>
                  <w:r>
                    <w:rPr>
                      <w:rFonts w:hint="eastAsia" w:ascii="Times New Roman" w:cs="Times New Roman"/>
                      <w:bCs/>
                      <w:color w:val="auto"/>
                      <w:sz w:val="18"/>
                      <w:szCs w:val="18"/>
                    </w:rPr>
                    <w:t>2.0</w:t>
                  </w:r>
                </w:p>
              </w:tc>
              <w:tc>
                <w:tcPr>
                  <w:tcW w:w="428" w:type="pct"/>
                  <w:noWrap/>
                  <w:vAlign w:val="center"/>
                </w:tcPr>
                <w:p w14:paraId="211209F7">
                  <w:pPr>
                    <w:pStyle w:val="196"/>
                    <w:jc w:val="center"/>
                    <w:rPr>
                      <w:rFonts w:ascii="Times New Roman" w:cs="Times New Roman"/>
                      <w:bCs/>
                      <w:color w:val="auto"/>
                      <w:sz w:val="18"/>
                      <w:szCs w:val="18"/>
                    </w:rPr>
                  </w:pPr>
                  <w:r>
                    <w:rPr>
                      <w:rFonts w:hint="eastAsia" w:ascii="Times New Roman" w:cs="Times New Roman"/>
                      <w:bCs/>
                      <w:color w:val="auto"/>
                      <w:sz w:val="18"/>
                      <w:szCs w:val="18"/>
                    </w:rPr>
                    <w:t>50</w:t>
                  </w:r>
                </w:p>
              </w:tc>
              <w:tc>
                <w:tcPr>
                  <w:tcW w:w="326" w:type="pct"/>
                  <w:noWrap/>
                  <w:vAlign w:val="center"/>
                </w:tcPr>
                <w:p w14:paraId="73D5B102">
                  <w:pPr>
                    <w:adjustRightInd w:val="0"/>
                    <w:snapToGrid w:val="0"/>
                    <w:jc w:val="center"/>
                    <w:rPr>
                      <w:color w:val="auto"/>
                      <w:kern w:val="0"/>
                      <w:sz w:val="18"/>
                      <w:szCs w:val="18"/>
                    </w:rPr>
                  </w:pPr>
                  <w:r>
                    <w:rPr>
                      <w:rFonts w:hint="eastAsia"/>
                      <w:color w:val="auto"/>
                      <w:kern w:val="0"/>
                      <w:sz w:val="18"/>
                      <w:szCs w:val="18"/>
                    </w:rPr>
                    <w:t>3600</w:t>
                  </w:r>
                </w:p>
              </w:tc>
            </w:tr>
            <w:tr w14:paraId="71324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767BA3A4">
                  <w:pPr>
                    <w:adjustRightInd w:val="0"/>
                    <w:snapToGrid w:val="0"/>
                    <w:jc w:val="center"/>
                    <w:rPr>
                      <w:color w:val="auto"/>
                      <w:kern w:val="0"/>
                      <w:sz w:val="18"/>
                      <w:szCs w:val="18"/>
                    </w:rPr>
                  </w:pPr>
                </w:p>
              </w:tc>
              <w:tc>
                <w:tcPr>
                  <w:tcW w:w="253" w:type="pct"/>
                  <w:noWrap/>
                  <w:vAlign w:val="center"/>
                </w:tcPr>
                <w:p w14:paraId="579E9C60">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vMerge w:val="continue"/>
                  <w:noWrap/>
                  <w:vAlign w:val="center"/>
                </w:tcPr>
                <w:p w14:paraId="450A7D5A">
                  <w:pPr>
                    <w:adjustRightInd w:val="0"/>
                    <w:snapToGrid w:val="0"/>
                    <w:jc w:val="center"/>
                    <w:rPr>
                      <w:color w:val="auto"/>
                      <w:kern w:val="0"/>
                      <w:sz w:val="18"/>
                      <w:szCs w:val="18"/>
                    </w:rPr>
                  </w:pPr>
                </w:p>
              </w:tc>
              <w:tc>
                <w:tcPr>
                  <w:tcW w:w="253" w:type="pct"/>
                  <w:noWrap/>
                  <w:vAlign w:val="center"/>
                </w:tcPr>
                <w:p w14:paraId="66DBA359">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5966FAED">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19.12</w:t>
                  </w:r>
                </w:p>
              </w:tc>
              <w:tc>
                <w:tcPr>
                  <w:tcW w:w="295" w:type="pct"/>
                  <w:noWrap/>
                  <w:vAlign w:val="center"/>
                </w:tcPr>
                <w:p w14:paraId="5A9F69E2">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0.1912</w:t>
                  </w:r>
                </w:p>
              </w:tc>
              <w:tc>
                <w:tcPr>
                  <w:tcW w:w="305" w:type="pct"/>
                  <w:noWrap/>
                  <w:vAlign w:val="center"/>
                </w:tcPr>
                <w:p w14:paraId="128308E9">
                  <w:pPr>
                    <w:adjustRightInd w:val="0"/>
                    <w:snapToGrid w:val="0"/>
                    <w:jc w:val="center"/>
                    <w:rPr>
                      <w:rFonts w:hint="default" w:eastAsia="宋体"/>
                      <w:bCs/>
                      <w:color w:val="auto"/>
                      <w:kern w:val="0"/>
                      <w:sz w:val="18"/>
                      <w:szCs w:val="18"/>
                      <w:lang w:val="en-US" w:eastAsia="zh-CN"/>
                    </w:rPr>
                  </w:pPr>
                  <w:r>
                    <w:rPr>
                      <w:rFonts w:hint="eastAsia"/>
                      <w:color w:val="auto"/>
                      <w:sz w:val="18"/>
                      <w:szCs w:val="18"/>
                    </w:rPr>
                    <w:t>0.</w:t>
                  </w:r>
                  <w:r>
                    <w:rPr>
                      <w:rFonts w:hint="eastAsia"/>
                      <w:color w:val="auto"/>
                      <w:sz w:val="18"/>
                      <w:szCs w:val="18"/>
                      <w:lang w:val="en-US" w:eastAsia="zh-CN"/>
                    </w:rPr>
                    <w:t>6882</w:t>
                  </w:r>
                </w:p>
              </w:tc>
              <w:tc>
                <w:tcPr>
                  <w:tcW w:w="510" w:type="pct"/>
                  <w:vMerge w:val="continue"/>
                  <w:noWrap/>
                  <w:vAlign w:val="center"/>
                </w:tcPr>
                <w:p w14:paraId="02B25C27">
                  <w:pPr>
                    <w:widowControl/>
                    <w:adjustRightInd w:val="0"/>
                    <w:snapToGrid w:val="0"/>
                    <w:jc w:val="center"/>
                    <w:rPr>
                      <w:bCs/>
                      <w:color w:val="auto"/>
                      <w:kern w:val="0"/>
                      <w:sz w:val="18"/>
                      <w:szCs w:val="18"/>
                    </w:rPr>
                  </w:pPr>
                </w:p>
              </w:tc>
              <w:tc>
                <w:tcPr>
                  <w:tcW w:w="114" w:type="pct"/>
                  <w:vMerge w:val="continue"/>
                  <w:vAlign w:val="center"/>
                </w:tcPr>
                <w:p w14:paraId="2586DE6C">
                  <w:pPr>
                    <w:widowControl/>
                    <w:adjustRightInd w:val="0"/>
                    <w:snapToGrid w:val="0"/>
                    <w:jc w:val="center"/>
                    <w:rPr>
                      <w:color w:val="auto"/>
                      <w:kern w:val="0"/>
                      <w:sz w:val="18"/>
                      <w:szCs w:val="18"/>
                    </w:rPr>
                  </w:pPr>
                </w:p>
              </w:tc>
              <w:tc>
                <w:tcPr>
                  <w:tcW w:w="253" w:type="pct"/>
                  <w:noWrap/>
                  <w:vAlign w:val="center"/>
                </w:tcPr>
                <w:p w14:paraId="4D2FF49E">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46305E71">
                  <w:pPr>
                    <w:adjustRightInd w:val="0"/>
                    <w:snapToGrid w:val="0"/>
                    <w:jc w:val="center"/>
                    <w:rPr>
                      <w:bCs/>
                      <w:color w:val="auto"/>
                      <w:sz w:val="18"/>
                      <w:szCs w:val="18"/>
                    </w:rPr>
                  </w:pPr>
                  <w:r>
                    <w:rPr>
                      <w:rFonts w:hint="eastAsia"/>
                      <w:color w:val="auto"/>
                      <w:sz w:val="18"/>
                      <w:szCs w:val="18"/>
                      <w:lang w:val="en-US" w:eastAsia="zh-CN"/>
                    </w:rPr>
                    <w:t>1.91</w:t>
                  </w:r>
                </w:p>
              </w:tc>
              <w:tc>
                <w:tcPr>
                  <w:tcW w:w="295" w:type="pct"/>
                  <w:noWrap/>
                  <w:vAlign w:val="center"/>
                </w:tcPr>
                <w:p w14:paraId="2B52264E">
                  <w:pPr>
                    <w:adjustRightInd w:val="0"/>
                    <w:snapToGrid w:val="0"/>
                    <w:jc w:val="center"/>
                    <w:rPr>
                      <w:bCs/>
                      <w:color w:val="auto"/>
                      <w:sz w:val="18"/>
                      <w:szCs w:val="18"/>
                    </w:rPr>
                  </w:pPr>
                  <w:r>
                    <w:rPr>
                      <w:rFonts w:hint="eastAsia"/>
                      <w:color w:val="auto"/>
                      <w:sz w:val="18"/>
                      <w:szCs w:val="18"/>
                    </w:rPr>
                    <w:t>0.0</w:t>
                  </w:r>
                  <w:r>
                    <w:rPr>
                      <w:rFonts w:hint="eastAsia"/>
                      <w:color w:val="auto"/>
                      <w:sz w:val="18"/>
                      <w:szCs w:val="18"/>
                      <w:lang w:val="en-US" w:eastAsia="zh-CN"/>
                    </w:rPr>
                    <w:t>191</w:t>
                  </w:r>
                </w:p>
              </w:tc>
              <w:tc>
                <w:tcPr>
                  <w:tcW w:w="305" w:type="pct"/>
                  <w:noWrap/>
                  <w:vAlign w:val="center"/>
                </w:tcPr>
                <w:p w14:paraId="420BE331">
                  <w:pPr>
                    <w:adjustRightInd w:val="0"/>
                    <w:snapToGrid w:val="0"/>
                    <w:jc w:val="center"/>
                    <w:rPr>
                      <w:bCs/>
                      <w:color w:val="auto"/>
                      <w:sz w:val="18"/>
                      <w:szCs w:val="18"/>
                    </w:rPr>
                  </w:pPr>
                  <w:r>
                    <w:rPr>
                      <w:rFonts w:hint="eastAsia"/>
                      <w:color w:val="auto"/>
                      <w:sz w:val="18"/>
                      <w:szCs w:val="18"/>
                    </w:rPr>
                    <w:t>0.0</w:t>
                  </w:r>
                  <w:r>
                    <w:rPr>
                      <w:rFonts w:hint="eastAsia"/>
                      <w:color w:val="auto"/>
                      <w:sz w:val="18"/>
                      <w:szCs w:val="18"/>
                      <w:lang w:val="en-US" w:eastAsia="zh-CN"/>
                    </w:rPr>
                    <w:t>688</w:t>
                  </w:r>
                </w:p>
              </w:tc>
              <w:tc>
                <w:tcPr>
                  <w:tcW w:w="387" w:type="pct"/>
                  <w:noWrap/>
                  <w:vAlign w:val="center"/>
                </w:tcPr>
                <w:p w14:paraId="4A83390E">
                  <w:pPr>
                    <w:pStyle w:val="196"/>
                    <w:jc w:val="center"/>
                    <w:rPr>
                      <w:rFonts w:ascii="Times New Roman" w:cs="Times New Roman"/>
                      <w:bCs/>
                      <w:color w:val="auto"/>
                      <w:sz w:val="18"/>
                      <w:szCs w:val="18"/>
                    </w:rPr>
                  </w:pPr>
                  <w:r>
                    <w:rPr>
                      <w:rFonts w:hint="eastAsia" w:ascii="Times New Roman" w:cs="Times New Roman"/>
                      <w:bCs/>
                      <w:color w:val="auto"/>
                      <w:sz w:val="18"/>
                      <w:szCs w:val="18"/>
                    </w:rPr>
                    <w:t>0.4</w:t>
                  </w:r>
                </w:p>
              </w:tc>
              <w:tc>
                <w:tcPr>
                  <w:tcW w:w="428" w:type="pct"/>
                  <w:noWrap/>
                  <w:vAlign w:val="center"/>
                </w:tcPr>
                <w:p w14:paraId="23C18C45">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326" w:type="pct"/>
                  <w:noWrap/>
                  <w:vAlign w:val="center"/>
                </w:tcPr>
                <w:p w14:paraId="63446948">
                  <w:pPr>
                    <w:adjustRightInd w:val="0"/>
                    <w:snapToGrid w:val="0"/>
                    <w:jc w:val="center"/>
                    <w:rPr>
                      <w:color w:val="auto"/>
                      <w:kern w:val="0"/>
                      <w:sz w:val="18"/>
                      <w:szCs w:val="18"/>
                    </w:rPr>
                  </w:pPr>
                  <w:r>
                    <w:rPr>
                      <w:rFonts w:hint="eastAsia"/>
                      <w:color w:val="auto"/>
                      <w:kern w:val="0"/>
                      <w:sz w:val="18"/>
                      <w:szCs w:val="18"/>
                    </w:rPr>
                    <w:t>3600</w:t>
                  </w:r>
                </w:p>
              </w:tc>
            </w:tr>
            <w:tr w14:paraId="2ECFF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noWrap/>
                  <w:vAlign w:val="center"/>
                </w:tcPr>
                <w:p w14:paraId="3B9307F1">
                  <w:pPr>
                    <w:adjustRightInd w:val="0"/>
                    <w:snapToGrid w:val="0"/>
                    <w:jc w:val="center"/>
                    <w:rPr>
                      <w:color w:val="auto"/>
                      <w:kern w:val="0"/>
                      <w:sz w:val="18"/>
                      <w:szCs w:val="18"/>
                    </w:rPr>
                  </w:pPr>
                  <w:r>
                    <w:rPr>
                      <w:rFonts w:hint="eastAsia"/>
                      <w:color w:val="auto"/>
                      <w:kern w:val="0"/>
                      <w:sz w:val="18"/>
                      <w:szCs w:val="18"/>
                    </w:rPr>
                    <w:t>DA004</w:t>
                  </w:r>
                </w:p>
              </w:tc>
              <w:tc>
                <w:tcPr>
                  <w:tcW w:w="253" w:type="pct"/>
                  <w:noWrap/>
                  <w:vAlign w:val="center"/>
                </w:tcPr>
                <w:p w14:paraId="245B446D">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noWrap/>
                  <w:vAlign w:val="center"/>
                </w:tcPr>
                <w:p w14:paraId="3126BC96">
                  <w:pPr>
                    <w:adjustRightInd w:val="0"/>
                    <w:snapToGrid w:val="0"/>
                    <w:jc w:val="center"/>
                    <w:rPr>
                      <w:color w:val="auto"/>
                      <w:kern w:val="0"/>
                      <w:sz w:val="18"/>
                      <w:szCs w:val="18"/>
                    </w:rPr>
                  </w:pPr>
                  <w:r>
                    <w:rPr>
                      <w:rFonts w:hint="eastAsia"/>
                      <w:color w:val="auto"/>
                      <w:kern w:val="0"/>
                      <w:sz w:val="18"/>
                      <w:szCs w:val="18"/>
                    </w:rPr>
                    <w:t>4000</w:t>
                  </w:r>
                </w:p>
              </w:tc>
              <w:tc>
                <w:tcPr>
                  <w:tcW w:w="253" w:type="pct"/>
                  <w:noWrap/>
                  <w:vAlign w:val="center"/>
                </w:tcPr>
                <w:p w14:paraId="00C7BB45">
                  <w:pPr>
                    <w:adjustRightInd w:val="0"/>
                    <w:snapToGrid w:val="0"/>
                    <w:jc w:val="center"/>
                    <w:rPr>
                      <w:bCs/>
                      <w:color w:val="auto"/>
                      <w:kern w:val="0"/>
                      <w:sz w:val="18"/>
                      <w:szCs w:val="18"/>
                    </w:rPr>
                  </w:pPr>
                  <w:r>
                    <w:rPr>
                      <w:rFonts w:hint="eastAsia"/>
                      <w:bCs/>
                      <w:color w:val="auto"/>
                      <w:kern w:val="0"/>
                      <w:sz w:val="18"/>
                      <w:szCs w:val="18"/>
                    </w:rPr>
                    <w:t>产污系数法</w:t>
                  </w:r>
                </w:p>
              </w:tc>
              <w:tc>
                <w:tcPr>
                  <w:tcW w:w="335" w:type="pct"/>
                  <w:noWrap/>
                  <w:vAlign w:val="center"/>
                </w:tcPr>
                <w:p w14:paraId="15F2C1BB">
                  <w:pPr>
                    <w:jc w:val="center"/>
                    <w:rPr>
                      <w:bCs/>
                      <w:color w:val="auto"/>
                      <w:kern w:val="0"/>
                      <w:sz w:val="18"/>
                      <w:szCs w:val="18"/>
                    </w:rPr>
                  </w:pPr>
                  <w:r>
                    <w:rPr>
                      <w:rFonts w:hint="eastAsia"/>
                      <w:color w:val="auto"/>
                      <w:sz w:val="18"/>
                      <w:szCs w:val="18"/>
                    </w:rPr>
                    <w:t>8.175</w:t>
                  </w:r>
                </w:p>
              </w:tc>
              <w:tc>
                <w:tcPr>
                  <w:tcW w:w="295" w:type="pct"/>
                  <w:noWrap/>
                  <w:vAlign w:val="center"/>
                </w:tcPr>
                <w:p w14:paraId="77195AE8">
                  <w:pPr>
                    <w:adjustRightInd w:val="0"/>
                    <w:snapToGrid w:val="0"/>
                    <w:jc w:val="center"/>
                    <w:rPr>
                      <w:bCs/>
                      <w:color w:val="auto"/>
                      <w:kern w:val="0"/>
                      <w:sz w:val="18"/>
                      <w:szCs w:val="18"/>
                    </w:rPr>
                  </w:pPr>
                  <w:r>
                    <w:rPr>
                      <w:rFonts w:hint="eastAsia"/>
                      <w:color w:val="auto"/>
                      <w:sz w:val="18"/>
                      <w:szCs w:val="18"/>
                    </w:rPr>
                    <w:t>0</w:t>
                  </w:r>
                  <w:r>
                    <w:rPr>
                      <w:color w:val="auto"/>
                      <w:sz w:val="18"/>
                      <w:szCs w:val="18"/>
                    </w:rPr>
                    <w:t>.0</w:t>
                  </w:r>
                  <w:r>
                    <w:rPr>
                      <w:rFonts w:hint="eastAsia"/>
                      <w:color w:val="auto"/>
                      <w:sz w:val="18"/>
                      <w:szCs w:val="18"/>
                    </w:rPr>
                    <w:t>327</w:t>
                  </w:r>
                </w:p>
              </w:tc>
              <w:tc>
                <w:tcPr>
                  <w:tcW w:w="305" w:type="pct"/>
                  <w:noWrap/>
                  <w:vAlign w:val="center"/>
                </w:tcPr>
                <w:p w14:paraId="0FBB3E34">
                  <w:pPr>
                    <w:adjustRightInd w:val="0"/>
                    <w:snapToGrid w:val="0"/>
                    <w:jc w:val="center"/>
                    <w:rPr>
                      <w:bCs/>
                      <w:color w:val="auto"/>
                      <w:kern w:val="0"/>
                      <w:sz w:val="18"/>
                      <w:szCs w:val="18"/>
                    </w:rPr>
                  </w:pPr>
                  <w:r>
                    <w:rPr>
                      <w:rFonts w:hint="eastAsia"/>
                      <w:color w:val="auto"/>
                      <w:sz w:val="18"/>
                      <w:szCs w:val="18"/>
                    </w:rPr>
                    <w:t>0.1177</w:t>
                  </w:r>
                </w:p>
              </w:tc>
              <w:tc>
                <w:tcPr>
                  <w:tcW w:w="510" w:type="pct"/>
                  <w:noWrap/>
                  <w:vAlign w:val="center"/>
                </w:tcPr>
                <w:p w14:paraId="0CAE501D">
                  <w:pPr>
                    <w:widowControl/>
                    <w:adjustRightInd w:val="0"/>
                    <w:snapToGrid w:val="0"/>
                    <w:jc w:val="center"/>
                    <w:rPr>
                      <w:bCs/>
                      <w:color w:val="auto"/>
                      <w:kern w:val="0"/>
                      <w:sz w:val="18"/>
                      <w:szCs w:val="18"/>
                    </w:rPr>
                  </w:pPr>
                  <w:r>
                    <w:rPr>
                      <w:rFonts w:hint="eastAsia"/>
                      <w:color w:val="auto"/>
                      <w:kern w:val="0"/>
                      <w:sz w:val="18"/>
                      <w:szCs w:val="18"/>
                    </w:rPr>
                    <w:t>布袋除尘</w:t>
                  </w:r>
                </w:p>
              </w:tc>
              <w:tc>
                <w:tcPr>
                  <w:tcW w:w="114" w:type="pct"/>
                  <w:vAlign w:val="center"/>
                </w:tcPr>
                <w:p w14:paraId="4065DAAC">
                  <w:pPr>
                    <w:widowControl/>
                    <w:adjustRightInd w:val="0"/>
                    <w:snapToGrid w:val="0"/>
                    <w:jc w:val="center"/>
                    <w:rPr>
                      <w:color w:val="auto"/>
                      <w:kern w:val="0"/>
                      <w:sz w:val="18"/>
                      <w:szCs w:val="18"/>
                    </w:rPr>
                  </w:pPr>
                  <w:r>
                    <w:rPr>
                      <w:rFonts w:hint="eastAsia"/>
                      <w:color w:val="auto"/>
                      <w:kern w:val="0"/>
                      <w:sz w:val="18"/>
                      <w:szCs w:val="18"/>
                    </w:rPr>
                    <w:t>95</w:t>
                  </w:r>
                </w:p>
              </w:tc>
              <w:tc>
                <w:tcPr>
                  <w:tcW w:w="253" w:type="pct"/>
                  <w:noWrap/>
                  <w:vAlign w:val="center"/>
                </w:tcPr>
                <w:p w14:paraId="7B1C2909">
                  <w:pPr>
                    <w:adjustRightInd w:val="0"/>
                    <w:snapToGrid w:val="0"/>
                    <w:jc w:val="center"/>
                    <w:rPr>
                      <w:bCs/>
                      <w:color w:val="auto"/>
                      <w:kern w:val="0"/>
                      <w:sz w:val="18"/>
                      <w:szCs w:val="18"/>
                    </w:rPr>
                  </w:pPr>
                  <w:r>
                    <w:rPr>
                      <w:rFonts w:hint="eastAsia"/>
                      <w:bCs/>
                      <w:color w:val="auto"/>
                      <w:kern w:val="0"/>
                      <w:sz w:val="18"/>
                      <w:szCs w:val="18"/>
                    </w:rPr>
                    <w:t>产污系数法</w:t>
                  </w:r>
                </w:p>
              </w:tc>
              <w:tc>
                <w:tcPr>
                  <w:tcW w:w="335" w:type="pct"/>
                  <w:noWrap/>
                  <w:vAlign w:val="center"/>
                </w:tcPr>
                <w:p w14:paraId="5D8FE39D">
                  <w:pPr>
                    <w:jc w:val="center"/>
                    <w:rPr>
                      <w:bCs/>
                      <w:color w:val="auto"/>
                      <w:sz w:val="18"/>
                      <w:szCs w:val="18"/>
                    </w:rPr>
                  </w:pPr>
                  <w:r>
                    <w:rPr>
                      <w:rFonts w:hint="eastAsia"/>
                      <w:color w:val="auto"/>
                      <w:sz w:val="18"/>
                      <w:szCs w:val="18"/>
                    </w:rPr>
                    <w:t>0.4</w:t>
                  </w:r>
                </w:p>
              </w:tc>
              <w:tc>
                <w:tcPr>
                  <w:tcW w:w="295" w:type="pct"/>
                  <w:noWrap/>
                  <w:vAlign w:val="center"/>
                </w:tcPr>
                <w:p w14:paraId="147ECFBD">
                  <w:pPr>
                    <w:adjustRightInd w:val="0"/>
                    <w:snapToGrid w:val="0"/>
                    <w:jc w:val="center"/>
                    <w:rPr>
                      <w:bCs/>
                      <w:color w:val="auto"/>
                      <w:sz w:val="18"/>
                      <w:szCs w:val="18"/>
                    </w:rPr>
                  </w:pPr>
                  <w:r>
                    <w:rPr>
                      <w:rFonts w:hint="eastAsia"/>
                      <w:color w:val="auto"/>
                      <w:sz w:val="18"/>
                      <w:szCs w:val="18"/>
                    </w:rPr>
                    <w:t>0</w:t>
                  </w:r>
                  <w:r>
                    <w:rPr>
                      <w:color w:val="auto"/>
                      <w:sz w:val="18"/>
                      <w:szCs w:val="18"/>
                    </w:rPr>
                    <w:t>.00</w:t>
                  </w:r>
                  <w:r>
                    <w:rPr>
                      <w:rFonts w:hint="eastAsia"/>
                      <w:color w:val="auto"/>
                      <w:sz w:val="18"/>
                      <w:szCs w:val="18"/>
                    </w:rPr>
                    <w:t>16</w:t>
                  </w:r>
                </w:p>
              </w:tc>
              <w:tc>
                <w:tcPr>
                  <w:tcW w:w="305" w:type="pct"/>
                  <w:noWrap/>
                  <w:vAlign w:val="center"/>
                </w:tcPr>
                <w:p w14:paraId="28FA66EB">
                  <w:pPr>
                    <w:adjustRightInd w:val="0"/>
                    <w:snapToGrid w:val="0"/>
                    <w:jc w:val="center"/>
                    <w:rPr>
                      <w:bCs/>
                      <w:color w:val="auto"/>
                      <w:sz w:val="18"/>
                      <w:szCs w:val="18"/>
                    </w:rPr>
                  </w:pPr>
                  <w:r>
                    <w:rPr>
                      <w:rFonts w:hint="eastAsia"/>
                      <w:color w:val="auto"/>
                      <w:sz w:val="18"/>
                      <w:szCs w:val="18"/>
                    </w:rPr>
                    <w:t>0.0059</w:t>
                  </w:r>
                </w:p>
              </w:tc>
              <w:tc>
                <w:tcPr>
                  <w:tcW w:w="387" w:type="pct"/>
                  <w:noWrap/>
                  <w:vAlign w:val="center"/>
                </w:tcPr>
                <w:p w14:paraId="76295ACC">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428" w:type="pct"/>
                  <w:noWrap/>
                  <w:vAlign w:val="center"/>
                </w:tcPr>
                <w:p w14:paraId="45526019">
                  <w:pPr>
                    <w:pStyle w:val="196"/>
                    <w:jc w:val="center"/>
                    <w:rPr>
                      <w:rFonts w:ascii="Times New Roman" w:cs="Times New Roman"/>
                      <w:bCs/>
                      <w:color w:val="auto"/>
                      <w:sz w:val="18"/>
                      <w:szCs w:val="18"/>
                    </w:rPr>
                  </w:pPr>
                  <w:r>
                    <w:rPr>
                      <w:rFonts w:hint="eastAsia" w:ascii="Times New Roman" w:cs="Times New Roman"/>
                      <w:bCs/>
                      <w:color w:val="auto"/>
                      <w:sz w:val="18"/>
                      <w:szCs w:val="18"/>
                    </w:rPr>
                    <w:t>20</w:t>
                  </w:r>
                </w:p>
              </w:tc>
              <w:tc>
                <w:tcPr>
                  <w:tcW w:w="326" w:type="pct"/>
                  <w:noWrap/>
                  <w:vAlign w:val="center"/>
                </w:tcPr>
                <w:p w14:paraId="3B7A290C">
                  <w:pPr>
                    <w:adjustRightInd w:val="0"/>
                    <w:snapToGrid w:val="0"/>
                    <w:jc w:val="center"/>
                    <w:rPr>
                      <w:color w:val="auto"/>
                      <w:kern w:val="0"/>
                      <w:sz w:val="18"/>
                      <w:szCs w:val="18"/>
                    </w:rPr>
                  </w:pPr>
                  <w:r>
                    <w:rPr>
                      <w:rFonts w:hint="eastAsia"/>
                      <w:color w:val="auto"/>
                      <w:kern w:val="0"/>
                      <w:sz w:val="18"/>
                      <w:szCs w:val="18"/>
                    </w:rPr>
                    <w:t>3600</w:t>
                  </w:r>
                </w:p>
              </w:tc>
            </w:tr>
            <w:tr w14:paraId="25EF6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restart"/>
                  <w:noWrap/>
                  <w:vAlign w:val="center"/>
                </w:tcPr>
                <w:p w14:paraId="19390B7E">
                  <w:pPr>
                    <w:adjustRightInd w:val="0"/>
                    <w:snapToGrid w:val="0"/>
                    <w:jc w:val="center"/>
                    <w:rPr>
                      <w:color w:val="auto"/>
                      <w:kern w:val="0"/>
                      <w:sz w:val="18"/>
                      <w:szCs w:val="18"/>
                    </w:rPr>
                  </w:pPr>
                  <w:r>
                    <w:rPr>
                      <w:rFonts w:hint="eastAsia"/>
                      <w:color w:val="auto"/>
                      <w:kern w:val="0"/>
                      <w:sz w:val="18"/>
                      <w:szCs w:val="18"/>
                    </w:rPr>
                    <w:t>DA005</w:t>
                  </w:r>
                </w:p>
              </w:tc>
              <w:tc>
                <w:tcPr>
                  <w:tcW w:w="253" w:type="pct"/>
                  <w:noWrap/>
                  <w:vAlign w:val="center"/>
                </w:tcPr>
                <w:p w14:paraId="77A4AD62">
                  <w:pPr>
                    <w:widowControl/>
                    <w:adjustRightInd w:val="0"/>
                    <w:snapToGrid w:val="0"/>
                    <w:jc w:val="center"/>
                    <w:rPr>
                      <w:color w:val="auto"/>
                      <w:kern w:val="0"/>
                      <w:sz w:val="18"/>
                      <w:szCs w:val="18"/>
                    </w:rPr>
                  </w:pPr>
                  <w:r>
                    <w:rPr>
                      <w:rFonts w:hint="eastAsia"/>
                      <w:color w:val="auto"/>
                      <w:kern w:val="0"/>
                      <w:sz w:val="18"/>
                      <w:szCs w:val="18"/>
                    </w:rPr>
                    <w:t>非甲烷总烃</w:t>
                  </w:r>
                </w:p>
              </w:tc>
              <w:tc>
                <w:tcPr>
                  <w:tcW w:w="438" w:type="pct"/>
                  <w:vMerge w:val="restart"/>
                  <w:noWrap/>
                  <w:vAlign w:val="center"/>
                </w:tcPr>
                <w:p w14:paraId="45CE59B0">
                  <w:pPr>
                    <w:adjustRightInd w:val="0"/>
                    <w:snapToGrid w:val="0"/>
                    <w:jc w:val="center"/>
                    <w:rPr>
                      <w:color w:val="auto"/>
                      <w:kern w:val="0"/>
                      <w:sz w:val="18"/>
                      <w:szCs w:val="18"/>
                    </w:rPr>
                  </w:pPr>
                  <w:r>
                    <w:rPr>
                      <w:rFonts w:hint="eastAsia"/>
                      <w:color w:val="auto"/>
                      <w:kern w:val="0"/>
                      <w:sz w:val="18"/>
                      <w:szCs w:val="18"/>
                    </w:rPr>
                    <w:t>13555</w:t>
                  </w:r>
                </w:p>
              </w:tc>
              <w:tc>
                <w:tcPr>
                  <w:tcW w:w="253" w:type="pct"/>
                  <w:noWrap/>
                  <w:vAlign w:val="center"/>
                </w:tcPr>
                <w:p w14:paraId="7B4FBA19">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7DBDE519">
                  <w:pPr>
                    <w:jc w:val="center"/>
                    <w:rPr>
                      <w:bCs/>
                      <w:color w:val="auto"/>
                      <w:kern w:val="0"/>
                      <w:sz w:val="18"/>
                      <w:szCs w:val="18"/>
                    </w:rPr>
                  </w:pPr>
                  <w:r>
                    <w:rPr>
                      <w:rFonts w:hint="eastAsia"/>
                      <w:color w:val="auto"/>
                      <w:sz w:val="18"/>
                      <w:szCs w:val="18"/>
                    </w:rPr>
                    <w:t>0.62</w:t>
                  </w:r>
                </w:p>
              </w:tc>
              <w:tc>
                <w:tcPr>
                  <w:tcW w:w="295" w:type="pct"/>
                  <w:noWrap/>
                  <w:vAlign w:val="center"/>
                </w:tcPr>
                <w:p w14:paraId="085362DF">
                  <w:pPr>
                    <w:adjustRightInd w:val="0"/>
                    <w:snapToGrid w:val="0"/>
                    <w:jc w:val="center"/>
                    <w:rPr>
                      <w:bCs/>
                      <w:color w:val="auto"/>
                      <w:kern w:val="0"/>
                      <w:sz w:val="18"/>
                      <w:szCs w:val="18"/>
                    </w:rPr>
                  </w:pPr>
                  <w:r>
                    <w:rPr>
                      <w:rFonts w:hint="eastAsia"/>
                      <w:color w:val="auto"/>
                      <w:sz w:val="18"/>
                      <w:szCs w:val="18"/>
                    </w:rPr>
                    <w:t>0.0084</w:t>
                  </w:r>
                </w:p>
              </w:tc>
              <w:tc>
                <w:tcPr>
                  <w:tcW w:w="305" w:type="pct"/>
                  <w:noWrap/>
                  <w:vAlign w:val="center"/>
                </w:tcPr>
                <w:p w14:paraId="322BE29A">
                  <w:pPr>
                    <w:widowControl/>
                    <w:jc w:val="center"/>
                    <w:rPr>
                      <w:bCs/>
                      <w:color w:val="auto"/>
                      <w:kern w:val="0"/>
                      <w:sz w:val="18"/>
                      <w:szCs w:val="18"/>
                    </w:rPr>
                  </w:pPr>
                  <w:r>
                    <w:rPr>
                      <w:rFonts w:hint="eastAsia"/>
                      <w:color w:val="auto"/>
                      <w:kern w:val="0"/>
                      <w:sz w:val="18"/>
                      <w:szCs w:val="18"/>
                    </w:rPr>
                    <w:t>0.0304</w:t>
                  </w:r>
                </w:p>
              </w:tc>
              <w:tc>
                <w:tcPr>
                  <w:tcW w:w="510" w:type="pct"/>
                  <w:noWrap/>
                  <w:vAlign w:val="center"/>
                </w:tcPr>
                <w:p w14:paraId="43FBCE70">
                  <w:pPr>
                    <w:widowControl/>
                    <w:adjustRightInd w:val="0"/>
                    <w:snapToGrid w:val="0"/>
                    <w:jc w:val="center"/>
                    <w:rPr>
                      <w:bCs/>
                      <w:color w:val="auto"/>
                      <w:kern w:val="0"/>
                      <w:sz w:val="18"/>
                      <w:szCs w:val="18"/>
                    </w:rPr>
                  </w:pPr>
                  <w:r>
                    <w:rPr>
                      <w:color w:val="auto"/>
                      <w:kern w:val="0"/>
                      <w:sz w:val="18"/>
                      <w:szCs w:val="18"/>
                    </w:rPr>
                    <w:t>二级活性炭</w:t>
                  </w:r>
                </w:p>
              </w:tc>
              <w:tc>
                <w:tcPr>
                  <w:tcW w:w="114" w:type="pct"/>
                  <w:vAlign w:val="center"/>
                </w:tcPr>
                <w:p w14:paraId="2BC8AE74">
                  <w:pPr>
                    <w:widowControl/>
                    <w:adjustRightInd w:val="0"/>
                    <w:snapToGrid w:val="0"/>
                    <w:jc w:val="center"/>
                    <w:rPr>
                      <w:color w:val="auto"/>
                      <w:kern w:val="0"/>
                      <w:sz w:val="18"/>
                      <w:szCs w:val="18"/>
                    </w:rPr>
                  </w:pPr>
                  <w:r>
                    <w:rPr>
                      <w:rFonts w:hint="eastAsia"/>
                      <w:color w:val="auto"/>
                      <w:kern w:val="0"/>
                      <w:sz w:val="18"/>
                      <w:szCs w:val="18"/>
                    </w:rPr>
                    <w:t>90</w:t>
                  </w:r>
                </w:p>
              </w:tc>
              <w:tc>
                <w:tcPr>
                  <w:tcW w:w="253" w:type="pct"/>
                  <w:noWrap/>
                  <w:vAlign w:val="center"/>
                </w:tcPr>
                <w:p w14:paraId="4B995A92">
                  <w:pPr>
                    <w:adjustRightInd w:val="0"/>
                    <w:snapToGrid w:val="0"/>
                    <w:jc w:val="center"/>
                    <w:rPr>
                      <w:bCs/>
                      <w:color w:val="auto"/>
                      <w:kern w:val="0"/>
                      <w:sz w:val="18"/>
                      <w:szCs w:val="18"/>
                    </w:rPr>
                  </w:pPr>
                  <w:r>
                    <w:rPr>
                      <w:rFonts w:hint="eastAsia"/>
                      <w:color w:val="auto"/>
                      <w:kern w:val="0"/>
                      <w:sz w:val="18"/>
                      <w:szCs w:val="18"/>
                    </w:rPr>
                    <w:t>物料衡算法</w:t>
                  </w:r>
                </w:p>
              </w:tc>
              <w:tc>
                <w:tcPr>
                  <w:tcW w:w="335" w:type="pct"/>
                  <w:noWrap/>
                  <w:vAlign w:val="center"/>
                </w:tcPr>
                <w:p w14:paraId="1E009C2F">
                  <w:pPr>
                    <w:jc w:val="center"/>
                    <w:rPr>
                      <w:bCs/>
                      <w:color w:val="auto"/>
                      <w:sz w:val="18"/>
                      <w:szCs w:val="18"/>
                    </w:rPr>
                  </w:pPr>
                  <w:r>
                    <w:rPr>
                      <w:rFonts w:hint="eastAsia"/>
                      <w:color w:val="auto"/>
                      <w:sz w:val="18"/>
                      <w:szCs w:val="18"/>
                    </w:rPr>
                    <w:t>0.06</w:t>
                  </w:r>
                </w:p>
              </w:tc>
              <w:tc>
                <w:tcPr>
                  <w:tcW w:w="295" w:type="pct"/>
                  <w:noWrap/>
                  <w:vAlign w:val="center"/>
                </w:tcPr>
                <w:p w14:paraId="36D6271B">
                  <w:pPr>
                    <w:adjustRightInd w:val="0"/>
                    <w:snapToGrid w:val="0"/>
                    <w:jc w:val="center"/>
                    <w:rPr>
                      <w:bCs/>
                      <w:color w:val="auto"/>
                      <w:sz w:val="18"/>
                      <w:szCs w:val="18"/>
                    </w:rPr>
                  </w:pPr>
                  <w:r>
                    <w:rPr>
                      <w:rFonts w:hint="eastAsia"/>
                      <w:color w:val="auto"/>
                      <w:sz w:val="18"/>
                      <w:szCs w:val="18"/>
                    </w:rPr>
                    <w:t>0.0008</w:t>
                  </w:r>
                </w:p>
              </w:tc>
              <w:tc>
                <w:tcPr>
                  <w:tcW w:w="305" w:type="pct"/>
                  <w:noWrap/>
                  <w:vAlign w:val="center"/>
                </w:tcPr>
                <w:p w14:paraId="3114E4F8">
                  <w:pPr>
                    <w:adjustRightInd w:val="0"/>
                    <w:snapToGrid w:val="0"/>
                    <w:jc w:val="center"/>
                    <w:rPr>
                      <w:bCs/>
                      <w:color w:val="auto"/>
                      <w:sz w:val="18"/>
                      <w:szCs w:val="18"/>
                    </w:rPr>
                  </w:pPr>
                  <w:r>
                    <w:rPr>
                      <w:rFonts w:hint="eastAsia"/>
                      <w:color w:val="auto"/>
                      <w:sz w:val="18"/>
                      <w:szCs w:val="18"/>
                    </w:rPr>
                    <w:t>0.00304</w:t>
                  </w:r>
                </w:p>
              </w:tc>
              <w:tc>
                <w:tcPr>
                  <w:tcW w:w="387" w:type="pct"/>
                  <w:noWrap/>
                  <w:vAlign w:val="center"/>
                </w:tcPr>
                <w:p w14:paraId="11EF4062">
                  <w:pPr>
                    <w:pStyle w:val="196"/>
                    <w:jc w:val="center"/>
                    <w:rPr>
                      <w:rFonts w:ascii="Times New Roman" w:cs="Times New Roman"/>
                      <w:bCs/>
                      <w:color w:val="auto"/>
                      <w:sz w:val="18"/>
                      <w:szCs w:val="18"/>
                    </w:rPr>
                  </w:pPr>
                  <w:r>
                    <w:rPr>
                      <w:rFonts w:hint="eastAsia" w:ascii="Times New Roman" w:cs="Times New Roman"/>
                      <w:bCs/>
                      <w:color w:val="auto"/>
                      <w:sz w:val="18"/>
                      <w:szCs w:val="18"/>
                    </w:rPr>
                    <w:t>2.0</w:t>
                  </w:r>
                </w:p>
              </w:tc>
              <w:tc>
                <w:tcPr>
                  <w:tcW w:w="428" w:type="pct"/>
                  <w:noWrap/>
                  <w:vAlign w:val="center"/>
                </w:tcPr>
                <w:p w14:paraId="22526ED3">
                  <w:pPr>
                    <w:pStyle w:val="196"/>
                    <w:jc w:val="center"/>
                    <w:rPr>
                      <w:rFonts w:ascii="Times New Roman" w:cs="Times New Roman"/>
                      <w:bCs/>
                      <w:color w:val="auto"/>
                      <w:sz w:val="18"/>
                      <w:szCs w:val="18"/>
                    </w:rPr>
                  </w:pPr>
                  <w:r>
                    <w:rPr>
                      <w:rFonts w:hint="eastAsia" w:ascii="Times New Roman" w:cs="Times New Roman"/>
                      <w:bCs/>
                      <w:color w:val="auto"/>
                      <w:sz w:val="18"/>
                      <w:szCs w:val="18"/>
                    </w:rPr>
                    <w:t>50</w:t>
                  </w:r>
                </w:p>
              </w:tc>
              <w:tc>
                <w:tcPr>
                  <w:tcW w:w="326" w:type="pct"/>
                  <w:noWrap/>
                  <w:vAlign w:val="center"/>
                </w:tcPr>
                <w:p w14:paraId="72252BB3">
                  <w:pPr>
                    <w:adjustRightInd w:val="0"/>
                    <w:snapToGrid w:val="0"/>
                    <w:jc w:val="center"/>
                    <w:rPr>
                      <w:color w:val="auto"/>
                      <w:kern w:val="0"/>
                      <w:sz w:val="18"/>
                      <w:szCs w:val="18"/>
                    </w:rPr>
                  </w:pPr>
                  <w:r>
                    <w:rPr>
                      <w:rFonts w:hint="eastAsia"/>
                      <w:color w:val="auto"/>
                      <w:kern w:val="0"/>
                      <w:sz w:val="18"/>
                      <w:szCs w:val="18"/>
                    </w:rPr>
                    <w:t>3600</w:t>
                  </w:r>
                </w:p>
              </w:tc>
            </w:tr>
            <w:tr w14:paraId="2439B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78E73FCF">
                  <w:pPr>
                    <w:adjustRightInd w:val="0"/>
                    <w:snapToGrid w:val="0"/>
                    <w:jc w:val="center"/>
                    <w:rPr>
                      <w:color w:val="auto"/>
                      <w:kern w:val="0"/>
                      <w:sz w:val="18"/>
                      <w:szCs w:val="18"/>
                    </w:rPr>
                  </w:pPr>
                </w:p>
              </w:tc>
              <w:tc>
                <w:tcPr>
                  <w:tcW w:w="253" w:type="pct"/>
                  <w:noWrap/>
                  <w:vAlign w:val="center"/>
                </w:tcPr>
                <w:p w14:paraId="2ABC2224">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vMerge w:val="continue"/>
                  <w:noWrap/>
                  <w:vAlign w:val="center"/>
                </w:tcPr>
                <w:p w14:paraId="2E384C14">
                  <w:pPr>
                    <w:adjustRightInd w:val="0"/>
                    <w:snapToGrid w:val="0"/>
                    <w:jc w:val="center"/>
                    <w:rPr>
                      <w:color w:val="auto"/>
                      <w:kern w:val="0"/>
                      <w:sz w:val="18"/>
                      <w:szCs w:val="18"/>
                    </w:rPr>
                  </w:pPr>
                </w:p>
              </w:tc>
              <w:tc>
                <w:tcPr>
                  <w:tcW w:w="253" w:type="pct"/>
                  <w:noWrap/>
                  <w:vAlign w:val="center"/>
                </w:tcPr>
                <w:p w14:paraId="7D2BF328">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53277BC2">
                  <w:pPr>
                    <w:jc w:val="center"/>
                    <w:rPr>
                      <w:bCs/>
                      <w:color w:val="auto"/>
                      <w:kern w:val="0"/>
                      <w:sz w:val="18"/>
                      <w:szCs w:val="18"/>
                    </w:rPr>
                  </w:pPr>
                  <w:r>
                    <w:rPr>
                      <w:rFonts w:hint="eastAsia"/>
                      <w:color w:val="auto"/>
                      <w:sz w:val="18"/>
                      <w:szCs w:val="18"/>
                    </w:rPr>
                    <w:t>158.33</w:t>
                  </w:r>
                </w:p>
              </w:tc>
              <w:tc>
                <w:tcPr>
                  <w:tcW w:w="295" w:type="pct"/>
                  <w:noWrap/>
                  <w:vAlign w:val="center"/>
                </w:tcPr>
                <w:p w14:paraId="5FECCBEA">
                  <w:pPr>
                    <w:adjustRightInd w:val="0"/>
                    <w:snapToGrid w:val="0"/>
                    <w:jc w:val="center"/>
                    <w:rPr>
                      <w:bCs/>
                      <w:color w:val="auto"/>
                      <w:kern w:val="0"/>
                      <w:sz w:val="18"/>
                      <w:szCs w:val="18"/>
                    </w:rPr>
                  </w:pPr>
                  <w:r>
                    <w:rPr>
                      <w:rFonts w:hint="eastAsia"/>
                      <w:color w:val="auto"/>
                      <w:sz w:val="18"/>
                      <w:szCs w:val="18"/>
                    </w:rPr>
                    <w:t>1.5833</w:t>
                  </w:r>
                </w:p>
              </w:tc>
              <w:tc>
                <w:tcPr>
                  <w:tcW w:w="305" w:type="pct"/>
                  <w:noWrap/>
                  <w:vAlign w:val="center"/>
                </w:tcPr>
                <w:p w14:paraId="046953F4">
                  <w:pPr>
                    <w:widowControl/>
                    <w:jc w:val="center"/>
                    <w:rPr>
                      <w:bCs/>
                      <w:color w:val="auto"/>
                      <w:kern w:val="0"/>
                      <w:sz w:val="18"/>
                      <w:szCs w:val="18"/>
                    </w:rPr>
                  </w:pPr>
                  <w:r>
                    <w:rPr>
                      <w:rFonts w:hint="eastAsia"/>
                      <w:color w:val="auto"/>
                      <w:kern w:val="0"/>
                      <w:sz w:val="18"/>
                      <w:szCs w:val="18"/>
                    </w:rPr>
                    <w:t>5.7</w:t>
                  </w:r>
                </w:p>
              </w:tc>
              <w:tc>
                <w:tcPr>
                  <w:tcW w:w="510" w:type="pct"/>
                  <w:noWrap/>
                  <w:vAlign w:val="center"/>
                </w:tcPr>
                <w:p w14:paraId="656D1E0D">
                  <w:pPr>
                    <w:widowControl/>
                    <w:adjustRightInd w:val="0"/>
                    <w:snapToGrid w:val="0"/>
                    <w:jc w:val="center"/>
                    <w:rPr>
                      <w:bCs/>
                      <w:color w:val="auto"/>
                      <w:kern w:val="0"/>
                      <w:sz w:val="18"/>
                      <w:szCs w:val="18"/>
                    </w:rPr>
                  </w:pPr>
                  <w:r>
                    <w:rPr>
                      <w:rFonts w:hint="eastAsia"/>
                      <w:color w:val="auto"/>
                      <w:kern w:val="0"/>
                      <w:sz w:val="18"/>
                      <w:szCs w:val="18"/>
                    </w:rPr>
                    <w:t>喷粉回收处置系统</w:t>
                  </w:r>
                </w:p>
              </w:tc>
              <w:tc>
                <w:tcPr>
                  <w:tcW w:w="114" w:type="pct"/>
                  <w:vAlign w:val="center"/>
                </w:tcPr>
                <w:p w14:paraId="2C33A72E">
                  <w:pPr>
                    <w:widowControl/>
                    <w:adjustRightInd w:val="0"/>
                    <w:snapToGrid w:val="0"/>
                    <w:jc w:val="center"/>
                    <w:rPr>
                      <w:color w:val="auto"/>
                      <w:kern w:val="0"/>
                      <w:sz w:val="18"/>
                      <w:szCs w:val="18"/>
                    </w:rPr>
                  </w:pPr>
                  <w:r>
                    <w:rPr>
                      <w:rFonts w:hint="eastAsia"/>
                      <w:color w:val="auto"/>
                      <w:kern w:val="0"/>
                      <w:sz w:val="18"/>
                      <w:szCs w:val="18"/>
                    </w:rPr>
                    <w:t>95</w:t>
                  </w:r>
                </w:p>
              </w:tc>
              <w:tc>
                <w:tcPr>
                  <w:tcW w:w="253" w:type="pct"/>
                  <w:noWrap/>
                  <w:vAlign w:val="center"/>
                </w:tcPr>
                <w:p w14:paraId="35B0FB20">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189E9B39">
                  <w:pPr>
                    <w:jc w:val="center"/>
                    <w:rPr>
                      <w:bCs/>
                      <w:color w:val="auto"/>
                      <w:sz w:val="18"/>
                      <w:szCs w:val="18"/>
                    </w:rPr>
                  </w:pPr>
                  <w:r>
                    <w:rPr>
                      <w:rFonts w:hint="eastAsia"/>
                      <w:color w:val="auto"/>
                      <w:sz w:val="18"/>
                      <w:szCs w:val="18"/>
                    </w:rPr>
                    <w:t>7.92</w:t>
                  </w:r>
                </w:p>
              </w:tc>
              <w:tc>
                <w:tcPr>
                  <w:tcW w:w="295" w:type="pct"/>
                  <w:noWrap/>
                  <w:vAlign w:val="center"/>
                </w:tcPr>
                <w:p w14:paraId="58705008">
                  <w:pPr>
                    <w:adjustRightInd w:val="0"/>
                    <w:snapToGrid w:val="0"/>
                    <w:jc w:val="center"/>
                    <w:rPr>
                      <w:bCs/>
                      <w:color w:val="auto"/>
                      <w:sz w:val="18"/>
                      <w:szCs w:val="18"/>
                    </w:rPr>
                  </w:pPr>
                  <w:r>
                    <w:rPr>
                      <w:rFonts w:hint="eastAsia"/>
                      <w:color w:val="auto"/>
                      <w:sz w:val="18"/>
                      <w:szCs w:val="18"/>
                    </w:rPr>
                    <w:t>0.0792</w:t>
                  </w:r>
                </w:p>
              </w:tc>
              <w:tc>
                <w:tcPr>
                  <w:tcW w:w="305" w:type="pct"/>
                  <w:noWrap/>
                  <w:vAlign w:val="center"/>
                </w:tcPr>
                <w:p w14:paraId="2C9B0483">
                  <w:pPr>
                    <w:widowControl/>
                    <w:jc w:val="center"/>
                    <w:rPr>
                      <w:bCs/>
                      <w:color w:val="auto"/>
                      <w:sz w:val="18"/>
                      <w:szCs w:val="18"/>
                    </w:rPr>
                  </w:pPr>
                  <w:r>
                    <w:rPr>
                      <w:rFonts w:hint="eastAsia"/>
                      <w:color w:val="auto"/>
                      <w:kern w:val="0"/>
                      <w:sz w:val="18"/>
                      <w:szCs w:val="18"/>
                    </w:rPr>
                    <w:t>0.285</w:t>
                  </w:r>
                </w:p>
              </w:tc>
              <w:tc>
                <w:tcPr>
                  <w:tcW w:w="387" w:type="pct"/>
                  <w:noWrap/>
                  <w:vAlign w:val="center"/>
                </w:tcPr>
                <w:p w14:paraId="4863730D">
                  <w:pPr>
                    <w:pStyle w:val="196"/>
                    <w:jc w:val="center"/>
                    <w:rPr>
                      <w:rFonts w:ascii="Times New Roman" w:cs="Times New Roman"/>
                      <w:bCs/>
                      <w:color w:val="auto"/>
                      <w:sz w:val="18"/>
                      <w:szCs w:val="18"/>
                    </w:rPr>
                  </w:pPr>
                  <w:r>
                    <w:rPr>
                      <w:rFonts w:hint="eastAsia" w:ascii="Times New Roman" w:cs="Times New Roman"/>
                      <w:bCs/>
                      <w:color w:val="auto"/>
                      <w:sz w:val="18"/>
                      <w:szCs w:val="18"/>
                    </w:rPr>
                    <w:t>0.4</w:t>
                  </w:r>
                </w:p>
              </w:tc>
              <w:tc>
                <w:tcPr>
                  <w:tcW w:w="428" w:type="pct"/>
                  <w:noWrap/>
                  <w:vAlign w:val="center"/>
                </w:tcPr>
                <w:p w14:paraId="3D333EEF">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326" w:type="pct"/>
                  <w:noWrap/>
                  <w:vAlign w:val="center"/>
                </w:tcPr>
                <w:p w14:paraId="6258013D">
                  <w:pPr>
                    <w:adjustRightInd w:val="0"/>
                    <w:snapToGrid w:val="0"/>
                    <w:jc w:val="center"/>
                    <w:rPr>
                      <w:color w:val="auto"/>
                      <w:kern w:val="0"/>
                      <w:sz w:val="18"/>
                      <w:szCs w:val="18"/>
                    </w:rPr>
                  </w:pPr>
                  <w:r>
                    <w:rPr>
                      <w:rFonts w:hint="eastAsia"/>
                      <w:color w:val="auto"/>
                      <w:kern w:val="0"/>
                      <w:sz w:val="18"/>
                      <w:szCs w:val="18"/>
                    </w:rPr>
                    <w:t>3600</w:t>
                  </w:r>
                </w:p>
              </w:tc>
            </w:tr>
            <w:tr w14:paraId="3852F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37446266">
                  <w:pPr>
                    <w:adjustRightInd w:val="0"/>
                    <w:snapToGrid w:val="0"/>
                    <w:jc w:val="center"/>
                    <w:rPr>
                      <w:color w:val="auto"/>
                      <w:kern w:val="0"/>
                      <w:sz w:val="18"/>
                      <w:szCs w:val="18"/>
                    </w:rPr>
                  </w:pPr>
                </w:p>
              </w:tc>
              <w:tc>
                <w:tcPr>
                  <w:tcW w:w="253" w:type="pct"/>
                  <w:noWrap/>
                  <w:vAlign w:val="center"/>
                </w:tcPr>
                <w:p w14:paraId="03707469">
                  <w:pPr>
                    <w:widowControl/>
                    <w:adjustRightInd w:val="0"/>
                    <w:snapToGrid w:val="0"/>
                    <w:jc w:val="center"/>
                    <w:rPr>
                      <w:color w:val="auto"/>
                      <w:kern w:val="0"/>
                      <w:sz w:val="18"/>
                      <w:szCs w:val="18"/>
                    </w:rPr>
                  </w:pPr>
                  <w:r>
                    <w:rPr>
                      <w:rFonts w:hint="eastAsia"/>
                      <w:color w:val="auto"/>
                      <w:kern w:val="0"/>
                      <w:sz w:val="18"/>
                      <w:szCs w:val="18"/>
                      <w:lang w:eastAsia="zh-CN"/>
                    </w:rPr>
                    <w:t>二、</w:t>
                  </w:r>
                  <w:r>
                    <w:rPr>
                      <w:rFonts w:hint="eastAsia"/>
                      <w:color w:val="auto"/>
                      <w:kern w:val="0"/>
                      <w:sz w:val="18"/>
                      <w:szCs w:val="18"/>
                    </w:rPr>
                    <w:t>氧化硫</w:t>
                  </w:r>
                </w:p>
              </w:tc>
              <w:tc>
                <w:tcPr>
                  <w:tcW w:w="438" w:type="pct"/>
                  <w:vMerge w:val="continue"/>
                  <w:noWrap/>
                  <w:vAlign w:val="center"/>
                </w:tcPr>
                <w:p w14:paraId="5FD351B5">
                  <w:pPr>
                    <w:adjustRightInd w:val="0"/>
                    <w:snapToGrid w:val="0"/>
                    <w:jc w:val="center"/>
                    <w:rPr>
                      <w:color w:val="auto"/>
                      <w:kern w:val="0"/>
                      <w:sz w:val="18"/>
                      <w:szCs w:val="18"/>
                    </w:rPr>
                  </w:pPr>
                </w:p>
              </w:tc>
              <w:tc>
                <w:tcPr>
                  <w:tcW w:w="253" w:type="pct"/>
                  <w:noWrap/>
                  <w:vAlign w:val="center"/>
                </w:tcPr>
                <w:p w14:paraId="7972562B">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51EE9367">
                  <w:pPr>
                    <w:jc w:val="center"/>
                    <w:rPr>
                      <w:bCs/>
                      <w:color w:val="auto"/>
                      <w:kern w:val="0"/>
                      <w:sz w:val="18"/>
                      <w:szCs w:val="18"/>
                    </w:rPr>
                  </w:pPr>
                  <w:r>
                    <w:rPr>
                      <w:rFonts w:hint="eastAsia"/>
                      <w:color w:val="auto"/>
                      <w:sz w:val="18"/>
                      <w:szCs w:val="18"/>
                    </w:rPr>
                    <w:t>0.12</w:t>
                  </w:r>
                </w:p>
              </w:tc>
              <w:tc>
                <w:tcPr>
                  <w:tcW w:w="295" w:type="pct"/>
                  <w:noWrap/>
                  <w:vAlign w:val="center"/>
                </w:tcPr>
                <w:p w14:paraId="112A7AFF">
                  <w:pPr>
                    <w:adjustRightInd w:val="0"/>
                    <w:snapToGrid w:val="0"/>
                    <w:jc w:val="center"/>
                    <w:rPr>
                      <w:bCs/>
                      <w:color w:val="auto"/>
                      <w:kern w:val="0"/>
                      <w:sz w:val="18"/>
                      <w:szCs w:val="18"/>
                    </w:rPr>
                  </w:pPr>
                  <w:r>
                    <w:rPr>
                      <w:rFonts w:hint="eastAsia"/>
                      <w:color w:val="auto"/>
                      <w:sz w:val="18"/>
                      <w:szCs w:val="18"/>
                    </w:rPr>
                    <w:t>0.0016</w:t>
                  </w:r>
                </w:p>
              </w:tc>
              <w:tc>
                <w:tcPr>
                  <w:tcW w:w="305" w:type="pct"/>
                  <w:noWrap/>
                  <w:vAlign w:val="center"/>
                </w:tcPr>
                <w:p w14:paraId="7ED08378">
                  <w:pPr>
                    <w:widowControl/>
                    <w:jc w:val="center"/>
                    <w:rPr>
                      <w:bCs/>
                      <w:color w:val="auto"/>
                      <w:kern w:val="0"/>
                      <w:sz w:val="18"/>
                      <w:szCs w:val="18"/>
                    </w:rPr>
                  </w:pPr>
                  <w:r>
                    <w:rPr>
                      <w:rFonts w:hint="eastAsia"/>
                      <w:color w:val="auto"/>
                      <w:kern w:val="0"/>
                      <w:sz w:val="18"/>
                      <w:szCs w:val="18"/>
                    </w:rPr>
                    <w:t>0.00588</w:t>
                  </w:r>
                </w:p>
              </w:tc>
              <w:tc>
                <w:tcPr>
                  <w:tcW w:w="510" w:type="pct"/>
                  <w:vMerge w:val="restart"/>
                  <w:noWrap/>
                  <w:vAlign w:val="center"/>
                </w:tcPr>
                <w:p w14:paraId="5609357F">
                  <w:pPr>
                    <w:widowControl/>
                    <w:adjustRightInd w:val="0"/>
                    <w:snapToGrid w:val="0"/>
                    <w:jc w:val="center"/>
                    <w:rPr>
                      <w:bCs/>
                      <w:color w:val="auto"/>
                      <w:kern w:val="0"/>
                      <w:sz w:val="18"/>
                      <w:szCs w:val="18"/>
                    </w:rPr>
                  </w:pPr>
                  <w:r>
                    <w:rPr>
                      <w:rFonts w:hint="eastAsia"/>
                      <w:bCs/>
                      <w:color w:val="auto"/>
                      <w:kern w:val="0"/>
                      <w:sz w:val="18"/>
                      <w:szCs w:val="18"/>
                    </w:rPr>
                    <w:t>直排</w:t>
                  </w:r>
                </w:p>
              </w:tc>
              <w:tc>
                <w:tcPr>
                  <w:tcW w:w="114" w:type="pct"/>
                  <w:vAlign w:val="center"/>
                </w:tcPr>
                <w:p w14:paraId="7C6ABACE">
                  <w:pPr>
                    <w:widowControl/>
                    <w:adjustRightInd w:val="0"/>
                    <w:snapToGrid w:val="0"/>
                    <w:jc w:val="center"/>
                    <w:rPr>
                      <w:color w:val="auto"/>
                      <w:kern w:val="0"/>
                      <w:sz w:val="18"/>
                      <w:szCs w:val="18"/>
                    </w:rPr>
                  </w:pPr>
                  <w:r>
                    <w:rPr>
                      <w:rFonts w:hint="eastAsia"/>
                      <w:color w:val="auto"/>
                      <w:kern w:val="0"/>
                      <w:sz w:val="18"/>
                      <w:szCs w:val="18"/>
                    </w:rPr>
                    <w:t>0</w:t>
                  </w:r>
                </w:p>
              </w:tc>
              <w:tc>
                <w:tcPr>
                  <w:tcW w:w="253" w:type="pct"/>
                  <w:noWrap/>
                  <w:vAlign w:val="center"/>
                </w:tcPr>
                <w:p w14:paraId="0BD1C080">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5EB6629D">
                  <w:pPr>
                    <w:jc w:val="center"/>
                    <w:rPr>
                      <w:bCs/>
                      <w:color w:val="auto"/>
                      <w:sz w:val="18"/>
                      <w:szCs w:val="18"/>
                    </w:rPr>
                  </w:pPr>
                  <w:r>
                    <w:rPr>
                      <w:rFonts w:hint="eastAsia"/>
                      <w:color w:val="auto"/>
                      <w:sz w:val="18"/>
                      <w:szCs w:val="18"/>
                    </w:rPr>
                    <w:t>0.12</w:t>
                  </w:r>
                </w:p>
              </w:tc>
              <w:tc>
                <w:tcPr>
                  <w:tcW w:w="295" w:type="pct"/>
                  <w:noWrap/>
                  <w:vAlign w:val="center"/>
                </w:tcPr>
                <w:p w14:paraId="14FD0AC8">
                  <w:pPr>
                    <w:adjustRightInd w:val="0"/>
                    <w:snapToGrid w:val="0"/>
                    <w:jc w:val="center"/>
                    <w:rPr>
                      <w:bCs/>
                      <w:color w:val="auto"/>
                      <w:sz w:val="18"/>
                      <w:szCs w:val="18"/>
                    </w:rPr>
                  </w:pPr>
                  <w:r>
                    <w:rPr>
                      <w:rFonts w:hint="eastAsia"/>
                      <w:color w:val="auto"/>
                      <w:sz w:val="18"/>
                      <w:szCs w:val="18"/>
                    </w:rPr>
                    <w:t>0.0016</w:t>
                  </w:r>
                </w:p>
              </w:tc>
              <w:tc>
                <w:tcPr>
                  <w:tcW w:w="305" w:type="pct"/>
                  <w:noWrap/>
                  <w:vAlign w:val="center"/>
                </w:tcPr>
                <w:p w14:paraId="35E1C42C">
                  <w:pPr>
                    <w:widowControl/>
                    <w:jc w:val="center"/>
                    <w:rPr>
                      <w:bCs/>
                      <w:color w:val="auto"/>
                      <w:sz w:val="18"/>
                      <w:szCs w:val="18"/>
                    </w:rPr>
                  </w:pPr>
                  <w:r>
                    <w:rPr>
                      <w:rFonts w:hint="eastAsia"/>
                      <w:color w:val="auto"/>
                      <w:kern w:val="0"/>
                      <w:sz w:val="18"/>
                      <w:szCs w:val="18"/>
                    </w:rPr>
                    <w:t>0.00588</w:t>
                  </w:r>
                </w:p>
              </w:tc>
              <w:tc>
                <w:tcPr>
                  <w:tcW w:w="387" w:type="pct"/>
                  <w:noWrap/>
                  <w:vAlign w:val="center"/>
                </w:tcPr>
                <w:p w14:paraId="59B91174">
                  <w:pPr>
                    <w:pStyle w:val="196"/>
                    <w:jc w:val="center"/>
                    <w:rPr>
                      <w:rFonts w:ascii="Times New Roman" w:cs="Times New Roman"/>
                      <w:bCs/>
                      <w:color w:val="auto"/>
                      <w:sz w:val="18"/>
                      <w:szCs w:val="18"/>
                    </w:rPr>
                  </w:pPr>
                  <w:r>
                    <w:rPr>
                      <w:rFonts w:hint="eastAsia" w:ascii="Times New Roman" w:cs="Times New Roman"/>
                      <w:bCs/>
                      <w:color w:val="auto"/>
                      <w:sz w:val="18"/>
                      <w:szCs w:val="18"/>
                    </w:rPr>
                    <w:t>/</w:t>
                  </w:r>
                </w:p>
              </w:tc>
              <w:tc>
                <w:tcPr>
                  <w:tcW w:w="428" w:type="pct"/>
                  <w:noWrap/>
                  <w:vAlign w:val="center"/>
                </w:tcPr>
                <w:p w14:paraId="0B528BD4">
                  <w:pPr>
                    <w:adjustRightInd w:val="0"/>
                    <w:snapToGrid w:val="0"/>
                    <w:jc w:val="center"/>
                    <w:rPr>
                      <w:bCs/>
                      <w:color w:val="auto"/>
                      <w:sz w:val="18"/>
                      <w:szCs w:val="18"/>
                    </w:rPr>
                  </w:pPr>
                  <w:r>
                    <w:rPr>
                      <w:rFonts w:hint="eastAsia"/>
                      <w:color w:val="auto"/>
                      <w:sz w:val="18"/>
                      <w:szCs w:val="18"/>
                    </w:rPr>
                    <w:t>80</w:t>
                  </w:r>
                </w:p>
              </w:tc>
              <w:tc>
                <w:tcPr>
                  <w:tcW w:w="326" w:type="pct"/>
                  <w:noWrap/>
                  <w:vAlign w:val="center"/>
                </w:tcPr>
                <w:p w14:paraId="5224BAE5">
                  <w:pPr>
                    <w:adjustRightInd w:val="0"/>
                    <w:snapToGrid w:val="0"/>
                    <w:jc w:val="center"/>
                    <w:rPr>
                      <w:color w:val="auto"/>
                      <w:kern w:val="0"/>
                      <w:sz w:val="18"/>
                      <w:szCs w:val="18"/>
                    </w:rPr>
                  </w:pPr>
                  <w:r>
                    <w:rPr>
                      <w:rFonts w:hint="eastAsia"/>
                      <w:color w:val="auto"/>
                      <w:kern w:val="0"/>
                      <w:sz w:val="18"/>
                      <w:szCs w:val="18"/>
                    </w:rPr>
                    <w:t>3600</w:t>
                  </w:r>
                </w:p>
              </w:tc>
            </w:tr>
            <w:tr w14:paraId="3E474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456A5B2B">
                  <w:pPr>
                    <w:adjustRightInd w:val="0"/>
                    <w:snapToGrid w:val="0"/>
                    <w:jc w:val="center"/>
                    <w:rPr>
                      <w:color w:val="auto"/>
                      <w:kern w:val="0"/>
                      <w:sz w:val="18"/>
                      <w:szCs w:val="18"/>
                    </w:rPr>
                  </w:pPr>
                </w:p>
              </w:tc>
              <w:tc>
                <w:tcPr>
                  <w:tcW w:w="253" w:type="pct"/>
                  <w:noWrap/>
                  <w:vAlign w:val="center"/>
                </w:tcPr>
                <w:p w14:paraId="25F21B00">
                  <w:pPr>
                    <w:widowControl/>
                    <w:adjustRightInd w:val="0"/>
                    <w:snapToGrid w:val="0"/>
                    <w:jc w:val="center"/>
                    <w:rPr>
                      <w:color w:val="auto"/>
                      <w:kern w:val="0"/>
                      <w:sz w:val="18"/>
                      <w:szCs w:val="18"/>
                    </w:rPr>
                  </w:pPr>
                  <w:r>
                    <w:rPr>
                      <w:rFonts w:hint="eastAsia"/>
                      <w:color w:val="auto"/>
                      <w:kern w:val="0"/>
                      <w:sz w:val="18"/>
                      <w:szCs w:val="18"/>
                    </w:rPr>
                    <w:t>氮氧化物</w:t>
                  </w:r>
                </w:p>
              </w:tc>
              <w:tc>
                <w:tcPr>
                  <w:tcW w:w="438" w:type="pct"/>
                  <w:vMerge w:val="continue"/>
                  <w:noWrap/>
                  <w:vAlign w:val="center"/>
                </w:tcPr>
                <w:p w14:paraId="0B49FC46">
                  <w:pPr>
                    <w:adjustRightInd w:val="0"/>
                    <w:snapToGrid w:val="0"/>
                    <w:jc w:val="center"/>
                    <w:rPr>
                      <w:color w:val="auto"/>
                      <w:kern w:val="0"/>
                      <w:sz w:val="18"/>
                      <w:szCs w:val="18"/>
                    </w:rPr>
                  </w:pPr>
                </w:p>
              </w:tc>
              <w:tc>
                <w:tcPr>
                  <w:tcW w:w="253" w:type="pct"/>
                  <w:noWrap/>
                  <w:vAlign w:val="center"/>
                </w:tcPr>
                <w:p w14:paraId="0ECE3DE4">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6AC3128C">
                  <w:pPr>
                    <w:jc w:val="center"/>
                    <w:rPr>
                      <w:bCs/>
                      <w:color w:val="auto"/>
                      <w:kern w:val="0"/>
                      <w:sz w:val="18"/>
                      <w:szCs w:val="18"/>
                    </w:rPr>
                  </w:pPr>
                  <w:r>
                    <w:rPr>
                      <w:rFonts w:hint="eastAsia"/>
                      <w:color w:val="auto"/>
                      <w:sz w:val="18"/>
                      <w:szCs w:val="18"/>
                    </w:rPr>
                    <w:t>5.63</w:t>
                  </w:r>
                </w:p>
              </w:tc>
              <w:tc>
                <w:tcPr>
                  <w:tcW w:w="295" w:type="pct"/>
                  <w:noWrap/>
                  <w:vAlign w:val="center"/>
                </w:tcPr>
                <w:p w14:paraId="377FF3F2">
                  <w:pPr>
                    <w:adjustRightInd w:val="0"/>
                    <w:snapToGrid w:val="0"/>
                    <w:jc w:val="center"/>
                    <w:rPr>
                      <w:bCs/>
                      <w:color w:val="auto"/>
                      <w:kern w:val="0"/>
                      <w:sz w:val="18"/>
                      <w:szCs w:val="18"/>
                    </w:rPr>
                  </w:pPr>
                  <w:r>
                    <w:rPr>
                      <w:rFonts w:hint="eastAsia"/>
                      <w:color w:val="auto"/>
                      <w:sz w:val="18"/>
                      <w:szCs w:val="18"/>
                    </w:rPr>
                    <w:t>0.0764</w:t>
                  </w:r>
                </w:p>
              </w:tc>
              <w:tc>
                <w:tcPr>
                  <w:tcW w:w="305" w:type="pct"/>
                  <w:noWrap/>
                  <w:vAlign w:val="center"/>
                </w:tcPr>
                <w:p w14:paraId="17455642">
                  <w:pPr>
                    <w:widowControl/>
                    <w:jc w:val="center"/>
                    <w:rPr>
                      <w:bCs/>
                      <w:color w:val="auto"/>
                      <w:kern w:val="0"/>
                      <w:sz w:val="18"/>
                      <w:szCs w:val="18"/>
                    </w:rPr>
                  </w:pPr>
                  <w:r>
                    <w:rPr>
                      <w:rFonts w:hint="eastAsia"/>
                      <w:color w:val="auto"/>
                      <w:kern w:val="0"/>
                      <w:sz w:val="18"/>
                      <w:szCs w:val="18"/>
                    </w:rPr>
                    <w:t>0.27489</w:t>
                  </w:r>
                </w:p>
              </w:tc>
              <w:tc>
                <w:tcPr>
                  <w:tcW w:w="510" w:type="pct"/>
                  <w:vMerge w:val="continue"/>
                  <w:noWrap/>
                  <w:vAlign w:val="center"/>
                </w:tcPr>
                <w:p w14:paraId="09669455">
                  <w:pPr>
                    <w:widowControl/>
                    <w:adjustRightInd w:val="0"/>
                    <w:snapToGrid w:val="0"/>
                    <w:jc w:val="center"/>
                    <w:rPr>
                      <w:bCs/>
                      <w:color w:val="auto"/>
                      <w:kern w:val="0"/>
                      <w:sz w:val="18"/>
                      <w:szCs w:val="18"/>
                    </w:rPr>
                  </w:pPr>
                </w:p>
              </w:tc>
              <w:tc>
                <w:tcPr>
                  <w:tcW w:w="114" w:type="pct"/>
                  <w:vAlign w:val="center"/>
                </w:tcPr>
                <w:p w14:paraId="395DEEE2">
                  <w:pPr>
                    <w:widowControl/>
                    <w:adjustRightInd w:val="0"/>
                    <w:snapToGrid w:val="0"/>
                    <w:jc w:val="center"/>
                    <w:rPr>
                      <w:color w:val="auto"/>
                      <w:kern w:val="0"/>
                      <w:sz w:val="18"/>
                      <w:szCs w:val="18"/>
                    </w:rPr>
                  </w:pPr>
                  <w:r>
                    <w:rPr>
                      <w:rFonts w:hint="eastAsia"/>
                      <w:color w:val="auto"/>
                      <w:kern w:val="0"/>
                      <w:sz w:val="18"/>
                      <w:szCs w:val="18"/>
                    </w:rPr>
                    <w:t>0</w:t>
                  </w:r>
                </w:p>
              </w:tc>
              <w:tc>
                <w:tcPr>
                  <w:tcW w:w="253" w:type="pct"/>
                  <w:noWrap/>
                  <w:vAlign w:val="center"/>
                </w:tcPr>
                <w:p w14:paraId="63EE1C62">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5F330C76">
                  <w:pPr>
                    <w:jc w:val="center"/>
                    <w:rPr>
                      <w:bCs/>
                      <w:color w:val="auto"/>
                      <w:sz w:val="18"/>
                      <w:szCs w:val="18"/>
                    </w:rPr>
                  </w:pPr>
                  <w:r>
                    <w:rPr>
                      <w:rFonts w:hint="eastAsia"/>
                      <w:color w:val="auto"/>
                      <w:sz w:val="18"/>
                      <w:szCs w:val="18"/>
                    </w:rPr>
                    <w:t>5.63</w:t>
                  </w:r>
                </w:p>
              </w:tc>
              <w:tc>
                <w:tcPr>
                  <w:tcW w:w="295" w:type="pct"/>
                  <w:noWrap/>
                  <w:vAlign w:val="center"/>
                </w:tcPr>
                <w:p w14:paraId="196FC358">
                  <w:pPr>
                    <w:adjustRightInd w:val="0"/>
                    <w:snapToGrid w:val="0"/>
                    <w:jc w:val="center"/>
                    <w:rPr>
                      <w:bCs/>
                      <w:color w:val="auto"/>
                      <w:sz w:val="18"/>
                      <w:szCs w:val="18"/>
                    </w:rPr>
                  </w:pPr>
                  <w:r>
                    <w:rPr>
                      <w:rFonts w:hint="eastAsia"/>
                      <w:color w:val="auto"/>
                      <w:sz w:val="18"/>
                      <w:szCs w:val="18"/>
                    </w:rPr>
                    <w:t>0.0764</w:t>
                  </w:r>
                </w:p>
              </w:tc>
              <w:tc>
                <w:tcPr>
                  <w:tcW w:w="305" w:type="pct"/>
                  <w:noWrap/>
                  <w:vAlign w:val="center"/>
                </w:tcPr>
                <w:p w14:paraId="168082E6">
                  <w:pPr>
                    <w:widowControl/>
                    <w:jc w:val="center"/>
                    <w:rPr>
                      <w:bCs/>
                      <w:color w:val="auto"/>
                      <w:sz w:val="18"/>
                      <w:szCs w:val="18"/>
                    </w:rPr>
                  </w:pPr>
                  <w:r>
                    <w:rPr>
                      <w:rFonts w:hint="eastAsia"/>
                      <w:color w:val="auto"/>
                      <w:kern w:val="0"/>
                      <w:sz w:val="18"/>
                      <w:szCs w:val="18"/>
                    </w:rPr>
                    <w:t>0.27489</w:t>
                  </w:r>
                </w:p>
              </w:tc>
              <w:tc>
                <w:tcPr>
                  <w:tcW w:w="387" w:type="pct"/>
                  <w:noWrap/>
                  <w:vAlign w:val="center"/>
                </w:tcPr>
                <w:p w14:paraId="51429ED4">
                  <w:pPr>
                    <w:pStyle w:val="196"/>
                    <w:jc w:val="center"/>
                    <w:rPr>
                      <w:rFonts w:ascii="Times New Roman" w:cs="Times New Roman"/>
                      <w:bCs/>
                      <w:color w:val="auto"/>
                      <w:sz w:val="18"/>
                      <w:szCs w:val="18"/>
                    </w:rPr>
                  </w:pPr>
                  <w:r>
                    <w:rPr>
                      <w:rFonts w:hint="eastAsia" w:ascii="Times New Roman" w:cs="Times New Roman"/>
                      <w:bCs/>
                      <w:color w:val="auto"/>
                      <w:sz w:val="18"/>
                      <w:szCs w:val="18"/>
                    </w:rPr>
                    <w:t>/</w:t>
                  </w:r>
                </w:p>
              </w:tc>
              <w:tc>
                <w:tcPr>
                  <w:tcW w:w="428" w:type="pct"/>
                  <w:noWrap/>
                  <w:vAlign w:val="center"/>
                </w:tcPr>
                <w:p w14:paraId="05EBB5C3">
                  <w:pPr>
                    <w:adjustRightInd w:val="0"/>
                    <w:snapToGrid w:val="0"/>
                    <w:jc w:val="center"/>
                    <w:rPr>
                      <w:bCs/>
                      <w:color w:val="auto"/>
                      <w:sz w:val="18"/>
                      <w:szCs w:val="18"/>
                    </w:rPr>
                  </w:pPr>
                  <w:r>
                    <w:rPr>
                      <w:rFonts w:hint="eastAsia"/>
                      <w:color w:val="auto"/>
                      <w:sz w:val="18"/>
                      <w:szCs w:val="18"/>
                    </w:rPr>
                    <w:t>180</w:t>
                  </w:r>
                </w:p>
              </w:tc>
              <w:tc>
                <w:tcPr>
                  <w:tcW w:w="326" w:type="pct"/>
                  <w:noWrap/>
                  <w:vAlign w:val="center"/>
                </w:tcPr>
                <w:p w14:paraId="39252874">
                  <w:pPr>
                    <w:adjustRightInd w:val="0"/>
                    <w:snapToGrid w:val="0"/>
                    <w:jc w:val="center"/>
                    <w:rPr>
                      <w:color w:val="auto"/>
                      <w:kern w:val="0"/>
                      <w:sz w:val="18"/>
                      <w:szCs w:val="18"/>
                    </w:rPr>
                  </w:pPr>
                  <w:r>
                    <w:rPr>
                      <w:rFonts w:hint="eastAsia"/>
                      <w:color w:val="auto"/>
                      <w:kern w:val="0"/>
                      <w:sz w:val="18"/>
                      <w:szCs w:val="18"/>
                    </w:rPr>
                    <w:t>3600</w:t>
                  </w:r>
                </w:p>
              </w:tc>
            </w:tr>
            <w:tr w14:paraId="22A51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185F20E4">
                  <w:pPr>
                    <w:adjustRightInd w:val="0"/>
                    <w:snapToGrid w:val="0"/>
                    <w:jc w:val="center"/>
                    <w:rPr>
                      <w:color w:val="auto"/>
                      <w:kern w:val="0"/>
                      <w:sz w:val="18"/>
                      <w:szCs w:val="18"/>
                    </w:rPr>
                  </w:pPr>
                </w:p>
              </w:tc>
              <w:tc>
                <w:tcPr>
                  <w:tcW w:w="253" w:type="pct"/>
                  <w:noWrap/>
                  <w:vAlign w:val="center"/>
                </w:tcPr>
                <w:p w14:paraId="303F68FC">
                  <w:pPr>
                    <w:widowControl/>
                    <w:adjustRightInd w:val="0"/>
                    <w:snapToGrid w:val="0"/>
                    <w:jc w:val="center"/>
                    <w:rPr>
                      <w:color w:val="auto"/>
                      <w:kern w:val="0"/>
                      <w:sz w:val="18"/>
                      <w:szCs w:val="18"/>
                    </w:rPr>
                  </w:pPr>
                  <w:r>
                    <w:rPr>
                      <w:rFonts w:hint="eastAsia"/>
                      <w:color w:val="auto"/>
                      <w:kern w:val="0"/>
                      <w:sz w:val="18"/>
                      <w:szCs w:val="18"/>
                    </w:rPr>
                    <w:t>颗粒物</w:t>
                  </w:r>
                </w:p>
              </w:tc>
              <w:tc>
                <w:tcPr>
                  <w:tcW w:w="438" w:type="pct"/>
                  <w:vMerge w:val="continue"/>
                  <w:noWrap/>
                  <w:vAlign w:val="center"/>
                </w:tcPr>
                <w:p w14:paraId="2F3A97C2">
                  <w:pPr>
                    <w:adjustRightInd w:val="0"/>
                    <w:snapToGrid w:val="0"/>
                    <w:jc w:val="center"/>
                    <w:rPr>
                      <w:color w:val="auto"/>
                      <w:kern w:val="0"/>
                      <w:sz w:val="18"/>
                      <w:szCs w:val="18"/>
                    </w:rPr>
                  </w:pPr>
                </w:p>
              </w:tc>
              <w:tc>
                <w:tcPr>
                  <w:tcW w:w="253" w:type="pct"/>
                  <w:noWrap/>
                  <w:vAlign w:val="center"/>
                </w:tcPr>
                <w:p w14:paraId="45859366">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6C895E78">
                  <w:pPr>
                    <w:jc w:val="center"/>
                    <w:rPr>
                      <w:bCs/>
                      <w:color w:val="auto"/>
                      <w:kern w:val="0"/>
                      <w:sz w:val="18"/>
                      <w:szCs w:val="18"/>
                    </w:rPr>
                  </w:pPr>
                  <w:r>
                    <w:rPr>
                      <w:rFonts w:hint="eastAsia"/>
                      <w:color w:val="auto"/>
                      <w:sz w:val="18"/>
                      <w:szCs w:val="18"/>
                    </w:rPr>
                    <w:t>0.86</w:t>
                  </w:r>
                </w:p>
              </w:tc>
              <w:tc>
                <w:tcPr>
                  <w:tcW w:w="295" w:type="pct"/>
                  <w:noWrap/>
                  <w:vAlign w:val="center"/>
                </w:tcPr>
                <w:p w14:paraId="60877BBC">
                  <w:pPr>
                    <w:adjustRightInd w:val="0"/>
                    <w:snapToGrid w:val="0"/>
                    <w:jc w:val="center"/>
                    <w:rPr>
                      <w:bCs/>
                      <w:color w:val="auto"/>
                      <w:kern w:val="0"/>
                      <w:sz w:val="18"/>
                      <w:szCs w:val="18"/>
                    </w:rPr>
                  </w:pPr>
                  <w:r>
                    <w:rPr>
                      <w:rFonts w:hint="eastAsia"/>
                      <w:color w:val="auto"/>
                      <w:sz w:val="18"/>
                      <w:szCs w:val="18"/>
                    </w:rPr>
                    <w:t>0.0117</w:t>
                  </w:r>
                </w:p>
              </w:tc>
              <w:tc>
                <w:tcPr>
                  <w:tcW w:w="305" w:type="pct"/>
                  <w:noWrap/>
                  <w:vAlign w:val="center"/>
                </w:tcPr>
                <w:p w14:paraId="0A735A62">
                  <w:pPr>
                    <w:widowControl/>
                    <w:jc w:val="center"/>
                    <w:rPr>
                      <w:bCs/>
                      <w:color w:val="auto"/>
                      <w:kern w:val="0"/>
                      <w:sz w:val="18"/>
                      <w:szCs w:val="18"/>
                    </w:rPr>
                  </w:pPr>
                  <w:r>
                    <w:rPr>
                      <w:rFonts w:hint="eastAsia"/>
                      <w:color w:val="auto"/>
                      <w:kern w:val="0"/>
                      <w:sz w:val="18"/>
                      <w:szCs w:val="18"/>
                    </w:rPr>
                    <w:t>0.0420</w:t>
                  </w:r>
                </w:p>
              </w:tc>
              <w:tc>
                <w:tcPr>
                  <w:tcW w:w="510" w:type="pct"/>
                  <w:vMerge w:val="continue"/>
                  <w:noWrap/>
                  <w:vAlign w:val="center"/>
                </w:tcPr>
                <w:p w14:paraId="42123E8B">
                  <w:pPr>
                    <w:widowControl/>
                    <w:adjustRightInd w:val="0"/>
                    <w:snapToGrid w:val="0"/>
                    <w:jc w:val="center"/>
                    <w:rPr>
                      <w:bCs/>
                      <w:color w:val="auto"/>
                      <w:kern w:val="0"/>
                      <w:sz w:val="18"/>
                      <w:szCs w:val="18"/>
                    </w:rPr>
                  </w:pPr>
                </w:p>
              </w:tc>
              <w:tc>
                <w:tcPr>
                  <w:tcW w:w="114" w:type="pct"/>
                  <w:vAlign w:val="center"/>
                </w:tcPr>
                <w:p w14:paraId="215D325A">
                  <w:pPr>
                    <w:widowControl/>
                    <w:adjustRightInd w:val="0"/>
                    <w:snapToGrid w:val="0"/>
                    <w:jc w:val="center"/>
                    <w:rPr>
                      <w:color w:val="auto"/>
                      <w:kern w:val="0"/>
                      <w:sz w:val="18"/>
                      <w:szCs w:val="18"/>
                    </w:rPr>
                  </w:pPr>
                  <w:r>
                    <w:rPr>
                      <w:rFonts w:hint="eastAsia"/>
                      <w:color w:val="auto"/>
                      <w:kern w:val="0"/>
                      <w:sz w:val="18"/>
                      <w:szCs w:val="18"/>
                    </w:rPr>
                    <w:t>0</w:t>
                  </w:r>
                </w:p>
              </w:tc>
              <w:tc>
                <w:tcPr>
                  <w:tcW w:w="253" w:type="pct"/>
                  <w:noWrap/>
                  <w:vAlign w:val="center"/>
                </w:tcPr>
                <w:p w14:paraId="0FCAF8F6">
                  <w:pPr>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67B628A5">
                  <w:pPr>
                    <w:jc w:val="center"/>
                    <w:rPr>
                      <w:bCs/>
                      <w:color w:val="auto"/>
                      <w:sz w:val="18"/>
                      <w:szCs w:val="18"/>
                    </w:rPr>
                  </w:pPr>
                  <w:r>
                    <w:rPr>
                      <w:rFonts w:hint="eastAsia"/>
                      <w:color w:val="auto"/>
                      <w:sz w:val="18"/>
                      <w:szCs w:val="18"/>
                    </w:rPr>
                    <w:t>0.86</w:t>
                  </w:r>
                </w:p>
              </w:tc>
              <w:tc>
                <w:tcPr>
                  <w:tcW w:w="295" w:type="pct"/>
                  <w:noWrap/>
                  <w:vAlign w:val="center"/>
                </w:tcPr>
                <w:p w14:paraId="38D65097">
                  <w:pPr>
                    <w:adjustRightInd w:val="0"/>
                    <w:snapToGrid w:val="0"/>
                    <w:jc w:val="center"/>
                    <w:rPr>
                      <w:bCs/>
                      <w:color w:val="auto"/>
                      <w:sz w:val="18"/>
                      <w:szCs w:val="18"/>
                    </w:rPr>
                  </w:pPr>
                  <w:r>
                    <w:rPr>
                      <w:rFonts w:hint="eastAsia"/>
                      <w:color w:val="auto"/>
                      <w:sz w:val="18"/>
                      <w:szCs w:val="18"/>
                    </w:rPr>
                    <w:t>0.0117</w:t>
                  </w:r>
                </w:p>
              </w:tc>
              <w:tc>
                <w:tcPr>
                  <w:tcW w:w="305" w:type="pct"/>
                  <w:noWrap/>
                  <w:vAlign w:val="center"/>
                </w:tcPr>
                <w:p w14:paraId="47D75E25">
                  <w:pPr>
                    <w:widowControl/>
                    <w:jc w:val="center"/>
                    <w:rPr>
                      <w:bCs/>
                      <w:color w:val="auto"/>
                      <w:sz w:val="18"/>
                      <w:szCs w:val="18"/>
                    </w:rPr>
                  </w:pPr>
                  <w:r>
                    <w:rPr>
                      <w:rFonts w:hint="eastAsia"/>
                      <w:color w:val="auto"/>
                      <w:kern w:val="0"/>
                      <w:sz w:val="18"/>
                      <w:szCs w:val="18"/>
                    </w:rPr>
                    <w:t>0.0420</w:t>
                  </w:r>
                </w:p>
              </w:tc>
              <w:tc>
                <w:tcPr>
                  <w:tcW w:w="387" w:type="pct"/>
                  <w:noWrap/>
                  <w:vAlign w:val="center"/>
                </w:tcPr>
                <w:p w14:paraId="219208C7">
                  <w:pPr>
                    <w:pStyle w:val="196"/>
                    <w:jc w:val="center"/>
                    <w:rPr>
                      <w:rFonts w:ascii="Times New Roman" w:cs="Times New Roman"/>
                      <w:bCs/>
                      <w:color w:val="auto"/>
                      <w:sz w:val="18"/>
                      <w:szCs w:val="18"/>
                    </w:rPr>
                  </w:pPr>
                  <w:r>
                    <w:rPr>
                      <w:rFonts w:hint="eastAsia" w:ascii="Times New Roman" w:cs="Times New Roman"/>
                      <w:bCs/>
                      <w:color w:val="auto"/>
                      <w:sz w:val="18"/>
                      <w:szCs w:val="18"/>
                    </w:rPr>
                    <w:t>/</w:t>
                  </w:r>
                </w:p>
              </w:tc>
              <w:tc>
                <w:tcPr>
                  <w:tcW w:w="428" w:type="pct"/>
                  <w:noWrap/>
                  <w:vAlign w:val="center"/>
                </w:tcPr>
                <w:p w14:paraId="2A7CB054">
                  <w:pPr>
                    <w:adjustRightInd w:val="0"/>
                    <w:snapToGrid w:val="0"/>
                    <w:jc w:val="center"/>
                    <w:rPr>
                      <w:bCs/>
                      <w:color w:val="auto"/>
                      <w:sz w:val="18"/>
                      <w:szCs w:val="18"/>
                    </w:rPr>
                  </w:pPr>
                  <w:r>
                    <w:rPr>
                      <w:rFonts w:hint="eastAsia"/>
                      <w:color w:val="auto"/>
                      <w:sz w:val="18"/>
                      <w:szCs w:val="18"/>
                    </w:rPr>
                    <w:t>20</w:t>
                  </w:r>
                </w:p>
              </w:tc>
              <w:tc>
                <w:tcPr>
                  <w:tcW w:w="326" w:type="pct"/>
                  <w:noWrap/>
                  <w:vAlign w:val="center"/>
                </w:tcPr>
                <w:p w14:paraId="5F56A1D1">
                  <w:pPr>
                    <w:adjustRightInd w:val="0"/>
                    <w:snapToGrid w:val="0"/>
                    <w:jc w:val="center"/>
                    <w:rPr>
                      <w:color w:val="auto"/>
                      <w:kern w:val="0"/>
                      <w:sz w:val="18"/>
                      <w:szCs w:val="18"/>
                    </w:rPr>
                  </w:pPr>
                  <w:r>
                    <w:rPr>
                      <w:rFonts w:hint="eastAsia"/>
                      <w:color w:val="auto"/>
                      <w:kern w:val="0"/>
                      <w:sz w:val="18"/>
                      <w:szCs w:val="18"/>
                    </w:rPr>
                    <w:t>3600</w:t>
                  </w:r>
                </w:p>
              </w:tc>
            </w:tr>
            <w:tr w14:paraId="0BA52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restart"/>
                  <w:noWrap/>
                  <w:vAlign w:val="center"/>
                </w:tcPr>
                <w:p w14:paraId="1E9135C7">
                  <w:pPr>
                    <w:adjustRightInd w:val="0"/>
                    <w:snapToGrid w:val="0"/>
                    <w:jc w:val="center"/>
                    <w:rPr>
                      <w:color w:val="auto"/>
                      <w:kern w:val="0"/>
                      <w:sz w:val="18"/>
                      <w:szCs w:val="18"/>
                    </w:rPr>
                  </w:pPr>
                  <w:r>
                    <w:rPr>
                      <w:rFonts w:hint="eastAsia"/>
                      <w:color w:val="auto"/>
                      <w:kern w:val="0"/>
                      <w:sz w:val="18"/>
                      <w:szCs w:val="18"/>
                    </w:rPr>
                    <w:t>DA006</w:t>
                  </w:r>
                </w:p>
              </w:tc>
              <w:tc>
                <w:tcPr>
                  <w:tcW w:w="253" w:type="pct"/>
                  <w:noWrap/>
                  <w:vAlign w:val="center"/>
                </w:tcPr>
                <w:p w14:paraId="347DF01D">
                  <w:pPr>
                    <w:widowControl/>
                    <w:adjustRightInd w:val="0"/>
                    <w:snapToGrid w:val="0"/>
                    <w:jc w:val="center"/>
                    <w:rPr>
                      <w:color w:val="auto"/>
                      <w:kern w:val="0"/>
                      <w:sz w:val="18"/>
                      <w:szCs w:val="18"/>
                    </w:rPr>
                  </w:pPr>
                  <w:r>
                    <w:rPr>
                      <w:rFonts w:hint="eastAsia"/>
                      <w:color w:val="auto"/>
                      <w:kern w:val="0"/>
                      <w:sz w:val="18"/>
                      <w:szCs w:val="18"/>
                    </w:rPr>
                    <w:t>非甲烷总烃</w:t>
                  </w:r>
                </w:p>
              </w:tc>
              <w:tc>
                <w:tcPr>
                  <w:tcW w:w="438" w:type="pct"/>
                  <w:vMerge w:val="restart"/>
                  <w:noWrap/>
                  <w:vAlign w:val="center"/>
                </w:tcPr>
                <w:p w14:paraId="4ED841BF">
                  <w:pPr>
                    <w:adjustRightInd w:val="0"/>
                    <w:snapToGrid w:val="0"/>
                    <w:jc w:val="center"/>
                    <w:rPr>
                      <w:color w:val="auto"/>
                      <w:kern w:val="0"/>
                      <w:sz w:val="18"/>
                      <w:szCs w:val="18"/>
                    </w:rPr>
                  </w:pPr>
                  <w:r>
                    <w:rPr>
                      <w:rFonts w:hint="eastAsia"/>
                      <w:color w:val="auto"/>
                      <w:kern w:val="0"/>
                      <w:sz w:val="18"/>
                      <w:szCs w:val="18"/>
                    </w:rPr>
                    <w:t>17000</w:t>
                  </w:r>
                </w:p>
              </w:tc>
              <w:tc>
                <w:tcPr>
                  <w:tcW w:w="253" w:type="pct"/>
                  <w:noWrap/>
                  <w:vAlign w:val="center"/>
                </w:tcPr>
                <w:p w14:paraId="1B2318C7">
                  <w:pPr>
                    <w:widowControl/>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37EBDACB">
                  <w:pPr>
                    <w:jc w:val="center"/>
                    <w:rPr>
                      <w:bCs/>
                      <w:color w:val="auto"/>
                      <w:kern w:val="0"/>
                      <w:sz w:val="18"/>
                      <w:szCs w:val="18"/>
                    </w:rPr>
                  </w:pPr>
                  <w:r>
                    <w:rPr>
                      <w:rFonts w:hint="eastAsia"/>
                      <w:color w:val="auto"/>
                      <w:sz w:val="18"/>
                      <w:szCs w:val="18"/>
                    </w:rPr>
                    <w:t>16.42</w:t>
                  </w:r>
                </w:p>
              </w:tc>
              <w:tc>
                <w:tcPr>
                  <w:tcW w:w="295" w:type="pct"/>
                  <w:noWrap/>
                  <w:vAlign w:val="center"/>
                </w:tcPr>
                <w:p w14:paraId="0F1048E4">
                  <w:pPr>
                    <w:adjustRightInd w:val="0"/>
                    <w:snapToGrid w:val="0"/>
                    <w:jc w:val="center"/>
                    <w:rPr>
                      <w:bCs/>
                      <w:color w:val="auto"/>
                      <w:kern w:val="0"/>
                      <w:sz w:val="18"/>
                      <w:szCs w:val="18"/>
                    </w:rPr>
                  </w:pPr>
                  <w:r>
                    <w:rPr>
                      <w:rFonts w:hint="eastAsia"/>
                      <w:color w:val="auto"/>
                      <w:sz w:val="18"/>
                      <w:szCs w:val="18"/>
                    </w:rPr>
                    <w:t>0.2791</w:t>
                  </w:r>
                </w:p>
              </w:tc>
              <w:tc>
                <w:tcPr>
                  <w:tcW w:w="305" w:type="pct"/>
                  <w:noWrap/>
                  <w:vAlign w:val="center"/>
                </w:tcPr>
                <w:p w14:paraId="761A86FB">
                  <w:pPr>
                    <w:widowControl/>
                    <w:jc w:val="center"/>
                    <w:rPr>
                      <w:bCs/>
                      <w:color w:val="auto"/>
                      <w:kern w:val="0"/>
                      <w:sz w:val="18"/>
                      <w:szCs w:val="18"/>
                    </w:rPr>
                  </w:pPr>
                  <w:r>
                    <w:rPr>
                      <w:rFonts w:hint="eastAsia"/>
                      <w:color w:val="auto"/>
                      <w:kern w:val="0"/>
                      <w:sz w:val="18"/>
                      <w:szCs w:val="18"/>
                    </w:rPr>
                    <w:t>1.0043</w:t>
                  </w:r>
                </w:p>
              </w:tc>
              <w:tc>
                <w:tcPr>
                  <w:tcW w:w="510" w:type="pct"/>
                  <w:noWrap/>
                  <w:vAlign w:val="center"/>
                </w:tcPr>
                <w:p w14:paraId="65469CDB">
                  <w:pPr>
                    <w:widowControl/>
                    <w:adjustRightInd w:val="0"/>
                    <w:snapToGrid w:val="0"/>
                    <w:jc w:val="center"/>
                    <w:rPr>
                      <w:bCs/>
                      <w:color w:val="auto"/>
                      <w:kern w:val="0"/>
                      <w:sz w:val="18"/>
                      <w:szCs w:val="18"/>
                    </w:rPr>
                  </w:pPr>
                  <w:r>
                    <w:rPr>
                      <w:color w:val="auto"/>
                      <w:kern w:val="0"/>
                      <w:sz w:val="18"/>
                      <w:szCs w:val="18"/>
                    </w:rPr>
                    <w:t>二级活性炭</w:t>
                  </w:r>
                </w:p>
              </w:tc>
              <w:tc>
                <w:tcPr>
                  <w:tcW w:w="114" w:type="pct"/>
                  <w:vAlign w:val="center"/>
                </w:tcPr>
                <w:p w14:paraId="1CC1C337">
                  <w:pPr>
                    <w:widowControl/>
                    <w:adjustRightInd w:val="0"/>
                    <w:snapToGrid w:val="0"/>
                    <w:jc w:val="center"/>
                    <w:rPr>
                      <w:color w:val="auto"/>
                      <w:kern w:val="0"/>
                      <w:sz w:val="18"/>
                      <w:szCs w:val="18"/>
                    </w:rPr>
                  </w:pPr>
                  <w:r>
                    <w:rPr>
                      <w:rFonts w:hint="eastAsia"/>
                      <w:color w:val="auto"/>
                      <w:kern w:val="0"/>
                      <w:sz w:val="18"/>
                      <w:szCs w:val="18"/>
                    </w:rPr>
                    <w:t>90</w:t>
                  </w:r>
                </w:p>
              </w:tc>
              <w:tc>
                <w:tcPr>
                  <w:tcW w:w="253" w:type="pct"/>
                  <w:noWrap/>
                  <w:vAlign w:val="center"/>
                </w:tcPr>
                <w:p w14:paraId="3C17D9DB">
                  <w:pPr>
                    <w:widowControl/>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43A788D9">
                  <w:pPr>
                    <w:jc w:val="center"/>
                    <w:rPr>
                      <w:bCs/>
                      <w:color w:val="auto"/>
                      <w:sz w:val="18"/>
                      <w:szCs w:val="18"/>
                    </w:rPr>
                  </w:pPr>
                  <w:r>
                    <w:rPr>
                      <w:rFonts w:hint="eastAsia"/>
                      <w:color w:val="auto"/>
                      <w:sz w:val="18"/>
                      <w:szCs w:val="18"/>
                    </w:rPr>
                    <w:t>1.64</w:t>
                  </w:r>
                </w:p>
              </w:tc>
              <w:tc>
                <w:tcPr>
                  <w:tcW w:w="295" w:type="pct"/>
                  <w:noWrap/>
                  <w:vAlign w:val="center"/>
                </w:tcPr>
                <w:p w14:paraId="45AC291D">
                  <w:pPr>
                    <w:adjustRightInd w:val="0"/>
                    <w:snapToGrid w:val="0"/>
                    <w:jc w:val="center"/>
                    <w:rPr>
                      <w:bCs/>
                      <w:color w:val="auto"/>
                      <w:sz w:val="18"/>
                      <w:szCs w:val="18"/>
                    </w:rPr>
                  </w:pPr>
                  <w:r>
                    <w:rPr>
                      <w:rFonts w:hint="eastAsia"/>
                      <w:color w:val="auto"/>
                      <w:sz w:val="18"/>
                      <w:szCs w:val="18"/>
                    </w:rPr>
                    <w:t>0.0279</w:t>
                  </w:r>
                </w:p>
              </w:tc>
              <w:tc>
                <w:tcPr>
                  <w:tcW w:w="305" w:type="pct"/>
                  <w:noWrap/>
                  <w:vAlign w:val="center"/>
                </w:tcPr>
                <w:p w14:paraId="42AC03A2">
                  <w:pPr>
                    <w:widowControl/>
                    <w:jc w:val="center"/>
                    <w:rPr>
                      <w:bCs/>
                      <w:color w:val="auto"/>
                      <w:sz w:val="18"/>
                      <w:szCs w:val="18"/>
                    </w:rPr>
                  </w:pPr>
                  <w:r>
                    <w:rPr>
                      <w:rFonts w:hint="eastAsia"/>
                      <w:color w:val="auto"/>
                      <w:kern w:val="0"/>
                      <w:sz w:val="18"/>
                      <w:szCs w:val="18"/>
                    </w:rPr>
                    <w:t>0.10042</w:t>
                  </w:r>
                </w:p>
              </w:tc>
              <w:tc>
                <w:tcPr>
                  <w:tcW w:w="387" w:type="pct"/>
                  <w:shd w:val="clear" w:color="auto" w:fill="auto"/>
                  <w:noWrap/>
                  <w:vAlign w:val="center"/>
                </w:tcPr>
                <w:p w14:paraId="7FF473F0">
                  <w:pPr>
                    <w:pStyle w:val="196"/>
                    <w:jc w:val="center"/>
                    <w:rPr>
                      <w:rFonts w:ascii="Times New Roman" w:cs="Times New Roman"/>
                      <w:bCs/>
                      <w:color w:val="auto"/>
                      <w:sz w:val="18"/>
                      <w:szCs w:val="18"/>
                    </w:rPr>
                  </w:pPr>
                  <w:r>
                    <w:rPr>
                      <w:rFonts w:hint="eastAsia" w:ascii="Times New Roman" w:cs="Times New Roman"/>
                      <w:bCs/>
                      <w:color w:val="auto"/>
                      <w:sz w:val="18"/>
                      <w:szCs w:val="18"/>
                    </w:rPr>
                    <w:t>1.8</w:t>
                  </w:r>
                </w:p>
              </w:tc>
              <w:tc>
                <w:tcPr>
                  <w:tcW w:w="428" w:type="pct"/>
                  <w:noWrap/>
                  <w:vAlign w:val="center"/>
                </w:tcPr>
                <w:p w14:paraId="6A116946">
                  <w:pPr>
                    <w:pStyle w:val="196"/>
                    <w:jc w:val="center"/>
                    <w:rPr>
                      <w:rFonts w:ascii="Times New Roman" w:cs="Times New Roman"/>
                      <w:bCs/>
                      <w:color w:val="auto"/>
                      <w:sz w:val="18"/>
                      <w:szCs w:val="18"/>
                    </w:rPr>
                  </w:pPr>
                  <w:r>
                    <w:rPr>
                      <w:rFonts w:hint="eastAsia" w:ascii="Times New Roman" w:cs="Times New Roman"/>
                      <w:bCs/>
                      <w:color w:val="auto"/>
                      <w:sz w:val="18"/>
                      <w:szCs w:val="18"/>
                    </w:rPr>
                    <w:t>50</w:t>
                  </w:r>
                </w:p>
              </w:tc>
              <w:tc>
                <w:tcPr>
                  <w:tcW w:w="326" w:type="pct"/>
                  <w:noWrap/>
                  <w:vAlign w:val="center"/>
                </w:tcPr>
                <w:p w14:paraId="0711AE13">
                  <w:pPr>
                    <w:adjustRightInd w:val="0"/>
                    <w:snapToGrid w:val="0"/>
                    <w:jc w:val="center"/>
                    <w:rPr>
                      <w:color w:val="auto"/>
                      <w:kern w:val="0"/>
                      <w:sz w:val="18"/>
                      <w:szCs w:val="18"/>
                    </w:rPr>
                  </w:pPr>
                  <w:r>
                    <w:rPr>
                      <w:rFonts w:hint="eastAsia"/>
                      <w:color w:val="auto"/>
                      <w:kern w:val="0"/>
                      <w:sz w:val="18"/>
                      <w:szCs w:val="18"/>
                    </w:rPr>
                    <w:t>3600</w:t>
                  </w:r>
                </w:p>
              </w:tc>
            </w:tr>
            <w:tr w14:paraId="28C88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160" w:type="pct"/>
                  <w:vMerge w:val="continue"/>
                  <w:noWrap/>
                  <w:vAlign w:val="center"/>
                </w:tcPr>
                <w:p w14:paraId="4913D305">
                  <w:pPr>
                    <w:adjustRightInd w:val="0"/>
                    <w:snapToGrid w:val="0"/>
                    <w:jc w:val="center"/>
                    <w:rPr>
                      <w:color w:val="auto"/>
                      <w:kern w:val="0"/>
                      <w:sz w:val="18"/>
                      <w:szCs w:val="18"/>
                    </w:rPr>
                  </w:pPr>
                </w:p>
              </w:tc>
              <w:tc>
                <w:tcPr>
                  <w:tcW w:w="253" w:type="pct"/>
                  <w:noWrap/>
                  <w:vAlign w:val="center"/>
                </w:tcPr>
                <w:p w14:paraId="2FE86CF1">
                  <w:pPr>
                    <w:widowControl/>
                    <w:adjustRightInd w:val="0"/>
                    <w:snapToGrid w:val="0"/>
                    <w:jc w:val="center"/>
                    <w:rPr>
                      <w:color w:val="auto"/>
                      <w:kern w:val="0"/>
                      <w:sz w:val="18"/>
                      <w:szCs w:val="18"/>
                    </w:rPr>
                  </w:pPr>
                  <w:r>
                    <w:rPr>
                      <w:color w:val="auto"/>
                      <w:kern w:val="0"/>
                      <w:sz w:val="18"/>
                      <w:szCs w:val="18"/>
                    </w:rPr>
                    <w:t>颗粒物</w:t>
                  </w:r>
                </w:p>
              </w:tc>
              <w:tc>
                <w:tcPr>
                  <w:tcW w:w="438" w:type="pct"/>
                  <w:vMerge w:val="continue"/>
                  <w:noWrap/>
                  <w:vAlign w:val="center"/>
                </w:tcPr>
                <w:p w14:paraId="304C7291">
                  <w:pPr>
                    <w:adjustRightInd w:val="0"/>
                    <w:snapToGrid w:val="0"/>
                    <w:jc w:val="center"/>
                    <w:rPr>
                      <w:color w:val="auto"/>
                      <w:kern w:val="0"/>
                      <w:sz w:val="18"/>
                      <w:szCs w:val="18"/>
                    </w:rPr>
                  </w:pPr>
                </w:p>
              </w:tc>
              <w:tc>
                <w:tcPr>
                  <w:tcW w:w="253" w:type="pct"/>
                  <w:noWrap/>
                  <w:vAlign w:val="center"/>
                </w:tcPr>
                <w:p w14:paraId="4BEBA273">
                  <w:pPr>
                    <w:widowControl/>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42C3FB72">
                  <w:pPr>
                    <w:jc w:val="center"/>
                    <w:rPr>
                      <w:bCs/>
                      <w:color w:val="auto"/>
                      <w:kern w:val="0"/>
                      <w:sz w:val="18"/>
                      <w:szCs w:val="18"/>
                    </w:rPr>
                  </w:pPr>
                  <w:r>
                    <w:rPr>
                      <w:rFonts w:hint="eastAsia"/>
                      <w:color w:val="auto"/>
                      <w:sz w:val="18"/>
                      <w:szCs w:val="18"/>
                    </w:rPr>
                    <w:t>10.6</w:t>
                  </w:r>
                </w:p>
              </w:tc>
              <w:tc>
                <w:tcPr>
                  <w:tcW w:w="295" w:type="pct"/>
                  <w:noWrap/>
                  <w:vAlign w:val="center"/>
                </w:tcPr>
                <w:p w14:paraId="1ED7C5DF">
                  <w:pPr>
                    <w:adjustRightInd w:val="0"/>
                    <w:snapToGrid w:val="0"/>
                    <w:jc w:val="center"/>
                    <w:rPr>
                      <w:bCs/>
                      <w:color w:val="auto"/>
                      <w:kern w:val="0"/>
                      <w:sz w:val="18"/>
                      <w:szCs w:val="18"/>
                    </w:rPr>
                  </w:pPr>
                  <w:r>
                    <w:rPr>
                      <w:rFonts w:hint="eastAsia"/>
                      <w:color w:val="auto"/>
                      <w:sz w:val="18"/>
                      <w:szCs w:val="18"/>
                    </w:rPr>
                    <w:t>0.0106</w:t>
                  </w:r>
                </w:p>
              </w:tc>
              <w:tc>
                <w:tcPr>
                  <w:tcW w:w="305" w:type="pct"/>
                  <w:noWrap/>
                  <w:vAlign w:val="center"/>
                </w:tcPr>
                <w:p w14:paraId="725FEBD1">
                  <w:pPr>
                    <w:widowControl/>
                    <w:jc w:val="center"/>
                    <w:rPr>
                      <w:bCs/>
                      <w:color w:val="auto"/>
                      <w:kern w:val="0"/>
                      <w:sz w:val="18"/>
                      <w:szCs w:val="18"/>
                    </w:rPr>
                  </w:pPr>
                  <w:r>
                    <w:rPr>
                      <w:rFonts w:hint="eastAsia"/>
                      <w:color w:val="auto"/>
                      <w:kern w:val="0"/>
                      <w:sz w:val="18"/>
                      <w:szCs w:val="18"/>
                    </w:rPr>
                    <w:t>0.03816</w:t>
                  </w:r>
                </w:p>
              </w:tc>
              <w:tc>
                <w:tcPr>
                  <w:tcW w:w="510" w:type="pct"/>
                  <w:noWrap/>
                  <w:vAlign w:val="center"/>
                </w:tcPr>
                <w:p w14:paraId="1F63A9CB">
                  <w:pPr>
                    <w:widowControl/>
                    <w:adjustRightInd w:val="0"/>
                    <w:snapToGrid w:val="0"/>
                    <w:jc w:val="center"/>
                    <w:rPr>
                      <w:bCs/>
                      <w:color w:val="auto"/>
                      <w:kern w:val="0"/>
                      <w:sz w:val="18"/>
                      <w:szCs w:val="18"/>
                    </w:rPr>
                  </w:pPr>
                  <w:r>
                    <w:rPr>
                      <w:rFonts w:hint="eastAsia"/>
                      <w:color w:val="auto"/>
                      <w:kern w:val="0"/>
                      <w:sz w:val="18"/>
                      <w:szCs w:val="18"/>
                    </w:rPr>
                    <w:t>布袋除尘</w:t>
                  </w:r>
                </w:p>
              </w:tc>
              <w:tc>
                <w:tcPr>
                  <w:tcW w:w="114" w:type="pct"/>
                  <w:vAlign w:val="center"/>
                </w:tcPr>
                <w:p w14:paraId="642346DE">
                  <w:pPr>
                    <w:widowControl/>
                    <w:adjustRightInd w:val="0"/>
                    <w:snapToGrid w:val="0"/>
                    <w:jc w:val="center"/>
                    <w:rPr>
                      <w:color w:val="auto"/>
                      <w:kern w:val="0"/>
                      <w:sz w:val="18"/>
                      <w:szCs w:val="18"/>
                    </w:rPr>
                  </w:pPr>
                  <w:r>
                    <w:rPr>
                      <w:rFonts w:hint="eastAsia"/>
                      <w:color w:val="auto"/>
                      <w:kern w:val="0"/>
                      <w:sz w:val="18"/>
                      <w:szCs w:val="18"/>
                    </w:rPr>
                    <w:t>95</w:t>
                  </w:r>
                </w:p>
              </w:tc>
              <w:tc>
                <w:tcPr>
                  <w:tcW w:w="253" w:type="pct"/>
                  <w:noWrap/>
                  <w:vAlign w:val="center"/>
                </w:tcPr>
                <w:p w14:paraId="6348AA9E">
                  <w:pPr>
                    <w:widowControl/>
                    <w:adjustRightInd w:val="0"/>
                    <w:snapToGrid w:val="0"/>
                    <w:jc w:val="center"/>
                    <w:rPr>
                      <w:bCs/>
                      <w:color w:val="auto"/>
                      <w:kern w:val="0"/>
                      <w:sz w:val="18"/>
                      <w:szCs w:val="18"/>
                    </w:rPr>
                  </w:pPr>
                  <w:r>
                    <w:rPr>
                      <w:rFonts w:hint="eastAsia"/>
                      <w:color w:val="auto"/>
                      <w:kern w:val="0"/>
                      <w:sz w:val="18"/>
                      <w:szCs w:val="18"/>
                    </w:rPr>
                    <w:t>产污系数法</w:t>
                  </w:r>
                </w:p>
              </w:tc>
              <w:tc>
                <w:tcPr>
                  <w:tcW w:w="335" w:type="pct"/>
                  <w:noWrap/>
                  <w:vAlign w:val="center"/>
                </w:tcPr>
                <w:p w14:paraId="669E6358">
                  <w:pPr>
                    <w:jc w:val="center"/>
                    <w:rPr>
                      <w:bCs/>
                      <w:color w:val="auto"/>
                      <w:sz w:val="18"/>
                      <w:szCs w:val="18"/>
                    </w:rPr>
                  </w:pPr>
                  <w:r>
                    <w:rPr>
                      <w:rFonts w:hint="eastAsia"/>
                      <w:color w:val="auto"/>
                      <w:sz w:val="18"/>
                      <w:szCs w:val="18"/>
                    </w:rPr>
                    <w:t>0.53</w:t>
                  </w:r>
                </w:p>
              </w:tc>
              <w:tc>
                <w:tcPr>
                  <w:tcW w:w="295" w:type="pct"/>
                  <w:noWrap/>
                  <w:vAlign w:val="center"/>
                </w:tcPr>
                <w:p w14:paraId="5A8C62D7">
                  <w:pPr>
                    <w:adjustRightInd w:val="0"/>
                    <w:snapToGrid w:val="0"/>
                    <w:jc w:val="center"/>
                    <w:rPr>
                      <w:bCs/>
                      <w:color w:val="auto"/>
                      <w:sz w:val="18"/>
                      <w:szCs w:val="18"/>
                    </w:rPr>
                  </w:pPr>
                  <w:r>
                    <w:rPr>
                      <w:rFonts w:hint="eastAsia"/>
                      <w:color w:val="auto"/>
                      <w:sz w:val="18"/>
                      <w:szCs w:val="18"/>
                    </w:rPr>
                    <w:t>0.0005</w:t>
                  </w:r>
                </w:p>
              </w:tc>
              <w:tc>
                <w:tcPr>
                  <w:tcW w:w="305" w:type="pct"/>
                  <w:noWrap/>
                  <w:vAlign w:val="center"/>
                </w:tcPr>
                <w:p w14:paraId="6182BB31">
                  <w:pPr>
                    <w:widowControl/>
                    <w:jc w:val="center"/>
                    <w:rPr>
                      <w:bCs/>
                      <w:color w:val="auto"/>
                      <w:sz w:val="18"/>
                      <w:szCs w:val="18"/>
                    </w:rPr>
                  </w:pPr>
                  <w:r>
                    <w:rPr>
                      <w:rFonts w:hint="eastAsia"/>
                      <w:color w:val="auto"/>
                      <w:kern w:val="0"/>
                      <w:sz w:val="18"/>
                      <w:szCs w:val="18"/>
                    </w:rPr>
                    <w:t>0.0019</w:t>
                  </w:r>
                </w:p>
              </w:tc>
              <w:tc>
                <w:tcPr>
                  <w:tcW w:w="387" w:type="pct"/>
                  <w:shd w:val="clear" w:color="auto" w:fill="auto"/>
                  <w:noWrap/>
                  <w:vAlign w:val="center"/>
                </w:tcPr>
                <w:p w14:paraId="264008D4">
                  <w:pPr>
                    <w:pStyle w:val="196"/>
                    <w:jc w:val="center"/>
                    <w:rPr>
                      <w:rFonts w:ascii="Times New Roman" w:cs="Times New Roman"/>
                      <w:bCs/>
                      <w:color w:val="auto"/>
                      <w:sz w:val="18"/>
                      <w:szCs w:val="18"/>
                    </w:rPr>
                  </w:pPr>
                  <w:r>
                    <w:rPr>
                      <w:rFonts w:hint="eastAsia" w:ascii="Times New Roman" w:cs="Times New Roman"/>
                      <w:bCs/>
                      <w:color w:val="auto"/>
                      <w:sz w:val="18"/>
                      <w:szCs w:val="18"/>
                    </w:rPr>
                    <w:t>0.4</w:t>
                  </w:r>
                </w:p>
              </w:tc>
              <w:tc>
                <w:tcPr>
                  <w:tcW w:w="428" w:type="pct"/>
                  <w:noWrap/>
                  <w:vAlign w:val="center"/>
                </w:tcPr>
                <w:p w14:paraId="14AA13BE">
                  <w:pPr>
                    <w:pStyle w:val="196"/>
                    <w:jc w:val="center"/>
                    <w:rPr>
                      <w:rFonts w:ascii="Times New Roman" w:cs="Times New Roman"/>
                      <w:bCs/>
                      <w:color w:val="auto"/>
                      <w:sz w:val="18"/>
                      <w:szCs w:val="18"/>
                    </w:rPr>
                  </w:pPr>
                  <w:r>
                    <w:rPr>
                      <w:rFonts w:hint="eastAsia" w:ascii="Times New Roman" w:cs="Times New Roman"/>
                      <w:bCs/>
                      <w:color w:val="auto"/>
                      <w:sz w:val="18"/>
                      <w:szCs w:val="18"/>
                    </w:rPr>
                    <w:t>10</w:t>
                  </w:r>
                </w:p>
              </w:tc>
              <w:tc>
                <w:tcPr>
                  <w:tcW w:w="326" w:type="pct"/>
                  <w:noWrap/>
                  <w:vAlign w:val="center"/>
                </w:tcPr>
                <w:p w14:paraId="1B57218A">
                  <w:pPr>
                    <w:adjustRightInd w:val="0"/>
                    <w:snapToGrid w:val="0"/>
                    <w:jc w:val="center"/>
                    <w:rPr>
                      <w:color w:val="auto"/>
                      <w:kern w:val="0"/>
                      <w:sz w:val="18"/>
                      <w:szCs w:val="18"/>
                    </w:rPr>
                  </w:pPr>
                  <w:r>
                    <w:rPr>
                      <w:rFonts w:hint="eastAsia"/>
                      <w:color w:val="auto"/>
                      <w:kern w:val="0"/>
                      <w:sz w:val="18"/>
                      <w:szCs w:val="18"/>
                    </w:rPr>
                    <w:t>3600</w:t>
                  </w:r>
                </w:p>
              </w:tc>
            </w:tr>
          </w:tbl>
          <w:p w14:paraId="28584A16">
            <w:pPr>
              <w:adjustRightInd w:val="0"/>
              <w:snapToGrid w:val="0"/>
              <w:spacing w:line="360" w:lineRule="auto"/>
              <w:ind w:firstLine="482" w:firstLineChars="200"/>
              <w:jc w:val="center"/>
              <w:rPr>
                <w:rFonts w:hint="eastAsia" w:hAnsi="宋体"/>
                <w:b/>
                <w:color w:val="auto"/>
                <w:kern w:val="0"/>
                <w:sz w:val="24"/>
                <w:szCs w:val="20"/>
              </w:rPr>
            </w:pPr>
            <w:r>
              <w:rPr>
                <w:rFonts w:hAnsi="宋体"/>
                <w:b/>
                <w:color w:val="auto"/>
                <w:kern w:val="0"/>
                <w:sz w:val="24"/>
                <w:szCs w:val="20"/>
              </w:rPr>
              <w:t>表</w:t>
            </w:r>
            <w:r>
              <w:rPr>
                <w:b/>
                <w:color w:val="auto"/>
                <w:kern w:val="0"/>
                <w:sz w:val="24"/>
                <w:szCs w:val="20"/>
              </w:rPr>
              <w:t xml:space="preserve">4-3 </w:t>
            </w:r>
            <w:r>
              <w:rPr>
                <w:rFonts w:hAnsi="宋体"/>
                <w:b/>
                <w:color w:val="auto"/>
                <w:kern w:val="0"/>
                <w:sz w:val="24"/>
                <w:szCs w:val="20"/>
              </w:rPr>
              <w:t>无组织废气污染源源强核算结果及相关参数一览表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83"/>
              <w:gridCol w:w="1720"/>
              <w:gridCol w:w="1967"/>
              <w:gridCol w:w="1407"/>
              <w:gridCol w:w="1221"/>
              <w:gridCol w:w="1214"/>
              <w:gridCol w:w="1392"/>
              <w:gridCol w:w="1181"/>
              <w:gridCol w:w="1130"/>
            </w:tblGrid>
            <w:tr w14:paraId="5BF59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83" w:type="pct"/>
                  <w:vMerge w:val="restart"/>
                  <w:vAlign w:val="center"/>
                </w:tcPr>
                <w:p w14:paraId="4ABB8466">
                  <w:pPr>
                    <w:widowControl/>
                    <w:adjustRightInd w:val="0"/>
                    <w:snapToGrid w:val="0"/>
                    <w:spacing w:line="240" w:lineRule="exact"/>
                    <w:jc w:val="center"/>
                    <w:rPr>
                      <w:b/>
                      <w:color w:val="auto"/>
                      <w:kern w:val="0"/>
                      <w:sz w:val="18"/>
                      <w:szCs w:val="18"/>
                    </w:rPr>
                  </w:pPr>
                  <w:r>
                    <w:rPr>
                      <w:rFonts w:hAnsi="宋体"/>
                      <w:b/>
                      <w:color w:val="auto"/>
                      <w:kern w:val="0"/>
                      <w:sz w:val="18"/>
                      <w:szCs w:val="18"/>
                    </w:rPr>
                    <w:t>污染源位置</w:t>
                  </w:r>
                </w:p>
              </w:tc>
              <w:tc>
                <w:tcPr>
                  <w:tcW w:w="676" w:type="pct"/>
                  <w:vMerge w:val="restart"/>
                  <w:vAlign w:val="center"/>
                </w:tcPr>
                <w:p w14:paraId="087F6BD7">
                  <w:pPr>
                    <w:widowControl/>
                    <w:adjustRightInd w:val="0"/>
                    <w:snapToGrid w:val="0"/>
                    <w:spacing w:line="240" w:lineRule="exact"/>
                    <w:jc w:val="center"/>
                    <w:rPr>
                      <w:b/>
                      <w:color w:val="auto"/>
                      <w:kern w:val="0"/>
                      <w:sz w:val="18"/>
                      <w:szCs w:val="18"/>
                    </w:rPr>
                  </w:pPr>
                  <w:r>
                    <w:rPr>
                      <w:rFonts w:hAnsi="宋体"/>
                      <w:b/>
                      <w:color w:val="auto"/>
                      <w:kern w:val="0"/>
                      <w:sz w:val="18"/>
                      <w:szCs w:val="18"/>
                    </w:rPr>
                    <w:t>污染物名称</w:t>
                  </w:r>
                </w:p>
              </w:tc>
              <w:tc>
                <w:tcPr>
                  <w:tcW w:w="773" w:type="pct"/>
                  <w:vMerge w:val="restart"/>
                  <w:vAlign w:val="center"/>
                </w:tcPr>
                <w:p w14:paraId="7079C4C4">
                  <w:pPr>
                    <w:widowControl/>
                    <w:adjustRightInd w:val="0"/>
                    <w:snapToGrid w:val="0"/>
                    <w:spacing w:line="240" w:lineRule="exact"/>
                    <w:jc w:val="center"/>
                    <w:rPr>
                      <w:b/>
                      <w:color w:val="auto"/>
                      <w:kern w:val="0"/>
                      <w:sz w:val="18"/>
                      <w:szCs w:val="18"/>
                    </w:rPr>
                  </w:pPr>
                  <w:r>
                    <w:rPr>
                      <w:rFonts w:hAnsi="宋体"/>
                      <w:b/>
                      <w:color w:val="auto"/>
                      <w:kern w:val="0"/>
                      <w:sz w:val="18"/>
                      <w:szCs w:val="18"/>
                    </w:rPr>
                    <w:t>核算方法</w:t>
                  </w:r>
                </w:p>
              </w:tc>
              <w:tc>
                <w:tcPr>
                  <w:tcW w:w="1033" w:type="pct"/>
                  <w:gridSpan w:val="2"/>
                  <w:vAlign w:val="center"/>
                </w:tcPr>
                <w:p w14:paraId="3E6FC840">
                  <w:pPr>
                    <w:widowControl/>
                    <w:adjustRightInd w:val="0"/>
                    <w:snapToGrid w:val="0"/>
                    <w:spacing w:line="240" w:lineRule="exact"/>
                    <w:jc w:val="center"/>
                    <w:rPr>
                      <w:b/>
                      <w:color w:val="auto"/>
                      <w:kern w:val="0"/>
                      <w:sz w:val="18"/>
                      <w:szCs w:val="18"/>
                    </w:rPr>
                  </w:pPr>
                  <w:r>
                    <w:rPr>
                      <w:rFonts w:hAnsi="宋体"/>
                      <w:b/>
                      <w:color w:val="auto"/>
                      <w:kern w:val="0"/>
                      <w:sz w:val="18"/>
                      <w:szCs w:val="18"/>
                    </w:rPr>
                    <w:t>排放源强</w:t>
                  </w:r>
                </w:p>
              </w:tc>
              <w:tc>
                <w:tcPr>
                  <w:tcW w:w="477" w:type="pct"/>
                  <w:vMerge w:val="restart"/>
                  <w:vAlign w:val="center"/>
                </w:tcPr>
                <w:p w14:paraId="5DB24C2E">
                  <w:pPr>
                    <w:widowControl/>
                    <w:adjustRightInd w:val="0"/>
                    <w:snapToGrid w:val="0"/>
                    <w:spacing w:line="240" w:lineRule="exact"/>
                    <w:jc w:val="center"/>
                    <w:rPr>
                      <w:b/>
                      <w:color w:val="auto"/>
                      <w:kern w:val="0"/>
                      <w:sz w:val="18"/>
                      <w:szCs w:val="18"/>
                    </w:rPr>
                  </w:pPr>
                  <w:r>
                    <w:rPr>
                      <w:rFonts w:hAnsi="宋体"/>
                      <w:b/>
                      <w:color w:val="auto"/>
                      <w:kern w:val="0"/>
                      <w:sz w:val="18"/>
                      <w:szCs w:val="18"/>
                    </w:rPr>
                    <w:t>面源长度</w:t>
                  </w:r>
                </w:p>
                <w:p w14:paraId="4EA4FE4F">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547" w:type="pct"/>
                  <w:vMerge w:val="restart"/>
                  <w:vAlign w:val="center"/>
                </w:tcPr>
                <w:p w14:paraId="3EB0B7F7">
                  <w:pPr>
                    <w:widowControl/>
                    <w:adjustRightInd w:val="0"/>
                    <w:snapToGrid w:val="0"/>
                    <w:spacing w:line="240" w:lineRule="exact"/>
                    <w:jc w:val="center"/>
                    <w:rPr>
                      <w:b/>
                      <w:color w:val="auto"/>
                      <w:kern w:val="0"/>
                      <w:sz w:val="18"/>
                      <w:szCs w:val="18"/>
                    </w:rPr>
                  </w:pPr>
                  <w:r>
                    <w:rPr>
                      <w:rFonts w:hAnsi="宋体"/>
                      <w:b/>
                      <w:color w:val="auto"/>
                      <w:kern w:val="0"/>
                      <w:sz w:val="18"/>
                      <w:szCs w:val="18"/>
                    </w:rPr>
                    <w:t>面源宽度</w:t>
                  </w:r>
                </w:p>
                <w:p w14:paraId="1C7F4522">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464" w:type="pct"/>
                  <w:vMerge w:val="restart"/>
                  <w:vAlign w:val="center"/>
                </w:tcPr>
                <w:p w14:paraId="65A97FA5">
                  <w:pPr>
                    <w:widowControl/>
                    <w:adjustRightInd w:val="0"/>
                    <w:snapToGrid w:val="0"/>
                    <w:spacing w:line="240" w:lineRule="exact"/>
                    <w:jc w:val="center"/>
                    <w:rPr>
                      <w:b/>
                      <w:color w:val="auto"/>
                      <w:kern w:val="0"/>
                      <w:sz w:val="18"/>
                      <w:szCs w:val="18"/>
                    </w:rPr>
                  </w:pPr>
                  <w:r>
                    <w:rPr>
                      <w:rFonts w:hAnsi="宋体"/>
                      <w:b/>
                      <w:color w:val="auto"/>
                      <w:kern w:val="0"/>
                      <w:sz w:val="18"/>
                      <w:szCs w:val="18"/>
                    </w:rPr>
                    <w:t>面源高度</w:t>
                  </w:r>
                </w:p>
                <w:p w14:paraId="7D07FC34">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444" w:type="pct"/>
                  <w:vMerge w:val="restart"/>
                  <w:vAlign w:val="center"/>
                </w:tcPr>
                <w:p w14:paraId="62F2A3C8">
                  <w:pPr>
                    <w:widowControl/>
                    <w:adjustRightInd w:val="0"/>
                    <w:snapToGrid w:val="0"/>
                    <w:spacing w:line="240" w:lineRule="exact"/>
                    <w:jc w:val="center"/>
                    <w:rPr>
                      <w:b/>
                      <w:color w:val="auto"/>
                      <w:kern w:val="0"/>
                      <w:sz w:val="18"/>
                      <w:szCs w:val="18"/>
                    </w:rPr>
                  </w:pPr>
                  <w:r>
                    <w:rPr>
                      <w:rFonts w:hAnsi="宋体"/>
                      <w:b/>
                      <w:color w:val="auto"/>
                      <w:kern w:val="0"/>
                      <w:sz w:val="18"/>
                      <w:szCs w:val="18"/>
                    </w:rPr>
                    <w:t>排放时间</w:t>
                  </w:r>
                </w:p>
                <w:p w14:paraId="34EBE9C9">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h</w:t>
                  </w:r>
                  <w:r>
                    <w:rPr>
                      <w:rFonts w:hint="eastAsia"/>
                      <w:b/>
                      <w:color w:val="auto"/>
                      <w:kern w:val="0"/>
                      <w:sz w:val="18"/>
                      <w:szCs w:val="18"/>
                      <w:lang w:eastAsia="zh-CN"/>
                    </w:rPr>
                    <w:t>)</w:t>
                  </w:r>
                </w:p>
              </w:tc>
            </w:tr>
            <w:tr w14:paraId="49352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583" w:type="pct"/>
                  <w:vMerge w:val="continue"/>
                  <w:vAlign w:val="center"/>
                </w:tcPr>
                <w:p w14:paraId="6AD05A8F">
                  <w:pPr>
                    <w:widowControl/>
                    <w:adjustRightInd w:val="0"/>
                    <w:snapToGrid w:val="0"/>
                    <w:spacing w:line="240" w:lineRule="exact"/>
                    <w:jc w:val="center"/>
                    <w:rPr>
                      <w:b/>
                      <w:color w:val="auto"/>
                      <w:kern w:val="0"/>
                      <w:sz w:val="18"/>
                      <w:szCs w:val="18"/>
                    </w:rPr>
                  </w:pPr>
                </w:p>
              </w:tc>
              <w:tc>
                <w:tcPr>
                  <w:tcW w:w="676" w:type="pct"/>
                  <w:vMerge w:val="continue"/>
                  <w:vAlign w:val="center"/>
                </w:tcPr>
                <w:p w14:paraId="197ADE74">
                  <w:pPr>
                    <w:widowControl/>
                    <w:adjustRightInd w:val="0"/>
                    <w:snapToGrid w:val="0"/>
                    <w:spacing w:line="240" w:lineRule="exact"/>
                    <w:jc w:val="center"/>
                    <w:rPr>
                      <w:b/>
                      <w:color w:val="auto"/>
                      <w:kern w:val="0"/>
                      <w:sz w:val="18"/>
                      <w:szCs w:val="18"/>
                    </w:rPr>
                  </w:pPr>
                </w:p>
              </w:tc>
              <w:tc>
                <w:tcPr>
                  <w:tcW w:w="773" w:type="pct"/>
                  <w:vMerge w:val="continue"/>
                  <w:vAlign w:val="center"/>
                </w:tcPr>
                <w:p w14:paraId="7B682E7B">
                  <w:pPr>
                    <w:widowControl/>
                    <w:adjustRightInd w:val="0"/>
                    <w:snapToGrid w:val="0"/>
                    <w:spacing w:line="240" w:lineRule="exact"/>
                    <w:jc w:val="center"/>
                    <w:rPr>
                      <w:b/>
                      <w:color w:val="auto"/>
                      <w:kern w:val="0"/>
                      <w:sz w:val="18"/>
                      <w:szCs w:val="18"/>
                    </w:rPr>
                  </w:pPr>
                </w:p>
              </w:tc>
              <w:tc>
                <w:tcPr>
                  <w:tcW w:w="553" w:type="pct"/>
                  <w:vAlign w:val="center"/>
                </w:tcPr>
                <w:p w14:paraId="51D73122">
                  <w:pPr>
                    <w:widowControl/>
                    <w:adjustRightInd w:val="0"/>
                    <w:snapToGrid w:val="0"/>
                    <w:spacing w:line="240" w:lineRule="exact"/>
                    <w:jc w:val="center"/>
                    <w:rPr>
                      <w:b/>
                      <w:color w:val="auto"/>
                      <w:kern w:val="0"/>
                      <w:sz w:val="18"/>
                      <w:szCs w:val="18"/>
                    </w:rPr>
                  </w:pPr>
                  <w:r>
                    <w:rPr>
                      <w:b/>
                      <w:color w:val="auto"/>
                      <w:kern w:val="0"/>
                      <w:sz w:val="18"/>
                      <w:szCs w:val="18"/>
                    </w:rPr>
                    <w:t>kg/h</w:t>
                  </w:r>
                </w:p>
              </w:tc>
              <w:tc>
                <w:tcPr>
                  <w:tcW w:w="480" w:type="pct"/>
                  <w:vAlign w:val="center"/>
                </w:tcPr>
                <w:p w14:paraId="0046B325">
                  <w:pPr>
                    <w:widowControl/>
                    <w:adjustRightInd w:val="0"/>
                    <w:snapToGrid w:val="0"/>
                    <w:spacing w:line="240" w:lineRule="exact"/>
                    <w:jc w:val="center"/>
                    <w:rPr>
                      <w:b/>
                      <w:color w:val="auto"/>
                      <w:kern w:val="0"/>
                      <w:sz w:val="18"/>
                      <w:szCs w:val="18"/>
                    </w:rPr>
                  </w:pPr>
                  <w:r>
                    <w:rPr>
                      <w:b/>
                      <w:color w:val="auto"/>
                      <w:kern w:val="0"/>
                      <w:sz w:val="18"/>
                      <w:szCs w:val="18"/>
                    </w:rPr>
                    <w:t>t/a</w:t>
                  </w:r>
                </w:p>
              </w:tc>
              <w:tc>
                <w:tcPr>
                  <w:tcW w:w="477" w:type="pct"/>
                  <w:vMerge w:val="continue"/>
                  <w:vAlign w:val="center"/>
                </w:tcPr>
                <w:p w14:paraId="3BABC24C">
                  <w:pPr>
                    <w:widowControl/>
                    <w:adjustRightInd w:val="0"/>
                    <w:snapToGrid w:val="0"/>
                    <w:spacing w:line="240" w:lineRule="exact"/>
                    <w:jc w:val="center"/>
                    <w:rPr>
                      <w:color w:val="auto"/>
                      <w:kern w:val="0"/>
                      <w:sz w:val="18"/>
                      <w:szCs w:val="18"/>
                    </w:rPr>
                  </w:pPr>
                </w:p>
              </w:tc>
              <w:tc>
                <w:tcPr>
                  <w:tcW w:w="547" w:type="pct"/>
                  <w:vMerge w:val="continue"/>
                  <w:vAlign w:val="center"/>
                </w:tcPr>
                <w:p w14:paraId="5C14C2FE">
                  <w:pPr>
                    <w:widowControl/>
                    <w:adjustRightInd w:val="0"/>
                    <w:snapToGrid w:val="0"/>
                    <w:spacing w:line="240" w:lineRule="exact"/>
                    <w:jc w:val="center"/>
                    <w:rPr>
                      <w:color w:val="auto"/>
                      <w:kern w:val="0"/>
                      <w:sz w:val="18"/>
                      <w:szCs w:val="18"/>
                    </w:rPr>
                  </w:pPr>
                </w:p>
              </w:tc>
              <w:tc>
                <w:tcPr>
                  <w:tcW w:w="464" w:type="pct"/>
                  <w:vMerge w:val="continue"/>
                  <w:vAlign w:val="center"/>
                </w:tcPr>
                <w:p w14:paraId="70AAC25B">
                  <w:pPr>
                    <w:widowControl/>
                    <w:adjustRightInd w:val="0"/>
                    <w:snapToGrid w:val="0"/>
                    <w:spacing w:line="240" w:lineRule="exact"/>
                    <w:jc w:val="center"/>
                    <w:rPr>
                      <w:color w:val="auto"/>
                      <w:kern w:val="0"/>
                      <w:sz w:val="18"/>
                      <w:szCs w:val="18"/>
                    </w:rPr>
                  </w:pPr>
                </w:p>
              </w:tc>
              <w:tc>
                <w:tcPr>
                  <w:tcW w:w="444" w:type="pct"/>
                  <w:vMerge w:val="continue"/>
                  <w:vAlign w:val="center"/>
                </w:tcPr>
                <w:p w14:paraId="408BA695">
                  <w:pPr>
                    <w:widowControl/>
                    <w:adjustRightInd w:val="0"/>
                    <w:snapToGrid w:val="0"/>
                    <w:spacing w:line="240" w:lineRule="exact"/>
                    <w:jc w:val="center"/>
                    <w:rPr>
                      <w:color w:val="auto"/>
                      <w:kern w:val="0"/>
                      <w:sz w:val="18"/>
                      <w:szCs w:val="18"/>
                    </w:rPr>
                  </w:pPr>
                </w:p>
              </w:tc>
            </w:tr>
            <w:tr w14:paraId="488BB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0BA6084B">
                  <w:pPr>
                    <w:adjustRightInd w:val="0"/>
                    <w:snapToGrid w:val="0"/>
                    <w:jc w:val="center"/>
                    <w:rPr>
                      <w:color w:val="auto"/>
                      <w:sz w:val="18"/>
                      <w:szCs w:val="18"/>
                    </w:rPr>
                  </w:pPr>
                  <w:r>
                    <w:rPr>
                      <w:rFonts w:hint="eastAsia"/>
                      <w:color w:val="auto"/>
                      <w:sz w:val="18"/>
                      <w:szCs w:val="18"/>
                      <w:lang w:eastAsia="zh-CN"/>
                    </w:rPr>
                    <w:t>1.</w:t>
                  </w:r>
                  <w:r>
                    <w:rPr>
                      <w:rFonts w:hint="eastAsia"/>
                      <w:color w:val="auto"/>
                      <w:sz w:val="18"/>
                      <w:szCs w:val="18"/>
                    </w:rPr>
                    <w:t>厂房</w:t>
                  </w:r>
                </w:p>
                <w:p w14:paraId="066605F4">
                  <w:pPr>
                    <w:adjustRightInd w:val="0"/>
                    <w:snapToGrid w:val="0"/>
                    <w:jc w:val="center"/>
                    <w:rPr>
                      <w:color w:val="auto"/>
                      <w:sz w:val="18"/>
                      <w:szCs w:val="18"/>
                    </w:rPr>
                  </w:pPr>
                  <w:r>
                    <w:rPr>
                      <w:rFonts w:hint="eastAsia"/>
                      <w:color w:val="auto"/>
                      <w:sz w:val="18"/>
                      <w:szCs w:val="18"/>
                    </w:rPr>
                    <w:t>组装车间</w:t>
                  </w:r>
                </w:p>
              </w:tc>
              <w:tc>
                <w:tcPr>
                  <w:tcW w:w="676" w:type="pct"/>
                  <w:vAlign w:val="center"/>
                </w:tcPr>
                <w:p w14:paraId="67024E57">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0B299BBD">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2590CF64">
                  <w:pPr>
                    <w:widowControl/>
                    <w:adjustRightInd w:val="0"/>
                    <w:snapToGrid w:val="0"/>
                    <w:jc w:val="center"/>
                    <w:rPr>
                      <w:color w:val="auto"/>
                      <w:sz w:val="18"/>
                      <w:szCs w:val="18"/>
                    </w:rPr>
                  </w:pPr>
                  <w:r>
                    <w:rPr>
                      <w:color w:val="auto"/>
                      <w:sz w:val="18"/>
                      <w:szCs w:val="18"/>
                    </w:rPr>
                    <w:t>0.0</w:t>
                  </w:r>
                  <w:r>
                    <w:rPr>
                      <w:rFonts w:hint="eastAsia"/>
                      <w:color w:val="auto"/>
                      <w:sz w:val="18"/>
                      <w:szCs w:val="18"/>
                    </w:rPr>
                    <w:t>697</w:t>
                  </w:r>
                </w:p>
              </w:tc>
              <w:tc>
                <w:tcPr>
                  <w:tcW w:w="480" w:type="pct"/>
                  <w:vAlign w:val="center"/>
                </w:tcPr>
                <w:p w14:paraId="65DD6BF7">
                  <w:pPr>
                    <w:widowControl/>
                    <w:adjustRightInd w:val="0"/>
                    <w:snapToGrid w:val="0"/>
                    <w:jc w:val="center"/>
                    <w:rPr>
                      <w:color w:val="auto"/>
                      <w:sz w:val="18"/>
                      <w:szCs w:val="18"/>
                    </w:rPr>
                  </w:pPr>
                  <w:r>
                    <w:rPr>
                      <w:bCs/>
                      <w:color w:val="auto"/>
                      <w:kern w:val="0"/>
                      <w:sz w:val="18"/>
                      <w:szCs w:val="18"/>
                    </w:rPr>
                    <w:t>0.</w:t>
                  </w:r>
                  <w:r>
                    <w:rPr>
                      <w:rFonts w:hint="eastAsia"/>
                      <w:bCs/>
                      <w:color w:val="auto"/>
                      <w:kern w:val="0"/>
                      <w:sz w:val="18"/>
                      <w:szCs w:val="18"/>
                    </w:rPr>
                    <w:t>25108</w:t>
                  </w:r>
                </w:p>
              </w:tc>
              <w:tc>
                <w:tcPr>
                  <w:tcW w:w="477" w:type="pct"/>
                  <w:vAlign w:val="center"/>
                </w:tcPr>
                <w:p w14:paraId="0BA3B90E">
                  <w:pPr>
                    <w:adjustRightInd w:val="0"/>
                    <w:snapToGrid w:val="0"/>
                    <w:jc w:val="center"/>
                    <w:rPr>
                      <w:color w:val="auto"/>
                      <w:sz w:val="18"/>
                      <w:szCs w:val="18"/>
                    </w:rPr>
                  </w:pPr>
                  <w:r>
                    <w:rPr>
                      <w:rFonts w:hint="eastAsia"/>
                      <w:color w:val="auto"/>
                      <w:sz w:val="18"/>
                      <w:szCs w:val="18"/>
                    </w:rPr>
                    <w:t>93.4</w:t>
                  </w:r>
                </w:p>
              </w:tc>
              <w:tc>
                <w:tcPr>
                  <w:tcW w:w="547" w:type="pct"/>
                  <w:vAlign w:val="center"/>
                </w:tcPr>
                <w:p w14:paraId="00386A45">
                  <w:pPr>
                    <w:adjustRightInd w:val="0"/>
                    <w:snapToGrid w:val="0"/>
                    <w:jc w:val="center"/>
                    <w:rPr>
                      <w:color w:val="auto"/>
                      <w:sz w:val="18"/>
                      <w:szCs w:val="18"/>
                    </w:rPr>
                  </w:pPr>
                  <w:r>
                    <w:rPr>
                      <w:rFonts w:hint="eastAsia"/>
                      <w:color w:val="auto"/>
                      <w:sz w:val="18"/>
                      <w:szCs w:val="18"/>
                    </w:rPr>
                    <w:t>108.5</w:t>
                  </w:r>
                </w:p>
              </w:tc>
              <w:tc>
                <w:tcPr>
                  <w:tcW w:w="464" w:type="pct"/>
                  <w:vAlign w:val="center"/>
                </w:tcPr>
                <w:p w14:paraId="01023FFD">
                  <w:pPr>
                    <w:adjustRightInd w:val="0"/>
                    <w:snapToGrid w:val="0"/>
                    <w:jc w:val="center"/>
                    <w:rPr>
                      <w:color w:val="auto"/>
                      <w:sz w:val="18"/>
                      <w:szCs w:val="18"/>
                    </w:rPr>
                  </w:pPr>
                  <w:r>
                    <w:rPr>
                      <w:rFonts w:hint="eastAsia"/>
                      <w:color w:val="auto"/>
                      <w:sz w:val="18"/>
                      <w:szCs w:val="18"/>
                    </w:rPr>
                    <w:t>8.6</w:t>
                  </w:r>
                </w:p>
              </w:tc>
              <w:tc>
                <w:tcPr>
                  <w:tcW w:w="444" w:type="pct"/>
                  <w:vAlign w:val="center"/>
                </w:tcPr>
                <w:p w14:paraId="72B0191A">
                  <w:pPr>
                    <w:adjustRightInd w:val="0"/>
                    <w:snapToGrid w:val="0"/>
                    <w:jc w:val="center"/>
                    <w:rPr>
                      <w:color w:val="auto"/>
                      <w:sz w:val="18"/>
                      <w:szCs w:val="18"/>
                    </w:rPr>
                  </w:pPr>
                  <w:r>
                    <w:rPr>
                      <w:rFonts w:hint="eastAsia"/>
                      <w:color w:val="auto"/>
                      <w:sz w:val="18"/>
                      <w:szCs w:val="18"/>
                    </w:rPr>
                    <w:t>3600</w:t>
                  </w:r>
                </w:p>
              </w:tc>
            </w:tr>
            <w:tr w14:paraId="60A70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7532101C">
                  <w:pPr>
                    <w:adjustRightInd w:val="0"/>
                    <w:snapToGrid w:val="0"/>
                    <w:jc w:val="center"/>
                    <w:rPr>
                      <w:color w:val="auto"/>
                      <w:sz w:val="18"/>
                      <w:szCs w:val="18"/>
                    </w:rPr>
                  </w:pPr>
                </w:p>
              </w:tc>
              <w:tc>
                <w:tcPr>
                  <w:tcW w:w="676" w:type="pct"/>
                  <w:vAlign w:val="center"/>
                </w:tcPr>
                <w:p w14:paraId="285FFFEB">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32E98196">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1715355E">
                  <w:pPr>
                    <w:widowControl/>
                    <w:adjustRightInd w:val="0"/>
                    <w:snapToGrid w:val="0"/>
                    <w:jc w:val="center"/>
                    <w:rPr>
                      <w:color w:val="auto"/>
                      <w:sz w:val="18"/>
                      <w:szCs w:val="18"/>
                    </w:rPr>
                  </w:pPr>
                  <w:r>
                    <w:rPr>
                      <w:color w:val="auto"/>
                      <w:sz w:val="18"/>
                      <w:szCs w:val="18"/>
                    </w:rPr>
                    <w:t>0.0027</w:t>
                  </w:r>
                </w:p>
              </w:tc>
              <w:tc>
                <w:tcPr>
                  <w:tcW w:w="480" w:type="pct"/>
                  <w:vAlign w:val="center"/>
                </w:tcPr>
                <w:p w14:paraId="2E4D5351">
                  <w:pPr>
                    <w:widowControl/>
                    <w:adjustRightInd w:val="0"/>
                    <w:snapToGrid w:val="0"/>
                    <w:jc w:val="center"/>
                    <w:rPr>
                      <w:color w:val="auto"/>
                      <w:sz w:val="18"/>
                      <w:szCs w:val="18"/>
                    </w:rPr>
                  </w:pPr>
                  <w:r>
                    <w:rPr>
                      <w:color w:val="auto"/>
                      <w:sz w:val="18"/>
                      <w:szCs w:val="18"/>
                    </w:rPr>
                    <w:t>0.00954</w:t>
                  </w:r>
                </w:p>
              </w:tc>
              <w:tc>
                <w:tcPr>
                  <w:tcW w:w="477" w:type="pct"/>
                  <w:vAlign w:val="center"/>
                </w:tcPr>
                <w:p w14:paraId="22E26CC3">
                  <w:pPr>
                    <w:adjustRightInd w:val="0"/>
                    <w:snapToGrid w:val="0"/>
                    <w:jc w:val="center"/>
                    <w:rPr>
                      <w:color w:val="auto"/>
                      <w:sz w:val="18"/>
                      <w:szCs w:val="18"/>
                    </w:rPr>
                  </w:pPr>
                  <w:r>
                    <w:rPr>
                      <w:rFonts w:hint="eastAsia"/>
                      <w:color w:val="auto"/>
                      <w:sz w:val="18"/>
                      <w:szCs w:val="18"/>
                    </w:rPr>
                    <w:t>93.4</w:t>
                  </w:r>
                </w:p>
              </w:tc>
              <w:tc>
                <w:tcPr>
                  <w:tcW w:w="547" w:type="pct"/>
                  <w:vAlign w:val="center"/>
                </w:tcPr>
                <w:p w14:paraId="3A7345E6">
                  <w:pPr>
                    <w:adjustRightInd w:val="0"/>
                    <w:snapToGrid w:val="0"/>
                    <w:jc w:val="center"/>
                    <w:rPr>
                      <w:color w:val="auto"/>
                      <w:sz w:val="18"/>
                      <w:szCs w:val="18"/>
                    </w:rPr>
                  </w:pPr>
                  <w:r>
                    <w:rPr>
                      <w:rFonts w:hint="eastAsia"/>
                      <w:color w:val="auto"/>
                      <w:sz w:val="18"/>
                      <w:szCs w:val="18"/>
                    </w:rPr>
                    <w:t>108.5</w:t>
                  </w:r>
                </w:p>
              </w:tc>
              <w:tc>
                <w:tcPr>
                  <w:tcW w:w="464" w:type="pct"/>
                  <w:vAlign w:val="center"/>
                </w:tcPr>
                <w:p w14:paraId="41727EB6">
                  <w:pPr>
                    <w:adjustRightInd w:val="0"/>
                    <w:snapToGrid w:val="0"/>
                    <w:jc w:val="center"/>
                    <w:rPr>
                      <w:color w:val="auto"/>
                      <w:sz w:val="18"/>
                      <w:szCs w:val="18"/>
                    </w:rPr>
                  </w:pPr>
                  <w:r>
                    <w:rPr>
                      <w:rFonts w:hint="eastAsia"/>
                      <w:color w:val="auto"/>
                      <w:sz w:val="18"/>
                      <w:szCs w:val="18"/>
                    </w:rPr>
                    <w:t>8.6</w:t>
                  </w:r>
                </w:p>
              </w:tc>
              <w:tc>
                <w:tcPr>
                  <w:tcW w:w="444" w:type="pct"/>
                  <w:vAlign w:val="center"/>
                </w:tcPr>
                <w:p w14:paraId="7D925CCE">
                  <w:pPr>
                    <w:adjustRightInd w:val="0"/>
                    <w:snapToGrid w:val="0"/>
                    <w:jc w:val="center"/>
                    <w:rPr>
                      <w:color w:val="auto"/>
                      <w:sz w:val="18"/>
                      <w:szCs w:val="18"/>
                    </w:rPr>
                  </w:pPr>
                  <w:r>
                    <w:rPr>
                      <w:rFonts w:hint="eastAsia"/>
                      <w:color w:val="auto"/>
                      <w:sz w:val="18"/>
                      <w:szCs w:val="18"/>
                    </w:rPr>
                    <w:t>3600</w:t>
                  </w:r>
                </w:p>
              </w:tc>
            </w:tr>
            <w:tr w14:paraId="69561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5764222D">
                  <w:pPr>
                    <w:adjustRightInd w:val="0"/>
                    <w:snapToGrid w:val="0"/>
                    <w:jc w:val="center"/>
                    <w:rPr>
                      <w:color w:val="auto"/>
                      <w:sz w:val="18"/>
                      <w:szCs w:val="18"/>
                    </w:rPr>
                  </w:pPr>
                  <w:r>
                    <w:rPr>
                      <w:rFonts w:hint="eastAsia"/>
                      <w:color w:val="auto"/>
                      <w:sz w:val="18"/>
                      <w:szCs w:val="18"/>
                      <w:lang w:eastAsia="zh-CN"/>
                    </w:rPr>
                    <w:t>2.</w:t>
                  </w:r>
                  <w:r>
                    <w:rPr>
                      <w:rFonts w:hint="eastAsia"/>
                      <w:color w:val="auto"/>
                      <w:sz w:val="18"/>
                      <w:szCs w:val="18"/>
                    </w:rPr>
                    <w:t>厂房</w:t>
                  </w:r>
                </w:p>
                <w:p w14:paraId="398DA5E1">
                  <w:pPr>
                    <w:adjustRightInd w:val="0"/>
                    <w:snapToGrid w:val="0"/>
                    <w:jc w:val="center"/>
                    <w:rPr>
                      <w:color w:val="auto"/>
                    </w:rPr>
                  </w:pPr>
                  <w:r>
                    <w:rPr>
                      <w:rFonts w:hint="eastAsia"/>
                      <w:color w:val="auto"/>
                      <w:sz w:val="18"/>
                      <w:szCs w:val="18"/>
                    </w:rPr>
                    <w:t>金属车间</w:t>
                  </w:r>
                </w:p>
              </w:tc>
              <w:tc>
                <w:tcPr>
                  <w:tcW w:w="676" w:type="pct"/>
                  <w:vAlign w:val="center"/>
                </w:tcPr>
                <w:p w14:paraId="12D84E5F">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5BC68662">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4B6ABE4A">
                  <w:pPr>
                    <w:widowControl/>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8</w:t>
                  </w:r>
                </w:p>
              </w:tc>
              <w:tc>
                <w:tcPr>
                  <w:tcW w:w="480" w:type="pct"/>
                  <w:vAlign w:val="center"/>
                </w:tcPr>
                <w:p w14:paraId="611297A9">
                  <w:pPr>
                    <w:widowControl/>
                    <w:adjustRightInd w:val="0"/>
                    <w:snapToGrid w:val="0"/>
                    <w:jc w:val="center"/>
                    <w:rPr>
                      <w:bCs/>
                      <w:color w:val="auto"/>
                      <w:kern w:val="0"/>
                      <w:sz w:val="18"/>
                      <w:szCs w:val="18"/>
                    </w:rPr>
                  </w:pPr>
                  <w:r>
                    <w:rPr>
                      <w:rFonts w:hint="eastAsia"/>
                      <w:bCs/>
                      <w:color w:val="auto"/>
                      <w:kern w:val="0"/>
                      <w:sz w:val="18"/>
                      <w:szCs w:val="18"/>
                    </w:rPr>
                    <w:t>0.0031</w:t>
                  </w:r>
                </w:p>
              </w:tc>
              <w:tc>
                <w:tcPr>
                  <w:tcW w:w="477" w:type="pct"/>
                  <w:vAlign w:val="center"/>
                </w:tcPr>
                <w:p w14:paraId="66B6CE7A">
                  <w:pPr>
                    <w:adjustRightInd w:val="0"/>
                    <w:snapToGrid w:val="0"/>
                    <w:jc w:val="center"/>
                    <w:rPr>
                      <w:color w:val="auto"/>
                      <w:sz w:val="18"/>
                      <w:szCs w:val="18"/>
                    </w:rPr>
                  </w:pPr>
                  <w:r>
                    <w:rPr>
                      <w:rFonts w:hint="eastAsia"/>
                      <w:color w:val="auto"/>
                      <w:sz w:val="18"/>
                      <w:szCs w:val="18"/>
                    </w:rPr>
                    <w:t>87.5</w:t>
                  </w:r>
                </w:p>
              </w:tc>
              <w:tc>
                <w:tcPr>
                  <w:tcW w:w="547" w:type="pct"/>
                  <w:vAlign w:val="center"/>
                </w:tcPr>
                <w:p w14:paraId="123BB052">
                  <w:pPr>
                    <w:adjustRightInd w:val="0"/>
                    <w:snapToGrid w:val="0"/>
                    <w:jc w:val="center"/>
                    <w:rPr>
                      <w:color w:val="auto"/>
                      <w:sz w:val="18"/>
                      <w:szCs w:val="18"/>
                    </w:rPr>
                  </w:pPr>
                  <w:r>
                    <w:rPr>
                      <w:rFonts w:hint="eastAsia"/>
                      <w:color w:val="auto"/>
                      <w:sz w:val="18"/>
                      <w:szCs w:val="18"/>
                    </w:rPr>
                    <w:t>108.5</w:t>
                  </w:r>
                </w:p>
              </w:tc>
              <w:tc>
                <w:tcPr>
                  <w:tcW w:w="464" w:type="pct"/>
                  <w:vAlign w:val="center"/>
                </w:tcPr>
                <w:p w14:paraId="7F8E6E12">
                  <w:pPr>
                    <w:adjustRightInd w:val="0"/>
                    <w:snapToGrid w:val="0"/>
                    <w:jc w:val="center"/>
                    <w:rPr>
                      <w:color w:val="auto"/>
                      <w:sz w:val="18"/>
                      <w:szCs w:val="18"/>
                    </w:rPr>
                  </w:pPr>
                  <w:r>
                    <w:rPr>
                      <w:rFonts w:hint="eastAsia"/>
                      <w:color w:val="auto"/>
                      <w:sz w:val="18"/>
                      <w:szCs w:val="18"/>
                    </w:rPr>
                    <w:t>8.6</w:t>
                  </w:r>
                </w:p>
              </w:tc>
              <w:tc>
                <w:tcPr>
                  <w:tcW w:w="444" w:type="pct"/>
                  <w:vAlign w:val="center"/>
                </w:tcPr>
                <w:p w14:paraId="6E008AE0">
                  <w:pPr>
                    <w:adjustRightInd w:val="0"/>
                    <w:snapToGrid w:val="0"/>
                    <w:jc w:val="center"/>
                    <w:rPr>
                      <w:color w:val="auto"/>
                      <w:sz w:val="18"/>
                      <w:szCs w:val="18"/>
                    </w:rPr>
                  </w:pPr>
                  <w:r>
                    <w:rPr>
                      <w:rFonts w:hint="eastAsia"/>
                      <w:color w:val="auto"/>
                      <w:sz w:val="18"/>
                      <w:szCs w:val="18"/>
                    </w:rPr>
                    <w:t>3600</w:t>
                  </w:r>
                </w:p>
              </w:tc>
            </w:tr>
            <w:tr w14:paraId="43F30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4F917187">
                  <w:pPr>
                    <w:adjustRightInd w:val="0"/>
                    <w:snapToGrid w:val="0"/>
                    <w:jc w:val="center"/>
                    <w:rPr>
                      <w:color w:val="auto"/>
                      <w:sz w:val="18"/>
                      <w:szCs w:val="18"/>
                    </w:rPr>
                  </w:pPr>
                </w:p>
              </w:tc>
              <w:tc>
                <w:tcPr>
                  <w:tcW w:w="676" w:type="pct"/>
                  <w:vAlign w:val="center"/>
                </w:tcPr>
                <w:p w14:paraId="2199A6A7">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49914BD0">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11A6B545">
                  <w:pPr>
                    <w:widowControl/>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0915</w:t>
                  </w:r>
                </w:p>
              </w:tc>
              <w:tc>
                <w:tcPr>
                  <w:tcW w:w="480" w:type="pct"/>
                  <w:vAlign w:val="center"/>
                </w:tcPr>
                <w:p w14:paraId="54B32D55">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rPr>
                    <w:t>0.3</w:t>
                  </w:r>
                  <w:r>
                    <w:rPr>
                      <w:rFonts w:hint="eastAsia"/>
                      <w:bCs/>
                      <w:color w:val="auto"/>
                      <w:kern w:val="0"/>
                      <w:sz w:val="18"/>
                      <w:szCs w:val="18"/>
                      <w:lang w:val="en-US" w:eastAsia="zh-CN"/>
                    </w:rPr>
                    <w:t>294</w:t>
                  </w:r>
                </w:p>
              </w:tc>
              <w:tc>
                <w:tcPr>
                  <w:tcW w:w="477" w:type="pct"/>
                  <w:vAlign w:val="center"/>
                </w:tcPr>
                <w:p w14:paraId="03628227">
                  <w:pPr>
                    <w:adjustRightInd w:val="0"/>
                    <w:snapToGrid w:val="0"/>
                    <w:jc w:val="center"/>
                    <w:rPr>
                      <w:color w:val="auto"/>
                      <w:sz w:val="18"/>
                      <w:szCs w:val="18"/>
                    </w:rPr>
                  </w:pPr>
                  <w:r>
                    <w:rPr>
                      <w:rFonts w:hint="eastAsia"/>
                      <w:color w:val="auto"/>
                      <w:sz w:val="18"/>
                      <w:szCs w:val="18"/>
                    </w:rPr>
                    <w:t>87.5</w:t>
                  </w:r>
                </w:p>
              </w:tc>
              <w:tc>
                <w:tcPr>
                  <w:tcW w:w="547" w:type="pct"/>
                  <w:vAlign w:val="center"/>
                </w:tcPr>
                <w:p w14:paraId="08AA6366">
                  <w:pPr>
                    <w:adjustRightInd w:val="0"/>
                    <w:snapToGrid w:val="0"/>
                    <w:jc w:val="center"/>
                    <w:rPr>
                      <w:color w:val="auto"/>
                      <w:sz w:val="18"/>
                      <w:szCs w:val="18"/>
                    </w:rPr>
                  </w:pPr>
                  <w:r>
                    <w:rPr>
                      <w:rFonts w:hint="eastAsia"/>
                      <w:color w:val="auto"/>
                      <w:sz w:val="18"/>
                      <w:szCs w:val="18"/>
                    </w:rPr>
                    <w:t>108.5</w:t>
                  </w:r>
                </w:p>
              </w:tc>
              <w:tc>
                <w:tcPr>
                  <w:tcW w:w="464" w:type="pct"/>
                  <w:vAlign w:val="center"/>
                </w:tcPr>
                <w:p w14:paraId="6D53B03A">
                  <w:pPr>
                    <w:adjustRightInd w:val="0"/>
                    <w:snapToGrid w:val="0"/>
                    <w:jc w:val="center"/>
                    <w:rPr>
                      <w:color w:val="auto"/>
                      <w:sz w:val="18"/>
                      <w:szCs w:val="18"/>
                    </w:rPr>
                  </w:pPr>
                  <w:r>
                    <w:rPr>
                      <w:rFonts w:hint="eastAsia"/>
                      <w:color w:val="auto"/>
                      <w:sz w:val="18"/>
                      <w:szCs w:val="18"/>
                    </w:rPr>
                    <w:t>8.6</w:t>
                  </w:r>
                </w:p>
              </w:tc>
              <w:tc>
                <w:tcPr>
                  <w:tcW w:w="444" w:type="pct"/>
                  <w:vAlign w:val="center"/>
                </w:tcPr>
                <w:p w14:paraId="22FBEBC9">
                  <w:pPr>
                    <w:adjustRightInd w:val="0"/>
                    <w:snapToGrid w:val="0"/>
                    <w:jc w:val="center"/>
                    <w:rPr>
                      <w:color w:val="auto"/>
                      <w:sz w:val="18"/>
                      <w:szCs w:val="18"/>
                    </w:rPr>
                  </w:pPr>
                  <w:r>
                    <w:rPr>
                      <w:rFonts w:hint="eastAsia"/>
                      <w:color w:val="auto"/>
                      <w:sz w:val="18"/>
                      <w:szCs w:val="18"/>
                    </w:rPr>
                    <w:t>3600</w:t>
                  </w:r>
                </w:p>
              </w:tc>
            </w:tr>
            <w:tr w14:paraId="0C2D8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31B3E6D2">
                  <w:pPr>
                    <w:adjustRightInd w:val="0"/>
                    <w:snapToGrid w:val="0"/>
                    <w:jc w:val="center"/>
                    <w:rPr>
                      <w:color w:val="auto"/>
                      <w:sz w:val="18"/>
                      <w:szCs w:val="18"/>
                    </w:rPr>
                  </w:pPr>
                  <w:r>
                    <w:rPr>
                      <w:rFonts w:hint="eastAsia"/>
                      <w:color w:val="auto"/>
                      <w:sz w:val="18"/>
                      <w:szCs w:val="18"/>
                      <w:lang w:eastAsia="zh-CN"/>
                    </w:rPr>
                    <w:t>3.</w:t>
                  </w:r>
                  <w:r>
                    <w:rPr>
                      <w:rFonts w:hint="eastAsia"/>
                      <w:color w:val="auto"/>
                      <w:sz w:val="18"/>
                      <w:szCs w:val="18"/>
                    </w:rPr>
                    <w:t>厂房</w:t>
                  </w:r>
                </w:p>
                <w:p w14:paraId="54A4B226">
                  <w:pPr>
                    <w:adjustRightInd w:val="0"/>
                    <w:snapToGrid w:val="0"/>
                    <w:jc w:val="center"/>
                    <w:rPr>
                      <w:color w:val="auto"/>
                      <w:sz w:val="18"/>
                      <w:szCs w:val="18"/>
                    </w:rPr>
                  </w:pPr>
                  <w:r>
                    <w:rPr>
                      <w:rFonts w:hint="eastAsia"/>
                      <w:color w:val="auto"/>
                      <w:sz w:val="18"/>
                      <w:szCs w:val="18"/>
                    </w:rPr>
                    <w:t>油漆车间</w:t>
                  </w:r>
                </w:p>
              </w:tc>
              <w:tc>
                <w:tcPr>
                  <w:tcW w:w="676" w:type="pct"/>
                  <w:vAlign w:val="center"/>
                </w:tcPr>
                <w:p w14:paraId="5EC6F0FF">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7C75CACE">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64370FA8">
                  <w:pPr>
                    <w:widowControl/>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369</w:t>
                  </w:r>
                </w:p>
              </w:tc>
              <w:tc>
                <w:tcPr>
                  <w:tcW w:w="480" w:type="pct"/>
                  <w:vAlign w:val="center"/>
                </w:tcPr>
                <w:p w14:paraId="1452419E">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rPr>
                    <w:t>0.</w:t>
                  </w:r>
                  <w:r>
                    <w:rPr>
                      <w:rFonts w:hint="eastAsia"/>
                      <w:bCs/>
                      <w:color w:val="auto"/>
                      <w:kern w:val="0"/>
                      <w:sz w:val="18"/>
                      <w:szCs w:val="18"/>
                      <w:lang w:val="en-US" w:eastAsia="zh-CN"/>
                    </w:rPr>
                    <w:t>1624</w:t>
                  </w:r>
                </w:p>
              </w:tc>
              <w:tc>
                <w:tcPr>
                  <w:tcW w:w="477" w:type="pct"/>
                  <w:vAlign w:val="center"/>
                </w:tcPr>
                <w:p w14:paraId="54CB6C18">
                  <w:pPr>
                    <w:adjustRightInd w:val="0"/>
                    <w:snapToGrid w:val="0"/>
                    <w:jc w:val="center"/>
                    <w:rPr>
                      <w:color w:val="auto"/>
                      <w:sz w:val="18"/>
                      <w:szCs w:val="18"/>
                    </w:rPr>
                  </w:pPr>
                  <w:r>
                    <w:rPr>
                      <w:rFonts w:hint="eastAsia"/>
                      <w:color w:val="auto"/>
                      <w:sz w:val="18"/>
                      <w:szCs w:val="18"/>
                    </w:rPr>
                    <w:t>93.4</w:t>
                  </w:r>
                </w:p>
              </w:tc>
              <w:tc>
                <w:tcPr>
                  <w:tcW w:w="547" w:type="pct"/>
                  <w:vAlign w:val="center"/>
                </w:tcPr>
                <w:p w14:paraId="0FA15852">
                  <w:pPr>
                    <w:adjustRightInd w:val="0"/>
                    <w:snapToGrid w:val="0"/>
                    <w:jc w:val="center"/>
                    <w:rPr>
                      <w:color w:val="auto"/>
                      <w:sz w:val="18"/>
                      <w:szCs w:val="18"/>
                    </w:rPr>
                  </w:pPr>
                  <w:r>
                    <w:rPr>
                      <w:rFonts w:hint="eastAsia"/>
                      <w:color w:val="auto"/>
                      <w:sz w:val="18"/>
                      <w:szCs w:val="18"/>
                    </w:rPr>
                    <w:t>54.5</w:t>
                  </w:r>
                </w:p>
              </w:tc>
              <w:tc>
                <w:tcPr>
                  <w:tcW w:w="464" w:type="pct"/>
                  <w:vAlign w:val="center"/>
                </w:tcPr>
                <w:p w14:paraId="2E5D35CA">
                  <w:pPr>
                    <w:adjustRightInd w:val="0"/>
                    <w:snapToGrid w:val="0"/>
                    <w:jc w:val="center"/>
                    <w:rPr>
                      <w:color w:val="auto"/>
                      <w:sz w:val="18"/>
                      <w:szCs w:val="18"/>
                    </w:rPr>
                  </w:pPr>
                  <w:r>
                    <w:rPr>
                      <w:rFonts w:hint="eastAsia"/>
                      <w:color w:val="auto"/>
                      <w:sz w:val="18"/>
                      <w:szCs w:val="18"/>
                    </w:rPr>
                    <w:t>8.6</w:t>
                  </w:r>
                </w:p>
              </w:tc>
              <w:tc>
                <w:tcPr>
                  <w:tcW w:w="444" w:type="pct"/>
                  <w:vAlign w:val="center"/>
                </w:tcPr>
                <w:p w14:paraId="2A731ECB">
                  <w:pPr>
                    <w:adjustRightInd w:val="0"/>
                    <w:snapToGrid w:val="0"/>
                    <w:jc w:val="center"/>
                    <w:rPr>
                      <w:color w:val="auto"/>
                      <w:sz w:val="18"/>
                      <w:szCs w:val="18"/>
                    </w:rPr>
                  </w:pPr>
                  <w:r>
                    <w:rPr>
                      <w:rFonts w:hint="eastAsia"/>
                      <w:color w:val="auto"/>
                      <w:sz w:val="18"/>
                      <w:szCs w:val="18"/>
                    </w:rPr>
                    <w:t>3600</w:t>
                  </w:r>
                </w:p>
              </w:tc>
            </w:tr>
            <w:tr w14:paraId="08D42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724EA26F">
                  <w:pPr>
                    <w:adjustRightInd w:val="0"/>
                    <w:snapToGrid w:val="0"/>
                    <w:jc w:val="center"/>
                    <w:rPr>
                      <w:color w:val="auto"/>
                      <w:sz w:val="18"/>
                      <w:szCs w:val="18"/>
                    </w:rPr>
                  </w:pPr>
                </w:p>
              </w:tc>
              <w:tc>
                <w:tcPr>
                  <w:tcW w:w="676" w:type="pct"/>
                  <w:vAlign w:val="center"/>
                </w:tcPr>
                <w:p w14:paraId="6350F7E6">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252252F1">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5E2B83FD">
                  <w:pPr>
                    <w:widowControl/>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752</w:t>
                  </w:r>
                </w:p>
              </w:tc>
              <w:tc>
                <w:tcPr>
                  <w:tcW w:w="480" w:type="pct"/>
                  <w:vAlign w:val="center"/>
                </w:tcPr>
                <w:p w14:paraId="5B76018B">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rPr>
                    <w:t>0.</w:t>
                  </w:r>
                  <w:r>
                    <w:rPr>
                      <w:rFonts w:hint="eastAsia"/>
                      <w:bCs/>
                      <w:color w:val="auto"/>
                      <w:kern w:val="0"/>
                      <w:sz w:val="18"/>
                      <w:szCs w:val="18"/>
                      <w:lang w:val="en-US" w:eastAsia="zh-CN"/>
                    </w:rPr>
                    <w:t>2708</w:t>
                  </w:r>
                </w:p>
              </w:tc>
              <w:tc>
                <w:tcPr>
                  <w:tcW w:w="477" w:type="pct"/>
                  <w:vAlign w:val="center"/>
                </w:tcPr>
                <w:p w14:paraId="25BF610A">
                  <w:pPr>
                    <w:adjustRightInd w:val="0"/>
                    <w:snapToGrid w:val="0"/>
                    <w:jc w:val="center"/>
                    <w:rPr>
                      <w:color w:val="auto"/>
                      <w:sz w:val="18"/>
                      <w:szCs w:val="18"/>
                    </w:rPr>
                  </w:pPr>
                  <w:r>
                    <w:rPr>
                      <w:rFonts w:hint="eastAsia"/>
                      <w:color w:val="auto"/>
                      <w:sz w:val="18"/>
                      <w:szCs w:val="18"/>
                    </w:rPr>
                    <w:t>93.4</w:t>
                  </w:r>
                </w:p>
              </w:tc>
              <w:tc>
                <w:tcPr>
                  <w:tcW w:w="547" w:type="pct"/>
                  <w:vAlign w:val="center"/>
                </w:tcPr>
                <w:p w14:paraId="330E862F">
                  <w:pPr>
                    <w:adjustRightInd w:val="0"/>
                    <w:snapToGrid w:val="0"/>
                    <w:jc w:val="center"/>
                    <w:rPr>
                      <w:color w:val="auto"/>
                      <w:sz w:val="18"/>
                      <w:szCs w:val="18"/>
                    </w:rPr>
                  </w:pPr>
                  <w:r>
                    <w:rPr>
                      <w:rFonts w:hint="eastAsia"/>
                      <w:color w:val="auto"/>
                      <w:sz w:val="18"/>
                      <w:szCs w:val="18"/>
                    </w:rPr>
                    <w:t>54.5</w:t>
                  </w:r>
                </w:p>
              </w:tc>
              <w:tc>
                <w:tcPr>
                  <w:tcW w:w="464" w:type="pct"/>
                  <w:vAlign w:val="center"/>
                </w:tcPr>
                <w:p w14:paraId="16DE1FAF">
                  <w:pPr>
                    <w:adjustRightInd w:val="0"/>
                    <w:snapToGrid w:val="0"/>
                    <w:jc w:val="center"/>
                    <w:rPr>
                      <w:color w:val="auto"/>
                      <w:sz w:val="18"/>
                      <w:szCs w:val="18"/>
                    </w:rPr>
                  </w:pPr>
                  <w:r>
                    <w:rPr>
                      <w:rFonts w:hint="eastAsia"/>
                      <w:color w:val="auto"/>
                      <w:sz w:val="18"/>
                      <w:szCs w:val="18"/>
                    </w:rPr>
                    <w:t>8.6</w:t>
                  </w:r>
                </w:p>
              </w:tc>
              <w:tc>
                <w:tcPr>
                  <w:tcW w:w="444" w:type="pct"/>
                  <w:vAlign w:val="center"/>
                </w:tcPr>
                <w:p w14:paraId="3C94EB1E">
                  <w:pPr>
                    <w:adjustRightInd w:val="0"/>
                    <w:snapToGrid w:val="0"/>
                    <w:jc w:val="center"/>
                    <w:rPr>
                      <w:color w:val="auto"/>
                      <w:sz w:val="18"/>
                      <w:szCs w:val="18"/>
                    </w:rPr>
                  </w:pPr>
                  <w:r>
                    <w:rPr>
                      <w:rFonts w:hint="eastAsia"/>
                      <w:color w:val="auto"/>
                      <w:sz w:val="18"/>
                      <w:szCs w:val="18"/>
                    </w:rPr>
                    <w:t>3600</w:t>
                  </w:r>
                </w:p>
              </w:tc>
            </w:tr>
            <w:tr w14:paraId="01269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3FE2A876">
                  <w:pPr>
                    <w:adjustRightInd w:val="0"/>
                    <w:snapToGrid w:val="0"/>
                    <w:jc w:val="center"/>
                    <w:rPr>
                      <w:color w:val="auto"/>
                      <w:sz w:val="18"/>
                      <w:szCs w:val="18"/>
                    </w:rPr>
                  </w:pPr>
                  <w:r>
                    <w:rPr>
                      <w:rFonts w:hint="eastAsia"/>
                      <w:color w:val="auto"/>
                      <w:sz w:val="18"/>
                      <w:szCs w:val="18"/>
                      <w:lang w:eastAsia="zh-CN"/>
                    </w:rPr>
                    <w:t>4.</w:t>
                  </w:r>
                  <w:r>
                    <w:rPr>
                      <w:rFonts w:hint="eastAsia"/>
                      <w:color w:val="auto"/>
                      <w:sz w:val="18"/>
                      <w:szCs w:val="18"/>
                    </w:rPr>
                    <w:t>厂房</w:t>
                  </w:r>
                </w:p>
                <w:p w14:paraId="398406F4">
                  <w:pPr>
                    <w:adjustRightInd w:val="0"/>
                    <w:snapToGrid w:val="0"/>
                    <w:jc w:val="center"/>
                    <w:rPr>
                      <w:color w:val="auto"/>
                      <w:sz w:val="18"/>
                      <w:szCs w:val="18"/>
                    </w:rPr>
                  </w:pPr>
                  <w:r>
                    <w:rPr>
                      <w:rFonts w:hint="eastAsia"/>
                      <w:color w:val="auto"/>
                      <w:sz w:val="18"/>
                      <w:szCs w:val="18"/>
                    </w:rPr>
                    <w:t>木工车间</w:t>
                  </w:r>
                </w:p>
              </w:tc>
              <w:tc>
                <w:tcPr>
                  <w:tcW w:w="676" w:type="pct"/>
                  <w:vAlign w:val="center"/>
                </w:tcPr>
                <w:p w14:paraId="36DEA7F6">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437B4D18">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4CB3EE6D">
                  <w:pPr>
                    <w:widowControl/>
                    <w:adjustRightInd w:val="0"/>
                    <w:snapToGrid w:val="0"/>
                    <w:jc w:val="center"/>
                    <w:rPr>
                      <w:color w:val="auto"/>
                      <w:sz w:val="18"/>
                      <w:szCs w:val="18"/>
                    </w:rPr>
                  </w:pPr>
                  <w:r>
                    <w:rPr>
                      <w:rFonts w:hint="eastAsia"/>
                      <w:color w:val="auto"/>
                      <w:sz w:val="18"/>
                      <w:szCs w:val="18"/>
                    </w:rPr>
                    <w:t>0.0004</w:t>
                  </w:r>
                </w:p>
              </w:tc>
              <w:tc>
                <w:tcPr>
                  <w:tcW w:w="480" w:type="pct"/>
                  <w:vAlign w:val="center"/>
                </w:tcPr>
                <w:p w14:paraId="514BB462">
                  <w:pPr>
                    <w:widowControl/>
                    <w:adjustRightInd w:val="0"/>
                    <w:snapToGrid w:val="0"/>
                    <w:jc w:val="center"/>
                    <w:rPr>
                      <w:bCs/>
                      <w:color w:val="auto"/>
                      <w:kern w:val="0"/>
                      <w:sz w:val="18"/>
                      <w:szCs w:val="18"/>
                    </w:rPr>
                  </w:pPr>
                  <w:r>
                    <w:rPr>
                      <w:rFonts w:hint="eastAsia"/>
                      <w:bCs/>
                      <w:color w:val="auto"/>
                      <w:kern w:val="0"/>
                      <w:sz w:val="18"/>
                      <w:szCs w:val="18"/>
                    </w:rPr>
                    <w:t>0.00142</w:t>
                  </w:r>
                </w:p>
              </w:tc>
              <w:tc>
                <w:tcPr>
                  <w:tcW w:w="477" w:type="pct"/>
                  <w:vAlign w:val="center"/>
                </w:tcPr>
                <w:p w14:paraId="65B5E071">
                  <w:pPr>
                    <w:adjustRightInd w:val="0"/>
                    <w:snapToGrid w:val="0"/>
                    <w:jc w:val="center"/>
                    <w:rPr>
                      <w:color w:val="auto"/>
                      <w:sz w:val="18"/>
                      <w:szCs w:val="18"/>
                    </w:rPr>
                  </w:pPr>
                  <w:r>
                    <w:rPr>
                      <w:rFonts w:hint="eastAsia"/>
                      <w:color w:val="auto"/>
                      <w:sz w:val="18"/>
                      <w:szCs w:val="18"/>
                    </w:rPr>
                    <w:t>87.5</w:t>
                  </w:r>
                </w:p>
              </w:tc>
              <w:tc>
                <w:tcPr>
                  <w:tcW w:w="547" w:type="pct"/>
                  <w:vAlign w:val="center"/>
                </w:tcPr>
                <w:p w14:paraId="6ACD6F50">
                  <w:pPr>
                    <w:adjustRightInd w:val="0"/>
                    <w:snapToGrid w:val="0"/>
                    <w:jc w:val="center"/>
                    <w:rPr>
                      <w:color w:val="auto"/>
                      <w:sz w:val="18"/>
                      <w:szCs w:val="18"/>
                    </w:rPr>
                  </w:pPr>
                  <w:r>
                    <w:rPr>
                      <w:rFonts w:hint="eastAsia"/>
                      <w:color w:val="auto"/>
                      <w:sz w:val="18"/>
                      <w:szCs w:val="18"/>
                    </w:rPr>
                    <w:t>54.5</w:t>
                  </w:r>
                </w:p>
              </w:tc>
              <w:tc>
                <w:tcPr>
                  <w:tcW w:w="464" w:type="pct"/>
                  <w:vAlign w:val="center"/>
                </w:tcPr>
                <w:p w14:paraId="0A084A35">
                  <w:pPr>
                    <w:adjustRightInd w:val="0"/>
                    <w:snapToGrid w:val="0"/>
                    <w:jc w:val="center"/>
                    <w:rPr>
                      <w:color w:val="auto"/>
                      <w:sz w:val="18"/>
                      <w:szCs w:val="18"/>
                    </w:rPr>
                  </w:pPr>
                  <w:r>
                    <w:rPr>
                      <w:rFonts w:hint="eastAsia"/>
                      <w:color w:val="auto"/>
                      <w:sz w:val="18"/>
                      <w:szCs w:val="18"/>
                    </w:rPr>
                    <w:t>8.6</w:t>
                  </w:r>
                </w:p>
              </w:tc>
              <w:tc>
                <w:tcPr>
                  <w:tcW w:w="444" w:type="pct"/>
                  <w:vAlign w:val="center"/>
                </w:tcPr>
                <w:p w14:paraId="6ED62821">
                  <w:pPr>
                    <w:adjustRightInd w:val="0"/>
                    <w:snapToGrid w:val="0"/>
                    <w:jc w:val="center"/>
                    <w:rPr>
                      <w:color w:val="auto"/>
                      <w:sz w:val="18"/>
                      <w:szCs w:val="18"/>
                    </w:rPr>
                  </w:pPr>
                  <w:r>
                    <w:rPr>
                      <w:rFonts w:hint="eastAsia"/>
                      <w:color w:val="auto"/>
                      <w:sz w:val="18"/>
                      <w:szCs w:val="18"/>
                    </w:rPr>
                    <w:t>3600</w:t>
                  </w:r>
                </w:p>
              </w:tc>
            </w:tr>
            <w:tr w14:paraId="47748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12335081">
                  <w:pPr>
                    <w:adjustRightInd w:val="0"/>
                    <w:snapToGrid w:val="0"/>
                    <w:jc w:val="center"/>
                    <w:rPr>
                      <w:color w:val="auto"/>
                      <w:sz w:val="18"/>
                      <w:szCs w:val="18"/>
                    </w:rPr>
                  </w:pPr>
                </w:p>
              </w:tc>
              <w:tc>
                <w:tcPr>
                  <w:tcW w:w="676" w:type="pct"/>
                  <w:vAlign w:val="center"/>
                </w:tcPr>
                <w:p w14:paraId="08396712">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43A85486">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7F0D6EBC">
                  <w:pPr>
                    <w:widowControl/>
                    <w:adjustRightInd w:val="0"/>
                    <w:snapToGrid w:val="0"/>
                    <w:jc w:val="center"/>
                    <w:rPr>
                      <w:color w:val="auto"/>
                      <w:sz w:val="18"/>
                      <w:szCs w:val="18"/>
                    </w:rPr>
                  </w:pPr>
                  <w:r>
                    <w:rPr>
                      <w:rFonts w:hint="eastAsia"/>
                      <w:color w:val="auto"/>
                      <w:sz w:val="18"/>
                      <w:szCs w:val="18"/>
                    </w:rPr>
                    <w:t>0.016</w:t>
                  </w:r>
                </w:p>
              </w:tc>
              <w:tc>
                <w:tcPr>
                  <w:tcW w:w="480" w:type="pct"/>
                  <w:vAlign w:val="center"/>
                </w:tcPr>
                <w:p w14:paraId="48DBBCB1">
                  <w:pPr>
                    <w:widowControl/>
                    <w:adjustRightInd w:val="0"/>
                    <w:snapToGrid w:val="0"/>
                    <w:jc w:val="center"/>
                    <w:rPr>
                      <w:bCs/>
                      <w:color w:val="auto"/>
                      <w:kern w:val="0"/>
                      <w:sz w:val="18"/>
                      <w:szCs w:val="18"/>
                    </w:rPr>
                  </w:pPr>
                  <w:r>
                    <w:rPr>
                      <w:rFonts w:hint="eastAsia"/>
                      <w:bCs/>
                      <w:color w:val="auto"/>
                      <w:kern w:val="0"/>
                      <w:sz w:val="18"/>
                      <w:szCs w:val="18"/>
                    </w:rPr>
                    <w:t>0.0576</w:t>
                  </w:r>
                </w:p>
              </w:tc>
              <w:tc>
                <w:tcPr>
                  <w:tcW w:w="477" w:type="pct"/>
                  <w:vAlign w:val="center"/>
                </w:tcPr>
                <w:p w14:paraId="53902C4D">
                  <w:pPr>
                    <w:adjustRightInd w:val="0"/>
                    <w:snapToGrid w:val="0"/>
                    <w:jc w:val="center"/>
                    <w:rPr>
                      <w:color w:val="auto"/>
                      <w:sz w:val="18"/>
                      <w:szCs w:val="18"/>
                    </w:rPr>
                  </w:pPr>
                  <w:r>
                    <w:rPr>
                      <w:rFonts w:hint="eastAsia"/>
                      <w:color w:val="auto"/>
                      <w:sz w:val="18"/>
                      <w:szCs w:val="18"/>
                    </w:rPr>
                    <w:t>87.5</w:t>
                  </w:r>
                </w:p>
              </w:tc>
              <w:tc>
                <w:tcPr>
                  <w:tcW w:w="547" w:type="pct"/>
                  <w:vAlign w:val="center"/>
                </w:tcPr>
                <w:p w14:paraId="06430CE7">
                  <w:pPr>
                    <w:adjustRightInd w:val="0"/>
                    <w:snapToGrid w:val="0"/>
                    <w:jc w:val="center"/>
                    <w:rPr>
                      <w:color w:val="auto"/>
                      <w:sz w:val="18"/>
                      <w:szCs w:val="18"/>
                    </w:rPr>
                  </w:pPr>
                  <w:r>
                    <w:rPr>
                      <w:rFonts w:hint="eastAsia"/>
                      <w:color w:val="auto"/>
                      <w:sz w:val="18"/>
                      <w:szCs w:val="18"/>
                    </w:rPr>
                    <w:t>54.5</w:t>
                  </w:r>
                </w:p>
              </w:tc>
              <w:tc>
                <w:tcPr>
                  <w:tcW w:w="464" w:type="pct"/>
                  <w:vAlign w:val="center"/>
                </w:tcPr>
                <w:p w14:paraId="7B0A349F">
                  <w:pPr>
                    <w:adjustRightInd w:val="0"/>
                    <w:snapToGrid w:val="0"/>
                    <w:jc w:val="center"/>
                    <w:rPr>
                      <w:color w:val="auto"/>
                      <w:sz w:val="18"/>
                      <w:szCs w:val="18"/>
                    </w:rPr>
                  </w:pPr>
                  <w:r>
                    <w:rPr>
                      <w:rFonts w:hint="eastAsia"/>
                      <w:color w:val="auto"/>
                      <w:sz w:val="18"/>
                      <w:szCs w:val="18"/>
                    </w:rPr>
                    <w:t>8.6</w:t>
                  </w:r>
                </w:p>
              </w:tc>
              <w:tc>
                <w:tcPr>
                  <w:tcW w:w="444" w:type="pct"/>
                  <w:vAlign w:val="center"/>
                </w:tcPr>
                <w:p w14:paraId="67F67356">
                  <w:pPr>
                    <w:adjustRightInd w:val="0"/>
                    <w:snapToGrid w:val="0"/>
                    <w:jc w:val="center"/>
                    <w:rPr>
                      <w:color w:val="auto"/>
                      <w:sz w:val="18"/>
                      <w:szCs w:val="18"/>
                    </w:rPr>
                  </w:pPr>
                  <w:r>
                    <w:rPr>
                      <w:rFonts w:hint="eastAsia"/>
                      <w:color w:val="auto"/>
                      <w:sz w:val="18"/>
                      <w:szCs w:val="18"/>
                    </w:rPr>
                    <w:t>3600</w:t>
                  </w:r>
                </w:p>
              </w:tc>
            </w:tr>
          </w:tbl>
          <w:p w14:paraId="7E332B54">
            <w:pPr>
              <w:autoSpaceDE w:val="0"/>
              <w:autoSpaceDN w:val="0"/>
              <w:adjustRightInd w:val="0"/>
              <w:snapToGrid w:val="0"/>
              <w:spacing w:before="120" w:beforeLines="50"/>
              <w:ind w:firstLine="482" w:firstLineChars="200"/>
              <w:jc w:val="center"/>
              <w:rPr>
                <w:b/>
                <w:bCs/>
                <w:color w:val="auto"/>
                <w:sz w:val="24"/>
              </w:rPr>
            </w:pPr>
            <w:r>
              <w:rPr>
                <w:b/>
                <w:color w:val="auto"/>
                <w:kern w:val="0"/>
                <w:sz w:val="24"/>
                <w:szCs w:val="20"/>
              </w:rPr>
              <w:t>表</w:t>
            </w:r>
            <w:r>
              <w:rPr>
                <w:b/>
                <w:bCs/>
                <w:color w:val="auto"/>
                <w:kern w:val="0"/>
                <w:sz w:val="24"/>
                <w:szCs w:val="20"/>
              </w:rPr>
              <w:t>4-</w:t>
            </w:r>
            <w:r>
              <w:rPr>
                <w:rFonts w:hint="eastAsia"/>
                <w:b/>
                <w:bCs/>
                <w:color w:val="auto"/>
                <w:kern w:val="0"/>
                <w:sz w:val="24"/>
                <w:szCs w:val="20"/>
              </w:rPr>
              <w:t>4</w:t>
            </w:r>
            <w:r>
              <w:rPr>
                <w:b/>
                <w:bCs/>
                <w:color w:val="auto"/>
                <w:kern w:val="0"/>
                <w:sz w:val="24"/>
                <w:szCs w:val="20"/>
              </w:rPr>
              <w:t xml:space="preserve"> </w:t>
            </w:r>
            <w:r>
              <w:rPr>
                <w:b/>
                <w:bCs/>
                <w:color w:val="auto"/>
                <w:sz w:val="24"/>
              </w:rPr>
              <w:t>项目废气排放口信息一览表</w:t>
            </w:r>
          </w:p>
          <w:tbl>
            <w:tblPr>
              <w:tblStyle w:val="89"/>
              <w:tblW w:w="499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877"/>
              <w:gridCol w:w="877"/>
              <w:gridCol w:w="849"/>
              <w:gridCol w:w="1459"/>
              <w:gridCol w:w="849"/>
              <w:gridCol w:w="1446"/>
              <w:gridCol w:w="1365"/>
              <w:gridCol w:w="1284"/>
              <w:gridCol w:w="1451"/>
              <w:gridCol w:w="1139"/>
              <w:gridCol w:w="1109"/>
            </w:tblGrid>
            <w:tr w14:paraId="2F4ECE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75" w:hRule="atLeast"/>
                <w:jc w:val="center"/>
              </w:trPr>
              <w:tc>
                <w:tcPr>
                  <w:tcW w:w="345" w:type="pct"/>
                  <w:vMerge w:val="restart"/>
                  <w:vAlign w:val="center"/>
                </w:tcPr>
                <w:p w14:paraId="2CAE59C6">
                  <w:pPr>
                    <w:jc w:val="center"/>
                    <w:rPr>
                      <w:b/>
                      <w:color w:val="auto"/>
                      <w:szCs w:val="21"/>
                    </w:rPr>
                  </w:pPr>
                  <w:r>
                    <w:rPr>
                      <w:rFonts w:hint="eastAsia"/>
                      <w:b/>
                      <w:color w:val="auto"/>
                      <w:szCs w:val="21"/>
                    </w:rPr>
                    <w:t>序号</w:t>
                  </w:r>
                </w:p>
              </w:tc>
              <w:tc>
                <w:tcPr>
                  <w:tcW w:w="3198" w:type="pct"/>
                  <w:gridSpan w:val="7"/>
                  <w:vAlign w:val="center"/>
                </w:tcPr>
                <w:p w14:paraId="16922B8B">
                  <w:pPr>
                    <w:jc w:val="center"/>
                    <w:rPr>
                      <w:b/>
                      <w:color w:val="auto"/>
                      <w:szCs w:val="21"/>
                    </w:rPr>
                  </w:pPr>
                  <w:r>
                    <w:rPr>
                      <w:b/>
                      <w:color w:val="auto"/>
                      <w:szCs w:val="21"/>
                    </w:rPr>
                    <w:t>排放口基本情况</w:t>
                  </w:r>
                </w:p>
              </w:tc>
              <w:tc>
                <w:tcPr>
                  <w:tcW w:w="1455" w:type="pct"/>
                  <w:gridSpan w:val="3"/>
                  <w:vAlign w:val="center"/>
                </w:tcPr>
                <w:p w14:paraId="4E7A35ED">
                  <w:pPr>
                    <w:jc w:val="center"/>
                    <w:rPr>
                      <w:b/>
                      <w:color w:val="auto"/>
                      <w:szCs w:val="21"/>
                    </w:rPr>
                  </w:pPr>
                  <w:r>
                    <w:rPr>
                      <w:b/>
                      <w:color w:val="auto"/>
                      <w:szCs w:val="21"/>
                    </w:rPr>
                    <w:t>排放标准</w:t>
                  </w:r>
                </w:p>
              </w:tc>
            </w:tr>
            <w:tr w14:paraId="536672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0" w:hRule="atLeast"/>
                <w:jc w:val="center"/>
              </w:trPr>
              <w:tc>
                <w:tcPr>
                  <w:tcW w:w="345" w:type="pct"/>
                  <w:vMerge w:val="continue"/>
                  <w:vAlign w:val="center"/>
                </w:tcPr>
                <w:p w14:paraId="4363017F">
                  <w:pPr>
                    <w:jc w:val="center"/>
                    <w:rPr>
                      <w:b/>
                      <w:color w:val="auto"/>
                      <w:szCs w:val="21"/>
                    </w:rPr>
                  </w:pPr>
                </w:p>
              </w:tc>
              <w:tc>
                <w:tcPr>
                  <w:tcW w:w="345" w:type="pct"/>
                  <w:vMerge w:val="restart"/>
                  <w:vAlign w:val="center"/>
                </w:tcPr>
                <w:p w14:paraId="316A8AB2">
                  <w:pPr>
                    <w:jc w:val="center"/>
                    <w:rPr>
                      <w:b/>
                      <w:color w:val="auto"/>
                      <w:szCs w:val="21"/>
                    </w:rPr>
                  </w:pPr>
                  <w:r>
                    <w:rPr>
                      <w:b/>
                      <w:color w:val="auto"/>
                      <w:szCs w:val="21"/>
                    </w:rPr>
                    <w:t>编号</w:t>
                  </w:r>
                </w:p>
              </w:tc>
              <w:tc>
                <w:tcPr>
                  <w:tcW w:w="334" w:type="pct"/>
                  <w:vMerge w:val="restart"/>
                  <w:vAlign w:val="center"/>
                </w:tcPr>
                <w:p w14:paraId="2C9714DE">
                  <w:pPr>
                    <w:jc w:val="center"/>
                    <w:rPr>
                      <w:b/>
                      <w:color w:val="auto"/>
                      <w:szCs w:val="21"/>
                    </w:rPr>
                  </w:pPr>
                  <w:r>
                    <w:rPr>
                      <w:b/>
                      <w:color w:val="auto"/>
                      <w:szCs w:val="21"/>
                    </w:rPr>
                    <w:t>内径</w:t>
                  </w:r>
                </w:p>
                <w:p w14:paraId="2ACA8529">
                  <w:pPr>
                    <w:jc w:val="center"/>
                    <w:rPr>
                      <w:b/>
                      <w:color w:val="auto"/>
                      <w:szCs w:val="21"/>
                    </w:rPr>
                  </w:pPr>
                  <w:r>
                    <w:rPr>
                      <w:rFonts w:hint="eastAsia"/>
                      <w:b/>
                      <w:color w:val="auto"/>
                      <w:szCs w:val="21"/>
                      <w:lang w:eastAsia="zh-CN"/>
                    </w:rPr>
                    <w:t>(</w:t>
                  </w:r>
                  <w:r>
                    <w:rPr>
                      <w:b/>
                      <w:color w:val="auto"/>
                      <w:szCs w:val="21"/>
                    </w:rPr>
                    <w:t>m</w:t>
                  </w:r>
                  <w:r>
                    <w:rPr>
                      <w:rFonts w:hint="eastAsia"/>
                      <w:b/>
                      <w:color w:val="auto"/>
                      <w:szCs w:val="21"/>
                      <w:lang w:eastAsia="zh-CN"/>
                    </w:rPr>
                    <w:t>)</w:t>
                  </w:r>
                </w:p>
              </w:tc>
              <w:tc>
                <w:tcPr>
                  <w:tcW w:w="574" w:type="pct"/>
                  <w:vMerge w:val="restart"/>
                  <w:vAlign w:val="center"/>
                </w:tcPr>
                <w:p w14:paraId="142BD900">
                  <w:pPr>
                    <w:jc w:val="center"/>
                    <w:rPr>
                      <w:b/>
                      <w:color w:val="auto"/>
                      <w:szCs w:val="21"/>
                    </w:rPr>
                  </w:pPr>
                  <w:r>
                    <w:rPr>
                      <w:b/>
                      <w:color w:val="auto"/>
                      <w:szCs w:val="21"/>
                    </w:rPr>
                    <w:t>温度（</w:t>
                  </w:r>
                  <w:r>
                    <w:rPr>
                      <w:color w:val="auto"/>
                      <w:szCs w:val="21"/>
                    </w:rPr>
                    <w:t>℃</w:t>
                  </w:r>
                  <w:r>
                    <w:rPr>
                      <w:b/>
                      <w:color w:val="auto"/>
                      <w:szCs w:val="21"/>
                    </w:rPr>
                    <w:t>）</w:t>
                  </w:r>
                </w:p>
              </w:tc>
              <w:tc>
                <w:tcPr>
                  <w:tcW w:w="334" w:type="pct"/>
                  <w:vMerge w:val="restart"/>
                  <w:vAlign w:val="center"/>
                </w:tcPr>
                <w:p w14:paraId="3CC3C1D9">
                  <w:pPr>
                    <w:jc w:val="center"/>
                    <w:rPr>
                      <w:b/>
                      <w:color w:val="auto"/>
                      <w:szCs w:val="21"/>
                    </w:rPr>
                  </w:pPr>
                  <w:r>
                    <w:rPr>
                      <w:b/>
                      <w:color w:val="auto"/>
                      <w:szCs w:val="21"/>
                    </w:rPr>
                    <w:t>高度</w:t>
                  </w:r>
                </w:p>
                <w:p w14:paraId="4A9DDE49">
                  <w:pPr>
                    <w:jc w:val="center"/>
                    <w:rPr>
                      <w:b/>
                      <w:color w:val="auto"/>
                      <w:szCs w:val="21"/>
                    </w:rPr>
                  </w:pPr>
                  <w:r>
                    <w:rPr>
                      <w:rFonts w:hint="eastAsia"/>
                      <w:b/>
                      <w:color w:val="auto"/>
                      <w:szCs w:val="21"/>
                      <w:lang w:eastAsia="zh-CN"/>
                    </w:rPr>
                    <w:t>(</w:t>
                  </w:r>
                  <w:r>
                    <w:rPr>
                      <w:b/>
                      <w:color w:val="auto"/>
                      <w:szCs w:val="21"/>
                    </w:rPr>
                    <w:t>m</w:t>
                  </w:r>
                  <w:r>
                    <w:rPr>
                      <w:rFonts w:hint="eastAsia"/>
                      <w:b/>
                      <w:color w:val="auto"/>
                      <w:szCs w:val="21"/>
                      <w:lang w:eastAsia="zh-CN"/>
                    </w:rPr>
                    <w:t>)</w:t>
                  </w:r>
                </w:p>
              </w:tc>
              <w:tc>
                <w:tcPr>
                  <w:tcW w:w="569" w:type="pct"/>
                  <w:vMerge w:val="restart"/>
                  <w:vAlign w:val="center"/>
                </w:tcPr>
                <w:p w14:paraId="57834510">
                  <w:pPr>
                    <w:jc w:val="center"/>
                    <w:rPr>
                      <w:b/>
                      <w:color w:val="auto"/>
                      <w:szCs w:val="21"/>
                    </w:rPr>
                  </w:pPr>
                  <w:r>
                    <w:rPr>
                      <w:b/>
                      <w:color w:val="auto"/>
                      <w:szCs w:val="21"/>
                    </w:rPr>
                    <w:t>类型</w:t>
                  </w:r>
                </w:p>
              </w:tc>
              <w:tc>
                <w:tcPr>
                  <w:tcW w:w="1040" w:type="pct"/>
                  <w:gridSpan w:val="2"/>
                  <w:vAlign w:val="center"/>
                </w:tcPr>
                <w:p w14:paraId="1C7BB33B">
                  <w:pPr>
                    <w:jc w:val="center"/>
                    <w:rPr>
                      <w:b/>
                      <w:color w:val="auto"/>
                      <w:szCs w:val="21"/>
                    </w:rPr>
                  </w:pPr>
                  <w:r>
                    <w:rPr>
                      <w:b/>
                      <w:color w:val="auto"/>
                      <w:szCs w:val="21"/>
                    </w:rPr>
                    <w:t>地理坐标</w:t>
                  </w:r>
                  <w:r>
                    <w:rPr>
                      <w:rFonts w:hint="eastAsia"/>
                      <w:b/>
                      <w:bCs/>
                      <w:color w:val="auto"/>
                    </w:rPr>
                    <w:t>（度）</w:t>
                  </w:r>
                </w:p>
              </w:tc>
              <w:tc>
                <w:tcPr>
                  <w:tcW w:w="571" w:type="pct"/>
                  <w:vMerge w:val="restart"/>
                  <w:vAlign w:val="center"/>
                </w:tcPr>
                <w:p w14:paraId="771AE789">
                  <w:pPr>
                    <w:jc w:val="center"/>
                    <w:rPr>
                      <w:b/>
                      <w:color w:val="auto"/>
                      <w:szCs w:val="21"/>
                    </w:rPr>
                  </w:pPr>
                  <w:r>
                    <w:rPr>
                      <w:b/>
                      <w:color w:val="auto"/>
                      <w:szCs w:val="21"/>
                    </w:rPr>
                    <w:t>污染物名称</w:t>
                  </w:r>
                </w:p>
              </w:tc>
              <w:tc>
                <w:tcPr>
                  <w:tcW w:w="448" w:type="pct"/>
                  <w:vMerge w:val="restart"/>
                  <w:vAlign w:val="center"/>
                </w:tcPr>
                <w:p w14:paraId="5D86F56C">
                  <w:pPr>
                    <w:ind w:right="-29" w:rightChars="-14"/>
                    <w:jc w:val="center"/>
                    <w:rPr>
                      <w:b/>
                      <w:color w:val="auto"/>
                      <w:szCs w:val="21"/>
                    </w:rPr>
                  </w:pPr>
                  <w:r>
                    <w:rPr>
                      <w:b/>
                      <w:color w:val="auto"/>
                      <w:szCs w:val="21"/>
                    </w:rPr>
                    <w:t>允许浓度</w:t>
                  </w:r>
                </w:p>
                <w:p w14:paraId="567BC4B2">
                  <w:pPr>
                    <w:jc w:val="center"/>
                    <w:rPr>
                      <w:b/>
                      <w:color w:val="auto"/>
                      <w:szCs w:val="21"/>
                    </w:rPr>
                  </w:pPr>
                  <w:r>
                    <w:rPr>
                      <w:b/>
                      <w:color w:val="auto"/>
                      <w:szCs w:val="21"/>
                    </w:rPr>
                    <w:t>(mg/</w:t>
                  </w:r>
                  <w:r>
                    <w:rPr>
                      <w:rFonts w:hint="eastAsia"/>
                      <w:b/>
                      <w:color w:val="auto"/>
                      <w:szCs w:val="21"/>
                      <w:lang w:eastAsia="zh-CN"/>
                    </w:rPr>
                    <w:t>(3)</w:t>
                  </w:r>
                </w:p>
              </w:tc>
              <w:tc>
                <w:tcPr>
                  <w:tcW w:w="436" w:type="pct"/>
                  <w:vMerge w:val="restart"/>
                  <w:vAlign w:val="center"/>
                </w:tcPr>
                <w:p w14:paraId="0B9024A9">
                  <w:pPr>
                    <w:ind w:leftChars="-11" w:right="-31" w:rightChars="-15" w:hanging="23" w:hangingChars="11"/>
                    <w:jc w:val="center"/>
                    <w:rPr>
                      <w:b/>
                      <w:color w:val="auto"/>
                      <w:szCs w:val="21"/>
                    </w:rPr>
                  </w:pPr>
                  <w:r>
                    <w:rPr>
                      <w:b/>
                      <w:color w:val="auto"/>
                      <w:szCs w:val="21"/>
                    </w:rPr>
                    <w:t>允许速度</w:t>
                  </w:r>
                </w:p>
                <w:p w14:paraId="13AE8BC1">
                  <w:pPr>
                    <w:jc w:val="center"/>
                    <w:rPr>
                      <w:b/>
                      <w:color w:val="auto"/>
                      <w:szCs w:val="21"/>
                    </w:rPr>
                  </w:pPr>
                  <w:r>
                    <w:rPr>
                      <w:b/>
                      <w:color w:val="auto"/>
                      <w:szCs w:val="21"/>
                    </w:rPr>
                    <w:t>(kg/h)</w:t>
                  </w:r>
                </w:p>
              </w:tc>
            </w:tr>
            <w:tr w14:paraId="40D31B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0" w:hRule="atLeast"/>
                <w:jc w:val="center"/>
              </w:trPr>
              <w:tc>
                <w:tcPr>
                  <w:tcW w:w="345" w:type="pct"/>
                  <w:vMerge w:val="continue"/>
                  <w:vAlign w:val="center"/>
                </w:tcPr>
                <w:p w14:paraId="1D6CF08E">
                  <w:pPr>
                    <w:jc w:val="center"/>
                    <w:rPr>
                      <w:color w:val="auto"/>
                    </w:rPr>
                  </w:pPr>
                </w:p>
              </w:tc>
              <w:tc>
                <w:tcPr>
                  <w:tcW w:w="345" w:type="pct"/>
                  <w:vMerge w:val="continue"/>
                  <w:vAlign w:val="center"/>
                </w:tcPr>
                <w:p w14:paraId="2DAF29C1">
                  <w:pPr>
                    <w:jc w:val="center"/>
                    <w:rPr>
                      <w:color w:val="auto"/>
                    </w:rPr>
                  </w:pPr>
                </w:p>
              </w:tc>
              <w:tc>
                <w:tcPr>
                  <w:tcW w:w="334" w:type="pct"/>
                  <w:vMerge w:val="continue"/>
                  <w:vAlign w:val="center"/>
                </w:tcPr>
                <w:p w14:paraId="39C86FAC">
                  <w:pPr>
                    <w:jc w:val="center"/>
                    <w:rPr>
                      <w:color w:val="auto"/>
                    </w:rPr>
                  </w:pPr>
                </w:p>
              </w:tc>
              <w:tc>
                <w:tcPr>
                  <w:tcW w:w="574" w:type="pct"/>
                  <w:vMerge w:val="continue"/>
                  <w:vAlign w:val="center"/>
                </w:tcPr>
                <w:p w14:paraId="5C59A5F5">
                  <w:pPr>
                    <w:jc w:val="center"/>
                    <w:rPr>
                      <w:color w:val="auto"/>
                    </w:rPr>
                  </w:pPr>
                </w:p>
              </w:tc>
              <w:tc>
                <w:tcPr>
                  <w:tcW w:w="334" w:type="pct"/>
                  <w:vMerge w:val="continue"/>
                  <w:vAlign w:val="center"/>
                </w:tcPr>
                <w:p w14:paraId="350F3C68">
                  <w:pPr>
                    <w:jc w:val="center"/>
                    <w:rPr>
                      <w:color w:val="auto"/>
                    </w:rPr>
                  </w:pPr>
                </w:p>
              </w:tc>
              <w:tc>
                <w:tcPr>
                  <w:tcW w:w="569" w:type="pct"/>
                  <w:vMerge w:val="continue"/>
                  <w:vAlign w:val="center"/>
                </w:tcPr>
                <w:p w14:paraId="1F7A964B">
                  <w:pPr>
                    <w:jc w:val="center"/>
                    <w:rPr>
                      <w:color w:val="auto"/>
                    </w:rPr>
                  </w:pPr>
                </w:p>
              </w:tc>
              <w:tc>
                <w:tcPr>
                  <w:tcW w:w="537" w:type="pct"/>
                  <w:vAlign w:val="center"/>
                </w:tcPr>
                <w:p w14:paraId="4DA6F2B3">
                  <w:pPr>
                    <w:jc w:val="center"/>
                    <w:rPr>
                      <w:b/>
                      <w:color w:val="auto"/>
                      <w:szCs w:val="21"/>
                    </w:rPr>
                  </w:pPr>
                  <w:r>
                    <w:rPr>
                      <w:rFonts w:hint="eastAsia"/>
                      <w:b/>
                      <w:color w:val="auto"/>
                      <w:szCs w:val="21"/>
                    </w:rPr>
                    <w:t>经度</w:t>
                  </w:r>
                </w:p>
              </w:tc>
              <w:tc>
                <w:tcPr>
                  <w:tcW w:w="502" w:type="pct"/>
                  <w:vAlign w:val="center"/>
                </w:tcPr>
                <w:p w14:paraId="55DB46FC">
                  <w:pPr>
                    <w:jc w:val="center"/>
                    <w:rPr>
                      <w:b/>
                      <w:color w:val="auto"/>
                      <w:szCs w:val="21"/>
                    </w:rPr>
                  </w:pPr>
                  <w:r>
                    <w:rPr>
                      <w:rFonts w:hint="eastAsia"/>
                      <w:b/>
                      <w:color w:val="auto"/>
                      <w:szCs w:val="21"/>
                    </w:rPr>
                    <w:t>纬度</w:t>
                  </w:r>
                </w:p>
              </w:tc>
              <w:tc>
                <w:tcPr>
                  <w:tcW w:w="571" w:type="pct"/>
                  <w:vMerge w:val="continue"/>
                  <w:vAlign w:val="center"/>
                </w:tcPr>
                <w:p w14:paraId="21880E5F">
                  <w:pPr>
                    <w:jc w:val="center"/>
                    <w:rPr>
                      <w:b/>
                      <w:color w:val="auto"/>
                      <w:szCs w:val="21"/>
                    </w:rPr>
                  </w:pPr>
                </w:p>
              </w:tc>
              <w:tc>
                <w:tcPr>
                  <w:tcW w:w="448" w:type="pct"/>
                  <w:vMerge w:val="continue"/>
                  <w:vAlign w:val="center"/>
                </w:tcPr>
                <w:p w14:paraId="5324E4C0">
                  <w:pPr>
                    <w:jc w:val="center"/>
                    <w:rPr>
                      <w:b/>
                      <w:color w:val="auto"/>
                      <w:szCs w:val="21"/>
                    </w:rPr>
                  </w:pPr>
                </w:p>
              </w:tc>
              <w:tc>
                <w:tcPr>
                  <w:tcW w:w="436" w:type="pct"/>
                  <w:vMerge w:val="continue"/>
                  <w:vAlign w:val="center"/>
                </w:tcPr>
                <w:p w14:paraId="132EFD21">
                  <w:pPr>
                    <w:jc w:val="center"/>
                    <w:rPr>
                      <w:b/>
                      <w:color w:val="auto"/>
                      <w:szCs w:val="21"/>
                    </w:rPr>
                  </w:pPr>
                </w:p>
              </w:tc>
            </w:tr>
            <w:tr w14:paraId="6BE803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restart"/>
                  <w:vAlign w:val="center"/>
                </w:tcPr>
                <w:p w14:paraId="69734721">
                  <w:pPr>
                    <w:jc w:val="center"/>
                    <w:rPr>
                      <w:color w:val="auto"/>
                      <w:szCs w:val="21"/>
                    </w:rPr>
                  </w:pPr>
                  <w:r>
                    <w:rPr>
                      <w:rFonts w:hint="eastAsia"/>
                      <w:color w:val="auto"/>
                      <w:szCs w:val="21"/>
                    </w:rPr>
                    <w:t>1</w:t>
                  </w:r>
                </w:p>
              </w:tc>
              <w:tc>
                <w:tcPr>
                  <w:tcW w:w="345" w:type="pct"/>
                  <w:vMerge w:val="restart"/>
                  <w:vAlign w:val="center"/>
                </w:tcPr>
                <w:p w14:paraId="439D90BE">
                  <w:pPr>
                    <w:jc w:val="center"/>
                    <w:rPr>
                      <w:color w:val="auto"/>
                      <w:szCs w:val="21"/>
                    </w:rPr>
                  </w:pPr>
                  <w:r>
                    <w:rPr>
                      <w:color w:val="auto"/>
                      <w:szCs w:val="21"/>
                    </w:rPr>
                    <w:t>DA001</w:t>
                  </w:r>
                </w:p>
              </w:tc>
              <w:tc>
                <w:tcPr>
                  <w:tcW w:w="334" w:type="pct"/>
                  <w:vMerge w:val="restart"/>
                  <w:vAlign w:val="center"/>
                </w:tcPr>
                <w:p w14:paraId="398484B7">
                  <w:pPr>
                    <w:jc w:val="center"/>
                    <w:rPr>
                      <w:color w:val="auto"/>
                      <w:szCs w:val="21"/>
                    </w:rPr>
                  </w:pPr>
                  <w:r>
                    <w:rPr>
                      <w:color w:val="auto"/>
                      <w:szCs w:val="21"/>
                    </w:rPr>
                    <w:t>0.</w:t>
                  </w:r>
                  <w:r>
                    <w:rPr>
                      <w:rFonts w:hint="eastAsia"/>
                      <w:color w:val="auto"/>
                      <w:szCs w:val="21"/>
                    </w:rPr>
                    <w:t>50</w:t>
                  </w:r>
                  <w:r>
                    <w:rPr>
                      <w:color w:val="auto"/>
                      <w:szCs w:val="21"/>
                    </w:rPr>
                    <w:t>m</w:t>
                  </w:r>
                </w:p>
              </w:tc>
              <w:tc>
                <w:tcPr>
                  <w:tcW w:w="574" w:type="pct"/>
                  <w:vMerge w:val="restart"/>
                  <w:vAlign w:val="center"/>
                </w:tcPr>
                <w:p w14:paraId="1D54FEF7">
                  <w:pPr>
                    <w:jc w:val="center"/>
                    <w:rPr>
                      <w:color w:val="auto"/>
                      <w:szCs w:val="21"/>
                    </w:rPr>
                  </w:pPr>
                  <w:r>
                    <w:rPr>
                      <w:rFonts w:hint="eastAsia"/>
                      <w:color w:val="auto"/>
                      <w:szCs w:val="21"/>
                      <w:lang w:eastAsia="zh-CN"/>
                    </w:rPr>
                    <w:t>25.</w:t>
                  </w:r>
                </w:p>
              </w:tc>
              <w:tc>
                <w:tcPr>
                  <w:tcW w:w="334" w:type="pct"/>
                  <w:vMerge w:val="restart"/>
                  <w:vAlign w:val="center"/>
                </w:tcPr>
                <w:p w14:paraId="39194430">
                  <w:pPr>
                    <w:jc w:val="center"/>
                    <w:rPr>
                      <w:color w:val="auto"/>
                      <w:szCs w:val="21"/>
                    </w:rPr>
                  </w:pPr>
                  <w:r>
                    <w:rPr>
                      <w:color w:val="auto"/>
                      <w:szCs w:val="21"/>
                    </w:rPr>
                    <w:t>15</w:t>
                  </w:r>
                </w:p>
              </w:tc>
              <w:tc>
                <w:tcPr>
                  <w:tcW w:w="569" w:type="pct"/>
                  <w:vMerge w:val="restart"/>
                  <w:vAlign w:val="center"/>
                </w:tcPr>
                <w:p w14:paraId="45269606">
                  <w:pPr>
                    <w:jc w:val="center"/>
                    <w:rPr>
                      <w:color w:val="auto"/>
                      <w:szCs w:val="21"/>
                    </w:rPr>
                  </w:pPr>
                  <w:r>
                    <w:rPr>
                      <w:color w:val="auto"/>
                      <w:szCs w:val="21"/>
                    </w:rPr>
                    <w:t>一般排放口</w:t>
                  </w:r>
                </w:p>
              </w:tc>
              <w:tc>
                <w:tcPr>
                  <w:tcW w:w="537" w:type="pct"/>
                  <w:vMerge w:val="restart"/>
                  <w:vAlign w:val="center"/>
                </w:tcPr>
                <w:p w14:paraId="2DD0A6A9">
                  <w:pPr>
                    <w:jc w:val="center"/>
                    <w:rPr>
                      <w:color w:val="auto"/>
                      <w:szCs w:val="21"/>
                    </w:rPr>
                  </w:pPr>
                  <w:r>
                    <w:rPr>
                      <w:rFonts w:hint="eastAsia"/>
                      <w:color w:val="auto"/>
                      <w:szCs w:val="21"/>
                    </w:rPr>
                    <w:t>119.186243</w:t>
                  </w:r>
                </w:p>
              </w:tc>
              <w:tc>
                <w:tcPr>
                  <w:tcW w:w="502" w:type="pct"/>
                  <w:vMerge w:val="restart"/>
                  <w:vAlign w:val="center"/>
                </w:tcPr>
                <w:p w14:paraId="77666DA5">
                  <w:pPr>
                    <w:jc w:val="center"/>
                    <w:rPr>
                      <w:color w:val="auto"/>
                      <w:szCs w:val="21"/>
                    </w:rPr>
                  </w:pPr>
                  <w:r>
                    <w:rPr>
                      <w:rFonts w:hint="eastAsia"/>
                      <w:color w:val="auto"/>
                      <w:szCs w:val="21"/>
                    </w:rPr>
                    <w:t>33.790579</w:t>
                  </w:r>
                </w:p>
              </w:tc>
              <w:tc>
                <w:tcPr>
                  <w:tcW w:w="571" w:type="pct"/>
                  <w:vAlign w:val="center"/>
                </w:tcPr>
                <w:p w14:paraId="1ED697BA">
                  <w:pPr>
                    <w:jc w:val="center"/>
                    <w:rPr>
                      <w:color w:val="auto"/>
                      <w:szCs w:val="21"/>
                    </w:rPr>
                  </w:pPr>
                  <w:r>
                    <w:rPr>
                      <w:rFonts w:hint="eastAsia"/>
                      <w:color w:val="auto"/>
                      <w:szCs w:val="21"/>
                    </w:rPr>
                    <w:t>颗粒物</w:t>
                  </w:r>
                </w:p>
              </w:tc>
              <w:tc>
                <w:tcPr>
                  <w:tcW w:w="448" w:type="pct"/>
                  <w:vAlign w:val="center"/>
                </w:tcPr>
                <w:p w14:paraId="4F891912">
                  <w:pPr>
                    <w:jc w:val="center"/>
                    <w:rPr>
                      <w:color w:val="auto"/>
                      <w:szCs w:val="21"/>
                    </w:rPr>
                  </w:pPr>
                  <w:r>
                    <w:rPr>
                      <w:rFonts w:hint="eastAsia"/>
                      <w:color w:val="auto"/>
                      <w:szCs w:val="21"/>
                    </w:rPr>
                    <w:t>20</w:t>
                  </w:r>
                </w:p>
              </w:tc>
              <w:tc>
                <w:tcPr>
                  <w:tcW w:w="436" w:type="pct"/>
                  <w:vAlign w:val="center"/>
                </w:tcPr>
                <w:p w14:paraId="527DB188">
                  <w:pPr>
                    <w:jc w:val="center"/>
                    <w:rPr>
                      <w:color w:val="auto"/>
                      <w:szCs w:val="21"/>
                    </w:rPr>
                  </w:pPr>
                  <w:r>
                    <w:rPr>
                      <w:rFonts w:hint="eastAsia"/>
                      <w:color w:val="auto"/>
                      <w:szCs w:val="21"/>
                    </w:rPr>
                    <w:t>1</w:t>
                  </w:r>
                  <w:r>
                    <w:rPr>
                      <w:color w:val="auto"/>
                      <w:szCs w:val="21"/>
                    </w:rPr>
                    <w:t>.0</w:t>
                  </w:r>
                </w:p>
              </w:tc>
            </w:tr>
            <w:tr w14:paraId="5DCBD2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continue"/>
                  <w:vAlign w:val="center"/>
                </w:tcPr>
                <w:p w14:paraId="0AC3E198">
                  <w:pPr>
                    <w:jc w:val="center"/>
                    <w:rPr>
                      <w:color w:val="auto"/>
                    </w:rPr>
                  </w:pPr>
                </w:p>
              </w:tc>
              <w:tc>
                <w:tcPr>
                  <w:tcW w:w="345" w:type="pct"/>
                  <w:vMerge w:val="continue"/>
                  <w:vAlign w:val="center"/>
                </w:tcPr>
                <w:p w14:paraId="0E8800B3">
                  <w:pPr>
                    <w:jc w:val="center"/>
                    <w:rPr>
                      <w:color w:val="auto"/>
                    </w:rPr>
                  </w:pPr>
                </w:p>
              </w:tc>
              <w:tc>
                <w:tcPr>
                  <w:tcW w:w="334" w:type="pct"/>
                  <w:vMerge w:val="continue"/>
                  <w:vAlign w:val="center"/>
                </w:tcPr>
                <w:p w14:paraId="3B77DA91">
                  <w:pPr>
                    <w:jc w:val="center"/>
                    <w:rPr>
                      <w:color w:val="auto"/>
                    </w:rPr>
                  </w:pPr>
                </w:p>
              </w:tc>
              <w:tc>
                <w:tcPr>
                  <w:tcW w:w="574" w:type="pct"/>
                  <w:vMerge w:val="continue"/>
                  <w:vAlign w:val="center"/>
                </w:tcPr>
                <w:p w14:paraId="3EA90204">
                  <w:pPr>
                    <w:jc w:val="center"/>
                    <w:rPr>
                      <w:color w:val="auto"/>
                    </w:rPr>
                  </w:pPr>
                </w:p>
              </w:tc>
              <w:tc>
                <w:tcPr>
                  <w:tcW w:w="334" w:type="pct"/>
                  <w:vMerge w:val="continue"/>
                  <w:vAlign w:val="center"/>
                </w:tcPr>
                <w:p w14:paraId="1ADD4678">
                  <w:pPr>
                    <w:jc w:val="center"/>
                    <w:rPr>
                      <w:color w:val="auto"/>
                    </w:rPr>
                  </w:pPr>
                </w:p>
              </w:tc>
              <w:tc>
                <w:tcPr>
                  <w:tcW w:w="569" w:type="pct"/>
                  <w:vMerge w:val="continue"/>
                  <w:vAlign w:val="center"/>
                </w:tcPr>
                <w:p w14:paraId="3679E5C1">
                  <w:pPr>
                    <w:jc w:val="center"/>
                    <w:rPr>
                      <w:color w:val="auto"/>
                    </w:rPr>
                  </w:pPr>
                </w:p>
              </w:tc>
              <w:tc>
                <w:tcPr>
                  <w:tcW w:w="537" w:type="pct"/>
                  <w:vMerge w:val="continue"/>
                  <w:vAlign w:val="center"/>
                </w:tcPr>
                <w:p w14:paraId="030AAF1F">
                  <w:pPr>
                    <w:jc w:val="center"/>
                    <w:rPr>
                      <w:color w:val="auto"/>
                    </w:rPr>
                  </w:pPr>
                </w:p>
              </w:tc>
              <w:tc>
                <w:tcPr>
                  <w:tcW w:w="502" w:type="pct"/>
                  <w:vMerge w:val="continue"/>
                  <w:vAlign w:val="center"/>
                </w:tcPr>
                <w:p w14:paraId="633BB1D6">
                  <w:pPr>
                    <w:jc w:val="center"/>
                    <w:rPr>
                      <w:color w:val="auto"/>
                    </w:rPr>
                  </w:pPr>
                </w:p>
              </w:tc>
              <w:tc>
                <w:tcPr>
                  <w:tcW w:w="571" w:type="pct"/>
                  <w:vAlign w:val="center"/>
                </w:tcPr>
                <w:p w14:paraId="4C1C6BBB">
                  <w:pPr>
                    <w:jc w:val="center"/>
                    <w:rPr>
                      <w:color w:val="auto"/>
                      <w:szCs w:val="21"/>
                    </w:rPr>
                  </w:pPr>
                  <w:r>
                    <w:rPr>
                      <w:rFonts w:hint="eastAsia"/>
                      <w:color w:val="auto"/>
                      <w:szCs w:val="21"/>
                    </w:rPr>
                    <w:t>非甲烷总烃</w:t>
                  </w:r>
                </w:p>
              </w:tc>
              <w:tc>
                <w:tcPr>
                  <w:tcW w:w="448" w:type="pct"/>
                  <w:vAlign w:val="center"/>
                </w:tcPr>
                <w:p w14:paraId="7638AC06">
                  <w:pPr>
                    <w:jc w:val="center"/>
                    <w:rPr>
                      <w:color w:val="auto"/>
                      <w:szCs w:val="21"/>
                    </w:rPr>
                  </w:pPr>
                  <w:r>
                    <w:rPr>
                      <w:rFonts w:hint="eastAsia"/>
                      <w:color w:val="auto"/>
                      <w:szCs w:val="21"/>
                    </w:rPr>
                    <w:t>50</w:t>
                  </w:r>
                </w:p>
              </w:tc>
              <w:tc>
                <w:tcPr>
                  <w:tcW w:w="436" w:type="pct"/>
                  <w:vAlign w:val="center"/>
                </w:tcPr>
                <w:p w14:paraId="243C76C4">
                  <w:pPr>
                    <w:jc w:val="center"/>
                    <w:rPr>
                      <w:color w:val="auto"/>
                      <w:szCs w:val="21"/>
                    </w:rPr>
                  </w:pPr>
                  <w:r>
                    <w:rPr>
                      <w:rFonts w:hint="eastAsia"/>
                      <w:color w:val="auto"/>
                      <w:szCs w:val="21"/>
                    </w:rPr>
                    <w:t>2.0</w:t>
                  </w:r>
                </w:p>
              </w:tc>
            </w:tr>
            <w:tr w14:paraId="12D18F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97" w:hRule="atLeast"/>
                <w:jc w:val="center"/>
              </w:trPr>
              <w:tc>
                <w:tcPr>
                  <w:tcW w:w="345" w:type="pct"/>
                  <w:vAlign w:val="center"/>
                </w:tcPr>
                <w:p w14:paraId="4A3AC67F">
                  <w:pPr>
                    <w:jc w:val="center"/>
                    <w:rPr>
                      <w:color w:val="auto"/>
                      <w:szCs w:val="21"/>
                    </w:rPr>
                  </w:pPr>
                  <w:r>
                    <w:rPr>
                      <w:rFonts w:hint="eastAsia"/>
                      <w:color w:val="auto"/>
                      <w:szCs w:val="21"/>
                    </w:rPr>
                    <w:t>2</w:t>
                  </w:r>
                </w:p>
              </w:tc>
              <w:tc>
                <w:tcPr>
                  <w:tcW w:w="345" w:type="pct"/>
                  <w:vAlign w:val="center"/>
                </w:tcPr>
                <w:p w14:paraId="1490E27C">
                  <w:pPr>
                    <w:jc w:val="center"/>
                    <w:rPr>
                      <w:color w:val="auto"/>
                      <w:szCs w:val="21"/>
                    </w:rPr>
                  </w:pPr>
                  <w:r>
                    <w:rPr>
                      <w:rFonts w:hint="eastAsia"/>
                      <w:color w:val="auto"/>
                      <w:szCs w:val="21"/>
                    </w:rPr>
                    <w:t>DA002</w:t>
                  </w:r>
                </w:p>
              </w:tc>
              <w:tc>
                <w:tcPr>
                  <w:tcW w:w="334" w:type="pct"/>
                  <w:vAlign w:val="center"/>
                </w:tcPr>
                <w:p w14:paraId="106A50BB">
                  <w:pPr>
                    <w:jc w:val="center"/>
                    <w:rPr>
                      <w:color w:val="auto"/>
                      <w:szCs w:val="21"/>
                    </w:rPr>
                  </w:pPr>
                  <w:r>
                    <w:rPr>
                      <w:color w:val="auto"/>
                      <w:szCs w:val="21"/>
                    </w:rPr>
                    <w:t>0.</w:t>
                  </w:r>
                  <w:r>
                    <w:rPr>
                      <w:rFonts w:hint="eastAsia"/>
                      <w:color w:val="auto"/>
                      <w:szCs w:val="21"/>
                    </w:rPr>
                    <w:t>50</w:t>
                  </w:r>
                  <w:r>
                    <w:rPr>
                      <w:color w:val="auto"/>
                      <w:szCs w:val="21"/>
                    </w:rPr>
                    <w:t>m</w:t>
                  </w:r>
                </w:p>
              </w:tc>
              <w:tc>
                <w:tcPr>
                  <w:tcW w:w="574" w:type="pct"/>
                  <w:vAlign w:val="center"/>
                </w:tcPr>
                <w:p w14:paraId="1275CFC0">
                  <w:pPr>
                    <w:jc w:val="center"/>
                    <w:rPr>
                      <w:color w:val="auto"/>
                      <w:szCs w:val="21"/>
                    </w:rPr>
                  </w:pPr>
                  <w:r>
                    <w:rPr>
                      <w:rFonts w:hint="eastAsia"/>
                      <w:color w:val="auto"/>
                      <w:szCs w:val="21"/>
                      <w:lang w:eastAsia="zh-CN"/>
                    </w:rPr>
                    <w:t>25.</w:t>
                  </w:r>
                </w:p>
              </w:tc>
              <w:tc>
                <w:tcPr>
                  <w:tcW w:w="334" w:type="pct"/>
                  <w:shd w:val="clear" w:color="auto" w:fill="auto"/>
                  <w:vAlign w:val="center"/>
                </w:tcPr>
                <w:p w14:paraId="63714360">
                  <w:pPr>
                    <w:jc w:val="center"/>
                    <w:rPr>
                      <w:color w:val="auto"/>
                      <w:szCs w:val="21"/>
                    </w:rPr>
                  </w:pPr>
                  <w:r>
                    <w:rPr>
                      <w:color w:val="auto"/>
                      <w:szCs w:val="21"/>
                    </w:rPr>
                    <w:t>15</w:t>
                  </w:r>
                </w:p>
              </w:tc>
              <w:tc>
                <w:tcPr>
                  <w:tcW w:w="569" w:type="pct"/>
                  <w:vAlign w:val="center"/>
                </w:tcPr>
                <w:p w14:paraId="09CA943E">
                  <w:pPr>
                    <w:jc w:val="center"/>
                    <w:rPr>
                      <w:color w:val="auto"/>
                      <w:szCs w:val="21"/>
                    </w:rPr>
                  </w:pPr>
                  <w:r>
                    <w:rPr>
                      <w:color w:val="auto"/>
                      <w:szCs w:val="21"/>
                    </w:rPr>
                    <w:t>一般排放口</w:t>
                  </w:r>
                </w:p>
              </w:tc>
              <w:tc>
                <w:tcPr>
                  <w:tcW w:w="537" w:type="pct"/>
                  <w:vAlign w:val="center"/>
                </w:tcPr>
                <w:p w14:paraId="1B2C93B1">
                  <w:pPr>
                    <w:jc w:val="center"/>
                    <w:rPr>
                      <w:color w:val="auto"/>
                      <w:szCs w:val="21"/>
                    </w:rPr>
                  </w:pPr>
                  <w:r>
                    <w:rPr>
                      <w:rFonts w:hint="eastAsia"/>
                      <w:color w:val="auto"/>
                      <w:szCs w:val="21"/>
                    </w:rPr>
                    <w:t>119.184628</w:t>
                  </w:r>
                </w:p>
              </w:tc>
              <w:tc>
                <w:tcPr>
                  <w:tcW w:w="502" w:type="pct"/>
                  <w:vAlign w:val="center"/>
                </w:tcPr>
                <w:p w14:paraId="1410EC5D">
                  <w:pPr>
                    <w:jc w:val="center"/>
                    <w:rPr>
                      <w:color w:val="auto"/>
                      <w:szCs w:val="21"/>
                    </w:rPr>
                  </w:pPr>
                  <w:r>
                    <w:rPr>
                      <w:rFonts w:hint="eastAsia"/>
                      <w:color w:val="auto"/>
                      <w:szCs w:val="21"/>
                    </w:rPr>
                    <w:t>33.790365</w:t>
                  </w:r>
                </w:p>
              </w:tc>
              <w:tc>
                <w:tcPr>
                  <w:tcW w:w="571" w:type="pct"/>
                  <w:vAlign w:val="center"/>
                </w:tcPr>
                <w:p w14:paraId="0D02E634">
                  <w:pPr>
                    <w:jc w:val="center"/>
                    <w:rPr>
                      <w:rFonts w:hint="eastAsia"/>
                      <w:color w:val="auto"/>
                      <w:szCs w:val="21"/>
                    </w:rPr>
                  </w:pPr>
                  <w:r>
                    <w:rPr>
                      <w:rFonts w:hint="eastAsia"/>
                      <w:color w:val="auto"/>
                      <w:szCs w:val="21"/>
                    </w:rPr>
                    <w:t>颗粒物</w:t>
                  </w:r>
                </w:p>
              </w:tc>
              <w:tc>
                <w:tcPr>
                  <w:tcW w:w="448" w:type="pct"/>
                  <w:vAlign w:val="center"/>
                </w:tcPr>
                <w:p w14:paraId="71D68384">
                  <w:pPr>
                    <w:jc w:val="center"/>
                    <w:rPr>
                      <w:color w:val="auto"/>
                      <w:szCs w:val="21"/>
                    </w:rPr>
                  </w:pPr>
                  <w:r>
                    <w:rPr>
                      <w:rFonts w:hint="eastAsia"/>
                      <w:color w:val="auto"/>
                      <w:szCs w:val="21"/>
                    </w:rPr>
                    <w:t>20</w:t>
                  </w:r>
                </w:p>
              </w:tc>
              <w:tc>
                <w:tcPr>
                  <w:tcW w:w="436" w:type="pct"/>
                  <w:vAlign w:val="center"/>
                </w:tcPr>
                <w:p w14:paraId="32D51DF0">
                  <w:pPr>
                    <w:jc w:val="center"/>
                    <w:rPr>
                      <w:color w:val="auto"/>
                      <w:szCs w:val="21"/>
                    </w:rPr>
                  </w:pPr>
                  <w:r>
                    <w:rPr>
                      <w:rFonts w:hint="eastAsia"/>
                      <w:color w:val="auto"/>
                      <w:szCs w:val="21"/>
                    </w:rPr>
                    <w:t>1</w:t>
                  </w:r>
                  <w:r>
                    <w:rPr>
                      <w:color w:val="auto"/>
                      <w:szCs w:val="21"/>
                    </w:rPr>
                    <w:t>.0</w:t>
                  </w:r>
                </w:p>
              </w:tc>
            </w:tr>
            <w:tr w14:paraId="672AB0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restart"/>
                  <w:vAlign w:val="center"/>
                </w:tcPr>
                <w:p w14:paraId="43010C2F">
                  <w:pPr>
                    <w:jc w:val="center"/>
                    <w:rPr>
                      <w:color w:val="auto"/>
                      <w:szCs w:val="21"/>
                    </w:rPr>
                  </w:pPr>
                  <w:r>
                    <w:rPr>
                      <w:rFonts w:hint="eastAsia"/>
                      <w:color w:val="auto"/>
                      <w:szCs w:val="21"/>
                    </w:rPr>
                    <w:t>3</w:t>
                  </w:r>
                </w:p>
              </w:tc>
              <w:tc>
                <w:tcPr>
                  <w:tcW w:w="345" w:type="pct"/>
                  <w:vMerge w:val="restart"/>
                  <w:vAlign w:val="center"/>
                </w:tcPr>
                <w:p w14:paraId="4C85E2B7">
                  <w:pPr>
                    <w:jc w:val="center"/>
                    <w:rPr>
                      <w:color w:val="auto"/>
                      <w:szCs w:val="21"/>
                    </w:rPr>
                  </w:pPr>
                  <w:r>
                    <w:rPr>
                      <w:rFonts w:hint="eastAsia"/>
                      <w:color w:val="auto"/>
                      <w:szCs w:val="21"/>
                    </w:rPr>
                    <w:t>DA003</w:t>
                  </w:r>
                </w:p>
              </w:tc>
              <w:tc>
                <w:tcPr>
                  <w:tcW w:w="334" w:type="pct"/>
                  <w:vMerge w:val="restart"/>
                  <w:vAlign w:val="center"/>
                </w:tcPr>
                <w:p w14:paraId="5BD2D75B">
                  <w:pPr>
                    <w:jc w:val="center"/>
                    <w:rPr>
                      <w:color w:val="auto"/>
                    </w:rPr>
                  </w:pPr>
                  <w:r>
                    <w:rPr>
                      <w:color w:val="auto"/>
                      <w:szCs w:val="21"/>
                    </w:rPr>
                    <w:t>0.</w:t>
                  </w:r>
                  <w:r>
                    <w:rPr>
                      <w:rFonts w:hint="eastAsia"/>
                      <w:color w:val="auto"/>
                      <w:szCs w:val="21"/>
                    </w:rPr>
                    <w:t>50</w:t>
                  </w:r>
                  <w:r>
                    <w:rPr>
                      <w:color w:val="auto"/>
                      <w:szCs w:val="21"/>
                    </w:rPr>
                    <w:t>m</w:t>
                  </w:r>
                </w:p>
              </w:tc>
              <w:tc>
                <w:tcPr>
                  <w:tcW w:w="574" w:type="pct"/>
                  <w:vMerge w:val="restart"/>
                  <w:vAlign w:val="center"/>
                </w:tcPr>
                <w:p w14:paraId="4AED2E0F">
                  <w:pPr>
                    <w:jc w:val="center"/>
                    <w:rPr>
                      <w:color w:val="auto"/>
                      <w:szCs w:val="21"/>
                    </w:rPr>
                  </w:pPr>
                  <w:r>
                    <w:rPr>
                      <w:rFonts w:hint="eastAsia"/>
                      <w:color w:val="auto"/>
                      <w:szCs w:val="21"/>
                      <w:lang w:eastAsia="zh-CN"/>
                    </w:rPr>
                    <w:t>25.</w:t>
                  </w:r>
                </w:p>
              </w:tc>
              <w:tc>
                <w:tcPr>
                  <w:tcW w:w="334" w:type="pct"/>
                  <w:vMerge w:val="restart"/>
                  <w:shd w:val="clear" w:color="auto" w:fill="auto"/>
                  <w:vAlign w:val="center"/>
                </w:tcPr>
                <w:p w14:paraId="540112C3">
                  <w:pPr>
                    <w:jc w:val="center"/>
                    <w:rPr>
                      <w:color w:val="auto"/>
                      <w:szCs w:val="21"/>
                    </w:rPr>
                  </w:pPr>
                  <w:r>
                    <w:rPr>
                      <w:color w:val="auto"/>
                      <w:szCs w:val="21"/>
                    </w:rPr>
                    <w:t>15</w:t>
                  </w:r>
                </w:p>
              </w:tc>
              <w:tc>
                <w:tcPr>
                  <w:tcW w:w="569" w:type="pct"/>
                  <w:vMerge w:val="restart"/>
                  <w:vAlign w:val="center"/>
                </w:tcPr>
                <w:p w14:paraId="55D2349C">
                  <w:pPr>
                    <w:jc w:val="center"/>
                    <w:rPr>
                      <w:color w:val="auto"/>
                    </w:rPr>
                  </w:pPr>
                  <w:r>
                    <w:rPr>
                      <w:color w:val="auto"/>
                      <w:szCs w:val="21"/>
                    </w:rPr>
                    <w:t>一般排放口</w:t>
                  </w:r>
                </w:p>
              </w:tc>
              <w:tc>
                <w:tcPr>
                  <w:tcW w:w="537" w:type="pct"/>
                  <w:vMerge w:val="restart"/>
                  <w:vAlign w:val="center"/>
                </w:tcPr>
                <w:p w14:paraId="3CB31F29">
                  <w:pPr>
                    <w:jc w:val="center"/>
                    <w:rPr>
                      <w:color w:val="auto"/>
                      <w:szCs w:val="21"/>
                    </w:rPr>
                  </w:pPr>
                  <w:r>
                    <w:rPr>
                      <w:rFonts w:hint="eastAsia"/>
                      <w:color w:val="auto"/>
                      <w:szCs w:val="21"/>
                    </w:rPr>
                    <w:t>119.184285</w:t>
                  </w:r>
                </w:p>
              </w:tc>
              <w:tc>
                <w:tcPr>
                  <w:tcW w:w="502" w:type="pct"/>
                  <w:vMerge w:val="restart"/>
                  <w:vAlign w:val="center"/>
                </w:tcPr>
                <w:p w14:paraId="5B22314B">
                  <w:pPr>
                    <w:jc w:val="center"/>
                    <w:rPr>
                      <w:color w:val="auto"/>
                      <w:szCs w:val="21"/>
                    </w:rPr>
                  </w:pPr>
                  <w:r>
                    <w:rPr>
                      <w:rFonts w:hint="eastAsia"/>
                      <w:color w:val="auto"/>
                      <w:szCs w:val="21"/>
                    </w:rPr>
                    <w:t>33.791159</w:t>
                  </w:r>
                </w:p>
              </w:tc>
              <w:tc>
                <w:tcPr>
                  <w:tcW w:w="571" w:type="pct"/>
                  <w:vAlign w:val="center"/>
                </w:tcPr>
                <w:p w14:paraId="6F884527">
                  <w:pPr>
                    <w:jc w:val="center"/>
                    <w:rPr>
                      <w:rFonts w:hint="eastAsia"/>
                      <w:color w:val="auto"/>
                      <w:szCs w:val="21"/>
                    </w:rPr>
                  </w:pPr>
                  <w:r>
                    <w:rPr>
                      <w:rFonts w:hint="eastAsia"/>
                      <w:color w:val="auto"/>
                      <w:szCs w:val="21"/>
                    </w:rPr>
                    <w:t>非甲烷总烃</w:t>
                  </w:r>
                </w:p>
              </w:tc>
              <w:tc>
                <w:tcPr>
                  <w:tcW w:w="448" w:type="pct"/>
                  <w:vAlign w:val="center"/>
                </w:tcPr>
                <w:p w14:paraId="5A990D9C">
                  <w:pPr>
                    <w:jc w:val="center"/>
                    <w:rPr>
                      <w:color w:val="auto"/>
                      <w:szCs w:val="21"/>
                    </w:rPr>
                  </w:pPr>
                  <w:r>
                    <w:rPr>
                      <w:rFonts w:hint="eastAsia"/>
                      <w:color w:val="auto"/>
                      <w:szCs w:val="21"/>
                    </w:rPr>
                    <w:t>50</w:t>
                  </w:r>
                </w:p>
              </w:tc>
              <w:tc>
                <w:tcPr>
                  <w:tcW w:w="436" w:type="pct"/>
                  <w:vAlign w:val="center"/>
                </w:tcPr>
                <w:p w14:paraId="0DA9D38C">
                  <w:pPr>
                    <w:jc w:val="center"/>
                    <w:rPr>
                      <w:color w:val="auto"/>
                      <w:szCs w:val="21"/>
                    </w:rPr>
                  </w:pPr>
                  <w:r>
                    <w:rPr>
                      <w:rFonts w:hint="eastAsia"/>
                      <w:color w:val="auto"/>
                      <w:szCs w:val="21"/>
                    </w:rPr>
                    <w:t>2.0</w:t>
                  </w:r>
                </w:p>
              </w:tc>
            </w:tr>
            <w:tr w14:paraId="09922D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continue"/>
                  <w:vAlign w:val="center"/>
                </w:tcPr>
                <w:p w14:paraId="421B5CA5">
                  <w:pPr>
                    <w:jc w:val="center"/>
                    <w:rPr>
                      <w:color w:val="auto"/>
                      <w:szCs w:val="21"/>
                    </w:rPr>
                  </w:pPr>
                </w:p>
              </w:tc>
              <w:tc>
                <w:tcPr>
                  <w:tcW w:w="345" w:type="pct"/>
                  <w:vMerge w:val="continue"/>
                  <w:vAlign w:val="center"/>
                </w:tcPr>
                <w:p w14:paraId="1DB1FE1F">
                  <w:pPr>
                    <w:jc w:val="center"/>
                    <w:rPr>
                      <w:color w:val="auto"/>
                      <w:szCs w:val="21"/>
                    </w:rPr>
                  </w:pPr>
                </w:p>
              </w:tc>
              <w:tc>
                <w:tcPr>
                  <w:tcW w:w="334" w:type="pct"/>
                  <w:vMerge w:val="continue"/>
                  <w:vAlign w:val="center"/>
                </w:tcPr>
                <w:p w14:paraId="461F10EF">
                  <w:pPr>
                    <w:jc w:val="center"/>
                    <w:rPr>
                      <w:color w:val="auto"/>
                      <w:szCs w:val="21"/>
                    </w:rPr>
                  </w:pPr>
                </w:p>
              </w:tc>
              <w:tc>
                <w:tcPr>
                  <w:tcW w:w="574" w:type="pct"/>
                  <w:vMerge w:val="continue"/>
                  <w:vAlign w:val="center"/>
                </w:tcPr>
                <w:p w14:paraId="2F29B758">
                  <w:pPr>
                    <w:jc w:val="center"/>
                    <w:rPr>
                      <w:color w:val="auto"/>
                      <w:szCs w:val="21"/>
                    </w:rPr>
                  </w:pPr>
                </w:p>
              </w:tc>
              <w:tc>
                <w:tcPr>
                  <w:tcW w:w="334" w:type="pct"/>
                  <w:vMerge w:val="continue"/>
                  <w:shd w:val="clear" w:color="auto" w:fill="auto"/>
                  <w:vAlign w:val="center"/>
                </w:tcPr>
                <w:p w14:paraId="0037E48B">
                  <w:pPr>
                    <w:jc w:val="center"/>
                    <w:rPr>
                      <w:color w:val="auto"/>
                      <w:szCs w:val="21"/>
                    </w:rPr>
                  </w:pPr>
                </w:p>
              </w:tc>
              <w:tc>
                <w:tcPr>
                  <w:tcW w:w="569" w:type="pct"/>
                  <w:vMerge w:val="continue"/>
                  <w:vAlign w:val="center"/>
                </w:tcPr>
                <w:p w14:paraId="78DE7D8A">
                  <w:pPr>
                    <w:jc w:val="center"/>
                    <w:rPr>
                      <w:color w:val="auto"/>
                      <w:szCs w:val="21"/>
                    </w:rPr>
                  </w:pPr>
                </w:p>
              </w:tc>
              <w:tc>
                <w:tcPr>
                  <w:tcW w:w="537" w:type="pct"/>
                  <w:vMerge w:val="continue"/>
                  <w:vAlign w:val="center"/>
                </w:tcPr>
                <w:p w14:paraId="36D80B7E">
                  <w:pPr>
                    <w:jc w:val="center"/>
                    <w:rPr>
                      <w:color w:val="auto"/>
                      <w:szCs w:val="21"/>
                    </w:rPr>
                  </w:pPr>
                </w:p>
              </w:tc>
              <w:tc>
                <w:tcPr>
                  <w:tcW w:w="502" w:type="pct"/>
                  <w:vMerge w:val="continue"/>
                  <w:vAlign w:val="center"/>
                </w:tcPr>
                <w:p w14:paraId="23B567C0">
                  <w:pPr>
                    <w:jc w:val="center"/>
                    <w:rPr>
                      <w:color w:val="auto"/>
                      <w:szCs w:val="21"/>
                    </w:rPr>
                  </w:pPr>
                </w:p>
              </w:tc>
              <w:tc>
                <w:tcPr>
                  <w:tcW w:w="571" w:type="pct"/>
                  <w:vAlign w:val="center"/>
                </w:tcPr>
                <w:p w14:paraId="02597C89">
                  <w:pPr>
                    <w:jc w:val="center"/>
                    <w:rPr>
                      <w:rFonts w:hint="eastAsia"/>
                      <w:color w:val="auto"/>
                      <w:szCs w:val="21"/>
                    </w:rPr>
                  </w:pPr>
                  <w:r>
                    <w:rPr>
                      <w:rFonts w:hint="eastAsia"/>
                      <w:color w:val="auto"/>
                      <w:szCs w:val="21"/>
                    </w:rPr>
                    <w:t>苯乙烯</w:t>
                  </w:r>
                </w:p>
              </w:tc>
              <w:tc>
                <w:tcPr>
                  <w:tcW w:w="448" w:type="pct"/>
                  <w:vAlign w:val="center"/>
                </w:tcPr>
                <w:p w14:paraId="26D0325E">
                  <w:pPr>
                    <w:jc w:val="center"/>
                    <w:rPr>
                      <w:color w:val="auto"/>
                      <w:szCs w:val="21"/>
                    </w:rPr>
                  </w:pPr>
                  <w:r>
                    <w:rPr>
                      <w:rFonts w:hint="eastAsia"/>
                      <w:color w:val="auto"/>
                      <w:szCs w:val="21"/>
                    </w:rPr>
                    <w:t>10</w:t>
                  </w:r>
                </w:p>
              </w:tc>
              <w:tc>
                <w:tcPr>
                  <w:tcW w:w="436" w:type="pct"/>
                  <w:vAlign w:val="center"/>
                </w:tcPr>
                <w:p w14:paraId="2BD33E07">
                  <w:pPr>
                    <w:jc w:val="center"/>
                    <w:rPr>
                      <w:color w:val="auto"/>
                      <w:szCs w:val="21"/>
                    </w:rPr>
                  </w:pPr>
                  <w:r>
                    <w:rPr>
                      <w:rFonts w:hint="eastAsia"/>
                      <w:color w:val="auto"/>
                      <w:szCs w:val="21"/>
                    </w:rPr>
                    <w:t>0.72</w:t>
                  </w:r>
                </w:p>
              </w:tc>
            </w:tr>
            <w:tr w14:paraId="362EA7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continue"/>
                  <w:vAlign w:val="center"/>
                </w:tcPr>
                <w:p w14:paraId="41ED5601">
                  <w:pPr>
                    <w:jc w:val="center"/>
                    <w:rPr>
                      <w:color w:val="auto"/>
                      <w:szCs w:val="21"/>
                    </w:rPr>
                  </w:pPr>
                </w:p>
              </w:tc>
              <w:tc>
                <w:tcPr>
                  <w:tcW w:w="345" w:type="pct"/>
                  <w:vMerge w:val="continue"/>
                  <w:vAlign w:val="center"/>
                </w:tcPr>
                <w:p w14:paraId="23EE17D1">
                  <w:pPr>
                    <w:jc w:val="center"/>
                    <w:rPr>
                      <w:color w:val="auto"/>
                      <w:szCs w:val="21"/>
                    </w:rPr>
                  </w:pPr>
                </w:p>
              </w:tc>
              <w:tc>
                <w:tcPr>
                  <w:tcW w:w="334" w:type="pct"/>
                  <w:vMerge w:val="continue"/>
                  <w:vAlign w:val="center"/>
                </w:tcPr>
                <w:p w14:paraId="0FE9C875">
                  <w:pPr>
                    <w:jc w:val="center"/>
                    <w:rPr>
                      <w:color w:val="auto"/>
                      <w:szCs w:val="21"/>
                    </w:rPr>
                  </w:pPr>
                </w:p>
              </w:tc>
              <w:tc>
                <w:tcPr>
                  <w:tcW w:w="574" w:type="pct"/>
                  <w:vMerge w:val="continue"/>
                  <w:vAlign w:val="center"/>
                </w:tcPr>
                <w:p w14:paraId="10715308">
                  <w:pPr>
                    <w:jc w:val="center"/>
                    <w:rPr>
                      <w:color w:val="auto"/>
                      <w:szCs w:val="21"/>
                    </w:rPr>
                  </w:pPr>
                </w:p>
              </w:tc>
              <w:tc>
                <w:tcPr>
                  <w:tcW w:w="334" w:type="pct"/>
                  <w:vMerge w:val="continue"/>
                  <w:shd w:val="clear" w:color="auto" w:fill="auto"/>
                  <w:vAlign w:val="center"/>
                </w:tcPr>
                <w:p w14:paraId="035EC61D">
                  <w:pPr>
                    <w:jc w:val="center"/>
                    <w:rPr>
                      <w:color w:val="auto"/>
                      <w:szCs w:val="21"/>
                    </w:rPr>
                  </w:pPr>
                </w:p>
              </w:tc>
              <w:tc>
                <w:tcPr>
                  <w:tcW w:w="569" w:type="pct"/>
                  <w:vMerge w:val="continue"/>
                  <w:vAlign w:val="center"/>
                </w:tcPr>
                <w:p w14:paraId="47C51B72">
                  <w:pPr>
                    <w:jc w:val="center"/>
                    <w:rPr>
                      <w:color w:val="auto"/>
                      <w:szCs w:val="21"/>
                    </w:rPr>
                  </w:pPr>
                </w:p>
              </w:tc>
              <w:tc>
                <w:tcPr>
                  <w:tcW w:w="537" w:type="pct"/>
                  <w:vMerge w:val="continue"/>
                  <w:vAlign w:val="center"/>
                </w:tcPr>
                <w:p w14:paraId="08E7541C">
                  <w:pPr>
                    <w:jc w:val="center"/>
                    <w:rPr>
                      <w:color w:val="auto"/>
                      <w:szCs w:val="21"/>
                    </w:rPr>
                  </w:pPr>
                </w:p>
              </w:tc>
              <w:tc>
                <w:tcPr>
                  <w:tcW w:w="502" w:type="pct"/>
                  <w:vMerge w:val="continue"/>
                  <w:vAlign w:val="center"/>
                </w:tcPr>
                <w:p w14:paraId="7A2ABA8B">
                  <w:pPr>
                    <w:jc w:val="center"/>
                    <w:rPr>
                      <w:color w:val="auto"/>
                      <w:szCs w:val="21"/>
                    </w:rPr>
                  </w:pPr>
                </w:p>
              </w:tc>
              <w:tc>
                <w:tcPr>
                  <w:tcW w:w="571" w:type="pct"/>
                  <w:vAlign w:val="center"/>
                </w:tcPr>
                <w:p w14:paraId="7CC47158">
                  <w:pPr>
                    <w:jc w:val="center"/>
                    <w:rPr>
                      <w:rFonts w:hint="eastAsia"/>
                      <w:color w:val="auto"/>
                      <w:szCs w:val="21"/>
                    </w:rPr>
                  </w:pPr>
                  <w:r>
                    <w:rPr>
                      <w:rFonts w:hint="eastAsia"/>
                      <w:color w:val="auto"/>
                      <w:szCs w:val="21"/>
                      <w:lang w:eastAsia="zh-CN"/>
                    </w:rPr>
                    <w:t>二、</w:t>
                  </w:r>
                  <w:r>
                    <w:rPr>
                      <w:rFonts w:hint="eastAsia"/>
                      <w:color w:val="auto"/>
                      <w:szCs w:val="21"/>
                    </w:rPr>
                    <w:t>甲苯</w:t>
                  </w:r>
                </w:p>
              </w:tc>
              <w:tc>
                <w:tcPr>
                  <w:tcW w:w="448" w:type="pct"/>
                  <w:vAlign w:val="center"/>
                </w:tcPr>
                <w:p w14:paraId="13A38F7D">
                  <w:pPr>
                    <w:jc w:val="center"/>
                    <w:rPr>
                      <w:color w:val="auto"/>
                      <w:szCs w:val="21"/>
                    </w:rPr>
                  </w:pPr>
                  <w:r>
                    <w:rPr>
                      <w:rFonts w:hint="eastAsia"/>
                      <w:color w:val="auto"/>
                      <w:szCs w:val="21"/>
                    </w:rPr>
                    <w:t>15</w:t>
                  </w:r>
                </w:p>
              </w:tc>
              <w:tc>
                <w:tcPr>
                  <w:tcW w:w="436" w:type="pct"/>
                  <w:vAlign w:val="center"/>
                </w:tcPr>
                <w:p w14:paraId="70E01556">
                  <w:pPr>
                    <w:jc w:val="center"/>
                    <w:rPr>
                      <w:color w:val="auto"/>
                      <w:szCs w:val="21"/>
                    </w:rPr>
                  </w:pPr>
                  <w:r>
                    <w:rPr>
                      <w:rFonts w:hint="eastAsia"/>
                      <w:color w:val="auto"/>
                      <w:szCs w:val="21"/>
                    </w:rPr>
                    <w:t>/</w:t>
                  </w:r>
                </w:p>
              </w:tc>
            </w:tr>
            <w:tr w14:paraId="7099AD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6" w:hRule="atLeast"/>
                <w:jc w:val="center"/>
              </w:trPr>
              <w:tc>
                <w:tcPr>
                  <w:tcW w:w="345" w:type="pct"/>
                  <w:vMerge w:val="continue"/>
                  <w:vAlign w:val="center"/>
                </w:tcPr>
                <w:p w14:paraId="2EDC8A6C">
                  <w:pPr>
                    <w:jc w:val="center"/>
                    <w:rPr>
                      <w:color w:val="auto"/>
                    </w:rPr>
                  </w:pPr>
                </w:p>
              </w:tc>
              <w:tc>
                <w:tcPr>
                  <w:tcW w:w="345" w:type="pct"/>
                  <w:vMerge w:val="continue"/>
                  <w:vAlign w:val="center"/>
                </w:tcPr>
                <w:p w14:paraId="63470745">
                  <w:pPr>
                    <w:jc w:val="center"/>
                    <w:rPr>
                      <w:color w:val="auto"/>
                    </w:rPr>
                  </w:pPr>
                </w:p>
              </w:tc>
              <w:tc>
                <w:tcPr>
                  <w:tcW w:w="334" w:type="pct"/>
                  <w:vMerge w:val="continue"/>
                  <w:vAlign w:val="center"/>
                </w:tcPr>
                <w:p w14:paraId="4DEB13A5">
                  <w:pPr>
                    <w:jc w:val="center"/>
                    <w:rPr>
                      <w:color w:val="auto"/>
                    </w:rPr>
                  </w:pPr>
                </w:p>
              </w:tc>
              <w:tc>
                <w:tcPr>
                  <w:tcW w:w="574" w:type="pct"/>
                  <w:vMerge w:val="continue"/>
                  <w:vAlign w:val="center"/>
                </w:tcPr>
                <w:p w14:paraId="36E31435">
                  <w:pPr>
                    <w:jc w:val="center"/>
                    <w:rPr>
                      <w:color w:val="auto"/>
                    </w:rPr>
                  </w:pPr>
                </w:p>
              </w:tc>
              <w:tc>
                <w:tcPr>
                  <w:tcW w:w="334" w:type="pct"/>
                  <w:vMerge w:val="continue"/>
                  <w:shd w:val="clear" w:color="auto" w:fill="auto"/>
                  <w:vAlign w:val="center"/>
                </w:tcPr>
                <w:p w14:paraId="4F032F42">
                  <w:pPr>
                    <w:jc w:val="center"/>
                    <w:rPr>
                      <w:color w:val="auto"/>
                    </w:rPr>
                  </w:pPr>
                </w:p>
              </w:tc>
              <w:tc>
                <w:tcPr>
                  <w:tcW w:w="569" w:type="pct"/>
                  <w:vMerge w:val="continue"/>
                  <w:vAlign w:val="center"/>
                </w:tcPr>
                <w:p w14:paraId="702495AC">
                  <w:pPr>
                    <w:jc w:val="center"/>
                    <w:rPr>
                      <w:color w:val="auto"/>
                    </w:rPr>
                  </w:pPr>
                </w:p>
              </w:tc>
              <w:tc>
                <w:tcPr>
                  <w:tcW w:w="537" w:type="pct"/>
                  <w:vMerge w:val="continue"/>
                  <w:vAlign w:val="center"/>
                </w:tcPr>
                <w:p w14:paraId="626A7612">
                  <w:pPr>
                    <w:jc w:val="center"/>
                    <w:rPr>
                      <w:color w:val="auto"/>
                    </w:rPr>
                  </w:pPr>
                </w:p>
              </w:tc>
              <w:tc>
                <w:tcPr>
                  <w:tcW w:w="502" w:type="pct"/>
                  <w:vMerge w:val="continue"/>
                  <w:vAlign w:val="center"/>
                </w:tcPr>
                <w:p w14:paraId="33361BF1">
                  <w:pPr>
                    <w:jc w:val="center"/>
                    <w:rPr>
                      <w:color w:val="auto"/>
                    </w:rPr>
                  </w:pPr>
                </w:p>
              </w:tc>
              <w:tc>
                <w:tcPr>
                  <w:tcW w:w="571" w:type="pct"/>
                  <w:vAlign w:val="center"/>
                </w:tcPr>
                <w:p w14:paraId="6D045D79">
                  <w:pPr>
                    <w:jc w:val="center"/>
                    <w:rPr>
                      <w:rFonts w:hint="eastAsia"/>
                      <w:color w:val="auto"/>
                      <w:szCs w:val="21"/>
                    </w:rPr>
                  </w:pPr>
                  <w:r>
                    <w:rPr>
                      <w:rFonts w:hint="eastAsia"/>
                      <w:color w:val="auto"/>
                      <w:szCs w:val="21"/>
                    </w:rPr>
                    <w:t>颗粒物</w:t>
                  </w:r>
                </w:p>
              </w:tc>
              <w:tc>
                <w:tcPr>
                  <w:tcW w:w="448" w:type="pct"/>
                  <w:vAlign w:val="center"/>
                </w:tcPr>
                <w:p w14:paraId="6B144242">
                  <w:pPr>
                    <w:jc w:val="center"/>
                    <w:rPr>
                      <w:color w:val="auto"/>
                      <w:szCs w:val="21"/>
                    </w:rPr>
                  </w:pPr>
                  <w:r>
                    <w:rPr>
                      <w:rFonts w:hint="eastAsia"/>
                      <w:color w:val="auto"/>
                      <w:szCs w:val="21"/>
                    </w:rPr>
                    <w:t>10</w:t>
                  </w:r>
                </w:p>
              </w:tc>
              <w:tc>
                <w:tcPr>
                  <w:tcW w:w="436" w:type="pct"/>
                  <w:vAlign w:val="center"/>
                </w:tcPr>
                <w:p w14:paraId="0C8F50A9">
                  <w:pPr>
                    <w:jc w:val="center"/>
                    <w:rPr>
                      <w:color w:val="auto"/>
                      <w:szCs w:val="21"/>
                    </w:rPr>
                  </w:pPr>
                  <w:r>
                    <w:rPr>
                      <w:rFonts w:hint="eastAsia"/>
                      <w:color w:val="auto"/>
                      <w:szCs w:val="21"/>
                    </w:rPr>
                    <w:t>0.4</w:t>
                  </w:r>
                </w:p>
              </w:tc>
            </w:tr>
            <w:tr w14:paraId="6E528F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97" w:hRule="atLeast"/>
                <w:jc w:val="center"/>
              </w:trPr>
              <w:tc>
                <w:tcPr>
                  <w:tcW w:w="345" w:type="pct"/>
                  <w:vAlign w:val="center"/>
                </w:tcPr>
                <w:p w14:paraId="660C09BB">
                  <w:pPr>
                    <w:jc w:val="center"/>
                    <w:rPr>
                      <w:color w:val="auto"/>
                      <w:szCs w:val="21"/>
                    </w:rPr>
                  </w:pPr>
                  <w:r>
                    <w:rPr>
                      <w:rFonts w:hint="eastAsia"/>
                      <w:color w:val="auto"/>
                      <w:szCs w:val="21"/>
                    </w:rPr>
                    <w:t>4</w:t>
                  </w:r>
                </w:p>
              </w:tc>
              <w:tc>
                <w:tcPr>
                  <w:tcW w:w="345" w:type="pct"/>
                  <w:vAlign w:val="center"/>
                </w:tcPr>
                <w:p w14:paraId="2CDD3DED">
                  <w:pPr>
                    <w:jc w:val="center"/>
                    <w:rPr>
                      <w:color w:val="auto"/>
                      <w:szCs w:val="21"/>
                    </w:rPr>
                  </w:pPr>
                  <w:r>
                    <w:rPr>
                      <w:rFonts w:hint="eastAsia"/>
                      <w:color w:val="auto"/>
                      <w:szCs w:val="21"/>
                    </w:rPr>
                    <w:t>DA004</w:t>
                  </w:r>
                </w:p>
              </w:tc>
              <w:tc>
                <w:tcPr>
                  <w:tcW w:w="334" w:type="pct"/>
                  <w:vAlign w:val="center"/>
                </w:tcPr>
                <w:p w14:paraId="4A3DCF84">
                  <w:pPr>
                    <w:jc w:val="center"/>
                    <w:rPr>
                      <w:color w:val="auto"/>
                      <w:szCs w:val="21"/>
                    </w:rPr>
                  </w:pPr>
                  <w:r>
                    <w:rPr>
                      <w:color w:val="auto"/>
                      <w:szCs w:val="21"/>
                    </w:rPr>
                    <w:t>0.</w:t>
                  </w:r>
                  <w:r>
                    <w:rPr>
                      <w:rFonts w:hint="eastAsia"/>
                      <w:color w:val="auto"/>
                      <w:szCs w:val="21"/>
                    </w:rPr>
                    <w:t>50</w:t>
                  </w:r>
                  <w:r>
                    <w:rPr>
                      <w:color w:val="auto"/>
                      <w:szCs w:val="21"/>
                    </w:rPr>
                    <w:t>m</w:t>
                  </w:r>
                </w:p>
              </w:tc>
              <w:tc>
                <w:tcPr>
                  <w:tcW w:w="574" w:type="pct"/>
                  <w:vAlign w:val="center"/>
                </w:tcPr>
                <w:p w14:paraId="0B5FF3CA">
                  <w:pPr>
                    <w:jc w:val="center"/>
                    <w:rPr>
                      <w:color w:val="auto"/>
                      <w:szCs w:val="21"/>
                    </w:rPr>
                  </w:pPr>
                  <w:r>
                    <w:rPr>
                      <w:rFonts w:hint="eastAsia"/>
                      <w:color w:val="auto"/>
                      <w:szCs w:val="21"/>
                      <w:lang w:eastAsia="zh-CN"/>
                    </w:rPr>
                    <w:t>25.</w:t>
                  </w:r>
                </w:p>
              </w:tc>
              <w:tc>
                <w:tcPr>
                  <w:tcW w:w="334" w:type="pct"/>
                  <w:vAlign w:val="center"/>
                </w:tcPr>
                <w:p w14:paraId="2FA82C20">
                  <w:pPr>
                    <w:jc w:val="center"/>
                    <w:rPr>
                      <w:color w:val="auto"/>
                      <w:szCs w:val="21"/>
                    </w:rPr>
                  </w:pPr>
                  <w:r>
                    <w:rPr>
                      <w:color w:val="auto"/>
                      <w:szCs w:val="21"/>
                    </w:rPr>
                    <w:t>15</w:t>
                  </w:r>
                </w:p>
              </w:tc>
              <w:tc>
                <w:tcPr>
                  <w:tcW w:w="569" w:type="pct"/>
                  <w:vAlign w:val="center"/>
                </w:tcPr>
                <w:p w14:paraId="73821EC6">
                  <w:pPr>
                    <w:jc w:val="center"/>
                    <w:rPr>
                      <w:color w:val="auto"/>
                      <w:szCs w:val="21"/>
                    </w:rPr>
                  </w:pPr>
                  <w:r>
                    <w:rPr>
                      <w:color w:val="auto"/>
                      <w:szCs w:val="21"/>
                    </w:rPr>
                    <w:t>一般排放口</w:t>
                  </w:r>
                </w:p>
              </w:tc>
              <w:tc>
                <w:tcPr>
                  <w:tcW w:w="537" w:type="pct"/>
                  <w:vAlign w:val="center"/>
                </w:tcPr>
                <w:p w14:paraId="161F66CF">
                  <w:pPr>
                    <w:jc w:val="center"/>
                    <w:rPr>
                      <w:color w:val="auto"/>
                      <w:szCs w:val="21"/>
                    </w:rPr>
                  </w:pPr>
                  <w:r>
                    <w:rPr>
                      <w:rFonts w:hint="eastAsia"/>
                      <w:color w:val="auto"/>
                      <w:szCs w:val="21"/>
                    </w:rPr>
                    <w:t>119.185170</w:t>
                  </w:r>
                </w:p>
              </w:tc>
              <w:tc>
                <w:tcPr>
                  <w:tcW w:w="502" w:type="pct"/>
                  <w:vAlign w:val="center"/>
                </w:tcPr>
                <w:p w14:paraId="605D85F3">
                  <w:pPr>
                    <w:jc w:val="center"/>
                    <w:rPr>
                      <w:color w:val="auto"/>
                      <w:szCs w:val="21"/>
                    </w:rPr>
                  </w:pPr>
                  <w:r>
                    <w:rPr>
                      <w:rFonts w:hint="eastAsia"/>
                      <w:color w:val="auto"/>
                      <w:szCs w:val="21"/>
                    </w:rPr>
                    <w:t>33.788715</w:t>
                  </w:r>
                </w:p>
              </w:tc>
              <w:tc>
                <w:tcPr>
                  <w:tcW w:w="571" w:type="pct"/>
                  <w:vAlign w:val="center"/>
                </w:tcPr>
                <w:p w14:paraId="5FB590C6">
                  <w:pPr>
                    <w:jc w:val="center"/>
                    <w:rPr>
                      <w:rFonts w:hint="eastAsia"/>
                      <w:color w:val="auto"/>
                      <w:szCs w:val="21"/>
                    </w:rPr>
                  </w:pPr>
                  <w:r>
                    <w:rPr>
                      <w:rFonts w:hint="eastAsia"/>
                      <w:color w:val="auto"/>
                      <w:szCs w:val="21"/>
                    </w:rPr>
                    <w:t>颗粒物</w:t>
                  </w:r>
                </w:p>
              </w:tc>
              <w:tc>
                <w:tcPr>
                  <w:tcW w:w="448" w:type="pct"/>
                  <w:vAlign w:val="center"/>
                </w:tcPr>
                <w:p w14:paraId="213ADF47">
                  <w:pPr>
                    <w:jc w:val="center"/>
                    <w:rPr>
                      <w:color w:val="auto"/>
                      <w:szCs w:val="21"/>
                    </w:rPr>
                  </w:pPr>
                  <w:r>
                    <w:rPr>
                      <w:rFonts w:hint="eastAsia"/>
                      <w:color w:val="auto"/>
                      <w:szCs w:val="21"/>
                    </w:rPr>
                    <w:t>20</w:t>
                  </w:r>
                </w:p>
              </w:tc>
              <w:tc>
                <w:tcPr>
                  <w:tcW w:w="436" w:type="pct"/>
                  <w:vAlign w:val="center"/>
                </w:tcPr>
                <w:p w14:paraId="76F25687">
                  <w:pPr>
                    <w:jc w:val="center"/>
                    <w:rPr>
                      <w:color w:val="auto"/>
                      <w:szCs w:val="21"/>
                    </w:rPr>
                  </w:pPr>
                  <w:r>
                    <w:rPr>
                      <w:rFonts w:hint="eastAsia"/>
                      <w:color w:val="auto"/>
                      <w:szCs w:val="21"/>
                    </w:rPr>
                    <w:t>1</w:t>
                  </w:r>
                  <w:r>
                    <w:rPr>
                      <w:color w:val="auto"/>
                      <w:szCs w:val="21"/>
                    </w:rPr>
                    <w:t>.0</w:t>
                  </w:r>
                </w:p>
              </w:tc>
            </w:tr>
            <w:tr w14:paraId="406B81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23" w:hRule="atLeast"/>
                <w:jc w:val="center"/>
              </w:trPr>
              <w:tc>
                <w:tcPr>
                  <w:tcW w:w="345" w:type="pct"/>
                  <w:vMerge w:val="restart"/>
                  <w:vAlign w:val="center"/>
                </w:tcPr>
                <w:p w14:paraId="4544A276">
                  <w:pPr>
                    <w:jc w:val="center"/>
                    <w:rPr>
                      <w:color w:val="auto"/>
                      <w:szCs w:val="21"/>
                    </w:rPr>
                  </w:pPr>
                  <w:r>
                    <w:rPr>
                      <w:rFonts w:hint="eastAsia"/>
                      <w:color w:val="auto"/>
                      <w:szCs w:val="21"/>
                    </w:rPr>
                    <w:t>5</w:t>
                  </w:r>
                </w:p>
              </w:tc>
              <w:tc>
                <w:tcPr>
                  <w:tcW w:w="345" w:type="pct"/>
                  <w:vMerge w:val="restart"/>
                  <w:vAlign w:val="center"/>
                </w:tcPr>
                <w:p w14:paraId="0153A6FA">
                  <w:pPr>
                    <w:jc w:val="center"/>
                    <w:rPr>
                      <w:color w:val="auto"/>
                      <w:szCs w:val="21"/>
                    </w:rPr>
                  </w:pPr>
                  <w:r>
                    <w:rPr>
                      <w:rFonts w:hint="eastAsia"/>
                      <w:color w:val="auto"/>
                      <w:szCs w:val="21"/>
                    </w:rPr>
                    <w:t>DA005</w:t>
                  </w:r>
                </w:p>
              </w:tc>
              <w:tc>
                <w:tcPr>
                  <w:tcW w:w="334" w:type="pct"/>
                  <w:vMerge w:val="restart"/>
                  <w:vAlign w:val="center"/>
                </w:tcPr>
                <w:p w14:paraId="335BCAFD">
                  <w:pPr>
                    <w:jc w:val="center"/>
                    <w:rPr>
                      <w:color w:val="auto"/>
                    </w:rPr>
                  </w:pPr>
                  <w:r>
                    <w:rPr>
                      <w:color w:val="auto"/>
                      <w:szCs w:val="21"/>
                    </w:rPr>
                    <w:t>0.</w:t>
                  </w:r>
                  <w:r>
                    <w:rPr>
                      <w:rFonts w:hint="eastAsia"/>
                      <w:color w:val="auto"/>
                      <w:szCs w:val="21"/>
                    </w:rPr>
                    <w:t>50</w:t>
                  </w:r>
                  <w:r>
                    <w:rPr>
                      <w:color w:val="auto"/>
                      <w:szCs w:val="21"/>
                    </w:rPr>
                    <w:t>m</w:t>
                  </w:r>
                </w:p>
              </w:tc>
              <w:tc>
                <w:tcPr>
                  <w:tcW w:w="574" w:type="pct"/>
                  <w:vMerge w:val="restart"/>
                  <w:vAlign w:val="center"/>
                </w:tcPr>
                <w:p w14:paraId="4C00FC43">
                  <w:pPr>
                    <w:jc w:val="center"/>
                    <w:rPr>
                      <w:color w:val="auto"/>
                      <w:szCs w:val="21"/>
                    </w:rPr>
                  </w:pPr>
                  <w:r>
                    <w:rPr>
                      <w:rFonts w:hint="eastAsia"/>
                      <w:color w:val="auto"/>
                      <w:szCs w:val="21"/>
                      <w:lang w:eastAsia="zh-CN"/>
                    </w:rPr>
                    <w:t>25.</w:t>
                  </w:r>
                </w:p>
              </w:tc>
              <w:tc>
                <w:tcPr>
                  <w:tcW w:w="334" w:type="pct"/>
                  <w:vMerge w:val="restart"/>
                  <w:vAlign w:val="center"/>
                </w:tcPr>
                <w:p w14:paraId="232CEA1F">
                  <w:pPr>
                    <w:jc w:val="center"/>
                    <w:rPr>
                      <w:color w:val="auto"/>
                      <w:szCs w:val="21"/>
                    </w:rPr>
                  </w:pPr>
                  <w:r>
                    <w:rPr>
                      <w:color w:val="auto"/>
                      <w:szCs w:val="21"/>
                    </w:rPr>
                    <w:t>15</w:t>
                  </w:r>
                </w:p>
              </w:tc>
              <w:tc>
                <w:tcPr>
                  <w:tcW w:w="569" w:type="pct"/>
                  <w:vMerge w:val="restart"/>
                  <w:vAlign w:val="center"/>
                </w:tcPr>
                <w:p w14:paraId="3C092FEB">
                  <w:pPr>
                    <w:jc w:val="center"/>
                    <w:rPr>
                      <w:color w:val="auto"/>
                    </w:rPr>
                  </w:pPr>
                  <w:r>
                    <w:rPr>
                      <w:color w:val="auto"/>
                      <w:szCs w:val="21"/>
                    </w:rPr>
                    <w:t>一般排放口</w:t>
                  </w:r>
                </w:p>
              </w:tc>
              <w:tc>
                <w:tcPr>
                  <w:tcW w:w="537" w:type="pct"/>
                  <w:vMerge w:val="restart"/>
                  <w:vAlign w:val="center"/>
                </w:tcPr>
                <w:p w14:paraId="088966D4">
                  <w:pPr>
                    <w:jc w:val="center"/>
                    <w:rPr>
                      <w:color w:val="auto"/>
                      <w:szCs w:val="21"/>
                    </w:rPr>
                  </w:pPr>
                  <w:r>
                    <w:rPr>
                      <w:rFonts w:hint="eastAsia"/>
                      <w:color w:val="auto"/>
                      <w:szCs w:val="21"/>
                    </w:rPr>
                    <w:t>119.185202</w:t>
                  </w:r>
                </w:p>
              </w:tc>
              <w:tc>
                <w:tcPr>
                  <w:tcW w:w="502" w:type="pct"/>
                  <w:vMerge w:val="restart"/>
                  <w:vAlign w:val="center"/>
                </w:tcPr>
                <w:p w14:paraId="4F71AE39">
                  <w:pPr>
                    <w:jc w:val="center"/>
                    <w:rPr>
                      <w:color w:val="auto"/>
                      <w:szCs w:val="21"/>
                    </w:rPr>
                  </w:pPr>
                  <w:r>
                    <w:rPr>
                      <w:rFonts w:hint="eastAsia"/>
                      <w:color w:val="auto"/>
                      <w:szCs w:val="21"/>
                    </w:rPr>
                    <w:t>33.789670</w:t>
                  </w:r>
                </w:p>
              </w:tc>
              <w:tc>
                <w:tcPr>
                  <w:tcW w:w="571" w:type="pct"/>
                  <w:vAlign w:val="center"/>
                </w:tcPr>
                <w:p w14:paraId="1DA99AEA">
                  <w:pPr>
                    <w:jc w:val="center"/>
                    <w:rPr>
                      <w:rFonts w:hint="eastAsia"/>
                      <w:color w:val="auto"/>
                      <w:szCs w:val="21"/>
                    </w:rPr>
                  </w:pPr>
                  <w:r>
                    <w:rPr>
                      <w:rFonts w:hint="eastAsia"/>
                      <w:color w:val="auto"/>
                      <w:szCs w:val="21"/>
                    </w:rPr>
                    <w:t>颗粒物</w:t>
                  </w:r>
                </w:p>
              </w:tc>
              <w:tc>
                <w:tcPr>
                  <w:tcW w:w="448" w:type="pct"/>
                  <w:vAlign w:val="center"/>
                </w:tcPr>
                <w:p w14:paraId="34589C8D">
                  <w:pPr>
                    <w:jc w:val="center"/>
                    <w:rPr>
                      <w:color w:val="auto"/>
                      <w:szCs w:val="21"/>
                    </w:rPr>
                  </w:pPr>
                  <w:r>
                    <w:rPr>
                      <w:rFonts w:hint="eastAsia"/>
                      <w:color w:val="auto"/>
                      <w:szCs w:val="21"/>
                    </w:rPr>
                    <w:t>10</w:t>
                  </w:r>
                </w:p>
              </w:tc>
              <w:tc>
                <w:tcPr>
                  <w:tcW w:w="436" w:type="pct"/>
                  <w:vAlign w:val="center"/>
                </w:tcPr>
                <w:p w14:paraId="0AE4E8A1">
                  <w:pPr>
                    <w:jc w:val="center"/>
                    <w:rPr>
                      <w:color w:val="auto"/>
                      <w:szCs w:val="21"/>
                    </w:rPr>
                  </w:pPr>
                  <w:r>
                    <w:rPr>
                      <w:rFonts w:hint="eastAsia"/>
                      <w:color w:val="auto"/>
                      <w:szCs w:val="21"/>
                    </w:rPr>
                    <w:t>0.4</w:t>
                  </w:r>
                </w:p>
              </w:tc>
            </w:tr>
            <w:tr w14:paraId="1B962E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23" w:hRule="atLeast"/>
                <w:jc w:val="center"/>
              </w:trPr>
              <w:tc>
                <w:tcPr>
                  <w:tcW w:w="345" w:type="pct"/>
                  <w:vMerge w:val="continue"/>
                  <w:vAlign w:val="center"/>
                </w:tcPr>
                <w:p w14:paraId="296008A7">
                  <w:pPr>
                    <w:jc w:val="center"/>
                    <w:rPr>
                      <w:color w:val="auto"/>
                    </w:rPr>
                  </w:pPr>
                </w:p>
              </w:tc>
              <w:tc>
                <w:tcPr>
                  <w:tcW w:w="345" w:type="pct"/>
                  <w:vMerge w:val="continue"/>
                  <w:vAlign w:val="center"/>
                </w:tcPr>
                <w:p w14:paraId="225392DE">
                  <w:pPr>
                    <w:jc w:val="center"/>
                    <w:rPr>
                      <w:color w:val="auto"/>
                    </w:rPr>
                  </w:pPr>
                </w:p>
              </w:tc>
              <w:tc>
                <w:tcPr>
                  <w:tcW w:w="334" w:type="pct"/>
                  <w:vMerge w:val="continue"/>
                  <w:vAlign w:val="center"/>
                </w:tcPr>
                <w:p w14:paraId="5881BC76">
                  <w:pPr>
                    <w:jc w:val="center"/>
                    <w:rPr>
                      <w:color w:val="auto"/>
                    </w:rPr>
                  </w:pPr>
                </w:p>
              </w:tc>
              <w:tc>
                <w:tcPr>
                  <w:tcW w:w="574" w:type="pct"/>
                  <w:vMerge w:val="continue"/>
                  <w:vAlign w:val="center"/>
                </w:tcPr>
                <w:p w14:paraId="488A7591">
                  <w:pPr>
                    <w:jc w:val="center"/>
                    <w:rPr>
                      <w:color w:val="auto"/>
                    </w:rPr>
                  </w:pPr>
                </w:p>
              </w:tc>
              <w:tc>
                <w:tcPr>
                  <w:tcW w:w="334" w:type="pct"/>
                  <w:vMerge w:val="continue"/>
                  <w:vAlign w:val="center"/>
                </w:tcPr>
                <w:p w14:paraId="192A8622">
                  <w:pPr>
                    <w:jc w:val="center"/>
                    <w:rPr>
                      <w:color w:val="auto"/>
                    </w:rPr>
                  </w:pPr>
                </w:p>
              </w:tc>
              <w:tc>
                <w:tcPr>
                  <w:tcW w:w="569" w:type="pct"/>
                  <w:vMerge w:val="continue"/>
                  <w:vAlign w:val="center"/>
                </w:tcPr>
                <w:p w14:paraId="518EAF89">
                  <w:pPr>
                    <w:jc w:val="center"/>
                    <w:rPr>
                      <w:color w:val="auto"/>
                    </w:rPr>
                  </w:pPr>
                </w:p>
              </w:tc>
              <w:tc>
                <w:tcPr>
                  <w:tcW w:w="537" w:type="pct"/>
                  <w:vMerge w:val="continue"/>
                  <w:vAlign w:val="center"/>
                </w:tcPr>
                <w:p w14:paraId="6AEBA013">
                  <w:pPr>
                    <w:jc w:val="center"/>
                    <w:rPr>
                      <w:color w:val="auto"/>
                    </w:rPr>
                  </w:pPr>
                </w:p>
              </w:tc>
              <w:tc>
                <w:tcPr>
                  <w:tcW w:w="502" w:type="pct"/>
                  <w:vMerge w:val="continue"/>
                  <w:vAlign w:val="center"/>
                </w:tcPr>
                <w:p w14:paraId="1F06B1EF">
                  <w:pPr>
                    <w:jc w:val="center"/>
                    <w:rPr>
                      <w:color w:val="auto"/>
                    </w:rPr>
                  </w:pPr>
                </w:p>
              </w:tc>
              <w:tc>
                <w:tcPr>
                  <w:tcW w:w="571" w:type="pct"/>
                  <w:vAlign w:val="center"/>
                </w:tcPr>
                <w:p w14:paraId="113B2891">
                  <w:pPr>
                    <w:jc w:val="center"/>
                    <w:rPr>
                      <w:rFonts w:hint="eastAsia"/>
                      <w:color w:val="auto"/>
                      <w:szCs w:val="21"/>
                    </w:rPr>
                  </w:pPr>
                  <w:r>
                    <w:rPr>
                      <w:rFonts w:hint="eastAsia"/>
                      <w:color w:val="auto"/>
                      <w:szCs w:val="21"/>
                    </w:rPr>
                    <w:t>非甲烷总烃</w:t>
                  </w:r>
                </w:p>
              </w:tc>
              <w:tc>
                <w:tcPr>
                  <w:tcW w:w="448" w:type="pct"/>
                  <w:vAlign w:val="center"/>
                </w:tcPr>
                <w:p w14:paraId="55AB2B3C">
                  <w:pPr>
                    <w:jc w:val="center"/>
                    <w:rPr>
                      <w:color w:val="auto"/>
                      <w:szCs w:val="21"/>
                    </w:rPr>
                  </w:pPr>
                  <w:r>
                    <w:rPr>
                      <w:rFonts w:hint="eastAsia"/>
                      <w:color w:val="auto"/>
                      <w:szCs w:val="21"/>
                    </w:rPr>
                    <w:t>50</w:t>
                  </w:r>
                </w:p>
              </w:tc>
              <w:tc>
                <w:tcPr>
                  <w:tcW w:w="436" w:type="pct"/>
                  <w:vAlign w:val="center"/>
                </w:tcPr>
                <w:p w14:paraId="5FD01404">
                  <w:pPr>
                    <w:jc w:val="center"/>
                    <w:rPr>
                      <w:color w:val="auto"/>
                      <w:szCs w:val="21"/>
                    </w:rPr>
                  </w:pPr>
                  <w:r>
                    <w:rPr>
                      <w:rFonts w:hint="eastAsia"/>
                      <w:color w:val="auto"/>
                      <w:szCs w:val="21"/>
                    </w:rPr>
                    <w:t>2.0</w:t>
                  </w:r>
                </w:p>
              </w:tc>
            </w:tr>
            <w:tr w14:paraId="147BB43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23" w:hRule="atLeast"/>
                <w:jc w:val="center"/>
              </w:trPr>
              <w:tc>
                <w:tcPr>
                  <w:tcW w:w="345" w:type="pct"/>
                  <w:vMerge w:val="continue"/>
                  <w:vAlign w:val="center"/>
                </w:tcPr>
                <w:p w14:paraId="34169762">
                  <w:pPr>
                    <w:jc w:val="center"/>
                    <w:rPr>
                      <w:color w:val="auto"/>
                      <w:szCs w:val="21"/>
                    </w:rPr>
                  </w:pPr>
                </w:p>
              </w:tc>
              <w:tc>
                <w:tcPr>
                  <w:tcW w:w="345" w:type="pct"/>
                  <w:vMerge w:val="continue"/>
                  <w:vAlign w:val="center"/>
                </w:tcPr>
                <w:p w14:paraId="05C3C88D">
                  <w:pPr>
                    <w:jc w:val="center"/>
                    <w:rPr>
                      <w:color w:val="auto"/>
                      <w:szCs w:val="21"/>
                    </w:rPr>
                  </w:pPr>
                </w:p>
              </w:tc>
              <w:tc>
                <w:tcPr>
                  <w:tcW w:w="334" w:type="pct"/>
                  <w:vMerge w:val="continue"/>
                  <w:vAlign w:val="center"/>
                </w:tcPr>
                <w:p w14:paraId="732B5875">
                  <w:pPr>
                    <w:jc w:val="center"/>
                    <w:rPr>
                      <w:color w:val="auto"/>
                      <w:szCs w:val="21"/>
                    </w:rPr>
                  </w:pPr>
                </w:p>
              </w:tc>
              <w:tc>
                <w:tcPr>
                  <w:tcW w:w="574" w:type="pct"/>
                  <w:vMerge w:val="continue"/>
                  <w:vAlign w:val="center"/>
                </w:tcPr>
                <w:p w14:paraId="32B03437">
                  <w:pPr>
                    <w:jc w:val="center"/>
                    <w:rPr>
                      <w:color w:val="auto"/>
                      <w:szCs w:val="21"/>
                    </w:rPr>
                  </w:pPr>
                </w:p>
              </w:tc>
              <w:tc>
                <w:tcPr>
                  <w:tcW w:w="334" w:type="pct"/>
                  <w:vMerge w:val="continue"/>
                  <w:vAlign w:val="center"/>
                </w:tcPr>
                <w:p w14:paraId="17376A1B">
                  <w:pPr>
                    <w:jc w:val="center"/>
                    <w:rPr>
                      <w:color w:val="auto"/>
                      <w:szCs w:val="21"/>
                    </w:rPr>
                  </w:pPr>
                </w:p>
              </w:tc>
              <w:tc>
                <w:tcPr>
                  <w:tcW w:w="569" w:type="pct"/>
                  <w:vMerge w:val="continue"/>
                  <w:vAlign w:val="center"/>
                </w:tcPr>
                <w:p w14:paraId="039501AC">
                  <w:pPr>
                    <w:jc w:val="center"/>
                    <w:rPr>
                      <w:color w:val="auto"/>
                      <w:szCs w:val="21"/>
                    </w:rPr>
                  </w:pPr>
                </w:p>
              </w:tc>
              <w:tc>
                <w:tcPr>
                  <w:tcW w:w="537" w:type="pct"/>
                  <w:vMerge w:val="continue"/>
                  <w:vAlign w:val="center"/>
                </w:tcPr>
                <w:p w14:paraId="1CB7CEBB">
                  <w:pPr>
                    <w:jc w:val="center"/>
                    <w:rPr>
                      <w:color w:val="auto"/>
                      <w:szCs w:val="21"/>
                    </w:rPr>
                  </w:pPr>
                </w:p>
              </w:tc>
              <w:tc>
                <w:tcPr>
                  <w:tcW w:w="502" w:type="pct"/>
                  <w:vMerge w:val="continue"/>
                  <w:vAlign w:val="center"/>
                </w:tcPr>
                <w:p w14:paraId="2F60BB59">
                  <w:pPr>
                    <w:jc w:val="center"/>
                    <w:rPr>
                      <w:color w:val="auto"/>
                      <w:szCs w:val="21"/>
                    </w:rPr>
                  </w:pPr>
                </w:p>
              </w:tc>
              <w:tc>
                <w:tcPr>
                  <w:tcW w:w="571" w:type="pct"/>
                  <w:vAlign w:val="center"/>
                </w:tcPr>
                <w:p w14:paraId="42C06F2C">
                  <w:pPr>
                    <w:jc w:val="center"/>
                    <w:rPr>
                      <w:rFonts w:hint="eastAsia"/>
                      <w:color w:val="auto"/>
                      <w:szCs w:val="21"/>
                    </w:rPr>
                  </w:pPr>
                  <w:r>
                    <w:rPr>
                      <w:rFonts w:hint="eastAsia"/>
                      <w:color w:val="auto"/>
                      <w:szCs w:val="21"/>
                      <w:lang w:eastAsia="zh-CN"/>
                    </w:rPr>
                    <w:t>二、</w:t>
                  </w:r>
                  <w:r>
                    <w:rPr>
                      <w:rFonts w:hint="eastAsia"/>
                      <w:color w:val="auto"/>
                      <w:szCs w:val="21"/>
                    </w:rPr>
                    <w:t>氧化硫</w:t>
                  </w:r>
                </w:p>
              </w:tc>
              <w:tc>
                <w:tcPr>
                  <w:tcW w:w="448" w:type="pct"/>
                  <w:vAlign w:val="center"/>
                </w:tcPr>
                <w:p w14:paraId="1EEED8FC">
                  <w:pPr>
                    <w:jc w:val="center"/>
                    <w:rPr>
                      <w:color w:val="auto"/>
                      <w:szCs w:val="21"/>
                    </w:rPr>
                  </w:pPr>
                  <w:r>
                    <w:rPr>
                      <w:rFonts w:hint="eastAsia"/>
                      <w:color w:val="auto"/>
                      <w:szCs w:val="21"/>
                    </w:rPr>
                    <w:t>80</w:t>
                  </w:r>
                </w:p>
              </w:tc>
              <w:tc>
                <w:tcPr>
                  <w:tcW w:w="436" w:type="pct"/>
                  <w:vAlign w:val="center"/>
                </w:tcPr>
                <w:p w14:paraId="47B80529">
                  <w:pPr>
                    <w:jc w:val="center"/>
                    <w:rPr>
                      <w:color w:val="auto"/>
                      <w:szCs w:val="21"/>
                    </w:rPr>
                  </w:pPr>
                  <w:r>
                    <w:rPr>
                      <w:rFonts w:hint="eastAsia"/>
                      <w:color w:val="auto"/>
                      <w:szCs w:val="21"/>
                    </w:rPr>
                    <w:t>/</w:t>
                  </w:r>
                </w:p>
              </w:tc>
            </w:tr>
            <w:tr w14:paraId="70CA2F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23" w:hRule="atLeast"/>
                <w:jc w:val="center"/>
              </w:trPr>
              <w:tc>
                <w:tcPr>
                  <w:tcW w:w="345" w:type="pct"/>
                  <w:vMerge w:val="continue"/>
                  <w:vAlign w:val="center"/>
                </w:tcPr>
                <w:p w14:paraId="6366BACA">
                  <w:pPr>
                    <w:jc w:val="center"/>
                    <w:rPr>
                      <w:color w:val="auto"/>
                      <w:szCs w:val="21"/>
                    </w:rPr>
                  </w:pPr>
                </w:p>
              </w:tc>
              <w:tc>
                <w:tcPr>
                  <w:tcW w:w="345" w:type="pct"/>
                  <w:vMerge w:val="continue"/>
                  <w:vAlign w:val="center"/>
                </w:tcPr>
                <w:p w14:paraId="4E9AEF0B">
                  <w:pPr>
                    <w:jc w:val="center"/>
                    <w:rPr>
                      <w:color w:val="auto"/>
                      <w:szCs w:val="21"/>
                    </w:rPr>
                  </w:pPr>
                </w:p>
              </w:tc>
              <w:tc>
                <w:tcPr>
                  <w:tcW w:w="334" w:type="pct"/>
                  <w:vMerge w:val="continue"/>
                  <w:vAlign w:val="center"/>
                </w:tcPr>
                <w:p w14:paraId="76FF808A">
                  <w:pPr>
                    <w:jc w:val="center"/>
                    <w:rPr>
                      <w:color w:val="auto"/>
                      <w:szCs w:val="21"/>
                    </w:rPr>
                  </w:pPr>
                </w:p>
              </w:tc>
              <w:tc>
                <w:tcPr>
                  <w:tcW w:w="574" w:type="pct"/>
                  <w:vMerge w:val="continue"/>
                  <w:vAlign w:val="center"/>
                </w:tcPr>
                <w:p w14:paraId="230D8F9F">
                  <w:pPr>
                    <w:jc w:val="center"/>
                    <w:rPr>
                      <w:color w:val="auto"/>
                      <w:szCs w:val="21"/>
                    </w:rPr>
                  </w:pPr>
                </w:p>
              </w:tc>
              <w:tc>
                <w:tcPr>
                  <w:tcW w:w="334" w:type="pct"/>
                  <w:vMerge w:val="continue"/>
                  <w:vAlign w:val="center"/>
                </w:tcPr>
                <w:p w14:paraId="630F3F21">
                  <w:pPr>
                    <w:jc w:val="center"/>
                    <w:rPr>
                      <w:color w:val="auto"/>
                      <w:szCs w:val="21"/>
                    </w:rPr>
                  </w:pPr>
                </w:p>
              </w:tc>
              <w:tc>
                <w:tcPr>
                  <w:tcW w:w="569" w:type="pct"/>
                  <w:vMerge w:val="continue"/>
                  <w:vAlign w:val="center"/>
                </w:tcPr>
                <w:p w14:paraId="7BF70A32">
                  <w:pPr>
                    <w:jc w:val="center"/>
                    <w:rPr>
                      <w:color w:val="auto"/>
                      <w:szCs w:val="21"/>
                    </w:rPr>
                  </w:pPr>
                </w:p>
              </w:tc>
              <w:tc>
                <w:tcPr>
                  <w:tcW w:w="537" w:type="pct"/>
                  <w:vMerge w:val="continue"/>
                  <w:vAlign w:val="center"/>
                </w:tcPr>
                <w:p w14:paraId="4AF30D60">
                  <w:pPr>
                    <w:jc w:val="center"/>
                    <w:rPr>
                      <w:color w:val="auto"/>
                      <w:szCs w:val="21"/>
                    </w:rPr>
                  </w:pPr>
                </w:p>
              </w:tc>
              <w:tc>
                <w:tcPr>
                  <w:tcW w:w="502" w:type="pct"/>
                  <w:vMerge w:val="continue"/>
                  <w:vAlign w:val="center"/>
                </w:tcPr>
                <w:p w14:paraId="06C549C9">
                  <w:pPr>
                    <w:jc w:val="center"/>
                    <w:rPr>
                      <w:color w:val="auto"/>
                      <w:szCs w:val="21"/>
                    </w:rPr>
                  </w:pPr>
                </w:p>
              </w:tc>
              <w:tc>
                <w:tcPr>
                  <w:tcW w:w="571" w:type="pct"/>
                  <w:vAlign w:val="center"/>
                </w:tcPr>
                <w:p w14:paraId="38544246">
                  <w:pPr>
                    <w:jc w:val="center"/>
                    <w:rPr>
                      <w:rFonts w:hint="eastAsia"/>
                      <w:color w:val="auto"/>
                      <w:szCs w:val="21"/>
                    </w:rPr>
                  </w:pPr>
                  <w:r>
                    <w:rPr>
                      <w:rFonts w:hint="eastAsia"/>
                      <w:color w:val="auto"/>
                      <w:szCs w:val="21"/>
                    </w:rPr>
                    <w:t>氮氧化物</w:t>
                  </w:r>
                </w:p>
              </w:tc>
              <w:tc>
                <w:tcPr>
                  <w:tcW w:w="448" w:type="pct"/>
                  <w:vAlign w:val="center"/>
                </w:tcPr>
                <w:p w14:paraId="3FE32F84">
                  <w:pPr>
                    <w:jc w:val="center"/>
                    <w:rPr>
                      <w:color w:val="auto"/>
                      <w:szCs w:val="21"/>
                    </w:rPr>
                  </w:pPr>
                  <w:r>
                    <w:rPr>
                      <w:rFonts w:hint="eastAsia"/>
                      <w:color w:val="auto"/>
                      <w:szCs w:val="21"/>
                    </w:rPr>
                    <w:t>180</w:t>
                  </w:r>
                </w:p>
              </w:tc>
              <w:tc>
                <w:tcPr>
                  <w:tcW w:w="436" w:type="pct"/>
                  <w:vAlign w:val="center"/>
                </w:tcPr>
                <w:p w14:paraId="534D1DC0">
                  <w:pPr>
                    <w:jc w:val="center"/>
                    <w:rPr>
                      <w:color w:val="auto"/>
                      <w:szCs w:val="21"/>
                    </w:rPr>
                  </w:pPr>
                  <w:r>
                    <w:rPr>
                      <w:rFonts w:hint="eastAsia"/>
                      <w:color w:val="auto"/>
                      <w:szCs w:val="21"/>
                    </w:rPr>
                    <w:t>/</w:t>
                  </w:r>
                </w:p>
              </w:tc>
            </w:tr>
            <w:tr w14:paraId="432CE3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8" w:hRule="atLeast"/>
                <w:jc w:val="center"/>
              </w:trPr>
              <w:tc>
                <w:tcPr>
                  <w:tcW w:w="345" w:type="pct"/>
                  <w:vMerge w:val="restart"/>
                  <w:vAlign w:val="center"/>
                </w:tcPr>
                <w:p w14:paraId="0FD5ACA0">
                  <w:pPr>
                    <w:jc w:val="center"/>
                    <w:rPr>
                      <w:color w:val="auto"/>
                      <w:szCs w:val="21"/>
                    </w:rPr>
                  </w:pPr>
                  <w:r>
                    <w:rPr>
                      <w:rFonts w:hint="eastAsia"/>
                      <w:color w:val="auto"/>
                      <w:szCs w:val="21"/>
                    </w:rPr>
                    <w:t>6</w:t>
                  </w:r>
                </w:p>
              </w:tc>
              <w:tc>
                <w:tcPr>
                  <w:tcW w:w="345" w:type="pct"/>
                  <w:vMerge w:val="restart"/>
                  <w:vAlign w:val="center"/>
                </w:tcPr>
                <w:p w14:paraId="35B78155">
                  <w:pPr>
                    <w:jc w:val="center"/>
                    <w:rPr>
                      <w:color w:val="auto"/>
                      <w:szCs w:val="21"/>
                    </w:rPr>
                  </w:pPr>
                  <w:r>
                    <w:rPr>
                      <w:rFonts w:hint="eastAsia"/>
                      <w:color w:val="auto"/>
                      <w:szCs w:val="21"/>
                    </w:rPr>
                    <w:t>DA006</w:t>
                  </w:r>
                </w:p>
              </w:tc>
              <w:tc>
                <w:tcPr>
                  <w:tcW w:w="334" w:type="pct"/>
                  <w:vMerge w:val="restart"/>
                  <w:vAlign w:val="center"/>
                </w:tcPr>
                <w:p w14:paraId="7B635F3B">
                  <w:pPr>
                    <w:jc w:val="center"/>
                    <w:rPr>
                      <w:color w:val="auto"/>
                      <w:szCs w:val="21"/>
                    </w:rPr>
                  </w:pPr>
                  <w:r>
                    <w:rPr>
                      <w:color w:val="auto"/>
                      <w:szCs w:val="21"/>
                    </w:rPr>
                    <w:t>0.</w:t>
                  </w:r>
                  <w:r>
                    <w:rPr>
                      <w:rFonts w:hint="eastAsia"/>
                      <w:color w:val="auto"/>
                      <w:szCs w:val="21"/>
                    </w:rPr>
                    <w:t>50</w:t>
                  </w:r>
                  <w:r>
                    <w:rPr>
                      <w:color w:val="auto"/>
                      <w:szCs w:val="21"/>
                    </w:rPr>
                    <w:t>m</w:t>
                  </w:r>
                </w:p>
              </w:tc>
              <w:tc>
                <w:tcPr>
                  <w:tcW w:w="574" w:type="pct"/>
                  <w:vMerge w:val="restart"/>
                  <w:vAlign w:val="center"/>
                </w:tcPr>
                <w:p w14:paraId="06026CA8">
                  <w:pPr>
                    <w:jc w:val="center"/>
                    <w:rPr>
                      <w:color w:val="auto"/>
                      <w:szCs w:val="21"/>
                    </w:rPr>
                  </w:pPr>
                  <w:r>
                    <w:rPr>
                      <w:rFonts w:hint="eastAsia"/>
                      <w:color w:val="auto"/>
                      <w:szCs w:val="21"/>
                      <w:lang w:eastAsia="zh-CN"/>
                    </w:rPr>
                    <w:t>25.</w:t>
                  </w:r>
                </w:p>
              </w:tc>
              <w:tc>
                <w:tcPr>
                  <w:tcW w:w="334" w:type="pct"/>
                  <w:vMerge w:val="restart"/>
                  <w:vAlign w:val="center"/>
                </w:tcPr>
                <w:p w14:paraId="6BCB91BF">
                  <w:pPr>
                    <w:jc w:val="center"/>
                    <w:rPr>
                      <w:color w:val="auto"/>
                      <w:szCs w:val="21"/>
                    </w:rPr>
                  </w:pPr>
                  <w:r>
                    <w:rPr>
                      <w:color w:val="auto"/>
                      <w:szCs w:val="21"/>
                    </w:rPr>
                    <w:t>15</w:t>
                  </w:r>
                </w:p>
              </w:tc>
              <w:tc>
                <w:tcPr>
                  <w:tcW w:w="569" w:type="pct"/>
                  <w:vMerge w:val="restart"/>
                  <w:vAlign w:val="center"/>
                </w:tcPr>
                <w:p w14:paraId="31C95763">
                  <w:pPr>
                    <w:jc w:val="center"/>
                    <w:rPr>
                      <w:color w:val="auto"/>
                      <w:szCs w:val="21"/>
                    </w:rPr>
                  </w:pPr>
                  <w:r>
                    <w:rPr>
                      <w:color w:val="auto"/>
                      <w:szCs w:val="21"/>
                    </w:rPr>
                    <w:t>一般排放口</w:t>
                  </w:r>
                </w:p>
              </w:tc>
              <w:tc>
                <w:tcPr>
                  <w:tcW w:w="537" w:type="pct"/>
                  <w:vMerge w:val="restart"/>
                  <w:vAlign w:val="center"/>
                </w:tcPr>
                <w:p w14:paraId="4BFE01C7">
                  <w:pPr>
                    <w:jc w:val="center"/>
                    <w:rPr>
                      <w:color w:val="auto"/>
                      <w:szCs w:val="21"/>
                    </w:rPr>
                  </w:pPr>
                  <w:r>
                    <w:rPr>
                      <w:rFonts w:hint="eastAsia"/>
                      <w:color w:val="auto"/>
                      <w:szCs w:val="21"/>
                    </w:rPr>
                    <w:t>119.183486</w:t>
                  </w:r>
                </w:p>
              </w:tc>
              <w:tc>
                <w:tcPr>
                  <w:tcW w:w="502" w:type="pct"/>
                  <w:vMerge w:val="restart"/>
                  <w:vAlign w:val="center"/>
                </w:tcPr>
                <w:p w14:paraId="45BC20AE">
                  <w:pPr>
                    <w:jc w:val="center"/>
                    <w:rPr>
                      <w:color w:val="auto"/>
                      <w:szCs w:val="21"/>
                    </w:rPr>
                  </w:pPr>
                  <w:r>
                    <w:rPr>
                      <w:rFonts w:hint="eastAsia"/>
                      <w:color w:val="auto"/>
                      <w:szCs w:val="21"/>
                    </w:rPr>
                    <w:t>33.789304</w:t>
                  </w:r>
                </w:p>
              </w:tc>
              <w:tc>
                <w:tcPr>
                  <w:tcW w:w="571" w:type="pct"/>
                  <w:vAlign w:val="center"/>
                </w:tcPr>
                <w:p w14:paraId="1F20D03D">
                  <w:pPr>
                    <w:jc w:val="center"/>
                    <w:rPr>
                      <w:rFonts w:hint="eastAsia"/>
                      <w:color w:val="auto"/>
                      <w:szCs w:val="21"/>
                    </w:rPr>
                  </w:pPr>
                  <w:r>
                    <w:rPr>
                      <w:rFonts w:hint="eastAsia"/>
                      <w:color w:val="auto"/>
                      <w:szCs w:val="21"/>
                    </w:rPr>
                    <w:t>非甲烷总烃</w:t>
                  </w:r>
                </w:p>
              </w:tc>
              <w:tc>
                <w:tcPr>
                  <w:tcW w:w="448" w:type="pct"/>
                  <w:vAlign w:val="center"/>
                </w:tcPr>
                <w:p w14:paraId="1C90C61B">
                  <w:pPr>
                    <w:jc w:val="center"/>
                    <w:rPr>
                      <w:color w:val="auto"/>
                      <w:szCs w:val="21"/>
                    </w:rPr>
                  </w:pPr>
                  <w:r>
                    <w:rPr>
                      <w:rFonts w:hint="eastAsia"/>
                      <w:color w:val="auto"/>
                      <w:szCs w:val="21"/>
                    </w:rPr>
                    <w:t>50</w:t>
                  </w:r>
                </w:p>
              </w:tc>
              <w:tc>
                <w:tcPr>
                  <w:tcW w:w="436" w:type="pct"/>
                  <w:vAlign w:val="center"/>
                </w:tcPr>
                <w:p w14:paraId="78223363">
                  <w:pPr>
                    <w:jc w:val="center"/>
                    <w:rPr>
                      <w:color w:val="auto"/>
                      <w:szCs w:val="21"/>
                    </w:rPr>
                  </w:pPr>
                  <w:r>
                    <w:rPr>
                      <w:rFonts w:hint="eastAsia"/>
                      <w:color w:val="auto"/>
                      <w:szCs w:val="21"/>
                    </w:rPr>
                    <w:t>1.8</w:t>
                  </w:r>
                </w:p>
              </w:tc>
            </w:tr>
            <w:tr w14:paraId="3C9595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48" w:hRule="atLeast"/>
                <w:jc w:val="center"/>
              </w:trPr>
              <w:tc>
                <w:tcPr>
                  <w:tcW w:w="345" w:type="pct"/>
                  <w:vMerge w:val="continue"/>
                  <w:vAlign w:val="center"/>
                </w:tcPr>
                <w:p w14:paraId="6B6BF4D4">
                  <w:pPr>
                    <w:jc w:val="center"/>
                    <w:rPr>
                      <w:color w:val="auto"/>
                    </w:rPr>
                  </w:pPr>
                </w:p>
              </w:tc>
              <w:tc>
                <w:tcPr>
                  <w:tcW w:w="345" w:type="pct"/>
                  <w:vMerge w:val="continue"/>
                  <w:vAlign w:val="center"/>
                </w:tcPr>
                <w:p w14:paraId="0A172127">
                  <w:pPr>
                    <w:jc w:val="center"/>
                    <w:rPr>
                      <w:color w:val="auto"/>
                    </w:rPr>
                  </w:pPr>
                </w:p>
              </w:tc>
              <w:tc>
                <w:tcPr>
                  <w:tcW w:w="334" w:type="pct"/>
                  <w:vMerge w:val="continue"/>
                  <w:vAlign w:val="center"/>
                </w:tcPr>
                <w:p w14:paraId="79401325">
                  <w:pPr>
                    <w:jc w:val="center"/>
                    <w:rPr>
                      <w:color w:val="auto"/>
                    </w:rPr>
                  </w:pPr>
                </w:p>
              </w:tc>
              <w:tc>
                <w:tcPr>
                  <w:tcW w:w="574" w:type="pct"/>
                  <w:vMerge w:val="continue"/>
                  <w:vAlign w:val="center"/>
                </w:tcPr>
                <w:p w14:paraId="56614C35">
                  <w:pPr>
                    <w:jc w:val="center"/>
                    <w:rPr>
                      <w:color w:val="auto"/>
                    </w:rPr>
                  </w:pPr>
                </w:p>
              </w:tc>
              <w:tc>
                <w:tcPr>
                  <w:tcW w:w="334" w:type="pct"/>
                  <w:vMerge w:val="continue"/>
                  <w:vAlign w:val="center"/>
                </w:tcPr>
                <w:p w14:paraId="60127D69">
                  <w:pPr>
                    <w:jc w:val="center"/>
                    <w:rPr>
                      <w:color w:val="auto"/>
                    </w:rPr>
                  </w:pPr>
                </w:p>
              </w:tc>
              <w:tc>
                <w:tcPr>
                  <w:tcW w:w="569" w:type="pct"/>
                  <w:vMerge w:val="continue"/>
                  <w:vAlign w:val="center"/>
                </w:tcPr>
                <w:p w14:paraId="1341459E">
                  <w:pPr>
                    <w:jc w:val="center"/>
                    <w:rPr>
                      <w:color w:val="auto"/>
                    </w:rPr>
                  </w:pPr>
                </w:p>
              </w:tc>
              <w:tc>
                <w:tcPr>
                  <w:tcW w:w="537" w:type="pct"/>
                  <w:vMerge w:val="continue"/>
                  <w:vAlign w:val="center"/>
                </w:tcPr>
                <w:p w14:paraId="62F6F1EC">
                  <w:pPr>
                    <w:jc w:val="center"/>
                    <w:rPr>
                      <w:color w:val="auto"/>
                    </w:rPr>
                  </w:pPr>
                </w:p>
              </w:tc>
              <w:tc>
                <w:tcPr>
                  <w:tcW w:w="502" w:type="pct"/>
                  <w:vMerge w:val="continue"/>
                  <w:vAlign w:val="center"/>
                </w:tcPr>
                <w:p w14:paraId="16E48481">
                  <w:pPr>
                    <w:jc w:val="center"/>
                    <w:rPr>
                      <w:color w:val="auto"/>
                    </w:rPr>
                  </w:pPr>
                </w:p>
              </w:tc>
              <w:tc>
                <w:tcPr>
                  <w:tcW w:w="571" w:type="pct"/>
                  <w:vAlign w:val="center"/>
                </w:tcPr>
                <w:p w14:paraId="6CFA4BA4">
                  <w:pPr>
                    <w:jc w:val="center"/>
                    <w:rPr>
                      <w:rFonts w:hint="eastAsia"/>
                      <w:color w:val="auto"/>
                      <w:szCs w:val="21"/>
                    </w:rPr>
                  </w:pPr>
                  <w:r>
                    <w:rPr>
                      <w:rFonts w:hint="eastAsia"/>
                      <w:color w:val="auto"/>
                      <w:szCs w:val="21"/>
                    </w:rPr>
                    <w:t>颗粒物</w:t>
                  </w:r>
                </w:p>
              </w:tc>
              <w:tc>
                <w:tcPr>
                  <w:tcW w:w="448" w:type="pct"/>
                  <w:vAlign w:val="center"/>
                </w:tcPr>
                <w:p w14:paraId="299896E2">
                  <w:pPr>
                    <w:jc w:val="center"/>
                    <w:rPr>
                      <w:color w:val="auto"/>
                      <w:szCs w:val="21"/>
                    </w:rPr>
                  </w:pPr>
                  <w:r>
                    <w:rPr>
                      <w:rFonts w:hint="eastAsia"/>
                      <w:color w:val="auto"/>
                      <w:szCs w:val="21"/>
                    </w:rPr>
                    <w:t>10</w:t>
                  </w:r>
                </w:p>
              </w:tc>
              <w:tc>
                <w:tcPr>
                  <w:tcW w:w="436" w:type="pct"/>
                  <w:vAlign w:val="center"/>
                </w:tcPr>
                <w:p w14:paraId="260FC9F9">
                  <w:pPr>
                    <w:jc w:val="center"/>
                    <w:rPr>
                      <w:color w:val="auto"/>
                      <w:szCs w:val="21"/>
                    </w:rPr>
                  </w:pPr>
                  <w:r>
                    <w:rPr>
                      <w:rFonts w:hint="eastAsia"/>
                      <w:color w:val="auto"/>
                      <w:szCs w:val="21"/>
                    </w:rPr>
                    <w:t>0.4</w:t>
                  </w:r>
                </w:p>
              </w:tc>
            </w:tr>
          </w:tbl>
          <w:p w14:paraId="20DDFE1C">
            <w:pPr>
              <w:pStyle w:val="2"/>
              <w:rPr>
                <w:color w:val="auto"/>
              </w:rPr>
            </w:pPr>
          </w:p>
        </w:tc>
      </w:tr>
    </w:tbl>
    <w:p w14:paraId="05ACAFD3">
      <w:pPr>
        <w:pStyle w:val="2"/>
        <w:ind w:firstLine="482"/>
        <w:rPr>
          <w:rFonts w:ascii="Times New Roman" w:cs="Times New Roman"/>
          <w:bCs/>
          <w:color w:val="auto"/>
        </w:rPr>
      </w:pPr>
    </w:p>
    <w:p w14:paraId="51778DB4">
      <w:pPr>
        <w:pStyle w:val="4"/>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7"/>
        <w:gridCol w:w="8704"/>
      </w:tblGrid>
      <w:tr w14:paraId="5D06D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95" w:type="dxa"/>
            <w:tcMar>
              <w:left w:w="28" w:type="dxa"/>
              <w:right w:w="28" w:type="dxa"/>
            </w:tcMar>
            <w:vAlign w:val="center"/>
          </w:tcPr>
          <w:p w14:paraId="1FD76285">
            <w:pPr>
              <w:adjustRightInd w:val="0"/>
              <w:snapToGrid w:val="0"/>
              <w:jc w:val="center"/>
              <w:rPr>
                <w:bCs/>
                <w:color w:val="auto"/>
                <w:sz w:val="24"/>
              </w:rPr>
            </w:pPr>
            <w:r>
              <w:rPr>
                <w:bCs/>
                <w:color w:val="auto"/>
                <w:sz w:val="24"/>
              </w:rPr>
              <w:t>运营期环境影响和保护措施</w:t>
            </w:r>
          </w:p>
        </w:tc>
        <w:tc>
          <w:tcPr>
            <w:tcW w:w="8686" w:type="dxa"/>
          </w:tcPr>
          <w:p w14:paraId="3AC61C43">
            <w:pPr>
              <w:autoSpaceDE w:val="0"/>
              <w:autoSpaceDN w:val="0"/>
              <w:adjustRightInd w:val="0"/>
              <w:snapToGrid w:val="0"/>
              <w:spacing w:line="360" w:lineRule="auto"/>
              <w:rPr>
                <w:b/>
                <w:bCs/>
                <w:color w:val="auto"/>
                <w:sz w:val="24"/>
              </w:rPr>
            </w:pPr>
            <w:r>
              <w:rPr>
                <w:rFonts w:hint="eastAsia"/>
                <w:b/>
                <w:bCs/>
                <w:color w:val="auto"/>
                <w:sz w:val="24"/>
              </w:rPr>
              <w:t>1.2污染源</w:t>
            </w:r>
            <w:r>
              <w:rPr>
                <w:b/>
                <w:bCs/>
                <w:color w:val="auto"/>
                <w:sz w:val="24"/>
              </w:rPr>
              <w:t>源强</w:t>
            </w:r>
            <w:r>
              <w:rPr>
                <w:rFonts w:hint="eastAsia"/>
                <w:b/>
                <w:bCs/>
                <w:color w:val="auto"/>
                <w:sz w:val="24"/>
              </w:rPr>
              <w:t>核算过程简述</w:t>
            </w:r>
          </w:p>
          <w:p w14:paraId="71DEE38C">
            <w:pPr>
              <w:autoSpaceDE w:val="0"/>
              <w:autoSpaceDN w:val="0"/>
              <w:adjustRightInd w:val="0"/>
              <w:snapToGrid w:val="0"/>
              <w:spacing w:line="360" w:lineRule="auto"/>
              <w:ind w:firstLine="482" w:firstLineChars="200"/>
              <w:rPr>
                <w:b/>
                <w:bCs/>
                <w:color w:val="auto"/>
                <w:sz w:val="24"/>
              </w:rPr>
            </w:pPr>
            <w:r>
              <w:rPr>
                <w:rFonts w:hint="eastAsia"/>
                <w:b/>
                <w:bCs/>
                <w:color w:val="auto"/>
                <w:sz w:val="24"/>
              </w:rPr>
              <w:t>建设项目主要分为4类组件工艺，在此分别对各个组件生产工艺产生污染物进行源强核算：</w:t>
            </w:r>
          </w:p>
          <w:p w14:paraId="23EF0F27">
            <w:pPr>
              <w:autoSpaceDE w:val="0"/>
              <w:autoSpaceDN w:val="0"/>
              <w:adjustRightInd w:val="0"/>
              <w:snapToGrid w:val="0"/>
              <w:spacing w:line="360" w:lineRule="auto"/>
              <w:ind w:firstLine="482" w:firstLineChars="200"/>
              <w:rPr>
                <w:b/>
                <w:bCs/>
                <w:color w:val="auto"/>
                <w:sz w:val="24"/>
              </w:rPr>
            </w:pPr>
            <w:r>
              <w:rPr>
                <w:rFonts w:hint="eastAsia"/>
                <w:b/>
                <w:bCs/>
                <w:color w:val="auto"/>
                <w:sz w:val="24"/>
              </w:rPr>
              <w:t>一、木制组件生产工艺</w:t>
            </w:r>
          </w:p>
          <w:p w14:paraId="5D600586">
            <w:pPr>
              <w:adjustRightInd w:val="0"/>
              <w:snapToGrid w:val="0"/>
              <w:spacing w:line="360" w:lineRule="auto"/>
              <w:ind w:firstLine="482" w:firstLineChars="200"/>
              <w:rPr>
                <w:color w:val="auto"/>
                <w:sz w:val="24"/>
              </w:rPr>
            </w:pPr>
            <w:r>
              <w:rPr>
                <w:rFonts w:hint="eastAsia"/>
                <w:b/>
                <w:bCs/>
                <w:color w:val="auto"/>
                <w:sz w:val="24"/>
              </w:rPr>
              <w:t>1、下料粉尘</w:t>
            </w:r>
            <w:r>
              <w:rPr>
                <w:b/>
                <w:bCs/>
                <w:color w:val="auto"/>
                <w:sz w:val="24"/>
              </w:rPr>
              <w:t>：</w:t>
            </w:r>
            <w:r>
              <w:rPr>
                <w:rFonts w:hint="eastAsia"/>
                <w:bCs/>
                <w:color w:val="auto"/>
                <w:sz w:val="24"/>
              </w:rPr>
              <w:t>建设项目下料工序会产生颗粒物，本项目属于2439其他工艺美术及礼仪用品制造，根据</w:t>
            </w:r>
            <w:r>
              <w:rPr>
                <w:rFonts w:hint="eastAsia" w:hAnsiTheme="minorEastAsia" w:eastAsiaTheme="minorEastAsia"/>
                <w:bCs/>
                <w:color w:val="auto"/>
                <w:sz w:val="24"/>
              </w:rPr>
              <w:t>木制品组件</w:t>
            </w:r>
            <w:r>
              <w:rPr>
                <w:rFonts w:hint="eastAsia"/>
                <w:bCs/>
                <w:color w:val="auto"/>
                <w:sz w:val="24"/>
              </w:rPr>
              <w:t>生产工艺，下料工序以木材为原料进行加工生产，废气指标参考《排放源统计调查产排污核算方法和系数手册》（公告2021年第24号公告）中203木质制品制造行业系数表中，建筑用木料、实木地板、其他木制品（木制容器、软木制品）-切割/旋切产污系数为0.245千克/立方米-产品，根据企业提供资料，企业年产木制组件约600m</w:t>
            </w:r>
            <w:r>
              <w:rPr>
                <w:rFonts w:hint="eastAsia"/>
                <w:bCs/>
                <w:color w:val="auto"/>
                <w:sz w:val="24"/>
                <w:vertAlign w:val="superscript"/>
              </w:rPr>
              <w:t>3</w:t>
            </w:r>
            <w:r>
              <w:rPr>
                <w:rFonts w:hint="eastAsia"/>
                <w:bCs/>
                <w:color w:val="auto"/>
                <w:sz w:val="24"/>
              </w:rPr>
              <w:t>，</w:t>
            </w:r>
            <w:r>
              <w:rPr>
                <w:rFonts w:hint="eastAsia"/>
                <w:bCs/>
                <w:color w:val="auto"/>
                <w:sz w:val="24"/>
                <w:lang w:eastAsia="zh-CN"/>
              </w:rPr>
              <w:t>细颗粒物</w:t>
            </w:r>
            <w:r>
              <w:rPr>
                <w:rFonts w:hint="eastAsia"/>
                <w:bCs/>
                <w:color w:val="auto"/>
                <w:sz w:val="24"/>
              </w:rPr>
              <w:t>产生量为0.245*600=147kg/a=0.147t/a。此工序项目采用集气罩收集+布袋除尘处理+15m高排气筒（DA001）排放，收集效率以80%计，处理效率按95%计，设计风量为2000m</w:t>
            </w:r>
            <w:r>
              <w:rPr>
                <w:rFonts w:hint="eastAsia"/>
                <w:bCs/>
                <w:color w:val="auto"/>
                <w:sz w:val="24"/>
                <w:vertAlign w:val="superscript"/>
              </w:rPr>
              <w:t>3</w:t>
            </w:r>
            <w:r>
              <w:rPr>
                <w:rFonts w:hint="eastAsia"/>
                <w:bCs/>
                <w:color w:val="auto"/>
                <w:sz w:val="24"/>
              </w:rPr>
              <w:t>/h，则有组织颗粒物产生量为0.1176t/a（0.0327kg/h，16.33mg/m</w:t>
            </w:r>
            <w:r>
              <w:rPr>
                <w:rFonts w:hint="eastAsia"/>
                <w:bCs/>
                <w:color w:val="auto"/>
                <w:sz w:val="24"/>
                <w:vertAlign w:val="superscript"/>
              </w:rPr>
              <w:t>3</w:t>
            </w:r>
            <w:r>
              <w:rPr>
                <w:rFonts w:hint="eastAsia"/>
                <w:bCs/>
                <w:color w:val="auto"/>
                <w:sz w:val="24"/>
              </w:rPr>
              <w:t>），</w:t>
            </w:r>
            <w:r>
              <w:rPr>
                <w:rFonts w:hint="eastAsia"/>
                <w:bCs/>
                <w:color w:val="auto"/>
                <w:sz w:val="24"/>
                <w:lang w:eastAsia="zh-CN"/>
              </w:rPr>
              <w:t>细颗粒物</w:t>
            </w:r>
            <w:r>
              <w:rPr>
                <w:rFonts w:hint="eastAsia"/>
                <w:bCs/>
                <w:color w:val="auto"/>
                <w:sz w:val="24"/>
              </w:rPr>
              <w:t>有组织排放量为0.00588t/a（0.0016kg/h、0.82mg/m</w:t>
            </w:r>
            <w:r>
              <w:rPr>
                <w:rFonts w:hint="eastAsia"/>
                <w:bCs/>
                <w:color w:val="auto"/>
                <w:sz w:val="24"/>
                <w:vertAlign w:val="superscript"/>
              </w:rPr>
              <w:t>3</w:t>
            </w:r>
            <w:r>
              <w:rPr>
                <w:rFonts w:hint="eastAsia"/>
                <w:bCs/>
                <w:color w:val="auto"/>
                <w:sz w:val="24"/>
              </w:rPr>
              <w:t>）无组织颗粒物产生量为0.0294t/a（0.0082kg/h）</w:t>
            </w:r>
            <w:r>
              <w:rPr>
                <w:rFonts w:hint="eastAsia"/>
                <w:color w:val="auto"/>
                <w:sz w:val="24"/>
              </w:rPr>
              <w:t>。</w:t>
            </w:r>
          </w:p>
          <w:p w14:paraId="6F08EF78">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2.</w:t>
            </w:r>
            <w:r>
              <w:rPr>
                <w:rFonts w:hint="eastAsia"/>
                <w:b/>
                <w:bCs/>
                <w:color w:val="auto"/>
                <w:sz w:val="24"/>
              </w:rPr>
              <w:t>压合废气：</w:t>
            </w:r>
            <w:r>
              <w:rPr>
                <w:rFonts w:hint="eastAsia"/>
                <w:color w:val="auto"/>
                <w:sz w:val="24"/>
              </w:rPr>
              <w:t>建设项目压合工序会产生挥发性有机物，</w:t>
            </w:r>
            <w:r>
              <w:rPr>
                <w:rFonts w:hint="eastAsia"/>
                <w:bCs/>
                <w:color w:val="auto"/>
                <w:sz w:val="24"/>
              </w:rPr>
              <w:t>本项目属于2439其他工艺美术及礼仪用品制造，根据</w:t>
            </w:r>
            <w:r>
              <w:rPr>
                <w:rFonts w:hint="eastAsia" w:hAnsiTheme="minorEastAsia" w:eastAsiaTheme="minorEastAsia"/>
                <w:bCs/>
                <w:color w:val="auto"/>
                <w:sz w:val="24"/>
              </w:rPr>
              <w:t>木制品组件</w:t>
            </w:r>
            <w:r>
              <w:rPr>
                <w:rFonts w:hint="eastAsia"/>
                <w:bCs/>
                <w:color w:val="auto"/>
                <w:sz w:val="24"/>
              </w:rPr>
              <w:t>生产工艺，压合工艺产生废气指标</w:t>
            </w:r>
            <w:r>
              <w:rPr>
                <w:rFonts w:hint="eastAsia" w:hAnsiTheme="minorEastAsia" w:eastAsiaTheme="minorEastAsia"/>
                <w:bCs/>
                <w:color w:val="auto"/>
                <w:sz w:val="24"/>
              </w:rPr>
              <w:t>参考</w:t>
            </w:r>
            <w:r>
              <w:rPr>
                <w:rFonts w:hAnsiTheme="minorEastAsia" w:eastAsiaTheme="minorEastAsia"/>
                <w:bCs/>
                <w:color w:val="auto"/>
                <w:sz w:val="24"/>
              </w:rPr>
              <w:t>《排放源统计调查产排污核算方法和系数手册》（公告2021年第24号公告）中</w:t>
            </w:r>
            <w:r>
              <w:rPr>
                <w:rFonts w:hint="eastAsia" w:hAnsiTheme="minorEastAsia" w:eastAsiaTheme="minorEastAsia"/>
                <w:bCs/>
                <w:color w:val="auto"/>
                <w:sz w:val="24"/>
              </w:rPr>
              <w:t>203木质制品制造行业系数表中，木门窗、木楼梯实木复合地板、强化木地板-胶粘-胶粘剂（水性）产污系数为0.24克/立方米-产品，根据企业提供资料，压合工艺主要生产得到木制门用于组装高端展示道具，木制门一年约生产30扇门，按照标准住宅门尺寸：宽度0.8米，高度2.1米，厚度0.02米，一扇门约0.8*2.1*0.02=0.0336立方米，因此产品为0.0336*30=1.008立方米，则压合废气产生0.24*1.008/1000000=0.0000002t/a，经计算，压合工艺产生废气量过低，本环评不定量分析。</w:t>
            </w:r>
          </w:p>
          <w:p w14:paraId="11CF050E">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3.</w:t>
            </w:r>
            <w:r>
              <w:rPr>
                <w:rFonts w:hint="eastAsia"/>
                <w:b/>
                <w:bCs/>
                <w:color w:val="auto"/>
                <w:sz w:val="24"/>
              </w:rPr>
              <w:t>封边废气：</w:t>
            </w:r>
            <w:r>
              <w:rPr>
                <w:rFonts w:hint="eastAsia" w:hAnsiTheme="minorEastAsia" w:eastAsiaTheme="minorEastAsia"/>
                <w:color w:val="auto"/>
                <w:sz w:val="24"/>
              </w:rPr>
              <w:t>建设</w:t>
            </w:r>
            <w:r>
              <w:rPr>
                <w:rFonts w:hint="eastAsia" w:hAnsiTheme="minorEastAsia" w:eastAsiaTheme="minorEastAsia"/>
                <w:bCs/>
                <w:color w:val="auto"/>
                <w:sz w:val="24"/>
              </w:rPr>
              <w:t>项目封边工序使用无溶剂型热熔胶（P</w:t>
            </w:r>
            <w:r>
              <w:rPr>
                <w:rFonts w:hAnsiTheme="minorEastAsia" w:eastAsiaTheme="minorEastAsia"/>
                <w:bCs/>
                <w:color w:val="auto"/>
                <w:sz w:val="24"/>
              </w:rPr>
              <w:t>UR</w:t>
            </w:r>
            <w:r>
              <w:rPr>
                <w:rFonts w:hint="eastAsia" w:hAnsiTheme="minorEastAsia" w:eastAsiaTheme="minorEastAsia"/>
                <w:bCs/>
                <w:color w:val="auto"/>
                <w:sz w:val="24"/>
              </w:rPr>
              <w:t>胶）和封边条。根据封边条材质，PVC封边条在温度达到140℃以上时开始分解，170℃左右分解更加迅速，企业封边工艺温度为80℃，且时间较短，不足以产生分解，因此封边条不产生任何废气，此处只考虑热熔胶分解废气，</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挥发性有机物的检测报告显示：P</w:t>
            </w:r>
            <w:r>
              <w:rPr>
                <w:rFonts w:hAnsiTheme="minorEastAsia" w:eastAsiaTheme="minorEastAsia"/>
                <w:color w:val="auto"/>
                <w:sz w:val="24"/>
              </w:rPr>
              <w:t>UR胶VOC含量</w:t>
            </w:r>
            <w:r>
              <w:rPr>
                <w:rFonts w:hint="eastAsia" w:hAnsiTheme="minorEastAsia" w:eastAsiaTheme="minorEastAsia"/>
                <w:color w:val="auto"/>
                <w:sz w:val="24"/>
              </w:rPr>
              <w:t>为</w:t>
            </w:r>
            <w:r>
              <w:rPr>
                <w:rFonts w:hAnsiTheme="minorEastAsia" w:eastAsiaTheme="minorEastAsia"/>
                <w:color w:val="auto"/>
                <w:sz w:val="24"/>
              </w:rPr>
              <w:t>4g/kg</w:t>
            </w:r>
            <w:r>
              <w:rPr>
                <w:rFonts w:hint="eastAsia" w:hAnsiTheme="minorEastAsia" w:eastAsiaTheme="minorEastAsia"/>
                <w:color w:val="auto"/>
                <w:sz w:val="24"/>
              </w:rPr>
              <w:t>，封边工序中</w:t>
            </w:r>
            <w:r>
              <w:rPr>
                <w:rFonts w:hint="eastAsia" w:hAnsiTheme="minorEastAsia" w:eastAsiaTheme="minorEastAsia"/>
                <w:color w:val="auto"/>
                <w:kern w:val="0"/>
                <w:sz w:val="24"/>
              </w:rPr>
              <w:t>P</w:t>
            </w:r>
            <w:r>
              <w:rPr>
                <w:rFonts w:hAnsiTheme="minorEastAsia" w:eastAsiaTheme="minorEastAsia"/>
                <w:color w:val="auto"/>
                <w:kern w:val="0"/>
                <w:sz w:val="24"/>
              </w:rPr>
              <w:t>UR</w:t>
            </w:r>
            <w:r>
              <w:rPr>
                <w:rFonts w:hint="eastAsia" w:hAnsiTheme="minorEastAsia" w:eastAsiaTheme="minorEastAsia"/>
                <w:color w:val="auto"/>
                <w:kern w:val="0"/>
                <w:sz w:val="24"/>
              </w:rPr>
              <w:t>胶</w:t>
            </w:r>
            <w:r>
              <w:rPr>
                <w:rFonts w:hAnsiTheme="minorEastAsia" w:eastAsiaTheme="minorEastAsia"/>
                <w:color w:val="auto"/>
                <w:sz w:val="24"/>
              </w:rPr>
              <w:t>用量为</w:t>
            </w:r>
            <w:r>
              <w:rPr>
                <w:rFonts w:hint="eastAsia" w:hAnsiTheme="minorEastAsia" w:eastAsiaTheme="minorEastAsia"/>
                <w:color w:val="auto"/>
                <w:sz w:val="24"/>
              </w:rPr>
              <w:t>0.125</w:t>
            </w:r>
            <w:r>
              <w:rPr>
                <w:rFonts w:hAnsiTheme="minorEastAsia" w:eastAsiaTheme="minorEastAsia"/>
                <w:color w:val="auto"/>
                <w:sz w:val="24"/>
              </w:rPr>
              <w:t>t/a，则非甲烷总烃产生量为0.</w:t>
            </w:r>
            <w:r>
              <w:rPr>
                <w:rFonts w:hint="eastAsia" w:hAnsiTheme="minorEastAsia" w:eastAsiaTheme="minorEastAsia"/>
                <w:color w:val="auto"/>
                <w:sz w:val="24"/>
              </w:rPr>
              <w:t>0005</w:t>
            </w:r>
            <w:r>
              <w:rPr>
                <w:rFonts w:hAnsiTheme="minorEastAsia" w:eastAsiaTheme="minorEastAsia"/>
                <w:color w:val="auto"/>
                <w:sz w:val="24"/>
              </w:rPr>
              <w:t>t/a</w:t>
            </w:r>
            <w:r>
              <w:rPr>
                <w:rFonts w:hint="eastAsia" w:hAnsiTheme="minor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DA001</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001</w:t>
            </w:r>
            <w:r>
              <w:rPr>
                <w:rFonts w:eastAsiaTheme="minorEastAsia"/>
                <w:bCs/>
                <w:color w:val="auto"/>
                <w:sz w:val="24"/>
              </w:rPr>
              <w:t>kg/h</w:t>
            </w:r>
            <w:r>
              <w:rPr>
                <w:rFonts w:hint="eastAsia" w:eastAsiaTheme="minorEastAsia"/>
                <w:bCs/>
                <w:color w:val="auto"/>
                <w:sz w:val="24"/>
              </w:rPr>
              <w:t>、0.11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0001</w:t>
            </w:r>
            <w:r>
              <w:rPr>
                <w:rFonts w:eastAsiaTheme="minorEastAsia"/>
                <w:bCs/>
                <w:color w:val="auto"/>
                <w:sz w:val="24"/>
              </w:rPr>
              <w:t>kg/h</w:t>
            </w:r>
            <w:r>
              <w:rPr>
                <w:rFonts w:hint="eastAsia" w:eastAsiaTheme="minorEastAsia"/>
                <w:bCs/>
                <w:color w:val="auto"/>
                <w:sz w:val="24"/>
              </w:rPr>
              <w:t>、0.01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001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18C400B">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4.</w:t>
            </w:r>
            <w:r>
              <w:rPr>
                <w:rFonts w:hint="eastAsia"/>
                <w:b/>
                <w:bCs/>
                <w:color w:val="auto"/>
                <w:sz w:val="24"/>
              </w:rPr>
              <w:t>钻孔粉尘：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倒角/钻</w:t>
            </w:r>
            <w:r>
              <w:rPr>
                <w:rFonts w:hint="eastAsia"/>
                <w:bCs/>
                <w:color w:val="auto"/>
                <w:sz w:val="24"/>
              </w:rPr>
              <w:t>孔</w:t>
            </w:r>
            <w:r>
              <w:rPr>
                <w:rFonts w:hAnsiTheme="minorEastAsia" w:eastAsiaTheme="minorEastAsia"/>
                <w:color w:val="auto"/>
                <w:sz w:val="24"/>
              </w:rPr>
              <w:t>工序会产生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bCs/>
                <w:color w:val="auto"/>
                <w:sz w:val="24"/>
              </w:rPr>
              <w:t>本项目属于2439</w:t>
            </w:r>
            <w:r>
              <w:rPr>
                <w:rFonts w:hAnsiTheme="minorEastAsia" w:eastAsiaTheme="minorEastAsia"/>
                <w:bCs/>
                <w:color w:val="auto"/>
                <w:sz w:val="24"/>
              </w:rPr>
              <w:t>其他工艺美术及礼仪用品</w:t>
            </w:r>
            <w:r>
              <w:rPr>
                <w:rFonts w:hint="eastAsia" w:hAnsiTheme="minorEastAsia" w:eastAsiaTheme="minorEastAsia"/>
                <w:bCs/>
                <w:color w:val="auto"/>
                <w:sz w:val="24"/>
              </w:rPr>
              <w:t>制造，根据木制品组件生产工艺，打孔工序以木材为原料进行加工生产，废气指标参考</w:t>
            </w:r>
            <w:r>
              <w:rPr>
                <w:rFonts w:hAnsiTheme="minorEastAsia" w:eastAsiaTheme="minorEastAsia"/>
                <w:bCs/>
                <w:color w:val="auto"/>
                <w:sz w:val="24"/>
              </w:rPr>
              <w:t>《排放源统计调查产排污核算方法和系数手册》（公告2021年第24号公告）中</w:t>
            </w:r>
            <w:r>
              <w:rPr>
                <w:rFonts w:hint="eastAsia" w:hAnsiTheme="minorEastAsia" w:eastAsiaTheme="minorEastAsia"/>
                <w:bCs/>
                <w:color w:val="auto"/>
                <w:sz w:val="24"/>
              </w:rPr>
              <w:t>203木质制品制造行业系数表中，木门窗、木楼梯、实木复合地板、强化木地板、其他木制品（木制容器、软木制品）-切割/打孔/开槽</w:t>
            </w:r>
            <w:r>
              <w:rPr>
                <w:color w:val="auto"/>
                <w:kern w:val="0"/>
                <w:sz w:val="24"/>
              </w:rPr>
              <w:t>产污系数为</w:t>
            </w:r>
            <w:r>
              <w:rPr>
                <w:rFonts w:hint="eastAsia"/>
                <w:color w:val="auto"/>
                <w:kern w:val="0"/>
                <w:sz w:val="24"/>
              </w:rPr>
              <w:t>0.045千克/立方米</w:t>
            </w:r>
            <w:r>
              <w:rPr>
                <w:color w:val="auto"/>
                <w:kern w:val="0"/>
                <w:sz w:val="24"/>
              </w:rPr>
              <w:t>-产品</w:t>
            </w:r>
            <w:r>
              <w:rPr>
                <w:rFonts w:hint="eastAsia" w:hAnsiTheme="minorEastAsia" w:eastAsiaTheme="minorEastAsia"/>
                <w:color w:val="auto"/>
                <w:sz w:val="24"/>
              </w:rPr>
              <w:t>，</w:t>
            </w:r>
            <w:r>
              <w:rPr>
                <w:color w:val="auto"/>
                <w:kern w:val="0"/>
                <w:sz w:val="24"/>
              </w:rPr>
              <w:t>根据企业提供资料</w:t>
            </w:r>
            <w:r>
              <w:rPr>
                <w:color w:val="auto"/>
                <w:sz w:val="24"/>
              </w:rPr>
              <w:t>，</w:t>
            </w:r>
            <w:r>
              <w:rPr>
                <w:rFonts w:hint="eastAsia"/>
                <w:bCs/>
                <w:color w:val="auto"/>
                <w:sz w:val="24"/>
              </w:rPr>
              <w:t>企业年产木制组件约600m</w:t>
            </w:r>
            <w:r>
              <w:rPr>
                <w:rFonts w:hint="eastAsia"/>
                <w:bCs/>
                <w:color w:val="auto"/>
                <w:sz w:val="24"/>
                <w:vertAlign w:val="superscript"/>
              </w:rPr>
              <w:t>3</w:t>
            </w:r>
            <w:r>
              <w:rPr>
                <w:rFonts w:hint="eastAsia"/>
                <w:bCs/>
                <w:color w:val="auto"/>
                <w:sz w:val="24"/>
              </w:rPr>
              <w:t>，</w:t>
            </w:r>
            <w:r>
              <w:rPr>
                <w:rFonts w:hint="eastAsia"/>
                <w:bCs/>
                <w:color w:val="auto"/>
                <w:sz w:val="24"/>
                <w:lang w:eastAsia="zh-CN"/>
              </w:rPr>
              <w:t>细颗粒物</w:t>
            </w:r>
            <w:r>
              <w:rPr>
                <w:rFonts w:hint="eastAsia" w:hAnsiTheme="minorEastAsia" w:eastAsiaTheme="minorEastAsia"/>
                <w:color w:val="auto"/>
                <w:sz w:val="24"/>
              </w:rPr>
              <w:t>产生量为0.045*600/1000=</w:t>
            </w:r>
            <w:r>
              <w:rPr>
                <w:rFonts w:hAnsiTheme="minorEastAsia" w:eastAsiaTheme="minorEastAsia"/>
                <w:color w:val="auto"/>
                <w:sz w:val="24"/>
              </w:rPr>
              <w:t>0.</w:t>
            </w:r>
            <w:r>
              <w:rPr>
                <w:rFonts w:hint="eastAsia" w:hAnsiTheme="minorEastAsia" w:eastAsiaTheme="minorEastAsia"/>
                <w:color w:val="auto"/>
                <w:sz w:val="24"/>
              </w:rPr>
              <w:t>027</w:t>
            </w:r>
            <w:r>
              <w:rPr>
                <w:rFonts w:eastAsiaTheme="minorEastAsia"/>
                <w:color w:val="auto"/>
                <w:sz w:val="24"/>
              </w:rPr>
              <w:t>t/a</w:t>
            </w:r>
            <w:r>
              <w:rPr>
                <w:rFonts w:hint="eastAsia" w:eastAsiaTheme="minorEastAsia"/>
                <w:color w:val="auto"/>
                <w:sz w:val="24"/>
              </w:rPr>
              <w:t>。此工序</w:t>
            </w:r>
            <w:r>
              <w:rPr>
                <w:rFonts w:hAnsiTheme="minorEastAsia" w:eastAsiaTheme="minorEastAsia"/>
                <w:color w:val="auto"/>
                <w:sz w:val="24"/>
              </w:rPr>
              <w:t>项目</w:t>
            </w:r>
            <w:r>
              <w:rPr>
                <w:rFonts w:hAnsiTheme="minorEastAsia" w:eastAsiaTheme="minorEastAsia"/>
                <w:bCs/>
                <w:color w:val="auto"/>
                <w:sz w:val="24"/>
              </w:rPr>
              <w:t>采用</w:t>
            </w:r>
            <w:r>
              <w:rPr>
                <w:rFonts w:hint="eastAsia" w:hAnsiTheme="minorEastAsia" w:eastAsiaTheme="minorEastAsia"/>
                <w:bCs/>
                <w:color w:val="auto"/>
                <w:sz w:val="24"/>
              </w:rPr>
              <w:t>设备管道</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eastAsiaTheme="minorEastAsia"/>
                <w:bCs/>
                <w:color w:val="auto"/>
                <w:sz w:val="24"/>
              </w:rPr>
              <w:t>DA00</w:t>
            </w:r>
            <w:r>
              <w:rPr>
                <w:rFonts w:hint="eastAsia" w:eastAsiaTheme="minorEastAsia"/>
                <w:bCs/>
                <w:color w:val="auto"/>
                <w:sz w:val="24"/>
              </w:rPr>
              <w:t>1</w:t>
            </w:r>
            <w:r>
              <w:rPr>
                <w:rFonts w:hAnsiTheme="minorEastAsia" w:eastAsiaTheme="minorEastAsia"/>
                <w:bCs/>
                <w:color w:val="auto"/>
                <w:sz w:val="24"/>
              </w:rPr>
              <w:t>）排放，收集效率以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rPr>
              <w:t>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0216</w:t>
            </w:r>
            <w:r>
              <w:rPr>
                <w:rFonts w:eastAsiaTheme="minorEastAsia"/>
                <w:bCs/>
                <w:color w:val="auto"/>
                <w:sz w:val="24"/>
              </w:rPr>
              <w:t>t/a</w:t>
            </w:r>
            <w:r>
              <w:rPr>
                <w:rFonts w:hint="eastAsia" w:eastAsiaTheme="minorEastAsia"/>
                <w:bCs/>
                <w:color w:val="auto"/>
                <w:sz w:val="24"/>
              </w:rPr>
              <w:t>（0.0060</w:t>
            </w:r>
            <w:r>
              <w:rPr>
                <w:rFonts w:eastAsiaTheme="minorEastAsia"/>
                <w:bCs/>
                <w:color w:val="auto"/>
                <w:sz w:val="24"/>
              </w:rPr>
              <w:t>kg/h</w:t>
            </w:r>
            <w:r>
              <w:rPr>
                <w:rFonts w:hint="eastAsia" w:eastAsiaTheme="minorEastAsia"/>
                <w:bCs/>
                <w:color w:val="auto"/>
                <w:sz w:val="24"/>
              </w:rPr>
              <w:t>，6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0.0</w:t>
            </w:r>
            <w:r>
              <w:rPr>
                <w:rFonts w:hint="eastAsia"/>
                <w:color w:val="auto"/>
                <w:kern w:val="0"/>
                <w:sz w:val="24"/>
              </w:rPr>
              <w:t>011</w:t>
            </w:r>
            <w:r>
              <w:rPr>
                <w:color w:val="auto"/>
                <w:kern w:val="0"/>
                <w:sz w:val="24"/>
              </w:rPr>
              <w:t>t/a</w:t>
            </w:r>
            <w:r>
              <w:rPr>
                <w:rFonts w:hint="eastAsia"/>
                <w:color w:val="auto"/>
                <w:kern w:val="0"/>
                <w:sz w:val="24"/>
              </w:rPr>
              <w:t>（</w:t>
            </w:r>
            <w:r>
              <w:rPr>
                <w:color w:val="auto"/>
                <w:kern w:val="0"/>
                <w:sz w:val="24"/>
              </w:rPr>
              <w:t>0.00</w:t>
            </w:r>
            <w:r>
              <w:rPr>
                <w:rFonts w:hint="eastAsia"/>
                <w:color w:val="auto"/>
                <w:kern w:val="0"/>
                <w:sz w:val="24"/>
              </w:rPr>
              <w:t>03</w:t>
            </w:r>
            <w:r>
              <w:rPr>
                <w:color w:val="auto"/>
                <w:kern w:val="0"/>
                <w:sz w:val="24"/>
              </w:rPr>
              <w:t>kg/h</w:t>
            </w:r>
            <w:r>
              <w:rPr>
                <w:rFonts w:hint="eastAsia"/>
                <w:color w:val="auto"/>
                <w:kern w:val="0"/>
                <w:sz w:val="24"/>
              </w:rPr>
              <w:t>、0.3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0.0054</w:t>
            </w:r>
            <w:r>
              <w:rPr>
                <w:rFonts w:eastAsiaTheme="minorEastAsia"/>
                <w:bCs/>
                <w:color w:val="auto"/>
                <w:sz w:val="24"/>
              </w:rPr>
              <w:t>t/a</w:t>
            </w:r>
            <w:r>
              <w:rPr>
                <w:rFonts w:hint="eastAsia" w:eastAsiaTheme="minorEastAsia"/>
                <w:bCs/>
                <w:color w:val="auto"/>
                <w:sz w:val="24"/>
              </w:rPr>
              <w:t>（0.0015</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39224CE">
            <w:pPr>
              <w:adjustRightInd w:val="0"/>
              <w:snapToGrid w:val="0"/>
              <w:spacing w:line="360" w:lineRule="auto"/>
              <w:ind w:firstLine="482" w:firstLineChars="200"/>
              <w:jc w:val="left"/>
              <w:rPr>
                <w:rFonts w:hint="eastAsia" w:hAnsiTheme="minorEastAsia" w:eastAsiaTheme="minorEastAsia"/>
                <w:bCs/>
                <w:color w:val="auto"/>
                <w:sz w:val="24"/>
              </w:rPr>
            </w:pPr>
            <w:r>
              <w:rPr>
                <w:rFonts w:hint="eastAsia"/>
                <w:b/>
                <w:bCs/>
                <w:color w:val="auto"/>
                <w:sz w:val="24"/>
                <w:lang w:eastAsia="zh-CN"/>
              </w:rPr>
              <w:t>5.</w:t>
            </w:r>
            <w:r>
              <w:rPr>
                <w:rFonts w:hint="eastAsia"/>
                <w:b/>
                <w:bCs/>
                <w:color w:val="auto"/>
                <w:sz w:val="24"/>
              </w:rPr>
              <w:t>贴皮废气：</w:t>
            </w:r>
            <w:r>
              <w:rPr>
                <w:rFonts w:hint="eastAsia" w:hAnsiTheme="minorEastAsia" w:eastAsiaTheme="minorEastAsia"/>
                <w:color w:val="auto"/>
                <w:sz w:val="24"/>
              </w:rPr>
              <w:t>建设</w:t>
            </w:r>
            <w:r>
              <w:rPr>
                <w:rFonts w:hint="eastAsia" w:hAnsiTheme="minorEastAsia" w:eastAsiaTheme="minorEastAsia"/>
                <w:bCs/>
                <w:color w:val="auto"/>
                <w:sz w:val="24"/>
              </w:rPr>
              <w:t>项目贴皮工序使用水性白乳胶。</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挥发性有机物的检测报告显示：水性白乳</w:t>
            </w:r>
            <w:r>
              <w:rPr>
                <w:rFonts w:hAnsiTheme="minorEastAsia" w:eastAsiaTheme="minorEastAsia"/>
                <w:color w:val="auto"/>
                <w:sz w:val="24"/>
              </w:rPr>
              <w:t>胶VOC含量</w:t>
            </w:r>
            <w:r>
              <w:rPr>
                <w:rFonts w:hint="eastAsia" w:hAnsiTheme="minorEastAsia" w:eastAsiaTheme="minorEastAsia"/>
                <w:color w:val="auto"/>
                <w:sz w:val="24"/>
              </w:rPr>
              <w:t>为3</w:t>
            </w:r>
            <w:r>
              <w:rPr>
                <w:rFonts w:hAnsiTheme="minorEastAsia" w:eastAsiaTheme="minorEastAsia"/>
                <w:color w:val="auto"/>
                <w:sz w:val="24"/>
              </w:rPr>
              <w:t>g/</w:t>
            </w:r>
            <w:r>
              <w:rPr>
                <w:rFonts w:hint="eastAsia" w:hAnsiTheme="minorEastAsia" w:eastAsiaTheme="minorEastAsia"/>
                <w:color w:val="auto"/>
                <w:sz w:val="24"/>
              </w:rPr>
              <w:t>L，贴皮工序中</w:t>
            </w:r>
            <w:r>
              <w:rPr>
                <w:rFonts w:hint="eastAsia" w:hAnsiTheme="minorEastAsia" w:eastAsiaTheme="minorEastAsia"/>
                <w:color w:val="auto"/>
                <w:kern w:val="0"/>
                <w:sz w:val="24"/>
              </w:rPr>
              <w:t>白乳胶</w:t>
            </w:r>
            <w:r>
              <w:rPr>
                <w:rFonts w:hAnsiTheme="minorEastAsia" w:eastAsiaTheme="minorEastAsia"/>
                <w:color w:val="auto"/>
                <w:sz w:val="24"/>
              </w:rPr>
              <w:t>用量为</w:t>
            </w:r>
            <w:r>
              <w:rPr>
                <w:rFonts w:hint="eastAsia" w:hAnsiTheme="minorEastAsia" w:eastAsiaTheme="minorEastAsia"/>
                <w:color w:val="auto"/>
                <w:sz w:val="24"/>
              </w:rPr>
              <w:t>2</w:t>
            </w:r>
            <w:r>
              <w:rPr>
                <w:rFonts w:hAnsiTheme="minorEastAsia" w:eastAsiaTheme="minorEastAsia"/>
                <w:color w:val="auto"/>
                <w:sz w:val="24"/>
              </w:rPr>
              <w:t>t/a，</w:t>
            </w:r>
            <w:r>
              <w:rPr>
                <w:rFonts w:hint="eastAsia" w:hAnsiTheme="minorEastAsia" w:eastAsiaTheme="minorEastAsia"/>
                <w:color w:val="auto"/>
                <w:sz w:val="24"/>
              </w:rPr>
              <w:t>根据企业提供白乳胶MSDS报告中相对密度（水=1）：0.98，因此1升白乳胶质量为0.98kg，2t白乳胶约为2040.82L</w:t>
            </w:r>
            <w:r>
              <w:rPr>
                <w:rFonts w:hint="eastAsia" w:hAnsiTheme="minorEastAsia" w:eastAsiaTheme="minorEastAsia"/>
                <w:bCs/>
                <w:color w:val="auto"/>
                <w:sz w:val="24"/>
              </w:rPr>
              <w:t>，</w:t>
            </w:r>
            <w:r>
              <w:rPr>
                <w:rFonts w:hAnsiTheme="minorEastAsia" w:eastAsiaTheme="minorEastAsia"/>
                <w:color w:val="auto"/>
                <w:sz w:val="24"/>
              </w:rPr>
              <w:t>则非甲烷总烃产生量为</w:t>
            </w:r>
            <w:r>
              <w:rPr>
                <w:rFonts w:hint="eastAsia" w:hAnsiTheme="minorEastAsia" w:eastAsiaTheme="minorEastAsia"/>
                <w:color w:val="auto"/>
                <w:sz w:val="24"/>
              </w:rPr>
              <w:t>3*2040.82/1000000=0.0061</w:t>
            </w:r>
            <w:r>
              <w:rPr>
                <w:rFonts w:hAnsiTheme="minorEastAsia" w:eastAsiaTheme="minorEastAsia"/>
                <w:color w:val="auto"/>
                <w:sz w:val="24"/>
              </w:rPr>
              <w:t>t/a</w:t>
            </w:r>
            <w:r>
              <w:rPr>
                <w:rFonts w:hint="eastAsia" w:hAnsiTheme="minor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DA001</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0049</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014</w:t>
            </w:r>
            <w:r>
              <w:rPr>
                <w:rFonts w:eastAsiaTheme="minorEastAsia"/>
                <w:bCs/>
                <w:color w:val="auto"/>
                <w:sz w:val="24"/>
              </w:rPr>
              <w:t>kg/h</w:t>
            </w:r>
            <w:r>
              <w:rPr>
                <w:rFonts w:hint="eastAsia" w:eastAsiaTheme="minorEastAsia"/>
                <w:bCs/>
                <w:color w:val="auto"/>
                <w:sz w:val="24"/>
              </w:rPr>
              <w:t>、0.68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0005</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001</w:t>
            </w:r>
            <w:r>
              <w:rPr>
                <w:rFonts w:eastAsiaTheme="minorEastAsia"/>
                <w:bCs/>
                <w:color w:val="auto"/>
                <w:sz w:val="24"/>
              </w:rPr>
              <w:t>kg/h</w:t>
            </w:r>
            <w:r>
              <w:rPr>
                <w:rFonts w:hint="eastAsia" w:eastAsiaTheme="minorEastAsia"/>
                <w:bCs/>
                <w:color w:val="auto"/>
                <w:sz w:val="24"/>
              </w:rPr>
              <w:t>、0.07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012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089BD84">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6.</w:t>
            </w:r>
            <w:r>
              <w:rPr>
                <w:rFonts w:hint="eastAsia"/>
                <w:b/>
                <w:bCs/>
                <w:color w:val="auto"/>
                <w:sz w:val="24"/>
              </w:rPr>
              <w:t>修边粉尘、磨平粉尘、打磨粉尘：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修边、磨平、打磨</w:t>
            </w:r>
            <w:r>
              <w:rPr>
                <w:rFonts w:hAnsiTheme="minorEastAsia" w:eastAsiaTheme="minorEastAsia"/>
                <w:color w:val="auto"/>
                <w:sz w:val="24"/>
              </w:rPr>
              <w:t>工序会产生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color w:val="auto"/>
                <w:sz w:val="24"/>
              </w:rPr>
              <w:t>且多道工序均在同一车间工位进行，根据企业现有项目验收经验，修边、磨平、打磨三道</w:t>
            </w:r>
            <w:r>
              <w:rPr>
                <w:rFonts w:hAnsiTheme="minorEastAsia" w:eastAsiaTheme="minorEastAsia"/>
                <w:color w:val="auto"/>
                <w:sz w:val="24"/>
              </w:rPr>
              <w:t>工序</w:t>
            </w:r>
            <w:r>
              <w:rPr>
                <w:rFonts w:hint="eastAsia" w:hAnsiTheme="minorEastAsia" w:eastAsiaTheme="minorEastAsia"/>
                <w:color w:val="auto"/>
                <w:sz w:val="24"/>
              </w:rPr>
              <w:t>统一后为表面处理工艺，因此一同进行源强分析，</w:t>
            </w:r>
            <w:r>
              <w:rPr>
                <w:rFonts w:hint="eastAsia" w:hAnsiTheme="minorEastAsia" w:eastAsiaTheme="minorEastAsia"/>
                <w:bCs/>
                <w:color w:val="auto"/>
                <w:sz w:val="24"/>
              </w:rPr>
              <w:t>本项目属于2439</w:t>
            </w:r>
            <w:r>
              <w:rPr>
                <w:rFonts w:hAnsiTheme="minorEastAsia" w:eastAsiaTheme="minorEastAsia"/>
                <w:bCs/>
                <w:color w:val="auto"/>
                <w:sz w:val="24"/>
              </w:rPr>
              <w:t>其他工艺美术及礼仪用品</w:t>
            </w:r>
            <w:r>
              <w:rPr>
                <w:rFonts w:hint="eastAsia" w:hAnsiTheme="minorEastAsia" w:eastAsiaTheme="minorEastAsia"/>
                <w:bCs/>
                <w:color w:val="auto"/>
                <w:sz w:val="24"/>
              </w:rPr>
              <w:t>制造，根据木制品组件生产工艺，</w:t>
            </w:r>
            <w:r>
              <w:rPr>
                <w:rFonts w:hint="eastAsia" w:hAnsiTheme="minorEastAsia" w:eastAsiaTheme="minorEastAsia"/>
                <w:color w:val="auto"/>
                <w:sz w:val="24"/>
              </w:rPr>
              <w:t>修边、磨平、打磨</w:t>
            </w:r>
            <w:r>
              <w:rPr>
                <w:rFonts w:hint="eastAsia" w:hAnsiTheme="minorEastAsia" w:eastAsiaTheme="minorEastAsia"/>
                <w:bCs/>
                <w:color w:val="auto"/>
                <w:sz w:val="24"/>
              </w:rPr>
              <w:t>工序以木材为原料进行加工生产，废气指标参考</w:t>
            </w:r>
            <w:r>
              <w:rPr>
                <w:rFonts w:hAnsiTheme="minorEastAsia" w:eastAsiaTheme="minorEastAsia"/>
                <w:bCs/>
                <w:color w:val="auto"/>
                <w:sz w:val="24"/>
              </w:rPr>
              <w:t>《排放源统计调查产排污核算方法和系数手册》（公告2021年第24号公告）中</w:t>
            </w:r>
            <w:r>
              <w:rPr>
                <w:rFonts w:hint="eastAsia" w:hAnsiTheme="minorEastAsia" w:eastAsiaTheme="minorEastAsia"/>
                <w:bCs/>
                <w:color w:val="auto"/>
                <w:sz w:val="24"/>
              </w:rPr>
              <w:t>203木质制品制造行业系数表中，其他木制品（木制容器、软木制品）-表面处理-木材</w:t>
            </w:r>
            <w:r>
              <w:rPr>
                <w:color w:val="auto"/>
                <w:kern w:val="0"/>
                <w:sz w:val="24"/>
              </w:rPr>
              <w:t>产污系数为</w:t>
            </w:r>
            <w:r>
              <w:rPr>
                <w:rFonts w:hint="eastAsia"/>
                <w:color w:val="auto"/>
                <w:kern w:val="0"/>
                <w:sz w:val="24"/>
              </w:rPr>
              <w:t>1.60千克/立方米</w:t>
            </w:r>
            <w:r>
              <w:rPr>
                <w:color w:val="auto"/>
                <w:kern w:val="0"/>
                <w:sz w:val="24"/>
              </w:rPr>
              <w:t>-产品</w:t>
            </w:r>
            <w:r>
              <w:rPr>
                <w:rFonts w:hint="eastAsia" w:hAnsiTheme="minorEastAsia" w:eastAsiaTheme="minorEastAsia"/>
                <w:color w:val="auto"/>
                <w:sz w:val="24"/>
              </w:rPr>
              <w:t>，</w:t>
            </w:r>
            <w:r>
              <w:rPr>
                <w:color w:val="auto"/>
                <w:kern w:val="0"/>
                <w:sz w:val="24"/>
              </w:rPr>
              <w:t>根据企业提供资料</w:t>
            </w:r>
            <w:r>
              <w:rPr>
                <w:color w:val="auto"/>
                <w:sz w:val="24"/>
              </w:rPr>
              <w:t>，</w:t>
            </w:r>
            <w:r>
              <w:rPr>
                <w:rFonts w:hint="eastAsia"/>
                <w:bCs/>
                <w:color w:val="auto"/>
                <w:sz w:val="24"/>
              </w:rPr>
              <w:t>企业年产木制组件约600m</w:t>
            </w:r>
            <w:r>
              <w:rPr>
                <w:rFonts w:hint="eastAsia"/>
                <w:bCs/>
                <w:color w:val="auto"/>
                <w:sz w:val="24"/>
                <w:vertAlign w:val="superscript"/>
              </w:rPr>
              <w:t>3</w:t>
            </w:r>
            <w:r>
              <w:rPr>
                <w:rFonts w:hint="eastAsia"/>
                <w:bCs/>
                <w:color w:val="auto"/>
                <w:sz w:val="24"/>
              </w:rPr>
              <w:t>，</w:t>
            </w:r>
            <w:r>
              <w:rPr>
                <w:rFonts w:hint="eastAsia"/>
                <w:bCs/>
                <w:color w:val="auto"/>
                <w:sz w:val="24"/>
                <w:lang w:eastAsia="zh-CN"/>
              </w:rPr>
              <w:t>细颗粒物</w:t>
            </w:r>
            <w:r>
              <w:rPr>
                <w:rFonts w:hint="eastAsia" w:hAnsiTheme="minorEastAsia" w:eastAsiaTheme="minorEastAsia"/>
                <w:color w:val="auto"/>
                <w:sz w:val="24"/>
              </w:rPr>
              <w:t>产生量为1.6*600/1000=</w:t>
            </w:r>
            <w:r>
              <w:rPr>
                <w:rFonts w:hAnsiTheme="minorEastAsia" w:eastAsiaTheme="minorEastAsia"/>
                <w:color w:val="auto"/>
                <w:sz w:val="24"/>
              </w:rPr>
              <w:t>0.</w:t>
            </w:r>
            <w:r>
              <w:rPr>
                <w:rFonts w:hint="eastAsia" w:hAnsiTheme="minorEastAsia" w:eastAsiaTheme="minorEastAsia"/>
                <w:color w:val="auto"/>
                <w:sz w:val="24"/>
              </w:rPr>
              <w:t>96</w:t>
            </w:r>
            <w:r>
              <w:rPr>
                <w:rFonts w:eastAsiaTheme="minorEastAsia"/>
                <w:color w:val="auto"/>
                <w:sz w:val="24"/>
              </w:rPr>
              <w:t>t/a</w:t>
            </w:r>
            <w:r>
              <w:rPr>
                <w:rFonts w:hint="eastAsia" w:eastAsiaTheme="minorEastAsia"/>
                <w:color w:val="auto"/>
                <w:sz w:val="24"/>
              </w:rPr>
              <w:t>。此工序</w:t>
            </w:r>
            <w:r>
              <w:rPr>
                <w:rFonts w:hAnsiTheme="minorEastAsia" w:eastAsiaTheme="minorEastAsia"/>
                <w:color w:val="auto"/>
                <w:sz w:val="24"/>
              </w:rPr>
              <w:t>项目</w:t>
            </w:r>
            <w:r>
              <w:rPr>
                <w:rFonts w:hAnsiTheme="minorEastAsia" w:eastAsiaTheme="minorEastAsia"/>
                <w:bCs/>
                <w:color w:val="auto"/>
                <w:sz w:val="24"/>
              </w:rPr>
              <w:t>采用</w:t>
            </w:r>
            <w:r>
              <w:rPr>
                <w:rFonts w:hint="eastAsia" w:hAnsiTheme="minorEastAsia" w:eastAsiaTheme="minorEastAsia"/>
                <w:bCs/>
                <w:color w:val="auto"/>
                <w:sz w:val="24"/>
              </w:rPr>
              <w:t>集气罩</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DA002</w:t>
            </w:r>
            <w:r>
              <w:rPr>
                <w:rFonts w:hAnsiTheme="minorEastAsia" w:eastAsiaTheme="minorEastAsia"/>
                <w:bCs/>
                <w:color w:val="auto"/>
                <w:sz w:val="24"/>
              </w:rPr>
              <w:t>）排放</w:t>
            </w:r>
            <w:r>
              <w:rPr>
                <w:rFonts w:hint="eastAsia" w:hAnsiTheme="minorEastAsia" w:eastAsiaTheme="minorEastAsia"/>
                <w:bCs/>
                <w:color w:val="auto"/>
                <w:sz w:val="24"/>
              </w:rPr>
              <w:t>，</w:t>
            </w:r>
            <w:r>
              <w:rPr>
                <w:rFonts w:hAnsiTheme="minorEastAsia" w:eastAsiaTheme="minorEastAsia"/>
                <w:bCs/>
                <w:color w:val="auto"/>
                <w:sz w:val="24"/>
              </w:rPr>
              <w:t>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rPr>
              <w:t>4000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0.768</w:t>
            </w:r>
            <w:r>
              <w:rPr>
                <w:rFonts w:eastAsiaTheme="minorEastAsia"/>
                <w:bCs/>
                <w:color w:val="auto"/>
                <w:sz w:val="24"/>
              </w:rPr>
              <w:t>t/a</w:t>
            </w:r>
            <w:r>
              <w:rPr>
                <w:rFonts w:hint="eastAsia" w:eastAsiaTheme="minorEastAsia"/>
                <w:bCs/>
                <w:color w:val="auto"/>
                <w:sz w:val="24"/>
              </w:rPr>
              <w:t>（0.2133</w:t>
            </w:r>
            <w:r>
              <w:rPr>
                <w:rFonts w:eastAsiaTheme="minorEastAsia"/>
                <w:bCs/>
                <w:color w:val="auto"/>
                <w:sz w:val="24"/>
              </w:rPr>
              <w:t>kg/h</w:t>
            </w:r>
            <w:r>
              <w:rPr>
                <w:rFonts w:hint="eastAsia" w:eastAsiaTheme="minorEastAsia"/>
                <w:bCs/>
                <w:color w:val="auto"/>
                <w:sz w:val="24"/>
              </w:rPr>
              <w:t>，53.33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0.0</w:t>
            </w:r>
            <w:r>
              <w:rPr>
                <w:rFonts w:hint="eastAsia"/>
                <w:color w:val="auto"/>
                <w:kern w:val="0"/>
                <w:sz w:val="24"/>
              </w:rPr>
              <w:t>384</w:t>
            </w:r>
            <w:r>
              <w:rPr>
                <w:color w:val="auto"/>
                <w:kern w:val="0"/>
                <w:sz w:val="24"/>
              </w:rPr>
              <w:t>/a</w:t>
            </w:r>
            <w:r>
              <w:rPr>
                <w:rFonts w:hint="eastAsia"/>
                <w:color w:val="auto"/>
                <w:kern w:val="0"/>
                <w:sz w:val="24"/>
              </w:rPr>
              <w:t>（</w:t>
            </w:r>
            <w:r>
              <w:rPr>
                <w:color w:val="auto"/>
                <w:kern w:val="0"/>
                <w:sz w:val="24"/>
              </w:rPr>
              <w:t>0.0</w:t>
            </w:r>
            <w:r>
              <w:rPr>
                <w:rFonts w:hint="eastAsia"/>
                <w:color w:val="auto"/>
                <w:kern w:val="0"/>
                <w:sz w:val="24"/>
              </w:rPr>
              <w:t>107</w:t>
            </w:r>
            <w:r>
              <w:rPr>
                <w:color w:val="auto"/>
                <w:kern w:val="0"/>
                <w:sz w:val="24"/>
              </w:rPr>
              <w:t>kg/h</w:t>
            </w:r>
            <w:r>
              <w:rPr>
                <w:rFonts w:hint="eastAsia"/>
                <w:color w:val="auto"/>
                <w:kern w:val="0"/>
                <w:sz w:val="24"/>
              </w:rPr>
              <w:t>、2.67</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0.192</w:t>
            </w:r>
            <w:r>
              <w:rPr>
                <w:rFonts w:eastAsiaTheme="minorEastAsia"/>
                <w:bCs/>
                <w:color w:val="auto"/>
                <w:sz w:val="24"/>
              </w:rPr>
              <w:t>t/a</w:t>
            </w:r>
            <w:r>
              <w:rPr>
                <w:rFonts w:hint="eastAsia" w:eastAsiaTheme="minorEastAsia"/>
                <w:bCs/>
                <w:color w:val="auto"/>
                <w:sz w:val="24"/>
              </w:rPr>
              <w:t>（0.0533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C064F91">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rPr>
              <w:t>7、批灰废气：</w:t>
            </w:r>
            <w:r>
              <w:rPr>
                <w:rFonts w:hint="eastAsia" w:hAnsiTheme="minorEastAsia" w:eastAsiaTheme="minorEastAsia"/>
                <w:color w:val="auto"/>
                <w:sz w:val="24"/>
              </w:rPr>
              <w:t>建设</w:t>
            </w:r>
            <w:r>
              <w:rPr>
                <w:rFonts w:hint="eastAsia" w:hAnsiTheme="minorEastAsia" w:eastAsiaTheme="minorEastAsia"/>
                <w:bCs/>
                <w:color w:val="auto"/>
                <w:sz w:val="24"/>
              </w:rPr>
              <w:t>项目批灰工序使用原子灰，根据原子灰MSDS可知，原子灰产生VOC均为苯乙烯，因此</w:t>
            </w:r>
            <w:r>
              <w:rPr>
                <w:rFonts w:hAnsiTheme="minorEastAsia" w:eastAsiaTheme="minorEastAsia"/>
                <w:color w:val="auto"/>
                <w:sz w:val="24"/>
              </w:rPr>
              <w:t>根据企业提供的</w:t>
            </w:r>
            <w:r>
              <w:rPr>
                <w:rFonts w:hint="eastAsia" w:hAnsiTheme="minorEastAsia" w:eastAsiaTheme="minorEastAsia"/>
                <w:color w:val="auto"/>
                <w:sz w:val="24"/>
              </w:rPr>
              <w:t>挥发性有机物的检验报告显示：原子灰</w:t>
            </w:r>
            <w:r>
              <w:rPr>
                <w:rFonts w:hAnsiTheme="minorEastAsia" w:eastAsiaTheme="minorEastAsia"/>
                <w:color w:val="auto"/>
                <w:sz w:val="24"/>
              </w:rPr>
              <w:t>VOC含量</w:t>
            </w:r>
            <w:r>
              <w:rPr>
                <w:rFonts w:hint="eastAsia" w:hAnsiTheme="minorEastAsia" w:eastAsiaTheme="minorEastAsia"/>
                <w:color w:val="auto"/>
                <w:sz w:val="24"/>
              </w:rPr>
              <w:t>为83</w:t>
            </w:r>
            <w:r>
              <w:rPr>
                <w:rFonts w:hAnsiTheme="minorEastAsia" w:eastAsiaTheme="minorEastAsia"/>
                <w:color w:val="auto"/>
                <w:sz w:val="24"/>
              </w:rPr>
              <w:t>g/</w:t>
            </w:r>
            <w:r>
              <w:rPr>
                <w:rFonts w:hint="eastAsia" w:hAnsiTheme="minorEastAsia" w:eastAsiaTheme="minorEastAsia"/>
                <w:color w:val="auto"/>
                <w:sz w:val="24"/>
              </w:rPr>
              <w:t>L，根据企业提供原子灰MSDS报告中相对密度（水=1）：1.50至1.90，因此83g/L*1000L/m</w:t>
            </w:r>
            <w:r>
              <w:rPr>
                <w:rFonts w:hint="eastAsia" w:hAnsiTheme="minorEastAsia" w:eastAsiaTheme="minorEastAsia"/>
                <w:color w:val="auto"/>
                <w:sz w:val="24"/>
                <w:vertAlign w:val="superscript"/>
              </w:rPr>
              <w:t>3</w:t>
            </w:r>
            <w:r>
              <w:rPr>
                <w:rFonts w:hint="eastAsia" w:hAnsiTheme="minorEastAsia" w:eastAsiaTheme="minorEastAsia"/>
                <w:color w:val="auto"/>
                <w:sz w:val="24"/>
              </w:rPr>
              <w:t>=83000g/m</w:t>
            </w:r>
            <w:r>
              <w:rPr>
                <w:rFonts w:hint="eastAsia" w:hAnsiTheme="minorEastAsia" w:eastAsiaTheme="minorEastAsia"/>
                <w:color w:val="auto"/>
                <w:sz w:val="24"/>
                <w:vertAlign w:val="superscript"/>
              </w:rPr>
              <w:t>3</w:t>
            </w:r>
            <w:r>
              <w:rPr>
                <w:rFonts w:hint="eastAsia" w:hAnsiTheme="minorEastAsia" w:eastAsiaTheme="minorEastAsia"/>
                <w:color w:val="auto"/>
                <w:sz w:val="24"/>
              </w:rPr>
              <w:t>，根据公式：</w:t>
            </w:r>
            <w:r>
              <w:rPr>
                <w:color w:val="auto"/>
              </w:rPr>
              <w:drawing>
                <wp:inline distT="0" distB="0" distL="114300" distR="114300">
                  <wp:extent cx="3016885" cy="302260"/>
                  <wp:effectExtent l="0" t="0" r="12065" b="25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5"/>
                          <a:srcRect l="997" t="11012" r="997" b="12164"/>
                          <a:stretch>
                            <a:fillRect/>
                          </a:stretch>
                        </pic:blipFill>
                        <pic:spPr>
                          <a:xfrm>
                            <a:off x="0" y="0"/>
                            <a:ext cx="3016885" cy="302260"/>
                          </a:xfrm>
                          <a:prstGeom prst="rect">
                            <a:avLst/>
                          </a:prstGeom>
                          <a:noFill/>
                          <a:ln>
                            <a:noFill/>
                          </a:ln>
                        </pic:spPr>
                      </pic:pic>
                    </a:graphicData>
                  </a:graphic>
                </wp:inline>
              </w:drawing>
            </w:r>
            <w:r>
              <w:rPr>
                <w:rFonts w:hint="eastAsia" w:hAnsiTheme="minorEastAsia" w:eastAsiaTheme="minorEastAsia"/>
                <w:bCs/>
                <w:color w:val="auto"/>
                <w:sz w:val="24"/>
              </w:rPr>
              <w:t>，应用相对密度的范围1.50至1.90可得VOC含量在124.5g/kg至157.7g/kg之间，此处从严取高值，即原子灰VOC含量为157.7g/kg，企业使用原子灰1200kg/a，则苯乙烯产生量为0.18924t/a，</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干式过滤器+二级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DA003</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int="eastAsia" w:hAnsiTheme="minorEastAsia" w:eastAsiaTheme="minorEastAsia"/>
                <w:bCs/>
                <w:color w:val="auto"/>
                <w:sz w:val="24"/>
              </w:rPr>
              <w:t>苯乙烯产生</w:t>
            </w:r>
            <w:r>
              <w:rPr>
                <w:rFonts w:hAnsiTheme="minorEastAsia" w:eastAsiaTheme="minorEastAsia"/>
                <w:bCs/>
                <w:color w:val="auto"/>
                <w:sz w:val="24"/>
              </w:rPr>
              <w:t>量为</w:t>
            </w:r>
            <w:r>
              <w:rPr>
                <w:rFonts w:hint="eastAsia" w:eastAsiaTheme="minorEastAsia"/>
                <w:bCs/>
                <w:color w:val="auto"/>
                <w:sz w:val="24"/>
              </w:rPr>
              <w:t>0.1514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421</w:t>
            </w:r>
            <w:r>
              <w:rPr>
                <w:rFonts w:eastAsiaTheme="minorEastAsia"/>
                <w:bCs/>
                <w:color w:val="auto"/>
                <w:sz w:val="24"/>
              </w:rPr>
              <w:t>kg/h</w:t>
            </w:r>
            <w:r>
              <w:rPr>
                <w:rFonts w:hint="eastAsia" w:eastAsiaTheme="minorEastAsia"/>
                <w:bCs/>
                <w:color w:val="auto"/>
                <w:sz w:val="24"/>
              </w:rPr>
              <w:t>、8.41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bCs/>
                <w:color w:val="auto"/>
                <w:sz w:val="24"/>
              </w:rPr>
              <w:t>苯乙烯排放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0151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042</w:t>
            </w:r>
            <w:r>
              <w:rPr>
                <w:rFonts w:eastAsiaTheme="minorEastAsia"/>
                <w:bCs/>
                <w:color w:val="auto"/>
                <w:sz w:val="24"/>
              </w:rPr>
              <w:t>kg/h</w:t>
            </w:r>
            <w:r>
              <w:rPr>
                <w:rFonts w:hint="eastAsia" w:eastAsiaTheme="minorEastAsia"/>
                <w:bCs/>
                <w:color w:val="auto"/>
                <w:sz w:val="24"/>
              </w:rPr>
              <w:t>、0.84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int="eastAsia" w:hAnsiTheme="minorEastAsia" w:eastAsiaTheme="minorEastAsia"/>
                <w:bCs/>
                <w:color w:val="auto"/>
                <w:sz w:val="24"/>
              </w:rPr>
              <w:t>苯乙烯</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379</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105</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954C182">
            <w:pPr>
              <w:adjustRightInd w:val="0"/>
              <w:snapToGrid w:val="0"/>
              <w:spacing w:line="360" w:lineRule="auto"/>
              <w:ind w:firstLine="482" w:firstLineChars="200"/>
              <w:rPr>
                <w:color w:val="auto"/>
                <w:kern w:val="0"/>
                <w:sz w:val="24"/>
              </w:rPr>
            </w:pPr>
            <w:r>
              <w:rPr>
                <w:rFonts w:hint="eastAsia"/>
                <w:b/>
                <w:bCs/>
                <w:color w:val="auto"/>
                <w:sz w:val="24"/>
                <w:lang w:eastAsia="zh-CN"/>
              </w:rPr>
              <w:t>8.</w:t>
            </w:r>
            <w:r>
              <w:rPr>
                <w:rFonts w:hint="eastAsia"/>
                <w:b/>
                <w:bCs/>
                <w:color w:val="auto"/>
                <w:sz w:val="24"/>
              </w:rPr>
              <w:t>调漆、喷漆、晾干/烘干废气：</w:t>
            </w:r>
            <w:r>
              <w:rPr>
                <w:rFonts w:hint="eastAsia"/>
                <w:color w:val="auto"/>
                <w:sz w:val="24"/>
              </w:rPr>
              <w:t>建设项目对预处理后的木板材进行喷涂</w:t>
            </w:r>
            <w:r>
              <w:rPr>
                <w:rFonts w:hint="eastAsia"/>
                <w:color w:val="auto"/>
                <w:sz w:val="24"/>
                <w:lang w:eastAsia="zh-CN"/>
              </w:rPr>
              <w:t>，根</w:t>
            </w:r>
            <w:r>
              <w:rPr>
                <w:rFonts w:hint="eastAsia"/>
                <w:color w:val="auto"/>
                <w:kern w:val="0"/>
                <w:sz w:val="24"/>
              </w:rPr>
              <w:t>据企业已提供所使用水性漆和油性漆的MSDS及检测报告，其中物质组分明确，因此本项目采用物料衡算法核算。本项目拟设置1个调漆房、6个喷漆房、6个晾干房，喷漆房的调漆、喷漆、晾干/烘干工序产生的废气均通过密闭负压收集，调漆房、喷漆房、晾干房共用一套废气治理设施。</w:t>
            </w:r>
          </w:p>
          <w:p w14:paraId="2D195564">
            <w:pPr>
              <w:adjustRightInd w:val="0"/>
              <w:snapToGrid w:val="0"/>
              <w:spacing w:line="360" w:lineRule="auto"/>
              <w:ind w:firstLine="480" w:firstLineChars="200"/>
              <w:rPr>
                <w:rFonts w:hint="eastAsia" w:hAnsiTheme="minorEastAsia" w:eastAsiaTheme="minorEastAsia"/>
                <w:bCs/>
                <w:color w:val="auto"/>
                <w:sz w:val="24"/>
              </w:rPr>
            </w:pPr>
            <w:r>
              <w:rPr>
                <w:rFonts w:hint="eastAsia"/>
                <w:color w:val="auto"/>
                <w:kern w:val="0"/>
                <w:sz w:val="24"/>
              </w:rPr>
              <w:t>根据本报告第二章工程分析章节第八小节物料平衡部分可得，水性漆挥发性有机物产生量为0.4*</w:t>
            </w:r>
            <w:r>
              <w:rPr>
                <w:rFonts w:hint="eastAsia"/>
                <w:color w:val="auto"/>
                <w:kern w:val="0"/>
                <w:sz w:val="24"/>
                <w:lang w:val="en-US" w:eastAsia="zh-CN"/>
              </w:rPr>
              <w:t>8.6</w:t>
            </w:r>
            <w:r>
              <w:rPr>
                <w:rFonts w:hint="eastAsia"/>
                <w:color w:val="auto"/>
                <w:kern w:val="0"/>
                <w:sz w:val="24"/>
              </w:rPr>
              <w:t>%=0.</w:t>
            </w:r>
            <w:r>
              <w:rPr>
                <w:rFonts w:hint="eastAsia"/>
                <w:color w:val="auto"/>
                <w:kern w:val="0"/>
                <w:sz w:val="24"/>
                <w:lang w:val="en-US" w:eastAsia="zh-CN"/>
              </w:rPr>
              <w:t>0344</w:t>
            </w:r>
            <w:r>
              <w:rPr>
                <w:rFonts w:hint="eastAsia"/>
                <w:color w:val="auto"/>
                <w:kern w:val="0"/>
                <w:sz w:val="24"/>
              </w:rPr>
              <w:t>t/a，水性漆漆雾产生量为0.4*</w:t>
            </w:r>
            <w:r>
              <w:rPr>
                <w:rFonts w:hint="eastAsia"/>
                <w:color w:val="auto"/>
                <w:kern w:val="0"/>
                <w:sz w:val="24"/>
                <w:lang w:val="en-US" w:eastAsia="zh-CN"/>
              </w:rPr>
              <w:t>81.4</w:t>
            </w:r>
            <w:r>
              <w:rPr>
                <w:rFonts w:hint="eastAsia"/>
                <w:color w:val="auto"/>
                <w:kern w:val="0"/>
                <w:sz w:val="24"/>
              </w:rPr>
              <w:t>%*35%=0.</w:t>
            </w:r>
            <w:r>
              <w:rPr>
                <w:rFonts w:hint="eastAsia"/>
                <w:color w:val="auto"/>
                <w:kern w:val="0"/>
                <w:sz w:val="24"/>
                <w:lang w:val="en-US" w:eastAsia="zh-CN"/>
              </w:rPr>
              <w:t>114</w:t>
            </w:r>
            <w:r>
              <w:rPr>
                <w:rFonts w:hint="eastAsia"/>
                <w:color w:val="auto"/>
                <w:kern w:val="0"/>
                <w:sz w:val="24"/>
              </w:rPr>
              <w:t>t/a，水性漆废漆渣产生量为0.4*</w:t>
            </w:r>
            <w:r>
              <w:rPr>
                <w:rFonts w:hint="eastAsia"/>
                <w:color w:val="auto"/>
                <w:kern w:val="0"/>
                <w:sz w:val="24"/>
                <w:lang w:val="en-US" w:eastAsia="zh-CN"/>
              </w:rPr>
              <w:t>81.4</w:t>
            </w:r>
            <w:r>
              <w:rPr>
                <w:rFonts w:hint="eastAsia"/>
                <w:color w:val="auto"/>
                <w:kern w:val="0"/>
                <w:sz w:val="24"/>
              </w:rPr>
              <w:t>%*10%=0.0</w:t>
            </w:r>
            <w:r>
              <w:rPr>
                <w:rFonts w:hint="eastAsia"/>
                <w:color w:val="auto"/>
                <w:kern w:val="0"/>
                <w:sz w:val="24"/>
                <w:lang w:val="en-US" w:eastAsia="zh-CN"/>
              </w:rPr>
              <w:t>325</w:t>
            </w:r>
            <w:r>
              <w:rPr>
                <w:rFonts w:hint="eastAsia"/>
                <w:color w:val="auto"/>
                <w:kern w:val="0"/>
                <w:sz w:val="24"/>
              </w:rPr>
              <w:t>t/a，油性漆挥发性有机物产生量为3.2*</w:t>
            </w:r>
            <w:r>
              <w:rPr>
                <w:rFonts w:hint="eastAsia"/>
                <w:color w:val="auto"/>
                <w:kern w:val="0"/>
                <w:sz w:val="24"/>
                <w:lang w:val="en-US" w:eastAsia="zh-CN"/>
              </w:rPr>
              <w:t>45.5</w:t>
            </w:r>
            <w:r>
              <w:rPr>
                <w:rFonts w:hint="eastAsia"/>
                <w:color w:val="auto"/>
                <w:kern w:val="0"/>
                <w:sz w:val="24"/>
              </w:rPr>
              <w:t>%=</w:t>
            </w:r>
            <w:r>
              <w:rPr>
                <w:rFonts w:hint="eastAsia"/>
                <w:color w:val="auto"/>
                <w:kern w:val="0"/>
                <w:sz w:val="24"/>
                <w:lang w:val="en-US" w:eastAsia="zh-CN"/>
              </w:rPr>
              <w:t>1.456</w:t>
            </w:r>
            <w:r>
              <w:rPr>
                <w:rFonts w:hint="eastAsia"/>
                <w:color w:val="auto"/>
                <w:kern w:val="0"/>
                <w:sz w:val="24"/>
              </w:rPr>
              <w:t>t/a，油性漆漆雾产生量为3.2*</w:t>
            </w:r>
            <w:r>
              <w:rPr>
                <w:rFonts w:hint="eastAsia"/>
                <w:color w:val="auto"/>
                <w:kern w:val="0"/>
                <w:sz w:val="24"/>
                <w:lang w:val="en-US" w:eastAsia="zh-CN"/>
              </w:rPr>
              <w:t>54.5</w:t>
            </w:r>
            <w:r>
              <w:rPr>
                <w:rFonts w:hint="eastAsia"/>
                <w:color w:val="auto"/>
                <w:kern w:val="0"/>
                <w:sz w:val="24"/>
              </w:rPr>
              <w:t>%*35%=0.</w:t>
            </w:r>
            <w:r>
              <w:rPr>
                <w:rFonts w:hint="eastAsia"/>
                <w:color w:val="auto"/>
                <w:kern w:val="0"/>
                <w:sz w:val="24"/>
                <w:lang w:val="en-US" w:eastAsia="zh-CN"/>
              </w:rPr>
              <w:t>6104</w:t>
            </w:r>
            <w:r>
              <w:rPr>
                <w:rFonts w:hint="eastAsia"/>
                <w:color w:val="auto"/>
                <w:kern w:val="0"/>
                <w:sz w:val="24"/>
              </w:rPr>
              <w:t>t/a，油性漆废漆渣产生量为3.2*</w:t>
            </w:r>
            <w:r>
              <w:rPr>
                <w:rFonts w:hint="eastAsia"/>
                <w:color w:val="auto"/>
                <w:kern w:val="0"/>
                <w:sz w:val="24"/>
                <w:lang w:val="en-US" w:eastAsia="zh-CN"/>
              </w:rPr>
              <w:t>54.5</w:t>
            </w:r>
            <w:r>
              <w:rPr>
                <w:rFonts w:hint="eastAsia"/>
                <w:color w:val="auto"/>
                <w:kern w:val="0"/>
                <w:sz w:val="24"/>
              </w:rPr>
              <w:t>%*15%=0.</w:t>
            </w:r>
            <w:r>
              <w:rPr>
                <w:rFonts w:hint="eastAsia"/>
                <w:color w:val="auto"/>
                <w:kern w:val="0"/>
                <w:sz w:val="24"/>
                <w:lang w:val="en-US" w:eastAsia="zh-CN"/>
              </w:rPr>
              <w:t>2616</w:t>
            </w:r>
            <w:r>
              <w:rPr>
                <w:rFonts w:hint="eastAsia"/>
                <w:color w:val="auto"/>
                <w:kern w:val="0"/>
                <w:sz w:val="24"/>
              </w:rPr>
              <w:t>t/a，此工序采用密闭负压收集+</w:t>
            </w:r>
            <w:r>
              <w:rPr>
                <w:rFonts w:hint="eastAsia"/>
                <w:color w:val="auto"/>
                <w:sz w:val="24"/>
              </w:rPr>
              <w:t>干式过滤器+二级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DA003</w:t>
            </w:r>
            <w:r>
              <w:rPr>
                <w:rFonts w:hAnsiTheme="minorEastAsia" w:eastAsiaTheme="minorEastAsia"/>
                <w:bCs/>
                <w:color w:val="auto"/>
                <w:sz w:val="24"/>
              </w:rPr>
              <w:t>）排放，收集效率以</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10000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1.4159</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3933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39.33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1416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393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3.93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745</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207</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6882</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1912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19.12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0.0</w:t>
            </w:r>
            <w:r>
              <w:rPr>
                <w:rFonts w:hint="eastAsia"/>
                <w:color w:val="auto"/>
                <w:kern w:val="0"/>
                <w:sz w:val="24"/>
                <w:lang w:val="en-US" w:eastAsia="zh-CN"/>
              </w:rPr>
              <w:t>688</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191</w:t>
            </w:r>
            <w:r>
              <w:rPr>
                <w:color w:val="auto"/>
                <w:kern w:val="0"/>
                <w:sz w:val="24"/>
              </w:rPr>
              <w:t>kg/h</w:t>
            </w:r>
            <w:r>
              <w:rPr>
                <w:rFonts w:hint="eastAsia"/>
                <w:color w:val="auto"/>
                <w:kern w:val="0"/>
                <w:sz w:val="24"/>
              </w:rPr>
              <w:t>、</w:t>
            </w:r>
            <w:r>
              <w:rPr>
                <w:rFonts w:hint="eastAsia"/>
                <w:color w:val="auto"/>
                <w:kern w:val="0"/>
                <w:sz w:val="24"/>
                <w:lang w:val="en-US" w:eastAsia="zh-CN"/>
              </w:rPr>
              <w:t>1.91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362</w:t>
            </w:r>
            <w:r>
              <w:rPr>
                <w:rFonts w:eastAsiaTheme="minorEastAsia"/>
                <w:bCs/>
                <w:color w:val="auto"/>
                <w:sz w:val="24"/>
              </w:rPr>
              <w:t>t/a</w:t>
            </w:r>
            <w:r>
              <w:rPr>
                <w:rFonts w:hint="eastAsia" w:eastAsiaTheme="minorEastAsia"/>
                <w:bCs/>
                <w:color w:val="auto"/>
                <w:sz w:val="24"/>
              </w:rPr>
              <w:t>（0.01</w:t>
            </w:r>
            <w:r>
              <w:rPr>
                <w:rFonts w:hint="eastAsia" w:eastAsiaTheme="minorEastAsia"/>
                <w:bCs/>
                <w:color w:val="auto"/>
                <w:sz w:val="24"/>
                <w:lang w:val="en-US" w:eastAsia="zh-CN"/>
              </w:rPr>
              <w:t>0</w:t>
            </w:r>
            <w:r>
              <w:rPr>
                <w:rFonts w:hint="eastAsia" w:eastAsiaTheme="minorEastAsia"/>
                <w:bCs/>
                <w:color w:val="auto"/>
                <w:sz w:val="24"/>
              </w:rPr>
              <w:t>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A090A40">
            <w:pPr>
              <w:adjustRightInd w:val="0"/>
              <w:snapToGrid w:val="0"/>
              <w:spacing w:line="360" w:lineRule="auto"/>
              <w:ind w:firstLine="480" w:firstLineChars="200"/>
              <w:rPr>
                <w:rFonts w:hint="eastAsia" w:hAnsiTheme="minorEastAsia" w:eastAsiaTheme="minorEastAsia"/>
                <w:bCs/>
                <w:color w:val="auto"/>
                <w:sz w:val="24"/>
              </w:rPr>
            </w:pPr>
            <w:r>
              <w:rPr>
                <w:rFonts w:hint="eastAsia" w:hAnsiTheme="minorEastAsia" w:eastAsiaTheme="minorEastAsia"/>
                <w:bCs/>
                <w:color w:val="auto"/>
                <w:sz w:val="24"/>
              </w:rPr>
              <w:t>根据稀释剂MSDS可知，稀释剂内含15%二甲苯，因此需对二甲苯单独进行分析，稀释剂使用量为0.4t/a，则二甲苯含量为0.4*15%=0.06t/a，则有组织二甲苯产生量为</w:t>
            </w:r>
            <w:r>
              <w:rPr>
                <w:rFonts w:hint="eastAsia" w:eastAsiaTheme="minorEastAsia"/>
                <w:bCs/>
                <w:color w:val="auto"/>
                <w:sz w:val="24"/>
              </w:rPr>
              <w:t>0.057</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0158</w:t>
            </w:r>
            <w:r>
              <w:rPr>
                <w:rFonts w:eastAsiaTheme="minorEastAsia"/>
                <w:bCs/>
                <w:color w:val="auto"/>
                <w:sz w:val="24"/>
              </w:rPr>
              <w:t>kg/h</w:t>
            </w:r>
            <w:r>
              <w:rPr>
                <w:rFonts w:hint="eastAsia" w:eastAsiaTheme="minorEastAsia"/>
                <w:bCs/>
                <w:color w:val="auto"/>
                <w:sz w:val="24"/>
              </w:rPr>
              <w:t>、0.79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bCs/>
                <w:color w:val="auto"/>
                <w:sz w:val="24"/>
              </w:rPr>
              <w:t>二甲苯排放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0057</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016</w:t>
            </w:r>
            <w:r>
              <w:rPr>
                <w:rFonts w:eastAsiaTheme="minorEastAsia"/>
                <w:bCs/>
                <w:color w:val="auto"/>
                <w:sz w:val="24"/>
              </w:rPr>
              <w:t>kg/h</w:t>
            </w:r>
            <w:r>
              <w:rPr>
                <w:rFonts w:hint="eastAsia" w:eastAsiaTheme="minorEastAsia"/>
                <w:bCs/>
                <w:color w:val="auto"/>
                <w:sz w:val="24"/>
              </w:rPr>
              <w:t>、0.08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int="eastAsia" w:hAnsiTheme="minorEastAsia" w:eastAsiaTheme="minorEastAsia"/>
                <w:bCs/>
                <w:color w:val="auto"/>
                <w:sz w:val="24"/>
              </w:rPr>
              <w:t>二甲苯</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03</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008</w:t>
            </w:r>
            <w:r>
              <w:rPr>
                <w:rFonts w:eastAsiaTheme="minorEastAsia"/>
                <w:bCs/>
                <w:color w:val="auto"/>
                <w:sz w:val="24"/>
              </w:rPr>
              <w:t>kg/h</w:t>
            </w:r>
            <w:r>
              <w:rPr>
                <w:rFonts w:hint="eastAsia" w:eastAsiaTheme="minorEastAsia"/>
                <w:bCs/>
                <w:color w:val="auto"/>
                <w:sz w:val="24"/>
              </w:rPr>
              <w:t>）</w:t>
            </w:r>
          </w:p>
          <w:p w14:paraId="3FA74658">
            <w:pPr>
              <w:adjustRightInd w:val="0"/>
              <w:snapToGrid w:val="0"/>
              <w:spacing w:line="360" w:lineRule="auto"/>
              <w:ind w:firstLine="482" w:firstLineChars="200"/>
              <w:rPr>
                <w:b/>
                <w:bCs/>
                <w:color w:val="auto"/>
                <w:sz w:val="24"/>
              </w:rPr>
            </w:pPr>
            <w:r>
              <w:rPr>
                <w:rFonts w:hint="eastAsia"/>
                <w:b/>
                <w:bCs/>
                <w:color w:val="auto"/>
                <w:sz w:val="24"/>
              </w:rPr>
              <w:t>二、大理石组件生产工艺</w:t>
            </w:r>
          </w:p>
          <w:p w14:paraId="19F675DA">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rPr>
              <w:t>9、下料粉尘：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下料</w:t>
            </w:r>
            <w:r>
              <w:rPr>
                <w:rFonts w:hAnsiTheme="minorEastAsia" w:eastAsiaTheme="minorEastAsia"/>
                <w:color w:val="auto"/>
                <w:sz w:val="24"/>
              </w:rPr>
              <w:t>工序会产生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bCs/>
                <w:color w:val="auto"/>
                <w:sz w:val="24"/>
              </w:rPr>
              <w:t>本项目属于2439</w:t>
            </w:r>
            <w:r>
              <w:rPr>
                <w:rFonts w:hAnsiTheme="minorEastAsia" w:eastAsiaTheme="minorEastAsia"/>
                <w:bCs/>
                <w:color w:val="auto"/>
                <w:sz w:val="24"/>
              </w:rPr>
              <w:t>其他工艺美术及礼仪用品</w:t>
            </w:r>
            <w:r>
              <w:rPr>
                <w:rFonts w:hint="eastAsia" w:hAnsiTheme="minorEastAsia" w:eastAsiaTheme="minorEastAsia"/>
                <w:bCs/>
                <w:color w:val="auto"/>
                <w:sz w:val="24"/>
              </w:rPr>
              <w:t>制造，根据大理石组件生产工艺，下料工序以大理石为原料进行下料，废气指标参考</w:t>
            </w:r>
            <w:r>
              <w:rPr>
                <w:rFonts w:hAnsiTheme="minorEastAsia" w:eastAsiaTheme="minorEastAsia"/>
                <w:bCs/>
                <w:color w:val="auto"/>
                <w:sz w:val="24"/>
              </w:rPr>
              <w:t>《排放源统计调查产排污核算方法和系数手册》（公告2021年第24号公告）中</w:t>
            </w:r>
            <w:r>
              <w:rPr>
                <w:rFonts w:hint="eastAsia" w:hAnsiTheme="minorEastAsia" w:eastAsiaTheme="minorEastAsia"/>
                <w:bCs/>
                <w:color w:val="auto"/>
                <w:sz w:val="24"/>
              </w:rPr>
              <w:t>303 砖瓦、石材等建筑材料制造行业系数手册中，</w:t>
            </w:r>
            <w:r>
              <w:rPr>
                <w:rFonts w:hint="eastAsia" w:hAnsiTheme="minorEastAsia" w:eastAsiaTheme="minorEastAsia"/>
                <w:bCs/>
                <w:color w:val="auto"/>
                <w:sz w:val="24"/>
                <w:lang w:eastAsia="zh-CN"/>
              </w:rPr>
              <w:t>异形</w:t>
            </w:r>
            <w:r>
              <w:rPr>
                <w:rFonts w:hint="eastAsia" w:hAnsiTheme="minorEastAsia" w:eastAsiaTheme="minorEastAsia"/>
                <w:bCs/>
                <w:color w:val="auto"/>
                <w:sz w:val="24"/>
              </w:rPr>
              <w:t>石材产品（含墓碑石）-据解、磨抛、裁切-＜2000立方米/年</w:t>
            </w:r>
            <w:r>
              <w:rPr>
                <w:color w:val="auto"/>
                <w:kern w:val="0"/>
                <w:sz w:val="24"/>
              </w:rPr>
              <w:t>产污系数为</w:t>
            </w:r>
            <w:r>
              <w:rPr>
                <w:rFonts w:hint="eastAsia"/>
                <w:color w:val="auto"/>
                <w:kern w:val="0"/>
                <w:sz w:val="24"/>
              </w:rPr>
              <w:t>2.64千克/立方米</w:t>
            </w:r>
            <w:r>
              <w:rPr>
                <w:color w:val="auto"/>
                <w:kern w:val="0"/>
                <w:sz w:val="24"/>
              </w:rPr>
              <w:t>-产品</w:t>
            </w:r>
            <w:r>
              <w:rPr>
                <w:rFonts w:hint="eastAsia" w:hAnsiTheme="minorEastAsia" w:eastAsiaTheme="minorEastAsia"/>
                <w:color w:val="auto"/>
                <w:sz w:val="24"/>
              </w:rPr>
              <w:t>，由于企业大理石台面根据客户要求不同而造型不同，无法量化台面体积，因此按照大理石原材料体积计算颗粒物，</w:t>
            </w:r>
            <w:r>
              <w:rPr>
                <w:color w:val="auto"/>
                <w:kern w:val="0"/>
                <w:sz w:val="24"/>
              </w:rPr>
              <w:t>根据企业提供资料</w:t>
            </w:r>
            <w:r>
              <w:rPr>
                <w:color w:val="auto"/>
                <w:sz w:val="24"/>
              </w:rPr>
              <w:t>，</w:t>
            </w:r>
            <w:r>
              <w:rPr>
                <w:rFonts w:hint="eastAsia"/>
                <w:bCs/>
                <w:color w:val="auto"/>
                <w:sz w:val="24"/>
              </w:rPr>
              <w:t>企业年购买使用大理石约43.2m</w:t>
            </w:r>
            <w:r>
              <w:rPr>
                <w:rFonts w:hint="eastAsia"/>
                <w:bCs/>
                <w:color w:val="auto"/>
                <w:sz w:val="24"/>
                <w:vertAlign w:val="superscript"/>
              </w:rPr>
              <w:t>3</w:t>
            </w:r>
            <w:r>
              <w:rPr>
                <w:rFonts w:hint="eastAsia"/>
                <w:bCs/>
                <w:color w:val="auto"/>
                <w:sz w:val="24"/>
              </w:rPr>
              <w:t>，</w:t>
            </w:r>
            <w:r>
              <w:rPr>
                <w:rFonts w:hint="eastAsia" w:hAnsiTheme="minorEastAsia" w:eastAsiaTheme="minorEastAsia"/>
                <w:color w:val="auto"/>
                <w:sz w:val="24"/>
              </w:rPr>
              <w:t>则颗粒物产生量为2.64*43.2/1000=</w:t>
            </w:r>
            <w:r>
              <w:rPr>
                <w:rFonts w:hAnsiTheme="minorEastAsia" w:eastAsiaTheme="minorEastAsia"/>
                <w:color w:val="auto"/>
                <w:sz w:val="24"/>
              </w:rPr>
              <w:t>0.</w:t>
            </w:r>
            <w:r>
              <w:rPr>
                <w:rFonts w:hint="eastAsia" w:hAnsiTheme="minorEastAsia" w:eastAsiaTheme="minorEastAsia"/>
                <w:color w:val="auto"/>
                <w:sz w:val="24"/>
              </w:rPr>
              <w:t>1141</w:t>
            </w:r>
            <w:r>
              <w:rPr>
                <w:rFonts w:eastAsiaTheme="minorEastAsia"/>
                <w:color w:val="auto"/>
                <w:sz w:val="24"/>
              </w:rPr>
              <w:t>t/a</w:t>
            </w:r>
            <w:r>
              <w:rPr>
                <w:rFonts w:hint="eastAsia" w:eastAsiaTheme="minorEastAsia"/>
                <w:color w:val="auto"/>
                <w:sz w:val="24"/>
              </w:rPr>
              <w:t>。由于大理石下料与木制组件下料区域一致，因此此工序</w:t>
            </w:r>
            <w:r>
              <w:rPr>
                <w:rFonts w:hAnsiTheme="minorEastAsia" w:eastAsiaTheme="minorEastAsia"/>
                <w:color w:val="auto"/>
                <w:sz w:val="24"/>
              </w:rPr>
              <w:t>项目</w:t>
            </w:r>
            <w:r>
              <w:rPr>
                <w:rFonts w:hint="eastAsia" w:hAnsiTheme="minorEastAsia" w:eastAsiaTheme="minorEastAsia"/>
                <w:color w:val="auto"/>
                <w:sz w:val="24"/>
              </w:rPr>
              <w:t>拟</w:t>
            </w:r>
            <w:r>
              <w:rPr>
                <w:rFonts w:hAnsiTheme="minorEastAsia" w:eastAsiaTheme="minorEastAsia"/>
                <w:bCs/>
                <w:color w:val="auto"/>
                <w:sz w:val="24"/>
              </w:rPr>
              <w:t>采用</w:t>
            </w:r>
            <w:r>
              <w:rPr>
                <w:rFonts w:hint="eastAsia"/>
                <w:bCs/>
                <w:color w:val="auto"/>
                <w:sz w:val="24"/>
              </w:rPr>
              <w:t>集气罩收集+布袋除尘处理+15m高排气筒（DA001）排放，收集效率以80%计，处理效率按95%计，</w:t>
            </w:r>
            <w:r>
              <w:rPr>
                <w:rFonts w:hAnsiTheme="minorEastAsia" w:eastAsiaTheme="minorEastAsia"/>
                <w:bCs/>
                <w:color w:val="auto"/>
                <w:sz w:val="24"/>
              </w:rPr>
              <w:t>设计风量为</w:t>
            </w:r>
            <w:r>
              <w:rPr>
                <w:rFonts w:hint="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0.0912</w:t>
            </w:r>
            <w:r>
              <w:rPr>
                <w:rFonts w:eastAsiaTheme="minorEastAsia"/>
                <w:bCs/>
                <w:color w:val="auto"/>
                <w:sz w:val="24"/>
              </w:rPr>
              <w:t>t/a</w:t>
            </w:r>
            <w:r>
              <w:rPr>
                <w:rFonts w:hint="eastAsia" w:eastAsiaTheme="minorEastAsia"/>
                <w:bCs/>
                <w:color w:val="auto"/>
                <w:sz w:val="24"/>
              </w:rPr>
              <w:t>（0.0253</w:t>
            </w:r>
            <w:r>
              <w:rPr>
                <w:rFonts w:eastAsiaTheme="minorEastAsia"/>
                <w:bCs/>
                <w:color w:val="auto"/>
                <w:sz w:val="24"/>
              </w:rPr>
              <w:t>kg/h</w:t>
            </w:r>
            <w:r>
              <w:rPr>
                <w:rFonts w:hint="eastAsia" w:eastAsiaTheme="minorEastAsia"/>
                <w:bCs/>
                <w:color w:val="auto"/>
                <w:sz w:val="24"/>
              </w:rPr>
              <w:t>，12.67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0.0</w:t>
            </w:r>
            <w:r>
              <w:rPr>
                <w:rFonts w:hint="eastAsia"/>
                <w:color w:val="auto"/>
                <w:kern w:val="0"/>
                <w:sz w:val="24"/>
              </w:rPr>
              <w:t>046</w:t>
            </w:r>
            <w:r>
              <w:rPr>
                <w:color w:val="auto"/>
                <w:kern w:val="0"/>
                <w:sz w:val="24"/>
              </w:rPr>
              <w:t>t/a</w:t>
            </w:r>
            <w:r>
              <w:rPr>
                <w:rFonts w:hint="eastAsia"/>
                <w:color w:val="auto"/>
                <w:kern w:val="0"/>
                <w:sz w:val="24"/>
              </w:rPr>
              <w:t>（</w:t>
            </w:r>
            <w:r>
              <w:rPr>
                <w:color w:val="auto"/>
                <w:kern w:val="0"/>
                <w:sz w:val="24"/>
              </w:rPr>
              <w:t>0.00</w:t>
            </w:r>
            <w:r>
              <w:rPr>
                <w:rFonts w:hint="eastAsia"/>
                <w:color w:val="auto"/>
                <w:kern w:val="0"/>
                <w:sz w:val="24"/>
              </w:rPr>
              <w:t>13</w:t>
            </w:r>
            <w:r>
              <w:rPr>
                <w:color w:val="auto"/>
                <w:kern w:val="0"/>
                <w:sz w:val="24"/>
              </w:rPr>
              <w:t>kg/h</w:t>
            </w:r>
            <w:r>
              <w:rPr>
                <w:rFonts w:hint="eastAsia"/>
                <w:color w:val="auto"/>
                <w:kern w:val="0"/>
                <w:sz w:val="24"/>
              </w:rPr>
              <w:t>、0.63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0.0228</w:t>
            </w:r>
            <w:r>
              <w:rPr>
                <w:rFonts w:eastAsiaTheme="minorEastAsia"/>
                <w:bCs/>
                <w:color w:val="auto"/>
                <w:sz w:val="24"/>
              </w:rPr>
              <w:t>t/a</w:t>
            </w:r>
            <w:r>
              <w:rPr>
                <w:rFonts w:hint="eastAsia" w:eastAsiaTheme="minorEastAsia"/>
                <w:bCs/>
                <w:color w:val="auto"/>
                <w:sz w:val="24"/>
              </w:rPr>
              <w:t>（0.0063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950C478">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10.</w:t>
            </w:r>
            <w:r>
              <w:rPr>
                <w:rFonts w:hint="eastAsia"/>
                <w:b/>
                <w:bCs/>
                <w:color w:val="auto"/>
                <w:sz w:val="24"/>
              </w:rPr>
              <w:t>粘接废气：</w:t>
            </w:r>
            <w:r>
              <w:rPr>
                <w:rFonts w:hint="eastAsia" w:hAnsiTheme="minorEastAsia" w:eastAsiaTheme="minorEastAsia"/>
                <w:color w:val="auto"/>
                <w:sz w:val="24"/>
              </w:rPr>
              <w:t>建设</w:t>
            </w:r>
            <w:r>
              <w:rPr>
                <w:rFonts w:hint="eastAsia" w:hAnsiTheme="minorEastAsia" w:eastAsiaTheme="minorEastAsia"/>
                <w:bCs/>
                <w:color w:val="auto"/>
                <w:sz w:val="24"/>
              </w:rPr>
              <w:t>项目粘接工序使用石材胶粘剂（大理石胶）。</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挥发性有机物的检测报告显示：石材胶粘剂</w:t>
            </w:r>
            <w:r>
              <w:rPr>
                <w:rFonts w:hAnsiTheme="minorEastAsia" w:eastAsiaTheme="minorEastAsia"/>
                <w:color w:val="auto"/>
                <w:sz w:val="24"/>
              </w:rPr>
              <w:t>VOC含量</w:t>
            </w:r>
            <w:r>
              <w:rPr>
                <w:rFonts w:hint="eastAsia" w:hAnsiTheme="minorEastAsia" w:eastAsiaTheme="minorEastAsia"/>
                <w:color w:val="auto"/>
                <w:sz w:val="24"/>
              </w:rPr>
              <w:t>未检出（低于2g/L检出限），因此本项目以最不利情况考虑，挥发性有机物含量取2g/L，根据建设单位提供资料，本项目大理石粘接工序胶水使用量为6000支/a，每支胶水量约为50ml，则石材胶粘剂使用量为300L，因此</w:t>
            </w:r>
            <w:r>
              <w:rPr>
                <w:rFonts w:hAnsiTheme="minorEastAsia" w:eastAsiaTheme="minorEastAsia"/>
                <w:color w:val="auto"/>
                <w:sz w:val="24"/>
              </w:rPr>
              <w:t>非甲烷总烃产生量</w:t>
            </w:r>
            <w:r>
              <w:rPr>
                <w:rFonts w:hint="eastAsia" w:hAnsiTheme="minorEastAsia" w:eastAsiaTheme="minorEastAsia"/>
                <w:color w:val="auto"/>
                <w:sz w:val="24"/>
              </w:rPr>
              <w:t>为300*2/1000000=0.0006t</w:t>
            </w:r>
            <w:r>
              <w:rPr>
                <w:rFonts w:hint="eastAsia" w:eastAsiaTheme="minorEastAsia"/>
                <w:color w:val="auto"/>
                <w:sz w:val="24"/>
              </w:rPr>
              <w:t>，</w:t>
            </w:r>
            <w:r>
              <w:rPr>
                <w:rFonts w:hAnsiTheme="minorEastAsia" w:eastAsiaTheme="minorEastAsia"/>
                <w:bCs/>
                <w:color w:val="auto"/>
                <w:sz w:val="24"/>
              </w:rPr>
              <w:t>产生的废气</w:t>
            </w:r>
            <w:r>
              <w:rPr>
                <w:rFonts w:hint="eastAsia" w:hAnsiTheme="minorEastAsia" w:eastAsiaTheme="minorEastAsia"/>
                <w:color w:val="auto"/>
                <w:sz w:val="24"/>
              </w:rPr>
              <w:t>拟</w:t>
            </w:r>
            <w:r>
              <w:rPr>
                <w:rFonts w:hAnsiTheme="minorEastAsia" w:eastAsiaTheme="minorEastAsia"/>
                <w:bCs/>
                <w:color w:val="auto"/>
                <w:sz w:val="24"/>
              </w:rPr>
              <w:t>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DA001</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00048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001</w:t>
            </w:r>
            <w:r>
              <w:rPr>
                <w:rFonts w:eastAsiaTheme="minorEastAsia"/>
                <w:bCs/>
                <w:color w:val="auto"/>
                <w:sz w:val="24"/>
              </w:rPr>
              <w:t>kg/h</w:t>
            </w:r>
            <w:r>
              <w:rPr>
                <w:rFonts w:hint="eastAsia" w:eastAsiaTheme="minorEastAsia"/>
                <w:bCs/>
                <w:color w:val="auto"/>
                <w:sz w:val="24"/>
              </w:rPr>
              <w:t>、0.07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000048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0001</w:t>
            </w:r>
            <w:r>
              <w:rPr>
                <w:rFonts w:eastAsiaTheme="minorEastAsia"/>
                <w:bCs/>
                <w:color w:val="auto"/>
                <w:sz w:val="24"/>
              </w:rPr>
              <w:t>kg/h</w:t>
            </w:r>
            <w:r>
              <w:rPr>
                <w:rFonts w:hint="eastAsia" w:eastAsiaTheme="minorEastAsia"/>
                <w:bCs/>
                <w:color w:val="auto"/>
                <w:sz w:val="24"/>
              </w:rPr>
              <w:t>、0.007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0012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92E76FB">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11.</w:t>
            </w:r>
            <w:r>
              <w:rPr>
                <w:rFonts w:hint="eastAsia"/>
                <w:b/>
                <w:bCs/>
                <w:color w:val="auto"/>
                <w:sz w:val="24"/>
              </w:rPr>
              <w:t>修边、打磨粉尘：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修边、打磨</w:t>
            </w:r>
            <w:r>
              <w:rPr>
                <w:rFonts w:hAnsiTheme="minorEastAsia" w:eastAsiaTheme="minorEastAsia"/>
                <w:color w:val="auto"/>
                <w:sz w:val="24"/>
              </w:rPr>
              <w:t>工序会产生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color w:val="auto"/>
                <w:sz w:val="24"/>
              </w:rPr>
              <w:t>且多道工序均在同一车间工位进行，因此一同进行源强分析，</w:t>
            </w:r>
            <w:r>
              <w:rPr>
                <w:rFonts w:hint="eastAsia" w:hAnsiTheme="minorEastAsia" w:eastAsiaTheme="minorEastAsia"/>
                <w:bCs/>
                <w:color w:val="auto"/>
                <w:sz w:val="24"/>
              </w:rPr>
              <w:t>本项目属于2439</w:t>
            </w:r>
            <w:r>
              <w:rPr>
                <w:rFonts w:hAnsiTheme="minorEastAsia" w:eastAsiaTheme="minorEastAsia"/>
                <w:bCs/>
                <w:color w:val="auto"/>
                <w:sz w:val="24"/>
              </w:rPr>
              <w:t>其他工艺美术及礼仪用品</w:t>
            </w:r>
            <w:r>
              <w:rPr>
                <w:rFonts w:hint="eastAsia" w:hAnsiTheme="minorEastAsia" w:eastAsiaTheme="minorEastAsia"/>
                <w:bCs/>
                <w:color w:val="auto"/>
                <w:sz w:val="24"/>
              </w:rPr>
              <w:t>制造，根据大理石组件生产工艺，下料工序以大理石为原料进行下料，废气指标参考</w:t>
            </w:r>
            <w:r>
              <w:rPr>
                <w:rFonts w:hAnsiTheme="minorEastAsia" w:eastAsiaTheme="minorEastAsia"/>
                <w:bCs/>
                <w:color w:val="auto"/>
                <w:sz w:val="24"/>
              </w:rPr>
              <w:t>《排放源统计调查产排污核算方法和系数手册》（公告2021年第24号公告）中</w:t>
            </w:r>
            <w:r>
              <w:rPr>
                <w:rFonts w:hint="eastAsia" w:hAnsiTheme="minorEastAsia" w:eastAsiaTheme="minorEastAsia"/>
                <w:bCs/>
                <w:color w:val="auto"/>
                <w:sz w:val="24"/>
              </w:rPr>
              <w:t>303 砖瓦、石材等建筑材料制造行业系数手册中，</w:t>
            </w:r>
            <w:r>
              <w:rPr>
                <w:rFonts w:ascii="宋体" w:hAnsi="宋体" w:cs="宋体"/>
                <w:color w:val="auto"/>
                <w:sz w:val="24"/>
              </w:rPr>
              <w:t>建筑板材（毛板、毛光板、规格板）</w:t>
            </w:r>
            <w:r>
              <w:rPr>
                <w:rFonts w:hint="eastAsia" w:hAnsiTheme="minorEastAsia" w:eastAsiaTheme="minorEastAsia"/>
                <w:bCs/>
                <w:color w:val="auto"/>
                <w:sz w:val="24"/>
              </w:rPr>
              <w:t>-荒料（大理石等）-</w:t>
            </w:r>
            <w:r>
              <w:rPr>
                <w:rFonts w:hint="eastAsia" w:hAnsiTheme="minorEastAsia" w:eastAsiaTheme="minorEastAsia"/>
                <w:bCs/>
                <w:color w:val="auto"/>
                <w:sz w:val="24"/>
                <w:lang w:eastAsia="zh-CN"/>
              </w:rPr>
              <w:t>拆解</w:t>
            </w:r>
            <w:r>
              <w:rPr>
                <w:rFonts w:hint="eastAsia" w:hAnsiTheme="minorEastAsia" w:eastAsiaTheme="minorEastAsia"/>
                <w:bCs/>
                <w:color w:val="auto"/>
                <w:sz w:val="24"/>
              </w:rPr>
              <w:t>、涂胶、磨抛、裁切（有涂胶）-＜40万平方米/年</w:t>
            </w:r>
            <w:r>
              <w:rPr>
                <w:color w:val="auto"/>
                <w:kern w:val="0"/>
                <w:sz w:val="24"/>
              </w:rPr>
              <w:t>产污系数为</w:t>
            </w:r>
            <w:r>
              <w:rPr>
                <w:rFonts w:hint="eastAsia"/>
                <w:color w:val="auto"/>
                <w:kern w:val="0"/>
                <w:sz w:val="24"/>
              </w:rPr>
              <w:t>0.037千克/平方米</w:t>
            </w:r>
            <w:r>
              <w:rPr>
                <w:color w:val="auto"/>
                <w:kern w:val="0"/>
                <w:sz w:val="24"/>
              </w:rPr>
              <w:t>-产品</w:t>
            </w:r>
            <w:r>
              <w:rPr>
                <w:rFonts w:hint="eastAsia" w:hAnsiTheme="minorEastAsia" w:eastAsiaTheme="minorEastAsia"/>
                <w:color w:val="auto"/>
                <w:sz w:val="24"/>
              </w:rPr>
              <w:t>，由于企业大理石台面根据客户要求不同而造型不同，无法量化台面体积，因此按照大理石原材料体积计算颗粒物，</w:t>
            </w:r>
            <w:r>
              <w:rPr>
                <w:color w:val="auto"/>
                <w:kern w:val="0"/>
                <w:sz w:val="24"/>
              </w:rPr>
              <w:t>根据企业提供资料</w:t>
            </w:r>
            <w:r>
              <w:rPr>
                <w:color w:val="auto"/>
                <w:sz w:val="24"/>
              </w:rPr>
              <w:t>，</w:t>
            </w:r>
            <w:r>
              <w:rPr>
                <w:rFonts w:hint="eastAsia"/>
                <w:bCs/>
                <w:color w:val="auto"/>
                <w:sz w:val="24"/>
              </w:rPr>
              <w:t>企业年购买使用大理石约43.2m</w:t>
            </w:r>
            <w:r>
              <w:rPr>
                <w:rFonts w:hint="eastAsia"/>
                <w:bCs/>
                <w:color w:val="auto"/>
                <w:sz w:val="24"/>
                <w:vertAlign w:val="superscript"/>
              </w:rPr>
              <w:t>3</w:t>
            </w:r>
            <w:r>
              <w:rPr>
                <w:rFonts w:hint="eastAsia"/>
                <w:bCs/>
                <w:color w:val="auto"/>
                <w:sz w:val="24"/>
              </w:rPr>
              <w:t>，板材平均厚度为15mm即0.015m，</w:t>
            </w:r>
            <w:r>
              <w:rPr>
                <w:rFonts w:hint="eastAsia" w:hAnsiTheme="minorEastAsia" w:eastAsiaTheme="minorEastAsia"/>
                <w:color w:val="auto"/>
                <w:sz w:val="24"/>
              </w:rPr>
              <w:t>则颗粒物产生量为0.037*43.2/0.015/1000=</w:t>
            </w:r>
            <w:r>
              <w:rPr>
                <w:rFonts w:hAnsiTheme="minorEastAsia" w:eastAsiaTheme="minorEastAsia"/>
                <w:color w:val="auto"/>
                <w:sz w:val="24"/>
              </w:rPr>
              <w:t>0.</w:t>
            </w:r>
            <w:r>
              <w:rPr>
                <w:rFonts w:hint="eastAsia" w:hAnsiTheme="minorEastAsia" w:eastAsiaTheme="minorEastAsia"/>
                <w:color w:val="auto"/>
                <w:sz w:val="24"/>
              </w:rPr>
              <w:t>10656</w:t>
            </w:r>
            <w:r>
              <w:rPr>
                <w:rFonts w:eastAsiaTheme="minorEastAsia"/>
                <w:color w:val="auto"/>
                <w:sz w:val="24"/>
              </w:rPr>
              <w:t>t/a</w:t>
            </w:r>
            <w:r>
              <w:rPr>
                <w:rFonts w:hint="eastAsia" w:eastAsiaTheme="minorEastAsia"/>
                <w:color w:val="auto"/>
                <w:sz w:val="24"/>
              </w:rPr>
              <w:t>，因为修边、打磨为两道工序，因此最终产污为0.10656*2=0.21312t/a，此工序</w:t>
            </w:r>
            <w:r>
              <w:rPr>
                <w:rFonts w:hAnsiTheme="minorEastAsia" w:eastAsiaTheme="minorEastAsia"/>
                <w:color w:val="auto"/>
                <w:sz w:val="24"/>
              </w:rPr>
              <w:t>项目</w:t>
            </w:r>
            <w:r>
              <w:rPr>
                <w:rFonts w:hint="eastAsia" w:hAnsiTheme="minorEastAsia" w:eastAsiaTheme="minorEastAsia"/>
                <w:color w:val="auto"/>
                <w:sz w:val="24"/>
              </w:rPr>
              <w:t>拟</w:t>
            </w:r>
            <w:r>
              <w:rPr>
                <w:rFonts w:hAnsiTheme="minorEastAsia" w:eastAsiaTheme="minorEastAsia"/>
                <w:bCs/>
                <w:color w:val="auto"/>
                <w:sz w:val="24"/>
              </w:rPr>
              <w:t>采用</w:t>
            </w:r>
            <w:r>
              <w:rPr>
                <w:rFonts w:hint="eastAsia" w:hAnsiTheme="minorEastAsia" w:eastAsiaTheme="minorEastAsia"/>
                <w:bCs/>
                <w:color w:val="auto"/>
                <w:sz w:val="24"/>
              </w:rPr>
              <w:t>集气罩</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DA002</w:t>
            </w:r>
            <w:r>
              <w:rPr>
                <w:rFonts w:hAnsiTheme="minorEastAsia" w:eastAsiaTheme="minorEastAsia"/>
                <w:bCs/>
                <w:color w:val="auto"/>
                <w:sz w:val="24"/>
              </w:rPr>
              <w:t>）排放</w:t>
            </w:r>
            <w:r>
              <w:rPr>
                <w:rFonts w:hint="eastAsia" w:hAnsiTheme="minorEastAsia" w:eastAsiaTheme="minorEastAsia"/>
                <w:bCs/>
                <w:color w:val="auto"/>
                <w:sz w:val="24"/>
              </w:rPr>
              <w:t>，</w:t>
            </w:r>
            <w:r>
              <w:rPr>
                <w:rFonts w:hAnsiTheme="minorEastAsia" w:eastAsiaTheme="minorEastAsia"/>
                <w:bCs/>
                <w:color w:val="auto"/>
                <w:sz w:val="24"/>
              </w:rPr>
              <w:t>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0.1705</w:t>
            </w:r>
            <w:r>
              <w:rPr>
                <w:rFonts w:eastAsiaTheme="minorEastAsia"/>
                <w:bCs/>
                <w:color w:val="auto"/>
                <w:sz w:val="24"/>
              </w:rPr>
              <w:t>t/a</w:t>
            </w:r>
            <w:r>
              <w:rPr>
                <w:rFonts w:hint="eastAsia" w:eastAsiaTheme="minorEastAsia"/>
                <w:bCs/>
                <w:color w:val="auto"/>
                <w:sz w:val="24"/>
              </w:rPr>
              <w:t>（0.0474</w:t>
            </w:r>
            <w:r>
              <w:rPr>
                <w:rFonts w:eastAsiaTheme="minorEastAsia"/>
                <w:bCs/>
                <w:color w:val="auto"/>
                <w:sz w:val="24"/>
              </w:rPr>
              <w:t>kg/h</w:t>
            </w:r>
            <w:r>
              <w:rPr>
                <w:rFonts w:hint="eastAsia" w:eastAsiaTheme="minorEastAsia"/>
                <w:bCs/>
                <w:color w:val="auto"/>
                <w:sz w:val="24"/>
              </w:rPr>
              <w:t>，23.68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0.0</w:t>
            </w:r>
            <w:r>
              <w:rPr>
                <w:rFonts w:hint="eastAsia"/>
                <w:color w:val="auto"/>
                <w:kern w:val="0"/>
                <w:sz w:val="24"/>
              </w:rPr>
              <w:t>085</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rPr>
              <w:t>024</w:t>
            </w:r>
            <w:r>
              <w:rPr>
                <w:color w:val="auto"/>
                <w:kern w:val="0"/>
                <w:sz w:val="24"/>
              </w:rPr>
              <w:t>kg/h</w:t>
            </w:r>
            <w:r>
              <w:rPr>
                <w:rFonts w:hint="eastAsia"/>
                <w:color w:val="auto"/>
                <w:kern w:val="0"/>
                <w:sz w:val="24"/>
              </w:rPr>
              <w:t>、1.18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0.0426</w:t>
            </w:r>
            <w:r>
              <w:rPr>
                <w:rFonts w:eastAsiaTheme="minorEastAsia"/>
                <w:bCs/>
                <w:color w:val="auto"/>
                <w:sz w:val="24"/>
              </w:rPr>
              <w:t>t/a</w:t>
            </w:r>
            <w:r>
              <w:rPr>
                <w:rFonts w:hint="eastAsia" w:eastAsiaTheme="minorEastAsia"/>
                <w:bCs/>
                <w:color w:val="auto"/>
                <w:sz w:val="24"/>
              </w:rPr>
              <w:t>（0.0118</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86B4F9C">
            <w:pPr>
              <w:adjustRightInd w:val="0"/>
              <w:snapToGrid w:val="0"/>
              <w:spacing w:line="360" w:lineRule="auto"/>
              <w:ind w:firstLine="482" w:firstLineChars="200"/>
              <w:rPr>
                <w:b/>
                <w:bCs/>
                <w:color w:val="auto"/>
                <w:sz w:val="24"/>
              </w:rPr>
            </w:pPr>
            <w:r>
              <w:rPr>
                <w:rFonts w:hint="eastAsia"/>
                <w:b/>
                <w:bCs/>
                <w:color w:val="auto"/>
                <w:sz w:val="24"/>
              </w:rPr>
              <w:t>三、金属组件生产工艺</w:t>
            </w:r>
          </w:p>
          <w:p w14:paraId="1B9DD493">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rPr>
              <w:t>12、下料粉尘：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金属组件下料</w:t>
            </w:r>
            <w:r>
              <w:rPr>
                <w:rFonts w:hAnsiTheme="minorEastAsia" w:eastAsiaTheme="minorEastAsia"/>
                <w:color w:val="auto"/>
                <w:sz w:val="24"/>
              </w:rPr>
              <w:t>工序会产生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bCs/>
                <w:color w:val="auto"/>
                <w:sz w:val="24"/>
              </w:rPr>
              <w:t>本项目属于2439</w:t>
            </w:r>
            <w:r>
              <w:rPr>
                <w:rFonts w:hAnsiTheme="minorEastAsia" w:eastAsiaTheme="minorEastAsia"/>
                <w:bCs/>
                <w:color w:val="auto"/>
                <w:sz w:val="24"/>
              </w:rPr>
              <w:t>其他工艺美术及礼仪用品</w:t>
            </w:r>
            <w:r>
              <w:rPr>
                <w:rFonts w:hint="eastAsia" w:hAnsiTheme="minorEastAsia" w:eastAsiaTheme="minorEastAsia"/>
                <w:bCs/>
                <w:color w:val="auto"/>
                <w:sz w:val="24"/>
              </w:rPr>
              <w:t>制造，根据金属组件生产工艺，下料工序以金属板材和金属管材为原料进行下料，</w:t>
            </w:r>
            <w:r>
              <w:rPr>
                <w:rFonts w:hint="eastAsia" w:hAnsiTheme="minorEastAsia" w:eastAsiaTheme="minorEastAsia"/>
                <w:color w:val="auto"/>
                <w:sz w:val="24"/>
              </w:rPr>
              <w:t>其中金属板材使用激光切割机进行切割，金属管材使用</w:t>
            </w:r>
            <w:r>
              <w:rPr>
                <w:rFonts w:hint="eastAsia" w:hAnsiTheme="minorEastAsia" w:eastAsiaTheme="minorEastAsia"/>
                <w:color w:val="auto"/>
                <w:sz w:val="24"/>
                <w:lang w:eastAsia="zh-CN"/>
              </w:rPr>
              <w:t>激光切割机</w:t>
            </w:r>
            <w:r>
              <w:rPr>
                <w:rFonts w:hint="eastAsia"/>
                <w:color w:val="auto"/>
                <w:sz w:val="24"/>
              </w:rPr>
              <w:t>和切管机进行切割，</w:t>
            </w:r>
            <w:r>
              <w:rPr>
                <w:rFonts w:hint="eastAsia" w:hAnsiTheme="minorEastAsia" w:eastAsiaTheme="minorEastAsia"/>
                <w:bCs/>
                <w:color w:val="auto"/>
                <w:sz w:val="24"/>
              </w:rPr>
              <w:t>废气指标参考</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ascii="宋体" w:hAnsi="宋体" w:cs="宋体"/>
                <w:color w:val="auto"/>
                <w:sz w:val="24"/>
              </w:rPr>
              <w:t>钢板、铝板、铝合金板、</w:t>
            </w:r>
            <w:r>
              <w:rPr>
                <w:rFonts w:hint="eastAsia" w:ascii="宋体" w:hAnsi="宋体" w:cs="宋体"/>
                <w:color w:val="auto"/>
                <w:sz w:val="24"/>
                <w:lang w:eastAsia="zh-CN"/>
              </w:rPr>
              <w:t>其他</w:t>
            </w:r>
            <w:r>
              <w:rPr>
                <w:rFonts w:ascii="宋体" w:hAnsi="宋体" w:cs="宋体"/>
                <w:color w:val="auto"/>
                <w:sz w:val="24"/>
              </w:rPr>
              <w:t>金属材料</w:t>
            </w:r>
            <w:r>
              <w:rPr>
                <w:rFonts w:hint="eastAsia" w:hAnsiTheme="minorEastAsia" w:eastAsiaTheme="minorEastAsia"/>
                <w:bCs/>
                <w:color w:val="auto"/>
                <w:sz w:val="24"/>
              </w:rPr>
              <w:t>-氧/可燃气切割</w:t>
            </w:r>
            <w:r>
              <w:rPr>
                <w:color w:val="auto"/>
                <w:kern w:val="0"/>
                <w:sz w:val="24"/>
              </w:rPr>
              <w:t>产污系数为</w:t>
            </w:r>
            <w:r>
              <w:rPr>
                <w:rFonts w:hint="eastAsia"/>
                <w:color w:val="auto"/>
                <w:kern w:val="0"/>
                <w:sz w:val="24"/>
              </w:rPr>
              <w:t>1.50千克/吨</w:t>
            </w:r>
            <w:r>
              <w:rPr>
                <w:color w:val="auto"/>
                <w:kern w:val="0"/>
                <w:sz w:val="24"/>
              </w:rPr>
              <w:t>-</w:t>
            </w:r>
            <w:r>
              <w:rPr>
                <w:rFonts w:hint="eastAsia"/>
                <w:color w:val="auto"/>
                <w:kern w:val="0"/>
                <w:sz w:val="24"/>
              </w:rPr>
              <w:t>原料</w:t>
            </w:r>
            <w:r>
              <w:rPr>
                <w:rFonts w:hint="eastAsia" w:hAnsiTheme="minorEastAsia" w:eastAsiaTheme="minorEastAsia"/>
                <w:color w:val="auto"/>
                <w:sz w:val="24"/>
              </w:rPr>
              <w:t>，钢板、铝板、铝合金板、</w:t>
            </w:r>
            <w:r>
              <w:rPr>
                <w:rFonts w:hint="eastAsia" w:hAnsiTheme="minorEastAsia" w:eastAsiaTheme="minorEastAsia"/>
                <w:color w:val="auto"/>
                <w:sz w:val="24"/>
                <w:lang w:eastAsia="zh-CN"/>
              </w:rPr>
              <w:t>其他</w:t>
            </w:r>
            <w:r>
              <w:rPr>
                <w:rFonts w:hint="eastAsia" w:hAnsiTheme="minorEastAsia" w:eastAsiaTheme="minorEastAsia"/>
                <w:color w:val="auto"/>
                <w:sz w:val="24"/>
              </w:rPr>
              <w:t>金属材料、玻璃纤维、</w:t>
            </w:r>
            <w:r>
              <w:rPr>
                <w:rFonts w:hint="eastAsia" w:hAnsiTheme="minorEastAsia" w:eastAsiaTheme="minorEastAsia"/>
                <w:color w:val="auto"/>
                <w:sz w:val="24"/>
                <w:lang w:eastAsia="zh-CN"/>
              </w:rPr>
              <w:t>其他</w:t>
            </w:r>
            <w:r>
              <w:rPr>
                <w:rFonts w:hint="eastAsia" w:hAnsiTheme="minorEastAsia" w:eastAsiaTheme="minorEastAsia"/>
                <w:color w:val="auto"/>
                <w:sz w:val="24"/>
              </w:rPr>
              <w:t>非金属材料-</w:t>
            </w:r>
            <w:r>
              <w:rPr>
                <w:rFonts w:ascii="宋体" w:hAnsi="宋体" w:cs="宋体"/>
                <w:color w:val="auto"/>
                <w:sz w:val="24"/>
              </w:rPr>
              <w:t>锯床、砂轮切割机切割</w:t>
            </w:r>
            <w:r>
              <w:rPr>
                <w:color w:val="auto"/>
                <w:kern w:val="0"/>
                <w:sz w:val="24"/>
              </w:rPr>
              <w:t>产污系数为</w:t>
            </w:r>
            <w:r>
              <w:rPr>
                <w:rFonts w:hint="eastAsia"/>
                <w:color w:val="auto"/>
                <w:kern w:val="0"/>
                <w:sz w:val="24"/>
              </w:rPr>
              <w:t>5.30千克/吨</w:t>
            </w:r>
            <w:r>
              <w:rPr>
                <w:color w:val="auto"/>
                <w:kern w:val="0"/>
                <w:sz w:val="24"/>
              </w:rPr>
              <w:t>-</w:t>
            </w:r>
            <w:r>
              <w:rPr>
                <w:rFonts w:hint="eastAsia"/>
                <w:color w:val="auto"/>
                <w:kern w:val="0"/>
                <w:sz w:val="24"/>
              </w:rPr>
              <w:t>原料，根据企业提供资料，金属板材原料年使用约280吨，金属管材原料年使用约70吨，根据企业提供的资料可知，实际切割比例约占原料总量的8%</w:t>
            </w:r>
            <w:r>
              <w:rPr>
                <w:rFonts w:hint="eastAsia"/>
                <w:color w:val="auto"/>
                <w:kern w:val="0"/>
                <w:sz w:val="24"/>
                <w:lang w:eastAsia="zh-CN"/>
              </w:rPr>
              <w:t>～</w:t>
            </w:r>
            <w:r>
              <w:rPr>
                <w:rFonts w:hint="eastAsia"/>
                <w:color w:val="auto"/>
                <w:kern w:val="0"/>
                <w:sz w:val="24"/>
              </w:rPr>
              <w:t>10%，本次计算以10%</w:t>
            </w:r>
            <w:r>
              <w:rPr>
                <w:rFonts w:hint="eastAsia"/>
                <w:color w:val="auto"/>
                <w:kern w:val="0"/>
                <w:sz w:val="24"/>
                <w:lang w:eastAsia="zh-CN"/>
              </w:rPr>
              <w:t>计</w:t>
            </w:r>
            <w:r>
              <w:rPr>
                <w:rFonts w:hint="eastAsia"/>
                <w:color w:val="auto"/>
                <w:kern w:val="0"/>
                <w:sz w:val="24"/>
              </w:rPr>
              <w:t>，且金属管材中</w:t>
            </w:r>
            <w:r>
              <w:rPr>
                <w:rFonts w:hint="eastAsia"/>
                <w:color w:val="auto"/>
                <w:kern w:val="0"/>
                <w:sz w:val="24"/>
                <w:lang w:eastAsia="zh-CN"/>
              </w:rPr>
              <w:t>90%</w:t>
            </w:r>
            <w:r>
              <w:rPr>
                <w:rFonts w:hint="eastAsia"/>
                <w:color w:val="auto"/>
                <w:kern w:val="0"/>
                <w:sz w:val="24"/>
              </w:rPr>
              <w:t>使用</w:t>
            </w:r>
            <w:r>
              <w:rPr>
                <w:rFonts w:hint="eastAsia"/>
                <w:color w:val="auto"/>
                <w:kern w:val="0"/>
                <w:sz w:val="24"/>
                <w:lang w:eastAsia="zh-CN"/>
              </w:rPr>
              <w:t>激光切割机</w:t>
            </w:r>
            <w:r>
              <w:rPr>
                <w:rFonts w:hint="eastAsia"/>
                <w:color w:val="auto"/>
                <w:kern w:val="0"/>
                <w:sz w:val="24"/>
              </w:rPr>
              <w:t>切割，剩余10%使用切管机切割，因此本工序颗粒物产生量</w:t>
            </w:r>
            <w:r>
              <w:rPr>
                <w:rFonts w:hint="eastAsia" w:hAnsiTheme="minorEastAsia" w:eastAsiaTheme="minorEastAsia"/>
                <w:color w:val="auto"/>
                <w:sz w:val="24"/>
              </w:rPr>
              <w:t>为（280+70*90%）*10%*1.5/1000+70*10%*10%*5.30/1000=0.05516</w:t>
            </w:r>
            <w:r>
              <w:rPr>
                <w:rFonts w:eastAsiaTheme="minorEastAsia"/>
                <w:color w:val="auto"/>
                <w:sz w:val="24"/>
              </w:rPr>
              <w:t>t/a</w:t>
            </w:r>
            <w:r>
              <w:rPr>
                <w:rFonts w:hint="eastAsia" w:eastAsiaTheme="minorEastAsia"/>
                <w:color w:val="auto"/>
                <w:sz w:val="24"/>
              </w:rPr>
              <w:t>，此工序</w:t>
            </w:r>
            <w:r>
              <w:rPr>
                <w:rFonts w:hAnsiTheme="minorEastAsia" w:eastAsiaTheme="minorEastAsia"/>
                <w:color w:val="auto"/>
                <w:sz w:val="24"/>
              </w:rPr>
              <w:t>项目</w:t>
            </w:r>
            <w:r>
              <w:rPr>
                <w:rFonts w:hint="eastAsia" w:hAnsiTheme="minorEastAsia" w:eastAsiaTheme="minorEastAsia"/>
                <w:color w:val="auto"/>
                <w:sz w:val="24"/>
              </w:rPr>
              <w:t>拟</w:t>
            </w:r>
            <w:r>
              <w:rPr>
                <w:rFonts w:hAnsiTheme="minorEastAsia" w:eastAsiaTheme="minorEastAsia"/>
                <w:bCs/>
                <w:color w:val="auto"/>
                <w:sz w:val="24"/>
              </w:rPr>
              <w:t>采用</w:t>
            </w:r>
            <w:r>
              <w:rPr>
                <w:rFonts w:hint="eastAsia" w:hAnsiTheme="minorEastAsia" w:eastAsiaTheme="minorEastAsia"/>
                <w:bCs/>
                <w:color w:val="auto"/>
                <w:sz w:val="24"/>
              </w:rPr>
              <w:t>集气罩</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DA004</w:t>
            </w:r>
            <w:r>
              <w:rPr>
                <w:rFonts w:hAnsiTheme="minorEastAsia" w:eastAsiaTheme="minorEastAsia"/>
                <w:bCs/>
                <w:color w:val="auto"/>
                <w:sz w:val="24"/>
              </w:rPr>
              <w:t>）排放</w:t>
            </w:r>
            <w:r>
              <w:rPr>
                <w:rFonts w:hint="eastAsia" w:hAnsiTheme="minorEastAsia" w:eastAsiaTheme="minorEastAsia"/>
                <w:bCs/>
                <w:color w:val="auto"/>
                <w:sz w:val="24"/>
              </w:rPr>
              <w:t>，</w:t>
            </w:r>
            <w:r>
              <w:rPr>
                <w:rFonts w:hAnsiTheme="minorEastAsia" w:eastAsiaTheme="minorEastAsia"/>
                <w:bCs/>
                <w:color w:val="auto"/>
                <w:sz w:val="24"/>
              </w:rPr>
              <w:t>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0.0441</w:t>
            </w:r>
            <w:r>
              <w:rPr>
                <w:rFonts w:eastAsiaTheme="minorEastAsia"/>
                <w:bCs/>
                <w:color w:val="auto"/>
                <w:sz w:val="24"/>
              </w:rPr>
              <w:t>t/a</w:t>
            </w:r>
            <w:r>
              <w:rPr>
                <w:rFonts w:hint="eastAsia" w:eastAsiaTheme="minorEastAsia"/>
                <w:bCs/>
                <w:color w:val="auto"/>
                <w:sz w:val="24"/>
              </w:rPr>
              <w:t>（0.0123</w:t>
            </w:r>
            <w:r>
              <w:rPr>
                <w:rFonts w:eastAsiaTheme="minorEastAsia"/>
                <w:bCs/>
                <w:color w:val="auto"/>
                <w:sz w:val="24"/>
              </w:rPr>
              <w:t>kg/h</w:t>
            </w:r>
            <w:r>
              <w:rPr>
                <w:rFonts w:hint="eastAsia" w:eastAsiaTheme="minorEastAsia"/>
                <w:bCs/>
                <w:color w:val="auto"/>
                <w:sz w:val="24"/>
              </w:rPr>
              <w:t>，6.13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w:t>
            </w:r>
            <w:r>
              <w:rPr>
                <w:rFonts w:hint="eastAsia"/>
                <w:color w:val="auto"/>
                <w:kern w:val="0"/>
                <w:sz w:val="24"/>
              </w:rPr>
              <w:t>0022</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rPr>
              <w:t>006</w:t>
            </w:r>
            <w:r>
              <w:rPr>
                <w:color w:val="auto"/>
                <w:kern w:val="0"/>
                <w:sz w:val="24"/>
              </w:rPr>
              <w:t>kg/h</w:t>
            </w:r>
            <w:r>
              <w:rPr>
                <w:rFonts w:hint="eastAsia"/>
                <w:color w:val="auto"/>
                <w:kern w:val="0"/>
                <w:sz w:val="24"/>
              </w:rPr>
              <w:t>、0.31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0.0110</w:t>
            </w:r>
            <w:r>
              <w:rPr>
                <w:rFonts w:eastAsiaTheme="minorEastAsia"/>
                <w:bCs/>
                <w:color w:val="auto"/>
                <w:sz w:val="24"/>
              </w:rPr>
              <w:t>t/a</w:t>
            </w:r>
            <w:r>
              <w:rPr>
                <w:rFonts w:hint="eastAsia" w:eastAsiaTheme="minorEastAsia"/>
                <w:bCs/>
                <w:color w:val="auto"/>
                <w:sz w:val="24"/>
              </w:rPr>
              <w:t>（0.0031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D52D925">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13.</w:t>
            </w:r>
            <w:r>
              <w:rPr>
                <w:rFonts w:hint="eastAsia"/>
                <w:b/>
                <w:bCs/>
                <w:color w:val="auto"/>
                <w:sz w:val="24"/>
              </w:rPr>
              <w:t>压合废气：</w:t>
            </w:r>
            <w:r>
              <w:rPr>
                <w:rFonts w:hint="eastAsia" w:hAnsiTheme="minorEastAsia" w:eastAsiaTheme="minorEastAsia"/>
                <w:color w:val="auto"/>
                <w:sz w:val="24"/>
              </w:rPr>
              <w:t>建设</w:t>
            </w:r>
            <w:r>
              <w:rPr>
                <w:rFonts w:hint="eastAsia" w:hAnsiTheme="minorEastAsia" w:eastAsiaTheme="minorEastAsia"/>
                <w:bCs/>
                <w:color w:val="auto"/>
                <w:sz w:val="24"/>
              </w:rPr>
              <w:t>项目压合工序使用聚氨酯胶。</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挥发性有机物的检测报告显示：聚氨酯胶粘剂</w:t>
            </w:r>
            <w:r>
              <w:rPr>
                <w:rFonts w:hAnsiTheme="minorEastAsia" w:eastAsiaTheme="minorEastAsia"/>
                <w:color w:val="auto"/>
                <w:sz w:val="24"/>
              </w:rPr>
              <w:t>VOC含量</w:t>
            </w:r>
            <w:r>
              <w:rPr>
                <w:rFonts w:hint="eastAsia" w:hAnsiTheme="minorEastAsia" w:eastAsiaTheme="minorEastAsia"/>
                <w:color w:val="auto"/>
                <w:sz w:val="24"/>
              </w:rPr>
              <w:t>未检出（低于1g/kg检出限），因此本项目以最不利情况考虑，挥发性有机物含量取1g/kg，根据建设单位提供资料，本项目聚氨酯胶粘剂使用量为9.5t/a，因此</w:t>
            </w:r>
            <w:r>
              <w:rPr>
                <w:rFonts w:hAnsiTheme="minorEastAsia" w:eastAsiaTheme="minorEastAsia"/>
                <w:color w:val="auto"/>
                <w:sz w:val="24"/>
              </w:rPr>
              <w:t>非甲烷总烃产生量</w:t>
            </w:r>
            <w:r>
              <w:rPr>
                <w:rFonts w:hint="eastAsia" w:hAnsiTheme="minorEastAsia" w:eastAsiaTheme="minorEastAsia"/>
                <w:color w:val="auto"/>
                <w:sz w:val="24"/>
              </w:rPr>
              <w:t>为9.5*1000*1/1000000=0.0095t</w:t>
            </w:r>
            <w:r>
              <w:rPr>
                <w:rFonts w:hint="eastAsia" w:eastAsiaTheme="minorEastAsia"/>
                <w:color w:val="auto"/>
                <w:sz w:val="24"/>
              </w:rPr>
              <w:t>，</w:t>
            </w:r>
            <w:r>
              <w:rPr>
                <w:rFonts w:hAnsiTheme="minorEastAsia" w:eastAsiaTheme="minorEastAsia"/>
                <w:bCs/>
                <w:color w:val="auto"/>
                <w:sz w:val="24"/>
              </w:rPr>
              <w:t>产生的废气</w:t>
            </w:r>
            <w:r>
              <w:rPr>
                <w:rFonts w:hint="eastAsia" w:hAnsiTheme="minorEastAsia" w:eastAsiaTheme="minorEastAsia"/>
                <w:color w:val="auto"/>
                <w:sz w:val="24"/>
              </w:rPr>
              <w:t>拟</w:t>
            </w:r>
            <w:r>
              <w:rPr>
                <w:rFonts w:hAnsiTheme="minorEastAsia" w:eastAsiaTheme="minorEastAsia"/>
                <w:bCs/>
                <w:color w:val="auto"/>
                <w:sz w:val="24"/>
              </w:rPr>
              <w:t>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DA005</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0076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021</w:t>
            </w:r>
            <w:r>
              <w:rPr>
                <w:rFonts w:eastAsiaTheme="minorEastAsia"/>
                <w:bCs/>
                <w:color w:val="auto"/>
                <w:sz w:val="24"/>
              </w:rPr>
              <w:t>kg/h</w:t>
            </w:r>
            <w:r>
              <w:rPr>
                <w:rFonts w:hint="eastAsia" w:eastAsiaTheme="minorEastAsia"/>
                <w:bCs/>
                <w:color w:val="auto"/>
                <w:sz w:val="24"/>
              </w:rPr>
              <w:t>、2.11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00076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002</w:t>
            </w:r>
            <w:r>
              <w:rPr>
                <w:rFonts w:eastAsiaTheme="minorEastAsia"/>
                <w:bCs/>
                <w:color w:val="auto"/>
                <w:sz w:val="24"/>
              </w:rPr>
              <w:t>kg/h</w:t>
            </w:r>
            <w:r>
              <w:rPr>
                <w:rFonts w:hint="eastAsia" w:eastAsiaTheme="minorEastAsia"/>
                <w:bCs/>
                <w:color w:val="auto"/>
                <w:sz w:val="24"/>
              </w:rPr>
              <w:t>、0.21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019</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005</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11A3FCD">
            <w:pPr>
              <w:adjustRightInd w:val="0"/>
              <w:snapToGrid w:val="0"/>
              <w:spacing w:line="360" w:lineRule="auto"/>
              <w:ind w:firstLine="482" w:firstLineChars="200"/>
              <w:rPr>
                <w:color w:val="auto"/>
                <w:kern w:val="0"/>
                <w:sz w:val="24"/>
              </w:rPr>
            </w:pPr>
            <w:r>
              <w:rPr>
                <w:rFonts w:hint="eastAsia"/>
                <w:b/>
                <w:bCs/>
                <w:color w:val="auto"/>
                <w:sz w:val="24"/>
                <w:lang w:eastAsia="zh-CN"/>
              </w:rPr>
              <w:t>14.</w:t>
            </w:r>
            <w:r>
              <w:rPr>
                <w:rFonts w:hint="eastAsia"/>
                <w:b/>
                <w:bCs/>
                <w:color w:val="auto"/>
                <w:sz w:val="24"/>
              </w:rPr>
              <w:t>焊接废气：</w:t>
            </w:r>
            <w:r>
              <w:rPr>
                <w:rFonts w:hint="eastAsia"/>
                <w:color w:val="auto"/>
                <w:sz w:val="24"/>
              </w:rPr>
              <w:t>建设项目焊接工序会产生颗粒物，本项目焊接所用焊丝为实芯焊丝，使用的焊接方式为氩弧焊。根据《排放源统计调查产排污核算方法和系数手册》-33-37，</w:t>
            </w:r>
            <w:r>
              <w:rPr>
                <w:color w:val="auto"/>
                <w:sz w:val="24"/>
              </w:rPr>
              <w:t>431-434机械行业系数手册，实芯焊丝-二氧化碳保护焊、埋弧焊、氩弧焊产物系数为9.19千克/吨-原料，根据企业提供资料，本项目焊丝年耗量为50kg，则产生焊接颗粒物量为9.19*50/1000/1000=0.000</w:t>
            </w:r>
            <w:r>
              <w:rPr>
                <w:rFonts w:hint="eastAsia"/>
                <w:color w:val="auto"/>
                <w:sz w:val="24"/>
              </w:rPr>
              <w:t>46</w:t>
            </w:r>
            <w:r>
              <w:rPr>
                <w:color w:val="auto"/>
                <w:sz w:val="24"/>
              </w:rPr>
              <w:t>t/a，</w:t>
            </w:r>
            <w:r>
              <w:rPr>
                <w:rFonts w:hint="eastAsia"/>
                <w:color w:val="auto"/>
                <w:kern w:val="0"/>
                <w:sz w:val="24"/>
              </w:rPr>
              <w:t>建设项目全年使用时间约为36</w:t>
            </w:r>
            <w:r>
              <w:rPr>
                <w:color w:val="auto"/>
                <w:kern w:val="0"/>
                <w:sz w:val="24"/>
              </w:rPr>
              <w:t>00h</w:t>
            </w:r>
            <w:r>
              <w:rPr>
                <w:rFonts w:hint="eastAsia"/>
                <w:color w:val="auto"/>
                <w:kern w:val="0"/>
                <w:sz w:val="24"/>
              </w:rPr>
              <w:t>，企业通过合理规划焊接区域，在焊接工位设置移动式焊接烟尘净化器，收集效率为</w:t>
            </w:r>
            <w:r>
              <w:rPr>
                <w:color w:val="auto"/>
                <w:kern w:val="0"/>
                <w:sz w:val="24"/>
              </w:rPr>
              <w:t>80%</w:t>
            </w:r>
            <w:r>
              <w:rPr>
                <w:rFonts w:hint="eastAsia"/>
                <w:color w:val="auto"/>
                <w:kern w:val="0"/>
                <w:sz w:val="24"/>
              </w:rPr>
              <w:t>，焊接烟尘经移动式焊接烟尘净化器收集处理，根据《排放源统计调查产排污核算方法和系数手册》中33-37，431-434机械行业系数手册09焊接可知其他（移动式烟尘净化器）末端治理技术效率为95%，此处处理效率取95</w:t>
            </w:r>
            <w:r>
              <w:rPr>
                <w:color w:val="auto"/>
                <w:kern w:val="0"/>
                <w:sz w:val="24"/>
              </w:rPr>
              <w:t>%</w:t>
            </w:r>
            <w:r>
              <w:rPr>
                <w:rFonts w:hint="eastAsia"/>
                <w:color w:val="auto"/>
                <w:kern w:val="0"/>
                <w:sz w:val="24"/>
              </w:rPr>
              <w:t>，因此焊接颗粒物量收集量为0.00046*0.8=0.000368t，收集过程产生的无组织量为0.00046*0.2=0.000092t/a，处理后焊接烟尘的排放量为0.000368*0.05=0.0000184</w:t>
            </w:r>
            <w:r>
              <w:rPr>
                <w:color w:val="auto"/>
                <w:kern w:val="0"/>
                <w:sz w:val="24"/>
              </w:rPr>
              <w:t>t/a</w:t>
            </w:r>
            <w:r>
              <w:rPr>
                <w:rFonts w:hint="eastAsia"/>
                <w:color w:val="auto"/>
                <w:kern w:val="0"/>
                <w:sz w:val="24"/>
              </w:rPr>
              <w:t>，因此焊接工序产生的无组织排放量为0.000092+0.0000184=0.0001104t，排放速率为</w:t>
            </w:r>
            <w:r>
              <w:rPr>
                <w:color w:val="auto"/>
                <w:kern w:val="0"/>
                <w:sz w:val="24"/>
              </w:rPr>
              <w:t>0.</w:t>
            </w:r>
            <w:r>
              <w:rPr>
                <w:rFonts w:hint="eastAsia"/>
                <w:color w:val="auto"/>
                <w:kern w:val="0"/>
                <w:sz w:val="24"/>
              </w:rPr>
              <w:t>00003</w:t>
            </w:r>
            <w:r>
              <w:rPr>
                <w:color w:val="auto"/>
                <w:kern w:val="0"/>
                <w:sz w:val="24"/>
              </w:rPr>
              <w:t>kg/h</w:t>
            </w:r>
            <w:r>
              <w:rPr>
                <w:rFonts w:hint="eastAsia"/>
                <w:color w:val="auto"/>
                <w:kern w:val="0"/>
                <w:sz w:val="24"/>
              </w:rPr>
              <w:t>。</w:t>
            </w:r>
          </w:p>
          <w:p w14:paraId="6FBCC213">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15.</w:t>
            </w:r>
            <w:r>
              <w:rPr>
                <w:b/>
                <w:bCs/>
                <w:color w:val="auto"/>
                <w:sz w:val="24"/>
              </w:rPr>
              <w:t>打磨</w:t>
            </w:r>
            <w:r>
              <w:rPr>
                <w:rFonts w:hint="eastAsia"/>
                <w:b/>
                <w:bCs/>
                <w:color w:val="auto"/>
                <w:sz w:val="24"/>
                <w:lang w:val="en-US" w:eastAsia="zh-CN"/>
              </w:rPr>
              <w:t>/抛丸</w:t>
            </w:r>
            <w:r>
              <w:rPr>
                <w:b/>
                <w:bCs/>
                <w:color w:val="auto"/>
                <w:sz w:val="24"/>
              </w:rPr>
              <w:t>粉尘：</w:t>
            </w:r>
            <w:r>
              <w:rPr>
                <w:color w:val="auto"/>
                <w:sz w:val="24"/>
              </w:rPr>
              <w:t>建设项目打磨</w:t>
            </w:r>
            <w:r>
              <w:rPr>
                <w:rFonts w:hint="eastAsia"/>
                <w:color w:val="auto"/>
                <w:sz w:val="24"/>
                <w:lang w:val="en-US" w:eastAsia="zh-CN"/>
              </w:rPr>
              <w:t>/抛丸</w:t>
            </w:r>
            <w:r>
              <w:rPr>
                <w:color w:val="auto"/>
                <w:sz w:val="24"/>
              </w:rPr>
              <w:t>工序会产生颗粒物，根据《排放源统计调查产排污核算方法和系数手册》-33-37，431-434机械行业系数手册，钢材（含板材、构件等）、铝材（含板材、构件等）、铝合金（含板材、构件等）、铁材、</w:t>
            </w:r>
            <w:r>
              <w:rPr>
                <w:rFonts w:hint="eastAsia"/>
                <w:color w:val="auto"/>
                <w:sz w:val="24"/>
                <w:lang w:eastAsia="zh-CN"/>
              </w:rPr>
              <w:t>其他</w:t>
            </w:r>
            <w:r>
              <w:rPr>
                <w:color w:val="auto"/>
                <w:sz w:val="24"/>
              </w:rPr>
              <w:t>金属材料-抛丸、喷砂、打磨、滚筒产污系数为2.19千克/吨-原料</w:t>
            </w:r>
            <w:r>
              <w:rPr>
                <w:rFonts w:hint="eastAsia"/>
                <w:color w:val="auto"/>
                <w:sz w:val="24"/>
              </w:rPr>
              <w:t>，根据企业提供资料</w:t>
            </w:r>
            <w:r>
              <w:rPr>
                <w:rFonts w:hint="eastAsia"/>
                <w:color w:val="auto"/>
                <w:kern w:val="0"/>
                <w:sz w:val="24"/>
              </w:rPr>
              <w:t>金属板材原料年使用约280吨，金属管材原料年使用约70吨，由于企业主要为定制服务，因此4类金属组件无法定量，根据企业经验，打磨</w:t>
            </w:r>
            <w:r>
              <w:rPr>
                <w:rFonts w:hint="eastAsia"/>
                <w:color w:val="auto"/>
                <w:kern w:val="0"/>
                <w:sz w:val="24"/>
                <w:lang w:val="en-US" w:eastAsia="zh-CN"/>
              </w:rPr>
              <w:t>/抛丸</w:t>
            </w:r>
            <w:r>
              <w:rPr>
                <w:rFonts w:hint="eastAsia"/>
                <w:color w:val="auto"/>
                <w:kern w:val="0"/>
                <w:sz w:val="24"/>
              </w:rPr>
              <w:t>工艺</w:t>
            </w:r>
            <w:r>
              <w:rPr>
                <w:rFonts w:hint="eastAsia"/>
                <w:color w:val="auto"/>
                <w:kern w:val="0"/>
                <w:sz w:val="24"/>
                <w:lang w:eastAsia="zh-CN"/>
              </w:rPr>
              <w:t>涉及</w:t>
            </w:r>
            <w:r>
              <w:rPr>
                <w:rFonts w:hint="eastAsia"/>
                <w:color w:val="auto"/>
                <w:kern w:val="0"/>
                <w:sz w:val="24"/>
              </w:rPr>
              <w:t>的原料约为总量的30%</w:t>
            </w:r>
            <w:r>
              <w:rPr>
                <w:rFonts w:hint="eastAsia"/>
                <w:color w:val="auto"/>
                <w:kern w:val="0"/>
                <w:sz w:val="24"/>
                <w:lang w:eastAsia="zh-CN"/>
              </w:rPr>
              <w:t>～</w:t>
            </w:r>
            <w:r>
              <w:rPr>
                <w:rFonts w:hint="eastAsia"/>
                <w:color w:val="auto"/>
                <w:kern w:val="0"/>
                <w:sz w:val="24"/>
              </w:rPr>
              <w:t>60%，此处取最大值</w:t>
            </w:r>
            <w:r>
              <w:rPr>
                <w:rFonts w:hint="eastAsia"/>
                <w:color w:val="auto"/>
                <w:kern w:val="0"/>
                <w:sz w:val="24"/>
                <w:lang w:eastAsia="zh-CN"/>
              </w:rPr>
              <w:t>60%</w:t>
            </w:r>
            <w:r>
              <w:rPr>
                <w:rFonts w:hint="eastAsia"/>
                <w:color w:val="auto"/>
                <w:kern w:val="0"/>
                <w:sz w:val="24"/>
              </w:rPr>
              <w:t>计，打磨</w:t>
            </w:r>
            <w:r>
              <w:rPr>
                <w:rFonts w:hint="eastAsia"/>
                <w:color w:val="auto"/>
                <w:kern w:val="0"/>
                <w:sz w:val="24"/>
                <w:lang w:val="en-US" w:eastAsia="zh-CN"/>
              </w:rPr>
              <w:t>/抛丸</w:t>
            </w:r>
            <w:r>
              <w:rPr>
                <w:rFonts w:hint="eastAsia"/>
                <w:color w:val="auto"/>
                <w:kern w:val="0"/>
                <w:sz w:val="24"/>
              </w:rPr>
              <w:t>区域约占材料总面积的20%，因此产生打磨颗粒物量为（280+70）*60%*20%*2.19/1000=0.09198t/a，</w:t>
            </w:r>
            <w:r>
              <w:rPr>
                <w:rFonts w:hint="eastAsia" w:eastAsiaTheme="minorEastAsia"/>
                <w:color w:val="auto"/>
                <w:sz w:val="24"/>
              </w:rPr>
              <w:t>此工序</w:t>
            </w:r>
            <w:r>
              <w:rPr>
                <w:rFonts w:hAnsiTheme="minorEastAsia" w:eastAsiaTheme="minorEastAsia"/>
                <w:color w:val="auto"/>
                <w:sz w:val="24"/>
              </w:rPr>
              <w:t>项目</w:t>
            </w:r>
            <w:r>
              <w:rPr>
                <w:rFonts w:hint="eastAsia" w:hAnsiTheme="minorEastAsia" w:eastAsiaTheme="minorEastAsia"/>
                <w:color w:val="auto"/>
                <w:sz w:val="24"/>
              </w:rPr>
              <w:t>拟</w:t>
            </w:r>
            <w:r>
              <w:rPr>
                <w:rFonts w:hAnsiTheme="minorEastAsia" w:eastAsiaTheme="minorEastAsia"/>
                <w:bCs/>
                <w:color w:val="auto"/>
                <w:sz w:val="24"/>
              </w:rPr>
              <w:t>采用</w:t>
            </w:r>
            <w:r>
              <w:rPr>
                <w:rFonts w:hint="eastAsia" w:hAnsiTheme="minorEastAsia" w:eastAsiaTheme="minorEastAsia"/>
                <w:bCs/>
                <w:color w:val="auto"/>
                <w:sz w:val="24"/>
              </w:rPr>
              <w:t>集气罩</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DA004</w:t>
            </w:r>
            <w:r>
              <w:rPr>
                <w:rFonts w:hAnsiTheme="minorEastAsia" w:eastAsiaTheme="minorEastAsia"/>
                <w:bCs/>
                <w:color w:val="auto"/>
                <w:sz w:val="24"/>
              </w:rPr>
              <w:t>）排放</w:t>
            </w:r>
            <w:r>
              <w:rPr>
                <w:rFonts w:hint="eastAsia" w:hAnsiTheme="minorEastAsia" w:eastAsiaTheme="minorEastAsia"/>
                <w:bCs/>
                <w:color w:val="auto"/>
                <w:sz w:val="24"/>
              </w:rPr>
              <w:t>，</w:t>
            </w:r>
            <w:r>
              <w:rPr>
                <w:rFonts w:hAnsiTheme="minorEastAsia" w:eastAsiaTheme="minorEastAsia"/>
                <w:bCs/>
                <w:color w:val="auto"/>
                <w:sz w:val="24"/>
              </w:rPr>
              <w:t>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0.0736</w:t>
            </w:r>
            <w:r>
              <w:rPr>
                <w:rFonts w:eastAsiaTheme="minorEastAsia"/>
                <w:bCs/>
                <w:color w:val="auto"/>
                <w:sz w:val="24"/>
              </w:rPr>
              <w:t>t/a</w:t>
            </w:r>
            <w:r>
              <w:rPr>
                <w:rFonts w:hint="eastAsia" w:eastAsiaTheme="minorEastAsia"/>
                <w:bCs/>
                <w:color w:val="auto"/>
                <w:sz w:val="24"/>
              </w:rPr>
              <w:t>（0.0204</w:t>
            </w:r>
            <w:r>
              <w:rPr>
                <w:rFonts w:eastAsiaTheme="minorEastAsia"/>
                <w:bCs/>
                <w:color w:val="auto"/>
                <w:sz w:val="24"/>
              </w:rPr>
              <w:t>kg/h</w:t>
            </w:r>
            <w:r>
              <w:rPr>
                <w:rFonts w:hint="eastAsia" w:eastAsiaTheme="minorEastAsia"/>
                <w:bCs/>
                <w:color w:val="auto"/>
                <w:sz w:val="24"/>
              </w:rPr>
              <w:t>，10.22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w:t>
            </w:r>
            <w:r>
              <w:rPr>
                <w:rFonts w:hint="eastAsia"/>
                <w:color w:val="auto"/>
                <w:kern w:val="0"/>
                <w:sz w:val="24"/>
              </w:rPr>
              <w:t>0037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rPr>
              <w:t>010</w:t>
            </w:r>
            <w:r>
              <w:rPr>
                <w:color w:val="auto"/>
                <w:kern w:val="0"/>
                <w:sz w:val="24"/>
              </w:rPr>
              <w:t>kg/h</w:t>
            </w:r>
            <w:r>
              <w:rPr>
                <w:rFonts w:hint="eastAsia"/>
                <w:color w:val="auto"/>
                <w:kern w:val="0"/>
                <w:sz w:val="24"/>
              </w:rPr>
              <w:t>、0.51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0.0184</w:t>
            </w:r>
            <w:r>
              <w:rPr>
                <w:rFonts w:eastAsiaTheme="minorEastAsia"/>
                <w:bCs/>
                <w:color w:val="auto"/>
                <w:sz w:val="24"/>
              </w:rPr>
              <w:t>t/a</w:t>
            </w:r>
            <w:r>
              <w:rPr>
                <w:rFonts w:hint="eastAsia" w:eastAsiaTheme="minorEastAsia"/>
                <w:bCs/>
                <w:color w:val="auto"/>
                <w:sz w:val="24"/>
              </w:rPr>
              <w:t>（0.0051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927FEB2">
            <w:pPr>
              <w:widowControl/>
              <w:autoSpaceDE w:val="0"/>
              <w:autoSpaceDN w:val="0"/>
              <w:adjustRightInd w:val="0"/>
              <w:snapToGrid w:val="0"/>
              <w:spacing w:line="360" w:lineRule="auto"/>
              <w:ind w:firstLine="482" w:firstLineChars="200"/>
              <w:rPr>
                <w:color w:val="auto"/>
                <w:sz w:val="24"/>
              </w:rPr>
            </w:pPr>
            <w:r>
              <w:rPr>
                <w:b/>
                <w:bCs/>
                <w:color w:val="auto"/>
                <w:sz w:val="24"/>
              </w:rPr>
              <w:t>1</w:t>
            </w:r>
            <w:r>
              <w:rPr>
                <w:rFonts w:hint="eastAsia"/>
                <w:b/>
                <w:bCs/>
                <w:color w:val="auto"/>
                <w:sz w:val="24"/>
              </w:rPr>
              <w:t>6</w:t>
            </w:r>
            <w:r>
              <w:rPr>
                <w:b/>
                <w:bCs/>
                <w:color w:val="auto"/>
                <w:sz w:val="24"/>
              </w:rPr>
              <w:t>、</w:t>
            </w:r>
            <w:r>
              <w:rPr>
                <w:rFonts w:hint="eastAsia"/>
                <w:b/>
                <w:bCs/>
                <w:color w:val="auto"/>
                <w:sz w:val="24"/>
              </w:rPr>
              <w:t>天然气燃烧废气</w:t>
            </w:r>
            <w:r>
              <w:rPr>
                <w:b/>
                <w:bCs/>
                <w:color w:val="auto"/>
                <w:sz w:val="24"/>
              </w:rPr>
              <w:t>：</w:t>
            </w:r>
            <w:r>
              <w:rPr>
                <w:rFonts w:hint="eastAsia"/>
                <w:color w:val="auto"/>
                <w:sz w:val="24"/>
              </w:rPr>
              <w:t>建设</w:t>
            </w:r>
            <w:r>
              <w:rPr>
                <w:color w:val="auto"/>
                <w:sz w:val="24"/>
              </w:rPr>
              <w:t>项目物料前处理后需进烘干炉烘干以及喷塑后需</w:t>
            </w:r>
            <w:r>
              <w:rPr>
                <w:rFonts w:hint="eastAsia"/>
                <w:color w:val="auto"/>
                <w:sz w:val="24"/>
                <w:lang w:eastAsia="zh-CN"/>
              </w:rPr>
              <w:t>进行烘干</w:t>
            </w:r>
            <w:r>
              <w:rPr>
                <w:color w:val="auto"/>
                <w:sz w:val="24"/>
              </w:rPr>
              <w:t>，热源为天然气</w:t>
            </w:r>
            <w:r>
              <w:rPr>
                <w:rFonts w:hint="eastAsia"/>
                <w:color w:val="auto"/>
                <w:sz w:val="24"/>
              </w:rPr>
              <w:t>，</w:t>
            </w:r>
            <w:r>
              <w:rPr>
                <w:color w:val="auto"/>
                <w:sz w:val="24"/>
              </w:rPr>
              <w:t>天然气为清洁能源其燃烧产物为二氧化碳和水，此外产生少量的SO</w:t>
            </w:r>
            <w:r>
              <w:rPr>
                <w:color w:val="auto"/>
                <w:sz w:val="24"/>
                <w:vertAlign w:val="subscript"/>
              </w:rPr>
              <w:t>2</w:t>
            </w:r>
            <w:r>
              <w:rPr>
                <w:color w:val="auto"/>
                <w:sz w:val="24"/>
              </w:rPr>
              <w:t>、NO</w:t>
            </w:r>
            <w:r>
              <w:rPr>
                <w:color w:val="auto"/>
                <w:sz w:val="24"/>
                <w:vertAlign w:val="subscript"/>
              </w:rPr>
              <w:t>X</w:t>
            </w:r>
            <w:r>
              <w:rPr>
                <w:color w:val="auto"/>
                <w:sz w:val="24"/>
              </w:rPr>
              <w:t>和烟尘。参照《排放源统计调查产排污核算方法和系数手册》-33-37，431-434机械行业系数手册，</w:t>
            </w:r>
            <w:r>
              <w:rPr>
                <w:rFonts w:hint="eastAsia"/>
                <w:color w:val="auto"/>
                <w:sz w:val="24"/>
              </w:rPr>
              <w:t>涂装件</w:t>
            </w:r>
            <w:r>
              <w:rPr>
                <w:color w:val="auto"/>
                <w:sz w:val="24"/>
              </w:rPr>
              <w:t>-</w:t>
            </w:r>
            <w:r>
              <w:rPr>
                <w:rFonts w:hint="eastAsia"/>
                <w:color w:val="auto"/>
                <w:sz w:val="24"/>
              </w:rPr>
              <w:t>天然气-</w:t>
            </w:r>
            <w:r>
              <w:rPr>
                <w:color w:val="auto"/>
                <w:sz w:val="24"/>
              </w:rPr>
              <w:t>天然气</w:t>
            </w:r>
            <w:r>
              <w:rPr>
                <w:rFonts w:hint="eastAsia"/>
                <w:color w:val="auto"/>
                <w:sz w:val="24"/>
              </w:rPr>
              <w:t>工业</w:t>
            </w:r>
            <w:r>
              <w:rPr>
                <w:color w:val="auto"/>
                <w:sz w:val="24"/>
              </w:rPr>
              <w:t>炉窑，</w:t>
            </w:r>
            <w:r>
              <w:rPr>
                <w:rFonts w:hint="eastAsia"/>
                <w:color w:val="auto"/>
                <w:sz w:val="24"/>
              </w:rPr>
              <w:t>产污系数情况如下表：</w:t>
            </w:r>
          </w:p>
          <w:tbl>
            <w:tblPr>
              <w:tblStyle w:val="9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1"/>
              <w:gridCol w:w="5875"/>
            </w:tblGrid>
            <w:tr w14:paraId="33FB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pct"/>
                  <w:vAlign w:val="center"/>
                </w:tcPr>
                <w:p w14:paraId="5FF05508">
                  <w:pPr>
                    <w:widowControl/>
                    <w:autoSpaceDE w:val="0"/>
                    <w:autoSpaceDN w:val="0"/>
                    <w:adjustRightInd w:val="0"/>
                    <w:snapToGrid w:val="0"/>
                    <w:spacing w:line="360" w:lineRule="auto"/>
                    <w:jc w:val="center"/>
                    <w:rPr>
                      <w:b/>
                      <w:bCs/>
                      <w:color w:val="auto"/>
                      <w:sz w:val="24"/>
                    </w:rPr>
                  </w:pPr>
                  <w:r>
                    <w:rPr>
                      <w:rFonts w:hint="eastAsia"/>
                      <w:b/>
                      <w:bCs/>
                      <w:color w:val="auto"/>
                      <w:sz w:val="24"/>
                    </w:rPr>
                    <w:t>名称</w:t>
                  </w:r>
                </w:p>
              </w:tc>
              <w:tc>
                <w:tcPr>
                  <w:tcW w:w="3465" w:type="pct"/>
                  <w:vAlign w:val="center"/>
                </w:tcPr>
                <w:p w14:paraId="13834F79">
                  <w:pPr>
                    <w:widowControl/>
                    <w:autoSpaceDE w:val="0"/>
                    <w:autoSpaceDN w:val="0"/>
                    <w:adjustRightInd w:val="0"/>
                    <w:snapToGrid w:val="0"/>
                    <w:spacing w:line="360" w:lineRule="auto"/>
                    <w:jc w:val="center"/>
                    <w:rPr>
                      <w:b/>
                      <w:bCs/>
                      <w:color w:val="auto"/>
                      <w:sz w:val="24"/>
                    </w:rPr>
                  </w:pPr>
                  <w:r>
                    <w:rPr>
                      <w:rFonts w:hint="eastAsia"/>
                      <w:b/>
                      <w:bCs/>
                      <w:color w:val="auto"/>
                      <w:sz w:val="24"/>
                    </w:rPr>
                    <w:t>产污系数</w:t>
                  </w:r>
                </w:p>
              </w:tc>
            </w:tr>
            <w:tr w14:paraId="35F0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pct"/>
                  <w:vAlign w:val="center"/>
                </w:tcPr>
                <w:p w14:paraId="3A05CBC8">
                  <w:pPr>
                    <w:widowControl/>
                    <w:autoSpaceDE w:val="0"/>
                    <w:autoSpaceDN w:val="0"/>
                    <w:adjustRightInd w:val="0"/>
                    <w:snapToGrid w:val="0"/>
                    <w:spacing w:line="360" w:lineRule="auto"/>
                    <w:jc w:val="center"/>
                    <w:rPr>
                      <w:color w:val="auto"/>
                      <w:sz w:val="24"/>
                    </w:rPr>
                  </w:pPr>
                  <w:r>
                    <w:rPr>
                      <w:color w:val="auto"/>
                      <w:sz w:val="24"/>
                    </w:rPr>
                    <w:t>工业废气量</w:t>
                  </w:r>
                </w:p>
              </w:tc>
              <w:tc>
                <w:tcPr>
                  <w:tcW w:w="3465" w:type="pct"/>
                  <w:vAlign w:val="center"/>
                </w:tcPr>
                <w:p w14:paraId="449E802E">
                  <w:pPr>
                    <w:widowControl/>
                    <w:autoSpaceDE w:val="0"/>
                    <w:autoSpaceDN w:val="0"/>
                    <w:adjustRightInd w:val="0"/>
                    <w:snapToGrid w:val="0"/>
                    <w:spacing w:line="360" w:lineRule="auto"/>
                    <w:jc w:val="center"/>
                    <w:rPr>
                      <w:color w:val="auto"/>
                      <w:sz w:val="24"/>
                    </w:rPr>
                  </w:pPr>
                  <w:r>
                    <w:rPr>
                      <w:color w:val="auto"/>
                      <w:sz w:val="24"/>
                    </w:rPr>
                    <w:t>13.6立方米/立方米</w:t>
                  </w:r>
                  <w:r>
                    <w:rPr>
                      <w:rFonts w:hint="eastAsia"/>
                      <w:color w:val="auto"/>
                      <w:sz w:val="24"/>
                      <w:lang w:eastAsia="zh-CN"/>
                    </w:rPr>
                    <w:t>－</w:t>
                  </w:r>
                  <w:r>
                    <w:rPr>
                      <w:color w:val="auto"/>
                      <w:sz w:val="24"/>
                    </w:rPr>
                    <w:t>原料</w:t>
                  </w:r>
                </w:p>
              </w:tc>
            </w:tr>
            <w:tr w14:paraId="48DF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pct"/>
                  <w:vAlign w:val="center"/>
                </w:tcPr>
                <w:p w14:paraId="3CBB1B68">
                  <w:pPr>
                    <w:widowControl/>
                    <w:autoSpaceDE w:val="0"/>
                    <w:autoSpaceDN w:val="0"/>
                    <w:adjustRightInd w:val="0"/>
                    <w:snapToGrid w:val="0"/>
                    <w:spacing w:line="360" w:lineRule="auto"/>
                    <w:jc w:val="center"/>
                    <w:rPr>
                      <w:color w:val="auto"/>
                      <w:sz w:val="24"/>
                    </w:rPr>
                  </w:pPr>
                  <w:r>
                    <w:rPr>
                      <w:rFonts w:hint="eastAsia"/>
                      <w:color w:val="auto"/>
                      <w:sz w:val="24"/>
                      <w:lang w:eastAsia="zh-CN"/>
                    </w:rPr>
                    <w:t>二、</w:t>
                  </w:r>
                  <w:r>
                    <w:rPr>
                      <w:color w:val="auto"/>
                      <w:sz w:val="24"/>
                    </w:rPr>
                    <w:t>氧化硫</w:t>
                  </w:r>
                </w:p>
              </w:tc>
              <w:tc>
                <w:tcPr>
                  <w:tcW w:w="3465" w:type="pct"/>
                  <w:vAlign w:val="center"/>
                </w:tcPr>
                <w:p w14:paraId="299C7D28">
                  <w:pPr>
                    <w:widowControl/>
                    <w:autoSpaceDE w:val="0"/>
                    <w:autoSpaceDN w:val="0"/>
                    <w:adjustRightInd w:val="0"/>
                    <w:snapToGrid w:val="0"/>
                    <w:spacing w:line="360" w:lineRule="auto"/>
                    <w:jc w:val="center"/>
                    <w:rPr>
                      <w:color w:val="auto"/>
                      <w:sz w:val="24"/>
                    </w:rPr>
                  </w:pPr>
                  <w:r>
                    <w:rPr>
                      <w:color w:val="auto"/>
                      <w:sz w:val="24"/>
                    </w:rPr>
                    <w:t>0.000002S千克/立方米</w:t>
                  </w:r>
                  <w:r>
                    <w:rPr>
                      <w:rFonts w:hint="eastAsia"/>
                      <w:color w:val="auto"/>
                      <w:sz w:val="24"/>
                      <w:lang w:eastAsia="zh-CN"/>
                    </w:rPr>
                    <w:t>－</w:t>
                  </w:r>
                  <w:r>
                    <w:rPr>
                      <w:color w:val="auto"/>
                      <w:sz w:val="24"/>
                    </w:rPr>
                    <w:t>原料</w:t>
                  </w:r>
                  <w:r>
                    <w:rPr>
                      <w:rFonts w:hint="eastAsia"/>
                      <w:color w:val="auto"/>
                      <w:sz w:val="24"/>
                    </w:rPr>
                    <w:t>*</w:t>
                  </w:r>
                </w:p>
              </w:tc>
            </w:tr>
            <w:tr w14:paraId="7545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pct"/>
                  <w:vAlign w:val="center"/>
                </w:tcPr>
                <w:p w14:paraId="68BCEF86">
                  <w:pPr>
                    <w:widowControl/>
                    <w:autoSpaceDE w:val="0"/>
                    <w:autoSpaceDN w:val="0"/>
                    <w:adjustRightInd w:val="0"/>
                    <w:snapToGrid w:val="0"/>
                    <w:spacing w:line="360" w:lineRule="auto"/>
                    <w:jc w:val="center"/>
                    <w:rPr>
                      <w:color w:val="auto"/>
                      <w:sz w:val="24"/>
                    </w:rPr>
                  </w:pPr>
                  <w:r>
                    <w:rPr>
                      <w:color w:val="auto"/>
                      <w:sz w:val="24"/>
                    </w:rPr>
                    <w:t>氮氧化物</w:t>
                  </w:r>
                </w:p>
              </w:tc>
              <w:tc>
                <w:tcPr>
                  <w:tcW w:w="3465" w:type="pct"/>
                  <w:vAlign w:val="center"/>
                </w:tcPr>
                <w:p w14:paraId="2E340C90">
                  <w:pPr>
                    <w:widowControl/>
                    <w:autoSpaceDE w:val="0"/>
                    <w:autoSpaceDN w:val="0"/>
                    <w:adjustRightInd w:val="0"/>
                    <w:snapToGrid w:val="0"/>
                    <w:spacing w:line="360" w:lineRule="auto"/>
                    <w:jc w:val="center"/>
                    <w:rPr>
                      <w:color w:val="auto"/>
                      <w:sz w:val="24"/>
                    </w:rPr>
                  </w:pPr>
                  <w:r>
                    <w:rPr>
                      <w:color w:val="auto"/>
                      <w:sz w:val="24"/>
                    </w:rPr>
                    <w:t>0.00187千克/立方米</w:t>
                  </w:r>
                  <w:r>
                    <w:rPr>
                      <w:rFonts w:hint="eastAsia"/>
                      <w:color w:val="auto"/>
                      <w:sz w:val="24"/>
                      <w:lang w:eastAsia="zh-CN"/>
                    </w:rPr>
                    <w:t>－</w:t>
                  </w:r>
                  <w:r>
                    <w:rPr>
                      <w:color w:val="auto"/>
                      <w:sz w:val="24"/>
                    </w:rPr>
                    <w:t>原料</w:t>
                  </w:r>
                </w:p>
              </w:tc>
            </w:tr>
            <w:tr w14:paraId="6790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4" w:type="pct"/>
                  <w:vAlign w:val="center"/>
                </w:tcPr>
                <w:p w14:paraId="44B45A9E">
                  <w:pPr>
                    <w:widowControl/>
                    <w:autoSpaceDE w:val="0"/>
                    <w:autoSpaceDN w:val="0"/>
                    <w:adjustRightInd w:val="0"/>
                    <w:snapToGrid w:val="0"/>
                    <w:spacing w:line="360" w:lineRule="auto"/>
                    <w:jc w:val="center"/>
                    <w:rPr>
                      <w:color w:val="auto"/>
                      <w:sz w:val="24"/>
                    </w:rPr>
                  </w:pPr>
                  <w:r>
                    <w:rPr>
                      <w:color w:val="auto"/>
                      <w:sz w:val="24"/>
                    </w:rPr>
                    <w:t>颗粒物</w:t>
                  </w:r>
                </w:p>
              </w:tc>
              <w:tc>
                <w:tcPr>
                  <w:tcW w:w="3465" w:type="pct"/>
                  <w:vAlign w:val="center"/>
                </w:tcPr>
                <w:p w14:paraId="1303C259">
                  <w:pPr>
                    <w:widowControl/>
                    <w:autoSpaceDE w:val="0"/>
                    <w:autoSpaceDN w:val="0"/>
                    <w:adjustRightInd w:val="0"/>
                    <w:snapToGrid w:val="0"/>
                    <w:spacing w:line="360" w:lineRule="auto"/>
                    <w:jc w:val="center"/>
                    <w:rPr>
                      <w:color w:val="auto"/>
                      <w:sz w:val="24"/>
                    </w:rPr>
                  </w:pPr>
                  <w:r>
                    <w:rPr>
                      <w:color w:val="auto"/>
                      <w:sz w:val="24"/>
                    </w:rPr>
                    <w:t>0.000286千克/立方米</w:t>
                  </w:r>
                </w:p>
              </w:tc>
            </w:tr>
          </w:tbl>
          <w:p w14:paraId="01DC69A5">
            <w:pPr>
              <w:widowControl/>
              <w:autoSpaceDE w:val="0"/>
              <w:autoSpaceDN w:val="0"/>
              <w:adjustRightInd w:val="0"/>
              <w:snapToGrid w:val="0"/>
              <w:spacing w:line="360" w:lineRule="auto"/>
              <w:rPr>
                <w:color w:val="auto"/>
                <w:szCs w:val="21"/>
              </w:rPr>
            </w:pPr>
            <w:r>
              <w:rPr>
                <w:rFonts w:hint="eastAsia"/>
                <w:color w:val="auto"/>
                <w:szCs w:val="21"/>
              </w:rPr>
              <w:t>注：*</w:t>
            </w:r>
            <w:r>
              <w:rPr>
                <w:color w:val="auto"/>
                <w:szCs w:val="21"/>
              </w:rPr>
              <w:t>本项目天然气属于一级天然气，根据《天然气》（GB17820-2018），每一立方天然气含有20毫克二氧化硫，S=20</w:t>
            </w:r>
            <w:r>
              <w:rPr>
                <w:rFonts w:hint="eastAsia"/>
                <w:color w:val="auto"/>
                <w:szCs w:val="21"/>
              </w:rPr>
              <w:t>。</w:t>
            </w:r>
          </w:p>
          <w:p w14:paraId="204217A6">
            <w:pPr>
              <w:widowControl/>
              <w:autoSpaceDE w:val="0"/>
              <w:autoSpaceDN w:val="0"/>
              <w:adjustRightInd w:val="0"/>
              <w:snapToGrid w:val="0"/>
              <w:spacing w:line="360" w:lineRule="auto"/>
              <w:ind w:firstLine="480" w:firstLineChars="200"/>
              <w:rPr>
                <w:color w:val="auto"/>
                <w:sz w:val="24"/>
              </w:rPr>
            </w:pPr>
            <w:r>
              <w:rPr>
                <w:rFonts w:hint="eastAsia"/>
                <w:color w:val="auto"/>
                <w:sz w:val="24"/>
              </w:rPr>
              <w:t>根据企业提供资料，天然气年用量约为147000立方米，则二氧化硫产生量为0.00588t/a，氮氧化物产生量为0.27489t/a，烟尘产生量为0.042042t/a，此部分废气通过管道百分百收集后经过15m高DA005</w:t>
            </w:r>
            <w:r>
              <w:rPr>
                <w:color w:val="auto"/>
                <w:sz w:val="24"/>
              </w:rPr>
              <w:t>直接</w:t>
            </w:r>
            <w:r>
              <w:rPr>
                <w:rFonts w:hint="eastAsia"/>
                <w:color w:val="auto"/>
                <w:sz w:val="24"/>
              </w:rPr>
              <w:t>排出，烟气量=13.6*147000=1999220立方米/a（555m</w:t>
            </w:r>
            <w:r>
              <w:rPr>
                <w:rFonts w:hint="eastAsia"/>
                <w:color w:val="auto"/>
                <w:sz w:val="24"/>
                <w:vertAlign w:val="superscript"/>
              </w:rPr>
              <w:t>3</w:t>
            </w:r>
            <w:r>
              <w:rPr>
                <w:rFonts w:hint="eastAsia"/>
                <w:color w:val="auto"/>
                <w:sz w:val="24"/>
              </w:rPr>
              <w:t>/h），因此风量为555m</w:t>
            </w:r>
            <w:r>
              <w:rPr>
                <w:rFonts w:hint="eastAsia"/>
                <w:color w:val="auto"/>
                <w:sz w:val="24"/>
                <w:vertAlign w:val="superscript"/>
              </w:rPr>
              <w:t>3</w:t>
            </w:r>
            <w:r>
              <w:rPr>
                <w:rFonts w:hint="eastAsia"/>
                <w:color w:val="auto"/>
                <w:sz w:val="24"/>
              </w:rPr>
              <w:t>/h</w:t>
            </w:r>
            <w:r>
              <w:rPr>
                <w:rFonts w:eastAsiaTheme="minorEastAsia"/>
                <w:bCs/>
                <w:color w:val="auto"/>
                <w:sz w:val="24"/>
              </w:rPr>
              <w:t>，</w:t>
            </w:r>
            <w:r>
              <w:rPr>
                <w:rFonts w:hint="eastAsia" w:eastAsiaTheme="minorEastAsia"/>
                <w:bCs/>
                <w:color w:val="auto"/>
                <w:sz w:val="24"/>
              </w:rPr>
              <w:t>由于其他工艺也使用本排气筒，涉及其他工艺风机风量和为13000</w:t>
            </w:r>
            <w:r>
              <w:rPr>
                <w:rFonts w:hint="eastAsia"/>
                <w:color w:val="auto"/>
                <w:sz w:val="24"/>
              </w:rPr>
              <w:t>m</w:t>
            </w:r>
            <w:r>
              <w:rPr>
                <w:rFonts w:hint="eastAsia"/>
                <w:color w:val="auto"/>
                <w:sz w:val="24"/>
                <w:vertAlign w:val="superscript"/>
              </w:rPr>
              <w:t>3</w:t>
            </w:r>
            <w:r>
              <w:rPr>
                <w:rFonts w:hint="eastAsia"/>
                <w:color w:val="auto"/>
                <w:sz w:val="24"/>
              </w:rPr>
              <w:t>/h，因此</w:t>
            </w:r>
            <w:r>
              <w:rPr>
                <w:rFonts w:hint="eastAsia" w:eastAsiaTheme="minorEastAsia"/>
                <w:bCs/>
                <w:color w:val="auto"/>
                <w:sz w:val="24"/>
              </w:rPr>
              <w:t>本排气筒总风量为13555</w:t>
            </w:r>
            <w:r>
              <w:rPr>
                <w:rFonts w:hint="eastAsia"/>
                <w:color w:val="auto"/>
                <w:sz w:val="24"/>
              </w:rPr>
              <w:t>m</w:t>
            </w:r>
            <w:r>
              <w:rPr>
                <w:rFonts w:hint="eastAsia"/>
                <w:color w:val="auto"/>
                <w:sz w:val="24"/>
                <w:vertAlign w:val="superscript"/>
              </w:rPr>
              <w:t>3</w:t>
            </w:r>
            <w:r>
              <w:rPr>
                <w:rFonts w:hint="eastAsia"/>
                <w:color w:val="auto"/>
                <w:sz w:val="24"/>
              </w:rPr>
              <w:t>/h，</w:t>
            </w:r>
            <w:r>
              <w:rPr>
                <w:rFonts w:eastAsiaTheme="minorEastAsia"/>
                <w:bCs/>
                <w:color w:val="auto"/>
                <w:sz w:val="24"/>
              </w:rPr>
              <w:t>因此</w:t>
            </w:r>
            <w:r>
              <w:rPr>
                <w:color w:val="auto"/>
                <w:sz w:val="24"/>
              </w:rPr>
              <w:t>二氧化硫产生量为0.00588t/a，二氧化硫的排放速率为0.0016kg/h，排放浓度为0.</w:t>
            </w:r>
            <w:r>
              <w:rPr>
                <w:rFonts w:hint="eastAsia"/>
                <w:color w:val="auto"/>
                <w:sz w:val="24"/>
              </w:rPr>
              <w:t>12</w:t>
            </w:r>
            <w:r>
              <w:rPr>
                <w:color w:val="auto"/>
                <w:sz w:val="24"/>
              </w:rPr>
              <w:t>mg/m</w:t>
            </w:r>
            <w:r>
              <w:rPr>
                <w:color w:val="auto"/>
                <w:sz w:val="24"/>
                <w:vertAlign w:val="superscript"/>
              </w:rPr>
              <w:t>3</w:t>
            </w:r>
            <w:r>
              <w:rPr>
                <w:color w:val="auto"/>
                <w:sz w:val="24"/>
              </w:rPr>
              <w:t>；烟尘产生量为</w:t>
            </w:r>
            <w:r>
              <w:rPr>
                <w:rFonts w:hint="eastAsia"/>
                <w:color w:val="auto"/>
                <w:sz w:val="24"/>
              </w:rPr>
              <w:t>0.0</w:t>
            </w:r>
            <w:r>
              <w:rPr>
                <w:color w:val="auto"/>
                <w:sz w:val="24"/>
              </w:rPr>
              <w:t>42t/a，烟尘的排放速率为0.0117kg/h，排放浓度为</w:t>
            </w:r>
            <w:r>
              <w:rPr>
                <w:rFonts w:hint="eastAsia"/>
                <w:color w:val="auto"/>
                <w:sz w:val="24"/>
              </w:rPr>
              <w:t>0.86</w:t>
            </w:r>
            <w:r>
              <w:rPr>
                <w:color w:val="auto"/>
                <w:sz w:val="24"/>
              </w:rPr>
              <w:t>mg/m</w:t>
            </w:r>
            <w:r>
              <w:rPr>
                <w:color w:val="auto"/>
                <w:sz w:val="24"/>
                <w:vertAlign w:val="superscript"/>
              </w:rPr>
              <w:t>3</w:t>
            </w:r>
            <w:r>
              <w:rPr>
                <w:color w:val="auto"/>
                <w:sz w:val="24"/>
              </w:rPr>
              <w:t>；氮氧化物产生量为0.27489t/a，氮氧化物的排放速率为0.0764kg/h，排放浓度为</w:t>
            </w:r>
            <w:r>
              <w:rPr>
                <w:rFonts w:hint="eastAsia"/>
                <w:color w:val="auto"/>
                <w:sz w:val="24"/>
              </w:rPr>
              <w:t>5.63</w:t>
            </w:r>
            <w:r>
              <w:rPr>
                <w:color w:val="auto"/>
                <w:sz w:val="24"/>
              </w:rPr>
              <w:t>mg/m</w:t>
            </w:r>
            <w:r>
              <w:rPr>
                <w:color w:val="auto"/>
                <w:sz w:val="24"/>
                <w:vertAlign w:val="superscript"/>
              </w:rPr>
              <w:t>3</w:t>
            </w:r>
            <w:r>
              <w:rPr>
                <w:color w:val="auto"/>
                <w:sz w:val="24"/>
              </w:rPr>
              <w:t>；天然气产生的颗粒物、二氧化硫、氮氧化物排放满足《江苏省工业炉窑大气污染物排放标准》（DB32/3728—2020）排放限值。</w:t>
            </w:r>
          </w:p>
          <w:p w14:paraId="7523C2B0">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17.</w:t>
            </w:r>
            <w:r>
              <w:rPr>
                <w:b/>
                <w:bCs/>
                <w:color w:val="auto"/>
                <w:sz w:val="24"/>
              </w:rPr>
              <w:t>喷涂</w:t>
            </w:r>
            <w:r>
              <w:rPr>
                <w:rFonts w:hint="eastAsia"/>
                <w:b/>
                <w:bCs/>
                <w:color w:val="auto"/>
                <w:sz w:val="24"/>
              </w:rPr>
              <w:t>废气</w:t>
            </w:r>
            <w:r>
              <w:rPr>
                <w:b/>
                <w:bCs/>
                <w:color w:val="auto"/>
                <w:sz w:val="24"/>
              </w:rPr>
              <w:t>：</w:t>
            </w:r>
            <w:r>
              <w:rPr>
                <w:rFonts w:hint="eastAsia"/>
                <w:color w:val="auto"/>
                <w:sz w:val="24"/>
              </w:rPr>
              <w:t>建设</w:t>
            </w:r>
            <w:r>
              <w:rPr>
                <w:color w:val="auto"/>
                <w:sz w:val="24"/>
              </w:rPr>
              <w:t>项目</w:t>
            </w:r>
            <w:r>
              <w:rPr>
                <w:rFonts w:hint="eastAsia"/>
                <w:color w:val="auto"/>
                <w:sz w:val="24"/>
              </w:rPr>
              <w:t>喷粉工艺会产生颗粒物，</w:t>
            </w:r>
            <w:r>
              <w:rPr>
                <w:color w:val="auto"/>
                <w:sz w:val="24"/>
              </w:rPr>
              <w:t>根据《排放源统计调查产排污核算方法和系数手册》-33-37，431-434机械行业系数手册，</w:t>
            </w:r>
            <w:r>
              <w:rPr>
                <w:rFonts w:hint="eastAsia"/>
                <w:color w:val="auto"/>
                <w:sz w:val="24"/>
              </w:rPr>
              <w:t>涂装件-粉末涂料-喷塑</w:t>
            </w:r>
            <w:r>
              <w:rPr>
                <w:color w:val="auto"/>
                <w:sz w:val="24"/>
              </w:rPr>
              <w:t>产污系数为</w:t>
            </w:r>
            <w:r>
              <w:rPr>
                <w:rFonts w:hint="eastAsia"/>
                <w:color w:val="auto"/>
                <w:sz w:val="24"/>
              </w:rPr>
              <w:t>300</w:t>
            </w:r>
            <w:r>
              <w:rPr>
                <w:color w:val="auto"/>
                <w:sz w:val="24"/>
              </w:rPr>
              <w:t>千克/吨-原料</w:t>
            </w:r>
            <w:r>
              <w:rPr>
                <w:rFonts w:hint="eastAsia"/>
                <w:color w:val="auto"/>
                <w:sz w:val="24"/>
              </w:rPr>
              <w:t>，根据企业提供资料年使用塑粉20吨，因此喷涂颗粒物产生量为300*20/1000=6t/a，项目喷涂设备为封闭式全自动化喷涂，采用管道收集系统，并安装有粉末回收/处理系统，考虑工件喷涂完成后进出，因此收集效率以95%计，本项目配备大旋风喷粉房回收处置系统，喷涂颗粒物经过管道收集+喷粉回收处置系统处理+15m高排气筒（DA005）排出，</w:t>
            </w:r>
            <w:r>
              <w:rPr>
                <w:rFonts w:hint="eastAsia" w:hAnsiTheme="minorEastAsia" w:eastAsiaTheme="minorEastAsia"/>
                <w:bCs/>
                <w:color w:val="auto"/>
                <w:sz w:val="24"/>
              </w:rPr>
              <w:t>回收/处理</w:t>
            </w:r>
            <w:r>
              <w:rPr>
                <w:rFonts w:hAnsiTheme="minorEastAsia" w:eastAsiaTheme="minorEastAsia"/>
                <w:bCs/>
                <w:color w:val="auto"/>
                <w:sz w:val="24"/>
              </w:rPr>
              <w:t>效率按</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计，设计风量为</w:t>
            </w:r>
            <w:r>
              <w:rPr>
                <w:rFonts w:hint="eastAsia" w:hAnsiTheme="minorEastAsia" w:eastAsiaTheme="minorEastAsia"/>
                <w:bCs/>
                <w:color w:val="auto"/>
                <w:sz w:val="24"/>
              </w:rPr>
              <w:t>10000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5.7</w:t>
            </w:r>
            <w:r>
              <w:rPr>
                <w:rFonts w:eastAsiaTheme="minorEastAsia"/>
                <w:bCs/>
                <w:color w:val="auto"/>
                <w:sz w:val="24"/>
              </w:rPr>
              <w:t>t/a</w:t>
            </w:r>
            <w:r>
              <w:rPr>
                <w:rFonts w:hint="eastAsia" w:eastAsiaTheme="minorEastAsia"/>
                <w:bCs/>
                <w:color w:val="auto"/>
                <w:sz w:val="24"/>
              </w:rPr>
              <w:t>（1.5833</w:t>
            </w:r>
            <w:r>
              <w:rPr>
                <w:rFonts w:eastAsiaTheme="minorEastAsia"/>
                <w:bCs/>
                <w:color w:val="auto"/>
                <w:sz w:val="24"/>
              </w:rPr>
              <w:t>kg/h</w:t>
            </w:r>
            <w:r>
              <w:rPr>
                <w:rFonts w:hint="eastAsia" w:eastAsiaTheme="minorEastAsia"/>
                <w:bCs/>
                <w:color w:val="auto"/>
                <w:sz w:val="24"/>
              </w:rPr>
              <w:t>，158.33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w:t>
            </w:r>
            <w:r>
              <w:rPr>
                <w:rFonts w:hint="eastAsia"/>
                <w:color w:val="auto"/>
                <w:kern w:val="0"/>
                <w:sz w:val="24"/>
              </w:rPr>
              <w:t>285</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rPr>
              <w:t>792</w:t>
            </w:r>
            <w:r>
              <w:rPr>
                <w:color w:val="auto"/>
                <w:kern w:val="0"/>
                <w:sz w:val="24"/>
              </w:rPr>
              <w:t>kg/h</w:t>
            </w:r>
            <w:r>
              <w:rPr>
                <w:rFonts w:hint="eastAsia"/>
                <w:color w:val="auto"/>
                <w:kern w:val="0"/>
                <w:sz w:val="24"/>
              </w:rPr>
              <w:t>、7.92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0.3</w:t>
            </w:r>
            <w:r>
              <w:rPr>
                <w:rFonts w:eastAsiaTheme="minorEastAsia"/>
                <w:bCs/>
                <w:color w:val="auto"/>
                <w:sz w:val="24"/>
              </w:rPr>
              <w:t>t/a</w:t>
            </w:r>
            <w:r>
              <w:rPr>
                <w:rFonts w:hint="eastAsia" w:eastAsiaTheme="minorEastAsia"/>
                <w:bCs/>
                <w:color w:val="auto"/>
                <w:sz w:val="24"/>
              </w:rPr>
              <w:t>（0.0833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A3EA528">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18.</w:t>
            </w:r>
            <w:r>
              <w:rPr>
                <w:rFonts w:hint="eastAsia"/>
                <w:b/>
                <w:bCs/>
                <w:color w:val="auto"/>
                <w:sz w:val="24"/>
              </w:rPr>
              <w:t>烘烤固化废气</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烘烤固化</w:t>
            </w:r>
            <w:r>
              <w:rPr>
                <w:rFonts w:hAnsiTheme="minorEastAsia" w:eastAsiaTheme="minorEastAsia"/>
                <w:color w:val="auto"/>
                <w:sz w:val="24"/>
              </w:rPr>
              <w:t>工序会产生</w:t>
            </w:r>
            <w:r>
              <w:rPr>
                <w:rFonts w:hint="eastAsia"/>
                <w:color w:val="auto"/>
                <w:sz w:val="24"/>
              </w:rPr>
              <w:t>挥发性有机物</w:t>
            </w:r>
            <w:r>
              <w:rPr>
                <w:rFonts w:hAnsiTheme="minorEastAsia" w:eastAsiaTheme="minorEastAsia"/>
                <w:color w:val="auto"/>
                <w:sz w:val="24"/>
              </w:rPr>
              <w:t>，</w:t>
            </w:r>
            <w:r>
              <w:rPr>
                <w:color w:val="auto"/>
                <w:sz w:val="24"/>
              </w:rPr>
              <w:t>根据《排放源统计调查产排污核算方法和系数手册》-33-37，431-434机械行业系数手册，</w:t>
            </w:r>
            <w:r>
              <w:rPr>
                <w:rFonts w:hint="eastAsia"/>
                <w:color w:val="auto"/>
                <w:sz w:val="24"/>
              </w:rPr>
              <w:t>涂装件-粉末涂料-喷塑后烘干</w:t>
            </w:r>
            <w:r>
              <w:rPr>
                <w:color w:val="auto"/>
                <w:sz w:val="24"/>
              </w:rPr>
              <w:t>产污系数为</w:t>
            </w:r>
            <w:r>
              <w:rPr>
                <w:rFonts w:hint="eastAsia"/>
                <w:color w:val="auto"/>
                <w:sz w:val="24"/>
              </w:rPr>
              <w:t>1.20</w:t>
            </w:r>
            <w:r>
              <w:rPr>
                <w:color w:val="auto"/>
                <w:sz w:val="24"/>
              </w:rPr>
              <w:t>千克/吨-原料</w:t>
            </w:r>
            <w:r>
              <w:rPr>
                <w:rFonts w:hint="eastAsia"/>
                <w:color w:val="auto"/>
                <w:sz w:val="24"/>
              </w:rPr>
              <w:t>，根据企业提供资料年使用塑粉20吨，因此烘干非甲烷总烃产生量为1.2*20/1000=0.024t/a，烘烤固化炉使用时为密闭环境，收集效率以95%计，本项目配备环保设备二级活性炭装置，烘干非甲烷总烃经过管道收集+二级活性炭+15m高排气筒（DA005）排出，</w:t>
            </w:r>
            <w:r>
              <w:rPr>
                <w:rFonts w:hAnsiTheme="minorEastAsia" w:eastAsiaTheme="minorEastAsia"/>
                <w:bCs/>
                <w:color w:val="auto"/>
                <w:sz w:val="24"/>
              </w:rPr>
              <w:t>收集效率以</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计，处理效率按</w:t>
            </w:r>
            <w:r>
              <w:rPr>
                <w:rFonts w:hint="eastAsia" w:eastAsiaTheme="minorEastAsia"/>
                <w:bCs/>
                <w:color w:val="auto"/>
                <w:sz w:val="24"/>
              </w:rPr>
              <w:t>90</w:t>
            </w:r>
            <w:r>
              <w:rPr>
                <w:rFonts w:eastAsiaTheme="minorEastAsia"/>
                <w:bCs/>
                <w:color w:val="auto"/>
                <w:sz w:val="24"/>
              </w:rPr>
              <w:t>%</w:t>
            </w:r>
            <w:r>
              <w:rPr>
                <w:rFonts w:hAnsiTheme="minorEastAsia" w:eastAsiaTheme="minorEastAsia"/>
                <w:bCs/>
                <w:color w:val="auto"/>
                <w:sz w:val="24"/>
              </w:rPr>
              <w:t>计，设计风量为</w:t>
            </w:r>
            <w:r>
              <w:rPr>
                <w:rFonts w:hint="eastAsia" w:hAnsiTheme="minorEastAsia" w:eastAsiaTheme="minorEastAsia"/>
                <w:bCs/>
                <w:color w:val="auto"/>
                <w:sz w:val="24"/>
              </w:rPr>
              <w:t>2000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0228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063</w:t>
            </w:r>
            <w:r>
              <w:rPr>
                <w:rFonts w:eastAsiaTheme="minorEastAsia"/>
                <w:bCs/>
                <w:color w:val="auto"/>
                <w:sz w:val="24"/>
              </w:rPr>
              <w:t>kg/h</w:t>
            </w:r>
            <w:r>
              <w:rPr>
                <w:rFonts w:hint="eastAsia" w:eastAsiaTheme="minorEastAsia"/>
                <w:bCs/>
                <w:color w:val="auto"/>
                <w:sz w:val="24"/>
              </w:rPr>
              <w:t>、3.17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00228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006</w:t>
            </w:r>
            <w:r>
              <w:rPr>
                <w:rFonts w:eastAsiaTheme="minorEastAsia"/>
                <w:bCs/>
                <w:color w:val="auto"/>
                <w:sz w:val="24"/>
              </w:rPr>
              <w:t>kg/h</w:t>
            </w:r>
            <w:r>
              <w:rPr>
                <w:rFonts w:hint="eastAsia" w:eastAsiaTheme="minorEastAsia"/>
                <w:bCs/>
                <w:color w:val="auto"/>
                <w:sz w:val="24"/>
              </w:rPr>
              <w:t>、0.32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012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（注：由于废气收集管道较长，有机废气在进入活性炭吸附装置之前已降温至40℃以下，不会影响活性炭吸附效率影响）。</w:t>
            </w:r>
          </w:p>
          <w:p w14:paraId="49D82800">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19.</w:t>
            </w:r>
            <w:r>
              <w:rPr>
                <w:rFonts w:hint="eastAsia"/>
                <w:b/>
                <w:bCs/>
                <w:color w:val="auto"/>
                <w:sz w:val="24"/>
              </w:rPr>
              <w:t>抛光粉尘</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抛光工序采用环保湿式抛光一体机进行抛光处理，抛光粉尘沿着空气流动方向随着</w:t>
            </w:r>
            <w:r>
              <w:rPr>
                <w:rFonts w:hint="eastAsia" w:hAnsiTheme="minorEastAsia" w:eastAsiaTheme="minorEastAsia"/>
                <w:color w:val="auto"/>
                <w:sz w:val="24"/>
                <w:lang w:eastAsia="zh-CN"/>
              </w:rPr>
              <w:t>惯性</w:t>
            </w:r>
            <w:r>
              <w:rPr>
                <w:rFonts w:hint="eastAsia" w:hAnsiTheme="minorEastAsia" w:eastAsiaTheme="minorEastAsia"/>
                <w:color w:val="auto"/>
                <w:sz w:val="24"/>
              </w:rPr>
              <w:t>继续按照原来的运动方向作用下带入水帘柜的水幕，无抛光粉尘产生及排放。水帘幕柜自来水循环使用，水帘幕废水定期更换，产生的水帘幕废液作为危废委托资质单位处理。</w:t>
            </w:r>
          </w:p>
          <w:p w14:paraId="7BFA87EF">
            <w:pPr>
              <w:widowControl/>
              <w:autoSpaceDE w:val="0"/>
              <w:autoSpaceDN w:val="0"/>
              <w:adjustRightInd w:val="0"/>
              <w:snapToGrid w:val="0"/>
              <w:spacing w:line="360" w:lineRule="auto"/>
              <w:ind w:firstLine="482" w:firstLineChars="200"/>
              <w:rPr>
                <w:b/>
                <w:bCs/>
                <w:color w:val="auto"/>
                <w:sz w:val="24"/>
              </w:rPr>
            </w:pPr>
            <w:r>
              <w:rPr>
                <w:rFonts w:hint="eastAsia"/>
                <w:b/>
                <w:bCs/>
                <w:color w:val="auto"/>
                <w:sz w:val="24"/>
              </w:rPr>
              <w:t>四、亚克力组件生产工艺</w:t>
            </w:r>
          </w:p>
          <w:p w14:paraId="2D915E77">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rPr>
              <w:t>20</w:t>
            </w:r>
            <w:r>
              <w:rPr>
                <w:b/>
                <w:bCs/>
                <w:color w:val="auto"/>
                <w:sz w:val="24"/>
              </w:rPr>
              <w:t>、</w:t>
            </w:r>
            <w:r>
              <w:rPr>
                <w:rFonts w:hint="eastAsia"/>
                <w:b/>
                <w:bCs/>
                <w:color w:val="auto"/>
                <w:sz w:val="24"/>
              </w:rPr>
              <w:t>下料废气、打标、热弯废气</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原料下料、打标、热弯</w:t>
            </w:r>
            <w:r>
              <w:rPr>
                <w:rFonts w:hAnsiTheme="minorEastAsia" w:eastAsiaTheme="minorEastAsia"/>
                <w:color w:val="auto"/>
                <w:sz w:val="24"/>
              </w:rPr>
              <w:t>工序会产生</w:t>
            </w:r>
            <w:r>
              <w:rPr>
                <w:rFonts w:hint="eastAsia" w:hAnsiTheme="minorEastAsia" w:eastAsiaTheme="minorEastAsia"/>
                <w:color w:val="auto"/>
                <w:sz w:val="24"/>
              </w:rPr>
              <w:t>挥发性有机物，本项目以非甲烷总烃计。根据《空气污染物排放和控制手册工业污染源调查与研究第二辑》（美国环保局编）中推荐的废气排放系数，非甲烷总烃产生量为0.35kg/t，本项目亚克力板材年使用量为180吨，对外购的亚克力板材根据形状进行切割、打标受热、热弯折弯，本项目与</w:t>
            </w:r>
            <w:r>
              <w:rPr>
                <w:rFonts w:hint="eastAsia"/>
                <w:color w:val="auto"/>
                <w:sz w:val="24"/>
              </w:rPr>
              <w:t>柯萨化妆品陈列设备（昆山）有限公司工艺一致，根据柯萨化妆品陈列设备（昆山）有限公司验收数据，</w:t>
            </w:r>
            <w:r>
              <w:rPr>
                <w:rFonts w:hint="eastAsia" w:hAnsiTheme="minorEastAsia" w:eastAsiaTheme="minorEastAsia"/>
                <w:color w:val="auto"/>
                <w:sz w:val="24"/>
              </w:rPr>
              <w:t>其中切割受热量约为10t/a，打标受热量约为10t/a，热弯受热量约为30t/a，共计受热量为50t/a，则本工序非甲烷总烃废气产生量约50*0.35/1000=0.0175t/a。拟通过集气罩收集+二级活性炭+15m高排气筒（DA006）排放，收集效率以80%计，处理效率以90%计，设置风机风量为3000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rPr>
              <w:t>，</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014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039</w:t>
            </w:r>
            <w:r>
              <w:rPr>
                <w:rFonts w:eastAsiaTheme="minorEastAsia"/>
                <w:bCs/>
                <w:color w:val="auto"/>
                <w:sz w:val="24"/>
              </w:rPr>
              <w:t>kg/h</w:t>
            </w:r>
            <w:r>
              <w:rPr>
                <w:rFonts w:hint="eastAsia" w:eastAsiaTheme="minorEastAsia"/>
                <w:bCs/>
                <w:color w:val="auto"/>
                <w:sz w:val="24"/>
              </w:rPr>
              <w:t>、1.30</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0014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004</w:t>
            </w:r>
            <w:r>
              <w:rPr>
                <w:rFonts w:eastAsiaTheme="minorEastAsia"/>
                <w:bCs/>
                <w:color w:val="auto"/>
                <w:sz w:val="24"/>
              </w:rPr>
              <w:t>kg/h</w:t>
            </w:r>
            <w:r>
              <w:rPr>
                <w:rFonts w:hint="eastAsia" w:eastAsiaTheme="minorEastAsia"/>
                <w:bCs/>
                <w:color w:val="auto"/>
                <w:sz w:val="24"/>
              </w:rPr>
              <w:t>、0.13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035</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010</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75A3B6A4">
            <w:pPr>
              <w:widowControl/>
              <w:autoSpaceDE w:val="0"/>
              <w:autoSpaceDN w:val="0"/>
              <w:adjustRightInd w:val="0"/>
              <w:snapToGrid w:val="0"/>
              <w:spacing w:line="360" w:lineRule="auto"/>
              <w:ind w:firstLine="482" w:firstLineChars="200"/>
              <w:rPr>
                <w:rFonts w:hint="eastAsia" w:hAnsiTheme="minorEastAsia" w:eastAsiaTheme="minorEastAsia"/>
                <w:color w:val="auto"/>
                <w:sz w:val="24"/>
              </w:rPr>
            </w:pPr>
            <w:r>
              <w:rPr>
                <w:rFonts w:hint="eastAsia"/>
                <w:b/>
                <w:bCs/>
                <w:color w:val="auto"/>
                <w:sz w:val="24"/>
                <w:lang w:eastAsia="zh-CN"/>
              </w:rPr>
              <w:t>21.</w:t>
            </w:r>
            <w:r>
              <w:rPr>
                <w:rFonts w:hint="eastAsia"/>
                <w:b/>
                <w:bCs/>
                <w:color w:val="auto"/>
                <w:sz w:val="24"/>
              </w:rPr>
              <w:t>布轮抛光粉尘</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抛光工序采用环保湿式抛光一体机进行抛光处理，抛光粉尘沿着空气流动方向随着</w:t>
            </w:r>
            <w:r>
              <w:rPr>
                <w:rFonts w:hint="eastAsia" w:hAnsiTheme="minorEastAsia" w:eastAsiaTheme="minorEastAsia"/>
                <w:color w:val="auto"/>
                <w:sz w:val="24"/>
                <w:lang w:eastAsia="zh-CN"/>
              </w:rPr>
              <w:t>惯性</w:t>
            </w:r>
            <w:r>
              <w:rPr>
                <w:rFonts w:hint="eastAsia" w:hAnsiTheme="minorEastAsia" w:eastAsiaTheme="minorEastAsia"/>
                <w:color w:val="auto"/>
                <w:sz w:val="24"/>
              </w:rPr>
              <w:t>继续按照原来的运动方向作用下带入水帘柜的水幕，无抛光粉尘产生及排放。水帘幕柜自来水循环使用，水帘幕废水定期更换，产生的水帘幕废液作为危废委托资质单位处理。</w:t>
            </w:r>
          </w:p>
          <w:p w14:paraId="5745368A">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22.</w:t>
            </w:r>
            <w:r>
              <w:rPr>
                <w:rFonts w:hint="eastAsia"/>
                <w:b/>
                <w:bCs/>
                <w:color w:val="auto"/>
                <w:sz w:val="24"/>
              </w:rPr>
              <w:t>倒角粉尘</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修边倒角工序会产生颗粒物，</w:t>
            </w:r>
            <w:r>
              <w:rPr>
                <w:rFonts w:hint="eastAsia" w:hAnsiTheme="minorEastAsia" w:eastAsiaTheme="minorEastAsia"/>
                <w:bCs/>
                <w:color w:val="auto"/>
                <w:sz w:val="24"/>
              </w:rPr>
              <w:t>废气指标参考</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hint="eastAsia" w:hAnsiTheme="minorEastAsia" w:eastAsiaTheme="minorEastAsia"/>
                <w:color w:val="auto"/>
                <w:sz w:val="24"/>
              </w:rPr>
              <w:t>钢板、铝板、铝合金板、</w:t>
            </w:r>
            <w:r>
              <w:rPr>
                <w:rFonts w:hint="eastAsia" w:hAnsiTheme="minorEastAsia" w:eastAsiaTheme="minorEastAsia"/>
                <w:color w:val="auto"/>
                <w:sz w:val="24"/>
                <w:lang w:eastAsia="zh-CN"/>
              </w:rPr>
              <w:t>其他</w:t>
            </w:r>
            <w:r>
              <w:rPr>
                <w:rFonts w:hint="eastAsia" w:hAnsiTheme="minorEastAsia" w:eastAsiaTheme="minorEastAsia"/>
                <w:color w:val="auto"/>
                <w:sz w:val="24"/>
              </w:rPr>
              <w:t>金属材料、玻璃纤维、</w:t>
            </w:r>
            <w:r>
              <w:rPr>
                <w:rFonts w:hint="eastAsia" w:hAnsiTheme="minorEastAsia" w:eastAsiaTheme="minorEastAsia"/>
                <w:color w:val="auto"/>
                <w:sz w:val="24"/>
                <w:lang w:eastAsia="zh-CN"/>
              </w:rPr>
              <w:t>其他</w:t>
            </w:r>
            <w:r>
              <w:rPr>
                <w:rFonts w:hint="eastAsia" w:hAnsiTheme="minorEastAsia" w:eastAsiaTheme="minorEastAsia"/>
                <w:color w:val="auto"/>
                <w:sz w:val="24"/>
              </w:rPr>
              <w:t>非金属材料-</w:t>
            </w:r>
            <w:r>
              <w:rPr>
                <w:rFonts w:ascii="宋体" w:hAnsi="宋体" w:cs="宋体"/>
                <w:color w:val="auto"/>
                <w:sz w:val="24"/>
              </w:rPr>
              <w:t>锯床、砂轮切割机切割</w:t>
            </w:r>
            <w:r>
              <w:rPr>
                <w:color w:val="auto"/>
                <w:kern w:val="0"/>
                <w:sz w:val="24"/>
              </w:rPr>
              <w:t>产污系数为</w:t>
            </w:r>
            <w:r>
              <w:rPr>
                <w:rFonts w:hint="eastAsia"/>
                <w:color w:val="auto"/>
                <w:kern w:val="0"/>
                <w:sz w:val="24"/>
              </w:rPr>
              <w:t>5.30千克/吨</w:t>
            </w:r>
            <w:r>
              <w:rPr>
                <w:color w:val="auto"/>
                <w:kern w:val="0"/>
                <w:sz w:val="24"/>
              </w:rPr>
              <w:t>-</w:t>
            </w:r>
            <w:r>
              <w:rPr>
                <w:rFonts w:hint="eastAsia"/>
                <w:color w:val="auto"/>
                <w:kern w:val="0"/>
                <w:sz w:val="24"/>
              </w:rPr>
              <w:t>原料，根据企业提供资料，本项目</w:t>
            </w:r>
            <w:r>
              <w:rPr>
                <w:rFonts w:hint="eastAsia" w:hAnsiTheme="minorEastAsia" w:eastAsiaTheme="minorEastAsia"/>
                <w:color w:val="auto"/>
                <w:sz w:val="24"/>
              </w:rPr>
              <w:t>亚克力板材年使用量为180吨，</w:t>
            </w:r>
            <w:r>
              <w:rPr>
                <w:rFonts w:hint="eastAsia"/>
                <w:color w:val="auto"/>
                <w:kern w:val="0"/>
                <w:sz w:val="24"/>
              </w:rPr>
              <w:t>本工序为修边倒角工序，因此只</w:t>
            </w:r>
            <w:r>
              <w:rPr>
                <w:rFonts w:hint="eastAsia"/>
                <w:color w:val="auto"/>
                <w:kern w:val="0"/>
                <w:sz w:val="24"/>
                <w:lang w:eastAsia="zh-CN"/>
              </w:rPr>
              <w:t>涉及</w:t>
            </w:r>
            <w:r>
              <w:rPr>
                <w:rFonts w:hint="eastAsia"/>
                <w:color w:val="auto"/>
                <w:kern w:val="0"/>
                <w:sz w:val="24"/>
              </w:rPr>
              <w:t>原料的5%，则本工序颗粒物产生量为180*5%*5.30/1000=0.0477t/a，</w:t>
            </w:r>
            <w:r>
              <w:rPr>
                <w:rFonts w:hint="eastAsia" w:hAnsiTheme="minorEastAsia" w:eastAsiaTheme="minorEastAsia"/>
                <w:color w:val="auto"/>
                <w:sz w:val="24"/>
              </w:rPr>
              <w:t>拟通过集气罩收集+布袋除尘处理+15m高排气筒（DA006）排放，收集效率以80%计，处理效率以95%计，设置风机风量为1000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0.03816</w:t>
            </w:r>
            <w:r>
              <w:rPr>
                <w:rFonts w:eastAsiaTheme="minorEastAsia"/>
                <w:bCs/>
                <w:color w:val="auto"/>
                <w:sz w:val="24"/>
              </w:rPr>
              <w:t>t/a</w:t>
            </w:r>
            <w:r>
              <w:rPr>
                <w:rFonts w:hint="eastAsia" w:eastAsiaTheme="minorEastAsia"/>
                <w:bCs/>
                <w:color w:val="auto"/>
                <w:sz w:val="24"/>
              </w:rPr>
              <w:t>（0.0106</w:t>
            </w:r>
            <w:r>
              <w:rPr>
                <w:rFonts w:eastAsiaTheme="minorEastAsia"/>
                <w:bCs/>
                <w:color w:val="auto"/>
                <w:sz w:val="24"/>
              </w:rPr>
              <w:t>kg/h</w:t>
            </w:r>
            <w:r>
              <w:rPr>
                <w:rFonts w:hint="eastAsia" w:eastAsiaTheme="minorEastAsia"/>
                <w:bCs/>
                <w:color w:val="auto"/>
                <w:sz w:val="24"/>
              </w:rPr>
              <w:t>，10.6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lang w:eastAsia="zh-CN"/>
              </w:rPr>
              <w:t>细颗粒物</w:t>
            </w:r>
            <w:r>
              <w:rPr>
                <w:rFonts w:hint="eastAsia"/>
                <w:color w:val="auto"/>
                <w:kern w:val="0"/>
                <w:sz w:val="24"/>
              </w:rPr>
              <w:t>有组织排放量为</w:t>
            </w:r>
            <w:r>
              <w:rPr>
                <w:color w:val="auto"/>
                <w:kern w:val="0"/>
                <w:sz w:val="24"/>
              </w:rPr>
              <w:t>0.</w:t>
            </w:r>
            <w:r>
              <w:rPr>
                <w:rFonts w:hint="eastAsia"/>
                <w:color w:val="auto"/>
                <w:kern w:val="0"/>
                <w:sz w:val="24"/>
              </w:rPr>
              <w:t>0019</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rPr>
              <w:t>005</w:t>
            </w:r>
            <w:r>
              <w:rPr>
                <w:color w:val="auto"/>
                <w:kern w:val="0"/>
                <w:sz w:val="24"/>
              </w:rPr>
              <w:t>kg/h</w:t>
            </w:r>
            <w:r>
              <w:rPr>
                <w:rFonts w:hint="eastAsia"/>
                <w:color w:val="auto"/>
                <w:kern w:val="0"/>
                <w:sz w:val="24"/>
              </w:rPr>
              <w:t>、0.53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0.00954</w:t>
            </w:r>
            <w:r>
              <w:rPr>
                <w:rFonts w:eastAsiaTheme="minorEastAsia"/>
                <w:bCs/>
                <w:color w:val="auto"/>
                <w:sz w:val="24"/>
              </w:rPr>
              <w:t>t/a</w:t>
            </w:r>
            <w:r>
              <w:rPr>
                <w:rFonts w:hint="eastAsia" w:eastAsiaTheme="minorEastAsia"/>
                <w:bCs/>
                <w:color w:val="auto"/>
                <w:sz w:val="24"/>
              </w:rPr>
              <w:t>（0.0027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D0CD013">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23.</w:t>
            </w:r>
            <w:r>
              <w:rPr>
                <w:rFonts w:hint="eastAsia"/>
                <w:b/>
                <w:bCs/>
                <w:color w:val="auto"/>
                <w:sz w:val="24"/>
              </w:rPr>
              <w:t>丝印废气、</w:t>
            </w:r>
            <w:r>
              <w:rPr>
                <w:rFonts w:hint="eastAsia"/>
                <w:b/>
                <w:bCs/>
                <w:color w:val="auto"/>
                <w:sz w:val="24"/>
                <w:lang w:val="en-US" w:eastAsia="zh-CN"/>
              </w:rPr>
              <w:t>烘干废气、</w:t>
            </w:r>
            <w:r>
              <w:rPr>
                <w:rFonts w:hint="eastAsia"/>
                <w:b/>
                <w:bCs/>
                <w:color w:val="auto"/>
                <w:sz w:val="24"/>
              </w:rPr>
              <w:t>洗网水废气</w:t>
            </w:r>
            <w:r>
              <w:rPr>
                <w:b/>
                <w:bCs/>
                <w:color w:val="auto"/>
                <w:sz w:val="24"/>
              </w:rPr>
              <w:t>：</w:t>
            </w:r>
            <w:r>
              <w:rPr>
                <w:rFonts w:hint="eastAsia"/>
                <w:color w:val="auto"/>
                <w:sz w:val="24"/>
              </w:rPr>
              <w:t>建设项目丝印工艺</w:t>
            </w:r>
            <w:r>
              <w:rPr>
                <w:rFonts w:hint="eastAsia" w:hAnsiTheme="minorEastAsia" w:eastAsiaTheme="minorEastAsia"/>
                <w:bCs/>
                <w:color w:val="auto"/>
                <w:sz w:val="24"/>
              </w:rPr>
              <w:t>使用丝印油墨，</w:t>
            </w:r>
            <w:r>
              <w:rPr>
                <w:rFonts w:hint="eastAsia" w:hAnsiTheme="minorEastAsia" w:eastAsiaTheme="minorEastAsia"/>
                <w:bCs/>
                <w:color w:val="auto"/>
                <w:sz w:val="24"/>
                <w:lang w:val="en-US" w:eastAsia="zh-CN"/>
              </w:rPr>
              <w:t>会产生丝印废气及烘干废气，</w:t>
            </w:r>
            <w:r>
              <w:rPr>
                <w:rFonts w:hint="eastAsia"/>
                <w:color w:val="auto"/>
                <w:sz w:val="24"/>
              </w:rPr>
              <w:t>印刷后对网版使用洗网水进行擦拭，因此洗网水挥发产生</w:t>
            </w:r>
            <w:r>
              <w:rPr>
                <w:rFonts w:hint="eastAsia" w:hAnsiTheme="minorEastAsia" w:eastAsiaTheme="minorEastAsia"/>
                <w:color w:val="auto"/>
                <w:sz w:val="24"/>
              </w:rPr>
              <w:t>挥发性有机物</w:t>
            </w:r>
            <w:r>
              <w:rPr>
                <w:rFonts w:hint="eastAsia"/>
                <w:color w:val="auto"/>
                <w:sz w:val="24"/>
              </w:rPr>
              <w:t>也在丝印工艺区域，特此放在一处计算</w:t>
            </w:r>
            <w:r>
              <w:rPr>
                <w:rFonts w:hint="eastAsia" w:hAnsiTheme="minorEastAsia" w:eastAsiaTheme="minorEastAsia"/>
                <w:bCs/>
                <w:color w:val="auto"/>
                <w:sz w:val="24"/>
              </w:rPr>
              <w:t>。</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挥发性有机物的检测报告显示：丝印油墨</w:t>
            </w:r>
            <w:r>
              <w:rPr>
                <w:rFonts w:hAnsiTheme="minorEastAsia" w:eastAsiaTheme="minorEastAsia"/>
                <w:color w:val="auto"/>
                <w:sz w:val="24"/>
              </w:rPr>
              <w:t>VOC含量</w:t>
            </w:r>
            <w:r>
              <w:rPr>
                <w:rFonts w:hint="eastAsia" w:hAnsiTheme="minorEastAsia" w:eastAsiaTheme="minorEastAsia"/>
                <w:color w:val="auto"/>
                <w:sz w:val="24"/>
              </w:rPr>
              <w:t>为34.8%，因此本项目以挥发性有机物含量取34.8%计算，根据企业提供资料，本项目丝印油墨使用量为50kg/a，则丝印、</w:t>
            </w:r>
            <w:r>
              <w:rPr>
                <w:rFonts w:hint="eastAsia" w:hAnsiTheme="minorEastAsia" w:eastAsiaTheme="minorEastAsia"/>
                <w:color w:val="auto"/>
                <w:sz w:val="24"/>
                <w:lang w:val="en-US" w:eastAsia="zh-CN"/>
              </w:rPr>
              <w:t>烘干、</w:t>
            </w:r>
            <w:r>
              <w:rPr>
                <w:rFonts w:hint="eastAsia" w:hAnsiTheme="minorEastAsia" w:eastAsiaTheme="minorEastAsia"/>
                <w:color w:val="auto"/>
                <w:sz w:val="24"/>
              </w:rPr>
              <w:t>烘烤工艺产生非甲烷总烃量为50*34.8%/1000=0.0174t/a；洗网水VOC含量为863g/L，企业提供资料年使用洗网水400kg，且根据洗网水MSDS报告可知洗网水相对密度（水=1）：1.03，转换后可得洗网水VOC含量为838g/kg，则本区域</w:t>
            </w:r>
            <w:r>
              <w:rPr>
                <w:rFonts w:hAnsiTheme="minorEastAsia" w:eastAsiaTheme="minorEastAsia"/>
                <w:color w:val="auto"/>
                <w:sz w:val="24"/>
              </w:rPr>
              <w:t>非甲烷总烃</w:t>
            </w:r>
            <w:r>
              <w:rPr>
                <w:rFonts w:hint="eastAsia" w:hAnsiTheme="minorEastAsia" w:eastAsiaTheme="minorEastAsia"/>
                <w:color w:val="auto"/>
                <w:sz w:val="24"/>
              </w:rPr>
              <w:t>总</w:t>
            </w:r>
            <w:r>
              <w:rPr>
                <w:rFonts w:hAnsiTheme="minorEastAsia" w:eastAsiaTheme="minorEastAsia"/>
                <w:color w:val="auto"/>
                <w:sz w:val="24"/>
              </w:rPr>
              <w:t>产生量</w:t>
            </w:r>
            <w:r>
              <w:rPr>
                <w:rFonts w:hint="eastAsia" w:hAnsiTheme="minorEastAsia" w:eastAsiaTheme="minorEastAsia"/>
                <w:color w:val="auto"/>
                <w:sz w:val="24"/>
              </w:rPr>
              <w:t>为50*34.8%/1000+400*838/1000000=0.3526t</w:t>
            </w:r>
            <w:r>
              <w:rPr>
                <w:rFonts w:hint="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DA006</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4000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28208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0784</w:t>
            </w:r>
            <w:r>
              <w:rPr>
                <w:rFonts w:eastAsiaTheme="minorEastAsia"/>
                <w:bCs/>
                <w:color w:val="auto"/>
                <w:sz w:val="24"/>
              </w:rPr>
              <w:t>kg/h</w:t>
            </w:r>
            <w:r>
              <w:rPr>
                <w:rFonts w:hint="eastAsia" w:eastAsiaTheme="minorEastAsia"/>
                <w:bCs/>
                <w:color w:val="auto"/>
                <w:sz w:val="24"/>
              </w:rPr>
              <w:t>、19.59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w:t>
            </w:r>
            <w:r>
              <w:rPr>
                <w:rFonts w:hint="eastAsia" w:hAnsiTheme="minorEastAsia" w:eastAsiaTheme="minorEastAsia"/>
                <w:bCs/>
                <w:color w:val="auto"/>
                <w:sz w:val="24"/>
                <w:lang w:eastAsia="zh-CN"/>
              </w:rPr>
              <w:t>为</w:t>
            </w:r>
            <w:r>
              <w:rPr>
                <w:rFonts w:eastAsiaTheme="minorEastAsia"/>
                <w:bCs/>
                <w:color w:val="auto"/>
                <w:sz w:val="24"/>
              </w:rPr>
              <w:t>0.</w:t>
            </w:r>
            <w:r>
              <w:rPr>
                <w:rFonts w:hint="eastAsia" w:eastAsiaTheme="minorEastAsia"/>
                <w:bCs/>
                <w:color w:val="auto"/>
                <w:sz w:val="24"/>
              </w:rPr>
              <w:t>0282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078</w:t>
            </w:r>
            <w:r>
              <w:rPr>
                <w:rFonts w:eastAsiaTheme="minorEastAsia"/>
                <w:bCs/>
                <w:color w:val="auto"/>
                <w:sz w:val="24"/>
              </w:rPr>
              <w:t>kg/h</w:t>
            </w:r>
            <w:r>
              <w:rPr>
                <w:rFonts w:hint="eastAsia" w:eastAsiaTheme="minorEastAsia"/>
                <w:bCs/>
                <w:color w:val="auto"/>
                <w:sz w:val="24"/>
              </w:rPr>
              <w:t>、1.96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7052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196</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F384578">
            <w:pPr>
              <w:widowControl/>
              <w:autoSpaceDE w:val="0"/>
              <w:autoSpaceDN w:val="0"/>
              <w:adjustRightInd w:val="0"/>
              <w:snapToGrid w:val="0"/>
              <w:spacing w:line="360" w:lineRule="auto"/>
              <w:ind w:firstLine="482" w:firstLineChars="200"/>
              <w:rPr>
                <w:color w:val="auto"/>
                <w:sz w:val="24"/>
              </w:rPr>
            </w:pPr>
            <w:r>
              <w:rPr>
                <w:rFonts w:hint="eastAsia"/>
                <w:b/>
                <w:bCs/>
                <w:color w:val="auto"/>
                <w:sz w:val="24"/>
                <w:lang w:eastAsia="zh-CN"/>
              </w:rPr>
              <w:t>24.</w:t>
            </w:r>
            <w:r>
              <w:rPr>
                <w:rFonts w:hint="eastAsia"/>
                <w:b/>
                <w:bCs/>
                <w:color w:val="auto"/>
                <w:sz w:val="24"/>
              </w:rPr>
              <w:t>烫金废气</w:t>
            </w:r>
            <w:r>
              <w:rPr>
                <w:b/>
                <w:bCs/>
                <w:color w:val="auto"/>
                <w:sz w:val="24"/>
              </w:rPr>
              <w:t>：</w:t>
            </w:r>
            <w:r>
              <w:rPr>
                <w:rFonts w:hint="eastAsia"/>
                <w:color w:val="auto"/>
                <w:sz w:val="24"/>
              </w:rPr>
              <w:t>建设项目烫金工序是利用烫金机将烫金膜烫印在塑料表面上，此工艺是利用热压转移的原理，将烫金膜中的铝层转印到承印物表面以形成特殊的金属效果。烫金膜主要成分物质为树脂塑料，约为90%，因此烫金膜加热移印过程属于塑料制品的二次加工，烫金工序不会超过塑料热分解温度，一般不会产生塑料聚合物因受热而分解产生的废气，产生的污染物主要为非甲烷总烃。由于烫金膜年用量较少只有50</w:t>
            </w:r>
            <w:r>
              <w:rPr>
                <w:rFonts w:hint="eastAsia"/>
                <w:color w:val="auto"/>
                <w:sz w:val="24"/>
                <w:lang w:eastAsia="zh-CN"/>
              </w:rPr>
              <w:t>平方米</w:t>
            </w:r>
            <w:r>
              <w:rPr>
                <w:rFonts w:hint="eastAsia"/>
                <w:color w:val="auto"/>
                <w:sz w:val="24"/>
              </w:rPr>
              <w:t>约6kg，仅产生微量废气，因此本项目仅</w:t>
            </w:r>
            <w:r>
              <w:rPr>
                <w:rFonts w:hint="eastAsia"/>
                <w:color w:val="auto"/>
                <w:sz w:val="24"/>
                <w:lang w:eastAsia="zh-CN"/>
              </w:rPr>
              <w:t>做</w:t>
            </w:r>
            <w:r>
              <w:rPr>
                <w:rFonts w:hint="eastAsia"/>
                <w:color w:val="auto"/>
                <w:sz w:val="24"/>
              </w:rPr>
              <w:t>定性分析。</w:t>
            </w:r>
          </w:p>
          <w:p w14:paraId="6FE799AC">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25.</w:t>
            </w:r>
            <w:r>
              <w:rPr>
                <w:rFonts w:hint="eastAsia"/>
                <w:b/>
                <w:bCs/>
                <w:color w:val="auto"/>
                <w:sz w:val="24"/>
              </w:rPr>
              <w:t>粘接废气</w:t>
            </w:r>
            <w:r>
              <w:rPr>
                <w:b/>
                <w:bCs/>
                <w:color w:val="auto"/>
                <w:sz w:val="24"/>
              </w:rPr>
              <w:t>：</w:t>
            </w:r>
            <w:r>
              <w:rPr>
                <w:rFonts w:hint="eastAsia" w:hAnsiTheme="minorEastAsia" w:eastAsiaTheme="minorEastAsia"/>
                <w:color w:val="auto"/>
                <w:sz w:val="24"/>
              </w:rPr>
              <w:t>建设</w:t>
            </w:r>
            <w:r>
              <w:rPr>
                <w:rFonts w:hint="eastAsia" w:hAnsiTheme="minorEastAsia" w:eastAsiaTheme="minorEastAsia"/>
                <w:bCs/>
                <w:color w:val="auto"/>
                <w:sz w:val="24"/>
              </w:rPr>
              <w:t>项目粘接工序使用</w:t>
            </w:r>
            <w:r>
              <w:rPr>
                <w:rFonts w:hint="eastAsia" w:hAnsiTheme="minorEastAsia" w:eastAsiaTheme="minorEastAsia"/>
                <w:color w:val="auto"/>
                <w:sz w:val="24"/>
              </w:rPr>
              <w:t>双</w:t>
            </w:r>
            <w:r>
              <w:rPr>
                <w:rFonts w:hint="eastAsia" w:hAnsiTheme="minorEastAsia" w:eastAsiaTheme="minorEastAsia"/>
                <w:color w:val="auto"/>
                <w:sz w:val="24"/>
                <w:lang w:eastAsia="zh-CN"/>
              </w:rPr>
              <w:t>组分</w:t>
            </w:r>
            <w:r>
              <w:rPr>
                <w:rFonts w:hint="eastAsia" w:hAnsiTheme="minorEastAsia" w:eastAsiaTheme="minorEastAsia"/>
                <w:color w:val="auto"/>
                <w:sz w:val="24"/>
              </w:rPr>
              <w:t>环氧树脂胶粘剂，粘接过程为常温室内进行，根据资料，双</w:t>
            </w:r>
            <w:r>
              <w:rPr>
                <w:rFonts w:hint="eastAsia" w:hAnsiTheme="minorEastAsia" w:eastAsiaTheme="minorEastAsia"/>
                <w:color w:val="auto"/>
                <w:sz w:val="24"/>
                <w:lang w:eastAsia="zh-CN"/>
              </w:rPr>
              <w:t>组分</w:t>
            </w:r>
            <w:r>
              <w:rPr>
                <w:rFonts w:hint="eastAsia" w:hAnsiTheme="minorEastAsia" w:eastAsiaTheme="minorEastAsia"/>
                <w:color w:val="auto"/>
                <w:sz w:val="24"/>
              </w:rPr>
              <w:t>环氧树脂胶粘剂在70</w:t>
            </w:r>
            <w:r>
              <w:rPr>
                <w:rFonts w:eastAsiaTheme="minorEastAsia"/>
                <w:color w:val="auto"/>
                <w:sz w:val="24"/>
              </w:rPr>
              <w:t>°C</w:t>
            </w:r>
            <w:r>
              <w:rPr>
                <w:rFonts w:hint="eastAsia" w:hAnsiTheme="minorEastAsia" w:eastAsiaTheme="minorEastAsia"/>
                <w:color w:val="auto"/>
                <w:sz w:val="24"/>
              </w:rPr>
              <w:t>以上温度时会发生分解，企业粘接室内常温且不会超过25</w:t>
            </w:r>
            <w:r>
              <w:rPr>
                <w:rFonts w:eastAsiaTheme="minorEastAsia"/>
                <w:color w:val="auto"/>
                <w:sz w:val="24"/>
              </w:rPr>
              <w:t>°C</w:t>
            </w:r>
            <w:r>
              <w:rPr>
                <w:rFonts w:hint="eastAsia" w:eastAsiaTheme="minorEastAsia"/>
                <w:color w:val="auto"/>
                <w:sz w:val="24"/>
              </w:rPr>
              <w:t>，</w:t>
            </w:r>
            <w:r>
              <w:rPr>
                <w:rFonts w:hint="eastAsia" w:hAnsiTheme="minorEastAsia" w:eastAsiaTheme="minorEastAsia"/>
                <w:color w:val="auto"/>
                <w:sz w:val="24"/>
              </w:rPr>
              <w:t>因此不涉及高温分解产生酚类污染物的情况</w:t>
            </w:r>
            <w:r>
              <w:rPr>
                <w:rFonts w:hint="eastAsia" w:hAnsiTheme="minorEastAsia" w:eastAsiaTheme="minorEastAsia"/>
                <w:bCs/>
                <w:color w:val="auto"/>
                <w:sz w:val="24"/>
              </w:rPr>
              <w:t>。</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挥发性有机物的检测报告显示：双组份环氧树脂胶粘剂</w:t>
            </w:r>
            <w:r>
              <w:rPr>
                <w:rFonts w:hAnsiTheme="minorEastAsia" w:eastAsiaTheme="minorEastAsia"/>
                <w:color w:val="auto"/>
                <w:sz w:val="24"/>
              </w:rPr>
              <w:t>VOC含量</w:t>
            </w:r>
            <w:r>
              <w:rPr>
                <w:rFonts w:hint="eastAsia" w:hAnsiTheme="minorEastAsia" w:eastAsiaTheme="minorEastAsia"/>
                <w:color w:val="auto"/>
                <w:sz w:val="24"/>
              </w:rPr>
              <w:t>为66g/kg，根据建设单位提供资料，本项目双组份环氧树脂胶粘剂使用量为80kg，因此</w:t>
            </w:r>
            <w:r>
              <w:rPr>
                <w:rFonts w:hAnsiTheme="minorEastAsia" w:eastAsiaTheme="minorEastAsia"/>
                <w:color w:val="auto"/>
                <w:sz w:val="24"/>
              </w:rPr>
              <w:t>非甲烷总烃产生量</w:t>
            </w:r>
            <w:r>
              <w:rPr>
                <w:rFonts w:hint="eastAsia" w:hAnsiTheme="minorEastAsia" w:eastAsiaTheme="minorEastAsia"/>
                <w:color w:val="auto"/>
                <w:sz w:val="24"/>
              </w:rPr>
              <w:t>为80*66/1000000=0.00528t</w:t>
            </w:r>
            <w:r>
              <w:rPr>
                <w:rFonts w:hint="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DA006</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00422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012</w:t>
            </w:r>
            <w:r>
              <w:rPr>
                <w:rFonts w:eastAsiaTheme="minorEastAsia"/>
                <w:bCs/>
                <w:color w:val="auto"/>
                <w:sz w:val="24"/>
              </w:rPr>
              <w:t>kg/h</w:t>
            </w:r>
            <w:r>
              <w:rPr>
                <w:rFonts w:hint="eastAsia" w:eastAsiaTheme="minorEastAsia"/>
                <w:bCs/>
                <w:color w:val="auto"/>
                <w:sz w:val="24"/>
              </w:rPr>
              <w:t>、1.17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00042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001</w:t>
            </w:r>
            <w:r>
              <w:rPr>
                <w:rFonts w:eastAsiaTheme="minorEastAsia"/>
                <w:bCs/>
                <w:color w:val="auto"/>
                <w:sz w:val="24"/>
              </w:rPr>
              <w:t>kg/h</w:t>
            </w:r>
            <w:r>
              <w:rPr>
                <w:rFonts w:hint="eastAsia" w:eastAsiaTheme="minorEastAsia"/>
                <w:bCs/>
                <w:color w:val="auto"/>
                <w:sz w:val="24"/>
              </w:rPr>
              <w:t>、0.12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0106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D077201">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eastAsia="zh-CN"/>
              </w:rPr>
              <w:t>26.</w:t>
            </w:r>
            <w:r>
              <w:rPr>
                <w:rFonts w:hint="eastAsia"/>
                <w:b/>
                <w:bCs/>
                <w:color w:val="auto"/>
                <w:sz w:val="24"/>
              </w:rPr>
              <w:t>清洗废气</w:t>
            </w:r>
            <w:r>
              <w:rPr>
                <w:b/>
                <w:bCs/>
                <w:color w:val="auto"/>
                <w:sz w:val="24"/>
              </w:rPr>
              <w:t>：</w:t>
            </w:r>
            <w:r>
              <w:rPr>
                <w:rFonts w:hint="eastAsia" w:hAnsiTheme="minorEastAsia" w:eastAsiaTheme="minorEastAsia"/>
                <w:color w:val="auto"/>
                <w:sz w:val="24"/>
              </w:rPr>
              <w:t>建设</w:t>
            </w:r>
            <w:r>
              <w:rPr>
                <w:rFonts w:hint="eastAsia" w:hAnsiTheme="minorEastAsia" w:eastAsiaTheme="minorEastAsia"/>
                <w:bCs/>
                <w:color w:val="auto"/>
                <w:sz w:val="24"/>
              </w:rPr>
              <w:t>项目清洗工序使用碳氢清洗剂。</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挥发性有机物的检测报告显示：碳氢清洗剂</w:t>
            </w:r>
            <w:r>
              <w:rPr>
                <w:rFonts w:hAnsiTheme="minorEastAsia" w:eastAsiaTheme="minorEastAsia"/>
                <w:color w:val="auto"/>
                <w:sz w:val="24"/>
              </w:rPr>
              <w:t>VOC含量</w:t>
            </w:r>
            <w:r>
              <w:rPr>
                <w:rFonts w:hint="eastAsia" w:hAnsiTheme="minorEastAsia" w:eastAsiaTheme="minorEastAsia"/>
                <w:color w:val="auto"/>
                <w:sz w:val="24"/>
              </w:rPr>
              <w:t>为801g/L，根据建设单位提供资料，本项目碳氢清洗剂使用量为800kg，且根据碳氢清洗剂MSDS报告可知碳氢清洗剂相对密度（水=1）：0.73至0.77，</w:t>
            </w:r>
            <w:r>
              <w:rPr>
                <w:rFonts w:hint="eastAsia" w:hAnsiTheme="minorEastAsia" w:eastAsiaTheme="minorEastAsia"/>
                <w:bCs/>
                <w:color w:val="auto"/>
                <w:sz w:val="24"/>
              </w:rPr>
              <w:t>应用相对密度的范围0.73至0.77可得VOC含量在1040g/kg至1100g/kg之间，此处从严取高值，即</w:t>
            </w:r>
            <w:r>
              <w:rPr>
                <w:rFonts w:hint="eastAsia" w:hAnsiTheme="minorEastAsia" w:eastAsiaTheme="minorEastAsia"/>
                <w:color w:val="auto"/>
                <w:sz w:val="24"/>
              </w:rPr>
              <w:t>碳氢清洗剂</w:t>
            </w:r>
            <w:r>
              <w:rPr>
                <w:rFonts w:hint="eastAsia" w:hAnsiTheme="minorEastAsia" w:eastAsiaTheme="minorEastAsia"/>
                <w:bCs/>
                <w:color w:val="auto"/>
                <w:sz w:val="24"/>
              </w:rPr>
              <w:t>VOC含量为1100g/kg，</w:t>
            </w:r>
            <w:r>
              <w:rPr>
                <w:rFonts w:hint="eastAsia" w:hAnsiTheme="minorEastAsia" w:eastAsiaTheme="minorEastAsia"/>
                <w:color w:val="auto"/>
                <w:sz w:val="24"/>
              </w:rPr>
              <w:t>因此</w:t>
            </w:r>
            <w:r>
              <w:rPr>
                <w:rFonts w:hAnsiTheme="minorEastAsia" w:eastAsiaTheme="minorEastAsia"/>
                <w:color w:val="auto"/>
                <w:sz w:val="24"/>
              </w:rPr>
              <w:t>非甲烷总烃产生量</w:t>
            </w:r>
            <w:r>
              <w:rPr>
                <w:rFonts w:hint="eastAsia" w:hAnsiTheme="minorEastAsia" w:eastAsiaTheme="minorEastAsia"/>
                <w:color w:val="auto"/>
                <w:sz w:val="24"/>
              </w:rPr>
              <w:t>为800*1100/1000000=0.88t/a</w:t>
            </w:r>
            <w:r>
              <w:rPr>
                <w:rFonts w:hint="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DA006</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rPr>
              <w:t>8000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704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1956</w:t>
            </w:r>
            <w:r>
              <w:rPr>
                <w:rFonts w:eastAsiaTheme="minorEastAsia"/>
                <w:bCs/>
                <w:color w:val="auto"/>
                <w:sz w:val="24"/>
              </w:rPr>
              <w:t>kg/h</w:t>
            </w:r>
            <w:r>
              <w:rPr>
                <w:rFonts w:hint="eastAsia" w:eastAsiaTheme="minorEastAsia"/>
                <w:bCs/>
                <w:color w:val="auto"/>
                <w:sz w:val="24"/>
              </w:rPr>
              <w:t>、24.44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0704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196</w:t>
            </w:r>
            <w:r>
              <w:rPr>
                <w:rFonts w:eastAsiaTheme="minorEastAsia"/>
                <w:bCs/>
                <w:color w:val="auto"/>
                <w:sz w:val="24"/>
              </w:rPr>
              <w:t>kg/h</w:t>
            </w:r>
            <w:r>
              <w:rPr>
                <w:rFonts w:hint="eastAsia" w:eastAsiaTheme="minorEastAsia"/>
                <w:bCs/>
                <w:color w:val="auto"/>
                <w:sz w:val="24"/>
              </w:rPr>
              <w:t>、2.44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rPr>
              <w:t>176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489</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E2DA10C">
            <w:pPr>
              <w:autoSpaceDE w:val="0"/>
              <w:autoSpaceDN w:val="0"/>
              <w:adjustRightInd w:val="0"/>
              <w:snapToGrid w:val="0"/>
              <w:spacing w:line="360" w:lineRule="auto"/>
              <w:ind w:firstLine="482" w:firstLineChars="200"/>
              <w:rPr>
                <w:rFonts w:eastAsiaTheme="minorEastAsia"/>
                <w:color w:val="auto"/>
                <w:kern w:val="0"/>
                <w:sz w:val="24"/>
              </w:rPr>
            </w:pPr>
            <w:r>
              <w:rPr>
                <w:rFonts w:hint="eastAsia"/>
                <w:b/>
                <w:bCs/>
                <w:color w:val="auto"/>
                <w:sz w:val="24"/>
                <w:lang w:eastAsia="zh-CN"/>
              </w:rPr>
              <w:t>27.</w:t>
            </w:r>
            <w:r>
              <w:rPr>
                <w:rFonts w:hint="eastAsia"/>
                <w:b/>
                <w:bCs/>
                <w:color w:val="auto"/>
                <w:sz w:val="24"/>
              </w:rPr>
              <w:t>危废库废气</w:t>
            </w:r>
            <w:r>
              <w:rPr>
                <w:b/>
                <w:bCs/>
                <w:color w:val="auto"/>
                <w:sz w:val="24"/>
              </w:rPr>
              <w:t>：</w:t>
            </w:r>
            <w:r>
              <w:rPr>
                <w:rFonts w:hint="eastAsia"/>
                <w:color w:val="auto"/>
                <w:kern w:val="0"/>
                <w:sz w:val="24"/>
              </w:rPr>
              <w:t>建设项目危险废物暂存场所贮存的危险废物主要为：废活性炭、废液压油、废胶桶、废胶瓶、废灰桶、废漆桶、废漆渣、废切削液、喷涂渣、废抹布、废油墨、废油墨桶、废洗网水、废机油、废油桶、废过滤棉、喷枪清洗废液、水幕帘废液等，全厂危废</w:t>
            </w:r>
            <w:r>
              <w:rPr>
                <w:rFonts w:hint="eastAsia"/>
                <w:color w:val="auto"/>
                <w:kern w:val="0"/>
                <w:sz w:val="24"/>
                <w:lang w:val="en-US" w:eastAsia="zh-CN"/>
              </w:rPr>
              <w:t>最大暂存量</w:t>
            </w:r>
            <w:r>
              <w:rPr>
                <w:rFonts w:hint="eastAsia"/>
                <w:color w:val="auto"/>
                <w:kern w:val="0"/>
                <w:sz w:val="24"/>
              </w:rPr>
              <w:t>约</w:t>
            </w:r>
            <w:r>
              <w:rPr>
                <w:rFonts w:hint="eastAsia"/>
                <w:color w:val="auto"/>
                <w:kern w:val="0"/>
                <w:sz w:val="24"/>
                <w:lang w:val="en-US" w:eastAsia="zh-CN"/>
              </w:rPr>
              <w:t>25t</w:t>
            </w:r>
            <w:r>
              <w:rPr>
                <w:rFonts w:hint="eastAsia"/>
                <w:color w:val="auto"/>
                <w:kern w:val="0"/>
                <w:sz w:val="24"/>
              </w:rPr>
              <w:t>/a，根据企业现有项目验收经验，危废库有机废气约为危废量的1%</w:t>
            </w:r>
            <w:r>
              <w:rPr>
                <w:rFonts w:hint="eastAsia"/>
                <w:color w:val="auto"/>
                <w:kern w:val="0"/>
                <w:sz w:val="24"/>
                <w:lang w:eastAsia="zh-CN"/>
              </w:rPr>
              <w:t>，</w:t>
            </w:r>
            <w:r>
              <w:rPr>
                <w:rFonts w:hint="eastAsia"/>
                <w:color w:val="auto"/>
                <w:kern w:val="0"/>
                <w:sz w:val="24"/>
                <w:lang w:val="en-US" w:eastAsia="zh-CN"/>
              </w:rPr>
              <w:t>则</w:t>
            </w:r>
            <w:r>
              <w:rPr>
                <w:rFonts w:hint="eastAsia"/>
                <w:color w:val="auto"/>
                <w:kern w:val="0"/>
                <w:sz w:val="24"/>
              </w:rPr>
              <w:t>危废库废气产生量约0.</w:t>
            </w:r>
            <w:r>
              <w:rPr>
                <w:rFonts w:hint="eastAsia"/>
                <w:color w:val="auto"/>
                <w:kern w:val="0"/>
                <w:sz w:val="24"/>
                <w:lang w:val="en-US" w:eastAsia="zh-CN"/>
              </w:rPr>
              <w:t>25</w:t>
            </w:r>
            <w:r>
              <w:rPr>
                <w:rFonts w:hint="eastAsia"/>
                <w:color w:val="auto"/>
                <w:kern w:val="0"/>
                <w:sz w:val="24"/>
              </w:rPr>
              <w:t>t/a。根据《危险废物贮存污染控制标准》（GB18597-2023）中“贮存易产生粉尘、VOCs、酸雾、有毒有害大气污染物和刺激性气味气体的危险废物贮存库，应设置气体收集装置和气体净化设施”，故本项目危险废物暂存间设置吸风口，废气通过二级活性炭吸附装置处理后，经15米高排气筒DA00</w:t>
            </w:r>
            <w:r>
              <w:rPr>
                <w:rFonts w:hint="eastAsia"/>
                <w:color w:val="auto"/>
                <w:kern w:val="0"/>
                <w:sz w:val="24"/>
                <w:lang w:val="en-US" w:eastAsia="zh-CN"/>
              </w:rPr>
              <w:t>3</w:t>
            </w:r>
            <w:r>
              <w:rPr>
                <w:rFonts w:hint="eastAsia"/>
                <w:color w:val="auto"/>
                <w:kern w:val="0"/>
                <w:sz w:val="24"/>
              </w:rPr>
              <w:t>排放，收集效率80%，处理效率90%，风机风量为</w:t>
            </w:r>
            <w:r>
              <w:rPr>
                <w:rFonts w:hint="eastAsia"/>
                <w:color w:val="auto"/>
                <w:kern w:val="0"/>
                <w:sz w:val="24"/>
                <w:lang w:val="en-US" w:eastAsia="zh-CN"/>
              </w:rPr>
              <w:t>5</w:t>
            </w:r>
            <w:r>
              <w:rPr>
                <w:rFonts w:hint="eastAsia"/>
                <w:color w:val="auto"/>
                <w:kern w:val="0"/>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rPr>
              <w:t>，</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0228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4.57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023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0.46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05</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057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A0ED1E0">
            <w:pPr>
              <w:adjustRightInd w:val="0"/>
              <w:snapToGrid w:val="0"/>
              <w:spacing w:before="120" w:beforeLines="50" w:line="360" w:lineRule="auto"/>
              <w:rPr>
                <w:b/>
                <w:color w:val="auto"/>
                <w:sz w:val="24"/>
              </w:rPr>
            </w:pPr>
            <w:r>
              <w:rPr>
                <w:b/>
                <w:color w:val="auto"/>
                <w:sz w:val="24"/>
              </w:rPr>
              <w:t>1.</w:t>
            </w:r>
            <w:r>
              <w:rPr>
                <w:rFonts w:hint="eastAsia"/>
                <w:b/>
                <w:color w:val="auto"/>
                <w:sz w:val="24"/>
              </w:rPr>
              <w:t>3</w:t>
            </w:r>
            <w:r>
              <w:rPr>
                <w:b/>
                <w:color w:val="auto"/>
                <w:sz w:val="24"/>
              </w:rPr>
              <w:t>.非正常工况废气排放量核算</w:t>
            </w:r>
          </w:p>
          <w:p w14:paraId="1DAB1472">
            <w:pPr>
              <w:adjustRightInd w:val="0"/>
              <w:snapToGrid w:val="0"/>
              <w:spacing w:line="360" w:lineRule="auto"/>
              <w:ind w:firstLine="480" w:firstLineChars="200"/>
              <w:rPr>
                <w:color w:val="auto"/>
                <w:sz w:val="24"/>
              </w:rPr>
            </w:pPr>
            <w:r>
              <w:rPr>
                <w:color w:val="auto"/>
                <w:sz w:val="24"/>
              </w:rPr>
              <w:t>根据项目污染物源强及治理措施情况，非正常工况主要考虑废气处理装置失效，导致废气处理设备处理效率为</w:t>
            </w:r>
            <w:r>
              <w:rPr>
                <w:rFonts w:hint="eastAsia"/>
                <w:color w:val="auto"/>
                <w:sz w:val="24"/>
              </w:rPr>
              <w:t>0</w:t>
            </w:r>
            <w:r>
              <w:rPr>
                <w:color w:val="auto"/>
                <w:sz w:val="24"/>
              </w:rPr>
              <w:t>，类比同类项目年发生频次小于1次/年，单次持续时间以</w:t>
            </w:r>
            <w:r>
              <w:rPr>
                <w:rFonts w:hint="eastAsia"/>
                <w:color w:val="auto"/>
                <w:sz w:val="24"/>
              </w:rPr>
              <w:t>30</w:t>
            </w:r>
            <w:r>
              <w:rPr>
                <w:color w:val="auto"/>
                <w:sz w:val="24"/>
              </w:rPr>
              <w:t>min计，非正常排放量核算见</w:t>
            </w:r>
            <w:r>
              <w:rPr>
                <w:color w:val="auto"/>
                <w:sz w:val="24"/>
                <w:szCs w:val="32"/>
              </w:rPr>
              <w:fldChar w:fldCharType="begin"/>
            </w:r>
            <w:r>
              <w:rPr>
                <w:color w:val="auto"/>
                <w:sz w:val="24"/>
                <w:szCs w:val="32"/>
              </w:rPr>
              <w:instrText xml:space="preserve"> HYPERLINK \l "_bookmark159" </w:instrText>
            </w:r>
            <w:r>
              <w:rPr>
                <w:color w:val="auto"/>
                <w:sz w:val="24"/>
                <w:szCs w:val="32"/>
              </w:rPr>
              <w:fldChar w:fldCharType="separate"/>
            </w:r>
            <w:r>
              <w:rPr>
                <w:color w:val="auto"/>
                <w:sz w:val="24"/>
              </w:rPr>
              <w:t>表</w:t>
            </w:r>
            <w:r>
              <w:rPr>
                <w:color w:val="auto"/>
                <w:sz w:val="24"/>
                <w:szCs w:val="32"/>
              </w:rPr>
              <w:fldChar w:fldCharType="end"/>
            </w:r>
            <w:r>
              <w:rPr>
                <w:color w:val="auto"/>
              </w:rPr>
              <w:fldChar w:fldCharType="begin"/>
            </w:r>
            <w:r>
              <w:rPr>
                <w:color w:val="auto"/>
              </w:rPr>
              <w:instrText xml:space="preserve"> HYPERLINK \l "_bookmark159" </w:instrText>
            </w:r>
            <w:r>
              <w:rPr>
                <w:color w:val="auto"/>
              </w:rPr>
              <w:fldChar w:fldCharType="separate"/>
            </w:r>
            <w:r>
              <w:rPr>
                <w:color w:val="auto"/>
                <w:sz w:val="24"/>
              </w:rPr>
              <w:t>4-</w:t>
            </w:r>
            <w:r>
              <w:rPr>
                <w:rFonts w:hint="eastAsia"/>
                <w:color w:val="auto"/>
                <w:sz w:val="24"/>
              </w:rPr>
              <w:t>5</w:t>
            </w:r>
            <w:r>
              <w:rPr>
                <w:rFonts w:hint="eastAsia"/>
                <w:color w:val="auto"/>
                <w:sz w:val="24"/>
              </w:rPr>
              <w:fldChar w:fldCharType="end"/>
            </w:r>
            <w:r>
              <w:rPr>
                <w:color w:val="auto"/>
                <w:sz w:val="24"/>
              </w:rPr>
              <w:t>。拟采取的防范措施如下：</w:t>
            </w:r>
          </w:p>
          <w:p w14:paraId="5F90ADEE">
            <w:pPr>
              <w:adjustRightInd w:val="0"/>
              <w:snapToGrid w:val="0"/>
              <w:spacing w:line="360" w:lineRule="auto"/>
              <w:ind w:firstLine="480" w:firstLineChars="200"/>
              <w:rPr>
                <w:color w:val="auto"/>
                <w:sz w:val="24"/>
              </w:rPr>
            </w:pPr>
            <w:r>
              <w:rPr>
                <w:color w:val="auto"/>
                <w:sz w:val="24"/>
              </w:rPr>
              <w:t>①平时注意废气处理设施的维护，及时检查废气处理装置的有效性和设备的运行情况，确保废气处理系统正常运行；开、停、检修要有预案，有严密周全的计划，降低非正常排放概率，或使影响最小。</w:t>
            </w:r>
          </w:p>
          <w:p w14:paraId="7229ABBF">
            <w:pPr>
              <w:adjustRightInd w:val="0"/>
              <w:snapToGrid w:val="0"/>
              <w:spacing w:line="360" w:lineRule="auto"/>
              <w:ind w:firstLine="480" w:firstLineChars="200"/>
              <w:rPr>
                <w:color w:val="auto"/>
                <w:sz w:val="24"/>
              </w:rPr>
            </w:pPr>
            <w:r>
              <w:rPr>
                <w:color w:val="auto"/>
                <w:sz w:val="24"/>
              </w:rPr>
              <w:t>②应设有备用电源和备用处理设备和零件，以备停电或设备出现故障时保障及时更换使废气全部做到达标排放。</w:t>
            </w:r>
          </w:p>
          <w:p w14:paraId="2F04E1F5">
            <w:pPr>
              <w:adjustRightInd w:val="0"/>
              <w:snapToGrid w:val="0"/>
              <w:spacing w:line="360" w:lineRule="auto"/>
              <w:ind w:firstLine="480" w:firstLineChars="200"/>
              <w:rPr>
                <w:color w:val="auto"/>
                <w:sz w:val="24"/>
              </w:rPr>
            </w:pPr>
            <w:r>
              <w:rPr>
                <w:color w:val="auto"/>
                <w:sz w:val="24"/>
              </w:rPr>
              <w:t>③对员工进行岗位培训。做好值班记录，实行岗位责任制。</w:t>
            </w:r>
          </w:p>
          <w:p w14:paraId="032A3AF6">
            <w:pPr>
              <w:adjustRightInd w:val="0"/>
              <w:snapToGrid w:val="0"/>
              <w:ind w:firstLine="482" w:firstLineChars="200"/>
              <w:jc w:val="center"/>
              <w:rPr>
                <w:b/>
                <w:color w:val="auto"/>
                <w:sz w:val="24"/>
              </w:rPr>
            </w:pPr>
            <w:r>
              <w:rPr>
                <w:b/>
                <w:color w:val="auto"/>
                <w:sz w:val="24"/>
              </w:rPr>
              <w:t>表4</w:t>
            </w:r>
            <w:r>
              <w:rPr>
                <w:rFonts w:hint="eastAsia"/>
                <w:b/>
                <w:color w:val="auto"/>
                <w:sz w:val="24"/>
              </w:rPr>
              <w:t>-5</w:t>
            </w:r>
            <w:r>
              <w:rPr>
                <w:b/>
                <w:color w:val="auto"/>
                <w:sz w:val="24"/>
              </w:rPr>
              <w:t xml:space="preserve"> 污染源非正常排放量核算表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321"/>
              <w:gridCol w:w="863"/>
              <w:gridCol w:w="1767"/>
              <w:gridCol w:w="1074"/>
              <w:gridCol w:w="1245"/>
              <w:gridCol w:w="958"/>
              <w:gridCol w:w="958"/>
              <w:gridCol w:w="1302"/>
            </w:tblGrid>
            <w:tr w14:paraId="18E409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189" w:type="pct"/>
                  <w:vAlign w:val="center"/>
                </w:tcPr>
                <w:p w14:paraId="2EDE98EA">
                  <w:pPr>
                    <w:jc w:val="center"/>
                    <w:rPr>
                      <w:b/>
                      <w:color w:val="auto"/>
                      <w:szCs w:val="21"/>
                    </w:rPr>
                  </w:pPr>
                  <w:r>
                    <w:rPr>
                      <w:b/>
                      <w:color w:val="auto"/>
                      <w:szCs w:val="21"/>
                    </w:rPr>
                    <w:t>编号</w:t>
                  </w:r>
                </w:p>
              </w:tc>
              <w:tc>
                <w:tcPr>
                  <w:tcW w:w="508" w:type="pct"/>
                  <w:vAlign w:val="center"/>
                </w:tcPr>
                <w:p w14:paraId="6860C0A1">
                  <w:pPr>
                    <w:jc w:val="center"/>
                    <w:rPr>
                      <w:b/>
                      <w:color w:val="auto"/>
                      <w:szCs w:val="21"/>
                    </w:rPr>
                  </w:pPr>
                  <w:r>
                    <w:rPr>
                      <w:b/>
                      <w:color w:val="auto"/>
                      <w:szCs w:val="21"/>
                    </w:rPr>
                    <w:t>非正常</w:t>
                  </w:r>
                </w:p>
                <w:p w14:paraId="42A15270">
                  <w:pPr>
                    <w:jc w:val="center"/>
                    <w:rPr>
                      <w:b/>
                      <w:color w:val="auto"/>
                      <w:szCs w:val="21"/>
                    </w:rPr>
                  </w:pPr>
                  <w:r>
                    <w:rPr>
                      <w:b/>
                      <w:color w:val="auto"/>
                      <w:szCs w:val="21"/>
                    </w:rPr>
                    <w:t>排放源</w:t>
                  </w:r>
                </w:p>
              </w:tc>
              <w:tc>
                <w:tcPr>
                  <w:tcW w:w="1040" w:type="pct"/>
                  <w:vAlign w:val="center"/>
                </w:tcPr>
                <w:p w14:paraId="18E85090">
                  <w:pPr>
                    <w:jc w:val="center"/>
                    <w:rPr>
                      <w:b/>
                      <w:color w:val="auto"/>
                      <w:szCs w:val="21"/>
                    </w:rPr>
                  </w:pPr>
                  <w:r>
                    <w:rPr>
                      <w:b/>
                      <w:color w:val="auto"/>
                      <w:szCs w:val="21"/>
                    </w:rPr>
                    <w:t>非正常</w:t>
                  </w:r>
                </w:p>
                <w:p w14:paraId="57507600">
                  <w:pPr>
                    <w:jc w:val="center"/>
                    <w:rPr>
                      <w:b/>
                      <w:color w:val="auto"/>
                      <w:szCs w:val="21"/>
                    </w:rPr>
                  </w:pPr>
                  <w:r>
                    <w:rPr>
                      <w:b/>
                      <w:color w:val="auto"/>
                      <w:szCs w:val="21"/>
                    </w:rPr>
                    <w:t>排放原因</w:t>
                  </w:r>
                </w:p>
              </w:tc>
              <w:tc>
                <w:tcPr>
                  <w:tcW w:w="632" w:type="pct"/>
                  <w:vAlign w:val="center"/>
                </w:tcPr>
                <w:p w14:paraId="3A48D88F">
                  <w:pPr>
                    <w:jc w:val="center"/>
                    <w:rPr>
                      <w:b/>
                      <w:color w:val="auto"/>
                      <w:szCs w:val="21"/>
                    </w:rPr>
                  </w:pPr>
                  <w:r>
                    <w:rPr>
                      <w:b/>
                      <w:color w:val="auto"/>
                      <w:szCs w:val="21"/>
                    </w:rPr>
                    <w:t>污染物</w:t>
                  </w:r>
                </w:p>
              </w:tc>
              <w:tc>
                <w:tcPr>
                  <w:tcW w:w="733" w:type="pct"/>
                  <w:vAlign w:val="center"/>
                </w:tcPr>
                <w:p w14:paraId="70297AA2">
                  <w:pPr>
                    <w:jc w:val="center"/>
                    <w:rPr>
                      <w:b/>
                      <w:color w:val="auto"/>
                      <w:szCs w:val="21"/>
                    </w:rPr>
                  </w:pPr>
                  <w:r>
                    <w:rPr>
                      <w:b/>
                      <w:color w:val="auto"/>
                      <w:szCs w:val="21"/>
                    </w:rPr>
                    <w:t>非正常排放速率</w:t>
                  </w:r>
                  <w:r>
                    <w:rPr>
                      <w:rFonts w:hint="eastAsia"/>
                      <w:b/>
                      <w:color w:val="auto"/>
                      <w:szCs w:val="21"/>
                      <w:lang w:eastAsia="zh-CN"/>
                    </w:rPr>
                    <w:t>（</w:t>
                  </w:r>
                  <w:r>
                    <w:rPr>
                      <w:b/>
                      <w:color w:val="auto"/>
                      <w:szCs w:val="21"/>
                    </w:rPr>
                    <w:t>kg/h</w:t>
                  </w:r>
                  <w:r>
                    <w:rPr>
                      <w:rFonts w:hint="eastAsia"/>
                      <w:b/>
                      <w:color w:val="auto"/>
                      <w:szCs w:val="21"/>
                      <w:lang w:eastAsia="zh-CN"/>
                    </w:rPr>
                    <w:t>）</w:t>
                  </w:r>
                </w:p>
              </w:tc>
              <w:tc>
                <w:tcPr>
                  <w:tcW w:w="564" w:type="pct"/>
                  <w:vAlign w:val="center"/>
                </w:tcPr>
                <w:p w14:paraId="5730ACD2">
                  <w:pPr>
                    <w:jc w:val="center"/>
                    <w:rPr>
                      <w:b/>
                      <w:color w:val="auto"/>
                      <w:szCs w:val="21"/>
                    </w:rPr>
                  </w:pPr>
                  <w:r>
                    <w:rPr>
                      <w:b/>
                      <w:color w:val="auto"/>
                      <w:szCs w:val="21"/>
                    </w:rPr>
                    <w:t>单次持续</w:t>
                  </w:r>
                </w:p>
                <w:p w14:paraId="0096131C">
                  <w:pPr>
                    <w:jc w:val="center"/>
                    <w:rPr>
                      <w:b/>
                      <w:color w:val="auto"/>
                      <w:szCs w:val="21"/>
                    </w:rPr>
                  </w:pPr>
                  <w:r>
                    <w:rPr>
                      <w:b/>
                      <w:color w:val="auto"/>
                      <w:szCs w:val="21"/>
                    </w:rPr>
                    <w:t>时间/h</w:t>
                  </w:r>
                </w:p>
              </w:tc>
              <w:tc>
                <w:tcPr>
                  <w:tcW w:w="564" w:type="pct"/>
                  <w:vAlign w:val="center"/>
                </w:tcPr>
                <w:p w14:paraId="0D856F67">
                  <w:pPr>
                    <w:jc w:val="center"/>
                    <w:rPr>
                      <w:b/>
                      <w:color w:val="auto"/>
                      <w:szCs w:val="21"/>
                    </w:rPr>
                  </w:pPr>
                  <w:r>
                    <w:rPr>
                      <w:b/>
                      <w:color w:val="auto"/>
                      <w:szCs w:val="21"/>
                    </w:rPr>
                    <w:t>年发生</w:t>
                  </w:r>
                </w:p>
                <w:p w14:paraId="6FC32C09">
                  <w:pPr>
                    <w:jc w:val="center"/>
                    <w:rPr>
                      <w:b/>
                      <w:color w:val="auto"/>
                      <w:szCs w:val="21"/>
                    </w:rPr>
                  </w:pPr>
                  <w:r>
                    <w:rPr>
                      <w:b/>
                      <w:color w:val="auto"/>
                      <w:szCs w:val="21"/>
                    </w:rPr>
                    <w:t>频次/次</w:t>
                  </w:r>
                </w:p>
              </w:tc>
              <w:tc>
                <w:tcPr>
                  <w:tcW w:w="766" w:type="pct"/>
                  <w:vAlign w:val="center"/>
                </w:tcPr>
                <w:p w14:paraId="44F74C2E">
                  <w:pPr>
                    <w:jc w:val="center"/>
                    <w:rPr>
                      <w:b/>
                      <w:color w:val="auto"/>
                      <w:szCs w:val="21"/>
                    </w:rPr>
                  </w:pPr>
                  <w:r>
                    <w:rPr>
                      <w:rFonts w:hint="eastAsia"/>
                      <w:b/>
                      <w:color w:val="auto"/>
                      <w:szCs w:val="21"/>
                    </w:rPr>
                    <w:t>应对措施</w:t>
                  </w:r>
                </w:p>
              </w:tc>
            </w:tr>
            <w:tr w14:paraId="5EED55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89" w:hRule="atLeast"/>
                <w:jc w:val="center"/>
              </w:trPr>
              <w:tc>
                <w:tcPr>
                  <w:tcW w:w="189" w:type="pct"/>
                  <w:vMerge w:val="restart"/>
                  <w:vAlign w:val="center"/>
                </w:tcPr>
                <w:p w14:paraId="7195C338">
                  <w:pPr>
                    <w:jc w:val="center"/>
                    <w:rPr>
                      <w:color w:val="auto"/>
                      <w:szCs w:val="21"/>
                    </w:rPr>
                  </w:pPr>
                  <w:r>
                    <w:rPr>
                      <w:color w:val="auto"/>
                      <w:szCs w:val="21"/>
                    </w:rPr>
                    <w:t>1</w:t>
                  </w:r>
                </w:p>
              </w:tc>
              <w:tc>
                <w:tcPr>
                  <w:tcW w:w="508" w:type="pct"/>
                  <w:vMerge w:val="restart"/>
                  <w:vAlign w:val="center"/>
                </w:tcPr>
                <w:p w14:paraId="5E5719C6">
                  <w:pPr>
                    <w:jc w:val="center"/>
                    <w:rPr>
                      <w:color w:val="auto"/>
                      <w:szCs w:val="21"/>
                    </w:rPr>
                  </w:pPr>
                  <w:r>
                    <w:rPr>
                      <w:rFonts w:hint="eastAsia"/>
                      <w:color w:val="auto"/>
                      <w:szCs w:val="21"/>
                    </w:rPr>
                    <w:t>DA001</w:t>
                  </w:r>
                </w:p>
              </w:tc>
              <w:tc>
                <w:tcPr>
                  <w:tcW w:w="1040" w:type="pct"/>
                  <w:vAlign w:val="center"/>
                </w:tcPr>
                <w:p w14:paraId="1679786A">
                  <w:pPr>
                    <w:jc w:val="center"/>
                    <w:rPr>
                      <w:color w:val="auto"/>
                      <w:szCs w:val="21"/>
                    </w:rPr>
                  </w:pPr>
                  <w:r>
                    <w:rPr>
                      <w:rFonts w:hint="eastAsia"/>
                      <w:color w:val="auto"/>
                      <w:szCs w:val="21"/>
                    </w:rPr>
                    <w:t>布袋除尘器</w:t>
                  </w:r>
                  <w:r>
                    <w:rPr>
                      <w:color w:val="auto"/>
                      <w:szCs w:val="21"/>
                    </w:rPr>
                    <w:t>故障</w:t>
                  </w:r>
                </w:p>
              </w:tc>
              <w:tc>
                <w:tcPr>
                  <w:tcW w:w="632" w:type="pct"/>
                  <w:vAlign w:val="center"/>
                </w:tcPr>
                <w:p w14:paraId="000CC05D">
                  <w:pPr>
                    <w:jc w:val="center"/>
                    <w:rPr>
                      <w:color w:val="auto"/>
                      <w:szCs w:val="21"/>
                    </w:rPr>
                  </w:pPr>
                  <w:r>
                    <w:rPr>
                      <w:rFonts w:hint="eastAsia"/>
                      <w:color w:val="auto"/>
                      <w:szCs w:val="21"/>
                    </w:rPr>
                    <w:t>颗粒物</w:t>
                  </w:r>
                </w:p>
              </w:tc>
              <w:tc>
                <w:tcPr>
                  <w:tcW w:w="733" w:type="pct"/>
                  <w:vAlign w:val="center"/>
                </w:tcPr>
                <w:p w14:paraId="0766333B">
                  <w:pPr>
                    <w:jc w:val="center"/>
                    <w:rPr>
                      <w:color w:val="auto"/>
                      <w:szCs w:val="21"/>
                    </w:rPr>
                  </w:pPr>
                  <w:r>
                    <w:rPr>
                      <w:rFonts w:hint="eastAsia"/>
                      <w:color w:val="auto"/>
                      <w:szCs w:val="21"/>
                    </w:rPr>
                    <w:t>0.064</w:t>
                  </w:r>
                </w:p>
              </w:tc>
              <w:tc>
                <w:tcPr>
                  <w:tcW w:w="564" w:type="pct"/>
                  <w:vAlign w:val="center"/>
                </w:tcPr>
                <w:p w14:paraId="36150A64">
                  <w:pPr>
                    <w:jc w:val="center"/>
                    <w:rPr>
                      <w:color w:val="auto"/>
                      <w:szCs w:val="21"/>
                    </w:rPr>
                  </w:pPr>
                  <w:r>
                    <w:rPr>
                      <w:color w:val="auto"/>
                      <w:szCs w:val="21"/>
                    </w:rPr>
                    <w:t>0.5</w:t>
                  </w:r>
                </w:p>
              </w:tc>
              <w:tc>
                <w:tcPr>
                  <w:tcW w:w="564" w:type="pct"/>
                  <w:vAlign w:val="center"/>
                </w:tcPr>
                <w:p w14:paraId="39C6DDA4">
                  <w:pPr>
                    <w:jc w:val="center"/>
                    <w:rPr>
                      <w:color w:val="auto"/>
                      <w:szCs w:val="21"/>
                    </w:rPr>
                  </w:pPr>
                  <w:r>
                    <w:rPr>
                      <w:color w:val="auto"/>
                      <w:szCs w:val="21"/>
                    </w:rPr>
                    <w:t>1</w:t>
                  </w:r>
                </w:p>
              </w:tc>
              <w:tc>
                <w:tcPr>
                  <w:tcW w:w="766" w:type="pct"/>
                  <w:vMerge w:val="restart"/>
                  <w:vAlign w:val="center"/>
                </w:tcPr>
                <w:p w14:paraId="1E9E3919">
                  <w:pPr>
                    <w:jc w:val="center"/>
                    <w:rPr>
                      <w:color w:val="auto"/>
                      <w:szCs w:val="21"/>
                    </w:rPr>
                  </w:pPr>
                  <w:r>
                    <w:rPr>
                      <w:rFonts w:hint="eastAsia"/>
                      <w:color w:val="auto"/>
                      <w:szCs w:val="21"/>
                    </w:rPr>
                    <w:t>定期进行设备维护检修，当工艺废气处理装置出现故障不能短时间恢复时停止生产</w:t>
                  </w:r>
                </w:p>
              </w:tc>
            </w:tr>
            <w:tr w14:paraId="7F5B40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189" w:type="pct"/>
                  <w:vMerge w:val="continue"/>
                  <w:vAlign w:val="center"/>
                </w:tcPr>
                <w:p w14:paraId="348581FD">
                  <w:pPr>
                    <w:jc w:val="center"/>
                    <w:rPr>
                      <w:color w:val="auto"/>
                      <w:szCs w:val="21"/>
                    </w:rPr>
                  </w:pPr>
                </w:p>
              </w:tc>
              <w:tc>
                <w:tcPr>
                  <w:tcW w:w="508" w:type="pct"/>
                  <w:vMerge w:val="continue"/>
                  <w:vAlign w:val="center"/>
                </w:tcPr>
                <w:p w14:paraId="0C1A3B21">
                  <w:pPr>
                    <w:jc w:val="center"/>
                    <w:rPr>
                      <w:color w:val="auto"/>
                      <w:szCs w:val="21"/>
                    </w:rPr>
                  </w:pPr>
                </w:p>
              </w:tc>
              <w:tc>
                <w:tcPr>
                  <w:tcW w:w="1040" w:type="pct"/>
                  <w:vAlign w:val="center"/>
                </w:tcPr>
                <w:p w14:paraId="1769DD61">
                  <w:pPr>
                    <w:jc w:val="center"/>
                    <w:rPr>
                      <w:color w:val="auto"/>
                      <w:szCs w:val="21"/>
                    </w:rPr>
                  </w:pPr>
                  <w:r>
                    <w:rPr>
                      <w:rFonts w:hint="eastAsia"/>
                      <w:color w:val="auto"/>
                      <w:szCs w:val="21"/>
                    </w:rPr>
                    <w:t>活性炭更换不及时</w:t>
                  </w:r>
                </w:p>
              </w:tc>
              <w:tc>
                <w:tcPr>
                  <w:tcW w:w="632" w:type="pct"/>
                  <w:vAlign w:val="center"/>
                </w:tcPr>
                <w:p w14:paraId="59257D68">
                  <w:pPr>
                    <w:jc w:val="center"/>
                    <w:rPr>
                      <w:color w:val="auto"/>
                      <w:szCs w:val="21"/>
                    </w:rPr>
                  </w:pPr>
                  <w:r>
                    <w:rPr>
                      <w:rFonts w:hint="eastAsia"/>
                      <w:color w:val="auto"/>
                      <w:szCs w:val="21"/>
                    </w:rPr>
                    <w:t>非甲烷总烃</w:t>
                  </w:r>
                </w:p>
              </w:tc>
              <w:tc>
                <w:tcPr>
                  <w:tcW w:w="733" w:type="pct"/>
                  <w:vAlign w:val="center"/>
                </w:tcPr>
                <w:p w14:paraId="38AA7312">
                  <w:pPr>
                    <w:jc w:val="center"/>
                    <w:rPr>
                      <w:color w:val="auto"/>
                      <w:szCs w:val="21"/>
                    </w:rPr>
                  </w:pPr>
                  <w:r>
                    <w:rPr>
                      <w:rFonts w:hint="eastAsia"/>
                      <w:color w:val="auto"/>
                      <w:szCs w:val="21"/>
                    </w:rPr>
                    <w:t>0.0016</w:t>
                  </w:r>
                </w:p>
              </w:tc>
              <w:tc>
                <w:tcPr>
                  <w:tcW w:w="564" w:type="pct"/>
                  <w:vAlign w:val="center"/>
                </w:tcPr>
                <w:p w14:paraId="7C270364">
                  <w:pPr>
                    <w:jc w:val="center"/>
                    <w:rPr>
                      <w:color w:val="auto"/>
                      <w:szCs w:val="21"/>
                    </w:rPr>
                  </w:pPr>
                  <w:r>
                    <w:rPr>
                      <w:rFonts w:hint="eastAsia"/>
                      <w:color w:val="auto"/>
                      <w:szCs w:val="21"/>
                    </w:rPr>
                    <w:t>0.5</w:t>
                  </w:r>
                </w:p>
              </w:tc>
              <w:tc>
                <w:tcPr>
                  <w:tcW w:w="564" w:type="pct"/>
                  <w:vAlign w:val="center"/>
                </w:tcPr>
                <w:p w14:paraId="011F0712">
                  <w:pPr>
                    <w:jc w:val="center"/>
                    <w:rPr>
                      <w:color w:val="auto"/>
                      <w:szCs w:val="21"/>
                    </w:rPr>
                  </w:pPr>
                  <w:r>
                    <w:rPr>
                      <w:rFonts w:hint="eastAsia"/>
                      <w:color w:val="auto"/>
                      <w:szCs w:val="21"/>
                    </w:rPr>
                    <w:t>1</w:t>
                  </w:r>
                </w:p>
              </w:tc>
              <w:tc>
                <w:tcPr>
                  <w:tcW w:w="766" w:type="pct"/>
                  <w:vMerge w:val="continue"/>
                  <w:vAlign w:val="center"/>
                </w:tcPr>
                <w:p w14:paraId="597F3A8E">
                  <w:pPr>
                    <w:jc w:val="center"/>
                    <w:rPr>
                      <w:color w:val="auto"/>
                      <w:szCs w:val="21"/>
                    </w:rPr>
                  </w:pPr>
                </w:p>
              </w:tc>
            </w:tr>
            <w:tr w14:paraId="70DBC7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89" w:type="pct"/>
                  <w:vAlign w:val="center"/>
                </w:tcPr>
                <w:p w14:paraId="58FCCD35">
                  <w:pPr>
                    <w:jc w:val="center"/>
                    <w:rPr>
                      <w:color w:val="auto"/>
                      <w:szCs w:val="21"/>
                    </w:rPr>
                  </w:pPr>
                  <w:r>
                    <w:rPr>
                      <w:rFonts w:hint="eastAsia"/>
                      <w:color w:val="auto"/>
                      <w:szCs w:val="21"/>
                    </w:rPr>
                    <w:t>2</w:t>
                  </w:r>
                </w:p>
              </w:tc>
              <w:tc>
                <w:tcPr>
                  <w:tcW w:w="508" w:type="pct"/>
                  <w:vAlign w:val="center"/>
                </w:tcPr>
                <w:p w14:paraId="2AF1C373">
                  <w:pPr>
                    <w:jc w:val="center"/>
                    <w:rPr>
                      <w:color w:val="auto"/>
                      <w:szCs w:val="21"/>
                    </w:rPr>
                  </w:pPr>
                  <w:r>
                    <w:rPr>
                      <w:rFonts w:hint="eastAsia"/>
                      <w:color w:val="auto"/>
                      <w:szCs w:val="21"/>
                    </w:rPr>
                    <w:t>DA002</w:t>
                  </w:r>
                </w:p>
              </w:tc>
              <w:tc>
                <w:tcPr>
                  <w:tcW w:w="1040" w:type="pct"/>
                  <w:vAlign w:val="center"/>
                </w:tcPr>
                <w:p w14:paraId="15251C42">
                  <w:pPr>
                    <w:jc w:val="center"/>
                    <w:rPr>
                      <w:color w:val="auto"/>
                      <w:szCs w:val="21"/>
                    </w:rPr>
                  </w:pPr>
                  <w:r>
                    <w:rPr>
                      <w:rFonts w:hint="eastAsia"/>
                      <w:color w:val="auto"/>
                      <w:szCs w:val="21"/>
                    </w:rPr>
                    <w:t>布袋除尘器</w:t>
                  </w:r>
                  <w:r>
                    <w:rPr>
                      <w:color w:val="auto"/>
                      <w:szCs w:val="21"/>
                    </w:rPr>
                    <w:t>故障</w:t>
                  </w:r>
                </w:p>
              </w:tc>
              <w:tc>
                <w:tcPr>
                  <w:tcW w:w="632" w:type="pct"/>
                  <w:vAlign w:val="center"/>
                </w:tcPr>
                <w:p w14:paraId="502A1223">
                  <w:pPr>
                    <w:jc w:val="center"/>
                    <w:rPr>
                      <w:color w:val="auto"/>
                      <w:szCs w:val="21"/>
                    </w:rPr>
                  </w:pPr>
                  <w:r>
                    <w:rPr>
                      <w:rFonts w:hint="eastAsia"/>
                      <w:color w:val="auto"/>
                      <w:szCs w:val="21"/>
                    </w:rPr>
                    <w:t>颗粒物</w:t>
                  </w:r>
                </w:p>
              </w:tc>
              <w:tc>
                <w:tcPr>
                  <w:tcW w:w="733" w:type="pct"/>
                  <w:vAlign w:val="center"/>
                </w:tcPr>
                <w:p w14:paraId="173B7A24">
                  <w:pPr>
                    <w:jc w:val="center"/>
                    <w:rPr>
                      <w:color w:val="auto"/>
                      <w:szCs w:val="21"/>
                    </w:rPr>
                  </w:pPr>
                  <w:r>
                    <w:rPr>
                      <w:rFonts w:hint="eastAsia"/>
                      <w:color w:val="auto"/>
                      <w:szCs w:val="21"/>
                    </w:rPr>
                    <w:t>0.237</w:t>
                  </w:r>
                </w:p>
              </w:tc>
              <w:tc>
                <w:tcPr>
                  <w:tcW w:w="564" w:type="pct"/>
                  <w:vAlign w:val="center"/>
                </w:tcPr>
                <w:p w14:paraId="58C68C87">
                  <w:pPr>
                    <w:jc w:val="center"/>
                    <w:rPr>
                      <w:color w:val="auto"/>
                      <w:szCs w:val="21"/>
                    </w:rPr>
                  </w:pPr>
                  <w:r>
                    <w:rPr>
                      <w:rFonts w:hint="eastAsia"/>
                      <w:color w:val="auto"/>
                      <w:szCs w:val="21"/>
                    </w:rPr>
                    <w:t>0.5</w:t>
                  </w:r>
                </w:p>
              </w:tc>
              <w:tc>
                <w:tcPr>
                  <w:tcW w:w="564" w:type="pct"/>
                  <w:vAlign w:val="center"/>
                </w:tcPr>
                <w:p w14:paraId="705342BC">
                  <w:pPr>
                    <w:jc w:val="center"/>
                    <w:rPr>
                      <w:color w:val="auto"/>
                      <w:szCs w:val="21"/>
                    </w:rPr>
                  </w:pPr>
                  <w:r>
                    <w:rPr>
                      <w:rFonts w:hint="eastAsia"/>
                      <w:color w:val="auto"/>
                      <w:szCs w:val="21"/>
                    </w:rPr>
                    <w:t>1</w:t>
                  </w:r>
                </w:p>
              </w:tc>
              <w:tc>
                <w:tcPr>
                  <w:tcW w:w="766" w:type="pct"/>
                  <w:vMerge w:val="continue"/>
                  <w:vAlign w:val="center"/>
                </w:tcPr>
                <w:p w14:paraId="30606B7C">
                  <w:pPr>
                    <w:jc w:val="center"/>
                    <w:rPr>
                      <w:color w:val="auto"/>
                      <w:szCs w:val="21"/>
                    </w:rPr>
                  </w:pPr>
                </w:p>
              </w:tc>
            </w:tr>
            <w:tr w14:paraId="77BAB1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269" w:hRule="atLeast"/>
                <w:jc w:val="center"/>
              </w:trPr>
              <w:tc>
                <w:tcPr>
                  <w:tcW w:w="189" w:type="pct"/>
                  <w:vMerge w:val="restart"/>
                  <w:vAlign w:val="center"/>
                </w:tcPr>
                <w:p w14:paraId="2222A2EE">
                  <w:pPr>
                    <w:jc w:val="center"/>
                    <w:rPr>
                      <w:color w:val="auto"/>
                      <w:szCs w:val="21"/>
                    </w:rPr>
                  </w:pPr>
                  <w:r>
                    <w:rPr>
                      <w:rFonts w:hint="eastAsia"/>
                      <w:color w:val="auto"/>
                      <w:szCs w:val="21"/>
                    </w:rPr>
                    <w:t>3</w:t>
                  </w:r>
                </w:p>
              </w:tc>
              <w:tc>
                <w:tcPr>
                  <w:tcW w:w="508" w:type="pct"/>
                  <w:vMerge w:val="restart"/>
                  <w:vAlign w:val="center"/>
                </w:tcPr>
                <w:p w14:paraId="0CF5C96F">
                  <w:pPr>
                    <w:jc w:val="center"/>
                    <w:rPr>
                      <w:color w:val="auto"/>
                      <w:szCs w:val="21"/>
                    </w:rPr>
                  </w:pPr>
                  <w:r>
                    <w:rPr>
                      <w:rFonts w:hint="eastAsia"/>
                      <w:color w:val="auto"/>
                      <w:szCs w:val="21"/>
                    </w:rPr>
                    <w:t>DA003</w:t>
                  </w:r>
                </w:p>
              </w:tc>
              <w:tc>
                <w:tcPr>
                  <w:tcW w:w="1040" w:type="pct"/>
                  <w:vAlign w:val="center"/>
                </w:tcPr>
                <w:p w14:paraId="18A653B6">
                  <w:pPr>
                    <w:jc w:val="center"/>
                    <w:rPr>
                      <w:color w:val="auto"/>
                      <w:szCs w:val="21"/>
                    </w:rPr>
                  </w:pPr>
                  <w:r>
                    <w:rPr>
                      <w:rFonts w:hint="eastAsia"/>
                      <w:color w:val="auto"/>
                      <w:szCs w:val="21"/>
                    </w:rPr>
                    <w:t>活性炭更换不及时</w:t>
                  </w:r>
                </w:p>
              </w:tc>
              <w:tc>
                <w:tcPr>
                  <w:tcW w:w="632" w:type="pct"/>
                  <w:vAlign w:val="center"/>
                </w:tcPr>
                <w:p w14:paraId="5C92F9DF">
                  <w:pPr>
                    <w:jc w:val="center"/>
                    <w:rPr>
                      <w:color w:val="auto"/>
                      <w:szCs w:val="21"/>
                    </w:rPr>
                  </w:pPr>
                  <w:r>
                    <w:rPr>
                      <w:rFonts w:hint="eastAsia"/>
                      <w:color w:val="auto"/>
                      <w:szCs w:val="21"/>
                    </w:rPr>
                    <w:t>非甲烷总烃</w:t>
                  </w:r>
                </w:p>
              </w:tc>
              <w:tc>
                <w:tcPr>
                  <w:tcW w:w="733" w:type="pct"/>
                  <w:vAlign w:val="center"/>
                </w:tcPr>
                <w:p w14:paraId="260D5CDF">
                  <w:pPr>
                    <w:jc w:val="center"/>
                    <w:rPr>
                      <w:color w:val="auto"/>
                      <w:szCs w:val="21"/>
                    </w:rPr>
                  </w:pPr>
                  <w:r>
                    <w:rPr>
                      <w:rFonts w:hint="eastAsia"/>
                      <w:color w:val="auto"/>
                      <w:szCs w:val="21"/>
                    </w:rPr>
                    <w:t>0.2828</w:t>
                  </w:r>
                </w:p>
              </w:tc>
              <w:tc>
                <w:tcPr>
                  <w:tcW w:w="564" w:type="pct"/>
                  <w:vMerge w:val="restart"/>
                  <w:vAlign w:val="center"/>
                </w:tcPr>
                <w:p w14:paraId="25AF646A">
                  <w:pPr>
                    <w:jc w:val="center"/>
                    <w:rPr>
                      <w:color w:val="auto"/>
                      <w:szCs w:val="21"/>
                    </w:rPr>
                  </w:pPr>
                  <w:r>
                    <w:rPr>
                      <w:rFonts w:hint="eastAsia"/>
                      <w:color w:val="auto"/>
                      <w:szCs w:val="21"/>
                    </w:rPr>
                    <w:t>0.5</w:t>
                  </w:r>
                </w:p>
              </w:tc>
              <w:tc>
                <w:tcPr>
                  <w:tcW w:w="564" w:type="pct"/>
                  <w:vMerge w:val="restart"/>
                  <w:vAlign w:val="center"/>
                </w:tcPr>
                <w:p w14:paraId="19F2E656">
                  <w:pPr>
                    <w:jc w:val="center"/>
                    <w:rPr>
                      <w:color w:val="auto"/>
                      <w:szCs w:val="21"/>
                    </w:rPr>
                  </w:pPr>
                  <w:r>
                    <w:rPr>
                      <w:rFonts w:hint="eastAsia"/>
                      <w:color w:val="auto"/>
                      <w:szCs w:val="21"/>
                    </w:rPr>
                    <w:t>1</w:t>
                  </w:r>
                </w:p>
              </w:tc>
              <w:tc>
                <w:tcPr>
                  <w:tcW w:w="766" w:type="pct"/>
                  <w:vMerge w:val="continue"/>
                  <w:vAlign w:val="center"/>
                </w:tcPr>
                <w:p w14:paraId="76F43663">
                  <w:pPr>
                    <w:jc w:val="center"/>
                    <w:rPr>
                      <w:color w:val="auto"/>
                      <w:szCs w:val="21"/>
                    </w:rPr>
                  </w:pPr>
                </w:p>
              </w:tc>
            </w:tr>
            <w:tr w14:paraId="3C1D62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52" w:hRule="atLeast"/>
                <w:jc w:val="center"/>
              </w:trPr>
              <w:tc>
                <w:tcPr>
                  <w:tcW w:w="189" w:type="pct"/>
                  <w:vMerge w:val="continue"/>
                  <w:vAlign w:val="center"/>
                </w:tcPr>
                <w:p w14:paraId="4670253B">
                  <w:pPr>
                    <w:jc w:val="center"/>
                    <w:rPr>
                      <w:color w:val="auto"/>
                      <w:szCs w:val="21"/>
                    </w:rPr>
                  </w:pPr>
                </w:p>
              </w:tc>
              <w:tc>
                <w:tcPr>
                  <w:tcW w:w="508" w:type="pct"/>
                  <w:vMerge w:val="continue"/>
                  <w:vAlign w:val="center"/>
                </w:tcPr>
                <w:p w14:paraId="63A17724">
                  <w:pPr>
                    <w:jc w:val="center"/>
                    <w:rPr>
                      <w:color w:val="auto"/>
                      <w:szCs w:val="21"/>
                    </w:rPr>
                  </w:pPr>
                </w:p>
              </w:tc>
              <w:tc>
                <w:tcPr>
                  <w:tcW w:w="1040" w:type="pct"/>
                  <w:vAlign w:val="center"/>
                </w:tcPr>
                <w:p w14:paraId="577CDE1C">
                  <w:pPr>
                    <w:jc w:val="center"/>
                    <w:rPr>
                      <w:color w:val="auto"/>
                      <w:szCs w:val="21"/>
                    </w:rPr>
                  </w:pPr>
                  <w:r>
                    <w:rPr>
                      <w:rFonts w:hint="eastAsia"/>
                      <w:color w:val="auto"/>
                      <w:szCs w:val="21"/>
                    </w:rPr>
                    <w:t>布袋除尘器</w:t>
                  </w:r>
                  <w:r>
                    <w:rPr>
                      <w:color w:val="auto"/>
                      <w:szCs w:val="21"/>
                    </w:rPr>
                    <w:t>故障</w:t>
                  </w:r>
                </w:p>
              </w:tc>
              <w:tc>
                <w:tcPr>
                  <w:tcW w:w="632" w:type="pct"/>
                  <w:vAlign w:val="center"/>
                </w:tcPr>
                <w:p w14:paraId="5414787A">
                  <w:pPr>
                    <w:jc w:val="center"/>
                    <w:rPr>
                      <w:color w:val="auto"/>
                      <w:szCs w:val="21"/>
                    </w:rPr>
                  </w:pPr>
                  <w:r>
                    <w:rPr>
                      <w:rFonts w:hint="eastAsia"/>
                      <w:color w:val="auto"/>
                      <w:szCs w:val="21"/>
                    </w:rPr>
                    <w:t>颗粒物</w:t>
                  </w:r>
                </w:p>
              </w:tc>
              <w:tc>
                <w:tcPr>
                  <w:tcW w:w="733" w:type="pct"/>
                  <w:vAlign w:val="center"/>
                </w:tcPr>
                <w:p w14:paraId="4B458AED">
                  <w:pPr>
                    <w:jc w:val="center"/>
                    <w:rPr>
                      <w:color w:val="auto"/>
                      <w:szCs w:val="21"/>
                    </w:rPr>
                  </w:pPr>
                  <w:r>
                    <w:rPr>
                      <w:rFonts w:hint="eastAsia"/>
                      <w:color w:val="auto"/>
                      <w:szCs w:val="21"/>
                    </w:rPr>
                    <w:t>0.2483</w:t>
                  </w:r>
                </w:p>
              </w:tc>
              <w:tc>
                <w:tcPr>
                  <w:tcW w:w="564" w:type="pct"/>
                  <w:vMerge w:val="continue"/>
                  <w:vAlign w:val="center"/>
                </w:tcPr>
                <w:p w14:paraId="21D545E5">
                  <w:pPr>
                    <w:jc w:val="center"/>
                    <w:rPr>
                      <w:color w:val="auto"/>
                      <w:szCs w:val="21"/>
                    </w:rPr>
                  </w:pPr>
                </w:p>
              </w:tc>
              <w:tc>
                <w:tcPr>
                  <w:tcW w:w="564" w:type="pct"/>
                  <w:vMerge w:val="continue"/>
                  <w:vAlign w:val="center"/>
                </w:tcPr>
                <w:p w14:paraId="63155F1C">
                  <w:pPr>
                    <w:jc w:val="center"/>
                    <w:rPr>
                      <w:color w:val="auto"/>
                      <w:szCs w:val="21"/>
                    </w:rPr>
                  </w:pPr>
                </w:p>
              </w:tc>
              <w:tc>
                <w:tcPr>
                  <w:tcW w:w="766" w:type="pct"/>
                  <w:vMerge w:val="continue"/>
                  <w:vAlign w:val="center"/>
                </w:tcPr>
                <w:p w14:paraId="0C6282BC">
                  <w:pPr>
                    <w:jc w:val="center"/>
                    <w:rPr>
                      <w:color w:val="auto"/>
                      <w:szCs w:val="21"/>
                    </w:rPr>
                  </w:pPr>
                </w:p>
              </w:tc>
            </w:tr>
            <w:tr w14:paraId="72ACC8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76" w:hRule="atLeast"/>
                <w:jc w:val="center"/>
              </w:trPr>
              <w:tc>
                <w:tcPr>
                  <w:tcW w:w="189" w:type="pct"/>
                  <w:vAlign w:val="center"/>
                </w:tcPr>
                <w:p w14:paraId="06A93312">
                  <w:pPr>
                    <w:jc w:val="center"/>
                    <w:rPr>
                      <w:color w:val="auto"/>
                      <w:szCs w:val="21"/>
                    </w:rPr>
                  </w:pPr>
                  <w:r>
                    <w:rPr>
                      <w:rFonts w:hint="eastAsia"/>
                      <w:color w:val="auto"/>
                      <w:szCs w:val="21"/>
                    </w:rPr>
                    <w:t>4</w:t>
                  </w:r>
                </w:p>
              </w:tc>
              <w:tc>
                <w:tcPr>
                  <w:tcW w:w="508" w:type="pct"/>
                  <w:vAlign w:val="center"/>
                </w:tcPr>
                <w:p w14:paraId="4AFD72BF">
                  <w:pPr>
                    <w:jc w:val="center"/>
                    <w:rPr>
                      <w:color w:val="auto"/>
                      <w:szCs w:val="21"/>
                    </w:rPr>
                  </w:pPr>
                  <w:r>
                    <w:rPr>
                      <w:rFonts w:hint="eastAsia"/>
                      <w:color w:val="auto"/>
                      <w:szCs w:val="21"/>
                    </w:rPr>
                    <w:t>DA004</w:t>
                  </w:r>
                </w:p>
              </w:tc>
              <w:tc>
                <w:tcPr>
                  <w:tcW w:w="1040" w:type="pct"/>
                  <w:vAlign w:val="center"/>
                </w:tcPr>
                <w:p w14:paraId="3B9C41CD">
                  <w:pPr>
                    <w:jc w:val="center"/>
                    <w:rPr>
                      <w:color w:val="auto"/>
                      <w:szCs w:val="21"/>
                    </w:rPr>
                  </w:pPr>
                  <w:r>
                    <w:rPr>
                      <w:rFonts w:hint="eastAsia"/>
                      <w:color w:val="auto"/>
                      <w:szCs w:val="21"/>
                    </w:rPr>
                    <w:t>布袋除尘器</w:t>
                  </w:r>
                  <w:r>
                    <w:rPr>
                      <w:color w:val="auto"/>
                      <w:szCs w:val="21"/>
                    </w:rPr>
                    <w:t>故障</w:t>
                  </w:r>
                </w:p>
              </w:tc>
              <w:tc>
                <w:tcPr>
                  <w:tcW w:w="632" w:type="pct"/>
                  <w:vAlign w:val="center"/>
                </w:tcPr>
                <w:p w14:paraId="38EF9CA9">
                  <w:pPr>
                    <w:jc w:val="center"/>
                    <w:rPr>
                      <w:color w:val="auto"/>
                      <w:szCs w:val="21"/>
                    </w:rPr>
                  </w:pPr>
                  <w:r>
                    <w:rPr>
                      <w:rFonts w:hint="eastAsia"/>
                      <w:color w:val="auto"/>
                      <w:szCs w:val="21"/>
                    </w:rPr>
                    <w:t>颗粒物</w:t>
                  </w:r>
                </w:p>
              </w:tc>
              <w:tc>
                <w:tcPr>
                  <w:tcW w:w="733" w:type="pct"/>
                  <w:vAlign w:val="center"/>
                </w:tcPr>
                <w:p w14:paraId="35546DB4">
                  <w:pPr>
                    <w:jc w:val="center"/>
                    <w:rPr>
                      <w:color w:val="auto"/>
                      <w:szCs w:val="21"/>
                    </w:rPr>
                  </w:pPr>
                  <w:r>
                    <w:rPr>
                      <w:rFonts w:hint="eastAsia"/>
                      <w:color w:val="auto"/>
                      <w:szCs w:val="21"/>
                    </w:rPr>
                    <w:t>0.1008</w:t>
                  </w:r>
                </w:p>
              </w:tc>
              <w:tc>
                <w:tcPr>
                  <w:tcW w:w="564" w:type="pct"/>
                  <w:vAlign w:val="center"/>
                </w:tcPr>
                <w:p w14:paraId="1284B7A0">
                  <w:pPr>
                    <w:jc w:val="center"/>
                    <w:rPr>
                      <w:color w:val="auto"/>
                      <w:szCs w:val="21"/>
                    </w:rPr>
                  </w:pPr>
                  <w:r>
                    <w:rPr>
                      <w:rFonts w:hint="eastAsia"/>
                      <w:color w:val="auto"/>
                      <w:szCs w:val="21"/>
                    </w:rPr>
                    <w:t>0.5</w:t>
                  </w:r>
                </w:p>
              </w:tc>
              <w:tc>
                <w:tcPr>
                  <w:tcW w:w="564" w:type="pct"/>
                  <w:vAlign w:val="center"/>
                </w:tcPr>
                <w:p w14:paraId="4777FEDE">
                  <w:pPr>
                    <w:jc w:val="center"/>
                    <w:rPr>
                      <w:color w:val="auto"/>
                      <w:szCs w:val="21"/>
                    </w:rPr>
                  </w:pPr>
                  <w:r>
                    <w:rPr>
                      <w:rFonts w:hint="eastAsia"/>
                      <w:color w:val="auto"/>
                      <w:szCs w:val="21"/>
                    </w:rPr>
                    <w:t>1</w:t>
                  </w:r>
                </w:p>
              </w:tc>
              <w:tc>
                <w:tcPr>
                  <w:tcW w:w="766" w:type="pct"/>
                  <w:vMerge w:val="continue"/>
                  <w:vAlign w:val="center"/>
                </w:tcPr>
                <w:p w14:paraId="581F3C02">
                  <w:pPr>
                    <w:jc w:val="center"/>
                    <w:rPr>
                      <w:color w:val="auto"/>
                      <w:szCs w:val="21"/>
                    </w:rPr>
                  </w:pPr>
                </w:p>
              </w:tc>
            </w:tr>
            <w:tr w14:paraId="37117F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14" w:hRule="atLeast"/>
                <w:jc w:val="center"/>
              </w:trPr>
              <w:tc>
                <w:tcPr>
                  <w:tcW w:w="189" w:type="pct"/>
                  <w:vMerge w:val="restart"/>
                  <w:vAlign w:val="center"/>
                </w:tcPr>
                <w:p w14:paraId="3BBB8952">
                  <w:pPr>
                    <w:jc w:val="center"/>
                    <w:rPr>
                      <w:color w:val="auto"/>
                      <w:szCs w:val="21"/>
                    </w:rPr>
                  </w:pPr>
                  <w:r>
                    <w:rPr>
                      <w:rFonts w:hint="eastAsia"/>
                      <w:color w:val="auto"/>
                      <w:szCs w:val="21"/>
                    </w:rPr>
                    <w:t>5</w:t>
                  </w:r>
                </w:p>
              </w:tc>
              <w:tc>
                <w:tcPr>
                  <w:tcW w:w="508" w:type="pct"/>
                  <w:vMerge w:val="restart"/>
                  <w:vAlign w:val="center"/>
                </w:tcPr>
                <w:p w14:paraId="14E91BCC">
                  <w:pPr>
                    <w:jc w:val="center"/>
                    <w:rPr>
                      <w:color w:val="auto"/>
                      <w:szCs w:val="21"/>
                    </w:rPr>
                  </w:pPr>
                  <w:r>
                    <w:rPr>
                      <w:rFonts w:hint="eastAsia"/>
                      <w:color w:val="auto"/>
                      <w:szCs w:val="21"/>
                    </w:rPr>
                    <w:t>DA005</w:t>
                  </w:r>
                </w:p>
              </w:tc>
              <w:tc>
                <w:tcPr>
                  <w:tcW w:w="1040" w:type="pct"/>
                  <w:vAlign w:val="center"/>
                </w:tcPr>
                <w:p w14:paraId="581A68DE">
                  <w:pPr>
                    <w:widowControl/>
                    <w:adjustRightInd w:val="0"/>
                    <w:snapToGrid w:val="0"/>
                    <w:jc w:val="center"/>
                    <w:rPr>
                      <w:color w:val="auto"/>
                      <w:szCs w:val="21"/>
                    </w:rPr>
                  </w:pPr>
                  <w:r>
                    <w:rPr>
                      <w:rFonts w:hint="eastAsia"/>
                      <w:color w:val="auto"/>
                      <w:szCs w:val="21"/>
                    </w:rPr>
                    <w:t>布袋除尘器</w:t>
                  </w:r>
                  <w:r>
                    <w:rPr>
                      <w:color w:val="auto"/>
                      <w:szCs w:val="21"/>
                    </w:rPr>
                    <w:t>故障</w:t>
                  </w:r>
                </w:p>
              </w:tc>
              <w:tc>
                <w:tcPr>
                  <w:tcW w:w="632" w:type="pct"/>
                  <w:vAlign w:val="center"/>
                </w:tcPr>
                <w:p w14:paraId="468869E6">
                  <w:pPr>
                    <w:widowControl/>
                    <w:adjustRightInd w:val="0"/>
                    <w:snapToGrid w:val="0"/>
                    <w:jc w:val="center"/>
                    <w:rPr>
                      <w:color w:val="auto"/>
                      <w:szCs w:val="21"/>
                    </w:rPr>
                  </w:pPr>
                  <w:r>
                    <w:rPr>
                      <w:rFonts w:hint="eastAsia"/>
                      <w:color w:val="auto"/>
                      <w:kern w:val="0"/>
                      <w:szCs w:val="21"/>
                    </w:rPr>
                    <w:t>颗粒物</w:t>
                  </w:r>
                </w:p>
              </w:tc>
              <w:tc>
                <w:tcPr>
                  <w:tcW w:w="733" w:type="pct"/>
                  <w:vAlign w:val="center"/>
                </w:tcPr>
                <w:p w14:paraId="16904E65">
                  <w:pPr>
                    <w:jc w:val="center"/>
                    <w:rPr>
                      <w:color w:val="auto"/>
                      <w:szCs w:val="21"/>
                    </w:rPr>
                  </w:pPr>
                  <w:r>
                    <w:rPr>
                      <w:rFonts w:hint="eastAsia"/>
                      <w:color w:val="auto"/>
                      <w:szCs w:val="21"/>
                    </w:rPr>
                    <w:t>1.595</w:t>
                  </w:r>
                </w:p>
              </w:tc>
              <w:tc>
                <w:tcPr>
                  <w:tcW w:w="564" w:type="pct"/>
                  <w:vMerge w:val="restart"/>
                  <w:vAlign w:val="center"/>
                </w:tcPr>
                <w:p w14:paraId="143C5CB0">
                  <w:pPr>
                    <w:jc w:val="center"/>
                    <w:rPr>
                      <w:color w:val="auto"/>
                      <w:szCs w:val="21"/>
                    </w:rPr>
                  </w:pPr>
                  <w:r>
                    <w:rPr>
                      <w:rFonts w:hint="eastAsia"/>
                      <w:color w:val="auto"/>
                      <w:szCs w:val="21"/>
                    </w:rPr>
                    <w:t>0.5</w:t>
                  </w:r>
                </w:p>
              </w:tc>
              <w:tc>
                <w:tcPr>
                  <w:tcW w:w="564" w:type="pct"/>
                  <w:vMerge w:val="restart"/>
                  <w:vAlign w:val="center"/>
                </w:tcPr>
                <w:p w14:paraId="15E22317">
                  <w:pPr>
                    <w:jc w:val="center"/>
                    <w:rPr>
                      <w:color w:val="auto"/>
                      <w:szCs w:val="21"/>
                    </w:rPr>
                  </w:pPr>
                  <w:r>
                    <w:rPr>
                      <w:rFonts w:hint="eastAsia"/>
                      <w:color w:val="auto"/>
                      <w:szCs w:val="21"/>
                    </w:rPr>
                    <w:t>1</w:t>
                  </w:r>
                </w:p>
              </w:tc>
              <w:tc>
                <w:tcPr>
                  <w:tcW w:w="766" w:type="pct"/>
                  <w:vMerge w:val="continue"/>
                  <w:vAlign w:val="center"/>
                </w:tcPr>
                <w:p w14:paraId="53A41E1A">
                  <w:pPr>
                    <w:jc w:val="center"/>
                    <w:rPr>
                      <w:color w:val="auto"/>
                      <w:szCs w:val="21"/>
                    </w:rPr>
                  </w:pPr>
                </w:p>
              </w:tc>
            </w:tr>
            <w:tr w14:paraId="551CD3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74" w:hRule="atLeast"/>
                <w:jc w:val="center"/>
              </w:trPr>
              <w:tc>
                <w:tcPr>
                  <w:tcW w:w="189" w:type="pct"/>
                  <w:vMerge w:val="continue"/>
                  <w:vAlign w:val="center"/>
                </w:tcPr>
                <w:p w14:paraId="4796B639">
                  <w:pPr>
                    <w:jc w:val="center"/>
                    <w:rPr>
                      <w:color w:val="auto"/>
                      <w:szCs w:val="21"/>
                    </w:rPr>
                  </w:pPr>
                </w:p>
              </w:tc>
              <w:tc>
                <w:tcPr>
                  <w:tcW w:w="508" w:type="pct"/>
                  <w:vMerge w:val="continue"/>
                  <w:vAlign w:val="center"/>
                </w:tcPr>
                <w:p w14:paraId="722CCAD1">
                  <w:pPr>
                    <w:jc w:val="center"/>
                    <w:rPr>
                      <w:color w:val="auto"/>
                      <w:szCs w:val="21"/>
                    </w:rPr>
                  </w:pPr>
                </w:p>
              </w:tc>
              <w:tc>
                <w:tcPr>
                  <w:tcW w:w="1040" w:type="pct"/>
                  <w:vAlign w:val="center"/>
                </w:tcPr>
                <w:p w14:paraId="4282D228">
                  <w:pPr>
                    <w:widowControl/>
                    <w:adjustRightInd w:val="0"/>
                    <w:snapToGrid w:val="0"/>
                    <w:jc w:val="center"/>
                    <w:rPr>
                      <w:color w:val="auto"/>
                      <w:szCs w:val="21"/>
                    </w:rPr>
                  </w:pPr>
                  <w:r>
                    <w:rPr>
                      <w:rFonts w:hint="eastAsia"/>
                      <w:color w:val="auto"/>
                      <w:szCs w:val="21"/>
                    </w:rPr>
                    <w:t>活性炭更换不及时</w:t>
                  </w:r>
                </w:p>
              </w:tc>
              <w:tc>
                <w:tcPr>
                  <w:tcW w:w="632" w:type="pct"/>
                  <w:vAlign w:val="center"/>
                </w:tcPr>
                <w:p w14:paraId="6D286907">
                  <w:pPr>
                    <w:widowControl/>
                    <w:adjustRightInd w:val="0"/>
                    <w:snapToGrid w:val="0"/>
                    <w:jc w:val="center"/>
                    <w:rPr>
                      <w:color w:val="auto"/>
                      <w:szCs w:val="21"/>
                    </w:rPr>
                  </w:pPr>
                  <w:r>
                    <w:rPr>
                      <w:rFonts w:hint="eastAsia"/>
                      <w:color w:val="auto"/>
                      <w:kern w:val="0"/>
                      <w:szCs w:val="21"/>
                    </w:rPr>
                    <w:t>非甲烷总烃</w:t>
                  </w:r>
                </w:p>
              </w:tc>
              <w:tc>
                <w:tcPr>
                  <w:tcW w:w="733" w:type="pct"/>
                  <w:vAlign w:val="center"/>
                </w:tcPr>
                <w:p w14:paraId="221DE512">
                  <w:pPr>
                    <w:jc w:val="center"/>
                    <w:rPr>
                      <w:color w:val="auto"/>
                      <w:szCs w:val="21"/>
                    </w:rPr>
                  </w:pPr>
                  <w:r>
                    <w:rPr>
                      <w:rFonts w:hint="eastAsia"/>
                      <w:color w:val="auto"/>
                      <w:szCs w:val="21"/>
                    </w:rPr>
                    <w:t>0.0084</w:t>
                  </w:r>
                </w:p>
              </w:tc>
              <w:tc>
                <w:tcPr>
                  <w:tcW w:w="564" w:type="pct"/>
                  <w:vMerge w:val="continue"/>
                  <w:vAlign w:val="center"/>
                </w:tcPr>
                <w:p w14:paraId="49EA4D56">
                  <w:pPr>
                    <w:jc w:val="center"/>
                    <w:rPr>
                      <w:color w:val="auto"/>
                      <w:szCs w:val="21"/>
                    </w:rPr>
                  </w:pPr>
                </w:p>
              </w:tc>
              <w:tc>
                <w:tcPr>
                  <w:tcW w:w="564" w:type="pct"/>
                  <w:vMerge w:val="continue"/>
                  <w:vAlign w:val="center"/>
                </w:tcPr>
                <w:p w14:paraId="691F63EF">
                  <w:pPr>
                    <w:jc w:val="center"/>
                    <w:rPr>
                      <w:color w:val="auto"/>
                      <w:szCs w:val="21"/>
                    </w:rPr>
                  </w:pPr>
                </w:p>
              </w:tc>
              <w:tc>
                <w:tcPr>
                  <w:tcW w:w="766" w:type="pct"/>
                  <w:vMerge w:val="continue"/>
                  <w:vAlign w:val="center"/>
                </w:tcPr>
                <w:p w14:paraId="050FAF38">
                  <w:pPr>
                    <w:jc w:val="center"/>
                    <w:rPr>
                      <w:color w:val="auto"/>
                      <w:szCs w:val="21"/>
                    </w:rPr>
                  </w:pPr>
                </w:p>
              </w:tc>
            </w:tr>
            <w:tr w14:paraId="364892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74" w:hRule="atLeast"/>
                <w:jc w:val="center"/>
              </w:trPr>
              <w:tc>
                <w:tcPr>
                  <w:tcW w:w="189" w:type="pct"/>
                  <w:vMerge w:val="continue"/>
                  <w:vAlign w:val="center"/>
                </w:tcPr>
                <w:p w14:paraId="4D94AFA5">
                  <w:pPr>
                    <w:jc w:val="center"/>
                    <w:rPr>
                      <w:color w:val="auto"/>
                      <w:szCs w:val="21"/>
                    </w:rPr>
                  </w:pPr>
                </w:p>
              </w:tc>
              <w:tc>
                <w:tcPr>
                  <w:tcW w:w="508" w:type="pct"/>
                  <w:vMerge w:val="continue"/>
                  <w:vAlign w:val="center"/>
                </w:tcPr>
                <w:p w14:paraId="0CCE2553">
                  <w:pPr>
                    <w:jc w:val="center"/>
                    <w:rPr>
                      <w:color w:val="auto"/>
                      <w:szCs w:val="21"/>
                    </w:rPr>
                  </w:pPr>
                </w:p>
              </w:tc>
              <w:tc>
                <w:tcPr>
                  <w:tcW w:w="1040" w:type="pct"/>
                  <w:vAlign w:val="center"/>
                </w:tcPr>
                <w:p w14:paraId="04269014">
                  <w:pPr>
                    <w:widowControl/>
                    <w:adjustRightInd w:val="0"/>
                    <w:snapToGrid w:val="0"/>
                    <w:jc w:val="center"/>
                    <w:rPr>
                      <w:color w:val="auto"/>
                      <w:szCs w:val="21"/>
                    </w:rPr>
                  </w:pPr>
                  <w:r>
                    <w:rPr>
                      <w:rFonts w:hint="eastAsia"/>
                      <w:color w:val="auto"/>
                      <w:szCs w:val="21"/>
                    </w:rPr>
                    <w:t>/</w:t>
                  </w:r>
                </w:p>
              </w:tc>
              <w:tc>
                <w:tcPr>
                  <w:tcW w:w="632" w:type="pct"/>
                  <w:vAlign w:val="center"/>
                </w:tcPr>
                <w:p w14:paraId="7421FFF7">
                  <w:pPr>
                    <w:widowControl/>
                    <w:adjustRightInd w:val="0"/>
                    <w:snapToGrid w:val="0"/>
                    <w:jc w:val="center"/>
                    <w:rPr>
                      <w:color w:val="auto"/>
                      <w:kern w:val="0"/>
                      <w:szCs w:val="21"/>
                    </w:rPr>
                  </w:pPr>
                  <w:r>
                    <w:rPr>
                      <w:rFonts w:hint="eastAsia"/>
                      <w:color w:val="auto"/>
                      <w:kern w:val="0"/>
                      <w:szCs w:val="21"/>
                      <w:lang w:eastAsia="zh-CN"/>
                    </w:rPr>
                    <w:t>二、</w:t>
                  </w:r>
                  <w:r>
                    <w:rPr>
                      <w:rFonts w:hint="eastAsia"/>
                      <w:color w:val="auto"/>
                      <w:kern w:val="0"/>
                      <w:szCs w:val="21"/>
                    </w:rPr>
                    <w:t>氧化硫</w:t>
                  </w:r>
                </w:p>
              </w:tc>
              <w:tc>
                <w:tcPr>
                  <w:tcW w:w="733" w:type="pct"/>
                  <w:vAlign w:val="center"/>
                </w:tcPr>
                <w:p w14:paraId="367DC0E0">
                  <w:pPr>
                    <w:jc w:val="center"/>
                    <w:rPr>
                      <w:color w:val="auto"/>
                      <w:szCs w:val="21"/>
                    </w:rPr>
                  </w:pPr>
                  <w:r>
                    <w:rPr>
                      <w:rFonts w:hint="eastAsia"/>
                      <w:color w:val="auto"/>
                      <w:szCs w:val="21"/>
                    </w:rPr>
                    <w:t>0.0016</w:t>
                  </w:r>
                </w:p>
              </w:tc>
              <w:tc>
                <w:tcPr>
                  <w:tcW w:w="564" w:type="pct"/>
                  <w:vMerge w:val="continue"/>
                  <w:vAlign w:val="center"/>
                </w:tcPr>
                <w:p w14:paraId="55CF8E43">
                  <w:pPr>
                    <w:jc w:val="center"/>
                    <w:rPr>
                      <w:color w:val="auto"/>
                      <w:szCs w:val="21"/>
                    </w:rPr>
                  </w:pPr>
                </w:p>
              </w:tc>
              <w:tc>
                <w:tcPr>
                  <w:tcW w:w="564" w:type="pct"/>
                  <w:vMerge w:val="continue"/>
                  <w:vAlign w:val="center"/>
                </w:tcPr>
                <w:p w14:paraId="419524B4">
                  <w:pPr>
                    <w:jc w:val="center"/>
                    <w:rPr>
                      <w:color w:val="auto"/>
                      <w:szCs w:val="21"/>
                    </w:rPr>
                  </w:pPr>
                </w:p>
              </w:tc>
              <w:tc>
                <w:tcPr>
                  <w:tcW w:w="766" w:type="pct"/>
                  <w:vMerge w:val="continue"/>
                  <w:vAlign w:val="center"/>
                </w:tcPr>
                <w:p w14:paraId="22417787">
                  <w:pPr>
                    <w:jc w:val="center"/>
                    <w:rPr>
                      <w:color w:val="auto"/>
                      <w:szCs w:val="21"/>
                    </w:rPr>
                  </w:pPr>
                </w:p>
              </w:tc>
            </w:tr>
            <w:tr w14:paraId="70D471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74" w:hRule="atLeast"/>
                <w:jc w:val="center"/>
              </w:trPr>
              <w:tc>
                <w:tcPr>
                  <w:tcW w:w="189" w:type="pct"/>
                  <w:vMerge w:val="continue"/>
                  <w:vAlign w:val="center"/>
                </w:tcPr>
                <w:p w14:paraId="5557C2B3">
                  <w:pPr>
                    <w:jc w:val="center"/>
                    <w:rPr>
                      <w:color w:val="auto"/>
                      <w:szCs w:val="21"/>
                    </w:rPr>
                  </w:pPr>
                </w:p>
              </w:tc>
              <w:tc>
                <w:tcPr>
                  <w:tcW w:w="508" w:type="pct"/>
                  <w:vMerge w:val="continue"/>
                  <w:vAlign w:val="center"/>
                </w:tcPr>
                <w:p w14:paraId="3A8A7035">
                  <w:pPr>
                    <w:jc w:val="center"/>
                    <w:rPr>
                      <w:color w:val="auto"/>
                      <w:szCs w:val="21"/>
                    </w:rPr>
                  </w:pPr>
                </w:p>
              </w:tc>
              <w:tc>
                <w:tcPr>
                  <w:tcW w:w="1040" w:type="pct"/>
                  <w:vAlign w:val="center"/>
                </w:tcPr>
                <w:p w14:paraId="01531268">
                  <w:pPr>
                    <w:widowControl/>
                    <w:adjustRightInd w:val="0"/>
                    <w:snapToGrid w:val="0"/>
                    <w:jc w:val="center"/>
                    <w:rPr>
                      <w:color w:val="auto"/>
                      <w:szCs w:val="21"/>
                    </w:rPr>
                  </w:pPr>
                  <w:r>
                    <w:rPr>
                      <w:rFonts w:hint="eastAsia"/>
                      <w:color w:val="auto"/>
                      <w:szCs w:val="21"/>
                    </w:rPr>
                    <w:t>/</w:t>
                  </w:r>
                </w:p>
              </w:tc>
              <w:tc>
                <w:tcPr>
                  <w:tcW w:w="632" w:type="pct"/>
                  <w:vAlign w:val="center"/>
                </w:tcPr>
                <w:p w14:paraId="36846CD6">
                  <w:pPr>
                    <w:widowControl/>
                    <w:adjustRightInd w:val="0"/>
                    <w:snapToGrid w:val="0"/>
                    <w:jc w:val="center"/>
                    <w:rPr>
                      <w:color w:val="auto"/>
                      <w:kern w:val="0"/>
                      <w:szCs w:val="21"/>
                    </w:rPr>
                  </w:pPr>
                  <w:r>
                    <w:rPr>
                      <w:rFonts w:hint="eastAsia"/>
                      <w:color w:val="auto"/>
                      <w:kern w:val="0"/>
                      <w:szCs w:val="21"/>
                    </w:rPr>
                    <w:t>氮氧化物</w:t>
                  </w:r>
                </w:p>
              </w:tc>
              <w:tc>
                <w:tcPr>
                  <w:tcW w:w="733" w:type="pct"/>
                  <w:vAlign w:val="center"/>
                </w:tcPr>
                <w:p w14:paraId="4C9136C9">
                  <w:pPr>
                    <w:jc w:val="center"/>
                    <w:rPr>
                      <w:color w:val="auto"/>
                      <w:szCs w:val="21"/>
                    </w:rPr>
                  </w:pPr>
                  <w:r>
                    <w:rPr>
                      <w:rFonts w:hint="eastAsia"/>
                      <w:color w:val="auto"/>
                      <w:szCs w:val="21"/>
                    </w:rPr>
                    <w:t>0.0764</w:t>
                  </w:r>
                </w:p>
              </w:tc>
              <w:tc>
                <w:tcPr>
                  <w:tcW w:w="564" w:type="pct"/>
                  <w:vMerge w:val="continue"/>
                  <w:vAlign w:val="center"/>
                </w:tcPr>
                <w:p w14:paraId="6A543DBF">
                  <w:pPr>
                    <w:jc w:val="center"/>
                    <w:rPr>
                      <w:color w:val="auto"/>
                      <w:szCs w:val="21"/>
                    </w:rPr>
                  </w:pPr>
                </w:p>
              </w:tc>
              <w:tc>
                <w:tcPr>
                  <w:tcW w:w="564" w:type="pct"/>
                  <w:vMerge w:val="continue"/>
                  <w:vAlign w:val="center"/>
                </w:tcPr>
                <w:p w14:paraId="62BE6A1C">
                  <w:pPr>
                    <w:jc w:val="center"/>
                    <w:rPr>
                      <w:color w:val="auto"/>
                      <w:szCs w:val="21"/>
                    </w:rPr>
                  </w:pPr>
                </w:p>
              </w:tc>
              <w:tc>
                <w:tcPr>
                  <w:tcW w:w="766" w:type="pct"/>
                  <w:vMerge w:val="continue"/>
                  <w:vAlign w:val="center"/>
                </w:tcPr>
                <w:p w14:paraId="1EF3292F">
                  <w:pPr>
                    <w:jc w:val="center"/>
                    <w:rPr>
                      <w:color w:val="auto"/>
                      <w:szCs w:val="21"/>
                    </w:rPr>
                  </w:pPr>
                </w:p>
              </w:tc>
            </w:tr>
            <w:tr w14:paraId="3BB78F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89" w:type="pct"/>
                  <w:vMerge w:val="restart"/>
                  <w:vAlign w:val="center"/>
                </w:tcPr>
                <w:p w14:paraId="229212AE">
                  <w:pPr>
                    <w:jc w:val="center"/>
                    <w:rPr>
                      <w:color w:val="auto"/>
                      <w:szCs w:val="21"/>
                    </w:rPr>
                  </w:pPr>
                  <w:r>
                    <w:rPr>
                      <w:rFonts w:hint="eastAsia"/>
                      <w:color w:val="auto"/>
                      <w:szCs w:val="21"/>
                    </w:rPr>
                    <w:t>6</w:t>
                  </w:r>
                </w:p>
              </w:tc>
              <w:tc>
                <w:tcPr>
                  <w:tcW w:w="508" w:type="pct"/>
                  <w:vMerge w:val="restart"/>
                  <w:vAlign w:val="center"/>
                </w:tcPr>
                <w:p w14:paraId="0C3C3147">
                  <w:pPr>
                    <w:jc w:val="center"/>
                    <w:rPr>
                      <w:color w:val="auto"/>
                      <w:szCs w:val="21"/>
                    </w:rPr>
                  </w:pPr>
                  <w:r>
                    <w:rPr>
                      <w:rFonts w:hint="eastAsia"/>
                      <w:color w:val="auto"/>
                      <w:szCs w:val="21"/>
                    </w:rPr>
                    <w:t>DA006</w:t>
                  </w:r>
                </w:p>
              </w:tc>
              <w:tc>
                <w:tcPr>
                  <w:tcW w:w="1040" w:type="pct"/>
                  <w:vAlign w:val="center"/>
                </w:tcPr>
                <w:p w14:paraId="55DC05BC">
                  <w:pPr>
                    <w:jc w:val="center"/>
                    <w:rPr>
                      <w:color w:val="auto"/>
                      <w:szCs w:val="21"/>
                    </w:rPr>
                  </w:pPr>
                  <w:r>
                    <w:rPr>
                      <w:rFonts w:hint="eastAsia"/>
                      <w:color w:val="auto"/>
                      <w:szCs w:val="21"/>
                    </w:rPr>
                    <w:t>活性炭更换不及时</w:t>
                  </w:r>
                </w:p>
              </w:tc>
              <w:tc>
                <w:tcPr>
                  <w:tcW w:w="632" w:type="pct"/>
                  <w:vAlign w:val="center"/>
                </w:tcPr>
                <w:p w14:paraId="09F77F21">
                  <w:pPr>
                    <w:jc w:val="center"/>
                    <w:rPr>
                      <w:color w:val="auto"/>
                      <w:szCs w:val="21"/>
                    </w:rPr>
                  </w:pPr>
                  <w:r>
                    <w:rPr>
                      <w:rFonts w:hint="eastAsia"/>
                      <w:color w:val="auto"/>
                      <w:szCs w:val="21"/>
                    </w:rPr>
                    <w:t>非甲烷总烃</w:t>
                  </w:r>
                </w:p>
              </w:tc>
              <w:tc>
                <w:tcPr>
                  <w:tcW w:w="733" w:type="pct"/>
                  <w:vAlign w:val="center"/>
                </w:tcPr>
                <w:p w14:paraId="6E3462AA">
                  <w:pPr>
                    <w:jc w:val="center"/>
                    <w:rPr>
                      <w:color w:val="auto"/>
                      <w:szCs w:val="21"/>
                    </w:rPr>
                  </w:pPr>
                  <w:r>
                    <w:rPr>
                      <w:rFonts w:hint="eastAsia"/>
                      <w:color w:val="auto"/>
                      <w:szCs w:val="21"/>
                    </w:rPr>
                    <w:t>0.2791</w:t>
                  </w:r>
                </w:p>
              </w:tc>
              <w:tc>
                <w:tcPr>
                  <w:tcW w:w="564" w:type="pct"/>
                  <w:vMerge w:val="restart"/>
                  <w:vAlign w:val="center"/>
                </w:tcPr>
                <w:p w14:paraId="4D2D9F62">
                  <w:pPr>
                    <w:jc w:val="center"/>
                    <w:rPr>
                      <w:color w:val="auto"/>
                      <w:szCs w:val="21"/>
                    </w:rPr>
                  </w:pPr>
                  <w:r>
                    <w:rPr>
                      <w:rFonts w:hint="eastAsia"/>
                      <w:color w:val="auto"/>
                      <w:szCs w:val="21"/>
                    </w:rPr>
                    <w:t>0.5</w:t>
                  </w:r>
                </w:p>
              </w:tc>
              <w:tc>
                <w:tcPr>
                  <w:tcW w:w="564" w:type="pct"/>
                  <w:vMerge w:val="restart"/>
                  <w:vAlign w:val="center"/>
                </w:tcPr>
                <w:p w14:paraId="0894791C">
                  <w:pPr>
                    <w:jc w:val="center"/>
                    <w:rPr>
                      <w:color w:val="auto"/>
                      <w:szCs w:val="21"/>
                    </w:rPr>
                  </w:pPr>
                  <w:r>
                    <w:rPr>
                      <w:rFonts w:hint="eastAsia"/>
                      <w:color w:val="auto"/>
                      <w:szCs w:val="21"/>
                    </w:rPr>
                    <w:t>1</w:t>
                  </w:r>
                </w:p>
              </w:tc>
              <w:tc>
                <w:tcPr>
                  <w:tcW w:w="766" w:type="pct"/>
                  <w:vMerge w:val="continue"/>
                  <w:vAlign w:val="center"/>
                </w:tcPr>
                <w:p w14:paraId="67AF3D36">
                  <w:pPr>
                    <w:jc w:val="center"/>
                    <w:rPr>
                      <w:color w:val="auto"/>
                      <w:szCs w:val="21"/>
                    </w:rPr>
                  </w:pPr>
                </w:p>
              </w:tc>
            </w:tr>
            <w:tr w14:paraId="6EC0A6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89" w:type="pct"/>
                  <w:vMerge w:val="continue"/>
                  <w:vAlign w:val="center"/>
                </w:tcPr>
                <w:p w14:paraId="6447782A">
                  <w:pPr>
                    <w:jc w:val="center"/>
                    <w:rPr>
                      <w:color w:val="auto"/>
                      <w:szCs w:val="21"/>
                    </w:rPr>
                  </w:pPr>
                </w:p>
              </w:tc>
              <w:tc>
                <w:tcPr>
                  <w:tcW w:w="508" w:type="pct"/>
                  <w:vMerge w:val="continue"/>
                  <w:vAlign w:val="center"/>
                </w:tcPr>
                <w:p w14:paraId="7260AB6E">
                  <w:pPr>
                    <w:jc w:val="center"/>
                    <w:rPr>
                      <w:color w:val="auto"/>
                      <w:szCs w:val="21"/>
                    </w:rPr>
                  </w:pPr>
                </w:p>
              </w:tc>
              <w:tc>
                <w:tcPr>
                  <w:tcW w:w="1040" w:type="pct"/>
                  <w:vAlign w:val="center"/>
                </w:tcPr>
                <w:p w14:paraId="79FE6440">
                  <w:pPr>
                    <w:jc w:val="center"/>
                    <w:rPr>
                      <w:color w:val="auto"/>
                      <w:szCs w:val="21"/>
                    </w:rPr>
                  </w:pPr>
                  <w:r>
                    <w:rPr>
                      <w:rFonts w:hint="eastAsia"/>
                      <w:color w:val="auto"/>
                      <w:szCs w:val="21"/>
                    </w:rPr>
                    <w:t>布袋除尘器</w:t>
                  </w:r>
                  <w:r>
                    <w:rPr>
                      <w:color w:val="auto"/>
                      <w:szCs w:val="21"/>
                    </w:rPr>
                    <w:t>故障</w:t>
                  </w:r>
                </w:p>
              </w:tc>
              <w:tc>
                <w:tcPr>
                  <w:tcW w:w="632" w:type="pct"/>
                  <w:vAlign w:val="center"/>
                </w:tcPr>
                <w:p w14:paraId="58841790">
                  <w:pPr>
                    <w:jc w:val="center"/>
                    <w:rPr>
                      <w:color w:val="auto"/>
                      <w:szCs w:val="21"/>
                    </w:rPr>
                  </w:pPr>
                  <w:r>
                    <w:rPr>
                      <w:rFonts w:hint="eastAsia"/>
                      <w:color w:val="auto"/>
                      <w:szCs w:val="21"/>
                    </w:rPr>
                    <w:t>颗粒物</w:t>
                  </w:r>
                </w:p>
              </w:tc>
              <w:tc>
                <w:tcPr>
                  <w:tcW w:w="733" w:type="pct"/>
                  <w:vAlign w:val="center"/>
                </w:tcPr>
                <w:p w14:paraId="63B78B42">
                  <w:pPr>
                    <w:jc w:val="center"/>
                    <w:rPr>
                      <w:color w:val="auto"/>
                      <w:szCs w:val="21"/>
                    </w:rPr>
                  </w:pPr>
                  <w:r>
                    <w:rPr>
                      <w:rFonts w:hint="eastAsia"/>
                      <w:color w:val="auto"/>
                      <w:szCs w:val="21"/>
                    </w:rPr>
                    <w:t>0.0106</w:t>
                  </w:r>
                </w:p>
              </w:tc>
              <w:tc>
                <w:tcPr>
                  <w:tcW w:w="564" w:type="pct"/>
                  <w:vMerge w:val="continue"/>
                  <w:vAlign w:val="center"/>
                </w:tcPr>
                <w:p w14:paraId="48B67EFD">
                  <w:pPr>
                    <w:jc w:val="center"/>
                    <w:rPr>
                      <w:color w:val="auto"/>
                      <w:szCs w:val="21"/>
                    </w:rPr>
                  </w:pPr>
                </w:p>
              </w:tc>
              <w:tc>
                <w:tcPr>
                  <w:tcW w:w="564" w:type="pct"/>
                  <w:vMerge w:val="continue"/>
                  <w:vAlign w:val="center"/>
                </w:tcPr>
                <w:p w14:paraId="6E92A9A5">
                  <w:pPr>
                    <w:jc w:val="center"/>
                    <w:rPr>
                      <w:color w:val="auto"/>
                      <w:szCs w:val="21"/>
                    </w:rPr>
                  </w:pPr>
                </w:p>
              </w:tc>
              <w:tc>
                <w:tcPr>
                  <w:tcW w:w="766" w:type="pct"/>
                  <w:vMerge w:val="continue"/>
                  <w:vAlign w:val="center"/>
                </w:tcPr>
                <w:p w14:paraId="21172852">
                  <w:pPr>
                    <w:jc w:val="center"/>
                    <w:rPr>
                      <w:color w:val="auto"/>
                      <w:szCs w:val="21"/>
                    </w:rPr>
                  </w:pPr>
                </w:p>
              </w:tc>
            </w:tr>
          </w:tbl>
          <w:p w14:paraId="4393D1E2">
            <w:pPr>
              <w:adjustRightInd w:val="0"/>
              <w:snapToGrid w:val="0"/>
              <w:spacing w:line="360" w:lineRule="auto"/>
              <w:rPr>
                <w:b/>
                <w:color w:val="auto"/>
                <w:sz w:val="24"/>
                <w:szCs w:val="32"/>
              </w:rPr>
            </w:pPr>
            <w:r>
              <w:rPr>
                <w:b/>
                <w:color w:val="auto"/>
                <w:sz w:val="24"/>
                <w:szCs w:val="32"/>
              </w:rPr>
              <w:t>1.</w:t>
            </w:r>
            <w:r>
              <w:rPr>
                <w:rFonts w:hint="eastAsia"/>
                <w:b/>
                <w:color w:val="auto"/>
                <w:sz w:val="24"/>
                <w:szCs w:val="32"/>
              </w:rPr>
              <w:t>4</w:t>
            </w:r>
            <w:r>
              <w:rPr>
                <w:b/>
                <w:color w:val="auto"/>
                <w:sz w:val="24"/>
                <w:szCs w:val="32"/>
              </w:rPr>
              <w:t>自行监测计划</w:t>
            </w:r>
          </w:p>
          <w:p w14:paraId="7DB03506">
            <w:pPr>
              <w:adjustRightInd w:val="0"/>
              <w:snapToGrid w:val="0"/>
              <w:spacing w:line="360" w:lineRule="auto"/>
              <w:ind w:firstLine="480" w:firstLineChars="200"/>
              <w:rPr>
                <w:color w:val="auto"/>
                <w:sz w:val="24"/>
              </w:rPr>
            </w:pPr>
            <w:r>
              <w:rPr>
                <w:color w:val="auto"/>
                <w:sz w:val="24"/>
              </w:rPr>
              <w:t>企业应按照相关要求开展大气污染源自行监测，参照《排污单位自行监测技术指南总则》（HJ819-2017）、《排污单位自行监测技术指南</w:t>
            </w:r>
            <w:r>
              <w:rPr>
                <w:rFonts w:hint="eastAsia"/>
                <w:color w:val="auto"/>
                <w:sz w:val="24"/>
              </w:rPr>
              <w:t xml:space="preserve"> </w:t>
            </w:r>
            <w:r>
              <w:rPr>
                <w:rFonts w:hint="eastAsia"/>
                <w:color w:val="auto"/>
                <w:sz w:val="24"/>
                <w:lang w:eastAsia="zh-CN"/>
              </w:rPr>
              <w:t>附则</w:t>
            </w:r>
            <w:r>
              <w:rPr>
                <w:color w:val="auto"/>
                <w:sz w:val="24"/>
              </w:rPr>
              <w:t>》（HJ1086—2020）</w:t>
            </w:r>
            <w:r>
              <w:rPr>
                <w:rFonts w:hint="eastAsia"/>
                <w:color w:val="auto"/>
                <w:sz w:val="24"/>
              </w:rPr>
              <w:t>、</w:t>
            </w:r>
            <w:r>
              <w:rPr>
                <w:rFonts w:hint="eastAsia"/>
                <w:bCs/>
                <w:color w:val="auto"/>
                <w:sz w:val="24"/>
              </w:rPr>
              <w:t>《排污单位自行监测技术指南 印刷工业》（HJ1246—2022）、</w:t>
            </w:r>
            <w:r>
              <w:rPr>
                <w:rFonts w:hint="eastAsia"/>
                <w:color w:val="auto"/>
                <w:sz w:val="24"/>
              </w:rPr>
              <w:t>排污许可证申请与核发技术规范 工业炉窑》（HJ1121-2022）</w:t>
            </w:r>
            <w:r>
              <w:rPr>
                <w:rFonts w:hint="eastAsia"/>
                <w:color w:val="auto"/>
                <w:kern w:val="0"/>
                <w:sz w:val="24"/>
              </w:rPr>
              <w:t>等要求对废气进行例行监测。监测的实施可以根据实际情况由厂方自测或委托有资质的环境监测单位监测。</w:t>
            </w:r>
          </w:p>
          <w:p w14:paraId="275435FF">
            <w:pPr>
              <w:adjustRightInd w:val="0"/>
              <w:snapToGrid w:val="0"/>
              <w:spacing w:line="360" w:lineRule="auto"/>
              <w:ind w:firstLine="482" w:firstLineChars="200"/>
              <w:rPr>
                <w:b/>
                <w:color w:val="auto"/>
                <w:sz w:val="24"/>
                <w:szCs w:val="32"/>
              </w:rPr>
            </w:pPr>
            <w:r>
              <w:rPr>
                <w:rFonts w:hint="eastAsia"/>
                <w:b/>
                <w:color w:val="auto"/>
                <w:sz w:val="24"/>
                <w:szCs w:val="32"/>
                <w:lang w:eastAsia="zh-CN"/>
              </w:rPr>
              <w:t>（</w:t>
            </w:r>
            <w:r>
              <w:rPr>
                <w:b/>
                <w:color w:val="auto"/>
                <w:sz w:val="24"/>
                <w:szCs w:val="32"/>
              </w:rPr>
              <w:t>1</w:t>
            </w:r>
            <w:r>
              <w:rPr>
                <w:rFonts w:hint="eastAsia"/>
                <w:b/>
                <w:color w:val="auto"/>
                <w:sz w:val="24"/>
                <w:szCs w:val="32"/>
                <w:lang w:eastAsia="zh-CN"/>
              </w:rPr>
              <w:t>）</w:t>
            </w:r>
            <w:r>
              <w:rPr>
                <w:b/>
                <w:color w:val="auto"/>
                <w:sz w:val="24"/>
                <w:szCs w:val="32"/>
              </w:rPr>
              <w:t>有组织废气监测指标及最低监测频次</w:t>
            </w:r>
          </w:p>
          <w:p w14:paraId="1EAA20CD">
            <w:pPr>
              <w:adjustRightInd w:val="0"/>
              <w:snapToGrid w:val="0"/>
              <w:ind w:firstLine="482" w:firstLineChars="200"/>
              <w:jc w:val="center"/>
              <w:rPr>
                <w:b/>
                <w:color w:val="auto"/>
                <w:sz w:val="24"/>
                <w:szCs w:val="32"/>
              </w:rPr>
            </w:pPr>
            <w:r>
              <w:rPr>
                <w:b/>
                <w:color w:val="auto"/>
                <w:sz w:val="24"/>
                <w:szCs w:val="32"/>
              </w:rPr>
              <w:t>表4-</w:t>
            </w:r>
            <w:r>
              <w:rPr>
                <w:rFonts w:hint="eastAsia"/>
                <w:b/>
                <w:color w:val="auto"/>
                <w:sz w:val="24"/>
                <w:szCs w:val="32"/>
              </w:rPr>
              <w:t>6</w:t>
            </w:r>
            <w:r>
              <w:rPr>
                <w:b/>
                <w:color w:val="auto"/>
                <w:sz w:val="24"/>
                <w:szCs w:val="32"/>
              </w:rPr>
              <w:t xml:space="preserve">  项目有组织废气监测方案</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1442"/>
              <w:gridCol w:w="1340"/>
              <w:gridCol w:w="1666"/>
              <w:gridCol w:w="4040"/>
            </w:tblGrid>
            <w:tr w14:paraId="26FEC0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91" w:hRule="atLeast"/>
                <w:jc w:val="center"/>
              </w:trPr>
              <w:tc>
                <w:tcPr>
                  <w:tcW w:w="850" w:type="pct"/>
                  <w:vAlign w:val="center"/>
                </w:tcPr>
                <w:p w14:paraId="45239A64">
                  <w:pPr>
                    <w:adjustRightInd w:val="0"/>
                    <w:snapToGrid w:val="0"/>
                    <w:jc w:val="center"/>
                    <w:rPr>
                      <w:b/>
                      <w:color w:val="auto"/>
                      <w:szCs w:val="21"/>
                    </w:rPr>
                  </w:pPr>
                  <w:r>
                    <w:rPr>
                      <w:b/>
                      <w:color w:val="auto"/>
                      <w:szCs w:val="21"/>
                    </w:rPr>
                    <w:t>监测点位</w:t>
                  </w:r>
                </w:p>
              </w:tc>
              <w:tc>
                <w:tcPr>
                  <w:tcW w:w="789" w:type="pct"/>
                  <w:vAlign w:val="center"/>
                </w:tcPr>
                <w:p w14:paraId="25B14CFD">
                  <w:pPr>
                    <w:adjustRightInd w:val="0"/>
                    <w:snapToGrid w:val="0"/>
                    <w:jc w:val="center"/>
                    <w:rPr>
                      <w:b/>
                      <w:color w:val="auto"/>
                      <w:szCs w:val="21"/>
                    </w:rPr>
                  </w:pPr>
                  <w:r>
                    <w:rPr>
                      <w:b/>
                      <w:color w:val="auto"/>
                      <w:szCs w:val="21"/>
                    </w:rPr>
                    <w:t>监测指标</w:t>
                  </w:r>
                </w:p>
              </w:tc>
              <w:tc>
                <w:tcPr>
                  <w:tcW w:w="981" w:type="pct"/>
                  <w:vAlign w:val="center"/>
                </w:tcPr>
                <w:p w14:paraId="6B2FE914">
                  <w:pPr>
                    <w:adjustRightInd w:val="0"/>
                    <w:snapToGrid w:val="0"/>
                    <w:jc w:val="center"/>
                    <w:rPr>
                      <w:b/>
                      <w:color w:val="auto"/>
                      <w:szCs w:val="21"/>
                    </w:rPr>
                  </w:pPr>
                  <w:r>
                    <w:rPr>
                      <w:b/>
                      <w:color w:val="auto"/>
                      <w:szCs w:val="21"/>
                    </w:rPr>
                    <w:t>监测频次</w:t>
                  </w:r>
                </w:p>
              </w:tc>
              <w:tc>
                <w:tcPr>
                  <w:tcW w:w="2379" w:type="pct"/>
                  <w:vAlign w:val="center"/>
                </w:tcPr>
                <w:p w14:paraId="54479CD3">
                  <w:pPr>
                    <w:adjustRightInd w:val="0"/>
                    <w:snapToGrid w:val="0"/>
                    <w:jc w:val="center"/>
                    <w:rPr>
                      <w:b/>
                      <w:color w:val="auto"/>
                      <w:szCs w:val="21"/>
                    </w:rPr>
                  </w:pPr>
                  <w:r>
                    <w:rPr>
                      <w:b/>
                      <w:color w:val="auto"/>
                      <w:szCs w:val="21"/>
                    </w:rPr>
                    <w:t>执行排放标准</w:t>
                  </w:r>
                </w:p>
              </w:tc>
            </w:tr>
            <w:tr w14:paraId="34E4DD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restart"/>
                  <w:vAlign w:val="center"/>
                </w:tcPr>
                <w:p w14:paraId="53D023A7">
                  <w:pPr>
                    <w:adjustRightInd w:val="0"/>
                    <w:snapToGrid w:val="0"/>
                    <w:jc w:val="center"/>
                    <w:rPr>
                      <w:color w:val="auto"/>
                      <w:szCs w:val="21"/>
                    </w:rPr>
                  </w:pPr>
                  <w:r>
                    <w:rPr>
                      <w:color w:val="auto"/>
                      <w:szCs w:val="21"/>
                    </w:rPr>
                    <w:t>DA001</w:t>
                  </w:r>
                </w:p>
              </w:tc>
              <w:tc>
                <w:tcPr>
                  <w:tcW w:w="789" w:type="pct"/>
                  <w:vAlign w:val="center"/>
                </w:tcPr>
                <w:p w14:paraId="572127BB">
                  <w:pPr>
                    <w:adjustRightInd w:val="0"/>
                    <w:snapToGrid w:val="0"/>
                    <w:jc w:val="center"/>
                    <w:rPr>
                      <w:color w:val="auto"/>
                      <w:szCs w:val="21"/>
                    </w:rPr>
                  </w:pPr>
                  <w:r>
                    <w:rPr>
                      <w:rFonts w:hint="eastAsia"/>
                      <w:color w:val="auto"/>
                      <w:szCs w:val="21"/>
                    </w:rPr>
                    <w:t>颗粒物</w:t>
                  </w:r>
                </w:p>
              </w:tc>
              <w:tc>
                <w:tcPr>
                  <w:tcW w:w="981" w:type="pct"/>
                  <w:vAlign w:val="center"/>
                </w:tcPr>
                <w:p w14:paraId="23D6022C">
                  <w:pPr>
                    <w:adjustRightInd w:val="0"/>
                    <w:snapToGrid w:val="0"/>
                    <w:jc w:val="center"/>
                    <w:rPr>
                      <w:color w:val="auto"/>
                      <w:szCs w:val="21"/>
                    </w:rPr>
                  </w:pPr>
                  <w:r>
                    <w:rPr>
                      <w:color w:val="auto"/>
                      <w:szCs w:val="21"/>
                    </w:rPr>
                    <w:t>1次/年</w:t>
                  </w:r>
                </w:p>
              </w:tc>
              <w:tc>
                <w:tcPr>
                  <w:tcW w:w="2379" w:type="pct"/>
                  <w:vMerge w:val="restart"/>
                  <w:shd w:val="clear" w:color="auto" w:fill="auto"/>
                  <w:vAlign w:val="center"/>
                </w:tcPr>
                <w:p w14:paraId="61FE6A98">
                  <w:pPr>
                    <w:widowControl/>
                    <w:jc w:val="center"/>
                    <w:rPr>
                      <w:bCs/>
                      <w:color w:val="auto"/>
                      <w:szCs w:val="21"/>
                    </w:rPr>
                  </w:pPr>
                  <w:r>
                    <w:rPr>
                      <w:bCs/>
                      <w:color w:val="auto"/>
                      <w:szCs w:val="21"/>
                    </w:rPr>
                    <w:t>《江苏省大气污染物综合排放标准》（DB32/4041-2021）表1中排放限值</w:t>
                  </w:r>
                </w:p>
                <w:p w14:paraId="7947E7E3">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379424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1A811A49">
                  <w:pPr>
                    <w:adjustRightInd w:val="0"/>
                    <w:snapToGrid w:val="0"/>
                    <w:jc w:val="center"/>
                    <w:rPr>
                      <w:color w:val="auto"/>
                      <w:szCs w:val="21"/>
                    </w:rPr>
                  </w:pPr>
                </w:p>
              </w:tc>
              <w:tc>
                <w:tcPr>
                  <w:tcW w:w="789" w:type="pct"/>
                  <w:vAlign w:val="center"/>
                </w:tcPr>
                <w:p w14:paraId="6E6D4430">
                  <w:pPr>
                    <w:adjustRightInd w:val="0"/>
                    <w:snapToGrid w:val="0"/>
                    <w:jc w:val="center"/>
                    <w:rPr>
                      <w:color w:val="auto"/>
                      <w:szCs w:val="21"/>
                    </w:rPr>
                  </w:pPr>
                  <w:r>
                    <w:rPr>
                      <w:rFonts w:hint="eastAsia"/>
                      <w:color w:val="auto"/>
                      <w:szCs w:val="21"/>
                    </w:rPr>
                    <w:t>非甲烷总烃</w:t>
                  </w:r>
                </w:p>
              </w:tc>
              <w:tc>
                <w:tcPr>
                  <w:tcW w:w="981" w:type="pct"/>
                  <w:vAlign w:val="center"/>
                </w:tcPr>
                <w:p w14:paraId="74F52481">
                  <w:pPr>
                    <w:adjustRightInd w:val="0"/>
                    <w:snapToGrid w:val="0"/>
                    <w:jc w:val="center"/>
                    <w:rPr>
                      <w:color w:val="auto"/>
                      <w:szCs w:val="21"/>
                    </w:rPr>
                  </w:pPr>
                  <w:r>
                    <w:rPr>
                      <w:color w:val="auto"/>
                      <w:szCs w:val="21"/>
                    </w:rPr>
                    <w:t>1次/年</w:t>
                  </w:r>
                </w:p>
              </w:tc>
              <w:tc>
                <w:tcPr>
                  <w:tcW w:w="2379" w:type="pct"/>
                  <w:vMerge w:val="continue"/>
                  <w:vAlign w:val="center"/>
                </w:tcPr>
                <w:p w14:paraId="2B770603">
                  <w:pPr>
                    <w:widowControl/>
                    <w:jc w:val="center"/>
                    <w:rPr>
                      <w:bCs/>
                      <w:color w:val="auto"/>
                      <w:szCs w:val="21"/>
                    </w:rPr>
                  </w:pPr>
                </w:p>
              </w:tc>
            </w:tr>
            <w:tr w14:paraId="39A61B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Align w:val="center"/>
                </w:tcPr>
                <w:p w14:paraId="38BB0F21">
                  <w:pPr>
                    <w:adjustRightInd w:val="0"/>
                    <w:snapToGrid w:val="0"/>
                    <w:jc w:val="center"/>
                    <w:rPr>
                      <w:color w:val="auto"/>
                      <w:szCs w:val="21"/>
                    </w:rPr>
                  </w:pPr>
                  <w:r>
                    <w:rPr>
                      <w:rFonts w:hint="eastAsia"/>
                      <w:color w:val="auto"/>
                      <w:szCs w:val="21"/>
                    </w:rPr>
                    <w:t>DA002</w:t>
                  </w:r>
                </w:p>
              </w:tc>
              <w:tc>
                <w:tcPr>
                  <w:tcW w:w="789" w:type="pct"/>
                  <w:vAlign w:val="center"/>
                </w:tcPr>
                <w:p w14:paraId="2BD4C078">
                  <w:pPr>
                    <w:adjustRightInd w:val="0"/>
                    <w:snapToGrid w:val="0"/>
                    <w:jc w:val="center"/>
                    <w:rPr>
                      <w:color w:val="auto"/>
                      <w:szCs w:val="21"/>
                    </w:rPr>
                  </w:pPr>
                  <w:r>
                    <w:rPr>
                      <w:rFonts w:hint="eastAsia"/>
                      <w:color w:val="auto"/>
                      <w:szCs w:val="21"/>
                    </w:rPr>
                    <w:t>颗粒物</w:t>
                  </w:r>
                </w:p>
              </w:tc>
              <w:tc>
                <w:tcPr>
                  <w:tcW w:w="981" w:type="pct"/>
                  <w:vAlign w:val="center"/>
                </w:tcPr>
                <w:p w14:paraId="1CE4D2B5">
                  <w:pPr>
                    <w:adjustRightInd w:val="0"/>
                    <w:snapToGrid w:val="0"/>
                    <w:jc w:val="center"/>
                    <w:rPr>
                      <w:color w:val="auto"/>
                      <w:szCs w:val="21"/>
                    </w:rPr>
                  </w:pPr>
                  <w:r>
                    <w:rPr>
                      <w:color w:val="auto"/>
                      <w:szCs w:val="21"/>
                    </w:rPr>
                    <w:t>1次/年</w:t>
                  </w:r>
                </w:p>
              </w:tc>
              <w:tc>
                <w:tcPr>
                  <w:tcW w:w="2379" w:type="pct"/>
                  <w:vAlign w:val="center"/>
                </w:tcPr>
                <w:p w14:paraId="0CC93EA5">
                  <w:pPr>
                    <w:widowControl/>
                    <w:jc w:val="center"/>
                    <w:rPr>
                      <w:bCs/>
                      <w:color w:val="auto"/>
                      <w:szCs w:val="21"/>
                    </w:rPr>
                  </w:pPr>
                  <w:r>
                    <w:rPr>
                      <w:bCs/>
                      <w:color w:val="auto"/>
                      <w:szCs w:val="21"/>
                    </w:rPr>
                    <w:t>《江苏省大气污染物综合排放标准》（DB32/4041-2021）表1中排放限值</w:t>
                  </w:r>
                </w:p>
              </w:tc>
            </w:tr>
            <w:tr w14:paraId="53694F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restart"/>
                  <w:vAlign w:val="center"/>
                </w:tcPr>
                <w:p w14:paraId="622B4E66">
                  <w:pPr>
                    <w:adjustRightInd w:val="0"/>
                    <w:snapToGrid w:val="0"/>
                    <w:jc w:val="center"/>
                    <w:rPr>
                      <w:color w:val="auto"/>
                      <w:szCs w:val="21"/>
                    </w:rPr>
                  </w:pPr>
                  <w:r>
                    <w:rPr>
                      <w:rFonts w:hint="eastAsia"/>
                      <w:color w:val="auto"/>
                      <w:szCs w:val="21"/>
                    </w:rPr>
                    <w:t>DA003</w:t>
                  </w:r>
                </w:p>
              </w:tc>
              <w:tc>
                <w:tcPr>
                  <w:tcW w:w="789" w:type="pct"/>
                  <w:vAlign w:val="center"/>
                </w:tcPr>
                <w:p w14:paraId="74180109">
                  <w:pPr>
                    <w:adjustRightInd w:val="0"/>
                    <w:snapToGrid w:val="0"/>
                    <w:jc w:val="center"/>
                    <w:rPr>
                      <w:color w:val="auto"/>
                      <w:szCs w:val="21"/>
                    </w:rPr>
                  </w:pPr>
                  <w:r>
                    <w:rPr>
                      <w:rFonts w:hint="eastAsia"/>
                      <w:color w:val="auto"/>
                      <w:szCs w:val="21"/>
                    </w:rPr>
                    <w:t>非甲烷总烃</w:t>
                  </w:r>
                </w:p>
              </w:tc>
              <w:tc>
                <w:tcPr>
                  <w:tcW w:w="981" w:type="pct"/>
                  <w:vAlign w:val="center"/>
                </w:tcPr>
                <w:p w14:paraId="26CBE439">
                  <w:pPr>
                    <w:adjustRightInd w:val="0"/>
                    <w:snapToGrid w:val="0"/>
                    <w:jc w:val="center"/>
                    <w:rPr>
                      <w:color w:val="auto"/>
                      <w:szCs w:val="21"/>
                    </w:rPr>
                  </w:pPr>
                  <w:r>
                    <w:rPr>
                      <w:color w:val="auto"/>
                      <w:szCs w:val="21"/>
                    </w:rPr>
                    <w:t>1次/年</w:t>
                  </w:r>
                </w:p>
              </w:tc>
              <w:tc>
                <w:tcPr>
                  <w:tcW w:w="2379" w:type="pct"/>
                  <w:vAlign w:val="center"/>
                </w:tcPr>
                <w:p w14:paraId="7A93B333">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0C7AFA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684D5F14">
                  <w:pPr>
                    <w:adjustRightInd w:val="0"/>
                    <w:snapToGrid w:val="0"/>
                    <w:jc w:val="center"/>
                    <w:rPr>
                      <w:color w:val="auto"/>
                      <w:szCs w:val="21"/>
                    </w:rPr>
                  </w:pPr>
                </w:p>
              </w:tc>
              <w:tc>
                <w:tcPr>
                  <w:tcW w:w="789" w:type="pct"/>
                  <w:vAlign w:val="center"/>
                </w:tcPr>
                <w:p w14:paraId="78F2AB0E">
                  <w:pPr>
                    <w:adjustRightInd w:val="0"/>
                    <w:snapToGrid w:val="0"/>
                    <w:jc w:val="center"/>
                    <w:rPr>
                      <w:color w:val="auto"/>
                      <w:szCs w:val="21"/>
                    </w:rPr>
                  </w:pPr>
                  <w:r>
                    <w:rPr>
                      <w:rFonts w:hint="eastAsia"/>
                      <w:color w:val="auto"/>
                      <w:szCs w:val="21"/>
                    </w:rPr>
                    <w:t>苯乙烯</w:t>
                  </w:r>
                </w:p>
              </w:tc>
              <w:tc>
                <w:tcPr>
                  <w:tcW w:w="981" w:type="pct"/>
                  <w:vAlign w:val="center"/>
                </w:tcPr>
                <w:p w14:paraId="32B7C882">
                  <w:pPr>
                    <w:adjustRightInd w:val="0"/>
                    <w:snapToGrid w:val="0"/>
                    <w:jc w:val="center"/>
                    <w:rPr>
                      <w:color w:val="auto"/>
                      <w:szCs w:val="21"/>
                    </w:rPr>
                  </w:pPr>
                  <w:r>
                    <w:rPr>
                      <w:color w:val="auto"/>
                      <w:szCs w:val="21"/>
                    </w:rPr>
                    <w:t>1次/年</w:t>
                  </w:r>
                </w:p>
              </w:tc>
              <w:tc>
                <w:tcPr>
                  <w:tcW w:w="2379" w:type="pct"/>
                  <w:vAlign w:val="center"/>
                </w:tcPr>
                <w:p w14:paraId="34DC8071">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22DEC6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5AF15DFB">
                  <w:pPr>
                    <w:adjustRightInd w:val="0"/>
                    <w:snapToGrid w:val="0"/>
                    <w:jc w:val="center"/>
                    <w:rPr>
                      <w:color w:val="auto"/>
                      <w:szCs w:val="21"/>
                    </w:rPr>
                  </w:pPr>
                </w:p>
              </w:tc>
              <w:tc>
                <w:tcPr>
                  <w:tcW w:w="789" w:type="pct"/>
                  <w:vAlign w:val="center"/>
                </w:tcPr>
                <w:p w14:paraId="14F5149C">
                  <w:pPr>
                    <w:adjustRightInd w:val="0"/>
                    <w:snapToGrid w:val="0"/>
                    <w:jc w:val="center"/>
                    <w:rPr>
                      <w:color w:val="auto"/>
                      <w:szCs w:val="21"/>
                    </w:rPr>
                  </w:pPr>
                  <w:r>
                    <w:rPr>
                      <w:rFonts w:hint="eastAsia"/>
                      <w:color w:val="auto"/>
                      <w:szCs w:val="21"/>
                      <w:lang w:eastAsia="zh-CN"/>
                    </w:rPr>
                    <w:t>二、</w:t>
                  </w:r>
                  <w:r>
                    <w:rPr>
                      <w:rFonts w:hint="eastAsia"/>
                      <w:color w:val="auto"/>
                      <w:szCs w:val="21"/>
                    </w:rPr>
                    <w:t>甲苯</w:t>
                  </w:r>
                </w:p>
              </w:tc>
              <w:tc>
                <w:tcPr>
                  <w:tcW w:w="981" w:type="pct"/>
                  <w:vAlign w:val="center"/>
                </w:tcPr>
                <w:p w14:paraId="2FE7C05F">
                  <w:pPr>
                    <w:adjustRightInd w:val="0"/>
                    <w:snapToGrid w:val="0"/>
                    <w:jc w:val="center"/>
                    <w:rPr>
                      <w:color w:val="auto"/>
                      <w:szCs w:val="21"/>
                    </w:rPr>
                  </w:pPr>
                  <w:r>
                    <w:rPr>
                      <w:color w:val="auto"/>
                      <w:szCs w:val="21"/>
                    </w:rPr>
                    <w:t>1次/年</w:t>
                  </w:r>
                </w:p>
              </w:tc>
              <w:tc>
                <w:tcPr>
                  <w:tcW w:w="2379" w:type="pct"/>
                  <w:vAlign w:val="center"/>
                </w:tcPr>
                <w:p w14:paraId="4BF1CD45">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12A8E0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77574D5A">
                  <w:pPr>
                    <w:adjustRightInd w:val="0"/>
                    <w:snapToGrid w:val="0"/>
                    <w:jc w:val="center"/>
                    <w:rPr>
                      <w:color w:val="auto"/>
                      <w:szCs w:val="21"/>
                    </w:rPr>
                  </w:pPr>
                </w:p>
              </w:tc>
              <w:tc>
                <w:tcPr>
                  <w:tcW w:w="789" w:type="pct"/>
                  <w:vAlign w:val="center"/>
                </w:tcPr>
                <w:p w14:paraId="119EF8CB">
                  <w:pPr>
                    <w:adjustRightInd w:val="0"/>
                    <w:snapToGrid w:val="0"/>
                    <w:jc w:val="center"/>
                    <w:rPr>
                      <w:rFonts w:hint="default" w:eastAsia="宋体"/>
                      <w:color w:val="auto"/>
                      <w:szCs w:val="21"/>
                      <w:lang w:val="en-US" w:eastAsia="zh-CN"/>
                    </w:rPr>
                  </w:pPr>
                  <w:r>
                    <w:rPr>
                      <w:rFonts w:hint="eastAsia"/>
                      <w:color w:val="auto"/>
                      <w:szCs w:val="21"/>
                      <w:lang w:val="en-US" w:eastAsia="zh-CN"/>
                    </w:rPr>
                    <w:t>臭气浓度</w:t>
                  </w:r>
                </w:p>
              </w:tc>
              <w:tc>
                <w:tcPr>
                  <w:tcW w:w="981" w:type="pct"/>
                  <w:vAlign w:val="center"/>
                </w:tcPr>
                <w:p w14:paraId="51B140D8">
                  <w:pPr>
                    <w:adjustRightInd w:val="0"/>
                    <w:snapToGrid w:val="0"/>
                    <w:jc w:val="center"/>
                    <w:rPr>
                      <w:color w:val="auto"/>
                      <w:szCs w:val="21"/>
                    </w:rPr>
                  </w:pPr>
                  <w:r>
                    <w:rPr>
                      <w:color w:val="auto"/>
                      <w:szCs w:val="21"/>
                    </w:rPr>
                    <w:t>1次/年</w:t>
                  </w:r>
                </w:p>
              </w:tc>
              <w:tc>
                <w:tcPr>
                  <w:tcW w:w="2379" w:type="pct"/>
                  <w:vAlign w:val="center"/>
                </w:tcPr>
                <w:p w14:paraId="3E51D1F0">
                  <w:pPr>
                    <w:widowControl/>
                    <w:jc w:val="center"/>
                    <w:rPr>
                      <w:rFonts w:hint="eastAsia"/>
                      <w:color w:val="auto"/>
                      <w:kern w:val="0"/>
                      <w:szCs w:val="21"/>
                      <w:lang w:val="en-US" w:eastAsia="zh-CN"/>
                    </w:rPr>
                  </w:pPr>
                  <w:r>
                    <w:rPr>
                      <w:rFonts w:hint="eastAsia"/>
                      <w:color w:val="auto"/>
                      <w:kern w:val="0"/>
                      <w:szCs w:val="21"/>
                      <w:lang w:val="en-US" w:eastAsia="zh-CN"/>
                    </w:rPr>
                    <w:t>《恶臭污染物排放标准》</w:t>
                  </w:r>
                </w:p>
                <w:p w14:paraId="61B7054F">
                  <w:pPr>
                    <w:widowControl/>
                    <w:jc w:val="center"/>
                    <w:rPr>
                      <w:rFonts w:hint="eastAsia"/>
                      <w:bCs/>
                      <w:color w:val="auto"/>
                      <w:szCs w:val="21"/>
                    </w:rPr>
                  </w:pPr>
                  <w:r>
                    <w:rPr>
                      <w:rFonts w:hint="eastAsia"/>
                      <w:color w:val="auto"/>
                      <w:kern w:val="0"/>
                      <w:szCs w:val="21"/>
                      <w:lang w:val="en-US" w:eastAsia="zh-CN"/>
                    </w:rPr>
                    <w:t>GB14554-93</w:t>
                  </w:r>
                  <w:r>
                    <w:rPr>
                      <w:rFonts w:hint="eastAsia"/>
                      <w:color w:val="auto"/>
                      <w:kern w:val="0"/>
                      <w:szCs w:val="21"/>
                    </w:rPr>
                    <w:t>表1标准</w:t>
                  </w:r>
                </w:p>
              </w:tc>
            </w:tr>
            <w:tr w14:paraId="13FF58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741A1B92">
                  <w:pPr>
                    <w:adjustRightInd w:val="0"/>
                    <w:snapToGrid w:val="0"/>
                    <w:jc w:val="center"/>
                    <w:rPr>
                      <w:color w:val="auto"/>
                      <w:szCs w:val="21"/>
                    </w:rPr>
                  </w:pPr>
                </w:p>
              </w:tc>
              <w:tc>
                <w:tcPr>
                  <w:tcW w:w="789" w:type="pct"/>
                  <w:vAlign w:val="center"/>
                </w:tcPr>
                <w:p w14:paraId="4A6C1728">
                  <w:pPr>
                    <w:adjustRightInd w:val="0"/>
                    <w:snapToGrid w:val="0"/>
                    <w:jc w:val="center"/>
                    <w:rPr>
                      <w:color w:val="auto"/>
                      <w:szCs w:val="21"/>
                    </w:rPr>
                  </w:pPr>
                  <w:r>
                    <w:rPr>
                      <w:rFonts w:hint="eastAsia"/>
                      <w:color w:val="auto"/>
                      <w:szCs w:val="21"/>
                    </w:rPr>
                    <w:t>颗粒物</w:t>
                  </w:r>
                </w:p>
              </w:tc>
              <w:tc>
                <w:tcPr>
                  <w:tcW w:w="981" w:type="pct"/>
                  <w:vAlign w:val="center"/>
                </w:tcPr>
                <w:p w14:paraId="4865DCD0">
                  <w:pPr>
                    <w:adjustRightInd w:val="0"/>
                    <w:snapToGrid w:val="0"/>
                    <w:jc w:val="center"/>
                    <w:rPr>
                      <w:color w:val="auto"/>
                      <w:szCs w:val="21"/>
                    </w:rPr>
                  </w:pPr>
                  <w:r>
                    <w:rPr>
                      <w:color w:val="auto"/>
                      <w:szCs w:val="21"/>
                    </w:rPr>
                    <w:t>1次/年</w:t>
                  </w:r>
                </w:p>
              </w:tc>
              <w:tc>
                <w:tcPr>
                  <w:tcW w:w="2379" w:type="pct"/>
                  <w:vAlign w:val="center"/>
                </w:tcPr>
                <w:p w14:paraId="6CF46430">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7E0547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Align w:val="center"/>
                </w:tcPr>
                <w:p w14:paraId="36C8E8BE">
                  <w:pPr>
                    <w:adjustRightInd w:val="0"/>
                    <w:snapToGrid w:val="0"/>
                    <w:jc w:val="center"/>
                    <w:rPr>
                      <w:color w:val="auto"/>
                      <w:szCs w:val="21"/>
                    </w:rPr>
                  </w:pPr>
                  <w:r>
                    <w:rPr>
                      <w:rFonts w:hint="eastAsia"/>
                      <w:color w:val="auto"/>
                      <w:szCs w:val="21"/>
                    </w:rPr>
                    <w:t>DA004</w:t>
                  </w:r>
                </w:p>
              </w:tc>
              <w:tc>
                <w:tcPr>
                  <w:tcW w:w="789" w:type="pct"/>
                  <w:vAlign w:val="center"/>
                </w:tcPr>
                <w:p w14:paraId="01F84462">
                  <w:pPr>
                    <w:adjustRightInd w:val="0"/>
                    <w:snapToGrid w:val="0"/>
                    <w:jc w:val="center"/>
                    <w:rPr>
                      <w:color w:val="auto"/>
                      <w:szCs w:val="21"/>
                    </w:rPr>
                  </w:pPr>
                  <w:r>
                    <w:rPr>
                      <w:rFonts w:hint="eastAsia"/>
                      <w:color w:val="auto"/>
                      <w:szCs w:val="21"/>
                    </w:rPr>
                    <w:t>颗粒物</w:t>
                  </w:r>
                </w:p>
              </w:tc>
              <w:tc>
                <w:tcPr>
                  <w:tcW w:w="981" w:type="pct"/>
                  <w:vAlign w:val="center"/>
                </w:tcPr>
                <w:p w14:paraId="23E9CC25">
                  <w:pPr>
                    <w:adjustRightInd w:val="0"/>
                    <w:snapToGrid w:val="0"/>
                    <w:jc w:val="center"/>
                    <w:rPr>
                      <w:color w:val="auto"/>
                      <w:szCs w:val="21"/>
                    </w:rPr>
                  </w:pPr>
                  <w:r>
                    <w:rPr>
                      <w:color w:val="auto"/>
                      <w:szCs w:val="21"/>
                    </w:rPr>
                    <w:t>1次/年</w:t>
                  </w:r>
                </w:p>
              </w:tc>
              <w:tc>
                <w:tcPr>
                  <w:tcW w:w="2379" w:type="pct"/>
                  <w:vAlign w:val="center"/>
                </w:tcPr>
                <w:p w14:paraId="62CADE3D">
                  <w:pPr>
                    <w:widowControl/>
                    <w:jc w:val="center"/>
                    <w:rPr>
                      <w:bCs/>
                      <w:color w:val="auto"/>
                      <w:szCs w:val="21"/>
                    </w:rPr>
                  </w:pPr>
                  <w:r>
                    <w:rPr>
                      <w:bCs/>
                      <w:color w:val="auto"/>
                      <w:szCs w:val="21"/>
                    </w:rPr>
                    <w:t>《江苏省大气污染物综合排放标准》（DB32/4041-2021）表1中排放限值</w:t>
                  </w:r>
                </w:p>
              </w:tc>
            </w:tr>
            <w:tr w14:paraId="09257D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restart"/>
                  <w:vAlign w:val="center"/>
                </w:tcPr>
                <w:p w14:paraId="54CCEA0A">
                  <w:pPr>
                    <w:adjustRightInd w:val="0"/>
                    <w:snapToGrid w:val="0"/>
                    <w:jc w:val="center"/>
                    <w:rPr>
                      <w:color w:val="auto"/>
                      <w:szCs w:val="21"/>
                    </w:rPr>
                  </w:pPr>
                  <w:r>
                    <w:rPr>
                      <w:rFonts w:hint="eastAsia"/>
                      <w:color w:val="auto"/>
                      <w:szCs w:val="21"/>
                    </w:rPr>
                    <w:t>DA005</w:t>
                  </w:r>
                </w:p>
              </w:tc>
              <w:tc>
                <w:tcPr>
                  <w:tcW w:w="789" w:type="pct"/>
                  <w:vAlign w:val="center"/>
                </w:tcPr>
                <w:p w14:paraId="18E5DD2A">
                  <w:pPr>
                    <w:adjustRightInd w:val="0"/>
                    <w:snapToGrid w:val="0"/>
                    <w:jc w:val="center"/>
                    <w:rPr>
                      <w:color w:val="auto"/>
                      <w:szCs w:val="21"/>
                    </w:rPr>
                  </w:pPr>
                  <w:r>
                    <w:rPr>
                      <w:rFonts w:hint="eastAsia"/>
                      <w:color w:val="auto"/>
                      <w:szCs w:val="21"/>
                    </w:rPr>
                    <w:t>非甲烷总烃</w:t>
                  </w:r>
                </w:p>
              </w:tc>
              <w:tc>
                <w:tcPr>
                  <w:tcW w:w="981" w:type="pct"/>
                  <w:vAlign w:val="center"/>
                </w:tcPr>
                <w:p w14:paraId="7F6B89C9">
                  <w:pPr>
                    <w:adjustRightInd w:val="0"/>
                    <w:snapToGrid w:val="0"/>
                    <w:jc w:val="center"/>
                    <w:rPr>
                      <w:color w:val="auto"/>
                      <w:szCs w:val="21"/>
                    </w:rPr>
                  </w:pPr>
                  <w:r>
                    <w:rPr>
                      <w:color w:val="auto"/>
                      <w:szCs w:val="21"/>
                    </w:rPr>
                    <w:t>1次/年</w:t>
                  </w:r>
                </w:p>
              </w:tc>
              <w:tc>
                <w:tcPr>
                  <w:tcW w:w="2379" w:type="pct"/>
                  <w:shd w:val="clear" w:color="auto" w:fill="auto"/>
                  <w:vAlign w:val="center"/>
                </w:tcPr>
                <w:p w14:paraId="4C9AD128">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00136F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75591122">
                  <w:pPr>
                    <w:adjustRightInd w:val="0"/>
                    <w:snapToGrid w:val="0"/>
                    <w:jc w:val="center"/>
                    <w:rPr>
                      <w:color w:val="auto"/>
                      <w:szCs w:val="21"/>
                    </w:rPr>
                  </w:pPr>
                </w:p>
              </w:tc>
              <w:tc>
                <w:tcPr>
                  <w:tcW w:w="789" w:type="pct"/>
                  <w:vAlign w:val="center"/>
                </w:tcPr>
                <w:p w14:paraId="72B9EB18">
                  <w:pPr>
                    <w:adjustRightInd w:val="0"/>
                    <w:snapToGrid w:val="0"/>
                    <w:jc w:val="center"/>
                    <w:rPr>
                      <w:color w:val="auto"/>
                      <w:szCs w:val="21"/>
                    </w:rPr>
                  </w:pPr>
                  <w:r>
                    <w:rPr>
                      <w:rFonts w:hint="eastAsia"/>
                      <w:color w:val="auto"/>
                      <w:szCs w:val="21"/>
                    </w:rPr>
                    <w:t>颗粒物</w:t>
                  </w:r>
                </w:p>
              </w:tc>
              <w:tc>
                <w:tcPr>
                  <w:tcW w:w="981" w:type="pct"/>
                  <w:vAlign w:val="center"/>
                </w:tcPr>
                <w:p w14:paraId="7945EB50">
                  <w:pPr>
                    <w:adjustRightInd w:val="0"/>
                    <w:snapToGrid w:val="0"/>
                    <w:jc w:val="center"/>
                    <w:rPr>
                      <w:color w:val="auto"/>
                      <w:szCs w:val="21"/>
                    </w:rPr>
                  </w:pPr>
                  <w:r>
                    <w:rPr>
                      <w:color w:val="auto"/>
                      <w:szCs w:val="21"/>
                    </w:rPr>
                    <w:t>1次/年</w:t>
                  </w:r>
                </w:p>
              </w:tc>
              <w:tc>
                <w:tcPr>
                  <w:tcW w:w="2379" w:type="pct"/>
                  <w:vAlign w:val="center"/>
                </w:tcPr>
                <w:p w14:paraId="56E4E453">
                  <w:pPr>
                    <w:widowControl/>
                    <w:jc w:val="center"/>
                    <w:rPr>
                      <w:bCs/>
                      <w:color w:val="auto"/>
                      <w:szCs w:val="21"/>
                    </w:rPr>
                  </w:pPr>
                  <w:r>
                    <w:rPr>
                      <w:bCs/>
                      <w:color w:val="auto"/>
                      <w:szCs w:val="21"/>
                    </w:rPr>
                    <w:t>《江苏省工业炉窑大气污染物排放标准》（DB32/3728—2020）排放限值</w:t>
                  </w:r>
                  <w:r>
                    <w:rPr>
                      <w:rFonts w:hint="eastAsia"/>
                      <w:color w:val="auto"/>
                      <w:szCs w:val="21"/>
                    </w:rPr>
                    <w:t>表1</w:t>
                  </w:r>
                </w:p>
              </w:tc>
            </w:tr>
            <w:tr w14:paraId="2DB706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661C0090">
                  <w:pPr>
                    <w:adjustRightInd w:val="0"/>
                    <w:snapToGrid w:val="0"/>
                    <w:jc w:val="center"/>
                    <w:rPr>
                      <w:color w:val="auto"/>
                      <w:szCs w:val="21"/>
                    </w:rPr>
                  </w:pPr>
                </w:p>
              </w:tc>
              <w:tc>
                <w:tcPr>
                  <w:tcW w:w="789" w:type="pct"/>
                  <w:vAlign w:val="center"/>
                </w:tcPr>
                <w:p w14:paraId="416B40D4">
                  <w:pPr>
                    <w:adjustRightInd w:val="0"/>
                    <w:snapToGrid w:val="0"/>
                    <w:jc w:val="center"/>
                    <w:rPr>
                      <w:color w:val="auto"/>
                      <w:szCs w:val="21"/>
                    </w:rPr>
                  </w:pPr>
                  <w:r>
                    <w:rPr>
                      <w:rFonts w:hint="eastAsia"/>
                      <w:color w:val="auto"/>
                      <w:szCs w:val="21"/>
                      <w:lang w:eastAsia="zh-CN"/>
                    </w:rPr>
                    <w:t>二、</w:t>
                  </w:r>
                  <w:r>
                    <w:rPr>
                      <w:rFonts w:hint="eastAsia"/>
                      <w:color w:val="auto"/>
                      <w:szCs w:val="21"/>
                    </w:rPr>
                    <w:t>氧化硫</w:t>
                  </w:r>
                </w:p>
              </w:tc>
              <w:tc>
                <w:tcPr>
                  <w:tcW w:w="981" w:type="pct"/>
                  <w:vAlign w:val="center"/>
                </w:tcPr>
                <w:p w14:paraId="36FE2A91">
                  <w:pPr>
                    <w:adjustRightInd w:val="0"/>
                    <w:snapToGrid w:val="0"/>
                    <w:jc w:val="center"/>
                    <w:rPr>
                      <w:color w:val="auto"/>
                      <w:szCs w:val="21"/>
                    </w:rPr>
                  </w:pPr>
                  <w:r>
                    <w:rPr>
                      <w:color w:val="auto"/>
                      <w:szCs w:val="21"/>
                    </w:rPr>
                    <w:t>1次/年</w:t>
                  </w:r>
                </w:p>
              </w:tc>
              <w:tc>
                <w:tcPr>
                  <w:tcW w:w="2379" w:type="pct"/>
                  <w:vAlign w:val="center"/>
                </w:tcPr>
                <w:p w14:paraId="57C90485">
                  <w:pPr>
                    <w:widowControl/>
                    <w:jc w:val="center"/>
                    <w:rPr>
                      <w:bCs/>
                      <w:color w:val="auto"/>
                      <w:szCs w:val="21"/>
                    </w:rPr>
                  </w:pPr>
                  <w:r>
                    <w:rPr>
                      <w:bCs/>
                      <w:color w:val="auto"/>
                      <w:szCs w:val="21"/>
                    </w:rPr>
                    <w:t>《江苏省工业炉窑大气污染物排放标准》（DB32/3728—2020）排放限值</w:t>
                  </w:r>
                  <w:r>
                    <w:rPr>
                      <w:rFonts w:hint="eastAsia"/>
                      <w:color w:val="auto"/>
                      <w:szCs w:val="21"/>
                    </w:rPr>
                    <w:t>表1</w:t>
                  </w:r>
                </w:p>
              </w:tc>
            </w:tr>
            <w:tr w14:paraId="253C4D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4911896D">
                  <w:pPr>
                    <w:adjustRightInd w:val="0"/>
                    <w:snapToGrid w:val="0"/>
                    <w:jc w:val="center"/>
                    <w:rPr>
                      <w:color w:val="auto"/>
                      <w:szCs w:val="21"/>
                    </w:rPr>
                  </w:pPr>
                </w:p>
              </w:tc>
              <w:tc>
                <w:tcPr>
                  <w:tcW w:w="789" w:type="pct"/>
                  <w:vAlign w:val="center"/>
                </w:tcPr>
                <w:p w14:paraId="26E8D6BC">
                  <w:pPr>
                    <w:adjustRightInd w:val="0"/>
                    <w:snapToGrid w:val="0"/>
                    <w:jc w:val="center"/>
                    <w:rPr>
                      <w:color w:val="auto"/>
                      <w:szCs w:val="21"/>
                    </w:rPr>
                  </w:pPr>
                  <w:r>
                    <w:rPr>
                      <w:rFonts w:hint="eastAsia"/>
                      <w:color w:val="auto"/>
                      <w:szCs w:val="21"/>
                    </w:rPr>
                    <w:t>氮氧化物</w:t>
                  </w:r>
                </w:p>
              </w:tc>
              <w:tc>
                <w:tcPr>
                  <w:tcW w:w="981" w:type="pct"/>
                  <w:vAlign w:val="center"/>
                </w:tcPr>
                <w:p w14:paraId="4BC97658">
                  <w:pPr>
                    <w:adjustRightInd w:val="0"/>
                    <w:snapToGrid w:val="0"/>
                    <w:jc w:val="center"/>
                    <w:rPr>
                      <w:color w:val="auto"/>
                      <w:szCs w:val="21"/>
                    </w:rPr>
                  </w:pPr>
                  <w:r>
                    <w:rPr>
                      <w:color w:val="auto"/>
                      <w:szCs w:val="21"/>
                    </w:rPr>
                    <w:t>1次/年</w:t>
                  </w:r>
                </w:p>
              </w:tc>
              <w:tc>
                <w:tcPr>
                  <w:tcW w:w="2379" w:type="pct"/>
                  <w:vAlign w:val="center"/>
                </w:tcPr>
                <w:p w14:paraId="0553083D">
                  <w:pPr>
                    <w:widowControl/>
                    <w:jc w:val="center"/>
                    <w:rPr>
                      <w:bCs/>
                      <w:color w:val="auto"/>
                      <w:szCs w:val="21"/>
                    </w:rPr>
                  </w:pPr>
                  <w:r>
                    <w:rPr>
                      <w:bCs/>
                      <w:color w:val="auto"/>
                      <w:szCs w:val="21"/>
                    </w:rPr>
                    <w:t>《江苏省工业炉窑大气污染物排放标准》（DB32/3728—2020）排放限值</w:t>
                  </w:r>
                  <w:r>
                    <w:rPr>
                      <w:rFonts w:hint="eastAsia"/>
                      <w:color w:val="auto"/>
                      <w:szCs w:val="21"/>
                    </w:rPr>
                    <w:t>表1</w:t>
                  </w:r>
                </w:p>
              </w:tc>
            </w:tr>
            <w:tr w14:paraId="2D8A510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0B2C65BE">
                  <w:pPr>
                    <w:adjustRightInd w:val="0"/>
                    <w:snapToGrid w:val="0"/>
                    <w:jc w:val="center"/>
                    <w:rPr>
                      <w:color w:val="auto"/>
                      <w:szCs w:val="21"/>
                    </w:rPr>
                  </w:pPr>
                </w:p>
              </w:tc>
              <w:tc>
                <w:tcPr>
                  <w:tcW w:w="789" w:type="pct"/>
                  <w:vAlign w:val="center"/>
                </w:tcPr>
                <w:p w14:paraId="1782CB17">
                  <w:pPr>
                    <w:adjustRightInd w:val="0"/>
                    <w:snapToGrid w:val="0"/>
                    <w:jc w:val="center"/>
                    <w:rPr>
                      <w:color w:val="auto"/>
                      <w:szCs w:val="21"/>
                    </w:rPr>
                  </w:pPr>
                  <w:r>
                    <w:rPr>
                      <w:rFonts w:hint="eastAsia"/>
                      <w:color w:val="auto"/>
                      <w:szCs w:val="21"/>
                    </w:rPr>
                    <w:t>烟气黑度</w:t>
                  </w:r>
                </w:p>
              </w:tc>
              <w:tc>
                <w:tcPr>
                  <w:tcW w:w="981" w:type="pct"/>
                  <w:vAlign w:val="center"/>
                </w:tcPr>
                <w:p w14:paraId="66346588">
                  <w:pPr>
                    <w:adjustRightInd w:val="0"/>
                    <w:snapToGrid w:val="0"/>
                    <w:jc w:val="center"/>
                    <w:rPr>
                      <w:color w:val="auto"/>
                      <w:szCs w:val="21"/>
                    </w:rPr>
                  </w:pPr>
                  <w:r>
                    <w:rPr>
                      <w:color w:val="auto"/>
                      <w:szCs w:val="21"/>
                    </w:rPr>
                    <w:t>1次/年</w:t>
                  </w:r>
                </w:p>
              </w:tc>
              <w:tc>
                <w:tcPr>
                  <w:tcW w:w="2379" w:type="pct"/>
                  <w:vAlign w:val="center"/>
                </w:tcPr>
                <w:p w14:paraId="69ACA758">
                  <w:pPr>
                    <w:widowControl/>
                    <w:jc w:val="center"/>
                    <w:rPr>
                      <w:bCs/>
                      <w:color w:val="auto"/>
                      <w:szCs w:val="21"/>
                    </w:rPr>
                  </w:pPr>
                  <w:r>
                    <w:rPr>
                      <w:bCs/>
                      <w:color w:val="auto"/>
                      <w:szCs w:val="21"/>
                    </w:rPr>
                    <w:t>《江苏省工业炉窑大气污染物排放标准》（DB32/3728—2020）排放限值</w:t>
                  </w:r>
                  <w:r>
                    <w:rPr>
                      <w:rFonts w:hint="eastAsia"/>
                      <w:color w:val="auto"/>
                      <w:szCs w:val="21"/>
                    </w:rPr>
                    <w:t>表1</w:t>
                  </w:r>
                </w:p>
              </w:tc>
            </w:tr>
            <w:tr w14:paraId="0A92A6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restart"/>
                  <w:vAlign w:val="center"/>
                </w:tcPr>
                <w:p w14:paraId="1BA37A55">
                  <w:pPr>
                    <w:adjustRightInd w:val="0"/>
                    <w:snapToGrid w:val="0"/>
                    <w:jc w:val="center"/>
                    <w:rPr>
                      <w:color w:val="auto"/>
                      <w:szCs w:val="21"/>
                    </w:rPr>
                  </w:pPr>
                  <w:r>
                    <w:rPr>
                      <w:rFonts w:hint="eastAsia"/>
                      <w:color w:val="auto"/>
                      <w:szCs w:val="21"/>
                    </w:rPr>
                    <w:t>DA006</w:t>
                  </w:r>
                </w:p>
              </w:tc>
              <w:tc>
                <w:tcPr>
                  <w:tcW w:w="789" w:type="pct"/>
                  <w:vAlign w:val="center"/>
                </w:tcPr>
                <w:p w14:paraId="03AAE7F5">
                  <w:pPr>
                    <w:adjustRightInd w:val="0"/>
                    <w:snapToGrid w:val="0"/>
                    <w:jc w:val="center"/>
                    <w:rPr>
                      <w:color w:val="auto"/>
                      <w:szCs w:val="21"/>
                    </w:rPr>
                  </w:pPr>
                  <w:r>
                    <w:rPr>
                      <w:rFonts w:hint="eastAsia"/>
                      <w:color w:val="auto"/>
                      <w:szCs w:val="21"/>
                    </w:rPr>
                    <w:t>非甲烷总烃</w:t>
                  </w:r>
                </w:p>
              </w:tc>
              <w:tc>
                <w:tcPr>
                  <w:tcW w:w="981" w:type="pct"/>
                  <w:vAlign w:val="center"/>
                </w:tcPr>
                <w:p w14:paraId="1F6C87CE">
                  <w:pPr>
                    <w:adjustRightInd w:val="0"/>
                    <w:snapToGrid w:val="0"/>
                    <w:jc w:val="center"/>
                    <w:rPr>
                      <w:color w:val="auto"/>
                      <w:szCs w:val="21"/>
                    </w:rPr>
                  </w:pPr>
                  <w:r>
                    <w:rPr>
                      <w:rFonts w:hint="eastAsia"/>
                      <w:color w:val="auto"/>
                      <w:szCs w:val="21"/>
                    </w:rPr>
                    <w:t>1次/半年</w:t>
                  </w:r>
                </w:p>
              </w:tc>
              <w:tc>
                <w:tcPr>
                  <w:tcW w:w="2379" w:type="pct"/>
                  <w:vAlign w:val="center"/>
                </w:tcPr>
                <w:p w14:paraId="0E9AC42F">
                  <w:pPr>
                    <w:widowControl/>
                    <w:jc w:val="center"/>
                    <w:rPr>
                      <w:bCs/>
                      <w:color w:val="auto"/>
                      <w:szCs w:val="21"/>
                    </w:rPr>
                  </w:pPr>
                  <w:r>
                    <w:rPr>
                      <w:rFonts w:hint="eastAsia"/>
                      <w:bCs/>
                      <w:color w:val="auto"/>
                      <w:szCs w:val="21"/>
                    </w:rPr>
                    <w:t>《印刷工业大气污染物排放标准》（DB32/4438-2022）表1</w:t>
                  </w:r>
                </w:p>
              </w:tc>
            </w:tr>
            <w:tr w14:paraId="61A1F5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50" w:type="pct"/>
                  <w:vMerge w:val="continue"/>
                  <w:vAlign w:val="center"/>
                </w:tcPr>
                <w:p w14:paraId="40DE7618">
                  <w:pPr>
                    <w:adjustRightInd w:val="0"/>
                    <w:snapToGrid w:val="0"/>
                    <w:jc w:val="center"/>
                    <w:rPr>
                      <w:color w:val="auto"/>
                      <w:szCs w:val="21"/>
                    </w:rPr>
                  </w:pPr>
                </w:p>
              </w:tc>
              <w:tc>
                <w:tcPr>
                  <w:tcW w:w="789" w:type="pct"/>
                  <w:vAlign w:val="center"/>
                </w:tcPr>
                <w:p w14:paraId="2AFEF9A7">
                  <w:pPr>
                    <w:adjustRightInd w:val="0"/>
                    <w:snapToGrid w:val="0"/>
                    <w:jc w:val="center"/>
                    <w:rPr>
                      <w:color w:val="auto"/>
                      <w:szCs w:val="21"/>
                    </w:rPr>
                  </w:pPr>
                  <w:r>
                    <w:rPr>
                      <w:rFonts w:hint="eastAsia"/>
                      <w:color w:val="auto"/>
                      <w:szCs w:val="21"/>
                    </w:rPr>
                    <w:t>颗粒物</w:t>
                  </w:r>
                </w:p>
              </w:tc>
              <w:tc>
                <w:tcPr>
                  <w:tcW w:w="981" w:type="pct"/>
                  <w:vAlign w:val="center"/>
                </w:tcPr>
                <w:p w14:paraId="38FE18F6">
                  <w:pPr>
                    <w:adjustRightInd w:val="0"/>
                    <w:snapToGrid w:val="0"/>
                    <w:jc w:val="center"/>
                    <w:rPr>
                      <w:color w:val="auto"/>
                      <w:szCs w:val="21"/>
                    </w:rPr>
                  </w:pPr>
                  <w:r>
                    <w:rPr>
                      <w:color w:val="auto"/>
                      <w:szCs w:val="21"/>
                    </w:rPr>
                    <w:t>1次/年</w:t>
                  </w:r>
                </w:p>
              </w:tc>
              <w:tc>
                <w:tcPr>
                  <w:tcW w:w="2379" w:type="pct"/>
                  <w:vAlign w:val="center"/>
                </w:tcPr>
                <w:p w14:paraId="50B66811">
                  <w:pPr>
                    <w:widowControl/>
                    <w:jc w:val="center"/>
                    <w:rPr>
                      <w:bCs/>
                      <w:color w:val="auto"/>
                      <w:szCs w:val="21"/>
                    </w:rPr>
                  </w:pPr>
                  <w:r>
                    <w:rPr>
                      <w:rFonts w:hint="eastAsia"/>
                      <w:bCs/>
                      <w:color w:val="auto"/>
                      <w:szCs w:val="21"/>
                    </w:rPr>
                    <w:t>《印刷工业大气污染物排放标准》（DB32/4438-2022）表1</w:t>
                  </w:r>
                </w:p>
              </w:tc>
            </w:tr>
          </w:tbl>
          <w:p w14:paraId="2C9E4E06">
            <w:pPr>
              <w:adjustRightInd w:val="0"/>
              <w:snapToGrid w:val="0"/>
              <w:spacing w:before="120" w:beforeLines="50" w:line="360" w:lineRule="auto"/>
              <w:ind w:firstLine="482" w:firstLineChars="200"/>
              <w:rPr>
                <w:b/>
                <w:color w:val="auto"/>
                <w:sz w:val="24"/>
                <w:szCs w:val="32"/>
              </w:rPr>
            </w:pPr>
            <w:r>
              <w:rPr>
                <w:rFonts w:hint="eastAsia"/>
                <w:b/>
                <w:color w:val="auto"/>
                <w:sz w:val="24"/>
                <w:szCs w:val="32"/>
                <w:lang w:eastAsia="zh-CN"/>
              </w:rPr>
              <w:t>（</w:t>
            </w:r>
            <w:r>
              <w:rPr>
                <w:b/>
                <w:color w:val="auto"/>
                <w:sz w:val="24"/>
                <w:szCs w:val="32"/>
              </w:rPr>
              <w:t>2</w:t>
            </w:r>
            <w:r>
              <w:rPr>
                <w:rFonts w:hint="eastAsia"/>
                <w:b/>
                <w:color w:val="auto"/>
                <w:sz w:val="24"/>
                <w:szCs w:val="32"/>
                <w:lang w:eastAsia="zh-CN"/>
              </w:rPr>
              <w:t>）</w:t>
            </w:r>
            <w:r>
              <w:rPr>
                <w:b/>
                <w:color w:val="auto"/>
                <w:sz w:val="24"/>
                <w:szCs w:val="32"/>
              </w:rPr>
              <w:t>无组织废气排放监测项目及最低监测频次</w:t>
            </w:r>
          </w:p>
          <w:p w14:paraId="52F4CEB1">
            <w:pPr>
              <w:widowControl/>
              <w:adjustRightInd w:val="0"/>
              <w:snapToGrid w:val="0"/>
              <w:ind w:firstLine="482" w:firstLineChars="200"/>
              <w:jc w:val="center"/>
              <w:rPr>
                <w:b/>
                <w:bCs/>
                <w:color w:val="auto"/>
                <w:kern w:val="0"/>
                <w:sz w:val="24"/>
              </w:rPr>
            </w:pPr>
            <w:r>
              <w:rPr>
                <w:b/>
                <w:color w:val="auto"/>
                <w:sz w:val="24"/>
                <w:szCs w:val="32"/>
              </w:rPr>
              <w:t>表4-</w:t>
            </w:r>
            <w:r>
              <w:rPr>
                <w:rFonts w:hint="eastAsia"/>
                <w:b/>
                <w:color w:val="auto"/>
                <w:sz w:val="24"/>
                <w:szCs w:val="32"/>
              </w:rPr>
              <w:t>7</w:t>
            </w:r>
            <w:r>
              <w:rPr>
                <w:b/>
                <w:color w:val="auto"/>
                <w:sz w:val="24"/>
                <w:szCs w:val="32"/>
              </w:rPr>
              <w:t xml:space="preserve">  </w:t>
            </w:r>
            <w:r>
              <w:rPr>
                <w:rFonts w:hint="eastAsia"/>
                <w:b/>
                <w:bCs/>
                <w:color w:val="auto"/>
                <w:kern w:val="0"/>
                <w:sz w:val="24"/>
              </w:rPr>
              <w:t>建设项目无组织废气监测计划表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2192"/>
              <w:gridCol w:w="1428"/>
              <w:gridCol w:w="1477"/>
              <w:gridCol w:w="3391"/>
            </w:tblGrid>
            <w:tr w14:paraId="10D54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tcBorders>
                    <w:top w:val="single" w:color="auto" w:sz="12" w:space="0"/>
                    <w:left w:val="nil"/>
                    <w:bottom w:val="single" w:color="auto" w:sz="4" w:space="0"/>
                    <w:right w:val="single" w:color="auto" w:sz="4" w:space="0"/>
                  </w:tcBorders>
                  <w:vAlign w:val="center"/>
                </w:tcPr>
                <w:p w14:paraId="39DAF339">
                  <w:pPr>
                    <w:widowControl/>
                    <w:adjustRightInd w:val="0"/>
                    <w:snapToGrid w:val="0"/>
                    <w:jc w:val="center"/>
                    <w:rPr>
                      <w:b/>
                      <w:bCs/>
                      <w:color w:val="auto"/>
                      <w:kern w:val="0"/>
                      <w:szCs w:val="21"/>
                    </w:rPr>
                  </w:pPr>
                  <w:r>
                    <w:rPr>
                      <w:rFonts w:hint="eastAsia"/>
                      <w:b/>
                      <w:bCs/>
                      <w:color w:val="auto"/>
                      <w:kern w:val="0"/>
                      <w:szCs w:val="21"/>
                    </w:rPr>
                    <w:t>监测点位</w:t>
                  </w:r>
                </w:p>
              </w:tc>
              <w:tc>
                <w:tcPr>
                  <w:tcW w:w="841" w:type="pct"/>
                  <w:tcBorders>
                    <w:top w:val="single" w:color="auto" w:sz="12" w:space="0"/>
                    <w:left w:val="single" w:color="auto" w:sz="4" w:space="0"/>
                    <w:bottom w:val="single" w:color="auto" w:sz="4" w:space="0"/>
                    <w:right w:val="single" w:color="auto" w:sz="4" w:space="0"/>
                  </w:tcBorders>
                  <w:vAlign w:val="center"/>
                </w:tcPr>
                <w:p w14:paraId="52D3E0B4">
                  <w:pPr>
                    <w:widowControl/>
                    <w:adjustRightInd w:val="0"/>
                    <w:snapToGrid w:val="0"/>
                    <w:jc w:val="center"/>
                    <w:rPr>
                      <w:b/>
                      <w:bCs/>
                      <w:color w:val="auto"/>
                      <w:kern w:val="0"/>
                      <w:szCs w:val="21"/>
                    </w:rPr>
                  </w:pPr>
                  <w:r>
                    <w:rPr>
                      <w:rFonts w:hint="eastAsia"/>
                      <w:b/>
                      <w:bCs/>
                      <w:color w:val="auto"/>
                      <w:kern w:val="0"/>
                      <w:szCs w:val="21"/>
                    </w:rPr>
                    <w:t>监测指标</w:t>
                  </w:r>
                </w:p>
              </w:tc>
              <w:tc>
                <w:tcPr>
                  <w:tcW w:w="870" w:type="pct"/>
                  <w:tcBorders>
                    <w:top w:val="single" w:color="auto" w:sz="12" w:space="0"/>
                    <w:left w:val="single" w:color="auto" w:sz="4" w:space="0"/>
                    <w:bottom w:val="single" w:color="auto" w:sz="4" w:space="0"/>
                    <w:right w:val="single" w:color="auto" w:sz="4" w:space="0"/>
                  </w:tcBorders>
                  <w:vAlign w:val="center"/>
                </w:tcPr>
                <w:p w14:paraId="0A62570F">
                  <w:pPr>
                    <w:widowControl/>
                    <w:adjustRightInd w:val="0"/>
                    <w:snapToGrid w:val="0"/>
                    <w:jc w:val="center"/>
                    <w:rPr>
                      <w:b/>
                      <w:bCs/>
                      <w:color w:val="auto"/>
                      <w:kern w:val="0"/>
                      <w:szCs w:val="21"/>
                    </w:rPr>
                  </w:pPr>
                  <w:r>
                    <w:rPr>
                      <w:rFonts w:hint="eastAsia"/>
                      <w:b/>
                      <w:bCs/>
                      <w:color w:val="auto"/>
                      <w:kern w:val="0"/>
                      <w:szCs w:val="21"/>
                    </w:rPr>
                    <w:t>监测频次</w:t>
                  </w:r>
                </w:p>
              </w:tc>
              <w:tc>
                <w:tcPr>
                  <w:tcW w:w="1997" w:type="pct"/>
                  <w:tcBorders>
                    <w:top w:val="single" w:color="auto" w:sz="12" w:space="0"/>
                    <w:left w:val="single" w:color="auto" w:sz="4" w:space="0"/>
                    <w:bottom w:val="single" w:color="auto" w:sz="4" w:space="0"/>
                    <w:right w:val="nil"/>
                  </w:tcBorders>
                  <w:vAlign w:val="center"/>
                </w:tcPr>
                <w:p w14:paraId="1E357897">
                  <w:pPr>
                    <w:widowControl/>
                    <w:adjustRightInd w:val="0"/>
                    <w:snapToGrid w:val="0"/>
                    <w:jc w:val="center"/>
                    <w:rPr>
                      <w:b/>
                      <w:bCs/>
                      <w:color w:val="auto"/>
                      <w:kern w:val="0"/>
                      <w:szCs w:val="21"/>
                    </w:rPr>
                  </w:pPr>
                  <w:r>
                    <w:rPr>
                      <w:rFonts w:hint="eastAsia"/>
                      <w:b/>
                      <w:bCs/>
                      <w:color w:val="auto"/>
                      <w:kern w:val="0"/>
                      <w:szCs w:val="21"/>
                    </w:rPr>
                    <w:t>执行排放标准</w:t>
                  </w:r>
                </w:p>
              </w:tc>
            </w:tr>
            <w:tr w14:paraId="2EAC3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restart"/>
                  <w:tcBorders>
                    <w:top w:val="single" w:color="auto" w:sz="4" w:space="0"/>
                    <w:left w:val="nil"/>
                    <w:bottom w:val="single" w:color="auto" w:sz="4" w:space="0"/>
                    <w:right w:val="single" w:color="auto" w:sz="4" w:space="0"/>
                  </w:tcBorders>
                  <w:vAlign w:val="center"/>
                </w:tcPr>
                <w:p w14:paraId="01484783">
                  <w:pPr>
                    <w:adjustRightInd w:val="0"/>
                    <w:snapToGrid w:val="0"/>
                    <w:jc w:val="center"/>
                    <w:rPr>
                      <w:color w:val="auto"/>
                      <w:kern w:val="0"/>
                      <w:szCs w:val="21"/>
                    </w:rPr>
                  </w:pPr>
                  <w:r>
                    <w:rPr>
                      <w:rFonts w:hint="eastAsia"/>
                      <w:color w:val="auto"/>
                      <w:kern w:val="0"/>
                      <w:szCs w:val="21"/>
                    </w:rPr>
                    <w:t>厂界周围，上风向</w:t>
                  </w:r>
                  <w:r>
                    <w:rPr>
                      <w:color w:val="auto"/>
                      <w:kern w:val="0"/>
                      <w:szCs w:val="21"/>
                    </w:rPr>
                    <w:t>1</w:t>
                  </w:r>
                  <w:r>
                    <w:rPr>
                      <w:rFonts w:hint="eastAsia"/>
                      <w:color w:val="auto"/>
                      <w:kern w:val="0"/>
                      <w:szCs w:val="21"/>
                    </w:rPr>
                    <w:t>个点位，下风向</w:t>
                  </w:r>
                  <w:r>
                    <w:rPr>
                      <w:color w:val="auto"/>
                      <w:kern w:val="0"/>
                      <w:szCs w:val="21"/>
                    </w:rPr>
                    <w:t>3</w:t>
                  </w:r>
                  <w:r>
                    <w:rPr>
                      <w:rFonts w:hint="eastAsia"/>
                      <w:color w:val="auto"/>
                      <w:kern w:val="0"/>
                      <w:szCs w:val="21"/>
                    </w:rPr>
                    <w:t>个点位</w:t>
                  </w:r>
                </w:p>
              </w:tc>
              <w:tc>
                <w:tcPr>
                  <w:tcW w:w="841" w:type="pct"/>
                  <w:tcBorders>
                    <w:top w:val="single" w:color="auto" w:sz="4" w:space="0"/>
                    <w:left w:val="single" w:color="auto" w:sz="4" w:space="0"/>
                    <w:bottom w:val="single" w:color="auto" w:sz="4" w:space="0"/>
                    <w:right w:val="single" w:color="auto" w:sz="4" w:space="0"/>
                  </w:tcBorders>
                  <w:vAlign w:val="center"/>
                </w:tcPr>
                <w:p w14:paraId="01D3E623">
                  <w:pPr>
                    <w:widowControl/>
                    <w:adjustRightInd w:val="0"/>
                    <w:snapToGrid w:val="0"/>
                    <w:jc w:val="center"/>
                    <w:rPr>
                      <w:color w:val="auto"/>
                      <w:kern w:val="0"/>
                      <w:szCs w:val="21"/>
                    </w:rPr>
                  </w:pPr>
                  <w:r>
                    <w:rPr>
                      <w:rFonts w:hint="eastAsia"/>
                      <w:color w:val="auto"/>
                      <w:kern w:val="0"/>
                      <w:szCs w:val="21"/>
                    </w:rPr>
                    <w:t>颗粒物</w:t>
                  </w:r>
                </w:p>
              </w:tc>
              <w:tc>
                <w:tcPr>
                  <w:tcW w:w="870" w:type="pct"/>
                  <w:tcBorders>
                    <w:top w:val="single" w:color="auto" w:sz="4" w:space="0"/>
                    <w:left w:val="single" w:color="auto" w:sz="4" w:space="0"/>
                    <w:bottom w:val="single" w:color="auto" w:sz="4" w:space="0"/>
                    <w:right w:val="single" w:color="auto" w:sz="4" w:space="0"/>
                  </w:tcBorders>
                  <w:vAlign w:val="center"/>
                </w:tcPr>
                <w:p w14:paraId="739B7DCF">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半年</w:t>
                  </w:r>
                </w:p>
              </w:tc>
              <w:tc>
                <w:tcPr>
                  <w:tcW w:w="1997" w:type="pct"/>
                  <w:vMerge w:val="restart"/>
                  <w:tcBorders>
                    <w:left w:val="single" w:color="auto" w:sz="4" w:space="0"/>
                    <w:right w:val="nil"/>
                  </w:tcBorders>
                  <w:vAlign w:val="center"/>
                </w:tcPr>
                <w:p w14:paraId="097E1F5C">
                  <w:pPr>
                    <w:widowControl/>
                    <w:adjustRightInd w:val="0"/>
                    <w:snapToGrid w:val="0"/>
                    <w:jc w:val="center"/>
                    <w:rPr>
                      <w:rFonts w:hint="eastAsia" w:eastAsia="宋体"/>
                      <w:color w:val="auto"/>
                      <w:kern w:val="0"/>
                      <w:szCs w:val="21"/>
                      <w:lang w:eastAsia="zh-CN"/>
                    </w:rPr>
                  </w:pPr>
                  <w:r>
                    <w:rPr>
                      <w:rFonts w:hint="eastAsia"/>
                      <w:color w:val="auto"/>
                      <w:kern w:val="0"/>
                      <w:szCs w:val="21"/>
                    </w:rPr>
                    <w:t>《大气污染物综合排放标准》（DB32/4041-2021）表2和表3</w:t>
                  </w:r>
                  <w:r>
                    <w:rPr>
                      <w:rFonts w:hint="eastAsia"/>
                      <w:color w:val="auto"/>
                      <w:kern w:val="0"/>
                      <w:szCs w:val="21"/>
                      <w:lang w:eastAsia="zh-CN"/>
                    </w:rPr>
                    <w:t>、</w:t>
                  </w:r>
                  <w:r>
                    <w:rPr>
                      <w:rFonts w:hint="eastAsia"/>
                      <w:color w:val="auto"/>
                      <w:kern w:val="0"/>
                      <w:szCs w:val="21"/>
                      <w:lang w:val="en-US" w:eastAsia="zh-CN"/>
                    </w:rPr>
                    <w:t>《恶臭污染物排放标准》GB 14554-93</w:t>
                  </w:r>
                  <w:r>
                    <w:rPr>
                      <w:rFonts w:hint="eastAsia"/>
                      <w:color w:val="auto"/>
                      <w:kern w:val="0"/>
                      <w:szCs w:val="21"/>
                    </w:rPr>
                    <w:t>表1标准</w:t>
                  </w:r>
                </w:p>
              </w:tc>
            </w:tr>
            <w:tr w14:paraId="4ECA2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left w:val="nil"/>
                    <w:right w:val="single" w:color="auto" w:sz="4" w:space="0"/>
                  </w:tcBorders>
                  <w:vAlign w:val="center"/>
                </w:tcPr>
                <w:p w14:paraId="33C01B00">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7AA9F469">
                  <w:pPr>
                    <w:widowControl/>
                    <w:adjustRightInd w:val="0"/>
                    <w:snapToGrid w:val="0"/>
                    <w:jc w:val="center"/>
                    <w:rPr>
                      <w:color w:val="auto"/>
                      <w:kern w:val="0"/>
                      <w:szCs w:val="21"/>
                    </w:rPr>
                  </w:pPr>
                  <w:r>
                    <w:rPr>
                      <w:rFonts w:hint="eastAsia"/>
                      <w:color w:val="auto"/>
                      <w:kern w:val="0"/>
                      <w:szCs w:val="21"/>
                    </w:rPr>
                    <w:t>苯乙烯</w:t>
                  </w:r>
                </w:p>
              </w:tc>
              <w:tc>
                <w:tcPr>
                  <w:tcW w:w="870" w:type="pct"/>
                  <w:tcBorders>
                    <w:top w:val="single" w:color="auto" w:sz="4" w:space="0"/>
                    <w:left w:val="single" w:color="auto" w:sz="4" w:space="0"/>
                    <w:bottom w:val="single" w:color="auto" w:sz="4" w:space="0"/>
                    <w:right w:val="single" w:color="auto" w:sz="4" w:space="0"/>
                  </w:tcBorders>
                  <w:vAlign w:val="center"/>
                </w:tcPr>
                <w:p w14:paraId="3A8A816D">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半年</w:t>
                  </w:r>
                </w:p>
              </w:tc>
              <w:tc>
                <w:tcPr>
                  <w:tcW w:w="1997" w:type="pct"/>
                  <w:vMerge w:val="continue"/>
                  <w:tcBorders>
                    <w:left w:val="single" w:color="auto" w:sz="4" w:space="0"/>
                    <w:right w:val="nil"/>
                  </w:tcBorders>
                  <w:vAlign w:val="center"/>
                </w:tcPr>
                <w:p w14:paraId="65DD697A">
                  <w:pPr>
                    <w:widowControl/>
                    <w:adjustRightInd w:val="0"/>
                    <w:snapToGrid w:val="0"/>
                    <w:jc w:val="center"/>
                    <w:rPr>
                      <w:color w:val="auto"/>
                      <w:kern w:val="0"/>
                      <w:szCs w:val="21"/>
                    </w:rPr>
                  </w:pPr>
                </w:p>
              </w:tc>
            </w:tr>
            <w:tr w14:paraId="707E7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left w:val="nil"/>
                    <w:right w:val="single" w:color="auto" w:sz="4" w:space="0"/>
                  </w:tcBorders>
                  <w:vAlign w:val="center"/>
                </w:tcPr>
                <w:p w14:paraId="1A28D68A">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2468DB59">
                  <w:pPr>
                    <w:widowControl/>
                    <w:adjustRightInd w:val="0"/>
                    <w:snapToGrid w:val="0"/>
                    <w:jc w:val="center"/>
                    <w:rPr>
                      <w:color w:val="auto"/>
                      <w:kern w:val="0"/>
                      <w:szCs w:val="21"/>
                    </w:rPr>
                  </w:pPr>
                  <w:r>
                    <w:rPr>
                      <w:rFonts w:hint="eastAsia"/>
                      <w:color w:val="auto"/>
                      <w:kern w:val="0"/>
                      <w:szCs w:val="21"/>
                      <w:lang w:eastAsia="zh-CN"/>
                    </w:rPr>
                    <w:t>二、</w:t>
                  </w:r>
                  <w:r>
                    <w:rPr>
                      <w:rFonts w:hint="eastAsia"/>
                      <w:color w:val="auto"/>
                      <w:kern w:val="0"/>
                      <w:szCs w:val="21"/>
                    </w:rPr>
                    <w:t>甲苯</w:t>
                  </w:r>
                </w:p>
              </w:tc>
              <w:tc>
                <w:tcPr>
                  <w:tcW w:w="870" w:type="pct"/>
                  <w:tcBorders>
                    <w:top w:val="single" w:color="auto" w:sz="4" w:space="0"/>
                    <w:left w:val="single" w:color="auto" w:sz="4" w:space="0"/>
                    <w:bottom w:val="single" w:color="auto" w:sz="4" w:space="0"/>
                    <w:right w:val="single" w:color="auto" w:sz="4" w:space="0"/>
                  </w:tcBorders>
                  <w:vAlign w:val="center"/>
                </w:tcPr>
                <w:p w14:paraId="5DBB5AEB">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半年</w:t>
                  </w:r>
                </w:p>
              </w:tc>
              <w:tc>
                <w:tcPr>
                  <w:tcW w:w="1997" w:type="pct"/>
                  <w:vMerge w:val="continue"/>
                  <w:tcBorders>
                    <w:left w:val="single" w:color="auto" w:sz="4" w:space="0"/>
                    <w:right w:val="nil"/>
                  </w:tcBorders>
                  <w:vAlign w:val="center"/>
                </w:tcPr>
                <w:p w14:paraId="446F4DCC">
                  <w:pPr>
                    <w:widowControl/>
                    <w:adjustRightInd w:val="0"/>
                    <w:snapToGrid w:val="0"/>
                    <w:jc w:val="center"/>
                    <w:rPr>
                      <w:color w:val="auto"/>
                      <w:kern w:val="0"/>
                      <w:szCs w:val="21"/>
                    </w:rPr>
                  </w:pPr>
                </w:p>
              </w:tc>
            </w:tr>
            <w:tr w14:paraId="28930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left w:val="nil"/>
                    <w:right w:val="single" w:color="auto" w:sz="4" w:space="0"/>
                  </w:tcBorders>
                  <w:vAlign w:val="center"/>
                </w:tcPr>
                <w:p w14:paraId="540347B4">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7C0A0333">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臭气浓度</w:t>
                  </w:r>
                </w:p>
              </w:tc>
              <w:tc>
                <w:tcPr>
                  <w:tcW w:w="870" w:type="pct"/>
                  <w:tcBorders>
                    <w:top w:val="single" w:color="auto" w:sz="4" w:space="0"/>
                    <w:left w:val="single" w:color="auto" w:sz="4" w:space="0"/>
                    <w:bottom w:val="single" w:color="auto" w:sz="4" w:space="0"/>
                    <w:right w:val="single" w:color="auto" w:sz="4" w:space="0"/>
                  </w:tcBorders>
                  <w:vAlign w:val="center"/>
                </w:tcPr>
                <w:p w14:paraId="517F7FFE">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1次/半年</w:t>
                  </w:r>
                </w:p>
              </w:tc>
              <w:tc>
                <w:tcPr>
                  <w:tcW w:w="1997" w:type="pct"/>
                  <w:vMerge w:val="continue"/>
                  <w:tcBorders>
                    <w:left w:val="single" w:color="auto" w:sz="4" w:space="0"/>
                    <w:right w:val="nil"/>
                  </w:tcBorders>
                  <w:vAlign w:val="center"/>
                </w:tcPr>
                <w:p w14:paraId="562B8340">
                  <w:pPr>
                    <w:widowControl/>
                    <w:adjustRightInd w:val="0"/>
                    <w:snapToGrid w:val="0"/>
                    <w:jc w:val="center"/>
                    <w:rPr>
                      <w:color w:val="auto"/>
                      <w:kern w:val="0"/>
                      <w:szCs w:val="21"/>
                    </w:rPr>
                  </w:pPr>
                </w:p>
              </w:tc>
            </w:tr>
            <w:tr w14:paraId="465E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top w:val="single" w:color="auto" w:sz="4" w:space="0"/>
                    <w:left w:val="nil"/>
                    <w:bottom w:val="single" w:color="auto" w:sz="4" w:space="0"/>
                    <w:right w:val="single" w:color="auto" w:sz="4" w:space="0"/>
                  </w:tcBorders>
                  <w:vAlign w:val="center"/>
                </w:tcPr>
                <w:p w14:paraId="3E668038">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08F0FB2C">
                  <w:pPr>
                    <w:widowControl/>
                    <w:adjustRightInd w:val="0"/>
                    <w:snapToGrid w:val="0"/>
                    <w:jc w:val="center"/>
                    <w:rPr>
                      <w:color w:val="auto"/>
                      <w:kern w:val="0"/>
                      <w:szCs w:val="21"/>
                    </w:rPr>
                  </w:pPr>
                  <w:r>
                    <w:rPr>
                      <w:rFonts w:hint="eastAsia"/>
                      <w:color w:val="auto"/>
                      <w:kern w:val="0"/>
                      <w:szCs w:val="21"/>
                    </w:rPr>
                    <w:t>非甲烷总烃</w:t>
                  </w:r>
                </w:p>
              </w:tc>
              <w:tc>
                <w:tcPr>
                  <w:tcW w:w="870" w:type="pct"/>
                  <w:tcBorders>
                    <w:top w:val="single" w:color="auto" w:sz="4" w:space="0"/>
                    <w:left w:val="single" w:color="auto" w:sz="4" w:space="0"/>
                    <w:bottom w:val="single" w:color="auto" w:sz="4" w:space="0"/>
                    <w:right w:val="single" w:color="auto" w:sz="4" w:space="0"/>
                  </w:tcBorders>
                  <w:vAlign w:val="center"/>
                </w:tcPr>
                <w:p w14:paraId="3D4CBD5B">
                  <w:pPr>
                    <w:widowControl/>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半年</w:t>
                  </w:r>
                </w:p>
              </w:tc>
              <w:tc>
                <w:tcPr>
                  <w:tcW w:w="1997" w:type="pct"/>
                  <w:vMerge w:val="continue"/>
                  <w:tcBorders>
                    <w:left w:val="single" w:color="auto" w:sz="4" w:space="0"/>
                    <w:right w:val="nil"/>
                  </w:tcBorders>
                  <w:vAlign w:val="center"/>
                </w:tcPr>
                <w:p w14:paraId="6DBB0117">
                  <w:pPr>
                    <w:adjustRightInd w:val="0"/>
                    <w:snapToGrid w:val="0"/>
                    <w:jc w:val="center"/>
                    <w:rPr>
                      <w:color w:val="auto"/>
                      <w:kern w:val="0"/>
                      <w:szCs w:val="21"/>
                    </w:rPr>
                  </w:pPr>
                </w:p>
              </w:tc>
            </w:tr>
            <w:tr w14:paraId="46D8F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tcBorders>
                    <w:top w:val="single" w:color="auto" w:sz="4" w:space="0"/>
                    <w:left w:val="nil"/>
                    <w:bottom w:val="single" w:color="auto" w:sz="12" w:space="0"/>
                    <w:right w:val="single" w:color="auto" w:sz="4" w:space="0"/>
                  </w:tcBorders>
                  <w:vAlign w:val="center"/>
                </w:tcPr>
                <w:p w14:paraId="06DEF641">
                  <w:pPr>
                    <w:widowControl/>
                    <w:adjustRightInd w:val="0"/>
                    <w:snapToGrid w:val="0"/>
                    <w:jc w:val="center"/>
                    <w:rPr>
                      <w:color w:val="auto"/>
                      <w:kern w:val="0"/>
                      <w:szCs w:val="21"/>
                    </w:rPr>
                  </w:pPr>
                  <w:r>
                    <w:rPr>
                      <w:rFonts w:hint="eastAsia"/>
                      <w:color w:val="auto"/>
                      <w:kern w:val="0"/>
                      <w:szCs w:val="21"/>
                    </w:rPr>
                    <w:t>厂房外设置监控点</w:t>
                  </w:r>
                </w:p>
              </w:tc>
              <w:tc>
                <w:tcPr>
                  <w:tcW w:w="841" w:type="pct"/>
                  <w:tcBorders>
                    <w:top w:val="single" w:color="auto" w:sz="4" w:space="0"/>
                    <w:left w:val="single" w:color="auto" w:sz="4" w:space="0"/>
                    <w:bottom w:val="single" w:color="auto" w:sz="12" w:space="0"/>
                    <w:right w:val="single" w:color="auto" w:sz="4" w:space="0"/>
                  </w:tcBorders>
                  <w:vAlign w:val="center"/>
                </w:tcPr>
                <w:p w14:paraId="40406416">
                  <w:pPr>
                    <w:widowControl/>
                    <w:adjustRightInd w:val="0"/>
                    <w:snapToGrid w:val="0"/>
                    <w:jc w:val="center"/>
                    <w:rPr>
                      <w:color w:val="auto"/>
                      <w:kern w:val="0"/>
                      <w:szCs w:val="21"/>
                    </w:rPr>
                  </w:pPr>
                  <w:r>
                    <w:rPr>
                      <w:rFonts w:hint="eastAsia"/>
                      <w:color w:val="auto"/>
                      <w:kern w:val="0"/>
                      <w:szCs w:val="21"/>
                    </w:rPr>
                    <w:t>非甲烷总烃</w:t>
                  </w:r>
                </w:p>
              </w:tc>
              <w:tc>
                <w:tcPr>
                  <w:tcW w:w="870" w:type="pct"/>
                  <w:tcBorders>
                    <w:top w:val="single" w:color="auto" w:sz="4" w:space="0"/>
                    <w:left w:val="single" w:color="auto" w:sz="4" w:space="0"/>
                    <w:bottom w:val="single" w:color="auto" w:sz="12" w:space="0"/>
                    <w:right w:val="single" w:color="auto" w:sz="4" w:space="0"/>
                  </w:tcBorders>
                  <w:vAlign w:val="center"/>
                </w:tcPr>
                <w:p w14:paraId="3BEF719F">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半年</w:t>
                  </w:r>
                </w:p>
              </w:tc>
              <w:tc>
                <w:tcPr>
                  <w:tcW w:w="1997" w:type="pct"/>
                  <w:vMerge w:val="continue"/>
                  <w:tcBorders>
                    <w:left w:val="single" w:color="auto" w:sz="4" w:space="0"/>
                    <w:right w:val="nil"/>
                  </w:tcBorders>
                  <w:vAlign w:val="center"/>
                </w:tcPr>
                <w:p w14:paraId="7A5B71AE">
                  <w:pPr>
                    <w:widowControl/>
                    <w:adjustRightInd w:val="0"/>
                    <w:snapToGrid w:val="0"/>
                    <w:jc w:val="center"/>
                    <w:rPr>
                      <w:color w:val="auto"/>
                      <w:kern w:val="0"/>
                      <w:szCs w:val="21"/>
                    </w:rPr>
                  </w:pPr>
                </w:p>
              </w:tc>
            </w:tr>
          </w:tbl>
          <w:p w14:paraId="1F246484">
            <w:pPr>
              <w:adjustRightInd w:val="0"/>
              <w:snapToGrid w:val="0"/>
              <w:spacing w:before="120" w:beforeLines="50" w:line="360" w:lineRule="auto"/>
              <w:rPr>
                <w:b/>
                <w:color w:val="auto"/>
                <w:sz w:val="24"/>
                <w:szCs w:val="32"/>
              </w:rPr>
            </w:pPr>
            <w:r>
              <w:rPr>
                <w:b/>
                <w:color w:val="auto"/>
                <w:sz w:val="24"/>
                <w:szCs w:val="32"/>
              </w:rPr>
              <w:t>1.</w:t>
            </w:r>
            <w:r>
              <w:rPr>
                <w:rFonts w:hint="eastAsia"/>
                <w:b/>
                <w:color w:val="auto"/>
                <w:sz w:val="24"/>
                <w:szCs w:val="32"/>
              </w:rPr>
              <w:t>5</w:t>
            </w:r>
            <w:r>
              <w:rPr>
                <w:b/>
                <w:color w:val="auto"/>
                <w:sz w:val="24"/>
                <w:szCs w:val="32"/>
              </w:rPr>
              <w:t>废气防治措施可行性分析</w:t>
            </w:r>
          </w:p>
          <w:p w14:paraId="3AB6CD69">
            <w:pPr>
              <w:adjustRightInd w:val="0"/>
              <w:snapToGrid w:val="0"/>
              <w:spacing w:line="360" w:lineRule="auto"/>
              <w:ind w:firstLine="482" w:firstLineChars="200"/>
              <w:rPr>
                <w:b/>
                <w:color w:val="auto"/>
                <w:sz w:val="24"/>
              </w:rPr>
            </w:pPr>
            <w:r>
              <w:rPr>
                <w:rFonts w:hint="eastAsia"/>
                <w:b/>
                <w:color w:val="auto"/>
                <w:sz w:val="24"/>
              </w:rPr>
              <w:t>1.5.1有</w:t>
            </w:r>
            <w:r>
              <w:rPr>
                <w:b/>
                <w:color w:val="auto"/>
                <w:sz w:val="24"/>
              </w:rPr>
              <w:t>组织废气污染</w:t>
            </w:r>
            <w:r>
              <w:rPr>
                <w:rFonts w:hint="eastAsia"/>
                <w:b/>
                <w:color w:val="auto"/>
                <w:sz w:val="24"/>
              </w:rPr>
              <w:t>防治</w:t>
            </w:r>
            <w:r>
              <w:rPr>
                <w:b/>
                <w:color w:val="auto"/>
                <w:sz w:val="24"/>
              </w:rPr>
              <w:t>措施</w:t>
            </w:r>
          </w:p>
          <w:p w14:paraId="6DF856C6">
            <w:pPr>
              <w:pStyle w:val="37"/>
              <w:jc w:val="center"/>
              <w:rPr>
                <w:b/>
                <w:bCs/>
                <w:color w:val="auto"/>
                <w:sz w:val="24"/>
              </w:rPr>
            </w:pPr>
            <w:r>
              <w:rPr>
                <w:rFonts w:hint="eastAsia" w:eastAsiaTheme="minorEastAsia"/>
                <w:b/>
                <w:bCs/>
                <w:color w:val="auto"/>
                <w:sz w:val="24"/>
              </w:rPr>
              <w:object>
                <v:shape id="_x0000_i1029" o:spt="75" type="#_x0000_t75" style="height:487.2pt;width:454.55pt;" o:ole="t" filled="f" o:preferrelative="t" stroked="f" coordsize="21600,21600">
                  <v:path/>
                  <v:fill on="f" focussize="0,0"/>
                  <v:stroke on="f"/>
                  <v:imagedata r:id="rId27" o:title=""/>
                  <o:lock v:ext="edit" aspectratio="f"/>
                  <w10:wrap type="none"/>
                  <w10:anchorlock/>
                </v:shape>
                <o:OLEObject Type="Embed" ProgID="Visio.Drawing.11" ShapeID="_x0000_i1029" DrawAspect="Content" ObjectID="_1468075729" r:id="rId26">
                  <o:LockedField>false</o:LockedField>
                </o:OLEObject>
              </w:object>
            </w:r>
            <w:r>
              <w:rPr>
                <w:rFonts w:hint="eastAsia"/>
                <w:b/>
                <w:bCs/>
                <w:color w:val="auto"/>
                <w:sz w:val="24"/>
              </w:rPr>
              <w:t>图4-1 本项目废气处理工艺流程图</w:t>
            </w:r>
          </w:p>
          <w:p w14:paraId="6947B9A0">
            <w:pPr>
              <w:adjustRightInd w:val="0"/>
              <w:snapToGrid w:val="0"/>
              <w:spacing w:line="360" w:lineRule="auto"/>
              <w:ind w:firstLine="480" w:firstLineChars="200"/>
              <w:rPr>
                <w:color w:val="auto"/>
                <w:sz w:val="24"/>
              </w:rPr>
            </w:pPr>
            <w:r>
              <w:rPr>
                <w:color w:val="auto"/>
                <w:sz w:val="24"/>
              </w:rPr>
              <w:t>本项目有组织废气收集、处置与排放情况详见图4-1</w:t>
            </w:r>
            <w:r>
              <w:rPr>
                <w:rFonts w:hint="eastAsia"/>
                <w:color w:val="auto"/>
                <w:sz w:val="24"/>
              </w:rPr>
              <w:t>。</w:t>
            </w:r>
          </w:p>
          <w:p w14:paraId="1F9F84B0">
            <w:pPr>
              <w:adjustRightInd w:val="0"/>
              <w:snapToGrid w:val="0"/>
              <w:spacing w:line="360" w:lineRule="auto"/>
              <w:rPr>
                <w:color w:val="auto"/>
                <w:sz w:val="24"/>
              </w:rPr>
            </w:pPr>
            <w:r>
              <w:rPr>
                <w:rFonts w:hint="eastAsia"/>
                <w:color w:val="auto"/>
                <w:sz w:val="24"/>
                <w:lang w:eastAsia="zh-CN"/>
              </w:rPr>
              <w:t>(1)</w:t>
            </w:r>
            <w:r>
              <w:rPr>
                <w:rFonts w:hint="eastAsia"/>
                <w:color w:val="auto"/>
                <w:sz w:val="24"/>
              </w:rPr>
              <w:t>废气收集措施</w:t>
            </w:r>
          </w:p>
          <w:p w14:paraId="49837587">
            <w:pPr>
              <w:adjustRightInd w:val="0"/>
              <w:snapToGrid w:val="0"/>
              <w:spacing w:line="360" w:lineRule="auto"/>
              <w:rPr>
                <w:color w:val="auto"/>
                <w:sz w:val="24"/>
              </w:rPr>
            </w:pPr>
            <w:r>
              <w:rPr>
                <w:color w:val="auto"/>
                <w:sz w:val="24"/>
              </w:rPr>
              <w:t>本项目废气收集</w:t>
            </w:r>
            <w:r>
              <w:rPr>
                <w:rFonts w:hint="eastAsia"/>
                <w:color w:val="auto"/>
                <w:sz w:val="24"/>
              </w:rPr>
              <w:t>系统及收集效率如下表4-8。</w:t>
            </w:r>
          </w:p>
          <w:p w14:paraId="128B12A1">
            <w:pPr>
              <w:widowControl/>
              <w:adjustRightInd w:val="0"/>
              <w:snapToGrid w:val="0"/>
              <w:jc w:val="center"/>
              <w:rPr>
                <w:b/>
                <w:bCs/>
                <w:color w:val="auto"/>
                <w:kern w:val="0"/>
                <w:sz w:val="24"/>
              </w:rPr>
            </w:pPr>
            <w:r>
              <w:rPr>
                <w:rFonts w:hint="eastAsia"/>
                <w:b/>
                <w:bCs/>
                <w:color w:val="auto"/>
                <w:kern w:val="0"/>
                <w:sz w:val="24"/>
              </w:rPr>
              <w:t>表4-8 本项目废气收集系统一览</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262"/>
              <w:gridCol w:w="1911"/>
              <w:gridCol w:w="1098"/>
              <w:gridCol w:w="608"/>
            </w:tblGrid>
            <w:tr w14:paraId="0D8DA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368969D8">
                  <w:pPr>
                    <w:adjustRightInd w:val="0"/>
                    <w:snapToGrid w:val="0"/>
                    <w:jc w:val="center"/>
                    <w:rPr>
                      <w:b/>
                      <w:bCs/>
                      <w:color w:val="auto"/>
                      <w:szCs w:val="21"/>
                    </w:rPr>
                  </w:pPr>
                  <w:r>
                    <w:rPr>
                      <w:rFonts w:hint="eastAsia"/>
                      <w:b/>
                      <w:bCs/>
                      <w:color w:val="auto"/>
                      <w:szCs w:val="21"/>
                    </w:rPr>
                    <w:t>序号</w:t>
                  </w:r>
                </w:p>
              </w:tc>
              <w:tc>
                <w:tcPr>
                  <w:tcW w:w="2511" w:type="pct"/>
                  <w:vAlign w:val="center"/>
                </w:tcPr>
                <w:p w14:paraId="72D5A6E3">
                  <w:pPr>
                    <w:adjustRightInd w:val="0"/>
                    <w:snapToGrid w:val="0"/>
                    <w:jc w:val="center"/>
                    <w:rPr>
                      <w:b/>
                      <w:bCs/>
                      <w:color w:val="auto"/>
                      <w:szCs w:val="21"/>
                    </w:rPr>
                  </w:pPr>
                  <w:r>
                    <w:rPr>
                      <w:rFonts w:hint="eastAsia"/>
                      <w:b/>
                      <w:bCs/>
                      <w:color w:val="auto"/>
                      <w:szCs w:val="21"/>
                    </w:rPr>
                    <w:t>废气种类</w:t>
                  </w:r>
                </w:p>
              </w:tc>
              <w:tc>
                <w:tcPr>
                  <w:tcW w:w="1126" w:type="pct"/>
                  <w:vAlign w:val="center"/>
                </w:tcPr>
                <w:p w14:paraId="60A0828B">
                  <w:pPr>
                    <w:adjustRightInd w:val="0"/>
                    <w:snapToGrid w:val="0"/>
                    <w:jc w:val="center"/>
                    <w:rPr>
                      <w:b/>
                      <w:bCs/>
                      <w:color w:val="auto"/>
                      <w:szCs w:val="21"/>
                    </w:rPr>
                  </w:pPr>
                  <w:r>
                    <w:rPr>
                      <w:rFonts w:hint="eastAsia"/>
                      <w:b/>
                      <w:bCs/>
                      <w:color w:val="auto"/>
                      <w:szCs w:val="21"/>
                    </w:rPr>
                    <w:t>收集方式</w:t>
                  </w:r>
                </w:p>
              </w:tc>
              <w:tc>
                <w:tcPr>
                  <w:tcW w:w="647" w:type="pct"/>
                  <w:vAlign w:val="center"/>
                </w:tcPr>
                <w:p w14:paraId="37152072">
                  <w:pPr>
                    <w:adjustRightInd w:val="0"/>
                    <w:snapToGrid w:val="0"/>
                    <w:jc w:val="center"/>
                    <w:rPr>
                      <w:b/>
                      <w:bCs/>
                      <w:color w:val="auto"/>
                      <w:szCs w:val="21"/>
                    </w:rPr>
                  </w:pPr>
                  <w:r>
                    <w:rPr>
                      <w:rFonts w:hint="eastAsia"/>
                      <w:b/>
                      <w:bCs/>
                      <w:color w:val="auto"/>
                      <w:szCs w:val="21"/>
                    </w:rPr>
                    <w:t>收集效率</w:t>
                  </w:r>
                </w:p>
              </w:tc>
              <w:tc>
                <w:tcPr>
                  <w:tcW w:w="358" w:type="pct"/>
                  <w:vAlign w:val="center"/>
                </w:tcPr>
                <w:p w14:paraId="270F952B">
                  <w:pPr>
                    <w:adjustRightInd w:val="0"/>
                    <w:snapToGrid w:val="0"/>
                    <w:jc w:val="center"/>
                    <w:rPr>
                      <w:b/>
                      <w:bCs/>
                      <w:color w:val="auto"/>
                      <w:szCs w:val="21"/>
                    </w:rPr>
                  </w:pPr>
                  <w:r>
                    <w:rPr>
                      <w:rFonts w:hint="eastAsia"/>
                      <w:b/>
                      <w:bCs/>
                      <w:color w:val="auto"/>
                      <w:szCs w:val="21"/>
                    </w:rPr>
                    <w:t>备注</w:t>
                  </w:r>
                </w:p>
              </w:tc>
            </w:tr>
            <w:tr w14:paraId="22B9C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5C7F1BC6">
                  <w:pPr>
                    <w:adjustRightInd w:val="0"/>
                    <w:snapToGrid w:val="0"/>
                    <w:jc w:val="center"/>
                    <w:rPr>
                      <w:color w:val="auto"/>
                      <w:szCs w:val="21"/>
                    </w:rPr>
                  </w:pPr>
                  <w:r>
                    <w:rPr>
                      <w:rFonts w:hint="eastAsia"/>
                      <w:color w:val="auto"/>
                      <w:szCs w:val="21"/>
                    </w:rPr>
                    <w:t>1</w:t>
                  </w:r>
                </w:p>
              </w:tc>
              <w:tc>
                <w:tcPr>
                  <w:tcW w:w="2511" w:type="pct"/>
                  <w:vAlign w:val="center"/>
                </w:tcPr>
                <w:p w14:paraId="42A2E0C8">
                  <w:pPr>
                    <w:adjustRightInd w:val="0"/>
                    <w:snapToGrid w:val="0"/>
                    <w:jc w:val="center"/>
                    <w:rPr>
                      <w:color w:val="auto"/>
                      <w:szCs w:val="21"/>
                    </w:rPr>
                  </w:pPr>
                  <w:r>
                    <w:rPr>
                      <w:rFonts w:hint="eastAsia"/>
                      <w:color w:val="auto"/>
                      <w:szCs w:val="21"/>
                    </w:rPr>
                    <w:t>下料、倒角/钻孔粉尘</w:t>
                  </w:r>
                </w:p>
              </w:tc>
              <w:tc>
                <w:tcPr>
                  <w:tcW w:w="1126" w:type="pct"/>
                  <w:vAlign w:val="center"/>
                </w:tcPr>
                <w:p w14:paraId="7B6E1AF5">
                  <w:pPr>
                    <w:adjustRightInd w:val="0"/>
                    <w:snapToGrid w:val="0"/>
                    <w:jc w:val="center"/>
                    <w:rPr>
                      <w:color w:val="auto"/>
                      <w:szCs w:val="21"/>
                    </w:rPr>
                  </w:pPr>
                  <w:r>
                    <w:rPr>
                      <w:rFonts w:hint="eastAsia"/>
                      <w:color w:val="auto"/>
                      <w:szCs w:val="21"/>
                    </w:rPr>
                    <w:t>集气罩收集</w:t>
                  </w:r>
                </w:p>
              </w:tc>
              <w:tc>
                <w:tcPr>
                  <w:tcW w:w="647" w:type="pct"/>
                  <w:vAlign w:val="center"/>
                </w:tcPr>
                <w:p w14:paraId="6A744D1F">
                  <w:pPr>
                    <w:adjustRightInd w:val="0"/>
                    <w:snapToGrid w:val="0"/>
                    <w:jc w:val="center"/>
                    <w:rPr>
                      <w:color w:val="auto"/>
                      <w:szCs w:val="21"/>
                    </w:rPr>
                  </w:pPr>
                  <w:r>
                    <w:rPr>
                      <w:rFonts w:hint="eastAsia"/>
                      <w:color w:val="auto"/>
                      <w:szCs w:val="21"/>
                      <w:lang w:eastAsia="zh-CN"/>
                    </w:rPr>
                    <w:t>80.</w:t>
                  </w:r>
                </w:p>
              </w:tc>
              <w:tc>
                <w:tcPr>
                  <w:tcW w:w="358" w:type="pct"/>
                  <w:vAlign w:val="center"/>
                </w:tcPr>
                <w:p w14:paraId="311FB1FD">
                  <w:pPr>
                    <w:adjustRightInd w:val="0"/>
                    <w:snapToGrid w:val="0"/>
                    <w:jc w:val="center"/>
                    <w:rPr>
                      <w:color w:val="auto"/>
                      <w:szCs w:val="21"/>
                    </w:rPr>
                  </w:pPr>
                  <w:r>
                    <w:rPr>
                      <w:rFonts w:hint="eastAsia"/>
                      <w:color w:val="auto"/>
                      <w:szCs w:val="21"/>
                    </w:rPr>
                    <w:t>/</w:t>
                  </w:r>
                </w:p>
              </w:tc>
            </w:tr>
            <w:tr w14:paraId="576BF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0D22B65F">
                  <w:pPr>
                    <w:adjustRightInd w:val="0"/>
                    <w:snapToGrid w:val="0"/>
                    <w:jc w:val="center"/>
                    <w:rPr>
                      <w:color w:val="auto"/>
                      <w:szCs w:val="21"/>
                    </w:rPr>
                  </w:pPr>
                  <w:r>
                    <w:rPr>
                      <w:rFonts w:hint="eastAsia"/>
                      <w:color w:val="auto"/>
                      <w:szCs w:val="21"/>
                    </w:rPr>
                    <w:t>2</w:t>
                  </w:r>
                </w:p>
              </w:tc>
              <w:tc>
                <w:tcPr>
                  <w:tcW w:w="2511" w:type="pct"/>
                  <w:vAlign w:val="center"/>
                </w:tcPr>
                <w:p w14:paraId="5CE76CB8">
                  <w:pPr>
                    <w:adjustRightInd w:val="0"/>
                    <w:snapToGrid w:val="0"/>
                    <w:jc w:val="center"/>
                    <w:rPr>
                      <w:color w:val="auto"/>
                      <w:szCs w:val="21"/>
                    </w:rPr>
                  </w:pPr>
                  <w:r>
                    <w:rPr>
                      <w:rFonts w:hint="eastAsia"/>
                      <w:color w:val="auto"/>
                      <w:szCs w:val="21"/>
                    </w:rPr>
                    <w:t>封边、贴皮、粘接废气</w:t>
                  </w:r>
                </w:p>
              </w:tc>
              <w:tc>
                <w:tcPr>
                  <w:tcW w:w="1126" w:type="pct"/>
                  <w:vAlign w:val="center"/>
                </w:tcPr>
                <w:p w14:paraId="6BC1E9F1">
                  <w:pPr>
                    <w:adjustRightInd w:val="0"/>
                    <w:snapToGrid w:val="0"/>
                    <w:jc w:val="center"/>
                    <w:rPr>
                      <w:color w:val="auto"/>
                      <w:szCs w:val="21"/>
                    </w:rPr>
                  </w:pPr>
                  <w:r>
                    <w:rPr>
                      <w:rFonts w:hint="eastAsia"/>
                      <w:color w:val="auto"/>
                      <w:szCs w:val="21"/>
                    </w:rPr>
                    <w:t>集气罩收集</w:t>
                  </w:r>
                </w:p>
              </w:tc>
              <w:tc>
                <w:tcPr>
                  <w:tcW w:w="647" w:type="pct"/>
                  <w:vAlign w:val="center"/>
                </w:tcPr>
                <w:p w14:paraId="183C1BEE">
                  <w:pPr>
                    <w:adjustRightInd w:val="0"/>
                    <w:snapToGrid w:val="0"/>
                    <w:jc w:val="center"/>
                    <w:rPr>
                      <w:color w:val="auto"/>
                      <w:szCs w:val="21"/>
                    </w:rPr>
                  </w:pPr>
                  <w:r>
                    <w:rPr>
                      <w:rFonts w:hint="eastAsia"/>
                      <w:color w:val="auto"/>
                      <w:szCs w:val="21"/>
                      <w:lang w:eastAsia="zh-CN"/>
                    </w:rPr>
                    <w:t>80.</w:t>
                  </w:r>
                </w:p>
              </w:tc>
              <w:tc>
                <w:tcPr>
                  <w:tcW w:w="358" w:type="pct"/>
                  <w:vAlign w:val="center"/>
                </w:tcPr>
                <w:p w14:paraId="7DD7BF2D">
                  <w:pPr>
                    <w:adjustRightInd w:val="0"/>
                    <w:snapToGrid w:val="0"/>
                    <w:jc w:val="center"/>
                    <w:rPr>
                      <w:color w:val="auto"/>
                      <w:szCs w:val="21"/>
                    </w:rPr>
                  </w:pPr>
                  <w:r>
                    <w:rPr>
                      <w:rFonts w:hint="eastAsia"/>
                      <w:color w:val="auto"/>
                      <w:szCs w:val="21"/>
                    </w:rPr>
                    <w:t>/</w:t>
                  </w:r>
                </w:p>
              </w:tc>
            </w:tr>
            <w:tr w14:paraId="6489C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5F35D1A9">
                  <w:pPr>
                    <w:adjustRightInd w:val="0"/>
                    <w:snapToGrid w:val="0"/>
                    <w:jc w:val="center"/>
                    <w:rPr>
                      <w:color w:val="auto"/>
                      <w:szCs w:val="21"/>
                    </w:rPr>
                  </w:pPr>
                  <w:r>
                    <w:rPr>
                      <w:rFonts w:hint="eastAsia"/>
                      <w:color w:val="auto"/>
                      <w:szCs w:val="21"/>
                    </w:rPr>
                    <w:t>3</w:t>
                  </w:r>
                </w:p>
              </w:tc>
              <w:tc>
                <w:tcPr>
                  <w:tcW w:w="2511" w:type="pct"/>
                  <w:vAlign w:val="center"/>
                </w:tcPr>
                <w:p w14:paraId="09D7673D">
                  <w:pPr>
                    <w:adjustRightInd w:val="0"/>
                    <w:snapToGrid w:val="0"/>
                    <w:jc w:val="center"/>
                    <w:rPr>
                      <w:color w:val="auto"/>
                      <w:szCs w:val="21"/>
                    </w:rPr>
                  </w:pPr>
                  <w:r>
                    <w:rPr>
                      <w:rFonts w:hint="eastAsia"/>
                      <w:color w:val="auto"/>
                      <w:szCs w:val="21"/>
                    </w:rPr>
                    <w:t>修边、磨平、打磨粉尘</w:t>
                  </w:r>
                </w:p>
              </w:tc>
              <w:tc>
                <w:tcPr>
                  <w:tcW w:w="1126" w:type="pct"/>
                  <w:vAlign w:val="center"/>
                </w:tcPr>
                <w:p w14:paraId="503E09D9">
                  <w:pPr>
                    <w:adjustRightInd w:val="0"/>
                    <w:snapToGrid w:val="0"/>
                    <w:jc w:val="center"/>
                    <w:rPr>
                      <w:color w:val="auto"/>
                      <w:szCs w:val="21"/>
                    </w:rPr>
                  </w:pPr>
                  <w:r>
                    <w:rPr>
                      <w:rFonts w:hint="eastAsia"/>
                      <w:color w:val="auto"/>
                      <w:szCs w:val="21"/>
                    </w:rPr>
                    <w:t>集气罩收集</w:t>
                  </w:r>
                </w:p>
              </w:tc>
              <w:tc>
                <w:tcPr>
                  <w:tcW w:w="647" w:type="pct"/>
                  <w:vAlign w:val="center"/>
                </w:tcPr>
                <w:p w14:paraId="59110208">
                  <w:pPr>
                    <w:adjustRightInd w:val="0"/>
                    <w:snapToGrid w:val="0"/>
                    <w:jc w:val="center"/>
                    <w:rPr>
                      <w:color w:val="auto"/>
                      <w:szCs w:val="21"/>
                    </w:rPr>
                  </w:pPr>
                  <w:r>
                    <w:rPr>
                      <w:rFonts w:hint="eastAsia"/>
                      <w:color w:val="auto"/>
                      <w:szCs w:val="21"/>
                      <w:lang w:eastAsia="zh-CN"/>
                    </w:rPr>
                    <w:t>80.</w:t>
                  </w:r>
                </w:p>
              </w:tc>
              <w:tc>
                <w:tcPr>
                  <w:tcW w:w="358" w:type="pct"/>
                  <w:vAlign w:val="center"/>
                </w:tcPr>
                <w:p w14:paraId="542BAE70">
                  <w:pPr>
                    <w:adjustRightInd w:val="0"/>
                    <w:snapToGrid w:val="0"/>
                    <w:jc w:val="center"/>
                    <w:rPr>
                      <w:color w:val="auto"/>
                      <w:szCs w:val="21"/>
                    </w:rPr>
                  </w:pPr>
                  <w:r>
                    <w:rPr>
                      <w:rFonts w:hint="eastAsia"/>
                      <w:color w:val="auto"/>
                      <w:szCs w:val="21"/>
                    </w:rPr>
                    <w:t>/</w:t>
                  </w:r>
                </w:p>
              </w:tc>
            </w:tr>
            <w:tr w14:paraId="23D20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2E1D43F1">
                  <w:pPr>
                    <w:adjustRightInd w:val="0"/>
                    <w:snapToGrid w:val="0"/>
                    <w:jc w:val="center"/>
                    <w:rPr>
                      <w:color w:val="auto"/>
                      <w:szCs w:val="21"/>
                    </w:rPr>
                  </w:pPr>
                  <w:r>
                    <w:rPr>
                      <w:rFonts w:hint="eastAsia"/>
                      <w:color w:val="auto"/>
                      <w:szCs w:val="21"/>
                    </w:rPr>
                    <w:t>4</w:t>
                  </w:r>
                </w:p>
              </w:tc>
              <w:tc>
                <w:tcPr>
                  <w:tcW w:w="2511" w:type="pct"/>
                  <w:vAlign w:val="center"/>
                </w:tcPr>
                <w:p w14:paraId="5765C42A">
                  <w:pPr>
                    <w:adjustRightInd w:val="0"/>
                    <w:snapToGrid w:val="0"/>
                    <w:jc w:val="center"/>
                    <w:rPr>
                      <w:color w:val="auto"/>
                      <w:szCs w:val="21"/>
                    </w:rPr>
                  </w:pPr>
                  <w:r>
                    <w:rPr>
                      <w:rFonts w:hint="eastAsia"/>
                      <w:color w:val="auto"/>
                      <w:szCs w:val="21"/>
                    </w:rPr>
                    <w:t>批灰废气</w:t>
                  </w:r>
                </w:p>
              </w:tc>
              <w:tc>
                <w:tcPr>
                  <w:tcW w:w="1126" w:type="pct"/>
                  <w:vAlign w:val="center"/>
                </w:tcPr>
                <w:p w14:paraId="7E87905E">
                  <w:pPr>
                    <w:adjustRightInd w:val="0"/>
                    <w:snapToGrid w:val="0"/>
                    <w:jc w:val="center"/>
                    <w:rPr>
                      <w:color w:val="auto"/>
                      <w:szCs w:val="21"/>
                    </w:rPr>
                  </w:pPr>
                  <w:r>
                    <w:rPr>
                      <w:rFonts w:hint="eastAsia"/>
                      <w:color w:val="auto"/>
                      <w:szCs w:val="21"/>
                    </w:rPr>
                    <w:t>集气罩收集</w:t>
                  </w:r>
                </w:p>
              </w:tc>
              <w:tc>
                <w:tcPr>
                  <w:tcW w:w="647" w:type="pct"/>
                  <w:vAlign w:val="center"/>
                </w:tcPr>
                <w:p w14:paraId="1A3F70B0">
                  <w:pPr>
                    <w:adjustRightInd w:val="0"/>
                    <w:snapToGrid w:val="0"/>
                    <w:jc w:val="center"/>
                    <w:rPr>
                      <w:color w:val="auto"/>
                      <w:szCs w:val="21"/>
                    </w:rPr>
                  </w:pPr>
                  <w:r>
                    <w:rPr>
                      <w:rFonts w:hint="eastAsia"/>
                      <w:color w:val="auto"/>
                      <w:szCs w:val="21"/>
                      <w:lang w:eastAsia="zh-CN"/>
                    </w:rPr>
                    <w:t>80.</w:t>
                  </w:r>
                </w:p>
              </w:tc>
              <w:tc>
                <w:tcPr>
                  <w:tcW w:w="358" w:type="pct"/>
                  <w:vAlign w:val="center"/>
                </w:tcPr>
                <w:p w14:paraId="65D5BB94">
                  <w:pPr>
                    <w:adjustRightInd w:val="0"/>
                    <w:snapToGrid w:val="0"/>
                    <w:jc w:val="center"/>
                    <w:rPr>
                      <w:color w:val="auto"/>
                      <w:szCs w:val="21"/>
                    </w:rPr>
                  </w:pPr>
                  <w:r>
                    <w:rPr>
                      <w:rFonts w:hint="eastAsia"/>
                      <w:color w:val="auto"/>
                      <w:szCs w:val="21"/>
                    </w:rPr>
                    <w:t>/</w:t>
                  </w:r>
                </w:p>
              </w:tc>
            </w:tr>
            <w:tr w14:paraId="09380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2394C0E9">
                  <w:pPr>
                    <w:adjustRightInd w:val="0"/>
                    <w:snapToGrid w:val="0"/>
                    <w:jc w:val="center"/>
                    <w:rPr>
                      <w:color w:val="auto"/>
                      <w:szCs w:val="21"/>
                    </w:rPr>
                  </w:pPr>
                  <w:r>
                    <w:rPr>
                      <w:rFonts w:hint="eastAsia"/>
                      <w:color w:val="auto"/>
                      <w:szCs w:val="21"/>
                    </w:rPr>
                    <w:t>5</w:t>
                  </w:r>
                </w:p>
              </w:tc>
              <w:tc>
                <w:tcPr>
                  <w:tcW w:w="2511" w:type="pct"/>
                  <w:vAlign w:val="center"/>
                </w:tcPr>
                <w:p w14:paraId="220F8951">
                  <w:pPr>
                    <w:adjustRightInd w:val="0"/>
                    <w:snapToGrid w:val="0"/>
                    <w:jc w:val="center"/>
                    <w:rPr>
                      <w:color w:val="auto"/>
                      <w:szCs w:val="21"/>
                    </w:rPr>
                  </w:pPr>
                  <w:r>
                    <w:rPr>
                      <w:rFonts w:hint="eastAsia"/>
                      <w:color w:val="auto"/>
                      <w:szCs w:val="21"/>
                    </w:rPr>
                    <w:t>调漆、喷漆、晾干废气</w:t>
                  </w:r>
                </w:p>
              </w:tc>
              <w:tc>
                <w:tcPr>
                  <w:tcW w:w="1126" w:type="pct"/>
                  <w:vAlign w:val="center"/>
                </w:tcPr>
                <w:p w14:paraId="1292D8D5">
                  <w:pPr>
                    <w:adjustRightInd w:val="0"/>
                    <w:snapToGrid w:val="0"/>
                    <w:jc w:val="center"/>
                    <w:rPr>
                      <w:color w:val="auto"/>
                      <w:szCs w:val="21"/>
                    </w:rPr>
                  </w:pPr>
                  <w:r>
                    <w:rPr>
                      <w:rFonts w:hint="eastAsia"/>
                      <w:color w:val="auto"/>
                      <w:szCs w:val="21"/>
                    </w:rPr>
                    <w:t>密闭负压收集</w:t>
                  </w:r>
                </w:p>
              </w:tc>
              <w:tc>
                <w:tcPr>
                  <w:tcW w:w="647" w:type="pct"/>
                  <w:vAlign w:val="center"/>
                </w:tcPr>
                <w:p w14:paraId="0CF22003">
                  <w:pPr>
                    <w:adjustRightInd w:val="0"/>
                    <w:snapToGrid w:val="0"/>
                    <w:jc w:val="center"/>
                    <w:rPr>
                      <w:color w:val="auto"/>
                      <w:szCs w:val="21"/>
                    </w:rPr>
                  </w:pPr>
                  <w:r>
                    <w:rPr>
                      <w:rFonts w:hint="eastAsia"/>
                      <w:color w:val="auto"/>
                      <w:szCs w:val="21"/>
                      <w:lang w:eastAsia="zh-CN"/>
                    </w:rPr>
                    <w:t>95.</w:t>
                  </w:r>
                </w:p>
              </w:tc>
              <w:tc>
                <w:tcPr>
                  <w:tcW w:w="358" w:type="pct"/>
                  <w:vAlign w:val="center"/>
                </w:tcPr>
                <w:p w14:paraId="4D7EBEA9">
                  <w:pPr>
                    <w:adjustRightInd w:val="0"/>
                    <w:snapToGrid w:val="0"/>
                    <w:jc w:val="center"/>
                    <w:rPr>
                      <w:color w:val="auto"/>
                      <w:szCs w:val="21"/>
                    </w:rPr>
                  </w:pPr>
                  <w:r>
                    <w:rPr>
                      <w:rFonts w:hint="eastAsia"/>
                      <w:color w:val="auto"/>
                      <w:szCs w:val="21"/>
                    </w:rPr>
                    <w:t>/</w:t>
                  </w:r>
                </w:p>
              </w:tc>
            </w:tr>
            <w:tr w14:paraId="7F706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1251F655">
                  <w:pPr>
                    <w:adjustRightInd w:val="0"/>
                    <w:snapToGrid w:val="0"/>
                    <w:jc w:val="center"/>
                    <w:rPr>
                      <w:color w:val="auto"/>
                      <w:szCs w:val="21"/>
                    </w:rPr>
                  </w:pPr>
                  <w:r>
                    <w:rPr>
                      <w:rFonts w:hint="eastAsia"/>
                      <w:color w:val="auto"/>
                      <w:szCs w:val="21"/>
                    </w:rPr>
                    <w:t>6</w:t>
                  </w:r>
                </w:p>
              </w:tc>
              <w:tc>
                <w:tcPr>
                  <w:tcW w:w="2511" w:type="pct"/>
                  <w:vAlign w:val="center"/>
                </w:tcPr>
                <w:p w14:paraId="23CB7A8E">
                  <w:pPr>
                    <w:adjustRightInd w:val="0"/>
                    <w:snapToGrid w:val="0"/>
                    <w:jc w:val="center"/>
                    <w:rPr>
                      <w:color w:val="auto"/>
                      <w:szCs w:val="21"/>
                    </w:rPr>
                  </w:pPr>
                  <w:r>
                    <w:rPr>
                      <w:rFonts w:hint="eastAsia"/>
                      <w:color w:val="auto"/>
                      <w:szCs w:val="21"/>
                    </w:rPr>
                    <w:t>金属下料、打磨、抛光粉尘</w:t>
                  </w:r>
                </w:p>
              </w:tc>
              <w:tc>
                <w:tcPr>
                  <w:tcW w:w="1126" w:type="pct"/>
                  <w:vAlign w:val="center"/>
                </w:tcPr>
                <w:p w14:paraId="09CC0826">
                  <w:pPr>
                    <w:adjustRightInd w:val="0"/>
                    <w:snapToGrid w:val="0"/>
                    <w:jc w:val="center"/>
                    <w:rPr>
                      <w:color w:val="auto"/>
                      <w:szCs w:val="21"/>
                    </w:rPr>
                  </w:pPr>
                  <w:r>
                    <w:rPr>
                      <w:rFonts w:hint="eastAsia"/>
                      <w:color w:val="auto"/>
                      <w:szCs w:val="21"/>
                    </w:rPr>
                    <w:t>集气罩收集</w:t>
                  </w:r>
                </w:p>
              </w:tc>
              <w:tc>
                <w:tcPr>
                  <w:tcW w:w="647" w:type="pct"/>
                  <w:vAlign w:val="center"/>
                </w:tcPr>
                <w:p w14:paraId="33570919">
                  <w:pPr>
                    <w:adjustRightInd w:val="0"/>
                    <w:snapToGrid w:val="0"/>
                    <w:jc w:val="center"/>
                    <w:rPr>
                      <w:color w:val="auto"/>
                      <w:szCs w:val="21"/>
                    </w:rPr>
                  </w:pPr>
                  <w:r>
                    <w:rPr>
                      <w:rFonts w:hint="eastAsia"/>
                      <w:color w:val="auto"/>
                      <w:szCs w:val="21"/>
                      <w:lang w:eastAsia="zh-CN"/>
                    </w:rPr>
                    <w:t>80.</w:t>
                  </w:r>
                </w:p>
              </w:tc>
              <w:tc>
                <w:tcPr>
                  <w:tcW w:w="358" w:type="pct"/>
                  <w:vAlign w:val="center"/>
                </w:tcPr>
                <w:p w14:paraId="4E46D4C2">
                  <w:pPr>
                    <w:adjustRightInd w:val="0"/>
                    <w:snapToGrid w:val="0"/>
                    <w:jc w:val="center"/>
                    <w:rPr>
                      <w:color w:val="auto"/>
                      <w:szCs w:val="21"/>
                    </w:rPr>
                  </w:pPr>
                  <w:r>
                    <w:rPr>
                      <w:rFonts w:hint="eastAsia"/>
                      <w:color w:val="auto"/>
                      <w:szCs w:val="21"/>
                    </w:rPr>
                    <w:t>/</w:t>
                  </w:r>
                </w:p>
              </w:tc>
            </w:tr>
            <w:tr w14:paraId="423B2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4D1BA8C2">
                  <w:pPr>
                    <w:adjustRightInd w:val="0"/>
                    <w:snapToGrid w:val="0"/>
                    <w:jc w:val="center"/>
                    <w:rPr>
                      <w:color w:val="auto"/>
                      <w:szCs w:val="21"/>
                    </w:rPr>
                  </w:pPr>
                  <w:r>
                    <w:rPr>
                      <w:rFonts w:hint="eastAsia"/>
                      <w:color w:val="auto"/>
                      <w:szCs w:val="21"/>
                    </w:rPr>
                    <w:t>7</w:t>
                  </w:r>
                </w:p>
              </w:tc>
              <w:tc>
                <w:tcPr>
                  <w:tcW w:w="2511" w:type="pct"/>
                  <w:vAlign w:val="center"/>
                </w:tcPr>
                <w:p w14:paraId="09264049">
                  <w:pPr>
                    <w:adjustRightInd w:val="0"/>
                    <w:snapToGrid w:val="0"/>
                    <w:jc w:val="center"/>
                    <w:rPr>
                      <w:color w:val="auto"/>
                      <w:szCs w:val="21"/>
                    </w:rPr>
                  </w:pPr>
                  <w:r>
                    <w:rPr>
                      <w:rFonts w:hint="eastAsia"/>
                      <w:color w:val="auto"/>
                      <w:szCs w:val="21"/>
                    </w:rPr>
                    <w:t>焊接烟尘</w:t>
                  </w:r>
                </w:p>
              </w:tc>
              <w:tc>
                <w:tcPr>
                  <w:tcW w:w="1126" w:type="pct"/>
                  <w:vAlign w:val="center"/>
                </w:tcPr>
                <w:p w14:paraId="2ED6BA49">
                  <w:pPr>
                    <w:adjustRightInd w:val="0"/>
                    <w:snapToGrid w:val="0"/>
                    <w:jc w:val="center"/>
                    <w:rPr>
                      <w:color w:val="auto"/>
                      <w:szCs w:val="21"/>
                    </w:rPr>
                  </w:pPr>
                  <w:r>
                    <w:rPr>
                      <w:rFonts w:hint="eastAsia"/>
                      <w:color w:val="auto"/>
                      <w:szCs w:val="21"/>
                    </w:rPr>
                    <w:t>移动式焊接除尘器</w:t>
                  </w:r>
                </w:p>
              </w:tc>
              <w:tc>
                <w:tcPr>
                  <w:tcW w:w="647" w:type="pct"/>
                  <w:vAlign w:val="center"/>
                </w:tcPr>
                <w:p w14:paraId="003F94FD">
                  <w:pPr>
                    <w:adjustRightInd w:val="0"/>
                    <w:snapToGrid w:val="0"/>
                    <w:jc w:val="center"/>
                    <w:rPr>
                      <w:color w:val="auto"/>
                      <w:szCs w:val="21"/>
                    </w:rPr>
                  </w:pPr>
                  <w:r>
                    <w:rPr>
                      <w:rFonts w:hint="eastAsia"/>
                      <w:color w:val="auto"/>
                      <w:szCs w:val="21"/>
                      <w:lang w:eastAsia="zh-CN"/>
                    </w:rPr>
                    <w:t>80.</w:t>
                  </w:r>
                </w:p>
              </w:tc>
              <w:tc>
                <w:tcPr>
                  <w:tcW w:w="358" w:type="pct"/>
                  <w:vAlign w:val="center"/>
                </w:tcPr>
                <w:p w14:paraId="47087D49">
                  <w:pPr>
                    <w:adjustRightInd w:val="0"/>
                    <w:snapToGrid w:val="0"/>
                    <w:jc w:val="center"/>
                    <w:rPr>
                      <w:color w:val="auto"/>
                      <w:szCs w:val="21"/>
                    </w:rPr>
                  </w:pPr>
                </w:p>
              </w:tc>
            </w:tr>
            <w:tr w14:paraId="11DBF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1EEA6B93">
                  <w:pPr>
                    <w:adjustRightInd w:val="0"/>
                    <w:snapToGrid w:val="0"/>
                    <w:jc w:val="center"/>
                    <w:rPr>
                      <w:color w:val="auto"/>
                      <w:szCs w:val="21"/>
                    </w:rPr>
                  </w:pPr>
                  <w:r>
                    <w:rPr>
                      <w:rFonts w:hint="eastAsia"/>
                      <w:color w:val="auto"/>
                      <w:szCs w:val="21"/>
                    </w:rPr>
                    <w:t>8</w:t>
                  </w:r>
                </w:p>
              </w:tc>
              <w:tc>
                <w:tcPr>
                  <w:tcW w:w="2511" w:type="pct"/>
                  <w:vAlign w:val="center"/>
                </w:tcPr>
                <w:p w14:paraId="306B8356">
                  <w:pPr>
                    <w:adjustRightInd w:val="0"/>
                    <w:snapToGrid w:val="0"/>
                    <w:jc w:val="center"/>
                    <w:rPr>
                      <w:color w:val="auto"/>
                      <w:szCs w:val="21"/>
                    </w:rPr>
                  </w:pPr>
                  <w:r>
                    <w:rPr>
                      <w:rFonts w:hint="eastAsia"/>
                      <w:color w:val="auto"/>
                      <w:szCs w:val="21"/>
                    </w:rPr>
                    <w:t>喷粉粉尘</w:t>
                  </w:r>
                </w:p>
              </w:tc>
              <w:tc>
                <w:tcPr>
                  <w:tcW w:w="1126" w:type="pct"/>
                  <w:vAlign w:val="center"/>
                </w:tcPr>
                <w:p w14:paraId="0FB3D960">
                  <w:pPr>
                    <w:adjustRightInd w:val="0"/>
                    <w:snapToGrid w:val="0"/>
                    <w:jc w:val="center"/>
                    <w:rPr>
                      <w:color w:val="auto"/>
                      <w:szCs w:val="21"/>
                    </w:rPr>
                  </w:pPr>
                  <w:r>
                    <w:rPr>
                      <w:rFonts w:hint="eastAsia"/>
                      <w:color w:val="auto"/>
                      <w:szCs w:val="21"/>
                    </w:rPr>
                    <w:t>管道收集</w:t>
                  </w:r>
                </w:p>
              </w:tc>
              <w:tc>
                <w:tcPr>
                  <w:tcW w:w="647" w:type="pct"/>
                  <w:vAlign w:val="center"/>
                </w:tcPr>
                <w:p w14:paraId="3D5849BD">
                  <w:pPr>
                    <w:adjustRightInd w:val="0"/>
                    <w:snapToGrid w:val="0"/>
                    <w:jc w:val="center"/>
                    <w:rPr>
                      <w:color w:val="auto"/>
                      <w:szCs w:val="21"/>
                    </w:rPr>
                  </w:pPr>
                  <w:r>
                    <w:rPr>
                      <w:rFonts w:hint="eastAsia"/>
                      <w:color w:val="auto"/>
                      <w:szCs w:val="21"/>
                      <w:lang w:eastAsia="zh-CN"/>
                    </w:rPr>
                    <w:t>95.</w:t>
                  </w:r>
                </w:p>
              </w:tc>
              <w:tc>
                <w:tcPr>
                  <w:tcW w:w="358" w:type="pct"/>
                  <w:vAlign w:val="center"/>
                </w:tcPr>
                <w:p w14:paraId="2911B39D">
                  <w:pPr>
                    <w:adjustRightInd w:val="0"/>
                    <w:snapToGrid w:val="0"/>
                    <w:jc w:val="center"/>
                    <w:rPr>
                      <w:color w:val="auto"/>
                      <w:szCs w:val="21"/>
                    </w:rPr>
                  </w:pPr>
                  <w:r>
                    <w:rPr>
                      <w:rFonts w:hint="eastAsia"/>
                      <w:color w:val="auto"/>
                      <w:szCs w:val="21"/>
                    </w:rPr>
                    <w:t>/</w:t>
                  </w:r>
                </w:p>
              </w:tc>
            </w:tr>
            <w:tr w14:paraId="45902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70B02C30">
                  <w:pPr>
                    <w:adjustRightInd w:val="0"/>
                    <w:snapToGrid w:val="0"/>
                    <w:jc w:val="center"/>
                    <w:rPr>
                      <w:color w:val="auto"/>
                      <w:szCs w:val="21"/>
                    </w:rPr>
                  </w:pPr>
                  <w:r>
                    <w:rPr>
                      <w:rFonts w:hint="eastAsia"/>
                      <w:color w:val="auto"/>
                      <w:szCs w:val="21"/>
                    </w:rPr>
                    <w:t>9</w:t>
                  </w:r>
                </w:p>
              </w:tc>
              <w:tc>
                <w:tcPr>
                  <w:tcW w:w="2511" w:type="pct"/>
                  <w:vAlign w:val="center"/>
                </w:tcPr>
                <w:p w14:paraId="1569F5D5">
                  <w:pPr>
                    <w:adjustRightInd w:val="0"/>
                    <w:snapToGrid w:val="0"/>
                    <w:jc w:val="center"/>
                    <w:rPr>
                      <w:color w:val="auto"/>
                      <w:szCs w:val="21"/>
                    </w:rPr>
                  </w:pPr>
                  <w:r>
                    <w:rPr>
                      <w:rFonts w:hint="eastAsia"/>
                      <w:color w:val="auto"/>
                      <w:szCs w:val="21"/>
                    </w:rPr>
                    <w:t>金属压合废气</w:t>
                  </w:r>
                </w:p>
              </w:tc>
              <w:tc>
                <w:tcPr>
                  <w:tcW w:w="1126" w:type="pct"/>
                  <w:vAlign w:val="center"/>
                </w:tcPr>
                <w:p w14:paraId="633D3513">
                  <w:pPr>
                    <w:adjustRightInd w:val="0"/>
                    <w:snapToGrid w:val="0"/>
                    <w:jc w:val="center"/>
                    <w:rPr>
                      <w:color w:val="auto"/>
                      <w:szCs w:val="21"/>
                    </w:rPr>
                  </w:pPr>
                  <w:r>
                    <w:rPr>
                      <w:rFonts w:hint="eastAsia"/>
                      <w:color w:val="auto"/>
                      <w:szCs w:val="21"/>
                    </w:rPr>
                    <w:t>集气罩收集</w:t>
                  </w:r>
                </w:p>
              </w:tc>
              <w:tc>
                <w:tcPr>
                  <w:tcW w:w="647" w:type="pct"/>
                  <w:vAlign w:val="center"/>
                </w:tcPr>
                <w:p w14:paraId="17DC9E1D">
                  <w:pPr>
                    <w:adjustRightInd w:val="0"/>
                    <w:snapToGrid w:val="0"/>
                    <w:jc w:val="center"/>
                    <w:rPr>
                      <w:color w:val="auto"/>
                      <w:szCs w:val="21"/>
                    </w:rPr>
                  </w:pPr>
                  <w:r>
                    <w:rPr>
                      <w:rFonts w:hint="eastAsia"/>
                      <w:color w:val="auto"/>
                      <w:szCs w:val="21"/>
                      <w:lang w:eastAsia="zh-CN"/>
                    </w:rPr>
                    <w:t>80.</w:t>
                  </w:r>
                </w:p>
              </w:tc>
              <w:tc>
                <w:tcPr>
                  <w:tcW w:w="358" w:type="pct"/>
                  <w:vAlign w:val="center"/>
                </w:tcPr>
                <w:p w14:paraId="2A00D767">
                  <w:pPr>
                    <w:adjustRightInd w:val="0"/>
                    <w:snapToGrid w:val="0"/>
                    <w:jc w:val="center"/>
                    <w:rPr>
                      <w:color w:val="auto"/>
                      <w:szCs w:val="21"/>
                    </w:rPr>
                  </w:pPr>
                  <w:r>
                    <w:rPr>
                      <w:rFonts w:hint="eastAsia"/>
                      <w:color w:val="auto"/>
                      <w:szCs w:val="21"/>
                    </w:rPr>
                    <w:t>/</w:t>
                  </w:r>
                </w:p>
              </w:tc>
            </w:tr>
            <w:tr w14:paraId="7386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75C30D2E">
                  <w:pPr>
                    <w:adjustRightInd w:val="0"/>
                    <w:snapToGrid w:val="0"/>
                    <w:jc w:val="center"/>
                    <w:rPr>
                      <w:color w:val="auto"/>
                      <w:szCs w:val="21"/>
                    </w:rPr>
                  </w:pPr>
                  <w:r>
                    <w:rPr>
                      <w:rFonts w:hint="eastAsia"/>
                      <w:color w:val="auto"/>
                      <w:szCs w:val="21"/>
                    </w:rPr>
                    <w:t>10</w:t>
                  </w:r>
                </w:p>
              </w:tc>
              <w:tc>
                <w:tcPr>
                  <w:tcW w:w="2511" w:type="pct"/>
                  <w:vAlign w:val="center"/>
                </w:tcPr>
                <w:p w14:paraId="5F077FB3">
                  <w:pPr>
                    <w:adjustRightInd w:val="0"/>
                    <w:snapToGrid w:val="0"/>
                    <w:jc w:val="center"/>
                    <w:rPr>
                      <w:color w:val="auto"/>
                      <w:szCs w:val="21"/>
                    </w:rPr>
                  </w:pPr>
                  <w:r>
                    <w:rPr>
                      <w:rFonts w:hint="eastAsia"/>
                      <w:color w:val="auto"/>
                      <w:szCs w:val="21"/>
                    </w:rPr>
                    <w:t>烘烤固化废气</w:t>
                  </w:r>
                </w:p>
              </w:tc>
              <w:tc>
                <w:tcPr>
                  <w:tcW w:w="1126" w:type="pct"/>
                  <w:vAlign w:val="center"/>
                </w:tcPr>
                <w:p w14:paraId="1DD43566">
                  <w:pPr>
                    <w:adjustRightInd w:val="0"/>
                    <w:snapToGrid w:val="0"/>
                    <w:jc w:val="center"/>
                    <w:rPr>
                      <w:color w:val="auto"/>
                      <w:szCs w:val="21"/>
                    </w:rPr>
                  </w:pPr>
                  <w:r>
                    <w:rPr>
                      <w:rFonts w:hint="eastAsia"/>
                      <w:color w:val="auto"/>
                      <w:szCs w:val="21"/>
                    </w:rPr>
                    <w:t>管道收集</w:t>
                  </w:r>
                </w:p>
              </w:tc>
              <w:tc>
                <w:tcPr>
                  <w:tcW w:w="647" w:type="pct"/>
                  <w:vAlign w:val="center"/>
                </w:tcPr>
                <w:p w14:paraId="4B2FC980">
                  <w:pPr>
                    <w:adjustRightInd w:val="0"/>
                    <w:snapToGrid w:val="0"/>
                    <w:jc w:val="center"/>
                    <w:rPr>
                      <w:color w:val="auto"/>
                      <w:szCs w:val="21"/>
                    </w:rPr>
                  </w:pPr>
                  <w:r>
                    <w:rPr>
                      <w:rFonts w:hint="eastAsia"/>
                      <w:color w:val="auto"/>
                      <w:szCs w:val="21"/>
                      <w:lang w:eastAsia="zh-CN"/>
                    </w:rPr>
                    <w:t>95.</w:t>
                  </w:r>
                </w:p>
              </w:tc>
              <w:tc>
                <w:tcPr>
                  <w:tcW w:w="358" w:type="pct"/>
                  <w:vAlign w:val="center"/>
                </w:tcPr>
                <w:p w14:paraId="219EBD70">
                  <w:pPr>
                    <w:adjustRightInd w:val="0"/>
                    <w:snapToGrid w:val="0"/>
                    <w:jc w:val="center"/>
                    <w:rPr>
                      <w:color w:val="auto"/>
                      <w:szCs w:val="21"/>
                    </w:rPr>
                  </w:pPr>
                  <w:r>
                    <w:rPr>
                      <w:rFonts w:hint="eastAsia"/>
                      <w:color w:val="auto"/>
                      <w:szCs w:val="21"/>
                    </w:rPr>
                    <w:t>/</w:t>
                  </w:r>
                </w:p>
              </w:tc>
            </w:tr>
            <w:tr w14:paraId="0CE51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12A87998">
                  <w:pPr>
                    <w:adjustRightInd w:val="0"/>
                    <w:snapToGrid w:val="0"/>
                    <w:jc w:val="center"/>
                    <w:rPr>
                      <w:color w:val="auto"/>
                      <w:szCs w:val="21"/>
                    </w:rPr>
                  </w:pPr>
                  <w:r>
                    <w:rPr>
                      <w:rFonts w:hint="eastAsia"/>
                      <w:color w:val="auto"/>
                      <w:szCs w:val="21"/>
                    </w:rPr>
                    <w:t>11</w:t>
                  </w:r>
                </w:p>
              </w:tc>
              <w:tc>
                <w:tcPr>
                  <w:tcW w:w="2511" w:type="pct"/>
                  <w:vAlign w:val="center"/>
                </w:tcPr>
                <w:p w14:paraId="43D427F7">
                  <w:pPr>
                    <w:adjustRightInd w:val="0"/>
                    <w:snapToGrid w:val="0"/>
                    <w:jc w:val="center"/>
                    <w:rPr>
                      <w:color w:val="auto"/>
                      <w:szCs w:val="21"/>
                    </w:rPr>
                  </w:pPr>
                  <w:r>
                    <w:rPr>
                      <w:rFonts w:hint="eastAsia"/>
                      <w:color w:val="auto"/>
                      <w:szCs w:val="21"/>
                    </w:rPr>
                    <w:t>下料、打标、热弯、丝印、烘烤、洗网水、粘接、清洗废气</w:t>
                  </w:r>
                </w:p>
              </w:tc>
              <w:tc>
                <w:tcPr>
                  <w:tcW w:w="1126" w:type="pct"/>
                  <w:vAlign w:val="center"/>
                </w:tcPr>
                <w:p w14:paraId="0D664430">
                  <w:pPr>
                    <w:adjustRightInd w:val="0"/>
                    <w:snapToGrid w:val="0"/>
                    <w:jc w:val="center"/>
                    <w:rPr>
                      <w:color w:val="auto"/>
                      <w:szCs w:val="21"/>
                    </w:rPr>
                  </w:pPr>
                  <w:r>
                    <w:rPr>
                      <w:rFonts w:hint="eastAsia"/>
                      <w:color w:val="auto"/>
                      <w:szCs w:val="21"/>
                    </w:rPr>
                    <w:t>集气罩收集</w:t>
                  </w:r>
                </w:p>
              </w:tc>
              <w:tc>
                <w:tcPr>
                  <w:tcW w:w="647" w:type="pct"/>
                  <w:vAlign w:val="center"/>
                </w:tcPr>
                <w:p w14:paraId="5E15D995">
                  <w:pPr>
                    <w:adjustRightInd w:val="0"/>
                    <w:snapToGrid w:val="0"/>
                    <w:jc w:val="center"/>
                    <w:rPr>
                      <w:color w:val="auto"/>
                      <w:szCs w:val="21"/>
                    </w:rPr>
                  </w:pPr>
                  <w:r>
                    <w:rPr>
                      <w:rFonts w:hint="eastAsia"/>
                      <w:color w:val="auto"/>
                      <w:szCs w:val="21"/>
                      <w:lang w:eastAsia="zh-CN"/>
                    </w:rPr>
                    <w:t>80.</w:t>
                  </w:r>
                </w:p>
              </w:tc>
              <w:tc>
                <w:tcPr>
                  <w:tcW w:w="358" w:type="pct"/>
                  <w:vAlign w:val="center"/>
                </w:tcPr>
                <w:p w14:paraId="0B5AA1A4">
                  <w:pPr>
                    <w:adjustRightInd w:val="0"/>
                    <w:snapToGrid w:val="0"/>
                    <w:jc w:val="center"/>
                    <w:rPr>
                      <w:color w:val="auto"/>
                      <w:szCs w:val="21"/>
                    </w:rPr>
                  </w:pPr>
                  <w:r>
                    <w:rPr>
                      <w:rFonts w:hint="eastAsia"/>
                      <w:color w:val="auto"/>
                      <w:szCs w:val="21"/>
                    </w:rPr>
                    <w:t>/</w:t>
                  </w:r>
                </w:p>
              </w:tc>
            </w:tr>
            <w:tr w14:paraId="08495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5E330304">
                  <w:pPr>
                    <w:adjustRightInd w:val="0"/>
                    <w:snapToGrid w:val="0"/>
                    <w:jc w:val="center"/>
                    <w:rPr>
                      <w:color w:val="auto"/>
                      <w:szCs w:val="21"/>
                    </w:rPr>
                  </w:pPr>
                  <w:r>
                    <w:rPr>
                      <w:rFonts w:hint="eastAsia"/>
                      <w:color w:val="auto"/>
                      <w:szCs w:val="21"/>
                    </w:rPr>
                    <w:t>12</w:t>
                  </w:r>
                </w:p>
              </w:tc>
              <w:tc>
                <w:tcPr>
                  <w:tcW w:w="2511" w:type="pct"/>
                  <w:vAlign w:val="center"/>
                </w:tcPr>
                <w:p w14:paraId="2649CB9F">
                  <w:pPr>
                    <w:adjustRightInd w:val="0"/>
                    <w:snapToGrid w:val="0"/>
                    <w:jc w:val="center"/>
                    <w:rPr>
                      <w:color w:val="auto"/>
                      <w:szCs w:val="21"/>
                    </w:rPr>
                  </w:pPr>
                  <w:r>
                    <w:rPr>
                      <w:rFonts w:hint="eastAsia"/>
                      <w:color w:val="auto"/>
                      <w:szCs w:val="21"/>
                    </w:rPr>
                    <w:t>修边倒角粉尘</w:t>
                  </w:r>
                </w:p>
              </w:tc>
              <w:tc>
                <w:tcPr>
                  <w:tcW w:w="1126" w:type="pct"/>
                  <w:vAlign w:val="center"/>
                </w:tcPr>
                <w:p w14:paraId="3C1F73E5">
                  <w:pPr>
                    <w:adjustRightInd w:val="0"/>
                    <w:snapToGrid w:val="0"/>
                    <w:jc w:val="center"/>
                    <w:rPr>
                      <w:color w:val="auto"/>
                      <w:szCs w:val="21"/>
                    </w:rPr>
                  </w:pPr>
                  <w:r>
                    <w:rPr>
                      <w:rFonts w:hint="eastAsia"/>
                      <w:color w:val="auto"/>
                      <w:szCs w:val="21"/>
                    </w:rPr>
                    <w:t>集气罩收集</w:t>
                  </w:r>
                </w:p>
              </w:tc>
              <w:tc>
                <w:tcPr>
                  <w:tcW w:w="647" w:type="pct"/>
                  <w:vAlign w:val="center"/>
                </w:tcPr>
                <w:p w14:paraId="4B6DE909">
                  <w:pPr>
                    <w:adjustRightInd w:val="0"/>
                    <w:snapToGrid w:val="0"/>
                    <w:jc w:val="center"/>
                    <w:rPr>
                      <w:color w:val="auto"/>
                      <w:szCs w:val="21"/>
                    </w:rPr>
                  </w:pPr>
                  <w:r>
                    <w:rPr>
                      <w:rFonts w:hint="eastAsia"/>
                      <w:color w:val="auto"/>
                      <w:szCs w:val="21"/>
                      <w:lang w:eastAsia="zh-CN"/>
                    </w:rPr>
                    <w:t>80.</w:t>
                  </w:r>
                </w:p>
              </w:tc>
              <w:tc>
                <w:tcPr>
                  <w:tcW w:w="358" w:type="pct"/>
                  <w:vAlign w:val="center"/>
                </w:tcPr>
                <w:p w14:paraId="56971734">
                  <w:pPr>
                    <w:adjustRightInd w:val="0"/>
                    <w:snapToGrid w:val="0"/>
                    <w:jc w:val="center"/>
                    <w:rPr>
                      <w:color w:val="auto"/>
                      <w:szCs w:val="21"/>
                    </w:rPr>
                  </w:pPr>
                  <w:r>
                    <w:rPr>
                      <w:rFonts w:hint="eastAsia"/>
                      <w:color w:val="auto"/>
                      <w:szCs w:val="21"/>
                    </w:rPr>
                    <w:t>/</w:t>
                  </w:r>
                </w:p>
              </w:tc>
            </w:tr>
            <w:tr w14:paraId="3C6EF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 w:type="pct"/>
                  <w:vAlign w:val="center"/>
                </w:tcPr>
                <w:p w14:paraId="7069A8B6">
                  <w:pPr>
                    <w:adjustRightInd w:val="0"/>
                    <w:snapToGrid w:val="0"/>
                    <w:jc w:val="center"/>
                    <w:rPr>
                      <w:rFonts w:hint="default" w:eastAsia="宋体"/>
                      <w:color w:val="auto"/>
                      <w:szCs w:val="21"/>
                      <w:lang w:val="en-US" w:eastAsia="zh-CN"/>
                    </w:rPr>
                  </w:pPr>
                  <w:r>
                    <w:rPr>
                      <w:rFonts w:hint="eastAsia"/>
                      <w:color w:val="auto"/>
                      <w:szCs w:val="21"/>
                      <w:lang w:val="en-US" w:eastAsia="zh-CN"/>
                    </w:rPr>
                    <w:t>13</w:t>
                  </w:r>
                </w:p>
              </w:tc>
              <w:tc>
                <w:tcPr>
                  <w:tcW w:w="2511" w:type="pct"/>
                  <w:vAlign w:val="center"/>
                </w:tcPr>
                <w:p w14:paraId="3666A7A6">
                  <w:pPr>
                    <w:adjustRightInd w:val="0"/>
                    <w:snapToGrid w:val="0"/>
                    <w:jc w:val="center"/>
                    <w:rPr>
                      <w:rFonts w:hint="default" w:eastAsia="宋体"/>
                      <w:color w:val="auto"/>
                      <w:szCs w:val="21"/>
                      <w:lang w:val="en-US" w:eastAsia="zh-CN"/>
                    </w:rPr>
                  </w:pPr>
                  <w:r>
                    <w:rPr>
                      <w:rFonts w:hint="eastAsia"/>
                      <w:color w:val="auto"/>
                      <w:szCs w:val="21"/>
                      <w:lang w:val="en-US" w:eastAsia="zh-CN"/>
                    </w:rPr>
                    <w:t>危废库废气</w:t>
                  </w:r>
                </w:p>
              </w:tc>
              <w:tc>
                <w:tcPr>
                  <w:tcW w:w="1126" w:type="pct"/>
                  <w:vAlign w:val="center"/>
                </w:tcPr>
                <w:p w14:paraId="5B4D0CE4">
                  <w:pPr>
                    <w:adjustRightInd w:val="0"/>
                    <w:snapToGrid w:val="0"/>
                    <w:jc w:val="center"/>
                    <w:rPr>
                      <w:rFonts w:hint="default" w:eastAsia="宋体"/>
                      <w:color w:val="auto"/>
                      <w:szCs w:val="21"/>
                      <w:lang w:val="en-US" w:eastAsia="zh-CN"/>
                    </w:rPr>
                  </w:pPr>
                  <w:r>
                    <w:rPr>
                      <w:rFonts w:hint="eastAsia"/>
                      <w:color w:val="auto"/>
                      <w:szCs w:val="21"/>
                      <w:lang w:val="en-US" w:eastAsia="zh-CN"/>
                    </w:rPr>
                    <w:t>吸气口收集</w:t>
                  </w:r>
                </w:p>
              </w:tc>
              <w:tc>
                <w:tcPr>
                  <w:tcW w:w="647" w:type="pct"/>
                  <w:vAlign w:val="center"/>
                </w:tcPr>
                <w:p w14:paraId="006AA1F6">
                  <w:pPr>
                    <w:adjustRightInd w:val="0"/>
                    <w:snapToGrid w:val="0"/>
                    <w:jc w:val="center"/>
                    <w:rPr>
                      <w:rFonts w:hint="default" w:eastAsia="宋体"/>
                      <w:color w:val="auto"/>
                      <w:szCs w:val="21"/>
                      <w:lang w:val="en-US" w:eastAsia="zh-CN"/>
                    </w:rPr>
                  </w:pPr>
                  <w:r>
                    <w:rPr>
                      <w:rFonts w:hint="eastAsia"/>
                      <w:color w:val="auto"/>
                      <w:szCs w:val="21"/>
                      <w:lang w:val="en-US" w:eastAsia="zh-CN"/>
                    </w:rPr>
                    <w:t>80.</w:t>
                  </w:r>
                </w:p>
              </w:tc>
              <w:tc>
                <w:tcPr>
                  <w:tcW w:w="358" w:type="pct"/>
                  <w:vAlign w:val="center"/>
                </w:tcPr>
                <w:p w14:paraId="3262A663">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bl>
          <w:p w14:paraId="626C4192">
            <w:pPr>
              <w:adjustRightInd w:val="0"/>
              <w:snapToGrid w:val="0"/>
              <w:spacing w:line="360" w:lineRule="auto"/>
              <w:rPr>
                <w:color w:val="auto"/>
                <w:sz w:val="24"/>
              </w:rPr>
            </w:pPr>
            <w:r>
              <w:rPr>
                <w:rFonts w:hint="eastAsia"/>
                <w:color w:val="auto"/>
                <w:sz w:val="24"/>
                <w:lang w:eastAsia="zh-CN"/>
              </w:rPr>
              <w:t>(2)</w:t>
            </w:r>
            <w:r>
              <w:rPr>
                <w:rFonts w:hint="eastAsia"/>
                <w:color w:val="auto"/>
                <w:sz w:val="24"/>
              </w:rPr>
              <w:t>废气污染防治措施可行性分析</w:t>
            </w:r>
          </w:p>
          <w:p w14:paraId="29BCC11C">
            <w:pPr>
              <w:adjustRightInd w:val="0"/>
              <w:snapToGrid w:val="0"/>
              <w:spacing w:line="360" w:lineRule="auto"/>
              <w:ind w:firstLine="480" w:firstLineChars="200"/>
              <w:rPr>
                <w:color w:val="auto"/>
                <w:sz w:val="24"/>
              </w:rPr>
            </w:pPr>
            <w:r>
              <w:rPr>
                <w:rFonts w:hint="eastAsia"/>
                <w:color w:val="auto"/>
                <w:sz w:val="24"/>
              </w:rPr>
              <w:t>A.下料、倒角/钻孔、修边、磨平、打磨、喷粉粉尘</w:t>
            </w:r>
          </w:p>
          <w:p w14:paraId="02547FB4">
            <w:pPr>
              <w:adjustRightInd w:val="0"/>
              <w:snapToGrid w:val="0"/>
              <w:spacing w:line="360" w:lineRule="auto"/>
              <w:ind w:firstLine="480" w:firstLineChars="200"/>
              <w:rPr>
                <w:color w:val="auto"/>
                <w:sz w:val="24"/>
              </w:rPr>
            </w:pPr>
            <w:r>
              <w:rPr>
                <w:rFonts w:hint="eastAsia"/>
                <w:color w:val="auto"/>
                <w:sz w:val="24"/>
              </w:rPr>
              <w:t>本项目木材下料、木材倒角、大理石下料、木材修边磨平打磨、大理石修边打磨、金属下料、打磨、抛光、喷粉、亚克力修边倒角工序产生粉尘通过布袋除尘器处理后有组织排放，除尘器主要的种类有：袋式除尘器、静电除尘器、旋风除尘器惯性除尘器、重力除尘器等，其中旋风除尘器主要进行粒径较大颗粒物的净化，袋式除尘器主要进行小粒径除尘。袋式除尘器是利用棉、毛、人造纤维等编织物作为滤袋起过滤作用，对颗粒物进行捕集而达到除尘效果的。其主要工作原理是：含尘气流从下部进入圆筒形滤袋，在通过滤料的孔隙时，粉尘被捕集于滤料上，透过滤料的清洁气体由排出口排出。沉积在滤料上的粉尘，可在机械振动的作用下从滤料表面脱落，落入灰斗中。滤料本身网孔较小，一般为20-50μm，表面起绒的滤料为5-10μm，而新型滤料的孔径在5μm以下。按不同粒径的粉尘在流体中运动的不同物理学特征，颗粒物通过惯性碰撞、截留、扩散、静电、筛滤等作用被捕集。此外，粉尘因截留、惯性碰撞、静电和扩散等作用，逐渐在滤袋表面形成粉尘层，常称为粉尘初层。初层形成后，它成为袋式除尘器的主要过滤层，提高了除尘效率。滤布只不过起着形成粉尘初层和支撑它的骨架作用，但随着粉尘在滤袋上积聚，滤袋两侧的压力差增大，会把有些已附在滤料上的细小粉尘挤压过去，使除尘效率下降。另外，若除尘器阻力过高，还会使除尘系统的处理</w:t>
            </w:r>
            <w:r>
              <w:rPr>
                <w:rFonts w:hint="eastAsia"/>
                <w:color w:val="auto"/>
                <w:sz w:val="24"/>
                <w:lang w:eastAsia="zh-CN"/>
              </w:rPr>
              <w:t>气</w:t>
            </w:r>
            <w:r>
              <w:rPr>
                <w:rFonts w:hint="eastAsia"/>
                <w:color w:val="auto"/>
                <w:sz w:val="24"/>
              </w:rPr>
              <w:t>量显著下降，影响生产系统的排风效果。因此，除尘器阻力达到一定的数值后，要及时清灰。本项目粉尘属于小粒径，因此项目采用袋式除尘器进行粉尘处理，袋式除尘属于去除颗粒物的可行技术，处理效率可达99.5%以上。本项目抛丸粉尘除尘效率取95%可行。</w:t>
            </w:r>
          </w:p>
          <w:p w14:paraId="6191A342">
            <w:pPr>
              <w:widowControl/>
              <w:adjustRightInd w:val="0"/>
              <w:snapToGrid w:val="0"/>
              <w:spacing w:line="360" w:lineRule="auto"/>
              <w:ind w:firstLine="480" w:firstLineChars="200"/>
              <w:rPr>
                <w:rFonts w:eastAsiaTheme="minorEastAsia"/>
                <w:color w:val="auto"/>
                <w:kern w:val="0"/>
                <w:sz w:val="24"/>
              </w:rPr>
            </w:pPr>
            <w:r>
              <w:rPr>
                <w:rFonts w:hint="eastAsia"/>
                <w:color w:val="auto"/>
                <w:sz w:val="24"/>
              </w:rPr>
              <w:t>B.</w:t>
            </w:r>
            <w:r>
              <w:rPr>
                <w:rFonts w:hint="eastAsia" w:eastAsiaTheme="minorEastAsia"/>
                <w:color w:val="auto"/>
                <w:kern w:val="0"/>
                <w:sz w:val="24"/>
              </w:rPr>
              <w:t>焊接烟尘</w:t>
            </w:r>
          </w:p>
          <w:p w14:paraId="04372F99">
            <w:pPr>
              <w:adjustRightInd w:val="0"/>
              <w:snapToGrid w:val="0"/>
              <w:spacing w:line="360" w:lineRule="auto"/>
              <w:ind w:firstLine="480" w:firstLineChars="200"/>
              <w:rPr>
                <w:color w:val="auto"/>
                <w:sz w:val="24"/>
              </w:rPr>
            </w:pPr>
            <w:r>
              <w:rPr>
                <w:rFonts w:hint="eastAsia" w:eastAsiaTheme="minorEastAsia"/>
                <w:color w:val="auto"/>
                <w:kern w:val="0"/>
                <w:sz w:val="24"/>
              </w:rPr>
              <w:t>焊接工序采用移动式焊接烟尘净化器进行处理，移动式焊接烟尘净化器利用内部高压风机在吸气臂罩口处形成负压区域，焊接废气在负压的作用下由吸气臂进入焊接烟尘净化器设备主体，进风口处阻火器阻留焊接火花，高效过滤芯将微小烟雾粉尘颗粒过滤在焊接烟尘净化器设备净化室内，洁净气体经滤芯过滤净化后进入焊接烟雾净化器设备洁净室，洁净空气又经二次净化后经出风口排出，可灵活移动于厂房的任意位置，不受发尘点不固定的约束，在额定处理风量下，烟尘净化率可达99.9%。企业采用集气罩收集废气，参考《袋式除尘工程通用技术规范》（HJ2020-2012）“含有毒有害、易燃易爆污染源控制装置收集效率不低于100%”。焊接烟尘采用移动式焊接烟尘净化器进行处理，经焊接烟尘净化器自带的集气罩收集（上部</w:t>
            </w:r>
            <w:r>
              <w:rPr>
                <w:rFonts w:hint="eastAsia" w:eastAsiaTheme="minorEastAsia"/>
                <w:color w:val="auto"/>
                <w:kern w:val="0"/>
                <w:sz w:val="24"/>
                <w:lang w:eastAsia="zh-CN"/>
              </w:rPr>
              <w:t>伞形</w:t>
            </w:r>
            <w:r>
              <w:rPr>
                <w:rFonts w:hint="eastAsia" w:eastAsiaTheme="minorEastAsia"/>
                <w:color w:val="auto"/>
                <w:kern w:val="0"/>
                <w:sz w:val="24"/>
              </w:rPr>
              <w:t>），建设项目焊接烟尘收集效率取80%可行。</w:t>
            </w:r>
          </w:p>
          <w:p w14:paraId="39134CB7">
            <w:pPr>
              <w:adjustRightInd w:val="0"/>
              <w:snapToGrid w:val="0"/>
              <w:spacing w:line="360" w:lineRule="auto"/>
              <w:ind w:firstLine="480" w:firstLineChars="200"/>
              <w:rPr>
                <w:color w:val="auto"/>
                <w:sz w:val="24"/>
              </w:rPr>
            </w:pPr>
            <w:r>
              <w:rPr>
                <w:rFonts w:hint="eastAsia"/>
                <w:color w:val="auto"/>
                <w:sz w:val="24"/>
              </w:rPr>
              <w:t>C.调漆、喷漆、晾干</w:t>
            </w:r>
          </w:p>
          <w:p w14:paraId="78E98ECD">
            <w:pPr>
              <w:adjustRightInd w:val="0"/>
              <w:snapToGrid w:val="0"/>
              <w:spacing w:line="360" w:lineRule="auto"/>
              <w:ind w:firstLine="480" w:firstLineChars="200"/>
              <w:rPr>
                <w:color w:val="auto"/>
                <w:sz w:val="24"/>
              </w:rPr>
            </w:pPr>
            <w:r>
              <w:rPr>
                <w:rFonts w:hint="eastAsia"/>
                <w:color w:val="auto"/>
                <w:sz w:val="24"/>
              </w:rPr>
              <w:t>本项目调漆、喷漆及晾干工序产生的NMHC经密闭设备收集，根据《上海市工业企业挥发性有机物排放量通用计算方法》（试行）中表1-1“全密闭式负压排风捕集效率达到95%以上”，建设项目喷漆及晾干工序经密闭车间负压收集，废气收集效率取95%可行。</w:t>
            </w:r>
          </w:p>
          <w:p w14:paraId="3BC65017">
            <w:pPr>
              <w:adjustRightInd w:val="0"/>
              <w:snapToGrid w:val="0"/>
              <w:spacing w:line="360" w:lineRule="auto"/>
              <w:ind w:firstLine="480" w:firstLineChars="200"/>
              <w:rPr>
                <w:color w:val="auto"/>
                <w:sz w:val="24"/>
              </w:rPr>
            </w:pPr>
            <w:r>
              <w:rPr>
                <w:rFonts w:hint="eastAsia"/>
                <w:color w:val="auto"/>
                <w:sz w:val="24"/>
              </w:rPr>
              <w:t>调漆、喷漆、晾干废气中的非甲烷总烃主要通过二级活性炭吸附处置，根据《商丘天林展示柜有限公司年产2万件展示柜竣工环境保护验收监测报告》监测数据（见下表4-9），二级活性炭对非甲烷总烃吸附效果可达90%以上。</w:t>
            </w:r>
          </w:p>
          <w:p w14:paraId="42B0D25A">
            <w:pPr>
              <w:tabs>
                <w:tab w:val="left" w:pos="720"/>
              </w:tabs>
              <w:adjustRightInd w:val="0"/>
              <w:snapToGrid w:val="0"/>
              <w:spacing w:before="120" w:beforeLines="50"/>
              <w:ind w:firstLine="482" w:firstLineChars="200"/>
              <w:jc w:val="center"/>
              <w:rPr>
                <w:b/>
                <w:color w:val="auto"/>
                <w:sz w:val="24"/>
              </w:rPr>
            </w:pPr>
            <w:r>
              <w:rPr>
                <w:b/>
                <w:color w:val="auto"/>
                <w:sz w:val="24"/>
              </w:rPr>
              <w:t>表4</w:t>
            </w:r>
            <w:r>
              <w:rPr>
                <w:rFonts w:hint="eastAsia"/>
                <w:b/>
                <w:color w:val="auto"/>
                <w:sz w:val="24"/>
              </w:rPr>
              <w:t>-9商丘天林展示柜有限公司</w:t>
            </w:r>
            <w:r>
              <w:rPr>
                <w:b/>
                <w:color w:val="auto"/>
                <w:sz w:val="24"/>
              </w:rPr>
              <w:t>废气检测数据</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3"/>
              <w:gridCol w:w="1080"/>
              <w:gridCol w:w="864"/>
              <w:gridCol w:w="1326"/>
              <w:gridCol w:w="1103"/>
              <w:gridCol w:w="1339"/>
              <w:gridCol w:w="1124"/>
              <w:gridCol w:w="746"/>
            </w:tblGrid>
            <w:tr w14:paraId="76C1B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restart"/>
                  <w:tcBorders>
                    <w:top w:val="single" w:color="auto" w:sz="12" w:space="0"/>
                    <w:bottom w:val="single" w:color="auto" w:sz="12" w:space="0"/>
                  </w:tcBorders>
                  <w:vAlign w:val="center"/>
                </w:tcPr>
                <w:p w14:paraId="248B5936">
                  <w:pPr>
                    <w:adjustRightInd w:val="0"/>
                    <w:snapToGrid w:val="0"/>
                    <w:spacing w:line="240" w:lineRule="exact"/>
                    <w:jc w:val="center"/>
                    <w:rPr>
                      <w:b/>
                      <w:snapToGrid w:val="0"/>
                      <w:color w:val="auto"/>
                      <w:szCs w:val="21"/>
                      <w:lang w:val="zh-CN"/>
                    </w:rPr>
                  </w:pPr>
                  <w:r>
                    <w:rPr>
                      <w:b/>
                      <w:snapToGrid w:val="0"/>
                      <w:color w:val="auto"/>
                      <w:szCs w:val="21"/>
                      <w:lang w:val="zh-CN"/>
                    </w:rPr>
                    <w:t>排气筒编号</w:t>
                  </w:r>
                </w:p>
              </w:tc>
              <w:tc>
                <w:tcPr>
                  <w:tcW w:w="636" w:type="pct"/>
                  <w:vMerge w:val="restart"/>
                  <w:tcBorders>
                    <w:top w:val="single" w:color="auto" w:sz="12" w:space="0"/>
                    <w:bottom w:val="single" w:color="auto" w:sz="12" w:space="0"/>
                  </w:tcBorders>
                  <w:vAlign w:val="center"/>
                </w:tcPr>
                <w:p w14:paraId="7B843543">
                  <w:pPr>
                    <w:adjustRightInd w:val="0"/>
                    <w:snapToGrid w:val="0"/>
                    <w:spacing w:line="240" w:lineRule="exact"/>
                    <w:jc w:val="center"/>
                    <w:rPr>
                      <w:b/>
                      <w:snapToGrid w:val="0"/>
                      <w:color w:val="auto"/>
                      <w:szCs w:val="21"/>
                      <w:lang w:val="zh-CN"/>
                    </w:rPr>
                  </w:pPr>
                  <w:r>
                    <w:rPr>
                      <w:b/>
                      <w:snapToGrid w:val="0"/>
                      <w:color w:val="auto"/>
                      <w:szCs w:val="21"/>
                      <w:lang w:val="zh-CN"/>
                    </w:rPr>
                    <w:t>监测时间</w:t>
                  </w:r>
                </w:p>
              </w:tc>
              <w:tc>
                <w:tcPr>
                  <w:tcW w:w="509" w:type="pct"/>
                  <w:vMerge w:val="restart"/>
                  <w:tcBorders>
                    <w:top w:val="single" w:color="auto" w:sz="12" w:space="0"/>
                    <w:bottom w:val="single" w:color="auto" w:sz="12" w:space="0"/>
                  </w:tcBorders>
                  <w:vAlign w:val="center"/>
                </w:tcPr>
                <w:p w14:paraId="65B8A99B">
                  <w:pPr>
                    <w:adjustRightInd w:val="0"/>
                    <w:snapToGrid w:val="0"/>
                    <w:spacing w:line="240" w:lineRule="exact"/>
                    <w:jc w:val="center"/>
                    <w:rPr>
                      <w:b/>
                      <w:snapToGrid w:val="0"/>
                      <w:color w:val="auto"/>
                      <w:szCs w:val="21"/>
                      <w:lang w:val="zh-CN"/>
                    </w:rPr>
                  </w:pPr>
                  <w:r>
                    <w:rPr>
                      <w:b/>
                      <w:snapToGrid w:val="0"/>
                      <w:color w:val="auto"/>
                      <w:szCs w:val="21"/>
                      <w:lang w:val="zh-CN"/>
                    </w:rPr>
                    <w:t>污染物名称</w:t>
                  </w:r>
                </w:p>
              </w:tc>
              <w:tc>
                <w:tcPr>
                  <w:tcW w:w="1431" w:type="pct"/>
                  <w:gridSpan w:val="2"/>
                  <w:tcBorders>
                    <w:top w:val="single" w:color="auto" w:sz="12" w:space="0"/>
                    <w:bottom w:val="single" w:color="auto" w:sz="12" w:space="0"/>
                  </w:tcBorders>
                  <w:vAlign w:val="center"/>
                </w:tcPr>
                <w:p w14:paraId="0930C54F">
                  <w:pPr>
                    <w:adjustRightInd w:val="0"/>
                    <w:snapToGrid w:val="0"/>
                    <w:spacing w:line="240" w:lineRule="exact"/>
                    <w:jc w:val="center"/>
                    <w:rPr>
                      <w:b/>
                      <w:snapToGrid w:val="0"/>
                      <w:color w:val="auto"/>
                      <w:szCs w:val="21"/>
                      <w:lang w:val="zh-CN"/>
                    </w:rPr>
                  </w:pPr>
                  <w:r>
                    <w:rPr>
                      <w:b/>
                      <w:snapToGrid w:val="0"/>
                      <w:color w:val="auto"/>
                      <w:szCs w:val="21"/>
                      <w:lang w:val="zh-CN"/>
                    </w:rPr>
                    <w:t>处理前</w:t>
                  </w:r>
                </w:p>
              </w:tc>
              <w:tc>
                <w:tcPr>
                  <w:tcW w:w="1451" w:type="pct"/>
                  <w:gridSpan w:val="2"/>
                  <w:tcBorders>
                    <w:top w:val="single" w:color="auto" w:sz="12" w:space="0"/>
                    <w:bottom w:val="single" w:color="auto" w:sz="12" w:space="0"/>
                  </w:tcBorders>
                  <w:vAlign w:val="center"/>
                </w:tcPr>
                <w:p w14:paraId="10CB1394">
                  <w:pPr>
                    <w:adjustRightInd w:val="0"/>
                    <w:snapToGrid w:val="0"/>
                    <w:spacing w:line="240" w:lineRule="exact"/>
                    <w:jc w:val="center"/>
                    <w:rPr>
                      <w:b/>
                      <w:snapToGrid w:val="0"/>
                      <w:color w:val="auto"/>
                      <w:szCs w:val="21"/>
                      <w:lang w:val="zh-CN"/>
                    </w:rPr>
                  </w:pPr>
                  <w:r>
                    <w:rPr>
                      <w:b/>
                      <w:snapToGrid w:val="0"/>
                      <w:color w:val="auto"/>
                      <w:szCs w:val="21"/>
                      <w:lang w:val="zh-CN"/>
                    </w:rPr>
                    <w:t>处理后</w:t>
                  </w:r>
                </w:p>
              </w:tc>
              <w:tc>
                <w:tcPr>
                  <w:tcW w:w="439" w:type="pct"/>
                  <w:vMerge w:val="restart"/>
                  <w:tcBorders>
                    <w:top w:val="single" w:color="auto" w:sz="12" w:space="0"/>
                  </w:tcBorders>
                  <w:vAlign w:val="center"/>
                </w:tcPr>
                <w:p w14:paraId="33F3893E">
                  <w:pPr>
                    <w:adjustRightInd w:val="0"/>
                    <w:snapToGrid w:val="0"/>
                    <w:spacing w:line="240" w:lineRule="exact"/>
                    <w:jc w:val="center"/>
                    <w:rPr>
                      <w:b/>
                      <w:snapToGrid w:val="0"/>
                      <w:color w:val="auto"/>
                      <w:szCs w:val="21"/>
                      <w:lang w:val="zh-CN"/>
                    </w:rPr>
                  </w:pPr>
                  <w:r>
                    <w:rPr>
                      <w:b/>
                      <w:snapToGrid w:val="0"/>
                      <w:color w:val="auto"/>
                      <w:szCs w:val="21"/>
                      <w:lang w:val="zh-CN"/>
                    </w:rPr>
                    <w:t>净化效果%</w:t>
                  </w:r>
                </w:p>
              </w:tc>
            </w:tr>
            <w:tr w14:paraId="6EEDC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continue"/>
                  <w:tcBorders>
                    <w:top w:val="single" w:color="auto" w:sz="12" w:space="0"/>
                    <w:bottom w:val="single" w:color="auto" w:sz="12" w:space="0"/>
                  </w:tcBorders>
                  <w:vAlign w:val="center"/>
                </w:tcPr>
                <w:p w14:paraId="1ED04AAF">
                  <w:pPr>
                    <w:adjustRightInd w:val="0"/>
                    <w:snapToGrid w:val="0"/>
                    <w:spacing w:line="240" w:lineRule="exact"/>
                    <w:jc w:val="center"/>
                    <w:rPr>
                      <w:b/>
                      <w:snapToGrid w:val="0"/>
                      <w:color w:val="auto"/>
                      <w:szCs w:val="21"/>
                      <w:lang w:val="zh-CN"/>
                    </w:rPr>
                  </w:pPr>
                </w:p>
              </w:tc>
              <w:tc>
                <w:tcPr>
                  <w:tcW w:w="636" w:type="pct"/>
                  <w:vMerge w:val="continue"/>
                  <w:tcBorders>
                    <w:top w:val="single" w:color="auto" w:sz="12" w:space="0"/>
                    <w:bottom w:val="single" w:color="auto" w:sz="12" w:space="0"/>
                  </w:tcBorders>
                  <w:vAlign w:val="center"/>
                </w:tcPr>
                <w:p w14:paraId="0570A20C">
                  <w:pPr>
                    <w:adjustRightInd w:val="0"/>
                    <w:snapToGrid w:val="0"/>
                    <w:spacing w:line="240" w:lineRule="exact"/>
                    <w:jc w:val="center"/>
                    <w:rPr>
                      <w:b/>
                      <w:snapToGrid w:val="0"/>
                      <w:color w:val="auto"/>
                      <w:szCs w:val="21"/>
                      <w:lang w:val="zh-CN"/>
                    </w:rPr>
                  </w:pPr>
                </w:p>
              </w:tc>
              <w:tc>
                <w:tcPr>
                  <w:tcW w:w="509" w:type="pct"/>
                  <w:vMerge w:val="continue"/>
                  <w:tcBorders>
                    <w:top w:val="single" w:color="auto" w:sz="12" w:space="0"/>
                    <w:bottom w:val="single" w:color="auto" w:sz="12" w:space="0"/>
                  </w:tcBorders>
                  <w:vAlign w:val="center"/>
                </w:tcPr>
                <w:p w14:paraId="3AED5EB6">
                  <w:pPr>
                    <w:adjustRightInd w:val="0"/>
                    <w:snapToGrid w:val="0"/>
                    <w:spacing w:line="240" w:lineRule="exact"/>
                    <w:jc w:val="center"/>
                    <w:rPr>
                      <w:b/>
                      <w:snapToGrid w:val="0"/>
                      <w:color w:val="auto"/>
                      <w:szCs w:val="21"/>
                      <w:lang w:val="zh-CN"/>
                    </w:rPr>
                  </w:pPr>
                </w:p>
              </w:tc>
              <w:tc>
                <w:tcPr>
                  <w:tcW w:w="781" w:type="pct"/>
                  <w:tcBorders>
                    <w:top w:val="single" w:color="auto" w:sz="12" w:space="0"/>
                    <w:bottom w:val="single" w:color="auto" w:sz="12" w:space="0"/>
                  </w:tcBorders>
                  <w:vAlign w:val="center"/>
                </w:tcPr>
                <w:p w14:paraId="0608CC96">
                  <w:pPr>
                    <w:adjustRightInd w:val="0"/>
                    <w:snapToGrid w:val="0"/>
                    <w:spacing w:line="240" w:lineRule="exact"/>
                    <w:jc w:val="center"/>
                    <w:rPr>
                      <w:b/>
                      <w:snapToGrid w:val="0"/>
                      <w:color w:val="auto"/>
                      <w:szCs w:val="21"/>
                      <w:lang w:val="zh-CN"/>
                    </w:rPr>
                  </w:pPr>
                  <w:r>
                    <w:rPr>
                      <w:b/>
                      <w:snapToGrid w:val="0"/>
                      <w:color w:val="auto"/>
                      <w:szCs w:val="21"/>
                      <w:lang w:val="zh-CN"/>
                    </w:rPr>
                    <w:t>平均浓度（mg/m</w:t>
                  </w:r>
                  <w:r>
                    <w:rPr>
                      <w:b/>
                      <w:snapToGrid w:val="0"/>
                      <w:color w:val="auto"/>
                      <w:szCs w:val="21"/>
                      <w:vertAlign w:val="superscript"/>
                      <w:lang w:val="zh-CN"/>
                    </w:rPr>
                    <w:t>3</w:t>
                  </w:r>
                  <w:r>
                    <w:rPr>
                      <w:b/>
                      <w:snapToGrid w:val="0"/>
                      <w:color w:val="auto"/>
                      <w:szCs w:val="21"/>
                      <w:lang w:val="zh-CN"/>
                    </w:rPr>
                    <w:t>）</w:t>
                  </w:r>
                </w:p>
              </w:tc>
              <w:tc>
                <w:tcPr>
                  <w:tcW w:w="649" w:type="pct"/>
                  <w:tcBorders>
                    <w:top w:val="single" w:color="auto" w:sz="12" w:space="0"/>
                    <w:bottom w:val="single" w:color="auto" w:sz="12" w:space="0"/>
                  </w:tcBorders>
                  <w:vAlign w:val="center"/>
                </w:tcPr>
                <w:p w14:paraId="52F5E963">
                  <w:pPr>
                    <w:adjustRightInd w:val="0"/>
                    <w:snapToGrid w:val="0"/>
                    <w:spacing w:line="240" w:lineRule="exact"/>
                    <w:jc w:val="center"/>
                    <w:rPr>
                      <w:b/>
                      <w:snapToGrid w:val="0"/>
                      <w:color w:val="auto"/>
                      <w:szCs w:val="21"/>
                      <w:lang w:val="zh-CN"/>
                    </w:rPr>
                  </w:pPr>
                  <w:r>
                    <w:rPr>
                      <w:b/>
                      <w:snapToGrid w:val="0"/>
                      <w:color w:val="auto"/>
                      <w:szCs w:val="21"/>
                      <w:lang w:val="zh-CN"/>
                    </w:rPr>
                    <w:t>平均速率（kg/h）</w:t>
                  </w:r>
                </w:p>
              </w:tc>
              <w:tc>
                <w:tcPr>
                  <w:tcW w:w="789" w:type="pct"/>
                  <w:tcBorders>
                    <w:top w:val="single" w:color="auto" w:sz="12" w:space="0"/>
                    <w:bottom w:val="single" w:color="auto" w:sz="12" w:space="0"/>
                  </w:tcBorders>
                  <w:vAlign w:val="center"/>
                </w:tcPr>
                <w:p w14:paraId="386B6BD7">
                  <w:pPr>
                    <w:adjustRightInd w:val="0"/>
                    <w:snapToGrid w:val="0"/>
                    <w:spacing w:line="240" w:lineRule="exact"/>
                    <w:jc w:val="center"/>
                    <w:rPr>
                      <w:b/>
                      <w:snapToGrid w:val="0"/>
                      <w:color w:val="auto"/>
                      <w:szCs w:val="21"/>
                      <w:lang w:val="zh-CN"/>
                    </w:rPr>
                  </w:pPr>
                  <w:r>
                    <w:rPr>
                      <w:b/>
                      <w:snapToGrid w:val="0"/>
                      <w:color w:val="auto"/>
                      <w:szCs w:val="21"/>
                      <w:lang w:val="zh-CN"/>
                    </w:rPr>
                    <w:t>平均浓度（mg/m</w:t>
                  </w:r>
                  <w:r>
                    <w:rPr>
                      <w:b/>
                      <w:snapToGrid w:val="0"/>
                      <w:color w:val="auto"/>
                      <w:szCs w:val="21"/>
                      <w:vertAlign w:val="superscript"/>
                      <w:lang w:val="zh-CN"/>
                    </w:rPr>
                    <w:t>3</w:t>
                  </w:r>
                  <w:r>
                    <w:rPr>
                      <w:b/>
                      <w:snapToGrid w:val="0"/>
                      <w:color w:val="auto"/>
                      <w:szCs w:val="21"/>
                      <w:lang w:val="zh-CN"/>
                    </w:rPr>
                    <w:t>）</w:t>
                  </w:r>
                </w:p>
              </w:tc>
              <w:tc>
                <w:tcPr>
                  <w:tcW w:w="662" w:type="pct"/>
                  <w:tcBorders>
                    <w:top w:val="single" w:color="auto" w:sz="12" w:space="0"/>
                    <w:bottom w:val="single" w:color="auto" w:sz="12" w:space="0"/>
                  </w:tcBorders>
                  <w:vAlign w:val="center"/>
                </w:tcPr>
                <w:p w14:paraId="2CA26C00">
                  <w:pPr>
                    <w:adjustRightInd w:val="0"/>
                    <w:snapToGrid w:val="0"/>
                    <w:spacing w:line="240" w:lineRule="exact"/>
                    <w:jc w:val="center"/>
                    <w:rPr>
                      <w:b/>
                      <w:snapToGrid w:val="0"/>
                      <w:color w:val="auto"/>
                      <w:szCs w:val="21"/>
                      <w:lang w:val="zh-CN"/>
                    </w:rPr>
                  </w:pPr>
                  <w:r>
                    <w:rPr>
                      <w:b/>
                      <w:snapToGrid w:val="0"/>
                      <w:color w:val="auto"/>
                      <w:szCs w:val="21"/>
                      <w:lang w:val="zh-CN"/>
                    </w:rPr>
                    <w:t>平均速率（kg/h）</w:t>
                  </w:r>
                </w:p>
              </w:tc>
              <w:tc>
                <w:tcPr>
                  <w:tcW w:w="439" w:type="pct"/>
                  <w:vMerge w:val="continue"/>
                  <w:tcBorders>
                    <w:bottom w:val="single" w:color="auto" w:sz="12" w:space="0"/>
                  </w:tcBorders>
                  <w:vAlign w:val="center"/>
                </w:tcPr>
                <w:p w14:paraId="395BB7B7">
                  <w:pPr>
                    <w:adjustRightInd w:val="0"/>
                    <w:snapToGrid w:val="0"/>
                    <w:spacing w:line="240" w:lineRule="exact"/>
                    <w:jc w:val="center"/>
                    <w:rPr>
                      <w:b/>
                      <w:snapToGrid w:val="0"/>
                      <w:color w:val="auto"/>
                      <w:szCs w:val="21"/>
                      <w:lang w:val="zh-CN"/>
                    </w:rPr>
                  </w:pPr>
                </w:p>
              </w:tc>
            </w:tr>
            <w:tr w14:paraId="5363A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32" w:type="pct"/>
                  <w:vMerge w:val="restart"/>
                  <w:vAlign w:val="center"/>
                </w:tcPr>
                <w:p w14:paraId="3539ACC7">
                  <w:pPr>
                    <w:pStyle w:val="4008"/>
                    <w:adjustRightInd w:val="0"/>
                    <w:snapToGrid w:val="0"/>
                    <w:spacing w:line="240" w:lineRule="exact"/>
                    <w:rPr>
                      <w:color w:val="auto"/>
                    </w:rPr>
                  </w:pPr>
                  <w:r>
                    <w:rPr>
                      <w:rFonts w:hint="eastAsia"/>
                      <w:color w:val="auto"/>
                      <w:lang w:val="en-US"/>
                    </w:rPr>
                    <w:t>DA001</w:t>
                  </w:r>
                  <w:r>
                    <w:rPr>
                      <w:color w:val="auto"/>
                    </w:rPr>
                    <w:t>-2</w:t>
                  </w:r>
                </w:p>
              </w:tc>
              <w:tc>
                <w:tcPr>
                  <w:tcW w:w="636" w:type="pct"/>
                  <w:vAlign w:val="center"/>
                </w:tcPr>
                <w:p w14:paraId="7108D0DC">
                  <w:pPr>
                    <w:pStyle w:val="4008"/>
                    <w:adjustRightInd w:val="0"/>
                    <w:snapToGrid w:val="0"/>
                    <w:spacing w:line="240" w:lineRule="exact"/>
                    <w:rPr>
                      <w:color w:val="auto"/>
                      <w:lang w:val="en-US"/>
                    </w:rPr>
                  </w:pPr>
                  <w:r>
                    <w:rPr>
                      <w:color w:val="auto"/>
                    </w:rPr>
                    <w:t>20</w:t>
                  </w:r>
                  <w:r>
                    <w:rPr>
                      <w:rFonts w:hint="eastAsia"/>
                      <w:color w:val="auto"/>
                      <w:lang w:val="en-US"/>
                    </w:rPr>
                    <w:t>23.3.8</w:t>
                  </w:r>
                </w:p>
              </w:tc>
              <w:tc>
                <w:tcPr>
                  <w:tcW w:w="509" w:type="pct"/>
                  <w:vAlign w:val="center"/>
                </w:tcPr>
                <w:p w14:paraId="6E8AAE07">
                  <w:pPr>
                    <w:pStyle w:val="4008"/>
                    <w:adjustRightInd w:val="0"/>
                    <w:snapToGrid w:val="0"/>
                    <w:spacing w:line="240" w:lineRule="exact"/>
                    <w:rPr>
                      <w:color w:val="auto"/>
                    </w:rPr>
                  </w:pPr>
                  <w:r>
                    <w:rPr>
                      <w:color w:val="auto"/>
                    </w:rPr>
                    <w:t>NMHC</w:t>
                  </w:r>
                </w:p>
              </w:tc>
              <w:tc>
                <w:tcPr>
                  <w:tcW w:w="781" w:type="pct"/>
                  <w:vAlign w:val="center"/>
                </w:tcPr>
                <w:p w14:paraId="6CD13C1E">
                  <w:pPr>
                    <w:pStyle w:val="4008"/>
                    <w:adjustRightInd w:val="0"/>
                    <w:snapToGrid w:val="0"/>
                    <w:spacing w:line="240" w:lineRule="exact"/>
                    <w:rPr>
                      <w:color w:val="auto"/>
                      <w:lang w:val="en-US"/>
                    </w:rPr>
                  </w:pPr>
                  <w:r>
                    <w:rPr>
                      <w:rFonts w:hint="eastAsia"/>
                      <w:color w:val="auto"/>
                      <w:lang w:val="en-US"/>
                    </w:rPr>
                    <w:t>33.8</w:t>
                  </w:r>
                </w:p>
              </w:tc>
              <w:tc>
                <w:tcPr>
                  <w:tcW w:w="649" w:type="pct"/>
                  <w:vAlign w:val="center"/>
                </w:tcPr>
                <w:p w14:paraId="6BC5318B">
                  <w:pPr>
                    <w:pStyle w:val="4008"/>
                    <w:adjustRightInd w:val="0"/>
                    <w:snapToGrid w:val="0"/>
                    <w:spacing w:line="240" w:lineRule="exact"/>
                    <w:rPr>
                      <w:color w:val="auto"/>
                      <w:lang w:val="en-US"/>
                    </w:rPr>
                  </w:pPr>
                  <w:r>
                    <w:rPr>
                      <w:color w:val="auto"/>
                    </w:rPr>
                    <w:t>0.0</w:t>
                  </w:r>
                  <w:r>
                    <w:rPr>
                      <w:rFonts w:hint="eastAsia"/>
                      <w:color w:val="auto"/>
                      <w:lang w:val="en-US"/>
                    </w:rPr>
                    <w:t>138</w:t>
                  </w:r>
                </w:p>
              </w:tc>
              <w:tc>
                <w:tcPr>
                  <w:tcW w:w="789" w:type="pct"/>
                  <w:vAlign w:val="center"/>
                </w:tcPr>
                <w:p w14:paraId="503C87AB">
                  <w:pPr>
                    <w:pStyle w:val="4008"/>
                    <w:adjustRightInd w:val="0"/>
                    <w:snapToGrid w:val="0"/>
                    <w:spacing w:line="240" w:lineRule="exact"/>
                    <w:rPr>
                      <w:color w:val="auto"/>
                      <w:lang w:val="en-US"/>
                    </w:rPr>
                  </w:pPr>
                  <w:r>
                    <w:rPr>
                      <w:rFonts w:hint="eastAsia"/>
                      <w:color w:val="auto"/>
                      <w:lang w:val="en-US"/>
                    </w:rPr>
                    <w:t>2.10</w:t>
                  </w:r>
                </w:p>
              </w:tc>
              <w:tc>
                <w:tcPr>
                  <w:tcW w:w="662" w:type="pct"/>
                  <w:vAlign w:val="center"/>
                </w:tcPr>
                <w:p w14:paraId="48115808">
                  <w:pPr>
                    <w:pStyle w:val="4008"/>
                    <w:adjustRightInd w:val="0"/>
                    <w:snapToGrid w:val="0"/>
                    <w:spacing w:line="240" w:lineRule="exact"/>
                    <w:rPr>
                      <w:color w:val="auto"/>
                      <w:lang w:val="en-US"/>
                    </w:rPr>
                  </w:pPr>
                  <w:r>
                    <w:rPr>
                      <w:color w:val="auto"/>
                    </w:rPr>
                    <w:t>0.00</w:t>
                  </w:r>
                  <w:r>
                    <w:rPr>
                      <w:rFonts w:hint="eastAsia"/>
                      <w:color w:val="auto"/>
                      <w:lang w:val="en-US"/>
                    </w:rPr>
                    <w:t>197</w:t>
                  </w:r>
                </w:p>
              </w:tc>
              <w:tc>
                <w:tcPr>
                  <w:tcW w:w="439" w:type="pct"/>
                  <w:vAlign w:val="center"/>
                </w:tcPr>
                <w:p w14:paraId="0117B639">
                  <w:pPr>
                    <w:pStyle w:val="4008"/>
                    <w:adjustRightInd w:val="0"/>
                    <w:snapToGrid w:val="0"/>
                    <w:spacing w:line="240" w:lineRule="exact"/>
                    <w:rPr>
                      <w:color w:val="auto"/>
                      <w:lang w:val="en-US"/>
                    </w:rPr>
                  </w:pPr>
                  <w:r>
                    <w:rPr>
                      <w:color w:val="auto"/>
                    </w:rPr>
                    <w:t>9</w:t>
                  </w:r>
                  <w:r>
                    <w:rPr>
                      <w:rFonts w:hint="eastAsia"/>
                      <w:color w:val="auto"/>
                      <w:lang w:val="en-US"/>
                    </w:rPr>
                    <w:t>3.8</w:t>
                  </w:r>
                </w:p>
              </w:tc>
            </w:tr>
            <w:tr w14:paraId="24158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continue"/>
                  <w:vAlign w:val="center"/>
                </w:tcPr>
                <w:p w14:paraId="573A2D58">
                  <w:pPr>
                    <w:pStyle w:val="4008"/>
                    <w:adjustRightInd w:val="0"/>
                    <w:snapToGrid w:val="0"/>
                    <w:spacing w:line="240" w:lineRule="exact"/>
                    <w:rPr>
                      <w:color w:val="auto"/>
                    </w:rPr>
                  </w:pPr>
                </w:p>
              </w:tc>
              <w:tc>
                <w:tcPr>
                  <w:tcW w:w="636" w:type="pct"/>
                  <w:vAlign w:val="center"/>
                </w:tcPr>
                <w:p w14:paraId="2DF5CDD6">
                  <w:pPr>
                    <w:pStyle w:val="4008"/>
                    <w:adjustRightInd w:val="0"/>
                    <w:snapToGrid w:val="0"/>
                    <w:spacing w:line="240" w:lineRule="exact"/>
                    <w:rPr>
                      <w:color w:val="auto"/>
                      <w:lang w:val="en-US"/>
                    </w:rPr>
                  </w:pPr>
                  <w:r>
                    <w:rPr>
                      <w:color w:val="auto"/>
                    </w:rPr>
                    <w:t>20</w:t>
                  </w:r>
                  <w:r>
                    <w:rPr>
                      <w:rFonts w:hint="eastAsia"/>
                      <w:color w:val="auto"/>
                      <w:lang w:val="en-US"/>
                    </w:rPr>
                    <w:t>23.3.9</w:t>
                  </w:r>
                </w:p>
              </w:tc>
              <w:tc>
                <w:tcPr>
                  <w:tcW w:w="509" w:type="pct"/>
                  <w:vAlign w:val="center"/>
                </w:tcPr>
                <w:p w14:paraId="27E592AD">
                  <w:pPr>
                    <w:pStyle w:val="4008"/>
                    <w:adjustRightInd w:val="0"/>
                    <w:snapToGrid w:val="0"/>
                    <w:spacing w:line="240" w:lineRule="exact"/>
                    <w:rPr>
                      <w:color w:val="auto"/>
                    </w:rPr>
                  </w:pPr>
                  <w:r>
                    <w:rPr>
                      <w:color w:val="auto"/>
                    </w:rPr>
                    <w:t>NMHC</w:t>
                  </w:r>
                </w:p>
              </w:tc>
              <w:tc>
                <w:tcPr>
                  <w:tcW w:w="781" w:type="pct"/>
                  <w:vAlign w:val="center"/>
                </w:tcPr>
                <w:p w14:paraId="2F939368">
                  <w:pPr>
                    <w:pStyle w:val="4008"/>
                    <w:adjustRightInd w:val="0"/>
                    <w:snapToGrid w:val="0"/>
                    <w:spacing w:line="240" w:lineRule="exact"/>
                    <w:rPr>
                      <w:color w:val="auto"/>
                      <w:lang w:val="en-US"/>
                    </w:rPr>
                  </w:pPr>
                  <w:r>
                    <w:rPr>
                      <w:rFonts w:hint="eastAsia"/>
                      <w:color w:val="auto"/>
                      <w:lang w:val="en-US"/>
                    </w:rPr>
                    <w:t>33.8</w:t>
                  </w:r>
                </w:p>
              </w:tc>
              <w:tc>
                <w:tcPr>
                  <w:tcW w:w="649" w:type="pct"/>
                  <w:vAlign w:val="center"/>
                </w:tcPr>
                <w:p w14:paraId="445B63CD">
                  <w:pPr>
                    <w:pStyle w:val="4008"/>
                    <w:adjustRightInd w:val="0"/>
                    <w:snapToGrid w:val="0"/>
                    <w:spacing w:line="240" w:lineRule="exact"/>
                    <w:rPr>
                      <w:color w:val="auto"/>
                      <w:lang w:val="en-US"/>
                    </w:rPr>
                  </w:pPr>
                  <w:r>
                    <w:rPr>
                      <w:color w:val="auto"/>
                    </w:rPr>
                    <w:t>0.0</w:t>
                  </w:r>
                  <w:r>
                    <w:rPr>
                      <w:rFonts w:hint="eastAsia"/>
                      <w:color w:val="auto"/>
                      <w:lang w:val="en-US"/>
                    </w:rPr>
                    <w:t>139</w:t>
                  </w:r>
                </w:p>
              </w:tc>
              <w:tc>
                <w:tcPr>
                  <w:tcW w:w="789" w:type="pct"/>
                  <w:vAlign w:val="center"/>
                </w:tcPr>
                <w:p w14:paraId="44F19E20">
                  <w:pPr>
                    <w:pStyle w:val="4008"/>
                    <w:adjustRightInd w:val="0"/>
                    <w:snapToGrid w:val="0"/>
                    <w:spacing w:line="240" w:lineRule="exact"/>
                    <w:rPr>
                      <w:color w:val="auto"/>
                      <w:lang w:val="en-US"/>
                    </w:rPr>
                  </w:pPr>
                  <w:r>
                    <w:rPr>
                      <w:rFonts w:hint="eastAsia"/>
                      <w:color w:val="auto"/>
                      <w:lang w:val="en-US"/>
                    </w:rPr>
                    <w:t>2.08</w:t>
                  </w:r>
                </w:p>
              </w:tc>
              <w:tc>
                <w:tcPr>
                  <w:tcW w:w="662" w:type="pct"/>
                  <w:vAlign w:val="center"/>
                </w:tcPr>
                <w:p w14:paraId="500DEBF6">
                  <w:pPr>
                    <w:pStyle w:val="4008"/>
                    <w:adjustRightInd w:val="0"/>
                    <w:snapToGrid w:val="0"/>
                    <w:spacing w:line="240" w:lineRule="exact"/>
                    <w:rPr>
                      <w:color w:val="auto"/>
                    </w:rPr>
                  </w:pPr>
                  <w:r>
                    <w:rPr>
                      <w:color w:val="auto"/>
                    </w:rPr>
                    <w:t>0.00</w:t>
                  </w:r>
                  <w:r>
                    <w:rPr>
                      <w:rFonts w:hint="eastAsia"/>
                      <w:color w:val="auto"/>
                      <w:lang w:val="en-US"/>
                    </w:rPr>
                    <w:t>2</w:t>
                  </w:r>
                </w:p>
              </w:tc>
              <w:tc>
                <w:tcPr>
                  <w:tcW w:w="439" w:type="pct"/>
                  <w:vAlign w:val="center"/>
                </w:tcPr>
                <w:p w14:paraId="1CC993AF">
                  <w:pPr>
                    <w:pStyle w:val="4008"/>
                    <w:adjustRightInd w:val="0"/>
                    <w:snapToGrid w:val="0"/>
                    <w:spacing w:line="240" w:lineRule="exact"/>
                    <w:rPr>
                      <w:color w:val="auto"/>
                    </w:rPr>
                  </w:pPr>
                  <w:r>
                    <w:rPr>
                      <w:color w:val="auto"/>
                    </w:rPr>
                    <w:t>93.</w:t>
                  </w:r>
                  <w:r>
                    <w:rPr>
                      <w:rFonts w:hint="eastAsia"/>
                      <w:color w:val="auto"/>
                      <w:lang w:val="en-US"/>
                    </w:rPr>
                    <w:t>8</w:t>
                  </w:r>
                </w:p>
              </w:tc>
            </w:tr>
          </w:tbl>
          <w:p w14:paraId="78ACECC2">
            <w:pPr>
              <w:adjustRightInd w:val="0"/>
              <w:snapToGrid w:val="0"/>
              <w:spacing w:line="360" w:lineRule="auto"/>
              <w:ind w:firstLine="480" w:firstLineChars="200"/>
              <w:rPr>
                <w:color w:val="auto"/>
                <w:sz w:val="24"/>
              </w:rPr>
            </w:pPr>
            <w:r>
              <w:rPr>
                <w:rFonts w:hint="eastAsia"/>
                <w:color w:val="auto"/>
                <w:sz w:val="24"/>
              </w:rPr>
              <w:t>本项目高端展示道具涉及涂装工艺的为木制组件，因此可参照《排污许可证申请与核发技术规范家具制造工业》（HJ 1027—2019）涂装车间产生的喷漆、晾干有机废气采用“干式过滤器+二级活性炭”技术为“可行技术”，符合要求。</w:t>
            </w:r>
          </w:p>
          <w:p w14:paraId="12214EE8">
            <w:pPr>
              <w:adjustRightInd w:val="0"/>
              <w:snapToGrid w:val="0"/>
              <w:spacing w:line="360" w:lineRule="auto"/>
              <w:ind w:firstLine="480" w:firstLineChars="200"/>
              <w:rPr>
                <w:color w:val="auto"/>
                <w:sz w:val="24"/>
              </w:rPr>
            </w:pPr>
            <w:r>
              <w:rPr>
                <w:rFonts w:hint="eastAsia"/>
                <w:color w:val="auto"/>
                <w:sz w:val="24"/>
              </w:rPr>
              <w:t>D.漆雾采用干式过滤器装置</w:t>
            </w:r>
          </w:p>
          <w:p w14:paraId="4DA4DA6F">
            <w:pPr>
              <w:adjustRightInd w:val="0"/>
              <w:snapToGrid w:val="0"/>
              <w:spacing w:line="360" w:lineRule="auto"/>
              <w:ind w:firstLine="480" w:firstLineChars="200"/>
              <w:rPr>
                <w:color w:val="auto"/>
                <w:sz w:val="24"/>
              </w:rPr>
            </w:pPr>
            <w:r>
              <w:rPr>
                <w:rFonts w:hint="eastAsia"/>
                <w:color w:val="auto"/>
                <w:sz w:val="24"/>
              </w:rPr>
              <w:t>其具有设备简单、紧凑，占地面积小，易于使用、便于维护管理的特点。一道干式喷漆房专用迷宫纸箱，漆雾通过低压被吹入错综复杂的漆雾过滤纸箱系统内，它由边缘和内部开孔构成，以达到最大的漆雾吸附效果。通过扩大吸附表面、不同路径结构的排列组合以及对离心力的利用，使该过滤纸箱结构具备颠覆性的吸附能力，以便捕捉更多散飞的多余漆雾；二道过滤材料选用玻璃纤维漆雾过滤棉，该过滤棉具有较疏松的结构，具有在</w:t>
            </w:r>
            <w:r>
              <w:rPr>
                <w:rFonts w:hint="eastAsia"/>
                <w:color w:val="auto"/>
                <w:sz w:val="24"/>
                <w:lang w:eastAsia="zh-CN"/>
              </w:rPr>
              <w:t>黏附</w:t>
            </w:r>
            <w:r>
              <w:rPr>
                <w:rFonts w:hint="eastAsia"/>
                <w:color w:val="auto"/>
                <w:sz w:val="24"/>
              </w:rPr>
              <w:t>漆雾后阻力增加较小的特点，该材料具有较大的厚度，可确保较高的过滤效率</w:t>
            </w:r>
            <w:r>
              <w:rPr>
                <w:rFonts w:hint="eastAsia"/>
                <w:color w:val="auto"/>
                <w:sz w:val="24"/>
                <w:lang w:eastAsia="zh-CN"/>
              </w:rPr>
              <w:t>，</w:t>
            </w:r>
            <w:r>
              <w:rPr>
                <w:rFonts w:hint="eastAsia"/>
                <w:color w:val="auto"/>
                <w:sz w:val="24"/>
              </w:rPr>
              <w:t>过滤棉采用两层，以确保过滤效率更高，即采用玻璃纤维过滤毡进行漆雾过滤。参考《排污许可证申请与核发技术规范 家具制造业》（HJ1027—2019）涂装废气中，本项目喷漆工序产生的漆雾颗粒物采用干式过滤器为可行技术。类比同类型水性漆漆雾的处理方式（干式过滤器），参照扬州申沁变压器配件有限公司验收监测报告（2019年12月28日自主验收），漆雾颗粒物排放浓度均值为1.2mg/m</w:t>
            </w:r>
            <w:r>
              <w:rPr>
                <w:rFonts w:hint="eastAsia"/>
                <w:color w:val="auto"/>
                <w:sz w:val="24"/>
                <w:vertAlign w:val="superscript"/>
              </w:rPr>
              <w:t>3</w:t>
            </w:r>
            <w:r>
              <w:rPr>
                <w:rFonts w:hint="eastAsia"/>
                <w:color w:val="auto"/>
                <w:sz w:val="24"/>
              </w:rPr>
              <w:t>，产生浓度约13mg/m</w:t>
            </w:r>
            <w:r>
              <w:rPr>
                <w:rFonts w:hint="eastAsia"/>
                <w:color w:val="auto"/>
                <w:sz w:val="24"/>
                <w:vertAlign w:val="superscript"/>
              </w:rPr>
              <w:t>3</w:t>
            </w:r>
            <w:r>
              <w:rPr>
                <w:rFonts w:hint="eastAsia"/>
                <w:color w:val="auto"/>
                <w:sz w:val="24"/>
              </w:rPr>
              <w:t>，去除效率约90.7%，本项目漆雾去除效率取90%。</w:t>
            </w:r>
          </w:p>
          <w:p w14:paraId="5AA60BA4">
            <w:pPr>
              <w:adjustRightInd w:val="0"/>
              <w:snapToGrid w:val="0"/>
              <w:spacing w:line="360" w:lineRule="auto"/>
              <w:ind w:firstLine="480" w:firstLineChars="200"/>
              <w:rPr>
                <w:color w:val="auto"/>
                <w:sz w:val="24"/>
              </w:rPr>
            </w:pPr>
            <w:r>
              <w:rPr>
                <w:rFonts w:hint="eastAsia"/>
                <w:color w:val="auto"/>
                <w:sz w:val="24"/>
              </w:rPr>
              <w:t>E.其余有机废气</w:t>
            </w:r>
          </w:p>
          <w:p w14:paraId="63552C06">
            <w:pPr>
              <w:adjustRightInd w:val="0"/>
              <w:snapToGrid w:val="0"/>
              <w:spacing w:line="360" w:lineRule="auto"/>
              <w:ind w:firstLine="480" w:firstLineChars="200"/>
              <w:rPr>
                <w:color w:val="auto"/>
              </w:rPr>
            </w:pPr>
            <w:r>
              <w:rPr>
                <w:rFonts w:hint="eastAsia"/>
                <w:color w:val="auto"/>
                <w:sz w:val="24"/>
              </w:rPr>
              <w:t>除调漆、喷漆、晾干工艺外，本项目涉及封边、贴皮、批灰、大理石粘接、金属压合、烘烤固化、亚克力下料、打标、热弯、丝印、烘烤、洗网水、亚克力</w:t>
            </w:r>
            <w:r>
              <w:rPr>
                <w:rFonts w:hint="eastAsia"/>
                <w:color w:val="auto"/>
                <w:sz w:val="24"/>
                <w:lang w:eastAsia="zh-CN"/>
              </w:rPr>
              <w:t>黏结</w:t>
            </w:r>
            <w:r>
              <w:rPr>
                <w:rFonts w:hint="eastAsia"/>
                <w:color w:val="auto"/>
                <w:sz w:val="24"/>
              </w:rPr>
              <w:t>、清洗工艺均产生有机废气，参照《排污许可证申请与核发技术规范 印刷工业》（HJ1066—2019）附录A-表A.1废气治理推荐可行技术参照表、《排污许可证申请与核发技术规范 家具制造业》（HJ1027—2019）《排污许可证申请与核发技术规范 家具制造业》（HJ1027—2019）表4简化管理排污单位废气产污环节、污染物种类、排放形式及污染防治设施一览表，“二级活性炭”技术为“可行技术”，符合要求。</w:t>
            </w:r>
          </w:p>
          <w:p w14:paraId="6065A800">
            <w:pPr>
              <w:pStyle w:val="2"/>
              <w:spacing w:line="360" w:lineRule="auto"/>
              <w:ind w:firstLine="482"/>
              <w:rPr>
                <w:rFonts w:ascii="Times New Roman" w:hAnsi="Times New Roman" w:cs="Times New Roman" w:eastAsiaTheme="minorEastAsia"/>
                <w:bCs/>
                <w:color w:val="auto"/>
              </w:rPr>
            </w:pPr>
            <w:r>
              <w:rPr>
                <w:rFonts w:hint="eastAsia" w:ascii="Times New Roman" w:cs="Times New Roman" w:eastAsiaTheme="minorEastAsia"/>
                <w:bCs/>
                <w:color w:val="auto"/>
              </w:rPr>
              <w:t>F.</w:t>
            </w:r>
            <w:r>
              <w:rPr>
                <w:rFonts w:hint="eastAsia" w:ascii="Times New Roman" w:hAnsi="Times New Roman" w:cs="Times New Roman" w:eastAsiaTheme="minorEastAsia"/>
                <w:bCs/>
                <w:color w:val="auto"/>
              </w:rPr>
              <w:t>活性炭吸附</w:t>
            </w:r>
          </w:p>
          <w:p w14:paraId="397E48C4">
            <w:pPr>
              <w:adjustRightInd w:val="0"/>
              <w:snapToGrid w:val="0"/>
              <w:spacing w:line="360" w:lineRule="auto"/>
              <w:ind w:firstLine="480" w:firstLineChars="200"/>
              <w:rPr>
                <w:color w:val="auto"/>
                <w:sz w:val="24"/>
              </w:rPr>
            </w:pPr>
            <w:r>
              <w:rPr>
                <w:color w:val="auto"/>
                <w:sz w:val="24"/>
              </w:rPr>
              <w:t>活性炭是一种主要由含碳材料制成的外观呈黑色、内部空隙结构发达、比表面积大、吸附能力强的一类微晶</w:t>
            </w:r>
            <w:r>
              <w:rPr>
                <w:rFonts w:hint="eastAsia"/>
                <w:color w:val="auto"/>
                <w:sz w:val="24"/>
                <w:lang w:eastAsia="zh-CN"/>
              </w:rPr>
              <w:t>质</w:t>
            </w:r>
            <w:r>
              <w:rPr>
                <w:color w:val="auto"/>
                <w:sz w:val="24"/>
              </w:rPr>
              <w:t>碳素材料。活性炭材料中有大量肉眼看不见的微孔，每克活性炭材料中的微孔将其展开后表面积可高达800-1500平方米。活性炭吸附处理有机废气，方法成熟。主要利用活性炭高孔隙率、高比表面积的性能，</w:t>
            </w:r>
            <w:r>
              <w:rPr>
                <w:rFonts w:hint="eastAsia"/>
                <w:color w:val="auto"/>
                <w:sz w:val="24"/>
                <w:lang w:eastAsia="zh-CN"/>
              </w:rPr>
              <w:t>借由</w:t>
            </w:r>
            <w:r>
              <w:rPr>
                <w:color w:val="auto"/>
                <w:sz w:val="24"/>
              </w:rPr>
              <w:t>物理性吸附</w:t>
            </w:r>
            <w:r>
              <w:rPr>
                <w:rFonts w:hint="eastAsia"/>
                <w:color w:val="auto"/>
                <w:sz w:val="24"/>
              </w:rPr>
              <w:t>（</w:t>
            </w:r>
            <w:r>
              <w:rPr>
                <w:color w:val="auto"/>
                <w:sz w:val="24"/>
              </w:rPr>
              <w:t>可逆反应</w:t>
            </w:r>
            <w:r>
              <w:rPr>
                <w:rFonts w:hint="eastAsia"/>
                <w:color w:val="auto"/>
                <w:sz w:val="24"/>
              </w:rPr>
              <w:t>）</w:t>
            </w:r>
            <w:r>
              <w:rPr>
                <w:color w:val="auto"/>
                <w:sz w:val="24"/>
              </w:rPr>
              <w:t>或化学性键结</w:t>
            </w:r>
            <w:r>
              <w:rPr>
                <w:rFonts w:hint="eastAsia"/>
                <w:color w:val="auto"/>
                <w:sz w:val="24"/>
              </w:rPr>
              <w:t>（</w:t>
            </w:r>
            <w:r>
              <w:rPr>
                <w:color w:val="auto"/>
                <w:sz w:val="24"/>
              </w:rPr>
              <w:t>不可逆反应</w:t>
            </w:r>
            <w:r>
              <w:rPr>
                <w:rFonts w:hint="eastAsia"/>
                <w:color w:val="auto"/>
                <w:sz w:val="24"/>
              </w:rPr>
              <w:t>）</w:t>
            </w:r>
            <w:r>
              <w:rPr>
                <w:color w:val="auto"/>
                <w:sz w:val="24"/>
              </w:rPr>
              <w:t>作用，将非甲烷总烃自废气中分离，以达成净化废气的目的。喷漆废气含有颗粒物，为降低进入活性炭</w:t>
            </w:r>
            <w:r>
              <w:rPr>
                <w:rFonts w:hint="eastAsia"/>
                <w:color w:val="auto"/>
                <w:sz w:val="24"/>
                <w:lang w:eastAsia="zh-CN"/>
              </w:rPr>
              <w:t>细颗粒物</w:t>
            </w:r>
            <w:r>
              <w:rPr>
                <w:color w:val="auto"/>
                <w:sz w:val="24"/>
              </w:rPr>
              <w:t>的浓度，本项目采用</w:t>
            </w:r>
            <w:r>
              <w:rPr>
                <w:rFonts w:hint="eastAsia"/>
                <w:color w:val="auto"/>
                <w:sz w:val="24"/>
              </w:rPr>
              <w:t>干式过滤器</w:t>
            </w:r>
            <w:r>
              <w:rPr>
                <w:color w:val="auto"/>
                <w:sz w:val="24"/>
              </w:rPr>
              <w:t>对颗粒物进行预处理。本项目使用的活性炭有机废气吸附装置符合《吸附法工业有机废气治理工程技术规范》设计要求。</w:t>
            </w:r>
            <w:r>
              <w:rPr>
                <w:rFonts w:hint="eastAsia"/>
                <w:color w:val="auto"/>
                <w:sz w:val="24"/>
              </w:rPr>
              <w:t>本项目共设置</w:t>
            </w:r>
            <w:r>
              <w:rPr>
                <w:rFonts w:hint="eastAsia"/>
                <w:color w:val="auto"/>
                <w:sz w:val="24"/>
                <w:lang w:val="en-US" w:eastAsia="zh-CN"/>
              </w:rPr>
              <w:t>4</w:t>
            </w:r>
            <w:r>
              <w:rPr>
                <w:rFonts w:hint="eastAsia"/>
                <w:color w:val="auto"/>
                <w:sz w:val="24"/>
              </w:rPr>
              <w:t>套二级活性炭</w:t>
            </w:r>
            <w:r>
              <w:rPr>
                <w:color w:val="auto"/>
                <w:sz w:val="24"/>
              </w:rPr>
              <w:t>，</w:t>
            </w:r>
            <w:r>
              <w:rPr>
                <w:rFonts w:hint="eastAsia"/>
                <w:color w:val="auto"/>
                <w:sz w:val="24"/>
              </w:rPr>
              <w:t>DA001排气筒封边、贴皮、大理石粘接工艺设置4#厂房木工车间活性炭吸附设备，DA003排气筒批灰、调漆、喷漆、晾干工艺设置3#厂房油漆车间活性炭吸附设备及干式过滤器，DA005排气筒金属压合、烘烤固化工艺设置2#厂房金属车间活性炭吸附设备，DA006排气筒亚克力下料、打标、热弯、丝印、烘烤、洗网水、粘接、清洗工艺设置1#厂房组装车间活性炭吸附设备。</w:t>
            </w:r>
          </w:p>
          <w:p w14:paraId="1C8E8282">
            <w:pPr>
              <w:adjustRightInd w:val="0"/>
              <w:snapToGrid w:val="0"/>
              <w:spacing w:line="360" w:lineRule="auto"/>
              <w:ind w:firstLine="480" w:firstLineChars="200"/>
              <w:rPr>
                <w:color w:val="auto"/>
                <w:sz w:val="24"/>
              </w:rPr>
            </w:pPr>
            <w:r>
              <w:rPr>
                <w:rFonts w:hint="eastAsia"/>
                <w:color w:val="auto"/>
                <w:sz w:val="24"/>
                <w:lang w:eastAsia="zh-CN"/>
              </w:rPr>
              <w:t>4.</w:t>
            </w:r>
            <w:r>
              <w:rPr>
                <w:rFonts w:hint="eastAsia"/>
                <w:color w:val="auto"/>
                <w:sz w:val="24"/>
              </w:rPr>
              <w:t>厂房木工车间活性炭吸附设备每层活性炭有效填充长度为0.5m、宽度为0.3m，吸附装置内平铺1层活性炭，单层炭层厚度0.4m，则活性炭吸附装置内活性炭有效容积为0.5×0.3×0.4×2=0.12m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，则二级活性炭箱体内活性炭总装填量为0.12×0.6×2=0.144t，本项目4#厂房木工车间活性炭吸附设备装填0.015t，符合设计参数；</w:t>
            </w:r>
          </w:p>
          <w:p w14:paraId="2A639F3E">
            <w:pPr>
              <w:adjustRightInd w:val="0"/>
              <w:snapToGrid w:val="0"/>
              <w:spacing w:line="360" w:lineRule="auto"/>
              <w:ind w:firstLine="480" w:firstLineChars="200"/>
              <w:rPr>
                <w:color w:val="auto"/>
                <w:sz w:val="24"/>
              </w:rPr>
            </w:pPr>
            <w:r>
              <w:rPr>
                <w:rFonts w:hint="eastAsia"/>
                <w:color w:val="auto"/>
                <w:sz w:val="24"/>
                <w:lang w:eastAsia="zh-CN"/>
              </w:rPr>
              <w:t>3.</w:t>
            </w:r>
            <w:r>
              <w:rPr>
                <w:rFonts w:hint="eastAsia"/>
                <w:color w:val="auto"/>
                <w:sz w:val="24"/>
              </w:rPr>
              <w:t>厂房油漆车间活性炭吸附设备每层活性炭有效填充长度为1.6m、宽度为1.4m，吸附装置内平铺</w:t>
            </w:r>
            <w:r>
              <w:rPr>
                <w:rFonts w:hint="eastAsia"/>
                <w:color w:val="auto"/>
                <w:sz w:val="24"/>
                <w:lang w:val="en-US" w:eastAsia="zh-CN"/>
              </w:rPr>
              <w:t>4</w:t>
            </w:r>
            <w:r>
              <w:rPr>
                <w:rFonts w:hint="eastAsia"/>
                <w:color w:val="auto"/>
                <w:sz w:val="24"/>
              </w:rPr>
              <w:t>层活性炭，单层炭层厚度0.4m，则活性炭吸附装置内活性炭有效容积为1.6×1.4×0.4×</w:t>
            </w:r>
            <w:r>
              <w:rPr>
                <w:rFonts w:hint="eastAsia"/>
                <w:color w:val="auto"/>
                <w:sz w:val="24"/>
                <w:lang w:val="en-US" w:eastAsia="zh-CN"/>
              </w:rPr>
              <w:t>4</w:t>
            </w:r>
            <w:r>
              <w:rPr>
                <w:rFonts w:hint="eastAsia"/>
                <w:color w:val="auto"/>
                <w:sz w:val="24"/>
              </w:rPr>
              <w:t>=</w:t>
            </w:r>
            <w:r>
              <w:rPr>
                <w:rFonts w:hint="eastAsia"/>
                <w:color w:val="auto"/>
                <w:sz w:val="24"/>
                <w:lang w:val="en-US" w:eastAsia="zh-CN"/>
              </w:rPr>
              <w:t>3.584</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，则二级活性炭箱体内活性炭总装填量为3.84×0.6×2=</w:t>
            </w:r>
            <w:r>
              <w:rPr>
                <w:rFonts w:hint="eastAsia"/>
                <w:color w:val="auto"/>
                <w:sz w:val="24"/>
                <w:lang w:val="en-US" w:eastAsia="zh-CN"/>
              </w:rPr>
              <w:t>4.3008</w:t>
            </w:r>
            <w:r>
              <w:rPr>
                <w:rFonts w:hint="eastAsia"/>
                <w:color w:val="auto"/>
                <w:sz w:val="24"/>
              </w:rPr>
              <w:t>t，本项目3#厂房油漆车间活性炭吸附设备装填</w:t>
            </w:r>
            <w:r>
              <w:rPr>
                <w:rFonts w:hint="eastAsia"/>
                <w:color w:val="auto"/>
                <w:sz w:val="24"/>
                <w:lang w:val="en-US" w:eastAsia="zh-CN"/>
              </w:rPr>
              <w:t>4</w:t>
            </w:r>
            <w:r>
              <w:rPr>
                <w:rFonts w:hint="eastAsia"/>
                <w:color w:val="auto"/>
                <w:sz w:val="24"/>
              </w:rPr>
              <w:t>t，符合设计参数；</w:t>
            </w:r>
          </w:p>
          <w:p w14:paraId="31D04356">
            <w:pPr>
              <w:adjustRightInd w:val="0"/>
              <w:snapToGrid w:val="0"/>
              <w:spacing w:line="360" w:lineRule="auto"/>
              <w:ind w:firstLine="480" w:firstLineChars="200"/>
              <w:rPr>
                <w:color w:val="auto"/>
                <w:sz w:val="24"/>
              </w:rPr>
            </w:pPr>
            <w:r>
              <w:rPr>
                <w:rFonts w:hint="eastAsia"/>
                <w:color w:val="auto"/>
                <w:sz w:val="24"/>
                <w:lang w:eastAsia="zh-CN"/>
              </w:rPr>
              <w:t>2.</w:t>
            </w:r>
            <w:r>
              <w:rPr>
                <w:rFonts w:hint="eastAsia"/>
                <w:color w:val="auto"/>
                <w:sz w:val="24"/>
              </w:rPr>
              <w:t>厂房金属车间活性炭吸附设备每层活性炭有效填充长度为0.5m、宽度为0.3m，吸附装置内平铺1层活性炭，单层炭层厚度0.4m，则活性炭吸附装置内活性炭有效容积为0.5×0.3×0.4×2=0.12m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，则二级活性炭箱体内活性炭总装填量为0.12×0.6×2=0.144t，本项目2#厂房金属车间活性炭吸附设备装填0.08t，符合设计参数；</w:t>
            </w:r>
          </w:p>
          <w:p w14:paraId="0A2523CD">
            <w:pPr>
              <w:adjustRightInd w:val="0"/>
              <w:snapToGrid w:val="0"/>
              <w:spacing w:line="360" w:lineRule="auto"/>
              <w:ind w:firstLine="480" w:firstLineChars="200"/>
              <w:rPr>
                <w:b/>
                <w:color w:val="auto"/>
                <w:sz w:val="24"/>
              </w:rPr>
            </w:pPr>
            <w:r>
              <w:rPr>
                <w:rFonts w:hint="eastAsia"/>
                <w:color w:val="auto"/>
                <w:sz w:val="24"/>
                <w:lang w:eastAsia="zh-CN"/>
              </w:rPr>
              <w:t>1.</w:t>
            </w:r>
            <w:r>
              <w:rPr>
                <w:rFonts w:hint="eastAsia"/>
                <w:color w:val="auto"/>
                <w:sz w:val="24"/>
              </w:rPr>
              <w:t>厂房组装车间活性炭吸附设备每层活性炭有效填充长度为1.6m、宽度为1.2m，吸附装置内平铺3层活性炭，单层炭层厚度0.4m，则活性炭吸附装置内活性炭有效容积为1.6×1.2×0.4×3=2.304m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，则二级活性炭箱体内活性炭总装填量为2.304×0.6×2=2.7648t，本项目1#厂房组装车间活性炭吸附设备装填2.</w:t>
            </w:r>
            <w:r>
              <w:rPr>
                <w:rFonts w:hint="eastAsia"/>
                <w:color w:val="auto"/>
                <w:sz w:val="24"/>
                <w:lang w:val="en-US" w:eastAsia="zh-CN"/>
              </w:rPr>
              <w:t>5</w:t>
            </w:r>
            <w:r>
              <w:rPr>
                <w:rFonts w:hint="eastAsia"/>
                <w:color w:val="auto"/>
                <w:sz w:val="24"/>
              </w:rPr>
              <w:t>t，符合设计参数；</w:t>
            </w:r>
            <w:r>
              <w:rPr>
                <w:color w:val="auto"/>
                <w:sz w:val="24"/>
              </w:rPr>
              <w:t>设计参数见表4-1</w:t>
            </w:r>
            <w:r>
              <w:rPr>
                <w:rFonts w:hint="eastAsia"/>
                <w:color w:val="auto"/>
                <w:sz w:val="24"/>
              </w:rPr>
              <w:t>1至4-1</w:t>
            </w:r>
            <w:r>
              <w:rPr>
                <w:rFonts w:hint="eastAsia"/>
                <w:color w:val="auto"/>
                <w:sz w:val="24"/>
                <w:lang w:val="en-US" w:eastAsia="zh-CN"/>
              </w:rPr>
              <w:t>4</w:t>
            </w:r>
            <w:r>
              <w:rPr>
                <w:color w:val="auto"/>
                <w:sz w:val="24"/>
              </w:rPr>
              <w:t>。</w:t>
            </w:r>
          </w:p>
          <w:p w14:paraId="5AF23DA0">
            <w:pPr>
              <w:jc w:val="center"/>
              <w:rPr>
                <w:b/>
                <w:color w:val="auto"/>
                <w:sz w:val="24"/>
              </w:rPr>
            </w:pPr>
            <w:r>
              <w:rPr>
                <w:b/>
                <w:color w:val="auto"/>
                <w:sz w:val="24"/>
              </w:rPr>
              <w:t>表4</w:t>
            </w:r>
            <w:r>
              <w:rPr>
                <w:rFonts w:hint="eastAsia"/>
                <w:b/>
                <w:color w:val="auto"/>
                <w:sz w:val="24"/>
              </w:rPr>
              <w:t>-10</w:t>
            </w:r>
            <w:r>
              <w:rPr>
                <w:b/>
                <w:color w:val="auto"/>
                <w:sz w:val="24"/>
              </w:rPr>
              <w:t xml:space="preserve"> </w:t>
            </w:r>
            <w:r>
              <w:rPr>
                <w:rFonts w:hint="eastAsia"/>
                <w:b/>
                <w:color w:val="auto"/>
                <w:sz w:val="24"/>
              </w:rPr>
              <w:t>干式过滤器</w:t>
            </w:r>
            <w:r>
              <w:rPr>
                <w:b/>
                <w:color w:val="auto"/>
                <w:sz w:val="24"/>
              </w:rPr>
              <w:t>装置主要设计参数表</w:t>
            </w:r>
          </w:p>
          <w:tbl>
            <w:tblPr>
              <w:tblStyle w:val="8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4321"/>
              <w:gridCol w:w="2785"/>
            </w:tblGrid>
            <w:tr w14:paraId="755B6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12" w:type="pct"/>
                  <w:vAlign w:val="center"/>
                </w:tcPr>
                <w:p w14:paraId="498C9F28">
                  <w:pPr>
                    <w:tabs>
                      <w:tab w:val="left" w:pos="840"/>
                    </w:tabs>
                    <w:adjustRightInd w:val="0"/>
                    <w:snapToGrid w:val="0"/>
                    <w:jc w:val="center"/>
                    <w:rPr>
                      <w:b/>
                      <w:bCs/>
                      <w:color w:val="auto"/>
                      <w:kern w:val="0"/>
                    </w:rPr>
                  </w:pPr>
                  <w:r>
                    <w:rPr>
                      <w:b/>
                      <w:bCs/>
                      <w:color w:val="auto"/>
                      <w:kern w:val="0"/>
                    </w:rPr>
                    <w:t>序号</w:t>
                  </w:r>
                </w:p>
              </w:tc>
              <w:tc>
                <w:tcPr>
                  <w:tcW w:w="2546" w:type="pct"/>
                  <w:vAlign w:val="center"/>
                </w:tcPr>
                <w:p w14:paraId="517B2028">
                  <w:pPr>
                    <w:tabs>
                      <w:tab w:val="left" w:pos="840"/>
                    </w:tabs>
                    <w:adjustRightInd w:val="0"/>
                    <w:snapToGrid w:val="0"/>
                    <w:jc w:val="center"/>
                    <w:rPr>
                      <w:b/>
                      <w:bCs/>
                      <w:color w:val="auto"/>
                      <w:kern w:val="0"/>
                    </w:rPr>
                  </w:pPr>
                  <w:r>
                    <w:rPr>
                      <w:b/>
                      <w:bCs/>
                      <w:color w:val="auto"/>
                      <w:kern w:val="0"/>
                    </w:rPr>
                    <w:t>名称</w:t>
                  </w:r>
                </w:p>
              </w:tc>
              <w:tc>
                <w:tcPr>
                  <w:tcW w:w="1641" w:type="pct"/>
                  <w:vAlign w:val="center"/>
                </w:tcPr>
                <w:p w14:paraId="13F1691F">
                  <w:pPr>
                    <w:tabs>
                      <w:tab w:val="left" w:pos="840"/>
                    </w:tabs>
                    <w:jc w:val="center"/>
                    <w:rPr>
                      <w:b/>
                      <w:bCs/>
                      <w:color w:val="auto"/>
                      <w:kern w:val="0"/>
                    </w:rPr>
                  </w:pPr>
                  <w:r>
                    <w:rPr>
                      <w:b/>
                      <w:bCs/>
                      <w:color w:val="auto"/>
                      <w:kern w:val="0"/>
                    </w:rPr>
                    <w:t>规格</w:t>
                  </w:r>
                </w:p>
              </w:tc>
            </w:tr>
            <w:tr w14:paraId="48CE1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12" w:type="pct"/>
                  <w:vAlign w:val="center"/>
                </w:tcPr>
                <w:p w14:paraId="163C92B5">
                  <w:pPr>
                    <w:tabs>
                      <w:tab w:val="left" w:pos="840"/>
                    </w:tabs>
                    <w:adjustRightInd w:val="0"/>
                    <w:snapToGrid w:val="0"/>
                    <w:jc w:val="center"/>
                    <w:rPr>
                      <w:color w:val="auto"/>
                      <w:kern w:val="0"/>
                    </w:rPr>
                  </w:pPr>
                  <w:r>
                    <w:rPr>
                      <w:color w:val="auto"/>
                      <w:kern w:val="0"/>
                    </w:rPr>
                    <w:t>1</w:t>
                  </w:r>
                </w:p>
              </w:tc>
              <w:tc>
                <w:tcPr>
                  <w:tcW w:w="2546" w:type="pct"/>
                  <w:vAlign w:val="center"/>
                </w:tcPr>
                <w:p w14:paraId="5D8FCF08">
                  <w:pPr>
                    <w:tabs>
                      <w:tab w:val="left" w:pos="840"/>
                    </w:tabs>
                    <w:adjustRightInd w:val="0"/>
                    <w:snapToGrid w:val="0"/>
                    <w:jc w:val="center"/>
                    <w:rPr>
                      <w:color w:val="auto"/>
                      <w:kern w:val="0"/>
                    </w:rPr>
                  </w:pPr>
                  <w:r>
                    <w:rPr>
                      <w:color w:val="auto"/>
                      <w:kern w:val="0"/>
                    </w:rPr>
                    <w:t>干式漆雾处理箱尺寸</w:t>
                  </w:r>
                </w:p>
              </w:tc>
              <w:tc>
                <w:tcPr>
                  <w:tcW w:w="1641" w:type="pct"/>
                  <w:vAlign w:val="center"/>
                </w:tcPr>
                <w:p w14:paraId="48F4D894">
                  <w:pPr>
                    <w:widowControl/>
                    <w:adjustRightInd w:val="0"/>
                    <w:snapToGrid w:val="0"/>
                    <w:jc w:val="center"/>
                    <w:rPr>
                      <w:color w:val="auto"/>
                      <w:kern w:val="0"/>
                      <w:szCs w:val="21"/>
                    </w:rPr>
                  </w:pPr>
                  <w:r>
                    <w:rPr>
                      <w:color w:val="auto"/>
                      <w:kern w:val="0"/>
                      <w:szCs w:val="21"/>
                      <w:lang w:bidi="ar"/>
                    </w:rPr>
                    <w:t>L</w:t>
                  </w:r>
                  <w:r>
                    <w:rPr>
                      <w:rFonts w:hint="eastAsia"/>
                      <w:color w:val="auto"/>
                      <w:kern w:val="0"/>
                      <w:szCs w:val="21"/>
                      <w:lang w:bidi="ar"/>
                    </w:rPr>
                    <w:t>2</w:t>
                  </w:r>
                  <w:r>
                    <w:rPr>
                      <w:color w:val="auto"/>
                      <w:kern w:val="0"/>
                      <w:szCs w:val="21"/>
                      <w:lang w:bidi="ar"/>
                    </w:rPr>
                    <w:t>000×W1000×H</w:t>
                  </w:r>
                  <w:r>
                    <w:rPr>
                      <w:rFonts w:hint="eastAsia"/>
                      <w:color w:val="auto"/>
                      <w:kern w:val="0"/>
                      <w:szCs w:val="21"/>
                      <w:lang w:bidi="ar"/>
                    </w:rPr>
                    <w:t>1</w:t>
                  </w:r>
                  <w:r>
                    <w:rPr>
                      <w:color w:val="auto"/>
                      <w:kern w:val="0"/>
                      <w:szCs w:val="21"/>
                      <w:lang w:bidi="ar"/>
                    </w:rPr>
                    <w:t>400mm</w:t>
                  </w:r>
                </w:p>
              </w:tc>
            </w:tr>
            <w:tr w14:paraId="2F0A3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12" w:type="pct"/>
                  <w:vAlign w:val="center"/>
                </w:tcPr>
                <w:p w14:paraId="5A3EEA18">
                  <w:pPr>
                    <w:tabs>
                      <w:tab w:val="left" w:pos="840"/>
                    </w:tabs>
                    <w:adjustRightInd w:val="0"/>
                    <w:snapToGrid w:val="0"/>
                    <w:jc w:val="center"/>
                    <w:rPr>
                      <w:color w:val="auto"/>
                      <w:kern w:val="0"/>
                    </w:rPr>
                  </w:pPr>
                  <w:r>
                    <w:rPr>
                      <w:color w:val="auto"/>
                      <w:kern w:val="0"/>
                    </w:rPr>
                    <w:t>2</w:t>
                  </w:r>
                </w:p>
              </w:tc>
              <w:tc>
                <w:tcPr>
                  <w:tcW w:w="2546" w:type="pct"/>
                  <w:vAlign w:val="center"/>
                </w:tcPr>
                <w:p w14:paraId="36B89BAC">
                  <w:pPr>
                    <w:tabs>
                      <w:tab w:val="left" w:pos="840"/>
                    </w:tabs>
                    <w:adjustRightInd w:val="0"/>
                    <w:snapToGrid w:val="0"/>
                    <w:jc w:val="center"/>
                    <w:rPr>
                      <w:color w:val="auto"/>
                      <w:kern w:val="0"/>
                    </w:rPr>
                  </w:pPr>
                  <w:r>
                    <w:rPr>
                      <w:color w:val="auto"/>
                      <w:kern w:val="0"/>
                    </w:rPr>
                    <w:t>漆雾净化率</w:t>
                  </w:r>
                </w:p>
              </w:tc>
              <w:tc>
                <w:tcPr>
                  <w:tcW w:w="1641" w:type="pct"/>
                  <w:vAlign w:val="center"/>
                </w:tcPr>
                <w:p w14:paraId="279D6712">
                  <w:pPr>
                    <w:tabs>
                      <w:tab w:val="left" w:pos="840"/>
                    </w:tabs>
                    <w:adjustRightInd w:val="0"/>
                    <w:snapToGrid w:val="0"/>
                    <w:jc w:val="center"/>
                    <w:rPr>
                      <w:color w:val="auto"/>
                      <w:kern w:val="0"/>
                    </w:rPr>
                  </w:pPr>
                  <w:r>
                    <w:rPr>
                      <w:rFonts w:hint="eastAsia"/>
                      <w:color w:val="auto"/>
                      <w:kern w:val="0"/>
                      <w:lang w:eastAsia="zh-CN"/>
                    </w:rPr>
                    <w:t>&gt;</w:t>
                  </w:r>
                  <w:r>
                    <w:rPr>
                      <w:color w:val="auto"/>
                      <w:kern w:val="0"/>
                    </w:rPr>
                    <w:t>90%</w:t>
                  </w:r>
                </w:p>
              </w:tc>
            </w:tr>
            <w:tr w14:paraId="0CBCE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12" w:type="pct"/>
                  <w:vAlign w:val="center"/>
                </w:tcPr>
                <w:p w14:paraId="3355C9E3">
                  <w:pPr>
                    <w:tabs>
                      <w:tab w:val="left" w:pos="840"/>
                    </w:tabs>
                    <w:adjustRightInd w:val="0"/>
                    <w:snapToGrid w:val="0"/>
                    <w:jc w:val="center"/>
                    <w:rPr>
                      <w:color w:val="auto"/>
                      <w:kern w:val="0"/>
                    </w:rPr>
                  </w:pPr>
                  <w:r>
                    <w:rPr>
                      <w:color w:val="auto"/>
                      <w:kern w:val="0"/>
                    </w:rPr>
                    <w:t>3</w:t>
                  </w:r>
                </w:p>
              </w:tc>
              <w:tc>
                <w:tcPr>
                  <w:tcW w:w="2546" w:type="pct"/>
                  <w:vAlign w:val="center"/>
                </w:tcPr>
                <w:p w14:paraId="57D6C896">
                  <w:pPr>
                    <w:tabs>
                      <w:tab w:val="left" w:pos="840"/>
                    </w:tabs>
                    <w:adjustRightInd w:val="0"/>
                    <w:snapToGrid w:val="0"/>
                    <w:jc w:val="center"/>
                    <w:rPr>
                      <w:color w:val="auto"/>
                      <w:kern w:val="0"/>
                    </w:rPr>
                  </w:pPr>
                  <w:r>
                    <w:rPr>
                      <w:color w:val="auto"/>
                      <w:kern w:val="0"/>
                    </w:rPr>
                    <w:t>风速</w:t>
                  </w:r>
                </w:p>
              </w:tc>
              <w:tc>
                <w:tcPr>
                  <w:tcW w:w="1641" w:type="pct"/>
                  <w:vAlign w:val="center"/>
                </w:tcPr>
                <w:p w14:paraId="5D796151">
                  <w:pPr>
                    <w:tabs>
                      <w:tab w:val="left" w:pos="840"/>
                    </w:tabs>
                    <w:adjustRightInd w:val="0"/>
                    <w:snapToGrid w:val="0"/>
                    <w:jc w:val="center"/>
                    <w:rPr>
                      <w:color w:val="auto"/>
                      <w:kern w:val="0"/>
                    </w:rPr>
                  </w:pPr>
                  <w:r>
                    <w:rPr>
                      <w:color w:val="auto"/>
                      <w:kern w:val="0"/>
                    </w:rPr>
                    <w:t>0.45</w:t>
                  </w:r>
                  <w:r>
                    <w:rPr>
                      <w:rFonts w:hint="eastAsia"/>
                      <w:color w:val="auto"/>
                      <w:kern w:val="0"/>
                      <w:lang w:eastAsia="zh-CN"/>
                    </w:rPr>
                    <w:t>—</w:t>
                  </w:r>
                  <w:r>
                    <w:rPr>
                      <w:color w:val="auto"/>
                      <w:kern w:val="0"/>
                    </w:rPr>
                    <w:t>0.5m/s</w:t>
                  </w:r>
                </w:p>
              </w:tc>
            </w:tr>
            <w:tr w14:paraId="5245F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12" w:type="pct"/>
                  <w:vAlign w:val="center"/>
                </w:tcPr>
                <w:p w14:paraId="37BCF4C4">
                  <w:pPr>
                    <w:tabs>
                      <w:tab w:val="left" w:pos="840"/>
                    </w:tabs>
                    <w:adjustRightInd w:val="0"/>
                    <w:snapToGrid w:val="0"/>
                    <w:jc w:val="center"/>
                    <w:rPr>
                      <w:color w:val="auto"/>
                      <w:kern w:val="0"/>
                    </w:rPr>
                  </w:pPr>
                  <w:r>
                    <w:rPr>
                      <w:color w:val="auto"/>
                      <w:kern w:val="0"/>
                    </w:rPr>
                    <w:t>4</w:t>
                  </w:r>
                </w:p>
              </w:tc>
              <w:tc>
                <w:tcPr>
                  <w:tcW w:w="2546" w:type="pct"/>
                  <w:vAlign w:val="center"/>
                </w:tcPr>
                <w:p w14:paraId="5DEA11D5">
                  <w:pPr>
                    <w:tabs>
                      <w:tab w:val="left" w:pos="840"/>
                    </w:tabs>
                    <w:adjustRightInd w:val="0"/>
                    <w:snapToGrid w:val="0"/>
                    <w:jc w:val="center"/>
                    <w:rPr>
                      <w:color w:val="auto"/>
                      <w:kern w:val="0"/>
                    </w:rPr>
                  </w:pPr>
                  <w:r>
                    <w:rPr>
                      <w:color w:val="auto"/>
                      <w:kern w:val="0"/>
                    </w:rPr>
                    <w:t>风机风量</w:t>
                  </w:r>
                </w:p>
              </w:tc>
              <w:tc>
                <w:tcPr>
                  <w:tcW w:w="1641" w:type="pct"/>
                  <w:vAlign w:val="center"/>
                </w:tcPr>
                <w:p w14:paraId="579649D4">
                  <w:pPr>
                    <w:tabs>
                      <w:tab w:val="left" w:pos="284"/>
                      <w:tab w:val="left" w:pos="840"/>
                      <w:tab w:val="center" w:pos="1421"/>
                    </w:tabs>
                    <w:adjustRightInd w:val="0"/>
                    <w:snapToGrid w:val="0"/>
                    <w:jc w:val="center"/>
                    <w:rPr>
                      <w:color w:val="auto"/>
                      <w:kern w:val="0"/>
                    </w:rPr>
                  </w:pPr>
                  <w:r>
                    <w:rPr>
                      <w:rFonts w:hint="eastAsia"/>
                      <w:color w:val="auto"/>
                      <w:szCs w:val="21"/>
                    </w:rPr>
                    <w:t>1000</w:t>
                  </w:r>
                  <w:r>
                    <w:rPr>
                      <w:color w:val="auto"/>
                      <w:szCs w:val="21"/>
                    </w:rPr>
                    <w:t>m</w:t>
                  </w:r>
                  <w:r>
                    <w:rPr>
                      <w:color w:val="auto"/>
                      <w:szCs w:val="21"/>
                      <w:vertAlign w:val="superscript"/>
                    </w:rPr>
                    <w:t>3</w:t>
                  </w:r>
                  <w:r>
                    <w:rPr>
                      <w:color w:val="auto"/>
                      <w:szCs w:val="21"/>
                    </w:rPr>
                    <w:t>/h（变频）</w:t>
                  </w:r>
                </w:p>
              </w:tc>
            </w:tr>
            <w:tr w14:paraId="43593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12" w:type="pct"/>
                  <w:vAlign w:val="center"/>
                </w:tcPr>
                <w:p w14:paraId="334E1EEC">
                  <w:pPr>
                    <w:tabs>
                      <w:tab w:val="left" w:pos="840"/>
                    </w:tabs>
                    <w:adjustRightInd w:val="0"/>
                    <w:snapToGrid w:val="0"/>
                    <w:jc w:val="center"/>
                    <w:rPr>
                      <w:color w:val="auto"/>
                      <w:kern w:val="0"/>
                    </w:rPr>
                  </w:pPr>
                  <w:r>
                    <w:rPr>
                      <w:color w:val="auto"/>
                      <w:kern w:val="0"/>
                    </w:rPr>
                    <w:t>5</w:t>
                  </w:r>
                </w:p>
              </w:tc>
              <w:tc>
                <w:tcPr>
                  <w:tcW w:w="2546" w:type="pct"/>
                  <w:vAlign w:val="center"/>
                </w:tcPr>
                <w:p w14:paraId="4668478E">
                  <w:pPr>
                    <w:tabs>
                      <w:tab w:val="left" w:pos="840"/>
                    </w:tabs>
                    <w:adjustRightInd w:val="0"/>
                    <w:snapToGrid w:val="0"/>
                    <w:jc w:val="center"/>
                    <w:rPr>
                      <w:color w:val="auto"/>
                      <w:kern w:val="0"/>
                    </w:rPr>
                  </w:pPr>
                  <w:r>
                    <w:rPr>
                      <w:color w:val="auto"/>
                      <w:kern w:val="0"/>
                    </w:rPr>
                    <w:t>数量</w:t>
                  </w:r>
                </w:p>
              </w:tc>
              <w:tc>
                <w:tcPr>
                  <w:tcW w:w="1641" w:type="pct"/>
                  <w:vAlign w:val="center"/>
                </w:tcPr>
                <w:p w14:paraId="37CE726A">
                  <w:pPr>
                    <w:tabs>
                      <w:tab w:val="left" w:pos="284"/>
                      <w:tab w:val="left" w:pos="840"/>
                      <w:tab w:val="center" w:pos="1421"/>
                    </w:tabs>
                    <w:adjustRightInd w:val="0"/>
                    <w:snapToGrid w:val="0"/>
                    <w:jc w:val="center"/>
                    <w:rPr>
                      <w:color w:val="auto"/>
                      <w:szCs w:val="21"/>
                    </w:rPr>
                  </w:pPr>
                  <w:r>
                    <w:rPr>
                      <w:rFonts w:hint="eastAsia"/>
                      <w:color w:val="auto"/>
                      <w:szCs w:val="21"/>
                    </w:rPr>
                    <w:t>1</w:t>
                  </w:r>
                  <w:r>
                    <w:rPr>
                      <w:color w:val="auto"/>
                      <w:szCs w:val="21"/>
                    </w:rPr>
                    <w:t>套</w:t>
                  </w:r>
                </w:p>
              </w:tc>
            </w:tr>
          </w:tbl>
          <w:p w14:paraId="42951E8F">
            <w:pPr>
              <w:widowControl/>
              <w:adjustRightInd w:val="0"/>
              <w:snapToGrid w:val="0"/>
              <w:jc w:val="center"/>
              <w:rPr>
                <w:b/>
                <w:color w:val="auto"/>
                <w:kern w:val="0"/>
                <w:sz w:val="24"/>
              </w:rPr>
            </w:pPr>
            <w:r>
              <w:rPr>
                <w:b/>
                <w:color w:val="auto"/>
                <w:kern w:val="0"/>
                <w:sz w:val="24"/>
              </w:rPr>
              <w:t>表4</w:t>
            </w:r>
            <w:r>
              <w:rPr>
                <w:rFonts w:hint="eastAsia"/>
                <w:b/>
                <w:color w:val="auto"/>
                <w:kern w:val="0"/>
                <w:sz w:val="24"/>
              </w:rPr>
              <w:t>-11 4#厂房木工车间</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3120"/>
              <w:gridCol w:w="4000"/>
            </w:tblGrid>
            <w:tr w14:paraId="59A2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26824CD0">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13DCD140">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738E3831">
                  <w:pPr>
                    <w:widowControl/>
                    <w:adjustRightInd w:val="0"/>
                    <w:snapToGrid w:val="0"/>
                    <w:jc w:val="center"/>
                    <w:rPr>
                      <w:b/>
                      <w:bCs/>
                      <w:color w:val="auto"/>
                      <w:spacing w:val="-10"/>
                      <w:szCs w:val="21"/>
                    </w:rPr>
                  </w:pPr>
                  <w:r>
                    <w:rPr>
                      <w:b/>
                      <w:bCs/>
                      <w:color w:val="auto"/>
                      <w:szCs w:val="21"/>
                    </w:rPr>
                    <w:t>参数指标</w:t>
                  </w:r>
                </w:p>
              </w:tc>
            </w:tr>
            <w:tr w14:paraId="0943B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3435A5BE">
                  <w:pPr>
                    <w:tabs>
                      <w:tab w:val="left" w:pos="840"/>
                    </w:tabs>
                    <w:adjustRightInd w:val="0"/>
                    <w:snapToGrid w:val="0"/>
                    <w:jc w:val="center"/>
                    <w:rPr>
                      <w:color w:val="auto"/>
                      <w:szCs w:val="21"/>
                    </w:rPr>
                  </w:pPr>
                  <w:r>
                    <w:rPr>
                      <w:color w:val="auto"/>
                      <w:kern w:val="0"/>
                    </w:rPr>
                    <w:t>1</w:t>
                  </w:r>
                </w:p>
              </w:tc>
              <w:tc>
                <w:tcPr>
                  <w:tcW w:w="1838" w:type="pct"/>
                  <w:vAlign w:val="center"/>
                </w:tcPr>
                <w:p w14:paraId="47CFB08D">
                  <w:pPr>
                    <w:widowControl/>
                    <w:adjustRightInd w:val="0"/>
                    <w:snapToGrid w:val="0"/>
                    <w:jc w:val="center"/>
                    <w:rPr>
                      <w:color w:val="auto"/>
                      <w:szCs w:val="21"/>
                    </w:rPr>
                  </w:pPr>
                  <w:r>
                    <w:rPr>
                      <w:color w:val="auto"/>
                      <w:szCs w:val="21"/>
                    </w:rPr>
                    <w:t>尺寸</w:t>
                  </w:r>
                </w:p>
              </w:tc>
              <w:tc>
                <w:tcPr>
                  <w:tcW w:w="2356" w:type="pct"/>
                  <w:vAlign w:val="center"/>
                </w:tcPr>
                <w:p w14:paraId="007558C1">
                  <w:pPr>
                    <w:widowControl/>
                    <w:adjustRightInd w:val="0"/>
                    <w:snapToGrid w:val="0"/>
                    <w:jc w:val="center"/>
                    <w:rPr>
                      <w:color w:val="auto"/>
                      <w:szCs w:val="21"/>
                    </w:rPr>
                  </w:pPr>
                  <w:r>
                    <w:rPr>
                      <w:rFonts w:hint="eastAsia"/>
                      <w:color w:val="auto"/>
                      <w:szCs w:val="21"/>
                    </w:rPr>
                    <w:t>7</w:t>
                  </w:r>
                  <w:r>
                    <w:rPr>
                      <w:color w:val="auto"/>
                      <w:szCs w:val="21"/>
                    </w:rPr>
                    <w:t>00×</w:t>
                  </w:r>
                  <w:r>
                    <w:rPr>
                      <w:rFonts w:hint="eastAsia"/>
                      <w:color w:val="auto"/>
                      <w:szCs w:val="21"/>
                    </w:rPr>
                    <w:t>500</w:t>
                  </w:r>
                  <w:r>
                    <w:rPr>
                      <w:color w:val="auto"/>
                      <w:szCs w:val="21"/>
                    </w:rPr>
                    <w:t>×</w:t>
                  </w:r>
                  <w:r>
                    <w:rPr>
                      <w:rFonts w:hint="eastAsia"/>
                      <w:color w:val="auto"/>
                      <w:szCs w:val="21"/>
                    </w:rPr>
                    <w:t>6</w:t>
                  </w:r>
                  <w:r>
                    <w:rPr>
                      <w:color w:val="auto"/>
                      <w:szCs w:val="21"/>
                    </w:rPr>
                    <w:t>00mm×</w:t>
                  </w:r>
                  <w:r>
                    <w:rPr>
                      <w:rFonts w:hint="eastAsia"/>
                      <w:color w:val="auto"/>
                      <w:szCs w:val="21"/>
                    </w:rPr>
                    <w:t>2</w:t>
                  </w:r>
                  <w:r>
                    <w:rPr>
                      <w:color w:val="auto"/>
                      <w:szCs w:val="21"/>
                    </w:rPr>
                    <w:t>套</w:t>
                  </w:r>
                </w:p>
              </w:tc>
            </w:tr>
            <w:tr w14:paraId="71EDC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61" w:type="dxa"/>
                  <w:vAlign w:val="center"/>
                </w:tcPr>
                <w:p w14:paraId="7A0D1B8A">
                  <w:pPr>
                    <w:tabs>
                      <w:tab w:val="left" w:pos="840"/>
                    </w:tabs>
                    <w:adjustRightInd w:val="0"/>
                    <w:snapToGrid w:val="0"/>
                    <w:jc w:val="center"/>
                    <w:rPr>
                      <w:color w:val="auto"/>
                      <w:szCs w:val="21"/>
                    </w:rPr>
                  </w:pPr>
                  <w:r>
                    <w:rPr>
                      <w:color w:val="auto"/>
                      <w:kern w:val="0"/>
                    </w:rPr>
                    <w:t>2</w:t>
                  </w:r>
                </w:p>
              </w:tc>
              <w:tc>
                <w:tcPr>
                  <w:tcW w:w="1838" w:type="pct"/>
                  <w:vAlign w:val="center"/>
                </w:tcPr>
                <w:p w14:paraId="05C188CA">
                  <w:pPr>
                    <w:widowControl/>
                    <w:adjustRightInd w:val="0"/>
                    <w:snapToGrid w:val="0"/>
                    <w:jc w:val="center"/>
                    <w:rPr>
                      <w:color w:val="auto"/>
                      <w:szCs w:val="21"/>
                    </w:rPr>
                  </w:pPr>
                  <w:r>
                    <w:rPr>
                      <w:color w:val="auto"/>
                      <w:szCs w:val="21"/>
                    </w:rPr>
                    <w:t>风机风量</w:t>
                  </w:r>
                </w:p>
              </w:tc>
              <w:tc>
                <w:tcPr>
                  <w:tcW w:w="2356" w:type="pct"/>
                  <w:vAlign w:val="center"/>
                </w:tcPr>
                <w:p w14:paraId="52B0AD0A">
                  <w:pPr>
                    <w:widowControl/>
                    <w:adjustRightInd w:val="0"/>
                    <w:snapToGrid w:val="0"/>
                    <w:jc w:val="center"/>
                    <w:rPr>
                      <w:color w:val="auto"/>
                      <w:szCs w:val="21"/>
                    </w:rPr>
                  </w:pPr>
                  <w:r>
                    <w:rPr>
                      <w:rFonts w:hint="eastAsia"/>
                      <w:color w:val="auto"/>
                      <w:szCs w:val="21"/>
                    </w:rPr>
                    <w:t>10000</w:t>
                  </w:r>
                  <w:r>
                    <w:rPr>
                      <w:color w:val="auto"/>
                      <w:szCs w:val="21"/>
                    </w:rPr>
                    <w:t>m</w:t>
                  </w:r>
                  <w:r>
                    <w:rPr>
                      <w:color w:val="auto"/>
                      <w:szCs w:val="21"/>
                      <w:vertAlign w:val="superscript"/>
                    </w:rPr>
                    <w:t>3</w:t>
                  </w:r>
                  <w:r>
                    <w:rPr>
                      <w:color w:val="auto"/>
                      <w:szCs w:val="21"/>
                    </w:rPr>
                    <w:t xml:space="preserve"> /h</w:t>
                  </w:r>
                </w:p>
              </w:tc>
            </w:tr>
            <w:tr w14:paraId="3EF50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7FF0526">
                  <w:pPr>
                    <w:widowControl/>
                    <w:adjustRightInd w:val="0"/>
                    <w:snapToGrid w:val="0"/>
                    <w:jc w:val="center"/>
                    <w:rPr>
                      <w:color w:val="auto"/>
                      <w:szCs w:val="21"/>
                    </w:rPr>
                  </w:pPr>
                  <w:r>
                    <w:rPr>
                      <w:color w:val="auto"/>
                      <w:szCs w:val="21"/>
                    </w:rPr>
                    <w:t>3</w:t>
                  </w:r>
                </w:p>
              </w:tc>
              <w:tc>
                <w:tcPr>
                  <w:tcW w:w="3204" w:type="dxa"/>
                  <w:vAlign w:val="center"/>
                </w:tcPr>
                <w:p w14:paraId="0F481FD4">
                  <w:pPr>
                    <w:widowControl/>
                    <w:adjustRightInd w:val="0"/>
                    <w:snapToGrid w:val="0"/>
                    <w:jc w:val="center"/>
                    <w:rPr>
                      <w:color w:val="auto"/>
                      <w:szCs w:val="21"/>
                    </w:rPr>
                  </w:pPr>
                  <w:r>
                    <w:rPr>
                      <w:color w:val="auto"/>
                      <w:szCs w:val="21"/>
                    </w:rPr>
                    <w:t>空塔流速</w:t>
                  </w:r>
                </w:p>
              </w:tc>
              <w:tc>
                <w:tcPr>
                  <w:tcW w:w="4108" w:type="dxa"/>
                  <w:vAlign w:val="center"/>
                </w:tcPr>
                <w:p w14:paraId="2D8D4505">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34B1F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5BF0DEC">
                  <w:pPr>
                    <w:widowControl/>
                    <w:adjustRightInd w:val="0"/>
                    <w:snapToGrid w:val="0"/>
                    <w:jc w:val="center"/>
                    <w:rPr>
                      <w:color w:val="auto"/>
                      <w:szCs w:val="21"/>
                    </w:rPr>
                  </w:pPr>
                  <w:r>
                    <w:rPr>
                      <w:color w:val="auto"/>
                      <w:szCs w:val="21"/>
                    </w:rPr>
                    <w:t>4</w:t>
                  </w:r>
                </w:p>
              </w:tc>
              <w:tc>
                <w:tcPr>
                  <w:tcW w:w="1838" w:type="pct"/>
                  <w:vAlign w:val="center"/>
                </w:tcPr>
                <w:p w14:paraId="6DE517AC">
                  <w:pPr>
                    <w:widowControl/>
                    <w:adjustRightInd w:val="0"/>
                    <w:snapToGrid w:val="0"/>
                    <w:jc w:val="center"/>
                    <w:rPr>
                      <w:color w:val="auto"/>
                      <w:szCs w:val="21"/>
                    </w:rPr>
                  </w:pPr>
                  <w:r>
                    <w:rPr>
                      <w:color w:val="auto"/>
                      <w:szCs w:val="21"/>
                    </w:rPr>
                    <w:t>碘值</w:t>
                  </w:r>
                </w:p>
              </w:tc>
              <w:tc>
                <w:tcPr>
                  <w:tcW w:w="2356" w:type="pct"/>
                  <w:vAlign w:val="center"/>
                </w:tcPr>
                <w:p w14:paraId="76939747">
                  <w:pPr>
                    <w:widowControl/>
                    <w:adjustRightInd w:val="0"/>
                    <w:snapToGrid w:val="0"/>
                    <w:jc w:val="center"/>
                    <w:rPr>
                      <w:color w:val="auto"/>
                      <w:szCs w:val="21"/>
                    </w:rPr>
                  </w:pPr>
                  <w:r>
                    <w:rPr>
                      <w:color w:val="auto"/>
                      <w:szCs w:val="21"/>
                    </w:rPr>
                    <w:t>800</w:t>
                  </w:r>
                  <w:r>
                    <w:rPr>
                      <w:bCs/>
                      <w:color w:val="auto"/>
                      <w:spacing w:val="-10"/>
                      <w:szCs w:val="21"/>
                    </w:rPr>
                    <w:t>mg/g</w:t>
                  </w:r>
                </w:p>
              </w:tc>
            </w:tr>
            <w:tr w14:paraId="1D4CC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593DEBB">
                  <w:pPr>
                    <w:widowControl/>
                    <w:adjustRightInd w:val="0"/>
                    <w:snapToGrid w:val="0"/>
                    <w:jc w:val="center"/>
                    <w:rPr>
                      <w:color w:val="auto"/>
                      <w:szCs w:val="21"/>
                    </w:rPr>
                  </w:pPr>
                  <w:r>
                    <w:rPr>
                      <w:color w:val="auto"/>
                      <w:szCs w:val="21"/>
                    </w:rPr>
                    <w:t>5</w:t>
                  </w:r>
                </w:p>
              </w:tc>
              <w:tc>
                <w:tcPr>
                  <w:tcW w:w="1838" w:type="pct"/>
                  <w:vAlign w:val="center"/>
                </w:tcPr>
                <w:p w14:paraId="51F85734">
                  <w:pPr>
                    <w:widowControl/>
                    <w:adjustRightInd w:val="0"/>
                    <w:snapToGrid w:val="0"/>
                    <w:jc w:val="center"/>
                    <w:rPr>
                      <w:color w:val="auto"/>
                      <w:szCs w:val="21"/>
                    </w:rPr>
                  </w:pPr>
                  <w:r>
                    <w:rPr>
                      <w:color w:val="auto"/>
                      <w:szCs w:val="21"/>
                    </w:rPr>
                    <w:t>更换频次</w:t>
                  </w:r>
                </w:p>
              </w:tc>
              <w:tc>
                <w:tcPr>
                  <w:tcW w:w="2356" w:type="pct"/>
                  <w:vAlign w:val="center"/>
                </w:tcPr>
                <w:p w14:paraId="7D6733E5">
                  <w:pPr>
                    <w:widowControl/>
                    <w:adjustRightInd w:val="0"/>
                    <w:snapToGrid w:val="0"/>
                    <w:jc w:val="center"/>
                    <w:rPr>
                      <w:color w:val="auto"/>
                      <w:szCs w:val="21"/>
                    </w:rPr>
                  </w:pPr>
                  <w:r>
                    <w:rPr>
                      <w:color w:val="auto"/>
                      <w:szCs w:val="21"/>
                    </w:rPr>
                    <w:t>每</w:t>
                  </w:r>
                  <w:r>
                    <w:rPr>
                      <w:rFonts w:hint="eastAsia"/>
                      <w:color w:val="auto"/>
                      <w:szCs w:val="21"/>
                    </w:rPr>
                    <w:t>8</w:t>
                  </w:r>
                  <w:r>
                    <w:rPr>
                      <w:rFonts w:hint="eastAsia"/>
                      <w:color w:val="auto"/>
                      <w:szCs w:val="21"/>
                      <w:lang w:val="en-US" w:eastAsia="zh-CN"/>
                    </w:rPr>
                    <w:t>0</w:t>
                  </w:r>
                  <w:r>
                    <w:rPr>
                      <w:rFonts w:hint="eastAsia"/>
                      <w:color w:val="auto"/>
                      <w:szCs w:val="21"/>
                    </w:rPr>
                    <w:t>天更换一次</w:t>
                  </w:r>
                </w:p>
              </w:tc>
            </w:tr>
            <w:tr w14:paraId="2DDFB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1D8059BB">
                  <w:pPr>
                    <w:widowControl/>
                    <w:adjustRightInd w:val="0"/>
                    <w:snapToGrid w:val="0"/>
                    <w:jc w:val="center"/>
                    <w:rPr>
                      <w:color w:val="auto"/>
                      <w:szCs w:val="21"/>
                    </w:rPr>
                  </w:pPr>
                  <w:r>
                    <w:rPr>
                      <w:color w:val="auto"/>
                      <w:szCs w:val="21"/>
                    </w:rPr>
                    <w:t>6</w:t>
                  </w:r>
                </w:p>
              </w:tc>
              <w:tc>
                <w:tcPr>
                  <w:tcW w:w="1838" w:type="pct"/>
                  <w:vAlign w:val="center"/>
                </w:tcPr>
                <w:p w14:paraId="7CA7DA1A">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0B5FCF61">
                  <w:pPr>
                    <w:widowControl/>
                    <w:adjustRightInd w:val="0"/>
                    <w:snapToGrid w:val="0"/>
                    <w:jc w:val="center"/>
                    <w:rPr>
                      <w:color w:val="auto"/>
                      <w:szCs w:val="21"/>
                    </w:rPr>
                  </w:pPr>
                  <w:r>
                    <w:rPr>
                      <w:rFonts w:hint="eastAsia"/>
                      <w:color w:val="auto"/>
                      <w:szCs w:val="21"/>
                      <w:lang w:eastAsia="zh-CN"/>
                    </w:rPr>
                    <w:t>15.</w:t>
                  </w:r>
                  <w:r>
                    <w:rPr>
                      <w:color w:val="auto"/>
                      <w:szCs w:val="21"/>
                    </w:rPr>
                    <w:t>kg</w:t>
                  </w:r>
                </w:p>
              </w:tc>
            </w:tr>
            <w:tr w14:paraId="30876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351BCA4">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6D39DD01">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574DEB32">
                  <w:pPr>
                    <w:widowControl/>
                    <w:adjustRightInd w:val="0"/>
                    <w:snapToGrid w:val="0"/>
                    <w:jc w:val="center"/>
                    <w:rPr>
                      <w:bCs/>
                      <w:color w:val="auto"/>
                      <w:spacing w:val="-10"/>
                      <w:szCs w:val="21"/>
                    </w:rPr>
                  </w:pPr>
                  <w:r>
                    <w:rPr>
                      <w:color w:val="auto"/>
                      <w:szCs w:val="21"/>
                    </w:rPr>
                    <w:t>蜂窝活性炭</w:t>
                  </w:r>
                </w:p>
              </w:tc>
            </w:tr>
          </w:tbl>
          <w:p w14:paraId="3F6D03B7">
            <w:pPr>
              <w:widowControl/>
              <w:adjustRightInd w:val="0"/>
              <w:snapToGrid w:val="0"/>
              <w:jc w:val="center"/>
              <w:rPr>
                <w:b/>
                <w:color w:val="auto"/>
                <w:kern w:val="0"/>
                <w:sz w:val="24"/>
              </w:rPr>
            </w:pPr>
            <w:r>
              <w:rPr>
                <w:b/>
                <w:color w:val="auto"/>
                <w:kern w:val="0"/>
                <w:sz w:val="24"/>
              </w:rPr>
              <w:t>表4</w:t>
            </w:r>
            <w:r>
              <w:rPr>
                <w:rFonts w:hint="eastAsia"/>
                <w:b/>
                <w:color w:val="auto"/>
                <w:kern w:val="0"/>
                <w:sz w:val="24"/>
              </w:rPr>
              <w:t>-12</w:t>
            </w:r>
            <w:r>
              <w:rPr>
                <w:b/>
                <w:color w:val="auto"/>
                <w:kern w:val="0"/>
                <w:sz w:val="24"/>
              </w:rPr>
              <w:t xml:space="preserve"> </w:t>
            </w:r>
            <w:r>
              <w:rPr>
                <w:rFonts w:hint="eastAsia"/>
                <w:b/>
                <w:color w:val="auto"/>
                <w:kern w:val="0"/>
                <w:sz w:val="24"/>
              </w:rPr>
              <w:t>3#厂房油漆车间</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3120"/>
              <w:gridCol w:w="4000"/>
            </w:tblGrid>
            <w:tr w14:paraId="1AB98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43973CEC">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08BD9EFF">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741AA116">
                  <w:pPr>
                    <w:widowControl/>
                    <w:adjustRightInd w:val="0"/>
                    <w:snapToGrid w:val="0"/>
                    <w:jc w:val="center"/>
                    <w:rPr>
                      <w:b/>
                      <w:bCs/>
                      <w:color w:val="auto"/>
                      <w:spacing w:val="-10"/>
                      <w:szCs w:val="21"/>
                    </w:rPr>
                  </w:pPr>
                  <w:r>
                    <w:rPr>
                      <w:b/>
                      <w:bCs/>
                      <w:color w:val="auto"/>
                      <w:szCs w:val="21"/>
                    </w:rPr>
                    <w:t>参数指标</w:t>
                  </w:r>
                </w:p>
              </w:tc>
            </w:tr>
            <w:tr w14:paraId="1F513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246F4C08">
                  <w:pPr>
                    <w:tabs>
                      <w:tab w:val="left" w:pos="840"/>
                    </w:tabs>
                    <w:adjustRightInd w:val="0"/>
                    <w:snapToGrid w:val="0"/>
                    <w:jc w:val="center"/>
                    <w:rPr>
                      <w:color w:val="auto"/>
                      <w:szCs w:val="21"/>
                    </w:rPr>
                  </w:pPr>
                  <w:r>
                    <w:rPr>
                      <w:color w:val="auto"/>
                      <w:kern w:val="0"/>
                    </w:rPr>
                    <w:t>1</w:t>
                  </w:r>
                </w:p>
              </w:tc>
              <w:tc>
                <w:tcPr>
                  <w:tcW w:w="1838" w:type="pct"/>
                  <w:vAlign w:val="center"/>
                </w:tcPr>
                <w:p w14:paraId="74014672">
                  <w:pPr>
                    <w:widowControl/>
                    <w:adjustRightInd w:val="0"/>
                    <w:snapToGrid w:val="0"/>
                    <w:jc w:val="center"/>
                    <w:rPr>
                      <w:color w:val="auto"/>
                      <w:szCs w:val="21"/>
                    </w:rPr>
                  </w:pPr>
                  <w:r>
                    <w:rPr>
                      <w:color w:val="auto"/>
                      <w:szCs w:val="21"/>
                    </w:rPr>
                    <w:t>尺寸</w:t>
                  </w:r>
                </w:p>
              </w:tc>
              <w:tc>
                <w:tcPr>
                  <w:tcW w:w="2356" w:type="pct"/>
                  <w:vAlign w:val="center"/>
                </w:tcPr>
                <w:p w14:paraId="72681D39">
                  <w:pPr>
                    <w:widowControl/>
                    <w:adjustRightInd w:val="0"/>
                    <w:snapToGrid w:val="0"/>
                    <w:jc w:val="center"/>
                    <w:rPr>
                      <w:color w:val="auto"/>
                      <w:szCs w:val="21"/>
                    </w:rPr>
                  </w:pPr>
                  <w:r>
                    <w:rPr>
                      <w:rFonts w:hint="eastAsia"/>
                      <w:color w:val="auto"/>
                      <w:szCs w:val="21"/>
                    </w:rPr>
                    <w:t>18</w:t>
                  </w:r>
                  <w:r>
                    <w:rPr>
                      <w:color w:val="auto"/>
                      <w:szCs w:val="21"/>
                    </w:rPr>
                    <w:t>00×</w:t>
                  </w:r>
                  <w:r>
                    <w:rPr>
                      <w:rFonts w:hint="eastAsia"/>
                      <w:color w:val="auto"/>
                      <w:szCs w:val="21"/>
                    </w:rPr>
                    <w:t>1600</w:t>
                  </w:r>
                  <w:r>
                    <w:rPr>
                      <w:color w:val="auto"/>
                      <w:szCs w:val="21"/>
                    </w:rPr>
                    <w:t>×</w:t>
                  </w:r>
                  <w:r>
                    <w:rPr>
                      <w:rFonts w:hint="eastAsia"/>
                      <w:color w:val="auto"/>
                      <w:szCs w:val="21"/>
                    </w:rPr>
                    <w:t>1</w:t>
                  </w:r>
                  <w:r>
                    <w:rPr>
                      <w:rFonts w:hint="eastAsia"/>
                      <w:color w:val="auto"/>
                      <w:szCs w:val="21"/>
                      <w:lang w:val="en-US" w:eastAsia="zh-CN"/>
                    </w:rPr>
                    <w:t>8</w:t>
                  </w:r>
                  <w:r>
                    <w:rPr>
                      <w:color w:val="auto"/>
                      <w:szCs w:val="21"/>
                    </w:rPr>
                    <w:t>00mm×</w:t>
                  </w:r>
                  <w:r>
                    <w:rPr>
                      <w:rFonts w:hint="eastAsia"/>
                      <w:color w:val="auto"/>
                      <w:szCs w:val="21"/>
                    </w:rPr>
                    <w:t>2</w:t>
                  </w:r>
                  <w:r>
                    <w:rPr>
                      <w:color w:val="auto"/>
                      <w:szCs w:val="21"/>
                    </w:rPr>
                    <w:t>套</w:t>
                  </w:r>
                </w:p>
              </w:tc>
            </w:tr>
            <w:tr w14:paraId="662F4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3CDCA8C5">
                  <w:pPr>
                    <w:tabs>
                      <w:tab w:val="left" w:pos="840"/>
                    </w:tabs>
                    <w:adjustRightInd w:val="0"/>
                    <w:snapToGrid w:val="0"/>
                    <w:jc w:val="center"/>
                    <w:rPr>
                      <w:color w:val="auto"/>
                      <w:szCs w:val="21"/>
                    </w:rPr>
                  </w:pPr>
                  <w:r>
                    <w:rPr>
                      <w:color w:val="auto"/>
                      <w:kern w:val="0"/>
                    </w:rPr>
                    <w:t>2</w:t>
                  </w:r>
                </w:p>
              </w:tc>
              <w:tc>
                <w:tcPr>
                  <w:tcW w:w="1838" w:type="pct"/>
                  <w:vAlign w:val="center"/>
                </w:tcPr>
                <w:p w14:paraId="79C55669">
                  <w:pPr>
                    <w:widowControl/>
                    <w:adjustRightInd w:val="0"/>
                    <w:snapToGrid w:val="0"/>
                    <w:jc w:val="center"/>
                    <w:rPr>
                      <w:color w:val="auto"/>
                      <w:szCs w:val="21"/>
                    </w:rPr>
                  </w:pPr>
                  <w:r>
                    <w:rPr>
                      <w:color w:val="auto"/>
                      <w:szCs w:val="21"/>
                    </w:rPr>
                    <w:t>风机风量</w:t>
                  </w:r>
                </w:p>
              </w:tc>
              <w:tc>
                <w:tcPr>
                  <w:tcW w:w="2356" w:type="pct"/>
                  <w:vAlign w:val="center"/>
                </w:tcPr>
                <w:p w14:paraId="46345C30">
                  <w:pPr>
                    <w:widowControl/>
                    <w:adjustRightInd w:val="0"/>
                    <w:snapToGrid w:val="0"/>
                    <w:jc w:val="center"/>
                    <w:rPr>
                      <w:color w:val="auto"/>
                      <w:szCs w:val="21"/>
                    </w:rPr>
                  </w:pPr>
                  <w:r>
                    <w:rPr>
                      <w:rFonts w:hint="eastAsia"/>
                      <w:color w:val="auto"/>
                      <w:szCs w:val="21"/>
                    </w:rPr>
                    <w:t>15000</w:t>
                  </w:r>
                  <w:r>
                    <w:rPr>
                      <w:color w:val="auto"/>
                      <w:szCs w:val="21"/>
                    </w:rPr>
                    <w:t>m</w:t>
                  </w:r>
                  <w:r>
                    <w:rPr>
                      <w:color w:val="auto"/>
                      <w:szCs w:val="21"/>
                      <w:vertAlign w:val="superscript"/>
                    </w:rPr>
                    <w:t>3</w:t>
                  </w:r>
                  <w:r>
                    <w:rPr>
                      <w:color w:val="auto"/>
                      <w:szCs w:val="21"/>
                    </w:rPr>
                    <w:t xml:space="preserve"> /h</w:t>
                  </w:r>
                </w:p>
              </w:tc>
            </w:tr>
            <w:tr w14:paraId="31F88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3BB2ED8">
                  <w:pPr>
                    <w:widowControl/>
                    <w:adjustRightInd w:val="0"/>
                    <w:snapToGrid w:val="0"/>
                    <w:jc w:val="center"/>
                    <w:rPr>
                      <w:color w:val="auto"/>
                      <w:szCs w:val="21"/>
                    </w:rPr>
                  </w:pPr>
                  <w:r>
                    <w:rPr>
                      <w:color w:val="auto"/>
                      <w:szCs w:val="21"/>
                    </w:rPr>
                    <w:t>3</w:t>
                  </w:r>
                </w:p>
              </w:tc>
              <w:tc>
                <w:tcPr>
                  <w:tcW w:w="3204" w:type="dxa"/>
                  <w:vAlign w:val="center"/>
                </w:tcPr>
                <w:p w14:paraId="4109E0B9">
                  <w:pPr>
                    <w:widowControl/>
                    <w:adjustRightInd w:val="0"/>
                    <w:snapToGrid w:val="0"/>
                    <w:jc w:val="center"/>
                    <w:rPr>
                      <w:color w:val="auto"/>
                      <w:szCs w:val="21"/>
                    </w:rPr>
                  </w:pPr>
                  <w:r>
                    <w:rPr>
                      <w:color w:val="auto"/>
                      <w:szCs w:val="21"/>
                    </w:rPr>
                    <w:t>空塔流速</w:t>
                  </w:r>
                </w:p>
              </w:tc>
              <w:tc>
                <w:tcPr>
                  <w:tcW w:w="4108" w:type="dxa"/>
                  <w:vAlign w:val="center"/>
                </w:tcPr>
                <w:p w14:paraId="7D6668E0">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79BC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0D7C731">
                  <w:pPr>
                    <w:widowControl/>
                    <w:adjustRightInd w:val="0"/>
                    <w:snapToGrid w:val="0"/>
                    <w:jc w:val="center"/>
                    <w:rPr>
                      <w:color w:val="auto"/>
                      <w:szCs w:val="21"/>
                    </w:rPr>
                  </w:pPr>
                  <w:r>
                    <w:rPr>
                      <w:color w:val="auto"/>
                      <w:szCs w:val="21"/>
                    </w:rPr>
                    <w:t>4</w:t>
                  </w:r>
                </w:p>
              </w:tc>
              <w:tc>
                <w:tcPr>
                  <w:tcW w:w="1838" w:type="pct"/>
                  <w:vAlign w:val="center"/>
                </w:tcPr>
                <w:p w14:paraId="09361FD6">
                  <w:pPr>
                    <w:widowControl/>
                    <w:adjustRightInd w:val="0"/>
                    <w:snapToGrid w:val="0"/>
                    <w:jc w:val="center"/>
                    <w:rPr>
                      <w:color w:val="auto"/>
                      <w:szCs w:val="21"/>
                    </w:rPr>
                  </w:pPr>
                  <w:r>
                    <w:rPr>
                      <w:color w:val="auto"/>
                      <w:szCs w:val="21"/>
                    </w:rPr>
                    <w:t>碘值</w:t>
                  </w:r>
                </w:p>
              </w:tc>
              <w:tc>
                <w:tcPr>
                  <w:tcW w:w="2356" w:type="pct"/>
                  <w:vAlign w:val="center"/>
                </w:tcPr>
                <w:p w14:paraId="3EA1B86E">
                  <w:pPr>
                    <w:widowControl/>
                    <w:adjustRightInd w:val="0"/>
                    <w:snapToGrid w:val="0"/>
                    <w:jc w:val="center"/>
                    <w:rPr>
                      <w:color w:val="auto"/>
                      <w:szCs w:val="21"/>
                    </w:rPr>
                  </w:pPr>
                  <w:r>
                    <w:rPr>
                      <w:rFonts w:hint="eastAsia"/>
                      <w:color w:val="auto"/>
                      <w:szCs w:val="21"/>
                    </w:rPr>
                    <w:t>8</w:t>
                  </w:r>
                  <w:r>
                    <w:rPr>
                      <w:color w:val="auto"/>
                      <w:szCs w:val="21"/>
                    </w:rPr>
                    <w:t>00</w:t>
                  </w:r>
                  <w:r>
                    <w:rPr>
                      <w:bCs/>
                      <w:color w:val="auto"/>
                      <w:spacing w:val="-10"/>
                      <w:szCs w:val="21"/>
                    </w:rPr>
                    <w:t>mg/g</w:t>
                  </w:r>
                </w:p>
              </w:tc>
            </w:tr>
            <w:tr w14:paraId="34FD1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C48805C">
                  <w:pPr>
                    <w:widowControl/>
                    <w:adjustRightInd w:val="0"/>
                    <w:snapToGrid w:val="0"/>
                    <w:jc w:val="center"/>
                    <w:rPr>
                      <w:color w:val="auto"/>
                      <w:szCs w:val="21"/>
                    </w:rPr>
                  </w:pPr>
                  <w:r>
                    <w:rPr>
                      <w:color w:val="auto"/>
                      <w:szCs w:val="21"/>
                    </w:rPr>
                    <w:t>5</w:t>
                  </w:r>
                </w:p>
              </w:tc>
              <w:tc>
                <w:tcPr>
                  <w:tcW w:w="1838" w:type="pct"/>
                  <w:vAlign w:val="center"/>
                </w:tcPr>
                <w:p w14:paraId="1DC331CB">
                  <w:pPr>
                    <w:widowControl/>
                    <w:adjustRightInd w:val="0"/>
                    <w:snapToGrid w:val="0"/>
                    <w:jc w:val="center"/>
                    <w:rPr>
                      <w:color w:val="auto"/>
                      <w:szCs w:val="21"/>
                    </w:rPr>
                  </w:pPr>
                  <w:r>
                    <w:rPr>
                      <w:color w:val="auto"/>
                      <w:szCs w:val="21"/>
                    </w:rPr>
                    <w:t>更换频次</w:t>
                  </w:r>
                </w:p>
              </w:tc>
              <w:tc>
                <w:tcPr>
                  <w:tcW w:w="2356" w:type="pct"/>
                  <w:vAlign w:val="center"/>
                </w:tcPr>
                <w:p w14:paraId="768C3014">
                  <w:pPr>
                    <w:widowControl/>
                    <w:adjustRightInd w:val="0"/>
                    <w:snapToGrid w:val="0"/>
                    <w:jc w:val="center"/>
                    <w:rPr>
                      <w:color w:val="auto"/>
                      <w:szCs w:val="21"/>
                    </w:rPr>
                  </w:pPr>
                  <w:r>
                    <w:rPr>
                      <w:color w:val="auto"/>
                      <w:szCs w:val="21"/>
                    </w:rPr>
                    <w:t>每</w:t>
                  </w:r>
                  <w:r>
                    <w:rPr>
                      <w:rFonts w:hint="eastAsia"/>
                      <w:color w:val="auto"/>
                      <w:szCs w:val="21"/>
                    </w:rPr>
                    <w:t>82天更换一次</w:t>
                  </w:r>
                </w:p>
              </w:tc>
            </w:tr>
            <w:tr w14:paraId="6CCC7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0C7914F3">
                  <w:pPr>
                    <w:widowControl/>
                    <w:adjustRightInd w:val="0"/>
                    <w:snapToGrid w:val="0"/>
                    <w:jc w:val="center"/>
                    <w:rPr>
                      <w:color w:val="auto"/>
                      <w:szCs w:val="21"/>
                    </w:rPr>
                  </w:pPr>
                  <w:r>
                    <w:rPr>
                      <w:color w:val="auto"/>
                      <w:szCs w:val="21"/>
                    </w:rPr>
                    <w:t>6</w:t>
                  </w:r>
                </w:p>
              </w:tc>
              <w:tc>
                <w:tcPr>
                  <w:tcW w:w="1838" w:type="pct"/>
                  <w:vAlign w:val="center"/>
                </w:tcPr>
                <w:p w14:paraId="571BC222">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39FAE32A">
                  <w:pPr>
                    <w:widowControl/>
                    <w:adjustRightInd w:val="0"/>
                    <w:snapToGrid w:val="0"/>
                    <w:jc w:val="center"/>
                    <w:rPr>
                      <w:color w:val="auto"/>
                      <w:szCs w:val="21"/>
                    </w:rPr>
                  </w:pPr>
                  <w:r>
                    <w:rPr>
                      <w:rFonts w:hint="eastAsia"/>
                      <w:color w:val="auto"/>
                      <w:szCs w:val="21"/>
                      <w:lang w:val="en-US" w:eastAsia="zh-CN"/>
                    </w:rPr>
                    <w:t>4</w:t>
                  </w:r>
                  <w:r>
                    <w:rPr>
                      <w:rFonts w:hint="eastAsia"/>
                      <w:color w:val="auto"/>
                      <w:szCs w:val="21"/>
                    </w:rPr>
                    <w:t>000</w:t>
                  </w:r>
                  <w:r>
                    <w:rPr>
                      <w:color w:val="auto"/>
                      <w:szCs w:val="21"/>
                    </w:rPr>
                    <w:t>kg</w:t>
                  </w:r>
                </w:p>
              </w:tc>
            </w:tr>
            <w:tr w14:paraId="18D2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1F342CD">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238D0298">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52BE1810">
                  <w:pPr>
                    <w:widowControl/>
                    <w:adjustRightInd w:val="0"/>
                    <w:snapToGrid w:val="0"/>
                    <w:jc w:val="center"/>
                    <w:rPr>
                      <w:bCs/>
                      <w:color w:val="auto"/>
                      <w:spacing w:val="-10"/>
                      <w:szCs w:val="21"/>
                    </w:rPr>
                  </w:pPr>
                  <w:r>
                    <w:rPr>
                      <w:color w:val="auto"/>
                      <w:szCs w:val="21"/>
                    </w:rPr>
                    <w:t>蜂窝活性炭</w:t>
                  </w:r>
                </w:p>
              </w:tc>
            </w:tr>
          </w:tbl>
          <w:p w14:paraId="184B696D">
            <w:pPr>
              <w:widowControl/>
              <w:adjustRightInd w:val="0"/>
              <w:snapToGrid w:val="0"/>
              <w:jc w:val="center"/>
              <w:rPr>
                <w:b/>
                <w:color w:val="auto"/>
                <w:kern w:val="0"/>
                <w:sz w:val="24"/>
              </w:rPr>
            </w:pPr>
            <w:r>
              <w:rPr>
                <w:b/>
                <w:color w:val="auto"/>
                <w:kern w:val="0"/>
                <w:sz w:val="24"/>
              </w:rPr>
              <w:t>表4</w:t>
            </w:r>
            <w:r>
              <w:rPr>
                <w:rFonts w:hint="eastAsia"/>
                <w:b/>
                <w:color w:val="auto"/>
                <w:kern w:val="0"/>
                <w:sz w:val="24"/>
              </w:rPr>
              <w:t>-13</w:t>
            </w:r>
            <w:r>
              <w:rPr>
                <w:b/>
                <w:color w:val="auto"/>
                <w:kern w:val="0"/>
                <w:sz w:val="24"/>
              </w:rPr>
              <w:t xml:space="preserve"> </w:t>
            </w:r>
            <w:r>
              <w:rPr>
                <w:rFonts w:hint="eastAsia"/>
                <w:b/>
                <w:color w:val="auto"/>
                <w:kern w:val="0"/>
                <w:sz w:val="24"/>
              </w:rPr>
              <w:t>2#厂房金属车间</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3120"/>
              <w:gridCol w:w="4000"/>
            </w:tblGrid>
            <w:tr w14:paraId="3874B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66A15928">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6E490C20">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05020F33">
                  <w:pPr>
                    <w:widowControl/>
                    <w:adjustRightInd w:val="0"/>
                    <w:snapToGrid w:val="0"/>
                    <w:jc w:val="center"/>
                    <w:rPr>
                      <w:b/>
                      <w:bCs/>
                      <w:color w:val="auto"/>
                      <w:spacing w:val="-10"/>
                      <w:szCs w:val="21"/>
                    </w:rPr>
                  </w:pPr>
                  <w:r>
                    <w:rPr>
                      <w:b/>
                      <w:bCs/>
                      <w:color w:val="auto"/>
                      <w:szCs w:val="21"/>
                    </w:rPr>
                    <w:t>参数指标</w:t>
                  </w:r>
                </w:p>
              </w:tc>
            </w:tr>
            <w:tr w14:paraId="09EEC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10E96F2D">
                  <w:pPr>
                    <w:tabs>
                      <w:tab w:val="left" w:pos="840"/>
                    </w:tabs>
                    <w:adjustRightInd w:val="0"/>
                    <w:snapToGrid w:val="0"/>
                    <w:jc w:val="center"/>
                    <w:rPr>
                      <w:color w:val="auto"/>
                      <w:szCs w:val="21"/>
                    </w:rPr>
                  </w:pPr>
                  <w:r>
                    <w:rPr>
                      <w:color w:val="auto"/>
                      <w:kern w:val="0"/>
                    </w:rPr>
                    <w:t>1</w:t>
                  </w:r>
                </w:p>
              </w:tc>
              <w:tc>
                <w:tcPr>
                  <w:tcW w:w="1838" w:type="pct"/>
                  <w:vAlign w:val="center"/>
                </w:tcPr>
                <w:p w14:paraId="362EFBC6">
                  <w:pPr>
                    <w:widowControl/>
                    <w:adjustRightInd w:val="0"/>
                    <w:snapToGrid w:val="0"/>
                    <w:jc w:val="center"/>
                    <w:rPr>
                      <w:color w:val="auto"/>
                      <w:szCs w:val="21"/>
                    </w:rPr>
                  </w:pPr>
                  <w:r>
                    <w:rPr>
                      <w:color w:val="auto"/>
                      <w:szCs w:val="21"/>
                    </w:rPr>
                    <w:t>尺寸</w:t>
                  </w:r>
                </w:p>
              </w:tc>
              <w:tc>
                <w:tcPr>
                  <w:tcW w:w="2356" w:type="pct"/>
                  <w:vAlign w:val="center"/>
                </w:tcPr>
                <w:p w14:paraId="6A261FF6">
                  <w:pPr>
                    <w:widowControl/>
                    <w:adjustRightInd w:val="0"/>
                    <w:snapToGrid w:val="0"/>
                    <w:jc w:val="center"/>
                    <w:rPr>
                      <w:color w:val="auto"/>
                      <w:szCs w:val="21"/>
                    </w:rPr>
                  </w:pPr>
                  <w:r>
                    <w:rPr>
                      <w:rFonts w:hint="eastAsia"/>
                      <w:color w:val="auto"/>
                      <w:szCs w:val="21"/>
                    </w:rPr>
                    <w:t>7</w:t>
                  </w:r>
                  <w:r>
                    <w:rPr>
                      <w:color w:val="auto"/>
                      <w:szCs w:val="21"/>
                    </w:rPr>
                    <w:t>00×</w:t>
                  </w:r>
                  <w:r>
                    <w:rPr>
                      <w:rFonts w:hint="eastAsia"/>
                      <w:color w:val="auto"/>
                      <w:szCs w:val="21"/>
                    </w:rPr>
                    <w:t>500</w:t>
                  </w:r>
                  <w:r>
                    <w:rPr>
                      <w:color w:val="auto"/>
                      <w:szCs w:val="21"/>
                    </w:rPr>
                    <w:t>×</w:t>
                  </w:r>
                  <w:r>
                    <w:rPr>
                      <w:rFonts w:hint="eastAsia"/>
                      <w:color w:val="auto"/>
                      <w:szCs w:val="21"/>
                    </w:rPr>
                    <w:t>6</w:t>
                  </w:r>
                  <w:r>
                    <w:rPr>
                      <w:color w:val="auto"/>
                      <w:szCs w:val="21"/>
                    </w:rPr>
                    <w:t>00mm×</w:t>
                  </w:r>
                  <w:r>
                    <w:rPr>
                      <w:rFonts w:hint="eastAsia"/>
                      <w:color w:val="auto"/>
                      <w:szCs w:val="21"/>
                    </w:rPr>
                    <w:t>2</w:t>
                  </w:r>
                  <w:r>
                    <w:rPr>
                      <w:color w:val="auto"/>
                      <w:szCs w:val="21"/>
                    </w:rPr>
                    <w:t>套</w:t>
                  </w:r>
                </w:p>
              </w:tc>
            </w:tr>
            <w:tr w14:paraId="505DD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67F1F9D">
                  <w:pPr>
                    <w:tabs>
                      <w:tab w:val="left" w:pos="840"/>
                    </w:tabs>
                    <w:adjustRightInd w:val="0"/>
                    <w:snapToGrid w:val="0"/>
                    <w:jc w:val="center"/>
                    <w:rPr>
                      <w:color w:val="auto"/>
                      <w:szCs w:val="21"/>
                    </w:rPr>
                  </w:pPr>
                  <w:r>
                    <w:rPr>
                      <w:color w:val="auto"/>
                      <w:kern w:val="0"/>
                    </w:rPr>
                    <w:t>2</w:t>
                  </w:r>
                </w:p>
              </w:tc>
              <w:tc>
                <w:tcPr>
                  <w:tcW w:w="1838" w:type="pct"/>
                  <w:vAlign w:val="center"/>
                </w:tcPr>
                <w:p w14:paraId="4BF49991">
                  <w:pPr>
                    <w:widowControl/>
                    <w:adjustRightInd w:val="0"/>
                    <w:snapToGrid w:val="0"/>
                    <w:jc w:val="center"/>
                    <w:rPr>
                      <w:color w:val="auto"/>
                      <w:szCs w:val="21"/>
                    </w:rPr>
                  </w:pPr>
                  <w:r>
                    <w:rPr>
                      <w:color w:val="auto"/>
                      <w:szCs w:val="21"/>
                    </w:rPr>
                    <w:t>风机风量</w:t>
                  </w:r>
                </w:p>
              </w:tc>
              <w:tc>
                <w:tcPr>
                  <w:tcW w:w="2356" w:type="pct"/>
                  <w:vAlign w:val="center"/>
                </w:tcPr>
                <w:p w14:paraId="4EA70800">
                  <w:pPr>
                    <w:widowControl/>
                    <w:adjustRightInd w:val="0"/>
                    <w:snapToGrid w:val="0"/>
                    <w:jc w:val="center"/>
                    <w:rPr>
                      <w:color w:val="auto"/>
                      <w:szCs w:val="21"/>
                    </w:rPr>
                  </w:pPr>
                  <w:r>
                    <w:rPr>
                      <w:rFonts w:hint="eastAsia"/>
                      <w:color w:val="auto"/>
                      <w:szCs w:val="21"/>
                    </w:rPr>
                    <w:t>13555</w:t>
                  </w:r>
                  <w:r>
                    <w:rPr>
                      <w:color w:val="auto"/>
                      <w:szCs w:val="21"/>
                    </w:rPr>
                    <w:t>m</w:t>
                  </w:r>
                  <w:r>
                    <w:rPr>
                      <w:color w:val="auto"/>
                      <w:szCs w:val="21"/>
                      <w:vertAlign w:val="superscript"/>
                    </w:rPr>
                    <w:t>3</w:t>
                  </w:r>
                  <w:r>
                    <w:rPr>
                      <w:color w:val="auto"/>
                      <w:szCs w:val="21"/>
                    </w:rPr>
                    <w:t xml:space="preserve"> /h</w:t>
                  </w:r>
                </w:p>
              </w:tc>
            </w:tr>
            <w:tr w14:paraId="75483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B93CD8C">
                  <w:pPr>
                    <w:widowControl/>
                    <w:adjustRightInd w:val="0"/>
                    <w:snapToGrid w:val="0"/>
                    <w:jc w:val="center"/>
                    <w:rPr>
                      <w:color w:val="auto"/>
                      <w:szCs w:val="21"/>
                    </w:rPr>
                  </w:pPr>
                  <w:r>
                    <w:rPr>
                      <w:color w:val="auto"/>
                      <w:szCs w:val="21"/>
                    </w:rPr>
                    <w:t>3</w:t>
                  </w:r>
                </w:p>
              </w:tc>
              <w:tc>
                <w:tcPr>
                  <w:tcW w:w="3204" w:type="dxa"/>
                  <w:vAlign w:val="center"/>
                </w:tcPr>
                <w:p w14:paraId="654539AC">
                  <w:pPr>
                    <w:widowControl/>
                    <w:adjustRightInd w:val="0"/>
                    <w:snapToGrid w:val="0"/>
                    <w:jc w:val="center"/>
                    <w:rPr>
                      <w:color w:val="auto"/>
                      <w:szCs w:val="21"/>
                    </w:rPr>
                  </w:pPr>
                  <w:r>
                    <w:rPr>
                      <w:color w:val="auto"/>
                      <w:szCs w:val="21"/>
                    </w:rPr>
                    <w:t>空塔流速</w:t>
                  </w:r>
                </w:p>
              </w:tc>
              <w:tc>
                <w:tcPr>
                  <w:tcW w:w="4108" w:type="dxa"/>
                  <w:vAlign w:val="center"/>
                </w:tcPr>
                <w:p w14:paraId="16A753E4">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3B07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28834267">
                  <w:pPr>
                    <w:widowControl/>
                    <w:adjustRightInd w:val="0"/>
                    <w:snapToGrid w:val="0"/>
                    <w:jc w:val="center"/>
                    <w:rPr>
                      <w:color w:val="auto"/>
                      <w:szCs w:val="21"/>
                    </w:rPr>
                  </w:pPr>
                  <w:r>
                    <w:rPr>
                      <w:color w:val="auto"/>
                      <w:szCs w:val="21"/>
                    </w:rPr>
                    <w:t>4</w:t>
                  </w:r>
                </w:p>
              </w:tc>
              <w:tc>
                <w:tcPr>
                  <w:tcW w:w="1838" w:type="pct"/>
                  <w:vAlign w:val="center"/>
                </w:tcPr>
                <w:p w14:paraId="22078E9B">
                  <w:pPr>
                    <w:widowControl/>
                    <w:adjustRightInd w:val="0"/>
                    <w:snapToGrid w:val="0"/>
                    <w:jc w:val="center"/>
                    <w:rPr>
                      <w:color w:val="auto"/>
                      <w:szCs w:val="21"/>
                    </w:rPr>
                  </w:pPr>
                  <w:r>
                    <w:rPr>
                      <w:color w:val="auto"/>
                      <w:szCs w:val="21"/>
                    </w:rPr>
                    <w:t>碘值</w:t>
                  </w:r>
                </w:p>
              </w:tc>
              <w:tc>
                <w:tcPr>
                  <w:tcW w:w="2356" w:type="pct"/>
                  <w:vAlign w:val="center"/>
                </w:tcPr>
                <w:p w14:paraId="45DACEA8">
                  <w:pPr>
                    <w:widowControl/>
                    <w:adjustRightInd w:val="0"/>
                    <w:snapToGrid w:val="0"/>
                    <w:jc w:val="center"/>
                    <w:rPr>
                      <w:color w:val="auto"/>
                      <w:szCs w:val="21"/>
                    </w:rPr>
                  </w:pPr>
                  <w:r>
                    <w:rPr>
                      <w:color w:val="auto"/>
                      <w:szCs w:val="21"/>
                    </w:rPr>
                    <w:t>800</w:t>
                  </w:r>
                  <w:r>
                    <w:rPr>
                      <w:bCs/>
                      <w:color w:val="auto"/>
                      <w:spacing w:val="-10"/>
                      <w:szCs w:val="21"/>
                    </w:rPr>
                    <w:t>mg/g</w:t>
                  </w:r>
                </w:p>
              </w:tc>
            </w:tr>
            <w:tr w14:paraId="01466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5BEC48FB">
                  <w:pPr>
                    <w:widowControl/>
                    <w:adjustRightInd w:val="0"/>
                    <w:snapToGrid w:val="0"/>
                    <w:jc w:val="center"/>
                    <w:rPr>
                      <w:color w:val="auto"/>
                      <w:szCs w:val="21"/>
                    </w:rPr>
                  </w:pPr>
                  <w:r>
                    <w:rPr>
                      <w:color w:val="auto"/>
                      <w:szCs w:val="21"/>
                    </w:rPr>
                    <w:t>5</w:t>
                  </w:r>
                </w:p>
              </w:tc>
              <w:tc>
                <w:tcPr>
                  <w:tcW w:w="1838" w:type="pct"/>
                  <w:vAlign w:val="center"/>
                </w:tcPr>
                <w:p w14:paraId="3F3C2A32">
                  <w:pPr>
                    <w:widowControl/>
                    <w:adjustRightInd w:val="0"/>
                    <w:snapToGrid w:val="0"/>
                    <w:jc w:val="center"/>
                    <w:rPr>
                      <w:color w:val="auto"/>
                      <w:szCs w:val="21"/>
                    </w:rPr>
                  </w:pPr>
                  <w:r>
                    <w:rPr>
                      <w:color w:val="auto"/>
                      <w:szCs w:val="21"/>
                    </w:rPr>
                    <w:t>更换频次</w:t>
                  </w:r>
                </w:p>
              </w:tc>
              <w:tc>
                <w:tcPr>
                  <w:tcW w:w="2356" w:type="pct"/>
                  <w:vAlign w:val="center"/>
                </w:tcPr>
                <w:p w14:paraId="1CF63149">
                  <w:pPr>
                    <w:widowControl/>
                    <w:adjustRightInd w:val="0"/>
                    <w:snapToGrid w:val="0"/>
                    <w:jc w:val="center"/>
                    <w:rPr>
                      <w:color w:val="auto"/>
                      <w:szCs w:val="21"/>
                    </w:rPr>
                  </w:pPr>
                  <w:r>
                    <w:rPr>
                      <w:color w:val="auto"/>
                      <w:szCs w:val="21"/>
                    </w:rPr>
                    <w:t>每</w:t>
                  </w:r>
                  <w:r>
                    <w:rPr>
                      <w:rFonts w:hint="eastAsia"/>
                      <w:color w:val="auto"/>
                      <w:szCs w:val="21"/>
                    </w:rPr>
                    <w:t>87天更换一次</w:t>
                  </w:r>
                </w:p>
              </w:tc>
            </w:tr>
            <w:tr w14:paraId="4ED6D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674A3CDA">
                  <w:pPr>
                    <w:widowControl/>
                    <w:adjustRightInd w:val="0"/>
                    <w:snapToGrid w:val="0"/>
                    <w:jc w:val="center"/>
                    <w:rPr>
                      <w:color w:val="auto"/>
                      <w:szCs w:val="21"/>
                    </w:rPr>
                  </w:pPr>
                  <w:r>
                    <w:rPr>
                      <w:color w:val="auto"/>
                      <w:szCs w:val="21"/>
                    </w:rPr>
                    <w:t>6</w:t>
                  </w:r>
                </w:p>
              </w:tc>
              <w:tc>
                <w:tcPr>
                  <w:tcW w:w="1838" w:type="pct"/>
                  <w:vAlign w:val="center"/>
                </w:tcPr>
                <w:p w14:paraId="6EF09DAD">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3C9D5BBC">
                  <w:pPr>
                    <w:widowControl/>
                    <w:adjustRightInd w:val="0"/>
                    <w:snapToGrid w:val="0"/>
                    <w:jc w:val="center"/>
                    <w:rPr>
                      <w:color w:val="auto"/>
                      <w:szCs w:val="21"/>
                    </w:rPr>
                  </w:pPr>
                  <w:r>
                    <w:rPr>
                      <w:rFonts w:hint="eastAsia"/>
                      <w:color w:val="auto"/>
                      <w:szCs w:val="21"/>
                      <w:lang w:eastAsia="zh-CN"/>
                    </w:rPr>
                    <w:t>80.</w:t>
                  </w:r>
                  <w:r>
                    <w:rPr>
                      <w:color w:val="auto"/>
                      <w:szCs w:val="21"/>
                    </w:rPr>
                    <w:t>kg</w:t>
                  </w:r>
                </w:p>
              </w:tc>
            </w:tr>
            <w:tr w14:paraId="53C02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CFB1B2F">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5F5AD5F7">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751754A0">
                  <w:pPr>
                    <w:widowControl/>
                    <w:adjustRightInd w:val="0"/>
                    <w:snapToGrid w:val="0"/>
                    <w:jc w:val="center"/>
                    <w:rPr>
                      <w:bCs/>
                      <w:color w:val="auto"/>
                      <w:spacing w:val="-10"/>
                      <w:szCs w:val="21"/>
                    </w:rPr>
                  </w:pPr>
                  <w:r>
                    <w:rPr>
                      <w:color w:val="auto"/>
                      <w:szCs w:val="21"/>
                    </w:rPr>
                    <w:t>蜂窝活性炭</w:t>
                  </w:r>
                </w:p>
              </w:tc>
            </w:tr>
          </w:tbl>
          <w:p w14:paraId="137DD639">
            <w:pPr>
              <w:widowControl/>
              <w:adjustRightInd w:val="0"/>
              <w:snapToGrid w:val="0"/>
              <w:jc w:val="center"/>
              <w:rPr>
                <w:b/>
                <w:color w:val="auto"/>
                <w:kern w:val="0"/>
                <w:sz w:val="24"/>
              </w:rPr>
            </w:pPr>
            <w:r>
              <w:rPr>
                <w:b/>
                <w:color w:val="auto"/>
                <w:kern w:val="0"/>
                <w:sz w:val="24"/>
              </w:rPr>
              <w:t>表4</w:t>
            </w:r>
            <w:r>
              <w:rPr>
                <w:rFonts w:hint="eastAsia"/>
                <w:b/>
                <w:color w:val="auto"/>
                <w:kern w:val="0"/>
                <w:sz w:val="24"/>
              </w:rPr>
              <w:t>-14</w:t>
            </w:r>
            <w:r>
              <w:rPr>
                <w:b/>
                <w:color w:val="auto"/>
                <w:kern w:val="0"/>
                <w:sz w:val="24"/>
              </w:rPr>
              <w:t xml:space="preserve"> </w:t>
            </w:r>
            <w:r>
              <w:rPr>
                <w:rFonts w:hint="eastAsia"/>
                <w:b/>
                <w:color w:val="auto"/>
                <w:kern w:val="0"/>
                <w:sz w:val="24"/>
              </w:rPr>
              <w:t>1#厂房组装车间</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3120"/>
              <w:gridCol w:w="4000"/>
            </w:tblGrid>
            <w:tr w14:paraId="19C2A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36A842F4">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64938DA2">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1424E324">
                  <w:pPr>
                    <w:widowControl/>
                    <w:adjustRightInd w:val="0"/>
                    <w:snapToGrid w:val="0"/>
                    <w:jc w:val="center"/>
                    <w:rPr>
                      <w:b/>
                      <w:bCs/>
                      <w:color w:val="auto"/>
                      <w:spacing w:val="-10"/>
                      <w:szCs w:val="21"/>
                    </w:rPr>
                  </w:pPr>
                  <w:r>
                    <w:rPr>
                      <w:b/>
                      <w:bCs/>
                      <w:color w:val="auto"/>
                      <w:szCs w:val="21"/>
                    </w:rPr>
                    <w:t>参数指标</w:t>
                  </w:r>
                </w:p>
              </w:tc>
            </w:tr>
            <w:tr w14:paraId="1145F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11A35EF9">
                  <w:pPr>
                    <w:tabs>
                      <w:tab w:val="left" w:pos="840"/>
                    </w:tabs>
                    <w:adjustRightInd w:val="0"/>
                    <w:snapToGrid w:val="0"/>
                    <w:jc w:val="center"/>
                    <w:rPr>
                      <w:color w:val="auto"/>
                      <w:szCs w:val="21"/>
                    </w:rPr>
                  </w:pPr>
                  <w:r>
                    <w:rPr>
                      <w:color w:val="auto"/>
                      <w:kern w:val="0"/>
                    </w:rPr>
                    <w:t>1</w:t>
                  </w:r>
                </w:p>
              </w:tc>
              <w:tc>
                <w:tcPr>
                  <w:tcW w:w="1838" w:type="pct"/>
                  <w:vAlign w:val="center"/>
                </w:tcPr>
                <w:p w14:paraId="709C1E19">
                  <w:pPr>
                    <w:widowControl/>
                    <w:adjustRightInd w:val="0"/>
                    <w:snapToGrid w:val="0"/>
                    <w:jc w:val="center"/>
                    <w:rPr>
                      <w:color w:val="auto"/>
                      <w:szCs w:val="21"/>
                    </w:rPr>
                  </w:pPr>
                  <w:r>
                    <w:rPr>
                      <w:color w:val="auto"/>
                      <w:szCs w:val="21"/>
                    </w:rPr>
                    <w:t>尺寸</w:t>
                  </w:r>
                </w:p>
              </w:tc>
              <w:tc>
                <w:tcPr>
                  <w:tcW w:w="2356" w:type="pct"/>
                  <w:vAlign w:val="center"/>
                </w:tcPr>
                <w:p w14:paraId="1E8AE84D">
                  <w:pPr>
                    <w:widowControl/>
                    <w:adjustRightInd w:val="0"/>
                    <w:snapToGrid w:val="0"/>
                    <w:jc w:val="center"/>
                    <w:rPr>
                      <w:color w:val="auto"/>
                      <w:szCs w:val="21"/>
                    </w:rPr>
                  </w:pPr>
                  <w:r>
                    <w:rPr>
                      <w:rFonts w:hint="eastAsia"/>
                      <w:color w:val="auto"/>
                      <w:szCs w:val="21"/>
                    </w:rPr>
                    <w:t>22</w:t>
                  </w:r>
                  <w:r>
                    <w:rPr>
                      <w:color w:val="auto"/>
                      <w:szCs w:val="21"/>
                    </w:rPr>
                    <w:t>00×</w:t>
                  </w:r>
                  <w:r>
                    <w:rPr>
                      <w:rFonts w:hint="eastAsia"/>
                      <w:color w:val="auto"/>
                      <w:szCs w:val="21"/>
                    </w:rPr>
                    <w:t>2100</w:t>
                  </w:r>
                  <w:r>
                    <w:rPr>
                      <w:color w:val="auto"/>
                      <w:szCs w:val="21"/>
                    </w:rPr>
                    <w:t>×</w:t>
                  </w:r>
                  <w:r>
                    <w:rPr>
                      <w:rFonts w:hint="eastAsia"/>
                      <w:color w:val="auto"/>
                      <w:szCs w:val="21"/>
                    </w:rPr>
                    <w:t>18</w:t>
                  </w:r>
                  <w:r>
                    <w:rPr>
                      <w:color w:val="auto"/>
                      <w:szCs w:val="21"/>
                    </w:rPr>
                    <w:t>00mm×</w:t>
                  </w:r>
                  <w:r>
                    <w:rPr>
                      <w:rFonts w:hint="eastAsia"/>
                      <w:color w:val="auto"/>
                      <w:szCs w:val="21"/>
                    </w:rPr>
                    <w:t>2</w:t>
                  </w:r>
                  <w:r>
                    <w:rPr>
                      <w:color w:val="auto"/>
                      <w:szCs w:val="21"/>
                    </w:rPr>
                    <w:t>套</w:t>
                  </w:r>
                </w:p>
              </w:tc>
            </w:tr>
            <w:tr w14:paraId="2725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1807966">
                  <w:pPr>
                    <w:tabs>
                      <w:tab w:val="left" w:pos="840"/>
                    </w:tabs>
                    <w:adjustRightInd w:val="0"/>
                    <w:snapToGrid w:val="0"/>
                    <w:jc w:val="center"/>
                    <w:rPr>
                      <w:color w:val="auto"/>
                      <w:szCs w:val="21"/>
                    </w:rPr>
                  </w:pPr>
                  <w:r>
                    <w:rPr>
                      <w:color w:val="auto"/>
                      <w:kern w:val="0"/>
                    </w:rPr>
                    <w:t>2</w:t>
                  </w:r>
                </w:p>
              </w:tc>
              <w:tc>
                <w:tcPr>
                  <w:tcW w:w="1838" w:type="pct"/>
                  <w:vAlign w:val="center"/>
                </w:tcPr>
                <w:p w14:paraId="3A38BEB0">
                  <w:pPr>
                    <w:widowControl/>
                    <w:adjustRightInd w:val="0"/>
                    <w:snapToGrid w:val="0"/>
                    <w:jc w:val="center"/>
                    <w:rPr>
                      <w:color w:val="auto"/>
                      <w:szCs w:val="21"/>
                    </w:rPr>
                  </w:pPr>
                  <w:r>
                    <w:rPr>
                      <w:color w:val="auto"/>
                      <w:szCs w:val="21"/>
                    </w:rPr>
                    <w:t>风机风量</w:t>
                  </w:r>
                </w:p>
              </w:tc>
              <w:tc>
                <w:tcPr>
                  <w:tcW w:w="2356" w:type="pct"/>
                  <w:vAlign w:val="center"/>
                </w:tcPr>
                <w:p w14:paraId="3869917D">
                  <w:pPr>
                    <w:widowControl/>
                    <w:adjustRightInd w:val="0"/>
                    <w:snapToGrid w:val="0"/>
                    <w:jc w:val="center"/>
                    <w:rPr>
                      <w:color w:val="auto"/>
                      <w:szCs w:val="21"/>
                    </w:rPr>
                  </w:pPr>
                  <w:r>
                    <w:rPr>
                      <w:rFonts w:hint="eastAsia"/>
                      <w:color w:val="auto"/>
                      <w:szCs w:val="21"/>
                    </w:rPr>
                    <w:t>17000</w:t>
                  </w:r>
                  <w:r>
                    <w:rPr>
                      <w:color w:val="auto"/>
                      <w:szCs w:val="21"/>
                    </w:rPr>
                    <w:t>m</w:t>
                  </w:r>
                  <w:r>
                    <w:rPr>
                      <w:color w:val="auto"/>
                      <w:szCs w:val="21"/>
                      <w:vertAlign w:val="superscript"/>
                    </w:rPr>
                    <w:t>3</w:t>
                  </w:r>
                  <w:r>
                    <w:rPr>
                      <w:color w:val="auto"/>
                      <w:szCs w:val="21"/>
                    </w:rPr>
                    <w:t xml:space="preserve"> /h</w:t>
                  </w:r>
                </w:p>
              </w:tc>
            </w:tr>
            <w:tr w14:paraId="74E87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33075BC">
                  <w:pPr>
                    <w:widowControl/>
                    <w:adjustRightInd w:val="0"/>
                    <w:snapToGrid w:val="0"/>
                    <w:jc w:val="center"/>
                    <w:rPr>
                      <w:color w:val="auto"/>
                      <w:szCs w:val="21"/>
                    </w:rPr>
                  </w:pPr>
                  <w:r>
                    <w:rPr>
                      <w:color w:val="auto"/>
                      <w:szCs w:val="21"/>
                    </w:rPr>
                    <w:t>3</w:t>
                  </w:r>
                </w:p>
              </w:tc>
              <w:tc>
                <w:tcPr>
                  <w:tcW w:w="3204" w:type="dxa"/>
                  <w:vAlign w:val="center"/>
                </w:tcPr>
                <w:p w14:paraId="69A2ED5C">
                  <w:pPr>
                    <w:widowControl/>
                    <w:adjustRightInd w:val="0"/>
                    <w:snapToGrid w:val="0"/>
                    <w:jc w:val="center"/>
                    <w:rPr>
                      <w:color w:val="auto"/>
                      <w:szCs w:val="21"/>
                    </w:rPr>
                  </w:pPr>
                  <w:r>
                    <w:rPr>
                      <w:color w:val="auto"/>
                      <w:szCs w:val="21"/>
                    </w:rPr>
                    <w:t>空塔流速</w:t>
                  </w:r>
                </w:p>
              </w:tc>
              <w:tc>
                <w:tcPr>
                  <w:tcW w:w="4108" w:type="dxa"/>
                  <w:vAlign w:val="center"/>
                </w:tcPr>
                <w:p w14:paraId="74591CA6">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31E4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E5C6BAB">
                  <w:pPr>
                    <w:widowControl/>
                    <w:adjustRightInd w:val="0"/>
                    <w:snapToGrid w:val="0"/>
                    <w:jc w:val="center"/>
                    <w:rPr>
                      <w:color w:val="auto"/>
                      <w:szCs w:val="21"/>
                    </w:rPr>
                  </w:pPr>
                  <w:r>
                    <w:rPr>
                      <w:color w:val="auto"/>
                      <w:szCs w:val="21"/>
                    </w:rPr>
                    <w:t>4</w:t>
                  </w:r>
                </w:p>
              </w:tc>
              <w:tc>
                <w:tcPr>
                  <w:tcW w:w="1838" w:type="pct"/>
                  <w:vAlign w:val="center"/>
                </w:tcPr>
                <w:p w14:paraId="168EB18D">
                  <w:pPr>
                    <w:widowControl/>
                    <w:adjustRightInd w:val="0"/>
                    <w:snapToGrid w:val="0"/>
                    <w:jc w:val="center"/>
                    <w:rPr>
                      <w:color w:val="auto"/>
                      <w:szCs w:val="21"/>
                    </w:rPr>
                  </w:pPr>
                  <w:r>
                    <w:rPr>
                      <w:color w:val="auto"/>
                      <w:szCs w:val="21"/>
                    </w:rPr>
                    <w:t>碘值</w:t>
                  </w:r>
                </w:p>
              </w:tc>
              <w:tc>
                <w:tcPr>
                  <w:tcW w:w="2356" w:type="pct"/>
                  <w:vAlign w:val="center"/>
                </w:tcPr>
                <w:p w14:paraId="204C6384">
                  <w:pPr>
                    <w:widowControl/>
                    <w:adjustRightInd w:val="0"/>
                    <w:snapToGrid w:val="0"/>
                    <w:jc w:val="center"/>
                    <w:rPr>
                      <w:color w:val="auto"/>
                      <w:szCs w:val="21"/>
                    </w:rPr>
                  </w:pPr>
                  <w:r>
                    <w:rPr>
                      <w:color w:val="auto"/>
                      <w:szCs w:val="21"/>
                    </w:rPr>
                    <w:t>800</w:t>
                  </w:r>
                  <w:r>
                    <w:rPr>
                      <w:bCs/>
                      <w:color w:val="auto"/>
                      <w:spacing w:val="-10"/>
                      <w:szCs w:val="21"/>
                    </w:rPr>
                    <w:t>mg/g</w:t>
                  </w:r>
                </w:p>
              </w:tc>
            </w:tr>
            <w:tr w14:paraId="62881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A4E6C10">
                  <w:pPr>
                    <w:widowControl/>
                    <w:adjustRightInd w:val="0"/>
                    <w:snapToGrid w:val="0"/>
                    <w:jc w:val="center"/>
                    <w:rPr>
                      <w:color w:val="auto"/>
                      <w:szCs w:val="21"/>
                    </w:rPr>
                  </w:pPr>
                  <w:r>
                    <w:rPr>
                      <w:color w:val="auto"/>
                      <w:szCs w:val="21"/>
                    </w:rPr>
                    <w:t>5</w:t>
                  </w:r>
                </w:p>
              </w:tc>
              <w:tc>
                <w:tcPr>
                  <w:tcW w:w="1838" w:type="pct"/>
                  <w:vAlign w:val="center"/>
                </w:tcPr>
                <w:p w14:paraId="5BB039EE">
                  <w:pPr>
                    <w:widowControl/>
                    <w:adjustRightInd w:val="0"/>
                    <w:snapToGrid w:val="0"/>
                    <w:jc w:val="center"/>
                    <w:rPr>
                      <w:color w:val="auto"/>
                      <w:szCs w:val="21"/>
                    </w:rPr>
                  </w:pPr>
                  <w:r>
                    <w:rPr>
                      <w:color w:val="auto"/>
                      <w:szCs w:val="21"/>
                    </w:rPr>
                    <w:t>更换频次</w:t>
                  </w:r>
                </w:p>
              </w:tc>
              <w:tc>
                <w:tcPr>
                  <w:tcW w:w="2356" w:type="pct"/>
                  <w:vAlign w:val="center"/>
                </w:tcPr>
                <w:p w14:paraId="13D236E9">
                  <w:pPr>
                    <w:widowControl/>
                    <w:adjustRightInd w:val="0"/>
                    <w:snapToGrid w:val="0"/>
                    <w:jc w:val="center"/>
                    <w:rPr>
                      <w:color w:val="auto"/>
                      <w:szCs w:val="21"/>
                    </w:rPr>
                  </w:pPr>
                  <w:r>
                    <w:rPr>
                      <w:color w:val="auto"/>
                      <w:szCs w:val="21"/>
                    </w:rPr>
                    <w:t>每</w:t>
                  </w:r>
                  <w:r>
                    <w:rPr>
                      <w:rFonts w:hint="eastAsia"/>
                      <w:color w:val="auto"/>
                      <w:szCs w:val="21"/>
                    </w:rPr>
                    <w:t>86天更换一次</w:t>
                  </w:r>
                </w:p>
              </w:tc>
            </w:tr>
            <w:tr w14:paraId="322D5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31D908B5">
                  <w:pPr>
                    <w:widowControl/>
                    <w:adjustRightInd w:val="0"/>
                    <w:snapToGrid w:val="0"/>
                    <w:jc w:val="center"/>
                    <w:rPr>
                      <w:color w:val="auto"/>
                      <w:szCs w:val="21"/>
                    </w:rPr>
                  </w:pPr>
                  <w:r>
                    <w:rPr>
                      <w:color w:val="auto"/>
                      <w:szCs w:val="21"/>
                    </w:rPr>
                    <w:t>6</w:t>
                  </w:r>
                </w:p>
              </w:tc>
              <w:tc>
                <w:tcPr>
                  <w:tcW w:w="1838" w:type="pct"/>
                  <w:vAlign w:val="center"/>
                </w:tcPr>
                <w:p w14:paraId="79E7C636">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3B14BA7B">
                  <w:pPr>
                    <w:widowControl/>
                    <w:adjustRightInd w:val="0"/>
                    <w:snapToGrid w:val="0"/>
                    <w:jc w:val="center"/>
                    <w:rPr>
                      <w:color w:val="auto"/>
                      <w:szCs w:val="21"/>
                    </w:rPr>
                  </w:pPr>
                  <w:r>
                    <w:rPr>
                      <w:rFonts w:hint="eastAsia"/>
                      <w:color w:val="auto"/>
                      <w:szCs w:val="21"/>
                    </w:rPr>
                    <w:t>2600</w:t>
                  </w:r>
                  <w:r>
                    <w:rPr>
                      <w:color w:val="auto"/>
                      <w:szCs w:val="21"/>
                    </w:rPr>
                    <w:t>kg</w:t>
                  </w:r>
                </w:p>
              </w:tc>
            </w:tr>
            <w:tr w14:paraId="6B34F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4815DD8B">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1218B6E0">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732B7F79">
                  <w:pPr>
                    <w:widowControl/>
                    <w:adjustRightInd w:val="0"/>
                    <w:snapToGrid w:val="0"/>
                    <w:jc w:val="center"/>
                    <w:rPr>
                      <w:bCs/>
                      <w:color w:val="auto"/>
                      <w:spacing w:val="-10"/>
                      <w:szCs w:val="21"/>
                    </w:rPr>
                  </w:pPr>
                  <w:r>
                    <w:rPr>
                      <w:color w:val="auto"/>
                      <w:szCs w:val="21"/>
                    </w:rPr>
                    <w:t>蜂窝活性炭</w:t>
                  </w:r>
                </w:p>
              </w:tc>
            </w:tr>
          </w:tbl>
          <w:p w14:paraId="084EA3BD">
            <w:pPr>
              <w:adjustRightInd w:val="0"/>
              <w:snapToGrid w:val="0"/>
              <w:spacing w:line="360" w:lineRule="auto"/>
              <w:ind w:firstLine="482" w:firstLineChars="200"/>
              <w:rPr>
                <w:b/>
                <w:color w:val="auto"/>
                <w:sz w:val="24"/>
              </w:rPr>
            </w:pPr>
            <w:r>
              <w:rPr>
                <w:rFonts w:hint="eastAsia"/>
                <w:b/>
                <w:color w:val="auto"/>
                <w:sz w:val="24"/>
              </w:rPr>
              <w:t>1.5.2</w:t>
            </w:r>
            <w:r>
              <w:rPr>
                <w:b/>
                <w:color w:val="auto"/>
                <w:sz w:val="24"/>
              </w:rPr>
              <w:t>无组织废气污染治理措施可行性分析</w:t>
            </w:r>
          </w:p>
          <w:p w14:paraId="7DE9F59D">
            <w:pPr>
              <w:adjustRightInd w:val="0"/>
              <w:snapToGrid w:val="0"/>
              <w:spacing w:line="360" w:lineRule="auto"/>
              <w:ind w:firstLine="480" w:firstLineChars="200"/>
              <w:rPr>
                <w:color w:val="auto"/>
                <w:sz w:val="24"/>
              </w:rPr>
            </w:pPr>
            <w:r>
              <w:rPr>
                <w:rFonts w:hint="eastAsia"/>
                <w:color w:val="auto"/>
                <w:sz w:val="24"/>
              </w:rPr>
              <w:t>本项目无组织废气有木材下料、木材倒角、大理石下料、木材修边磨平打磨、大理石修边打磨、金属下料、打磨、抛光、喷粉、亚克力修边倒角工序产生的无组织颗粒物以及封边、贴皮、批灰、调漆、喷漆、晾干、大理石粘接、金属压合、烘烤固化、亚克力下料、打标、热弯、丝印、烘烤、洗网水、亚克力</w:t>
            </w:r>
            <w:r>
              <w:rPr>
                <w:rFonts w:hint="eastAsia"/>
                <w:color w:val="auto"/>
                <w:sz w:val="24"/>
                <w:lang w:eastAsia="zh-CN"/>
              </w:rPr>
              <w:t>黏结</w:t>
            </w:r>
            <w:r>
              <w:rPr>
                <w:rFonts w:hint="eastAsia"/>
                <w:color w:val="auto"/>
                <w:sz w:val="24"/>
              </w:rPr>
              <w:t>、清洗工艺产生的无组织非甲烷总烃，拟针对产污环节采取有效的治理措施，合理设计废气收集系统、废气处理设施，最大程度地减少无组织排放。但因工艺限制部分废气收集效率无法达到100%，因此不可避免会有无组织废气产生。为避免因过度无组织排放影响周边环境，本项目拟采取以下治理措施：</w:t>
            </w:r>
          </w:p>
          <w:p w14:paraId="51DF213B">
            <w:pPr>
              <w:adjustRightInd w:val="0"/>
              <w:snapToGrid w:val="0"/>
              <w:spacing w:line="360" w:lineRule="auto"/>
              <w:ind w:firstLine="480" w:firstLineChars="200"/>
              <w:rPr>
                <w:color w:val="auto"/>
                <w:sz w:val="24"/>
              </w:rPr>
            </w:pPr>
            <w:r>
              <w:rPr>
                <w:rFonts w:hint="eastAsia"/>
                <w:color w:val="auto"/>
                <w:sz w:val="24"/>
              </w:rPr>
              <w:t>①尽可能采取密闭性措施，有效避免废气的</w:t>
            </w:r>
            <w:r>
              <w:rPr>
                <w:rFonts w:hint="eastAsia"/>
                <w:color w:val="auto"/>
                <w:sz w:val="24"/>
                <w:lang w:eastAsia="zh-CN"/>
              </w:rPr>
              <w:t>外溢</w:t>
            </w:r>
            <w:r>
              <w:rPr>
                <w:rFonts w:hint="eastAsia"/>
                <w:color w:val="auto"/>
                <w:sz w:val="24"/>
              </w:rPr>
              <w:t>，尽可能使无组织排放转化为有组织排放；</w:t>
            </w:r>
          </w:p>
          <w:p w14:paraId="2D0EBCE3">
            <w:pPr>
              <w:adjustRightInd w:val="0"/>
              <w:snapToGrid w:val="0"/>
              <w:spacing w:line="360" w:lineRule="auto"/>
              <w:ind w:firstLine="480" w:firstLineChars="200"/>
              <w:rPr>
                <w:color w:val="auto"/>
                <w:sz w:val="24"/>
              </w:rPr>
            </w:pPr>
            <w:r>
              <w:rPr>
                <w:rFonts w:hint="eastAsia"/>
                <w:color w:val="auto"/>
                <w:sz w:val="24"/>
              </w:rPr>
              <w:t>②提高设备的密封性能，并严格控制系统的负压指标，有效避免废气的</w:t>
            </w:r>
            <w:r>
              <w:rPr>
                <w:rFonts w:hint="eastAsia"/>
                <w:color w:val="auto"/>
                <w:sz w:val="24"/>
                <w:lang w:eastAsia="zh-CN"/>
              </w:rPr>
              <w:t>外溢</w:t>
            </w:r>
            <w:r>
              <w:rPr>
                <w:rFonts w:hint="eastAsia"/>
                <w:color w:val="auto"/>
                <w:sz w:val="24"/>
              </w:rPr>
              <w:t>；</w:t>
            </w:r>
          </w:p>
          <w:p w14:paraId="4E57898D">
            <w:pPr>
              <w:adjustRightInd w:val="0"/>
              <w:snapToGrid w:val="0"/>
              <w:spacing w:line="360" w:lineRule="auto"/>
              <w:ind w:firstLine="480" w:firstLineChars="200"/>
              <w:rPr>
                <w:color w:val="auto"/>
                <w:sz w:val="24"/>
              </w:rPr>
            </w:pPr>
            <w:r>
              <w:rPr>
                <w:rFonts w:hint="eastAsia"/>
                <w:color w:val="auto"/>
                <w:sz w:val="24"/>
              </w:rPr>
              <w:t>③加强运行管理和环境管理，提高工人操作水平，通过宣传增强职工环保意识，积极推行清洁生产，节能降耗，多种措施并举，减少污染物排放；</w:t>
            </w:r>
          </w:p>
          <w:p w14:paraId="32E7B85F">
            <w:pPr>
              <w:adjustRightInd w:val="0"/>
              <w:snapToGrid w:val="0"/>
              <w:spacing w:line="360" w:lineRule="auto"/>
              <w:ind w:firstLine="480" w:firstLineChars="200"/>
              <w:rPr>
                <w:color w:val="auto"/>
                <w:sz w:val="24"/>
              </w:rPr>
            </w:pPr>
            <w:r>
              <w:rPr>
                <w:rFonts w:hint="eastAsia"/>
                <w:color w:val="auto"/>
                <w:sz w:val="24"/>
              </w:rPr>
              <w:t>④合理布置车间，将产生无组织废气的工序尽量布置在远离厂界的地方，以减少无组织废气对厂界周围环境的影响；</w:t>
            </w:r>
          </w:p>
          <w:p w14:paraId="23670EC3">
            <w:pPr>
              <w:adjustRightInd w:val="0"/>
              <w:snapToGrid w:val="0"/>
              <w:spacing w:line="360" w:lineRule="auto"/>
              <w:ind w:firstLine="480" w:firstLineChars="200"/>
              <w:rPr>
                <w:color w:val="auto"/>
                <w:sz w:val="24"/>
              </w:rPr>
            </w:pPr>
            <w:r>
              <w:rPr>
                <w:rFonts w:hint="eastAsia"/>
                <w:color w:val="auto"/>
                <w:sz w:val="24"/>
              </w:rPr>
              <w:t>⑤加强厂内绿化，设置一定的卫生防护距离，以减少无组织排放的气体对周围环境保护目标的影响。</w:t>
            </w:r>
          </w:p>
          <w:p w14:paraId="1BA1B25F">
            <w:pPr>
              <w:adjustRightInd w:val="0"/>
              <w:snapToGrid w:val="0"/>
              <w:spacing w:line="360" w:lineRule="auto"/>
              <w:ind w:firstLine="480" w:firstLineChars="200"/>
              <w:rPr>
                <w:color w:val="auto"/>
                <w:sz w:val="24"/>
              </w:rPr>
            </w:pPr>
            <w:r>
              <w:rPr>
                <w:rFonts w:hint="eastAsia"/>
                <w:color w:val="auto"/>
                <w:sz w:val="24"/>
              </w:rPr>
              <w:t>通过采取以上无组织排放控制措施，可减少本项目的无组织气体的排放，使污染物无组织排放量降低到较低的水平。</w:t>
            </w:r>
          </w:p>
          <w:p w14:paraId="36DE7708">
            <w:pPr>
              <w:widowControl/>
              <w:adjustRightInd w:val="0"/>
              <w:snapToGrid w:val="0"/>
              <w:spacing w:line="360" w:lineRule="auto"/>
              <w:jc w:val="left"/>
              <w:rPr>
                <w:b/>
                <w:bCs/>
                <w:color w:val="auto"/>
                <w:sz w:val="24"/>
              </w:rPr>
            </w:pPr>
            <w:r>
              <w:rPr>
                <w:b/>
                <w:bCs/>
                <w:color w:val="auto"/>
                <w:sz w:val="24"/>
              </w:rPr>
              <w:t>1.</w:t>
            </w:r>
            <w:r>
              <w:rPr>
                <w:rFonts w:hint="eastAsia"/>
                <w:b/>
                <w:bCs/>
                <w:color w:val="auto"/>
                <w:sz w:val="24"/>
              </w:rPr>
              <w:t>6</w:t>
            </w:r>
            <w:r>
              <w:rPr>
                <w:b/>
                <w:bCs/>
                <w:color w:val="auto"/>
                <w:sz w:val="24"/>
              </w:rPr>
              <w:t>卫生防护距离</w:t>
            </w:r>
          </w:p>
          <w:p w14:paraId="05C7C69A">
            <w:pPr>
              <w:adjustRightInd w:val="0"/>
              <w:snapToGrid w:val="0"/>
              <w:spacing w:line="360" w:lineRule="auto"/>
              <w:ind w:firstLine="480" w:firstLineChars="200"/>
              <w:rPr>
                <w:color w:val="auto"/>
                <w:sz w:val="24"/>
              </w:rPr>
            </w:pPr>
            <w:r>
              <w:rPr>
                <w:rFonts w:hint="eastAsia"/>
                <w:color w:val="auto"/>
                <w:sz w:val="24"/>
                <w:lang w:eastAsia="zh-CN"/>
              </w:rPr>
              <w:t>(1)</w:t>
            </w:r>
            <w:r>
              <w:rPr>
                <w:rFonts w:hint="eastAsia"/>
                <w:color w:val="auto"/>
                <w:sz w:val="24"/>
              </w:rPr>
              <w:t>大气有害物质无组织排放卫生防护距离的设定按照“工程分析”核算的有害气体无组织排放量，根据《大气有害物质无组织排放卫生防护距离推导技术导则》</w:t>
            </w:r>
            <w:r>
              <w:rPr>
                <w:color w:val="auto"/>
                <w:sz w:val="24"/>
              </w:rPr>
              <w:t>(GB/T39499-2020</w:t>
            </w:r>
            <w:r>
              <w:rPr>
                <w:rFonts w:hint="eastAsia"/>
                <w:color w:val="auto"/>
                <w:sz w:val="24"/>
                <w:lang w:eastAsia="zh-CN"/>
              </w:rPr>
              <w:t>）</w:t>
            </w:r>
            <w:r>
              <w:rPr>
                <w:rFonts w:hint="eastAsia"/>
                <w:color w:val="auto"/>
                <w:sz w:val="24"/>
              </w:rPr>
              <w:t>的有关规定，当目标企业无组织排放存在多种有毒有害污染物时，基于单个污染物的等标排放量（</w:t>
            </w:r>
            <w:r>
              <w:rPr>
                <w:color w:val="auto"/>
                <w:sz w:val="24"/>
              </w:rPr>
              <w:t>Qc/Cm</w:t>
            </w:r>
            <w:r>
              <w:rPr>
                <w:rFonts w:hint="eastAsia"/>
                <w:color w:val="auto"/>
                <w:sz w:val="24"/>
              </w:rPr>
              <w:t>）计算结果，优先选择等标排放量最大的污染物</w:t>
            </w:r>
            <w:r>
              <w:rPr>
                <w:color w:val="auto"/>
                <w:sz w:val="24"/>
              </w:rPr>
              <w:t>1</w:t>
            </w:r>
            <w:r>
              <w:rPr>
                <w:rFonts w:hint="eastAsia"/>
                <w:color w:val="auto"/>
                <w:sz w:val="24"/>
              </w:rPr>
              <w:t>～</w:t>
            </w:r>
            <w:r>
              <w:rPr>
                <w:color w:val="auto"/>
                <w:sz w:val="24"/>
              </w:rPr>
              <w:t>2</w:t>
            </w:r>
            <w:r>
              <w:rPr>
                <w:rFonts w:hint="eastAsia"/>
                <w:color w:val="auto"/>
                <w:sz w:val="24"/>
              </w:rPr>
              <w:t>种为企业无组织排放的主要特征大气有害物质。当前两种污染物的等标排放量相差在</w:t>
            </w:r>
            <w:r>
              <w:rPr>
                <w:color w:val="auto"/>
                <w:sz w:val="24"/>
              </w:rPr>
              <w:t>10%</w:t>
            </w:r>
            <w:r>
              <w:rPr>
                <w:rFonts w:hint="eastAsia"/>
                <w:color w:val="auto"/>
                <w:sz w:val="24"/>
              </w:rPr>
              <w:t>以内时，需要同时选择这两种特征大气有害物质分别计算卫生防护距离初值，建设项目无组织</w:t>
            </w:r>
            <w:r>
              <w:rPr>
                <w:rFonts w:hint="eastAsia"/>
                <w:color w:val="auto"/>
                <w:sz w:val="24"/>
                <w:lang w:eastAsia="zh-CN"/>
              </w:rPr>
              <w:t>污染物达标排放</w:t>
            </w:r>
            <w:r>
              <w:rPr>
                <w:rFonts w:hint="eastAsia"/>
                <w:color w:val="auto"/>
                <w:sz w:val="24"/>
              </w:rPr>
              <w:t>量详见下表。</w:t>
            </w:r>
          </w:p>
          <w:tbl>
            <w:tblPr>
              <w:tblStyle w:val="89"/>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635"/>
              <w:gridCol w:w="2202"/>
              <w:gridCol w:w="2020"/>
              <w:gridCol w:w="1129"/>
              <w:gridCol w:w="1499"/>
            </w:tblGrid>
            <w:tr w14:paraId="53838F9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restart"/>
                  <w:vAlign w:val="center"/>
                </w:tcPr>
                <w:p w14:paraId="1688E21A">
                  <w:pPr>
                    <w:widowControl/>
                    <w:adjustRightInd w:val="0"/>
                    <w:snapToGrid w:val="0"/>
                    <w:jc w:val="center"/>
                    <w:textAlignment w:val="center"/>
                    <w:rPr>
                      <w:b/>
                      <w:bCs/>
                      <w:color w:val="auto"/>
                      <w:szCs w:val="21"/>
                    </w:rPr>
                  </w:pPr>
                  <w:r>
                    <w:rPr>
                      <w:b/>
                      <w:bCs/>
                      <w:color w:val="auto"/>
                      <w:kern w:val="0"/>
                      <w:szCs w:val="21"/>
                      <w:lang w:bidi="ar"/>
                    </w:rPr>
                    <w:t>污染源名称</w:t>
                  </w:r>
                </w:p>
              </w:tc>
              <w:tc>
                <w:tcPr>
                  <w:tcW w:w="2487" w:type="pct"/>
                  <w:gridSpan w:val="2"/>
                  <w:vAlign w:val="center"/>
                </w:tcPr>
                <w:p w14:paraId="66F81077">
                  <w:pPr>
                    <w:widowControl/>
                    <w:adjustRightInd w:val="0"/>
                    <w:snapToGrid w:val="0"/>
                    <w:jc w:val="center"/>
                    <w:textAlignment w:val="center"/>
                    <w:rPr>
                      <w:b/>
                      <w:bCs/>
                      <w:color w:val="auto"/>
                      <w:szCs w:val="21"/>
                    </w:rPr>
                  </w:pPr>
                  <w:r>
                    <w:rPr>
                      <w:b/>
                      <w:bCs/>
                      <w:color w:val="auto"/>
                      <w:kern w:val="0"/>
                      <w:szCs w:val="21"/>
                      <w:lang w:bidi="ar"/>
                    </w:rPr>
                    <w:t>污染物</w:t>
                  </w:r>
                </w:p>
              </w:tc>
              <w:tc>
                <w:tcPr>
                  <w:tcW w:w="665" w:type="pct"/>
                  <w:vMerge w:val="restart"/>
                  <w:noWrap/>
                  <w:vAlign w:val="center"/>
                </w:tcPr>
                <w:p w14:paraId="18B952C1">
                  <w:pPr>
                    <w:widowControl/>
                    <w:adjustRightInd w:val="0"/>
                    <w:snapToGrid w:val="0"/>
                    <w:jc w:val="center"/>
                    <w:textAlignment w:val="center"/>
                    <w:rPr>
                      <w:b/>
                      <w:bCs/>
                      <w:color w:val="auto"/>
                      <w:szCs w:val="21"/>
                    </w:rPr>
                  </w:pPr>
                  <w:r>
                    <w:rPr>
                      <w:b/>
                      <w:bCs/>
                      <w:color w:val="auto"/>
                      <w:kern w:val="0"/>
                      <w:szCs w:val="21"/>
                      <w:lang w:bidi="ar"/>
                    </w:rPr>
                    <w:t>Cm</w:t>
                  </w:r>
                </w:p>
              </w:tc>
              <w:tc>
                <w:tcPr>
                  <w:tcW w:w="883" w:type="pct"/>
                  <w:vMerge w:val="restart"/>
                  <w:noWrap/>
                  <w:vAlign w:val="center"/>
                </w:tcPr>
                <w:p w14:paraId="68F16D01">
                  <w:pPr>
                    <w:widowControl/>
                    <w:adjustRightInd w:val="0"/>
                    <w:snapToGrid w:val="0"/>
                    <w:jc w:val="center"/>
                    <w:textAlignment w:val="center"/>
                    <w:rPr>
                      <w:b/>
                      <w:bCs/>
                      <w:color w:val="auto"/>
                      <w:szCs w:val="21"/>
                    </w:rPr>
                  </w:pPr>
                  <w:r>
                    <w:rPr>
                      <w:b/>
                      <w:bCs/>
                      <w:color w:val="auto"/>
                      <w:kern w:val="0"/>
                      <w:szCs w:val="21"/>
                      <w:lang w:bidi="ar"/>
                    </w:rPr>
                    <w:t>Qc/Cm</w:t>
                  </w:r>
                </w:p>
              </w:tc>
            </w:tr>
            <w:tr w14:paraId="08E6BB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continue"/>
                  <w:vAlign w:val="center"/>
                </w:tcPr>
                <w:p w14:paraId="609A1FD6">
                  <w:pPr>
                    <w:widowControl/>
                    <w:adjustRightInd w:val="0"/>
                    <w:snapToGrid w:val="0"/>
                    <w:jc w:val="center"/>
                    <w:rPr>
                      <w:b/>
                      <w:bCs/>
                      <w:color w:val="auto"/>
                      <w:szCs w:val="21"/>
                    </w:rPr>
                  </w:pPr>
                </w:p>
              </w:tc>
              <w:tc>
                <w:tcPr>
                  <w:tcW w:w="1297" w:type="pct"/>
                  <w:vAlign w:val="center"/>
                </w:tcPr>
                <w:p w14:paraId="519BDCE9">
                  <w:pPr>
                    <w:widowControl/>
                    <w:adjustRightInd w:val="0"/>
                    <w:snapToGrid w:val="0"/>
                    <w:jc w:val="center"/>
                    <w:textAlignment w:val="center"/>
                    <w:rPr>
                      <w:b/>
                      <w:bCs/>
                      <w:color w:val="auto"/>
                      <w:szCs w:val="21"/>
                    </w:rPr>
                  </w:pPr>
                  <w:r>
                    <w:rPr>
                      <w:b/>
                      <w:bCs/>
                      <w:color w:val="auto"/>
                      <w:kern w:val="0"/>
                      <w:szCs w:val="21"/>
                      <w:lang w:bidi="ar"/>
                    </w:rPr>
                    <w:t>污染物名称</w:t>
                  </w:r>
                </w:p>
              </w:tc>
              <w:tc>
                <w:tcPr>
                  <w:tcW w:w="1190" w:type="pct"/>
                  <w:vAlign w:val="center"/>
                </w:tcPr>
                <w:p w14:paraId="3EA567D2">
                  <w:pPr>
                    <w:widowControl/>
                    <w:adjustRightInd w:val="0"/>
                    <w:snapToGrid w:val="0"/>
                    <w:jc w:val="center"/>
                    <w:textAlignment w:val="center"/>
                    <w:rPr>
                      <w:b/>
                      <w:bCs/>
                      <w:color w:val="auto"/>
                      <w:szCs w:val="21"/>
                    </w:rPr>
                  </w:pPr>
                  <w:r>
                    <w:rPr>
                      <w:b/>
                      <w:bCs/>
                      <w:color w:val="auto"/>
                      <w:kern w:val="0"/>
                      <w:szCs w:val="21"/>
                      <w:lang w:bidi="ar"/>
                    </w:rPr>
                    <w:t>源强（kg/h）</w:t>
                  </w:r>
                </w:p>
              </w:tc>
              <w:tc>
                <w:tcPr>
                  <w:tcW w:w="665" w:type="pct"/>
                  <w:vMerge w:val="continue"/>
                  <w:noWrap/>
                  <w:vAlign w:val="center"/>
                </w:tcPr>
                <w:p w14:paraId="7276FDA0">
                  <w:pPr>
                    <w:widowControl/>
                    <w:adjustRightInd w:val="0"/>
                    <w:snapToGrid w:val="0"/>
                    <w:jc w:val="center"/>
                    <w:rPr>
                      <w:b/>
                      <w:bCs/>
                      <w:color w:val="auto"/>
                      <w:szCs w:val="21"/>
                    </w:rPr>
                  </w:pPr>
                </w:p>
              </w:tc>
              <w:tc>
                <w:tcPr>
                  <w:tcW w:w="883" w:type="pct"/>
                  <w:vMerge w:val="continue"/>
                  <w:noWrap/>
                  <w:vAlign w:val="center"/>
                </w:tcPr>
                <w:p w14:paraId="7CCACD6D">
                  <w:pPr>
                    <w:widowControl/>
                    <w:adjustRightInd w:val="0"/>
                    <w:snapToGrid w:val="0"/>
                    <w:jc w:val="center"/>
                    <w:rPr>
                      <w:b/>
                      <w:bCs/>
                      <w:color w:val="auto"/>
                      <w:szCs w:val="21"/>
                    </w:rPr>
                  </w:pPr>
                </w:p>
              </w:tc>
            </w:tr>
            <w:tr w14:paraId="6A595AD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restart"/>
                  <w:vAlign w:val="center"/>
                </w:tcPr>
                <w:p w14:paraId="094885E4">
                  <w:pPr>
                    <w:adjustRightInd w:val="0"/>
                    <w:snapToGrid w:val="0"/>
                    <w:jc w:val="center"/>
                    <w:rPr>
                      <w:color w:val="auto"/>
                      <w:sz w:val="21"/>
                      <w:szCs w:val="21"/>
                    </w:rPr>
                  </w:pPr>
                  <w:r>
                    <w:rPr>
                      <w:rFonts w:hint="eastAsia"/>
                      <w:color w:val="auto"/>
                      <w:sz w:val="21"/>
                      <w:szCs w:val="21"/>
                      <w:lang w:eastAsia="zh-CN"/>
                    </w:rPr>
                    <w:t>1.</w:t>
                  </w:r>
                  <w:r>
                    <w:rPr>
                      <w:rFonts w:hint="eastAsia"/>
                      <w:color w:val="auto"/>
                      <w:sz w:val="21"/>
                      <w:szCs w:val="21"/>
                    </w:rPr>
                    <w:t>厂房</w:t>
                  </w:r>
                </w:p>
                <w:p w14:paraId="6BC936E6">
                  <w:pPr>
                    <w:adjustRightInd w:val="0"/>
                    <w:snapToGrid w:val="0"/>
                    <w:jc w:val="center"/>
                    <w:rPr>
                      <w:color w:val="auto"/>
                      <w:sz w:val="21"/>
                      <w:szCs w:val="21"/>
                    </w:rPr>
                  </w:pPr>
                  <w:r>
                    <w:rPr>
                      <w:rFonts w:hint="eastAsia"/>
                      <w:color w:val="auto"/>
                      <w:sz w:val="21"/>
                      <w:szCs w:val="21"/>
                    </w:rPr>
                    <w:t>组装车间</w:t>
                  </w:r>
                </w:p>
              </w:tc>
              <w:tc>
                <w:tcPr>
                  <w:tcW w:w="1297" w:type="pct"/>
                  <w:vAlign w:val="center"/>
                </w:tcPr>
                <w:p w14:paraId="03765F2C">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6483909C">
                  <w:pPr>
                    <w:widowControl/>
                    <w:adjustRightInd w:val="0"/>
                    <w:snapToGrid w:val="0"/>
                    <w:jc w:val="center"/>
                    <w:rPr>
                      <w:color w:val="auto"/>
                      <w:sz w:val="21"/>
                      <w:szCs w:val="21"/>
                    </w:rPr>
                  </w:pPr>
                  <w:r>
                    <w:rPr>
                      <w:color w:val="auto"/>
                      <w:sz w:val="21"/>
                      <w:szCs w:val="21"/>
                    </w:rPr>
                    <w:t>0.0</w:t>
                  </w:r>
                  <w:r>
                    <w:rPr>
                      <w:rFonts w:hint="eastAsia"/>
                      <w:color w:val="auto"/>
                      <w:sz w:val="21"/>
                      <w:szCs w:val="21"/>
                    </w:rPr>
                    <w:t>697</w:t>
                  </w:r>
                </w:p>
              </w:tc>
              <w:tc>
                <w:tcPr>
                  <w:tcW w:w="665" w:type="pct"/>
                  <w:noWrap/>
                  <w:vAlign w:val="center"/>
                </w:tcPr>
                <w:p w14:paraId="2EED0B9C">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5461F651">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3485</w:t>
                  </w:r>
                </w:p>
              </w:tc>
            </w:tr>
            <w:tr w14:paraId="5F4801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continue"/>
                  <w:vAlign w:val="center"/>
                </w:tcPr>
                <w:p w14:paraId="21052FEC">
                  <w:pPr>
                    <w:adjustRightInd w:val="0"/>
                    <w:snapToGrid w:val="0"/>
                    <w:jc w:val="center"/>
                    <w:rPr>
                      <w:color w:val="auto"/>
                      <w:sz w:val="21"/>
                      <w:szCs w:val="21"/>
                    </w:rPr>
                  </w:pPr>
                </w:p>
              </w:tc>
              <w:tc>
                <w:tcPr>
                  <w:tcW w:w="1297" w:type="pct"/>
                  <w:vAlign w:val="center"/>
                </w:tcPr>
                <w:p w14:paraId="5A0B5989">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472EB4F8">
                  <w:pPr>
                    <w:widowControl/>
                    <w:adjustRightInd w:val="0"/>
                    <w:snapToGrid w:val="0"/>
                    <w:jc w:val="center"/>
                    <w:rPr>
                      <w:color w:val="auto"/>
                      <w:sz w:val="21"/>
                      <w:szCs w:val="21"/>
                    </w:rPr>
                  </w:pPr>
                  <w:r>
                    <w:rPr>
                      <w:color w:val="auto"/>
                      <w:sz w:val="21"/>
                      <w:szCs w:val="21"/>
                    </w:rPr>
                    <w:t>0.0027</w:t>
                  </w:r>
                </w:p>
              </w:tc>
              <w:tc>
                <w:tcPr>
                  <w:tcW w:w="665" w:type="pct"/>
                  <w:noWrap/>
                  <w:vAlign w:val="center"/>
                </w:tcPr>
                <w:p w14:paraId="131466E6">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1BA65635">
                  <w:pPr>
                    <w:widowControl/>
                    <w:adjustRightInd w:val="0"/>
                    <w:snapToGrid w:val="0"/>
                    <w:jc w:val="center"/>
                    <w:textAlignment w:val="center"/>
                    <w:rPr>
                      <w:color w:val="auto"/>
                      <w:sz w:val="21"/>
                      <w:szCs w:val="21"/>
                    </w:rPr>
                  </w:pPr>
                  <w:r>
                    <w:rPr>
                      <w:rFonts w:hint="eastAsia"/>
                      <w:color w:val="auto"/>
                      <w:sz w:val="21"/>
                      <w:szCs w:val="21"/>
                    </w:rPr>
                    <w:t>0.003</w:t>
                  </w:r>
                </w:p>
              </w:tc>
            </w:tr>
            <w:tr w14:paraId="44C9B64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restart"/>
                  <w:vAlign w:val="center"/>
                </w:tcPr>
                <w:p w14:paraId="6E9C9D49">
                  <w:pPr>
                    <w:adjustRightInd w:val="0"/>
                    <w:snapToGrid w:val="0"/>
                    <w:jc w:val="center"/>
                    <w:rPr>
                      <w:color w:val="auto"/>
                      <w:sz w:val="21"/>
                      <w:szCs w:val="21"/>
                    </w:rPr>
                  </w:pPr>
                  <w:r>
                    <w:rPr>
                      <w:rFonts w:hint="eastAsia"/>
                      <w:color w:val="auto"/>
                      <w:sz w:val="21"/>
                      <w:szCs w:val="21"/>
                      <w:lang w:eastAsia="zh-CN"/>
                    </w:rPr>
                    <w:t>2.</w:t>
                  </w:r>
                  <w:r>
                    <w:rPr>
                      <w:rFonts w:hint="eastAsia"/>
                      <w:color w:val="auto"/>
                      <w:sz w:val="21"/>
                      <w:szCs w:val="21"/>
                    </w:rPr>
                    <w:t>厂房</w:t>
                  </w:r>
                </w:p>
                <w:p w14:paraId="5C203C33">
                  <w:pPr>
                    <w:adjustRightInd w:val="0"/>
                    <w:snapToGrid w:val="0"/>
                    <w:jc w:val="center"/>
                    <w:rPr>
                      <w:color w:val="auto"/>
                      <w:sz w:val="21"/>
                      <w:szCs w:val="21"/>
                    </w:rPr>
                  </w:pPr>
                  <w:r>
                    <w:rPr>
                      <w:rFonts w:hint="eastAsia"/>
                      <w:color w:val="auto"/>
                      <w:sz w:val="21"/>
                      <w:szCs w:val="21"/>
                    </w:rPr>
                    <w:t>金属车间</w:t>
                  </w:r>
                </w:p>
              </w:tc>
              <w:tc>
                <w:tcPr>
                  <w:tcW w:w="1297" w:type="pct"/>
                  <w:vAlign w:val="center"/>
                </w:tcPr>
                <w:p w14:paraId="1076A299">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650D4D2C">
                  <w:pPr>
                    <w:widowControl/>
                    <w:adjustRightInd w:val="0"/>
                    <w:snapToGrid w:val="0"/>
                    <w:jc w:val="center"/>
                    <w:rPr>
                      <w:rFonts w:hint="eastAsia" w:eastAsia="宋体"/>
                      <w:color w:val="auto"/>
                      <w:sz w:val="21"/>
                      <w:szCs w:val="21"/>
                      <w:lang w:val="en-US" w:eastAsia="zh-CN"/>
                    </w:rPr>
                  </w:pPr>
                  <w:r>
                    <w:rPr>
                      <w:rFonts w:hint="eastAsia"/>
                      <w:color w:val="auto"/>
                      <w:sz w:val="21"/>
                      <w:szCs w:val="21"/>
                    </w:rPr>
                    <w:t>0.000</w:t>
                  </w:r>
                  <w:r>
                    <w:rPr>
                      <w:rFonts w:hint="eastAsia"/>
                      <w:color w:val="auto"/>
                      <w:sz w:val="21"/>
                      <w:szCs w:val="21"/>
                      <w:lang w:val="en-US" w:eastAsia="zh-CN"/>
                    </w:rPr>
                    <w:t>8</w:t>
                  </w:r>
                </w:p>
              </w:tc>
              <w:tc>
                <w:tcPr>
                  <w:tcW w:w="665" w:type="pct"/>
                  <w:shd w:val="clear" w:color="auto" w:fill="auto"/>
                  <w:noWrap/>
                  <w:vAlign w:val="center"/>
                </w:tcPr>
                <w:p w14:paraId="67165181">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189BA77F">
                  <w:pPr>
                    <w:widowControl/>
                    <w:adjustRightInd w:val="0"/>
                    <w:snapToGrid w:val="0"/>
                    <w:jc w:val="center"/>
                    <w:textAlignment w:val="center"/>
                    <w:rPr>
                      <w:color w:val="auto"/>
                      <w:sz w:val="21"/>
                      <w:szCs w:val="21"/>
                    </w:rPr>
                  </w:pPr>
                  <w:r>
                    <w:rPr>
                      <w:rFonts w:hint="eastAsia"/>
                      <w:color w:val="auto"/>
                      <w:sz w:val="21"/>
                      <w:szCs w:val="21"/>
                    </w:rPr>
                    <w:t>0.0004</w:t>
                  </w:r>
                </w:p>
              </w:tc>
            </w:tr>
            <w:tr w14:paraId="1F8BF2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continue"/>
                  <w:vAlign w:val="center"/>
                </w:tcPr>
                <w:p w14:paraId="1F082295">
                  <w:pPr>
                    <w:adjustRightInd w:val="0"/>
                    <w:snapToGrid w:val="0"/>
                    <w:jc w:val="center"/>
                    <w:rPr>
                      <w:color w:val="auto"/>
                      <w:sz w:val="21"/>
                      <w:szCs w:val="21"/>
                    </w:rPr>
                  </w:pPr>
                </w:p>
              </w:tc>
              <w:tc>
                <w:tcPr>
                  <w:tcW w:w="1297" w:type="pct"/>
                  <w:vAlign w:val="center"/>
                </w:tcPr>
                <w:p w14:paraId="02351C58">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7BE03CC0">
                  <w:pPr>
                    <w:widowControl/>
                    <w:adjustRightInd w:val="0"/>
                    <w:snapToGrid w:val="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0915</w:t>
                  </w:r>
                </w:p>
              </w:tc>
              <w:tc>
                <w:tcPr>
                  <w:tcW w:w="665" w:type="pct"/>
                  <w:shd w:val="clear" w:color="auto" w:fill="auto"/>
                  <w:noWrap/>
                  <w:vAlign w:val="center"/>
                </w:tcPr>
                <w:p w14:paraId="2C4FEF64">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09C8E93C">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0.1</w:t>
                  </w:r>
                  <w:r>
                    <w:rPr>
                      <w:rFonts w:hint="eastAsia"/>
                      <w:color w:val="auto"/>
                      <w:sz w:val="21"/>
                      <w:szCs w:val="21"/>
                      <w:lang w:val="en-US" w:eastAsia="zh-CN"/>
                    </w:rPr>
                    <w:t>017</w:t>
                  </w:r>
                </w:p>
              </w:tc>
            </w:tr>
            <w:tr w14:paraId="327152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restart"/>
                  <w:vAlign w:val="center"/>
                </w:tcPr>
                <w:p w14:paraId="4C3A07B6">
                  <w:pPr>
                    <w:adjustRightInd w:val="0"/>
                    <w:snapToGrid w:val="0"/>
                    <w:jc w:val="center"/>
                    <w:rPr>
                      <w:color w:val="auto"/>
                      <w:sz w:val="21"/>
                      <w:szCs w:val="21"/>
                    </w:rPr>
                  </w:pPr>
                  <w:r>
                    <w:rPr>
                      <w:rFonts w:hint="eastAsia"/>
                      <w:color w:val="auto"/>
                      <w:sz w:val="21"/>
                      <w:szCs w:val="21"/>
                      <w:lang w:eastAsia="zh-CN"/>
                    </w:rPr>
                    <w:t>3.</w:t>
                  </w:r>
                  <w:r>
                    <w:rPr>
                      <w:rFonts w:hint="eastAsia"/>
                      <w:color w:val="auto"/>
                      <w:sz w:val="21"/>
                      <w:szCs w:val="21"/>
                    </w:rPr>
                    <w:t>厂房</w:t>
                  </w:r>
                </w:p>
                <w:p w14:paraId="181F5242">
                  <w:pPr>
                    <w:adjustRightInd w:val="0"/>
                    <w:snapToGrid w:val="0"/>
                    <w:jc w:val="center"/>
                    <w:rPr>
                      <w:color w:val="auto"/>
                      <w:sz w:val="21"/>
                      <w:szCs w:val="21"/>
                    </w:rPr>
                  </w:pPr>
                  <w:r>
                    <w:rPr>
                      <w:rFonts w:hint="eastAsia"/>
                      <w:color w:val="auto"/>
                      <w:sz w:val="21"/>
                      <w:szCs w:val="21"/>
                    </w:rPr>
                    <w:t>油漆车间</w:t>
                  </w:r>
                </w:p>
              </w:tc>
              <w:tc>
                <w:tcPr>
                  <w:tcW w:w="1297" w:type="pct"/>
                  <w:vAlign w:val="center"/>
                </w:tcPr>
                <w:p w14:paraId="26FBE637">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247900B0">
                  <w:pPr>
                    <w:widowControl/>
                    <w:adjustRightInd w:val="0"/>
                    <w:snapToGrid w:val="0"/>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369</w:t>
                  </w:r>
                </w:p>
              </w:tc>
              <w:tc>
                <w:tcPr>
                  <w:tcW w:w="665" w:type="pct"/>
                  <w:shd w:val="clear" w:color="auto" w:fill="auto"/>
                  <w:noWrap/>
                  <w:vAlign w:val="center"/>
                </w:tcPr>
                <w:p w14:paraId="3CB1AE88">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7AADD684">
                  <w:pPr>
                    <w:widowControl/>
                    <w:adjustRightInd w:val="0"/>
                    <w:snapToGrid w:val="0"/>
                    <w:jc w:val="center"/>
                    <w:textAlignment w:val="center"/>
                    <w:rPr>
                      <w:rFonts w:hint="default"/>
                      <w:color w:val="auto"/>
                      <w:sz w:val="21"/>
                      <w:szCs w:val="21"/>
                      <w:lang w:val="en-US"/>
                    </w:rPr>
                  </w:pPr>
                  <w:r>
                    <w:rPr>
                      <w:rFonts w:hint="eastAsia"/>
                      <w:color w:val="auto"/>
                      <w:sz w:val="21"/>
                      <w:szCs w:val="21"/>
                    </w:rPr>
                    <w:t>0.01</w:t>
                  </w:r>
                  <w:r>
                    <w:rPr>
                      <w:rFonts w:hint="eastAsia"/>
                      <w:color w:val="auto"/>
                      <w:sz w:val="21"/>
                      <w:szCs w:val="21"/>
                      <w:lang w:val="en-US" w:eastAsia="zh-CN"/>
                    </w:rPr>
                    <w:t>845</w:t>
                  </w:r>
                </w:p>
              </w:tc>
            </w:tr>
            <w:tr w14:paraId="73B2D45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continue"/>
                  <w:vAlign w:val="center"/>
                </w:tcPr>
                <w:p w14:paraId="611D4BBF">
                  <w:pPr>
                    <w:adjustRightInd w:val="0"/>
                    <w:snapToGrid w:val="0"/>
                    <w:jc w:val="center"/>
                    <w:rPr>
                      <w:color w:val="auto"/>
                      <w:sz w:val="21"/>
                      <w:szCs w:val="21"/>
                    </w:rPr>
                  </w:pPr>
                </w:p>
              </w:tc>
              <w:tc>
                <w:tcPr>
                  <w:tcW w:w="1297" w:type="pct"/>
                  <w:vAlign w:val="center"/>
                </w:tcPr>
                <w:p w14:paraId="08099FFF">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53ABDF22">
                  <w:pPr>
                    <w:widowControl/>
                    <w:adjustRightInd w:val="0"/>
                    <w:snapToGrid w:val="0"/>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752</w:t>
                  </w:r>
                </w:p>
              </w:tc>
              <w:tc>
                <w:tcPr>
                  <w:tcW w:w="665" w:type="pct"/>
                  <w:shd w:val="clear" w:color="auto" w:fill="auto"/>
                  <w:noWrap/>
                  <w:vAlign w:val="center"/>
                </w:tcPr>
                <w:p w14:paraId="0D5D6888">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642F6E55">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836</w:t>
                  </w:r>
                </w:p>
              </w:tc>
            </w:tr>
            <w:tr w14:paraId="037A9C0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restart"/>
                  <w:vAlign w:val="center"/>
                </w:tcPr>
                <w:p w14:paraId="0CD8137A">
                  <w:pPr>
                    <w:adjustRightInd w:val="0"/>
                    <w:snapToGrid w:val="0"/>
                    <w:jc w:val="center"/>
                    <w:rPr>
                      <w:color w:val="auto"/>
                      <w:sz w:val="21"/>
                      <w:szCs w:val="21"/>
                    </w:rPr>
                  </w:pPr>
                  <w:r>
                    <w:rPr>
                      <w:rFonts w:hint="eastAsia"/>
                      <w:color w:val="auto"/>
                      <w:sz w:val="21"/>
                      <w:szCs w:val="21"/>
                      <w:lang w:eastAsia="zh-CN"/>
                    </w:rPr>
                    <w:t>4.</w:t>
                  </w:r>
                  <w:r>
                    <w:rPr>
                      <w:rFonts w:hint="eastAsia"/>
                      <w:color w:val="auto"/>
                      <w:sz w:val="21"/>
                      <w:szCs w:val="21"/>
                    </w:rPr>
                    <w:t>厂房</w:t>
                  </w:r>
                </w:p>
                <w:p w14:paraId="618AFFF8">
                  <w:pPr>
                    <w:adjustRightInd w:val="0"/>
                    <w:snapToGrid w:val="0"/>
                    <w:jc w:val="center"/>
                    <w:rPr>
                      <w:color w:val="auto"/>
                      <w:sz w:val="21"/>
                      <w:szCs w:val="21"/>
                    </w:rPr>
                  </w:pPr>
                  <w:r>
                    <w:rPr>
                      <w:rFonts w:hint="eastAsia"/>
                      <w:color w:val="auto"/>
                      <w:sz w:val="21"/>
                      <w:szCs w:val="21"/>
                    </w:rPr>
                    <w:t>木工车间</w:t>
                  </w:r>
                </w:p>
              </w:tc>
              <w:tc>
                <w:tcPr>
                  <w:tcW w:w="1297" w:type="pct"/>
                  <w:vAlign w:val="center"/>
                </w:tcPr>
                <w:p w14:paraId="01B360A9">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142E96B0">
                  <w:pPr>
                    <w:widowControl/>
                    <w:adjustRightInd w:val="0"/>
                    <w:snapToGrid w:val="0"/>
                    <w:jc w:val="center"/>
                    <w:rPr>
                      <w:color w:val="auto"/>
                      <w:sz w:val="21"/>
                      <w:szCs w:val="21"/>
                    </w:rPr>
                  </w:pPr>
                  <w:r>
                    <w:rPr>
                      <w:rFonts w:hint="eastAsia"/>
                      <w:color w:val="auto"/>
                      <w:sz w:val="21"/>
                      <w:szCs w:val="21"/>
                    </w:rPr>
                    <w:t>0.0004</w:t>
                  </w:r>
                </w:p>
              </w:tc>
              <w:tc>
                <w:tcPr>
                  <w:tcW w:w="665" w:type="pct"/>
                  <w:shd w:val="clear" w:color="auto" w:fill="auto"/>
                  <w:noWrap/>
                  <w:vAlign w:val="center"/>
                </w:tcPr>
                <w:p w14:paraId="064F7529">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309D569D">
                  <w:pPr>
                    <w:widowControl/>
                    <w:adjustRightInd w:val="0"/>
                    <w:snapToGrid w:val="0"/>
                    <w:jc w:val="center"/>
                    <w:textAlignment w:val="center"/>
                    <w:rPr>
                      <w:color w:val="auto"/>
                      <w:sz w:val="21"/>
                      <w:szCs w:val="21"/>
                    </w:rPr>
                  </w:pPr>
                  <w:r>
                    <w:rPr>
                      <w:rFonts w:hint="eastAsia"/>
                      <w:color w:val="auto"/>
                      <w:sz w:val="21"/>
                      <w:szCs w:val="21"/>
                    </w:rPr>
                    <w:t>0.0002</w:t>
                  </w:r>
                </w:p>
              </w:tc>
            </w:tr>
            <w:tr w14:paraId="0FC48BB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3" w:type="pct"/>
                  <w:vMerge w:val="continue"/>
                  <w:vAlign w:val="center"/>
                </w:tcPr>
                <w:p w14:paraId="1CD2371D">
                  <w:pPr>
                    <w:adjustRightInd w:val="0"/>
                    <w:snapToGrid w:val="0"/>
                    <w:jc w:val="center"/>
                    <w:rPr>
                      <w:color w:val="auto"/>
                      <w:sz w:val="21"/>
                      <w:szCs w:val="21"/>
                    </w:rPr>
                  </w:pPr>
                </w:p>
              </w:tc>
              <w:tc>
                <w:tcPr>
                  <w:tcW w:w="1297" w:type="pct"/>
                  <w:vAlign w:val="center"/>
                </w:tcPr>
                <w:p w14:paraId="1EB17DA2">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26E81C6B">
                  <w:pPr>
                    <w:widowControl/>
                    <w:adjustRightInd w:val="0"/>
                    <w:snapToGrid w:val="0"/>
                    <w:jc w:val="center"/>
                    <w:rPr>
                      <w:color w:val="auto"/>
                      <w:sz w:val="21"/>
                      <w:szCs w:val="21"/>
                    </w:rPr>
                  </w:pPr>
                  <w:r>
                    <w:rPr>
                      <w:rFonts w:hint="eastAsia"/>
                      <w:color w:val="auto"/>
                      <w:sz w:val="21"/>
                      <w:szCs w:val="21"/>
                    </w:rPr>
                    <w:t>0.016</w:t>
                  </w:r>
                </w:p>
              </w:tc>
              <w:tc>
                <w:tcPr>
                  <w:tcW w:w="665" w:type="pct"/>
                  <w:shd w:val="clear" w:color="auto" w:fill="auto"/>
                  <w:noWrap/>
                  <w:vAlign w:val="center"/>
                </w:tcPr>
                <w:p w14:paraId="67EF2146">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1D8447D7">
                  <w:pPr>
                    <w:widowControl/>
                    <w:adjustRightInd w:val="0"/>
                    <w:snapToGrid w:val="0"/>
                    <w:jc w:val="center"/>
                    <w:textAlignment w:val="center"/>
                    <w:rPr>
                      <w:color w:val="auto"/>
                      <w:sz w:val="21"/>
                      <w:szCs w:val="21"/>
                    </w:rPr>
                  </w:pPr>
                  <w:r>
                    <w:rPr>
                      <w:rFonts w:hint="eastAsia"/>
                      <w:color w:val="auto"/>
                      <w:sz w:val="21"/>
                      <w:szCs w:val="21"/>
                    </w:rPr>
                    <w:t>0.0178</w:t>
                  </w:r>
                </w:p>
              </w:tc>
            </w:tr>
          </w:tbl>
          <w:p w14:paraId="131B5B11">
            <w:pPr>
              <w:adjustRightInd w:val="0"/>
              <w:snapToGrid w:val="0"/>
              <w:spacing w:line="360" w:lineRule="auto"/>
              <w:ind w:firstLine="480" w:firstLineChars="200"/>
              <w:rPr>
                <w:color w:val="auto"/>
                <w:sz w:val="24"/>
              </w:rPr>
            </w:pPr>
            <w:r>
              <w:rPr>
                <w:color w:val="auto"/>
                <w:sz w:val="24"/>
              </w:rPr>
              <w:t>根据《大气有害物质无组织排放卫生防护距离推导技术导则》(GB/T39499-2020)，卫生防护距离计算公式如下：</w:t>
            </w:r>
          </w:p>
          <w:p w14:paraId="01745A45">
            <w:pPr>
              <w:adjustRightInd w:val="0"/>
              <w:snapToGrid w:val="0"/>
              <w:spacing w:line="360" w:lineRule="auto"/>
              <w:ind w:firstLine="480" w:firstLineChars="200"/>
              <w:jc w:val="center"/>
              <w:rPr>
                <w:color w:val="auto"/>
                <w:position w:val="-30"/>
                <w:sz w:val="24"/>
              </w:rPr>
            </w:pPr>
            <w:r>
              <w:rPr>
                <w:color w:val="auto"/>
                <w:sz w:val="24"/>
              </w:rPr>
              <w:drawing>
                <wp:inline distT="0" distB="0" distL="114300" distR="114300">
                  <wp:extent cx="1895475" cy="457835"/>
                  <wp:effectExtent l="0" t="0" r="9525" b="18415"/>
                  <wp:docPr id="3"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wps1"/>
                          <pic:cNvPicPr>
                            <a:picLocks noChangeAspect="1"/>
                          </pic:cNvPicPr>
                        </pic:nvPicPr>
                        <pic:blipFill>
                          <a:blip r:embed="rId28"/>
                          <a:stretch>
                            <a:fillRect/>
                          </a:stretch>
                        </pic:blipFill>
                        <pic:spPr>
                          <a:xfrm>
                            <a:off x="0" y="0"/>
                            <a:ext cx="1895475" cy="457835"/>
                          </a:xfrm>
                          <a:prstGeom prst="rect">
                            <a:avLst/>
                          </a:prstGeom>
                          <a:noFill/>
                          <a:ln>
                            <a:noFill/>
                          </a:ln>
                        </pic:spPr>
                      </pic:pic>
                    </a:graphicData>
                  </a:graphic>
                </wp:inline>
              </w:drawing>
            </w:r>
          </w:p>
          <w:p w14:paraId="39882332">
            <w:pPr>
              <w:adjustRightInd w:val="0"/>
              <w:snapToGrid w:val="0"/>
              <w:spacing w:line="360" w:lineRule="auto"/>
              <w:ind w:firstLine="480" w:firstLineChars="200"/>
              <w:rPr>
                <w:color w:val="auto"/>
                <w:sz w:val="24"/>
              </w:rPr>
            </w:pPr>
            <w:r>
              <w:rPr>
                <w:color w:val="auto"/>
                <w:sz w:val="24"/>
              </w:rPr>
              <w:t>式中：Qc——大气有害物质的无组织排放量，单位为千克每小时（kg/h）；</w:t>
            </w:r>
          </w:p>
          <w:p w14:paraId="560775EE">
            <w:pPr>
              <w:adjustRightInd w:val="0"/>
              <w:snapToGrid w:val="0"/>
              <w:spacing w:line="360" w:lineRule="auto"/>
              <w:ind w:firstLine="480" w:firstLineChars="200"/>
              <w:rPr>
                <w:color w:val="auto"/>
                <w:sz w:val="24"/>
              </w:rPr>
            </w:pPr>
            <w:r>
              <w:rPr>
                <w:color w:val="auto"/>
                <w:sz w:val="24"/>
              </w:rPr>
              <w:t>Cm——大气有害物质环境空气质量的标准限值，单位为毫克每立方米（mg/m</w:t>
            </w:r>
            <w:r>
              <w:rPr>
                <w:color w:val="auto"/>
                <w:sz w:val="24"/>
                <w:vertAlign w:val="superscript"/>
              </w:rPr>
              <w:t>3</w:t>
            </w:r>
            <w:r>
              <w:rPr>
                <w:color w:val="auto"/>
                <w:sz w:val="24"/>
              </w:rPr>
              <w:t>）；</w:t>
            </w:r>
          </w:p>
          <w:p w14:paraId="76AD2A6E">
            <w:pPr>
              <w:adjustRightInd w:val="0"/>
              <w:snapToGrid w:val="0"/>
              <w:spacing w:line="360" w:lineRule="auto"/>
              <w:ind w:firstLine="480" w:firstLineChars="200"/>
              <w:rPr>
                <w:color w:val="auto"/>
                <w:sz w:val="24"/>
              </w:rPr>
            </w:pPr>
            <w:r>
              <w:rPr>
                <w:color w:val="auto"/>
                <w:sz w:val="24"/>
              </w:rPr>
              <w:t>L——大气有害物质卫生防护距离初值，单位为米（m）；</w:t>
            </w:r>
          </w:p>
          <w:p w14:paraId="4D43186A">
            <w:pPr>
              <w:adjustRightInd w:val="0"/>
              <w:snapToGrid w:val="0"/>
              <w:spacing w:line="360" w:lineRule="auto"/>
              <w:ind w:firstLine="480" w:firstLineChars="200"/>
              <w:rPr>
                <w:color w:val="auto"/>
                <w:sz w:val="24"/>
              </w:rPr>
            </w:pPr>
            <w:r>
              <w:rPr>
                <w:color w:val="auto"/>
                <w:sz w:val="24"/>
              </w:rPr>
              <w:t>r——大气有害物质无组织排放源所在生产单元的等效半径，单位为米（m），r = (S/p)</w:t>
            </w:r>
            <w:r>
              <w:rPr>
                <w:color w:val="auto"/>
                <w:sz w:val="24"/>
                <w:vertAlign w:val="superscript"/>
              </w:rPr>
              <w:t>0.5</w:t>
            </w:r>
            <w:r>
              <w:rPr>
                <w:color w:val="auto"/>
                <w:sz w:val="24"/>
              </w:rPr>
              <w:t>；</w:t>
            </w:r>
          </w:p>
          <w:p w14:paraId="0F6F3F3B">
            <w:pPr>
              <w:adjustRightInd w:val="0"/>
              <w:snapToGrid w:val="0"/>
              <w:spacing w:line="360" w:lineRule="auto"/>
              <w:ind w:firstLine="480" w:firstLineChars="200"/>
              <w:rPr>
                <w:color w:val="auto"/>
                <w:sz w:val="24"/>
              </w:rPr>
            </w:pPr>
            <w:r>
              <w:rPr>
                <w:i/>
                <w:iCs/>
                <w:color w:val="auto"/>
                <w:sz w:val="24"/>
              </w:rPr>
              <w:t>A</w:t>
            </w:r>
            <w:r>
              <w:rPr>
                <w:rFonts w:hint="eastAsia"/>
                <w:i/>
                <w:iCs/>
                <w:color w:val="auto"/>
                <w:sz w:val="24"/>
                <w:lang w:eastAsia="zh-CN"/>
              </w:rPr>
              <w:t>.</w:t>
            </w:r>
            <w:r>
              <w:rPr>
                <w:i/>
                <w:iCs/>
                <w:color w:val="auto"/>
                <w:sz w:val="24"/>
              </w:rPr>
              <w:t>B、C、D</w:t>
            </w:r>
            <w:r>
              <w:rPr>
                <w:color w:val="auto"/>
                <w:sz w:val="24"/>
              </w:rPr>
              <w:t>——卫生防护距离初值计算系数，无因次，根据工业企业所在地区近5年平均风速及大气污染源构成类别从下表查取，项目所在地年均风速为2.56m/s。</w:t>
            </w:r>
          </w:p>
          <w:p w14:paraId="10B487D2">
            <w:pPr>
              <w:adjustRightInd w:val="0"/>
              <w:snapToGrid w:val="0"/>
              <w:spacing w:line="360" w:lineRule="auto"/>
              <w:jc w:val="center"/>
              <w:rPr>
                <w:b/>
                <w:bCs/>
                <w:color w:val="auto"/>
                <w:sz w:val="24"/>
              </w:rPr>
            </w:pPr>
            <w:r>
              <w:rPr>
                <w:b/>
                <w:bCs/>
                <w:color w:val="auto"/>
                <w:sz w:val="24"/>
              </w:rPr>
              <w:t>表4-</w:t>
            </w:r>
            <w:r>
              <w:rPr>
                <w:rFonts w:hint="eastAsia"/>
                <w:b/>
                <w:bCs/>
                <w:color w:val="auto"/>
                <w:sz w:val="24"/>
              </w:rPr>
              <w:t>15</w:t>
            </w:r>
            <w:r>
              <w:rPr>
                <w:b/>
                <w:bCs/>
                <w:color w:val="auto"/>
                <w:sz w:val="24"/>
              </w:rPr>
              <w:t xml:space="preserve">  卫生防护距离计算系数</w:t>
            </w:r>
          </w:p>
          <w:tbl>
            <w:tblPr>
              <w:tblStyle w:val="89"/>
              <w:tblW w:w="84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27"/>
              <w:gridCol w:w="950"/>
              <w:gridCol w:w="738"/>
              <w:gridCol w:w="741"/>
              <w:gridCol w:w="738"/>
              <w:gridCol w:w="738"/>
              <w:gridCol w:w="738"/>
              <w:gridCol w:w="739"/>
              <w:gridCol w:w="738"/>
              <w:gridCol w:w="738"/>
              <w:gridCol w:w="714"/>
            </w:tblGrid>
            <w:tr w14:paraId="24E9E8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6468105E">
                  <w:pPr>
                    <w:adjustRightInd w:val="0"/>
                    <w:snapToGrid w:val="0"/>
                    <w:jc w:val="center"/>
                    <w:rPr>
                      <w:b/>
                      <w:bCs/>
                      <w:color w:val="auto"/>
                      <w:szCs w:val="21"/>
                    </w:rPr>
                  </w:pPr>
                  <w:r>
                    <w:rPr>
                      <w:b/>
                      <w:bCs/>
                      <w:color w:val="auto"/>
                      <w:szCs w:val="21"/>
                    </w:rPr>
                    <w:t>卫生防护距离初值计算系数</w:t>
                  </w:r>
                </w:p>
              </w:tc>
              <w:tc>
                <w:tcPr>
                  <w:tcW w:w="950" w:type="dxa"/>
                  <w:vMerge w:val="restart"/>
                  <w:vAlign w:val="center"/>
                </w:tcPr>
                <w:p w14:paraId="77434570">
                  <w:pPr>
                    <w:adjustRightInd w:val="0"/>
                    <w:snapToGrid w:val="0"/>
                    <w:jc w:val="center"/>
                    <w:rPr>
                      <w:b/>
                      <w:bCs/>
                      <w:color w:val="auto"/>
                      <w:szCs w:val="21"/>
                    </w:rPr>
                  </w:pPr>
                  <w:r>
                    <w:rPr>
                      <w:b/>
                      <w:bCs/>
                      <w:color w:val="auto"/>
                      <w:szCs w:val="21"/>
                    </w:rPr>
                    <w:t>工业企业所在地区近5年平均风速</w:t>
                  </w:r>
                  <w:r>
                    <w:rPr>
                      <w:rFonts w:hint="eastAsia"/>
                      <w:b/>
                      <w:bCs/>
                      <w:color w:val="auto"/>
                      <w:szCs w:val="21"/>
                      <w:lang w:eastAsia="zh-CN"/>
                    </w:rPr>
                    <w:t>（</w:t>
                  </w:r>
                  <w:r>
                    <w:rPr>
                      <w:b/>
                      <w:bCs/>
                      <w:color w:val="auto"/>
                      <w:szCs w:val="21"/>
                    </w:rPr>
                    <w:t>m/s</w:t>
                  </w:r>
                  <w:r>
                    <w:rPr>
                      <w:rFonts w:hint="eastAsia"/>
                      <w:b/>
                      <w:bCs/>
                      <w:color w:val="auto"/>
                      <w:szCs w:val="21"/>
                      <w:lang w:eastAsia="zh-CN"/>
                    </w:rPr>
                    <w:t>）</w:t>
                  </w:r>
                </w:p>
              </w:tc>
              <w:tc>
                <w:tcPr>
                  <w:tcW w:w="6622" w:type="dxa"/>
                  <w:gridSpan w:val="9"/>
                  <w:vAlign w:val="center"/>
                </w:tcPr>
                <w:p w14:paraId="5BEADF7E">
                  <w:pPr>
                    <w:adjustRightInd w:val="0"/>
                    <w:snapToGrid w:val="0"/>
                    <w:jc w:val="center"/>
                    <w:rPr>
                      <w:b/>
                      <w:bCs/>
                      <w:color w:val="auto"/>
                      <w:szCs w:val="21"/>
                    </w:rPr>
                  </w:pPr>
                  <w:r>
                    <w:rPr>
                      <w:b/>
                      <w:bCs/>
                      <w:color w:val="auto"/>
                      <w:szCs w:val="21"/>
                    </w:rPr>
                    <w:t>卫生防护距离L/m</w:t>
                  </w:r>
                </w:p>
              </w:tc>
            </w:tr>
            <w:tr w14:paraId="1D5786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6DD67933">
                  <w:pPr>
                    <w:widowControl/>
                    <w:jc w:val="left"/>
                    <w:rPr>
                      <w:b/>
                      <w:bCs/>
                      <w:color w:val="auto"/>
                      <w:szCs w:val="21"/>
                    </w:rPr>
                  </w:pPr>
                </w:p>
              </w:tc>
              <w:tc>
                <w:tcPr>
                  <w:tcW w:w="950" w:type="dxa"/>
                  <w:vMerge w:val="continue"/>
                  <w:vAlign w:val="center"/>
                </w:tcPr>
                <w:p w14:paraId="28245F7D">
                  <w:pPr>
                    <w:widowControl/>
                    <w:jc w:val="left"/>
                    <w:rPr>
                      <w:b/>
                      <w:bCs/>
                      <w:color w:val="auto"/>
                      <w:szCs w:val="21"/>
                    </w:rPr>
                  </w:pPr>
                </w:p>
              </w:tc>
              <w:tc>
                <w:tcPr>
                  <w:tcW w:w="2217" w:type="dxa"/>
                  <w:gridSpan w:val="3"/>
                  <w:vAlign w:val="center"/>
                </w:tcPr>
                <w:p w14:paraId="3AD11DF7">
                  <w:pPr>
                    <w:adjustRightInd w:val="0"/>
                    <w:snapToGrid w:val="0"/>
                    <w:jc w:val="center"/>
                    <w:rPr>
                      <w:color w:val="auto"/>
                      <w:szCs w:val="21"/>
                    </w:rPr>
                  </w:pPr>
                  <w:r>
                    <w:rPr>
                      <w:color w:val="auto"/>
                      <w:szCs w:val="21"/>
                    </w:rPr>
                    <w:t>L≤1000</w:t>
                  </w:r>
                </w:p>
              </w:tc>
              <w:tc>
                <w:tcPr>
                  <w:tcW w:w="2215" w:type="dxa"/>
                  <w:gridSpan w:val="3"/>
                  <w:vAlign w:val="center"/>
                </w:tcPr>
                <w:p w14:paraId="74D77E21">
                  <w:pPr>
                    <w:adjustRightInd w:val="0"/>
                    <w:snapToGrid w:val="0"/>
                    <w:jc w:val="center"/>
                    <w:rPr>
                      <w:color w:val="auto"/>
                      <w:szCs w:val="21"/>
                    </w:rPr>
                  </w:pPr>
                  <w:r>
                    <w:rPr>
                      <w:color w:val="auto"/>
                      <w:szCs w:val="21"/>
                    </w:rPr>
                    <w:t>1000</w:t>
                  </w:r>
                  <w:r>
                    <w:rPr>
                      <w:rFonts w:hint="eastAsia"/>
                      <w:color w:val="auto"/>
                      <w:szCs w:val="21"/>
                      <w:lang w:eastAsia="zh-CN"/>
                    </w:rPr>
                    <w:t>&lt;</w:t>
                  </w:r>
                  <w:r>
                    <w:rPr>
                      <w:color w:val="auto"/>
                      <w:szCs w:val="21"/>
                    </w:rPr>
                    <w:t>L≤2000</w:t>
                  </w:r>
                </w:p>
              </w:tc>
              <w:tc>
                <w:tcPr>
                  <w:tcW w:w="2190" w:type="dxa"/>
                  <w:gridSpan w:val="3"/>
                  <w:vAlign w:val="center"/>
                </w:tcPr>
                <w:p w14:paraId="5033375B">
                  <w:pPr>
                    <w:adjustRightInd w:val="0"/>
                    <w:snapToGrid w:val="0"/>
                    <w:jc w:val="center"/>
                    <w:rPr>
                      <w:color w:val="auto"/>
                      <w:szCs w:val="21"/>
                    </w:rPr>
                  </w:pPr>
                  <w:r>
                    <w:rPr>
                      <w:color w:val="auto"/>
                      <w:szCs w:val="21"/>
                    </w:rPr>
                    <w:t>L</w:t>
                  </w:r>
                  <w:r>
                    <w:rPr>
                      <w:rFonts w:hint="eastAsia"/>
                      <w:color w:val="auto"/>
                      <w:szCs w:val="21"/>
                      <w:lang w:eastAsia="zh-CN"/>
                    </w:rPr>
                    <w:t>&gt;</w:t>
                  </w:r>
                  <w:r>
                    <w:rPr>
                      <w:color w:val="auto"/>
                      <w:szCs w:val="21"/>
                    </w:rPr>
                    <w:t>2000</w:t>
                  </w:r>
                </w:p>
              </w:tc>
            </w:tr>
            <w:tr w14:paraId="14AF6B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0ED12F1C">
                  <w:pPr>
                    <w:widowControl/>
                    <w:jc w:val="left"/>
                    <w:rPr>
                      <w:b/>
                      <w:bCs/>
                      <w:color w:val="auto"/>
                      <w:szCs w:val="21"/>
                    </w:rPr>
                  </w:pPr>
                </w:p>
              </w:tc>
              <w:tc>
                <w:tcPr>
                  <w:tcW w:w="950" w:type="dxa"/>
                  <w:vMerge w:val="continue"/>
                  <w:vAlign w:val="center"/>
                </w:tcPr>
                <w:p w14:paraId="481582B5">
                  <w:pPr>
                    <w:widowControl/>
                    <w:jc w:val="left"/>
                    <w:rPr>
                      <w:b/>
                      <w:bCs/>
                      <w:color w:val="auto"/>
                      <w:szCs w:val="21"/>
                    </w:rPr>
                  </w:pPr>
                </w:p>
              </w:tc>
              <w:tc>
                <w:tcPr>
                  <w:tcW w:w="6622" w:type="dxa"/>
                  <w:gridSpan w:val="9"/>
                  <w:vAlign w:val="center"/>
                </w:tcPr>
                <w:p w14:paraId="0EF2548B">
                  <w:pPr>
                    <w:adjustRightInd w:val="0"/>
                    <w:snapToGrid w:val="0"/>
                    <w:jc w:val="center"/>
                    <w:rPr>
                      <w:b/>
                      <w:bCs/>
                      <w:color w:val="auto"/>
                      <w:szCs w:val="21"/>
                    </w:rPr>
                  </w:pPr>
                  <w:r>
                    <w:rPr>
                      <w:b/>
                      <w:bCs/>
                      <w:color w:val="auto"/>
                      <w:szCs w:val="21"/>
                    </w:rPr>
                    <w:t>工业企业大气污染源构成类别</w:t>
                  </w:r>
                </w:p>
              </w:tc>
            </w:tr>
            <w:tr w14:paraId="3BE9B0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2FB70191">
                  <w:pPr>
                    <w:widowControl/>
                    <w:jc w:val="left"/>
                    <w:rPr>
                      <w:b/>
                      <w:bCs/>
                      <w:color w:val="auto"/>
                      <w:szCs w:val="21"/>
                    </w:rPr>
                  </w:pPr>
                </w:p>
              </w:tc>
              <w:tc>
                <w:tcPr>
                  <w:tcW w:w="950" w:type="dxa"/>
                  <w:vMerge w:val="continue"/>
                  <w:vAlign w:val="center"/>
                </w:tcPr>
                <w:p w14:paraId="263C8D5E">
                  <w:pPr>
                    <w:widowControl/>
                    <w:jc w:val="left"/>
                    <w:rPr>
                      <w:b/>
                      <w:bCs/>
                      <w:color w:val="auto"/>
                      <w:szCs w:val="21"/>
                    </w:rPr>
                  </w:pPr>
                </w:p>
              </w:tc>
              <w:tc>
                <w:tcPr>
                  <w:tcW w:w="738" w:type="dxa"/>
                  <w:vAlign w:val="center"/>
                </w:tcPr>
                <w:p w14:paraId="52989D58">
                  <w:pPr>
                    <w:adjustRightInd w:val="0"/>
                    <w:snapToGrid w:val="0"/>
                    <w:jc w:val="center"/>
                    <w:rPr>
                      <w:color w:val="auto"/>
                      <w:szCs w:val="21"/>
                    </w:rPr>
                  </w:pPr>
                  <w:r>
                    <w:rPr>
                      <w:color w:val="auto"/>
                      <w:szCs w:val="21"/>
                    </w:rPr>
                    <w:t>Ⅰ</w:t>
                  </w:r>
                </w:p>
              </w:tc>
              <w:tc>
                <w:tcPr>
                  <w:tcW w:w="741" w:type="dxa"/>
                  <w:vAlign w:val="center"/>
                </w:tcPr>
                <w:p w14:paraId="1180DF35">
                  <w:pPr>
                    <w:adjustRightInd w:val="0"/>
                    <w:snapToGrid w:val="0"/>
                    <w:jc w:val="center"/>
                    <w:rPr>
                      <w:color w:val="auto"/>
                      <w:szCs w:val="21"/>
                    </w:rPr>
                  </w:pPr>
                  <w:r>
                    <w:rPr>
                      <w:color w:val="auto"/>
                      <w:szCs w:val="21"/>
                    </w:rPr>
                    <w:t>Ⅱ</w:t>
                  </w:r>
                </w:p>
              </w:tc>
              <w:tc>
                <w:tcPr>
                  <w:tcW w:w="738" w:type="dxa"/>
                  <w:vAlign w:val="center"/>
                </w:tcPr>
                <w:p w14:paraId="7F242811">
                  <w:pPr>
                    <w:adjustRightInd w:val="0"/>
                    <w:snapToGrid w:val="0"/>
                    <w:jc w:val="center"/>
                    <w:rPr>
                      <w:color w:val="auto"/>
                      <w:szCs w:val="21"/>
                    </w:rPr>
                  </w:pPr>
                  <w:r>
                    <w:rPr>
                      <w:color w:val="auto"/>
                      <w:szCs w:val="21"/>
                    </w:rPr>
                    <w:t>Ⅲ</w:t>
                  </w:r>
                </w:p>
              </w:tc>
              <w:tc>
                <w:tcPr>
                  <w:tcW w:w="738" w:type="dxa"/>
                  <w:vAlign w:val="center"/>
                </w:tcPr>
                <w:p w14:paraId="3B47670D">
                  <w:pPr>
                    <w:adjustRightInd w:val="0"/>
                    <w:snapToGrid w:val="0"/>
                    <w:jc w:val="center"/>
                    <w:rPr>
                      <w:color w:val="auto"/>
                      <w:szCs w:val="21"/>
                    </w:rPr>
                  </w:pPr>
                  <w:r>
                    <w:rPr>
                      <w:color w:val="auto"/>
                      <w:szCs w:val="21"/>
                    </w:rPr>
                    <w:t>Ⅰ</w:t>
                  </w:r>
                </w:p>
              </w:tc>
              <w:tc>
                <w:tcPr>
                  <w:tcW w:w="738" w:type="dxa"/>
                  <w:vAlign w:val="center"/>
                </w:tcPr>
                <w:p w14:paraId="6F05C103">
                  <w:pPr>
                    <w:adjustRightInd w:val="0"/>
                    <w:snapToGrid w:val="0"/>
                    <w:jc w:val="center"/>
                    <w:rPr>
                      <w:color w:val="auto"/>
                      <w:szCs w:val="21"/>
                    </w:rPr>
                  </w:pPr>
                  <w:r>
                    <w:rPr>
                      <w:color w:val="auto"/>
                      <w:szCs w:val="21"/>
                    </w:rPr>
                    <w:t>Ⅱ</w:t>
                  </w:r>
                </w:p>
              </w:tc>
              <w:tc>
                <w:tcPr>
                  <w:tcW w:w="739" w:type="dxa"/>
                  <w:vAlign w:val="center"/>
                </w:tcPr>
                <w:p w14:paraId="1F9B8A04">
                  <w:pPr>
                    <w:adjustRightInd w:val="0"/>
                    <w:snapToGrid w:val="0"/>
                    <w:jc w:val="center"/>
                    <w:rPr>
                      <w:color w:val="auto"/>
                      <w:szCs w:val="21"/>
                    </w:rPr>
                  </w:pPr>
                  <w:r>
                    <w:rPr>
                      <w:color w:val="auto"/>
                      <w:szCs w:val="21"/>
                    </w:rPr>
                    <w:t>Ⅲ</w:t>
                  </w:r>
                </w:p>
              </w:tc>
              <w:tc>
                <w:tcPr>
                  <w:tcW w:w="738" w:type="dxa"/>
                  <w:vAlign w:val="center"/>
                </w:tcPr>
                <w:p w14:paraId="7820AE7E">
                  <w:pPr>
                    <w:adjustRightInd w:val="0"/>
                    <w:snapToGrid w:val="0"/>
                    <w:jc w:val="center"/>
                    <w:rPr>
                      <w:color w:val="auto"/>
                      <w:szCs w:val="21"/>
                    </w:rPr>
                  </w:pPr>
                  <w:r>
                    <w:rPr>
                      <w:color w:val="auto"/>
                      <w:szCs w:val="21"/>
                    </w:rPr>
                    <w:t>Ⅰ</w:t>
                  </w:r>
                </w:p>
              </w:tc>
              <w:tc>
                <w:tcPr>
                  <w:tcW w:w="738" w:type="dxa"/>
                  <w:vAlign w:val="center"/>
                </w:tcPr>
                <w:p w14:paraId="1B3247ED">
                  <w:pPr>
                    <w:adjustRightInd w:val="0"/>
                    <w:snapToGrid w:val="0"/>
                    <w:jc w:val="center"/>
                    <w:rPr>
                      <w:color w:val="auto"/>
                      <w:szCs w:val="21"/>
                    </w:rPr>
                  </w:pPr>
                  <w:r>
                    <w:rPr>
                      <w:color w:val="auto"/>
                      <w:szCs w:val="21"/>
                    </w:rPr>
                    <w:t>Ⅱ</w:t>
                  </w:r>
                </w:p>
              </w:tc>
              <w:tc>
                <w:tcPr>
                  <w:tcW w:w="714" w:type="dxa"/>
                  <w:vAlign w:val="center"/>
                </w:tcPr>
                <w:p w14:paraId="77B56DAD">
                  <w:pPr>
                    <w:adjustRightInd w:val="0"/>
                    <w:snapToGrid w:val="0"/>
                    <w:jc w:val="center"/>
                    <w:rPr>
                      <w:color w:val="auto"/>
                      <w:szCs w:val="21"/>
                    </w:rPr>
                  </w:pPr>
                  <w:r>
                    <w:rPr>
                      <w:color w:val="auto"/>
                      <w:szCs w:val="21"/>
                    </w:rPr>
                    <w:t>Ⅲ</w:t>
                  </w:r>
                </w:p>
              </w:tc>
            </w:tr>
            <w:tr w14:paraId="3BB811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266782FE">
                  <w:pPr>
                    <w:adjustRightInd w:val="0"/>
                    <w:snapToGrid w:val="0"/>
                    <w:jc w:val="center"/>
                    <w:rPr>
                      <w:color w:val="auto"/>
                      <w:szCs w:val="21"/>
                    </w:rPr>
                  </w:pPr>
                  <w:r>
                    <w:rPr>
                      <w:color w:val="auto"/>
                      <w:szCs w:val="21"/>
                    </w:rPr>
                    <w:t>A</w:t>
                  </w:r>
                </w:p>
              </w:tc>
              <w:tc>
                <w:tcPr>
                  <w:tcW w:w="950" w:type="dxa"/>
                  <w:vAlign w:val="center"/>
                </w:tcPr>
                <w:p w14:paraId="6E3FC021">
                  <w:pPr>
                    <w:adjustRightInd w:val="0"/>
                    <w:snapToGrid w:val="0"/>
                    <w:jc w:val="center"/>
                    <w:rPr>
                      <w:color w:val="auto"/>
                      <w:szCs w:val="21"/>
                    </w:rPr>
                  </w:pPr>
                  <w:r>
                    <w:rPr>
                      <w:color w:val="auto"/>
                      <w:szCs w:val="21"/>
                    </w:rPr>
                    <w:t>&lt;2</w:t>
                  </w:r>
                </w:p>
              </w:tc>
              <w:tc>
                <w:tcPr>
                  <w:tcW w:w="738" w:type="dxa"/>
                  <w:vAlign w:val="center"/>
                </w:tcPr>
                <w:p w14:paraId="716D31B2">
                  <w:pPr>
                    <w:adjustRightInd w:val="0"/>
                    <w:snapToGrid w:val="0"/>
                    <w:jc w:val="center"/>
                    <w:rPr>
                      <w:color w:val="auto"/>
                      <w:szCs w:val="21"/>
                    </w:rPr>
                  </w:pPr>
                  <w:r>
                    <w:rPr>
                      <w:color w:val="auto"/>
                      <w:szCs w:val="21"/>
                    </w:rPr>
                    <w:t>400</w:t>
                  </w:r>
                </w:p>
              </w:tc>
              <w:tc>
                <w:tcPr>
                  <w:tcW w:w="741" w:type="dxa"/>
                  <w:vAlign w:val="center"/>
                </w:tcPr>
                <w:p w14:paraId="60E318EC">
                  <w:pPr>
                    <w:adjustRightInd w:val="0"/>
                    <w:snapToGrid w:val="0"/>
                    <w:jc w:val="center"/>
                    <w:rPr>
                      <w:color w:val="auto"/>
                      <w:szCs w:val="21"/>
                    </w:rPr>
                  </w:pPr>
                  <w:r>
                    <w:rPr>
                      <w:color w:val="auto"/>
                      <w:szCs w:val="21"/>
                    </w:rPr>
                    <w:t>400</w:t>
                  </w:r>
                </w:p>
              </w:tc>
              <w:tc>
                <w:tcPr>
                  <w:tcW w:w="738" w:type="dxa"/>
                  <w:vAlign w:val="center"/>
                </w:tcPr>
                <w:p w14:paraId="7EA1D8C5">
                  <w:pPr>
                    <w:adjustRightInd w:val="0"/>
                    <w:snapToGrid w:val="0"/>
                    <w:jc w:val="center"/>
                    <w:rPr>
                      <w:color w:val="auto"/>
                      <w:szCs w:val="21"/>
                    </w:rPr>
                  </w:pPr>
                  <w:r>
                    <w:rPr>
                      <w:color w:val="auto"/>
                      <w:szCs w:val="21"/>
                    </w:rPr>
                    <w:t>400</w:t>
                  </w:r>
                </w:p>
              </w:tc>
              <w:tc>
                <w:tcPr>
                  <w:tcW w:w="738" w:type="dxa"/>
                  <w:vAlign w:val="center"/>
                </w:tcPr>
                <w:p w14:paraId="1A1DDDC8">
                  <w:pPr>
                    <w:adjustRightInd w:val="0"/>
                    <w:snapToGrid w:val="0"/>
                    <w:jc w:val="center"/>
                    <w:rPr>
                      <w:color w:val="auto"/>
                      <w:szCs w:val="21"/>
                    </w:rPr>
                  </w:pPr>
                  <w:r>
                    <w:rPr>
                      <w:color w:val="auto"/>
                      <w:szCs w:val="21"/>
                    </w:rPr>
                    <w:t>400</w:t>
                  </w:r>
                </w:p>
              </w:tc>
              <w:tc>
                <w:tcPr>
                  <w:tcW w:w="738" w:type="dxa"/>
                  <w:vAlign w:val="center"/>
                </w:tcPr>
                <w:p w14:paraId="5E412FAF">
                  <w:pPr>
                    <w:adjustRightInd w:val="0"/>
                    <w:snapToGrid w:val="0"/>
                    <w:jc w:val="center"/>
                    <w:rPr>
                      <w:color w:val="auto"/>
                      <w:szCs w:val="21"/>
                    </w:rPr>
                  </w:pPr>
                  <w:r>
                    <w:rPr>
                      <w:color w:val="auto"/>
                      <w:szCs w:val="21"/>
                    </w:rPr>
                    <w:t>400</w:t>
                  </w:r>
                </w:p>
              </w:tc>
              <w:tc>
                <w:tcPr>
                  <w:tcW w:w="739" w:type="dxa"/>
                  <w:vAlign w:val="center"/>
                </w:tcPr>
                <w:p w14:paraId="60135372">
                  <w:pPr>
                    <w:adjustRightInd w:val="0"/>
                    <w:snapToGrid w:val="0"/>
                    <w:jc w:val="center"/>
                    <w:rPr>
                      <w:color w:val="auto"/>
                      <w:szCs w:val="21"/>
                    </w:rPr>
                  </w:pPr>
                  <w:r>
                    <w:rPr>
                      <w:color w:val="auto"/>
                      <w:szCs w:val="21"/>
                    </w:rPr>
                    <w:t>400</w:t>
                  </w:r>
                </w:p>
              </w:tc>
              <w:tc>
                <w:tcPr>
                  <w:tcW w:w="738" w:type="dxa"/>
                  <w:vAlign w:val="center"/>
                </w:tcPr>
                <w:p w14:paraId="55B0203C">
                  <w:pPr>
                    <w:adjustRightInd w:val="0"/>
                    <w:snapToGrid w:val="0"/>
                    <w:jc w:val="center"/>
                    <w:rPr>
                      <w:color w:val="auto"/>
                      <w:szCs w:val="21"/>
                    </w:rPr>
                  </w:pPr>
                  <w:r>
                    <w:rPr>
                      <w:color w:val="auto"/>
                      <w:szCs w:val="21"/>
                    </w:rPr>
                    <w:t>80</w:t>
                  </w:r>
                </w:p>
              </w:tc>
              <w:tc>
                <w:tcPr>
                  <w:tcW w:w="738" w:type="dxa"/>
                  <w:vAlign w:val="center"/>
                </w:tcPr>
                <w:p w14:paraId="4D213EF1">
                  <w:pPr>
                    <w:adjustRightInd w:val="0"/>
                    <w:snapToGrid w:val="0"/>
                    <w:jc w:val="center"/>
                    <w:rPr>
                      <w:color w:val="auto"/>
                      <w:szCs w:val="21"/>
                    </w:rPr>
                  </w:pPr>
                  <w:r>
                    <w:rPr>
                      <w:color w:val="auto"/>
                      <w:szCs w:val="21"/>
                    </w:rPr>
                    <w:t>80</w:t>
                  </w:r>
                </w:p>
              </w:tc>
              <w:tc>
                <w:tcPr>
                  <w:tcW w:w="714" w:type="dxa"/>
                  <w:vAlign w:val="center"/>
                </w:tcPr>
                <w:p w14:paraId="4F4CFA1C">
                  <w:pPr>
                    <w:adjustRightInd w:val="0"/>
                    <w:snapToGrid w:val="0"/>
                    <w:jc w:val="center"/>
                    <w:rPr>
                      <w:color w:val="auto"/>
                      <w:szCs w:val="21"/>
                    </w:rPr>
                  </w:pPr>
                  <w:r>
                    <w:rPr>
                      <w:color w:val="auto"/>
                      <w:szCs w:val="21"/>
                    </w:rPr>
                    <w:t>80</w:t>
                  </w:r>
                </w:p>
              </w:tc>
            </w:tr>
            <w:tr w14:paraId="07255C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09A8939D">
                  <w:pPr>
                    <w:widowControl/>
                    <w:jc w:val="left"/>
                    <w:rPr>
                      <w:color w:val="auto"/>
                      <w:szCs w:val="21"/>
                    </w:rPr>
                  </w:pPr>
                </w:p>
              </w:tc>
              <w:tc>
                <w:tcPr>
                  <w:tcW w:w="950" w:type="dxa"/>
                  <w:shd w:val="clear" w:color="auto" w:fill="auto"/>
                  <w:vAlign w:val="center"/>
                </w:tcPr>
                <w:p w14:paraId="57275D8E">
                  <w:pPr>
                    <w:adjustRightInd w:val="0"/>
                    <w:snapToGrid w:val="0"/>
                    <w:jc w:val="center"/>
                    <w:rPr>
                      <w:color w:val="auto"/>
                      <w:szCs w:val="21"/>
                    </w:rPr>
                  </w:pPr>
                  <w:r>
                    <w:rPr>
                      <w:color w:val="auto"/>
                      <w:szCs w:val="21"/>
                    </w:rPr>
                    <w:t>2~4</w:t>
                  </w:r>
                </w:p>
              </w:tc>
              <w:tc>
                <w:tcPr>
                  <w:tcW w:w="738" w:type="dxa"/>
                  <w:shd w:val="clear" w:color="auto" w:fill="auto"/>
                  <w:vAlign w:val="center"/>
                </w:tcPr>
                <w:p w14:paraId="5F3FAD5C">
                  <w:pPr>
                    <w:adjustRightInd w:val="0"/>
                    <w:snapToGrid w:val="0"/>
                    <w:jc w:val="center"/>
                    <w:rPr>
                      <w:color w:val="auto"/>
                      <w:szCs w:val="21"/>
                    </w:rPr>
                  </w:pPr>
                  <w:r>
                    <w:rPr>
                      <w:color w:val="auto"/>
                      <w:szCs w:val="21"/>
                    </w:rPr>
                    <w:t>700</w:t>
                  </w:r>
                </w:p>
              </w:tc>
              <w:tc>
                <w:tcPr>
                  <w:tcW w:w="741" w:type="dxa"/>
                  <w:shd w:val="clear" w:color="auto" w:fill="D8D8D8"/>
                  <w:vAlign w:val="center"/>
                </w:tcPr>
                <w:p w14:paraId="01D8848E">
                  <w:pPr>
                    <w:adjustRightInd w:val="0"/>
                    <w:snapToGrid w:val="0"/>
                    <w:jc w:val="center"/>
                    <w:rPr>
                      <w:color w:val="auto"/>
                      <w:szCs w:val="21"/>
                    </w:rPr>
                  </w:pPr>
                  <w:r>
                    <w:rPr>
                      <w:color w:val="auto"/>
                      <w:szCs w:val="21"/>
                    </w:rPr>
                    <w:t>470</w:t>
                  </w:r>
                </w:p>
              </w:tc>
              <w:tc>
                <w:tcPr>
                  <w:tcW w:w="738" w:type="dxa"/>
                  <w:vAlign w:val="center"/>
                </w:tcPr>
                <w:p w14:paraId="1E9072C1">
                  <w:pPr>
                    <w:adjustRightInd w:val="0"/>
                    <w:snapToGrid w:val="0"/>
                    <w:jc w:val="center"/>
                    <w:rPr>
                      <w:color w:val="auto"/>
                      <w:szCs w:val="21"/>
                    </w:rPr>
                  </w:pPr>
                  <w:r>
                    <w:rPr>
                      <w:color w:val="auto"/>
                      <w:szCs w:val="21"/>
                    </w:rPr>
                    <w:t>350</w:t>
                  </w:r>
                </w:p>
              </w:tc>
              <w:tc>
                <w:tcPr>
                  <w:tcW w:w="738" w:type="dxa"/>
                  <w:vAlign w:val="center"/>
                </w:tcPr>
                <w:p w14:paraId="387BBEE3">
                  <w:pPr>
                    <w:adjustRightInd w:val="0"/>
                    <w:snapToGrid w:val="0"/>
                    <w:jc w:val="center"/>
                    <w:rPr>
                      <w:color w:val="auto"/>
                      <w:szCs w:val="21"/>
                    </w:rPr>
                  </w:pPr>
                  <w:r>
                    <w:rPr>
                      <w:color w:val="auto"/>
                      <w:szCs w:val="21"/>
                    </w:rPr>
                    <w:t>700</w:t>
                  </w:r>
                </w:p>
              </w:tc>
              <w:tc>
                <w:tcPr>
                  <w:tcW w:w="738" w:type="dxa"/>
                  <w:vAlign w:val="center"/>
                </w:tcPr>
                <w:p w14:paraId="398DB0DB">
                  <w:pPr>
                    <w:adjustRightInd w:val="0"/>
                    <w:snapToGrid w:val="0"/>
                    <w:jc w:val="center"/>
                    <w:rPr>
                      <w:color w:val="auto"/>
                      <w:szCs w:val="21"/>
                    </w:rPr>
                  </w:pPr>
                  <w:r>
                    <w:rPr>
                      <w:color w:val="auto"/>
                      <w:szCs w:val="21"/>
                    </w:rPr>
                    <w:t>470</w:t>
                  </w:r>
                </w:p>
              </w:tc>
              <w:tc>
                <w:tcPr>
                  <w:tcW w:w="739" w:type="dxa"/>
                  <w:vAlign w:val="center"/>
                </w:tcPr>
                <w:p w14:paraId="38145C66">
                  <w:pPr>
                    <w:adjustRightInd w:val="0"/>
                    <w:snapToGrid w:val="0"/>
                    <w:jc w:val="center"/>
                    <w:rPr>
                      <w:color w:val="auto"/>
                      <w:szCs w:val="21"/>
                    </w:rPr>
                  </w:pPr>
                  <w:r>
                    <w:rPr>
                      <w:color w:val="auto"/>
                      <w:szCs w:val="21"/>
                    </w:rPr>
                    <w:t>350</w:t>
                  </w:r>
                </w:p>
              </w:tc>
              <w:tc>
                <w:tcPr>
                  <w:tcW w:w="738" w:type="dxa"/>
                  <w:vAlign w:val="center"/>
                </w:tcPr>
                <w:p w14:paraId="41B0860C">
                  <w:pPr>
                    <w:adjustRightInd w:val="0"/>
                    <w:snapToGrid w:val="0"/>
                    <w:jc w:val="center"/>
                    <w:rPr>
                      <w:color w:val="auto"/>
                      <w:szCs w:val="21"/>
                    </w:rPr>
                  </w:pPr>
                  <w:r>
                    <w:rPr>
                      <w:color w:val="auto"/>
                      <w:szCs w:val="21"/>
                    </w:rPr>
                    <w:t>380</w:t>
                  </w:r>
                </w:p>
              </w:tc>
              <w:tc>
                <w:tcPr>
                  <w:tcW w:w="738" w:type="dxa"/>
                  <w:vAlign w:val="center"/>
                </w:tcPr>
                <w:p w14:paraId="3B2AB1B3">
                  <w:pPr>
                    <w:adjustRightInd w:val="0"/>
                    <w:snapToGrid w:val="0"/>
                    <w:jc w:val="center"/>
                    <w:rPr>
                      <w:color w:val="auto"/>
                      <w:szCs w:val="21"/>
                    </w:rPr>
                  </w:pPr>
                  <w:r>
                    <w:rPr>
                      <w:color w:val="auto"/>
                      <w:szCs w:val="21"/>
                    </w:rPr>
                    <w:t>250</w:t>
                  </w:r>
                </w:p>
              </w:tc>
              <w:tc>
                <w:tcPr>
                  <w:tcW w:w="714" w:type="dxa"/>
                  <w:vAlign w:val="center"/>
                </w:tcPr>
                <w:p w14:paraId="3CB4760C">
                  <w:pPr>
                    <w:adjustRightInd w:val="0"/>
                    <w:snapToGrid w:val="0"/>
                    <w:jc w:val="center"/>
                    <w:rPr>
                      <w:color w:val="auto"/>
                      <w:szCs w:val="21"/>
                    </w:rPr>
                  </w:pPr>
                  <w:r>
                    <w:rPr>
                      <w:color w:val="auto"/>
                      <w:szCs w:val="21"/>
                    </w:rPr>
                    <w:t>190</w:t>
                  </w:r>
                </w:p>
              </w:tc>
            </w:tr>
            <w:tr w14:paraId="56F058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3F3331E4">
                  <w:pPr>
                    <w:widowControl/>
                    <w:jc w:val="left"/>
                    <w:rPr>
                      <w:color w:val="auto"/>
                      <w:szCs w:val="21"/>
                    </w:rPr>
                  </w:pPr>
                </w:p>
              </w:tc>
              <w:tc>
                <w:tcPr>
                  <w:tcW w:w="950" w:type="dxa"/>
                  <w:vAlign w:val="center"/>
                </w:tcPr>
                <w:p w14:paraId="105D8CD2">
                  <w:pPr>
                    <w:adjustRightInd w:val="0"/>
                    <w:snapToGrid w:val="0"/>
                    <w:jc w:val="center"/>
                    <w:rPr>
                      <w:color w:val="auto"/>
                      <w:szCs w:val="21"/>
                    </w:rPr>
                  </w:pPr>
                  <w:r>
                    <w:rPr>
                      <w:color w:val="auto"/>
                      <w:szCs w:val="21"/>
                    </w:rPr>
                    <w:t>&gt;4</w:t>
                  </w:r>
                </w:p>
              </w:tc>
              <w:tc>
                <w:tcPr>
                  <w:tcW w:w="738" w:type="dxa"/>
                  <w:vAlign w:val="center"/>
                </w:tcPr>
                <w:p w14:paraId="3EF5C430">
                  <w:pPr>
                    <w:adjustRightInd w:val="0"/>
                    <w:snapToGrid w:val="0"/>
                    <w:jc w:val="center"/>
                    <w:rPr>
                      <w:color w:val="auto"/>
                      <w:szCs w:val="21"/>
                    </w:rPr>
                  </w:pPr>
                  <w:r>
                    <w:rPr>
                      <w:color w:val="auto"/>
                      <w:szCs w:val="21"/>
                    </w:rPr>
                    <w:t>530</w:t>
                  </w:r>
                </w:p>
              </w:tc>
              <w:tc>
                <w:tcPr>
                  <w:tcW w:w="741" w:type="dxa"/>
                  <w:vAlign w:val="center"/>
                </w:tcPr>
                <w:p w14:paraId="5F36C3B1">
                  <w:pPr>
                    <w:adjustRightInd w:val="0"/>
                    <w:snapToGrid w:val="0"/>
                    <w:jc w:val="center"/>
                    <w:rPr>
                      <w:color w:val="auto"/>
                      <w:szCs w:val="21"/>
                    </w:rPr>
                  </w:pPr>
                  <w:r>
                    <w:rPr>
                      <w:color w:val="auto"/>
                      <w:szCs w:val="21"/>
                    </w:rPr>
                    <w:t>350</w:t>
                  </w:r>
                </w:p>
              </w:tc>
              <w:tc>
                <w:tcPr>
                  <w:tcW w:w="738" w:type="dxa"/>
                  <w:vAlign w:val="center"/>
                </w:tcPr>
                <w:p w14:paraId="4B5F91EF">
                  <w:pPr>
                    <w:adjustRightInd w:val="0"/>
                    <w:snapToGrid w:val="0"/>
                    <w:jc w:val="center"/>
                    <w:rPr>
                      <w:color w:val="auto"/>
                      <w:szCs w:val="21"/>
                    </w:rPr>
                  </w:pPr>
                  <w:r>
                    <w:rPr>
                      <w:color w:val="auto"/>
                      <w:szCs w:val="21"/>
                    </w:rPr>
                    <w:t>260</w:t>
                  </w:r>
                </w:p>
              </w:tc>
              <w:tc>
                <w:tcPr>
                  <w:tcW w:w="738" w:type="dxa"/>
                  <w:vAlign w:val="center"/>
                </w:tcPr>
                <w:p w14:paraId="793F3663">
                  <w:pPr>
                    <w:adjustRightInd w:val="0"/>
                    <w:snapToGrid w:val="0"/>
                    <w:jc w:val="center"/>
                    <w:rPr>
                      <w:color w:val="auto"/>
                      <w:szCs w:val="21"/>
                    </w:rPr>
                  </w:pPr>
                  <w:r>
                    <w:rPr>
                      <w:color w:val="auto"/>
                      <w:szCs w:val="21"/>
                    </w:rPr>
                    <w:t>530</w:t>
                  </w:r>
                </w:p>
              </w:tc>
              <w:tc>
                <w:tcPr>
                  <w:tcW w:w="738" w:type="dxa"/>
                  <w:vAlign w:val="center"/>
                </w:tcPr>
                <w:p w14:paraId="1700ADD4">
                  <w:pPr>
                    <w:adjustRightInd w:val="0"/>
                    <w:snapToGrid w:val="0"/>
                    <w:jc w:val="center"/>
                    <w:rPr>
                      <w:color w:val="auto"/>
                      <w:szCs w:val="21"/>
                    </w:rPr>
                  </w:pPr>
                  <w:r>
                    <w:rPr>
                      <w:color w:val="auto"/>
                      <w:szCs w:val="21"/>
                    </w:rPr>
                    <w:t>350</w:t>
                  </w:r>
                </w:p>
              </w:tc>
              <w:tc>
                <w:tcPr>
                  <w:tcW w:w="739" w:type="dxa"/>
                  <w:vAlign w:val="center"/>
                </w:tcPr>
                <w:p w14:paraId="2A05DC87">
                  <w:pPr>
                    <w:adjustRightInd w:val="0"/>
                    <w:snapToGrid w:val="0"/>
                    <w:jc w:val="center"/>
                    <w:rPr>
                      <w:color w:val="auto"/>
                      <w:szCs w:val="21"/>
                    </w:rPr>
                  </w:pPr>
                  <w:r>
                    <w:rPr>
                      <w:color w:val="auto"/>
                      <w:szCs w:val="21"/>
                    </w:rPr>
                    <w:t>260</w:t>
                  </w:r>
                </w:p>
              </w:tc>
              <w:tc>
                <w:tcPr>
                  <w:tcW w:w="738" w:type="dxa"/>
                  <w:vAlign w:val="center"/>
                </w:tcPr>
                <w:p w14:paraId="7C342C44">
                  <w:pPr>
                    <w:adjustRightInd w:val="0"/>
                    <w:snapToGrid w:val="0"/>
                    <w:jc w:val="center"/>
                    <w:rPr>
                      <w:color w:val="auto"/>
                      <w:szCs w:val="21"/>
                    </w:rPr>
                  </w:pPr>
                  <w:r>
                    <w:rPr>
                      <w:color w:val="auto"/>
                      <w:szCs w:val="21"/>
                    </w:rPr>
                    <w:t>290</w:t>
                  </w:r>
                </w:p>
              </w:tc>
              <w:tc>
                <w:tcPr>
                  <w:tcW w:w="738" w:type="dxa"/>
                  <w:vAlign w:val="center"/>
                </w:tcPr>
                <w:p w14:paraId="2BC74C5A">
                  <w:pPr>
                    <w:adjustRightInd w:val="0"/>
                    <w:snapToGrid w:val="0"/>
                    <w:jc w:val="center"/>
                    <w:rPr>
                      <w:color w:val="auto"/>
                      <w:szCs w:val="21"/>
                    </w:rPr>
                  </w:pPr>
                  <w:r>
                    <w:rPr>
                      <w:color w:val="auto"/>
                      <w:szCs w:val="21"/>
                    </w:rPr>
                    <w:t>190</w:t>
                  </w:r>
                </w:p>
              </w:tc>
              <w:tc>
                <w:tcPr>
                  <w:tcW w:w="714" w:type="dxa"/>
                  <w:vAlign w:val="center"/>
                </w:tcPr>
                <w:p w14:paraId="39ECB298">
                  <w:pPr>
                    <w:adjustRightInd w:val="0"/>
                    <w:snapToGrid w:val="0"/>
                    <w:jc w:val="center"/>
                    <w:rPr>
                      <w:color w:val="auto"/>
                      <w:szCs w:val="21"/>
                    </w:rPr>
                  </w:pPr>
                  <w:r>
                    <w:rPr>
                      <w:color w:val="auto"/>
                      <w:szCs w:val="21"/>
                    </w:rPr>
                    <w:t>110</w:t>
                  </w:r>
                </w:p>
              </w:tc>
            </w:tr>
            <w:tr w14:paraId="451BC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1B233FA5">
                  <w:pPr>
                    <w:adjustRightInd w:val="0"/>
                    <w:snapToGrid w:val="0"/>
                    <w:jc w:val="center"/>
                    <w:rPr>
                      <w:color w:val="auto"/>
                      <w:szCs w:val="21"/>
                    </w:rPr>
                  </w:pPr>
                  <w:r>
                    <w:rPr>
                      <w:color w:val="auto"/>
                      <w:szCs w:val="21"/>
                    </w:rPr>
                    <w:t>B</w:t>
                  </w:r>
                </w:p>
              </w:tc>
              <w:tc>
                <w:tcPr>
                  <w:tcW w:w="950" w:type="dxa"/>
                  <w:vAlign w:val="center"/>
                </w:tcPr>
                <w:p w14:paraId="01B46356">
                  <w:pPr>
                    <w:adjustRightInd w:val="0"/>
                    <w:snapToGrid w:val="0"/>
                    <w:jc w:val="center"/>
                    <w:rPr>
                      <w:color w:val="auto"/>
                      <w:szCs w:val="21"/>
                    </w:rPr>
                  </w:pPr>
                  <w:r>
                    <w:rPr>
                      <w:color w:val="auto"/>
                      <w:szCs w:val="21"/>
                    </w:rPr>
                    <w:t>&lt;2</w:t>
                  </w:r>
                </w:p>
              </w:tc>
              <w:tc>
                <w:tcPr>
                  <w:tcW w:w="2217" w:type="dxa"/>
                  <w:gridSpan w:val="3"/>
                  <w:vAlign w:val="center"/>
                </w:tcPr>
                <w:p w14:paraId="3F7270E1">
                  <w:pPr>
                    <w:adjustRightInd w:val="0"/>
                    <w:snapToGrid w:val="0"/>
                    <w:jc w:val="center"/>
                    <w:rPr>
                      <w:color w:val="auto"/>
                      <w:szCs w:val="21"/>
                    </w:rPr>
                  </w:pPr>
                  <w:r>
                    <w:rPr>
                      <w:color w:val="auto"/>
                      <w:szCs w:val="21"/>
                    </w:rPr>
                    <w:t>0.01</w:t>
                  </w:r>
                </w:p>
              </w:tc>
              <w:tc>
                <w:tcPr>
                  <w:tcW w:w="2215" w:type="dxa"/>
                  <w:gridSpan w:val="3"/>
                  <w:vAlign w:val="center"/>
                </w:tcPr>
                <w:p w14:paraId="6F7CAACD">
                  <w:pPr>
                    <w:adjustRightInd w:val="0"/>
                    <w:snapToGrid w:val="0"/>
                    <w:jc w:val="center"/>
                    <w:rPr>
                      <w:color w:val="auto"/>
                      <w:szCs w:val="21"/>
                    </w:rPr>
                  </w:pPr>
                  <w:r>
                    <w:rPr>
                      <w:color w:val="auto"/>
                      <w:szCs w:val="21"/>
                    </w:rPr>
                    <w:t>0.015</w:t>
                  </w:r>
                </w:p>
              </w:tc>
              <w:tc>
                <w:tcPr>
                  <w:tcW w:w="2190" w:type="dxa"/>
                  <w:gridSpan w:val="3"/>
                  <w:vAlign w:val="center"/>
                </w:tcPr>
                <w:p w14:paraId="5AACE5DB">
                  <w:pPr>
                    <w:adjustRightInd w:val="0"/>
                    <w:snapToGrid w:val="0"/>
                    <w:jc w:val="center"/>
                    <w:rPr>
                      <w:color w:val="auto"/>
                      <w:szCs w:val="21"/>
                    </w:rPr>
                  </w:pPr>
                  <w:r>
                    <w:rPr>
                      <w:color w:val="auto"/>
                      <w:szCs w:val="21"/>
                    </w:rPr>
                    <w:t>0.015</w:t>
                  </w:r>
                </w:p>
              </w:tc>
            </w:tr>
            <w:tr w14:paraId="127E78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1D975267">
                  <w:pPr>
                    <w:widowControl/>
                    <w:jc w:val="left"/>
                    <w:rPr>
                      <w:color w:val="auto"/>
                      <w:szCs w:val="21"/>
                    </w:rPr>
                  </w:pPr>
                </w:p>
              </w:tc>
              <w:tc>
                <w:tcPr>
                  <w:tcW w:w="950" w:type="dxa"/>
                  <w:shd w:val="clear" w:color="auto" w:fill="auto"/>
                  <w:vAlign w:val="center"/>
                </w:tcPr>
                <w:p w14:paraId="153849D4">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1BE59DEE">
                  <w:pPr>
                    <w:adjustRightInd w:val="0"/>
                    <w:snapToGrid w:val="0"/>
                    <w:jc w:val="center"/>
                    <w:rPr>
                      <w:color w:val="auto"/>
                      <w:szCs w:val="21"/>
                    </w:rPr>
                  </w:pPr>
                  <w:r>
                    <w:rPr>
                      <w:color w:val="auto"/>
                      <w:szCs w:val="21"/>
                    </w:rPr>
                    <w:t>0.021</w:t>
                  </w:r>
                </w:p>
              </w:tc>
              <w:tc>
                <w:tcPr>
                  <w:tcW w:w="2215" w:type="dxa"/>
                  <w:gridSpan w:val="3"/>
                  <w:vAlign w:val="center"/>
                </w:tcPr>
                <w:p w14:paraId="404FA6E2">
                  <w:pPr>
                    <w:adjustRightInd w:val="0"/>
                    <w:snapToGrid w:val="0"/>
                    <w:jc w:val="center"/>
                    <w:rPr>
                      <w:color w:val="auto"/>
                      <w:szCs w:val="21"/>
                    </w:rPr>
                  </w:pPr>
                  <w:r>
                    <w:rPr>
                      <w:color w:val="auto"/>
                      <w:szCs w:val="21"/>
                    </w:rPr>
                    <w:t>0.036</w:t>
                  </w:r>
                </w:p>
              </w:tc>
              <w:tc>
                <w:tcPr>
                  <w:tcW w:w="2190" w:type="dxa"/>
                  <w:gridSpan w:val="3"/>
                  <w:vAlign w:val="center"/>
                </w:tcPr>
                <w:p w14:paraId="69A32C7E">
                  <w:pPr>
                    <w:adjustRightInd w:val="0"/>
                    <w:snapToGrid w:val="0"/>
                    <w:jc w:val="center"/>
                    <w:rPr>
                      <w:color w:val="auto"/>
                      <w:szCs w:val="21"/>
                    </w:rPr>
                  </w:pPr>
                  <w:r>
                    <w:rPr>
                      <w:color w:val="auto"/>
                      <w:szCs w:val="21"/>
                    </w:rPr>
                    <w:t>0.036</w:t>
                  </w:r>
                </w:p>
              </w:tc>
            </w:tr>
            <w:tr w14:paraId="281841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6A2E5C56">
                  <w:pPr>
                    <w:adjustRightInd w:val="0"/>
                    <w:snapToGrid w:val="0"/>
                    <w:jc w:val="center"/>
                    <w:rPr>
                      <w:color w:val="auto"/>
                      <w:szCs w:val="21"/>
                    </w:rPr>
                  </w:pPr>
                  <w:r>
                    <w:rPr>
                      <w:color w:val="auto"/>
                      <w:szCs w:val="21"/>
                    </w:rPr>
                    <w:t>C</w:t>
                  </w:r>
                </w:p>
              </w:tc>
              <w:tc>
                <w:tcPr>
                  <w:tcW w:w="950" w:type="dxa"/>
                  <w:vAlign w:val="center"/>
                </w:tcPr>
                <w:p w14:paraId="377CA01D">
                  <w:pPr>
                    <w:adjustRightInd w:val="0"/>
                    <w:snapToGrid w:val="0"/>
                    <w:jc w:val="center"/>
                    <w:rPr>
                      <w:color w:val="auto"/>
                      <w:szCs w:val="21"/>
                    </w:rPr>
                  </w:pPr>
                  <w:r>
                    <w:rPr>
                      <w:color w:val="auto"/>
                      <w:szCs w:val="21"/>
                    </w:rPr>
                    <w:t>&lt;2</w:t>
                  </w:r>
                </w:p>
              </w:tc>
              <w:tc>
                <w:tcPr>
                  <w:tcW w:w="2217" w:type="dxa"/>
                  <w:gridSpan w:val="3"/>
                  <w:vAlign w:val="center"/>
                </w:tcPr>
                <w:p w14:paraId="2CEE0AC4">
                  <w:pPr>
                    <w:adjustRightInd w:val="0"/>
                    <w:snapToGrid w:val="0"/>
                    <w:jc w:val="center"/>
                    <w:rPr>
                      <w:color w:val="auto"/>
                      <w:szCs w:val="21"/>
                    </w:rPr>
                  </w:pPr>
                  <w:r>
                    <w:rPr>
                      <w:color w:val="auto"/>
                      <w:szCs w:val="21"/>
                    </w:rPr>
                    <w:t>1.85</w:t>
                  </w:r>
                </w:p>
              </w:tc>
              <w:tc>
                <w:tcPr>
                  <w:tcW w:w="2215" w:type="dxa"/>
                  <w:gridSpan w:val="3"/>
                  <w:vAlign w:val="center"/>
                </w:tcPr>
                <w:p w14:paraId="5B845BBC">
                  <w:pPr>
                    <w:adjustRightInd w:val="0"/>
                    <w:snapToGrid w:val="0"/>
                    <w:jc w:val="center"/>
                    <w:rPr>
                      <w:color w:val="auto"/>
                      <w:szCs w:val="21"/>
                    </w:rPr>
                  </w:pPr>
                  <w:r>
                    <w:rPr>
                      <w:color w:val="auto"/>
                      <w:szCs w:val="21"/>
                    </w:rPr>
                    <w:t>1.79</w:t>
                  </w:r>
                </w:p>
              </w:tc>
              <w:tc>
                <w:tcPr>
                  <w:tcW w:w="2190" w:type="dxa"/>
                  <w:gridSpan w:val="3"/>
                  <w:vAlign w:val="center"/>
                </w:tcPr>
                <w:p w14:paraId="18B01B1C">
                  <w:pPr>
                    <w:adjustRightInd w:val="0"/>
                    <w:snapToGrid w:val="0"/>
                    <w:jc w:val="center"/>
                    <w:rPr>
                      <w:color w:val="auto"/>
                      <w:szCs w:val="21"/>
                    </w:rPr>
                  </w:pPr>
                  <w:r>
                    <w:rPr>
                      <w:color w:val="auto"/>
                      <w:szCs w:val="21"/>
                    </w:rPr>
                    <w:t>1.79</w:t>
                  </w:r>
                </w:p>
              </w:tc>
            </w:tr>
            <w:tr w14:paraId="334472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17FF92F9">
                  <w:pPr>
                    <w:widowControl/>
                    <w:jc w:val="left"/>
                    <w:rPr>
                      <w:color w:val="auto"/>
                      <w:szCs w:val="21"/>
                    </w:rPr>
                  </w:pPr>
                </w:p>
              </w:tc>
              <w:tc>
                <w:tcPr>
                  <w:tcW w:w="950" w:type="dxa"/>
                  <w:shd w:val="clear" w:color="auto" w:fill="auto"/>
                  <w:vAlign w:val="center"/>
                </w:tcPr>
                <w:p w14:paraId="2FFCE1E2">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14A694EF">
                  <w:pPr>
                    <w:adjustRightInd w:val="0"/>
                    <w:snapToGrid w:val="0"/>
                    <w:jc w:val="center"/>
                    <w:rPr>
                      <w:color w:val="auto"/>
                      <w:szCs w:val="21"/>
                    </w:rPr>
                  </w:pPr>
                  <w:r>
                    <w:rPr>
                      <w:color w:val="auto"/>
                      <w:szCs w:val="21"/>
                    </w:rPr>
                    <w:t>1.85</w:t>
                  </w:r>
                </w:p>
              </w:tc>
              <w:tc>
                <w:tcPr>
                  <w:tcW w:w="2215" w:type="dxa"/>
                  <w:gridSpan w:val="3"/>
                  <w:vAlign w:val="center"/>
                </w:tcPr>
                <w:p w14:paraId="51CF0156">
                  <w:pPr>
                    <w:adjustRightInd w:val="0"/>
                    <w:snapToGrid w:val="0"/>
                    <w:jc w:val="center"/>
                    <w:rPr>
                      <w:color w:val="auto"/>
                      <w:szCs w:val="21"/>
                    </w:rPr>
                  </w:pPr>
                  <w:r>
                    <w:rPr>
                      <w:color w:val="auto"/>
                      <w:szCs w:val="21"/>
                    </w:rPr>
                    <w:t>1.77</w:t>
                  </w:r>
                </w:p>
              </w:tc>
              <w:tc>
                <w:tcPr>
                  <w:tcW w:w="2190" w:type="dxa"/>
                  <w:gridSpan w:val="3"/>
                  <w:vAlign w:val="center"/>
                </w:tcPr>
                <w:p w14:paraId="62568BB2">
                  <w:pPr>
                    <w:adjustRightInd w:val="0"/>
                    <w:snapToGrid w:val="0"/>
                    <w:jc w:val="center"/>
                    <w:rPr>
                      <w:color w:val="auto"/>
                      <w:szCs w:val="21"/>
                    </w:rPr>
                  </w:pPr>
                  <w:r>
                    <w:rPr>
                      <w:color w:val="auto"/>
                      <w:szCs w:val="21"/>
                    </w:rPr>
                    <w:t>1.77</w:t>
                  </w:r>
                </w:p>
              </w:tc>
            </w:tr>
            <w:tr w14:paraId="063C39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41548693">
                  <w:pPr>
                    <w:adjustRightInd w:val="0"/>
                    <w:snapToGrid w:val="0"/>
                    <w:jc w:val="center"/>
                    <w:rPr>
                      <w:color w:val="auto"/>
                      <w:szCs w:val="21"/>
                    </w:rPr>
                  </w:pPr>
                  <w:r>
                    <w:rPr>
                      <w:color w:val="auto"/>
                      <w:szCs w:val="21"/>
                    </w:rPr>
                    <w:t>D</w:t>
                  </w:r>
                </w:p>
              </w:tc>
              <w:tc>
                <w:tcPr>
                  <w:tcW w:w="950" w:type="dxa"/>
                  <w:vAlign w:val="center"/>
                </w:tcPr>
                <w:p w14:paraId="2798130E">
                  <w:pPr>
                    <w:adjustRightInd w:val="0"/>
                    <w:snapToGrid w:val="0"/>
                    <w:jc w:val="center"/>
                    <w:rPr>
                      <w:color w:val="auto"/>
                      <w:szCs w:val="21"/>
                    </w:rPr>
                  </w:pPr>
                  <w:r>
                    <w:rPr>
                      <w:color w:val="auto"/>
                      <w:szCs w:val="21"/>
                    </w:rPr>
                    <w:t>&lt;2</w:t>
                  </w:r>
                </w:p>
              </w:tc>
              <w:tc>
                <w:tcPr>
                  <w:tcW w:w="2217" w:type="dxa"/>
                  <w:gridSpan w:val="3"/>
                  <w:vAlign w:val="center"/>
                </w:tcPr>
                <w:p w14:paraId="4478C592">
                  <w:pPr>
                    <w:adjustRightInd w:val="0"/>
                    <w:snapToGrid w:val="0"/>
                    <w:jc w:val="center"/>
                    <w:rPr>
                      <w:color w:val="auto"/>
                      <w:szCs w:val="21"/>
                    </w:rPr>
                  </w:pPr>
                  <w:r>
                    <w:rPr>
                      <w:color w:val="auto"/>
                      <w:szCs w:val="21"/>
                    </w:rPr>
                    <w:t>0.78</w:t>
                  </w:r>
                </w:p>
              </w:tc>
              <w:tc>
                <w:tcPr>
                  <w:tcW w:w="2215" w:type="dxa"/>
                  <w:gridSpan w:val="3"/>
                  <w:vAlign w:val="center"/>
                </w:tcPr>
                <w:p w14:paraId="6D9809CD">
                  <w:pPr>
                    <w:adjustRightInd w:val="0"/>
                    <w:snapToGrid w:val="0"/>
                    <w:jc w:val="center"/>
                    <w:rPr>
                      <w:color w:val="auto"/>
                      <w:szCs w:val="21"/>
                    </w:rPr>
                  </w:pPr>
                  <w:r>
                    <w:rPr>
                      <w:color w:val="auto"/>
                      <w:szCs w:val="21"/>
                    </w:rPr>
                    <w:t>0.78</w:t>
                  </w:r>
                </w:p>
              </w:tc>
              <w:tc>
                <w:tcPr>
                  <w:tcW w:w="2190" w:type="dxa"/>
                  <w:gridSpan w:val="3"/>
                  <w:vAlign w:val="center"/>
                </w:tcPr>
                <w:p w14:paraId="587D4060">
                  <w:pPr>
                    <w:adjustRightInd w:val="0"/>
                    <w:snapToGrid w:val="0"/>
                    <w:jc w:val="center"/>
                    <w:rPr>
                      <w:color w:val="auto"/>
                      <w:szCs w:val="21"/>
                    </w:rPr>
                  </w:pPr>
                  <w:r>
                    <w:rPr>
                      <w:color w:val="auto"/>
                      <w:szCs w:val="21"/>
                    </w:rPr>
                    <w:t>0.57</w:t>
                  </w:r>
                </w:p>
              </w:tc>
            </w:tr>
            <w:tr w14:paraId="36AA0B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2CC859EE">
                  <w:pPr>
                    <w:widowControl/>
                    <w:jc w:val="left"/>
                    <w:rPr>
                      <w:color w:val="auto"/>
                      <w:szCs w:val="21"/>
                    </w:rPr>
                  </w:pPr>
                </w:p>
              </w:tc>
              <w:tc>
                <w:tcPr>
                  <w:tcW w:w="950" w:type="dxa"/>
                  <w:shd w:val="clear" w:color="auto" w:fill="auto"/>
                  <w:vAlign w:val="center"/>
                </w:tcPr>
                <w:p w14:paraId="736C831C">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21E332F1">
                  <w:pPr>
                    <w:adjustRightInd w:val="0"/>
                    <w:snapToGrid w:val="0"/>
                    <w:jc w:val="center"/>
                    <w:rPr>
                      <w:color w:val="auto"/>
                      <w:szCs w:val="21"/>
                    </w:rPr>
                  </w:pPr>
                  <w:r>
                    <w:rPr>
                      <w:color w:val="auto"/>
                      <w:szCs w:val="21"/>
                    </w:rPr>
                    <w:t>0.84</w:t>
                  </w:r>
                </w:p>
              </w:tc>
              <w:tc>
                <w:tcPr>
                  <w:tcW w:w="2215" w:type="dxa"/>
                  <w:gridSpan w:val="3"/>
                  <w:vAlign w:val="center"/>
                </w:tcPr>
                <w:p w14:paraId="292A82BD">
                  <w:pPr>
                    <w:adjustRightInd w:val="0"/>
                    <w:snapToGrid w:val="0"/>
                    <w:jc w:val="center"/>
                    <w:rPr>
                      <w:color w:val="auto"/>
                      <w:szCs w:val="21"/>
                    </w:rPr>
                  </w:pPr>
                  <w:r>
                    <w:rPr>
                      <w:color w:val="auto"/>
                      <w:szCs w:val="21"/>
                    </w:rPr>
                    <w:t>0.84</w:t>
                  </w:r>
                </w:p>
              </w:tc>
              <w:tc>
                <w:tcPr>
                  <w:tcW w:w="2190" w:type="dxa"/>
                  <w:gridSpan w:val="3"/>
                  <w:vAlign w:val="center"/>
                </w:tcPr>
                <w:p w14:paraId="2F9A690D">
                  <w:pPr>
                    <w:adjustRightInd w:val="0"/>
                    <w:snapToGrid w:val="0"/>
                    <w:jc w:val="center"/>
                    <w:rPr>
                      <w:color w:val="auto"/>
                      <w:szCs w:val="21"/>
                    </w:rPr>
                  </w:pPr>
                  <w:r>
                    <w:rPr>
                      <w:color w:val="auto"/>
                      <w:szCs w:val="21"/>
                    </w:rPr>
                    <w:t>0.76</w:t>
                  </w:r>
                </w:p>
              </w:tc>
            </w:tr>
            <w:tr w14:paraId="24149A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499" w:type="dxa"/>
                  <w:gridSpan w:val="11"/>
                  <w:vAlign w:val="center"/>
                </w:tcPr>
                <w:p w14:paraId="4F982E8E">
                  <w:pPr>
                    <w:adjustRightInd w:val="0"/>
                    <w:snapToGrid w:val="0"/>
                    <w:jc w:val="left"/>
                    <w:rPr>
                      <w:color w:val="auto"/>
                      <w:szCs w:val="21"/>
                    </w:rPr>
                  </w:pPr>
                  <w:r>
                    <w:rPr>
                      <w:color w:val="auto"/>
                      <w:szCs w:val="21"/>
                    </w:rPr>
                    <w:t>注：Ⅰ类：与无组织排放源共存的排放同种有害气体的排气筒的排放量，大于或等于标准规定的允许排放量的1/3者。</w:t>
                  </w:r>
                </w:p>
                <w:p w14:paraId="2BA2CF20">
                  <w:pPr>
                    <w:adjustRightInd w:val="0"/>
                    <w:snapToGrid w:val="0"/>
                    <w:ind w:firstLine="493" w:firstLineChars="235"/>
                    <w:jc w:val="left"/>
                    <w:rPr>
                      <w:color w:val="auto"/>
                      <w:szCs w:val="21"/>
                    </w:rPr>
                  </w:pPr>
                  <w:r>
                    <w:rPr>
                      <w:color w:val="auto"/>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214ABC81">
                  <w:pPr>
                    <w:adjustRightInd w:val="0"/>
                    <w:snapToGrid w:val="0"/>
                    <w:ind w:firstLine="493" w:firstLineChars="235"/>
                    <w:jc w:val="left"/>
                    <w:rPr>
                      <w:color w:val="auto"/>
                      <w:szCs w:val="21"/>
                    </w:rPr>
                  </w:pPr>
                  <w:r>
                    <w:rPr>
                      <w:color w:val="auto"/>
                      <w:szCs w:val="21"/>
                    </w:rPr>
                    <w:t>Ⅲ类：无排放同种有害物质的排气筒与无组织排放源共存，但无组织排放的有害物质的容许排放是按慢性反应指标确定者。</w:t>
                  </w:r>
                </w:p>
              </w:tc>
            </w:tr>
          </w:tbl>
          <w:p w14:paraId="0E4E42FC">
            <w:pPr>
              <w:spacing w:before="120" w:beforeLines="50" w:line="360" w:lineRule="auto"/>
              <w:ind w:firstLine="480" w:firstLineChars="200"/>
              <w:rPr>
                <w:color w:val="auto"/>
                <w:sz w:val="24"/>
              </w:rPr>
            </w:pPr>
            <w:r>
              <w:rPr>
                <w:color w:val="auto"/>
                <w:sz w:val="24"/>
                <w:szCs w:val="32"/>
              </w:rPr>
              <w:t>本项目卫生防护距离计算结果见下表。</w:t>
            </w:r>
          </w:p>
          <w:p w14:paraId="1FD551F9">
            <w:pPr>
              <w:adjustRightInd w:val="0"/>
              <w:snapToGrid w:val="0"/>
              <w:jc w:val="center"/>
              <w:rPr>
                <w:b/>
                <w:bCs/>
                <w:color w:val="auto"/>
                <w:sz w:val="24"/>
                <w:szCs w:val="32"/>
              </w:rPr>
            </w:pPr>
            <w:r>
              <w:rPr>
                <w:b/>
                <w:bCs/>
                <w:color w:val="auto"/>
                <w:sz w:val="24"/>
                <w:szCs w:val="32"/>
              </w:rPr>
              <w:t>表4-</w:t>
            </w:r>
            <w:r>
              <w:rPr>
                <w:rFonts w:hint="eastAsia"/>
                <w:b/>
                <w:bCs/>
                <w:color w:val="auto"/>
                <w:sz w:val="24"/>
                <w:szCs w:val="32"/>
              </w:rPr>
              <w:t>16</w:t>
            </w:r>
            <w:r>
              <w:rPr>
                <w:b/>
                <w:bCs/>
                <w:color w:val="auto"/>
                <w:sz w:val="24"/>
                <w:szCs w:val="32"/>
              </w:rPr>
              <w:t xml:space="preserve"> 本项目卫生防护距离计算结果</w:t>
            </w:r>
          </w:p>
          <w:tbl>
            <w:tblPr>
              <w:tblStyle w:val="89"/>
              <w:tblW w:w="849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51"/>
              <w:gridCol w:w="1240"/>
              <w:gridCol w:w="1166"/>
              <w:gridCol w:w="1427"/>
              <w:gridCol w:w="1364"/>
              <w:gridCol w:w="1212"/>
              <w:gridCol w:w="1039"/>
            </w:tblGrid>
            <w:tr w14:paraId="4A7C45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2291" w:type="dxa"/>
                  <w:gridSpan w:val="2"/>
                  <w:vMerge w:val="restart"/>
                  <w:vAlign w:val="center"/>
                </w:tcPr>
                <w:p w14:paraId="4521D368">
                  <w:pPr>
                    <w:adjustRightInd w:val="0"/>
                    <w:snapToGrid w:val="0"/>
                    <w:jc w:val="center"/>
                    <w:rPr>
                      <w:b/>
                      <w:bCs/>
                      <w:color w:val="auto"/>
                      <w:szCs w:val="21"/>
                    </w:rPr>
                  </w:pPr>
                  <w:r>
                    <w:rPr>
                      <w:b/>
                      <w:bCs/>
                      <w:color w:val="auto"/>
                      <w:szCs w:val="21"/>
                    </w:rPr>
                    <w:t>污染物</w:t>
                  </w:r>
                </w:p>
              </w:tc>
              <w:tc>
                <w:tcPr>
                  <w:tcW w:w="1166" w:type="dxa"/>
                  <w:vMerge w:val="restart"/>
                  <w:vAlign w:val="center"/>
                </w:tcPr>
                <w:p w14:paraId="72A47E8E">
                  <w:pPr>
                    <w:adjustRightInd w:val="0"/>
                    <w:snapToGrid w:val="0"/>
                    <w:jc w:val="center"/>
                    <w:rPr>
                      <w:b/>
                      <w:bCs/>
                      <w:color w:val="auto"/>
                      <w:szCs w:val="21"/>
                    </w:rPr>
                  </w:pPr>
                  <w:r>
                    <w:rPr>
                      <w:b/>
                      <w:bCs/>
                      <w:color w:val="auto"/>
                      <w:szCs w:val="21"/>
                    </w:rPr>
                    <w:t>源强Q</w:t>
                  </w:r>
                  <w:r>
                    <w:rPr>
                      <w:b/>
                      <w:bCs/>
                      <w:color w:val="auto"/>
                      <w:szCs w:val="21"/>
                      <w:vertAlign w:val="subscript"/>
                    </w:rPr>
                    <w:t>c</w:t>
                  </w:r>
                  <w:r>
                    <w:rPr>
                      <w:b/>
                      <w:bCs/>
                      <w:color w:val="auto"/>
                      <w:szCs w:val="21"/>
                    </w:rPr>
                    <w:t>（kg/h）</w:t>
                  </w:r>
                </w:p>
              </w:tc>
              <w:tc>
                <w:tcPr>
                  <w:tcW w:w="1427" w:type="dxa"/>
                  <w:vMerge w:val="restart"/>
                  <w:vAlign w:val="center"/>
                </w:tcPr>
                <w:p w14:paraId="1DF4E34F">
                  <w:pPr>
                    <w:adjustRightInd w:val="0"/>
                    <w:snapToGrid w:val="0"/>
                    <w:jc w:val="center"/>
                    <w:rPr>
                      <w:b/>
                      <w:bCs/>
                      <w:color w:val="auto"/>
                      <w:szCs w:val="21"/>
                    </w:rPr>
                  </w:pPr>
                  <w:r>
                    <w:rPr>
                      <w:b/>
                      <w:bCs/>
                      <w:color w:val="auto"/>
                      <w:szCs w:val="21"/>
                    </w:rPr>
                    <w:t>排放源面积</w:t>
                  </w:r>
                </w:p>
                <w:p w14:paraId="5C1ACD04">
                  <w:pPr>
                    <w:adjustRightInd w:val="0"/>
                    <w:snapToGrid w:val="0"/>
                    <w:jc w:val="center"/>
                    <w:rPr>
                      <w:b/>
                      <w:bCs/>
                      <w:color w:val="auto"/>
                      <w:szCs w:val="21"/>
                    </w:rPr>
                  </w:pPr>
                  <w:r>
                    <w:rPr>
                      <w:rFonts w:hint="eastAsia"/>
                      <w:b/>
                      <w:bCs/>
                      <w:color w:val="auto"/>
                      <w:szCs w:val="21"/>
                      <w:lang w:eastAsia="zh-CN"/>
                    </w:rPr>
                    <w:t>((2)</w:t>
                  </w:r>
                </w:p>
              </w:tc>
              <w:tc>
                <w:tcPr>
                  <w:tcW w:w="1364" w:type="dxa"/>
                  <w:vMerge w:val="restart"/>
                  <w:vAlign w:val="center"/>
                </w:tcPr>
                <w:p w14:paraId="4686AD5C">
                  <w:pPr>
                    <w:adjustRightInd w:val="0"/>
                    <w:snapToGrid w:val="0"/>
                    <w:jc w:val="center"/>
                    <w:rPr>
                      <w:b/>
                      <w:bCs/>
                      <w:color w:val="auto"/>
                      <w:szCs w:val="21"/>
                    </w:rPr>
                  </w:pPr>
                  <w:r>
                    <w:rPr>
                      <w:b/>
                      <w:bCs/>
                      <w:color w:val="auto"/>
                      <w:szCs w:val="21"/>
                    </w:rPr>
                    <w:t>标准限值C</w:t>
                  </w:r>
                  <w:r>
                    <w:rPr>
                      <w:b/>
                      <w:bCs/>
                      <w:color w:val="auto"/>
                      <w:szCs w:val="21"/>
                      <w:vertAlign w:val="subscript"/>
                    </w:rPr>
                    <w:t>m</w:t>
                  </w:r>
                </w:p>
                <w:p w14:paraId="62DCF8A3">
                  <w:pPr>
                    <w:adjustRightInd w:val="0"/>
                    <w:snapToGrid w:val="0"/>
                    <w:jc w:val="center"/>
                    <w:rPr>
                      <w:b/>
                      <w:bCs/>
                      <w:color w:val="auto"/>
                      <w:szCs w:val="21"/>
                    </w:rPr>
                  </w:pPr>
                  <w:r>
                    <w:rPr>
                      <w:rFonts w:hint="eastAsia"/>
                      <w:b/>
                      <w:bCs/>
                      <w:color w:val="auto"/>
                      <w:szCs w:val="21"/>
                      <w:lang w:eastAsia="zh-CN"/>
                    </w:rPr>
                    <w:t>(</w:t>
                  </w:r>
                  <w:r>
                    <w:rPr>
                      <w:b/>
                      <w:bCs/>
                      <w:color w:val="auto"/>
                      <w:szCs w:val="21"/>
                    </w:rPr>
                    <w:t>mg/Nm</w:t>
                  </w:r>
                  <w:r>
                    <w:rPr>
                      <w:b/>
                      <w:bCs/>
                      <w:color w:val="auto"/>
                      <w:szCs w:val="21"/>
                      <w:vertAlign w:val="superscript"/>
                    </w:rPr>
                    <w:t>3</w:t>
                  </w:r>
                  <w:r>
                    <w:rPr>
                      <w:rFonts w:hint="eastAsia"/>
                      <w:b/>
                      <w:bCs/>
                      <w:color w:val="auto"/>
                      <w:szCs w:val="21"/>
                      <w:vertAlign w:val="superscript"/>
                      <w:lang w:eastAsia="zh-CN"/>
                    </w:rPr>
                    <w:t>)</w:t>
                  </w:r>
                </w:p>
              </w:tc>
              <w:tc>
                <w:tcPr>
                  <w:tcW w:w="2251" w:type="dxa"/>
                  <w:gridSpan w:val="2"/>
                  <w:vAlign w:val="center"/>
                </w:tcPr>
                <w:p w14:paraId="4A4C86F4">
                  <w:pPr>
                    <w:adjustRightInd w:val="0"/>
                    <w:snapToGrid w:val="0"/>
                    <w:jc w:val="center"/>
                    <w:rPr>
                      <w:b/>
                      <w:bCs/>
                      <w:color w:val="auto"/>
                      <w:szCs w:val="21"/>
                    </w:rPr>
                  </w:pPr>
                  <w:r>
                    <w:rPr>
                      <w:b/>
                      <w:bCs/>
                      <w:color w:val="auto"/>
                      <w:szCs w:val="21"/>
                    </w:rPr>
                    <w:t>卫生防护距离L（m）</w:t>
                  </w:r>
                </w:p>
              </w:tc>
            </w:tr>
            <w:tr w14:paraId="1866C3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2291" w:type="dxa"/>
                  <w:gridSpan w:val="2"/>
                  <w:vMerge w:val="continue"/>
                  <w:vAlign w:val="center"/>
                </w:tcPr>
                <w:p w14:paraId="46C129BC">
                  <w:pPr>
                    <w:widowControl/>
                    <w:jc w:val="center"/>
                    <w:rPr>
                      <w:b/>
                      <w:bCs/>
                      <w:color w:val="auto"/>
                      <w:szCs w:val="21"/>
                    </w:rPr>
                  </w:pPr>
                </w:p>
              </w:tc>
              <w:tc>
                <w:tcPr>
                  <w:tcW w:w="1166" w:type="dxa"/>
                  <w:vMerge w:val="continue"/>
                  <w:vAlign w:val="center"/>
                </w:tcPr>
                <w:p w14:paraId="40A3C5C1">
                  <w:pPr>
                    <w:widowControl/>
                    <w:jc w:val="center"/>
                    <w:rPr>
                      <w:b/>
                      <w:bCs/>
                      <w:color w:val="auto"/>
                      <w:szCs w:val="21"/>
                    </w:rPr>
                  </w:pPr>
                </w:p>
              </w:tc>
              <w:tc>
                <w:tcPr>
                  <w:tcW w:w="1427" w:type="dxa"/>
                  <w:vMerge w:val="continue"/>
                  <w:vAlign w:val="center"/>
                </w:tcPr>
                <w:p w14:paraId="4447988D">
                  <w:pPr>
                    <w:widowControl/>
                    <w:jc w:val="center"/>
                    <w:rPr>
                      <w:b/>
                      <w:bCs/>
                      <w:color w:val="auto"/>
                      <w:szCs w:val="21"/>
                    </w:rPr>
                  </w:pPr>
                </w:p>
              </w:tc>
              <w:tc>
                <w:tcPr>
                  <w:tcW w:w="1364" w:type="dxa"/>
                  <w:vMerge w:val="continue"/>
                  <w:vAlign w:val="center"/>
                </w:tcPr>
                <w:p w14:paraId="57B6FB0D">
                  <w:pPr>
                    <w:widowControl/>
                    <w:jc w:val="center"/>
                    <w:rPr>
                      <w:b/>
                      <w:bCs/>
                      <w:color w:val="auto"/>
                      <w:szCs w:val="21"/>
                    </w:rPr>
                  </w:pPr>
                </w:p>
              </w:tc>
              <w:tc>
                <w:tcPr>
                  <w:tcW w:w="1212" w:type="dxa"/>
                  <w:vAlign w:val="center"/>
                </w:tcPr>
                <w:p w14:paraId="4E63BA22">
                  <w:pPr>
                    <w:adjustRightInd w:val="0"/>
                    <w:snapToGrid w:val="0"/>
                    <w:jc w:val="center"/>
                    <w:rPr>
                      <w:b/>
                      <w:bCs/>
                      <w:color w:val="auto"/>
                      <w:szCs w:val="21"/>
                    </w:rPr>
                  </w:pPr>
                  <w:r>
                    <w:rPr>
                      <w:b/>
                      <w:bCs/>
                      <w:color w:val="auto"/>
                      <w:szCs w:val="21"/>
                    </w:rPr>
                    <w:t>计算值</w:t>
                  </w:r>
                </w:p>
              </w:tc>
              <w:tc>
                <w:tcPr>
                  <w:tcW w:w="1039" w:type="dxa"/>
                  <w:vAlign w:val="center"/>
                </w:tcPr>
                <w:p w14:paraId="4D5CE639">
                  <w:pPr>
                    <w:adjustRightInd w:val="0"/>
                    <w:snapToGrid w:val="0"/>
                    <w:jc w:val="center"/>
                    <w:rPr>
                      <w:b/>
                      <w:bCs/>
                      <w:color w:val="auto"/>
                      <w:szCs w:val="21"/>
                    </w:rPr>
                  </w:pPr>
                  <w:r>
                    <w:rPr>
                      <w:b/>
                      <w:bCs/>
                      <w:color w:val="auto"/>
                      <w:szCs w:val="21"/>
                    </w:rPr>
                    <w:t>取值</w:t>
                  </w:r>
                </w:p>
              </w:tc>
            </w:tr>
            <w:tr w14:paraId="2AE8F6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53389A4B">
                  <w:pPr>
                    <w:adjustRightInd w:val="0"/>
                    <w:snapToGrid w:val="0"/>
                    <w:jc w:val="center"/>
                    <w:rPr>
                      <w:color w:val="auto"/>
                      <w:szCs w:val="21"/>
                    </w:rPr>
                  </w:pPr>
                  <w:r>
                    <w:rPr>
                      <w:rFonts w:hint="eastAsia"/>
                      <w:color w:val="auto"/>
                      <w:szCs w:val="21"/>
                      <w:lang w:eastAsia="zh-CN"/>
                    </w:rPr>
                    <w:t>1.</w:t>
                  </w:r>
                  <w:r>
                    <w:rPr>
                      <w:rFonts w:hint="eastAsia"/>
                      <w:color w:val="auto"/>
                      <w:szCs w:val="21"/>
                    </w:rPr>
                    <w:t>厂房</w:t>
                  </w:r>
                </w:p>
                <w:p w14:paraId="342B35AD">
                  <w:pPr>
                    <w:adjustRightInd w:val="0"/>
                    <w:snapToGrid w:val="0"/>
                    <w:jc w:val="center"/>
                    <w:rPr>
                      <w:color w:val="auto"/>
                      <w:szCs w:val="21"/>
                    </w:rPr>
                  </w:pPr>
                  <w:r>
                    <w:rPr>
                      <w:rFonts w:hint="eastAsia"/>
                      <w:color w:val="auto"/>
                      <w:szCs w:val="21"/>
                    </w:rPr>
                    <w:t>组装车间</w:t>
                  </w:r>
                </w:p>
              </w:tc>
              <w:tc>
                <w:tcPr>
                  <w:tcW w:w="1240" w:type="dxa"/>
                  <w:vAlign w:val="center"/>
                </w:tcPr>
                <w:p w14:paraId="1391CDF3">
                  <w:pPr>
                    <w:jc w:val="center"/>
                    <w:rPr>
                      <w:color w:val="auto"/>
                      <w:szCs w:val="21"/>
                    </w:rPr>
                  </w:pPr>
                  <w:r>
                    <w:rPr>
                      <w:rFonts w:hint="eastAsia"/>
                      <w:color w:val="auto"/>
                      <w:kern w:val="0"/>
                      <w:szCs w:val="21"/>
                    </w:rPr>
                    <w:t>非甲烷总烃</w:t>
                  </w:r>
                </w:p>
              </w:tc>
              <w:tc>
                <w:tcPr>
                  <w:tcW w:w="1166" w:type="dxa"/>
                  <w:vAlign w:val="center"/>
                </w:tcPr>
                <w:p w14:paraId="7E3095A2">
                  <w:pPr>
                    <w:adjustRightInd w:val="0"/>
                    <w:snapToGrid w:val="0"/>
                    <w:jc w:val="center"/>
                    <w:rPr>
                      <w:color w:val="auto"/>
                      <w:szCs w:val="21"/>
                    </w:rPr>
                  </w:pPr>
                  <w:r>
                    <w:rPr>
                      <w:color w:val="auto"/>
                      <w:szCs w:val="21"/>
                    </w:rPr>
                    <w:t>0.0</w:t>
                  </w:r>
                  <w:r>
                    <w:rPr>
                      <w:rFonts w:hint="eastAsia"/>
                      <w:color w:val="auto"/>
                      <w:szCs w:val="21"/>
                    </w:rPr>
                    <w:t>697</w:t>
                  </w:r>
                </w:p>
              </w:tc>
              <w:tc>
                <w:tcPr>
                  <w:tcW w:w="1427" w:type="dxa"/>
                  <w:vAlign w:val="center"/>
                </w:tcPr>
                <w:p w14:paraId="51E3D646">
                  <w:pPr>
                    <w:adjustRightInd w:val="0"/>
                    <w:snapToGrid w:val="0"/>
                    <w:jc w:val="center"/>
                    <w:rPr>
                      <w:color w:val="auto"/>
                      <w:szCs w:val="21"/>
                    </w:rPr>
                  </w:pPr>
                  <w:r>
                    <w:rPr>
                      <w:rFonts w:hint="eastAsia"/>
                      <w:color w:val="auto"/>
                      <w:szCs w:val="21"/>
                    </w:rPr>
                    <w:t>10133.9</w:t>
                  </w:r>
                </w:p>
              </w:tc>
              <w:tc>
                <w:tcPr>
                  <w:tcW w:w="1364" w:type="dxa"/>
                  <w:vAlign w:val="center"/>
                </w:tcPr>
                <w:p w14:paraId="7C1BEE9A">
                  <w:pPr>
                    <w:adjustRightInd w:val="0"/>
                    <w:snapToGrid w:val="0"/>
                    <w:jc w:val="center"/>
                    <w:rPr>
                      <w:color w:val="auto"/>
                      <w:szCs w:val="21"/>
                    </w:rPr>
                  </w:pPr>
                  <w:r>
                    <w:rPr>
                      <w:color w:val="auto"/>
                      <w:szCs w:val="21"/>
                    </w:rPr>
                    <w:t>2.0</w:t>
                  </w:r>
                </w:p>
              </w:tc>
              <w:tc>
                <w:tcPr>
                  <w:tcW w:w="1212" w:type="dxa"/>
                  <w:vAlign w:val="center"/>
                </w:tcPr>
                <w:p w14:paraId="3B2BE45A">
                  <w:pPr>
                    <w:adjustRightInd w:val="0"/>
                    <w:snapToGrid w:val="0"/>
                    <w:jc w:val="center"/>
                    <w:rPr>
                      <w:color w:val="auto"/>
                      <w:szCs w:val="21"/>
                    </w:rPr>
                  </w:pPr>
                  <w:r>
                    <w:rPr>
                      <w:rFonts w:hint="eastAsia"/>
                      <w:color w:val="auto"/>
                      <w:szCs w:val="21"/>
                    </w:rPr>
                    <w:t>0.835</w:t>
                  </w:r>
                </w:p>
              </w:tc>
              <w:tc>
                <w:tcPr>
                  <w:tcW w:w="1039" w:type="dxa"/>
                  <w:vAlign w:val="center"/>
                </w:tcPr>
                <w:p w14:paraId="0D9EB67D">
                  <w:pPr>
                    <w:adjustRightInd w:val="0"/>
                    <w:snapToGrid w:val="0"/>
                    <w:jc w:val="center"/>
                    <w:rPr>
                      <w:color w:val="auto"/>
                      <w:szCs w:val="21"/>
                    </w:rPr>
                  </w:pPr>
                  <w:r>
                    <w:rPr>
                      <w:color w:val="auto"/>
                      <w:szCs w:val="21"/>
                    </w:rPr>
                    <w:t>50</w:t>
                  </w:r>
                </w:p>
              </w:tc>
            </w:tr>
            <w:tr w14:paraId="54EA25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2D956502">
                  <w:pPr>
                    <w:adjustRightInd w:val="0"/>
                    <w:snapToGrid w:val="0"/>
                    <w:jc w:val="center"/>
                    <w:rPr>
                      <w:color w:val="auto"/>
                      <w:szCs w:val="21"/>
                    </w:rPr>
                  </w:pPr>
                  <w:r>
                    <w:rPr>
                      <w:rFonts w:hint="eastAsia"/>
                      <w:color w:val="auto"/>
                      <w:szCs w:val="21"/>
                      <w:lang w:eastAsia="zh-CN"/>
                    </w:rPr>
                    <w:t>2.</w:t>
                  </w:r>
                  <w:r>
                    <w:rPr>
                      <w:rFonts w:hint="eastAsia"/>
                      <w:color w:val="auto"/>
                      <w:szCs w:val="21"/>
                    </w:rPr>
                    <w:t>厂房</w:t>
                  </w:r>
                </w:p>
                <w:p w14:paraId="0E73D585">
                  <w:pPr>
                    <w:adjustRightInd w:val="0"/>
                    <w:snapToGrid w:val="0"/>
                    <w:jc w:val="center"/>
                    <w:rPr>
                      <w:color w:val="auto"/>
                      <w:szCs w:val="21"/>
                    </w:rPr>
                  </w:pPr>
                  <w:r>
                    <w:rPr>
                      <w:rFonts w:hint="eastAsia"/>
                      <w:color w:val="auto"/>
                      <w:szCs w:val="21"/>
                    </w:rPr>
                    <w:t>金属车间</w:t>
                  </w:r>
                </w:p>
              </w:tc>
              <w:tc>
                <w:tcPr>
                  <w:tcW w:w="1240" w:type="dxa"/>
                  <w:vAlign w:val="center"/>
                </w:tcPr>
                <w:p w14:paraId="7E85AB78">
                  <w:pPr>
                    <w:jc w:val="center"/>
                    <w:rPr>
                      <w:color w:val="auto"/>
                      <w:szCs w:val="21"/>
                    </w:rPr>
                  </w:pPr>
                  <w:r>
                    <w:rPr>
                      <w:rFonts w:hint="eastAsia"/>
                      <w:color w:val="auto"/>
                      <w:szCs w:val="21"/>
                    </w:rPr>
                    <w:t>颗粒物</w:t>
                  </w:r>
                </w:p>
              </w:tc>
              <w:tc>
                <w:tcPr>
                  <w:tcW w:w="1166" w:type="dxa"/>
                  <w:vAlign w:val="center"/>
                </w:tcPr>
                <w:p w14:paraId="29A5D064">
                  <w:pPr>
                    <w:adjustRightInd w:val="0"/>
                    <w:snapToGrid w:val="0"/>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0915</w:t>
                  </w:r>
                </w:p>
              </w:tc>
              <w:tc>
                <w:tcPr>
                  <w:tcW w:w="1427" w:type="dxa"/>
                  <w:vAlign w:val="center"/>
                </w:tcPr>
                <w:p w14:paraId="24E97A8A">
                  <w:pPr>
                    <w:adjustRightInd w:val="0"/>
                    <w:snapToGrid w:val="0"/>
                    <w:jc w:val="center"/>
                    <w:rPr>
                      <w:color w:val="auto"/>
                      <w:szCs w:val="21"/>
                    </w:rPr>
                  </w:pPr>
                  <w:r>
                    <w:rPr>
                      <w:rFonts w:hint="eastAsia"/>
                      <w:color w:val="auto"/>
                      <w:szCs w:val="21"/>
                    </w:rPr>
                    <w:t>9493.75</w:t>
                  </w:r>
                </w:p>
              </w:tc>
              <w:tc>
                <w:tcPr>
                  <w:tcW w:w="1364" w:type="dxa"/>
                  <w:vAlign w:val="center"/>
                </w:tcPr>
                <w:p w14:paraId="01C8C039">
                  <w:pPr>
                    <w:adjustRightInd w:val="0"/>
                    <w:snapToGrid w:val="0"/>
                    <w:jc w:val="center"/>
                    <w:rPr>
                      <w:color w:val="auto"/>
                      <w:szCs w:val="21"/>
                    </w:rPr>
                  </w:pPr>
                  <w:r>
                    <w:rPr>
                      <w:rFonts w:hint="eastAsia"/>
                      <w:color w:val="auto"/>
                      <w:szCs w:val="21"/>
                    </w:rPr>
                    <w:t>0.9</w:t>
                  </w:r>
                </w:p>
              </w:tc>
              <w:tc>
                <w:tcPr>
                  <w:tcW w:w="1212" w:type="dxa"/>
                  <w:vAlign w:val="center"/>
                </w:tcPr>
                <w:p w14:paraId="0405520E">
                  <w:pPr>
                    <w:adjustRightInd w:val="0"/>
                    <w:snapToGrid w:val="0"/>
                    <w:jc w:val="center"/>
                    <w:rPr>
                      <w:rFonts w:hint="default" w:eastAsia="宋体"/>
                      <w:color w:val="auto"/>
                      <w:szCs w:val="21"/>
                      <w:lang w:val="en-US" w:eastAsia="zh-CN"/>
                    </w:rPr>
                  </w:pPr>
                  <w:r>
                    <w:rPr>
                      <w:rFonts w:hint="eastAsia"/>
                      <w:color w:val="auto"/>
                      <w:szCs w:val="21"/>
                    </w:rPr>
                    <w:t>3.</w:t>
                  </w:r>
                  <w:r>
                    <w:rPr>
                      <w:rFonts w:hint="eastAsia"/>
                      <w:color w:val="auto"/>
                      <w:szCs w:val="21"/>
                      <w:lang w:val="en-US" w:eastAsia="zh-CN"/>
                    </w:rPr>
                    <w:t>103</w:t>
                  </w:r>
                </w:p>
              </w:tc>
              <w:tc>
                <w:tcPr>
                  <w:tcW w:w="1039" w:type="dxa"/>
                  <w:vAlign w:val="center"/>
                </w:tcPr>
                <w:p w14:paraId="786D1DE1">
                  <w:pPr>
                    <w:adjustRightInd w:val="0"/>
                    <w:snapToGrid w:val="0"/>
                    <w:jc w:val="center"/>
                    <w:rPr>
                      <w:color w:val="auto"/>
                      <w:szCs w:val="21"/>
                    </w:rPr>
                  </w:pPr>
                  <w:r>
                    <w:rPr>
                      <w:rFonts w:hint="eastAsia"/>
                      <w:color w:val="auto"/>
                      <w:szCs w:val="21"/>
                    </w:rPr>
                    <w:t>50</w:t>
                  </w:r>
                </w:p>
              </w:tc>
            </w:tr>
            <w:tr w14:paraId="62F378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01AEBCB1">
                  <w:pPr>
                    <w:adjustRightInd w:val="0"/>
                    <w:snapToGrid w:val="0"/>
                    <w:jc w:val="center"/>
                    <w:rPr>
                      <w:color w:val="auto"/>
                      <w:szCs w:val="21"/>
                    </w:rPr>
                  </w:pPr>
                  <w:r>
                    <w:rPr>
                      <w:rFonts w:hint="eastAsia"/>
                      <w:color w:val="auto"/>
                      <w:szCs w:val="21"/>
                      <w:lang w:eastAsia="zh-CN"/>
                    </w:rPr>
                    <w:t>3.</w:t>
                  </w:r>
                  <w:r>
                    <w:rPr>
                      <w:rFonts w:hint="eastAsia"/>
                      <w:color w:val="auto"/>
                      <w:szCs w:val="21"/>
                    </w:rPr>
                    <w:t>厂房</w:t>
                  </w:r>
                </w:p>
                <w:p w14:paraId="26B07E62">
                  <w:pPr>
                    <w:adjustRightInd w:val="0"/>
                    <w:snapToGrid w:val="0"/>
                    <w:jc w:val="center"/>
                    <w:rPr>
                      <w:color w:val="auto"/>
                      <w:szCs w:val="21"/>
                    </w:rPr>
                  </w:pPr>
                  <w:r>
                    <w:rPr>
                      <w:rFonts w:hint="eastAsia"/>
                      <w:color w:val="auto"/>
                      <w:szCs w:val="21"/>
                    </w:rPr>
                    <w:t>油漆车间</w:t>
                  </w:r>
                </w:p>
              </w:tc>
              <w:tc>
                <w:tcPr>
                  <w:tcW w:w="1240" w:type="dxa"/>
                  <w:vAlign w:val="center"/>
                </w:tcPr>
                <w:p w14:paraId="60677BE0">
                  <w:pPr>
                    <w:jc w:val="center"/>
                    <w:rPr>
                      <w:color w:val="auto"/>
                      <w:szCs w:val="21"/>
                    </w:rPr>
                  </w:pPr>
                  <w:r>
                    <w:rPr>
                      <w:rFonts w:hint="eastAsia"/>
                      <w:color w:val="auto"/>
                      <w:szCs w:val="21"/>
                    </w:rPr>
                    <w:t>颗粒物</w:t>
                  </w:r>
                </w:p>
              </w:tc>
              <w:tc>
                <w:tcPr>
                  <w:tcW w:w="1166" w:type="dxa"/>
                  <w:vAlign w:val="center"/>
                </w:tcPr>
                <w:p w14:paraId="5C2EEB22">
                  <w:pPr>
                    <w:adjustRightInd w:val="0"/>
                    <w:snapToGrid w:val="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752</w:t>
                  </w:r>
                </w:p>
              </w:tc>
              <w:tc>
                <w:tcPr>
                  <w:tcW w:w="1427" w:type="dxa"/>
                  <w:vAlign w:val="center"/>
                </w:tcPr>
                <w:p w14:paraId="32DB4AB2">
                  <w:pPr>
                    <w:adjustRightInd w:val="0"/>
                    <w:snapToGrid w:val="0"/>
                    <w:jc w:val="center"/>
                    <w:rPr>
                      <w:color w:val="auto"/>
                      <w:szCs w:val="21"/>
                    </w:rPr>
                  </w:pPr>
                  <w:r>
                    <w:rPr>
                      <w:rFonts w:hint="eastAsia"/>
                      <w:color w:val="auto"/>
                      <w:szCs w:val="21"/>
                    </w:rPr>
                    <w:t>5090.3</w:t>
                  </w:r>
                </w:p>
              </w:tc>
              <w:tc>
                <w:tcPr>
                  <w:tcW w:w="1364" w:type="dxa"/>
                  <w:vAlign w:val="center"/>
                </w:tcPr>
                <w:p w14:paraId="60074794">
                  <w:pPr>
                    <w:adjustRightInd w:val="0"/>
                    <w:snapToGrid w:val="0"/>
                    <w:jc w:val="center"/>
                    <w:rPr>
                      <w:color w:val="auto"/>
                      <w:szCs w:val="21"/>
                    </w:rPr>
                  </w:pPr>
                  <w:r>
                    <w:rPr>
                      <w:rFonts w:hint="eastAsia"/>
                      <w:color w:val="auto"/>
                      <w:szCs w:val="21"/>
                    </w:rPr>
                    <w:t>0.9</w:t>
                  </w:r>
                </w:p>
              </w:tc>
              <w:tc>
                <w:tcPr>
                  <w:tcW w:w="1212" w:type="dxa"/>
                  <w:vAlign w:val="center"/>
                </w:tcPr>
                <w:p w14:paraId="7B21B117">
                  <w:pPr>
                    <w:adjustRightInd w:val="0"/>
                    <w:snapToGrid w:val="0"/>
                    <w:jc w:val="center"/>
                    <w:rPr>
                      <w:rFonts w:hint="default" w:eastAsia="宋体"/>
                      <w:color w:val="auto"/>
                      <w:szCs w:val="21"/>
                      <w:lang w:val="en-US" w:eastAsia="zh-CN"/>
                    </w:rPr>
                  </w:pPr>
                  <w:r>
                    <w:rPr>
                      <w:rFonts w:hint="eastAsia"/>
                      <w:color w:val="auto"/>
                      <w:szCs w:val="21"/>
                      <w:lang w:val="en-US" w:eastAsia="zh-CN"/>
                    </w:rPr>
                    <w:t>3.56</w:t>
                  </w:r>
                </w:p>
              </w:tc>
              <w:tc>
                <w:tcPr>
                  <w:tcW w:w="1039" w:type="dxa"/>
                  <w:vAlign w:val="center"/>
                </w:tcPr>
                <w:p w14:paraId="04CD49DF">
                  <w:pPr>
                    <w:adjustRightInd w:val="0"/>
                    <w:snapToGrid w:val="0"/>
                    <w:jc w:val="center"/>
                    <w:rPr>
                      <w:color w:val="auto"/>
                      <w:szCs w:val="21"/>
                    </w:rPr>
                  </w:pPr>
                  <w:r>
                    <w:rPr>
                      <w:rFonts w:hint="eastAsia"/>
                      <w:color w:val="auto"/>
                      <w:szCs w:val="21"/>
                    </w:rPr>
                    <w:t>50</w:t>
                  </w:r>
                </w:p>
              </w:tc>
            </w:tr>
            <w:tr w14:paraId="38AF65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5BF1F966">
                  <w:pPr>
                    <w:adjustRightInd w:val="0"/>
                    <w:snapToGrid w:val="0"/>
                    <w:jc w:val="center"/>
                    <w:rPr>
                      <w:color w:val="auto"/>
                      <w:szCs w:val="21"/>
                    </w:rPr>
                  </w:pPr>
                  <w:r>
                    <w:rPr>
                      <w:rFonts w:hint="eastAsia"/>
                      <w:color w:val="auto"/>
                      <w:szCs w:val="21"/>
                      <w:lang w:eastAsia="zh-CN"/>
                    </w:rPr>
                    <w:t>4.</w:t>
                  </w:r>
                  <w:r>
                    <w:rPr>
                      <w:rFonts w:hint="eastAsia"/>
                      <w:color w:val="auto"/>
                      <w:szCs w:val="21"/>
                    </w:rPr>
                    <w:t>厂房</w:t>
                  </w:r>
                </w:p>
                <w:p w14:paraId="05A6303D">
                  <w:pPr>
                    <w:adjustRightInd w:val="0"/>
                    <w:snapToGrid w:val="0"/>
                    <w:jc w:val="center"/>
                    <w:rPr>
                      <w:color w:val="auto"/>
                      <w:szCs w:val="21"/>
                    </w:rPr>
                  </w:pPr>
                  <w:r>
                    <w:rPr>
                      <w:rFonts w:hint="eastAsia"/>
                      <w:color w:val="auto"/>
                      <w:szCs w:val="21"/>
                    </w:rPr>
                    <w:t>木工车间</w:t>
                  </w:r>
                </w:p>
              </w:tc>
              <w:tc>
                <w:tcPr>
                  <w:tcW w:w="1240" w:type="dxa"/>
                  <w:vAlign w:val="center"/>
                </w:tcPr>
                <w:p w14:paraId="3AEBAE36">
                  <w:pPr>
                    <w:jc w:val="center"/>
                    <w:rPr>
                      <w:color w:val="auto"/>
                      <w:szCs w:val="21"/>
                    </w:rPr>
                  </w:pPr>
                  <w:r>
                    <w:rPr>
                      <w:rFonts w:hint="eastAsia"/>
                      <w:color w:val="auto"/>
                      <w:szCs w:val="21"/>
                    </w:rPr>
                    <w:t>颗粒物</w:t>
                  </w:r>
                </w:p>
              </w:tc>
              <w:tc>
                <w:tcPr>
                  <w:tcW w:w="1166" w:type="dxa"/>
                  <w:vAlign w:val="center"/>
                </w:tcPr>
                <w:p w14:paraId="30EE5BDB">
                  <w:pPr>
                    <w:adjustRightInd w:val="0"/>
                    <w:snapToGrid w:val="0"/>
                    <w:jc w:val="center"/>
                    <w:rPr>
                      <w:color w:val="auto"/>
                      <w:szCs w:val="21"/>
                    </w:rPr>
                  </w:pPr>
                  <w:r>
                    <w:rPr>
                      <w:rFonts w:hint="eastAsia"/>
                      <w:color w:val="auto"/>
                      <w:szCs w:val="21"/>
                    </w:rPr>
                    <w:t>0.016</w:t>
                  </w:r>
                </w:p>
              </w:tc>
              <w:tc>
                <w:tcPr>
                  <w:tcW w:w="1427" w:type="dxa"/>
                  <w:vAlign w:val="center"/>
                </w:tcPr>
                <w:p w14:paraId="50BE9E18">
                  <w:pPr>
                    <w:adjustRightInd w:val="0"/>
                    <w:snapToGrid w:val="0"/>
                    <w:jc w:val="center"/>
                    <w:rPr>
                      <w:color w:val="auto"/>
                      <w:szCs w:val="21"/>
                    </w:rPr>
                  </w:pPr>
                  <w:r>
                    <w:rPr>
                      <w:rFonts w:hint="eastAsia"/>
                      <w:color w:val="auto"/>
                      <w:szCs w:val="21"/>
                    </w:rPr>
                    <w:t>4768.75</w:t>
                  </w:r>
                </w:p>
              </w:tc>
              <w:tc>
                <w:tcPr>
                  <w:tcW w:w="1364" w:type="dxa"/>
                  <w:vAlign w:val="center"/>
                </w:tcPr>
                <w:p w14:paraId="58ADE756">
                  <w:pPr>
                    <w:adjustRightInd w:val="0"/>
                    <w:snapToGrid w:val="0"/>
                    <w:jc w:val="center"/>
                    <w:rPr>
                      <w:color w:val="auto"/>
                      <w:szCs w:val="21"/>
                    </w:rPr>
                  </w:pPr>
                  <w:r>
                    <w:rPr>
                      <w:rFonts w:hint="eastAsia"/>
                      <w:color w:val="auto"/>
                      <w:szCs w:val="21"/>
                    </w:rPr>
                    <w:t>0.9</w:t>
                  </w:r>
                </w:p>
              </w:tc>
              <w:tc>
                <w:tcPr>
                  <w:tcW w:w="1212" w:type="dxa"/>
                  <w:vAlign w:val="center"/>
                </w:tcPr>
                <w:p w14:paraId="51BD9271">
                  <w:pPr>
                    <w:adjustRightInd w:val="0"/>
                    <w:snapToGrid w:val="0"/>
                    <w:jc w:val="center"/>
                    <w:rPr>
                      <w:color w:val="auto"/>
                      <w:szCs w:val="21"/>
                    </w:rPr>
                  </w:pPr>
                  <w:r>
                    <w:rPr>
                      <w:rFonts w:hint="eastAsia"/>
                      <w:color w:val="auto"/>
                      <w:szCs w:val="21"/>
                    </w:rPr>
                    <w:t>0.587</w:t>
                  </w:r>
                </w:p>
              </w:tc>
              <w:tc>
                <w:tcPr>
                  <w:tcW w:w="1039" w:type="dxa"/>
                  <w:vAlign w:val="center"/>
                </w:tcPr>
                <w:p w14:paraId="7E818535">
                  <w:pPr>
                    <w:adjustRightInd w:val="0"/>
                    <w:snapToGrid w:val="0"/>
                    <w:jc w:val="center"/>
                    <w:rPr>
                      <w:color w:val="auto"/>
                      <w:szCs w:val="21"/>
                    </w:rPr>
                  </w:pPr>
                  <w:r>
                    <w:rPr>
                      <w:rFonts w:hint="eastAsia"/>
                      <w:color w:val="auto"/>
                      <w:szCs w:val="21"/>
                    </w:rPr>
                    <w:t>50</w:t>
                  </w:r>
                </w:p>
              </w:tc>
            </w:tr>
          </w:tbl>
          <w:p w14:paraId="0FB37429">
            <w:pPr>
              <w:adjustRightInd w:val="0"/>
              <w:snapToGrid w:val="0"/>
              <w:spacing w:before="120" w:beforeLines="50" w:line="360" w:lineRule="auto"/>
              <w:ind w:firstLine="480" w:firstLineChars="200"/>
              <w:rPr>
                <w:bCs/>
                <w:color w:val="auto"/>
                <w:spacing w:val="-10"/>
                <w:sz w:val="24"/>
              </w:rPr>
            </w:pPr>
            <w:r>
              <w:rPr>
                <w:color w:val="auto"/>
                <w:sz w:val="24"/>
                <w:szCs w:val="28"/>
              </w:rPr>
              <w:t>根据计算结果，本项目需以</w:t>
            </w:r>
            <w:r>
              <w:rPr>
                <w:rFonts w:hint="eastAsia"/>
                <w:color w:val="auto"/>
                <w:sz w:val="24"/>
                <w:szCs w:val="28"/>
              </w:rPr>
              <w:t>4</w:t>
            </w:r>
            <w:r>
              <w:rPr>
                <w:rFonts w:hint="eastAsia"/>
                <w:color w:val="auto"/>
                <w:sz w:val="24"/>
                <w:szCs w:val="28"/>
                <w:lang w:eastAsia="zh-CN"/>
              </w:rPr>
              <w:t>栋</w:t>
            </w:r>
            <w:r>
              <w:rPr>
                <w:rFonts w:hint="eastAsia"/>
                <w:color w:val="auto"/>
                <w:sz w:val="24"/>
                <w:szCs w:val="28"/>
              </w:rPr>
              <w:t>厂房边界</w:t>
            </w:r>
            <w:r>
              <w:rPr>
                <w:color w:val="auto"/>
                <w:sz w:val="24"/>
                <w:szCs w:val="28"/>
              </w:rPr>
              <w:t>为起点</w:t>
            </w:r>
            <w:r>
              <w:rPr>
                <w:rFonts w:hint="eastAsia"/>
                <w:color w:val="auto"/>
                <w:sz w:val="24"/>
                <w:szCs w:val="28"/>
              </w:rPr>
              <w:t>各自</w:t>
            </w:r>
            <w:r>
              <w:rPr>
                <w:color w:val="auto"/>
                <w:sz w:val="24"/>
                <w:szCs w:val="28"/>
              </w:rPr>
              <w:t>设置</w:t>
            </w:r>
            <w:r>
              <w:rPr>
                <w:rFonts w:hint="eastAsia"/>
                <w:color w:val="auto"/>
                <w:sz w:val="24"/>
                <w:szCs w:val="28"/>
              </w:rPr>
              <w:t>5</w:t>
            </w:r>
            <w:r>
              <w:rPr>
                <w:color w:val="auto"/>
                <w:sz w:val="24"/>
                <w:szCs w:val="28"/>
              </w:rPr>
              <w:t>0m卫生防护距离。本项目卫生防护距离内没有居民、学校、医院等敏感目标，能满足卫生防护距离的要求。</w:t>
            </w:r>
          </w:p>
        </w:tc>
      </w:tr>
    </w:tbl>
    <w:p w14:paraId="764F42FA">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6"/>
        <w:gridCol w:w="8592"/>
      </w:tblGrid>
      <w:tr w14:paraId="1F6D7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16" w:type="dxa"/>
            <w:tcMar>
              <w:left w:w="28" w:type="dxa"/>
              <w:right w:w="28" w:type="dxa"/>
            </w:tcMar>
            <w:vAlign w:val="center"/>
          </w:tcPr>
          <w:p w14:paraId="54D7939E">
            <w:pPr>
              <w:adjustRightInd w:val="0"/>
              <w:snapToGrid w:val="0"/>
              <w:jc w:val="center"/>
              <w:rPr>
                <w:bCs/>
                <w:color w:val="auto"/>
                <w:sz w:val="24"/>
              </w:rPr>
            </w:pPr>
            <w:r>
              <w:rPr>
                <w:bCs/>
                <w:color w:val="auto"/>
                <w:sz w:val="24"/>
              </w:rPr>
              <w:t>运营期环境影响和保护措施</w:t>
            </w:r>
          </w:p>
        </w:tc>
        <w:tc>
          <w:tcPr>
            <w:tcW w:w="8592" w:type="dxa"/>
          </w:tcPr>
          <w:p w14:paraId="0C41A62B">
            <w:pPr>
              <w:adjustRightInd w:val="0"/>
              <w:snapToGrid w:val="0"/>
              <w:spacing w:line="360" w:lineRule="auto"/>
              <w:rPr>
                <w:b/>
                <w:color w:val="auto"/>
                <w:sz w:val="24"/>
              </w:rPr>
            </w:pPr>
            <w:r>
              <w:rPr>
                <w:b/>
                <w:color w:val="auto"/>
                <w:sz w:val="24"/>
              </w:rPr>
              <w:t>1.</w:t>
            </w:r>
            <w:r>
              <w:rPr>
                <w:rFonts w:hint="eastAsia"/>
                <w:b/>
                <w:color w:val="auto"/>
                <w:sz w:val="24"/>
              </w:rPr>
              <w:t>7</w:t>
            </w:r>
            <w:r>
              <w:rPr>
                <w:b/>
                <w:color w:val="auto"/>
                <w:sz w:val="24"/>
              </w:rPr>
              <w:t>排气筒设置可行性分析</w:t>
            </w:r>
          </w:p>
          <w:p w14:paraId="37EF4E35">
            <w:pPr>
              <w:adjustRightInd w:val="0"/>
              <w:snapToGrid w:val="0"/>
              <w:spacing w:line="360" w:lineRule="auto"/>
              <w:ind w:firstLine="480" w:firstLineChars="200"/>
              <w:rPr>
                <w:color w:val="auto"/>
                <w:sz w:val="24"/>
              </w:rPr>
            </w:pPr>
            <w:r>
              <w:rPr>
                <w:color w:val="auto"/>
                <w:sz w:val="24"/>
              </w:rPr>
              <w:t>本项目设置</w:t>
            </w:r>
            <w:r>
              <w:rPr>
                <w:rFonts w:hint="eastAsia"/>
                <w:color w:val="auto"/>
                <w:sz w:val="24"/>
                <w:lang w:val="en-US" w:eastAsia="zh-CN"/>
              </w:rPr>
              <w:t>六</w:t>
            </w:r>
            <w:r>
              <w:rPr>
                <w:rFonts w:hint="eastAsia"/>
                <w:color w:val="auto"/>
                <w:sz w:val="24"/>
              </w:rPr>
              <w:t>根</w:t>
            </w:r>
            <w:r>
              <w:rPr>
                <w:color w:val="auto"/>
                <w:sz w:val="24"/>
              </w:rPr>
              <w:t>排气筒。</w:t>
            </w:r>
          </w:p>
          <w:p w14:paraId="28BA2439">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高度可行性</w:t>
            </w:r>
          </w:p>
          <w:p w14:paraId="7743BC0D">
            <w:pPr>
              <w:adjustRightInd w:val="0"/>
              <w:snapToGrid w:val="0"/>
              <w:spacing w:line="360" w:lineRule="auto"/>
              <w:ind w:firstLine="480" w:firstLineChars="200"/>
              <w:rPr>
                <w:color w:val="auto"/>
                <w:sz w:val="24"/>
              </w:rPr>
            </w:pPr>
            <w:r>
              <w:rPr>
                <w:color w:val="auto"/>
                <w:sz w:val="24"/>
              </w:rPr>
              <w:t>根据《大气污染物综合排放标准》（DB32/4041-2021）：</w:t>
            </w:r>
            <w:r>
              <w:rPr>
                <w:rFonts w:hint="eastAsia"/>
                <w:color w:val="auto"/>
                <w:sz w:val="24"/>
              </w:rPr>
              <w:t>“</w:t>
            </w:r>
            <w:r>
              <w:rPr>
                <w:color w:val="auto"/>
                <w:sz w:val="24"/>
              </w:rPr>
              <w:t>排放光气、氰化氢和氯气的排气筒高度不低于25m，其他排气筒高度不低于15m</w:t>
            </w:r>
            <w:r>
              <w:rPr>
                <w:rFonts w:hint="eastAsia"/>
                <w:color w:val="auto"/>
                <w:sz w:val="24"/>
                <w:lang w:eastAsia="zh-CN"/>
              </w:rPr>
              <w:t>（</w:t>
            </w:r>
            <w:r>
              <w:rPr>
                <w:color w:val="auto"/>
                <w:sz w:val="24"/>
              </w:rPr>
              <w:t>因安全考虑或有特殊工艺要求的除外</w:t>
            </w:r>
            <w:r>
              <w:rPr>
                <w:rFonts w:hint="eastAsia"/>
                <w:color w:val="auto"/>
                <w:sz w:val="24"/>
                <w:lang w:eastAsia="zh-CN"/>
              </w:rPr>
              <w:t>）</w:t>
            </w:r>
            <w:r>
              <w:rPr>
                <w:color w:val="auto"/>
                <w:sz w:val="24"/>
              </w:rPr>
              <w:t>，具体高度以及与周围建筑物的相对高度关系应根据环境影响评价文件确定。新建污染源的排气筒必须低于15m时，其最高允许排放速率按表1所列排放速率限值的50%执行。</w:t>
            </w:r>
            <w:r>
              <w:rPr>
                <w:rFonts w:hint="eastAsia"/>
                <w:color w:val="auto"/>
                <w:sz w:val="24"/>
              </w:rPr>
              <w:t>”</w:t>
            </w:r>
            <w:r>
              <w:rPr>
                <w:color w:val="auto"/>
                <w:sz w:val="24"/>
              </w:rPr>
              <w:t>本项目排气筒高度</w:t>
            </w:r>
            <w:r>
              <w:rPr>
                <w:rFonts w:hint="eastAsia"/>
                <w:color w:val="auto"/>
                <w:sz w:val="24"/>
              </w:rPr>
              <w:t>均</w:t>
            </w:r>
            <w:r>
              <w:rPr>
                <w:color w:val="auto"/>
                <w:sz w:val="24"/>
              </w:rPr>
              <w:t>为1</w:t>
            </w:r>
            <w:r>
              <w:rPr>
                <w:rFonts w:hint="eastAsia"/>
                <w:color w:val="auto"/>
                <w:sz w:val="24"/>
              </w:rPr>
              <w:t>5</w:t>
            </w:r>
            <w:r>
              <w:rPr>
                <w:color w:val="auto"/>
                <w:sz w:val="24"/>
              </w:rPr>
              <w:t>m，因此，符合《大气污染物综合排放标准》（DB32/4041-2021）标准要求。</w:t>
            </w:r>
          </w:p>
          <w:p w14:paraId="4552A3F6">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数量可行性</w:t>
            </w:r>
          </w:p>
          <w:p w14:paraId="11E056ED">
            <w:pPr>
              <w:adjustRightInd w:val="0"/>
              <w:snapToGrid w:val="0"/>
              <w:spacing w:line="360" w:lineRule="auto"/>
              <w:ind w:firstLine="480" w:firstLineChars="200"/>
              <w:rPr>
                <w:color w:val="auto"/>
                <w:sz w:val="24"/>
              </w:rPr>
            </w:pPr>
            <w:r>
              <w:rPr>
                <w:color w:val="auto"/>
                <w:sz w:val="24"/>
              </w:rPr>
              <w:t>本项目废气收集处理按照分类收集、分质处理的原则进行。</w:t>
            </w:r>
          </w:p>
          <w:p w14:paraId="100FACF4">
            <w:pPr>
              <w:adjustRightInd w:val="0"/>
              <w:snapToGrid w:val="0"/>
              <w:spacing w:line="360" w:lineRule="auto"/>
              <w:ind w:firstLine="480" w:firstLineChars="200"/>
              <w:rPr>
                <w:color w:val="auto"/>
                <w:sz w:val="24"/>
              </w:rPr>
            </w:pPr>
            <w:r>
              <w:rPr>
                <w:color w:val="auto"/>
                <w:sz w:val="24"/>
              </w:rPr>
              <w:t>综合分析，建设项目排气筒设置是合理可行的。</w:t>
            </w:r>
          </w:p>
          <w:p w14:paraId="0F1ED9FC">
            <w:pPr>
              <w:adjustRightInd w:val="0"/>
              <w:snapToGrid w:val="0"/>
              <w:spacing w:line="360" w:lineRule="auto"/>
              <w:rPr>
                <w:b/>
                <w:color w:val="auto"/>
                <w:sz w:val="24"/>
              </w:rPr>
            </w:pPr>
            <w:r>
              <w:rPr>
                <w:b/>
                <w:color w:val="auto"/>
                <w:sz w:val="24"/>
              </w:rPr>
              <w:t>1.</w:t>
            </w:r>
            <w:r>
              <w:rPr>
                <w:rFonts w:hint="eastAsia"/>
                <w:b/>
                <w:color w:val="auto"/>
                <w:sz w:val="24"/>
              </w:rPr>
              <w:t>8</w:t>
            </w:r>
            <w:r>
              <w:rPr>
                <w:b/>
                <w:color w:val="auto"/>
                <w:sz w:val="24"/>
              </w:rPr>
              <w:t>结论</w:t>
            </w:r>
          </w:p>
          <w:p w14:paraId="2A047788">
            <w:pPr>
              <w:adjustRightInd w:val="0"/>
              <w:snapToGrid w:val="0"/>
              <w:spacing w:line="360" w:lineRule="auto"/>
              <w:ind w:firstLine="480" w:firstLineChars="200"/>
              <w:rPr>
                <w:color w:val="auto"/>
                <w:sz w:val="24"/>
              </w:rPr>
            </w:pPr>
            <w:r>
              <w:rPr>
                <w:color w:val="auto"/>
                <w:sz w:val="24"/>
              </w:rPr>
              <w:t>①项目选址及总图布置的合理性和可行性</w:t>
            </w:r>
          </w:p>
          <w:p w14:paraId="35C632AE">
            <w:pPr>
              <w:adjustRightInd w:val="0"/>
              <w:snapToGrid w:val="0"/>
              <w:spacing w:line="360" w:lineRule="auto"/>
              <w:ind w:firstLine="480" w:firstLineChars="200"/>
              <w:rPr>
                <w:color w:val="auto"/>
                <w:sz w:val="24"/>
              </w:rPr>
            </w:pPr>
            <w:r>
              <w:rPr>
                <w:color w:val="auto"/>
                <w:sz w:val="24"/>
              </w:rPr>
              <w:t>本项目位于江苏省淮安市</w:t>
            </w:r>
            <w:r>
              <w:rPr>
                <w:bCs/>
                <w:color w:val="auto"/>
                <w:sz w:val="24"/>
              </w:rPr>
              <w:t>涟水县</w:t>
            </w:r>
            <w:r>
              <w:rPr>
                <w:rFonts w:hint="eastAsia"/>
                <w:bCs/>
                <w:color w:val="auto"/>
                <w:sz w:val="24"/>
              </w:rPr>
              <w:t>经济开发区蒋庵东路东侧、清涟大道北侧</w:t>
            </w:r>
            <w:r>
              <w:rPr>
                <w:color w:val="auto"/>
                <w:sz w:val="24"/>
              </w:rPr>
              <w:t>，项目选址及厂内平面布置合理。</w:t>
            </w:r>
          </w:p>
          <w:p w14:paraId="10D943C0">
            <w:pPr>
              <w:adjustRightInd w:val="0"/>
              <w:snapToGrid w:val="0"/>
              <w:spacing w:line="360" w:lineRule="auto"/>
              <w:ind w:firstLine="480" w:firstLineChars="200"/>
              <w:rPr>
                <w:color w:val="auto"/>
                <w:sz w:val="24"/>
              </w:rPr>
            </w:pPr>
            <w:r>
              <w:rPr>
                <w:color w:val="auto"/>
                <w:sz w:val="24"/>
              </w:rPr>
              <w:t>②大气污染控制措施</w:t>
            </w:r>
          </w:p>
          <w:p w14:paraId="15DF53F5">
            <w:pPr>
              <w:adjustRightInd w:val="0"/>
              <w:snapToGrid w:val="0"/>
              <w:spacing w:line="360" w:lineRule="auto"/>
              <w:ind w:firstLine="480" w:firstLineChars="200"/>
              <w:rPr>
                <w:color w:val="auto"/>
                <w:sz w:val="24"/>
              </w:rPr>
            </w:pPr>
            <w:r>
              <w:rPr>
                <w:color w:val="auto"/>
                <w:sz w:val="24"/>
              </w:rPr>
              <w:t>经相应措施处理后项目废气均能达标排放，同时最终环境影响也符合环境功能区划要求。项目废气处理应加强管理，防止因处理设施故障造成废气非正常排放。</w:t>
            </w:r>
          </w:p>
          <w:p w14:paraId="6CDF1743">
            <w:pPr>
              <w:adjustRightInd w:val="0"/>
              <w:snapToGrid w:val="0"/>
              <w:spacing w:line="360" w:lineRule="auto"/>
              <w:ind w:firstLine="480" w:firstLineChars="200"/>
              <w:rPr>
                <w:color w:val="auto"/>
                <w:sz w:val="24"/>
              </w:rPr>
            </w:pPr>
            <w:r>
              <w:rPr>
                <w:color w:val="auto"/>
                <w:sz w:val="24"/>
              </w:rPr>
              <w:t>③大气环境防护距离设置</w:t>
            </w:r>
          </w:p>
          <w:p w14:paraId="26D69D2A">
            <w:pPr>
              <w:adjustRightInd w:val="0"/>
              <w:snapToGrid w:val="0"/>
              <w:spacing w:line="360" w:lineRule="auto"/>
              <w:ind w:firstLine="480" w:firstLineChars="200"/>
              <w:rPr>
                <w:color w:val="auto"/>
                <w:sz w:val="24"/>
              </w:rPr>
            </w:pPr>
            <w:r>
              <w:rPr>
                <w:color w:val="auto"/>
                <w:sz w:val="24"/>
              </w:rPr>
              <w:t>本项目无需设置大气环境防护距离。</w:t>
            </w:r>
          </w:p>
          <w:p w14:paraId="1E7C72FA">
            <w:pPr>
              <w:adjustRightInd w:val="0"/>
              <w:snapToGrid w:val="0"/>
              <w:spacing w:line="360" w:lineRule="auto"/>
              <w:ind w:firstLine="480" w:firstLineChars="200"/>
              <w:rPr>
                <w:color w:val="auto"/>
                <w:sz w:val="24"/>
              </w:rPr>
            </w:pPr>
            <w:r>
              <w:rPr>
                <w:rFonts w:hint="eastAsia"/>
                <w:color w:val="auto"/>
                <w:sz w:val="24"/>
              </w:rPr>
              <w:t>④</w:t>
            </w:r>
            <w:r>
              <w:rPr>
                <w:color w:val="auto"/>
                <w:sz w:val="24"/>
              </w:rPr>
              <w:t>卫生防护距离设置</w:t>
            </w:r>
          </w:p>
          <w:p w14:paraId="2F98A509">
            <w:pPr>
              <w:adjustRightInd w:val="0"/>
              <w:snapToGrid w:val="0"/>
              <w:spacing w:line="360" w:lineRule="auto"/>
              <w:ind w:firstLine="480" w:firstLineChars="200"/>
              <w:rPr>
                <w:color w:val="auto"/>
                <w:sz w:val="24"/>
              </w:rPr>
            </w:pPr>
            <w:r>
              <w:rPr>
                <w:color w:val="auto"/>
                <w:sz w:val="24"/>
              </w:rPr>
              <w:t>本项目应以</w:t>
            </w:r>
            <w:r>
              <w:rPr>
                <w:rFonts w:hint="eastAsia"/>
                <w:color w:val="auto"/>
                <w:sz w:val="24"/>
              </w:rPr>
              <w:t>4</w:t>
            </w:r>
            <w:r>
              <w:rPr>
                <w:rFonts w:hint="eastAsia"/>
                <w:color w:val="auto"/>
                <w:sz w:val="24"/>
                <w:lang w:eastAsia="zh-CN"/>
              </w:rPr>
              <w:t>栋</w:t>
            </w:r>
            <w:r>
              <w:rPr>
                <w:rFonts w:hint="eastAsia"/>
                <w:color w:val="auto"/>
                <w:sz w:val="24"/>
              </w:rPr>
              <w:t>厂房</w:t>
            </w:r>
            <w:r>
              <w:rPr>
                <w:color w:val="auto"/>
                <w:sz w:val="24"/>
              </w:rPr>
              <w:t>外扩</w:t>
            </w:r>
            <w:r>
              <w:rPr>
                <w:rFonts w:hint="eastAsia"/>
                <w:color w:val="auto"/>
                <w:sz w:val="24"/>
              </w:rPr>
              <w:t>50</w:t>
            </w:r>
            <w:r>
              <w:rPr>
                <w:color w:val="auto"/>
                <w:sz w:val="24"/>
              </w:rPr>
              <w:t>m形成的包络线为卫生防护距离，根据现场勘查，卫生防护距离范围内无居民、医院、学校等环境敏感点，今后也不得新建居民区、医院、学校等环境敏感点。</w:t>
            </w:r>
          </w:p>
          <w:p w14:paraId="03F608D5">
            <w:pPr>
              <w:adjustRightInd w:val="0"/>
              <w:snapToGrid w:val="0"/>
              <w:spacing w:line="360" w:lineRule="auto"/>
              <w:ind w:firstLine="480" w:firstLineChars="200"/>
              <w:rPr>
                <w:color w:val="auto"/>
                <w:sz w:val="24"/>
              </w:rPr>
            </w:pPr>
            <w:r>
              <w:rPr>
                <w:rFonts w:hint="eastAsia"/>
                <w:color w:val="auto"/>
                <w:sz w:val="24"/>
              </w:rPr>
              <w:t>⑤</w:t>
            </w:r>
            <w:r>
              <w:rPr>
                <w:color w:val="auto"/>
                <w:sz w:val="24"/>
              </w:rPr>
              <w:t>大气环境影响评价结论</w:t>
            </w:r>
          </w:p>
          <w:p w14:paraId="2C925ACD">
            <w:pPr>
              <w:adjustRightInd w:val="0"/>
              <w:snapToGrid w:val="0"/>
              <w:spacing w:line="360" w:lineRule="auto"/>
              <w:ind w:firstLine="480" w:firstLineChars="200"/>
              <w:rPr>
                <w:color w:val="auto"/>
                <w:sz w:val="24"/>
              </w:rPr>
            </w:pPr>
            <w:r>
              <w:rPr>
                <w:color w:val="auto"/>
                <w:sz w:val="24"/>
              </w:rPr>
              <w:t>综上所述，项目选址及总图布置合理可行，采取的污染控制措施可以保证污染物达标排放，废气污染物需向淮安市涟水生态环境局申请总量，无需设置大气环境防护距离，项目废气对外界环境影响很小，所采取的废气治理措施是可行的。</w:t>
            </w:r>
          </w:p>
          <w:p w14:paraId="6AC6AB58">
            <w:pPr>
              <w:adjustRightInd w:val="0"/>
              <w:snapToGrid w:val="0"/>
              <w:spacing w:line="360" w:lineRule="auto"/>
              <w:ind w:firstLine="482" w:firstLineChars="200"/>
              <w:rPr>
                <w:b/>
                <w:color w:val="auto"/>
                <w:sz w:val="24"/>
              </w:rPr>
            </w:pPr>
            <w:r>
              <w:rPr>
                <w:b/>
                <w:color w:val="auto"/>
                <w:sz w:val="24"/>
              </w:rPr>
              <w:t>二、废水</w:t>
            </w:r>
          </w:p>
          <w:p w14:paraId="6B729557">
            <w:pPr>
              <w:tabs>
                <w:tab w:val="left" w:pos="720"/>
              </w:tabs>
              <w:adjustRightInd w:val="0"/>
              <w:snapToGrid w:val="0"/>
              <w:spacing w:line="360" w:lineRule="auto"/>
              <w:ind w:firstLine="480" w:firstLineChars="200"/>
              <w:rPr>
                <w:bCs/>
                <w:color w:val="auto"/>
                <w:spacing w:val="-10"/>
                <w:sz w:val="24"/>
              </w:rPr>
            </w:pPr>
            <w:r>
              <w:rPr>
                <w:rFonts w:hint="eastAsia"/>
                <w:color w:val="auto"/>
                <w:sz w:val="24"/>
              </w:rPr>
              <w:t>本项目废水及废水处理工艺与企业现有项目废水与废水处理工艺一致，因此参照企业现有项目验收情况可知，取生产废水源强为：COD500mg/L、SS300mg/L、NH</w:t>
            </w:r>
            <w:r>
              <w:rPr>
                <w:rFonts w:hint="eastAsia"/>
                <w:color w:val="auto"/>
                <w:sz w:val="24"/>
                <w:vertAlign w:val="subscript"/>
              </w:rPr>
              <w:t>3</w:t>
            </w:r>
            <w:r>
              <w:rPr>
                <w:rFonts w:hint="eastAsia"/>
                <w:color w:val="auto"/>
                <w:sz w:val="24"/>
              </w:rPr>
              <w:t>-N30mg/L、TP5mg/L、石油类50mg/L、LAS30mg/L，生活污水源强为：COD350mg/L、SS200mg/L、NH</w:t>
            </w:r>
            <w:r>
              <w:rPr>
                <w:rFonts w:hint="eastAsia"/>
                <w:color w:val="auto"/>
                <w:sz w:val="24"/>
                <w:vertAlign w:val="subscript"/>
              </w:rPr>
              <w:t>3</w:t>
            </w:r>
            <w:r>
              <w:rPr>
                <w:rFonts w:hint="eastAsia"/>
                <w:color w:val="auto"/>
                <w:sz w:val="24"/>
              </w:rPr>
              <w:t>-N30mg/L、TP4mg/L、TN40mg/L、动植物油160mg/L，则项目建成后废水产生及排放情况见下表。</w:t>
            </w:r>
          </w:p>
        </w:tc>
      </w:tr>
    </w:tbl>
    <w:p w14:paraId="2ADE57F8">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654"/>
      </w:tblGrid>
      <w:tr w14:paraId="1C83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94" w:type="dxa"/>
            <w:tcMar>
              <w:left w:w="28" w:type="dxa"/>
              <w:right w:w="28" w:type="dxa"/>
            </w:tcMar>
            <w:vAlign w:val="center"/>
          </w:tcPr>
          <w:p w14:paraId="7DC9E3B0">
            <w:pPr>
              <w:adjustRightInd w:val="0"/>
              <w:snapToGrid w:val="0"/>
              <w:jc w:val="center"/>
              <w:rPr>
                <w:bCs/>
                <w:color w:val="auto"/>
                <w:szCs w:val="21"/>
              </w:rPr>
            </w:pPr>
            <w:r>
              <w:rPr>
                <w:bCs/>
                <w:color w:val="auto"/>
                <w:sz w:val="24"/>
              </w:rPr>
              <w:t>运营期环境影响和保护措施</w:t>
            </w:r>
          </w:p>
        </w:tc>
        <w:tc>
          <w:tcPr>
            <w:tcW w:w="12654" w:type="dxa"/>
          </w:tcPr>
          <w:p w14:paraId="77E0DCD9">
            <w:pPr>
              <w:keepNext/>
              <w:adjustRightInd w:val="0"/>
              <w:snapToGrid w:val="0"/>
              <w:jc w:val="center"/>
              <w:rPr>
                <w:b/>
                <w:color w:val="auto"/>
                <w:szCs w:val="21"/>
              </w:rPr>
            </w:pPr>
            <w:r>
              <w:rPr>
                <w:b/>
                <w:color w:val="auto"/>
                <w:sz w:val="24"/>
              </w:rPr>
              <w:t>表4-</w:t>
            </w:r>
            <w:r>
              <w:rPr>
                <w:rFonts w:hint="eastAsia"/>
                <w:b/>
                <w:color w:val="auto"/>
                <w:sz w:val="24"/>
              </w:rPr>
              <w:t>17</w:t>
            </w:r>
            <w:r>
              <w:rPr>
                <w:b/>
                <w:color w:val="auto"/>
                <w:sz w:val="24"/>
              </w:rPr>
              <w:t xml:space="preserve">  项目建成后全厂废水产生及排放情况一览表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811"/>
              <w:gridCol w:w="383"/>
              <w:gridCol w:w="647"/>
              <w:gridCol w:w="850"/>
              <w:gridCol w:w="922"/>
              <w:gridCol w:w="838"/>
              <w:gridCol w:w="928"/>
              <w:gridCol w:w="463"/>
              <w:gridCol w:w="388"/>
              <w:gridCol w:w="851"/>
              <w:gridCol w:w="923"/>
              <w:gridCol w:w="916"/>
              <w:gridCol w:w="923"/>
              <w:gridCol w:w="621"/>
              <w:gridCol w:w="974"/>
            </w:tblGrid>
            <w:tr w14:paraId="36443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3DD2D719">
                  <w:pPr>
                    <w:adjustRightInd w:val="0"/>
                    <w:snapToGrid w:val="0"/>
                    <w:jc w:val="center"/>
                    <w:rPr>
                      <w:b/>
                      <w:color w:val="auto"/>
                      <w:szCs w:val="21"/>
                    </w:rPr>
                  </w:pPr>
                  <w:r>
                    <w:rPr>
                      <w:b/>
                      <w:color w:val="auto"/>
                      <w:szCs w:val="21"/>
                    </w:rPr>
                    <w:t>工序/生产线</w:t>
                  </w:r>
                </w:p>
              </w:tc>
              <w:tc>
                <w:tcPr>
                  <w:tcW w:w="172" w:type="pct"/>
                  <w:vMerge w:val="restart"/>
                  <w:vAlign w:val="center"/>
                </w:tcPr>
                <w:p w14:paraId="13C3EF42">
                  <w:pPr>
                    <w:adjustRightInd w:val="0"/>
                    <w:snapToGrid w:val="0"/>
                    <w:jc w:val="center"/>
                    <w:rPr>
                      <w:b/>
                      <w:color w:val="auto"/>
                      <w:szCs w:val="21"/>
                    </w:rPr>
                  </w:pPr>
                  <w:r>
                    <w:rPr>
                      <w:b/>
                      <w:color w:val="auto"/>
                      <w:szCs w:val="21"/>
                    </w:rPr>
                    <w:t>污染源</w:t>
                  </w:r>
                </w:p>
              </w:tc>
              <w:tc>
                <w:tcPr>
                  <w:tcW w:w="278" w:type="pct"/>
                  <w:vMerge w:val="restart"/>
                  <w:vAlign w:val="center"/>
                </w:tcPr>
                <w:p w14:paraId="457A0315">
                  <w:pPr>
                    <w:jc w:val="center"/>
                    <w:rPr>
                      <w:b/>
                      <w:color w:val="auto"/>
                      <w:kern w:val="0"/>
                      <w:szCs w:val="21"/>
                    </w:rPr>
                  </w:pPr>
                  <w:r>
                    <w:rPr>
                      <w:b/>
                      <w:color w:val="auto"/>
                      <w:kern w:val="0"/>
                      <w:szCs w:val="21"/>
                    </w:rPr>
                    <w:t>污染物</w:t>
                  </w:r>
                </w:p>
              </w:tc>
              <w:tc>
                <w:tcPr>
                  <w:tcW w:w="971" w:type="pct"/>
                  <w:gridSpan w:val="3"/>
                  <w:vAlign w:val="center"/>
                </w:tcPr>
                <w:p w14:paraId="3D095BBA">
                  <w:pPr>
                    <w:jc w:val="center"/>
                    <w:rPr>
                      <w:b/>
                      <w:color w:val="auto"/>
                      <w:kern w:val="0"/>
                      <w:szCs w:val="21"/>
                    </w:rPr>
                  </w:pPr>
                  <w:r>
                    <w:rPr>
                      <w:b/>
                      <w:color w:val="auto"/>
                      <w:kern w:val="0"/>
                      <w:szCs w:val="21"/>
                    </w:rPr>
                    <w:t>产生情况</w:t>
                  </w:r>
                </w:p>
              </w:tc>
              <w:tc>
                <w:tcPr>
                  <w:tcW w:w="769" w:type="pct"/>
                  <w:gridSpan w:val="3"/>
                  <w:vAlign w:val="center"/>
                </w:tcPr>
                <w:p w14:paraId="0C231E12">
                  <w:pPr>
                    <w:jc w:val="center"/>
                    <w:rPr>
                      <w:b/>
                      <w:color w:val="auto"/>
                      <w:kern w:val="0"/>
                      <w:szCs w:val="21"/>
                    </w:rPr>
                  </w:pPr>
                  <w:r>
                    <w:rPr>
                      <w:b/>
                      <w:color w:val="auto"/>
                      <w:kern w:val="0"/>
                      <w:szCs w:val="21"/>
                    </w:rPr>
                    <w:t>治理措施</w:t>
                  </w:r>
                </w:p>
              </w:tc>
              <w:tc>
                <w:tcPr>
                  <w:tcW w:w="1381" w:type="pct"/>
                  <w:gridSpan w:val="4"/>
                  <w:vAlign w:val="center"/>
                </w:tcPr>
                <w:p w14:paraId="2DBEF483">
                  <w:pPr>
                    <w:jc w:val="center"/>
                    <w:rPr>
                      <w:b/>
                      <w:color w:val="auto"/>
                      <w:kern w:val="0"/>
                      <w:szCs w:val="21"/>
                    </w:rPr>
                  </w:pPr>
                  <w:r>
                    <w:rPr>
                      <w:b/>
                      <w:color w:val="auto"/>
                      <w:kern w:val="0"/>
                      <w:szCs w:val="21"/>
                    </w:rPr>
                    <w:t>接管情况</w:t>
                  </w:r>
                </w:p>
              </w:tc>
              <w:tc>
                <w:tcPr>
                  <w:tcW w:w="272" w:type="pct"/>
                  <w:vMerge w:val="restart"/>
                  <w:vAlign w:val="center"/>
                </w:tcPr>
                <w:p w14:paraId="2F565C52">
                  <w:pPr>
                    <w:jc w:val="center"/>
                    <w:rPr>
                      <w:b/>
                      <w:color w:val="auto"/>
                      <w:kern w:val="0"/>
                      <w:szCs w:val="21"/>
                    </w:rPr>
                  </w:pPr>
                  <w:r>
                    <w:rPr>
                      <w:b/>
                      <w:color w:val="auto"/>
                      <w:kern w:val="0"/>
                      <w:szCs w:val="21"/>
                    </w:rPr>
                    <w:t>排放时间h/a</w:t>
                  </w:r>
                </w:p>
              </w:tc>
              <w:tc>
                <w:tcPr>
                  <w:tcW w:w="409" w:type="pct"/>
                  <w:vMerge w:val="restart"/>
                  <w:vAlign w:val="center"/>
                </w:tcPr>
                <w:p w14:paraId="4A9C754A">
                  <w:pPr>
                    <w:jc w:val="center"/>
                    <w:rPr>
                      <w:b/>
                      <w:color w:val="auto"/>
                      <w:kern w:val="0"/>
                      <w:szCs w:val="21"/>
                    </w:rPr>
                  </w:pPr>
                  <w:r>
                    <w:rPr>
                      <w:b/>
                      <w:color w:val="auto"/>
                      <w:kern w:val="0"/>
                      <w:szCs w:val="21"/>
                    </w:rPr>
                    <w:t>接管</w:t>
                  </w:r>
                  <w:r>
                    <w:rPr>
                      <w:rFonts w:hint="eastAsia"/>
                      <w:b/>
                      <w:color w:val="auto"/>
                      <w:kern w:val="0"/>
                      <w:szCs w:val="21"/>
                      <w:lang w:eastAsia="zh-CN"/>
                    </w:rPr>
                    <w:t>污水处理厂</w:t>
                  </w:r>
                </w:p>
              </w:tc>
            </w:tr>
            <w:tr w14:paraId="4A096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EA659CC">
                  <w:pPr>
                    <w:adjustRightInd w:val="0"/>
                    <w:snapToGrid w:val="0"/>
                    <w:jc w:val="center"/>
                    <w:rPr>
                      <w:color w:val="auto"/>
                      <w:szCs w:val="21"/>
                    </w:rPr>
                  </w:pPr>
                </w:p>
              </w:tc>
              <w:tc>
                <w:tcPr>
                  <w:tcW w:w="172" w:type="pct"/>
                  <w:vMerge w:val="continue"/>
                  <w:vAlign w:val="center"/>
                </w:tcPr>
                <w:p w14:paraId="185EA729">
                  <w:pPr>
                    <w:adjustRightInd w:val="0"/>
                    <w:snapToGrid w:val="0"/>
                    <w:jc w:val="center"/>
                    <w:rPr>
                      <w:color w:val="auto"/>
                      <w:szCs w:val="21"/>
                    </w:rPr>
                  </w:pPr>
                </w:p>
              </w:tc>
              <w:tc>
                <w:tcPr>
                  <w:tcW w:w="278" w:type="pct"/>
                  <w:vMerge w:val="continue"/>
                  <w:vAlign w:val="center"/>
                </w:tcPr>
                <w:p w14:paraId="5EEA9686">
                  <w:pPr>
                    <w:jc w:val="center"/>
                    <w:rPr>
                      <w:color w:val="auto"/>
                      <w:kern w:val="0"/>
                      <w:szCs w:val="21"/>
                    </w:rPr>
                  </w:pPr>
                </w:p>
              </w:tc>
              <w:tc>
                <w:tcPr>
                  <w:tcW w:w="307" w:type="pct"/>
                  <w:vAlign w:val="center"/>
                </w:tcPr>
                <w:p w14:paraId="42747C9D">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09" w:type="pct"/>
                  <w:vAlign w:val="center"/>
                </w:tcPr>
                <w:p w14:paraId="2F2B277B">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54" w:type="pct"/>
                  <w:vAlign w:val="center"/>
                </w:tcPr>
                <w:p w14:paraId="710F4584">
                  <w:pPr>
                    <w:jc w:val="center"/>
                    <w:rPr>
                      <w:b/>
                      <w:color w:val="auto"/>
                      <w:kern w:val="0"/>
                      <w:szCs w:val="21"/>
                    </w:rPr>
                  </w:pPr>
                  <w:r>
                    <w:rPr>
                      <w:b/>
                      <w:color w:val="auto"/>
                      <w:kern w:val="0"/>
                      <w:szCs w:val="21"/>
                    </w:rPr>
                    <w:t>产生量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91" w:type="pct"/>
                  <w:vAlign w:val="center"/>
                </w:tcPr>
                <w:p w14:paraId="6C459CEC">
                  <w:pPr>
                    <w:jc w:val="center"/>
                    <w:rPr>
                      <w:b/>
                      <w:color w:val="auto"/>
                      <w:kern w:val="0"/>
                      <w:szCs w:val="21"/>
                    </w:rPr>
                  </w:pPr>
                  <w:r>
                    <w:rPr>
                      <w:b/>
                      <w:color w:val="auto"/>
                      <w:kern w:val="0"/>
                      <w:szCs w:val="21"/>
                    </w:rPr>
                    <w:t>工艺</w:t>
                  </w:r>
                </w:p>
              </w:tc>
              <w:tc>
                <w:tcPr>
                  <w:tcW w:w="204" w:type="pct"/>
                  <w:vAlign w:val="center"/>
                </w:tcPr>
                <w:p w14:paraId="5E647DF7">
                  <w:pPr>
                    <w:jc w:val="center"/>
                    <w:rPr>
                      <w:b/>
                      <w:color w:val="auto"/>
                      <w:kern w:val="0"/>
                      <w:szCs w:val="21"/>
                    </w:rPr>
                  </w:pPr>
                  <w:r>
                    <w:rPr>
                      <w:b/>
                      <w:color w:val="auto"/>
                      <w:kern w:val="0"/>
                      <w:szCs w:val="21"/>
                    </w:rPr>
                    <w:t>效率%</w:t>
                  </w:r>
                </w:p>
              </w:tc>
              <w:tc>
                <w:tcPr>
                  <w:tcW w:w="174" w:type="pct"/>
                  <w:vAlign w:val="center"/>
                </w:tcPr>
                <w:p w14:paraId="5818A812">
                  <w:pPr>
                    <w:jc w:val="center"/>
                    <w:rPr>
                      <w:b/>
                      <w:color w:val="auto"/>
                      <w:kern w:val="0"/>
                      <w:szCs w:val="21"/>
                    </w:rPr>
                  </w:pPr>
                  <w:r>
                    <w:rPr>
                      <w:b/>
                      <w:color w:val="auto"/>
                      <w:kern w:val="0"/>
                      <w:szCs w:val="21"/>
                    </w:rPr>
                    <w:t>是否可行</w:t>
                  </w:r>
                </w:p>
              </w:tc>
              <w:tc>
                <w:tcPr>
                  <w:tcW w:w="307" w:type="pct"/>
                  <w:vAlign w:val="center"/>
                </w:tcPr>
                <w:p w14:paraId="2774A56E">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28" w:type="pct"/>
                  <w:vAlign w:val="center"/>
                </w:tcPr>
                <w:p w14:paraId="730D202C">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81" w:type="pct"/>
                  <w:vAlign w:val="center"/>
                </w:tcPr>
                <w:p w14:paraId="1D1EB43F">
                  <w:pPr>
                    <w:jc w:val="center"/>
                    <w:rPr>
                      <w:b/>
                      <w:color w:val="auto"/>
                      <w:kern w:val="0"/>
                      <w:szCs w:val="21"/>
                    </w:rPr>
                  </w:pPr>
                  <w:r>
                    <w:rPr>
                      <w:b/>
                      <w:color w:val="auto"/>
                      <w:kern w:val="0"/>
                      <w:szCs w:val="21"/>
                    </w:rPr>
                    <w:t>接管量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65" w:type="pct"/>
                  <w:vAlign w:val="center"/>
                </w:tcPr>
                <w:p w14:paraId="093E473B">
                  <w:pPr>
                    <w:jc w:val="center"/>
                    <w:rPr>
                      <w:b/>
                      <w:color w:val="auto"/>
                      <w:kern w:val="0"/>
                      <w:szCs w:val="21"/>
                    </w:rPr>
                  </w:pPr>
                  <w:r>
                    <w:rPr>
                      <w:b/>
                      <w:color w:val="auto"/>
                      <w:kern w:val="0"/>
                      <w:szCs w:val="21"/>
                    </w:rPr>
                    <w:t>接管标准</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272" w:type="pct"/>
                  <w:vMerge w:val="continue"/>
                  <w:vAlign w:val="center"/>
                </w:tcPr>
                <w:p w14:paraId="55C29A00">
                  <w:pPr>
                    <w:jc w:val="center"/>
                    <w:rPr>
                      <w:color w:val="auto"/>
                      <w:kern w:val="0"/>
                      <w:szCs w:val="21"/>
                    </w:rPr>
                  </w:pPr>
                </w:p>
              </w:tc>
              <w:tc>
                <w:tcPr>
                  <w:tcW w:w="409" w:type="pct"/>
                  <w:vMerge w:val="continue"/>
                  <w:vAlign w:val="center"/>
                </w:tcPr>
                <w:p w14:paraId="43B0AF6A">
                  <w:pPr>
                    <w:jc w:val="center"/>
                    <w:rPr>
                      <w:color w:val="auto"/>
                      <w:kern w:val="0"/>
                      <w:szCs w:val="21"/>
                    </w:rPr>
                  </w:pPr>
                </w:p>
              </w:tc>
            </w:tr>
            <w:tr w14:paraId="64D73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3E29939B">
                  <w:pPr>
                    <w:adjustRightInd w:val="0"/>
                    <w:snapToGrid w:val="0"/>
                    <w:jc w:val="center"/>
                    <w:rPr>
                      <w:color w:val="auto"/>
                      <w:szCs w:val="21"/>
                    </w:rPr>
                  </w:pPr>
                  <w:r>
                    <w:rPr>
                      <w:color w:val="auto"/>
                      <w:szCs w:val="21"/>
                    </w:rPr>
                    <w:t>金属组件工艺水洗+脱脂+水洗+防锈+陶化+水洗生产线用水</w:t>
                  </w:r>
                </w:p>
              </w:tc>
              <w:tc>
                <w:tcPr>
                  <w:tcW w:w="172" w:type="pct"/>
                  <w:vMerge w:val="restart"/>
                  <w:vAlign w:val="center"/>
                </w:tcPr>
                <w:p w14:paraId="0AF4C00A">
                  <w:pPr>
                    <w:adjustRightInd w:val="0"/>
                    <w:snapToGrid w:val="0"/>
                    <w:jc w:val="center"/>
                    <w:rPr>
                      <w:color w:val="auto"/>
                      <w:szCs w:val="21"/>
                    </w:rPr>
                  </w:pPr>
                  <w:r>
                    <w:rPr>
                      <w:color w:val="auto"/>
                      <w:szCs w:val="21"/>
                    </w:rPr>
                    <w:t>生产废水</w:t>
                  </w:r>
                </w:p>
              </w:tc>
              <w:tc>
                <w:tcPr>
                  <w:tcW w:w="278" w:type="pct"/>
                  <w:shd w:val="clear" w:color="auto" w:fill="auto"/>
                  <w:vAlign w:val="center"/>
                </w:tcPr>
                <w:p w14:paraId="7917D3AA">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50D06C1A">
                  <w:pPr>
                    <w:jc w:val="center"/>
                    <w:rPr>
                      <w:color w:val="auto"/>
                      <w:kern w:val="0"/>
                      <w:szCs w:val="21"/>
                    </w:rPr>
                  </w:pPr>
                  <w:r>
                    <w:rPr>
                      <w:color w:val="auto"/>
                      <w:kern w:val="0"/>
                      <w:szCs w:val="21"/>
                    </w:rPr>
                    <w:t>6345</w:t>
                  </w:r>
                </w:p>
              </w:tc>
              <w:tc>
                <w:tcPr>
                  <w:tcW w:w="309" w:type="pct"/>
                  <w:vAlign w:val="center"/>
                </w:tcPr>
                <w:p w14:paraId="7D7B2EDA">
                  <w:pPr>
                    <w:widowControl/>
                    <w:adjustRightInd w:val="0"/>
                    <w:snapToGrid w:val="0"/>
                    <w:spacing w:line="240" w:lineRule="atLeast"/>
                    <w:jc w:val="center"/>
                    <w:textAlignment w:val="center"/>
                    <w:rPr>
                      <w:color w:val="auto"/>
                      <w:kern w:val="0"/>
                      <w:szCs w:val="21"/>
                    </w:rPr>
                  </w:pPr>
                  <w:r>
                    <w:rPr>
                      <w:color w:val="auto"/>
                      <w:szCs w:val="21"/>
                    </w:rPr>
                    <w:t>6~9</w:t>
                  </w:r>
                </w:p>
              </w:tc>
              <w:tc>
                <w:tcPr>
                  <w:tcW w:w="354" w:type="pct"/>
                  <w:vAlign w:val="center"/>
                </w:tcPr>
                <w:p w14:paraId="5CF92742">
                  <w:pPr>
                    <w:widowControl/>
                    <w:adjustRightInd w:val="0"/>
                    <w:snapToGrid w:val="0"/>
                    <w:spacing w:line="240" w:lineRule="atLeast"/>
                    <w:jc w:val="center"/>
                    <w:textAlignment w:val="center"/>
                    <w:rPr>
                      <w:color w:val="auto"/>
                      <w:kern w:val="0"/>
                      <w:szCs w:val="21"/>
                    </w:rPr>
                  </w:pPr>
                  <w:r>
                    <w:rPr>
                      <w:color w:val="auto"/>
                      <w:szCs w:val="21"/>
                    </w:rPr>
                    <w:t>/</w:t>
                  </w:r>
                </w:p>
              </w:tc>
              <w:tc>
                <w:tcPr>
                  <w:tcW w:w="391" w:type="pct"/>
                  <w:vMerge w:val="restart"/>
                  <w:vAlign w:val="center"/>
                </w:tcPr>
                <w:p w14:paraId="54AB5EF6">
                  <w:pPr>
                    <w:jc w:val="center"/>
                    <w:rPr>
                      <w:color w:val="auto"/>
                      <w:kern w:val="0"/>
                      <w:szCs w:val="21"/>
                    </w:rPr>
                  </w:pPr>
                  <w:r>
                    <w:rPr>
                      <w:rFonts w:hint="eastAsia"/>
                      <w:color w:val="auto"/>
                      <w:kern w:val="0"/>
                      <w:szCs w:val="21"/>
                    </w:rPr>
                    <w:t>调节（调水质和PH）+混凝沉淀+斜管沉淀</w:t>
                  </w:r>
                </w:p>
              </w:tc>
              <w:tc>
                <w:tcPr>
                  <w:tcW w:w="204" w:type="pct"/>
                  <w:vAlign w:val="center"/>
                </w:tcPr>
                <w:p w14:paraId="357C8CB0">
                  <w:pPr>
                    <w:jc w:val="center"/>
                    <w:rPr>
                      <w:color w:val="auto"/>
                      <w:kern w:val="0"/>
                      <w:szCs w:val="21"/>
                    </w:rPr>
                  </w:pPr>
                  <w:r>
                    <w:rPr>
                      <w:color w:val="auto"/>
                      <w:kern w:val="0"/>
                      <w:szCs w:val="21"/>
                    </w:rPr>
                    <w:t>/</w:t>
                  </w:r>
                </w:p>
              </w:tc>
              <w:tc>
                <w:tcPr>
                  <w:tcW w:w="174" w:type="pct"/>
                  <w:vMerge w:val="restart"/>
                  <w:vAlign w:val="center"/>
                </w:tcPr>
                <w:p w14:paraId="1F78B5BD">
                  <w:pPr>
                    <w:jc w:val="center"/>
                    <w:rPr>
                      <w:color w:val="auto"/>
                      <w:kern w:val="0"/>
                      <w:szCs w:val="21"/>
                    </w:rPr>
                  </w:pPr>
                  <w:r>
                    <w:rPr>
                      <w:color w:val="auto"/>
                      <w:kern w:val="0"/>
                      <w:szCs w:val="21"/>
                    </w:rPr>
                    <w:t>是</w:t>
                  </w:r>
                </w:p>
              </w:tc>
              <w:tc>
                <w:tcPr>
                  <w:tcW w:w="307" w:type="pct"/>
                  <w:vMerge w:val="restart"/>
                  <w:vAlign w:val="center"/>
                </w:tcPr>
                <w:p w14:paraId="23DAC0CA">
                  <w:pPr>
                    <w:jc w:val="center"/>
                    <w:rPr>
                      <w:color w:val="auto"/>
                      <w:kern w:val="0"/>
                      <w:szCs w:val="21"/>
                    </w:rPr>
                  </w:pPr>
                  <w:r>
                    <w:rPr>
                      <w:color w:val="auto"/>
                      <w:kern w:val="0"/>
                      <w:szCs w:val="21"/>
                    </w:rPr>
                    <w:t>6345</w:t>
                  </w:r>
                </w:p>
              </w:tc>
              <w:tc>
                <w:tcPr>
                  <w:tcW w:w="328" w:type="pct"/>
                  <w:vAlign w:val="center"/>
                </w:tcPr>
                <w:p w14:paraId="4D20FE5D">
                  <w:pPr>
                    <w:jc w:val="center"/>
                    <w:rPr>
                      <w:color w:val="auto"/>
                      <w:kern w:val="0"/>
                      <w:szCs w:val="21"/>
                    </w:rPr>
                  </w:pPr>
                  <w:r>
                    <w:rPr>
                      <w:color w:val="auto"/>
                      <w:szCs w:val="21"/>
                    </w:rPr>
                    <w:t>/</w:t>
                  </w:r>
                </w:p>
              </w:tc>
              <w:tc>
                <w:tcPr>
                  <w:tcW w:w="381" w:type="pct"/>
                  <w:vAlign w:val="center"/>
                </w:tcPr>
                <w:p w14:paraId="28CC0212">
                  <w:pPr>
                    <w:jc w:val="center"/>
                    <w:rPr>
                      <w:color w:val="auto"/>
                      <w:kern w:val="0"/>
                      <w:szCs w:val="21"/>
                    </w:rPr>
                  </w:pPr>
                  <w:r>
                    <w:rPr>
                      <w:color w:val="auto"/>
                      <w:szCs w:val="21"/>
                    </w:rPr>
                    <w:t>/</w:t>
                  </w:r>
                </w:p>
              </w:tc>
              <w:tc>
                <w:tcPr>
                  <w:tcW w:w="365" w:type="pct"/>
                  <w:vAlign w:val="center"/>
                </w:tcPr>
                <w:p w14:paraId="431A27B5">
                  <w:pPr>
                    <w:jc w:val="center"/>
                    <w:rPr>
                      <w:color w:val="auto"/>
                      <w:kern w:val="0"/>
                      <w:szCs w:val="21"/>
                    </w:rPr>
                  </w:pPr>
                  <w:r>
                    <w:rPr>
                      <w:color w:val="auto"/>
                      <w:szCs w:val="21"/>
                    </w:rPr>
                    <w:t>6-9</w:t>
                  </w:r>
                </w:p>
              </w:tc>
              <w:tc>
                <w:tcPr>
                  <w:tcW w:w="272" w:type="pct"/>
                  <w:vMerge w:val="restart"/>
                  <w:vAlign w:val="center"/>
                </w:tcPr>
                <w:p w14:paraId="40E428EB">
                  <w:pPr>
                    <w:jc w:val="center"/>
                    <w:rPr>
                      <w:color w:val="auto"/>
                      <w:kern w:val="0"/>
                      <w:szCs w:val="21"/>
                    </w:rPr>
                  </w:pPr>
                  <w:r>
                    <w:rPr>
                      <w:color w:val="auto"/>
                      <w:kern w:val="0"/>
                      <w:szCs w:val="21"/>
                    </w:rPr>
                    <w:t>3600</w:t>
                  </w:r>
                </w:p>
              </w:tc>
              <w:tc>
                <w:tcPr>
                  <w:tcW w:w="409" w:type="pct"/>
                  <w:vMerge w:val="restart"/>
                  <w:vAlign w:val="center"/>
                </w:tcPr>
                <w:p w14:paraId="55FB0B3B">
                  <w:pPr>
                    <w:jc w:val="center"/>
                    <w:rPr>
                      <w:color w:val="auto"/>
                      <w:kern w:val="0"/>
                      <w:szCs w:val="21"/>
                    </w:rPr>
                  </w:pPr>
                  <w:r>
                    <w:rPr>
                      <w:color w:val="auto"/>
                      <w:kern w:val="0"/>
                      <w:szCs w:val="21"/>
                    </w:rPr>
                    <w:t>涟水县空港产业园污水处理厂</w:t>
                  </w:r>
                </w:p>
              </w:tc>
            </w:tr>
            <w:tr w14:paraId="1AA6B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29706862">
                  <w:pPr>
                    <w:adjustRightInd w:val="0"/>
                    <w:snapToGrid w:val="0"/>
                    <w:jc w:val="center"/>
                    <w:rPr>
                      <w:color w:val="auto"/>
                      <w:szCs w:val="21"/>
                    </w:rPr>
                  </w:pPr>
                </w:p>
              </w:tc>
              <w:tc>
                <w:tcPr>
                  <w:tcW w:w="172" w:type="pct"/>
                  <w:vMerge w:val="continue"/>
                  <w:vAlign w:val="center"/>
                </w:tcPr>
                <w:p w14:paraId="7BDD2BB5">
                  <w:pPr>
                    <w:adjustRightInd w:val="0"/>
                    <w:snapToGrid w:val="0"/>
                    <w:jc w:val="center"/>
                    <w:rPr>
                      <w:color w:val="auto"/>
                      <w:szCs w:val="21"/>
                    </w:rPr>
                  </w:pPr>
                </w:p>
              </w:tc>
              <w:tc>
                <w:tcPr>
                  <w:tcW w:w="278" w:type="pct"/>
                  <w:shd w:val="clear" w:color="auto" w:fill="auto"/>
                  <w:vAlign w:val="center"/>
                </w:tcPr>
                <w:p w14:paraId="09D1B352">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2A026DEF">
                  <w:pPr>
                    <w:jc w:val="center"/>
                    <w:rPr>
                      <w:color w:val="auto"/>
                      <w:kern w:val="0"/>
                      <w:szCs w:val="21"/>
                    </w:rPr>
                  </w:pPr>
                </w:p>
              </w:tc>
              <w:tc>
                <w:tcPr>
                  <w:tcW w:w="309" w:type="pct"/>
                  <w:vAlign w:val="center"/>
                </w:tcPr>
                <w:p w14:paraId="7F57DCBE">
                  <w:pPr>
                    <w:jc w:val="center"/>
                    <w:rPr>
                      <w:color w:val="auto"/>
                      <w:kern w:val="0"/>
                      <w:szCs w:val="21"/>
                    </w:rPr>
                  </w:pPr>
                  <w:r>
                    <w:rPr>
                      <w:color w:val="auto"/>
                      <w:kern w:val="0"/>
                      <w:szCs w:val="21"/>
                    </w:rPr>
                    <w:t>500</w:t>
                  </w:r>
                </w:p>
              </w:tc>
              <w:tc>
                <w:tcPr>
                  <w:tcW w:w="354" w:type="pct"/>
                  <w:vAlign w:val="center"/>
                </w:tcPr>
                <w:p w14:paraId="74D8D42D">
                  <w:pPr>
                    <w:widowControl/>
                    <w:jc w:val="center"/>
                    <w:textAlignment w:val="center"/>
                    <w:rPr>
                      <w:color w:val="auto"/>
                      <w:kern w:val="0"/>
                      <w:szCs w:val="21"/>
                    </w:rPr>
                  </w:pPr>
                  <w:r>
                    <w:rPr>
                      <w:color w:val="auto"/>
                      <w:kern w:val="0"/>
                      <w:szCs w:val="21"/>
                      <w:lang w:bidi="ar"/>
                    </w:rPr>
                    <w:t>3.1725</w:t>
                  </w:r>
                </w:p>
              </w:tc>
              <w:tc>
                <w:tcPr>
                  <w:tcW w:w="391" w:type="pct"/>
                  <w:vMerge w:val="continue"/>
                  <w:vAlign w:val="center"/>
                </w:tcPr>
                <w:p w14:paraId="33D475CF">
                  <w:pPr>
                    <w:jc w:val="center"/>
                    <w:rPr>
                      <w:color w:val="auto"/>
                      <w:kern w:val="0"/>
                      <w:szCs w:val="21"/>
                    </w:rPr>
                  </w:pPr>
                </w:p>
              </w:tc>
              <w:tc>
                <w:tcPr>
                  <w:tcW w:w="508" w:type="dxa"/>
                  <w:vAlign w:val="center"/>
                </w:tcPr>
                <w:p w14:paraId="4FDE4D85">
                  <w:pPr>
                    <w:widowControl/>
                    <w:jc w:val="center"/>
                    <w:textAlignment w:val="center"/>
                    <w:rPr>
                      <w:color w:val="auto"/>
                      <w:kern w:val="0"/>
                      <w:szCs w:val="21"/>
                    </w:rPr>
                  </w:pPr>
                  <w:r>
                    <w:rPr>
                      <w:color w:val="auto"/>
                      <w:kern w:val="0"/>
                      <w:szCs w:val="21"/>
                      <w:lang w:bidi="ar"/>
                    </w:rPr>
                    <w:t>55</w:t>
                  </w:r>
                </w:p>
              </w:tc>
              <w:tc>
                <w:tcPr>
                  <w:tcW w:w="174" w:type="pct"/>
                  <w:vMerge w:val="continue"/>
                  <w:vAlign w:val="center"/>
                </w:tcPr>
                <w:p w14:paraId="6679B7FD">
                  <w:pPr>
                    <w:jc w:val="center"/>
                    <w:rPr>
                      <w:color w:val="auto"/>
                      <w:kern w:val="0"/>
                      <w:szCs w:val="21"/>
                    </w:rPr>
                  </w:pPr>
                </w:p>
              </w:tc>
              <w:tc>
                <w:tcPr>
                  <w:tcW w:w="307" w:type="pct"/>
                  <w:vMerge w:val="continue"/>
                  <w:vAlign w:val="center"/>
                </w:tcPr>
                <w:p w14:paraId="1DCEFA55">
                  <w:pPr>
                    <w:jc w:val="center"/>
                    <w:rPr>
                      <w:color w:val="auto"/>
                      <w:kern w:val="0"/>
                      <w:szCs w:val="21"/>
                    </w:rPr>
                  </w:pPr>
                </w:p>
              </w:tc>
              <w:tc>
                <w:tcPr>
                  <w:tcW w:w="816" w:type="dxa"/>
                  <w:vAlign w:val="center"/>
                </w:tcPr>
                <w:p w14:paraId="34898785">
                  <w:pPr>
                    <w:widowControl/>
                    <w:jc w:val="center"/>
                    <w:textAlignment w:val="center"/>
                    <w:rPr>
                      <w:color w:val="auto"/>
                      <w:kern w:val="0"/>
                      <w:szCs w:val="21"/>
                    </w:rPr>
                  </w:pPr>
                  <w:r>
                    <w:rPr>
                      <w:color w:val="auto"/>
                      <w:kern w:val="0"/>
                      <w:szCs w:val="21"/>
                      <w:lang w:bidi="ar"/>
                    </w:rPr>
                    <w:t>225</w:t>
                  </w:r>
                </w:p>
              </w:tc>
              <w:tc>
                <w:tcPr>
                  <w:tcW w:w="948" w:type="dxa"/>
                  <w:vAlign w:val="center"/>
                </w:tcPr>
                <w:p w14:paraId="4494F8AA">
                  <w:pPr>
                    <w:widowControl/>
                    <w:jc w:val="center"/>
                    <w:textAlignment w:val="center"/>
                    <w:rPr>
                      <w:color w:val="auto"/>
                      <w:kern w:val="0"/>
                      <w:szCs w:val="21"/>
                    </w:rPr>
                  </w:pPr>
                  <w:r>
                    <w:rPr>
                      <w:color w:val="auto"/>
                      <w:kern w:val="0"/>
                      <w:szCs w:val="21"/>
                      <w:lang w:bidi="ar"/>
                    </w:rPr>
                    <w:t>1.427625</w:t>
                  </w:r>
                </w:p>
              </w:tc>
              <w:tc>
                <w:tcPr>
                  <w:tcW w:w="365" w:type="pct"/>
                  <w:vAlign w:val="center"/>
                </w:tcPr>
                <w:p w14:paraId="7F92E847">
                  <w:pPr>
                    <w:jc w:val="center"/>
                    <w:rPr>
                      <w:color w:val="auto"/>
                      <w:kern w:val="0"/>
                      <w:szCs w:val="21"/>
                    </w:rPr>
                  </w:pPr>
                  <w:r>
                    <w:rPr>
                      <w:color w:val="auto"/>
                      <w:kern w:val="0"/>
                      <w:szCs w:val="21"/>
                    </w:rPr>
                    <w:t>300</w:t>
                  </w:r>
                </w:p>
              </w:tc>
              <w:tc>
                <w:tcPr>
                  <w:tcW w:w="272" w:type="pct"/>
                  <w:vMerge w:val="continue"/>
                  <w:vAlign w:val="center"/>
                </w:tcPr>
                <w:p w14:paraId="5FB5EB7A">
                  <w:pPr>
                    <w:jc w:val="center"/>
                    <w:rPr>
                      <w:color w:val="auto"/>
                      <w:kern w:val="0"/>
                      <w:szCs w:val="21"/>
                    </w:rPr>
                  </w:pPr>
                </w:p>
              </w:tc>
              <w:tc>
                <w:tcPr>
                  <w:tcW w:w="409" w:type="pct"/>
                  <w:vMerge w:val="continue"/>
                  <w:vAlign w:val="center"/>
                </w:tcPr>
                <w:p w14:paraId="28F84D73">
                  <w:pPr>
                    <w:jc w:val="center"/>
                    <w:rPr>
                      <w:color w:val="auto"/>
                      <w:kern w:val="0"/>
                      <w:szCs w:val="21"/>
                    </w:rPr>
                  </w:pPr>
                </w:p>
              </w:tc>
            </w:tr>
            <w:tr w14:paraId="36638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0F595978">
                  <w:pPr>
                    <w:adjustRightInd w:val="0"/>
                    <w:snapToGrid w:val="0"/>
                    <w:jc w:val="center"/>
                    <w:rPr>
                      <w:color w:val="auto"/>
                      <w:szCs w:val="21"/>
                    </w:rPr>
                  </w:pPr>
                </w:p>
              </w:tc>
              <w:tc>
                <w:tcPr>
                  <w:tcW w:w="172" w:type="pct"/>
                  <w:vMerge w:val="continue"/>
                  <w:vAlign w:val="center"/>
                </w:tcPr>
                <w:p w14:paraId="0CA48B57">
                  <w:pPr>
                    <w:adjustRightInd w:val="0"/>
                    <w:snapToGrid w:val="0"/>
                    <w:jc w:val="center"/>
                    <w:rPr>
                      <w:color w:val="auto"/>
                      <w:szCs w:val="21"/>
                    </w:rPr>
                  </w:pPr>
                </w:p>
              </w:tc>
              <w:tc>
                <w:tcPr>
                  <w:tcW w:w="278" w:type="pct"/>
                  <w:shd w:val="clear" w:color="auto" w:fill="auto"/>
                  <w:vAlign w:val="center"/>
                </w:tcPr>
                <w:p w14:paraId="48560A7F">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30A40B2E">
                  <w:pPr>
                    <w:jc w:val="center"/>
                    <w:rPr>
                      <w:color w:val="auto"/>
                      <w:kern w:val="0"/>
                      <w:szCs w:val="21"/>
                    </w:rPr>
                  </w:pPr>
                </w:p>
              </w:tc>
              <w:tc>
                <w:tcPr>
                  <w:tcW w:w="309" w:type="pct"/>
                  <w:vAlign w:val="center"/>
                </w:tcPr>
                <w:p w14:paraId="423A92F1">
                  <w:pPr>
                    <w:jc w:val="center"/>
                    <w:rPr>
                      <w:color w:val="auto"/>
                      <w:kern w:val="0"/>
                      <w:szCs w:val="21"/>
                    </w:rPr>
                  </w:pPr>
                  <w:r>
                    <w:rPr>
                      <w:color w:val="auto"/>
                      <w:kern w:val="0"/>
                      <w:szCs w:val="21"/>
                    </w:rPr>
                    <w:t>300</w:t>
                  </w:r>
                </w:p>
              </w:tc>
              <w:tc>
                <w:tcPr>
                  <w:tcW w:w="354" w:type="pct"/>
                  <w:vAlign w:val="center"/>
                </w:tcPr>
                <w:p w14:paraId="6D8F7AA3">
                  <w:pPr>
                    <w:widowControl/>
                    <w:jc w:val="center"/>
                    <w:textAlignment w:val="center"/>
                    <w:rPr>
                      <w:color w:val="auto"/>
                      <w:kern w:val="0"/>
                      <w:szCs w:val="21"/>
                    </w:rPr>
                  </w:pPr>
                  <w:r>
                    <w:rPr>
                      <w:color w:val="auto"/>
                      <w:kern w:val="0"/>
                      <w:szCs w:val="21"/>
                      <w:lang w:bidi="ar"/>
                    </w:rPr>
                    <w:t>1.9035</w:t>
                  </w:r>
                </w:p>
              </w:tc>
              <w:tc>
                <w:tcPr>
                  <w:tcW w:w="391" w:type="pct"/>
                  <w:vMerge w:val="continue"/>
                  <w:vAlign w:val="center"/>
                </w:tcPr>
                <w:p w14:paraId="17E31DA7">
                  <w:pPr>
                    <w:jc w:val="center"/>
                    <w:rPr>
                      <w:color w:val="auto"/>
                      <w:kern w:val="0"/>
                      <w:szCs w:val="21"/>
                    </w:rPr>
                  </w:pPr>
                </w:p>
              </w:tc>
              <w:tc>
                <w:tcPr>
                  <w:tcW w:w="508" w:type="dxa"/>
                  <w:vAlign w:val="center"/>
                </w:tcPr>
                <w:p w14:paraId="027DABEB">
                  <w:pPr>
                    <w:widowControl/>
                    <w:jc w:val="center"/>
                    <w:textAlignment w:val="center"/>
                    <w:rPr>
                      <w:color w:val="auto"/>
                      <w:kern w:val="0"/>
                      <w:szCs w:val="21"/>
                    </w:rPr>
                  </w:pPr>
                  <w:r>
                    <w:rPr>
                      <w:color w:val="auto"/>
                      <w:kern w:val="0"/>
                      <w:szCs w:val="21"/>
                      <w:lang w:bidi="ar"/>
                    </w:rPr>
                    <w:t>60</w:t>
                  </w:r>
                </w:p>
              </w:tc>
              <w:tc>
                <w:tcPr>
                  <w:tcW w:w="174" w:type="pct"/>
                  <w:vMerge w:val="continue"/>
                  <w:vAlign w:val="center"/>
                </w:tcPr>
                <w:p w14:paraId="605ADADE">
                  <w:pPr>
                    <w:jc w:val="center"/>
                    <w:rPr>
                      <w:color w:val="auto"/>
                      <w:kern w:val="0"/>
                      <w:szCs w:val="21"/>
                    </w:rPr>
                  </w:pPr>
                </w:p>
              </w:tc>
              <w:tc>
                <w:tcPr>
                  <w:tcW w:w="307" w:type="pct"/>
                  <w:vMerge w:val="continue"/>
                  <w:vAlign w:val="center"/>
                </w:tcPr>
                <w:p w14:paraId="6DB2EC24">
                  <w:pPr>
                    <w:jc w:val="center"/>
                    <w:rPr>
                      <w:color w:val="auto"/>
                      <w:kern w:val="0"/>
                      <w:szCs w:val="21"/>
                    </w:rPr>
                  </w:pPr>
                </w:p>
              </w:tc>
              <w:tc>
                <w:tcPr>
                  <w:tcW w:w="816" w:type="dxa"/>
                  <w:vAlign w:val="center"/>
                </w:tcPr>
                <w:p w14:paraId="64041B48">
                  <w:pPr>
                    <w:widowControl/>
                    <w:jc w:val="center"/>
                    <w:textAlignment w:val="center"/>
                    <w:rPr>
                      <w:color w:val="auto"/>
                      <w:kern w:val="0"/>
                      <w:szCs w:val="21"/>
                    </w:rPr>
                  </w:pPr>
                  <w:r>
                    <w:rPr>
                      <w:color w:val="auto"/>
                      <w:kern w:val="0"/>
                      <w:szCs w:val="21"/>
                      <w:lang w:bidi="ar"/>
                    </w:rPr>
                    <w:t>120</w:t>
                  </w:r>
                </w:p>
              </w:tc>
              <w:tc>
                <w:tcPr>
                  <w:tcW w:w="948" w:type="dxa"/>
                  <w:vAlign w:val="center"/>
                </w:tcPr>
                <w:p w14:paraId="0EA337CB">
                  <w:pPr>
                    <w:widowControl/>
                    <w:jc w:val="center"/>
                    <w:textAlignment w:val="center"/>
                    <w:rPr>
                      <w:color w:val="auto"/>
                      <w:kern w:val="0"/>
                      <w:szCs w:val="21"/>
                    </w:rPr>
                  </w:pPr>
                  <w:r>
                    <w:rPr>
                      <w:color w:val="auto"/>
                      <w:kern w:val="0"/>
                      <w:szCs w:val="21"/>
                      <w:lang w:bidi="ar"/>
                    </w:rPr>
                    <w:t>0.7614</w:t>
                  </w:r>
                </w:p>
              </w:tc>
              <w:tc>
                <w:tcPr>
                  <w:tcW w:w="365" w:type="pct"/>
                  <w:vAlign w:val="center"/>
                </w:tcPr>
                <w:p w14:paraId="499F88EB">
                  <w:pPr>
                    <w:jc w:val="center"/>
                    <w:rPr>
                      <w:color w:val="auto"/>
                      <w:kern w:val="0"/>
                      <w:szCs w:val="21"/>
                    </w:rPr>
                  </w:pPr>
                  <w:r>
                    <w:rPr>
                      <w:color w:val="auto"/>
                      <w:kern w:val="0"/>
                      <w:szCs w:val="21"/>
                    </w:rPr>
                    <w:t>200</w:t>
                  </w:r>
                </w:p>
              </w:tc>
              <w:tc>
                <w:tcPr>
                  <w:tcW w:w="272" w:type="pct"/>
                  <w:vMerge w:val="continue"/>
                  <w:vAlign w:val="center"/>
                </w:tcPr>
                <w:p w14:paraId="7F14F289">
                  <w:pPr>
                    <w:jc w:val="center"/>
                    <w:rPr>
                      <w:color w:val="auto"/>
                      <w:kern w:val="0"/>
                      <w:szCs w:val="21"/>
                    </w:rPr>
                  </w:pPr>
                </w:p>
              </w:tc>
              <w:tc>
                <w:tcPr>
                  <w:tcW w:w="409" w:type="pct"/>
                  <w:vMerge w:val="continue"/>
                  <w:vAlign w:val="center"/>
                </w:tcPr>
                <w:p w14:paraId="354FFF5A">
                  <w:pPr>
                    <w:jc w:val="center"/>
                    <w:rPr>
                      <w:color w:val="auto"/>
                      <w:kern w:val="0"/>
                      <w:szCs w:val="21"/>
                    </w:rPr>
                  </w:pPr>
                </w:p>
              </w:tc>
            </w:tr>
            <w:tr w14:paraId="22A62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4C76CAFD">
                  <w:pPr>
                    <w:adjustRightInd w:val="0"/>
                    <w:snapToGrid w:val="0"/>
                    <w:jc w:val="center"/>
                    <w:rPr>
                      <w:color w:val="auto"/>
                      <w:szCs w:val="21"/>
                    </w:rPr>
                  </w:pPr>
                </w:p>
              </w:tc>
              <w:tc>
                <w:tcPr>
                  <w:tcW w:w="172" w:type="pct"/>
                  <w:vMerge w:val="continue"/>
                  <w:vAlign w:val="center"/>
                </w:tcPr>
                <w:p w14:paraId="34F68948">
                  <w:pPr>
                    <w:adjustRightInd w:val="0"/>
                    <w:snapToGrid w:val="0"/>
                    <w:jc w:val="center"/>
                    <w:rPr>
                      <w:color w:val="auto"/>
                      <w:szCs w:val="21"/>
                    </w:rPr>
                  </w:pPr>
                </w:p>
              </w:tc>
              <w:tc>
                <w:tcPr>
                  <w:tcW w:w="278" w:type="pct"/>
                  <w:shd w:val="clear" w:color="auto" w:fill="auto"/>
                  <w:vAlign w:val="center"/>
                </w:tcPr>
                <w:p w14:paraId="72542F69">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2397EF08">
                  <w:pPr>
                    <w:jc w:val="center"/>
                    <w:rPr>
                      <w:color w:val="auto"/>
                      <w:kern w:val="0"/>
                      <w:szCs w:val="21"/>
                    </w:rPr>
                  </w:pPr>
                </w:p>
              </w:tc>
              <w:tc>
                <w:tcPr>
                  <w:tcW w:w="309" w:type="pct"/>
                  <w:vAlign w:val="center"/>
                </w:tcPr>
                <w:p w14:paraId="598B0A26">
                  <w:pPr>
                    <w:jc w:val="center"/>
                    <w:rPr>
                      <w:color w:val="auto"/>
                      <w:kern w:val="0"/>
                      <w:szCs w:val="21"/>
                    </w:rPr>
                  </w:pPr>
                  <w:r>
                    <w:rPr>
                      <w:rFonts w:hint="eastAsia"/>
                      <w:color w:val="auto"/>
                      <w:kern w:val="0"/>
                      <w:szCs w:val="21"/>
                    </w:rPr>
                    <w:t>30</w:t>
                  </w:r>
                </w:p>
              </w:tc>
              <w:tc>
                <w:tcPr>
                  <w:tcW w:w="354" w:type="pct"/>
                  <w:vAlign w:val="center"/>
                </w:tcPr>
                <w:p w14:paraId="760B6CC4">
                  <w:pPr>
                    <w:widowControl/>
                    <w:jc w:val="center"/>
                    <w:textAlignment w:val="center"/>
                    <w:rPr>
                      <w:color w:val="auto"/>
                      <w:kern w:val="0"/>
                      <w:szCs w:val="21"/>
                      <w:lang w:bidi="ar"/>
                    </w:rPr>
                  </w:pPr>
                  <w:r>
                    <w:rPr>
                      <w:rFonts w:hint="eastAsia"/>
                      <w:color w:val="auto"/>
                      <w:kern w:val="0"/>
                      <w:szCs w:val="21"/>
                      <w:lang w:bidi="ar"/>
                    </w:rPr>
                    <w:t>0.2538</w:t>
                  </w:r>
                </w:p>
              </w:tc>
              <w:tc>
                <w:tcPr>
                  <w:tcW w:w="391" w:type="pct"/>
                  <w:vMerge w:val="continue"/>
                  <w:vAlign w:val="center"/>
                </w:tcPr>
                <w:p w14:paraId="61DD5FA4">
                  <w:pPr>
                    <w:jc w:val="center"/>
                    <w:rPr>
                      <w:color w:val="auto"/>
                      <w:kern w:val="0"/>
                      <w:szCs w:val="21"/>
                    </w:rPr>
                  </w:pPr>
                </w:p>
              </w:tc>
              <w:tc>
                <w:tcPr>
                  <w:tcW w:w="508" w:type="dxa"/>
                  <w:vAlign w:val="center"/>
                </w:tcPr>
                <w:p w14:paraId="1CFAB964">
                  <w:pPr>
                    <w:widowControl/>
                    <w:jc w:val="center"/>
                    <w:textAlignment w:val="center"/>
                    <w:rPr>
                      <w:color w:val="auto"/>
                      <w:kern w:val="0"/>
                      <w:szCs w:val="21"/>
                      <w:lang w:bidi="ar"/>
                    </w:rPr>
                  </w:pPr>
                  <w:r>
                    <w:rPr>
                      <w:rFonts w:hint="eastAsia"/>
                      <w:color w:val="auto"/>
                      <w:kern w:val="0"/>
                      <w:szCs w:val="21"/>
                      <w:lang w:bidi="ar"/>
                    </w:rPr>
                    <w:t>13</w:t>
                  </w:r>
                </w:p>
              </w:tc>
              <w:tc>
                <w:tcPr>
                  <w:tcW w:w="174" w:type="pct"/>
                  <w:vMerge w:val="continue"/>
                  <w:vAlign w:val="center"/>
                </w:tcPr>
                <w:p w14:paraId="48B2FA52">
                  <w:pPr>
                    <w:jc w:val="center"/>
                    <w:rPr>
                      <w:color w:val="auto"/>
                      <w:kern w:val="0"/>
                      <w:szCs w:val="21"/>
                    </w:rPr>
                  </w:pPr>
                </w:p>
              </w:tc>
              <w:tc>
                <w:tcPr>
                  <w:tcW w:w="307" w:type="pct"/>
                  <w:vMerge w:val="continue"/>
                  <w:vAlign w:val="center"/>
                </w:tcPr>
                <w:p w14:paraId="2E04E499">
                  <w:pPr>
                    <w:jc w:val="center"/>
                    <w:rPr>
                      <w:color w:val="auto"/>
                      <w:kern w:val="0"/>
                      <w:szCs w:val="21"/>
                    </w:rPr>
                  </w:pPr>
                </w:p>
              </w:tc>
              <w:tc>
                <w:tcPr>
                  <w:tcW w:w="816" w:type="dxa"/>
                  <w:vAlign w:val="center"/>
                </w:tcPr>
                <w:p w14:paraId="02305E6D">
                  <w:pPr>
                    <w:widowControl/>
                    <w:jc w:val="center"/>
                    <w:textAlignment w:val="center"/>
                    <w:rPr>
                      <w:color w:val="auto"/>
                      <w:kern w:val="0"/>
                      <w:szCs w:val="21"/>
                      <w:lang w:bidi="ar"/>
                    </w:rPr>
                  </w:pPr>
                  <w:r>
                    <w:rPr>
                      <w:rFonts w:hint="eastAsia"/>
                      <w:color w:val="auto"/>
                      <w:kern w:val="0"/>
                      <w:szCs w:val="21"/>
                      <w:lang w:bidi="ar"/>
                    </w:rPr>
                    <w:t>26.1</w:t>
                  </w:r>
                </w:p>
              </w:tc>
              <w:tc>
                <w:tcPr>
                  <w:tcW w:w="948" w:type="dxa"/>
                  <w:vAlign w:val="center"/>
                </w:tcPr>
                <w:p w14:paraId="6C7261BD">
                  <w:pPr>
                    <w:widowControl/>
                    <w:jc w:val="center"/>
                    <w:textAlignment w:val="center"/>
                    <w:rPr>
                      <w:color w:val="auto"/>
                      <w:kern w:val="0"/>
                      <w:szCs w:val="21"/>
                      <w:lang w:bidi="ar"/>
                    </w:rPr>
                  </w:pPr>
                  <w:r>
                    <w:rPr>
                      <w:rFonts w:hint="eastAsia"/>
                      <w:color w:val="auto"/>
                      <w:kern w:val="0"/>
                      <w:szCs w:val="21"/>
                      <w:lang w:bidi="ar"/>
                    </w:rPr>
                    <w:t>0.1656</w:t>
                  </w:r>
                </w:p>
              </w:tc>
              <w:tc>
                <w:tcPr>
                  <w:tcW w:w="365" w:type="pct"/>
                  <w:vAlign w:val="center"/>
                </w:tcPr>
                <w:p w14:paraId="6E02DBB5">
                  <w:pPr>
                    <w:jc w:val="center"/>
                    <w:rPr>
                      <w:color w:val="auto"/>
                      <w:kern w:val="0"/>
                      <w:szCs w:val="21"/>
                    </w:rPr>
                  </w:pPr>
                  <w:r>
                    <w:rPr>
                      <w:rFonts w:hint="eastAsia"/>
                      <w:color w:val="auto"/>
                      <w:kern w:val="0"/>
                      <w:szCs w:val="21"/>
                    </w:rPr>
                    <w:t>35</w:t>
                  </w:r>
                </w:p>
              </w:tc>
              <w:tc>
                <w:tcPr>
                  <w:tcW w:w="272" w:type="pct"/>
                  <w:vMerge w:val="continue"/>
                  <w:vAlign w:val="center"/>
                </w:tcPr>
                <w:p w14:paraId="7BBB372D">
                  <w:pPr>
                    <w:jc w:val="center"/>
                    <w:rPr>
                      <w:color w:val="auto"/>
                      <w:kern w:val="0"/>
                      <w:szCs w:val="21"/>
                    </w:rPr>
                  </w:pPr>
                </w:p>
              </w:tc>
              <w:tc>
                <w:tcPr>
                  <w:tcW w:w="409" w:type="pct"/>
                  <w:vMerge w:val="continue"/>
                  <w:vAlign w:val="center"/>
                </w:tcPr>
                <w:p w14:paraId="07F95AFE">
                  <w:pPr>
                    <w:jc w:val="center"/>
                    <w:rPr>
                      <w:color w:val="auto"/>
                      <w:kern w:val="0"/>
                      <w:szCs w:val="21"/>
                    </w:rPr>
                  </w:pPr>
                </w:p>
              </w:tc>
            </w:tr>
            <w:tr w14:paraId="7B56E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8F83B16">
                  <w:pPr>
                    <w:adjustRightInd w:val="0"/>
                    <w:snapToGrid w:val="0"/>
                    <w:jc w:val="center"/>
                    <w:rPr>
                      <w:color w:val="auto"/>
                      <w:szCs w:val="21"/>
                    </w:rPr>
                  </w:pPr>
                </w:p>
              </w:tc>
              <w:tc>
                <w:tcPr>
                  <w:tcW w:w="172" w:type="pct"/>
                  <w:vMerge w:val="continue"/>
                  <w:vAlign w:val="center"/>
                </w:tcPr>
                <w:p w14:paraId="7F38044D">
                  <w:pPr>
                    <w:adjustRightInd w:val="0"/>
                    <w:snapToGrid w:val="0"/>
                    <w:jc w:val="center"/>
                    <w:rPr>
                      <w:color w:val="auto"/>
                      <w:szCs w:val="21"/>
                    </w:rPr>
                  </w:pPr>
                </w:p>
              </w:tc>
              <w:tc>
                <w:tcPr>
                  <w:tcW w:w="278" w:type="pct"/>
                  <w:shd w:val="clear" w:color="auto" w:fill="auto"/>
                  <w:vAlign w:val="center"/>
                </w:tcPr>
                <w:p w14:paraId="23B450AF">
                  <w:pPr>
                    <w:widowControl/>
                    <w:adjustRightInd w:val="0"/>
                    <w:snapToGrid w:val="0"/>
                    <w:spacing w:line="240" w:lineRule="atLeast"/>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731DEF5F">
                  <w:pPr>
                    <w:jc w:val="center"/>
                    <w:rPr>
                      <w:color w:val="auto"/>
                      <w:kern w:val="0"/>
                      <w:szCs w:val="21"/>
                    </w:rPr>
                  </w:pPr>
                </w:p>
              </w:tc>
              <w:tc>
                <w:tcPr>
                  <w:tcW w:w="309" w:type="pct"/>
                  <w:vAlign w:val="center"/>
                </w:tcPr>
                <w:p w14:paraId="19A2027C">
                  <w:pPr>
                    <w:jc w:val="center"/>
                    <w:rPr>
                      <w:color w:val="auto"/>
                      <w:kern w:val="0"/>
                      <w:szCs w:val="21"/>
                    </w:rPr>
                  </w:pPr>
                  <w:r>
                    <w:rPr>
                      <w:color w:val="auto"/>
                      <w:kern w:val="0"/>
                      <w:szCs w:val="21"/>
                    </w:rPr>
                    <w:t>5</w:t>
                  </w:r>
                </w:p>
              </w:tc>
              <w:tc>
                <w:tcPr>
                  <w:tcW w:w="354" w:type="pct"/>
                  <w:vAlign w:val="center"/>
                </w:tcPr>
                <w:p w14:paraId="1DA6A787">
                  <w:pPr>
                    <w:widowControl/>
                    <w:jc w:val="center"/>
                    <w:textAlignment w:val="center"/>
                    <w:rPr>
                      <w:color w:val="auto"/>
                      <w:kern w:val="0"/>
                      <w:szCs w:val="21"/>
                    </w:rPr>
                  </w:pPr>
                  <w:r>
                    <w:rPr>
                      <w:color w:val="auto"/>
                      <w:kern w:val="0"/>
                      <w:szCs w:val="21"/>
                      <w:lang w:bidi="ar"/>
                    </w:rPr>
                    <w:t>0.031725</w:t>
                  </w:r>
                </w:p>
              </w:tc>
              <w:tc>
                <w:tcPr>
                  <w:tcW w:w="391" w:type="pct"/>
                  <w:vMerge w:val="continue"/>
                  <w:vAlign w:val="center"/>
                </w:tcPr>
                <w:p w14:paraId="2BE2F2D4">
                  <w:pPr>
                    <w:jc w:val="center"/>
                    <w:rPr>
                      <w:color w:val="auto"/>
                      <w:kern w:val="0"/>
                      <w:szCs w:val="21"/>
                    </w:rPr>
                  </w:pPr>
                </w:p>
              </w:tc>
              <w:tc>
                <w:tcPr>
                  <w:tcW w:w="508" w:type="dxa"/>
                  <w:vAlign w:val="center"/>
                </w:tcPr>
                <w:p w14:paraId="49C3C0F7">
                  <w:pPr>
                    <w:widowControl/>
                    <w:jc w:val="center"/>
                    <w:textAlignment w:val="center"/>
                    <w:rPr>
                      <w:color w:val="auto"/>
                      <w:kern w:val="0"/>
                      <w:szCs w:val="21"/>
                    </w:rPr>
                  </w:pPr>
                  <w:r>
                    <w:rPr>
                      <w:color w:val="auto"/>
                      <w:kern w:val="0"/>
                      <w:szCs w:val="21"/>
                      <w:lang w:bidi="ar"/>
                    </w:rPr>
                    <w:t>70</w:t>
                  </w:r>
                </w:p>
              </w:tc>
              <w:tc>
                <w:tcPr>
                  <w:tcW w:w="174" w:type="pct"/>
                  <w:vMerge w:val="continue"/>
                  <w:vAlign w:val="center"/>
                </w:tcPr>
                <w:p w14:paraId="2646DA77">
                  <w:pPr>
                    <w:jc w:val="center"/>
                    <w:rPr>
                      <w:color w:val="auto"/>
                      <w:kern w:val="0"/>
                      <w:szCs w:val="21"/>
                    </w:rPr>
                  </w:pPr>
                </w:p>
              </w:tc>
              <w:tc>
                <w:tcPr>
                  <w:tcW w:w="307" w:type="pct"/>
                  <w:vMerge w:val="continue"/>
                  <w:vAlign w:val="center"/>
                </w:tcPr>
                <w:p w14:paraId="1898C644">
                  <w:pPr>
                    <w:jc w:val="center"/>
                    <w:rPr>
                      <w:color w:val="auto"/>
                      <w:kern w:val="0"/>
                      <w:szCs w:val="21"/>
                    </w:rPr>
                  </w:pPr>
                </w:p>
              </w:tc>
              <w:tc>
                <w:tcPr>
                  <w:tcW w:w="816" w:type="dxa"/>
                  <w:vAlign w:val="center"/>
                </w:tcPr>
                <w:p w14:paraId="0A9C1BC6">
                  <w:pPr>
                    <w:widowControl/>
                    <w:jc w:val="center"/>
                    <w:textAlignment w:val="center"/>
                    <w:rPr>
                      <w:color w:val="auto"/>
                      <w:kern w:val="0"/>
                      <w:szCs w:val="21"/>
                    </w:rPr>
                  </w:pPr>
                  <w:r>
                    <w:rPr>
                      <w:color w:val="auto"/>
                      <w:kern w:val="0"/>
                      <w:szCs w:val="21"/>
                      <w:lang w:bidi="ar"/>
                    </w:rPr>
                    <w:t>1.5</w:t>
                  </w:r>
                </w:p>
              </w:tc>
              <w:tc>
                <w:tcPr>
                  <w:tcW w:w="948" w:type="dxa"/>
                  <w:vAlign w:val="center"/>
                </w:tcPr>
                <w:p w14:paraId="62116C00">
                  <w:pPr>
                    <w:widowControl/>
                    <w:jc w:val="center"/>
                    <w:textAlignment w:val="center"/>
                    <w:rPr>
                      <w:color w:val="auto"/>
                      <w:kern w:val="0"/>
                      <w:szCs w:val="21"/>
                    </w:rPr>
                  </w:pPr>
                  <w:r>
                    <w:rPr>
                      <w:color w:val="auto"/>
                      <w:kern w:val="0"/>
                      <w:szCs w:val="21"/>
                      <w:lang w:bidi="ar"/>
                    </w:rPr>
                    <w:t>0.0095175</w:t>
                  </w:r>
                </w:p>
              </w:tc>
              <w:tc>
                <w:tcPr>
                  <w:tcW w:w="365" w:type="pct"/>
                  <w:vAlign w:val="center"/>
                </w:tcPr>
                <w:p w14:paraId="2CFC602F">
                  <w:pPr>
                    <w:jc w:val="center"/>
                    <w:rPr>
                      <w:color w:val="auto"/>
                      <w:kern w:val="0"/>
                      <w:szCs w:val="21"/>
                    </w:rPr>
                  </w:pPr>
                  <w:r>
                    <w:rPr>
                      <w:color w:val="auto"/>
                      <w:kern w:val="0"/>
                      <w:szCs w:val="21"/>
                    </w:rPr>
                    <w:t>4</w:t>
                  </w:r>
                </w:p>
              </w:tc>
              <w:tc>
                <w:tcPr>
                  <w:tcW w:w="272" w:type="pct"/>
                  <w:vMerge w:val="continue"/>
                  <w:vAlign w:val="center"/>
                </w:tcPr>
                <w:p w14:paraId="1DB681C7">
                  <w:pPr>
                    <w:jc w:val="center"/>
                    <w:rPr>
                      <w:color w:val="auto"/>
                      <w:kern w:val="0"/>
                      <w:szCs w:val="21"/>
                    </w:rPr>
                  </w:pPr>
                </w:p>
              </w:tc>
              <w:tc>
                <w:tcPr>
                  <w:tcW w:w="409" w:type="pct"/>
                  <w:vMerge w:val="continue"/>
                  <w:vAlign w:val="center"/>
                </w:tcPr>
                <w:p w14:paraId="108BA794">
                  <w:pPr>
                    <w:jc w:val="center"/>
                    <w:rPr>
                      <w:color w:val="auto"/>
                      <w:kern w:val="0"/>
                      <w:szCs w:val="21"/>
                    </w:rPr>
                  </w:pPr>
                </w:p>
              </w:tc>
            </w:tr>
            <w:tr w14:paraId="3AEAA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43" w:hRule="atLeast"/>
                <w:jc w:val="center"/>
              </w:trPr>
              <w:tc>
                <w:tcPr>
                  <w:tcW w:w="746" w:type="pct"/>
                  <w:vMerge w:val="continue"/>
                  <w:vAlign w:val="center"/>
                </w:tcPr>
                <w:p w14:paraId="7DE10631">
                  <w:pPr>
                    <w:adjustRightInd w:val="0"/>
                    <w:snapToGrid w:val="0"/>
                    <w:jc w:val="center"/>
                    <w:rPr>
                      <w:color w:val="auto"/>
                      <w:szCs w:val="21"/>
                    </w:rPr>
                  </w:pPr>
                </w:p>
              </w:tc>
              <w:tc>
                <w:tcPr>
                  <w:tcW w:w="172" w:type="pct"/>
                  <w:vMerge w:val="continue"/>
                  <w:vAlign w:val="center"/>
                </w:tcPr>
                <w:p w14:paraId="2CA7F4AB">
                  <w:pPr>
                    <w:adjustRightInd w:val="0"/>
                    <w:snapToGrid w:val="0"/>
                    <w:jc w:val="center"/>
                    <w:rPr>
                      <w:color w:val="auto"/>
                      <w:szCs w:val="21"/>
                    </w:rPr>
                  </w:pPr>
                </w:p>
              </w:tc>
              <w:tc>
                <w:tcPr>
                  <w:tcW w:w="278" w:type="pct"/>
                  <w:vAlign w:val="center"/>
                </w:tcPr>
                <w:p w14:paraId="6650E4CD">
                  <w:pPr>
                    <w:jc w:val="center"/>
                    <w:rPr>
                      <w:color w:val="auto"/>
                      <w:kern w:val="0"/>
                      <w:szCs w:val="21"/>
                    </w:rPr>
                  </w:pPr>
                  <w:r>
                    <w:rPr>
                      <w:color w:val="auto"/>
                      <w:kern w:val="0"/>
                      <w:szCs w:val="21"/>
                    </w:rPr>
                    <w:t>石油类</w:t>
                  </w:r>
                </w:p>
              </w:tc>
              <w:tc>
                <w:tcPr>
                  <w:tcW w:w="307" w:type="pct"/>
                  <w:vMerge w:val="continue"/>
                  <w:vAlign w:val="center"/>
                </w:tcPr>
                <w:p w14:paraId="7F9F0211">
                  <w:pPr>
                    <w:jc w:val="center"/>
                    <w:rPr>
                      <w:color w:val="auto"/>
                      <w:kern w:val="0"/>
                      <w:szCs w:val="21"/>
                    </w:rPr>
                  </w:pPr>
                </w:p>
              </w:tc>
              <w:tc>
                <w:tcPr>
                  <w:tcW w:w="309" w:type="pct"/>
                  <w:vAlign w:val="center"/>
                </w:tcPr>
                <w:p w14:paraId="307B8433">
                  <w:pPr>
                    <w:jc w:val="center"/>
                    <w:rPr>
                      <w:color w:val="auto"/>
                      <w:kern w:val="0"/>
                      <w:szCs w:val="21"/>
                    </w:rPr>
                  </w:pPr>
                  <w:r>
                    <w:rPr>
                      <w:color w:val="auto"/>
                      <w:kern w:val="0"/>
                      <w:szCs w:val="21"/>
                    </w:rPr>
                    <w:t>50</w:t>
                  </w:r>
                </w:p>
              </w:tc>
              <w:tc>
                <w:tcPr>
                  <w:tcW w:w="354" w:type="pct"/>
                  <w:vAlign w:val="center"/>
                </w:tcPr>
                <w:p w14:paraId="68BDEF64">
                  <w:pPr>
                    <w:widowControl/>
                    <w:jc w:val="center"/>
                    <w:textAlignment w:val="center"/>
                    <w:rPr>
                      <w:color w:val="auto"/>
                      <w:kern w:val="0"/>
                      <w:szCs w:val="21"/>
                    </w:rPr>
                  </w:pPr>
                  <w:r>
                    <w:rPr>
                      <w:color w:val="auto"/>
                      <w:kern w:val="0"/>
                      <w:szCs w:val="21"/>
                      <w:lang w:bidi="ar"/>
                    </w:rPr>
                    <w:t>0.31725</w:t>
                  </w:r>
                </w:p>
              </w:tc>
              <w:tc>
                <w:tcPr>
                  <w:tcW w:w="391" w:type="pct"/>
                  <w:vMerge w:val="continue"/>
                  <w:vAlign w:val="center"/>
                </w:tcPr>
                <w:p w14:paraId="3AE4DC6D">
                  <w:pPr>
                    <w:jc w:val="center"/>
                    <w:rPr>
                      <w:color w:val="auto"/>
                      <w:kern w:val="0"/>
                      <w:szCs w:val="21"/>
                    </w:rPr>
                  </w:pPr>
                </w:p>
              </w:tc>
              <w:tc>
                <w:tcPr>
                  <w:tcW w:w="508" w:type="dxa"/>
                  <w:vAlign w:val="center"/>
                </w:tcPr>
                <w:p w14:paraId="36B4FB48">
                  <w:pPr>
                    <w:widowControl/>
                    <w:jc w:val="center"/>
                    <w:textAlignment w:val="center"/>
                    <w:rPr>
                      <w:color w:val="auto"/>
                      <w:kern w:val="0"/>
                      <w:szCs w:val="21"/>
                    </w:rPr>
                  </w:pPr>
                  <w:r>
                    <w:rPr>
                      <w:color w:val="auto"/>
                      <w:kern w:val="0"/>
                      <w:szCs w:val="21"/>
                      <w:lang w:bidi="ar"/>
                    </w:rPr>
                    <w:t>60</w:t>
                  </w:r>
                </w:p>
              </w:tc>
              <w:tc>
                <w:tcPr>
                  <w:tcW w:w="174" w:type="pct"/>
                  <w:vMerge w:val="continue"/>
                  <w:vAlign w:val="center"/>
                </w:tcPr>
                <w:p w14:paraId="1FE7518E">
                  <w:pPr>
                    <w:jc w:val="center"/>
                    <w:rPr>
                      <w:color w:val="auto"/>
                      <w:kern w:val="0"/>
                      <w:szCs w:val="21"/>
                    </w:rPr>
                  </w:pPr>
                </w:p>
              </w:tc>
              <w:tc>
                <w:tcPr>
                  <w:tcW w:w="307" w:type="pct"/>
                  <w:vMerge w:val="continue"/>
                  <w:vAlign w:val="center"/>
                </w:tcPr>
                <w:p w14:paraId="358B7627">
                  <w:pPr>
                    <w:jc w:val="center"/>
                    <w:rPr>
                      <w:color w:val="auto"/>
                      <w:kern w:val="0"/>
                      <w:szCs w:val="21"/>
                    </w:rPr>
                  </w:pPr>
                </w:p>
              </w:tc>
              <w:tc>
                <w:tcPr>
                  <w:tcW w:w="816" w:type="dxa"/>
                  <w:vAlign w:val="center"/>
                </w:tcPr>
                <w:p w14:paraId="27930C32">
                  <w:pPr>
                    <w:widowControl/>
                    <w:jc w:val="center"/>
                    <w:textAlignment w:val="center"/>
                    <w:rPr>
                      <w:color w:val="auto"/>
                      <w:kern w:val="0"/>
                      <w:szCs w:val="21"/>
                    </w:rPr>
                  </w:pPr>
                  <w:r>
                    <w:rPr>
                      <w:color w:val="auto"/>
                      <w:kern w:val="0"/>
                      <w:szCs w:val="21"/>
                      <w:lang w:bidi="ar"/>
                    </w:rPr>
                    <w:t>20</w:t>
                  </w:r>
                </w:p>
              </w:tc>
              <w:tc>
                <w:tcPr>
                  <w:tcW w:w="948" w:type="dxa"/>
                  <w:vAlign w:val="center"/>
                </w:tcPr>
                <w:p w14:paraId="647739E5">
                  <w:pPr>
                    <w:widowControl/>
                    <w:jc w:val="center"/>
                    <w:textAlignment w:val="center"/>
                    <w:rPr>
                      <w:color w:val="auto"/>
                      <w:kern w:val="0"/>
                      <w:szCs w:val="21"/>
                    </w:rPr>
                  </w:pPr>
                  <w:r>
                    <w:rPr>
                      <w:color w:val="auto"/>
                      <w:kern w:val="0"/>
                      <w:szCs w:val="21"/>
                      <w:lang w:bidi="ar"/>
                    </w:rPr>
                    <w:t>0.1269</w:t>
                  </w:r>
                </w:p>
              </w:tc>
              <w:tc>
                <w:tcPr>
                  <w:tcW w:w="365" w:type="pct"/>
                  <w:vAlign w:val="center"/>
                </w:tcPr>
                <w:p w14:paraId="4DAF6AE8">
                  <w:pPr>
                    <w:jc w:val="center"/>
                    <w:rPr>
                      <w:color w:val="auto"/>
                      <w:kern w:val="0"/>
                      <w:szCs w:val="21"/>
                    </w:rPr>
                  </w:pPr>
                  <w:r>
                    <w:rPr>
                      <w:color w:val="auto"/>
                      <w:kern w:val="0"/>
                      <w:szCs w:val="21"/>
                    </w:rPr>
                    <w:t>20</w:t>
                  </w:r>
                </w:p>
              </w:tc>
              <w:tc>
                <w:tcPr>
                  <w:tcW w:w="272" w:type="pct"/>
                  <w:vMerge w:val="continue"/>
                  <w:vAlign w:val="center"/>
                </w:tcPr>
                <w:p w14:paraId="6E3F663E">
                  <w:pPr>
                    <w:jc w:val="center"/>
                    <w:rPr>
                      <w:color w:val="auto"/>
                      <w:kern w:val="0"/>
                      <w:szCs w:val="21"/>
                    </w:rPr>
                  </w:pPr>
                </w:p>
              </w:tc>
              <w:tc>
                <w:tcPr>
                  <w:tcW w:w="409" w:type="pct"/>
                  <w:vMerge w:val="continue"/>
                  <w:vAlign w:val="center"/>
                </w:tcPr>
                <w:p w14:paraId="7F2A5D23">
                  <w:pPr>
                    <w:jc w:val="center"/>
                    <w:rPr>
                      <w:color w:val="auto"/>
                      <w:kern w:val="0"/>
                      <w:szCs w:val="21"/>
                    </w:rPr>
                  </w:pPr>
                </w:p>
              </w:tc>
            </w:tr>
            <w:tr w14:paraId="3E71D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17" w:hRule="atLeast"/>
                <w:jc w:val="center"/>
              </w:trPr>
              <w:tc>
                <w:tcPr>
                  <w:tcW w:w="746" w:type="pct"/>
                  <w:vMerge w:val="continue"/>
                  <w:vAlign w:val="center"/>
                </w:tcPr>
                <w:p w14:paraId="636AB7EB">
                  <w:pPr>
                    <w:adjustRightInd w:val="0"/>
                    <w:snapToGrid w:val="0"/>
                    <w:jc w:val="center"/>
                    <w:rPr>
                      <w:color w:val="auto"/>
                      <w:szCs w:val="21"/>
                    </w:rPr>
                  </w:pPr>
                </w:p>
              </w:tc>
              <w:tc>
                <w:tcPr>
                  <w:tcW w:w="172" w:type="pct"/>
                  <w:vMerge w:val="continue"/>
                  <w:vAlign w:val="center"/>
                </w:tcPr>
                <w:p w14:paraId="17303192">
                  <w:pPr>
                    <w:adjustRightInd w:val="0"/>
                    <w:snapToGrid w:val="0"/>
                    <w:jc w:val="center"/>
                    <w:rPr>
                      <w:color w:val="auto"/>
                      <w:szCs w:val="21"/>
                    </w:rPr>
                  </w:pPr>
                </w:p>
              </w:tc>
              <w:tc>
                <w:tcPr>
                  <w:tcW w:w="278" w:type="pct"/>
                  <w:vAlign w:val="center"/>
                </w:tcPr>
                <w:p w14:paraId="4832ADB4">
                  <w:pPr>
                    <w:jc w:val="center"/>
                    <w:rPr>
                      <w:color w:val="auto"/>
                      <w:kern w:val="0"/>
                      <w:szCs w:val="21"/>
                    </w:rPr>
                  </w:pPr>
                  <w:r>
                    <w:rPr>
                      <w:color w:val="auto"/>
                      <w:kern w:val="0"/>
                      <w:szCs w:val="21"/>
                    </w:rPr>
                    <w:t>LAS</w:t>
                  </w:r>
                </w:p>
              </w:tc>
              <w:tc>
                <w:tcPr>
                  <w:tcW w:w="307" w:type="pct"/>
                  <w:vMerge w:val="continue"/>
                  <w:vAlign w:val="center"/>
                </w:tcPr>
                <w:p w14:paraId="0E2E6E3F">
                  <w:pPr>
                    <w:jc w:val="center"/>
                    <w:rPr>
                      <w:color w:val="auto"/>
                      <w:kern w:val="0"/>
                      <w:szCs w:val="21"/>
                    </w:rPr>
                  </w:pPr>
                </w:p>
              </w:tc>
              <w:tc>
                <w:tcPr>
                  <w:tcW w:w="309" w:type="pct"/>
                  <w:vAlign w:val="center"/>
                </w:tcPr>
                <w:p w14:paraId="4C651910">
                  <w:pPr>
                    <w:jc w:val="center"/>
                    <w:rPr>
                      <w:color w:val="auto"/>
                      <w:kern w:val="0"/>
                      <w:szCs w:val="21"/>
                    </w:rPr>
                  </w:pPr>
                  <w:r>
                    <w:rPr>
                      <w:color w:val="auto"/>
                      <w:kern w:val="0"/>
                      <w:szCs w:val="21"/>
                    </w:rPr>
                    <w:t>30</w:t>
                  </w:r>
                </w:p>
              </w:tc>
              <w:tc>
                <w:tcPr>
                  <w:tcW w:w="354" w:type="pct"/>
                  <w:vAlign w:val="center"/>
                </w:tcPr>
                <w:p w14:paraId="4DF26118">
                  <w:pPr>
                    <w:widowControl/>
                    <w:jc w:val="center"/>
                    <w:textAlignment w:val="center"/>
                    <w:rPr>
                      <w:color w:val="auto"/>
                      <w:kern w:val="0"/>
                      <w:szCs w:val="21"/>
                    </w:rPr>
                  </w:pPr>
                  <w:r>
                    <w:rPr>
                      <w:color w:val="auto"/>
                      <w:kern w:val="0"/>
                      <w:szCs w:val="21"/>
                      <w:lang w:bidi="ar"/>
                    </w:rPr>
                    <w:t>0.19035</w:t>
                  </w:r>
                </w:p>
              </w:tc>
              <w:tc>
                <w:tcPr>
                  <w:tcW w:w="391" w:type="pct"/>
                  <w:vMerge w:val="continue"/>
                  <w:vAlign w:val="center"/>
                </w:tcPr>
                <w:p w14:paraId="48D8BA00">
                  <w:pPr>
                    <w:jc w:val="center"/>
                    <w:rPr>
                      <w:color w:val="auto"/>
                      <w:kern w:val="0"/>
                      <w:szCs w:val="21"/>
                    </w:rPr>
                  </w:pPr>
                </w:p>
              </w:tc>
              <w:tc>
                <w:tcPr>
                  <w:tcW w:w="508" w:type="dxa"/>
                  <w:vAlign w:val="center"/>
                </w:tcPr>
                <w:p w14:paraId="20686F61">
                  <w:pPr>
                    <w:widowControl/>
                    <w:jc w:val="center"/>
                    <w:textAlignment w:val="center"/>
                    <w:rPr>
                      <w:color w:val="auto"/>
                      <w:kern w:val="0"/>
                      <w:szCs w:val="21"/>
                    </w:rPr>
                  </w:pPr>
                  <w:r>
                    <w:rPr>
                      <w:color w:val="auto"/>
                      <w:kern w:val="0"/>
                      <w:szCs w:val="21"/>
                      <w:lang w:bidi="ar"/>
                    </w:rPr>
                    <w:t>50</w:t>
                  </w:r>
                </w:p>
              </w:tc>
              <w:tc>
                <w:tcPr>
                  <w:tcW w:w="174" w:type="pct"/>
                  <w:vMerge w:val="continue"/>
                  <w:vAlign w:val="center"/>
                </w:tcPr>
                <w:p w14:paraId="76E148BB">
                  <w:pPr>
                    <w:jc w:val="center"/>
                    <w:rPr>
                      <w:color w:val="auto"/>
                      <w:kern w:val="0"/>
                      <w:szCs w:val="21"/>
                    </w:rPr>
                  </w:pPr>
                </w:p>
              </w:tc>
              <w:tc>
                <w:tcPr>
                  <w:tcW w:w="307" w:type="pct"/>
                  <w:vMerge w:val="continue"/>
                  <w:vAlign w:val="center"/>
                </w:tcPr>
                <w:p w14:paraId="0A5A6737">
                  <w:pPr>
                    <w:jc w:val="center"/>
                    <w:rPr>
                      <w:color w:val="auto"/>
                      <w:kern w:val="0"/>
                      <w:szCs w:val="21"/>
                    </w:rPr>
                  </w:pPr>
                </w:p>
              </w:tc>
              <w:tc>
                <w:tcPr>
                  <w:tcW w:w="816" w:type="dxa"/>
                  <w:vAlign w:val="center"/>
                </w:tcPr>
                <w:p w14:paraId="22522E58">
                  <w:pPr>
                    <w:widowControl/>
                    <w:jc w:val="center"/>
                    <w:textAlignment w:val="center"/>
                    <w:rPr>
                      <w:color w:val="auto"/>
                      <w:kern w:val="0"/>
                      <w:szCs w:val="21"/>
                    </w:rPr>
                  </w:pPr>
                  <w:r>
                    <w:rPr>
                      <w:color w:val="auto"/>
                      <w:kern w:val="0"/>
                      <w:szCs w:val="21"/>
                      <w:lang w:bidi="ar"/>
                    </w:rPr>
                    <w:t>15</w:t>
                  </w:r>
                </w:p>
              </w:tc>
              <w:tc>
                <w:tcPr>
                  <w:tcW w:w="948" w:type="dxa"/>
                  <w:vAlign w:val="center"/>
                </w:tcPr>
                <w:p w14:paraId="16E7EDFA">
                  <w:pPr>
                    <w:widowControl/>
                    <w:jc w:val="center"/>
                    <w:textAlignment w:val="center"/>
                    <w:rPr>
                      <w:color w:val="auto"/>
                      <w:kern w:val="0"/>
                      <w:szCs w:val="21"/>
                    </w:rPr>
                  </w:pPr>
                  <w:r>
                    <w:rPr>
                      <w:color w:val="auto"/>
                      <w:kern w:val="0"/>
                      <w:szCs w:val="21"/>
                      <w:lang w:bidi="ar"/>
                    </w:rPr>
                    <w:t>0.095175</w:t>
                  </w:r>
                </w:p>
              </w:tc>
              <w:tc>
                <w:tcPr>
                  <w:tcW w:w="365" w:type="pct"/>
                  <w:vAlign w:val="center"/>
                </w:tcPr>
                <w:p w14:paraId="0CAEFDF8">
                  <w:pPr>
                    <w:jc w:val="center"/>
                    <w:rPr>
                      <w:color w:val="auto"/>
                      <w:kern w:val="0"/>
                      <w:szCs w:val="21"/>
                    </w:rPr>
                  </w:pPr>
                  <w:r>
                    <w:rPr>
                      <w:color w:val="auto"/>
                      <w:kern w:val="0"/>
                      <w:szCs w:val="21"/>
                    </w:rPr>
                    <w:t>20</w:t>
                  </w:r>
                </w:p>
              </w:tc>
              <w:tc>
                <w:tcPr>
                  <w:tcW w:w="272" w:type="pct"/>
                  <w:vMerge w:val="continue"/>
                  <w:vAlign w:val="center"/>
                </w:tcPr>
                <w:p w14:paraId="211C97DE">
                  <w:pPr>
                    <w:jc w:val="center"/>
                    <w:rPr>
                      <w:color w:val="auto"/>
                      <w:kern w:val="0"/>
                      <w:szCs w:val="21"/>
                    </w:rPr>
                  </w:pPr>
                </w:p>
              </w:tc>
              <w:tc>
                <w:tcPr>
                  <w:tcW w:w="409" w:type="pct"/>
                  <w:vMerge w:val="continue"/>
                  <w:vAlign w:val="center"/>
                </w:tcPr>
                <w:p w14:paraId="3A28E765">
                  <w:pPr>
                    <w:jc w:val="center"/>
                    <w:rPr>
                      <w:color w:val="auto"/>
                      <w:kern w:val="0"/>
                      <w:szCs w:val="21"/>
                    </w:rPr>
                  </w:pPr>
                </w:p>
              </w:tc>
            </w:tr>
            <w:tr w14:paraId="61883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63267819">
                  <w:pPr>
                    <w:jc w:val="center"/>
                    <w:rPr>
                      <w:color w:val="auto"/>
                      <w:szCs w:val="21"/>
                    </w:rPr>
                  </w:pPr>
                  <w:r>
                    <w:rPr>
                      <w:color w:val="auto"/>
                      <w:szCs w:val="21"/>
                    </w:rPr>
                    <w:t>职工生活</w:t>
                  </w:r>
                </w:p>
              </w:tc>
              <w:tc>
                <w:tcPr>
                  <w:tcW w:w="172" w:type="pct"/>
                  <w:vMerge w:val="restart"/>
                  <w:vAlign w:val="center"/>
                </w:tcPr>
                <w:p w14:paraId="558BB7B0">
                  <w:pPr>
                    <w:jc w:val="center"/>
                    <w:rPr>
                      <w:color w:val="auto"/>
                      <w:szCs w:val="21"/>
                    </w:rPr>
                  </w:pPr>
                  <w:r>
                    <w:rPr>
                      <w:color w:val="auto"/>
                      <w:szCs w:val="21"/>
                    </w:rPr>
                    <w:t>生活污水</w:t>
                  </w:r>
                </w:p>
              </w:tc>
              <w:tc>
                <w:tcPr>
                  <w:tcW w:w="278" w:type="pct"/>
                  <w:vAlign w:val="center"/>
                </w:tcPr>
                <w:p w14:paraId="57C56511">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7F39473A">
                  <w:pPr>
                    <w:widowControl/>
                    <w:jc w:val="center"/>
                    <w:rPr>
                      <w:color w:val="auto"/>
                      <w:szCs w:val="21"/>
                    </w:rPr>
                  </w:pPr>
                  <w:r>
                    <w:rPr>
                      <w:color w:val="auto"/>
                      <w:szCs w:val="21"/>
                    </w:rPr>
                    <w:t>4050</w:t>
                  </w:r>
                </w:p>
              </w:tc>
              <w:tc>
                <w:tcPr>
                  <w:tcW w:w="309" w:type="pct"/>
                  <w:vAlign w:val="center"/>
                </w:tcPr>
                <w:p w14:paraId="77A689F5">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1714F3C7">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30569FD1">
                  <w:pPr>
                    <w:widowControl/>
                    <w:adjustRightInd w:val="0"/>
                    <w:snapToGrid w:val="0"/>
                    <w:spacing w:line="240" w:lineRule="atLeast"/>
                    <w:jc w:val="center"/>
                    <w:textAlignment w:val="center"/>
                    <w:rPr>
                      <w:color w:val="auto"/>
                      <w:szCs w:val="21"/>
                    </w:rPr>
                  </w:pPr>
                  <w:r>
                    <w:rPr>
                      <w:color w:val="auto"/>
                      <w:szCs w:val="21"/>
                    </w:rPr>
                    <w:t>化粪池</w:t>
                  </w:r>
                </w:p>
              </w:tc>
              <w:tc>
                <w:tcPr>
                  <w:tcW w:w="204" w:type="pct"/>
                  <w:vAlign w:val="center"/>
                </w:tcPr>
                <w:p w14:paraId="388A52B1">
                  <w:pPr>
                    <w:widowControl/>
                    <w:adjustRightInd w:val="0"/>
                    <w:snapToGrid w:val="0"/>
                    <w:spacing w:line="240" w:lineRule="atLeast"/>
                    <w:jc w:val="center"/>
                    <w:textAlignment w:val="center"/>
                    <w:rPr>
                      <w:color w:val="auto"/>
                      <w:szCs w:val="21"/>
                    </w:rPr>
                  </w:pPr>
                  <w:r>
                    <w:rPr>
                      <w:color w:val="auto"/>
                      <w:szCs w:val="21"/>
                    </w:rPr>
                    <w:t>/</w:t>
                  </w:r>
                </w:p>
              </w:tc>
              <w:tc>
                <w:tcPr>
                  <w:tcW w:w="174" w:type="pct"/>
                  <w:vMerge w:val="restart"/>
                  <w:vAlign w:val="center"/>
                </w:tcPr>
                <w:p w14:paraId="3075BC32">
                  <w:pPr>
                    <w:widowControl/>
                    <w:adjustRightInd w:val="0"/>
                    <w:snapToGrid w:val="0"/>
                    <w:spacing w:line="240" w:lineRule="atLeast"/>
                    <w:jc w:val="center"/>
                    <w:textAlignment w:val="center"/>
                    <w:rPr>
                      <w:color w:val="auto"/>
                      <w:szCs w:val="21"/>
                    </w:rPr>
                  </w:pPr>
                  <w:r>
                    <w:rPr>
                      <w:color w:val="auto"/>
                      <w:szCs w:val="21"/>
                    </w:rPr>
                    <w:t>是</w:t>
                  </w:r>
                </w:p>
              </w:tc>
              <w:tc>
                <w:tcPr>
                  <w:tcW w:w="307" w:type="pct"/>
                  <w:vMerge w:val="restart"/>
                  <w:vAlign w:val="center"/>
                </w:tcPr>
                <w:p w14:paraId="75C1E969">
                  <w:pPr>
                    <w:widowControl/>
                    <w:adjustRightInd w:val="0"/>
                    <w:snapToGrid w:val="0"/>
                    <w:spacing w:line="240" w:lineRule="atLeast"/>
                    <w:jc w:val="center"/>
                    <w:textAlignment w:val="center"/>
                    <w:rPr>
                      <w:color w:val="auto"/>
                      <w:szCs w:val="21"/>
                    </w:rPr>
                  </w:pPr>
                  <w:r>
                    <w:rPr>
                      <w:color w:val="auto"/>
                      <w:szCs w:val="21"/>
                    </w:rPr>
                    <w:t>4050</w:t>
                  </w:r>
                </w:p>
              </w:tc>
              <w:tc>
                <w:tcPr>
                  <w:tcW w:w="328" w:type="pct"/>
                  <w:vAlign w:val="center"/>
                </w:tcPr>
                <w:p w14:paraId="68CC90CB">
                  <w:pPr>
                    <w:jc w:val="center"/>
                    <w:rPr>
                      <w:color w:val="auto"/>
                      <w:szCs w:val="21"/>
                    </w:rPr>
                  </w:pPr>
                  <w:r>
                    <w:rPr>
                      <w:color w:val="auto"/>
                      <w:szCs w:val="21"/>
                    </w:rPr>
                    <w:t>/</w:t>
                  </w:r>
                </w:p>
              </w:tc>
              <w:tc>
                <w:tcPr>
                  <w:tcW w:w="381" w:type="pct"/>
                  <w:vAlign w:val="center"/>
                </w:tcPr>
                <w:p w14:paraId="037E011F">
                  <w:pPr>
                    <w:jc w:val="center"/>
                    <w:rPr>
                      <w:color w:val="auto"/>
                      <w:szCs w:val="21"/>
                    </w:rPr>
                  </w:pPr>
                  <w:r>
                    <w:rPr>
                      <w:color w:val="auto"/>
                      <w:szCs w:val="21"/>
                    </w:rPr>
                    <w:t>/</w:t>
                  </w:r>
                </w:p>
              </w:tc>
              <w:tc>
                <w:tcPr>
                  <w:tcW w:w="365" w:type="pct"/>
                  <w:vAlign w:val="center"/>
                </w:tcPr>
                <w:p w14:paraId="590D5A79">
                  <w:pPr>
                    <w:jc w:val="center"/>
                    <w:rPr>
                      <w:color w:val="auto"/>
                      <w:szCs w:val="21"/>
                    </w:rPr>
                  </w:pPr>
                  <w:r>
                    <w:rPr>
                      <w:color w:val="auto"/>
                      <w:szCs w:val="21"/>
                    </w:rPr>
                    <w:t>6-9</w:t>
                  </w:r>
                </w:p>
              </w:tc>
              <w:tc>
                <w:tcPr>
                  <w:tcW w:w="272" w:type="pct"/>
                  <w:vMerge w:val="restart"/>
                  <w:vAlign w:val="center"/>
                </w:tcPr>
                <w:p w14:paraId="7683614A">
                  <w:pPr>
                    <w:jc w:val="center"/>
                    <w:rPr>
                      <w:color w:val="auto"/>
                      <w:kern w:val="0"/>
                      <w:szCs w:val="21"/>
                    </w:rPr>
                  </w:pPr>
                  <w:r>
                    <w:rPr>
                      <w:color w:val="auto"/>
                      <w:kern w:val="0"/>
                      <w:szCs w:val="21"/>
                    </w:rPr>
                    <w:t>3600</w:t>
                  </w:r>
                </w:p>
              </w:tc>
              <w:tc>
                <w:tcPr>
                  <w:tcW w:w="409" w:type="pct"/>
                  <w:vMerge w:val="restart"/>
                  <w:vAlign w:val="center"/>
                </w:tcPr>
                <w:p w14:paraId="3F3E8E74">
                  <w:pPr>
                    <w:jc w:val="center"/>
                    <w:rPr>
                      <w:color w:val="auto"/>
                      <w:kern w:val="0"/>
                      <w:szCs w:val="21"/>
                    </w:rPr>
                  </w:pPr>
                  <w:r>
                    <w:rPr>
                      <w:color w:val="auto"/>
                      <w:kern w:val="0"/>
                      <w:szCs w:val="21"/>
                    </w:rPr>
                    <w:t>涟水县空港产业园污水处理厂</w:t>
                  </w:r>
                </w:p>
              </w:tc>
            </w:tr>
            <w:tr w14:paraId="50867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42BC4B16">
                  <w:pPr>
                    <w:jc w:val="center"/>
                    <w:rPr>
                      <w:color w:val="auto"/>
                      <w:szCs w:val="21"/>
                    </w:rPr>
                  </w:pPr>
                </w:p>
              </w:tc>
              <w:tc>
                <w:tcPr>
                  <w:tcW w:w="172" w:type="pct"/>
                  <w:vMerge w:val="continue"/>
                  <w:vAlign w:val="center"/>
                </w:tcPr>
                <w:p w14:paraId="7B53DA0D">
                  <w:pPr>
                    <w:jc w:val="center"/>
                    <w:rPr>
                      <w:color w:val="auto"/>
                      <w:szCs w:val="21"/>
                    </w:rPr>
                  </w:pPr>
                </w:p>
              </w:tc>
              <w:tc>
                <w:tcPr>
                  <w:tcW w:w="278" w:type="pct"/>
                  <w:vAlign w:val="center"/>
                </w:tcPr>
                <w:p w14:paraId="246CE2F9">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3CAC1DA3">
                  <w:pPr>
                    <w:jc w:val="center"/>
                    <w:rPr>
                      <w:color w:val="auto"/>
                      <w:szCs w:val="21"/>
                    </w:rPr>
                  </w:pPr>
                </w:p>
              </w:tc>
              <w:tc>
                <w:tcPr>
                  <w:tcW w:w="309" w:type="pct"/>
                  <w:vAlign w:val="center"/>
                </w:tcPr>
                <w:p w14:paraId="174FBE45">
                  <w:pPr>
                    <w:jc w:val="center"/>
                    <w:rPr>
                      <w:color w:val="auto"/>
                      <w:szCs w:val="21"/>
                    </w:rPr>
                  </w:pPr>
                  <w:r>
                    <w:rPr>
                      <w:color w:val="auto"/>
                      <w:szCs w:val="21"/>
                    </w:rPr>
                    <w:t>350</w:t>
                  </w:r>
                </w:p>
              </w:tc>
              <w:tc>
                <w:tcPr>
                  <w:tcW w:w="354" w:type="pct"/>
                  <w:vAlign w:val="center"/>
                </w:tcPr>
                <w:p w14:paraId="23AE79CC">
                  <w:pPr>
                    <w:widowControl/>
                    <w:jc w:val="center"/>
                    <w:textAlignment w:val="center"/>
                    <w:rPr>
                      <w:color w:val="auto"/>
                      <w:szCs w:val="21"/>
                    </w:rPr>
                  </w:pPr>
                  <w:r>
                    <w:rPr>
                      <w:color w:val="auto"/>
                      <w:kern w:val="0"/>
                      <w:szCs w:val="21"/>
                      <w:lang w:bidi="ar"/>
                    </w:rPr>
                    <w:t>1.4175</w:t>
                  </w:r>
                </w:p>
              </w:tc>
              <w:tc>
                <w:tcPr>
                  <w:tcW w:w="391" w:type="pct"/>
                  <w:vMerge w:val="continue"/>
                  <w:vAlign w:val="center"/>
                </w:tcPr>
                <w:p w14:paraId="1BF128F3">
                  <w:pPr>
                    <w:jc w:val="center"/>
                    <w:rPr>
                      <w:color w:val="auto"/>
                      <w:szCs w:val="21"/>
                    </w:rPr>
                  </w:pPr>
                </w:p>
              </w:tc>
              <w:tc>
                <w:tcPr>
                  <w:tcW w:w="204" w:type="pct"/>
                  <w:vAlign w:val="center"/>
                </w:tcPr>
                <w:p w14:paraId="6ECC3CE7">
                  <w:pPr>
                    <w:widowControl/>
                    <w:jc w:val="center"/>
                    <w:rPr>
                      <w:color w:val="auto"/>
                      <w:szCs w:val="21"/>
                    </w:rPr>
                  </w:pPr>
                  <w:r>
                    <w:rPr>
                      <w:color w:val="auto"/>
                      <w:szCs w:val="21"/>
                    </w:rPr>
                    <w:t>20</w:t>
                  </w:r>
                </w:p>
              </w:tc>
              <w:tc>
                <w:tcPr>
                  <w:tcW w:w="174" w:type="pct"/>
                  <w:vMerge w:val="continue"/>
                  <w:vAlign w:val="center"/>
                </w:tcPr>
                <w:p w14:paraId="124E7B74">
                  <w:pPr>
                    <w:jc w:val="center"/>
                    <w:rPr>
                      <w:color w:val="auto"/>
                      <w:szCs w:val="21"/>
                    </w:rPr>
                  </w:pPr>
                </w:p>
              </w:tc>
              <w:tc>
                <w:tcPr>
                  <w:tcW w:w="307" w:type="pct"/>
                  <w:vMerge w:val="continue"/>
                  <w:vAlign w:val="center"/>
                </w:tcPr>
                <w:p w14:paraId="40F86EDA">
                  <w:pPr>
                    <w:jc w:val="center"/>
                    <w:rPr>
                      <w:color w:val="auto"/>
                      <w:szCs w:val="21"/>
                    </w:rPr>
                  </w:pPr>
                </w:p>
              </w:tc>
              <w:tc>
                <w:tcPr>
                  <w:tcW w:w="328" w:type="pct"/>
                  <w:vAlign w:val="center"/>
                </w:tcPr>
                <w:p w14:paraId="2DE7CAAB">
                  <w:pPr>
                    <w:widowControl/>
                    <w:jc w:val="center"/>
                    <w:textAlignment w:val="center"/>
                    <w:rPr>
                      <w:color w:val="auto"/>
                      <w:szCs w:val="21"/>
                    </w:rPr>
                  </w:pPr>
                  <w:r>
                    <w:rPr>
                      <w:color w:val="auto"/>
                      <w:kern w:val="0"/>
                      <w:szCs w:val="21"/>
                      <w:lang w:bidi="ar"/>
                    </w:rPr>
                    <w:t>280</w:t>
                  </w:r>
                </w:p>
              </w:tc>
              <w:tc>
                <w:tcPr>
                  <w:tcW w:w="381" w:type="pct"/>
                  <w:vAlign w:val="center"/>
                </w:tcPr>
                <w:p w14:paraId="311DE3A5">
                  <w:pPr>
                    <w:widowControl/>
                    <w:jc w:val="center"/>
                    <w:textAlignment w:val="center"/>
                    <w:rPr>
                      <w:color w:val="auto"/>
                      <w:szCs w:val="21"/>
                    </w:rPr>
                  </w:pPr>
                  <w:r>
                    <w:rPr>
                      <w:color w:val="auto"/>
                      <w:kern w:val="0"/>
                      <w:szCs w:val="21"/>
                      <w:lang w:bidi="ar"/>
                    </w:rPr>
                    <w:t>1.134</w:t>
                  </w:r>
                </w:p>
              </w:tc>
              <w:tc>
                <w:tcPr>
                  <w:tcW w:w="365" w:type="pct"/>
                  <w:vAlign w:val="center"/>
                </w:tcPr>
                <w:p w14:paraId="7E02B746">
                  <w:pPr>
                    <w:jc w:val="center"/>
                    <w:rPr>
                      <w:color w:val="auto"/>
                      <w:szCs w:val="21"/>
                    </w:rPr>
                  </w:pPr>
                  <w:r>
                    <w:rPr>
                      <w:color w:val="auto"/>
                      <w:szCs w:val="21"/>
                    </w:rPr>
                    <w:t>300</w:t>
                  </w:r>
                </w:p>
              </w:tc>
              <w:tc>
                <w:tcPr>
                  <w:tcW w:w="272" w:type="pct"/>
                  <w:vMerge w:val="continue"/>
                  <w:vAlign w:val="center"/>
                </w:tcPr>
                <w:p w14:paraId="0F4F1233">
                  <w:pPr>
                    <w:jc w:val="center"/>
                    <w:rPr>
                      <w:color w:val="auto"/>
                      <w:kern w:val="0"/>
                      <w:szCs w:val="21"/>
                    </w:rPr>
                  </w:pPr>
                </w:p>
              </w:tc>
              <w:tc>
                <w:tcPr>
                  <w:tcW w:w="409" w:type="pct"/>
                  <w:vMerge w:val="continue"/>
                  <w:vAlign w:val="center"/>
                </w:tcPr>
                <w:p w14:paraId="4B945859">
                  <w:pPr>
                    <w:jc w:val="center"/>
                    <w:rPr>
                      <w:color w:val="auto"/>
                      <w:kern w:val="0"/>
                      <w:szCs w:val="21"/>
                    </w:rPr>
                  </w:pPr>
                </w:p>
              </w:tc>
            </w:tr>
            <w:tr w14:paraId="0628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1D10F0CC">
                  <w:pPr>
                    <w:jc w:val="center"/>
                    <w:rPr>
                      <w:color w:val="auto"/>
                      <w:szCs w:val="21"/>
                    </w:rPr>
                  </w:pPr>
                </w:p>
              </w:tc>
              <w:tc>
                <w:tcPr>
                  <w:tcW w:w="172" w:type="pct"/>
                  <w:vMerge w:val="continue"/>
                  <w:vAlign w:val="center"/>
                </w:tcPr>
                <w:p w14:paraId="14AA6F28">
                  <w:pPr>
                    <w:jc w:val="center"/>
                    <w:rPr>
                      <w:color w:val="auto"/>
                      <w:szCs w:val="21"/>
                    </w:rPr>
                  </w:pPr>
                </w:p>
              </w:tc>
              <w:tc>
                <w:tcPr>
                  <w:tcW w:w="278" w:type="pct"/>
                  <w:vAlign w:val="center"/>
                </w:tcPr>
                <w:p w14:paraId="69A21F18">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691E6497">
                  <w:pPr>
                    <w:jc w:val="center"/>
                    <w:rPr>
                      <w:color w:val="auto"/>
                      <w:szCs w:val="21"/>
                    </w:rPr>
                  </w:pPr>
                </w:p>
              </w:tc>
              <w:tc>
                <w:tcPr>
                  <w:tcW w:w="309" w:type="pct"/>
                  <w:vAlign w:val="center"/>
                </w:tcPr>
                <w:p w14:paraId="697E837E">
                  <w:pPr>
                    <w:jc w:val="center"/>
                    <w:rPr>
                      <w:color w:val="auto"/>
                      <w:szCs w:val="21"/>
                    </w:rPr>
                  </w:pPr>
                  <w:r>
                    <w:rPr>
                      <w:color w:val="auto"/>
                      <w:szCs w:val="21"/>
                    </w:rPr>
                    <w:t>200</w:t>
                  </w:r>
                </w:p>
              </w:tc>
              <w:tc>
                <w:tcPr>
                  <w:tcW w:w="354" w:type="pct"/>
                  <w:vAlign w:val="center"/>
                </w:tcPr>
                <w:p w14:paraId="4F30C302">
                  <w:pPr>
                    <w:widowControl/>
                    <w:jc w:val="center"/>
                    <w:textAlignment w:val="center"/>
                    <w:rPr>
                      <w:color w:val="auto"/>
                      <w:szCs w:val="21"/>
                    </w:rPr>
                  </w:pPr>
                  <w:r>
                    <w:rPr>
                      <w:color w:val="auto"/>
                      <w:kern w:val="0"/>
                      <w:szCs w:val="21"/>
                      <w:lang w:bidi="ar"/>
                    </w:rPr>
                    <w:t>0.81</w:t>
                  </w:r>
                </w:p>
              </w:tc>
              <w:tc>
                <w:tcPr>
                  <w:tcW w:w="391" w:type="pct"/>
                  <w:vMerge w:val="continue"/>
                  <w:vAlign w:val="center"/>
                </w:tcPr>
                <w:p w14:paraId="4369B21C">
                  <w:pPr>
                    <w:widowControl/>
                    <w:jc w:val="center"/>
                    <w:rPr>
                      <w:color w:val="auto"/>
                      <w:szCs w:val="21"/>
                    </w:rPr>
                  </w:pPr>
                </w:p>
              </w:tc>
              <w:tc>
                <w:tcPr>
                  <w:tcW w:w="204" w:type="pct"/>
                  <w:vAlign w:val="center"/>
                </w:tcPr>
                <w:p w14:paraId="1473CA60">
                  <w:pPr>
                    <w:jc w:val="center"/>
                    <w:rPr>
                      <w:color w:val="auto"/>
                      <w:szCs w:val="21"/>
                    </w:rPr>
                  </w:pPr>
                  <w:r>
                    <w:rPr>
                      <w:rFonts w:hint="eastAsia"/>
                      <w:color w:val="auto"/>
                      <w:szCs w:val="21"/>
                    </w:rPr>
                    <w:t>50</w:t>
                  </w:r>
                </w:p>
              </w:tc>
              <w:tc>
                <w:tcPr>
                  <w:tcW w:w="174" w:type="pct"/>
                  <w:vMerge w:val="continue"/>
                  <w:vAlign w:val="center"/>
                </w:tcPr>
                <w:p w14:paraId="3BE83829">
                  <w:pPr>
                    <w:widowControl/>
                    <w:jc w:val="center"/>
                    <w:rPr>
                      <w:color w:val="auto"/>
                      <w:szCs w:val="21"/>
                    </w:rPr>
                  </w:pPr>
                </w:p>
              </w:tc>
              <w:tc>
                <w:tcPr>
                  <w:tcW w:w="307" w:type="pct"/>
                  <w:vMerge w:val="continue"/>
                  <w:vAlign w:val="center"/>
                </w:tcPr>
                <w:p w14:paraId="3677030C">
                  <w:pPr>
                    <w:widowControl/>
                    <w:jc w:val="center"/>
                    <w:rPr>
                      <w:color w:val="auto"/>
                      <w:szCs w:val="21"/>
                    </w:rPr>
                  </w:pPr>
                </w:p>
              </w:tc>
              <w:tc>
                <w:tcPr>
                  <w:tcW w:w="328" w:type="pct"/>
                  <w:vAlign w:val="center"/>
                </w:tcPr>
                <w:p w14:paraId="55F28E45">
                  <w:pPr>
                    <w:jc w:val="center"/>
                    <w:rPr>
                      <w:color w:val="auto"/>
                      <w:szCs w:val="21"/>
                    </w:rPr>
                  </w:pPr>
                  <w:r>
                    <w:rPr>
                      <w:rFonts w:hint="eastAsia"/>
                      <w:color w:val="auto"/>
                      <w:szCs w:val="21"/>
                    </w:rPr>
                    <w:t>100</w:t>
                  </w:r>
                </w:p>
              </w:tc>
              <w:tc>
                <w:tcPr>
                  <w:tcW w:w="381" w:type="pct"/>
                  <w:vAlign w:val="center"/>
                </w:tcPr>
                <w:p w14:paraId="34340DB6">
                  <w:pPr>
                    <w:widowControl/>
                    <w:jc w:val="center"/>
                    <w:textAlignment w:val="center"/>
                    <w:rPr>
                      <w:color w:val="auto"/>
                      <w:szCs w:val="21"/>
                    </w:rPr>
                  </w:pPr>
                  <w:r>
                    <w:rPr>
                      <w:rFonts w:hint="eastAsia"/>
                      <w:color w:val="auto"/>
                      <w:kern w:val="0"/>
                      <w:szCs w:val="21"/>
                      <w:lang w:bidi="ar"/>
                    </w:rPr>
                    <w:t>0.405</w:t>
                  </w:r>
                </w:p>
              </w:tc>
              <w:tc>
                <w:tcPr>
                  <w:tcW w:w="365" w:type="pct"/>
                  <w:vAlign w:val="center"/>
                </w:tcPr>
                <w:p w14:paraId="77C9B8A7">
                  <w:pPr>
                    <w:jc w:val="center"/>
                    <w:rPr>
                      <w:color w:val="auto"/>
                      <w:szCs w:val="21"/>
                    </w:rPr>
                  </w:pPr>
                  <w:r>
                    <w:rPr>
                      <w:color w:val="auto"/>
                      <w:szCs w:val="21"/>
                    </w:rPr>
                    <w:t>200</w:t>
                  </w:r>
                </w:p>
              </w:tc>
              <w:tc>
                <w:tcPr>
                  <w:tcW w:w="272" w:type="pct"/>
                  <w:vMerge w:val="continue"/>
                  <w:vAlign w:val="center"/>
                </w:tcPr>
                <w:p w14:paraId="311C866F">
                  <w:pPr>
                    <w:jc w:val="center"/>
                    <w:rPr>
                      <w:color w:val="auto"/>
                      <w:kern w:val="0"/>
                      <w:szCs w:val="21"/>
                    </w:rPr>
                  </w:pPr>
                </w:p>
              </w:tc>
              <w:tc>
                <w:tcPr>
                  <w:tcW w:w="409" w:type="pct"/>
                  <w:vMerge w:val="continue"/>
                  <w:vAlign w:val="center"/>
                </w:tcPr>
                <w:p w14:paraId="68CB7AC0">
                  <w:pPr>
                    <w:jc w:val="center"/>
                    <w:rPr>
                      <w:color w:val="auto"/>
                      <w:kern w:val="0"/>
                      <w:szCs w:val="21"/>
                    </w:rPr>
                  </w:pPr>
                </w:p>
              </w:tc>
            </w:tr>
            <w:tr w14:paraId="2BF03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40DE0986">
                  <w:pPr>
                    <w:jc w:val="center"/>
                    <w:rPr>
                      <w:color w:val="auto"/>
                      <w:szCs w:val="21"/>
                    </w:rPr>
                  </w:pPr>
                </w:p>
              </w:tc>
              <w:tc>
                <w:tcPr>
                  <w:tcW w:w="172" w:type="pct"/>
                  <w:vMerge w:val="continue"/>
                  <w:vAlign w:val="center"/>
                </w:tcPr>
                <w:p w14:paraId="522FFD18">
                  <w:pPr>
                    <w:jc w:val="center"/>
                    <w:rPr>
                      <w:color w:val="auto"/>
                      <w:szCs w:val="21"/>
                    </w:rPr>
                  </w:pPr>
                </w:p>
              </w:tc>
              <w:tc>
                <w:tcPr>
                  <w:tcW w:w="278" w:type="pct"/>
                  <w:vAlign w:val="center"/>
                </w:tcPr>
                <w:p w14:paraId="073222A9">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26E2AC33">
                  <w:pPr>
                    <w:jc w:val="center"/>
                    <w:rPr>
                      <w:color w:val="auto"/>
                      <w:szCs w:val="21"/>
                    </w:rPr>
                  </w:pPr>
                </w:p>
              </w:tc>
              <w:tc>
                <w:tcPr>
                  <w:tcW w:w="309" w:type="pct"/>
                  <w:vAlign w:val="center"/>
                </w:tcPr>
                <w:p w14:paraId="1C3AF79C">
                  <w:pPr>
                    <w:jc w:val="center"/>
                    <w:rPr>
                      <w:color w:val="auto"/>
                      <w:szCs w:val="21"/>
                    </w:rPr>
                  </w:pPr>
                  <w:r>
                    <w:rPr>
                      <w:color w:val="auto"/>
                      <w:szCs w:val="21"/>
                    </w:rPr>
                    <w:t>30</w:t>
                  </w:r>
                </w:p>
              </w:tc>
              <w:tc>
                <w:tcPr>
                  <w:tcW w:w="354" w:type="pct"/>
                  <w:vAlign w:val="center"/>
                </w:tcPr>
                <w:p w14:paraId="4A1396ED">
                  <w:pPr>
                    <w:widowControl/>
                    <w:jc w:val="center"/>
                    <w:textAlignment w:val="center"/>
                    <w:rPr>
                      <w:color w:val="auto"/>
                      <w:szCs w:val="21"/>
                    </w:rPr>
                  </w:pPr>
                  <w:r>
                    <w:rPr>
                      <w:color w:val="auto"/>
                      <w:kern w:val="0"/>
                      <w:szCs w:val="21"/>
                      <w:lang w:bidi="ar"/>
                    </w:rPr>
                    <w:t>0.1215</w:t>
                  </w:r>
                </w:p>
              </w:tc>
              <w:tc>
                <w:tcPr>
                  <w:tcW w:w="391" w:type="pct"/>
                  <w:vMerge w:val="continue"/>
                  <w:vAlign w:val="center"/>
                </w:tcPr>
                <w:p w14:paraId="5CCD5AF6">
                  <w:pPr>
                    <w:widowControl/>
                    <w:jc w:val="center"/>
                    <w:rPr>
                      <w:color w:val="auto"/>
                      <w:szCs w:val="21"/>
                    </w:rPr>
                  </w:pPr>
                </w:p>
              </w:tc>
              <w:tc>
                <w:tcPr>
                  <w:tcW w:w="204" w:type="pct"/>
                  <w:vAlign w:val="center"/>
                </w:tcPr>
                <w:p w14:paraId="11578C0F">
                  <w:pPr>
                    <w:jc w:val="center"/>
                    <w:rPr>
                      <w:color w:val="auto"/>
                      <w:szCs w:val="21"/>
                    </w:rPr>
                  </w:pPr>
                  <w:r>
                    <w:rPr>
                      <w:color w:val="auto"/>
                      <w:szCs w:val="21"/>
                    </w:rPr>
                    <w:t>/</w:t>
                  </w:r>
                </w:p>
              </w:tc>
              <w:tc>
                <w:tcPr>
                  <w:tcW w:w="174" w:type="pct"/>
                  <w:vMerge w:val="continue"/>
                  <w:vAlign w:val="center"/>
                </w:tcPr>
                <w:p w14:paraId="36D1CAFA">
                  <w:pPr>
                    <w:widowControl/>
                    <w:jc w:val="center"/>
                    <w:rPr>
                      <w:color w:val="auto"/>
                      <w:szCs w:val="21"/>
                    </w:rPr>
                  </w:pPr>
                </w:p>
              </w:tc>
              <w:tc>
                <w:tcPr>
                  <w:tcW w:w="307" w:type="pct"/>
                  <w:vMerge w:val="continue"/>
                  <w:vAlign w:val="center"/>
                </w:tcPr>
                <w:p w14:paraId="62AF332F">
                  <w:pPr>
                    <w:widowControl/>
                    <w:jc w:val="center"/>
                    <w:rPr>
                      <w:color w:val="auto"/>
                      <w:szCs w:val="21"/>
                    </w:rPr>
                  </w:pPr>
                </w:p>
              </w:tc>
              <w:tc>
                <w:tcPr>
                  <w:tcW w:w="328" w:type="pct"/>
                  <w:vAlign w:val="center"/>
                </w:tcPr>
                <w:p w14:paraId="46FFE9FB">
                  <w:pPr>
                    <w:jc w:val="center"/>
                    <w:rPr>
                      <w:color w:val="auto"/>
                      <w:szCs w:val="21"/>
                    </w:rPr>
                  </w:pPr>
                  <w:r>
                    <w:rPr>
                      <w:color w:val="auto"/>
                      <w:szCs w:val="21"/>
                    </w:rPr>
                    <w:t>30</w:t>
                  </w:r>
                </w:p>
              </w:tc>
              <w:tc>
                <w:tcPr>
                  <w:tcW w:w="381" w:type="pct"/>
                  <w:vAlign w:val="center"/>
                </w:tcPr>
                <w:p w14:paraId="51AFF291">
                  <w:pPr>
                    <w:widowControl/>
                    <w:jc w:val="center"/>
                    <w:textAlignment w:val="center"/>
                    <w:rPr>
                      <w:color w:val="auto"/>
                      <w:szCs w:val="21"/>
                    </w:rPr>
                  </w:pPr>
                  <w:r>
                    <w:rPr>
                      <w:color w:val="auto"/>
                      <w:kern w:val="0"/>
                      <w:szCs w:val="21"/>
                      <w:lang w:bidi="ar"/>
                    </w:rPr>
                    <w:t>0.1215</w:t>
                  </w:r>
                </w:p>
              </w:tc>
              <w:tc>
                <w:tcPr>
                  <w:tcW w:w="365" w:type="pct"/>
                  <w:vAlign w:val="center"/>
                </w:tcPr>
                <w:p w14:paraId="1A2C7D4E">
                  <w:pPr>
                    <w:jc w:val="center"/>
                    <w:rPr>
                      <w:color w:val="auto"/>
                      <w:szCs w:val="21"/>
                    </w:rPr>
                  </w:pPr>
                  <w:r>
                    <w:rPr>
                      <w:color w:val="auto"/>
                      <w:szCs w:val="21"/>
                    </w:rPr>
                    <w:t>35</w:t>
                  </w:r>
                </w:p>
              </w:tc>
              <w:tc>
                <w:tcPr>
                  <w:tcW w:w="272" w:type="pct"/>
                  <w:vMerge w:val="continue"/>
                  <w:vAlign w:val="center"/>
                </w:tcPr>
                <w:p w14:paraId="765694E9">
                  <w:pPr>
                    <w:jc w:val="center"/>
                    <w:rPr>
                      <w:color w:val="auto"/>
                      <w:kern w:val="0"/>
                      <w:szCs w:val="21"/>
                    </w:rPr>
                  </w:pPr>
                </w:p>
              </w:tc>
              <w:tc>
                <w:tcPr>
                  <w:tcW w:w="409" w:type="pct"/>
                  <w:vMerge w:val="continue"/>
                  <w:vAlign w:val="center"/>
                </w:tcPr>
                <w:p w14:paraId="41E31EFE">
                  <w:pPr>
                    <w:jc w:val="center"/>
                    <w:rPr>
                      <w:color w:val="auto"/>
                      <w:kern w:val="0"/>
                      <w:szCs w:val="21"/>
                    </w:rPr>
                  </w:pPr>
                </w:p>
              </w:tc>
            </w:tr>
            <w:tr w14:paraId="6ED09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3B36CD7C">
                  <w:pPr>
                    <w:jc w:val="center"/>
                    <w:rPr>
                      <w:color w:val="auto"/>
                      <w:szCs w:val="21"/>
                    </w:rPr>
                  </w:pPr>
                </w:p>
              </w:tc>
              <w:tc>
                <w:tcPr>
                  <w:tcW w:w="172" w:type="pct"/>
                  <w:vMerge w:val="continue"/>
                  <w:vAlign w:val="center"/>
                </w:tcPr>
                <w:p w14:paraId="594B86AE">
                  <w:pPr>
                    <w:jc w:val="center"/>
                    <w:rPr>
                      <w:color w:val="auto"/>
                      <w:szCs w:val="21"/>
                    </w:rPr>
                  </w:pPr>
                </w:p>
              </w:tc>
              <w:tc>
                <w:tcPr>
                  <w:tcW w:w="278" w:type="pct"/>
                  <w:vAlign w:val="center"/>
                </w:tcPr>
                <w:p w14:paraId="26B45F8A">
                  <w:pPr>
                    <w:widowControl/>
                    <w:adjustRightInd w:val="0"/>
                    <w:snapToGrid w:val="0"/>
                    <w:spacing w:line="240" w:lineRule="atLeast"/>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16447EB2">
                  <w:pPr>
                    <w:jc w:val="center"/>
                    <w:rPr>
                      <w:color w:val="auto"/>
                      <w:szCs w:val="21"/>
                    </w:rPr>
                  </w:pPr>
                </w:p>
              </w:tc>
              <w:tc>
                <w:tcPr>
                  <w:tcW w:w="309" w:type="pct"/>
                  <w:vAlign w:val="center"/>
                </w:tcPr>
                <w:p w14:paraId="39A2CF0D">
                  <w:pPr>
                    <w:jc w:val="center"/>
                    <w:rPr>
                      <w:color w:val="auto"/>
                      <w:szCs w:val="21"/>
                    </w:rPr>
                  </w:pPr>
                  <w:r>
                    <w:rPr>
                      <w:color w:val="auto"/>
                      <w:szCs w:val="21"/>
                    </w:rPr>
                    <w:t>4</w:t>
                  </w:r>
                </w:p>
              </w:tc>
              <w:tc>
                <w:tcPr>
                  <w:tcW w:w="354" w:type="pct"/>
                  <w:vAlign w:val="center"/>
                </w:tcPr>
                <w:p w14:paraId="738353C9">
                  <w:pPr>
                    <w:widowControl/>
                    <w:jc w:val="center"/>
                    <w:textAlignment w:val="center"/>
                    <w:rPr>
                      <w:color w:val="auto"/>
                      <w:szCs w:val="21"/>
                    </w:rPr>
                  </w:pPr>
                  <w:r>
                    <w:rPr>
                      <w:color w:val="auto"/>
                      <w:kern w:val="0"/>
                      <w:szCs w:val="21"/>
                      <w:lang w:bidi="ar"/>
                    </w:rPr>
                    <w:t>0.0162</w:t>
                  </w:r>
                </w:p>
              </w:tc>
              <w:tc>
                <w:tcPr>
                  <w:tcW w:w="391" w:type="pct"/>
                  <w:vMerge w:val="continue"/>
                  <w:vAlign w:val="center"/>
                </w:tcPr>
                <w:p w14:paraId="0BD801B2">
                  <w:pPr>
                    <w:widowControl/>
                    <w:jc w:val="center"/>
                    <w:rPr>
                      <w:color w:val="auto"/>
                      <w:szCs w:val="21"/>
                    </w:rPr>
                  </w:pPr>
                </w:p>
              </w:tc>
              <w:tc>
                <w:tcPr>
                  <w:tcW w:w="204" w:type="pct"/>
                  <w:vAlign w:val="center"/>
                </w:tcPr>
                <w:p w14:paraId="00F83A7D">
                  <w:pPr>
                    <w:jc w:val="center"/>
                    <w:rPr>
                      <w:color w:val="auto"/>
                      <w:szCs w:val="21"/>
                    </w:rPr>
                  </w:pPr>
                  <w:r>
                    <w:rPr>
                      <w:color w:val="auto"/>
                      <w:szCs w:val="21"/>
                    </w:rPr>
                    <w:t>/</w:t>
                  </w:r>
                </w:p>
              </w:tc>
              <w:tc>
                <w:tcPr>
                  <w:tcW w:w="174" w:type="pct"/>
                  <w:vMerge w:val="continue"/>
                  <w:vAlign w:val="center"/>
                </w:tcPr>
                <w:p w14:paraId="1E9A9113">
                  <w:pPr>
                    <w:widowControl/>
                    <w:jc w:val="center"/>
                    <w:rPr>
                      <w:color w:val="auto"/>
                      <w:szCs w:val="21"/>
                    </w:rPr>
                  </w:pPr>
                </w:p>
              </w:tc>
              <w:tc>
                <w:tcPr>
                  <w:tcW w:w="307" w:type="pct"/>
                  <w:vMerge w:val="continue"/>
                  <w:vAlign w:val="center"/>
                </w:tcPr>
                <w:p w14:paraId="54C58566">
                  <w:pPr>
                    <w:widowControl/>
                    <w:jc w:val="center"/>
                    <w:rPr>
                      <w:color w:val="auto"/>
                      <w:szCs w:val="21"/>
                    </w:rPr>
                  </w:pPr>
                </w:p>
              </w:tc>
              <w:tc>
                <w:tcPr>
                  <w:tcW w:w="328" w:type="pct"/>
                  <w:vAlign w:val="center"/>
                </w:tcPr>
                <w:p w14:paraId="21011704">
                  <w:pPr>
                    <w:jc w:val="center"/>
                    <w:rPr>
                      <w:color w:val="auto"/>
                      <w:szCs w:val="21"/>
                    </w:rPr>
                  </w:pPr>
                  <w:r>
                    <w:rPr>
                      <w:color w:val="auto"/>
                      <w:szCs w:val="21"/>
                    </w:rPr>
                    <w:t>4</w:t>
                  </w:r>
                </w:p>
              </w:tc>
              <w:tc>
                <w:tcPr>
                  <w:tcW w:w="381" w:type="pct"/>
                  <w:vAlign w:val="center"/>
                </w:tcPr>
                <w:p w14:paraId="59F5796A">
                  <w:pPr>
                    <w:widowControl/>
                    <w:jc w:val="center"/>
                    <w:textAlignment w:val="center"/>
                    <w:rPr>
                      <w:color w:val="auto"/>
                      <w:szCs w:val="21"/>
                    </w:rPr>
                  </w:pPr>
                  <w:r>
                    <w:rPr>
                      <w:color w:val="auto"/>
                      <w:kern w:val="0"/>
                      <w:szCs w:val="21"/>
                      <w:lang w:bidi="ar"/>
                    </w:rPr>
                    <w:t>0.0162</w:t>
                  </w:r>
                </w:p>
              </w:tc>
              <w:tc>
                <w:tcPr>
                  <w:tcW w:w="365" w:type="pct"/>
                  <w:vAlign w:val="center"/>
                </w:tcPr>
                <w:p w14:paraId="005799DC">
                  <w:pPr>
                    <w:jc w:val="center"/>
                    <w:rPr>
                      <w:color w:val="auto"/>
                      <w:szCs w:val="21"/>
                    </w:rPr>
                  </w:pPr>
                  <w:r>
                    <w:rPr>
                      <w:color w:val="auto"/>
                      <w:szCs w:val="21"/>
                    </w:rPr>
                    <w:t>4</w:t>
                  </w:r>
                </w:p>
              </w:tc>
              <w:tc>
                <w:tcPr>
                  <w:tcW w:w="272" w:type="pct"/>
                  <w:vMerge w:val="continue"/>
                  <w:vAlign w:val="center"/>
                </w:tcPr>
                <w:p w14:paraId="3F66B247">
                  <w:pPr>
                    <w:jc w:val="center"/>
                    <w:rPr>
                      <w:color w:val="auto"/>
                      <w:kern w:val="0"/>
                      <w:szCs w:val="21"/>
                    </w:rPr>
                  </w:pPr>
                </w:p>
              </w:tc>
              <w:tc>
                <w:tcPr>
                  <w:tcW w:w="409" w:type="pct"/>
                  <w:vMerge w:val="continue"/>
                  <w:vAlign w:val="center"/>
                </w:tcPr>
                <w:p w14:paraId="3D29B2C3">
                  <w:pPr>
                    <w:jc w:val="center"/>
                    <w:rPr>
                      <w:color w:val="auto"/>
                      <w:kern w:val="0"/>
                      <w:szCs w:val="21"/>
                    </w:rPr>
                  </w:pPr>
                </w:p>
              </w:tc>
            </w:tr>
            <w:tr w14:paraId="4BDB9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FA192B0">
                  <w:pPr>
                    <w:jc w:val="center"/>
                    <w:rPr>
                      <w:color w:val="auto"/>
                      <w:szCs w:val="21"/>
                    </w:rPr>
                  </w:pPr>
                </w:p>
              </w:tc>
              <w:tc>
                <w:tcPr>
                  <w:tcW w:w="172" w:type="pct"/>
                  <w:vMerge w:val="continue"/>
                  <w:vAlign w:val="center"/>
                </w:tcPr>
                <w:p w14:paraId="1399F0BA">
                  <w:pPr>
                    <w:jc w:val="center"/>
                    <w:rPr>
                      <w:color w:val="auto"/>
                      <w:szCs w:val="21"/>
                    </w:rPr>
                  </w:pPr>
                </w:p>
              </w:tc>
              <w:tc>
                <w:tcPr>
                  <w:tcW w:w="278" w:type="pct"/>
                  <w:vAlign w:val="center"/>
                </w:tcPr>
                <w:p w14:paraId="566FE39A">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132E9E3F">
                  <w:pPr>
                    <w:jc w:val="center"/>
                    <w:rPr>
                      <w:color w:val="auto"/>
                      <w:szCs w:val="21"/>
                    </w:rPr>
                  </w:pPr>
                </w:p>
              </w:tc>
              <w:tc>
                <w:tcPr>
                  <w:tcW w:w="309" w:type="pct"/>
                  <w:vAlign w:val="center"/>
                </w:tcPr>
                <w:p w14:paraId="695CAAD6">
                  <w:pPr>
                    <w:jc w:val="center"/>
                    <w:rPr>
                      <w:color w:val="auto"/>
                      <w:szCs w:val="21"/>
                    </w:rPr>
                  </w:pPr>
                  <w:r>
                    <w:rPr>
                      <w:color w:val="auto"/>
                      <w:szCs w:val="21"/>
                    </w:rPr>
                    <w:t>40</w:t>
                  </w:r>
                </w:p>
              </w:tc>
              <w:tc>
                <w:tcPr>
                  <w:tcW w:w="354" w:type="pct"/>
                  <w:vAlign w:val="center"/>
                </w:tcPr>
                <w:p w14:paraId="454D86EA">
                  <w:pPr>
                    <w:widowControl/>
                    <w:jc w:val="center"/>
                    <w:textAlignment w:val="center"/>
                    <w:rPr>
                      <w:color w:val="auto"/>
                      <w:szCs w:val="21"/>
                    </w:rPr>
                  </w:pPr>
                  <w:r>
                    <w:rPr>
                      <w:color w:val="auto"/>
                      <w:kern w:val="0"/>
                      <w:szCs w:val="21"/>
                      <w:lang w:bidi="ar"/>
                    </w:rPr>
                    <w:t>0.162</w:t>
                  </w:r>
                </w:p>
              </w:tc>
              <w:tc>
                <w:tcPr>
                  <w:tcW w:w="391" w:type="pct"/>
                  <w:vMerge w:val="continue"/>
                  <w:vAlign w:val="center"/>
                </w:tcPr>
                <w:p w14:paraId="4BE3A5A2">
                  <w:pPr>
                    <w:widowControl/>
                    <w:jc w:val="center"/>
                    <w:rPr>
                      <w:color w:val="auto"/>
                      <w:szCs w:val="21"/>
                    </w:rPr>
                  </w:pPr>
                </w:p>
              </w:tc>
              <w:tc>
                <w:tcPr>
                  <w:tcW w:w="204" w:type="pct"/>
                  <w:vAlign w:val="center"/>
                </w:tcPr>
                <w:p w14:paraId="134AACCB">
                  <w:pPr>
                    <w:jc w:val="center"/>
                    <w:rPr>
                      <w:color w:val="auto"/>
                      <w:szCs w:val="21"/>
                    </w:rPr>
                  </w:pPr>
                  <w:r>
                    <w:rPr>
                      <w:color w:val="auto"/>
                      <w:szCs w:val="21"/>
                    </w:rPr>
                    <w:t>/</w:t>
                  </w:r>
                </w:p>
              </w:tc>
              <w:tc>
                <w:tcPr>
                  <w:tcW w:w="174" w:type="pct"/>
                  <w:vMerge w:val="continue"/>
                  <w:vAlign w:val="center"/>
                </w:tcPr>
                <w:p w14:paraId="2DF4BE45">
                  <w:pPr>
                    <w:widowControl/>
                    <w:jc w:val="center"/>
                    <w:rPr>
                      <w:color w:val="auto"/>
                      <w:szCs w:val="21"/>
                    </w:rPr>
                  </w:pPr>
                </w:p>
              </w:tc>
              <w:tc>
                <w:tcPr>
                  <w:tcW w:w="307" w:type="pct"/>
                  <w:vMerge w:val="continue"/>
                  <w:vAlign w:val="center"/>
                </w:tcPr>
                <w:p w14:paraId="0925F8F8">
                  <w:pPr>
                    <w:widowControl/>
                    <w:jc w:val="center"/>
                    <w:rPr>
                      <w:color w:val="auto"/>
                      <w:szCs w:val="21"/>
                    </w:rPr>
                  </w:pPr>
                </w:p>
              </w:tc>
              <w:tc>
                <w:tcPr>
                  <w:tcW w:w="328" w:type="pct"/>
                  <w:vAlign w:val="center"/>
                </w:tcPr>
                <w:p w14:paraId="2B1E3436">
                  <w:pPr>
                    <w:jc w:val="center"/>
                    <w:rPr>
                      <w:color w:val="auto"/>
                      <w:szCs w:val="21"/>
                    </w:rPr>
                  </w:pPr>
                  <w:r>
                    <w:rPr>
                      <w:color w:val="auto"/>
                      <w:szCs w:val="21"/>
                    </w:rPr>
                    <w:t>40</w:t>
                  </w:r>
                </w:p>
              </w:tc>
              <w:tc>
                <w:tcPr>
                  <w:tcW w:w="381" w:type="pct"/>
                  <w:vAlign w:val="center"/>
                </w:tcPr>
                <w:p w14:paraId="5C0E2995">
                  <w:pPr>
                    <w:widowControl/>
                    <w:jc w:val="center"/>
                    <w:textAlignment w:val="center"/>
                    <w:rPr>
                      <w:color w:val="auto"/>
                      <w:szCs w:val="21"/>
                    </w:rPr>
                  </w:pPr>
                  <w:r>
                    <w:rPr>
                      <w:color w:val="auto"/>
                      <w:kern w:val="0"/>
                      <w:szCs w:val="21"/>
                      <w:lang w:bidi="ar"/>
                    </w:rPr>
                    <w:t>0.162</w:t>
                  </w:r>
                </w:p>
              </w:tc>
              <w:tc>
                <w:tcPr>
                  <w:tcW w:w="365" w:type="pct"/>
                  <w:vAlign w:val="center"/>
                </w:tcPr>
                <w:p w14:paraId="1F65C40B">
                  <w:pPr>
                    <w:jc w:val="center"/>
                    <w:rPr>
                      <w:color w:val="auto"/>
                      <w:szCs w:val="21"/>
                    </w:rPr>
                  </w:pPr>
                  <w:r>
                    <w:rPr>
                      <w:color w:val="auto"/>
                      <w:szCs w:val="21"/>
                    </w:rPr>
                    <w:t>50</w:t>
                  </w:r>
                </w:p>
              </w:tc>
              <w:tc>
                <w:tcPr>
                  <w:tcW w:w="272" w:type="pct"/>
                  <w:vMerge w:val="continue"/>
                  <w:vAlign w:val="center"/>
                </w:tcPr>
                <w:p w14:paraId="724490A9">
                  <w:pPr>
                    <w:jc w:val="center"/>
                    <w:rPr>
                      <w:color w:val="auto"/>
                      <w:kern w:val="0"/>
                      <w:szCs w:val="21"/>
                    </w:rPr>
                  </w:pPr>
                </w:p>
              </w:tc>
              <w:tc>
                <w:tcPr>
                  <w:tcW w:w="409" w:type="pct"/>
                  <w:vMerge w:val="continue"/>
                  <w:vAlign w:val="center"/>
                </w:tcPr>
                <w:p w14:paraId="50D7391C">
                  <w:pPr>
                    <w:jc w:val="center"/>
                    <w:rPr>
                      <w:color w:val="auto"/>
                      <w:kern w:val="0"/>
                      <w:szCs w:val="21"/>
                    </w:rPr>
                  </w:pPr>
                </w:p>
              </w:tc>
            </w:tr>
            <w:tr w14:paraId="6AF35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2AEF9EF1">
                  <w:pPr>
                    <w:jc w:val="center"/>
                    <w:rPr>
                      <w:color w:val="auto"/>
                      <w:szCs w:val="21"/>
                    </w:rPr>
                  </w:pPr>
                  <w:r>
                    <w:rPr>
                      <w:color w:val="auto"/>
                      <w:szCs w:val="21"/>
                    </w:rPr>
                    <w:t>食堂</w:t>
                  </w:r>
                </w:p>
              </w:tc>
              <w:tc>
                <w:tcPr>
                  <w:tcW w:w="172" w:type="pct"/>
                  <w:vMerge w:val="restart"/>
                  <w:vAlign w:val="center"/>
                </w:tcPr>
                <w:p w14:paraId="5EB31D7A">
                  <w:pPr>
                    <w:jc w:val="center"/>
                    <w:rPr>
                      <w:color w:val="auto"/>
                      <w:szCs w:val="21"/>
                    </w:rPr>
                  </w:pPr>
                  <w:r>
                    <w:rPr>
                      <w:color w:val="auto"/>
                      <w:szCs w:val="21"/>
                    </w:rPr>
                    <w:t>食堂废水</w:t>
                  </w:r>
                </w:p>
              </w:tc>
              <w:tc>
                <w:tcPr>
                  <w:tcW w:w="278" w:type="pct"/>
                  <w:vAlign w:val="center"/>
                </w:tcPr>
                <w:p w14:paraId="7A926B74">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09203D63">
                  <w:pPr>
                    <w:jc w:val="center"/>
                    <w:rPr>
                      <w:color w:val="auto"/>
                      <w:szCs w:val="21"/>
                    </w:rPr>
                  </w:pPr>
                  <w:r>
                    <w:rPr>
                      <w:color w:val="auto"/>
                      <w:szCs w:val="21"/>
                    </w:rPr>
                    <w:t>1620</w:t>
                  </w:r>
                </w:p>
              </w:tc>
              <w:tc>
                <w:tcPr>
                  <w:tcW w:w="309" w:type="pct"/>
                  <w:vAlign w:val="center"/>
                </w:tcPr>
                <w:p w14:paraId="4507AD77">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4996FF3D">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5D898379">
                  <w:pPr>
                    <w:widowControl/>
                    <w:jc w:val="center"/>
                    <w:rPr>
                      <w:color w:val="auto"/>
                      <w:szCs w:val="21"/>
                    </w:rPr>
                  </w:pPr>
                  <w:r>
                    <w:rPr>
                      <w:color w:val="auto"/>
                      <w:szCs w:val="21"/>
                    </w:rPr>
                    <w:t>隔油池+化粪池</w:t>
                  </w:r>
                </w:p>
              </w:tc>
              <w:tc>
                <w:tcPr>
                  <w:tcW w:w="204" w:type="pct"/>
                  <w:vAlign w:val="center"/>
                </w:tcPr>
                <w:p w14:paraId="2A4D2F46">
                  <w:pPr>
                    <w:jc w:val="center"/>
                    <w:rPr>
                      <w:color w:val="auto"/>
                      <w:szCs w:val="21"/>
                    </w:rPr>
                  </w:pPr>
                  <w:r>
                    <w:rPr>
                      <w:color w:val="auto"/>
                      <w:szCs w:val="21"/>
                    </w:rPr>
                    <w:t>/</w:t>
                  </w:r>
                </w:p>
              </w:tc>
              <w:tc>
                <w:tcPr>
                  <w:tcW w:w="174" w:type="pct"/>
                  <w:vMerge w:val="restart"/>
                  <w:vAlign w:val="center"/>
                </w:tcPr>
                <w:p w14:paraId="6D057CB0">
                  <w:pPr>
                    <w:widowControl/>
                    <w:jc w:val="center"/>
                    <w:rPr>
                      <w:color w:val="auto"/>
                      <w:szCs w:val="21"/>
                    </w:rPr>
                  </w:pPr>
                  <w:r>
                    <w:rPr>
                      <w:color w:val="auto"/>
                      <w:szCs w:val="21"/>
                    </w:rPr>
                    <w:t>是</w:t>
                  </w:r>
                </w:p>
              </w:tc>
              <w:tc>
                <w:tcPr>
                  <w:tcW w:w="307" w:type="pct"/>
                  <w:vMerge w:val="restart"/>
                  <w:vAlign w:val="center"/>
                </w:tcPr>
                <w:p w14:paraId="088995D6">
                  <w:pPr>
                    <w:widowControl/>
                    <w:jc w:val="center"/>
                    <w:rPr>
                      <w:color w:val="auto"/>
                      <w:szCs w:val="21"/>
                    </w:rPr>
                  </w:pPr>
                  <w:r>
                    <w:rPr>
                      <w:color w:val="auto"/>
                      <w:szCs w:val="21"/>
                    </w:rPr>
                    <w:t>1620</w:t>
                  </w:r>
                </w:p>
              </w:tc>
              <w:tc>
                <w:tcPr>
                  <w:tcW w:w="328" w:type="pct"/>
                  <w:vAlign w:val="center"/>
                </w:tcPr>
                <w:p w14:paraId="787CB06F">
                  <w:pPr>
                    <w:jc w:val="center"/>
                    <w:rPr>
                      <w:color w:val="auto"/>
                      <w:szCs w:val="21"/>
                    </w:rPr>
                  </w:pPr>
                  <w:r>
                    <w:rPr>
                      <w:color w:val="auto"/>
                      <w:szCs w:val="21"/>
                    </w:rPr>
                    <w:t>/</w:t>
                  </w:r>
                </w:p>
              </w:tc>
              <w:tc>
                <w:tcPr>
                  <w:tcW w:w="381" w:type="pct"/>
                  <w:vAlign w:val="center"/>
                </w:tcPr>
                <w:p w14:paraId="43481885">
                  <w:pPr>
                    <w:jc w:val="center"/>
                    <w:rPr>
                      <w:color w:val="auto"/>
                      <w:szCs w:val="21"/>
                    </w:rPr>
                  </w:pPr>
                  <w:r>
                    <w:rPr>
                      <w:color w:val="auto"/>
                      <w:szCs w:val="21"/>
                    </w:rPr>
                    <w:t>/</w:t>
                  </w:r>
                </w:p>
              </w:tc>
              <w:tc>
                <w:tcPr>
                  <w:tcW w:w="365" w:type="pct"/>
                  <w:vAlign w:val="center"/>
                </w:tcPr>
                <w:p w14:paraId="6B0BE1B3">
                  <w:pPr>
                    <w:jc w:val="center"/>
                    <w:rPr>
                      <w:color w:val="auto"/>
                      <w:szCs w:val="21"/>
                    </w:rPr>
                  </w:pPr>
                  <w:r>
                    <w:rPr>
                      <w:color w:val="auto"/>
                      <w:szCs w:val="21"/>
                    </w:rPr>
                    <w:t>6-9</w:t>
                  </w:r>
                </w:p>
              </w:tc>
              <w:tc>
                <w:tcPr>
                  <w:tcW w:w="272" w:type="pct"/>
                  <w:vMerge w:val="restart"/>
                  <w:vAlign w:val="center"/>
                </w:tcPr>
                <w:p w14:paraId="6A9B7929">
                  <w:pPr>
                    <w:jc w:val="center"/>
                    <w:rPr>
                      <w:color w:val="auto"/>
                      <w:kern w:val="0"/>
                      <w:szCs w:val="21"/>
                    </w:rPr>
                  </w:pPr>
                  <w:r>
                    <w:rPr>
                      <w:color w:val="auto"/>
                      <w:kern w:val="0"/>
                      <w:szCs w:val="21"/>
                    </w:rPr>
                    <w:t>3600</w:t>
                  </w:r>
                </w:p>
              </w:tc>
              <w:tc>
                <w:tcPr>
                  <w:tcW w:w="409" w:type="pct"/>
                  <w:vMerge w:val="restart"/>
                  <w:vAlign w:val="center"/>
                </w:tcPr>
                <w:p w14:paraId="413FE2F7">
                  <w:pPr>
                    <w:jc w:val="center"/>
                    <w:rPr>
                      <w:color w:val="auto"/>
                      <w:kern w:val="0"/>
                      <w:szCs w:val="21"/>
                    </w:rPr>
                  </w:pPr>
                  <w:r>
                    <w:rPr>
                      <w:color w:val="auto"/>
                      <w:kern w:val="0"/>
                      <w:szCs w:val="21"/>
                    </w:rPr>
                    <w:t>涟水县空港产业园污水处理厂</w:t>
                  </w:r>
                </w:p>
              </w:tc>
            </w:tr>
            <w:tr w14:paraId="283A6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FC11CF7">
                  <w:pPr>
                    <w:jc w:val="center"/>
                    <w:rPr>
                      <w:color w:val="auto"/>
                      <w:szCs w:val="21"/>
                    </w:rPr>
                  </w:pPr>
                </w:p>
              </w:tc>
              <w:tc>
                <w:tcPr>
                  <w:tcW w:w="172" w:type="pct"/>
                  <w:vMerge w:val="continue"/>
                  <w:vAlign w:val="center"/>
                </w:tcPr>
                <w:p w14:paraId="64A74B2A">
                  <w:pPr>
                    <w:jc w:val="center"/>
                    <w:rPr>
                      <w:color w:val="auto"/>
                      <w:szCs w:val="21"/>
                    </w:rPr>
                  </w:pPr>
                </w:p>
              </w:tc>
              <w:tc>
                <w:tcPr>
                  <w:tcW w:w="278" w:type="pct"/>
                  <w:vAlign w:val="center"/>
                </w:tcPr>
                <w:p w14:paraId="64C42F3C">
                  <w:pPr>
                    <w:widowControl/>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64751668">
                  <w:pPr>
                    <w:jc w:val="center"/>
                    <w:rPr>
                      <w:color w:val="auto"/>
                      <w:szCs w:val="21"/>
                    </w:rPr>
                  </w:pPr>
                </w:p>
              </w:tc>
              <w:tc>
                <w:tcPr>
                  <w:tcW w:w="309" w:type="pct"/>
                  <w:shd w:val="clear" w:color="auto" w:fill="auto"/>
                  <w:vAlign w:val="center"/>
                </w:tcPr>
                <w:p w14:paraId="7FA8DC61">
                  <w:pPr>
                    <w:jc w:val="center"/>
                    <w:rPr>
                      <w:color w:val="auto"/>
                      <w:szCs w:val="21"/>
                    </w:rPr>
                  </w:pPr>
                  <w:r>
                    <w:rPr>
                      <w:color w:val="auto"/>
                      <w:szCs w:val="21"/>
                    </w:rPr>
                    <w:t>350</w:t>
                  </w:r>
                </w:p>
              </w:tc>
              <w:tc>
                <w:tcPr>
                  <w:tcW w:w="354" w:type="pct"/>
                  <w:vAlign w:val="center"/>
                </w:tcPr>
                <w:p w14:paraId="07F071E5">
                  <w:pPr>
                    <w:widowControl/>
                    <w:jc w:val="center"/>
                    <w:textAlignment w:val="center"/>
                    <w:rPr>
                      <w:color w:val="auto"/>
                      <w:szCs w:val="21"/>
                    </w:rPr>
                  </w:pPr>
                  <w:r>
                    <w:rPr>
                      <w:color w:val="auto"/>
                      <w:kern w:val="0"/>
                      <w:szCs w:val="21"/>
                      <w:lang w:bidi="ar"/>
                    </w:rPr>
                    <w:t>0.567</w:t>
                  </w:r>
                </w:p>
              </w:tc>
              <w:tc>
                <w:tcPr>
                  <w:tcW w:w="391" w:type="pct"/>
                  <w:vMerge w:val="continue"/>
                  <w:vAlign w:val="center"/>
                </w:tcPr>
                <w:p w14:paraId="6CEDDA2A">
                  <w:pPr>
                    <w:widowControl/>
                    <w:jc w:val="center"/>
                    <w:rPr>
                      <w:color w:val="auto"/>
                      <w:szCs w:val="21"/>
                    </w:rPr>
                  </w:pPr>
                </w:p>
              </w:tc>
              <w:tc>
                <w:tcPr>
                  <w:tcW w:w="204" w:type="pct"/>
                  <w:vAlign w:val="center"/>
                </w:tcPr>
                <w:p w14:paraId="734BB84D">
                  <w:pPr>
                    <w:jc w:val="center"/>
                    <w:rPr>
                      <w:color w:val="auto"/>
                      <w:szCs w:val="21"/>
                    </w:rPr>
                  </w:pPr>
                  <w:r>
                    <w:rPr>
                      <w:color w:val="auto"/>
                      <w:szCs w:val="21"/>
                    </w:rPr>
                    <w:t>20</w:t>
                  </w:r>
                </w:p>
              </w:tc>
              <w:tc>
                <w:tcPr>
                  <w:tcW w:w="174" w:type="pct"/>
                  <w:vMerge w:val="continue"/>
                  <w:vAlign w:val="center"/>
                </w:tcPr>
                <w:p w14:paraId="22CA640B">
                  <w:pPr>
                    <w:widowControl/>
                    <w:jc w:val="center"/>
                    <w:rPr>
                      <w:color w:val="auto"/>
                      <w:szCs w:val="21"/>
                    </w:rPr>
                  </w:pPr>
                </w:p>
              </w:tc>
              <w:tc>
                <w:tcPr>
                  <w:tcW w:w="307" w:type="pct"/>
                  <w:vMerge w:val="continue"/>
                  <w:vAlign w:val="center"/>
                </w:tcPr>
                <w:p w14:paraId="76750BE0">
                  <w:pPr>
                    <w:widowControl/>
                    <w:jc w:val="center"/>
                    <w:rPr>
                      <w:color w:val="auto"/>
                      <w:szCs w:val="21"/>
                    </w:rPr>
                  </w:pPr>
                </w:p>
              </w:tc>
              <w:tc>
                <w:tcPr>
                  <w:tcW w:w="328" w:type="pct"/>
                  <w:vAlign w:val="center"/>
                </w:tcPr>
                <w:p w14:paraId="7E10DB4C">
                  <w:pPr>
                    <w:jc w:val="center"/>
                    <w:rPr>
                      <w:color w:val="auto"/>
                      <w:szCs w:val="21"/>
                    </w:rPr>
                  </w:pPr>
                  <w:r>
                    <w:rPr>
                      <w:color w:val="auto"/>
                      <w:szCs w:val="21"/>
                    </w:rPr>
                    <w:t>280</w:t>
                  </w:r>
                </w:p>
              </w:tc>
              <w:tc>
                <w:tcPr>
                  <w:tcW w:w="381" w:type="pct"/>
                  <w:shd w:val="clear" w:color="auto" w:fill="auto"/>
                  <w:vAlign w:val="center"/>
                </w:tcPr>
                <w:p w14:paraId="5BC77E9A">
                  <w:pPr>
                    <w:widowControl/>
                    <w:jc w:val="center"/>
                    <w:textAlignment w:val="center"/>
                    <w:rPr>
                      <w:color w:val="auto"/>
                      <w:szCs w:val="21"/>
                    </w:rPr>
                  </w:pPr>
                  <w:r>
                    <w:rPr>
                      <w:color w:val="auto"/>
                      <w:kern w:val="0"/>
                      <w:szCs w:val="21"/>
                      <w:lang w:bidi="ar"/>
                    </w:rPr>
                    <w:t>0.4536</w:t>
                  </w:r>
                </w:p>
              </w:tc>
              <w:tc>
                <w:tcPr>
                  <w:tcW w:w="365" w:type="pct"/>
                  <w:vAlign w:val="center"/>
                </w:tcPr>
                <w:p w14:paraId="5C74CF26">
                  <w:pPr>
                    <w:jc w:val="center"/>
                    <w:rPr>
                      <w:color w:val="auto"/>
                      <w:szCs w:val="21"/>
                    </w:rPr>
                  </w:pPr>
                  <w:r>
                    <w:rPr>
                      <w:color w:val="auto"/>
                      <w:szCs w:val="21"/>
                    </w:rPr>
                    <w:t>300</w:t>
                  </w:r>
                </w:p>
              </w:tc>
              <w:tc>
                <w:tcPr>
                  <w:tcW w:w="272" w:type="pct"/>
                  <w:vMerge w:val="continue"/>
                  <w:vAlign w:val="center"/>
                </w:tcPr>
                <w:p w14:paraId="57CE88DD">
                  <w:pPr>
                    <w:jc w:val="center"/>
                    <w:rPr>
                      <w:color w:val="auto"/>
                      <w:kern w:val="0"/>
                      <w:szCs w:val="21"/>
                    </w:rPr>
                  </w:pPr>
                </w:p>
              </w:tc>
              <w:tc>
                <w:tcPr>
                  <w:tcW w:w="409" w:type="pct"/>
                  <w:vMerge w:val="continue"/>
                  <w:vAlign w:val="center"/>
                </w:tcPr>
                <w:p w14:paraId="1400B598">
                  <w:pPr>
                    <w:jc w:val="center"/>
                    <w:rPr>
                      <w:color w:val="auto"/>
                      <w:kern w:val="0"/>
                      <w:szCs w:val="21"/>
                    </w:rPr>
                  </w:pPr>
                </w:p>
              </w:tc>
            </w:tr>
            <w:tr w14:paraId="74A30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7EEE56E5">
                  <w:pPr>
                    <w:jc w:val="center"/>
                    <w:rPr>
                      <w:color w:val="auto"/>
                      <w:szCs w:val="21"/>
                    </w:rPr>
                  </w:pPr>
                </w:p>
              </w:tc>
              <w:tc>
                <w:tcPr>
                  <w:tcW w:w="172" w:type="pct"/>
                  <w:vMerge w:val="continue"/>
                  <w:vAlign w:val="center"/>
                </w:tcPr>
                <w:p w14:paraId="70921819">
                  <w:pPr>
                    <w:jc w:val="center"/>
                    <w:rPr>
                      <w:color w:val="auto"/>
                      <w:szCs w:val="21"/>
                    </w:rPr>
                  </w:pPr>
                </w:p>
              </w:tc>
              <w:tc>
                <w:tcPr>
                  <w:tcW w:w="278" w:type="pct"/>
                  <w:vAlign w:val="center"/>
                </w:tcPr>
                <w:p w14:paraId="055B9596">
                  <w:pPr>
                    <w:widowControl/>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29731A49">
                  <w:pPr>
                    <w:jc w:val="center"/>
                    <w:rPr>
                      <w:color w:val="auto"/>
                      <w:szCs w:val="21"/>
                    </w:rPr>
                  </w:pPr>
                </w:p>
              </w:tc>
              <w:tc>
                <w:tcPr>
                  <w:tcW w:w="309" w:type="pct"/>
                  <w:shd w:val="clear" w:color="auto" w:fill="auto"/>
                  <w:vAlign w:val="center"/>
                </w:tcPr>
                <w:p w14:paraId="3CA1F54E">
                  <w:pPr>
                    <w:jc w:val="center"/>
                    <w:rPr>
                      <w:color w:val="auto"/>
                      <w:szCs w:val="21"/>
                    </w:rPr>
                  </w:pPr>
                  <w:r>
                    <w:rPr>
                      <w:color w:val="auto"/>
                      <w:szCs w:val="21"/>
                    </w:rPr>
                    <w:t>200</w:t>
                  </w:r>
                </w:p>
              </w:tc>
              <w:tc>
                <w:tcPr>
                  <w:tcW w:w="354" w:type="pct"/>
                  <w:vAlign w:val="center"/>
                </w:tcPr>
                <w:p w14:paraId="4361B129">
                  <w:pPr>
                    <w:widowControl/>
                    <w:jc w:val="center"/>
                    <w:textAlignment w:val="center"/>
                    <w:rPr>
                      <w:color w:val="auto"/>
                      <w:szCs w:val="21"/>
                    </w:rPr>
                  </w:pPr>
                  <w:r>
                    <w:rPr>
                      <w:color w:val="auto"/>
                      <w:kern w:val="0"/>
                      <w:szCs w:val="21"/>
                      <w:lang w:bidi="ar"/>
                    </w:rPr>
                    <w:t>0.324</w:t>
                  </w:r>
                </w:p>
              </w:tc>
              <w:tc>
                <w:tcPr>
                  <w:tcW w:w="391" w:type="pct"/>
                  <w:vMerge w:val="continue"/>
                  <w:vAlign w:val="center"/>
                </w:tcPr>
                <w:p w14:paraId="6FEEF1D8">
                  <w:pPr>
                    <w:widowControl/>
                    <w:jc w:val="center"/>
                    <w:rPr>
                      <w:color w:val="auto"/>
                      <w:szCs w:val="21"/>
                    </w:rPr>
                  </w:pPr>
                </w:p>
              </w:tc>
              <w:tc>
                <w:tcPr>
                  <w:tcW w:w="204" w:type="pct"/>
                  <w:vAlign w:val="center"/>
                </w:tcPr>
                <w:p w14:paraId="17EE581D">
                  <w:pPr>
                    <w:jc w:val="center"/>
                    <w:rPr>
                      <w:color w:val="auto"/>
                      <w:szCs w:val="21"/>
                    </w:rPr>
                  </w:pPr>
                  <w:r>
                    <w:rPr>
                      <w:rFonts w:hint="eastAsia"/>
                      <w:color w:val="auto"/>
                      <w:szCs w:val="21"/>
                    </w:rPr>
                    <w:t>50</w:t>
                  </w:r>
                </w:p>
              </w:tc>
              <w:tc>
                <w:tcPr>
                  <w:tcW w:w="174" w:type="pct"/>
                  <w:vMerge w:val="continue"/>
                  <w:vAlign w:val="center"/>
                </w:tcPr>
                <w:p w14:paraId="5C388475">
                  <w:pPr>
                    <w:widowControl/>
                    <w:jc w:val="center"/>
                    <w:rPr>
                      <w:color w:val="auto"/>
                      <w:szCs w:val="21"/>
                    </w:rPr>
                  </w:pPr>
                </w:p>
              </w:tc>
              <w:tc>
                <w:tcPr>
                  <w:tcW w:w="307" w:type="pct"/>
                  <w:vMerge w:val="continue"/>
                  <w:vAlign w:val="center"/>
                </w:tcPr>
                <w:p w14:paraId="3243DE7A">
                  <w:pPr>
                    <w:widowControl/>
                    <w:jc w:val="center"/>
                    <w:rPr>
                      <w:color w:val="auto"/>
                      <w:szCs w:val="21"/>
                    </w:rPr>
                  </w:pPr>
                </w:p>
              </w:tc>
              <w:tc>
                <w:tcPr>
                  <w:tcW w:w="328" w:type="pct"/>
                  <w:vAlign w:val="center"/>
                </w:tcPr>
                <w:p w14:paraId="3163BBC3">
                  <w:pPr>
                    <w:widowControl/>
                    <w:jc w:val="center"/>
                    <w:textAlignment w:val="center"/>
                    <w:rPr>
                      <w:color w:val="auto"/>
                      <w:szCs w:val="21"/>
                    </w:rPr>
                  </w:pPr>
                  <w:r>
                    <w:rPr>
                      <w:rFonts w:hint="eastAsia"/>
                      <w:color w:val="auto"/>
                      <w:kern w:val="0"/>
                      <w:szCs w:val="21"/>
                      <w:lang w:bidi="ar"/>
                    </w:rPr>
                    <w:t>100</w:t>
                  </w:r>
                </w:p>
              </w:tc>
              <w:tc>
                <w:tcPr>
                  <w:tcW w:w="381" w:type="pct"/>
                  <w:vAlign w:val="center"/>
                </w:tcPr>
                <w:p w14:paraId="6684ACD1">
                  <w:pPr>
                    <w:widowControl/>
                    <w:jc w:val="center"/>
                    <w:textAlignment w:val="center"/>
                    <w:rPr>
                      <w:color w:val="auto"/>
                      <w:szCs w:val="21"/>
                    </w:rPr>
                  </w:pPr>
                  <w:r>
                    <w:rPr>
                      <w:color w:val="auto"/>
                      <w:kern w:val="0"/>
                      <w:szCs w:val="21"/>
                      <w:lang w:bidi="ar"/>
                    </w:rPr>
                    <w:t>0.</w:t>
                  </w:r>
                  <w:r>
                    <w:rPr>
                      <w:rFonts w:hint="eastAsia"/>
                      <w:color w:val="auto"/>
                      <w:kern w:val="0"/>
                      <w:szCs w:val="21"/>
                      <w:lang w:bidi="ar"/>
                    </w:rPr>
                    <w:t>162</w:t>
                  </w:r>
                </w:p>
              </w:tc>
              <w:tc>
                <w:tcPr>
                  <w:tcW w:w="365" w:type="pct"/>
                  <w:vAlign w:val="center"/>
                </w:tcPr>
                <w:p w14:paraId="716A8A81">
                  <w:pPr>
                    <w:jc w:val="center"/>
                    <w:rPr>
                      <w:color w:val="auto"/>
                      <w:szCs w:val="21"/>
                    </w:rPr>
                  </w:pPr>
                  <w:r>
                    <w:rPr>
                      <w:color w:val="auto"/>
                      <w:szCs w:val="21"/>
                    </w:rPr>
                    <w:t>200</w:t>
                  </w:r>
                </w:p>
              </w:tc>
              <w:tc>
                <w:tcPr>
                  <w:tcW w:w="272" w:type="pct"/>
                  <w:vMerge w:val="continue"/>
                  <w:vAlign w:val="center"/>
                </w:tcPr>
                <w:p w14:paraId="708B1324">
                  <w:pPr>
                    <w:jc w:val="center"/>
                    <w:rPr>
                      <w:color w:val="auto"/>
                      <w:kern w:val="0"/>
                      <w:szCs w:val="21"/>
                    </w:rPr>
                  </w:pPr>
                </w:p>
              </w:tc>
              <w:tc>
                <w:tcPr>
                  <w:tcW w:w="409" w:type="pct"/>
                  <w:vMerge w:val="continue"/>
                  <w:vAlign w:val="center"/>
                </w:tcPr>
                <w:p w14:paraId="488DA59D">
                  <w:pPr>
                    <w:jc w:val="center"/>
                    <w:rPr>
                      <w:color w:val="auto"/>
                      <w:kern w:val="0"/>
                      <w:szCs w:val="21"/>
                    </w:rPr>
                  </w:pPr>
                </w:p>
              </w:tc>
            </w:tr>
            <w:tr w14:paraId="64B0A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continue"/>
                  <w:vAlign w:val="center"/>
                </w:tcPr>
                <w:p w14:paraId="5D635BFF">
                  <w:pPr>
                    <w:jc w:val="center"/>
                    <w:rPr>
                      <w:color w:val="auto"/>
                      <w:szCs w:val="21"/>
                    </w:rPr>
                  </w:pPr>
                </w:p>
              </w:tc>
              <w:tc>
                <w:tcPr>
                  <w:tcW w:w="172" w:type="pct"/>
                  <w:vMerge w:val="continue"/>
                  <w:vAlign w:val="center"/>
                </w:tcPr>
                <w:p w14:paraId="60950080">
                  <w:pPr>
                    <w:jc w:val="center"/>
                    <w:rPr>
                      <w:color w:val="auto"/>
                      <w:szCs w:val="21"/>
                    </w:rPr>
                  </w:pPr>
                </w:p>
              </w:tc>
              <w:tc>
                <w:tcPr>
                  <w:tcW w:w="278" w:type="pct"/>
                  <w:vAlign w:val="center"/>
                </w:tcPr>
                <w:p w14:paraId="03E5851E">
                  <w:pPr>
                    <w:widowControl/>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6CB30ED">
                  <w:pPr>
                    <w:jc w:val="center"/>
                    <w:rPr>
                      <w:color w:val="auto"/>
                      <w:szCs w:val="21"/>
                    </w:rPr>
                  </w:pPr>
                </w:p>
              </w:tc>
              <w:tc>
                <w:tcPr>
                  <w:tcW w:w="309" w:type="pct"/>
                  <w:shd w:val="clear" w:color="auto" w:fill="auto"/>
                  <w:vAlign w:val="center"/>
                </w:tcPr>
                <w:p w14:paraId="09BCF66C">
                  <w:pPr>
                    <w:jc w:val="center"/>
                    <w:rPr>
                      <w:color w:val="auto"/>
                      <w:szCs w:val="21"/>
                    </w:rPr>
                  </w:pPr>
                  <w:r>
                    <w:rPr>
                      <w:color w:val="auto"/>
                      <w:szCs w:val="21"/>
                    </w:rPr>
                    <w:t>30</w:t>
                  </w:r>
                </w:p>
              </w:tc>
              <w:tc>
                <w:tcPr>
                  <w:tcW w:w="354" w:type="pct"/>
                  <w:vAlign w:val="center"/>
                </w:tcPr>
                <w:p w14:paraId="09D9E309">
                  <w:pPr>
                    <w:widowControl/>
                    <w:jc w:val="center"/>
                    <w:textAlignment w:val="center"/>
                    <w:rPr>
                      <w:color w:val="auto"/>
                      <w:szCs w:val="21"/>
                    </w:rPr>
                  </w:pPr>
                  <w:r>
                    <w:rPr>
                      <w:color w:val="auto"/>
                      <w:kern w:val="0"/>
                      <w:szCs w:val="21"/>
                      <w:lang w:bidi="ar"/>
                    </w:rPr>
                    <w:t>0.0486</w:t>
                  </w:r>
                </w:p>
              </w:tc>
              <w:tc>
                <w:tcPr>
                  <w:tcW w:w="391" w:type="pct"/>
                  <w:vMerge w:val="continue"/>
                  <w:vAlign w:val="center"/>
                </w:tcPr>
                <w:p w14:paraId="474AEE27">
                  <w:pPr>
                    <w:widowControl/>
                    <w:jc w:val="center"/>
                    <w:rPr>
                      <w:color w:val="auto"/>
                      <w:szCs w:val="21"/>
                    </w:rPr>
                  </w:pPr>
                </w:p>
              </w:tc>
              <w:tc>
                <w:tcPr>
                  <w:tcW w:w="204" w:type="pct"/>
                  <w:vAlign w:val="center"/>
                </w:tcPr>
                <w:p w14:paraId="2C223F58">
                  <w:pPr>
                    <w:jc w:val="center"/>
                    <w:rPr>
                      <w:color w:val="auto"/>
                      <w:szCs w:val="21"/>
                    </w:rPr>
                  </w:pPr>
                  <w:r>
                    <w:rPr>
                      <w:color w:val="auto"/>
                      <w:szCs w:val="21"/>
                    </w:rPr>
                    <w:t>/</w:t>
                  </w:r>
                </w:p>
              </w:tc>
              <w:tc>
                <w:tcPr>
                  <w:tcW w:w="174" w:type="pct"/>
                  <w:vMerge w:val="continue"/>
                  <w:vAlign w:val="center"/>
                </w:tcPr>
                <w:p w14:paraId="1BEF695C">
                  <w:pPr>
                    <w:widowControl/>
                    <w:jc w:val="center"/>
                    <w:rPr>
                      <w:color w:val="auto"/>
                      <w:szCs w:val="21"/>
                    </w:rPr>
                  </w:pPr>
                </w:p>
              </w:tc>
              <w:tc>
                <w:tcPr>
                  <w:tcW w:w="307" w:type="pct"/>
                  <w:vMerge w:val="continue"/>
                  <w:vAlign w:val="center"/>
                </w:tcPr>
                <w:p w14:paraId="20A4D566">
                  <w:pPr>
                    <w:widowControl/>
                    <w:jc w:val="center"/>
                    <w:rPr>
                      <w:color w:val="auto"/>
                      <w:szCs w:val="21"/>
                    </w:rPr>
                  </w:pPr>
                </w:p>
              </w:tc>
              <w:tc>
                <w:tcPr>
                  <w:tcW w:w="816" w:type="dxa"/>
                  <w:vAlign w:val="center"/>
                </w:tcPr>
                <w:p w14:paraId="41C7FBF4">
                  <w:pPr>
                    <w:jc w:val="center"/>
                    <w:rPr>
                      <w:color w:val="auto"/>
                      <w:szCs w:val="21"/>
                    </w:rPr>
                  </w:pPr>
                  <w:r>
                    <w:rPr>
                      <w:color w:val="auto"/>
                      <w:szCs w:val="21"/>
                    </w:rPr>
                    <w:t>30</w:t>
                  </w:r>
                </w:p>
              </w:tc>
              <w:tc>
                <w:tcPr>
                  <w:tcW w:w="381" w:type="pct"/>
                  <w:vAlign w:val="center"/>
                </w:tcPr>
                <w:p w14:paraId="6C052414">
                  <w:pPr>
                    <w:widowControl/>
                    <w:jc w:val="center"/>
                    <w:textAlignment w:val="center"/>
                    <w:rPr>
                      <w:color w:val="auto"/>
                      <w:szCs w:val="21"/>
                    </w:rPr>
                  </w:pPr>
                  <w:r>
                    <w:rPr>
                      <w:color w:val="auto"/>
                      <w:kern w:val="0"/>
                      <w:szCs w:val="21"/>
                      <w:lang w:bidi="ar"/>
                    </w:rPr>
                    <w:t>0.0486</w:t>
                  </w:r>
                </w:p>
              </w:tc>
              <w:tc>
                <w:tcPr>
                  <w:tcW w:w="365" w:type="pct"/>
                  <w:vAlign w:val="center"/>
                </w:tcPr>
                <w:p w14:paraId="0FF58162">
                  <w:pPr>
                    <w:jc w:val="center"/>
                    <w:rPr>
                      <w:color w:val="auto"/>
                      <w:szCs w:val="21"/>
                    </w:rPr>
                  </w:pPr>
                  <w:r>
                    <w:rPr>
                      <w:color w:val="auto"/>
                      <w:szCs w:val="21"/>
                    </w:rPr>
                    <w:t>35</w:t>
                  </w:r>
                </w:p>
              </w:tc>
              <w:tc>
                <w:tcPr>
                  <w:tcW w:w="272" w:type="pct"/>
                  <w:vMerge w:val="continue"/>
                  <w:vAlign w:val="center"/>
                </w:tcPr>
                <w:p w14:paraId="40452051">
                  <w:pPr>
                    <w:jc w:val="center"/>
                    <w:rPr>
                      <w:color w:val="auto"/>
                      <w:kern w:val="0"/>
                      <w:szCs w:val="21"/>
                    </w:rPr>
                  </w:pPr>
                </w:p>
              </w:tc>
              <w:tc>
                <w:tcPr>
                  <w:tcW w:w="409" w:type="pct"/>
                  <w:vMerge w:val="continue"/>
                  <w:vAlign w:val="center"/>
                </w:tcPr>
                <w:p w14:paraId="0C19CD81">
                  <w:pPr>
                    <w:jc w:val="center"/>
                    <w:rPr>
                      <w:color w:val="auto"/>
                      <w:kern w:val="0"/>
                      <w:szCs w:val="21"/>
                    </w:rPr>
                  </w:pPr>
                </w:p>
              </w:tc>
            </w:tr>
            <w:tr w14:paraId="5F657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E7AF79E">
                  <w:pPr>
                    <w:jc w:val="center"/>
                    <w:rPr>
                      <w:color w:val="auto"/>
                      <w:szCs w:val="21"/>
                    </w:rPr>
                  </w:pPr>
                </w:p>
              </w:tc>
              <w:tc>
                <w:tcPr>
                  <w:tcW w:w="172" w:type="pct"/>
                  <w:vMerge w:val="continue"/>
                  <w:vAlign w:val="center"/>
                </w:tcPr>
                <w:p w14:paraId="329F0AF5">
                  <w:pPr>
                    <w:jc w:val="center"/>
                    <w:rPr>
                      <w:color w:val="auto"/>
                      <w:szCs w:val="21"/>
                    </w:rPr>
                  </w:pPr>
                </w:p>
              </w:tc>
              <w:tc>
                <w:tcPr>
                  <w:tcW w:w="278" w:type="pct"/>
                  <w:vAlign w:val="center"/>
                </w:tcPr>
                <w:p w14:paraId="1C8E9E41">
                  <w:pPr>
                    <w:widowControl/>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46B57534">
                  <w:pPr>
                    <w:jc w:val="center"/>
                    <w:rPr>
                      <w:color w:val="auto"/>
                      <w:szCs w:val="21"/>
                    </w:rPr>
                  </w:pPr>
                </w:p>
              </w:tc>
              <w:tc>
                <w:tcPr>
                  <w:tcW w:w="309" w:type="pct"/>
                  <w:shd w:val="clear" w:color="auto" w:fill="auto"/>
                  <w:vAlign w:val="center"/>
                </w:tcPr>
                <w:p w14:paraId="0C9DD62D">
                  <w:pPr>
                    <w:jc w:val="center"/>
                    <w:rPr>
                      <w:color w:val="auto"/>
                      <w:szCs w:val="21"/>
                    </w:rPr>
                  </w:pPr>
                  <w:r>
                    <w:rPr>
                      <w:color w:val="auto"/>
                      <w:szCs w:val="21"/>
                    </w:rPr>
                    <w:t>4</w:t>
                  </w:r>
                </w:p>
              </w:tc>
              <w:tc>
                <w:tcPr>
                  <w:tcW w:w="354" w:type="pct"/>
                  <w:vAlign w:val="center"/>
                </w:tcPr>
                <w:p w14:paraId="029541BA">
                  <w:pPr>
                    <w:widowControl/>
                    <w:jc w:val="center"/>
                    <w:textAlignment w:val="center"/>
                    <w:rPr>
                      <w:color w:val="auto"/>
                      <w:szCs w:val="21"/>
                    </w:rPr>
                  </w:pPr>
                  <w:r>
                    <w:rPr>
                      <w:color w:val="auto"/>
                      <w:kern w:val="0"/>
                      <w:szCs w:val="21"/>
                      <w:lang w:bidi="ar"/>
                    </w:rPr>
                    <w:t>0.00648</w:t>
                  </w:r>
                </w:p>
              </w:tc>
              <w:tc>
                <w:tcPr>
                  <w:tcW w:w="391" w:type="pct"/>
                  <w:vMerge w:val="continue"/>
                  <w:vAlign w:val="center"/>
                </w:tcPr>
                <w:p w14:paraId="22440597">
                  <w:pPr>
                    <w:widowControl/>
                    <w:jc w:val="center"/>
                    <w:rPr>
                      <w:color w:val="auto"/>
                      <w:szCs w:val="21"/>
                    </w:rPr>
                  </w:pPr>
                </w:p>
              </w:tc>
              <w:tc>
                <w:tcPr>
                  <w:tcW w:w="204" w:type="pct"/>
                  <w:vAlign w:val="center"/>
                </w:tcPr>
                <w:p w14:paraId="362B285F">
                  <w:pPr>
                    <w:jc w:val="center"/>
                    <w:rPr>
                      <w:color w:val="auto"/>
                      <w:szCs w:val="21"/>
                    </w:rPr>
                  </w:pPr>
                  <w:r>
                    <w:rPr>
                      <w:color w:val="auto"/>
                      <w:szCs w:val="21"/>
                    </w:rPr>
                    <w:t>/</w:t>
                  </w:r>
                </w:p>
              </w:tc>
              <w:tc>
                <w:tcPr>
                  <w:tcW w:w="174" w:type="pct"/>
                  <w:vMerge w:val="continue"/>
                  <w:vAlign w:val="center"/>
                </w:tcPr>
                <w:p w14:paraId="7CE6676C">
                  <w:pPr>
                    <w:widowControl/>
                    <w:jc w:val="center"/>
                    <w:rPr>
                      <w:color w:val="auto"/>
                      <w:szCs w:val="21"/>
                    </w:rPr>
                  </w:pPr>
                </w:p>
              </w:tc>
              <w:tc>
                <w:tcPr>
                  <w:tcW w:w="307" w:type="pct"/>
                  <w:vMerge w:val="continue"/>
                  <w:vAlign w:val="center"/>
                </w:tcPr>
                <w:p w14:paraId="10305A2A">
                  <w:pPr>
                    <w:widowControl/>
                    <w:jc w:val="center"/>
                    <w:rPr>
                      <w:color w:val="auto"/>
                      <w:szCs w:val="21"/>
                    </w:rPr>
                  </w:pPr>
                </w:p>
              </w:tc>
              <w:tc>
                <w:tcPr>
                  <w:tcW w:w="816" w:type="dxa"/>
                  <w:vAlign w:val="center"/>
                </w:tcPr>
                <w:p w14:paraId="6FC0D5C3">
                  <w:pPr>
                    <w:jc w:val="center"/>
                    <w:rPr>
                      <w:color w:val="auto"/>
                      <w:szCs w:val="21"/>
                    </w:rPr>
                  </w:pPr>
                  <w:r>
                    <w:rPr>
                      <w:color w:val="auto"/>
                      <w:szCs w:val="21"/>
                    </w:rPr>
                    <w:t>4</w:t>
                  </w:r>
                </w:p>
              </w:tc>
              <w:tc>
                <w:tcPr>
                  <w:tcW w:w="381" w:type="pct"/>
                  <w:vAlign w:val="center"/>
                </w:tcPr>
                <w:p w14:paraId="5B9E8EB7">
                  <w:pPr>
                    <w:widowControl/>
                    <w:jc w:val="center"/>
                    <w:textAlignment w:val="center"/>
                    <w:rPr>
                      <w:color w:val="auto"/>
                      <w:szCs w:val="21"/>
                    </w:rPr>
                  </w:pPr>
                  <w:r>
                    <w:rPr>
                      <w:color w:val="auto"/>
                      <w:kern w:val="0"/>
                      <w:szCs w:val="21"/>
                      <w:lang w:bidi="ar"/>
                    </w:rPr>
                    <w:t>0.00648</w:t>
                  </w:r>
                </w:p>
              </w:tc>
              <w:tc>
                <w:tcPr>
                  <w:tcW w:w="365" w:type="pct"/>
                  <w:vAlign w:val="center"/>
                </w:tcPr>
                <w:p w14:paraId="1243B068">
                  <w:pPr>
                    <w:jc w:val="center"/>
                    <w:rPr>
                      <w:color w:val="auto"/>
                      <w:szCs w:val="21"/>
                    </w:rPr>
                  </w:pPr>
                  <w:r>
                    <w:rPr>
                      <w:color w:val="auto"/>
                      <w:szCs w:val="21"/>
                    </w:rPr>
                    <w:t>4</w:t>
                  </w:r>
                </w:p>
              </w:tc>
              <w:tc>
                <w:tcPr>
                  <w:tcW w:w="272" w:type="pct"/>
                  <w:vMerge w:val="continue"/>
                  <w:vAlign w:val="center"/>
                </w:tcPr>
                <w:p w14:paraId="4B152234">
                  <w:pPr>
                    <w:jc w:val="center"/>
                    <w:rPr>
                      <w:color w:val="auto"/>
                      <w:kern w:val="0"/>
                      <w:szCs w:val="21"/>
                    </w:rPr>
                  </w:pPr>
                </w:p>
              </w:tc>
              <w:tc>
                <w:tcPr>
                  <w:tcW w:w="409" w:type="pct"/>
                  <w:vMerge w:val="continue"/>
                  <w:vAlign w:val="center"/>
                </w:tcPr>
                <w:p w14:paraId="673EC59F">
                  <w:pPr>
                    <w:jc w:val="center"/>
                    <w:rPr>
                      <w:color w:val="auto"/>
                      <w:kern w:val="0"/>
                      <w:szCs w:val="21"/>
                    </w:rPr>
                  </w:pPr>
                </w:p>
              </w:tc>
            </w:tr>
            <w:tr w14:paraId="62DE3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9" w:hRule="atLeast"/>
                <w:jc w:val="center"/>
              </w:trPr>
              <w:tc>
                <w:tcPr>
                  <w:tcW w:w="746" w:type="pct"/>
                  <w:vMerge w:val="continue"/>
                  <w:vAlign w:val="center"/>
                </w:tcPr>
                <w:p w14:paraId="601CCEC3">
                  <w:pPr>
                    <w:jc w:val="center"/>
                    <w:rPr>
                      <w:color w:val="auto"/>
                      <w:szCs w:val="21"/>
                    </w:rPr>
                  </w:pPr>
                </w:p>
              </w:tc>
              <w:tc>
                <w:tcPr>
                  <w:tcW w:w="172" w:type="pct"/>
                  <w:vMerge w:val="continue"/>
                  <w:vAlign w:val="center"/>
                </w:tcPr>
                <w:p w14:paraId="4B889697">
                  <w:pPr>
                    <w:jc w:val="center"/>
                    <w:rPr>
                      <w:color w:val="auto"/>
                      <w:szCs w:val="21"/>
                    </w:rPr>
                  </w:pPr>
                </w:p>
              </w:tc>
              <w:tc>
                <w:tcPr>
                  <w:tcW w:w="278" w:type="pct"/>
                  <w:vAlign w:val="center"/>
                </w:tcPr>
                <w:p w14:paraId="640D8429">
                  <w:pPr>
                    <w:widowControl/>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0C69F826">
                  <w:pPr>
                    <w:jc w:val="center"/>
                    <w:rPr>
                      <w:color w:val="auto"/>
                      <w:szCs w:val="21"/>
                    </w:rPr>
                  </w:pPr>
                </w:p>
              </w:tc>
              <w:tc>
                <w:tcPr>
                  <w:tcW w:w="309" w:type="pct"/>
                  <w:shd w:val="clear" w:color="auto" w:fill="auto"/>
                  <w:vAlign w:val="center"/>
                </w:tcPr>
                <w:p w14:paraId="2908F984">
                  <w:pPr>
                    <w:jc w:val="center"/>
                    <w:rPr>
                      <w:color w:val="auto"/>
                      <w:szCs w:val="21"/>
                    </w:rPr>
                  </w:pPr>
                  <w:r>
                    <w:rPr>
                      <w:color w:val="auto"/>
                      <w:szCs w:val="21"/>
                    </w:rPr>
                    <w:t>40</w:t>
                  </w:r>
                </w:p>
              </w:tc>
              <w:tc>
                <w:tcPr>
                  <w:tcW w:w="354" w:type="pct"/>
                  <w:vAlign w:val="center"/>
                </w:tcPr>
                <w:p w14:paraId="5E1125F4">
                  <w:pPr>
                    <w:widowControl/>
                    <w:jc w:val="center"/>
                    <w:textAlignment w:val="center"/>
                    <w:rPr>
                      <w:color w:val="auto"/>
                      <w:szCs w:val="21"/>
                    </w:rPr>
                  </w:pPr>
                  <w:r>
                    <w:rPr>
                      <w:color w:val="auto"/>
                      <w:kern w:val="0"/>
                      <w:szCs w:val="21"/>
                      <w:lang w:bidi="ar"/>
                    </w:rPr>
                    <w:t>0.0648</w:t>
                  </w:r>
                </w:p>
              </w:tc>
              <w:tc>
                <w:tcPr>
                  <w:tcW w:w="391" w:type="pct"/>
                  <w:vMerge w:val="continue"/>
                  <w:vAlign w:val="center"/>
                </w:tcPr>
                <w:p w14:paraId="6D842298">
                  <w:pPr>
                    <w:widowControl/>
                    <w:jc w:val="center"/>
                    <w:rPr>
                      <w:color w:val="auto"/>
                      <w:szCs w:val="21"/>
                    </w:rPr>
                  </w:pPr>
                </w:p>
              </w:tc>
              <w:tc>
                <w:tcPr>
                  <w:tcW w:w="204" w:type="pct"/>
                  <w:vAlign w:val="center"/>
                </w:tcPr>
                <w:p w14:paraId="5FA7DC1B">
                  <w:pPr>
                    <w:jc w:val="center"/>
                    <w:rPr>
                      <w:color w:val="auto"/>
                      <w:szCs w:val="21"/>
                    </w:rPr>
                  </w:pPr>
                  <w:r>
                    <w:rPr>
                      <w:color w:val="auto"/>
                      <w:szCs w:val="21"/>
                    </w:rPr>
                    <w:t>/</w:t>
                  </w:r>
                </w:p>
              </w:tc>
              <w:tc>
                <w:tcPr>
                  <w:tcW w:w="174" w:type="pct"/>
                  <w:vMerge w:val="continue"/>
                  <w:vAlign w:val="center"/>
                </w:tcPr>
                <w:p w14:paraId="14752FA4">
                  <w:pPr>
                    <w:widowControl/>
                    <w:jc w:val="center"/>
                    <w:rPr>
                      <w:color w:val="auto"/>
                      <w:szCs w:val="21"/>
                    </w:rPr>
                  </w:pPr>
                </w:p>
              </w:tc>
              <w:tc>
                <w:tcPr>
                  <w:tcW w:w="307" w:type="pct"/>
                  <w:vMerge w:val="continue"/>
                  <w:vAlign w:val="center"/>
                </w:tcPr>
                <w:p w14:paraId="0EC6D1E1">
                  <w:pPr>
                    <w:widowControl/>
                    <w:jc w:val="center"/>
                    <w:rPr>
                      <w:color w:val="auto"/>
                      <w:szCs w:val="21"/>
                    </w:rPr>
                  </w:pPr>
                </w:p>
              </w:tc>
              <w:tc>
                <w:tcPr>
                  <w:tcW w:w="816" w:type="dxa"/>
                  <w:vAlign w:val="center"/>
                </w:tcPr>
                <w:p w14:paraId="532570FA">
                  <w:pPr>
                    <w:jc w:val="center"/>
                    <w:rPr>
                      <w:color w:val="auto"/>
                      <w:szCs w:val="21"/>
                    </w:rPr>
                  </w:pPr>
                  <w:r>
                    <w:rPr>
                      <w:color w:val="auto"/>
                      <w:szCs w:val="21"/>
                    </w:rPr>
                    <w:t>40</w:t>
                  </w:r>
                </w:p>
              </w:tc>
              <w:tc>
                <w:tcPr>
                  <w:tcW w:w="381" w:type="pct"/>
                  <w:vAlign w:val="center"/>
                </w:tcPr>
                <w:p w14:paraId="0BDBEC23">
                  <w:pPr>
                    <w:widowControl/>
                    <w:jc w:val="center"/>
                    <w:textAlignment w:val="center"/>
                    <w:rPr>
                      <w:color w:val="auto"/>
                      <w:szCs w:val="21"/>
                    </w:rPr>
                  </w:pPr>
                  <w:r>
                    <w:rPr>
                      <w:color w:val="auto"/>
                      <w:kern w:val="0"/>
                      <w:szCs w:val="21"/>
                      <w:lang w:bidi="ar"/>
                    </w:rPr>
                    <w:t>0.0648</w:t>
                  </w:r>
                </w:p>
              </w:tc>
              <w:tc>
                <w:tcPr>
                  <w:tcW w:w="365" w:type="pct"/>
                  <w:vAlign w:val="center"/>
                </w:tcPr>
                <w:p w14:paraId="740C8DF1">
                  <w:pPr>
                    <w:jc w:val="center"/>
                    <w:rPr>
                      <w:color w:val="auto"/>
                      <w:szCs w:val="21"/>
                    </w:rPr>
                  </w:pPr>
                  <w:r>
                    <w:rPr>
                      <w:color w:val="auto"/>
                      <w:szCs w:val="21"/>
                    </w:rPr>
                    <w:t>50</w:t>
                  </w:r>
                </w:p>
              </w:tc>
              <w:tc>
                <w:tcPr>
                  <w:tcW w:w="272" w:type="pct"/>
                  <w:vMerge w:val="continue"/>
                  <w:vAlign w:val="center"/>
                </w:tcPr>
                <w:p w14:paraId="5DDFE83E">
                  <w:pPr>
                    <w:jc w:val="center"/>
                    <w:rPr>
                      <w:color w:val="auto"/>
                      <w:kern w:val="0"/>
                      <w:szCs w:val="21"/>
                    </w:rPr>
                  </w:pPr>
                </w:p>
              </w:tc>
              <w:tc>
                <w:tcPr>
                  <w:tcW w:w="409" w:type="pct"/>
                  <w:vMerge w:val="continue"/>
                  <w:vAlign w:val="center"/>
                </w:tcPr>
                <w:p w14:paraId="6F26883A">
                  <w:pPr>
                    <w:jc w:val="center"/>
                    <w:rPr>
                      <w:color w:val="auto"/>
                      <w:kern w:val="0"/>
                      <w:szCs w:val="21"/>
                    </w:rPr>
                  </w:pPr>
                </w:p>
              </w:tc>
            </w:tr>
            <w:tr w14:paraId="34D6F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78A4045F">
                  <w:pPr>
                    <w:jc w:val="center"/>
                    <w:rPr>
                      <w:color w:val="auto"/>
                      <w:szCs w:val="21"/>
                    </w:rPr>
                  </w:pPr>
                </w:p>
              </w:tc>
              <w:tc>
                <w:tcPr>
                  <w:tcW w:w="172" w:type="pct"/>
                  <w:vMerge w:val="continue"/>
                  <w:vAlign w:val="center"/>
                </w:tcPr>
                <w:p w14:paraId="235D351A">
                  <w:pPr>
                    <w:jc w:val="center"/>
                    <w:rPr>
                      <w:color w:val="auto"/>
                      <w:szCs w:val="21"/>
                    </w:rPr>
                  </w:pPr>
                </w:p>
              </w:tc>
              <w:tc>
                <w:tcPr>
                  <w:tcW w:w="278" w:type="pct"/>
                  <w:vAlign w:val="center"/>
                </w:tcPr>
                <w:p w14:paraId="591818CE">
                  <w:pPr>
                    <w:widowControl/>
                    <w:jc w:val="center"/>
                    <w:textAlignment w:val="center"/>
                    <w:rPr>
                      <w:color w:val="auto"/>
                      <w:kern w:val="0"/>
                      <w:szCs w:val="21"/>
                      <w:lang w:bidi="ar"/>
                    </w:rPr>
                  </w:pPr>
                  <w:r>
                    <w:rPr>
                      <w:color w:val="auto"/>
                      <w:kern w:val="0"/>
                      <w:szCs w:val="21"/>
                      <w:lang w:bidi="ar"/>
                    </w:rPr>
                    <w:t>动植物油</w:t>
                  </w:r>
                </w:p>
              </w:tc>
              <w:tc>
                <w:tcPr>
                  <w:tcW w:w="307" w:type="pct"/>
                  <w:vMerge w:val="continue"/>
                  <w:vAlign w:val="center"/>
                </w:tcPr>
                <w:p w14:paraId="1F0CE010">
                  <w:pPr>
                    <w:jc w:val="center"/>
                    <w:rPr>
                      <w:color w:val="auto"/>
                      <w:szCs w:val="21"/>
                    </w:rPr>
                  </w:pPr>
                </w:p>
              </w:tc>
              <w:tc>
                <w:tcPr>
                  <w:tcW w:w="309" w:type="pct"/>
                  <w:vAlign w:val="center"/>
                </w:tcPr>
                <w:p w14:paraId="5E028431">
                  <w:pPr>
                    <w:jc w:val="center"/>
                    <w:rPr>
                      <w:color w:val="auto"/>
                      <w:szCs w:val="21"/>
                    </w:rPr>
                  </w:pPr>
                  <w:r>
                    <w:rPr>
                      <w:color w:val="auto"/>
                      <w:szCs w:val="21"/>
                    </w:rPr>
                    <w:t>160</w:t>
                  </w:r>
                </w:p>
              </w:tc>
              <w:tc>
                <w:tcPr>
                  <w:tcW w:w="354" w:type="pct"/>
                  <w:vAlign w:val="center"/>
                </w:tcPr>
                <w:p w14:paraId="7466FB1E">
                  <w:pPr>
                    <w:widowControl/>
                    <w:jc w:val="center"/>
                    <w:textAlignment w:val="center"/>
                    <w:rPr>
                      <w:color w:val="auto"/>
                      <w:szCs w:val="21"/>
                    </w:rPr>
                  </w:pPr>
                  <w:r>
                    <w:rPr>
                      <w:color w:val="auto"/>
                      <w:kern w:val="0"/>
                      <w:szCs w:val="21"/>
                      <w:lang w:bidi="ar"/>
                    </w:rPr>
                    <w:t>0.2592</w:t>
                  </w:r>
                </w:p>
              </w:tc>
              <w:tc>
                <w:tcPr>
                  <w:tcW w:w="391" w:type="pct"/>
                  <w:vMerge w:val="continue"/>
                  <w:vAlign w:val="center"/>
                </w:tcPr>
                <w:p w14:paraId="6815BCEA">
                  <w:pPr>
                    <w:widowControl/>
                    <w:jc w:val="center"/>
                    <w:rPr>
                      <w:color w:val="auto"/>
                      <w:szCs w:val="21"/>
                    </w:rPr>
                  </w:pPr>
                </w:p>
              </w:tc>
              <w:tc>
                <w:tcPr>
                  <w:tcW w:w="204" w:type="pct"/>
                  <w:vAlign w:val="center"/>
                </w:tcPr>
                <w:p w14:paraId="3AE5C9F4">
                  <w:pPr>
                    <w:jc w:val="center"/>
                    <w:rPr>
                      <w:color w:val="auto"/>
                      <w:szCs w:val="21"/>
                    </w:rPr>
                  </w:pPr>
                  <w:r>
                    <w:rPr>
                      <w:color w:val="auto"/>
                      <w:szCs w:val="21"/>
                    </w:rPr>
                    <w:t>50</w:t>
                  </w:r>
                </w:p>
              </w:tc>
              <w:tc>
                <w:tcPr>
                  <w:tcW w:w="174" w:type="pct"/>
                  <w:vMerge w:val="continue"/>
                  <w:vAlign w:val="center"/>
                </w:tcPr>
                <w:p w14:paraId="121D56F4">
                  <w:pPr>
                    <w:widowControl/>
                    <w:jc w:val="center"/>
                    <w:rPr>
                      <w:color w:val="auto"/>
                      <w:szCs w:val="21"/>
                    </w:rPr>
                  </w:pPr>
                </w:p>
              </w:tc>
              <w:tc>
                <w:tcPr>
                  <w:tcW w:w="307" w:type="pct"/>
                  <w:vMerge w:val="continue"/>
                  <w:vAlign w:val="center"/>
                </w:tcPr>
                <w:p w14:paraId="7883AA8F">
                  <w:pPr>
                    <w:widowControl/>
                    <w:jc w:val="center"/>
                    <w:rPr>
                      <w:color w:val="auto"/>
                      <w:szCs w:val="21"/>
                    </w:rPr>
                  </w:pPr>
                </w:p>
              </w:tc>
              <w:tc>
                <w:tcPr>
                  <w:tcW w:w="328" w:type="pct"/>
                  <w:vAlign w:val="center"/>
                </w:tcPr>
                <w:p w14:paraId="0164BE22">
                  <w:pPr>
                    <w:jc w:val="center"/>
                    <w:rPr>
                      <w:color w:val="auto"/>
                      <w:szCs w:val="21"/>
                    </w:rPr>
                  </w:pPr>
                  <w:r>
                    <w:rPr>
                      <w:color w:val="auto"/>
                      <w:szCs w:val="21"/>
                    </w:rPr>
                    <w:t>80</w:t>
                  </w:r>
                </w:p>
              </w:tc>
              <w:tc>
                <w:tcPr>
                  <w:tcW w:w="381" w:type="pct"/>
                  <w:shd w:val="clear" w:color="auto" w:fill="auto"/>
                  <w:vAlign w:val="center"/>
                </w:tcPr>
                <w:p w14:paraId="1C7AA282">
                  <w:pPr>
                    <w:widowControl/>
                    <w:jc w:val="center"/>
                    <w:textAlignment w:val="center"/>
                    <w:rPr>
                      <w:color w:val="auto"/>
                      <w:szCs w:val="21"/>
                    </w:rPr>
                  </w:pPr>
                  <w:r>
                    <w:rPr>
                      <w:color w:val="auto"/>
                      <w:kern w:val="0"/>
                      <w:szCs w:val="21"/>
                      <w:lang w:bidi="ar"/>
                    </w:rPr>
                    <w:t>0.1296</w:t>
                  </w:r>
                </w:p>
              </w:tc>
              <w:tc>
                <w:tcPr>
                  <w:tcW w:w="365" w:type="pct"/>
                  <w:vAlign w:val="center"/>
                </w:tcPr>
                <w:p w14:paraId="50D09383">
                  <w:pPr>
                    <w:jc w:val="center"/>
                    <w:rPr>
                      <w:color w:val="auto"/>
                      <w:szCs w:val="21"/>
                    </w:rPr>
                  </w:pPr>
                  <w:r>
                    <w:rPr>
                      <w:color w:val="auto"/>
                      <w:szCs w:val="21"/>
                    </w:rPr>
                    <w:t>100</w:t>
                  </w:r>
                </w:p>
              </w:tc>
              <w:tc>
                <w:tcPr>
                  <w:tcW w:w="272" w:type="pct"/>
                  <w:vMerge w:val="continue"/>
                  <w:vAlign w:val="center"/>
                </w:tcPr>
                <w:p w14:paraId="19933D67">
                  <w:pPr>
                    <w:jc w:val="center"/>
                    <w:rPr>
                      <w:color w:val="auto"/>
                      <w:kern w:val="0"/>
                      <w:szCs w:val="21"/>
                    </w:rPr>
                  </w:pPr>
                </w:p>
              </w:tc>
              <w:tc>
                <w:tcPr>
                  <w:tcW w:w="409" w:type="pct"/>
                  <w:vMerge w:val="continue"/>
                  <w:vAlign w:val="center"/>
                </w:tcPr>
                <w:p w14:paraId="75002A13">
                  <w:pPr>
                    <w:jc w:val="center"/>
                    <w:rPr>
                      <w:color w:val="auto"/>
                      <w:kern w:val="0"/>
                      <w:szCs w:val="21"/>
                    </w:rPr>
                  </w:pPr>
                </w:p>
              </w:tc>
            </w:tr>
          </w:tbl>
          <w:p w14:paraId="36F4AE70">
            <w:pPr>
              <w:keepNext/>
              <w:adjustRightInd w:val="0"/>
              <w:snapToGrid w:val="0"/>
              <w:jc w:val="center"/>
              <w:rPr>
                <w:b/>
                <w:color w:val="auto"/>
                <w:szCs w:val="21"/>
              </w:rPr>
            </w:pPr>
            <w:r>
              <w:rPr>
                <w:b/>
                <w:color w:val="auto"/>
                <w:sz w:val="24"/>
              </w:rPr>
              <w:t>表4-1</w:t>
            </w:r>
            <w:r>
              <w:rPr>
                <w:rFonts w:hint="eastAsia"/>
                <w:b/>
                <w:color w:val="auto"/>
                <w:sz w:val="24"/>
              </w:rPr>
              <w:t>8</w:t>
            </w:r>
            <w:r>
              <w:rPr>
                <w:b/>
                <w:color w:val="auto"/>
                <w:sz w:val="24"/>
              </w:rPr>
              <w:t xml:space="preserve">  废水类别、污染物及污染治理设施信息表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4"/>
              <w:gridCol w:w="743"/>
              <w:gridCol w:w="1024"/>
              <w:gridCol w:w="969"/>
              <w:gridCol w:w="969"/>
              <w:gridCol w:w="868"/>
              <w:gridCol w:w="1175"/>
              <w:gridCol w:w="1247"/>
              <w:gridCol w:w="967"/>
              <w:gridCol w:w="967"/>
              <w:gridCol w:w="969"/>
              <w:gridCol w:w="1976"/>
            </w:tblGrid>
            <w:tr w14:paraId="3E6A0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Merge w:val="restart"/>
                  <w:tcBorders>
                    <w:top w:val="single" w:color="auto" w:sz="12" w:space="0"/>
                    <w:bottom w:val="single" w:color="auto" w:sz="4" w:space="0"/>
                  </w:tcBorders>
                  <w:vAlign w:val="center"/>
                </w:tcPr>
                <w:p w14:paraId="3A1DBC74">
                  <w:pPr>
                    <w:adjustRightInd w:val="0"/>
                    <w:snapToGrid w:val="0"/>
                    <w:jc w:val="center"/>
                    <w:rPr>
                      <w:b/>
                      <w:bCs/>
                      <w:color w:val="auto"/>
                      <w:szCs w:val="21"/>
                    </w:rPr>
                  </w:pPr>
                  <w:r>
                    <w:rPr>
                      <w:b/>
                      <w:bCs/>
                      <w:color w:val="auto"/>
                      <w:szCs w:val="21"/>
                    </w:rPr>
                    <w:t>序号</w:t>
                  </w:r>
                </w:p>
              </w:tc>
              <w:tc>
                <w:tcPr>
                  <w:tcW w:w="743" w:type="dxa"/>
                  <w:vMerge w:val="restart"/>
                  <w:tcBorders>
                    <w:top w:val="single" w:color="auto" w:sz="12" w:space="0"/>
                    <w:bottom w:val="single" w:color="auto" w:sz="4" w:space="0"/>
                  </w:tcBorders>
                  <w:vAlign w:val="center"/>
                </w:tcPr>
                <w:p w14:paraId="4A66CAB5">
                  <w:pPr>
                    <w:adjustRightInd w:val="0"/>
                    <w:snapToGrid w:val="0"/>
                    <w:jc w:val="center"/>
                    <w:rPr>
                      <w:b/>
                      <w:bCs/>
                      <w:color w:val="auto"/>
                      <w:szCs w:val="21"/>
                    </w:rPr>
                  </w:pPr>
                  <w:r>
                    <w:rPr>
                      <w:b/>
                      <w:bCs/>
                      <w:color w:val="auto"/>
                      <w:szCs w:val="21"/>
                    </w:rPr>
                    <w:t>废水类别</w:t>
                  </w:r>
                </w:p>
              </w:tc>
              <w:tc>
                <w:tcPr>
                  <w:tcW w:w="1024" w:type="dxa"/>
                  <w:vMerge w:val="restart"/>
                  <w:tcBorders>
                    <w:top w:val="single" w:color="auto" w:sz="12" w:space="0"/>
                    <w:bottom w:val="single" w:color="auto" w:sz="4" w:space="0"/>
                  </w:tcBorders>
                  <w:vAlign w:val="center"/>
                </w:tcPr>
                <w:p w14:paraId="741EA351">
                  <w:pPr>
                    <w:adjustRightInd w:val="0"/>
                    <w:snapToGrid w:val="0"/>
                    <w:jc w:val="center"/>
                    <w:rPr>
                      <w:b/>
                      <w:bCs/>
                      <w:color w:val="auto"/>
                      <w:szCs w:val="21"/>
                    </w:rPr>
                  </w:pPr>
                  <w:r>
                    <w:rPr>
                      <w:b/>
                      <w:bCs/>
                      <w:color w:val="auto"/>
                      <w:szCs w:val="21"/>
                    </w:rPr>
                    <w:t>污染物种类</w:t>
                  </w:r>
                </w:p>
              </w:tc>
              <w:tc>
                <w:tcPr>
                  <w:tcW w:w="969" w:type="dxa"/>
                  <w:vMerge w:val="restart"/>
                  <w:tcBorders>
                    <w:top w:val="single" w:color="auto" w:sz="12" w:space="0"/>
                    <w:bottom w:val="single" w:color="auto" w:sz="4" w:space="0"/>
                  </w:tcBorders>
                  <w:vAlign w:val="center"/>
                </w:tcPr>
                <w:p w14:paraId="0E629A32">
                  <w:pPr>
                    <w:adjustRightInd w:val="0"/>
                    <w:snapToGrid w:val="0"/>
                    <w:jc w:val="center"/>
                    <w:rPr>
                      <w:b/>
                      <w:bCs/>
                      <w:color w:val="auto"/>
                      <w:szCs w:val="21"/>
                    </w:rPr>
                  </w:pPr>
                  <w:r>
                    <w:rPr>
                      <w:b/>
                      <w:bCs/>
                      <w:color w:val="auto"/>
                      <w:szCs w:val="21"/>
                    </w:rPr>
                    <w:t>排放去向</w:t>
                  </w:r>
                </w:p>
              </w:tc>
              <w:tc>
                <w:tcPr>
                  <w:tcW w:w="969" w:type="dxa"/>
                  <w:vMerge w:val="restart"/>
                  <w:tcBorders>
                    <w:top w:val="single" w:color="auto" w:sz="12" w:space="0"/>
                    <w:bottom w:val="single" w:color="auto" w:sz="4" w:space="0"/>
                  </w:tcBorders>
                  <w:vAlign w:val="center"/>
                </w:tcPr>
                <w:p w14:paraId="1B821E3B">
                  <w:pPr>
                    <w:adjustRightInd w:val="0"/>
                    <w:snapToGrid w:val="0"/>
                    <w:jc w:val="center"/>
                    <w:rPr>
                      <w:b/>
                      <w:bCs/>
                      <w:color w:val="auto"/>
                      <w:szCs w:val="21"/>
                    </w:rPr>
                  </w:pPr>
                  <w:r>
                    <w:rPr>
                      <w:b/>
                      <w:bCs/>
                      <w:color w:val="auto"/>
                      <w:szCs w:val="21"/>
                    </w:rPr>
                    <w:t>排放规律</w:t>
                  </w:r>
                </w:p>
              </w:tc>
              <w:tc>
                <w:tcPr>
                  <w:tcW w:w="4257" w:type="dxa"/>
                  <w:gridSpan w:val="4"/>
                  <w:tcBorders>
                    <w:top w:val="single" w:color="auto" w:sz="12" w:space="0"/>
                    <w:bottom w:val="single" w:color="auto" w:sz="4" w:space="0"/>
                  </w:tcBorders>
                  <w:vAlign w:val="center"/>
                </w:tcPr>
                <w:p w14:paraId="55675216">
                  <w:pPr>
                    <w:adjustRightInd w:val="0"/>
                    <w:snapToGrid w:val="0"/>
                    <w:jc w:val="center"/>
                    <w:rPr>
                      <w:b/>
                      <w:bCs/>
                      <w:color w:val="auto"/>
                      <w:szCs w:val="21"/>
                    </w:rPr>
                  </w:pPr>
                  <w:r>
                    <w:rPr>
                      <w:b/>
                      <w:bCs/>
                      <w:color w:val="auto"/>
                      <w:szCs w:val="21"/>
                    </w:rPr>
                    <w:t>污染治理设施</w:t>
                  </w:r>
                </w:p>
              </w:tc>
              <w:tc>
                <w:tcPr>
                  <w:tcW w:w="967" w:type="dxa"/>
                  <w:vMerge w:val="restart"/>
                  <w:tcBorders>
                    <w:top w:val="single" w:color="auto" w:sz="12" w:space="0"/>
                    <w:bottom w:val="single" w:color="auto" w:sz="4" w:space="0"/>
                  </w:tcBorders>
                  <w:vAlign w:val="center"/>
                </w:tcPr>
                <w:p w14:paraId="6636E6B0">
                  <w:pPr>
                    <w:adjustRightInd w:val="0"/>
                    <w:snapToGrid w:val="0"/>
                    <w:jc w:val="center"/>
                    <w:rPr>
                      <w:b/>
                      <w:bCs/>
                      <w:color w:val="auto"/>
                      <w:szCs w:val="21"/>
                    </w:rPr>
                  </w:pPr>
                  <w:r>
                    <w:rPr>
                      <w:b/>
                      <w:bCs/>
                      <w:color w:val="auto"/>
                      <w:szCs w:val="21"/>
                    </w:rPr>
                    <w:t>排放口编号</w:t>
                  </w:r>
                </w:p>
              </w:tc>
              <w:tc>
                <w:tcPr>
                  <w:tcW w:w="969" w:type="dxa"/>
                  <w:vMerge w:val="restart"/>
                  <w:tcBorders>
                    <w:top w:val="single" w:color="auto" w:sz="12" w:space="0"/>
                    <w:bottom w:val="single" w:color="auto" w:sz="4" w:space="0"/>
                  </w:tcBorders>
                  <w:vAlign w:val="center"/>
                </w:tcPr>
                <w:p w14:paraId="5B88D2D3">
                  <w:pPr>
                    <w:adjustRightInd w:val="0"/>
                    <w:snapToGrid w:val="0"/>
                    <w:jc w:val="center"/>
                    <w:rPr>
                      <w:b/>
                      <w:bCs/>
                      <w:color w:val="auto"/>
                      <w:szCs w:val="21"/>
                    </w:rPr>
                  </w:pPr>
                  <w:r>
                    <w:rPr>
                      <w:b/>
                      <w:bCs/>
                      <w:color w:val="auto"/>
                      <w:szCs w:val="21"/>
                    </w:rPr>
                    <w:t>排放口设置是否符合要求</w:t>
                  </w:r>
                </w:p>
              </w:tc>
              <w:tc>
                <w:tcPr>
                  <w:tcW w:w="1976" w:type="dxa"/>
                  <w:vMerge w:val="restart"/>
                  <w:tcBorders>
                    <w:top w:val="single" w:color="auto" w:sz="12" w:space="0"/>
                    <w:bottom w:val="single" w:color="auto" w:sz="4" w:space="0"/>
                  </w:tcBorders>
                  <w:vAlign w:val="center"/>
                </w:tcPr>
                <w:p w14:paraId="7063FCD2">
                  <w:pPr>
                    <w:adjustRightInd w:val="0"/>
                    <w:snapToGrid w:val="0"/>
                    <w:jc w:val="center"/>
                    <w:rPr>
                      <w:b/>
                      <w:bCs/>
                      <w:color w:val="auto"/>
                      <w:szCs w:val="21"/>
                    </w:rPr>
                  </w:pPr>
                  <w:r>
                    <w:rPr>
                      <w:b/>
                      <w:bCs/>
                      <w:color w:val="auto"/>
                      <w:szCs w:val="21"/>
                    </w:rPr>
                    <w:t>排放口类型</w:t>
                  </w:r>
                </w:p>
              </w:tc>
            </w:tr>
            <w:tr w14:paraId="21FA7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Merge w:val="continue"/>
                  <w:tcBorders>
                    <w:top w:val="single" w:color="auto" w:sz="4" w:space="0"/>
                    <w:bottom w:val="single" w:color="auto" w:sz="12" w:space="0"/>
                  </w:tcBorders>
                  <w:vAlign w:val="center"/>
                </w:tcPr>
                <w:p w14:paraId="2CC50716">
                  <w:pPr>
                    <w:adjustRightInd w:val="0"/>
                    <w:snapToGrid w:val="0"/>
                    <w:jc w:val="center"/>
                    <w:rPr>
                      <w:b/>
                      <w:bCs/>
                      <w:color w:val="auto"/>
                      <w:szCs w:val="21"/>
                    </w:rPr>
                  </w:pPr>
                </w:p>
              </w:tc>
              <w:tc>
                <w:tcPr>
                  <w:tcW w:w="743" w:type="dxa"/>
                  <w:vMerge w:val="continue"/>
                  <w:tcBorders>
                    <w:top w:val="single" w:color="auto" w:sz="4" w:space="0"/>
                    <w:bottom w:val="single" w:color="auto" w:sz="12" w:space="0"/>
                  </w:tcBorders>
                  <w:vAlign w:val="center"/>
                </w:tcPr>
                <w:p w14:paraId="5C76C724">
                  <w:pPr>
                    <w:adjustRightInd w:val="0"/>
                    <w:snapToGrid w:val="0"/>
                    <w:jc w:val="center"/>
                    <w:rPr>
                      <w:b/>
                      <w:bCs/>
                      <w:color w:val="auto"/>
                      <w:szCs w:val="21"/>
                    </w:rPr>
                  </w:pPr>
                </w:p>
              </w:tc>
              <w:tc>
                <w:tcPr>
                  <w:tcW w:w="1024" w:type="dxa"/>
                  <w:vMerge w:val="continue"/>
                  <w:tcBorders>
                    <w:top w:val="single" w:color="auto" w:sz="4" w:space="0"/>
                    <w:bottom w:val="single" w:color="auto" w:sz="12" w:space="0"/>
                  </w:tcBorders>
                  <w:vAlign w:val="center"/>
                </w:tcPr>
                <w:p w14:paraId="00E299C1">
                  <w:pPr>
                    <w:adjustRightInd w:val="0"/>
                    <w:snapToGrid w:val="0"/>
                    <w:jc w:val="center"/>
                    <w:rPr>
                      <w:b/>
                      <w:bCs/>
                      <w:color w:val="auto"/>
                      <w:szCs w:val="21"/>
                    </w:rPr>
                  </w:pPr>
                </w:p>
              </w:tc>
              <w:tc>
                <w:tcPr>
                  <w:tcW w:w="969" w:type="dxa"/>
                  <w:vMerge w:val="continue"/>
                  <w:tcBorders>
                    <w:top w:val="single" w:color="auto" w:sz="4" w:space="0"/>
                    <w:bottom w:val="single" w:color="auto" w:sz="12" w:space="0"/>
                  </w:tcBorders>
                  <w:vAlign w:val="center"/>
                </w:tcPr>
                <w:p w14:paraId="7197823F">
                  <w:pPr>
                    <w:adjustRightInd w:val="0"/>
                    <w:snapToGrid w:val="0"/>
                    <w:jc w:val="center"/>
                    <w:rPr>
                      <w:b/>
                      <w:bCs/>
                      <w:color w:val="auto"/>
                      <w:szCs w:val="21"/>
                    </w:rPr>
                  </w:pPr>
                </w:p>
              </w:tc>
              <w:tc>
                <w:tcPr>
                  <w:tcW w:w="969" w:type="dxa"/>
                  <w:vMerge w:val="continue"/>
                  <w:tcBorders>
                    <w:top w:val="single" w:color="auto" w:sz="4" w:space="0"/>
                    <w:bottom w:val="single" w:color="auto" w:sz="12" w:space="0"/>
                  </w:tcBorders>
                  <w:vAlign w:val="center"/>
                </w:tcPr>
                <w:p w14:paraId="69C722EC">
                  <w:pPr>
                    <w:adjustRightInd w:val="0"/>
                    <w:snapToGrid w:val="0"/>
                    <w:jc w:val="center"/>
                    <w:rPr>
                      <w:b/>
                      <w:bCs/>
                      <w:color w:val="auto"/>
                      <w:szCs w:val="21"/>
                    </w:rPr>
                  </w:pPr>
                </w:p>
              </w:tc>
              <w:tc>
                <w:tcPr>
                  <w:tcW w:w="868" w:type="dxa"/>
                  <w:tcBorders>
                    <w:top w:val="single" w:color="auto" w:sz="4" w:space="0"/>
                    <w:bottom w:val="single" w:color="auto" w:sz="12" w:space="0"/>
                  </w:tcBorders>
                  <w:vAlign w:val="center"/>
                </w:tcPr>
                <w:p w14:paraId="4BF2F24E">
                  <w:pPr>
                    <w:adjustRightInd w:val="0"/>
                    <w:snapToGrid w:val="0"/>
                    <w:jc w:val="center"/>
                    <w:rPr>
                      <w:b/>
                      <w:bCs/>
                      <w:color w:val="auto"/>
                      <w:szCs w:val="21"/>
                    </w:rPr>
                  </w:pPr>
                  <w:r>
                    <w:rPr>
                      <w:b/>
                      <w:bCs/>
                      <w:color w:val="auto"/>
                      <w:szCs w:val="21"/>
                    </w:rPr>
                    <w:t>污染治理设施编号</w:t>
                  </w:r>
                </w:p>
              </w:tc>
              <w:tc>
                <w:tcPr>
                  <w:tcW w:w="1175" w:type="dxa"/>
                  <w:tcBorders>
                    <w:top w:val="single" w:color="auto" w:sz="4" w:space="0"/>
                    <w:bottom w:val="single" w:color="auto" w:sz="12" w:space="0"/>
                  </w:tcBorders>
                  <w:vAlign w:val="center"/>
                </w:tcPr>
                <w:p w14:paraId="1B5E9F41">
                  <w:pPr>
                    <w:adjustRightInd w:val="0"/>
                    <w:snapToGrid w:val="0"/>
                    <w:jc w:val="center"/>
                    <w:rPr>
                      <w:b/>
                      <w:bCs/>
                      <w:color w:val="auto"/>
                      <w:szCs w:val="21"/>
                    </w:rPr>
                  </w:pPr>
                  <w:r>
                    <w:rPr>
                      <w:b/>
                      <w:bCs/>
                      <w:color w:val="auto"/>
                      <w:szCs w:val="21"/>
                    </w:rPr>
                    <w:t>污染治理设施名称</w:t>
                  </w:r>
                </w:p>
              </w:tc>
              <w:tc>
                <w:tcPr>
                  <w:tcW w:w="1247" w:type="dxa"/>
                  <w:tcBorders>
                    <w:top w:val="single" w:color="auto" w:sz="4" w:space="0"/>
                    <w:bottom w:val="single" w:color="auto" w:sz="12" w:space="0"/>
                  </w:tcBorders>
                  <w:vAlign w:val="center"/>
                </w:tcPr>
                <w:p w14:paraId="75266E00">
                  <w:pPr>
                    <w:adjustRightInd w:val="0"/>
                    <w:snapToGrid w:val="0"/>
                    <w:jc w:val="center"/>
                    <w:rPr>
                      <w:b/>
                      <w:bCs/>
                      <w:color w:val="auto"/>
                      <w:szCs w:val="21"/>
                    </w:rPr>
                  </w:pPr>
                  <w:r>
                    <w:rPr>
                      <w:b/>
                      <w:bCs/>
                      <w:color w:val="auto"/>
                      <w:szCs w:val="21"/>
                    </w:rPr>
                    <w:t>污染治理设施工艺</w:t>
                  </w:r>
                </w:p>
              </w:tc>
              <w:tc>
                <w:tcPr>
                  <w:tcW w:w="967" w:type="dxa"/>
                  <w:tcBorders>
                    <w:top w:val="single" w:color="auto" w:sz="4" w:space="0"/>
                    <w:bottom w:val="single" w:color="auto" w:sz="12" w:space="0"/>
                  </w:tcBorders>
                  <w:vAlign w:val="center"/>
                </w:tcPr>
                <w:p w14:paraId="71EF00DA">
                  <w:pPr>
                    <w:adjustRightInd w:val="0"/>
                    <w:snapToGrid w:val="0"/>
                    <w:jc w:val="center"/>
                    <w:rPr>
                      <w:b/>
                      <w:bCs/>
                      <w:color w:val="auto"/>
                      <w:szCs w:val="21"/>
                    </w:rPr>
                  </w:pPr>
                  <w:r>
                    <w:rPr>
                      <w:b/>
                      <w:bCs/>
                      <w:color w:val="auto"/>
                      <w:szCs w:val="21"/>
                    </w:rPr>
                    <w:t>是否为可行技术</w:t>
                  </w:r>
                </w:p>
              </w:tc>
              <w:tc>
                <w:tcPr>
                  <w:tcW w:w="967" w:type="dxa"/>
                  <w:vMerge w:val="continue"/>
                  <w:tcBorders>
                    <w:top w:val="single" w:color="auto" w:sz="4" w:space="0"/>
                    <w:bottom w:val="single" w:color="auto" w:sz="12" w:space="0"/>
                  </w:tcBorders>
                  <w:vAlign w:val="center"/>
                </w:tcPr>
                <w:p w14:paraId="74A90846">
                  <w:pPr>
                    <w:adjustRightInd w:val="0"/>
                    <w:snapToGrid w:val="0"/>
                    <w:jc w:val="center"/>
                    <w:rPr>
                      <w:bCs/>
                      <w:color w:val="auto"/>
                      <w:szCs w:val="21"/>
                    </w:rPr>
                  </w:pPr>
                </w:p>
              </w:tc>
              <w:tc>
                <w:tcPr>
                  <w:tcW w:w="969" w:type="dxa"/>
                  <w:vMerge w:val="continue"/>
                  <w:tcBorders>
                    <w:top w:val="single" w:color="auto" w:sz="4" w:space="0"/>
                    <w:bottom w:val="single" w:color="auto" w:sz="12" w:space="0"/>
                  </w:tcBorders>
                  <w:vAlign w:val="center"/>
                </w:tcPr>
                <w:p w14:paraId="12D5ABBC">
                  <w:pPr>
                    <w:adjustRightInd w:val="0"/>
                    <w:snapToGrid w:val="0"/>
                    <w:jc w:val="center"/>
                    <w:rPr>
                      <w:bCs/>
                      <w:color w:val="auto"/>
                      <w:szCs w:val="21"/>
                    </w:rPr>
                  </w:pPr>
                </w:p>
              </w:tc>
              <w:tc>
                <w:tcPr>
                  <w:tcW w:w="1976" w:type="dxa"/>
                  <w:vMerge w:val="continue"/>
                  <w:tcBorders>
                    <w:top w:val="single" w:color="auto" w:sz="4" w:space="0"/>
                    <w:bottom w:val="single" w:color="auto" w:sz="12" w:space="0"/>
                  </w:tcBorders>
                  <w:vAlign w:val="center"/>
                </w:tcPr>
                <w:p w14:paraId="72023F68">
                  <w:pPr>
                    <w:adjustRightInd w:val="0"/>
                    <w:snapToGrid w:val="0"/>
                    <w:jc w:val="center"/>
                    <w:rPr>
                      <w:bCs/>
                      <w:color w:val="auto"/>
                      <w:szCs w:val="21"/>
                    </w:rPr>
                  </w:pPr>
                </w:p>
              </w:tc>
            </w:tr>
            <w:tr w14:paraId="47426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Align w:val="center"/>
                </w:tcPr>
                <w:p w14:paraId="79CB5CE1">
                  <w:pPr>
                    <w:adjustRightInd w:val="0"/>
                    <w:snapToGrid w:val="0"/>
                    <w:jc w:val="center"/>
                    <w:rPr>
                      <w:bCs/>
                      <w:color w:val="auto"/>
                      <w:szCs w:val="21"/>
                    </w:rPr>
                  </w:pPr>
                  <w:r>
                    <w:rPr>
                      <w:bCs/>
                      <w:color w:val="auto"/>
                      <w:szCs w:val="21"/>
                    </w:rPr>
                    <w:t>1</w:t>
                  </w:r>
                </w:p>
              </w:tc>
              <w:tc>
                <w:tcPr>
                  <w:tcW w:w="743" w:type="dxa"/>
                  <w:vAlign w:val="center"/>
                </w:tcPr>
                <w:p w14:paraId="44A5F793">
                  <w:pPr>
                    <w:adjustRightInd w:val="0"/>
                    <w:snapToGrid w:val="0"/>
                    <w:jc w:val="center"/>
                    <w:rPr>
                      <w:bCs/>
                      <w:color w:val="auto"/>
                      <w:szCs w:val="21"/>
                    </w:rPr>
                  </w:pPr>
                  <w:r>
                    <w:rPr>
                      <w:color w:val="auto"/>
                      <w:szCs w:val="21"/>
                    </w:rPr>
                    <w:t>生活污水</w:t>
                  </w:r>
                </w:p>
              </w:tc>
              <w:tc>
                <w:tcPr>
                  <w:tcW w:w="1024" w:type="dxa"/>
                  <w:vAlign w:val="center"/>
                </w:tcPr>
                <w:p w14:paraId="75092A83">
                  <w:pPr>
                    <w:adjustRightInd w:val="0"/>
                    <w:snapToGrid w:val="0"/>
                    <w:jc w:val="center"/>
                    <w:rPr>
                      <w:bCs/>
                      <w:color w:val="auto"/>
                      <w:szCs w:val="21"/>
                    </w:rPr>
                  </w:pPr>
                  <w:r>
                    <w:rPr>
                      <w:bCs/>
                      <w:color w:val="auto"/>
                      <w:szCs w:val="21"/>
                    </w:rPr>
                    <w:t>pH、COD、SS、氨氮、总磷、</w:t>
                  </w:r>
                  <w:r>
                    <w:rPr>
                      <w:rFonts w:hint="eastAsia"/>
                      <w:bCs/>
                      <w:color w:val="auto"/>
                      <w:szCs w:val="21"/>
                    </w:rPr>
                    <w:t>总氮、动植物油</w:t>
                  </w:r>
                </w:p>
              </w:tc>
              <w:tc>
                <w:tcPr>
                  <w:tcW w:w="969" w:type="dxa"/>
                  <w:vAlign w:val="center"/>
                </w:tcPr>
                <w:p w14:paraId="6D6A44DB">
                  <w:pPr>
                    <w:adjustRightInd w:val="0"/>
                    <w:snapToGrid w:val="0"/>
                    <w:jc w:val="center"/>
                    <w:rPr>
                      <w:color w:val="auto"/>
                      <w:kern w:val="0"/>
                      <w:szCs w:val="21"/>
                    </w:rPr>
                  </w:pPr>
                  <w:r>
                    <w:rPr>
                      <w:color w:val="auto"/>
                      <w:kern w:val="0"/>
                      <w:szCs w:val="21"/>
                    </w:rPr>
                    <w:t>涟水县空港产业园污水处理厂</w:t>
                  </w:r>
                </w:p>
              </w:tc>
              <w:tc>
                <w:tcPr>
                  <w:tcW w:w="969" w:type="dxa"/>
                  <w:vAlign w:val="center"/>
                </w:tcPr>
                <w:p w14:paraId="34B5B7D7">
                  <w:pPr>
                    <w:adjustRightInd w:val="0"/>
                    <w:snapToGrid w:val="0"/>
                    <w:jc w:val="center"/>
                    <w:rPr>
                      <w:bCs/>
                      <w:color w:val="auto"/>
                      <w:szCs w:val="21"/>
                    </w:rPr>
                  </w:pPr>
                  <w:r>
                    <w:rPr>
                      <w:rFonts w:hint="eastAsia"/>
                      <w:bCs/>
                      <w:color w:val="auto"/>
                      <w:szCs w:val="21"/>
                    </w:rPr>
                    <w:t>间断排放，排放期间流量不稳定，但有周期性规律</w:t>
                  </w:r>
                </w:p>
              </w:tc>
              <w:tc>
                <w:tcPr>
                  <w:tcW w:w="868" w:type="dxa"/>
                  <w:vAlign w:val="center"/>
                </w:tcPr>
                <w:p w14:paraId="60F62653">
                  <w:pPr>
                    <w:adjustRightInd w:val="0"/>
                    <w:snapToGrid w:val="0"/>
                    <w:jc w:val="center"/>
                    <w:rPr>
                      <w:bCs/>
                      <w:color w:val="auto"/>
                      <w:szCs w:val="21"/>
                    </w:rPr>
                  </w:pPr>
                  <w:r>
                    <w:rPr>
                      <w:bCs/>
                      <w:color w:val="auto"/>
                      <w:szCs w:val="21"/>
                    </w:rPr>
                    <w:t>TW001</w:t>
                  </w:r>
                </w:p>
              </w:tc>
              <w:tc>
                <w:tcPr>
                  <w:tcW w:w="1175" w:type="dxa"/>
                  <w:vAlign w:val="center"/>
                </w:tcPr>
                <w:p w14:paraId="5B6E3FBD">
                  <w:pPr>
                    <w:adjustRightInd w:val="0"/>
                    <w:snapToGrid w:val="0"/>
                    <w:jc w:val="center"/>
                    <w:rPr>
                      <w:bCs/>
                      <w:color w:val="auto"/>
                      <w:szCs w:val="21"/>
                    </w:rPr>
                  </w:pPr>
                  <w:r>
                    <w:rPr>
                      <w:rFonts w:hint="eastAsia"/>
                      <w:color w:val="auto"/>
                    </w:rPr>
                    <w:t>隔油池+</w:t>
                  </w:r>
                  <w:r>
                    <w:rPr>
                      <w:color w:val="auto"/>
                    </w:rPr>
                    <w:t>化粪池</w:t>
                  </w:r>
                </w:p>
              </w:tc>
              <w:tc>
                <w:tcPr>
                  <w:tcW w:w="1247" w:type="dxa"/>
                  <w:vAlign w:val="center"/>
                </w:tcPr>
                <w:p w14:paraId="70777F32">
                  <w:pPr>
                    <w:adjustRightInd w:val="0"/>
                    <w:snapToGrid w:val="0"/>
                    <w:jc w:val="center"/>
                    <w:rPr>
                      <w:color w:val="auto"/>
                      <w:szCs w:val="21"/>
                    </w:rPr>
                  </w:pPr>
                  <w:r>
                    <w:rPr>
                      <w:rFonts w:hint="eastAsia"/>
                      <w:color w:val="auto"/>
                    </w:rPr>
                    <w:t>隔油池+</w:t>
                  </w:r>
                  <w:r>
                    <w:rPr>
                      <w:color w:val="auto"/>
                    </w:rPr>
                    <w:t>化粪池</w:t>
                  </w:r>
                </w:p>
              </w:tc>
              <w:tc>
                <w:tcPr>
                  <w:tcW w:w="967" w:type="dxa"/>
                  <w:vAlign w:val="center"/>
                </w:tcPr>
                <w:p w14:paraId="6F7534FC">
                  <w:pPr>
                    <w:adjustRightInd w:val="0"/>
                    <w:snapToGrid w:val="0"/>
                    <w:jc w:val="center"/>
                    <w:rPr>
                      <w:bCs/>
                      <w:color w:val="auto"/>
                      <w:szCs w:val="21"/>
                    </w:rPr>
                  </w:pPr>
                  <w:r>
                    <w:rPr>
                      <w:bCs/>
                      <w:color w:val="auto"/>
                      <w:szCs w:val="21"/>
                    </w:rPr>
                    <w:t>是</w:t>
                  </w:r>
                </w:p>
              </w:tc>
              <w:tc>
                <w:tcPr>
                  <w:tcW w:w="967" w:type="dxa"/>
                  <w:vMerge w:val="restart"/>
                  <w:vAlign w:val="center"/>
                </w:tcPr>
                <w:p w14:paraId="6F5D67FD">
                  <w:pPr>
                    <w:adjustRightInd w:val="0"/>
                    <w:snapToGrid w:val="0"/>
                    <w:jc w:val="center"/>
                    <w:rPr>
                      <w:bCs/>
                      <w:color w:val="auto"/>
                      <w:szCs w:val="21"/>
                    </w:rPr>
                  </w:pPr>
                  <w:r>
                    <w:rPr>
                      <w:bCs/>
                      <w:color w:val="auto"/>
                      <w:szCs w:val="21"/>
                    </w:rPr>
                    <w:t>DW001</w:t>
                  </w:r>
                </w:p>
              </w:tc>
              <w:tc>
                <w:tcPr>
                  <w:tcW w:w="969" w:type="dxa"/>
                  <w:vMerge w:val="restart"/>
                  <w:vAlign w:val="center"/>
                </w:tcPr>
                <w:p w14:paraId="7CC20390">
                  <w:pPr>
                    <w:adjustRightInd w:val="0"/>
                    <w:snapToGrid w:val="0"/>
                    <w:jc w:val="center"/>
                    <w:rPr>
                      <w:bCs/>
                      <w:color w:val="auto"/>
                      <w:szCs w:val="21"/>
                    </w:rPr>
                  </w:pPr>
                  <w:r>
                    <w:rPr>
                      <w:bCs/>
                      <w:color w:val="auto"/>
                      <w:szCs w:val="21"/>
                    </w:rPr>
                    <w:sym w:font="Wingdings" w:char="F0FE"/>
                  </w:r>
                  <w:r>
                    <w:rPr>
                      <w:bCs/>
                      <w:color w:val="auto"/>
                      <w:szCs w:val="21"/>
                    </w:rPr>
                    <w:t>是</w:t>
                  </w:r>
                </w:p>
                <w:p w14:paraId="7B7CC3D3">
                  <w:pPr>
                    <w:adjustRightInd w:val="0"/>
                    <w:snapToGrid w:val="0"/>
                    <w:jc w:val="center"/>
                    <w:rPr>
                      <w:bCs/>
                      <w:color w:val="auto"/>
                      <w:szCs w:val="21"/>
                    </w:rPr>
                  </w:pPr>
                  <w:r>
                    <w:rPr>
                      <w:bCs/>
                      <w:color w:val="auto"/>
                      <w:szCs w:val="21"/>
                    </w:rPr>
                    <w:sym w:font="Wingdings" w:char="F06F"/>
                  </w:r>
                  <w:r>
                    <w:rPr>
                      <w:bCs/>
                      <w:color w:val="auto"/>
                      <w:szCs w:val="21"/>
                    </w:rPr>
                    <w:t>否</w:t>
                  </w:r>
                </w:p>
              </w:tc>
              <w:tc>
                <w:tcPr>
                  <w:tcW w:w="1976" w:type="dxa"/>
                  <w:vMerge w:val="restart"/>
                  <w:vAlign w:val="center"/>
                </w:tcPr>
                <w:p w14:paraId="7C36D564">
                  <w:pPr>
                    <w:adjustRightInd w:val="0"/>
                    <w:snapToGrid w:val="0"/>
                    <w:jc w:val="center"/>
                    <w:rPr>
                      <w:bCs/>
                      <w:color w:val="auto"/>
                      <w:szCs w:val="21"/>
                    </w:rPr>
                  </w:pPr>
                  <w:r>
                    <w:rPr>
                      <w:bCs/>
                      <w:color w:val="auto"/>
                      <w:szCs w:val="21"/>
                    </w:rPr>
                    <w:sym w:font="Wingdings" w:char="F0FE"/>
                  </w:r>
                  <w:r>
                    <w:rPr>
                      <w:bCs/>
                      <w:color w:val="auto"/>
                      <w:szCs w:val="21"/>
                    </w:rPr>
                    <w:t>企业总排</w:t>
                  </w:r>
                </w:p>
                <w:p w14:paraId="74206382">
                  <w:pPr>
                    <w:adjustRightInd w:val="0"/>
                    <w:snapToGrid w:val="0"/>
                    <w:jc w:val="center"/>
                    <w:rPr>
                      <w:bCs/>
                      <w:color w:val="auto"/>
                      <w:szCs w:val="21"/>
                    </w:rPr>
                  </w:pPr>
                  <w:r>
                    <w:rPr>
                      <w:bCs/>
                      <w:color w:val="auto"/>
                      <w:szCs w:val="21"/>
                    </w:rPr>
                    <w:sym w:font="Wingdings" w:char="F06F"/>
                  </w:r>
                  <w:r>
                    <w:rPr>
                      <w:bCs/>
                      <w:color w:val="auto"/>
                      <w:szCs w:val="21"/>
                    </w:rPr>
                    <w:t>雨水排放</w:t>
                  </w:r>
                </w:p>
                <w:p w14:paraId="43847ADC">
                  <w:pPr>
                    <w:adjustRightInd w:val="0"/>
                    <w:snapToGrid w:val="0"/>
                    <w:jc w:val="center"/>
                    <w:rPr>
                      <w:bCs/>
                      <w:color w:val="auto"/>
                      <w:szCs w:val="21"/>
                    </w:rPr>
                  </w:pPr>
                  <w:r>
                    <w:rPr>
                      <w:bCs/>
                      <w:color w:val="auto"/>
                      <w:szCs w:val="21"/>
                    </w:rPr>
                    <w:sym w:font="Wingdings" w:char="F06F"/>
                  </w:r>
                  <w:r>
                    <w:rPr>
                      <w:bCs/>
                      <w:color w:val="auto"/>
                      <w:szCs w:val="21"/>
                    </w:rPr>
                    <w:t>清净下水排放</w:t>
                  </w:r>
                </w:p>
                <w:p w14:paraId="632ECAB2">
                  <w:pPr>
                    <w:adjustRightInd w:val="0"/>
                    <w:snapToGrid w:val="0"/>
                    <w:jc w:val="center"/>
                    <w:rPr>
                      <w:bCs/>
                      <w:color w:val="auto"/>
                      <w:szCs w:val="21"/>
                    </w:rPr>
                  </w:pPr>
                  <w:r>
                    <w:rPr>
                      <w:bCs/>
                      <w:color w:val="auto"/>
                      <w:szCs w:val="21"/>
                    </w:rPr>
                    <w:sym w:font="Wingdings" w:char="F06F"/>
                  </w:r>
                  <w:r>
                    <w:rPr>
                      <w:bCs/>
                      <w:color w:val="auto"/>
                      <w:szCs w:val="21"/>
                    </w:rPr>
                    <w:t>温排水排放</w:t>
                  </w:r>
                </w:p>
                <w:p w14:paraId="6BE5BE01">
                  <w:pPr>
                    <w:adjustRightInd w:val="0"/>
                    <w:snapToGrid w:val="0"/>
                    <w:jc w:val="center"/>
                    <w:rPr>
                      <w:bCs/>
                      <w:color w:val="auto"/>
                      <w:szCs w:val="21"/>
                    </w:rPr>
                  </w:pPr>
                  <w:r>
                    <w:rPr>
                      <w:bCs/>
                      <w:color w:val="auto"/>
                      <w:szCs w:val="21"/>
                    </w:rPr>
                    <w:sym w:font="Wingdings" w:char="F06F"/>
                  </w:r>
                  <w:r>
                    <w:rPr>
                      <w:bCs/>
                      <w:color w:val="auto"/>
                      <w:szCs w:val="21"/>
                    </w:rPr>
                    <w:t>车间或车间处理设施排放</w:t>
                  </w:r>
                </w:p>
              </w:tc>
            </w:tr>
            <w:tr w14:paraId="54E9B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Align w:val="center"/>
                </w:tcPr>
                <w:p w14:paraId="3E193633">
                  <w:pPr>
                    <w:adjustRightInd w:val="0"/>
                    <w:snapToGrid w:val="0"/>
                    <w:jc w:val="center"/>
                    <w:rPr>
                      <w:bCs/>
                      <w:color w:val="auto"/>
                      <w:szCs w:val="21"/>
                    </w:rPr>
                  </w:pPr>
                  <w:r>
                    <w:rPr>
                      <w:rFonts w:hint="eastAsia"/>
                      <w:bCs/>
                      <w:color w:val="auto"/>
                      <w:szCs w:val="21"/>
                    </w:rPr>
                    <w:t>2</w:t>
                  </w:r>
                </w:p>
              </w:tc>
              <w:tc>
                <w:tcPr>
                  <w:tcW w:w="743" w:type="dxa"/>
                  <w:vAlign w:val="center"/>
                </w:tcPr>
                <w:p w14:paraId="3FFAF569">
                  <w:pPr>
                    <w:adjustRightInd w:val="0"/>
                    <w:snapToGrid w:val="0"/>
                    <w:jc w:val="center"/>
                    <w:rPr>
                      <w:color w:val="auto"/>
                      <w:szCs w:val="21"/>
                    </w:rPr>
                  </w:pPr>
                  <w:r>
                    <w:rPr>
                      <w:rFonts w:hint="eastAsia"/>
                      <w:color w:val="auto"/>
                      <w:szCs w:val="21"/>
                    </w:rPr>
                    <w:t>生产废水</w:t>
                  </w:r>
                </w:p>
              </w:tc>
              <w:tc>
                <w:tcPr>
                  <w:tcW w:w="1024" w:type="dxa"/>
                  <w:vAlign w:val="center"/>
                </w:tcPr>
                <w:p w14:paraId="4033BC04">
                  <w:pPr>
                    <w:adjustRightInd w:val="0"/>
                    <w:snapToGrid w:val="0"/>
                    <w:jc w:val="center"/>
                    <w:rPr>
                      <w:bCs/>
                      <w:color w:val="auto"/>
                      <w:szCs w:val="21"/>
                    </w:rPr>
                  </w:pPr>
                  <w:r>
                    <w:rPr>
                      <w:bCs/>
                      <w:color w:val="auto"/>
                      <w:szCs w:val="21"/>
                    </w:rPr>
                    <w:t>pH、COD、SS、总磷、</w:t>
                  </w:r>
                  <w:r>
                    <w:rPr>
                      <w:rFonts w:hint="eastAsia"/>
                      <w:bCs/>
                      <w:color w:val="auto"/>
                      <w:szCs w:val="21"/>
                    </w:rPr>
                    <w:t>石油类、LAS</w:t>
                  </w:r>
                </w:p>
              </w:tc>
              <w:tc>
                <w:tcPr>
                  <w:tcW w:w="969" w:type="dxa"/>
                  <w:vAlign w:val="center"/>
                </w:tcPr>
                <w:p w14:paraId="14F3E224">
                  <w:pPr>
                    <w:adjustRightInd w:val="0"/>
                    <w:snapToGrid w:val="0"/>
                    <w:jc w:val="center"/>
                    <w:rPr>
                      <w:color w:val="auto"/>
                    </w:rPr>
                  </w:pPr>
                  <w:r>
                    <w:rPr>
                      <w:color w:val="auto"/>
                      <w:kern w:val="0"/>
                      <w:szCs w:val="21"/>
                    </w:rPr>
                    <w:t>涟水县空港产业园污水处理厂</w:t>
                  </w:r>
                </w:p>
              </w:tc>
              <w:tc>
                <w:tcPr>
                  <w:tcW w:w="969" w:type="dxa"/>
                  <w:vAlign w:val="center"/>
                </w:tcPr>
                <w:p w14:paraId="372AFA93">
                  <w:pPr>
                    <w:adjustRightInd w:val="0"/>
                    <w:snapToGrid w:val="0"/>
                    <w:jc w:val="center"/>
                    <w:rPr>
                      <w:bCs/>
                      <w:color w:val="auto"/>
                      <w:szCs w:val="21"/>
                    </w:rPr>
                  </w:pPr>
                  <w:r>
                    <w:rPr>
                      <w:rFonts w:hint="eastAsia"/>
                      <w:bCs/>
                      <w:color w:val="auto"/>
                      <w:szCs w:val="21"/>
                    </w:rPr>
                    <w:t>间断排放，排放期间流量不稳定，但有周期性规律</w:t>
                  </w:r>
                </w:p>
              </w:tc>
              <w:tc>
                <w:tcPr>
                  <w:tcW w:w="868" w:type="dxa"/>
                  <w:vAlign w:val="center"/>
                </w:tcPr>
                <w:p w14:paraId="4E19B75D">
                  <w:pPr>
                    <w:adjustRightInd w:val="0"/>
                    <w:snapToGrid w:val="0"/>
                    <w:jc w:val="center"/>
                    <w:rPr>
                      <w:bCs/>
                      <w:color w:val="auto"/>
                      <w:szCs w:val="21"/>
                    </w:rPr>
                  </w:pPr>
                  <w:r>
                    <w:rPr>
                      <w:bCs/>
                      <w:color w:val="auto"/>
                      <w:szCs w:val="21"/>
                    </w:rPr>
                    <w:t>TW00</w:t>
                  </w:r>
                  <w:r>
                    <w:rPr>
                      <w:rFonts w:hint="eastAsia"/>
                      <w:bCs/>
                      <w:color w:val="auto"/>
                      <w:szCs w:val="21"/>
                    </w:rPr>
                    <w:t>2</w:t>
                  </w:r>
                </w:p>
              </w:tc>
              <w:tc>
                <w:tcPr>
                  <w:tcW w:w="1175" w:type="dxa"/>
                  <w:vAlign w:val="center"/>
                </w:tcPr>
                <w:p w14:paraId="2932FD7F">
                  <w:pPr>
                    <w:adjustRightInd w:val="0"/>
                    <w:snapToGrid w:val="0"/>
                    <w:jc w:val="center"/>
                    <w:rPr>
                      <w:color w:val="auto"/>
                    </w:rPr>
                  </w:pPr>
                  <w:r>
                    <w:rPr>
                      <w:rFonts w:hint="eastAsia"/>
                      <w:color w:val="auto"/>
                    </w:rPr>
                    <w:t>污水处理站</w:t>
                  </w:r>
                </w:p>
              </w:tc>
              <w:tc>
                <w:tcPr>
                  <w:tcW w:w="1247" w:type="dxa"/>
                  <w:vAlign w:val="center"/>
                </w:tcPr>
                <w:p w14:paraId="5E0FB181">
                  <w:pPr>
                    <w:adjustRightInd w:val="0"/>
                    <w:snapToGrid w:val="0"/>
                    <w:jc w:val="center"/>
                    <w:rPr>
                      <w:color w:val="auto"/>
                    </w:rPr>
                  </w:pPr>
                  <w:r>
                    <w:rPr>
                      <w:rFonts w:hint="eastAsia"/>
                      <w:color w:val="auto"/>
                      <w:kern w:val="0"/>
                      <w:szCs w:val="21"/>
                    </w:rPr>
                    <w:t>调节（调水质和PH）+混凝沉淀+斜管沉淀</w:t>
                  </w:r>
                </w:p>
              </w:tc>
              <w:tc>
                <w:tcPr>
                  <w:tcW w:w="967" w:type="dxa"/>
                  <w:vAlign w:val="center"/>
                </w:tcPr>
                <w:p w14:paraId="2355FB8A">
                  <w:pPr>
                    <w:adjustRightInd w:val="0"/>
                    <w:snapToGrid w:val="0"/>
                    <w:jc w:val="center"/>
                    <w:rPr>
                      <w:bCs/>
                      <w:color w:val="auto"/>
                      <w:szCs w:val="21"/>
                    </w:rPr>
                  </w:pPr>
                  <w:r>
                    <w:rPr>
                      <w:bCs/>
                      <w:color w:val="auto"/>
                      <w:szCs w:val="21"/>
                    </w:rPr>
                    <w:t>是</w:t>
                  </w:r>
                </w:p>
              </w:tc>
              <w:tc>
                <w:tcPr>
                  <w:tcW w:w="967" w:type="dxa"/>
                  <w:vMerge w:val="continue"/>
                  <w:vAlign w:val="center"/>
                </w:tcPr>
                <w:p w14:paraId="6F4D5105">
                  <w:pPr>
                    <w:adjustRightInd w:val="0"/>
                    <w:snapToGrid w:val="0"/>
                    <w:jc w:val="center"/>
                    <w:rPr>
                      <w:bCs/>
                      <w:color w:val="auto"/>
                      <w:szCs w:val="21"/>
                    </w:rPr>
                  </w:pPr>
                </w:p>
              </w:tc>
              <w:tc>
                <w:tcPr>
                  <w:tcW w:w="969" w:type="dxa"/>
                  <w:vMerge w:val="continue"/>
                  <w:vAlign w:val="center"/>
                </w:tcPr>
                <w:p w14:paraId="3242BA6F">
                  <w:pPr>
                    <w:adjustRightInd w:val="0"/>
                    <w:snapToGrid w:val="0"/>
                    <w:jc w:val="center"/>
                    <w:rPr>
                      <w:bCs/>
                      <w:color w:val="auto"/>
                      <w:szCs w:val="21"/>
                    </w:rPr>
                  </w:pPr>
                </w:p>
              </w:tc>
              <w:tc>
                <w:tcPr>
                  <w:tcW w:w="1976" w:type="dxa"/>
                  <w:vMerge w:val="continue"/>
                  <w:vAlign w:val="center"/>
                </w:tcPr>
                <w:p w14:paraId="3B02DC23">
                  <w:pPr>
                    <w:adjustRightInd w:val="0"/>
                    <w:snapToGrid w:val="0"/>
                    <w:jc w:val="center"/>
                    <w:rPr>
                      <w:bCs/>
                      <w:color w:val="auto"/>
                      <w:szCs w:val="21"/>
                    </w:rPr>
                  </w:pPr>
                </w:p>
              </w:tc>
            </w:tr>
          </w:tbl>
          <w:p w14:paraId="2D41BAD9">
            <w:pPr>
              <w:keepNext/>
              <w:adjustRightInd w:val="0"/>
              <w:snapToGrid w:val="0"/>
              <w:jc w:val="center"/>
              <w:rPr>
                <w:b/>
                <w:color w:val="auto"/>
                <w:szCs w:val="21"/>
              </w:rPr>
            </w:pPr>
            <w:r>
              <w:rPr>
                <w:b/>
                <w:color w:val="auto"/>
                <w:sz w:val="24"/>
              </w:rPr>
              <w:t>表4-1</w:t>
            </w:r>
            <w:r>
              <w:rPr>
                <w:rFonts w:hint="eastAsia"/>
                <w:b/>
                <w:color w:val="auto"/>
                <w:sz w:val="24"/>
              </w:rPr>
              <w:t>9</w:t>
            </w:r>
            <w:r>
              <w:rPr>
                <w:b/>
                <w:color w:val="auto"/>
                <w:sz w:val="24"/>
              </w:rPr>
              <w:t xml:space="preserve">  废水间接排放口基本情况表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4"/>
              <w:gridCol w:w="736"/>
              <w:gridCol w:w="1256"/>
              <w:gridCol w:w="1159"/>
              <w:gridCol w:w="1036"/>
              <w:gridCol w:w="817"/>
              <w:gridCol w:w="1195"/>
              <w:gridCol w:w="929"/>
              <w:gridCol w:w="1344"/>
              <w:gridCol w:w="1228"/>
              <w:gridCol w:w="2304"/>
            </w:tblGrid>
            <w:tr w14:paraId="27D58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restart"/>
                  <w:tcBorders>
                    <w:top w:val="single" w:color="auto" w:sz="12" w:space="0"/>
                    <w:bottom w:val="single" w:color="auto" w:sz="4" w:space="0"/>
                  </w:tcBorders>
                  <w:vAlign w:val="center"/>
                </w:tcPr>
                <w:p w14:paraId="025FACD2">
                  <w:pPr>
                    <w:adjustRightInd w:val="0"/>
                    <w:snapToGrid w:val="0"/>
                    <w:jc w:val="center"/>
                    <w:rPr>
                      <w:b/>
                      <w:bCs/>
                      <w:color w:val="auto"/>
                      <w:szCs w:val="21"/>
                    </w:rPr>
                  </w:pPr>
                  <w:r>
                    <w:rPr>
                      <w:b/>
                      <w:bCs/>
                      <w:color w:val="auto"/>
                      <w:szCs w:val="21"/>
                    </w:rPr>
                    <w:t>序号</w:t>
                  </w:r>
                </w:p>
              </w:tc>
              <w:tc>
                <w:tcPr>
                  <w:tcW w:w="736" w:type="dxa"/>
                  <w:vMerge w:val="restart"/>
                  <w:tcBorders>
                    <w:top w:val="single" w:color="auto" w:sz="12" w:space="0"/>
                    <w:bottom w:val="single" w:color="auto" w:sz="4" w:space="0"/>
                  </w:tcBorders>
                  <w:vAlign w:val="center"/>
                </w:tcPr>
                <w:p w14:paraId="04A3CE27">
                  <w:pPr>
                    <w:adjustRightInd w:val="0"/>
                    <w:snapToGrid w:val="0"/>
                    <w:jc w:val="center"/>
                    <w:rPr>
                      <w:b/>
                      <w:bCs/>
                      <w:color w:val="auto"/>
                      <w:szCs w:val="21"/>
                    </w:rPr>
                  </w:pPr>
                  <w:r>
                    <w:rPr>
                      <w:b/>
                      <w:bCs/>
                      <w:color w:val="auto"/>
                      <w:szCs w:val="21"/>
                    </w:rPr>
                    <w:t>排放口编号</w:t>
                  </w:r>
                </w:p>
              </w:tc>
              <w:tc>
                <w:tcPr>
                  <w:tcW w:w="2415" w:type="dxa"/>
                  <w:gridSpan w:val="2"/>
                  <w:tcBorders>
                    <w:top w:val="single" w:color="auto" w:sz="12" w:space="0"/>
                    <w:bottom w:val="single" w:color="auto" w:sz="4" w:space="0"/>
                  </w:tcBorders>
                  <w:vAlign w:val="center"/>
                </w:tcPr>
                <w:p w14:paraId="2DD50CDE">
                  <w:pPr>
                    <w:adjustRightInd w:val="0"/>
                    <w:snapToGrid w:val="0"/>
                    <w:jc w:val="center"/>
                    <w:rPr>
                      <w:b/>
                      <w:bCs/>
                      <w:color w:val="auto"/>
                      <w:szCs w:val="21"/>
                    </w:rPr>
                  </w:pPr>
                  <w:r>
                    <w:rPr>
                      <w:b/>
                      <w:bCs/>
                      <w:color w:val="auto"/>
                      <w:szCs w:val="21"/>
                    </w:rPr>
                    <w:t>排放口坐标</w:t>
                  </w:r>
                </w:p>
              </w:tc>
              <w:tc>
                <w:tcPr>
                  <w:tcW w:w="1036" w:type="dxa"/>
                  <w:vMerge w:val="restart"/>
                  <w:tcBorders>
                    <w:top w:val="single" w:color="auto" w:sz="12" w:space="0"/>
                    <w:bottom w:val="single" w:color="auto" w:sz="4" w:space="0"/>
                  </w:tcBorders>
                  <w:vAlign w:val="center"/>
                </w:tcPr>
                <w:p w14:paraId="036B830D">
                  <w:pPr>
                    <w:adjustRightInd w:val="0"/>
                    <w:snapToGrid w:val="0"/>
                    <w:jc w:val="center"/>
                    <w:rPr>
                      <w:b/>
                      <w:bCs/>
                      <w:color w:val="auto"/>
                      <w:szCs w:val="21"/>
                    </w:rPr>
                  </w:pPr>
                  <w:r>
                    <w:rPr>
                      <w:b/>
                      <w:bCs/>
                      <w:color w:val="auto"/>
                      <w:szCs w:val="21"/>
                    </w:rPr>
                    <w:t>废水排放量/（t/a）</w:t>
                  </w:r>
                </w:p>
              </w:tc>
              <w:tc>
                <w:tcPr>
                  <w:tcW w:w="817" w:type="dxa"/>
                  <w:vMerge w:val="restart"/>
                  <w:tcBorders>
                    <w:top w:val="single" w:color="auto" w:sz="12" w:space="0"/>
                    <w:bottom w:val="single" w:color="auto" w:sz="4" w:space="0"/>
                  </w:tcBorders>
                  <w:vAlign w:val="center"/>
                </w:tcPr>
                <w:p w14:paraId="285CA0EF">
                  <w:pPr>
                    <w:adjustRightInd w:val="0"/>
                    <w:snapToGrid w:val="0"/>
                    <w:jc w:val="center"/>
                    <w:rPr>
                      <w:b/>
                      <w:bCs/>
                      <w:color w:val="auto"/>
                      <w:szCs w:val="21"/>
                    </w:rPr>
                  </w:pPr>
                  <w:r>
                    <w:rPr>
                      <w:b/>
                      <w:bCs/>
                      <w:color w:val="auto"/>
                      <w:szCs w:val="21"/>
                    </w:rPr>
                    <w:t>排放去向</w:t>
                  </w:r>
                </w:p>
              </w:tc>
              <w:tc>
                <w:tcPr>
                  <w:tcW w:w="1195" w:type="dxa"/>
                  <w:vMerge w:val="restart"/>
                  <w:tcBorders>
                    <w:top w:val="single" w:color="auto" w:sz="12" w:space="0"/>
                    <w:bottom w:val="single" w:color="auto" w:sz="4" w:space="0"/>
                  </w:tcBorders>
                  <w:vAlign w:val="center"/>
                </w:tcPr>
                <w:p w14:paraId="6CF78FDC">
                  <w:pPr>
                    <w:adjustRightInd w:val="0"/>
                    <w:snapToGrid w:val="0"/>
                    <w:jc w:val="center"/>
                    <w:rPr>
                      <w:b/>
                      <w:bCs/>
                      <w:color w:val="auto"/>
                      <w:szCs w:val="21"/>
                    </w:rPr>
                  </w:pPr>
                  <w:r>
                    <w:rPr>
                      <w:b/>
                      <w:bCs/>
                      <w:color w:val="auto"/>
                      <w:szCs w:val="21"/>
                    </w:rPr>
                    <w:t>排放规律</w:t>
                  </w:r>
                </w:p>
              </w:tc>
              <w:tc>
                <w:tcPr>
                  <w:tcW w:w="929" w:type="dxa"/>
                  <w:vMerge w:val="restart"/>
                  <w:tcBorders>
                    <w:top w:val="single" w:color="auto" w:sz="12" w:space="0"/>
                    <w:bottom w:val="single" w:color="auto" w:sz="4" w:space="0"/>
                  </w:tcBorders>
                  <w:vAlign w:val="center"/>
                </w:tcPr>
                <w:p w14:paraId="30F0F63A">
                  <w:pPr>
                    <w:adjustRightInd w:val="0"/>
                    <w:snapToGrid w:val="0"/>
                    <w:jc w:val="center"/>
                    <w:rPr>
                      <w:b/>
                      <w:bCs/>
                      <w:color w:val="auto"/>
                      <w:szCs w:val="21"/>
                    </w:rPr>
                  </w:pPr>
                  <w:r>
                    <w:rPr>
                      <w:b/>
                      <w:bCs/>
                      <w:color w:val="auto"/>
                      <w:szCs w:val="21"/>
                    </w:rPr>
                    <w:t>间歇排放时段</w:t>
                  </w:r>
                </w:p>
              </w:tc>
              <w:tc>
                <w:tcPr>
                  <w:tcW w:w="4876" w:type="dxa"/>
                  <w:gridSpan w:val="3"/>
                  <w:tcBorders>
                    <w:top w:val="single" w:color="auto" w:sz="12" w:space="0"/>
                    <w:bottom w:val="single" w:color="auto" w:sz="4" w:space="0"/>
                  </w:tcBorders>
                  <w:vAlign w:val="center"/>
                </w:tcPr>
                <w:p w14:paraId="539F9B30">
                  <w:pPr>
                    <w:adjustRightInd w:val="0"/>
                    <w:snapToGrid w:val="0"/>
                    <w:jc w:val="center"/>
                    <w:rPr>
                      <w:b/>
                      <w:bCs/>
                      <w:color w:val="auto"/>
                      <w:szCs w:val="21"/>
                    </w:rPr>
                  </w:pPr>
                  <w:r>
                    <w:rPr>
                      <w:b/>
                      <w:bCs/>
                      <w:color w:val="auto"/>
                      <w:szCs w:val="21"/>
                    </w:rPr>
                    <w:t>受纳污水处理厂信息</w:t>
                  </w:r>
                </w:p>
              </w:tc>
            </w:tr>
            <w:tr w14:paraId="6A8BD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tcBorders>
                    <w:top w:val="single" w:color="auto" w:sz="4" w:space="0"/>
                    <w:bottom w:val="single" w:color="auto" w:sz="12" w:space="0"/>
                  </w:tcBorders>
                  <w:vAlign w:val="center"/>
                </w:tcPr>
                <w:p w14:paraId="1699D914">
                  <w:pPr>
                    <w:adjustRightInd w:val="0"/>
                    <w:snapToGrid w:val="0"/>
                    <w:jc w:val="center"/>
                    <w:rPr>
                      <w:b/>
                      <w:bCs/>
                      <w:color w:val="auto"/>
                      <w:szCs w:val="21"/>
                    </w:rPr>
                  </w:pPr>
                </w:p>
              </w:tc>
              <w:tc>
                <w:tcPr>
                  <w:tcW w:w="736" w:type="dxa"/>
                  <w:vMerge w:val="continue"/>
                  <w:tcBorders>
                    <w:top w:val="single" w:color="auto" w:sz="4" w:space="0"/>
                    <w:bottom w:val="single" w:color="auto" w:sz="12" w:space="0"/>
                  </w:tcBorders>
                  <w:vAlign w:val="center"/>
                </w:tcPr>
                <w:p w14:paraId="6C8645E1">
                  <w:pPr>
                    <w:adjustRightInd w:val="0"/>
                    <w:snapToGrid w:val="0"/>
                    <w:jc w:val="center"/>
                    <w:rPr>
                      <w:b/>
                      <w:bCs/>
                      <w:color w:val="auto"/>
                      <w:szCs w:val="21"/>
                    </w:rPr>
                  </w:pPr>
                </w:p>
              </w:tc>
              <w:tc>
                <w:tcPr>
                  <w:tcW w:w="1256" w:type="dxa"/>
                  <w:tcBorders>
                    <w:top w:val="single" w:color="auto" w:sz="4" w:space="0"/>
                    <w:bottom w:val="single" w:color="auto" w:sz="12" w:space="0"/>
                  </w:tcBorders>
                  <w:vAlign w:val="center"/>
                </w:tcPr>
                <w:p w14:paraId="29B26655">
                  <w:pPr>
                    <w:adjustRightInd w:val="0"/>
                    <w:snapToGrid w:val="0"/>
                    <w:jc w:val="center"/>
                    <w:rPr>
                      <w:b/>
                      <w:bCs/>
                      <w:color w:val="auto"/>
                      <w:szCs w:val="21"/>
                    </w:rPr>
                  </w:pPr>
                  <w:r>
                    <w:rPr>
                      <w:b/>
                      <w:bCs/>
                      <w:color w:val="auto"/>
                      <w:szCs w:val="21"/>
                    </w:rPr>
                    <w:t>经度</w:t>
                  </w:r>
                </w:p>
              </w:tc>
              <w:tc>
                <w:tcPr>
                  <w:tcW w:w="1159" w:type="dxa"/>
                  <w:tcBorders>
                    <w:top w:val="single" w:color="auto" w:sz="4" w:space="0"/>
                    <w:bottom w:val="single" w:color="auto" w:sz="12" w:space="0"/>
                  </w:tcBorders>
                  <w:vAlign w:val="center"/>
                </w:tcPr>
                <w:p w14:paraId="61940DAD">
                  <w:pPr>
                    <w:adjustRightInd w:val="0"/>
                    <w:snapToGrid w:val="0"/>
                    <w:jc w:val="center"/>
                    <w:rPr>
                      <w:b/>
                      <w:bCs/>
                      <w:color w:val="auto"/>
                      <w:szCs w:val="21"/>
                    </w:rPr>
                  </w:pPr>
                  <w:r>
                    <w:rPr>
                      <w:b/>
                      <w:bCs/>
                      <w:color w:val="auto"/>
                      <w:szCs w:val="21"/>
                    </w:rPr>
                    <w:t>纬度</w:t>
                  </w:r>
                </w:p>
              </w:tc>
              <w:tc>
                <w:tcPr>
                  <w:tcW w:w="1036" w:type="dxa"/>
                  <w:vMerge w:val="continue"/>
                  <w:tcBorders>
                    <w:top w:val="single" w:color="auto" w:sz="4" w:space="0"/>
                    <w:bottom w:val="single" w:color="auto" w:sz="12" w:space="0"/>
                  </w:tcBorders>
                  <w:vAlign w:val="center"/>
                </w:tcPr>
                <w:p w14:paraId="669F1FDE">
                  <w:pPr>
                    <w:adjustRightInd w:val="0"/>
                    <w:snapToGrid w:val="0"/>
                    <w:jc w:val="center"/>
                    <w:rPr>
                      <w:b/>
                      <w:bCs/>
                      <w:color w:val="auto"/>
                      <w:szCs w:val="21"/>
                    </w:rPr>
                  </w:pPr>
                </w:p>
              </w:tc>
              <w:tc>
                <w:tcPr>
                  <w:tcW w:w="817" w:type="dxa"/>
                  <w:vMerge w:val="continue"/>
                  <w:tcBorders>
                    <w:top w:val="single" w:color="auto" w:sz="4" w:space="0"/>
                    <w:bottom w:val="single" w:color="auto" w:sz="12" w:space="0"/>
                  </w:tcBorders>
                  <w:vAlign w:val="center"/>
                </w:tcPr>
                <w:p w14:paraId="3504FD10">
                  <w:pPr>
                    <w:adjustRightInd w:val="0"/>
                    <w:snapToGrid w:val="0"/>
                    <w:jc w:val="center"/>
                    <w:rPr>
                      <w:b/>
                      <w:bCs/>
                      <w:color w:val="auto"/>
                      <w:szCs w:val="21"/>
                    </w:rPr>
                  </w:pPr>
                </w:p>
              </w:tc>
              <w:tc>
                <w:tcPr>
                  <w:tcW w:w="1195" w:type="dxa"/>
                  <w:vMerge w:val="continue"/>
                  <w:tcBorders>
                    <w:top w:val="single" w:color="auto" w:sz="4" w:space="0"/>
                    <w:bottom w:val="single" w:color="auto" w:sz="12" w:space="0"/>
                  </w:tcBorders>
                  <w:vAlign w:val="center"/>
                </w:tcPr>
                <w:p w14:paraId="6074BA8D">
                  <w:pPr>
                    <w:adjustRightInd w:val="0"/>
                    <w:snapToGrid w:val="0"/>
                    <w:jc w:val="center"/>
                    <w:rPr>
                      <w:b/>
                      <w:bCs/>
                      <w:color w:val="auto"/>
                      <w:szCs w:val="21"/>
                    </w:rPr>
                  </w:pPr>
                </w:p>
              </w:tc>
              <w:tc>
                <w:tcPr>
                  <w:tcW w:w="929" w:type="dxa"/>
                  <w:vMerge w:val="continue"/>
                  <w:tcBorders>
                    <w:top w:val="single" w:color="auto" w:sz="4" w:space="0"/>
                    <w:bottom w:val="single" w:color="auto" w:sz="12" w:space="0"/>
                  </w:tcBorders>
                  <w:vAlign w:val="center"/>
                </w:tcPr>
                <w:p w14:paraId="7A2F0C43">
                  <w:pPr>
                    <w:adjustRightInd w:val="0"/>
                    <w:snapToGrid w:val="0"/>
                    <w:jc w:val="center"/>
                    <w:rPr>
                      <w:b/>
                      <w:bCs/>
                      <w:color w:val="auto"/>
                      <w:szCs w:val="21"/>
                    </w:rPr>
                  </w:pPr>
                </w:p>
              </w:tc>
              <w:tc>
                <w:tcPr>
                  <w:tcW w:w="1344" w:type="dxa"/>
                  <w:tcBorders>
                    <w:top w:val="single" w:color="auto" w:sz="4" w:space="0"/>
                    <w:bottom w:val="single" w:color="auto" w:sz="12" w:space="0"/>
                  </w:tcBorders>
                  <w:vAlign w:val="center"/>
                </w:tcPr>
                <w:p w14:paraId="664BA05A">
                  <w:pPr>
                    <w:adjustRightInd w:val="0"/>
                    <w:snapToGrid w:val="0"/>
                    <w:jc w:val="center"/>
                    <w:rPr>
                      <w:b/>
                      <w:bCs/>
                      <w:color w:val="auto"/>
                      <w:szCs w:val="21"/>
                    </w:rPr>
                  </w:pPr>
                  <w:r>
                    <w:rPr>
                      <w:b/>
                      <w:bCs/>
                      <w:color w:val="auto"/>
                      <w:szCs w:val="21"/>
                    </w:rPr>
                    <w:t>名称</w:t>
                  </w:r>
                </w:p>
              </w:tc>
              <w:tc>
                <w:tcPr>
                  <w:tcW w:w="1228" w:type="dxa"/>
                  <w:tcBorders>
                    <w:top w:val="single" w:color="auto" w:sz="4" w:space="0"/>
                    <w:bottom w:val="single" w:color="auto" w:sz="12" w:space="0"/>
                  </w:tcBorders>
                  <w:vAlign w:val="center"/>
                </w:tcPr>
                <w:p w14:paraId="582CAAF7">
                  <w:pPr>
                    <w:adjustRightInd w:val="0"/>
                    <w:snapToGrid w:val="0"/>
                    <w:jc w:val="center"/>
                    <w:rPr>
                      <w:b/>
                      <w:bCs/>
                      <w:color w:val="auto"/>
                      <w:szCs w:val="21"/>
                    </w:rPr>
                  </w:pPr>
                  <w:r>
                    <w:rPr>
                      <w:b/>
                      <w:bCs/>
                      <w:color w:val="auto"/>
                      <w:szCs w:val="21"/>
                    </w:rPr>
                    <w:t>污染物种类</w:t>
                  </w:r>
                </w:p>
              </w:tc>
              <w:tc>
                <w:tcPr>
                  <w:tcW w:w="2304" w:type="dxa"/>
                  <w:tcBorders>
                    <w:top w:val="single" w:color="auto" w:sz="4" w:space="0"/>
                    <w:bottom w:val="single" w:color="auto" w:sz="12" w:space="0"/>
                  </w:tcBorders>
                  <w:vAlign w:val="center"/>
                </w:tcPr>
                <w:p w14:paraId="52168414">
                  <w:pPr>
                    <w:adjustRightInd w:val="0"/>
                    <w:snapToGrid w:val="0"/>
                    <w:jc w:val="center"/>
                    <w:rPr>
                      <w:b/>
                      <w:bCs/>
                      <w:color w:val="auto"/>
                      <w:szCs w:val="21"/>
                    </w:rPr>
                  </w:pPr>
                  <w:r>
                    <w:rPr>
                      <w:b/>
                      <w:bCs/>
                      <w:color w:val="auto"/>
                      <w:szCs w:val="21"/>
                    </w:rPr>
                    <w:t>国家或地方污染物排放标准浓度/（mg/L）</w:t>
                  </w:r>
                </w:p>
              </w:tc>
            </w:tr>
            <w:tr w14:paraId="49D9F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restart"/>
                  <w:vAlign w:val="center"/>
                </w:tcPr>
                <w:p w14:paraId="53549755">
                  <w:pPr>
                    <w:adjustRightInd w:val="0"/>
                    <w:snapToGrid w:val="0"/>
                    <w:jc w:val="center"/>
                    <w:rPr>
                      <w:bCs/>
                      <w:color w:val="auto"/>
                      <w:szCs w:val="21"/>
                    </w:rPr>
                  </w:pPr>
                  <w:r>
                    <w:rPr>
                      <w:rFonts w:hint="eastAsia"/>
                      <w:bCs/>
                      <w:color w:val="auto"/>
                      <w:szCs w:val="21"/>
                    </w:rPr>
                    <w:t>1</w:t>
                  </w:r>
                </w:p>
              </w:tc>
              <w:tc>
                <w:tcPr>
                  <w:tcW w:w="736" w:type="dxa"/>
                  <w:vMerge w:val="restart"/>
                  <w:vAlign w:val="center"/>
                </w:tcPr>
                <w:p w14:paraId="065E0B86">
                  <w:pPr>
                    <w:adjustRightInd w:val="0"/>
                    <w:snapToGrid w:val="0"/>
                    <w:jc w:val="center"/>
                    <w:rPr>
                      <w:bCs/>
                      <w:color w:val="auto"/>
                      <w:szCs w:val="21"/>
                    </w:rPr>
                  </w:pPr>
                  <w:r>
                    <w:rPr>
                      <w:bCs/>
                      <w:color w:val="auto"/>
                      <w:szCs w:val="21"/>
                    </w:rPr>
                    <w:t>DW001</w:t>
                  </w:r>
                </w:p>
              </w:tc>
              <w:tc>
                <w:tcPr>
                  <w:tcW w:w="1256" w:type="dxa"/>
                  <w:vMerge w:val="restart"/>
                  <w:vAlign w:val="center"/>
                </w:tcPr>
                <w:p w14:paraId="3AA8D8D8">
                  <w:pPr>
                    <w:adjustRightInd w:val="0"/>
                    <w:snapToGrid w:val="0"/>
                    <w:jc w:val="center"/>
                    <w:rPr>
                      <w:bCs/>
                      <w:color w:val="auto"/>
                      <w:szCs w:val="21"/>
                    </w:rPr>
                  </w:pPr>
                  <w:r>
                    <w:rPr>
                      <w:rFonts w:hint="eastAsia"/>
                      <w:bCs/>
                      <w:color w:val="auto"/>
                      <w:szCs w:val="21"/>
                    </w:rPr>
                    <w:t>119.183904</w:t>
                  </w:r>
                </w:p>
              </w:tc>
              <w:tc>
                <w:tcPr>
                  <w:tcW w:w="1159" w:type="dxa"/>
                  <w:vMerge w:val="restart"/>
                  <w:vAlign w:val="center"/>
                </w:tcPr>
                <w:p w14:paraId="3F99085C">
                  <w:pPr>
                    <w:adjustRightInd w:val="0"/>
                    <w:snapToGrid w:val="0"/>
                    <w:jc w:val="center"/>
                    <w:rPr>
                      <w:bCs/>
                      <w:color w:val="auto"/>
                      <w:szCs w:val="21"/>
                    </w:rPr>
                  </w:pPr>
                  <w:r>
                    <w:rPr>
                      <w:rFonts w:hint="eastAsia"/>
                      <w:bCs/>
                      <w:color w:val="auto"/>
                      <w:szCs w:val="21"/>
                    </w:rPr>
                    <w:t>33.791052</w:t>
                  </w:r>
                </w:p>
              </w:tc>
              <w:tc>
                <w:tcPr>
                  <w:tcW w:w="1036" w:type="dxa"/>
                  <w:vMerge w:val="restart"/>
                  <w:vAlign w:val="center"/>
                </w:tcPr>
                <w:p w14:paraId="6E6C1960">
                  <w:pPr>
                    <w:adjustRightInd w:val="0"/>
                    <w:snapToGrid w:val="0"/>
                    <w:jc w:val="center"/>
                    <w:rPr>
                      <w:bCs/>
                      <w:color w:val="auto"/>
                      <w:szCs w:val="21"/>
                    </w:rPr>
                  </w:pPr>
                  <w:r>
                    <w:rPr>
                      <w:rFonts w:hint="eastAsia"/>
                      <w:bCs/>
                      <w:color w:val="auto"/>
                      <w:szCs w:val="21"/>
                    </w:rPr>
                    <w:t>12015</w:t>
                  </w:r>
                </w:p>
              </w:tc>
              <w:tc>
                <w:tcPr>
                  <w:tcW w:w="817" w:type="dxa"/>
                  <w:vMerge w:val="restart"/>
                  <w:vAlign w:val="center"/>
                </w:tcPr>
                <w:p w14:paraId="275B3CCD">
                  <w:pPr>
                    <w:adjustRightInd w:val="0"/>
                    <w:snapToGrid w:val="0"/>
                    <w:jc w:val="center"/>
                    <w:rPr>
                      <w:bCs/>
                      <w:color w:val="auto"/>
                      <w:szCs w:val="21"/>
                    </w:rPr>
                  </w:pPr>
                  <w:r>
                    <w:rPr>
                      <w:color w:val="auto"/>
                      <w:kern w:val="0"/>
                      <w:szCs w:val="21"/>
                    </w:rPr>
                    <w:t>涟水县空港产业园污水处理厂</w:t>
                  </w:r>
                </w:p>
              </w:tc>
              <w:tc>
                <w:tcPr>
                  <w:tcW w:w="1195" w:type="dxa"/>
                  <w:vMerge w:val="restart"/>
                  <w:vAlign w:val="center"/>
                </w:tcPr>
                <w:p w14:paraId="70C6F581">
                  <w:pPr>
                    <w:adjustRightInd w:val="0"/>
                    <w:snapToGrid w:val="0"/>
                    <w:jc w:val="center"/>
                    <w:rPr>
                      <w:bCs/>
                      <w:color w:val="auto"/>
                      <w:szCs w:val="21"/>
                    </w:rPr>
                  </w:pPr>
                  <w:r>
                    <w:rPr>
                      <w:bCs/>
                      <w:color w:val="auto"/>
                      <w:szCs w:val="21"/>
                    </w:rPr>
                    <w:t>连续排放，流量不稳定且无规律，但不属于冲击型排放</w:t>
                  </w:r>
                </w:p>
              </w:tc>
              <w:tc>
                <w:tcPr>
                  <w:tcW w:w="929" w:type="dxa"/>
                  <w:vMerge w:val="restart"/>
                  <w:vAlign w:val="center"/>
                </w:tcPr>
                <w:p w14:paraId="375E0DDA">
                  <w:pPr>
                    <w:adjustRightInd w:val="0"/>
                    <w:snapToGrid w:val="0"/>
                    <w:jc w:val="center"/>
                    <w:rPr>
                      <w:bCs/>
                      <w:color w:val="auto"/>
                      <w:szCs w:val="21"/>
                    </w:rPr>
                  </w:pPr>
                  <w:r>
                    <w:rPr>
                      <w:rFonts w:hint="eastAsia"/>
                      <w:bCs/>
                      <w:color w:val="auto"/>
                      <w:szCs w:val="21"/>
                    </w:rPr>
                    <w:t>工作日</w:t>
                  </w:r>
                </w:p>
              </w:tc>
              <w:tc>
                <w:tcPr>
                  <w:tcW w:w="1344" w:type="dxa"/>
                  <w:vMerge w:val="restart"/>
                  <w:vAlign w:val="center"/>
                </w:tcPr>
                <w:p w14:paraId="416C9C51">
                  <w:pPr>
                    <w:adjustRightInd w:val="0"/>
                    <w:snapToGrid w:val="0"/>
                    <w:jc w:val="center"/>
                    <w:rPr>
                      <w:bCs/>
                      <w:color w:val="auto"/>
                      <w:szCs w:val="21"/>
                    </w:rPr>
                  </w:pPr>
                  <w:r>
                    <w:rPr>
                      <w:color w:val="auto"/>
                      <w:kern w:val="0"/>
                      <w:szCs w:val="21"/>
                    </w:rPr>
                    <w:t>涟水县空港产业园污水处理厂</w:t>
                  </w:r>
                </w:p>
              </w:tc>
              <w:tc>
                <w:tcPr>
                  <w:tcW w:w="1228" w:type="dxa"/>
                  <w:vAlign w:val="center"/>
                </w:tcPr>
                <w:p w14:paraId="466E99C8">
                  <w:pPr>
                    <w:jc w:val="center"/>
                    <w:rPr>
                      <w:color w:val="auto"/>
                      <w:szCs w:val="21"/>
                    </w:rPr>
                  </w:pPr>
                  <w:r>
                    <w:rPr>
                      <w:color w:val="auto"/>
                      <w:szCs w:val="21"/>
                    </w:rPr>
                    <w:t>pH</w:t>
                  </w:r>
                </w:p>
              </w:tc>
              <w:tc>
                <w:tcPr>
                  <w:tcW w:w="2304" w:type="dxa"/>
                  <w:vAlign w:val="center"/>
                </w:tcPr>
                <w:p w14:paraId="6EBFF45D">
                  <w:pPr>
                    <w:pStyle w:val="73"/>
                    <w:adjustRightInd w:val="0"/>
                    <w:snapToGrid w:val="0"/>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6-9</w:t>
                  </w:r>
                </w:p>
              </w:tc>
            </w:tr>
            <w:tr w14:paraId="610F1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347E370A">
                  <w:pPr>
                    <w:adjustRightInd w:val="0"/>
                    <w:snapToGrid w:val="0"/>
                    <w:jc w:val="center"/>
                    <w:rPr>
                      <w:bCs/>
                      <w:color w:val="auto"/>
                      <w:szCs w:val="21"/>
                    </w:rPr>
                  </w:pPr>
                </w:p>
              </w:tc>
              <w:tc>
                <w:tcPr>
                  <w:tcW w:w="736" w:type="dxa"/>
                  <w:vMerge w:val="continue"/>
                  <w:vAlign w:val="center"/>
                </w:tcPr>
                <w:p w14:paraId="422E4EF1">
                  <w:pPr>
                    <w:adjustRightInd w:val="0"/>
                    <w:snapToGrid w:val="0"/>
                    <w:jc w:val="center"/>
                    <w:rPr>
                      <w:bCs/>
                      <w:color w:val="auto"/>
                      <w:szCs w:val="21"/>
                    </w:rPr>
                  </w:pPr>
                </w:p>
              </w:tc>
              <w:tc>
                <w:tcPr>
                  <w:tcW w:w="1256" w:type="dxa"/>
                  <w:vMerge w:val="continue"/>
                  <w:vAlign w:val="center"/>
                </w:tcPr>
                <w:p w14:paraId="706B982C">
                  <w:pPr>
                    <w:adjustRightInd w:val="0"/>
                    <w:snapToGrid w:val="0"/>
                    <w:jc w:val="center"/>
                    <w:rPr>
                      <w:bCs/>
                      <w:color w:val="auto"/>
                      <w:szCs w:val="21"/>
                    </w:rPr>
                  </w:pPr>
                </w:p>
              </w:tc>
              <w:tc>
                <w:tcPr>
                  <w:tcW w:w="1159" w:type="dxa"/>
                  <w:vMerge w:val="continue"/>
                  <w:vAlign w:val="center"/>
                </w:tcPr>
                <w:p w14:paraId="19C6FD33">
                  <w:pPr>
                    <w:adjustRightInd w:val="0"/>
                    <w:snapToGrid w:val="0"/>
                    <w:jc w:val="center"/>
                    <w:rPr>
                      <w:bCs/>
                      <w:color w:val="auto"/>
                      <w:szCs w:val="21"/>
                    </w:rPr>
                  </w:pPr>
                </w:p>
              </w:tc>
              <w:tc>
                <w:tcPr>
                  <w:tcW w:w="1036" w:type="dxa"/>
                  <w:vMerge w:val="continue"/>
                  <w:vAlign w:val="center"/>
                </w:tcPr>
                <w:p w14:paraId="1120D3B8">
                  <w:pPr>
                    <w:adjustRightInd w:val="0"/>
                    <w:snapToGrid w:val="0"/>
                    <w:jc w:val="center"/>
                    <w:rPr>
                      <w:bCs/>
                      <w:color w:val="auto"/>
                      <w:szCs w:val="21"/>
                    </w:rPr>
                  </w:pPr>
                </w:p>
              </w:tc>
              <w:tc>
                <w:tcPr>
                  <w:tcW w:w="817" w:type="dxa"/>
                  <w:vMerge w:val="continue"/>
                  <w:vAlign w:val="center"/>
                </w:tcPr>
                <w:p w14:paraId="4C38C1AE">
                  <w:pPr>
                    <w:adjustRightInd w:val="0"/>
                    <w:snapToGrid w:val="0"/>
                    <w:jc w:val="center"/>
                    <w:rPr>
                      <w:bCs/>
                      <w:color w:val="auto"/>
                      <w:szCs w:val="21"/>
                    </w:rPr>
                  </w:pPr>
                </w:p>
              </w:tc>
              <w:tc>
                <w:tcPr>
                  <w:tcW w:w="1195" w:type="dxa"/>
                  <w:vMerge w:val="continue"/>
                  <w:vAlign w:val="center"/>
                </w:tcPr>
                <w:p w14:paraId="1807CA9D">
                  <w:pPr>
                    <w:adjustRightInd w:val="0"/>
                    <w:snapToGrid w:val="0"/>
                    <w:jc w:val="center"/>
                    <w:rPr>
                      <w:bCs/>
                      <w:color w:val="auto"/>
                      <w:szCs w:val="21"/>
                    </w:rPr>
                  </w:pPr>
                </w:p>
              </w:tc>
              <w:tc>
                <w:tcPr>
                  <w:tcW w:w="929" w:type="dxa"/>
                  <w:vMerge w:val="continue"/>
                  <w:vAlign w:val="center"/>
                </w:tcPr>
                <w:p w14:paraId="63D40A61">
                  <w:pPr>
                    <w:adjustRightInd w:val="0"/>
                    <w:snapToGrid w:val="0"/>
                    <w:jc w:val="center"/>
                    <w:rPr>
                      <w:bCs/>
                      <w:color w:val="auto"/>
                      <w:szCs w:val="21"/>
                    </w:rPr>
                  </w:pPr>
                </w:p>
              </w:tc>
              <w:tc>
                <w:tcPr>
                  <w:tcW w:w="1344" w:type="dxa"/>
                  <w:vMerge w:val="continue"/>
                  <w:vAlign w:val="center"/>
                </w:tcPr>
                <w:p w14:paraId="6F38E561">
                  <w:pPr>
                    <w:adjustRightInd w:val="0"/>
                    <w:snapToGrid w:val="0"/>
                    <w:jc w:val="center"/>
                    <w:rPr>
                      <w:bCs/>
                      <w:color w:val="auto"/>
                      <w:szCs w:val="21"/>
                    </w:rPr>
                  </w:pPr>
                </w:p>
              </w:tc>
              <w:tc>
                <w:tcPr>
                  <w:tcW w:w="1228" w:type="dxa"/>
                  <w:vAlign w:val="center"/>
                </w:tcPr>
                <w:p w14:paraId="5891A115">
                  <w:pPr>
                    <w:widowControl/>
                    <w:adjustRightInd w:val="0"/>
                    <w:snapToGrid w:val="0"/>
                    <w:spacing w:line="240" w:lineRule="atLeast"/>
                    <w:jc w:val="center"/>
                    <w:textAlignment w:val="center"/>
                    <w:rPr>
                      <w:color w:val="auto"/>
                    </w:rPr>
                  </w:pPr>
                  <w:r>
                    <w:rPr>
                      <w:color w:val="auto"/>
                      <w:kern w:val="0"/>
                      <w:lang w:bidi="ar"/>
                    </w:rPr>
                    <w:t>COD</w:t>
                  </w:r>
                </w:p>
              </w:tc>
              <w:tc>
                <w:tcPr>
                  <w:tcW w:w="2304" w:type="dxa"/>
                  <w:vAlign w:val="center"/>
                </w:tcPr>
                <w:p w14:paraId="73F63B70">
                  <w:pPr>
                    <w:jc w:val="center"/>
                    <w:rPr>
                      <w:color w:val="auto"/>
                      <w:szCs w:val="21"/>
                    </w:rPr>
                  </w:pPr>
                  <w:r>
                    <w:rPr>
                      <w:rFonts w:hint="eastAsia"/>
                      <w:color w:val="auto"/>
                      <w:szCs w:val="21"/>
                    </w:rPr>
                    <w:t>30</w:t>
                  </w:r>
                </w:p>
              </w:tc>
            </w:tr>
            <w:tr w14:paraId="1CAB2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58E7119C">
                  <w:pPr>
                    <w:adjustRightInd w:val="0"/>
                    <w:snapToGrid w:val="0"/>
                    <w:jc w:val="center"/>
                    <w:rPr>
                      <w:bCs/>
                      <w:color w:val="auto"/>
                      <w:szCs w:val="21"/>
                    </w:rPr>
                  </w:pPr>
                </w:p>
              </w:tc>
              <w:tc>
                <w:tcPr>
                  <w:tcW w:w="736" w:type="dxa"/>
                  <w:vMerge w:val="continue"/>
                  <w:vAlign w:val="center"/>
                </w:tcPr>
                <w:p w14:paraId="573D7C9C">
                  <w:pPr>
                    <w:adjustRightInd w:val="0"/>
                    <w:snapToGrid w:val="0"/>
                    <w:jc w:val="center"/>
                    <w:rPr>
                      <w:bCs/>
                      <w:color w:val="auto"/>
                      <w:szCs w:val="21"/>
                    </w:rPr>
                  </w:pPr>
                </w:p>
              </w:tc>
              <w:tc>
                <w:tcPr>
                  <w:tcW w:w="1256" w:type="dxa"/>
                  <w:vMerge w:val="continue"/>
                  <w:vAlign w:val="center"/>
                </w:tcPr>
                <w:p w14:paraId="158D9CDF">
                  <w:pPr>
                    <w:adjustRightInd w:val="0"/>
                    <w:snapToGrid w:val="0"/>
                    <w:jc w:val="center"/>
                    <w:rPr>
                      <w:bCs/>
                      <w:color w:val="auto"/>
                      <w:szCs w:val="21"/>
                    </w:rPr>
                  </w:pPr>
                </w:p>
              </w:tc>
              <w:tc>
                <w:tcPr>
                  <w:tcW w:w="1159" w:type="dxa"/>
                  <w:vMerge w:val="continue"/>
                  <w:vAlign w:val="center"/>
                </w:tcPr>
                <w:p w14:paraId="05CFA7E8">
                  <w:pPr>
                    <w:adjustRightInd w:val="0"/>
                    <w:snapToGrid w:val="0"/>
                    <w:jc w:val="center"/>
                    <w:rPr>
                      <w:bCs/>
                      <w:color w:val="auto"/>
                      <w:szCs w:val="21"/>
                    </w:rPr>
                  </w:pPr>
                </w:p>
              </w:tc>
              <w:tc>
                <w:tcPr>
                  <w:tcW w:w="1036" w:type="dxa"/>
                  <w:vMerge w:val="continue"/>
                  <w:vAlign w:val="center"/>
                </w:tcPr>
                <w:p w14:paraId="5652F923">
                  <w:pPr>
                    <w:adjustRightInd w:val="0"/>
                    <w:snapToGrid w:val="0"/>
                    <w:jc w:val="center"/>
                    <w:rPr>
                      <w:bCs/>
                      <w:color w:val="auto"/>
                      <w:szCs w:val="21"/>
                    </w:rPr>
                  </w:pPr>
                </w:p>
              </w:tc>
              <w:tc>
                <w:tcPr>
                  <w:tcW w:w="817" w:type="dxa"/>
                  <w:vMerge w:val="continue"/>
                  <w:vAlign w:val="center"/>
                </w:tcPr>
                <w:p w14:paraId="2C7B5045">
                  <w:pPr>
                    <w:adjustRightInd w:val="0"/>
                    <w:snapToGrid w:val="0"/>
                    <w:jc w:val="center"/>
                    <w:rPr>
                      <w:bCs/>
                      <w:color w:val="auto"/>
                      <w:szCs w:val="21"/>
                    </w:rPr>
                  </w:pPr>
                </w:p>
              </w:tc>
              <w:tc>
                <w:tcPr>
                  <w:tcW w:w="1195" w:type="dxa"/>
                  <w:vMerge w:val="continue"/>
                  <w:vAlign w:val="center"/>
                </w:tcPr>
                <w:p w14:paraId="6EC8D70B">
                  <w:pPr>
                    <w:adjustRightInd w:val="0"/>
                    <w:snapToGrid w:val="0"/>
                    <w:jc w:val="center"/>
                    <w:rPr>
                      <w:bCs/>
                      <w:color w:val="auto"/>
                      <w:szCs w:val="21"/>
                    </w:rPr>
                  </w:pPr>
                </w:p>
              </w:tc>
              <w:tc>
                <w:tcPr>
                  <w:tcW w:w="929" w:type="dxa"/>
                  <w:vMerge w:val="continue"/>
                  <w:vAlign w:val="center"/>
                </w:tcPr>
                <w:p w14:paraId="6CEFD0F1">
                  <w:pPr>
                    <w:adjustRightInd w:val="0"/>
                    <w:snapToGrid w:val="0"/>
                    <w:jc w:val="center"/>
                    <w:rPr>
                      <w:bCs/>
                      <w:color w:val="auto"/>
                      <w:szCs w:val="21"/>
                    </w:rPr>
                  </w:pPr>
                </w:p>
              </w:tc>
              <w:tc>
                <w:tcPr>
                  <w:tcW w:w="1344" w:type="dxa"/>
                  <w:vMerge w:val="continue"/>
                  <w:vAlign w:val="center"/>
                </w:tcPr>
                <w:p w14:paraId="44AC69F5">
                  <w:pPr>
                    <w:adjustRightInd w:val="0"/>
                    <w:snapToGrid w:val="0"/>
                    <w:jc w:val="center"/>
                    <w:rPr>
                      <w:bCs/>
                      <w:color w:val="auto"/>
                      <w:szCs w:val="21"/>
                    </w:rPr>
                  </w:pPr>
                </w:p>
              </w:tc>
              <w:tc>
                <w:tcPr>
                  <w:tcW w:w="1228" w:type="dxa"/>
                  <w:vAlign w:val="center"/>
                </w:tcPr>
                <w:p w14:paraId="2BD5C49D">
                  <w:pPr>
                    <w:widowControl/>
                    <w:adjustRightInd w:val="0"/>
                    <w:snapToGrid w:val="0"/>
                    <w:spacing w:line="240" w:lineRule="atLeast"/>
                    <w:jc w:val="center"/>
                    <w:textAlignment w:val="center"/>
                    <w:rPr>
                      <w:color w:val="auto"/>
                    </w:rPr>
                  </w:pPr>
                  <w:r>
                    <w:rPr>
                      <w:color w:val="auto"/>
                      <w:kern w:val="0"/>
                      <w:lang w:bidi="ar"/>
                    </w:rPr>
                    <w:t>SS</w:t>
                  </w:r>
                </w:p>
              </w:tc>
              <w:tc>
                <w:tcPr>
                  <w:tcW w:w="2304" w:type="dxa"/>
                  <w:vAlign w:val="center"/>
                </w:tcPr>
                <w:p w14:paraId="6DA7FCD9">
                  <w:pPr>
                    <w:jc w:val="center"/>
                    <w:rPr>
                      <w:color w:val="auto"/>
                      <w:szCs w:val="21"/>
                    </w:rPr>
                  </w:pPr>
                  <w:r>
                    <w:rPr>
                      <w:rFonts w:hint="eastAsia"/>
                      <w:color w:val="auto"/>
                      <w:szCs w:val="21"/>
                    </w:rPr>
                    <w:t>10</w:t>
                  </w:r>
                </w:p>
              </w:tc>
            </w:tr>
            <w:tr w14:paraId="3A934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3" w:hRule="atLeast"/>
                <w:jc w:val="center"/>
              </w:trPr>
              <w:tc>
                <w:tcPr>
                  <w:tcW w:w="434" w:type="dxa"/>
                  <w:vMerge w:val="continue"/>
                  <w:vAlign w:val="center"/>
                </w:tcPr>
                <w:p w14:paraId="04C84DBB">
                  <w:pPr>
                    <w:adjustRightInd w:val="0"/>
                    <w:snapToGrid w:val="0"/>
                    <w:jc w:val="center"/>
                    <w:rPr>
                      <w:bCs/>
                      <w:color w:val="auto"/>
                      <w:szCs w:val="21"/>
                    </w:rPr>
                  </w:pPr>
                </w:p>
              </w:tc>
              <w:tc>
                <w:tcPr>
                  <w:tcW w:w="736" w:type="dxa"/>
                  <w:vMerge w:val="continue"/>
                  <w:vAlign w:val="center"/>
                </w:tcPr>
                <w:p w14:paraId="38ED34A6">
                  <w:pPr>
                    <w:adjustRightInd w:val="0"/>
                    <w:snapToGrid w:val="0"/>
                    <w:jc w:val="center"/>
                    <w:rPr>
                      <w:bCs/>
                      <w:color w:val="auto"/>
                      <w:szCs w:val="21"/>
                    </w:rPr>
                  </w:pPr>
                </w:p>
              </w:tc>
              <w:tc>
                <w:tcPr>
                  <w:tcW w:w="1256" w:type="dxa"/>
                  <w:vMerge w:val="continue"/>
                  <w:vAlign w:val="center"/>
                </w:tcPr>
                <w:p w14:paraId="4BCF3F6F">
                  <w:pPr>
                    <w:adjustRightInd w:val="0"/>
                    <w:snapToGrid w:val="0"/>
                    <w:jc w:val="center"/>
                    <w:rPr>
                      <w:bCs/>
                      <w:color w:val="auto"/>
                      <w:szCs w:val="21"/>
                    </w:rPr>
                  </w:pPr>
                </w:p>
              </w:tc>
              <w:tc>
                <w:tcPr>
                  <w:tcW w:w="1159" w:type="dxa"/>
                  <w:vMerge w:val="continue"/>
                  <w:vAlign w:val="center"/>
                </w:tcPr>
                <w:p w14:paraId="42479E33">
                  <w:pPr>
                    <w:adjustRightInd w:val="0"/>
                    <w:snapToGrid w:val="0"/>
                    <w:jc w:val="center"/>
                    <w:rPr>
                      <w:bCs/>
                      <w:color w:val="auto"/>
                      <w:szCs w:val="21"/>
                    </w:rPr>
                  </w:pPr>
                </w:p>
              </w:tc>
              <w:tc>
                <w:tcPr>
                  <w:tcW w:w="1036" w:type="dxa"/>
                  <w:vMerge w:val="continue"/>
                  <w:vAlign w:val="center"/>
                </w:tcPr>
                <w:p w14:paraId="085F23A0">
                  <w:pPr>
                    <w:adjustRightInd w:val="0"/>
                    <w:snapToGrid w:val="0"/>
                    <w:jc w:val="center"/>
                    <w:rPr>
                      <w:bCs/>
                      <w:color w:val="auto"/>
                      <w:szCs w:val="21"/>
                    </w:rPr>
                  </w:pPr>
                </w:p>
              </w:tc>
              <w:tc>
                <w:tcPr>
                  <w:tcW w:w="817" w:type="dxa"/>
                  <w:vMerge w:val="continue"/>
                  <w:vAlign w:val="center"/>
                </w:tcPr>
                <w:p w14:paraId="6A145AB6">
                  <w:pPr>
                    <w:adjustRightInd w:val="0"/>
                    <w:snapToGrid w:val="0"/>
                    <w:jc w:val="center"/>
                    <w:rPr>
                      <w:bCs/>
                      <w:color w:val="auto"/>
                      <w:szCs w:val="21"/>
                    </w:rPr>
                  </w:pPr>
                </w:p>
              </w:tc>
              <w:tc>
                <w:tcPr>
                  <w:tcW w:w="1195" w:type="dxa"/>
                  <w:vMerge w:val="continue"/>
                  <w:vAlign w:val="center"/>
                </w:tcPr>
                <w:p w14:paraId="18ACE5D1">
                  <w:pPr>
                    <w:adjustRightInd w:val="0"/>
                    <w:snapToGrid w:val="0"/>
                    <w:jc w:val="center"/>
                    <w:rPr>
                      <w:bCs/>
                      <w:color w:val="auto"/>
                      <w:szCs w:val="21"/>
                    </w:rPr>
                  </w:pPr>
                </w:p>
              </w:tc>
              <w:tc>
                <w:tcPr>
                  <w:tcW w:w="929" w:type="dxa"/>
                  <w:vMerge w:val="continue"/>
                  <w:vAlign w:val="center"/>
                </w:tcPr>
                <w:p w14:paraId="6E3112F4">
                  <w:pPr>
                    <w:adjustRightInd w:val="0"/>
                    <w:snapToGrid w:val="0"/>
                    <w:jc w:val="center"/>
                    <w:rPr>
                      <w:bCs/>
                      <w:color w:val="auto"/>
                      <w:szCs w:val="21"/>
                    </w:rPr>
                  </w:pPr>
                </w:p>
              </w:tc>
              <w:tc>
                <w:tcPr>
                  <w:tcW w:w="1344" w:type="dxa"/>
                  <w:vMerge w:val="continue"/>
                  <w:vAlign w:val="center"/>
                </w:tcPr>
                <w:p w14:paraId="75BC759B">
                  <w:pPr>
                    <w:adjustRightInd w:val="0"/>
                    <w:snapToGrid w:val="0"/>
                    <w:jc w:val="center"/>
                    <w:rPr>
                      <w:bCs/>
                      <w:color w:val="auto"/>
                      <w:szCs w:val="21"/>
                    </w:rPr>
                  </w:pPr>
                </w:p>
              </w:tc>
              <w:tc>
                <w:tcPr>
                  <w:tcW w:w="1228" w:type="dxa"/>
                  <w:vAlign w:val="center"/>
                </w:tcPr>
                <w:p w14:paraId="22835831">
                  <w:pPr>
                    <w:widowControl/>
                    <w:adjustRightInd w:val="0"/>
                    <w:snapToGrid w:val="0"/>
                    <w:spacing w:line="240" w:lineRule="atLeast"/>
                    <w:jc w:val="center"/>
                    <w:textAlignment w:val="center"/>
                    <w:rPr>
                      <w:color w:val="auto"/>
                    </w:rPr>
                  </w:pPr>
                  <w:r>
                    <w:rPr>
                      <w:color w:val="auto"/>
                      <w:kern w:val="0"/>
                      <w:lang w:bidi="ar"/>
                    </w:rPr>
                    <w:t>氨氮</w:t>
                  </w:r>
                </w:p>
              </w:tc>
              <w:tc>
                <w:tcPr>
                  <w:tcW w:w="2304" w:type="dxa"/>
                  <w:vAlign w:val="center"/>
                </w:tcPr>
                <w:p w14:paraId="21929BE9">
                  <w:pPr>
                    <w:jc w:val="center"/>
                    <w:rPr>
                      <w:color w:val="auto"/>
                      <w:szCs w:val="21"/>
                    </w:rPr>
                  </w:pPr>
                  <w:r>
                    <w:rPr>
                      <w:rFonts w:hint="eastAsia"/>
                      <w:color w:val="auto"/>
                      <w:szCs w:val="21"/>
                    </w:rPr>
                    <w:t>1.5</w:t>
                  </w:r>
                </w:p>
              </w:tc>
            </w:tr>
            <w:tr w14:paraId="30BB6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640596C1">
                  <w:pPr>
                    <w:adjustRightInd w:val="0"/>
                    <w:snapToGrid w:val="0"/>
                    <w:jc w:val="center"/>
                    <w:rPr>
                      <w:bCs/>
                      <w:color w:val="auto"/>
                      <w:szCs w:val="21"/>
                    </w:rPr>
                  </w:pPr>
                </w:p>
              </w:tc>
              <w:tc>
                <w:tcPr>
                  <w:tcW w:w="736" w:type="dxa"/>
                  <w:vMerge w:val="continue"/>
                  <w:vAlign w:val="center"/>
                </w:tcPr>
                <w:p w14:paraId="135917F5">
                  <w:pPr>
                    <w:adjustRightInd w:val="0"/>
                    <w:snapToGrid w:val="0"/>
                    <w:jc w:val="center"/>
                    <w:rPr>
                      <w:bCs/>
                      <w:color w:val="auto"/>
                      <w:szCs w:val="21"/>
                    </w:rPr>
                  </w:pPr>
                </w:p>
              </w:tc>
              <w:tc>
                <w:tcPr>
                  <w:tcW w:w="1256" w:type="dxa"/>
                  <w:vMerge w:val="continue"/>
                  <w:vAlign w:val="center"/>
                </w:tcPr>
                <w:p w14:paraId="1D7C99DB">
                  <w:pPr>
                    <w:adjustRightInd w:val="0"/>
                    <w:snapToGrid w:val="0"/>
                    <w:jc w:val="center"/>
                    <w:rPr>
                      <w:bCs/>
                      <w:color w:val="auto"/>
                      <w:szCs w:val="21"/>
                    </w:rPr>
                  </w:pPr>
                </w:p>
              </w:tc>
              <w:tc>
                <w:tcPr>
                  <w:tcW w:w="1159" w:type="dxa"/>
                  <w:vMerge w:val="continue"/>
                  <w:vAlign w:val="center"/>
                </w:tcPr>
                <w:p w14:paraId="59144743">
                  <w:pPr>
                    <w:adjustRightInd w:val="0"/>
                    <w:snapToGrid w:val="0"/>
                    <w:jc w:val="center"/>
                    <w:rPr>
                      <w:bCs/>
                      <w:color w:val="auto"/>
                      <w:szCs w:val="21"/>
                    </w:rPr>
                  </w:pPr>
                </w:p>
              </w:tc>
              <w:tc>
                <w:tcPr>
                  <w:tcW w:w="1036" w:type="dxa"/>
                  <w:vMerge w:val="continue"/>
                  <w:vAlign w:val="center"/>
                </w:tcPr>
                <w:p w14:paraId="1C6EC9A5">
                  <w:pPr>
                    <w:adjustRightInd w:val="0"/>
                    <w:snapToGrid w:val="0"/>
                    <w:jc w:val="center"/>
                    <w:rPr>
                      <w:bCs/>
                      <w:color w:val="auto"/>
                      <w:szCs w:val="21"/>
                    </w:rPr>
                  </w:pPr>
                </w:p>
              </w:tc>
              <w:tc>
                <w:tcPr>
                  <w:tcW w:w="817" w:type="dxa"/>
                  <w:vMerge w:val="continue"/>
                  <w:vAlign w:val="center"/>
                </w:tcPr>
                <w:p w14:paraId="5C98C40E">
                  <w:pPr>
                    <w:adjustRightInd w:val="0"/>
                    <w:snapToGrid w:val="0"/>
                    <w:jc w:val="center"/>
                    <w:rPr>
                      <w:bCs/>
                      <w:color w:val="auto"/>
                      <w:szCs w:val="21"/>
                    </w:rPr>
                  </w:pPr>
                </w:p>
              </w:tc>
              <w:tc>
                <w:tcPr>
                  <w:tcW w:w="1195" w:type="dxa"/>
                  <w:vMerge w:val="continue"/>
                  <w:vAlign w:val="center"/>
                </w:tcPr>
                <w:p w14:paraId="71B8476C">
                  <w:pPr>
                    <w:adjustRightInd w:val="0"/>
                    <w:snapToGrid w:val="0"/>
                    <w:jc w:val="center"/>
                    <w:rPr>
                      <w:bCs/>
                      <w:color w:val="auto"/>
                      <w:szCs w:val="21"/>
                    </w:rPr>
                  </w:pPr>
                </w:p>
              </w:tc>
              <w:tc>
                <w:tcPr>
                  <w:tcW w:w="929" w:type="dxa"/>
                  <w:vMerge w:val="continue"/>
                  <w:vAlign w:val="center"/>
                </w:tcPr>
                <w:p w14:paraId="29329F14">
                  <w:pPr>
                    <w:adjustRightInd w:val="0"/>
                    <w:snapToGrid w:val="0"/>
                    <w:jc w:val="center"/>
                    <w:rPr>
                      <w:bCs/>
                      <w:color w:val="auto"/>
                      <w:szCs w:val="21"/>
                    </w:rPr>
                  </w:pPr>
                </w:p>
              </w:tc>
              <w:tc>
                <w:tcPr>
                  <w:tcW w:w="1344" w:type="dxa"/>
                  <w:vMerge w:val="continue"/>
                  <w:vAlign w:val="center"/>
                </w:tcPr>
                <w:p w14:paraId="41F5B2C4">
                  <w:pPr>
                    <w:adjustRightInd w:val="0"/>
                    <w:snapToGrid w:val="0"/>
                    <w:jc w:val="center"/>
                    <w:rPr>
                      <w:bCs/>
                      <w:color w:val="auto"/>
                      <w:szCs w:val="21"/>
                    </w:rPr>
                  </w:pPr>
                </w:p>
              </w:tc>
              <w:tc>
                <w:tcPr>
                  <w:tcW w:w="1228" w:type="dxa"/>
                  <w:vAlign w:val="center"/>
                </w:tcPr>
                <w:p w14:paraId="4CDF9A7F">
                  <w:pPr>
                    <w:widowControl/>
                    <w:adjustRightInd w:val="0"/>
                    <w:snapToGrid w:val="0"/>
                    <w:spacing w:line="240" w:lineRule="atLeast"/>
                    <w:jc w:val="center"/>
                    <w:textAlignment w:val="center"/>
                    <w:rPr>
                      <w:color w:val="auto"/>
                    </w:rPr>
                  </w:pPr>
                  <w:r>
                    <w:rPr>
                      <w:color w:val="auto"/>
                      <w:kern w:val="0"/>
                      <w:lang w:bidi="ar"/>
                    </w:rPr>
                    <w:t>TP</w:t>
                  </w:r>
                </w:p>
              </w:tc>
              <w:tc>
                <w:tcPr>
                  <w:tcW w:w="2304" w:type="dxa"/>
                  <w:vAlign w:val="center"/>
                </w:tcPr>
                <w:p w14:paraId="19B602C9">
                  <w:pPr>
                    <w:jc w:val="center"/>
                    <w:rPr>
                      <w:color w:val="auto"/>
                      <w:szCs w:val="21"/>
                    </w:rPr>
                  </w:pPr>
                  <w:r>
                    <w:rPr>
                      <w:color w:val="auto"/>
                      <w:szCs w:val="21"/>
                    </w:rPr>
                    <w:t>0.</w:t>
                  </w:r>
                  <w:r>
                    <w:rPr>
                      <w:rFonts w:hint="eastAsia"/>
                      <w:color w:val="auto"/>
                      <w:szCs w:val="21"/>
                    </w:rPr>
                    <w:t>3</w:t>
                  </w:r>
                </w:p>
              </w:tc>
            </w:tr>
            <w:tr w14:paraId="767F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613E48C2">
                  <w:pPr>
                    <w:adjustRightInd w:val="0"/>
                    <w:snapToGrid w:val="0"/>
                    <w:jc w:val="center"/>
                    <w:rPr>
                      <w:bCs/>
                      <w:color w:val="auto"/>
                      <w:szCs w:val="21"/>
                    </w:rPr>
                  </w:pPr>
                </w:p>
              </w:tc>
              <w:tc>
                <w:tcPr>
                  <w:tcW w:w="736" w:type="dxa"/>
                  <w:vMerge w:val="continue"/>
                  <w:vAlign w:val="center"/>
                </w:tcPr>
                <w:p w14:paraId="5A049095">
                  <w:pPr>
                    <w:adjustRightInd w:val="0"/>
                    <w:snapToGrid w:val="0"/>
                    <w:jc w:val="center"/>
                    <w:rPr>
                      <w:bCs/>
                      <w:color w:val="auto"/>
                      <w:szCs w:val="21"/>
                    </w:rPr>
                  </w:pPr>
                </w:p>
              </w:tc>
              <w:tc>
                <w:tcPr>
                  <w:tcW w:w="1256" w:type="dxa"/>
                  <w:vMerge w:val="continue"/>
                  <w:vAlign w:val="center"/>
                </w:tcPr>
                <w:p w14:paraId="171608C8">
                  <w:pPr>
                    <w:adjustRightInd w:val="0"/>
                    <w:snapToGrid w:val="0"/>
                    <w:jc w:val="center"/>
                    <w:rPr>
                      <w:bCs/>
                      <w:color w:val="auto"/>
                      <w:szCs w:val="21"/>
                    </w:rPr>
                  </w:pPr>
                </w:p>
              </w:tc>
              <w:tc>
                <w:tcPr>
                  <w:tcW w:w="1159" w:type="dxa"/>
                  <w:vMerge w:val="continue"/>
                  <w:vAlign w:val="center"/>
                </w:tcPr>
                <w:p w14:paraId="4C5CCBCD">
                  <w:pPr>
                    <w:adjustRightInd w:val="0"/>
                    <w:snapToGrid w:val="0"/>
                    <w:jc w:val="center"/>
                    <w:rPr>
                      <w:bCs/>
                      <w:color w:val="auto"/>
                      <w:szCs w:val="21"/>
                    </w:rPr>
                  </w:pPr>
                </w:p>
              </w:tc>
              <w:tc>
                <w:tcPr>
                  <w:tcW w:w="1036" w:type="dxa"/>
                  <w:vMerge w:val="continue"/>
                  <w:vAlign w:val="center"/>
                </w:tcPr>
                <w:p w14:paraId="04046AA9">
                  <w:pPr>
                    <w:adjustRightInd w:val="0"/>
                    <w:snapToGrid w:val="0"/>
                    <w:jc w:val="center"/>
                    <w:rPr>
                      <w:bCs/>
                      <w:color w:val="auto"/>
                      <w:szCs w:val="21"/>
                    </w:rPr>
                  </w:pPr>
                </w:p>
              </w:tc>
              <w:tc>
                <w:tcPr>
                  <w:tcW w:w="817" w:type="dxa"/>
                  <w:vMerge w:val="continue"/>
                  <w:vAlign w:val="center"/>
                </w:tcPr>
                <w:p w14:paraId="62856B3D">
                  <w:pPr>
                    <w:adjustRightInd w:val="0"/>
                    <w:snapToGrid w:val="0"/>
                    <w:jc w:val="center"/>
                    <w:rPr>
                      <w:bCs/>
                      <w:color w:val="auto"/>
                      <w:szCs w:val="21"/>
                    </w:rPr>
                  </w:pPr>
                </w:p>
              </w:tc>
              <w:tc>
                <w:tcPr>
                  <w:tcW w:w="1195" w:type="dxa"/>
                  <w:vMerge w:val="continue"/>
                  <w:vAlign w:val="center"/>
                </w:tcPr>
                <w:p w14:paraId="247160EB">
                  <w:pPr>
                    <w:adjustRightInd w:val="0"/>
                    <w:snapToGrid w:val="0"/>
                    <w:jc w:val="center"/>
                    <w:rPr>
                      <w:bCs/>
                      <w:color w:val="auto"/>
                      <w:szCs w:val="21"/>
                    </w:rPr>
                  </w:pPr>
                </w:p>
              </w:tc>
              <w:tc>
                <w:tcPr>
                  <w:tcW w:w="929" w:type="dxa"/>
                  <w:vMerge w:val="continue"/>
                  <w:vAlign w:val="center"/>
                </w:tcPr>
                <w:p w14:paraId="4D81A289">
                  <w:pPr>
                    <w:adjustRightInd w:val="0"/>
                    <w:snapToGrid w:val="0"/>
                    <w:jc w:val="center"/>
                    <w:rPr>
                      <w:bCs/>
                      <w:color w:val="auto"/>
                      <w:szCs w:val="21"/>
                    </w:rPr>
                  </w:pPr>
                </w:p>
              </w:tc>
              <w:tc>
                <w:tcPr>
                  <w:tcW w:w="1344" w:type="dxa"/>
                  <w:vMerge w:val="continue"/>
                  <w:vAlign w:val="center"/>
                </w:tcPr>
                <w:p w14:paraId="42D1627E">
                  <w:pPr>
                    <w:adjustRightInd w:val="0"/>
                    <w:snapToGrid w:val="0"/>
                    <w:jc w:val="center"/>
                    <w:rPr>
                      <w:bCs/>
                      <w:color w:val="auto"/>
                      <w:szCs w:val="21"/>
                    </w:rPr>
                  </w:pPr>
                </w:p>
              </w:tc>
              <w:tc>
                <w:tcPr>
                  <w:tcW w:w="1228" w:type="dxa"/>
                  <w:vAlign w:val="center"/>
                </w:tcPr>
                <w:p w14:paraId="4C6F34C5">
                  <w:pPr>
                    <w:widowControl/>
                    <w:adjustRightInd w:val="0"/>
                    <w:snapToGrid w:val="0"/>
                    <w:spacing w:line="240" w:lineRule="atLeast"/>
                    <w:jc w:val="center"/>
                    <w:textAlignment w:val="center"/>
                    <w:rPr>
                      <w:color w:val="auto"/>
                      <w:kern w:val="0"/>
                      <w:lang w:bidi="ar"/>
                    </w:rPr>
                  </w:pPr>
                  <w:r>
                    <w:rPr>
                      <w:color w:val="auto"/>
                      <w:kern w:val="0"/>
                      <w:szCs w:val="21"/>
                      <w:lang w:bidi="ar"/>
                    </w:rPr>
                    <w:t>TN</w:t>
                  </w:r>
                </w:p>
              </w:tc>
              <w:tc>
                <w:tcPr>
                  <w:tcW w:w="2304" w:type="dxa"/>
                  <w:vAlign w:val="center"/>
                </w:tcPr>
                <w:p w14:paraId="4EB3CD23">
                  <w:pPr>
                    <w:jc w:val="center"/>
                    <w:rPr>
                      <w:color w:val="auto"/>
                      <w:szCs w:val="21"/>
                    </w:rPr>
                  </w:pPr>
                  <w:r>
                    <w:rPr>
                      <w:color w:val="auto"/>
                      <w:szCs w:val="21"/>
                    </w:rPr>
                    <w:t>1</w:t>
                  </w:r>
                  <w:r>
                    <w:rPr>
                      <w:rFonts w:hint="eastAsia"/>
                      <w:color w:val="auto"/>
                      <w:szCs w:val="21"/>
                    </w:rPr>
                    <w:t>0</w:t>
                  </w:r>
                </w:p>
              </w:tc>
            </w:tr>
            <w:tr w14:paraId="7F89A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34884E82">
                  <w:pPr>
                    <w:adjustRightInd w:val="0"/>
                    <w:snapToGrid w:val="0"/>
                    <w:jc w:val="center"/>
                    <w:rPr>
                      <w:bCs/>
                      <w:color w:val="auto"/>
                      <w:szCs w:val="21"/>
                    </w:rPr>
                  </w:pPr>
                </w:p>
              </w:tc>
              <w:tc>
                <w:tcPr>
                  <w:tcW w:w="736" w:type="dxa"/>
                  <w:vMerge w:val="continue"/>
                  <w:vAlign w:val="center"/>
                </w:tcPr>
                <w:p w14:paraId="1505C243">
                  <w:pPr>
                    <w:adjustRightInd w:val="0"/>
                    <w:snapToGrid w:val="0"/>
                    <w:jc w:val="center"/>
                    <w:rPr>
                      <w:bCs/>
                      <w:color w:val="auto"/>
                      <w:szCs w:val="21"/>
                    </w:rPr>
                  </w:pPr>
                </w:p>
              </w:tc>
              <w:tc>
                <w:tcPr>
                  <w:tcW w:w="1256" w:type="dxa"/>
                  <w:vMerge w:val="continue"/>
                  <w:vAlign w:val="center"/>
                </w:tcPr>
                <w:p w14:paraId="419E6526">
                  <w:pPr>
                    <w:adjustRightInd w:val="0"/>
                    <w:snapToGrid w:val="0"/>
                    <w:jc w:val="center"/>
                    <w:rPr>
                      <w:bCs/>
                      <w:color w:val="auto"/>
                      <w:szCs w:val="21"/>
                    </w:rPr>
                  </w:pPr>
                </w:p>
              </w:tc>
              <w:tc>
                <w:tcPr>
                  <w:tcW w:w="1159" w:type="dxa"/>
                  <w:vMerge w:val="continue"/>
                  <w:vAlign w:val="center"/>
                </w:tcPr>
                <w:p w14:paraId="287A5453">
                  <w:pPr>
                    <w:adjustRightInd w:val="0"/>
                    <w:snapToGrid w:val="0"/>
                    <w:jc w:val="center"/>
                    <w:rPr>
                      <w:bCs/>
                      <w:color w:val="auto"/>
                      <w:szCs w:val="21"/>
                    </w:rPr>
                  </w:pPr>
                </w:p>
              </w:tc>
              <w:tc>
                <w:tcPr>
                  <w:tcW w:w="1036" w:type="dxa"/>
                  <w:vMerge w:val="continue"/>
                  <w:vAlign w:val="center"/>
                </w:tcPr>
                <w:p w14:paraId="134710C0">
                  <w:pPr>
                    <w:adjustRightInd w:val="0"/>
                    <w:snapToGrid w:val="0"/>
                    <w:jc w:val="center"/>
                    <w:rPr>
                      <w:bCs/>
                      <w:color w:val="auto"/>
                      <w:szCs w:val="21"/>
                    </w:rPr>
                  </w:pPr>
                </w:p>
              </w:tc>
              <w:tc>
                <w:tcPr>
                  <w:tcW w:w="817" w:type="dxa"/>
                  <w:vMerge w:val="continue"/>
                  <w:vAlign w:val="center"/>
                </w:tcPr>
                <w:p w14:paraId="7C9AAD18">
                  <w:pPr>
                    <w:adjustRightInd w:val="0"/>
                    <w:snapToGrid w:val="0"/>
                    <w:jc w:val="center"/>
                    <w:rPr>
                      <w:bCs/>
                      <w:color w:val="auto"/>
                      <w:szCs w:val="21"/>
                    </w:rPr>
                  </w:pPr>
                </w:p>
              </w:tc>
              <w:tc>
                <w:tcPr>
                  <w:tcW w:w="1195" w:type="dxa"/>
                  <w:vMerge w:val="continue"/>
                  <w:vAlign w:val="center"/>
                </w:tcPr>
                <w:p w14:paraId="25B33045">
                  <w:pPr>
                    <w:adjustRightInd w:val="0"/>
                    <w:snapToGrid w:val="0"/>
                    <w:jc w:val="center"/>
                    <w:rPr>
                      <w:bCs/>
                      <w:color w:val="auto"/>
                      <w:szCs w:val="21"/>
                    </w:rPr>
                  </w:pPr>
                </w:p>
              </w:tc>
              <w:tc>
                <w:tcPr>
                  <w:tcW w:w="929" w:type="dxa"/>
                  <w:vMerge w:val="continue"/>
                  <w:vAlign w:val="center"/>
                </w:tcPr>
                <w:p w14:paraId="612D59C3">
                  <w:pPr>
                    <w:adjustRightInd w:val="0"/>
                    <w:snapToGrid w:val="0"/>
                    <w:jc w:val="center"/>
                    <w:rPr>
                      <w:bCs/>
                      <w:color w:val="auto"/>
                      <w:szCs w:val="21"/>
                    </w:rPr>
                  </w:pPr>
                </w:p>
              </w:tc>
              <w:tc>
                <w:tcPr>
                  <w:tcW w:w="1344" w:type="dxa"/>
                  <w:vMerge w:val="continue"/>
                  <w:vAlign w:val="center"/>
                </w:tcPr>
                <w:p w14:paraId="30B2718B">
                  <w:pPr>
                    <w:adjustRightInd w:val="0"/>
                    <w:snapToGrid w:val="0"/>
                    <w:jc w:val="center"/>
                    <w:rPr>
                      <w:bCs/>
                      <w:color w:val="auto"/>
                      <w:szCs w:val="21"/>
                    </w:rPr>
                  </w:pPr>
                </w:p>
              </w:tc>
              <w:tc>
                <w:tcPr>
                  <w:tcW w:w="1228" w:type="dxa"/>
                  <w:vAlign w:val="center"/>
                </w:tcPr>
                <w:p w14:paraId="22C698BE">
                  <w:pPr>
                    <w:widowControl/>
                    <w:adjustRightInd w:val="0"/>
                    <w:snapToGrid w:val="0"/>
                    <w:spacing w:line="240" w:lineRule="atLeast"/>
                    <w:jc w:val="center"/>
                    <w:textAlignment w:val="center"/>
                    <w:rPr>
                      <w:color w:val="auto"/>
                      <w:kern w:val="0"/>
                      <w:szCs w:val="21"/>
                      <w:lang w:bidi="ar"/>
                    </w:rPr>
                  </w:pPr>
                  <w:r>
                    <w:rPr>
                      <w:rFonts w:hint="eastAsia"/>
                      <w:color w:val="auto"/>
                      <w:kern w:val="0"/>
                      <w:szCs w:val="21"/>
                      <w:lang w:bidi="ar"/>
                    </w:rPr>
                    <w:t>石油类</w:t>
                  </w:r>
                </w:p>
              </w:tc>
              <w:tc>
                <w:tcPr>
                  <w:tcW w:w="2304" w:type="dxa"/>
                  <w:vAlign w:val="center"/>
                </w:tcPr>
                <w:p w14:paraId="6D98DB40">
                  <w:pPr>
                    <w:jc w:val="center"/>
                    <w:rPr>
                      <w:color w:val="auto"/>
                      <w:szCs w:val="21"/>
                    </w:rPr>
                  </w:pPr>
                  <w:r>
                    <w:rPr>
                      <w:rFonts w:hint="eastAsia"/>
                      <w:color w:val="auto"/>
                      <w:szCs w:val="21"/>
                    </w:rPr>
                    <w:t>1</w:t>
                  </w:r>
                </w:p>
              </w:tc>
            </w:tr>
            <w:tr w14:paraId="26CEA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79B74582">
                  <w:pPr>
                    <w:adjustRightInd w:val="0"/>
                    <w:snapToGrid w:val="0"/>
                    <w:jc w:val="center"/>
                    <w:rPr>
                      <w:bCs/>
                      <w:color w:val="auto"/>
                      <w:szCs w:val="21"/>
                    </w:rPr>
                  </w:pPr>
                </w:p>
              </w:tc>
              <w:tc>
                <w:tcPr>
                  <w:tcW w:w="736" w:type="dxa"/>
                  <w:vMerge w:val="continue"/>
                  <w:vAlign w:val="center"/>
                </w:tcPr>
                <w:p w14:paraId="140A5A7C">
                  <w:pPr>
                    <w:adjustRightInd w:val="0"/>
                    <w:snapToGrid w:val="0"/>
                    <w:jc w:val="center"/>
                    <w:rPr>
                      <w:bCs/>
                      <w:color w:val="auto"/>
                      <w:szCs w:val="21"/>
                    </w:rPr>
                  </w:pPr>
                </w:p>
              </w:tc>
              <w:tc>
                <w:tcPr>
                  <w:tcW w:w="1256" w:type="dxa"/>
                  <w:vMerge w:val="continue"/>
                  <w:vAlign w:val="center"/>
                </w:tcPr>
                <w:p w14:paraId="5B23A195">
                  <w:pPr>
                    <w:adjustRightInd w:val="0"/>
                    <w:snapToGrid w:val="0"/>
                    <w:jc w:val="center"/>
                    <w:rPr>
                      <w:bCs/>
                      <w:color w:val="auto"/>
                      <w:szCs w:val="21"/>
                    </w:rPr>
                  </w:pPr>
                </w:p>
              </w:tc>
              <w:tc>
                <w:tcPr>
                  <w:tcW w:w="1159" w:type="dxa"/>
                  <w:vMerge w:val="continue"/>
                  <w:vAlign w:val="center"/>
                </w:tcPr>
                <w:p w14:paraId="21522B6F">
                  <w:pPr>
                    <w:adjustRightInd w:val="0"/>
                    <w:snapToGrid w:val="0"/>
                    <w:jc w:val="center"/>
                    <w:rPr>
                      <w:bCs/>
                      <w:color w:val="auto"/>
                      <w:szCs w:val="21"/>
                    </w:rPr>
                  </w:pPr>
                </w:p>
              </w:tc>
              <w:tc>
                <w:tcPr>
                  <w:tcW w:w="1036" w:type="dxa"/>
                  <w:vMerge w:val="continue"/>
                  <w:vAlign w:val="center"/>
                </w:tcPr>
                <w:p w14:paraId="3D0B3DD5">
                  <w:pPr>
                    <w:adjustRightInd w:val="0"/>
                    <w:snapToGrid w:val="0"/>
                    <w:jc w:val="center"/>
                    <w:rPr>
                      <w:bCs/>
                      <w:color w:val="auto"/>
                      <w:szCs w:val="21"/>
                    </w:rPr>
                  </w:pPr>
                </w:p>
              </w:tc>
              <w:tc>
                <w:tcPr>
                  <w:tcW w:w="817" w:type="dxa"/>
                  <w:vMerge w:val="continue"/>
                  <w:vAlign w:val="center"/>
                </w:tcPr>
                <w:p w14:paraId="3D1B07C6">
                  <w:pPr>
                    <w:adjustRightInd w:val="0"/>
                    <w:snapToGrid w:val="0"/>
                    <w:jc w:val="center"/>
                    <w:rPr>
                      <w:bCs/>
                      <w:color w:val="auto"/>
                      <w:szCs w:val="21"/>
                    </w:rPr>
                  </w:pPr>
                </w:p>
              </w:tc>
              <w:tc>
                <w:tcPr>
                  <w:tcW w:w="1195" w:type="dxa"/>
                  <w:vMerge w:val="continue"/>
                  <w:vAlign w:val="center"/>
                </w:tcPr>
                <w:p w14:paraId="77BC5FA4">
                  <w:pPr>
                    <w:adjustRightInd w:val="0"/>
                    <w:snapToGrid w:val="0"/>
                    <w:jc w:val="center"/>
                    <w:rPr>
                      <w:bCs/>
                      <w:color w:val="auto"/>
                      <w:szCs w:val="21"/>
                    </w:rPr>
                  </w:pPr>
                </w:p>
              </w:tc>
              <w:tc>
                <w:tcPr>
                  <w:tcW w:w="929" w:type="dxa"/>
                  <w:vMerge w:val="continue"/>
                  <w:vAlign w:val="center"/>
                </w:tcPr>
                <w:p w14:paraId="48BE17C4">
                  <w:pPr>
                    <w:adjustRightInd w:val="0"/>
                    <w:snapToGrid w:val="0"/>
                    <w:jc w:val="center"/>
                    <w:rPr>
                      <w:bCs/>
                      <w:color w:val="auto"/>
                      <w:szCs w:val="21"/>
                    </w:rPr>
                  </w:pPr>
                </w:p>
              </w:tc>
              <w:tc>
                <w:tcPr>
                  <w:tcW w:w="1344" w:type="dxa"/>
                  <w:vMerge w:val="continue"/>
                  <w:vAlign w:val="center"/>
                </w:tcPr>
                <w:p w14:paraId="760474C8">
                  <w:pPr>
                    <w:adjustRightInd w:val="0"/>
                    <w:snapToGrid w:val="0"/>
                    <w:jc w:val="center"/>
                    <w:rPr>
                      <w:bCs/>
                      <w:color w:val="auto"/>
                      <w:szCs w:val="21"/>
                    </w:rPr>
                  </w:pPr>
                </w:p>
              </w:tc>
              <w:tc>
                <w:tcPr>
                  <w:tcW w:w="1228" w:type="dxa"/>
                  <w:vAlign w:val="center"/>
                </w:tcPr>
                <w:p w14:paraId="7F1DCA76">
                  <w:pPr>
                    <w:widowControl/>
                    <w:adjustRightInd w:val="0"/>
                    <w:snapToGrid w:val="0"/>
                    <w:spacing w:line="240" w:lineRule="atLeast"/>
                    <w:jc w:val="center"/>
                    <w:textAlignment w:val="center"/>
                    <w:rPr>
                      <w:color w:val="auto"/>
                      <w:kern w:val="0"/>
                      <w:szCs w:val="21"/>
                      <w:lang w:bidi="ar"/>
                    </w:rPr>
                  </w:pPr>
                  <w:r>
                    <w:rPr>
                      <w:rFonts w:hint="eastAsia"/>
                      <w:color w:val="auto"/>
                      <w:kern w:val="0"/>
                      <w:szCs w:val="21"/>
                      <w:lang w:bidi="ar"/>
                    </w:rPr>
                    <w:t>LAS</w:t>
                  </w:r>
                </w:p>
              </w:tc>
              <w:tc>
                <w:tcPr>
                  <w:tcW w:w="2304" w:type="dxa"/>
                  <w:vAlign w:val="center"/>
                </w:tcPr>
                <w:p w14:paraId="01F8F02B">
                  <w:pPr>
                    <w:jc w:val="center"/>
                    <w:rPr>
                      <w:color w:val="auto"/>
                      <w:szCs w:val="21"/>
                    </w:rPr>
                  </w:pPr>
                  <w:r>
                    <w:rPr>
                      <w:rFonts w:hint="eastAsia"/>
                      <w:color w:val="auto"/>
                      <w:szCs w:val="21"/>
                    </w:rPr>
                    <w:t>0.5</w:t>
                  </w:r>
                </w:p>
              </w:tc>
            </w:tr>
            <w:tr w14:paraId="1C33F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continue"/>
                  <w:vAlign w:val="center"/>
                </w:tcPr>
                <w:p w14:paraId="5CC1C013">
                  <w:pPr>
                    <w:adjustRightInd w:val="0"/>
                    <w:snapToGrid w:val="0"/>
                    <w:jc w:val="center"/>
                    <w:rPr>
                      <w:bCs/>
                      <w:color w:val="auto"/>
                      <w:szCs w:val="21"/>
                    </w:rPr>
                  </w:pPr>
                </w:p>
              </w:tc>
              <w:tc>
                <w:tcPr>
                  <w:tcW w:w="736" w:type="dxa"/>
                  <w:vMerge w:val="continue"/>
                  <w:vAlign w:val="center"/>
                </w:tcPr>
                <w:p w14:paraId="0487F98E">
                  <w:pPr>
                    <w:adjustRightInd w:val="0"/>
                    <w:snapToGrid w:val="0"/>
                    <w:jc w:val="center"/>
                    <w:rPr>
                      <w:bCs/>
                      <w:color w:val="auto"/>
                      <w:szCs w:val="21"/>
                    </w:rPr>
                  </w:pPr>
                </w:p>
              </w:tc>
              <w:tc>
                <w:tcPr>
                  <w:tcW w:w="1256" w:type="dxa"/>
                  <w:vMerge w:val="continue"/>
                  <w:vAlign w:val="center"/>
                </w:tcPr>
                <w:p w14:paraId="28F93577">
                  <w:pPr>
                    <w:adjustRightInd w:val="0"/>
                    <w:snapToGrid w:val="0"/>
                    <w:jc w:val="center"/>
                    <w:rPr>
                      <w:bCs/>
                      <w:color w:val="auto"/>
                      <w:szCs w:val="21"/>
                    </w:rPr>
                  </w:pPr>
                </w:p>
              </w:tc>
              <w:tc>
                <w:tcPr>
                  <w:tcW w:w="1159" w:type="dxa"/>
                  <w:vMerge w:val="continue"/>
                  <w:vAlign w:val="center"/>
                </w:tcPr>
                <w:p w14:paraId="32921107">
                  <w:pPr>
                    <w:adjustRightInd w:val="0"/>
                    <w:snapToGrid w:val="0"/>
                    <w:jc w:val="center"/>
                    <w:rPr>
                      <w:bCs/>
                      <w:color w:val="auto"/>
                      <w:szCs w:val="21"/>
                    </w:rPr>
                  </w:pPr>
                </w:p>
              </w:tc>
              <w:tc>
                <w:tcPr>
                  <w:tcW w:w="1036" w:type="dxa"/>
                  <w:vMerge w:val="continue"/>
                  <w:vAlign w:val="center"/>
                </w:tcPr>
                <w:p w14:paraId="6C49E842">
                  <w:pPr>
                    <w:adjustRightInd w:val="0"/>
                    <w:snapToGrid w:val="0"/>
                    <w:jc w:val="center"/>
                    <w:rPr>
                      <w:bCs/>
                      <w:color w:val="auto"/>
                      <w:szCs w:val="21"/>
                    </w:rPr>
                  </w:pPr>
                </w:p>
              </w:tc>
              <w:tc>
                <w:tcPr>
                  <w:tcW w:w="817" w:type="dxa"/>
                  <w:vMerge w:val="continue"/>
                  <w:vAlign w:val="center"/>
                </w:tcPr>
                <w:p w14:paraId="584043A3">
                  <w:pPr>
                    <w:adjustRightInd w:val="0"/>
                    <w:snapToGrid w:val="0"/>
                    <w:jc w:val="center"/>
                    <w:rPr>
                      <w:bCs/>
                      <w:color w:val="auto"/>
                      <w:szCs w:val="21"/>
                    </w:rPr>
                  </w:pPr>
                </w:p>
              </w:tc>
              <w:tc>
                <w:tcPr>
                  <w:tcW w:w="1195" w:type="dxa"/>
                  <w:vMerge w:val="continue"/>
                  <w:vAlign w:val="center"/>
                </w:tcPr>
                <w:p w14:paraId="79DA44A0">
                  <w:pPr>
                    <w:adjustRightInd w:val="0"/>
                    <w:snapToGrid w:val="0"/>
                    <w:jc w:val="center"/>
                    <w:rPr>
                      <w:bCs/>
                      <w:color w:val="auto"/>
                      <w:szCs w:val="21"/>
                    </w:rPr>
                  </w:pPr>
                </w:p>
              </w:tc>
              <w:tc>
                <w:tcPr>
                  <w:tcW w:w="929" w:type="dxa"/>
                  <w:vMerge w:val="continue"/>
                  <w:vAlign w:val="center"/>
                </w:tcPr>
                <w:p w14:paraId="0AF36EB8">
                  <w:pPr>
                    <w:adjustRightInd w:val="0"/>
                    <w:snapToGrid w:val="0"/>
                    <w:jc w:val="center"/>
                    <w:rPr>
                      <w:bCs/>
                      <w:color w:val="auto"/>
                      <w:szCs w:val="21"/>
                    </w:rPr>
                  </w:pPr>
                </w:p>
              </w:tc>
              <w:tc>
                <w:tcPr>
                  <w:tcW w:w="1344" w:type="dxa"/>
                  <w:vMerge w:val="continue"/>
                  <w:vAlign w:val="center"/>
                </w:tcPr>
                <w:p w14:paraId="0560B118">
                  <w:pPr>
                    <w:adjustRightInd w:val="0"/>
                    <w:snapToGrid w:val="0"/>
                    <w:jc w:val="center"/>
                    <w:rPr>
                      <w:bCs/>
                      <w:color w:val="auto"/>
                      <w:szCs w:val="21"/>
                    </w:rPr>
                  </w:pPr>
                </w:p>
              </w:tc>
              <w:tc>
                <w:tcPr>
                  <w:tcW w:w="1228" w:type="dxa"/>
                  <w:vAlign w:val="center"/>
                </w:tcPr>
                <w:p w14:paraId="2D0DB4CC">
                  <w:pPr>
                    <w:widowControl/>
                    <w:adjustRightInd w:val="0"/>
                    <w:snapToGrid w:val="0"/>
                    <w:spacing w:line="240" w:lineRule="atLeast"/>
                    <w:jc w:val="center"/>
                    <w:textAlignment w:val="center"/>
                    <w:rPr>
                      <w:color w:val="auto"/>
                      <w:kern w:val="0"/>
                      <w:szCs w:val="21"/>
                      <w:lang w:bidi="ar"/>
                    </w:rPr>
                  </w:pPr>
                  <w:r>
                    <w:rPr>
                      <w:rFonts w:hint="eastAsia"/>
                      <w:color w:val="auto"/>
                      <w:kern w:val="0"/>
                      <w:szCs w:val="21"/>
                      <w:lang w:bidi="ar"/>
                    </w:rPr>
                    <w:t>动植物油</w:t>
                  </w:r>
                </w:p>
              </w:tc>
              <w:tc>
                <w:tcPr>
                  <w:tcW w:w="2304" w:type="dxa"/>
                  <w:vAlign w:val="center"/>
                </w:tcPr>
                <w:p w14:paraId="1B24F1ED">
                  <w:pPr>
                    <w:jc w:val="center"/>
                    <w:rPr>
                      <w:color w:val="auto"/>
                      <w:szCs w:val="21"/>
                    </w:rPr>
                  </w:pPr>
                  <w:r>
                    <w:rPr>
                      <w:rFonts w:hint="eastAsia"/>
                      <w:color w:val="auto"/>
                      <w:szCs w:val="21"/>
                    </w:rPr>
                    <w:t>1</w:t>
                  </w:r>
                </w:p>
              </w:tc>
            </w:tr>
          </w:tbl>
          <w:p w14:paraId="25D291AB">
            <w:pPr>
              <w:adjustRightInd w:val="0"/>
              <w:snapToGrid w:val="0"/>
              <w:spacing w:line="360" w:lineRule="auto"/>
              <w:ind w:firstLine="380" w:firstLineChars="200"/>
              <w:rPr>
                <w:bCs/>
                <w:color w:val="auto"/>
                <w:spacing w:val="-10"/>
                <w:szCs w:val="21"/>
              </w:rPr>
            </w:pPr>
          </w:p>
        </w:tc>
      </w:tr>
    </w:tbl>
    <w:p w14:paraId="6181607F">
      <w:pPr>
        <w:adjustRightInd w:val="0"/>
        <w:snapToGrid w:val="0"/>
        <w:spacing w:line="360" w:lineRule="auto"/>
        <w:rPr>
          <w:b/>
          <w:color w:val="auto"/>
          <w:kern w:val="0"/>
          <w:sz w:val="28"/>
          <w:szCs w:val="28"/>
        </w:rPr>
      </w:pPr>
    </w:p>
    <w:p w14:paraId="47DFD27D">
      <w:pPr>
        <w:rPr>
          <w:color w:val="auto"/>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1102A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94" w:type="dxa"/>
            <w:tcMar>
              <w:left w:w="28" w:type="dxa"/>
              <w:right w:w="28" w:type="dxa"/>
            </w:tcMar>
            <w:vAlign w:val="center"/>
          </w:tcPr>
          <w:p w14:paraId="5CB22908">
            <w:pPr>
              <w:adjustRightInd w:val="0"/>
              <w:snapToGrid w:val="0"/>
              <w:jc w:val="center"/>
              <w:rPr>
                <w:bCs/>
                <w:color w:val="auto"/>
                <w:szCs w:val="21"/>
              </w:rPr>
            </w:pPr>
            <w:r>
              <w:rPr>
                <w:bCs/>
                <w:color w:val="auto"/>
                <w:sz w:val="24"/>
              </w:rPr>
              <w:t>运营期环境影响和保护措施</w:t>
            </w:r>
          </w:p>
        </w:tc>
        <w:tc>
          <w:tcPr>
            <w:tcW w:w="12654" w:type="dxa"/>
          </w:tcPr>
          <w:p w14:paraId="5A6A8F6C">
            <w:pPr>
              <w:adjustRightInd w:val="0"/>
              <w:snapToGrid w:val="0"/>
              <w:spacing w:line="360" w:lineRule="auto"/>
              <w:ind w:firstLine="482" w:firstLineChars="200"/>
              <w:rPr>
                <w:b/>
                <w:color w:val="auto"/>
                <w:sz w:val="24"/>
              </w:rPr>
            </w:pPr>
            <w:r>
              <w:rPr>
                <w:b/>
                <w:color w:val="auto"/>
                <w:sz w:val="24"/>
              </w:rPr>
              <w:t>2.2废水污染防治措施可行性分析</w:t>
            </w:r>
          </w:p>
          <w:p w14:paraId="641F0A79">
            <w:pPr>
              <w:adjustRightInd w:val="0"/>
              <w:snapToGrid w:val="0"/>
              <w:spacing w:line="360" w:lineRule="auto"/>
              <w:ind w:firstLine="482" w:firstLineChars="200"/>
              <w:rPr>
                <w:b/>
                <w:color w:val="auto"/>
                <w:sz w:val="24"/>
              </w:rPr>
            </w:pPr>
            <w:r>
              <w:rPr>
                <w:b/>
                <w:color w:val="auto"/>
                <w:sz w:val="24"/>
              </w:rPr>
              <w:t>2.2.1概述</w:t>
            </w:r>
          </w:p>
          <w:p w14:paraId="1217BCCF">
            <w:pPr>
              <w:adjustRightInd w:val="0"/>
              <w:snapToGrid w:val="0"/>
              <w:spacing w:line="360" w:lineRule="auto"/>
              <w:ind w:firstLine="480" w:firstLineChars="200"/>
              <w:rPr>
                <w:color w:val="auto"/>
                <w:sz w:val="24"/>
              </w:rPr>
            </w:pPr>
            <w:r>
              <w:rPr>
                <w:color w:val="auto"/>
                <w:sz w:val="24"/>
              </w:rPr>
              <w:t>本项目</w:t>
            </w:r>
            <w:r>
              <w:rPr>
                <w:rFonts w:hint="eastAsia"/>
                <w:color w:val="auto"/>
                <w:sz w:val="24"/>
              </w:rPr>
              <w:t>生产废水经厂内污水处理站处理后</w:t>
            </w:r>
            <w:r>
              <w:rPr>
                <w:color w:val="auto"/>
                <w:sz w:val="24"/>
              </w:rPr>
              <w:t>接管</w:t>
            </w:r>
            <w:r>
              <w:rPr>
                <w:rFonts w:hint="eastAsia"/>
                <w:color w:val="auto"/>
                <w:sz w:val="24"/>
              </w:rPr>
              <w:t>至</w:t>
            </w:r>
            <w:r>
              <w:rPr>
                <w:color w:val="auto"/>
                <w:sz w:val="24"/>
              </w:rPr>
              <w:t>涟水县空港产业园污水处理厂</w:t>
            </w:r>
            <w:r>
              <w:rPr>
                <w:rFonts w:hint="eastAsia"/>
                <w:color w:val="auto"/>
                <w:sz w:val="24"/>
              </w:rPr>
              <w:t>处理，</w:t>
            </w:r>
            <w:r>
              <w:rPr>
                <w:color w:val="auto"/>
                <w:sz w:val="24"/>
              </w:rPr>
              <w:t>生活</w:t>
            </w:r>
            <w:r>
              <w:rPr>
                <w:rFonts w:hint="eastAsia"/>
                <w:color w:val="auto"/>
                <w:sz w:val="24"/>
              </w:rPr>
              <w:t>食堂</w:t>
            </w:r>
            <w:r>
              <w:rPr>
                <w:color w:val="auto"/>
                <w:sz w:val="24"/>
              </w:rPr>
              <w:t>污水经</w:t>
            </w:r>
            <w:r>
              <w:rPr>
                <w:rFonts w:hint="eastAsia"/>
                <w:color w:val="auto"/>
                <w:sz w:val="24"/>
              </w:rPr>
              <w:t>隔油池+</w:t>
            </w:r>
            <w:r>
              <w:rPr>
                <w:color w:val="auto"/>
                <w:sz w:val="24"/>
              </w:rPr>
              <w:t>化粪池处理后，接管至涟水县空港产业园污水处理厂</w:t>
            </w:r>
            <w:r>
              <w:rPr>
                <w:rFonts w:hint="eastAsia"/>
                <w:color w:val="auto"/>
                <w:sz w:val="24"/>
              </w:rPr>
              <w:t>处理，处理后废水最终排入盐河</w:t>
            </w:r>
            <w:r>
              <w:rPr>
                <w:color w:val="auto"/>
                <w:sz w:val="24"/>
              </w:rPr>
              <w:t>。</w:t>
            </w:r>
            <w:r>
              <w:rPr>
                <w:rFonts w:hint="eastAsia"/>
                <w:color w:val="auto"/>
                <w:sz w:val="24"/>
              </w:rPr>
              <w:t>厂内污水处理站的处理工艺为调节（调水质和PH）+混凝沉淀+斜管沉淀，因此本项目废水处理工艺流程图见下图4-2</w:t>
            </w:r>
            <w:r>
              <w:rPr>
                <w:color w:val="auto"/>
                <w:sz w:val="24"/>
              </w:rPr>
              <w:t>。</w:t>
            </w:r>
          </w:p>
          <w:p w14:paraId="60F9F097">
            <w:pPr>
              <w:adjustRightInd w:val="0"/>
              <w:snapToGrid w:val="0"/>
              <w:spacing w:line="360" w:lineRule="auto"/>
              <w:ind w:firstLine="480" w:firstLineChars="200"/>
              <w:rPr>
                <w:color w:val="auto"/>
                <w:sz w:val="24"/>
              </w:rPr>
            </w:pPr>
            <w:r>
              <w:rPr>
                <w:color w:val="auto"/>
                <w:sz w:val="24"/>
              </w:rPr>
              <w:drawing>
                <wp:inline distT="0" distB="0" distL="114300" distR="114300">
                  <wp:extent cx="3734435" cy="2733675"/>
                  <wp:effectExtent l="0" t="0" r="0" b="0"/>
                  <wp:docPr id="2" name="ECB019B1-382A-4266-B25C-5B523AA43C14-6" descr="C:/Users/admin/AppData/Local/Temp/wps.IFUeN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6" descr="C:/Users/admin/AppData/Local/Temp/wps.IFUeNqwps"/>
                          <pic:cNvPicPr>
                            <a:picLocks noChangeAspect="1"/>
                          </pic:cNvPicPr>
                        </pic:nvPicPr>
                        <pic:blipFill>
                          <a:blip r:embed="rId29"/>
                          <a:stretch>
                            <a:fillRect/>
                          </a:stretch>
                        </pic:blipFill>
                        <pic:spPr>
                          <a:xfrm>
                            <a:off x="0" y="0"/>
                            <a:ext cx="3734435" cy="2733675"/>
                          </a:xfrm>
                          <a:prstGeom prst="rect">
                            <a:avLst/>
                          </a:prstGeom>
                        </pic:spPr>
                      </pic:pic>
                    </a:graphicData>
                  </a:graphic>
                </wp:inline>
              </w:drawing>
            </w:r>
          </w:p>
          <w:p w14:paraId="547639B1">
            <w:pPr>
              <w:adjustRightInd w:val="0"/>
              <w:snapToGrid w:val="0"/>
              <w:spacing w:line="360" w:lineRule="auto"/>
              <w:jc w:val="center"/>
              <w:rPr>
                <w:b/>
                <w:bCs/>
                <w:color w:val="auto"/>
                <w:kern w:val="0"/>
                <w:sz w:val="24"/>
              </w:rPr>
            </w:pPr>
            <w:r>
              <w:rPr>
                <w:rFonts w:hint="eastAsia"/>
                <w:b/>
                <w:bCs/>
                <w:color w:val="auto"/>
                <w:kern w:val="0"/>
                <w:sz w:val="24"/>
              </w:rPr>
              <w:t>图4-2 本项目污水处理工艺流程图</w:t>
            </w:r>
          </w:p>
          <w:p w14:paraId="0C84A46D">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生产废水处理设施工艺流程简述：</w:t>
            </w:r>
          </w:p>
          <w:p w14:paraId="379411CB">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w:t>
            </w:r>
            <w:r>
              <w:rPr>
                <w:rFonts w:hint="eastAsia" w:ascii="Calibri" w:hAnsi="Calibri" w:cs="Calibri"/>
                <w:color w:val="auto"/>
                <w:sz w:val="24"/>
                <w:lang w:val="en-US" w:eastAsia="zh-CN"/>
              </w:rPr>
              <w:t>调节池：将不同来源的废水收集到调节池中，根据生产废水的酸碱性，向调节池中投加酸（如硫酸</w:t>
            </w:r>
            <w:r>
              <w:rPr>
                <w:rFonts w:hint="default" w:ascii="Times New Roman" w:hAnsi="Times New Roman" w:cs="Times New Roman"/>
                <w:color w:val="auto"/>
                <w:sz w:val="24"/>
                <w:lang w:val="en-US" w:eastAsia="zh-CN"/>
              </w:rPr>
              <w:t>、盐酸）或碱（如氢氧化钠、氢氧化钙）溶液，将pH值调节到目标范围，本项目生产废水主要添加氢氧化钠进行调节，均衡废水的水质，使废水的成分和浓度相对稳定，避免水质波动对后续处理工艺造成冲击。</w:t>
            </w:r>
          </w:p>
          <w:p w14:paraId="7C806515">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②混凝沉淀池：向调节后的废水中投加混凝剂（如聚合氯化铝PAC），使混凝剂与废水充分混合，通常反应时间为1</w:t>
            </w:r>
            <w:r>
              <w:rPr>
                <w:rFonts w:hint="eastAsia" w:cs="Times New Roman"/>
                <w:color w:val="auto"/>
                <w:sz w:val="24"/>
                <w:lang w:val="en-US" w:eastAsia="zh-CN"/>
              </w:rPr>
              <w:t>～</w:t>
            </w:r>
            <w:r>
              <w:rPr>
                <w:rFonts w:hint="default" w:ascii="Times New Roman" w:hAnsi="Times New Roman" w:cs="Times New Roman"/>
                <w:color w:val="auto"/>
                <w:sz w:val="24"/>
                <w:lang w:val="en-US" w:eastAsia="zh-CN"/>
              </w:rPr>
              <w:t>3分钟</w:t>
            </w:r>
            <w:r>
              <w:rPr>
                <w:rFonts w:hint="eastAsia" w:ascii="Times New Roman" w:hAnsi="Times New Roman" w:cs="Times New Roman"/>
                <w:color w:val="auto"/>
                <w:sz w:val="24"/>
                <w:lang w:val="en-US" w:eastAsia="zh-CN"/>
              </w:rPr>
              <w:t>，使废水中的悬浮物和胶体颗粒凝聚成较大的絮凝体，便于沉淀去除，此过程可以显著降低废水的浊度，提高水质的透明度。</w:t>
            </w:r>
          </w:p>
          <w:p w14:paraId="57D33C78">
            <w:p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lang w:val="en-US" w:eastAsia="zh-CN"/>
              </w:rPr>
              <w:t>③</w:t>
            </w:r>
            <w:r>
              <w:rPr>
                <w:rFonts w:hint="eastAsia" w:ascii="Times New Roman" w:hAnsi="Times New Roman" w:cs="Times New Roman"/>
                <w:color w:val="auto"/>
                <w:sz w:val="24"/>
                <w:lang w:val="en-US" w:eastAsia="zh-CN"/>
              </w:rPr>
              <w:t>斜管沉淀：在沉淀池内安装斜管，斜管通常由聚丙烯（PP）或其他耐腐蚀材料制成，斜管的倾斜角度一般为60°，废水从斜管沉淀池的底部进入，向上流经斜管，颗粒在斜管内沉降并滑落到池底，通过斜管的设置，增加沉淀面积，缩短颗粒沉降距离，提高沉淀效率，去除混凝沉淀后残留的细小悬浮颗粒，进一步降低废水的浊度。</w:t>
            </w:r>
          </w:p>
          <w:p w14:paraId="5EC73AA3">
            <w:pPr>
              <w:adjustRightInd w:val="0"/>
              <w:snapToGrid w:val="0"/>
              <w:spacing w:line="360" w:lineRule="auto"/>
              <w:ind w:firstLine="480" w:firstLineChars="200"/>
              <w:rPr>
                <w:color w:val="auto"/>
                <w:sz w:val="24"/>
              </w:rPr>
            </w:pPr>
            <w:r>
              <w:rPr>
                <w:rFonts w:hint="default" w:ascii="Times New Roman" w:hAnsi="Times New Roman" w:cs="Times New Roman"/>
                <w:color w:val="auto"/>
                <w:sz w:val="24"/>
              </w:rPr>
              <w:t>根据《基于降低拉森指数的再生水混凝处理工艺优化研究》研究指出，使用聚合氯化铝（PAC）作为混凝剂时，COD的去除率达到55.58%，因此</w:t>
            </w:r>
            <w:r>
              <w:rPr>
                <w:rFonts w:hint="eastAsia"/>
                <w:color w:val="auto"/>
                <w:sz w:val="24"/>
              </w:rPr>
              <w:t>本项目处理工艺COD去除率取55%；根据《污水处理各段工艺去除率》：混凝沉淀工艺对悬浮物（SS）的去除率通常可达到60%</w:t>
            </w:r>
            <w:r>
              <w:rPr>
                <w:rFonts w:hint="eastAsia"/>
                <w:color w:val="auto"/>
                <w:sz w:val="24"/>
                <w:lang w:eastAsia="zh-CN"/>
              </w:rPr>
              <w:t>～</w:t>
            </w:r>
            <w:r>
              <w:rPr>
                <w:rFonts w:hint="eastAsia"/>
                <w:color w:val="auto"/>
                <w:sz w:val="24"/>
              </w:rPr>
              <w:t>90%，具体取决于混凝剂的种类和用量。这一数据与实际工程应用中的去除效率一致，因此本项目从严取60%；根据《混凝沉淀法预处理填埋场调节池积存渗沥液的工程实践》内容可知，混凝沉淀对氨氮的平均去除率为13%；根据《水厂常规工艺去除有机物和总磷》：传统混凝沉淀工艺对TP的去除率可达70%</w:t>
            </w:r>
            <w:r>
              <w:rPr>
                <w:rFonts w:hint="eastAsia"/>
                <w:color w:val="auto"/>
                <w:sz w:val="24"/>
                <w:lang w:eastAsia="zh-CN"/>
              </w:rPr>
              <w:t>～</w:t>
            </w:r>
            <w:r>
              <w:rPr>
                <w:rFonts w:hint="eastAsia"/>
                <w:color w:val="auto"/>
                <w:sz w:val="24"/>
              </w:rPr>
              <w:t>90%，尤其是在投加铁盐或铝盐混凝剂时，去除效果更佳，因此本项目从严取70%；根据《污水处理各段工艺去除率》：混凝沉淀对LAS的去除率在50%</w:t>
            </w:r>
            <w:r>
              <w:rPr>
                <w:rFonts w:hint="eastAsia"/>
                <w:color w:val="auto"/>
                <w:sz w:val="24"/>
                <w:lang w:eastAsia="zh-CN"/>
              </w:rPr>
              <w:t>～</w:t>
            </w:r>
            <w:r>
              <w:rPr>
                <w:rFonts w:hint="eastAsia"/>
                <w:color w:val="auto"/>
                <w:sz w:val="24"/>
              </w:rPr>
              <w:t>70%之间，具体取决于混凝剂和助凝剂的使用。这一数据反映了实际应用中的去除效率范围，因此本项目从严取50%；根据《污水处理各段工艺去除率》：混凝沉淀对石油类的去除率在60%</w:t>
            </w:r>
            <w:r>
              <w:rPr>
                <w:rFonts w:hint="eastAsia"/>
                <w:color w:val="auto"/>
                <w:sz w:val="24"/>
                <w:lang w:eastAsia="zh-CN"/>
              </w:rPr>
              <w:t>～</w:t>
            </w:r>
            <w:r>
              <w:rPr>
                <w:rFonts w:hint="eastAsia"/>
                <w:color w:val="auto"/>
                <w:sz w:val="24"/>
              </w:rPr>
              <w:t>90%之间，尤其是在投加PAC和PAM时，去除效果更佳，因此本项目从严取60%；综上，本项目污水处理站调节+混凝沉淀+pH调节工艺对各污染因子的处理效率为COD55%、SS60%、NH</w:t>
            </w:r>
            <w:r>
              <w:rPr>
                <w:rFonts w:hint="eastAsia"/>
                <w:color w:val="auto"/>
                <w:sz w:val="24"/>
                <w:vertAlign w:val="subscript"/>
              </w:rPr>
              <w:t>3</w:t>
            </w:r>
            <w:r>
              <w:rPr>
                <w:rFonts w:hint="eastAsia"/>
                <w:color w:val="auto"/>
                <w:sz w:val="24"/>
              </w:rPr>
              <w:t>-N13%、TP70%、LAS50%、石油类60%。</w:t>
            </w:r>
          </w:p>
          <w:p w14:paraId="5428209A">
            <w:pPr>
              <w:adjustRightInd w:val="0"/>
              <w:snapToGrid w:val="0"/>
              <w:spacing w:line="360" w:lineRule="auto"/>
              <w:ind w:firstLine="480" w:firstLineChars="200"/>
              <w:rPr>
                <w:color w:val="auto"/>
                <w:sz w:val="24"/>
              </w:rPr>
            </w:pPr>
            <w:r>
              <w:rPr>
                <w:rFonts w:hAnsi="宋体"/>
                <w:color w:val="auto"/>
                <w:sz w:val="24"/>
              </w:rPr>
              <w:t>化粪池工作原理为：化粪池处理工艺为</w:t>
            </w:r>
            <w:r>
              <w:rPr>
                <w:rFonts w:hint="eastAsia"/>
                <w:color w:val="auto"/>
                <w:sz w:val="24"/>
              </w:rPr>
              <w:t>“</w:t>
            </w:r>
            <w:r>
              <w:rPr>
                <w:rFonts w:hAnsi="宋体"/>
                <w:color w:val="auto"/>
                <w:sz w:val="24"/>
              </w:rPr>
              <w:t>沉淀</w:t>
            </w:r>
            <w:r>
              <w:rPr>
                <w:color w:val="auto"/>
                <w:sz w:val="24"/>
              </w:rPr>
              <w:t>+</w:t>
            </w:r>
            <w:r>
              <w:rPr>
                <w:rFonts w:hAnsi="宋体"/>
                <w:color w:val="auto"/>
                <w:sz w:val="24"/>
              </w:rPr>
              <w:t>厌氧发酵</w:t>
            </w:r>
            <w:r>
              <w:rPr>
                <w:rFonts w:hint="eastAsia"/>
                <w:color w:val="auto"/>
                <w:sz w:val="24"/>
              </w:rPr>
              <w:t>”</w:t>
            </w:r>
            <w:r>
              <w:rPr>
                <w:rFonts w:hAnsi="宋体"/>
                <w:color w:val="auto"/>
                <w:sz w:val="24"/>
              </w:rPr>
              <w:t>，是一种去除生活污水中悬浮性有机物的处理设施，属于初级过渡处理构筑物。生活污水中含有大量粪便、纸屑、病原虫等。悬浮物固体浓度约为</w:t>
            </w:r>
            <w:r>
              <w:rPr>
                <w:color w:val="auto"/>
                <w:sz w:val="24"/>
              </w:rPr>
              <w:t>100</w:t>
            </w:r>
            <w:r>
              <w:rPr>
                <w:rFonts w:hint="eastAsia"/>
                <w:color w:val="auto"/>
                <w:sz w:val="24"/>
                <w:lang w:eastAsia="zh-CN"/>
              </w:rPr>
              <w:t>～</w:t>
            </w:r>
            <w:r>
              <w:rPr>
                <w:color w:val="auto"/>
                <w:sz w:val="24"/>
              </w:rPr>
              <w:t>350mg/L</w:t>
            </w:r>
            <w:r>
              <w:rPr>
                <w:rFonts w:hAnsi="宋体"/>
                <w:color w:val="auto"/>
                <w:sz w:val="24"/>
              </w:rPr>
              <w:t>，有机物浓度</w:t>
            </w:r>
            <w:r>
              <w:rPr>
                <w:color w:val="auto"/>
                <w:sz w:val="24"/>
              </w:rPr>
              <w:t>COD</w:t>
            </w:r>
            <w:r>
              <w:rPr>
                <w:rFonts w:hAnsi="宋体"/>
                <w:color w:val="auto"/>
                <w:sz w:val="24"/>
              </w:rPr>
              <w:t>约</w:t>
            </w:r>
            <w:r>
              <w:rPr>
                <w:color w:val="auto"/>
                <w:sz w:val="24"/>
              </w:rPr>
              <w:t>100</w:t>
            </w:r>
            <w:r>
              <w:rPr>
                <w:rFonts w:hint="eastAsia"/>
                <w:color w:val="auto"/>
                <w:sz w:val="24"/>
                <w:lang w:eastAsia="zh-CN"/>
              </w:rPr>
              <w:t>～</w:t>
            </w:r>
            <w:r>
              <w:rPr>
                <w:color w:val="auto"/>
                <w:sz w:val="24"/>
              </w:rPr>
              <w:t>400mg/L</w:t>
            </w:r>
            <w:r>
              <w:rPr>
                <w:rFonts w:hAnsi="宋体"/>
                <w:color w:val="auto"/>
                <w:sz w:val="24"/>
              </w:rPr>
              <w:t>之间，污水进入化粪池经过</w:t>
            </w:r>
            <w:r>
              <w:rPr>
                <w:color w:val="auto"/>
                <w:sz w:val="24"/>
              </w:rPr>
              <w:t>12</w:t>
            </w:r>
            <w:r>
              <w:rPr>
                <w:rFonts w:hint="eastAsia"/>
                <w:color w:val="auto"/>
                <w:sz w:val="24"/>
                <w:lang w:eastAsia="zh-CN"/>
              </w:rPr>
              <w:t>～</w:t>
            </w:r>
            <w:r>
              <w:rPr>
                <w:color w:val="auto"/>
                <w:sz w:val="24"/>
              </w:rPr>
              <w:t>24h</w:t>
            </w:r>
            <w:r>
              <w:rPr>
                <w:rFonts w:hAnsi="宋体"/>
                <w:color w:val="auto"/>
                <w:sz w:val="24"/>
              </w:rPr>
              <w:t>的沉淀，可去除</w:t>
            </w:r>
            <w:r>
              <w:rPr>
                <w:color w:val="auto"/>
                <w:sz w:val="24"/>
              </w:rPr>
              <w:t>50%</w:t>
            </w:r>
            <w:r>
              <w:rPr>
                <w:rFonts w:hint="eastAsia"/>
                <w:color w:val="auto"/>
                <w:sz w:val="24"/>
                <w:lang w:eastAsia="zh-CN"/>
              </w:rPr>
              <w:t>～</w:t>
            </w:r>
            <w:r>
              <w:rPr>
                <w:color w:val="auto"/>
                <w:sz w:val="24"/>
              </w:rPr>
              <w:t>60%</w:t>
            </w:r>
            <w:r>
              <w:rPr>
                <w:rFonts w:hAnsi="宋体"/>
                <w:color w:val="auto"/>
                <w:sz w:val="24"/>
              </w:rPr>
              <w:t>的悬浮物。沉淀下来的污泥经过</w:t>
            </w:r>
            <w:r>
              <w:rPr>
                <w:color w:val="auto"/>
                <w:sz w:val="24"/>
              </w:rPr>
              <w:t>3</w:t>
            </w:r>
            <w:r>
              <w:rPr>
                <w:rFonts w:hAnsi="宋体"/>
                <w:color w:val="auto"/>
                <w:sz w:val="24"/>
              </w:rPr>
              <w:t>个月以上的厌氧发酵分解，使污泥中的有机物分解成稳定的无机物，易腐败的生污泥转化为稳定的熟污泥，改变了污泥的结构，降低了污泥的含水率。定期将污泥清掏外运，填埋或用作肥料。</w:t>
            </w:r>
          </w:p>
          <w:p w14:paraId="409961D8">
            <w:pPr>
              <w:adjustRightInd w:val="0"/>
              <w:snapToGrid w:val="0"/>
              <w:spacing w:line="360" w:lineRule="auto"/>
              <w:ind w:firstLine="480" w:firstLineChars="200"/>
              <w:rPr>
                <w:rFonts w:hint="eastAsia" w:hAnsi="宋体"/>
                <w:color w:val="auto"/>
                <w:sz w:val="24"/>
              </w:rPr>
            </w:pPr>
            <w:r>
              <w:rPr>
                <w:rFonts w:hAnsi="宋体"/>
                <w:color w:val="auto"/>
                <w:sz w:val="24"/>
              </w:rPr>
              <w:t>化粪池工作原理见图</w:t>
            </w:r>
            <w:r>
              <w:rPr>
                <w:rFonts w:hint="eastAsia" w:hAnsi="宋体"/>
                <w:color w:val="auto"/>
                <w:sz w:val="24"/>
              </w:rPr>
              <w:t>4</w:t>
            </w:r>
            <w:r>
              <w:rPr>
                <w:rFonts w:hAnsi="宋体"/>
                <w:color w:val="auto"/>
                <w:sz w:val="24"/>
              </w:rPr>
              <w:t>-</w:t>
            </w:r>
            <w:r>
              <w:rPr>
                <w:rFonts w:hint="eastAsia" w:hAnsi="宋体"/>
                <w:color w:val="auto"/>
                <w:sz w:val="24"/>
              </w:rPr>
              <w:t>3</w:t>
            </w:r>
            <w:r>
              <w:rPr>
                <w:rFonts w:hAnsi="宋体"/>
                <w:color w:val="auto"/>
                <w:sz w:val="24"/>
              </w:rPr>
              <w:t>。</w:t>
            </w:r>
          </w:p>
          <w:p w14:paraId="5AB09FE2">
            <w:pPr>
              <w:jc w:val="center"/>
              <w:rPr>
                <w:color w:val="auto"/>
              </w:rPr>
            </w:pPr>
            <w:r>
              <w:rPr>
                <w:rFonts w:hint="eastAsia"/>
                <w:color w:val="auto"/>
              </w:rPr>
              <w:drawing>
                <wp:inline distT="0" distB="0" distL="114300" distR="114300">
                  <wp:extent cx="3971925" cy="1697990"/>
                  <wp:effectExtent l="0" t="0" r="9525" b="165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0"/>
                          <a:stretch>
                            <a:fillRect/>
                          </a:stretch>
                        </pic:blipFill>
                        <pic:spPr>
                          <a:xfrm>
                            <a:off x="0" y="0"/>
                            <a:ext cx="3971925" cy="1697990"/>
                          </a:xfrm>
                          <a:prstGeom prst="rect">
                            <a:avLst/>
                          </a:prstGeom>
                          <a:noFill/>
                          <a:ln>
                            <a:noFill/>
                          </a:ln>
                        </pic:spPr>
                      </pic:pic>
                    </a:graphicData>
                  </a:graphic>
                </wp:inline>
              </w:drawing>
            </w:r>
          </w:p>
          <w:p w14:paraId="70C04D68">
            <w:pPr>
              <w:pStyle w:val="8"/>
              <w:numPr>
                <w:ilvl w:val="1"/>
                <w:numId w:val="0"/>
              </w:numPr>
              <w:tabs>
                <w:tab w:val="left" w:pos="1276"/>
              </w:tabs>
              <w:adjustRightInd w:val="0"/>
              <w:snapToGrid w:val="0"/>
              <w:jc w:val="center"/>
              <w:rPr>
                <w:rFonts w:hint="eastAsia" w:hAnsi="宋体"/>
                <w:b/>
                <w:color w:val="auto"/>
                <w:sz w:val="24"/>
              </w:rPr>
            </w:pPr>
            <w:r>
              <w:rPr>
                <w:rFonts w:ascii="Times New Roman" w:hAnsi="Times New Roman"/>
                <w:b/>
                <w:color w:val="auto"/>
                <w:sz w:val="24"/>
              </w:rPr>
              <w:t>图4-</w:t>
            </w:r>
            <w:r>
              <w:rPr>
                <w:rFonts w:hint="eastAsia" w:ascii="Times New Roman" w:hAnsi="Times New Roman"/>
                <w:b/>
                <w:color w:val="auto"/>
                <w:sz w:val="24"/>
              </w:rPr>
              <w:t>3</w:t>
            </w:r>
            <w:r>
              <w:rPr>
                <w:rFonts w:ascii="Times New Roman" w:hAnsi="Times New Roman"/>
                <w:b/>
                <w:color w:val="auto"/>
                <w:sz w:val="24"/>
              </w:rPr>
              <w:t xml:space="preserve">  化粪池工作原理图</w:t>
            </w:r>
          </w:p>
          <w:p w14:paraId="2CFF4EB5">
            <w:pPr>
              <w:adjustRightInd w:val="0"/>
              <w:snapToGrid w:val="0"/>
              <w:spacing w:line="360" w:lineRule="auto"/>
              <w:ind w:firstLine="480" w:firstLineChars="200"/>
              <w:jc w:val="left"/>
              <w:rPr>
                <w:color w:val="auto"/>
                <w:sz w:val="24"/>
              </w:rPr>
            </w:pPr>
            <w:r>
              <w:rPr>
                <w:color w:val="auto"/>
                <w:sz w:val="24"/>
              </w:rPr>
              <w:t>生活污水首先由进水口到第一格，在第一格里比重较大的固体物及寄生虫卵等物沉淀下来，开始初步的发酵分解，经第一格处理过的污水可分为三层：糊状粪皮、比较澄清的粪液</w:t>
            </w:r>
            <w:r>
              <w:rPr>
                <w:rFonts w:hint="eastAsia"/>
                <w:color w:val="auto"/>
                <w:sz w:val="24"/>
                <w:lang w:eastAsia="zh-CN"/>
              </w:rPr>
              <w:t>和</w:t>
            </w:r>
            <w:r>
              <w:rPr>
                <w:color w:val="auto"/>
                <w:sz w:val="24"/>
              </w:rPr>
              <w:t>固体状的粪渣。经过初步分解的污水流入第二格，而漂浮在上面的粪皮和沉积在下面的粪渣则留在第一格继续发酵。</w:t>
            </w:r>
            <w:r>
              <w:rPr>
                <w:rFonts w:hint="eastAsia" w:ascii="宋体" w:hAnsi="宋体" w:cs="宋体"/>
                <w:color w:val="auto"/>
                <w:sz w:val="24"/>
              </w:rPr>
              <w:t>②</w:t>
            </w:r>
            <w:r>
              <w:rPr>
                <w:color w:val="auto"/>
                <w:sz w:val="24"/>
              </w:rPr>
              <w:t>在第二格中，粪液继续发酵分解，虫卵继续下沉，病原体逐渐死亡，粪液得到进一步无害化，产生的粪皮和粪渣厚度比第一格显著减少。</w:t>
            </w:r>
            <w:r>
              <w:rPr>
                <w:rFonts w:hint="eastAsia" w:ascii="宋体" w:hAnsi="宋体" w:cs="宋体"/>
                <w:color w:val="auto"/>
                <w:sz w:val="24"/>
              </w:rPr>
              <w:t>③</w:t>
            </w:r>
            <w:r>
              <w:rPr>
                <w:color w:val="auto"/>
                <w:sz w:val="24"/>
              </w:rPr>
              <w:t>流入第三格的粪液一般已经腐熟，其中病菌和寄生虫卵已基本杀灭。第三格功能主要起暂时储存已基本无害的污水作用。</w:t>
            </w:r>
          </w:p>
          <w:p w14:paraId="26385F1C">
            <w:pPr>
              <w:adjustRightInd w:val="0"/>
              <w:snapToGrid w:val="0"/>
              <w:spacing w:line="360" w:lineRule="auto"/>
              <w:ind w:firstLine="482" w:firstLineChars="200"/>
              <w:rPr>
                <w:b/>
                <w:color w:val="auto"/>
                <w:sz w:val="24"/>
              </w:rPr>
            </w:pPr>
            <w:r>
              <w:rPr>
                <w:b/>
                <w:color w:val="auto"/>
                <w:sz w:val="24"/>
              </w:rPr>
              <w:t>2.2.2涟水县</w:t>
            </w:r>
            <w:r>
              <w:rPr>
                <w:rFonts w:hint="eastAsia"/>
                <w:b/>
                <w:color w:val="auto"/>
                <w:sz w:val="24"/>
              </w:rPr>
              <w:t>空港产业园污水处理厂</w:t>
            </w:r>
            <w:r>
              <w:rPr>
                <w:b/>
                <w:color w:val="auto"/>
                <w:sz w:val="24"/>
              </w:rPr>
              <w:t>污水处理可行性分析</w:t>
            </w:r>
          </w:p>
          <w:p w14:paraId="4063A371">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涟水县</w:t>
            </w:r>
            <w:r>
              <w:rPr>
                <w:rFonts w:hint="eastAsia"/>
                <w:color w:val="auto"/>
                <w:sz w:val="24"/>
              </w:rPr>
              <w:t>空港产业园污水处理厂</w:t>
            </w:r>
          </w:p>
          <w:p w14:paraId="64641924">
            <w:pPr>
              <w:adjustRightInd w:val="0"/>
              <w:snapToGrid w:val="0"/>
              <w:spacing w:line="360" w:lineRule="auto"/>
              <w:ind w:firstLine="480" w:firstLineChars="200"/>
              <w:rPr>
                <w:color w:val="auto"/>
                <w:sz w:val="24"/>
              </w:rPr>
            </w:pPr>
            <w:r>
              <w:rPr>
                <w:rFonts w:hint="eastAsia"/>
                <w:color w:val="auto"/>
                <w:sz w:val="24"/>
              </w:rPr>
              <w:t>空港产业园污水处理厂</w:t>
            </w:r>
            <w:r>
              <w:rPr>
                <w:color w:val="auto"/>
                <w:sz w:val="24"/>
              </w:rPr>
              <w:t>一期</w:t>
            </w:r>
            <w:r>
              <w:rPr>
                <w:rFonts w:hint="eastAsia"/>
                <w:color w:val="auto"/>
                <w:sz w:val="24"/>
              </w:rPr>
              <w:t>二阶段</w:t>
            </w:r>
            <w:r>
              <w:rPr>
                <w:color w:val="auto"/>
                <w:sz w:val="24"/>
              </w:rPr>
              <w:t>投运时间为20</w:t>
            </w:r>
            <w:r>
              <w:rPr>
                <w:rFonts w:hint="eastAsia"/>
                <w:color w:val="auto"/>
                <w:sz w:val="24"/>
              </w:rPr>
              <w:t>24</w:t>
            </w:r>
            <w:r>
              <w:rPr>
                <w:color w:val="auto"/>
                <w:sz w:val="24"/>
              </w:rPr>
              <w:t>年，污水处理规模为</w:t>
            </w:r>
            <w:r>
              <w:rPr>
                <w:rFonts w:hint="eastAsia"/>
                <w:color w:val="auto"/>
                <w:sz w:val="24"/>
              </w:rPr>
              <w:t>3</w:t>
            </w:r>
            <w:r>
              <w:rPr>
                <w:color w:val="auto"/>
                <w:sz w:val="24"/>
              </w:rPr>
              <w:t>万m</w:t>
            </w:r>
            <w:r>
              <w:rPr>
                <w:color w:val="auto"/>
                <w:sz w:val="24"/>
                <w:vertAlign w:val="superscript"/>
              </w:rPr>
              <w:t>3</w:t>
            </w:r>
            <w:r>
              <w:rPr>
                <w:color w:val="auto"/>
                <w:sz w:val="24"/>
              </w:rPr>
              <w:t>/d，</w:t>
            </w:r>
            <w:r>
              <w:rPr>
                <w:rFonts w:hint="eastAsia"/>
                <w:color w:val="auto"/>
                <w:sz w:val="24"/>
              </w:rPr>
              <w:t>废水处理系统采用“细格栅+调节池与事故池+二级前置高效沉淀池+预缺氧池+水解酸化池+两级A/O+二沉池+后置高效沉淀池+V型深床滤池+臭氧接触池+滤布滤池+生态缓冲人工湿地”工艺，本项目设计出水水质指标COD、SS、氨氮、总磷、总氮执行《城镇污水处理厂污染物排放标准》（DB32/4440-2022）A类标准限值，氟化物严格管控，要求执行≤1.3mg/L，尾水最终排入盐河</w:t>
            </w:r>
            <w:r>
              <w:rPr>
                <w:color w:val="auto"/>
                <w:sz w:val="24"/>
              </w:rPr>
              <w:t>。</w:t>
            </w:r>
          </w:p>
          <w:p w14:paraId="6DAAF2CD">
            <w:pPr>
              <w:adjustRightInd w:val="0"/>
              <w:snapToGrid w:val="0"/>
              <w:spacing w:line="360" w:lineRule="auto"/>
              <w:ind w:firstLine="480" w:firstLineChars="200"/>
              <w:rPr>
                <w:color w:val="auto"/>
                <w:sz w:val="24"/>
              </w:rPr>
            </w:pPr>
            <w:r>
              <w:rPr>
                <w:color w:val="auto"/>
                <w:sz w:val="24"/>
              </w:rPr>
              <w:t>（2）处理工艺情况</w:t>
            </w:r>
          </w:p>
          <w:p w14:paraId="7B665327">
            <w:pPr>
              <w:adjustRightInd w:val="0"/>
              <w:snapToGrid w:val="0"/>
              <w:spacing w:line="360" w:lineRule="auto"/>
              <w:ind w:firstLine="480" w:firstLineChars="200"/>
              <w:rPr>
                <w:color w:val="auto"/>
                <w:sz w:val="24"/>
              </w:rPr>
            </w:pPr>
            <w:r>
              <w:rPr>
                <w:rFonts w:hint="eastAsia"/>
                <w:color w:val="auto"/>
                <w:sz w:val="24"/>
              </w:rPr>
              <w:t>空港产业园污水处理厂</w:t>
            </w:r>
            <w:r>
              <w:rPr>
                <w:color w:val="auto"/>
                <w:sz w:val="24"/>
              </w:rPr>
              <w:t>目前尾水执行</w:t>
            </w:r>
            <w:r>
              <w:rPr>
                <w:rFonts w:hint="eastAsia"/>
                <w:color w:val="auto"/>
                <w:sz w:val="24"/>
              </w:rPr>
              <w:t>《城镇污水处理厂污染物排放标准》（DB32/4440-2022）A类标准限值</w:t>
            </w:r>
            <w:r>
              <w:rPr>
                <w:color w:val="auto"/>
                <w:sz w:val="24"/>
              </w:rPr>
              <w:t>。其基本流程见图4-</w:t>
            </w:r>
            <w:r>
              <w:rPr>
                <w:rFonts w:hint="eastAsia"/>
                <w:color w:val="auto"/>
                <w:sz w:val="24"/>
              </w:rPr>
              <w:t>4</w:t>
            </w:r>
            <w:r>
              <w:rPr>
                <w:color w:val="auto"/>
                <w:sz w:val="24"/>
              </w:rPr>
              <w:t>。</w:t>
            </w:r>
          </w:p>
          <w:p w14:paraId="07F1B8F4">
            <w:pPr>
              <w:adjustRightInd w:val="0"/>
              <w:snapToGrid w:val="0"/>
              <w:jc w:val="center"/>
              <w:rPr>
                <w:color w:val="auto"/>
              </w:rPr>
            </w:pPr>
            <w:r>
              <w:rPr>
                <w:color w:val="auto"/>
              </w:rPr>
              <w:drawing>
                <wp:inline distT="0" distB="0" distL="114300" distR="114300">
                  <wp:extent cx="5332095" cy="4350385"/>
                  <wp:effectExtent l="0" t="0" r="1905"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1"/>
                          <a:stretch>
                            <a:fillRect/>
                          </a:stretch>
                        </pic:blipFill>
                        <pic:spPr>
                          <a:xfrm>
                            <a:off x="0" y="0"/>
                            <a:ext cx="5332095" cy="4350385"/>
                          </a:xfrm>
                          <a:prstGeom prst="rect">
                            <a:avLst/>
                          </a:prstGeom>
                          <a:noFill/>
                          <a:ln>
                            <a:noFill/>
                          </a:ln>
                        </pic:spPr>
                      </pic:pic>
                    </a:graphicData>
                  </a:graphic>
                </wp:inline>
              </w:drawing>
            </w:r>
          </w:p>
          <w:p w14:paraId="019DA32B">
            <w:pPr>
              <w:keepNext/>
              <w:adjustRightInd w:val="0"/>
              <w:snapToGrid w:val="0"/>
              <w:jc w:val="center"/>
              <w:rPr>
                <w:b/>
                <w:color w:val="auto"/>
                <w:szCs w:val="21"/>
              </w:rPr>
            </w:pPr>
            <w:r>
              <w:rPr>
                <w:b/>
                <w:color w:val="auto"/>
                <w:sz w:val="24"/>
              </w:rPr>
              <w:t>图4-</w:t>
            </w:r>
            <w:r>
              <w:rPr>
                <w:rFonts w:hint="eastAsia"/>
                <w:b/>
                <w:color w:val="auto"/>
                <w:sz w:val="24"/>
              </w:rPr>
              <w:t>4</w:t>
            </w:r>
            <w:r>
              <w:rPr>
                <w:b/>
                <w:color w:val="auto"/>
                <w:sz w:val="24"/>
              </w:rPr>
              <w:t xml:space="preserve">  涟水县</w:t>
            </w:r>
            <w:r>
              <w:rPr>
                <w:rFonts w:hint="eastAsia"/>
                <w:b/>
                <w:color w:val="auto"/>
                <w:sz w:val="24"/>
              </w:rPr>
              <w:t>空港产业园</w:t>
            </w:r>
            <w:r>
              <w:rPr>
                <w:b/>
                <w:color w:val="auto"/>
                <w:sz w:val="24"/>
              </w:rPr>
              <w:t>污水处理厂工艺流程图</w:t>
            </w:r>
          </w:p>
          <w:p w14:paraId="27F3BB2C">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管网建设情况</w:t>
            </w:r>
          </w:p>
          <w:p w14:paraId="7F880B54">
            <w:pPr>
              <w:adjustRightInd w:val="0"/>
              <w:snapToGrid w:val="0"/>
              <w:spacing w:line="360" w:lineRule="auto"/>
              <w:ind w:firstLine="480" w:firstLineChars="200"/>
              <w:rPr>
                <w:color w:val="auto"/>
                <w:sz w:val="24"/>
              </w:rPr>
            </w:pPr>
            <w:r>
              <w:rPr>
                <w:rFonts w:hint="eastAsia"/>
                <w:color w:val="auto"/>
                <w:sz w:val="24"/>
              </w:rPr>
              <w:t>空港产业园污水处理厂</w:t>
            </w:r>
            <w:r>
              <w:rPr>
                <w:color w:val="auto"/>
                <w:sz w:val="24"/>
              </w:rPr>
              <w:t>负责收纳</w:t>
            </w:r>
            <w:r>
              <w:rPr>
                <w:rFonts w:hint="eastAsia"/>
                <w:color w:val="auto"/>
                <w:sz w:val="24"/>
              </w:rPr>
              <w:t>空港产业园</w:t>
            </w:r>
            <w:r>
              <w:rPr>
                <w:color w:val="auto"/>
                <w:sz w:val="24"/>
              </w:rPr>
              <w:t>日常生活</w:t>
            </w:r>
            <w:r>
              <w:rPr>
                <w:rFonts w:hint="eastAsia"/>
                <w:color w:val="auto"/>
                <w:sz w:val="24"/>
              </w:rPr>
              <w:t>、生产</w:t>
            </w:r>
            <w:r>
              <w:rPr>
                <w:color w:val="auto"/>
                <w:sz w:val="24"/>
              </w:rPr>
              <w:t>产生的</w:t>
            </w:r>
            <w:r>
              <w:rPr>
                <w:rFonts w:hint="eastAsia"/>
                <w:color w:val="auto"/>
                <w:sz w:val="24"/>
              </w:rPr>
              <w:t>废</w:t>
            </w:r>
            <w:r>
              <w:rPr>
                <w:color w:val="auto"/>
                <w:sz w:val="24"/>
              </w:rPr>
              <w:t>水，本项目位于江苏省淮安市涟水县</w:t>
            </w:r>
            <w:r>
              <w:rPr>
                <w:rFonts w:hint="eastAsia"/>
                <w:color w:val="auto"/>
                <w:sz w:val="24"/>
              </w:rPr>
              <w:t>空港产业园内</w:t>
            </w:r>
            <w:r>
              <w:rPr>
                <w:color w:val="auto"/>
                <w:sz w:val="24"/>
              </w:rPr>
              <w:t>，属于</w:t>
            </w:r>
            <w:r>
              <w:rPr>
                <w:rFonts w:hint="eastAsia"/>
                <w:color w:val="auto"/>
                <w:sz w:val="24"/>
              </w:rPr>
              <w:t>空港产业园污水处理厂</w:t>
            </w:r>
            <w:r>
              <w:rPr>
                <w:color w:val="auto"/>
                <w:sz w:val="24"/>
              </w:rPr>
              <w:t>服务范围。因此，本项目产生的</w:t>
            </w:r>
            <w:r>
              <w:rPr>
                <w:rFonts w:hint="eastAsia"/>
                <w:color w:val="auto"/>
                <w:sz w:val="24"/>
              </w:rPr>
              <w:t>生产、</w:t>
            </w:r>
            <w:r>
              <w:rPr>
                <w:color w:val="auto"/>
                <w:sz w:val="24"/>
              </w:rPr>
              <w:t>生活污水接管进入</w:t>
            </w:r>
            <w:r>
              <w:rPr>
                <w:rFonts w:hint="eastAsia"/>
                <w:color w:val="auto"/>
                <w:sz w:val="24"/>
              </w:rPr>
              <w:t>空港产业园</w:t>
            </w:r>
            <w:r>
              <w:rPr>
                <w:color w:val="auto"/>
                <w:sz w:val="24"/>
              </w:rPr>
              <w:t>污水处理厂集中处理是可行的。</w:t>
            </w:r>
          </w:p>
          <w:p w14:paraId="584FFA50">
            <w:pPr>
              <w:adjustRightInd w:val="0"/>
              <w:snapToGrid w:val="0"/>
              <w:spacing w:line="360" w:lineRule="auto"/>
              <w:ind w:firstLine="480" w:firstLineChars="200"/>
              <w:rPr>
                <w:color w:val="auto"/>
                <w:sz w:val="24"/>
              </w:rPr>
            </w:pPr>
            <w:r>
              <w:rPr>
                <w:rFonts w:hint="eastAsia"/>
                <w:color w:val="auto"/>
                <w:sz w:val="24"/>
                <w:lang w:eastAsia="zh-CN"/>
              </w:rPr>
              <w:t>(4)</w:t>
            </w:r>
            <w:r>
              <w:rPr>
                <w:color w:val="auto"/>
                <w:sz w:val="24"/>
              </w:rPr>
              <w:t>废水水质及规模</w:t>
            </w:r>
          </w:p>
          <w:p w14:paraId="4A84477B">
            <w:pPr>
              <w:adjustRightInd w:val="0"/>
              <w:snapToGrid w:val="0"/>
              <w:spacing w:line="360" w:lineRule="auto"/>
              <w:ind w:firstLine="480" w:firstLineChars="200"/>
              <w:rPr>
                <w:color w:val="auto"/>
                <w:sz w:val="24"/>
              </w:rPr>
            </w:pPr>
            <w:r>
              <w:rPr>
                <w:rFonts w:hint="eastAsia"/>
                <w:color w:val="auto"/>
                <w:sz w:val="24"/>
              </w:rPr>
              <w:t>空港产业园</w:t>
            </w:r>
            <w:r>
              <w:rPr>
                <w:color w:val="auto"/>
                <w:sz w:val="24"/>
              </w:rPr>
              <w:t>污水处理厂现状处理能力</w:t>
            </w:r>
            <w:r>
              <w:rPr>
                <w:rFonts w:hint="eastAsia"/>
                <w:color w:val="auto"/>
                <w:sz w:val="24"/>
              </w:rPr>
              <w:t>3</w:t>
            </w:r>
            <w:r>
              <w:rPr>
                <w:color w:val="auto"/>
                <w:sz w:val="24"/>
              </w:rPr>
              <w:t>000</w:t>
            </w:r>
            <w:r>
              <w:rPr>
                <w:rFonts w:hint="eastAsia"/>
                <w:color w:val="auto"/>
                <w:sz w:val="24"/>
              </w:rPr>
              <w:t>0</w:t>
            </w:r>
            <w:r>
              <w:rPr>
                <w:color w:val="auto"/>
                <w:sz w:val="24"/>
              </w:rPr>
              <w:t>m</w:t>
            </w:r>
            <w:r>
              <w:rPr>
                <w:color w:val="auto"/>
                <w:sz w:val="24"/>
                <w:vertAlign w:val="superscript"/>
              </w:rPr>
              <w:t>3</w:t>
            </w:r>
            <w:r>
              <w:rPr>
                <w:color w:val="auto"/>
                <w:sz w:val="24"/>
              </w:rPr>
              <w:t>/d，据统计目前余量约为1</w:t>
            </w:r>
            <w:r>
              <w:rPr>
                <w:rFonts w:hint="eastAsia"/>
                <w:color w:val="auto"/>
                <w:sz w:val="24"/>
              </w:rPr>
              <w:t>8</w:t>
            </w:r>
            <w:r>
              <w:rPr>
                <w:color w:val="auto"/>
                <w:sz w:val="24"/>
              </w:rPr>
              <w:t>000m</w:t>
            </w:r>
            <w:r>
              <w:rPr>
                <w:color w:val="auto"/>
                <w:sz w:val="24"/>
                <w:vertAlign w:val="superscript"/>
              </w:rPr>
              <w:t>3</w:t>
            </w:r>
            <w:r>
              <w:rPr>
                <w:color w:val="auto"/>
                <w:sz w:val="24"/>
              </w:rPr>
              <w:t>/d。本项目</w:t>
            </w:r>
            <w:r>
              <w:rPr>
                <w:rFonts w:hint="eastAsia"/>
                <w:color w:val="auto"/>
                <w:sz w:val="24"/>
              </w:rPr>
              <w:t>生产废水和</w:t>
            </w:r>
            <w:r>
              <w:rPr>
                <w:color w:val="auto"/>
                <w:sz w:val="24"/>
              </w:rPr>
              <w:t>生活污水</w:t>
            </w:r>
            <w:r>
              <w:rPr>
                <w:rFonts w:hint="eastAsia"/>
                <w:color w:val="auto"/>
                <w:sz w:val="24"/>
              </w:rPr>
              <w:t>总计</w:t>
            </w:r>
            <w:r>
              <w:rPr>
                <w:color w:val="auto"/>
                <w:sz w:val="24"/>
              </w:rPr>
              <w:t>排放量为</w:t>
            </w:r>
            <w:r>
              <w:rPr>
                <w:rFonts w:hint="eastAsia"/>
                <w:color w:val="auto"/>
                <w:sz w:val="24"/>
              </w:rPr>
              <w:t>12015</w:t>
            </w:r>
            <w:r>
              <w:rPr>
                <w:color w:val="auto"/>
                <w:sz w:val="24"/>
              </w:rPr>
              <w:t>m</w:t>
            </w:r>
            <w:r>
              <w:rPr>
                <w:color w:val="auto"/>
                <w:sz w:val="24"/>
                <w:vertAlign w:val="superscript"/>
              </w:rPr>
              <w:t>3</w:t>
            </w:r>
            <w:r>
              <w:rPr>
                <w:color w:val="auto"/>
                <w:sz w:val="24"/>
              </w:rPr>
              <w:t>/a（</w:t>
            </w:r>
            <w:r>
              <w:rPr>
                <w:rFonts w:hint="eastAsia"/>
                <w:color w:val="auto"/>
                <w:sz w:val="24"/>
              </w:rPr>
              <w:t>40.05</w:t>
            </w:r>
            <w:r>
              <w:rPr>
                <w:color w:val="auto"/>
                <w:sz w:val="24"/>
              </w:rPr>
              <w:t>m</w:t>
            </w:r>
            <w:r>
              <w:rPr>
                <w:color w:val="auto"/>
                <w:sz w:val="24"/>
                <w:vertAlign w:val="superscript"/>
              </w:rPr>
              <w:t>3</w:t>
            </w:r>
            <w:r>
              <w:rPr>
                <w:color w:val="auto"/>
                <w:sz w:val="24"/>
              </w:rPr>
              <w:t>/d），占污水处理厂余量的0.</w:t>
            </w:r>
            <w:r>
              <w:rPr>
                <w:rFonts w:hint="eastAsia"/>
                <w:color w:val="auto"/>
                <w:sz w:val="24"/>
              </w:rPr>
              <w:t>0022</w:t>
            </w:r>
            <w:r>
              <w:rPr>
                <w:color w:val="auto"/>
                <w:sz w:val="24"/>
              </w:rPr>
              <w:t>%，因此</w:t>
            </w:r>
            <w:r>
              <w:rPr>
                <w:rFonts w:hint="eastAsia"/>
                <w:color w:val="auto"/>
                <w:sz w:val="24"/>
              </w:rPr>
              <w:t>空港产业园</w:t>
            </w:r>
            <w:r>
              <w:rPr>
                <w:color w:val="auto"/>
                <w:sz w:val="24"/>
              </w:rPr>
              <w:t>污水处理厂处理余量可满足本项目需要。</w:t>
            </w:r>
          </w:p>
          <w:p w14:paraId="24157BA5">
            <w:pPr>
              <w:adjustRightInd w:val="0"/>
              <w:snapToGrid w:val="0"/>
              <w:spacing w:line="360" w:lineRule="auto"/>
              <w:ind w:firstLine="480" w:firstLineChars="200"/>
              <w:rPr>
                <w:color w:val="auto"/>
                <w:sz w:val="24"/>
              </w:rPr>
            </w:pPr>
            <w:r>
              <w:rPr>
                <w:color w:val="auto"/>
                <w:sz w:val="24"/>
              </w:rPr>
              <w:t>综上所述，</w:t>
            </w:r>
            <w:r>
              <w:rPr>
                <w:rFonts w:hint="eastAsia"/>
                <w:color w:val="auto"/>
                <w:sz w:val="24"/>
              </w:rPr>
              <w:t>空港产业园</w:t>
            </w:r>
            <w:r>
              <w:rPr>
                <w:color w:val="auto"/>
                <w:sz w:val="24"/>
              </w:rPr>
              <w:t>污水处理厂从处理能力、服务范围、接管水质等方面均能够满足本项目接管要求，而本项目废水水量、水质均能满足</w:t>
            </w:r>
            <w:r>
              <w:rPr>
                <w:rFonts w:hint="eastAsia"/>
                <w:color w:val="auto"/>
                <w:sz w:val="24"/>
              </w:rPr>
              <w:t>空港产业园</w:t>
            </w:r>
            <w:r>
              <w:rPr>
                <w:color w:val="auto"/>
                <w:sz w:val="24"/>
              </w:rPr>
              <w:t>污水处理厂的接管要求，不会对</w:t>
            </w:r>
            <w:r>
              <w:rPr>
                <w:rFonts w:hint="eastAsia"/>
                <w:color w:val="auto"/>
                <w:sz w:val="24"/>
              </w:rPr>
              <w:t>空港产业园</w:t>
            </w:r>
            <w:r>
              <w:rPr>
                <w:color w:val="auto"/>
                <w:sz w:val="24"/>
              </w:rPr>
              <w:t>污水处理厂的正常运行造成不良影响，因此本项目</w:t>
            </w:r>
            <w:r>
              <w:rPr>
                <w:rFonts w:hint="eastAsia"/>
                <w:color w:val="auto"/>
                <w:sz w:val="24"/>
              </w:rPr>
              <w:t>生产废水、</w:t>
            </w:r>
            <w:r>
              <w:rPr>
                <w:color w:val="auto"/>
                <w:sz w:val="24"/>
              </w:rPr>
              <w:t>生活污水接管</w:t>
            </w:r>
            <w:r>
              <w:rPr>
                <w:rFonts w:hint="eastAsia"/>
                <w:color w:val="auto"/>
                <w:sz w:val="24"/>
              </w:rPr>
              <w:t>空港产业园</w:t>
            </w:r>
            <w:r>
              <w:rPr>
                <w:color w:val="auto"/>
                <w:sz w:val="24"/>
              </w:rPr>
              <w:t>污水处理厂处理是可行的。</w:t>
            </w:r>
          </w:p>
          <w:p w14:paraId="3DE72CE5">
            <w:pPr>
              <w:adjustRightInd w:val="0"/>
              <w:snapToGrid w:val="0"/>
              <w:spacing w:line="360" w:lineRule="auto"/>
              <w:ind w:firstLine="482" w:firstLineChars="200"/>
              <w:rPr>
                <w:b/>
                <w:color w:val="auto"/>
                <w:sz w:val="24"/>
              </w:rPr>
            </w:pPr>
            <w:r>
              <w:rPr>
                <w:b/>
                <w:color w:val="auto"/>
                <w:sz w:val="24"/>
              </w:rPr>
              <w:t>2.3环境监测计划</w:t>
            </w:r>
          </w:p>
          <w:p w14:paraId="190BC5A9">
            <w:pPr>
              <w:adjustRightInd w:val="0"/>
              <w:snapToGrid w:val="0"/>
              <w:spacing w:line="360" w:lineRule="auto"/>
              <w:ind w:firstLine="480" w:firstLineChars="200"/>
              <w:rPr>
                <w:bCs/>
                <w:color w:val="auto"/>
                <w:sz w:val="24"/>
              </w:rPr>
            </w:pPr>
            <w:r>
              <w:rPr>
                <w:color w:val="auto"/>
                <w:sz w:val="24"/>
              </w:rPr>
              <w:t>本项目根据《排污单位自行监测技术指南 总则》（HJ819-2017）</w:t>
            </w:r>
            <w:r>
              <w:rPr>
                <w:rFonts w:hint="eastAsia"/>
                <w:color w:val="auto"/>
                <w:sz w:val="24"/>
              </w:rPr>
              <w:t>，</w:t>
            </w:r>
            <w:r>
              <w:rPr>
                <w:color w:val="auto"/>
                <w:sz w:val="24"/>
              </w:rPr>
              <w:t>参照</w:t>
            </w:r>
            <w:r>
              <w:rPr>
                <w:rFonts w:hint="eastAsia"/>
                <w:color w:val="auto"/>
                <w:kern w:val="0"/>
                <w:sz w:val="24"/>
              </w:rPr>
              <w:t>《排污单位自行监测技术指南涂装》（HJ1086-2020）</w:t>
            </w:r>
            <w:r>
              <w:rPr>
                <w:color w:val="auto"/>
                <w:sz w:val="24"/>
              </w:rPr>
              <w:t>，</w:t>
            </w:r>
            <w:r>
              <w:rPr>
                <w:bCs/>
                <w:color w:val="auto"/>
                <w:sz w:val="24"/>
              </w:rPr>
              <w:t>废水监测方案见下表。</w:t>
            </w:r>
          </w:p>
          <w:p w14:paraId="16FC1BD0">
            <w:pPr>
              <w:adjustRightInd w:val="0"/>
              <w:snapToGrid w:val="0"/>
              <w:ind w:firstLine="482" w:firstLineChars="200"/>
              <w:jc w:val="center"/>
              <w:rPr>
                <w:b/>
                <w:color w:val="auto"/>
                <w:szCs w:val="21"/>
              </w:rPr>
            </w:pPr>
            <w:r>
              <w:rPr>
                <w:b/>
                <w:color w:val="auto"/>
                <w:sz w:val="24"/>
              </w:rPr>
              <w:t>表4-</w:t>
            </w:r>
            <w:r>
              <w:rPr>
                <w:rFonts w:hint="eastAsia"/>
                <w:b/>
                <w:color w:val="auto"/>
                <w:sz w:val="24"/>
              </w:rPr>
              <w:t>20</w:t>
            </w:r>
            <w:r>
              <w:rPr>
                <w:b/>
                <w:color w:val="auto"/>
                <w:sz w:val="24"/>
              </w:rPr>
              <w:t xml:space="preserve"> 废水监测计划表</w:t>
            </w:r>
          </w:p>
          <w:tbl>
            <w:tblPr>
              <w:tblStyle w:val="89"/>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51"/>
              <w:gridCol w:w="2980"/>
              <w:gridCol w:w="1606"/>
              <w:gridCol w:w="2170"/>
            </w:tblGrid>
            <w:tr w14:paraId="069A7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1" w:type="dxa"/>
                  <w:tcBorders>
                    <w:top w:val="single" w:color="auto" w:sz="12" w:space="0"/>
                    <w:bottom w:val="single" w:color="auto" w:sz="12" w:space="0"/>
                  </w:tcBorders>
                  <w:vAlign w:val="center"/>
                </w:tcPr>
                <w:p w14:paraId="714DF8F5">
                  <w:pPr>
                    <w:keepNext/>
                    <w:topLinePunct/>
                    <w:adjustRightInd w:val="0"/>
                    <w:snapToGrid w:val="0"/>
                    <w:jc w:val="center"/>
                    <w:textAlignment w:val="center"/>
                    <w:rPr>
                      <w:b/>
                      <w:color w:val="auto"/>
                      <w:szCs w:val="21"/>
                    </w:rPr>
                  </w:pPr>
                  <w:r>
                    <w:rPr>
                      <w:b/>
                      <w:color w:val="auto"/>
                      <w:szCs w:val="21"/>
                    </w:rPr>
                    <w:t>监测点位</w:t>
                  </w:r>
                </w:p>
              </w:tc>
              <w:tc>
                <w:tcPr>
                  <w:tcW w:w="2980" w:type="dxa"/>
                  <w:tcBorders>
                    <w:top w:val="single" w:color="auto" w:sz="12" w:space="0"/>
                    <w:bottom w:val="single" w:color="auto" w:sz="12" w:space="0"/>
                  </w:tcBorders>
                  <w:vAlign w:val="center"/>
                </w:tcPr>
                <w:p w14:paraId="673026D2">
                  <w:pPr>
                    <w:keepNext/>
                    <w:topLinePunct/>
                    <w:adjustRightInd w:val="0"/>
                    <w:snapToGrid w:val="0"/>
                    <w:jc w:val="center"/>
                    <w:textAlignment w:val="center"/>
                    <w:rPr>
                      <w:color w:val="auto"/>
                      <w:szCs w:val="21"/>
                    </w:rPr>
                  </w:pPr>
                  <w:r>
                    <w:rPr>
                      <w:b/>
                      <w:color w:val="auto"/>
                      <w:szCs w:val="21"/>
                    </w:rPr>
                    <w:t>监测指标</w:t>
                  </w:r>
                </w:p>
              </w:tc>
              <w:tc>
                <w:tcPr>
                  <w:tcW w:w="1606" w:type="dxa"/>
                  <w:tcBorders>
                    <w:top w:val="single" w:color="auto" w:sz="12" w:space="0"/>
                    <w:bottom w:val="single" w:color="auto" w:sz="12" w:space="0"/>
                  </w:tcBorders>
                  <w:vAlign w:val="center"/>
                </w:tcPr>
                <w:p w14:paraId="0199A7D2">
                  <w:pPr>
                    <w:keepNext/>
                    <w:topLinePunct/>
                    <w:adjustRightInd w:val="0"/>
                    <w:snapToGrid w:val="0"/>
                    <w:jc w:val="center"/>
                    <w:textAlignment w:val="center"/>
                    <w:rPr>
                      <w:color w:val="auto"/>
                      <w:szCs w:val="21"/>
                    </w:rPr>
                  </w:pPr>
                  <w:r>
                    <w:rPr>
                      <w:b/>
                      <w:color w:val="auto"/>
                      <w:szCs w:val="21"/>
                    </w:rPr>
                    <w:t>监测频次</w:t>
                  </w:r>
                </w:p>
              </w:tc>
              <w:tc>
                <w:tcPr>
                  <w:tcW w:w="2170" w:type="dxa"/>
                  <w:tcBorders>
                    <w:top w:val="single" w:color="auto" w:sz="12" w:space="0"/>
                    <w:bottom w:val="single" w:color="auto" w:sz="12" w:space="0"/>
                  </w:tcBorders>
                  <w:vAlign w:val="center"/>
                </w:tcPr>
                <w:p w14:paraId="0A2DCAB0">
                  <w:pPr>
                    <w:keepNext/>
                    <w:topLinePunct/>
                    <w:adjustRightInd w:val="0"/>
                    <w:snapToGrid w:val="0"/>
                    <w:jc w:val="center"/>
                    <w:textAlignment w:val="center"/>
                    <w:rPr>
                      <w:color w:val="auto"/>
                      <w:szCs w:val="21"/>
                    </w:rPr>
                  </w:pPr>
                  <w:r>
                    <w:rPr>
                      <w:b/>
                      <w:color w:val="auto"/>
                      <w:szCs w:val="21"/>
                    </w:rPr>
                    <w:t>执行排放标准</w:t>
                  </w:r>
                </w:p>
              </w:tc>
            </w:tr>
            <w:tr w14:paraId="2F431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1" w:type="dxa"/>
                  <w:vAlign w:val="center"/>
                </w:tcPr>
                <w:p w14:paraId="504B9A70">
                  <w:pPr>
                    <w:widowControl/>
                    <w:jc w:val="center"/>
                    <w:rPr>
                      <w:color w:val="auto"/>
                      <w:szCs w:val="21"/>
                    </w:rPr>
                  </w:pPr>
                  <w:r>
                    <w:rPr>
                      <w:rFonts w:hint="eastAsia"/>
                      <w:color w:val="auto"/>
                      <w:szCs w:val="21"/>
                    </w:rPr>
                    <w:t>总</w:t>
                  </w:r>
                  <w:r>
                    <w:rPr>
                      <w:color w:val="auto"/>
                      <w:szCs w:val="21"/>
                    </w:rPr>
                    <w:t>排口DW001</w:t>
                  </w:r>
                </w:p>
              </w:tc>
              <w:tc>
                <w:tcPr>
                  <w:tcW w:w="2980" w:type="dxa"/>
                  <w:vAlign w:val="center"/>
                </w:tcPr>
                <w:p w14:paraId="5ABED0CB">
                  <w:pPr>
                    <w:widowControl/>
                    <w:jc w:val="center"/>
                    <w:rPr>
                      <w:color w:val="auto"/>
                      <w:szCs w:val="21"/>
                    </w:rPr>
                  </w:pPr>
                  <w:r>
                    <w:rPr>
                      <w:rFonts w:hint="eastAsia"/>
                      <w:color w:val="auto"/>
                      <w:szCs w:val="21"/>
                    </w:rPr>
                    <w:t>流量、</w:t>
                  </w:r>
                  <w:r>
                    <w:rPr>
                      <w:color w:val="auto"/>
                      <w:szCs w:val="21"/>
                    </w:rPr>
                    <w:t>pH、悬浮物、COD</w:t>
                  </w:r>
                  <w:r>
                    <w:rPr>
                      <w:rFonts w:hint="eastAsia"/>
                      <w:color w:val="auto"/>
                      <w:szCs w:val="21"/>
                    </w:rPr>
                    <w:t>、</w:t>
                  </w:r>
                  <w:r>
                    <w:rPr>
                      <w:color w:val="auto"/>
                      <w:szCs w:val="21"/>
                    </w:rPr>
                    <w:t>氨氮、</w:t>
                  </w:r>
                  <w:r>
                    <w:rPr>
                      <w:rFonts w:hint="eastAsia"/>
                      <w:color w:val="auto"/>
                      <w:szCs w:val="21"/>
                    </w:rPr>
                    <w:t>TN、TP、石油类</w:t>
                  </w:r>
                  <w:r>
                    <w:rPr>
                      <w:bCs/>
                      <w:color w:val="auto"/>
                      <w:szCs w:val="21"/>
                    </w:rPr>
                    <w:t>、</w:t>
                  </w:r>
                  <w:r>
                    <w:rPr>
                      <w:rFonts w:hint="eastAsia"/>
                      <w:bCs/>
                      <w:color w:val="auto"/>
                      <w:szCs w:val="21"/>
                    </w:rPr>
                    <w:t>动植物油、阴离子表面活性剂</w:t>
                  </w:r>
                </w:p>
              </w:tc>
              <w:tc>
                <w:tcPr>
                  <w:tcW w:w="1606" w:type="dxa"/>
                  <w:vAlign w:val="center"/>
                </w:tcPr>
                <w:p w14:paraId="0C678007">
                  <w:pPr>
                    <w:widowControl/>
                    <w:jc w:val="center"/>
                    <w:rPr>
                      <w:color w:val="auto"/>
                      <w:szCs w:val="21"/>
                    </w:rPr>
                  </w:pPr>
                  <w:r>
                    <w:rPr>
                      <w:rFonts w:hint="eastAsia"/>
                      <w:color w:val="auto"/>
                      <w:szCs w:val="21"/>
                    </w:rPr>
                    <w:t>1次/半年</w:t>
                  </w:r>
                </w:p>
              </w:tc>
              <w:tc>
                <w:tcPr>
                  <w:tcW w:w="2170" w:type="dxa"/>
                  <w:vAlign w:val="center"/>
                </w:tcPr>
                <w:p w14:paraId="4C02D05C">
                  <w:pPr>
                    <w:widowControl/>
                    <w:jc w:val="center"/>
                    <w:rPr>
                      <w:color w:val="auto"/>
                      <w:szCs w:val="21"/>
                    </w:rPr>
                  </w:pPr>
                  <w:r>
                    <w:rPr>
                      <w:rFonts w:hint="eastAsia"/>
                      <w:color w:val="auto"/>
                      <w:szCs w:val="21"/>
                    </w:rPr>
                    <w:t>空港产业园</w:t>
                  </w:r>
                  <w:r>
                    <w:rPr>
                      <w:color w:val="auto"/>
                      <w:szCs w:val="21"/>
                    </w:rPr>
                    <w:t>污水处理厂</w:t>
                  </w:r>
                  <w:r>
                    <w:rPr>
                      <w:rFonts w:hint="eastAsia"/>
                      <w:color w:val="auto"/>
                      <w:szCs w:val="21"/>
                    </w:rPr>
                    <w:t>接管标准</w:t>
                  </w:r>
                </w:p>
              </w:tc>
            </w:tr>
          </w:tbl>
          <w:p w14:paraId="74E7C23A">
            <w:pPr>
              <w:adjustRightInd w:val="0"/>
              <w:snapToGrid w:val="0"/>
              <w:spacing w:line="360" w:lineRule="auto"/>
              <w:ind w:firstLine="482" w:firstLineChars="200"/>
              <w:rPr>
                <w:b/>
                <w:color w:val="auto"/>
                <w:sz w:val="24"/>
              </w:rPr>
            </w:pPr>
            <w:r>
              <w:rPr>
                <w:b/>
                <w:color w:val="auto"/>
                <w:sz w:val="24"/>
              </w:rPr>
              <w:t>2.4评价结论</w:t>
            </w:r>
          </w:p>
          <w:p w14:paraId="74F4A397">
            <w:pPr>
              <w:adjustRightInd w:val="0"/>
              <w:snapToGrid w:val="0"/>
              <w:spacing w:line="360" w:lineRule="auto"/>
              <w:ind w:firstLine="480" w:firstLineChars="200"/>
              <w:rPr>
                <w:color w:val="auto"/>
                <w:sz w:val="24"/>
              </w:rPr>
            </w:pPr>
            <w:r>
              <w:rPr>
                <w:bCs/>
                <w:color w:val="auto"/>
                <w:sz w:val="24"/>
              </w:rPr>
              <w:t>综上分析，项目废水排放在满足接管标准的情形下，尾水对地表水水质影响不大。</w:t>
            </w:r>
          </w:p>
          <w:p w14:paraId="634DE84D">
            <w:pPr>
              <w:adjustRightInd w:val="0"/>
              <w:snapToGrid w:val="0"/>
              <w:spacing w:line="360" w:lineRule="auto"/>
              <w:ind w:firstLine="482" w:firstLineChars="200"/>
              <w:rPr>
                <w:b/>
                <w:color w:val="auto"/>
                <w:sz w:val="24"/>
              </w:rPr>
            </w:pPr>
            <w:r>
              <w:rPr>
                <w:b/>
                <w:color w:val="auto"/>
                <w:sz w:val="24"/>
              </w:rPr>
              <w:t>三、噪声</w:t>
            </w:r>
          </w:p>
          <w:p w14:paraId="3BFEC024">
            <w:pPr>
              <w:adjustRightInd w:val="0"/>
              <w:snapToGrid w:val="0"/>
              <w:spacing w:line="360" w:lineRule="auto"/>
              <w:ind w:firstLine="482" w:firstLineChars="200"/>
              <w:rPr>
                <w:b/>
                <w:color w:val="auto"/>
                <w:sz w:val="24"/>
              </w:rPr>
            </w:pPr>
            <w:r>
              <w:rPr>
                <w:b/>
                <w:color w:val="auto"/>
                <w:sz w:val="24"/>
              </w:rPr>
              <w:t>3.1噪声源强</w:t>
            </w:r>
          </w:p>
          <w:p w14:paraId="6B3C58F9">
            <w:pPr>
              <w:adjustRightInd w:val="0"/>
              <w:snapToGrid w:val="0"/>
              <w:spacing w:line="360" w:lineRule="auto"/>
              <w:ind w:firstLine="480" w:firstLineChars="200"/>
              <w:rPr>
                <w:bCs/>
                <w:color w:val="auto"/>
                <w:spacing w:val="-10"/>
                <w:szCs w:val="21"/>
              </w:rPr>
            </w:pPr>
            <w:r>
              <w:rPr>
                <w:color w:val="auto"/>
                <w:sz w:val="24"/>
              </w:rPr>
              <w:t>本项目涉及</w:t>
            </w:r>
            <w:r>
              <w:rPr>
                <w:rFonts w:hint="eastAsia"/>
                <w:color w:val="auto"/>
                <w:sz w:val="24"/>
              </w:rPr>
              <w:t>激光切割机、数控开槽机、数控板料折弯机、冷压机、弧焊机、抛光机、弯管机、切管机、压铆机、数控剪板机</w:t>
            </w:r>
            <w:r>
              <w:rPr>
                <w:color w:val="auto"/>
                <w:sz w:val="24"/>
              </w:rPr>
              <w:t>等主要生产设备，项目噪声主要</w:t>
            </w:r>
            <w:r>
              <w:rPr>
                <w:rFonts w:hint="eastAsia"/>
                <w:color w:val="auto"/>
                <w:sz w:val="24"/>
                <w:lang w:eastAsia="zh-CN"/>
              </w:rPr>
              <w:t>来自</w:t>
            </w:r>
            <w:r>
              <w:rPr>
                <w:rFonts w:hint="eastAsia"/>
                <w:color w:val="auto"/>
                <w:sz w:val="24"/>
              </w:rPr>
              <w:t>切割</w:t>
            </w:r>
            <w:r>
              <w:rPr>
                <w:color w:val="auto"/>
                <w:sz w:val="24"/>
              </w:rPr>
              <w:t>机、</w:t>
            </w:r>
            <w:r>
              <w:rPr>
                <w:rFonts w:hint="eastAsia"/>
                <w:color w:val="auto"/>
                <w:sz w:val="24"/>
              </w:rPr>
              <w:t>数控开槽机、数控板料折弯机、冷压机、弧焊机、抛光机、弯管机、切管机、压铆机、数控剪板机</w:t>
            </w:r>
            <w:r>
              <w:rPr>
                <w:color w:val="auto"/>
                <w:sz w:val="24"/>
              </w:rPr>
              <w:t>等生产设备及风机等辅助设备，其噪声源强≤95dB(A)，声源分布及防治措施见下表。本项目拟建地为《声环境质量标准》(GB3096-2008)3类功能区，厂界外50米范围内无声环境保护目标。本项目建成后，声环境影响较小，不会出现噪声扰民现象。</w:t>
            </w:r>
          </w:p>
        </w:tc>
      </w:tr>
    </w:tbl>
    <w:p w14:paraId="4E460B24">
      <w:pPr>
        <w:rPr>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654"/>
      </w:tblGrid>
      <w:tr w14:paraId="39C96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94" w:type="dxa"/>
            <w:tcMar>
              <w:left w:w="28" w:type="dxa"/>
              <w:right w:w="28" w:type="dxa"/>
            </w:tcMar>
            <w:vAlign w:val="center"/>
          </w:tcPr>
          <w:p w14:paraId="34BB2ADB">
            <w:pPr>
              <w:adjustRightInd w:val="0"/>
              <w:snapToGrid w:val="0"/>
              <w:jc w:val="center"/>
              <w:rPr>
                <w:bCs/>
                <w:color w:val="auto"/>
                <w:szCs w:val="21"/>
              </w:rPr>
            </w:pPr>
            <w:r>
              <w:rPr>
                <w:bCs/>
                <w:color w:val="auto"/>
                <w:sz w:val="24"/>
              </w:rPr>
              <w:t>运营期环境影响和保护措施</w:t>
            </w:r>
          </w:p>
        </w:tc>
        <w:tc>
          <w:tcPr>
            <w:tcW w:w="12654" w:type="dxa"/>
          </w:tcPr>
          <w:p w14:paraId="4EB16BFA">
            <w:pPr>
              <w:adjustRightInd w:val="0"/>
              <w:snapToGrid w:val="0"/>
              <w:ind w:firstLine="482" w:firstLineChars="200"/>
              <w:jc w:val="center"/>
              <w:rPr>
                <w:b/>
                <w:color w:val="auto"/>
                <w:szCs w:val="21"/>
              </w:rPr>
            </w:pPr>
            <w:r>
              <w:rPr>
                <w:b/>
                <w:color w:val="auto"/>
                <w:sz w:val="24"/>
              </w:rPr>
              <w:t>表4-</w:t>
            </w:r>
            <w:r>
              <w:rPr>
                <w:rFonts w:hint="eastAsia"/>
                <w:b/>
                <w:color w:val="auto"/>
                <w:sz w:val="24"/>
              </w:rPr>
              <w:t>21</w:t>
            </w:r>
            <w:r>
              <w:rPr>
                <w:b/>
                <w:color w:val="auto"/>
                <w:sz w:val="24"/>
              </w:rPr>
              <w:t xml:space="preserve">  工业企业噪声源强调查清单（室内声源）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01"/>
              <w:gridCol w:w="540"/>
              <w:gridCol w:w="1078"/>
              <w:gridCol w:w="336"/>
              <w:gridCol w:w="2522"/>
              <w:gridCol w:w="939"/>
              <w:gridCol w:w="613"/>
              <w:gridCol w:w="383"/>
              <w:gridCol w:w="383"/>
              <w:gridCol w:w="381"/>
              <w:gridCol w:w="881"/>
              <w:gridCol w:w="1033"/>
              <w:gridCol w:w="458"/>
              <w:gridCol w:w="1101"/>
              <w:gridCol w:w="873"/>
              <w:gridCol w:w="616"/>
            </w:tblGrid>
            <w:tr w14:paraId="10AE9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tblHeader/>
                <w:jc w:val="center"/>
              </w:trPr>
              <w:tc>
                <w:tcPr>
                  <w:tcW w:w="121" w:type="pct"/>
                  <w:vMerge w:val="restart"/>
                  <w:tcMar>
                    <w:left w:w="0" w:type="dxa"/>
                    <w:right w:w="0" w:type="dxa"/>
                  </w:tcMar>
                  <w:vAlign w:val="center"/>
                </w:tcPr>
                <w:p w14:paraId="7CF8B614">
                  <w:pPr>
                    <w:pStyle w:val="477"/>
                    <w:spacing w:after="0"/>
                    <w:rPr>
                      <w:b/>
                      <w:color w:val="auto"/>
                      <w:szCs w:val="21"/>
                    </w:rPr>
                  </w:pPr>
                  <w:r>
                    <w:rPr>
                      <w:b/>
                      <w:color w:val="auto"/>
                      <w:szCs w:val="21"/>
                    </w:rPr>
                    <w:t>序号</w:t>
                  </w:r>
                </w:p>
              </w:tc>
              <w:tc>
                <w:tcPr>
                  <w:tcW w:w="217" w:type="pct"/>
                  <w:vMerge w:val="restart"/>
                  <w:vAlign w:val="center"/>
                </w:tcPr>
                <w:p w14:paraId="0B74719A">
                  <w:pPr>
                    <w:pStyle w:val="477"/>
                    <w:spacing w:after="0"/>
                    <w:rPr>
                      <w:b/>
                      <w:color w:val="auto"/>
                      <w:szCs w:val="21"/>
                    </w:rPr>
                  </w:pPr>
                  <w:r>
                    <w:rPr>
                      <w:b/>
                      <w:color w:val="auto"/>
                      <w:szCs w:val="21"/>
                    </w:rPr>
                    <w:t>建筑物名称</w:t>
                  </w:r>
                </w:p>
              </w:tc>
              <w:tc>
                <w:tcPr>
                  <w:tcW w:w="433" w:type="pct"/>
                  <w:vMerge w:val="restart"/>
                  <w:vAlign w:val="center"/>
                </w:tcPr>
                <w:p w14:paraId="47A324EF">
                  <w:pPr>
                    <w:pStyle w:val="477"/>
                    <w:spacing w:after="0"/>
                    <w:rPr>
                      <w:b/>
                      <w:color w:val="auto"/>
                      <w:szCs w:val="21"/>
                    </w:rPr>
                  </w:pPr>
                  <w:r>
                    <w:rPr>
                      <w:b/>
                      <w:color w:val="auto"/>
                      <w:szCs w:val="21"/>
                    </w:rPr>
                    <w:t>声源名称</w:t>
                  </w:r>
                </w:p>
              </w:tc>
              <w:tc>
                <w:tcPr>
                  <w:tcW w:w="135" w:type="pct"/>
                  <w:vMerge w:val="restart"/>
                  <w:vAlign w:val="center"/>
                </w:tcPr>
                <w:p w14:paraId="199A597B">
                  <w:pPr>
                    <w:pStyle w:val="477"/>
                    <w:spacing w:after="0"/>
                    <w:rPr>
                      <w:b/>
                      <w:color w:val="auto"/>
                      <w:szCs w:val="21"/>
                    </w:rPr>
                  </w:pPr>
                  <w:r>
                    <w:rPr>
                      <w:b/>
                      <w:color w:val="auto"/>
                      <w:szCs w:val="21"/>
                    </w:rPr>
                    <w:t>数量</w:t>
                  </w:r>
                </w:p>
              </w:tc>
              <w:tc>
                <w:tcPr>
                  <w:tcW w:w="1013" w:type="pct"/>
                  <w:vMerge w:val="restart"/>
                  <w:vAlign w:val="center"/>
                </w:tcPr>
                <w:p w14:paraId="413133CC">
                  <w:pPr>
                    <w:pStyle w:val="477"/>
                    <w:spacing w:after="0"/>
                    <w:rPr>
                      <w:b/>
                      <w:color w:val="auto"/>
                      <w:szCs w:val="21"/>
                    </w:rPr>
                  </w:pPr>
                  <w:r>
                    <w:rPr>
                      <w:b/>
                      <w:color w:val="auto"/>
                      <w:szCs w:val="21"/>
                    </w:rPr>
                    <w:t>型号</w:t>
                  </w:r>
                </w:p>
              </w:tc>
              <w:tc>
                <w:tcPr>
                  <w:tcW w:w="377" w:type="pct"/>
                  <w:vMerge w:val="restart"/>
                  <w:vAlign w:val="center"/>
                </w:tcPr>
                <w:p w14:paraId="262FBB08">
                  <w:pPr>
                    <w:pStyle w:val="477"/>
                    <w:spacing w:after="0"/>
                    <w:rPr>
                      <w:b/>
                      <w:color w:val="auto"/>
                      <w:szCs w:val="21"/>
                    </w:rPr>
                  </w:pPr>
                  <w:r>
                    <w:rPr>
                      <w:b/>
                      <w:color w:val="auto"/>
                      <w:szCs w:val="21"/>
                    </w:rPr>
                    <w:t>声功率级/dB(A)</w:t>
                  </w:r>
                </w:p>
              </w:tc>
              <w:tc>
                <w:tcPr>
                  <w:tcW w:w="246" w:type="pct"/>
                  <w:vMerge w:val="restart"/>
                  <w:vAlign w:val="center"/>
                </w:tcPr>
                <w:p w14:paraId="33DB7997">
                  <w:pPr>
                    <w:pStyle w:val="477"/>
                    <w:spacing w:after="0"/>
                    <w:rPr>
                      <w:b/>
                      <w:color w:val="auto"/>
                      <w:szCs w:val="21"/>
                    </w:rPr>
                  </w:pPr>
                  <w:r>
                    <w:rPr>
                      <w:b/>
                      <w:color w:val="auto"/>
                      <w:szCs w:val="21"/>
                    </w:rPr>
                    <w:t>声源控制措施</w:t>
                  </w:r>
                </w:p>
              </w:tc>
              <w:tc>
                <w:tcPr>
                  <w:tcW w:w="461" w:type="pct"/>
                  <w:gridSpan w:val="3"/>
                  <w:tcMar>
                    <w:left w:w="0" w:type="dxa"/>
                    <w:right w:w="0" w:type="dxa"/>
                  </w:tcMar>
                  <w:vAlign w:val="center"/>
                </w:tcPr>
                <w:p w14:paraId="329900EB">
                  <w:pPr>
                    <w:pStyle w:val="477"/>
                    <w:spacing w:after="0"/>
                    <w:rPr>
                      <w:b/>
                      <w:color w:val="auto"/>
                      <w:szCs w:val="21"/>
                    </w:rPr>
                  </w:pPr>
                  <w:r>
                    <w:rPr>
                      <w:b/>
                      <w:color w:val="auto"/>
                      <w:szCs w:val="21"/>
                    </w:rPr>
                    <w:t>空间相对位置/m</w:t>
                  </w:r>
                </w:p>
              </w:tc>
              <w:tc>
                <w:tcPr>
                  <w:tcW w:w="354" w:type="pct"/>
                  <w:vMerge w:val="restart"/>
                  <w:tcMar>
                    <w:left w:w="0" w:type="dxa"/>
                    <w:right w:w="0" w:type="dxa"/>
                  </w:tcMar>
                  <w:vAlign w:val="center"/>
                </w:tcPr>
                <w:p w14:paraId="0705C9DD">
                  <w:pPr>
                    <w:pStyle w:val="477"/>
                    <w:spacing w:after="0"/>
                    <w:rPr>
                      <w:b/>
                      <w:color w:val="auto"/>
                      <w:szCs w:val="21"/>
                    </w:rPr>
                  </w:pPr>
                  <w:r>
                    <w:rPr>
                      <w:b/>
                      <w:color w:val="auto"/>
                      <w:szCs w:val="21"/>
                    </w:rPr>
                    <w:t>距室内边界最近距离/m</w:t>
                  </w:r>
                </w:p>
              </w:tc>
              <w:tc>
                <w:tcPr>
                  <w:tcW w:w="415" w:type="pct"/>
                  <w:vMerge w:val="restart"/>
                  <w:tcMar>
                    <w:left w:w="0" w:type="dxa"/>
                    <w:right w:w="0" w:type="dxa"/>
                  </w:tcMar>
                  <w:vAlign w:val="center"/>
                </w:tcPr>
                <w:p w14:paraId="007E4F0C">
                  <w:pPr>
                    <w:pStyle w:val="477"/>
                    <w:spacing w:after="0"/>
                    <w:rPr>
                      <w:b/>
                      <w:color w:val="auto"/>
                      <w:szCs w:val="21"/>
                    </w:rPr>
                  </w:pPr>
                  <w:r>
                    <w:rPr>
                      <w:b/>
                      <w:color w:val="auto"/>
                      <w:szCs w:val="21"/>
                    </w:rPr>
                    <w:t>室内边界声级/dB(A)</w:t>
                  </w:r>
                </w:p>
              </w:tc>
              <w:tc>
                <w:tcPr>
                  <w:tcW w:w="184" w:type="pct"/>
                  <w:vMerge w:val="restart"/>
                  <w:tcMar>
                    <w:left w:w="0" w:type="dxa"/>
                    <w:right w:w="0" w:type="dxa"/>
                  </w:tcMar>
                  <w:vAlign w:val="center"/>
                </w:tcPr>
                <w:p w14:paraId="3F010F21">
                  <w:pPr>
                    <w:pStyle w:val="477"/>
                    <w:spacing w:after="0"/>
                    <w:rPr>
                      <w:b/>
                      <w:color w:val="auto"/>
                      <w:szCs w:val="21"/>
                    </w:rPr>
                  </w:pPr>
                  <w:r>
                    <w:rPr>
                      <w:b/>
                      <w:color w:val="auto"/>
                      <w:szCs w:val="21"/>
                    </w:rPr>
                    <w:t>运行时段</w:t>
                  </w:r>
                </w:p>
              </w:tc>
              <w:tc>
                <w:tcPr>
                  <w:tcW w:w="442" w:type="pct"/>
                  <w:vMerge w:val="restart"/>
                  <w:tcMar>
                    <w:left w:w="0" w:type="dxa"/>
                    <w:right w:w="0" w:type="dxa"/>
                  </w:tcMar>
                  <w:vAlign w:val="center"/>
                </w:tcPr>
                <w:p w14:paraId="49EFD6C6">
                  <w:pPr>
                    <w:pStyle w:val="477"/>
                    <w:spacing w:after="0"/>
                    <w:rPr>
                      <w:b/>
                      <w:color w:val="auto"/>
                      <w:szCs w:val="21"/>
                    </w:rPr>
                  </w:pPr>
                  <w:r>
                    <w:rPr>
                      <w:b/>
                      <w:color w:val="auto"/>
                      <w:szCs w:val="21"/>
                    </w:rPr>
                    <w:t>建筑物插入损失/dB(A)</w:t>
                  </w:r>
                </w:p>
              </w:tc>
              <w:tc>
                <w:tcPr>
                  <w:tcW w:w="597" w:type="pct"/>
                  <w:gridSpan w:val="2"/>
                  <w:vAlign w:val="center"/>
                </w:tcPr>
                <w:p w14:paraId="41AF5A41">
                  <w:pPr>
                    <w:pStyle w:val="477"/>
                    <w:spacing w:after="0"/>
                    <w:rPr>
                      <w:b/>
                      <w:color w:val="auto"/>
                      <w:szCs w:val="21"/>
                    </w:rPr>
                  </w:pPr>
                  <w:r>
                    <w:rPr>
                      <w:b/>
                      <w:color w:val="auto"/>
                      <w:szCs w:val="21"/>
                    </w:rPr>
                    <w:t>建筑物外噪声</w:t>
                  </w:r>
                </w:p>
              </w:tc>
            </w:tr>
            <w:tr w14:paraId="52718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tblHeader/>
                <w:jc w:val="center"/>
              </w:trPr>
              <w:tc>
                <w:tcPr>
                  <w:tcW w:w="121" w:type="pct"/>
                  <w:vMerge w:val="continue"/>
                  <w:tcMar>
                    <w:left w:w="0" w:type="dxa"/>
                    <w:right w:w="0" w:type="dxa"/>
                  </w:tcMar>
                  <w:vAlign w:val="center"/>
                </w:tcPr>
                <w:p w14:paraId="4E9D08E6">
                  <w:pPr>
                    <w:pStyle w:val="477"/>
                    <w:spacing w:after="0"/>
                    <w:rPr>
                      <w:b/>
                      <w:color w:val="auto"/>
                      <w:szCs w:val="21"/>
                    </w:rPr>
                  </w:pPr>
                </w:p>
              </w:tc>
              <w:tc>
                <w:tcPr>
                  <w:tcW w:w="217" w:type="pct"/>
                  <w:vMerge w:val="continue"/>
                  <w:vAlign w:val="center"/>
                </w:tcPr>
                <w:p w14:paraId="3F02D8F5">
                  <w:pPr>
                    <w:pStyle w:val="477"/>
                    <w:spacing w:after="0"/>
                    <w:rPr>
                      <w:b/>
                      <w:color w:val="auto"/>
                      <w:szCs w:val="21"/>
                    </w:rPr>
                  </w:pPr>
                </w:p>
              </w:tc>
              <w:tc>
                <w:tcPr>
                  <w:tcW w:w="433" w:type="pct"/>
                  <w:vMerge w:val="continue"/>
                  <w:vAlign w:val="center"/>
                </w:tcPr>
                <w:p w14:paraId="1F1C8FD3">
                  <w:pPr>
                    <w:pStyle w:val="477"/>
                    <w:spacing w:after="0"/>
                    <w:rPr>
                      <w:b/>
                      <w:color w:val="auto"/>
                      <w:szCs w:val="21"/>
                    </w:rPr>
                  </w:pPr>
                </w:p>
              </w:tc>
              <w:tc>
                <w:tcPr>
                  <w:tcW w:w="135" w:type="pct"/>
                  <w:vMerge w:val="continue"/>
                  <w:vAlign w:val="center"/>
                </w:tcPr>
                <w:p w14:paraId="7FC8C6BC">
                  <w:pPr>
                    <w:pStyle w:val="477"/>
                    <w:spacing w:after="0"/>
                    <w:rPr>
                      <w:b/>
                      <w:color w:val="auto"/>
                      <w:szCs w:val="21"/>
                    </w:rPr>
                  </w:pPr>
                </w:p>
              </w:tc>
              <w:tc>
                <w:tcPr>
                  <w:tcW w:w="1013" w:type="pct"/>
                  <w:vMerge w:val="continue"/>
                  <w:vAlign w:val="center"/>
                </w:tcPr>
                <w:p w14:paraId="1C8A6470">
                  <w:pPr>
                    <w:pStyle w:val="477"/>
                    <w:spacing w:after="0"/>
                    <w:rPr>
                      <w:b/>
                      <w:color w:val="auto"/>
                      <w:szCs w:val="21"/>
                    </w:rPr>
                  </w:pPr>
                </w:p>
              </w:tc>
              <w:tc>
                <w:tcPr>
                  <w:tcW w:w="377" w:type="pct"/>
                  <w:vMerge w:val="continue"/>
                  <w:vAlign w:val="center"/>
                </w:tcPr>
                <w:p w14:paraId="04D65CD7">
                  <w:pPr>
                    <w:pStyle w:val="477"/>
                    <w:spacing w:after="0"/>
                    <w:rPr>
                      <w:b/>
                      <w:color w:val="auto"/>
                      <w:szCs w:val="21"/>
                    </w:rPr>
                  </w:pPr>
                </w:p>
              </w:tc>
              <w:tc>
                <w:tcPr>
                  <w:tcW w:w="246" w:type="pct"/>
                  <w:vMerge w:val="continue"/>
                  <w:vAlign w:val="center"/>
                </w:tcPr>
                <w:p w14:paraId="59D96397">
                  <w:pPr>
                    <w:pStyle w:val="477"/>
                    <w:spacing w:after="0"/>
                    <w:rPr>
                      <w:b/>
                      <w:color w:val="auto"/>
                      <w:szCs w:val="21"/>
                    </w:rPr>
                  </w:pPr>
                </w:p>
              </w:tc>
              <w:tc>
                <w:tcPr>
                  <w:tcW w:w="154" w:type="pct"/>
                  <w:tcMar>
                    <w:left w:w="0" w:type="dxa"/>
                    <w:right w:w="0" w:type="dxa"/>
                  </w:tcMar>
                  <w:vAlign w:val="center"/>
                </w:tcPr>
                <w:p w14:paraId="604DF3C4">
                  <w:pPr>
                    <w:pStyle w:val="477"/>
                    <w:spacing w:after="0"/>
                    <w:rPr>
                      <w:b/>
                      <w:color w:val="auto"/>
                      <w:szCs w:val="21"/>
                    </w:rPr>
                  </w:pPr>
                  <w:r>
                    <w:rPr>
                      <w:b/>
                      <w:color w:val="auto"/>
                      <w:szCs w:val="21"/>
                    </w:rPr>
                    <w:t>X</w:t>
                  </w:r>
                </w:p>
              </w:tc>
              <w:tc>
                <w:tcPr>
                  <w:tcW w:w="154" w:type="pct"/>
                  <w:tcMar>
                    <w:left w:w="0" w:type="dxa"/>
                    <w:right w:w="0" w:type="dxa"/>
                  </w:tcMar>
                  <w:vAlign w:val="center"/>
                </w:tcPr>
                <w:p w14:paraId="200101CA">
                  <w:pPr>
                    <w:pStyle w:val="477"/>
                    <w:spacing w:after="0"/>
                    <w:rPr>
                      <w:b/>
                      <w:color w:val="auto"/>
                      <w:szCs w:val="21"/>
                    </w:rPr>
                  </w:pPr>
                  <w:r>
                    <w:rPr>
                      <w:b/>
                      <w:color w:val="auto"/>
                      <w:szCs w:val="21"/>
                    </w:rPr>
                    <w:t>Y</w:t>
                  </w:r>
                </w:p>
              </w:tc>
              <w:tc>
                <w:tcPr>
                  <w:tcW w:w="153" w:type="pct"/>
                  <w:vAlign w:val="center"/>
                </w:tcPr>
                <w:p w14:paraId="3BD7C3DB">
                  <w:pPr>
                    <w:pStyle w:val="477"/>
                    <w:spacing w:after="0"/>
                    <w:rPr>
                      <w:b/>
                      <w:color w:val="auto"/>
                      <w:szCs w:val="21"/>
                    </w:rPr>
                  </w:pPr>
                  <w:r>
                    <w:rPr>
                      <w:b/>
                      <w:color w:val="auto"/>
                      <w:szCs w:val="21"/>
                    </w:rPr>
                    <w:t>Z</w:t>
                  </w:r>
                </w:p>
              </w:tc>
              <w:tc>
                <w:tcPr>
                  <w:tcW w:w="354" w:type="pct"/>
                  <w:vMerge w:val="continue"/>
                  <w:tcMar>
                    <w:left w:w="0" w:type="dxa"/>
                    <w:right w:w="0" w:type="dxa"/>
                  </w:tcMar>
                  <w:vAlign w:val="center"/>
                </w:tcPr>
                <w:p w14:paraId="31A6AAFC">
                  <w:pPr>
                    <w:pStyle w:val="477"/>
                    <w:spacing w:after="0"/>
                    <w:rPr>
                      <w:b/>
                      <w:color w:val="auto"/>
                      <w:szCs w:val="21"/>
                    </w:rPr>
                  </w:pPr>
                </w:p>
              </w:tc>
              <w:tc>
                <w:tcPr>
                  <w:tcW w:w="415" w:type="pct"/>
                  <w:vMerge w:val="continue"/>
                  <w:tcMar>
                    <w:left w:w="0" w:type="dxa"/>
                    <w:right w:w="0" w:type="dxa"/>
                  </w:tcMar>
                  <w:vAlign w:val="center"/>
                </w:tcPr>
                <w:p w14:paraId="2DE0E186">
                  <w:pPr>
                    <w:pStyle w:val="477"/>
                    <w:spacing w:after="0"/>
                    <w:rPr>
                      <w:b/>
                      <w:color w:val="auto"/>
                      <w:szCs w:val="21"/>
                    </w:rPr>
                  </w:pPr>
                </w:p>
              </w:tc>
              <w:tc>
                <w:tcPr>
                  <w:tcW w:w="184" w:type="pct"/>
                  <w:vMerge w:val="continue"/>
                  <w:tcMar>
                    <w:left w:w="0" w:type="dxa"/>
                    <w:right w:w="0" w:type="dxa"/>
                  </w:tcMar>
                  <w:vAlign w:val="center"/>
                </w:tcPr>
                <w:p w14:paraId="5D8FD494">
                  <w:pPr>
                    <w:pStyle w:val="477"/>
                    <w:spacing w:after="0"/>
                    <w:rPr>
                      <w:b/>
                      <w:color w:val="auto"/>
                      <w:szCs w:val="21"/>
                    </w:rPr>
                  </w:pPr>
                </w:p>
              </w:tc>
              <w:tc>
                <w:tcPr>
                  <w:tcW w:w="442" w:type="pct"/>
                  <w:vMerge w:val="continue"/>
                  <w:tcMar>
                    <w:left w:w="0" w:type="dxa"/>
                    <w:right w:w="0" w:type="dxa"/>
                  </w:tcMar>
                  <w:vAlign w:val="center"/>
                </w:tcPr>
                <w:p w14:paraId="3C4D6D57">
                  <w:pPr>
                    <w:pStyle w:val="477"/>
                    <w:spacing w:after="0"/>
                    <w:rPr>
                      <w:b/>
                      <w:color w:val="auto"/>
                      <w:szCs w:val="21"/>
                    </w:rPr>
                  </w:pPr>
                </w:p>
              </w:tc>
              <w:tc>
                <w:tcPr>
                  <w:tcW w:w="350" w:type="pct"/>
                  <w:vAlign w:val="center"/>
                </w:tcPr>
                <w:p w14:paraId="5D01F5C7">
                  <w:pPr>
                    <w:pStyle w:val="477"/>
                    <w:spacing w:after="0"/>
                    <w:rPr>
                      <w:b/>
                      <w:color w:val="auto"/>
                      <w:szCs w:val="21"/>
                    </w:rPr>
                  </w:pPr>
                  <w:r>
                    <w:rPr>
                      <w:b/>
                      <w:color w:val="auto"/>
                      <w:szCs w:val="21"/>
                    </w:rPr>
                    <w:t>声压级/dB(A)</w:t>
                  </w:r>
                </w:p>
              </w:tc>
              <w:tc>
                <w:tcPr>
                  <w:tcW w:w="247" w:type="pct"/>
                  <w:vAlign w:val="center"/>
                </w:tcPr>
                <w:p w14:paraId="561CD043">
                  <w:pPr>
                    <w:pStyle w:val="477"/>
                    <w:spacing w:after="0"/>
                    <w:rPr>
                      <w:b/>
                      <w:color w:val="auto"/>
                      <w:szCs w:val="21"/>
                    </w:rPr>
                  </w:pPr>
                  <w:r>
                    <w:rPr>
                      <w:b/>
                      <w:color w:val="auto"/>
                      <w:szCs w:val="21"/>
                    </w:rPr>
                    <w:t>建筑物外距离</w:t>
                  </w:r>
                </w:p>
              </w:tc>
            </w:tr>
            <w:tr w14:paraId="72FC5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tcMar>
                    <w:left w:w="0" w:type="dxa"/>
                    <w:right w:w="0" w:type="dxa"/>
                  </w:tcMar>
                  <w:vAlign w:val="center"/>
                </w:tcPr>
                <w:p w14:paraId="57D98A60">
                  <w:pPr>
                    <w:pStyle w:val="477"/>
                    <w:spacing w:after="0"/>
                    <w:rPr>
                      <w:color w:val="auto"/>
                      <w:szCs w:val="21"/>
                    </w:rPr>
                  </w:pPr>
                  <w:r>
                    <w:rPr>
                      <w:rFonts w:hint="eastAsia"/>
                      <w:color w:val="auto"/>
                      <w:szCs w:val="21"/>
                    </w:rPr>
                    <w:t>1</w:t>
                  </w:r>
                </w:p>
              </w:tc>
              <w:tc>
                <w:tcPr>
                  <w:tcW w:w="217" w:type="pct"/>
                  <w:vMerge w:val="restart"/>
                  <w:vAlign w:val="center"/>
                </w:tcPr>
                <w:p w14:paraId="3A646227">
                  <w:pPr>
                    <w:adjustRightInd w:val="0"/>
                    <w:snapToGrid w:val="0"/>
                    <w:jc w:val="center"/>
                    <w:rPr>
                      <w:color w:val="auto"/>
                      <w:kern w:val="0"/>
                      <w:szCs w:val="21"/>
                    </w:rPr>
                  </w:pPr>
                  <w:r>
                    <w:rPr>
                      <w:rFonts w:hint="eastAsia"/>
                      <w:color w:val="auto"/>
                      <w:szCs w:val="21"/>
                    </w:rPr>
                    <w:t>金属车间</w:t>
                  </w:r>
                </w:p>
              </w:tc>
              <w:tc>
                <w:tcPr>
                  <w:tcW w:w="433" w:type="pct"/>
                  <w:vAlign w:val="center"/>
                </w:tcPr>
                <w:p w14:paraId="27D09B62">
                  <w:pPr>
                    <w:jc w:val="center"/>
                    <w:rPr>
                      <w:color w:val="auto"/>
                      <w:szCs w:val="21"/>
                    </w:rPr>
                  </w:pPr>
                  <w:r>
                    <w:rPr>
                      <w:color w:val="auto"/>
                      <w:kern w:val="0"/>
                      <w:szCs w:val="21"/>
                      <w:lang w:bidi="ar"/>
                    </w:rPr>
                    <w:t>宏石板材激光机</w:t>
                  </w:r>
                </w:p>
              </w:tc>
              <w:tc>
                <w:tcPr>
                  <w:tcW w:w="135" w:type="pct"/>
                  <w:vAlign w:val="center"/>
                </w:tcPr>
                <w:p w14:paraId="315AB2F3">
                  <w:pPr>
                    <w:widowControl/>
                    <w:jc w:val="center"/>
                    <w:rPr>
                      <w:color w:val="auto"/>
                      <w:szCs w:val="21"/>
                    </w:rPr>
                  </w:pPr>
                  <w:r>
                    <w:rPr>
                      <w:rFonts w:hint="eastAsia"/>
                      <w:color w:val="auto"/>
                      <w:szCs w:val="21"/>
                    </w:rPr>
                    <w:t>2</w:t>
                  </w:r>
                </w:p>
              </w:tc>
              <w:tc>
                <w:tcPr>
                  <w:tcW w:w="1013" w:type="pct"/>
                  <w:vAlign w:val="center"/>
                </w:tcPr>
                <w:p w14:paraId="12275BD9">
                  <w:pPr>
                    <w:widowControl/>
                    <w:jc w:val="center"/>
                    <w:rPr>
                      <w:color w:val="auto"/>
                      <w:szCs w:val="21"/>
                    </w:rPr>
                  </w:pPr>
                  <w:r>
                    <w:rPr>
                      <w:color w:val="auto"/>
                      <w:kern w:val="0"/>
                      <w:szCs w:val="21"/>
                      <w:lang w:bidi="ar"/>
                    </w:rPr>
                    <w:t>HS-G4020A</w:t>
                  </w:r>
                </w:p>
              </w:tc>
              <w:tc>
                <w:tcPr>
                  <w:tcW w:w="377" w:type="pct"/>
                  <w:vAlign w:val="center"/>
                </w:tcPr>
                <w:p w14:paraId="79D12652">
                  <w:pPr>
                    <w:adjustRightInd w:val="0"/>
                    <w:snapToGrid w:val="0"/>
                    <w:jc w:val="center"/>
                    <w:rPr>
                      <w:color w:val="auto"/>
                      <w:szCs w:val="21"/>
                    </w:rPr>
                  </w:pPr>
                  <w:r>
                    <w:rPr>
                      <w:color w:val="auto"/>
                      <w:szCs w:val="21"/>
                    </w:rPr>
                    <w:t>85</w:t>
                  </w:r>
                </w:p>
              </w:tc>
              <w:tc>
                <w:tcPr>
                  <w:tcW w:w="246" w:type="pct"/>
                  <w:vMerge w:val="restart"/>
                  <w:vAlign w:val="center"/>
                </w:tcPr>
                <w:p w14:paraId="45185029">
                  <w:pPr>
                    <w:pStyle w:val="477"/>
                    <w:spacing w:after="0"/>
                    <w:rPr>
                      <w:color w:val="auto"/>
                      <w:szCs w:val="21"/>
                    </w:rPr>
                  </w:pPr>
                  <w:r>
                    <w:rPr>
                      <w:rFonts w:hint="eastAsia"/>
                      <w:color w:val="auto"/>
                      <w:szCs w:val="21"/>
                    </w:rPr>
                    <w:t>隔声减振</w:t>
                  </w:r>
                </w:p>
              </w:tc>
              <w:tc>
                <w:tcPr>
                  <w:tcW w:w="154" w:type="pct"/>
                  <w:tcMar>
                    <w:left w:w="0" w:type="dxa"/>
                    <w:right w:w="0" w:type="dxa"/>
                  </w:tcMar>
                  <w:vAlign w:val="center"/>
                </w:tcPr>
                <w:p w14:paraId="47C6BC3E">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6D53C9D7">
                  <w:pPr>
                    <w:pStyle w:val="477"/>
                    <w:spacing w:after="0"/>
                    <w:rPr>
                      <w:color w:val="auto"/>
                      <w:szCs w:val="21"/>
                    </w:rPr>
                  </w:pPr>
                  <w:r>
                    <w:rPr>
                      <w:rFonts w:hint="eastAsia"/>
                      <w:color w:val="auto"/>
                      <w:szCs w:val="21"/>
                    </w:rPr>
                    <w:t>10</w:t>
                  </w:r>
                </w:p>
              </w:tc>
              <w:tc>
                <w:tcPr>
                  <w:tcW w:w="153" w:type="pct"/>
                  <w:vAlign w:val="center"/>
                </w:tcPr>
                <w:p w14:paraId="30535B4C">
                  <w:pPr>
                    <w:pStyle w:val="477"/>
                    <w:spacing w:after="0"/>
                    <w:rPr>
                      <w:color w:val="auto"/>
                      <w:szCs w:val="21"/>
                    </w:rPr>
                  </w:pPr>
                  <w:r>
                    <w:rPr>
                      <w:rFonts w:hint="eastAsia"/>
                      <w:color w:val="auto"/>
                      <w:szCs w:val="21"/>
                    </w:rPr>
                    <w:t>2</w:t>
                  </w:r>
                </w:p>
              </w:tc>
              <w:tc>
                <w:tcPr>
                  <w:tcW w:w="354" w:type="pct"/>
                  <w:tcMar>
                    <w:left w:w="0" w:type="dxa"/>
                    <w:right w:w="0" w:type="dxa"/>
                  </w:tcMar>
                  <w:vAlign w:val="center"/>
                </w:tcPr>
                <w:p w14:paraId="33100E23">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471B83CD">
                  <w:pPr>
                    <w:jc w:val="center"/>
                    <w:rPr>
                      <w:color w:val="auto"/>
                      <w:szCs w:val="21"/>
                    </w:rPr>
                  </w:pPr>
                  <w:r>
                    <w:rPr>
                      <w:rFonts w:hint="eastAsia"/>
                      <w:color w:val="auto"/>
                      <w:szCs w:val="21"/>
                    </w:rPr>
                    <w:t>66.9</w:t>
                  </w:r>
                </w:p>
              </w:tc>
              <w:tc>
                <w:tcPr>
                  <w:tcW w:w="184" w:type="pct"/>
                  <w:tcMar>
                    <w:left w:w="0" w:type="dxa"/>
                    <w:right w:w="0" w:type="dxa"/>
                  </w:tcMar>
                  <w:vAlign w:val="center"/>
                </w:tcPr>
                <w:p w14:paraId="2F31D668">
                  <w:pPr>
                    <w:jc w:val="center"/>
                    <w:rPr>
                      <w:color w:val="auto"/>
                      <w:szCs w:val="21"/>
                    </w:rPr>
                  </w:pPr>
                  <w:r>
                    <w:rPr>
                      <w:color w:val="auto"/>
                      <w:szCs w:val="21"/>
                    </w:rPr>
                    <w:t>昼</w:t>
                  </w:r>
                </w:p>
              </w:tc>
              <w:tc>
                <w:tcPr>
                  <w:tcW w:w="442" w:type="pct"/>
                  <w:tcMar>
                    <w:left w:w="0" w:type="dxa"/>
                    <w:right w:w="0" w:type="dxa"/>
                  </w:tcMar>
                  <w:vAlign w:val="center"/>
                </w:tcPr>
                <w:p w14:paraId="191CF4F4">
                  <w:pPr>
                    <w:pStyle w:val="477"/>
                    <w:spacing w:after="0"/>
                    <w:rPr>
                      <w:color w:val="auto"/>
                      <w:szCs w:val="21"/>
                    </w:rPr>
                  </w:pPr>
                  <w:r>
                    <w:rPr>
                      <w:rFonts w:hint="eastAsia"/>
                      <w:color w:val="auto"/>
                      <w:szCs w:val="21"/>
                    </w:rPr>
                    <w:t>25</w:t>
                  </w:r>
                </w:p>
              </w:tc>
              <w:tc>
                <w:tcPr>
                  <w:tcW w:w="350" w:type="pct"/>
                  <w:vAlign w:val="center"/>
                </w:tcPr>
                <w:p w14:paraId="54BACF5E">
                  <w:pPr>
                    <w:widowControl/>
                    <w:adjustRightInd w:val="0"/>
                    <w:snapToGrid w:val="0"/>
                    <w:jc w:val="center"/>
                    <w:rPr>
                      <w:color w:val="auto"/>
                      <w:szCs w:val="21"/>
                    </w:rPr>
                  </w:pPr>
                  <w:r>
                    <w:rPr>
                      <w:rFonts w:hint="eastAsia" w:eastAsiaTheme="minorEastAsia"/>
                      <w:bCs/>
                      <w:color w:val="auto"/>
                      <w:kern w:val="0"/>
                      <w:szCs w:val="21"/>
                      <w:lang w:bidi="en-US"/>
                    </w:rPr>
                    <w:t>2</w:t>
                  </w:r>
                  <w:r>
                    <w:rPr>
                      <w:rFonts w:eastAsiaTheme="minorEastAsia"/>
                      <w:bCs/>
                      <w:color w:val="auto"/>
                      <w:kern w:val="0"/>
                      <w:szCs w:val="21"/>
                      <w:lang w:bidi="en-US"/>
                    </w:rPr>
                    <w:t>0</w:t>
                  </w:r>
                </w:p>
              </w:tc>
              <w:tc>
                <w:tcPr>
                  <w:tcW w:w="247" w:type="pct"/>
                  <w:vAlign w:val="center"/>
                </w:tcPr>
                <w:p w14:paraId="4EF96D45">
                  <w:pPr>
                    <w:pStyle w:val="477"/>
                    <w:spacing w:after="0"/>
                    <w:rPr>
                      <w:color w:val="auto"/>
                      <w:szCs w:val="21"/>
                    </w:rPr>
                  </w:pPr>
                  <w:r>
                    <w:rPr>
                      <w:color w:val="auto"/>
                      <w:szCs w:val="21"/>
                    </w:rPr>
                    <w:t>1</w:t>
                  </w:r>
                </w:p>
              </w:tc>
            </w:tr>
            <w:tr w14:paraId="59C8D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1" w:type="pct"/>
                  <w:tcMar>
                    <w:left w:w="0" w:type="dxa"/>
                    <w:right w:w="0" w:type="dxa"/>
                  </w:tcMar>
                  <w:vAlign w:val="center"/>
                </w:tcPr>
                <w:p w14:paraId="666BC337">
                  <w:pPr>
                    <w:pStyle w:val="477"/>
                    <w:spacing w:after="0"/>
                    <w:rPr>
                      <w:color w:val="auto"/>
                      <w:szCs w:val="21"/>
                    </w:rPr>
                  </w:pPr>
                  <w:r>
                    <w:rPr>
                      <w:rFonts w:hint="eastAsia"/>
                      <w:color w:val="auto"/>
                      <w:szCs w:val="21"/>
                    </w:rPr>
                    <w:t>2</w:t>
                  </w:r>
                </w:p>
              </w:tc>
              <w:tc>
                <w:tcPr>
                  <w:tcW w:w="217" w:type="pct"/>
                  <w:vMerge w:val="continue"/>
                  <w:vAlign w:val="center"/>
                </w:tcPr>
                <w:p w14:paraId="2D132E26">
                  <w:pPr>
                    <w:adjustRightInd w:val="0"/>
                    <w:snapToGrid w:val="0"/>
                    <w:jc w:val="center"/>
                    <w:rPr>
                      <w:color w:val="auto"/>
                      <w:szCs w:val="21"/>
                    </w:rPr>
                  </w:pPr>
                </w:p>
              </w:tc>
              <w:tc>
                <w:tcPr>
                  <w:tcW w:w="433" w:type="pct"/>
                  <w:vAlign w:val="center"/>
                </w:tcPr>
                <w:p w14:paraId="267EC6C9">
                  <w:pPr>
                    <w:pStyle w:val="477"/>
                    <w:spacing w:after="0"/>
                    <w:rPr>
                      <w:color w:val="auto"/>
                      <w:szCs w:val="21"/>
                    </w:rPr>
                  </w:pPr>
                  <w:r>
                    <w:rPr>
                      <w:color w:val="auto"/>
                      <w:kern w:val="0"/>
                      <w:szCs w:val="21"/>
                      <w:lang w:bidi="ar"/>
                    </w:rPr>
                    <w:t>数控开槽机</w:t>
                  </w:r>
                </w:p>
              </w:tc>
              <w:tc>
                <w:tcPr>
                  <w:tcW w:w="135" w:type="pct"/>
                  <w:vAlign w:val="center"/>
                </w:tcPr>
                <w:p w14:paraId="7FF74F05">
                  <w:pPr>
                    <w:widowControl/>
                    <w:jc w:val="center"/>
                    <w:rPr>
                      <w:color w:val="auto"/>
                      <w:szCs w:val="21"/>
                    </w:rPr>
                  </w:pPr>
                  <w:r>
                    <w:rPr>
                      <w:rFonts w:hint="eastAsia"/>
                      <w:color w:val="auto"/>
                      <w:szCs w:val="21"/>
                    </w:rPr>
                    <w:t>6</w:t>
                  </w:r>
                </w:p>
              </w:tc>
              <w:tc>
                <w:tcPr>
                  <w:tcW w:w="1013" w:type="pct"/>
                  <w:vAlign w:val="center"/>
                </w:tcPr>
                <w:p w14:paraId="4E39AB5A">
                  <w:pPr>
                    <w:widowControl/>
                    <w:jc w:val="center"/>
                    <w:rPr>
                      <w:color w:val="auto"/>
                      <w:szCs w:val="21"/>
                    </w:rPr>
                  </w:pPr>
                  <w:r>
                    <w:rPr>
                      <w:color w:val="auto"/>
                      <w:kern w:val="0"/>
                      <w:szCs w:val="21"/>
                      <w:lang w:bidi="ar"/>
                    </w:rPr>
                    <w:t>PGNK-1250/4000</w:t>
                  </w:r>
                </w:p>
              </w:tc>
              <w:tc>
                <w:tcPr>
                  <w:tcW w:w="377" w:type="pct"/>
                  <w:vAlign w:val="center"/>
                </w:tcPr>
                <w:p w14:paraId="5396BEDB">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43C4E86A">
                  <w:pPr>
                    <w:pStyle w:val="477"/>
                    <w:spacing w:after="0"/>
                    <w:rPr>
                      <w:color w:val="auto"/>
                      <w:szCs w:val="21"/>
                    </w:rPr>
                  </w:pPr>
                </w:p>
              </w:tc>
              <w:tc>
                <w:tcPr>
                  <w:tcW w:w="154" w:type="pct"/>
                  <w:tcMar>
                    <w:left w:w="0" w:type="dxa"/>
                    <w:right w:w="0" w:type="dxa"/>
                  </w:tcMar>
                  <w:vAlign w:val="center"/>
                </w:tcPr>
                <w:p w14:paraId="5EFF7506">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7D341AEC">
                  <w:pPr>
                    <w:pStyle w:val="477"/>
                    <w:spacing w:after="0"/>
                    <w:rPr>
                      <w:color w:val="auto"/>
                      <w:szCs w:val="21"/>
                    </w:rPr>
                  </w:pPr>
                  <w:r>
                    <w:rPr>
                      <w:rFonts w:hint="eastAsia"/>
                      <w:color w:val="auto"/>
                      <w:szCs w:val="21"/>
                    </w:rPr>
                    <w:t>20</w:t>
                  </w:r>
                </w:p>
              </w:tc>
              <w:tc>
                <w:tcPr>
                  <w:tcW w:w="153" w:type="pct"/>
                  <w:vAlign w:val="center"/>
                </w:tcPr>
                <w:p w14:paraId="7133ED6D">
                  <w:pPr>
                    <w:pStyle w:val="477"/>
                    <w:spacing w:after="0"/>
                    <w:rPr>
                      <w:color w:val="auto"/>
                      <w:szCs w:val="21"/>
                    </w:rPr>
                  </w:pPr>
                  <w:r>
                    <w:rPr>
                      <w:rFonts w:hint="eastAsia"/>
                      <w:color w:val="auto"/>
                      <w:szCs w:val="21"/>
                    </w:rPr>
                    <w:t>1</w:t>
                  </w:r>
                </w:p>
              </w:tc>
              <w:tc>
                <w:tcPr>
                  <w:tcW w:w="354" w:type="pct"/>
                  <w:tcMar>
                    <w:left w:w="0" w:type="dxa"/>
                    <w:right w:w="0" w:type="dxa"/>
                  </w:tcMar>
                  <w:vAlign w:val="center"/>
                </w:tcPr>
                <w:p w14:paraId="57E7EA9C">
                  <w:pPr>
                    <w:pStyle w:val="477"/>
                    <w:spacing w:after="0"/>
                    <w:rPr>
                      <w:color w:val="auto"/>
                      <w:szCs w:val="21"/>
                    </w:rPr>
                  </w:pPr>
                  <w:r>
                    <w:rPr>
                      <w:rFonts w:hint="eastAsia"/>
                      <w:color w:val="auto"/>
                      <w:szCs w:val="21"/>
                    </w:rPr>
                    <w:t>20</w:t>
                  </w:r>
                </w:p>
              </w:tc>
              <w:tc>
                <w:tcPr>
                  <w:tcW w:w="415" w:type="pct"/>
                  <w:tcMar>
                    <w:left w:w="0" w:type="dxa"/>
                    <w:right w:w="0" w:type="dxa"/>
                  </w:tcMar>
                  <w:vAlign w:val="center"/>
                </w:tcPr>
                <w:p w14:paraId="7A19D0E5">
                  <w:pPr>
                    <w:jc w:val="center"/>
                    <w:rPr>
                      <w:color w:val="auto"/>
                      <w:szCs w:val="21"/>
                    </w:rPr>
                  </w:pPr>
                  <w:r>
                    <w:rPr>
                      <w:rFonts w:hint="eastAsia"/>
                      <w:color w:val="auto"/>
                      <w:szCs w:val="21"/>
                    </w:rPr>
                    <w:t>61.9</w:t>
                  </w:r>
                </w:p>
              </w:tc>
              <w:tc>
                <w:tcPr>
                  <w:tcW w:w="184" w:type="pct"/>
                  <w:tcMar>
                    <w:left w:w="0" w:type="dxa"/>
                    <w:right w:w="0" w:type="dxa"/>
                  </w:tcMar>
                  <w:vAlign w:val="center"/>
                </w:tcPr>
                <w:p w14:paraId="0E1728A9">
                  <w:pPr>
                    <w:jc w:val="center"/>
                    <w:rPr>
                      <w:color w:val="auto"/>
                      <w:szCs w:val="21"/>
                    </w:rPr>
                  </w:pPr>
                  <w:r>
                    <w:rPr>
                      <w:rFonts w:hint="eastAsia"/>
                      <w:color w:val="auto"/>
                      <w:szCs w:val="21"/>
                    </w:rPr>
                    <w:t>昼</w:t>
                  </w:r>
                </w:p>
              </w:tc>
              <w:tc>
                <w:tcPr>
                  <w:tcW w:w="442" w:type="pct"/>
                  <w:tcMar>
                    <w:left w:w="0" w:type="dxa"/>
                    <w:right w:w="0" w:type="dxa"/>
                  </w:tcMar>
                  <w:vAlign w:val="center"/>
                </w:tcPr>
                <w:p w14:paraId="2876DACD">
                  <w:pPr>
                    <w:jc w:val="center"/>
                    <w:rPr>
                      <w:color w:val="auto"/>
                      <w:szCs w:val="21"/>
                    </w:rPr>
                  </w:pPr>
                  <w:r>
                    <w:rPr>
                      <w:rFonts w:hint="eastAsia"/>
                      <w:color w:val="auto"/>
                      <w:szCs w:val="21"/>
                    </w:rPr>
                    <w:t>25</w:t>
                  </w:r>
                </w:p>
              </w:tc>
              <w:tc>
                <w:tcPr>
                  <w:tcW w:w="350" w:type="pct"/>
                  <w:vAlign w:val="center"/>
                </w:tcPr>
                <w:p w14:paraId="51BC6F0A">
                  <w:pPr>
                    <w:widowControl/>
                    <w:adjustRightInd w:val="0"/>
                    <w:snapToGrid w:val="0"/>
                    <w:jc w:val="center"/>
                    <w:rPr>
                      <w:color w:val="auto"/>
                      <w:szCs w:val="21"/>
                    </w:rPr>
                  </w:pPr>
                  <w:r>
                    <w:rPr>
                      <w:rFonts w:hint="eastAsia" w:eastAsiaTheme="minorEastAsia"/>
                      <w:bCs/>
                      <w:color w:val="auto"/>
                      <w:kern w:val="0"/>
                      <w:szCs w:val="21"/>
                      <w:lang w:bidi="en-US"/>
                    </w:rPr>
                    <w:t>4</w:t>
                  </w:r>
                  <w:r>
                    <w:rPr>
                      <w:rFonts w:eastAsiaTheme="minorEastAsia"/>
                      <w:bCs/>
                      <w:color w:val="auto"/>
                      <w:kern w:val="0"/>
                      <w:szCs w:val="21"/>
                      <w:lang w:bidi="en-US"/>
                    </w:rPr>
                    <w:t>6</w:t>
                  </w:r>
                </w:p>
              </w:tc>
              <w:tc>
                <w:tcPr>
                  <w:tcW w:w="247" w:type="pct"/>
                  <w:vAlign w:val="center"/>
                </w:tcPr>
                <w:p w14:paraId="23232B97">
                  <w:pPr>
                    <w:pStyle w:val="477"/>
                    <w:spacing w:after="0"/>
                    <w:rPr>
                      <w:color w:val="auto"/>
                      <w:szCs w:val="21"/>
                    </w:rPr>
                  </w:pPr>
                  <w:r>
                    <w:rPr>
                      <w:color w:val="auto"/>
                      <w:szCs w:val="21"/>
                    </w:rPr>
                    <w:t>1</w:t>
                  </w:r>
                </w:p>
              </w:tc>
            </w:tr>
            <w:tr w14:paraId="59087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tcMar>
                    <w:left w:w="0" w:type="dxa"/>
                    <w:right w:w="0" w:type="dxa"/>
                  </w:tcMar>
                  <w:vAlign w:val="center"/>
                </w:tcPr>
                <w:p w14:paraId="24C88D8D">
                  <w:pPr>
                    <w:pStyle w:val="477"/>
                    <w:spacing w:after="0"/>
                    <w:rPr>
                      <w:color w:val="auto"/>
                      <w:szCs w:val="21"/>
                    </w:rPr>
                  </w:pPr>
                  <w:r>
                    <w:rPr>
                      <w:rFonts w:hint="eastAsia"/>
                      <w:color w:val="auto"/>
                      <w:szCs w:val="21"/>
                    </w:rPr>
                    <w:t>3</w:t>
                  </w:r>
                </w:p>
              </w:tc>
              <w:tc>
                <w:tcPr>
                  <w:tcW w:w="217" w:type="pct"/>
                  <w:vMerge w:val="continue"/>
                  <w:vAlign w:val="center"/>
                </w:tcPr>
                <w:p w14:paraId="22F01F6E">
                  <w:pPr>
                    <w:adjustRightInd w:val="0"/>
                    <w:snapToGrid w:val="0"/>
                    <w:jc w:val="center"/>
                    <w:rPr>
                      <w:color w:val="auto"/>
                      <w:kern w:val="0"/>
                      <w:szCs w:val="21"/>
                    </w:rPr>
                  </w:pPr>
                </w:p>
              </w:tc>
              <w:tc>
                <w:tcPr>
                  <w:tcW w:w="433" w:type="pct"/>
                  <w:vAlign w:val="center"/>
                </w:tcPr>
                <w:p w14:paraId="3075F2E2">
                  <w:pPr>
                    <w:pStyle w:val="477"/>
                    <w:spacing w:after="0"/>
                    <w:rPr>
                      <w:color w:val="auto"/>
                      <w:szCs w:val="21"/>
                    </w:rPr>
                  </w:pPr>
                  <w:r>
                    <w:rPr>
                      <w:color w:val="auto"/>
                      <w:kern w:val="0"/>
                      <w:szCs w:val="21"/>
                      <w:lang w:bidi="ar"/>
                    </w:rPr>
                    <w:t>数控板料折弯机</w:t>
                  </w:r>
                </w:p>
              </w:tc>
              <w:tc>
                <w:tcPr>
                  <w:tcW w:w="135" w:type="pct"/>
                  <w:vAlign w:val="center"/>
                </w:tcPr>
                <w:p w14:paraId="34C61184">
                  <w:pPr>
                    <w:widowControl/>
                    <w:jc w:val="center"/>
                    <w:rPr>
                      <w:color w:val="auto"/>
                      <w:szCs w:val="21"/>
                    </w:rPr>
                  </w:pPr>
                  <w:r>
                    <w:rPr>
                      <w:rFonts w:hint="eastAsia"/>
                      <w:color w:val="auto"/>
                      <w:szCs w:val="21"/>
                    </w:rPr>
                    <w:t>55</w:t>
                  </w:r>
                </w:p>
              </w:tc>
              <w:tc>
                <w:tcPr>
                  <w:tcW w:w="1013" w:type="pct"/>
                  <w:vAlign w:val="center"/>
                </w:tcPr>
                <w:p w14:paraId="6036D8E6">
                  <w:pPr>
                    <w:widowControl/>
                    <w:jc w:val="center"/>
                    <w:rPr>
                      <w:color w:val="auto"/>
                      <w:szCs w:val="21"/>
                    </w:rPr>
                  </w:pPr>
                  <w:r>
                    <w:rPr>
                      <w:color w:val="auto"/>
                      <w:kern w:val="0"/>
                      <w:szCs w:val="21"/>
                      <w:lang w:bidi="ar"/>
                    </w:rPr>
                    <w:t>HB-1032</w:t>
                  </w:r>
                </w:p>
              </w:tc>
              <w:tc>
                <w:tcPr>
                  <w:tcW w:w="377" w:type="pct"/>
                  <w:vAlign w:val="center"/>
                </w:tcPr>
                <w:p w14:paraId="51F3CCD3">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6DE805A">
                  <w:pPr>
                    <w:pStyle w:val="477"/>
                    <w:spacing w:after="0"/>
                    <w:rPr>
                      <w:color w:val="auto"/>
                      <w:szCs w:val="21"/>
                    </w:rPr>
                  </w:pPr>
                </w:p>
              </w:tc>
              <w:tc>
                <w:tcPr>
                  <w:tcW w:w="154" w:type="pct"/>
                  <w:tcMar>
                    <w:left w:w="0" w:type="dxa"/>
                    <w:right w:w="0" w:type="dxa"/>
                  </w:tcMar>
                  <w:vAlign w:val="center"/>
                </w:tcPr>
                <w:p w14:paraId="1F84E870">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408A3653">
                  <w:pPr>
                    <w:pStyle w:val="477"/>
                    <w:spacing w:after="0"/>
                    <w:rPr>
                      <w:color w:val="auto"/>
                      <w:szCs w:val="21"/>
                    </w:rPr>
                  </w:pPr>
                  <w:r>
                    <w:rPr>
                      <w:rFonts w:hint="eastAsia"/>
                      <w:color w:val="auto"/>
                      <w:szCs w:val="21"/>
                    </w:rPr>
                    <w:t>30</w:t>
                  </w:r>
                </w:p>
              </w:tc>
              <w:tc>
                <w:tcPr>
                  <w:tcW w:w="153" w:type="pct"/>
                  <w:vAlign w:val="center"/>
                </w:tcPr>
                <w:p w14:paraId="1D54B552">
                  <w:pPr>
                    <w:pStyle w:val="477"/>
                    <w:spacing w:after="0"/>
                    <w:rPr>
                      <w:color w:val="auto"/>
                      <w:szCs w:val="21"/>
                    </w:rPr>
                  </w:pPr>
                  <w:r>
                    <w:rPr>
                      <w:rFonts w:hint="eastAsia"/>
                      <w:color w:val="auto"/>
                      <w:szCs w:val="21"/>
                    </w:rPr>
                    <w:t>1</w:t>
                  </w:r>
                </w:p>
              </w:tc>
              <w:tc>
                <w:tcPr>
                  <w:tcW w:w="354" w:type="pct"/>
                  <w:tcMar>
                    <w:left w:w="0" w:type="dxa"/>
                    <w:right w:w="0" w:type="dxa"/>
                  </w:tcMar>
                  <w:vAlign w:val="center"/>
                </w:tcPr>
                <w:p w14:paraId="27139AA3">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543002BB">
                  <w:pPr>
                    <w:jc w:val="center"/>
                    <w:rPr>
                      <w:color w:val="auto"/>
                      <w:szCs w:val="21"/>
                    </w:rPr>
                  </w:pPr>
                  <w:r>
                    <w:rPr>
                      <w:rFonts w:hint="eastAsia"/>
                      <w:color w:val="auto"/>
                      <w:szCs w:val="21"/>
                    </w:rPr>
                    <w:t>71.9</w:t>
                  </w:r>
                </w:p>
              </w:tc>
              <w:tc>
                <w:tcPr>
                  <w:tcW w:w="184" w:type="pct"/>
                  <w:tcMar>
                    <w:left w:w="0" w:type="dxa"/>
                    <w:right w:w="0" w:type="dxa"/>
                  </w:tcMar>
                  <w:vAlign w:val="center"/>
                </w:tcPr>
                <w:p w14:paraId="67542C62">
                  <w:pPr>
                    <w:jc w:val="center"/>
                    <w:rPr>
                      <w:color w:val="auto"/>
                      <w:szCs w:val="21"/>
                    </w:rPr>
                  </w:pPr>
                  <w:r>
                    <w:rPr>
                      <w:color w:val="auto"/>
                      <w:szCs w:val="21"/>
                    </w:rPr>
                    <w:t>昼</w:t>
                  </w:r>
                </w:p>
              </w:tc>
              <w:tc>
                <w:tcPr>
                  <w:tcW w:w="442" w:type="pct"/>
                  <w:tcMar>
                    <w:left w:w="0" w:type="dxa"/>
                    <w:right w:w="0" w:type="dxa"/>
                  </w:tcMar>
                  <w:vAlign w:val="center"/>
                </w:tcPr>
                <w:p w14:paraId="0F92B203">
                  <w:pPr>
                    <w:jc w:val="center"/>
                    <w:rPr>
                      <w:color w:val="auto"/>
                      <w:szCs w:val="21"/>
                    </w:rPr>
                  </w:pPr>
                  <w:r>
                    <w:rPr>
                      <w:rFonts w:hint="eastAsia"/>
                      <w:color w:val="auto"/>
                      <w:szCs w:val="21"/>
                    </w:rPr>
                    <w:t>25</w:t>
                  </w:r>
                </w:p>
              </w:tc>
              <w:tc>
                <w:tcPr>
                  <w:tcW w:w="350" w:type="pct"/>
                  <w:vAlign w:val="center"/>
                </w:tcPr>
                <w:p w14:paraId="27654B59">
                  <w:pPr>
                    <w:widowControl/>
                    <w:adjustRightInd w:val="0"/>
                    <w:snapToGrid w:val="0"/>
                    <w:jc w:val="center"/>
                    <w:rPr>
                      <w:color w:val="auto"/>
                      <w:szCs w:val="21"/>
                    </w:rPr>
                  </w:pPr>
                  <w:r>
                    <w:rPr>
                      <w:rFonts w:hint="eastAsia" w:eastAsiaTheme="minorEastAsia"/>
                      <w:bCs/>
                      <w:color w:val="auto"/>
                      <w:kern w:val="0"/>
                      <w:szCs w:val="21"/>
                      <w:lang w:bidi="en-US"/>
                    </w:rPr>
                    <w:t>3</w:t>
                  </w:r>
                  <w:r>
                    <w:rPr>
                      <w:rFonts w:eastAsiaTheme="minorEastAsia"/>
                      <w:bCs/>
                      <w:color w:val="auto"/>
                      <w:kern w:val="0"/>
                      <w:szCs w:val="21"/>
                      <w:lang w:bidi="en-US"/>
                    </w:rPr>
                    <w:t>5</w:t>
                  </w:r>
                </w:p>
              </w:tc>
              <w:tc>
                <w:tcPr>
                  <w:tcW w:w="247" w:type="pct"/>
                  <w:vAlign w:val="center"/>
                </w:tcPr>
                <w:p w14:paraId="4B334C16">
                  <w:pPr>
                    <w:pStyle w:val="477"/>
                    <w:spacing w:after="0"/>
                    <w:rPr>
                      <w:color w:val="auto"/>
                      <w:szCs w:val="21"/>
                    </w:rPr>
                  </w:pPr>
                  <w:r>
                    <w:rPr>
                      <w:color w:val="auto"/>
                      <w:szCs w:val="21"/>
                    </w:rPr>
                    <w:t>1</w:t>
                  </w:r>
                </w:p>
              </w:tc>
            </w:tr>
            <w:tr w14:paraId="0F0B9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tcMar>
                    <w:left w:w="0" w:type="dxa"/>
                    <w:right w:w="0" w:type="dxa"/>
                  </w:tcMar>
                  <w:vAlign w:val="center"/>
                </w:tcPr>
                <w:p w14:paraId="7B40E512">
                  <w:pPr>
                    <w:pStyle w:val="477"/>
                    <w:spacing w:after="0"/>
                    <w:rPr>
                      <w:color w:val="auto"/>
                      <w:szCs w:val="21"/>
                    </w:rPr>
                  </w:pPr>
                  <w:r>
                    <w:rPr>
                      <w:rFonts w:hint="eastAsia"/>
                      <w:color w:val="auto"/>
                      <w:szCs w:val="21"/>
                    </w:rPr>
                    <w:t>4</w:t>
                  </w:r>
                </w:p>
              </w:tc>
              <w:tc>
                <w:tcPr>
                  <w:tcW w:w="217" w:type="pct"/>
                  <w:vMerge w:val="continue"/>
                  <w:vAlign w:val="center"/>
                </w:tcPr>
                <w:p w14:paraId="718584AE">
                  <w:pPr>
                    <w:adjustRightInd w:val="0"/>
                    <w:snapToGrid w:val="0"/>
                    <w:jc w:val="center"/>
                    <w:rPr>
                      <w:color w:val="auto"/>
                      <w:szCs w:val="21"/>
                    </w:rPr>
                  </w:pPr>
                </w:p>
              </w:tc>
              <w:tc>
                <w:tcPr>
                  <w:tcW w:w="433" w:type="pct"/>
                  <w:vAlign w:val="center"/>
                </w:tcPr>
                <w:p w14:paraId="7B9FE2EA">
                  <w:pPr>
                    <w:pStyle w:val="477"/>
                    <w:spacing w:after="0"/>
                    <w:rPr>
                      <w:color w:val="auto"/>
                      <w:szCs w:val="21"/>
                    </w:rPr>
                  </w:pPr>
                  <w:r>
                    <w:rPr>
                      <w:rFonts w:hint="eastAsia"/>
                      <w:color w:val="auto"/>
                      <w:szCs w:val="21"/>
                    </w:rPr>
                    <w:t>冷压机</w:t>
                  </w:r>
                </w:p>
              </w:tc>
              <w:tc>
                <w:tcPr>
                  <w:tcW w:w="135" w:type="pct"/>
                  <w:vAlign w:val="center"/>
                </w:tcPr>
                <w:p w14:paraId="2860125A">
                  <w:pPr>
                    <w:widowControl/>
                    <w:jc w:val="center"/>
                    <w:rPr>
                      <w:color w:val="auto"/>
                      <w:szCs w:val="21"/>
                    </w:rPr>
                  </w:pPr>
                  <w:r>
                    <w:rPr>
                      <w:rFonts w:hint="eastAsia"/>
                      <w:color w:val="auto"/>
                      <w:szCs w:val="21"/>
                    </w:rPr>
                    <w:t>4</w:t>
                  </w:r>
                </w:p>
              </w:tc>
              <w:tc>
                <w:tcPr>
                  <w:tcW w:w="1013" w:type="pct"/>
                  <w:vAlign w:val="center"/>
                </w:tcPr>
                <w:p w14:paraId="09566AFC">
                  <w:pPr>
                    <w:widowControl/>
                    <w:jc w:val="center"/>
                    <w:rPr>
                      <w:color w:val="auto"/>
                      <w:szCs w:val="21"/>
                    </w:rPr>
                  </w:pPr>
                  <w:r>
                    <w:rPr>
                      <w:color w:val="auto"/>
                      <w:kern w:val="0"/>
                      <w:szCs w:val="21"/>
                      <w:lang w:bidi="ar"/>
                    </w:rPr>
                    <w:t>HLY-50</w:t>
                  </w:r>
                </w:p>
              </w:tc>
              <w:tc>
                <w:tcPr>
                  <w:tcW w:w="377" w:type="pct"/>
                  <w:vAlign w:val="center"/>
                </w:tcPr>
                <w:p w14:paraId="06DF4BE1">
                  <w:pPr>
                    <w:adjustRightInd w:val="0"/>
                    <w:snapToGrid w:val="0"/>
                    <w:jc w:val="center"/>
                    <w:rPr>
                      <w:color w:val="auto"/>
                      <w:szCs w:val="21"/>
                    </w:rPr>
                  </w:pPr>
                  <w:r>
                    <w:rPr>
                      <w:color w:val="auto"/>
                      <w:szCs w:val="21"/>
                    </w:rPr>
                    <w:t>85</w:t>
                  </w:r>
                </w:p>
              </w:tc>
              <w:tc>
                <w:tcPr>
                  <w:tcW w:w="246" w:type="pct"/>
                  <w:vMerge w:val="continue"/>
                  <w:vAlign w:val="center"/>
                </w:tcPr>
                <w:p w14:paraId="0939F3A3">
                  <w:pPr>
                    <w:pStyle w:val="477"/>
                    <w:spacing w:after="0"/>
                    <w:rPr>
                      <w:color w:val="auto"/>
                      <w:szCs w:val="21"/>
                    </w:rPr>
                  </w:pPr>
                </w:p>
              </w:tc>
              <w:tc>
                <w:tcPr>
                  <w:tcW w:w="154" w:type="pct"/>
                  <w:tcMar>
                    <w:left w:w="0" w:type="dxa"/>
                    <w:right w:w="0" w:type="dxa"/>
                  </w:tcMar>
                  <w:vAlign w:val="center"/>
                </w:tcPr>
                <w:p w14:paraId="5E518832">
                  <w:pPr>
                    <w:pStyle w:val="477"/>
                    <w:spacing w:after="0"/>
                    <w:rPr>
                      <w:color w:val="auto"/>
                      <w:szCs w:val="21"/>
                    </w:rPr>
                  </w:pPr>
                  <w:r>
                    <w:rPr>
                      <w:rFonts w:hint="eastAsia"/>
                      <w:color w:val="auto"/>
                      <w:szCs w:val="21"/>
                    </w:rPr>
                    <w:t>115</w:t>
                  </w:r>
                </w:p>
              </w:tc>
              <w:tc>
                <w:tcPr>
                  <w:tcW w:w="154" w:type="pct"/>
                  <w:tcMar>
                    <w:left w:w="0" w:type="dxa"/>
                    <w:right w:w="0" w:type="dxa"/>
                  </w:tcMar>
                  <w:vAlign w:val="center"/>
                </w:tcPr>
                <w:p w14:paraId="3FAD9747">
                  <w:pPr>
                    <w:pStyle w:val="477"/>
                    <w:spacing w:after="0"/>
                    <w:rPr>
                      <w:color w:val="auto"/>
                      <w:szCs w:val="21"/>
                    </w:rPr>
                  </w:pPr>
                  <w:r>
                    <w:rPr>
                      <w:rFonts w:hint="eastAsia"/>
                      <w:color w:val="auto"/>
                      <w:szCs w:val="21"/>
                    </w:rPr>
                    <w:t>25</w:t>
                  </w:r>
                </w:p>
              </w:tc>
              <w:tc>
                <w:tcPr>
                  <w:tcW w:w="153" w:type="pct"/>
                  <w:vAlign w:val="center"/>
                </w:tcPr>
                <w:p w14:paraId="42DE7FD6">
                  <w:pPr>
                    <w:pStyle w:val="477"/>
                    <w:spacing w:after="0"/>
                    <w:rPr>
                      <w:color w:val="auto"/>
                      <w:szCs w:val="21"/>
                    </w:rPr>
                  </w:pPr>
                  <w:r>
                    <w:rPr>
                      <w:rFonts w:hint="eastAsia"/>
                      <w:color w:val="auto"/>
                      <w:szCs w:val="21"/>
                    </w:rPr>
                    <w:t>1.5</w:t>
                  </w:r>
                </w:p>
              </w:tc>
              <w:tc>
                <w:tcPr>
                  <w:tcW w:w="354" w:type="pct"/>
                  <w:tcMar>
                    <w:left w:w="0" w:type="dxa"/>
                    <w:right w:w="0" w:type="dxa"/>
                  </w:tcMar>
                  <w:vAlign w:val="center"/>
                </w:tcPr>
                <w:p w14:paraId="2445B34E">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4073743E">
                  <w:pPr>
                    <w:jc w:val="center"/>
                    <w:rPr>
                      <w:color w:val="auto"/>
                      <w:szCs w:val="21"/>
                    </w:rPr>
                  </w:pPr>
                  <w:r>
                    <w:rPr>
                      <w:rFonts w:hint="eastAsia"/>
                      <w:color w:val="auto"/>
                      <w:szCs w:val="21"/>
                    </w:rPr>
                    <w:t>47</w:t>
                  </w:r>
                </w:p>
              </w:tc>
              <w:tc>
                <w:tcPr>
                  <w:tcW w:w="184" w:type="pct"/>
                  <w:tcMar>
                    <w:left w:w="0" w:type="dxa"/>
                    <w:right w:w="0" w:type="dxa"/>
                  </w:tcMar>
                  <w:vAlign w:val="center"/>
                </w:tcPr>
                <w:p w14:paraId="6D3381FA">
                  <w:pPr>
                    <w:jc w:val="center"/>
                    <w:rPr>
                      <w:color w:val="auto"/>
                      <w:szCs w:val="21"/>
                    </w:rPr>
                  </w:pPr>
                  <w:r>
                    <w:rPr>
                      <w:color w:val="auto"/>
                      <w:szCs w:val="21"/>
                    </w:rPr>
                    <w:t>昼</w:t>
                  </w:r>
                </w:p>
              </w:tc>
              <w:tc>
                <w:tcPr>
                  <w:tcW w:w="442" w:type="pct"/>
                  <w:tcMar>
                    <w:left w:w="0" w:type="dxa"/>
                    <w:right w:w="0" w:type="dxa"/>
                  </w:tcMar>
                  <w:vAlign w:val="center"/>
                </w:tcPr>
                <w:p w14:paraId="0B323F80">
                  <w:pPr>
                    <w:jc w:val="center"/>
                    <w:rPr>
                      <w:color w:val="auto"/>
                      <w:szCs w:val="21"/>
                    </w:rPr>
                  </w:pPr>
                  <w:r>
                    <w:rPr>
                      <w:rFonts w:hint="eastAsia"/>
                      <w:color w:val="auto"/>
                      <w:szCs w:val="21"/>
                    </w:rPr>
                    <w:t>25</w:t>
                  </w:r>
                </w:p>
              </w:tc>
              <w:tc>
                <w:tcPr>
                  <w:tcW w:w="350" w:type="pct"/>
                  <w:vAlign w:val="center"/>
                </w:tcPr>
                <w:p w14:paraId="45E4485E">
                  <w:pPr>
                    <w:widowControl/>
                    <w:adjustRightInd w:val="0"/>
                    <w:snapToGrid w:val="0"/>
                    <w:jc w:val="center"/>
                    <w:rPr>
                      <w:color w:val="auto"/>
                      <w:szCs w:val="21"/>
                    </w:rPr>
                  </w:pPr>
                  <w:r>
                    <w:rPr>
                      <w:rFonts w:hint="eastAsia" w:eastAsiaTheme="minorEastAsia"/>
                      <w:bCs/>
                      <w:color w:val="auto"/>
                      <w:kern w:val="0"/>
                      <w:szCs w:val="21"/>
                      <w:lang w:bidi="en-US"/>
                    </w:rPr>
                    <w:t>2</w:t>
                  </w:r>
                  <w:r>
                    <w:rPr>
                      <w:rFonts w:eastAsiaTheme="minorEastAsia"/>
                      <w:bCs/>
                      <w:color w:val="auto"/>
                      <w:kern w:val="0"/>
                      <w:szCs w:val="21"/>
                      <w:lang w:bidi="en-US"/>
                    </w:rPr>
                    <w:t>3.5</w:t>
                  </w:r>
                </w:p>
              </w:tc>
              <w:tc>
                <w:tcPr>
                  <w:tcW w:w="247" w:type="pct"/>
                  <w:vAlign w:val="center"/>
                </w:tcPr>
                <w:p w14:paraId="085DE12C">
                  <w:pPr>
                    <w:pStyle w:val="477"/>
                    <w:spacing w:after="0"/>
                    <w:rPr>
                      <w:color w:val="auto"/>
                      <w:szCs w:val="21"/>
                    </w:rPr>
                  </w:pPr>
                  <w:r>
                    <w:rPr>
                      <w:color w:val="auto"/>
                      <w:szCs w:val="21"/>
                    </w:rPr>
                    <w:t>1</w:t>
                  </w:r>
                </w:p>
              </w:tc>
            </w:tr>
            <w:tr w14:paraId="1594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tcMar>
                    <w:left w:w="0" w:type="dxa"/>
                    <w:right w:w="0" w:type="dxa"/>
                  </w:tcMar>
                  <w:vAlign w:val="center"/>
                </w:tcPr>
                <w:p w14:paraId="017D04BA">
                  <w:pPr>
                    <w:pStyle w:val="477"/>
                    <w:spacing w:after="0"/>
                    <w:rPr>
                      <w:color w:val="auto"/>
                      <w:szCs w:val="21"/>
                    </w:rPr>
                  </w:pPr>
                  <w:r>
                    <w:rPr>
                      <w:rFonts w:hint="eastAsia"/>
                      <w:color w:val="auto"/>
                      <w:szCs w:val="21"/>
                    </w:rPr>
                    <w:t>5</w:t>
                  </w:r>
                </w:p>
              </w:tc>
              <w:tc>
                <w:tcPr>
                  <w:tcW w:w="217" w:type="pct"/>
                  <w:vMerge w:val="continue"/>
                  <w:vAlign w:val="center"/>
                </w:tcPr>
                <w:p w14:paraId="726B7073">
                  <w:pPr>
                    <w:adjustRightInd w:val="0"/>
                    <w:snapToGrid w:val="0"/>
                    <w:jc w:val="center"/>
                    <w:rPr>
                      <w:color w:val="auto"/>
                      <w:szCs w:val="21"/>
                    </w:rPr>
                  </w:pPr>
                </w:p>
              </w:tc>
              <w:tc>
                <w:tcPr>
                  <w:tcW w:w="433" w:type="pct"/>
                  <w:vAlign w:val="center"/>
                </w:tcPr>
                <w:p w14:paraId="61327943">
                  <w:pPr>
                    <w:pStyle w:val="477"/>
                    <w:spacing w:after="0"/>
                    <w:rPr>
                      <w:color w:val="auto"/>
                      <w:szCs w:val="21"/>
                    </w:rPr>
                  </w:pPr>
                  <w:r>
                    <w:rPr>
                      <w:rFonts w:hint="eastAsia"/>
                      <w:color w:val="auto"/>
                      <w:szCs w:val="21"/>
                    </w:rPr>
                    <w:t>瑞凌TIG弧焊机</w:t>
                  </w:r>
                </w:p>
              </w:tc>
              <w:tc>
                <w:tcPr>
                  <w:tcW w:w="135" w:type="pct"/>
                  <w:vAlign w:val="center"/>
                </w:tcPr>
                <w:p w14:paraId="18DB1FA6">
                  <w:pPr>
                    <w:widowControl/>
                    <w:jc w:val="center"/>
                    <w:rPr>
                      <w:color w:val="auto"/>
                      <w:szCs w:val="21"/>
                    </w:rPr>
                  </w:pPr>
                  <w:r>
                    <w:rPr>
                      <w:rFonts w:hint="eastAsia"/>
                      <w:color w:val="auto"/>
                      <w:szCs w:val="21"/>
                    </w:rPr>
                    <w:t>40</w:t>
                  </w:r>
                </w:p>
              </w:tc>
              <w:tc>
                <w:tcPr>
                  <w:tcW w:w="1013" w:type="pct"/>
                  <w:vAlign w:val="center"/>
                </w:tcPr>
                <w:p w14:paraId="4D2C7F23">
                  <w:pPr>
                    <w:widowControl/>
                    <w:jc w:val="center"/>
                    <w:rPr>
                      <w:color w:val="auto"/>
                      <w:szCs w:val="21"/>
                    </w:rPr>
                  </w:pPr>
                  <w:r>
                    <w:rPr>
                      <w:color w:val="auto"/>
                      <w:kern w:val="0"/>
                      <w:szCs w:val="21"/>
                      <w:lang w:bidi="ar"/>
                    </w:rPr>
                    <w:t>WS 300S</w:t>
                  </w:r>
                </w:p>
              </w:tc>
              <w:tc>
                <w:tcPr>
                  <w:tcW w:w="377" w:type="pct"/>
                  <w:vAlign w:val="center"/>
                </w:tcPr>
                <w:p w14:paraId="56F2CA57">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3E85B00">
                  <w:pPr>
                    <w:pStyle w:val="477"/>
                    <w:spacing w:after="0"/>
                    <w:rPr>
                      <w:color w:val="auto"/>
                      <w:szCs w:val="21"/>
                    </w:rPr>
                  </w:pPr>
                </w:p>
              </w:tc>
              <w:tc>
                <w:tcPr>
                  <w:tcW w:w="154" w:type="pct"/>
                  <w:tcMar>
                    <w:left w:w="0" w:type="dxa"/>
                    <w:right w:w="0" w:type="dxa"/>
                  </w:tcMar>
                  <w:vAlign w:val="center"/>
                </w:tcPr>
                <w:p w14:paraId="5B231F81">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0A7A5BFA">
                  <w:pPr>
                    <w:pStyle w:val="477"/>
                    <w:spacing w:after="0"/>
                    <w:rPr>
                      <w:color w:val="auto"/>
                      <w:szCs w:val="21"/>
                    </w:rPr>
                  </w:pPr>
                  <w:r>
                    <w:rPr>
                      <w:rFonts w:hint="eastAsia"/>
                      <w:color w:val="auto"/>
                      <w:szCs w:val="21"/>
                    </w:rPr>
                    <w:t>45</w:t>
                  </w:r>
                </w:p>
              </w:tc>
              <w:tc>
                <w:tcPr>
                  <w:tcW w:w="153" w:type="pct"/>
                  <w:vAlign w:val="center"/>
                </w:tcPr>
                <w:p w14:paraId="56165848">
                  <w:pPr>
                    <w:jc w:val="center"/>
                    <w:rPr>
                      <w:color w:val="auto"/>
                      <w:szCs w:val="21"/>
                    </w:rPr>
                  </w:pPr>
                  <w:r>
                    <w:rPr>
                      <w:rFonts w:hint="eastAsia"/>
                      <w:color w:val="auto"/>
                      <w:szCs w:val="21"/>
                    </w:rPr>
                    <w:t>1.5</w:t>
                  </w:r>
                </w:p>
              </w:tc>
              <w:tc>
                <w:tcPr>
                  <w:tcW w:w="354" w:type="pct"/>
                  <w:tcMar>
                    <w:left w:w="0" w:type="dxa"/>
                    <w:right w:w="0" w:type="dxa"/>
                  </w:tcMar>
                  <w:vAlign w:val="center"/>
                </w:tcPr>
                <w:p w14:paraId="0A1D1CF8">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5658038C">
                  <w:pPr>
                    <w:jc w:val="center"/>
                    <w:rPr>
                      <w:color w:val="auto"/>
                      <w:szCs w:val="21"/>
                    </w:rPr>
                  </w:pPr>
                  <w:r>
                    <w:rPr>
                      <w:rFonts w:hint="eastAsia"/>
                      <w:color w:val="auto"/>
                      <w:szCs w:val="21"/>
                    </w:rPr>
                    <w:t>49.2</w:t>
                  </w:r>
                </w:p>
              </w:tc>
              <w:tc>
                <w:tcPr>
                  <w:tcW w:w="184" w:type="pct"/>
                  <w:tcMar>
                    <w:left w:w="0" w:type="dxa"/>
                    <w:right w:w="0" w:type="dxa"/>
                  </w:tcMar>
                  <w:vAlign w:val="center"/>
                </w:tcPr>
                <w:p w14:paraId="7E66189C">
                  <w:pPr>
                    <w:jc w:val="center"/>
                    <w:rPr>
                      <w:color w:val="auto"/>
                      <w:szCs w:val="21"/>
                    </w:rPr>
                  </w:pPr>
                  <w:r>
                    <w:rPr>
                      <w:rFonts w:hint="eastAsia"/>
                      <w:color w:val="auto"/>
                      <w:szCs w:val="21"/>
                    </w:rPr>
                    <w:t>昼</w:t>
                  </w:r>
                </w:p>
              </w:tc>
              <w:tc>
                <w:tcPr>
                  <w:tcW w:w="442" w:type="pct"/>
                  <w:tcMar>
                    <w:left w:w="0" w:type="dxa"/>
                    <w:right w:w="0" w:type="dxa"/>
                  </w:tcMar>
                  <w:vAlign w:val="center"/>
                </w:tcPr>
                <w:p w14:paraId="08C60F58">
                  <w:pPr>
                    <w:jc w:val="center"/>
                    <w:rPr>
                      <w:color w:val="auto"/>
                      <w:szCs w:val="21"/>
                    </w:rPr>
                  </w:pPr>
                  <w:r>
                    <w:rPr>
                      <w:rFonts w:hint="eastAsia"/>
                      <w:color w:val="auto"/>
                      <w:szCs w:val="21"/>
                    </w:rPr>
                    <w:t>25</w:t>
                  </w:r>
                </w:p>
              </w:tc>
              <w:tc>
                <w:tcPr>
                  <w:tcW w:w="350" w:type="pct"/>
                  <w:vAlign w:val="center"/>
                </w:tcPr>
                <w:p w14:paraId="6442A13F">
                  <w:pPr>
                    <w:widowControl/>
                    <w:adjustRightInd w:val="0"/>
                    <w:snapToGrid w:val="0"/>
                    <w:jc w:val="center"/>
                    <w:rPr>
                      <w:color w:val="auto"/>
                      <w:szCs w:val="21"/>
                    </w:rPr>
                  </w:pPr>
                  <w:r>
                    <w:rPr>
                      <w:rFonts w:hint="eastAsia" w:eastAsiaTheme="minorEastAsia"/>
                      <w:bCs/>
                      <w:color w:val="auto"/>
                      <w:kern w:val="0"/>
                      <w:szCs w:val="21"/>
                      <w:lang w:bidi="en-US"/>
                    </w:rPr>
                    <w:t>21.6</w:t>
                  </w:r>
                </w:p>
              </w:tc>
              <w:tc>
                <w:tcPr>
                  <w:tcW w:w="247" w:type="pct"/>
                  <w:vAlign w:val="center"/>
                </w:tcPr>
                <w:p w14:paraId="6DA1D8A0">
                  <w:pPr>
                    <w:pStyle w:val="477"/>
                    <w:spacing w:after="0"/>
                    <w:rPr>
                      <w:color w:val="auto"/>
                      <w:szCs w:val="21"/>
                    </w:rPr>
                  </w:pPr>
                  <w:r>
                    <w:rPr>
                      <w:color w:val="auto"/>
                      <w:szCs w:val="21"/>
                    </w:rPr>
                    <w:t>1</w:t>
                  </w:r>
                </w:p>
              </w:tc>
            </w:tr>
            <w:tr w14:paraId="21304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tcMar>
                    <w:left w:w="0" w:type="dxa"/>
                    <w:right w:w="0" w:type="dxa"/>
                  </w:tcMar>
                  <w:vAlign w:val="center"/>
                </w:tcPr>
                <w:p w14:paraId="569D7826">
                  <w:pPr>
                    <w:pStyle w:val="477"/>
                    <w:spacing w:after="0"/>
                    <w:rPr>
                      <w:color w:val="auto"/>
                      <w:szCs w:val="21"/>
                    </w:rPr>
                  </w:pPr>
                  <w:r>
                    <w:rPr>
                      <w:rFonts w:hint="eastAsia"/>
                      <w:color w:val="auto"/>
                      <w:szCs w:val="21"/>
                    </w:rPr>
                    <w:t>6</w:t>
                  </w:r>
                </w:p>
              </w:tc>
              <w:tc>
                <w:tcPr>
                  <w:tcW w:w="217" w:type="pct"/>
                  <w:vMerge w:val="continue"/>
                  <w:vAlign w:val="center"/>
                </w:tcPr>
                <w:p w14:paraId="6C9EE5FD">
                  <w:pPr>
                    <w:adjustRightInd w:val="0"/>
                    <w:snapToGrid w:val="0"/>
                    <w:jc w:val="center"/>
                    <w:rPr>
                      <w:color w:val="auto"/>
                      <w:szCs w:val="21"/>
                    </w:rPr>
                  </w:pPr>
                </w:p>
              </w:tc>
              <w:tc>
                <w:tcPr>
                  <w:tcW w:w="433" w:type="pct"/>
                  <w:vAlign w:val="center"/>
                </w:tcPr>
                <w:p w14:paraId="61C42280">
                  <w:pPr>
                    <w:pStyle w:val="477"/>
                    <w:spacing w:after="0"/>
                    <w:rPr>
                      <w:color w:val="auto"/>
                      <w:szCs w:val="21"/>
                    </w:rPr>
                  </w:pPr>
                  <w:r>
                    <w:rPr>
                      <w:color w:val="auto"/>
                      <w:kern w:val="0"/>
                      <w:szCs w:val="21"/>
                      <w:lang w:bidi="ar"/>
                    </w:rPr>
                    <w:t>打磨工位</w:t>
                  </w:r>
                </w:p>
              </w:tc>
              <w:tc>
                <w:tcPr>
                  <w:tcW w:w="135" w:type="pct"/>
                  <w:vAlign w:val="center"/>
                </w:tcPr>
                <w:p w14:paraId="13BAEBB7">
                  <w:pPr>
                    <w:widowControl/>
                    <w:jc w:val="center"/>
                    <w:rPr>
                      <w:color w:val="auto"/>
                      <w:szCs w:val="21"/>
                    </w:rPr>
                  </w:pPr>
                  <w:r>
                    <w:rPr>
                      <w:rFonts w:hint="eastAsia"/>
                      <w:color w:val="auto"/>
                      <w:szCs w:val="21"/>
                    </w:rPr>
                    <w:t>36</w:t>
                  </w:r>
                </w:p>
              </w:tc>
              <w:tc>
                <w:tcPr>
                  <w:tcW w:w="1013" w:type="pct"/>
                  <w:vAlign w:val="center"/>
                </w:tcPr>
                <w:p w14:paraId="463747A0">
                  <w:pPr>
                    <w:widowControl/>
                    <w:jc w:val="center"/>
                    <w:rPr>
                      <w:color w:val="auto"/>
                      <w:szCs w:val="21"/>
                    </w:rPr>
                  </w:pPr>
                  <w:r>
                    <w:rPr>
                      <w:rFonts w:hint="eastAsia"/>
                      <w:color w:val="auto"/>
                      <w:szCs w:val="21"/>
                    </w:rPr>
                    <w:t>/</w:t>
                  </w:r>
                </w:p>
              </w:tc>
              <w:tc>
                <w:tcPr>
                  <w:tcW w:w="377" w:type="pct"/>
                  <w:vAlign w:val="center"/>
                </w:tcPr>
                <w:p w14:paraId="5326E156">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C773E5B">
                  <w:pPr>
                    <w:pStyle w:val="477"/>
                    <w:spacing w:after="0"/>
                    <w:rPr>
                      <w:color w:val="auto"/>
                      <w:szCs w:val="21"/>
                    </w:rPr>
                  </w:pPr>
                </w:p>
              </w:tc>
              <w:tc>
                <w:tcPr>
                  <w:tcW w:w="154" w:type="pct"/>
                  <w:tcMar>
                    <w:left w:w="0" w:type="dxa"/>
                    <w:right w:w="0" w:type="dxa"/>
                  </w:tcMar>
                  <w:vAlign w:val="center"/>
                </w:tcPr>
                <w:p w14:paraId="2509B0E6">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69303AF0">
                  <w:pPr>
                    <w:pStyle w:val="477"/>
                    <w:spacing w:after="0"/>
                    <w:rPr>
                      <w:color w:val="auto"/>
                      <w:szCs w:val="21"/>
                    </w:rPr>
                  </w:pPr>
                  <w:r>
                    <w:rPr>
                      <w:rFonts w:hint="eastAsia"/>
                      <w:color w:val="auto"/>
                      <w:szCs w:val="21"/>
                    </w:rPr>
                    <w:t>100</w:t>
                  </w:r>
                </w:p>
              </w:tc>
              <w:tc>
                <w:tcPr>
                  <w:tcW w:w="153" w:type="pct"/>
                  <w:vAlign w:val="center"/>
                </w:tcPr>
                <w:p w14:paraId="700E54F7">
                  <w:pPr>
                    <w:jc w:val="center"/>
                    <w:rPr>
                      <w:color w:val="auto"/>
                      <w:szCs w:val="21"/>
                    </w:rPr>
                  </w:pPr>
                  <w:r>
                    <w:rPr>
                      <w:rFonts w:hint="eastAsia"/>
                      <w:color w:val="auto"/>
                      <w:szCs w:val="21"/>
                    </w:rPr>
                    <w:t>1.5</w:t>
                  </w:r>
                </w:p>
              </w:tc>
              <w:tc>
                <w:tcPr>
                  <w:tcW w:w="354" w:type="pct"/>
                  <w:tcMar>
                    <w:left w:w="0" w:type="dxa"/>
                    <w:right w:w="0" w:type="dxa"/>
                  </w:tcMar>
                  <w:vAlign w:val="center"/>
                </w:tcPr>
                <w:p w14:paraId="17C9BF73">
                  <w:pPr>
                    <w:pStyle w:val="477"/>
                    <w:spacing w:after="0"/>
                    <w:rPr>
                      <w:color w:val="auto"/>
                      <w:szCs w:val="21"/>
                    </w:rPr>
                  </w:pPr>
                  <w:r>
                    <w:rPr>
                      <w:rFonts w:hint="eastAsia"/>
                      <w:color w:val="auto"/>
                      <w:szCs w:val="21"/>
                    </w:rPr>
                    <w:t>8</w:t>
                  </w:r>
                </w:p>
              </w:tc>
              <w:tc>
                <w:tcPr>
                  <w:tcW w:w="415" w:type="pct"/>
                  <w:tcMar>
                    <w:left w:w="0" w:type="dxa"/>
                    <w:right w:w="0" w:type="dxa"/>
                  </w:tcMar>
                  <w:vAlign w:val="center"/>
                </w:tcPr>
                <w:p w14:paraId="6CAB8E3E">
                  <w:pPr>
                    <w:jc w:val="center"/>
                    <w:rPr>
                      <w:color w:val="auto"/>
                      <w:szCs w:val="21"/>
                    </w:rPr>
                  </w:pPr>
                  <w:r>
                    <w:rPr>
                      <w:rFonts w:hint="eastAsia"/>
                      <w:color w:val="auto"/>
                      <w:szCs w:val="21"/>
                    </w:rPr>
                    <w:t>48.7</w:t>
                  </w:r>
                </w:p>
              </w:tc>
              <w:tc>
                <w:tcPr>
                  <w:tcW w:w="184" w:type="pct"/>
                  <w:tcMar>
                    <w:left w:w="0" w:type="dxa"/>
                    <w:right w:w="0" w:type="dxa"/>
                  </w:tcMar>
                  <w:vAlign w:val="center"/>
                </w:tcPr>
                <w:p w14:paraId="235A244A">
                  <w:pPr>
                    <w:jc w:val="center"/>
                    <w:rPr>
                      <w:color w:val="auto"/>
                      <w:szCs w:val="21"/>
                    </w:rPr>
                  </w:pPr>
                  <w:r>
                    <w:rPr>
                      <w:color w:val="auto"/>
                      <w:szCs w:val="21"/>
                    </w:rPr>
                    <w:t>昼</w:t>
                  </w:r>
                </w:p>
              </w:tc>
              <w:tc>
                <w:tcPr>
                  <w:tcW w:w="442" w:type="pct"/>
                  <w:tcMar>
                    <w:left w:w="0" w:type="dxa"/>
                    <w:right w:w="0" w:type="dxa"/>
                  </w:tcMar>
                  <w:vAlign w:val="center"/>
                </w:tcPr>
                <w:p w14:paraId="214E167F">
                  <w:pPr>
                    <w:jc w:val="center"/>
                    <w:rPr>
                      <w:color w:val="auto"/>
                      <w:szCs w:val="21"/>
                    </w:rPr>
                  </w:pPr>
                  <w:r>
                    <w:rPr>
                      <w:rFonts w:hint="eastAsia"/>
                      <w:color w:val="auto"/>
                      <w:szCs w:val="21"/>
                    </w:rPr>
                    <w:t>25</w:t>
                  </w:r>
                </w:p>
              </w:tc>
              <w:tc>
                <w:tcPr>
                  <w:tcW w:w="350" w:type="pct"/>
                  <w:vAlign w:val="center"/>
                </w:tcPr>
                <w:p w14:paraId="582D2227">
                  <w:pPr>
                    <w:widowControl/>
                    <w:adjustRightInd w:val="0"/>
                    <w:snapToGrid w:val="0"/>
                    <w:jc w:val="center"/>
                    <w:rPr>
                      <w:color w:val="auto"/>
                      <w:szCs w:val="21"/>
                    </w:rPr>
                  </w:pPr>
                  <w:r>
                    <w:rPr>
                      <w:rFonts w:hint="eastAsia" w:eastAsiaTheme="minorEastAsia"/>
                      <w:bCs/>
                      <w:color w:val="auto"/>
                      <w:kern w:val="0"/>
                      <w:szCs w:val="21"/>
                      <w:lang w:bidi="en-US"/>
                    </w:rPr>
                    <w:t>21</w:t>
                  </w:r>
                </w:p>
              </w:tc>
              <w:tc>
                <w:tcPr>
                  <w:tcW w:w="247" w:type="pct"/>
                  <w:vAlign w:val="center"/>
                </w:tcPr>
                <w:p w14:paraId="20F9CA60">
                  <w:pPr>
                    <w:pStyle w:val="477"/>
                    <w:spacing w:after="0"/>
                    <w:rPr>
                      <w:color w:val="auto"/>
                      <w:szCs w:val="21"/>
                    </w:rPr>
                  </w:pPr>
                  <w:r>
                    <w:rPr>
                      <w:color w:val="auto"/>
                      <w:szCs w:val="21"/>
                    </w:rPr>
                    <w:t>1</w:t>
                  </w:r>
                </w:p>
              </w:tc>
            </w:tr>
            <w:tr w14:paraId="6F558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F10245A">
                  <w:pPr>
                    <w:pStyle w:val="477"/>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p>
              </w:tc>
              <w:tc>
                <w:tcPr>
                  <w:tcW w:w="217" w:type="pct"/>
                  <w:vMerge w:val="continue"/>
                  <w:vAlign w:val="center"/>
                </w:tcPr>
                <w:p w14:paraId="1D2CD13A">
                  <w:pPr>
                    <w:adjustRightInd w:val="0"/>
                    <w:snapToGrid w:val="0"/>
                    <w:jc w:val="center"/>
                    <w:rPr>
                      <w:color w:val="auto"/>
                      <w:szCs w:val="21"/>
                    </w:rPr>
                  </w:pPr>
                </w:p>
              </w:tc>
              <w:tc>
                <w:tcPr>
                  <w:tcW w:w="433" w:type="pct"/>
                  <w:vAlign w:val="center"/>
                </w:tcPr>
                <w:p w14:paraId="103879F3">
                  <w:pPr>
                    <w:pStyle w:val="477"/>
                    <w:spacing w:after="0"/>
                    <w:rPr>
                      <w:rFonts w:hint="eastAsia" w:eastAsia="宋体"/>
                      <w:color w:val="auto"/>
                      <w:kern w:val="0"/>
                      <w:szCs w:val="21"/>
                      <w:lang w:val="en-US" w:eastAsia="zh-CN" w:bidi="ar"/>
                    </w:rPr>
                  </w:pPr>
                  <w:r>
                    <w:rPr>
                      <w:rFonts w:hint="eastAsia"/>
                      <w:color w:val="auto"/>
                      <w:kern w:val="0"/>
                      <w:szCs w:val="21"/>
                      <w:lang w:val="en-US" w:eastAsia="zh-CN" w:bidi="ar"/>
                    </w:rPr>
                    <w:t>抛丸机</w:t>
                  </w:r>
                </w:p>
              </w:tc>
              <w:tc>
                <w:tcPr>
                  <w:tcW w:w="135" w:type="pct"/>
                  <w:vAlign w:val="center"/>
                </w:tcPr>
                <w:p w14:paraId="6B3455E7">
                  <w:pPr>
                    <w:widowControl/>
                    <w:jc w:val="center"/>
                    <w:rPr>
                      <w:rFonts w:hint="eastAsia" w:eastAsia="宋体"/>
                      <w:color w:val="auto"/>
                      <w:szCs w:val="21"/>
                      <w:lang w:val="en-US" w:eastAsia="zh-CN"/>
                    </w:rPr>
                  </w:pPr>
                  <w:r>
                    <w:rPr>
                      <w:rFonts w:hint="eastAsia"/>
                      <w:color w:val="auto"/>
                      <w:szCs w:val="21"/>
                      <w:lang w:val="en-US" w:eastAsia="zh-CN"/>
                    </w:rPr>
                    <w:t>1</w:t>
                  </w:r>
                </w:p>
              </w:tc>
              <w:tc>
                <w:tcPr>
                  <w:tcW w:w="1013" w:type="pct"/>
                  <w:vAlign w:val="center"/>
                </w:tcPr>
                <w:p w14:paraId="63638887">
                  <w:pPr>
                    <w:widowControl/>
                    <w:jc w:val="center"/>
                    <w:rPr>
                      <w:rFonts w:hint="eastAsia" w:eastAsia="宋体"/>
                      <w:color w:val="auto"/>
                      <w:szCs w:val="21"/>
                      <w:lang w:val="en-US" w:eastAsia="zh-CN"/>
                    </w:rPr>
                  </w:pPr>
                  <w:r>
                    <w:rPr>
                      <w:rFonts w:hint="eastAsia"/>
                      <w:color w:val="auto"/>
                      <w:szCs w:val="21"/>
                      <w:lang w:val="en-US" w:eastAsia="zh-CN"/>
                    </w:rPr>
                    <w:t>定制</w:t>
                  </w:r>
                </w:p>
              </w:tc>
              <w:tc>
                <w:tcPr>
                  <w:tcW w:w="377" w:type="pct"/>
                  <w:vAlign w:val="center"/>
                </w:tcPr>
                <w:p w14:paraId="1439F5EE">
                  <w:pPr>
                    <w:adjustRightInd w:val="0"/>
                    <w:snapToGrid w:val="0"/>
                    <w:jc w:val="center"/>
                    <w:rPr>
                      <w:rFonts w:hint="default" w:eastAsia="宋体"/>
                      <w:color w:val="auto"/>
                      <w:szCs w:val="21"/>
                      <w:lang w:val="en-US" w:eastAsia="zh-CN"/>
                    </w:rPr>
                  </w:pPr>
                  <w:r>
                    <w:rPr>
                      <w:rFonts w:hint="eastAsia"/>
                      <w:color w:val="auto"/>
                      <w:szCs w:val="21"/>
                      <w:lang w:val="en-US" w:eastAsia="zh-CN"/>
                    </w:rPr>
                    <w:t>85</w:t>
                  </w:r>
                </w:p>
              </w:tc>
              <w:tc>
                <w:tcPr>
                  <w:tcW w:w="246" w:type="pct"/>
                  <w:vMerge w:val="continue"/>
                  <w:vAlign w:val="center"/>
                </w:tcPr>
                <w:p w14:paraId="50C5CC1F">
                  <w:pPr>
                    <w:pStyle w:val="477"/>
                    <w:spacing w:after="0"/>
                    <w:rPr>
                      <w:color w:val="auto"/>
                      <w:szCs w:val="21"/>
                    </w:rPr>
                  </w:pPr>
                </w:p>
              </w:tc>
              <w:tc>
                <w:tcPr>
                  <w:tcW w:w="154" w:type="pct"/>
                  <w:tcMar>
                    <w:left w:w="0" w:type="dxa"/>
                    <w:right w:w="0" w:type="dxa"/>
                  </w:tcMar>
                  <w:vAlign w:val="center"/>
                </w:tcPr>
                <w:p w14:paraId="05118847">
                  <w:pPr>
                    <w:pStyle w:val="477"/>
                    <w:spacing w:after="0"/>
                    <w:rPr>
                      <w:rFonts w:hint="default" w:eastAsia="宋体"/>
                      <w:color w:val="auto"/>
                      <w:szCs w:val="21"/>
                      <w:lang w:val="en-US" w:eastAsia="zh-CN"/>
                    </w:rPr>
                  </w:pPr>
                  <w:r>
                    <w:rPr>
                      <w:rFonts w:hint="eastAsia"/>
                      <w:color w:val="auto"/>
                      <w:szCs w:val="21"/>
                      <w:lang w:val="en-US" w:eastAsia="zh-CN"/>
                    </w:rPr>
                    <w:t>165</w:t>
                  </w:r>
                </w:p>
              </w:tc>
              <w:tc>
                <w:tcPr>
                  <w:tcW w:w="154" w:type="pct"/>
                  <w:tcMar>
                    <w:left w:w="0" w:type="dxa"/>
                    <w:right w:w="0" w:type="dxa"/>
                  </w:tcMar>
                  <w:vAlign w:val="center"/>
                </w:tcPr>
                <w:p w14:paraId="3EF29528">
                  <w:pPr>
                    <w:pStyle w:val="477"/>
                    <w:spacing w:after="0"/>
                    <w:rPr>
                      <w:rFonts w:hint="default" w:eastAsia="宋体"/>
                      <w:color w:val="auto"/>
                      <w:szCs w:val="21"/>
                      <w:lang w:val="en-US" w:eastAsia="zh-CN"/>
                    </w:rPr>
                  </w:pPr>
                  <w:r>
                    <w:rPr>
                      <w:rFonts w:hint="eastAsia"/>
                      <w:color w:val="auto"/>
                      <w:szCs w:val="21"/>
                      <w:lang w:val="en-US" w:eastAsia="zh-CN"/>
                    </w:rPr>
                    <w:t>95</w:t>
                  </w:r>
                </w:p>
              </w:tc>
              <w:tc>
                <w:tcPr>
                  <w:tcW w:w="153" w:type="pct"/>
                  <w:vAlign w:val="center"/>
                </w:tcPr>
                <w:p w14:paraId="2AC46E19">
                  <w:pPr>
                    <w:jc w:val="center"/>
                    <w:rPr>
                      <w:rFonts w:hint="default" w:eastAsia="宋体"/>
                      <w:color w:val="auto"/>
                      <w:szCs w:val="21"/>
                      <w:lang w:val="en-US" w:eastAsia="zh-CN"/>
                    </w:rPr>
                  </w:pPr>
                  <w:r>
                    <w:rPr>
                      <w:rFonts w:hint="eastAsia"/>
                      <w:color w:val="auto"/>
                      <w:szCs w:val="21"/>
                      <w:lang w:val="en-US" w:eastAsia="zh-CN"/>
                    </w:rPr>
                    <w:t>1.5</w:t>
                  </w:r>
                </w:p>
              </w:tc>
              <w:tc>
                <w:tcPr>
                  <w:tcW w:w="354" w:type="pct"/>
                  <w:tcMar>
                    <w:left w:w="0" w:type="dxa"/>
                    <w:right w:w="0" w:type="dxa"/>
                  </w:tcMar>
                  <w:vAlign w:val="center"/>
                </w:tcPr>
                <w:p w14:paraId="67A651FA">
                  <w:pPr>
                    <w:pStyle w:val="477"/>
                    <w:spacing w:after="0"/>
                    <w:rPr>
                      <w:rFonts w:hint="default" w:eastAsia="宋体"/>
                      <w:color w:val="auto"/>
                      <w:szCs w:val="21"/>
                      <w:lang w:val="en-US" w:eastAsia="zh-CN"/>
                    </w:rPr>
                  </w:pPr>
                  <w:r>
                    <w:rPr>
                      <w:rFonts w:hint="eastAsia"/>
                      <w:color w:val="auto"/>
                      <w:szCs w:val="21"/>
                      <w:lang w:val="en-US" w:eastAsia="zh-CN"/>
                    </w:rPr>
                    <w:t>13</w:t>
                  </w:r>
                </w:p>
              </w:tc>
              <w:tc>
                <w:tcPr>
                  <w:tcW w:w="415" w:type="pct"/>
                  <w:tcMar>
                    <w:left w:w="0" w:type="dxa"/>
                    <w:right w:w="0" w:type="dxa"/>
                  </w:tcMar>
                  <w:vAlign w:val="center"/>
                </w:tcPr>
                <w:p w14:paraId="3A707CFE">
                  <w:pPr>
                    <w:jc w:val="center"/>
                    <w:rPr>
                      <w:rFonts w:hint="default" w:eastAsia="宋体"/>
                      <w:color w:val="auto"/>
                      <w:szCs w:val="21"/>
                      <w:lang w:val="en-US" w:eastAsia="zh-CN"/>
                    </w:rPr>
                  </w:pPr>
                  <w:r>
                    <w:rPr>
                      <w:rFonts w:hint="eastAsia"/>
                      <w:color w:val="auto"/>
                      <w:szCs w:val="21"/>
                      <w:lang w:val="en-US" w:eastAsia="zh-CN"/>
                    </w:rPr>
                    <w:t>49.8</w:t>
                  </w:r>
                </w:p>
              </w:tc>
              <w:tc>
                <w:tcPr>
                  <w:tcW w:w="184" w:type="pct"/>
                  <w:tcMar>
                    <w:left w:w="0" w:type="dxa"/>
                    <w:right w:w="0" w:type="dxa"/>
                  </w:tcMar>
                  <w:vAlign w:val="center"/>
                </w:tcPr>
                <w:p w14:paraId="5E34052E">
                  <w:pPr>
                    <w:jc w:val="center"/>
                    <w:rPr>
                      <w:rFonts w:hint="eastAsia" w:eastAsia="宋体"/>
                      <w:color w:val="auto"/>
                      <w:szCs w:val="21"/>
                      <w:lang w:val="en-US" w:eastAsia="zh-CN"/>
                    </w:rPr>
                  </w:pPr>
                  <w:r>
                    <w:rPr>
                      <w:rFonts w:hint="eastAsia"/>
                      <w:color w:val="auto"/>
                      <w:szCs w:val="21"/>
                      <w:lang w:val="en-US" w:eastAsia="zh-CN"/>
                    </w:rPr>
                    <w:t>昼</w:t>
                  </w:r>
                </w:p>
              </w:tc>
              <w:tc>
                <w:tcPr>
                  <w:tcW w:w="442" w:type="pct"/>
                  <w:tcMar>
                    <w:left w:w="0" w:type="dxa"/>
                    <w:right w:w="0" w:type="dxa"/>
                  </w:tcMar>
                  <w:vAlign w:val="center"/>
                </w:tcPr>
                <w:p w14:paraId="78DCAD9A">
                  <w:pPr>
                    <w:jc w:val="center"/>
                    <w:rPr>
                      <w:rFonts w:hint="default" w:eastAsia="宋体"/>
                      <w:color w:val="auto"/>
                      <w:szCs w:val="21"/>
                      <w:lang w:val="en-US" w:eastAsia="zh-CN"/>
                    </w:rPr>
                  </w:pPr>
                  <w:r>
                    <w:rPr>
                      <w:rFonts w:hint="eastAsia"/>
                      <w:color w:val="auto"/>
                      <w:szCs w:val="21"/>
                      <w:lang w:val="en-US" w:eastAsia="zh-CN"/>
                    </w:rPr>
                    <w:t>25</w:t>
                  </w:r>
                </w:p>
              </w:tc>
              <w:tc>
                <w:tcPr>
                  <w:tcW w:w="350" w:type="pct"/>
                  <w:vAlign w:val="center"/>
                </w:tcPr>
                <w:p w14:paraId="1E8112B1">
                  <w:pPr>
                    <w:widowControl/>
                    <w:adjustRightInd w:val="0"/>
                    <w:snapToGrid w:val="0"/>
                    <w:jc w:val="center"/>
                    <w:rPr>
                      <w:rFonts w:hint="default" w:eastAsiaTheme="minorEastAsia"/>
                      <w:bCs/>
                      <w:color w:val="auto"/>
                      <w:kern w:val="0"/>
                      <w:szCs w:val="21"/>
                      <w:lang w:val="en-US" w:eastAsia="zh-CN" w:bidi="en-US"/>
                    </w:rPr>
                  </w:pPr>
                  <w:r>
                    <w:rPr>
                      <w:rFonts w:hint="eastAsia" w:eastAsiaTheme="minorEastAsia"/>
                      <w:bCs/>
                      <w:color w:val="auto"/>
                      <w:kern w:val="0"/>
                      <w:szCs w:val="21"/>
                      <w:lang w:val="en-US" w:eastAsia="zh-CN" w:bidi="en-US"/>
                    </w:rPr>
                    <w:t>25</w:t>
                  </w:r>
                </w:p>
              </w:tc>
              <w:tc>
                <w:tcPr>
                  <w:tcW w:w="247" w:type="pct"/>
                  <w:vAlign w:val="center"/>
                </w:tcPr>
                <w:p w14:paraId="4D227846">
                  <w:pPr>
                    <w:pStyle w:val="477"/>
                    <w:spacing w:after="0"/>
                    <w:rPr>
                      <w:rFonts w:hint="eastAsia" w:eastAsia="宋体"/>
                      <w:color w:val="auto"/>
                      <w:szCs w:val="21"/>
                      <w:lang w:val="en-US" w:eastAsia="zh-CN"/>
                    </w:rPr>
                  </w:pPr>
                  <w:r>
                    <w:rPr>
                      <w:rFonts w:hint="eastAsia"/>
                      <w:color w:val="auto"/>
                      <w:szCs w:val="21"/>
                      <w:lang w:val="en-US" w:eastAsia="zh-CN"/>
                    </w:rPr>
                    <w:t>1</w:t>
                  </w:r>
                </w:p>
              </w:tc>
            </w:tr>
            <w:tr w14:paraId="60916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2A92B571">
                  <w:pPr>
                    <w:pStyle w:val="477"/>
                    <w:spacing w:after="0"/>
                    <w:rPr>
                      <w:rFonts w:ascii="Times New Roman" w:hAnsi="Times New Roman" w:eastAsia="宋体" w:cs="Times New Roman"/>
                      <w:color w:val="auto"/>
                      <w:kern w:val="2"/>
                      <w:sz w:val="21"/>
                      <w:szCs w:val="21"/>
                      <w:lang w:val="en-US" w:eastAsia="zh-CN" w:bidi="ar-SA"/>
                    </w:rPr>
                  </w:pPr>
                  <w:r>
                    <w:rPr>
                      <w:rFonts w:hint="eastAsia"/>
                      <w:color w:val="auto"/>
                      <w:szCs w:val="21"/>
                    </w:rPr>
                    <w:t>8</w:t>
                  </w:r>
                </w:p>
              </w:tc>
              <w:tc>
                <w:tcPr>
                  <w:tcW w:w="217" w:type="pct"/>
                  <w:vMerge w:val="continue"/>
                  <w:vAlign w:val="center"/>
                </w:tcPr>
                <w:p w14:paraId="01ABFB51">
                  <w:pPr>
                    <w:adjustRightInd w:val="0"/>
                    <w:snapToGrid w:val="0"/>
                    <w:jc w:val="center"/>
                    <w:rPr>
                      <w:color w:val="auto"/>
                      <w:szCs w:val="21"/>
                    </w:rPr>
                  </w:pPr>
                </w:p>
              </w:tc>
              <w:tc>
                <w:tcPr>
                  <w:tcW w:w="433" w:type="pct"/>
                  <w:vAlign w:val="center"/>
                </w:tcPr>
                <w:p w14:paraId="567BDAFA">
                  <w:pPr>
                    <w:pStyle w:val="477"/>
                    <w:spacing w:after="0"/>
                    <w:rPr>
                      <w:color w:val="auto"/>
                      <w:szCs w:val="21"/>
                    </w:rPr>
                  </w:pPr>
                  <w:r>
                    <w:rPr>
                      <w:color w:val="auto"/>
                      <w:kern w:val="0"/>
                      <w:szCs w:val="21"/>
                      <w:lang w:bidi="ar"/>
                    </w:rPr>
                    <w:t>环保湿式抛光一体机</w:t>
                  </w:r>
                </w:p>
              </w:tc>
              <w:tc>
                <w:tcPr>
                  <w:tcW w:w="135" w:type="pct"/>
                  <w:vAlign w:val="center"/>
                </w:tcPr>
                <w:p w14:paraId="075FB5EE">
                  <w:pPr>
                    <w:widowControl/>
                    <w:jc w:val="center"/>
                    <w:rPr>
                      <w:color w:val="auto"/>
                      <w:szCs w:val="21"/>
                    </w:rPr>
                  </w:pPr>
                  <w:r>
                    <w:rPr>
                      <w:rFonts w:hint="eastAsia"/>
                      <w:color w:val="auto"/>
                      <w:szCs w:val="21"/>
                    </w:rPr>
                    <w:t>6</w:t>
                  </w:r>
                </w:p>
              </w:tc>
              <w:tc>
                <w:tcPr>
                  <w:tcW w:w="1013" w:type="pct"/>
                  <w:vAlign w:val="center"/>
                </w:tcPr>
                <w:p w14:paraId="629F3DDD">
                  <w:pPr>
                    <w:widowControl/>
                    <w:jc w:val="center"/>
                    <w:rPr>
                      <w:color w:val="auto"/>
                      <w:szCs w:val="21"/>
                    </w:rPr>
                  </w:pPr>
                  <w:r>
                    <w:rPr>
                      <w:rFonts w:hint="eastAsia"/>
                      <w:color w:val="auto"/>
                      <w:szCs w:val="21"/>
                    </w:rPr>
                    <w:t>/</w:t>
                  </w:r>
                </w:p>
              </w:tc>
              <w:tc>
                <w:tcPr>
                  <w:tcW w:w="377" w:type="pct"/>
                  <w:vAlign w:val="center"/>
                </w:tcPr>
                <w:p w14:paraId="0ED2B2DC">
                  <w:pPr>
                    <w:adjustRightInd w:val="0"/>
                    <w:snapToGrid w:val="0"/>
                    <w:jc w:val="center"/>
                    <w:rPr>
                      <w:color w:val="auto"/>
                      <w:szCs w:val="21"/>
                    </w:rPr>
                  </w:pPr>
                  <w:r>
                    <w:rPr>
                      <w:color w:val="auto"/>
                      <w:szCs w:val="21"/>
                    </w:rPr>
                    <w:t>85</w:t>
                  </w:r>
                </w:p>
              </w:tc>
              <w:tc>
                <w:tcPr>
                  <w:tcW w:w="246" w:type="pct"/>
                  <w:vMerge w:val="continue"/>
                  <w:vAlign w:val="center"/>
                </w:tcPr>
                <w:p w14:paraId="70455662">
                  <w:pPr>
                    <w:pStyle w:val="477"/>
                    <w:spacing w:after="0"/>
                    <w:rPr>
                      <w:color w:val="auto"/>
                      <w:szCs w:val="21"/>
                    </w:rPr>
                  </w:pPr>
                </w:p>
              </w:tc>
              <w:tc>
                <w:tcPr>
                  <w:tcW w:w="154" w:type="pct"/>
                  <w:tcMar>
                    <w:left w:w="0" w:type="dxa"/>
                    <w:right w:w="0" w:type="dxa"/>
                  </w:tcMar>
                  <w:vAlign w:val="center"/>
                </w:tcPr>
                <w:p w14:paraId="67589D32">
                  <w:pPr>
                    <w:pStyle w:val="477"/>
                    <w:spacing w:after="0"/>
                    <w:rPr>
                      <w:color w:val="auto"/>
                      <w:szCs w:val="21"/>
                    </w:rPr>
                  </w:pPr>
                  <w:r>
                    <w:rPr>
                      <w:rFonts w:hint="eastAsia"/>
                      <w:color w:val="auto"/>
                      <w:szCs w:val="21"/>
                    </w:rPr>
                    <w:t>185</w:t>
                  </w:r>
                </w:p>
              </w:tc>
              <w:tc>
                <w:tcPr>
                  <w:tcW w:w="154" w:type="pct"/>
                  <w:tcMar>
                    <w:left w:w="0" w:type="dxa"/>
                    <w:right w:w="0" w:type="dxa"/>
                  </w:tcMar>
                  <w:vAlign w:val="center"/>
                </w:tcPr>
                <w:p w14:paraId="572343E6">
                  <w:pPr>
                    <w:pStyle w:val="477"/>
                    <w:spacing w:after="0"/>
                    <w:rPr>
                      <w:color w:val="auto"/>
                      <w:szCs w:val="21"/>
                    </w:rPr>
                  </w:pPr>
                  <w:r>
                    <w:rPr>
                      <w:rFonts w:hint="eastAsia"/>
                      <w:color w:val="auto"/>
                      <w:szCs w:val="21"/>
                    </w:rPr>
                    <w:t>100</w:t>
                  </w:r>
                </w:p>
              </w:tc>
              <w:tc>
                <w:tcPr>
                  <w:tcW w:w="153" w:type="pct"/>
                  <w:vAlign w:val="center"/>
                </w:tcPr>
                <w:p w14:paraId="10E88284">
                  <w:pPr>
                    <w:jc w:val="center"/>
                    <w:rPr>
                      <w:color w:val="auto"/>
                      <w:szCs w:val="21"/>
                    </w:rPr>
                  </w:pPr>
                  <w:r>
                    <w:rPr>
                      <w:rFonts w:hint="eastAsia"/>
                      <w:color w:val="auto"/>
                      <w:szCs w:val="21"/>
                    </w:rPr>
                    <w:t>1.5</w:t>
                  </w:r>
                </w:p>
              </w:tc>
              <w:tc>
                <w:tcPr>
                  <w:tcW w:w="354" w:type="pct"/>
                  <w:tcMar>
                    <w:left w:w="0" w:type="dxa"/>
                    <w:right w:w="0" w:type="dxa"/>
                  </w:tcMar>
                  <w:vAlign w:val="center"/>
                </w:tcPr>
                <w:p w14:paraId="26F782BF">
                  <w:pPr>
                    <w:pStyle w:val="477"/>
                    <w:spacing w:after="0"/>
                    <w:rPr>
                      <w:color w:val="auto"/>
                      <w:szCs w:val="21"/>
                    </w:rPr>
                  </w:pPr>
                  <w:r>
                    <w:rPr>
                      <w:rFonts w:hint="eastAsia"/>
                      <w:color w:val="auto"/>
                      <w:szCs w:val="21"/>
                    </w:rPr>
                    <w:t>8</w:t>
                  </w:r>
                </w:p>
              </w:tc>
              <w:tc>
                <w:tcPr>
                  <w:tcW w:w="415" w:type="pct"/>
                  <w:tcMar>
                    <w:left w:w="0" w:type="dxa"/>
                    <w:right w:w="0" w:type="dxa"/>
                  </w:tcMar>
                  <w:vAlign w:val="center"/>
                </w:tcPr>
                <w:p w14:paraId="57B8ADDE">
                  <w:pPr>
                    <w:jc w:val="center"/>
                    <w:rPr>
                      <w:color w:val="auto"/>
                      <w:szCs w:val="21"/>
                    </w:rPr>
                  </w:pPr>
                  <w:r>
                    <w:rPr>
                      <w:rFonts w:hint="eastAsia"/>
                      <w:color w:val="auto"/>
                      <w:szCs w:val="21"/>
                    </w:rPr>
                    <w:t>51</w:t>
                  </w:r>
                </w:p>
              </w:tc>
              <w:tc>
                <w:tcPr>
                  <w:tcW w:w="184" w:type="pct"/>
                  <w:tcMar>
                    <w:left w:w="0" w:type="dxa"/>
                    <w:right w:w="0" w:type="dxa"/>
                  </w:tcMar>
                  <w:vAlign w:val="center"/>
                </w:tcPr>
                <w:p w14:paraId="3EF64A08">
                  <w:pPr>
                    <w:jc w:val="center"/>
                    <w:rPr>
                      <w:color w:val="auto"/>
                      <w:szCs w:val="21"/>
                    </w:rPr>
                  </w:pPr>
                  <w:r>
                    <w:rPr>
                      <w:color w:val="auto"/>
                      <w:szCs w:val="21"/>
                    </w:rPr>
                    <w:t>昼</w:t>
                  </w:r>
                </w:p>
              </w:tc>
              <w:tc>
                <w:tcPr>
                  <w:tcW w:w="442" w:type="pct"/>
                  <w:tcMar>
                    <w:left w:w="0" w:type="dxa"/>
                    <w:right w:w="0" w:type="dxa"/>
                  </w:tcMar>
                  <w:vAlign w:val="center"/>
                </w:tcPr>
                <w:p w14:paraId="2FC742CE">
                  <w:pPr>
                    <w:jc w:val="center"/>
                    <w:rPr>
                      <w:color w:val="auto"/>
                      <w:szCs w:val="21"/>
                    </w:rPr>
                  </w:pPr>
                  <w:r>
                    <w:rPr>
                      <w:rFonts w:hint="eastAsia"/>
                      <w:color w:val="auto"/>
                      <w:szCs w:val="21"/>
                    </w:rPr>
                    <w:t>25</w:t>
                  </w:r>
                </w:p>
              </w:tc>
              <w:tc>
                <w:tcPr>
                  <w:tcW w:w="350" w:type="pct"/>
                  <w:vAlign w:val="center"/>
                </w:tcPr>
                <w:p w14:paraId="60C85452">
                  <w:pPr>
                    <w:widowControl/>
                    <w:adjustRightInd w:val="0"/>
                    <w:snapToGrid w:val="0"/>
                    <w:jc w:val="center"/>
                    <w:rPr>
                      <w:color w:val="auto"/>
                      <w:szCs w:val="21"/>
                    </w:rPr>
                  </w:pPr>
                  <w:r>
                    <w:rPr>
                      <w:rFonts w:hint="eastAsia" w:eastAsiaTheme="minorEastAsia"/>
                      <w:bCs/>
                      <w:color w:val="auto"/>
                      <w:kern w:val="0"/>
                      <w:szCs w:val="21"/>
                      <w:lang w:bidi="en-US"/>
                    </w:rPr>
                    <w:t>2</w:t>
                  </w:r>
                  <w:r>
                    <w:rPr>
                      <w:rFonts w:eastAsiaTheme="minorEastAsia"/>
                      <w:bCs/>
                      <w:color w:val="auto"/>
                      <w:kern w:val="0"/>
                      <w:szCs w:val="21"/>
                      <w:lang w:bidi="en-US"/>
                    </w:rPr>
                    <w:t>6</w:t>
                  </w:r>
                </w:p>
              </w:tc>
              <w:tc>
                <w:tcPr>
                  <w:tcW w:w="247" w:type="pct"/>
                  <w:vAlign w:val="center"/>
                </w:tcPr>
                <w:p w14:paraId="1DD97E9A">
                  <w:pPr>
                    <w:pStyle w:val="477"/>
                    <w:spacing w:after="0"/>
                    <w:rPr>
                      <w:color w:val="auto"/>
                      <w:szCs w:val="21"/>
                    </w:rPr>
                  </w:pPr>
                  <w:r>
                    <w:rPr>
                      <w:color w:val="auto"/>
                      <w:szCs w:val="21"/>
                    </w:rPr>
                    <w:t>1</w:t>
                  </w:r>
                </w:p>
              </w:tc>
            </w:tr>
            <w:tr w14:paraId="28679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7462B56">
                  <w:pPr>
                    <w:pStyle w:val="477"/>
                    <w:spacing w:after="0"/>
                    <w:rPr>
                      <w:rFonts w:ascii="Times New Roman" w:hAnsi="Times New Roman" w:eastAsia="宋体" w:cs="Times New Roman"/>
                      <w:color w:val="auto"/>
                      <w:kern w:val="2"/>
                      <w:sz w:val="21"/>
                      <w:szCs w:val="21"/>
                      <w:lang w:val="en-US" w:eastAsia="zh-CN" w:bidi="ar-SA"/>
                    </w:rPr>
                  </w:pPr>
                  <w:r>
                    <w:rPr>
                      <w:rFonts w:hint="eastAsia"/>
                      <w:color w:val="auto"/>
                      <w:szCs w:val="21"/>
                    </w:rPr>
                    <w:t>9</w:t>
                  </w:r>
                </w:p>
              </w:tc>
              <w:tc>
                <w:tcPr>
                  <w:tcW w:w="217" w:type="pct"/>
                  <w:vMerge w:val="continue"/>
                  <w:vAlign w:val="center"/>
                </w:tcPr>
                <w:p w14:paraId="2F751586">
                  <w:pPr>
                    <w:adjustRightInd w:val="0"/>
                    <w:snapToGrid w:val="0"/>
                    <w:jc w:val="center"/>
                    <w:rPr>
                      <w:color w:val="auto"/>
                      <w:szCs w:val="21"/>
                    </w:rPr>
                  </w:pPr>
                </w:p>
              </w:tc>
              <w:tc>
                <w:tcPr>
                  <w:tcW w:w="433" w:type="pct"/>
                  <w:vAlign w:val="center"/>
                </w:tcPr>
                <w:p w14:paraId="090EE6C3">
                  <w:pPr>
                    <w:pStyle w:val="477"/>
                    <w:spacing w:after="0"/>
                    <w:rPr>
                      <w:color w:val="auto"/>
                      <w:szCs w:val="21"/>
                    </w:rPr>
                  </w:pPr>
                  <w:r>
                    <w:rPr>
                      <w:rFonts w:hint="eastAsia"/>
                      <w:color w:val="auto"/>
                      <w:szCs w:val="21"/>
                    </w:rPr>
                    <w:t>弯管机</w:t>
                  </w:r>
                </w:p>
              </w:tc>
              <w:tc>
                <w:tcPr>
                  <w:tcW w:w="135" w:type="pct"/>
                  <w:vAlign w:val="center"/>
                </w:tcPr>
                <w:p w14:paraId="25223089">
                  <w:pPr>
                    <w:widowControl/>
                    <w:jc w:val="center"/>
                    <w:rPr>
                      <w:color w:val="auto"/>
                      <w:szCs w:val="21"/>
                    </w:rPr>
                  </w:pPr>
                  <w:r>
                    <w:rPr>
                      <w:rFonts w:hint="eastAsia"/>
                      <w:color w:val="auto"/>
                      <w:szCs w:val="21"/>
                    </w:rPr>
                    <w:t>1</w:t>
                  </w:r>
                </w:p>
              </w:tc>
              <w:tc>
                <w:tcPr>
                  <w:tcW w:w="1013" w:type="pct"/>
                  <w:vAlign w:val="center"/>
                </w:tcPr>
                <w:p w14:paraId="2748DF4F">
                  <w:pPr>
                    <w:widowControl/>
                    <w:jc w:val="center"/>
                    <w:rPr>
                      <w:color w:val="auto"/>
                      <w:szCs w:val="21"/>
                    </w:rPr>
                  </w:pPr>
                  <w:r>
                    <w:rPr>
                      <w:rFonts w:hint="eastAsia"/>
                      <w:color w:val="auto"/>
                      <w:szCs w:val="21"/>
                    </w:rPr>
                    <w:t>/</w:t>
                  </w:r>
                </w:p>
              </w:tc>
              <w:tc>
                <w:tcPr>
                  <w:tcW w:w="377" w:type="pct"/>
                  <w:vAlign w:val="center"/>
                </w:tcPr>
                <w:p w14:paraId="2DADC65F">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70B16AAB">
                  <w:pPr>
                    <w:pStyle w:val="477"/>
                    <w:spacing w:after="0"/>
                    <w:rPr>
                      <w:color w:val="auto"/>
                      <w:szCs w:val="21"/>
                    </w:rPr>
                  </w:pPr>
                </w:p>
              </w:tc>
              <w:tc>
                <w:tcPr>
                  <w:tcW w:w="154" w:type="pct"/>
                  <w:tcMar>
                    <w:left w:w="0" w:type="dxa"/>
                    <w:right w:w="0" w:type="dxa"/>
                  </w:tcMar>
                  <w:vAlign w:val="center"/>
                </w:tcPr>
                <w:p w14:paraId="610FDCD9">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5219A72D">
                  <w:pPr>
                    <w:pStyle w:val="477"/>
                    <w:spacing w:after="0"/>
                    <w:rPr>
                      <w:color w:val="auto"/>
                      <w:szCs w:val="21"/>
                    </w:rPr>
                  </w:pPr>
                  <w:r>
                    <w:rPr>
                      <w:rFonts w:hint="eastAsia"/>
                      <w:color w:val="auto"/>
                      <w:szCs w:val="21"/>
                    </w:rPr>
                    <w:t>35</w:t>
                  </w:r>
                </w:p>
              </w:tc>
              <w:tc>
                <w:tcPr>
                  <w:tcW w:w="153" w:type="pct"/>
                  <w:vAlign w:val="center"/>
                </w:tcPr>
                <w:p w14:paraId="420EF750">
                  <w:pPr>
                    <w:jc w:val="center"/>
                    <w:rPr>
                      <w:color w:val="auto"/>
                      <w:szCs w:val="21"/>
                    </w:rPr>
                  </w:pPr>
                  <w:r>
                    <w:rPr>
                      <w:rFonts w:hint="eastAsia"/>
                      <w:color w:val="auto"/>
                      <w:szCs w:val="21"/>
                    </w:rPr>
                    <w:t>1.5</w:t>
                  </w:r>
                </w:p>
              </w:tc>
              <w:tc>
                <w:tcPr>
                  <w:tcW w:w="354" w:type="pct"/>
                  <w:tcMar>
                    <w:left w:w="0" w:type="dxa"/>
                    <w:right w:w="0" w:type="dxa"/>
                  </w:tcMar>
                  <w:vAlign w:val="center"/>
                </w:tcPr>
                <w:p w14:paraId="20546DCC">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64B105F1">
                  <w:pPr>
                    <w:jc w:val="center"/>
                    <w:rPr>
                      <w:color w:val="auto"/>
                      <w:szCs w:val="21"/>
                    </w:rPr>
                  </w:pPr>
                  <w:r>
                    <w:rPr>
                      <w:rFonts w:hint="eastAsia"/>
                      <w:color w:val="auto"/>
                      <w:szCs w:val="21"/>
                    </w:rPr>
                    <w:t>52.3</w:t>
                  </w:r>
                </w:p>
              </w:tc>
              <w:tc>
                <w:tcPr>
                  <w:tcW w:w="184" w:type="pct"/>
                  <w:tcMar>
                    <w:left w:w="0" w:type="dxa"/>
                    <w:right w:w="0" w:type="dxa"/>
                  </w:tcMar>
                  <w:vAlign w:val="center"/>
                </w:tcPr>
                <w:p w14:paraId="54A0347B">
                  <w:pPr>
                    <w:jc w:val="center"/>
                    <w:rPr>
                      <w:color w:val="auto"/>
                      <w:szCs w:val="21"/>
                    </w:rPr>
                  </w:pPr>
                  <w:r>
                    <w:rPr>
                      <w:rFonts w:hint="eastAsia"/>
                      <w:color w:val="auto"/>
                      <w:szCs w:val="21"/>
                    </w:rPr>
                    <w:t>昼</w:t>
                  </w:r>
                </w:p>
              </w:tc>
              <w:tc>
                <w:tcPr>
                  <w:tcW w:w="442" w:type="pct"/>
                  <w:tcMar>
                    <w:left w:w="0" w:type="dxa"/>
                    <w:right w:w="0" w:type="dxa"/>
                  </w:tcMar>
                  <w:vAlign w:val="center"/>
                </w:tcPr>
                <w:p w14:paraId="2633827C">
                  <w:pPr>
                    <w:jc w:val="center"/>
                    <w:rPr>
                      <w:color w:val="auto"/>
                      <w:szCs w:val="21"/>
                    </w:rPr>
                  </w:pPr>
                  <w:r>
                    <w:rPr>
                      <w:rFonts w:hint="eastAsia"/>
                      <w:color w:val="auto"/>
                      <w:szCs w:val="21"/>
                    </w:rPr>
                    <w:t>25</w:t>
                  </w:r>
                </w:p>
              </w:tc>
              <w:tc>
                <w:tcPr>
                  <w:tcW w:w="350" w:type="pct"/>
                  <w:vAlign w:val="center"/>
                </w:tcPr>
                <w:p w14:paraId="3CA690F5">
                  <w:pPr>
                    <w:widowControl/>
                    <w:adjustRightInd w:val="0"/>
                    <w:snapToGrid w:val="0"/>
                    <w:jc w:val="center"/>
                    <w:rPr>
                      <w:color w:val="auto"/>
                      <w:szCs w:val="21"/>
                    </w:rPr>
                  </w:pPr>
                  <w:r>
                    <w:rPr>
                      <w:rFonts w:hint="eastAsia" w:eastAsiaTheme="minorEastAsia"/>
                      <w:bCs/>
                      <w:color w:val="auto"/>
                      <w:kern w:val="0"/>
                      <w:szCs w:val="21"/>
                      <w:lang w:bidi="en-US"/>
                    </w:rPr>
                    <w:t>2</w:t>
                  </w:r>
                  <w:r>
                    <w:rPr>
                      <w:rFonts w:eastAsiaTheme="minorEastAsia"/>
                      <w:bCs/>
                      <w:color w:val="auto"/>
                      <w:kern w:val="0"/>
                      <w:szCs w:val="21"/>
                      <w:lang w:bidi="en-US"/>
                    </w:rPr>
                    <w:t>8</w:t>
                  </w:r>
                </w:p>
              </w:tc>
              <w:tc>
                <w:tcPr>
                  <w:tcW w:w="247" w:type="pct"/>
                  <w:vAlign w:val="center"/>
                </w:tcPr>
                <w:p w14:paraId="6ADF2678">
                  <w:pPr>
                    <w:pStyle w:val="477"/>
                    <w:spacing w:after="0"/>
                    <w:rPr>
                      <w:color w:val="auto"/>
                      <w:szCs w:val="21"/>
                    </w:rPr>
                  </w:pPr>
                  <w:r>
                    <w:rPr>
                      <w:color w:val="auto"/>
                      <w:szCs w:val="21"/>
                    </w:rPr>
                    <w:t>1</w:t>
                  </w:r>
                </w:p>
              </w:tc>
            </w:tr>
            <w:tr w14:paraId="138EA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764593EC">
                  <w:pPr>
                    <w:pStyle w:val="477"/>
                    <w:spacing w:after="0"/>
                    <w:rPr>
                      <w:rFonts w:ascii="Times New Roman" w:hAnsi="Times New Roman" w:eastAsia="宋体" w:cs="Times New Roman"/>
                      <w:color w:val="auto"/>
                      <w:kern w:val="2"/>
                      <w:sz w:val="21"/>
                      <w:szCs w:val="21"/>
                      <w:lang w:val="en-US" w:eastAsia="zh-CN" w:bidi="ar-SA"/>
                    </w:rPr>
                  </w:pPr>
                  <w:r>
                    <w:rPr>
                      <w:rFonts w:hint="eastAsia"/>
                      <w:color w:val="auto"/>
                      <w:szCs w:val="21"/>
                    </w:rPr>
                    <w:t>10</w:t>
                  </w:r>
                </w:p>
              </w:tc>
              <w:tc>
                <w:tcPr>
                  <w:tcW w:w="217" w:type="pct"/>
                  <w:vMerge w:val="continue"/>
                  <w:vAlign w:val="center"/>
                </w:tcPr>
                <w:p w14:paraId="753D66AA">
                  <w:pPr>
                    <w:adjustRightInd w:val="0"/>
                    <w:snapToGrid w:val="0"/>
                    <w:jc w:val="center"/>
                    <w:rPr>
                      <w:color w:val="auto"/>
                      <w:szCs w:val="21"/>
                    </w:rPr>
                  </w:pPr>
                </w:p>
              </w:tc>
              <w:tc>
                <w:tcPr>
                  <w:tcW w:w="433" w:type="pct"/>
                  <w:vAlign w:val="center"/>
                </w:tcPr>
                <w:p w14:paraId="652F0BB1">
                  <w:pPr>
                    <w:pStyle w:val="477"/>
                    <w:spacing w:after="0"/>
                    <w:rPr>
                      <w:color w:val="auto"/>
                      <w:szCs w:val="21"/>
                    </w:rPr>
                  </w:pPr>
                  <w:r>
                    <w:rPr>
                      <w:rFonts w:hint="eastAsia"/>
                      <w:color w:val="auto"/>
                      <w:szCs w:val="21"/>
                    </w:rPr>
                    <w:t>切管机</w:t>
                  </w:r>
                </w:p>
              </w:tc>
              <w:tc>
                <w:tcPr>
                  <w:tcW w:w="135" w:type="pct"/>
                  <w:vAlign w:val="center"/>
                </w:tcPr>
                <w:p w14:paraId="51D3CFAB">
                  <w:pPr>
                    <w:widowControl/>
                    <w:jc w:val="center"/>
                    <w:rPr>
                      <w:color w:val="auto"/>
                      <w:szCs w:val="21"/>
                    </w:rPr>
                  </w:pPr>
                  <w:r>
                    <w:rPr>
                      <w:rFonts w:hint="eastAsia"/>
                      <w:color w:val="auto"/>
                      <w:szCs w:val="21"/>
                    </w:rPr>
                    <w:t>1</w:t>
                  </w:r>
                </w:p>
              </w:tc>
              <w:tc>
                <w:tcPr>
                  <w:tcW w:w="1013" w:type="pct"/>
                  <w:vAlign w:val="center"/>
                </w:tcPr>
                <w:p w14:paraId="7D0A8468">
                  <w:pPr>
                    <w:widowControl/>
                    <w:jc w:val="center"/>
                    <w:rPr>
                      <w:color w:val="auto"/>
                      <w:szCs w:val="21"/>
                    </w:rPr>
                  </w:pPr>
                  <w:r>
                    <w:rPr>
                      <w:color w:val="auto"/>
                      <w:kern w:val="0"/>
                      <w:szCs w:val="21"/>
                      <w:lang w:bidi="ar"/>
                    </w:rPr>
                    <w:t>YT-315A</w:t>
                  </w:r>
                </w:p>
              </w:tc>
              <w:tc>
                <w:tcPr>
                  <w:tcW w:w="377" w:type="pct"/>
                  <w:vAlign w:val="center"/>
                </w:tcPr>
                <w:p w14:paraId="78D6813C">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0DF6EA2C">
                  <w:pPr>
                    <w:pStyle w:val="477"/>
                    <w:spacing w:after="0"/>
                    <w:rPr>
                      <w:color w:val="auto"/>
                      <w:szCs w:val="21"/>
                    </w:rPr>
                  </w:pPr>
                </w:p>
              </w:tc>
              <w:tc>
                <w:tcPr>
                  <w:tcW w:w="154" w:type="pct"/>
                  <w:tcMar>
                    <w:left w:w="0" w:type="dxa"/>
                    <w:right w:w="0" w:type="dxa"/>
                  </w:tcMar>
                  <w:vAlign w:val="center"/>
                </w:tcPr>
                <w:p w14:paraId="26B552CE">
                  <w:pPr>
                    <w:pStyle w:val="477"/>
                    <w:spacing w:after="0"/>
                    <w:rPr>
                      <w:color w:val="auto"/>
                      <w:szCs w:val="21"/>
                    </w:rPr>
                  </w:pPr>
                  <w:r>
                    <w:rPr>
                      <w:rFonts w:hint="eastAsia"/>
                      <w:color w:val="auto"/>
                      <w:szCs w:val="21"/>
                    </w:rPr>
                    <w:t>115</w:t>
                  </w:r>
                </w:p>
              </w:tc>
              <w:tc>
                <w:tcPr>
                  <w:tcW w:w="154" w:type="pct"/>
                  <w:tcMar>
                    <w:left w:w="0" w:type="dxa"/>
                    <w:right w:w="0" w:type="dxa"/>
                  </w:tcMar>
                  <w:vAlign w:val="center"/>
                </w:tcPr>
                <w:p w14:paraId="4BDF8ED2">
                  <w:pPr>
                    <w:pStyle w:val="477"/>
                    <w:spacing w:after="0"/>
                    <w:rPr>
                      <w:color w:val="auto"/>
                      <w:szCs w:val="21"/>
                    </w:rPr>
                  </w:pPr>
                  <w:r>
                    <w:rPr>
                      <w:rFonts w:hint="eastAsia"/>
                      <w:color w:val="auto"/>
                      <w:szCs w:val="21"/>
                    </w:rPr>
                    <w:t>10</w:t>
                  </w:r>
                </w:p>
              </w:tc>
              <w:tc>
                <w:tcPr>
                  <w:tcW w:w="153" w:type="pct"/>
                  <w:vAlign w:val="center"/>
                </w:tcPr>
                <w:p w14:paraId="00175BA9">
                  <w:pPr>
                    <w:jc w:val="center"/>
                    <w:rPr>
                      <w:color w:val="auto"/>
                      <w:szCs w:val="21"/>
                    </w:rPr>
                  </w:pPr>
                  <w:r>
                    <w:rPr>
                      <w:rFonts w:hint="eastAsia"/>
                      <w:color w:val="auto"/>
                      <w:szCs w:val="21"/>
                    </w:rPr>
                    <w:t>1.5</w:t>
                  </w:r>
                </w:p>
              </w:tc>
              <w:tc>
                <w:tcPr>
                  <w:tcW w:w="354" w:type="pct"/>
                  <w:tcMar>
                    <w:left w:w="0" w:type="dxa"/>
                    <w:right w:w="0" w:type="dxa"/>
                  </w:tcMar>
                  <w:vAlign w:val="center"/>
                </w:tcPr>
                <w:p w14:paraId="09F956A9">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669D0E0E">
                  <w:pPr>
                    <w:jc w:val="center"/>
                    <w:rPr>
                      <w:color w:val="auto"/>
                      <w:szCs w:val="21"/>
                    </w:rPr>
                  </w:pPr>
                  <w:r>
                    <w:rPr>
                      <w:rFonts w:hint="eastAsia"/>
                      <w:color w:val="auto"/>
                      <w:szCs w:val="21"/>
                    </w:rPr>
                    <w:t>55</w:t>
                  </w:r>
                </w:p>
              </w:tc>
              <w:tc>
                <w:tcPr>
                  <w:tcW w:w="184" w:type="pct"/>
                  <w:tcMar>
                    <w:left w:w="0" w:type="dxa"/>
                    <w:right w:w="0" w:type="dxa"/>
                  </w:tcMar>
                  <w:vAlign w:val="center"/>
                </w:tcPr>
                <w:p w14:paraId="7A2F99B5">
                  <w:pPr>
                    <w:jc w:val="center"/>
                    <w:rPr>
                      <w:color w:val="auto"/>
                      <w:szCs w:val="21"/>
                    </w:rPr>
                  </w:pPr>
                  <w:r>
                    <w:rPr>
                      <w:color w:val="auto"/>
                      <w:szCs w:val="21"/>
                    </w:rPr>
                    <w:t>昼</w:t>
                  </w:r>
                </w:p>
              </w:tc>
              <w:tc>
                <w:tcPr>
                  <w:tcW w:w="442" w:type="pct"/>
                  <w:tcMar>
                    <w:left w:w="0" w:type="dxa"/>
                    <w:right w:w="0" w:type="dxa"/>
                  </w:tcMar>
                  <w:vAlign w:val="center"/>
                </w:tcPr>
                <w:p w14:paraId="51F2536C">
                  <w:pPr>
                    <w:jc w:val="center"/>
                    <w:rPr>
                      <w:color w:val="auto"/>
                      <w:szCs w:val="21"/>
                    </w:rPr>
                  </w:pPr>
                  <w:r>
                    <w:rPr>
                      <w:rFonts w:hint="eastAsia"/>
                      <w:color w:val="auto"/>
                      <w:szCs w:val="21"/>
                    </w:rPr>
                    <w:t>25</w:t>
                  </w:r>
                </w:p>
              </w:tc>
              <w:tc>
                <w:tcPr>
                  <w:tcW w:w="350" w:type="pct"/>
                  <w:vAlign w:val="center"/>
                </w:tcPr>
                <w:p w14:paraId="4538420A">
                  <w:pPr>
                    <w:widowControl/>
                    <w:adjustRightInd w:val="0"/>
                    <w:snapToGrid w:val="0"/>
                    <w:jc w:val="center"/>
                    <w:rPr>
                      <w:color w:val="auto"/>
                      <w:szCs w:val="21"/>
                    </w:rPr>
                  </w:pPr>
                  <w:r>
                    <w:rPr>
                      <w:rFonts w:hint="eastAsia" w:eastAsiaTheme="minorEastAsia"/>
                      <w:bCs/>
                      <w:color w:val="auto"/>
                      <w:kern w:val="0"/>
                      <w:szCs w:val="21"/>
                      <w:lang w:bidi="en-US"/>
                    </w:rPr>
                    <w:t>24</w:t>
                  </w:r>
                </w:p>
              </w:tc>
              <w:tc>
                <w:tcPr>
                  <w:tcW w:w="247" w:type="pct"/>
                  <w:vAlign w:val="center"/>
                </w:tcPr>
                <w:p w14:paraId="5344D516">
                  <w:pPr>
                    <w:pStyle w:val="477"/>
                    <w:spacing w:after="0"/>
                    <w:rPr>
                      <w:color w:val="auto"/>
                      <w:szCs w:val="21"/>
                    </w:rPr>
                  </w:pPr>
                  <w:r>
                    <w:rPr>
                      <w:color w:val="auto"/>
                      <w:szCs w:val="21"/>
                    </w:rPr>
                    <w:t>1</w:t>
                  </w:r>
                </w:p>
              </w:tc>
            </w:tr>
            <w:tr w14:paraId="21760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01A1B20E">
                  <w:pPr>
                    <w:pStyle w:val="477"/>
                    <w:spacing w:after="0"/>
                    <w:rPr>
                      <w:rFonts w:ascii="Times New Roman" w:hAnsi="Times New Roman" w:eastAsia="宋体" w:cs="Times New Roman"/>
                      <w:color w:val="auto"/>
                      <w:kern w:val="2"/>
                      <w:sz w:val="21"/>
                      <w:szCs w:val="21"/>
                      <w:lang w:val="en-US" w:eastAsia="zh-CN" w:bidi="ar-SA"/>
                    </w:rPr>
                  </w:pPr>
                  <w:r>
                    <w:rPr>
                      <w:rFonts w:hint="eastAsia"/>
                      <w:color w:val="auto"/>
                      <w:szCs w:val="21"/>
                    </w:rPr>
                    <w:t>11</w:t>
                  </w:r>
                </w:p>
              </w:tc>
              <w:tc>
                <w:tcPr>
                  <w:tcW w:w="217" w:type="pct"/>
                  <w:vMerge w:val="continue"/>
                  <w:vAlign w:val="center"/>
                </w:tcPr>
                <w:p w14:paraId="55DF1F00">
                  <w:pPr>
                    <w:adjustRightInd w:val="0"/>
                    <w:snapToGrid w:val="0"/>
                    <w:jc w:val="center"/>
                    <w:rPr>
                      <w:color w:val="auto"/>
                      <w:szCs w:val="21"/>
                    </w:rPr>
                  </w:pPr>
                </w:p>
              </w:tc>
              <w:tc>
                <w:tcPr>
                  <w:tcW w:w="433" w:type="pct"/>
                  <w:vAlign w:val="center"/>
                </w:tcPr>
                <w:p w14:paraId="425E7964">
                  <w:pPr>
                    <w:pStyle w:val="477"/>
                    <w:spacing w:after="0"/>
                    <w:rPr>
                      <w:color w:val="auto"/>
                      <w:szCs w:val="21"/>
                    </w:rPr>
                  </w:pPr>
                  <w:r>
                    <w:rPr>
                      <w:color w:val="auto"/>
                      <w:kern w:val="0"/>
                      <w:szCs w:val="21"/>
                      <w:lang w:bidi="ar"/>
                    </w:rPr>
                    <w:t>压铆机</w:t>
                  </w:r>
                </w:p>
              </w:tc>
              <w:tc>
                <w:tcPr>
                  <w:tcW w:w="135" w:type="pct"/>
                  <w:vAlign w:val="center"/>
                </w:tcPr>
                <w:p w14:paraId="7A416050">
                  <w:pPr>
                    <w:widowControl/>
                    <w:jc w:val="center"/>
                    <w:rPr>
                      <w:color w:val="auto"/>
                      <w:szCs w:val="21"/>
                    </w:rPr>
                  </w:pPr>
                  <w:r>
                    <w:rPr>
                      <w:rFonts w:hint="eastAsia"/>
                      <w:color w:val="auto"/>
                      <w:szCs w:val="21"/>
                    </w:rPr>
                    <w:t>1</w:t>
                  </w:r>
                </w:p>
              </w:tc>
              <w:tc>
                <w:tcPr>
                  <w:tcW w:w="1013" w:type="pct"/>
                  <w:vAlign w:val="center"/>
                </w:tcPr>
                <w:p w14:paraId="01C96529">
                  <w:pPr>
                    <w:widowControl/>
                    <w:jc w:val="center"/>
                    <w:rPr>
                      <w:color w:val="auto"/>
                      <w:szCs w:val="21"/>
                    </w:rPr>
                  </w:pPr>
                  <w:r>
                    <w:rPr>
                      <w:color w:val="auto"/>
                      <w:kern w:val="0"/>
                      <w:szCs w:val="21"/>
                      <w:lang w:bidi="ar"/>
                    </w:rPr>
                    <w:t>HD06-500</w:t>
                  </w:r>
                </w:p>
              </w:tc>
              <w:tc>
                <w:tcPr>
                  <w:tcW w:w="377" w:type="pct"/>
                  <w:vAlign w:val="center"/>
                </w:tcPr>
                <w:p w14:paraId="6C29A750">
                  <w:pPr>
                    <w:adjustRightInd w:val="0"/>
                    <w:snapToGrid w:val="0"/>
                    <w:jc w:val="center"/>
                    <w:rPr>
                      <w:color w:val="auto"/>
                      <w:szCs w:val="21"/>
                    </w:rPr>
                  </w:pPr>
                  <w:r>
                    <w:rPr>
                      <w:color w:val="auto"/>
                      <w:szCs w:val="21"/>
                    </w:rPr>
                    <w:t>85</w:t>
                  </w:r>
                </w:p>
              </w:tc>
              <w:tc>
                <w:tcPr>
                  <w:tcW w:w="246" w:type="pct"/>
                  <w:vMerge w:val="continue"/>
                  <w:vAlign w:val="center"/>
                </w:tcPr>
                <w:p w14:paraId="329B6180">
                  <w:pPr>
                    <w:pStyle w:val="477"/>
                    <w:spacing w:after="0"/>
                    <w:rPr>
                      <w:color w:val="auto"/>
                      <w:szCs w:val="21"/>
                    </w:rPr>
                  </w:pPr>
                </w:p>
              </w:tc>
              <w:tc>
                <w:tcPr>
                  <w:tcW w:w="154" w:type="pct"/>
                  <w:tcMar>
                    <w:left w:w="0" w:type="dxa"/>
                    <w:right w:w="0" w:type="dxa"/>
                  </w:tcMar>
                  <w:vAlign w:val="center"/>
                </w:tcPr>
                <w:p w14:paraId="1B39E985">
                  <w:pPr>
                    <w:pStyle w:val="477"/>
                    <w:spacing w:after="0"/>
                    <w:rPr>
                      <w:color w:val="auto"/>
                      <w:szCs w:val="21"/>
                    </w:rPr>
                  </w:pPr>
                  <w:r>
                    <w:rPr>
                      <w:rFonts w:hint="eastAsia"/>
                      <w:color w:val="auto"/>
                      <w:szCs w:val="21"/>
                    </w:rPr>
                    <w:t>190</w:t>
                  </w:r>
                </w:p>
              </w:tc>
              <w:tc>
                <w:tcPr>
                  <w:tcW w:w="154" w:type="pct"/>
                  <w:tcMar>
                    <w:left w:w="0" w:type="dxa"/>
                    <w:right w:w="0" w:type="dxa"/>
                  </w:tcMar>
                  <w:vAlign w:val="center"/>
                </w:tcPr>
                <w:p w14:paraId="5337059A">
                  <w:pPr>
                    <w:pStyle w:val="477"/>
                    <w:spacing w:after="0"/>
                    <w:rPr>
                      <w:color w:val="auto"/>
                      <w:szCs w:val="21"/>
                    </w:rPr>
                  </w:pPr>
                  <w:r>
                    <w:rPr>
                      <w:rFonts w:hint="eastAsia"/>
                      <w:color w:val="auto"/>
                      <w:szCs w:val="21"/>
                    </w:rPr>
                    <w:t>5</w:t>
                  </w:r>
                </w:p>
              </w:tc>
              <w:tc>
                <w:tcPr>
                  <w:tcW w:w="153" w:type="pct"/>
                  <w:vAlign w:val="center"/>
                </w:tcPr>
                <w:p w14:paraId="61108EBC">
                  <w:pPr>
                    <w:jc w:val="center"/>
                    <w:rPr>
                      <w:color w:val="auto"/>
                      <w:szCs w:val="21"/>
                    </w:rPr>
                  </w:pPr>
                  <w:r>
                    <w:rPr>
                      <w:rFonts w:hint="eastAsia"/>
                      <w:color w:val="auto"/>
                      <w:szCs w:val="21"/>
                    </w:rPr>
                    <w:t>1.5</w:t>
                  </w:r>
                </w:p>
              </w:tc>
              <w:tc>
                <w:tcPr>
                  <w:tcW w:w="354" w:type="pct"/>
                  <w:tcMar>
                    <w:left w:w="0" w:type="dxa"/>
                    <w:right w:w="0" w:type="dxa"/>
                  </w:tcMar>
                  <w:vAlign w:val="center"/>
                </w:tcPr>
                <w:p w14:paraId="6305512C">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65012267">
                  <w:pPr>
                    <w:jc w:val="center"/>
                    <w:rPr>
                      <w:color w:val="auto"/>
                      <w:szCs w:val="21"/>
                    </w:rPr>
                  </w:pPr>
                  <w:r>
                    <w:rPr>
                      <w:rFonts w:hint="eastAsia"/>
                      <w:color w:val="auto"/>
                      <w:szCs w:val="21"/>
                    </w:rPr>
                    <w:t>56.7</w:t>
                  </w:r>
                </w:p>
              </w:tc>
              <w:tc>
                <w:tcPr>
                  <w:tcW w:w="184" w:type="pct"/>
                  <w:tcMar>
                    <w:left w:w="0" w:type="dxa"/>
                    <w:right w:w="0" w:type="dxa"/>
                  </w:tcMar>
                  <w:vAlign w:val="center"/>
                </w:tcPr>
                <w:p w14:paraId="794EBDC7">
                  <w:pPr>
                    <w:jc w:val="center"/>
                    <w:rPr>
                      <w:color w:val="auto"/>
                      <w:szCs w:val="21"/>
                    </w:rPr>
                  </w:pPr>
                  <w:r>
                    <w:rPr>
                      <w:color w:val="auto"/>
                      <w:szCs w:val="21"/>
                    </w:rPr>
                    <w:t>昼</w:t>
                  </w:r>
                </w:p>
              </w:tc>
              <w:tc>
                <w:tcPr>
                  <w:tcW w:w="442" w:type="pct"/>
                  <w:tcMar>
                    <w:left w:w="0" w:type="dxa"/>
                    <w:right w:w="0" w:type="dxa"/>
                  </w:tcMar>
                  <w:vAlign w:val="center"/>
                </w:tcPr>
                <w:p w14:paraId="348F2800">
                  <w:pPr>
                    <w:jc w:val="center"/>
                    <w:rPr>
                      <w:color w:val="auto"/>
                      <w:szCs w:val="21"/>
                    </w:rPr>
                  </w:pPr>
                  <w:r>
                    <w:rPr>
                      <w:rFonts w:hint="eastAsia"/>
                      <w:color w:val="auto"/>
                      <w:szCs w:val="21"/>
                    </w:rPr>
                    <w:t>25</w:t>
                  </w:r>
                </w:p>
              </w:tc>
              <w:tc>
                <w:tcPr>
                  <w:tcW w:w="350" w:type="pct"/>
                  <w:vAlign w:val="center"/>
                </w:tcPr>
                <w:p w14:paraId="687EADD4">
                  <w:pPr>
                    <w:widowControl/>
                    <w:adjustRightInd w:val="0"/>
                    <w:snapToGrid w:val="0"/>
                    <w:jc w:val="center"/>
                    <w:rPr>
                      <w:color w:val="auto"/>
                      <w:szCs w:val="21"/>
                    </w:rPr>
                  </w:pPr>
                  <w:r>
                    <w:rPr>
                      <w:rFonts w:hint="eastAsia" w:eastAsiaTheme="minorEastAsia"/>
                      <w:bCs/>
                      <w:color w:val="auto"/>
                      <w:kern w:val="0"/>
                      <w:szCs w:val="21"/>
                      <w:lang w:bidi="en-US"/>
                    </w:rPr>
                    <w:t>2</w:t>
                  </w:r>
                  <w:r>
                    <w:rPr>
                      <w:rFonts w:eastAsiaTheme="minorEastAsia"/>
                      <w:bCs/>
                      <w:color w:val="auto"/>
                      <w:kern w:val="0"/>
                      <w:szCs w:val="21"/>
                      <w:lang w:bidi="en-US"/>
                    </w:rPr>
                    <w:t>9.5</w:t>
                  </w:r>
                </w:p>
              </w:tc>
              <w:tc>
                <w:tcPr>
                  <w:tcW w:w="247" w:type="pct"/>
                  <w:vAlign w:val="center"/>
                </w:tcPr>
                <w:p w14:paraId="0D820236">
                  <w:pPr>
                    <w:pStyle w:val="477"/>
                    <w:spacing w:after="0"/>
                    <w:rPr>
                      <w:color w:val="auto"/>
                      <w:szCs w:val="21"/>
                    </w:rPr>
                  </w:pPr>
                  <w:r>
                    <w:rPr>
                      <w:color w:val="auto"/>
                      <w:szCs w:val="21"/>
                    </w:rPr>
                    <w:t>1</w:t>
                  </w:r>
                </w:p>
              </w:tc>
            </w:tr>
            <w:tr w14:paraId="28372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7039EE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12</w:t>
                  </w:r>
                </w:p>
              </w:tc>
              <w:tc>
                <w:tcPr>
                  <w:tcW w:w="217" w:type="pct"/>
                  <w:vMerge w:val="continue"/>
                  <w:vAlign w:val="center"/>
                </w:tcPr>
                <w:p w14:paraId="0789C56F">
                  <w:pPr>
                    <w:adjustRightInd w:val="0"/>
                    <w:snapToGrid w:val="0"/>
                    <w:jc w:val="center"/>
                    <w:rPr>
                      <w:color w:val="auto"/>
                      <w:szCs w:val="21"/>
                    </w:rPr>
                  </w:pPr>
                </w:p>
              </w:tc>
              <w:tc>
                <w:tcPr>
                  <w:tcW w:w="433" w:type="pct"/>
                  <w:vAlign w:val="center"/>
                </w:tcPr>
                <w:p w14:paraId="488D545D">
                  <w:pPr>
                    <w:pStyle w:val="477"/>
                    <w:spacing w:after="0"/>
                    <w:rPr>
                      <w:color w:val="auto"/>
                      <w:szCs w:val="21"/>
                    </w:rPr>
                  </w:pPr>
                  <w:r>
                    <w:rPr>
                      <w:color w:val="auto"/>
                      <w:kern w:val="0"/>
                      <w:szCs w:val="21"/>
                      <w:lang w:bidi="ar"/>
                    </w:rPr>
                    <w:t>数控剪板机</w:t>
                  </w:r>
                </w:p>
              </w:tc>
              <w:tc>
                <w:tcPr>
                  <w:tcW w:w="135" w:type="pct"/>
                  <w:vAlign w:val="center"/>
                </w:tcPr>
                <w:p w14:paraId="2661E737">
                  <w:pPr>
                    <w:widowControl/>
                    <w:jc w:val="center"/>
                    <w:rPr>
                      <w:color w:val="auto"/>
                      <w:szCs w:val="21"/>
                    </w:rPr>
                  </w:pPr>
                  <w:r>
                    <w:rPr>
                      <w:rFonts w:hint="eastAsia"/>
                      <w:color w:val="auto"/>
                      <w:szCs w:val="21"/>
                    </w:rPr>
                    <w:t>1</w:t>
                  </w:r>
                </w:p>
              </w:tc>
              <w:tc>
                <w:tcPr>
                  <w:tcW w:w="1013" w:type="pct"/>
                  <w:vAlign w:val="center"/>
                </w:tcPr>
                <w:p w14:paraId="3F0F2FB2">
                  <w:pPr>
                    <w:widowControl/>
                    <w:jc w:val="center"/>
                    <w:rPr>
                      <w:color w:val="auto"/>
                      <w:szCs w:val="21"/>
                    </w:rPr>
                  </w:pPr>
                  <w:r>
                    <w:rPr>
                      <w:color w:val="auto"/>
                      <w:kern w:val="0"/>
                      <w:szCs w:val="21"/>
                      <w:lang w:bidi="ar"/>
                    </w:rPr>
                    <w:t>QC12Y-X2500</w:t>
                  </w:r>
                </w:p>
              </w:tc>
              <w:tc>
                <w:tcPr>
                  <w:tcW w:w="377" w:type="pct"/>
                  <w:vAlign w:val="center"/>
                </w:tcPr>
                <w:p w14:paraId="58DABCD8">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5B80AC6">
                  <w:pPr>
                    <w:pStyle w:val="477"/>
                    <w:spacing w:after="0"/>
                    <w:rPr>
                      <w:color w:val="auto"/>
                      <w:szCs w:val="21"/>
                    </w:rPr>
                  </w:pPr>
                </w:p>
              </w:tc>
              <w:tc>
                <w:tcPr>
                  <w:tcW w:w="154" w:type="pct"/>
                  <w:tcMar>
                    <w:left w:w="0" w:type="dxa"/>
                    <w:right w:w="0" w:type="dxa"/>
                  </w:tcMar>
                  <w:vAlign w:val="center"/>
                </w:tcPr>
                <w:p w14:paraId="5A23E07C">
                  <w:pPr>
                    <w:pStyle w:val="477"/>
                    <w:spacing w:after="0"/>
                    <w:rPr>
                      <w:color w:val="auto"/>
                      <w:szCs w:val="21"/>
                    </w:rPr>
                  </w:pPr>
                  <w:r>
                    <w:rPr>
                      <w:rFonts w:hint="eastAsia"/>
                      <w:color w:val="auto"/>
                      <w:szCs w:val="21"/>
                    </w:rPr>
                    <w:t>195</w:t>
                  </w:r>
                </w:p>
              </w:tc>
              <w:tc>
                <w:tcPr>
                  <w:tcW w:w="154" w:type="pct"/>
                  <w:tcMar>
                    <w:left w:w="0" w:type="dxa"/>
                    <w:right w:w="0" w:type="dxa"/>
                  </w:tcMar>
                  <w:vAlign w:val="center"/>
                </w:tcPr>
                <w:p w14:paraId="067E8E64">
                  <w:pPr>
                    <w:pStyle w:val="477"/>
                    <w:spacing w:after="0"/>
                    <w:rPr>
                      <w:color w:val="auto"/>
                      <w:szCs w:val="21"/>
                    </w:rPr>
                  </w:pPr>
                  <w:r>
                    <w:rPr>
                      <w:rFonts w:hint="eastAsia"/>
                      <w:color w:val="auto"/>
                      <w:szCs w:val="21"/>
                    </w:rPr>
                    <w:t>5</w:t>
                  </w:r>
                </w:p>
              </w:tc>
              <w:tc>
                <w:tcPr>
                  <w:tcW w:w="153" w:type="pct"/>
                  <w:vAlign w:val="center"/>
                </w:tcPr>
                <w:p w14:paraId="400BB464">
                  <w:pPr>
                    <w:jc w:val="center"/>
                    <w:rPr>
                      <w:color w:val="auto"/>
                      <w:szCs w:val="21"/>
                    </w:rPr>
                  </w:pPr>
                  <w:r>
                    <w:rPr>
                      <w:rFonts w:hint="eastAsia"/>
                      <w:color w:val="auto"/>
                      <w:szCs w:val="21"/>
                    </w:rPr>
                    <w:t>1.5</w:t>
                  </w:r>
                </w:p>
              </w:tc>
              <w:tc>
                <w:tcPr>
                  <w:tcW w:w="354" w:type="pct"/>
                  <w:tcMar>
                    <w:left w:w="0" w:type="dxa"/>
                    <w:right w:w="0" w:type="dxa"/>
                  </w:tcMar>
                  <w:vAlign w:val="center"/>
                </w:tcPr>
                <w:p w14:paraId="2CEC3B12">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3C57460F">
                  <w:pPr>
                    <w:jc w:val="center"/>
                    <w:rPr>
                      <w:color w:val="auto"/>
                      <w:szCs w:val="21"/>
                    </w:rPr>
                  </w:pPr>
                  <w:r>
                    <w:rPr>
                      <w:rFonts w:hint="eastAsia"/>
                      <w:color w:val="auto"/>
                      <w:szCs w:val="21"/>
                    </w:rPr>
                    <w:t>70</w:t>
                  </w:r>
                </w:p>
              </w:tc>
              <w:tc>
                <w:tcPr>
                  <w:tcW w:w="184" w:type="pct"/>
                  <w:tcMar>
                    <w:left w:w="0" w:type="dxa"/>
                    <w:right w:w="0" w:type="dxa"/>
                  </w:tcMar>
                  <w:vAlign w:val="center"/>
                </w:tcPr>
                <w:p w14:paraId="36624F62">
                  <w:pPr>
                    <w:jc w:val="center"/>
                    <w:rPr>
                      <w:color w:val="auto"/>
                      <w:szCs w:val="21"/>
                    </w:rPr>
                  </w:pPr>
                  <w:r>
                    <w:rPr>
                      <w:rFonts w:hint="eastAsia"/>
                      <w:color w:val="auto"/>
                      <w:szCs w:val="21"/>
                    </w:rPr>
                    <w:t>昼</w:t>
                  </w:r>
                </w:p>
              </w:tc>
              <w:tc>
                <w:tcPr>
                  <w:tcW w:w="442" w:type="pct"/>
                  <w:tcMar>
                    <w:left w:w="0" w:type="dxa"/>
                    <w:right w:w="0" w:type="dxa"/>
                  </w:tcMar>
                  <w:vAlign w:val="center"/>
                </w:tcPr>
                <w:p w14:paraId="3584CA77">
                  <w:pPr>
                    <w:jc w:val="center"/>
                    <w:rPr>
                      <w:color w:val="auto"/>
                      <w:szCs w:val="21"/>
                    </w:rPr>
                  </w:pPr>
                  <w:r>
                    <w:rPr>
                      <w:rFonts w:hint="eastAsia"/>
                      <w:color w:val="auto"/>
                      <w:szCs w:val="21"/>
                    </w:rPr>
                    <w:t>25</w:t>
                  </w:r>
                </w:p>
              </w:tc>
              <w:tc>
                <w:tcPr>
                  <w:tcW w:w="350" w:type="pct"/>
                  <w:vAlign w:val="center"/>
                </w:tcPr>
                <w:p w14:paraId="305DF934">
                  <w:pPr>
                    <w:widowControl/>
                    <w:adjustRightInd w:val="0"/>
                    <w:snapToGrid w:val="0"/>
                    <w:jc w:val="center"/>
                    <w:rPr>
                      <w:color w:val="auto"/>
                      <w:szCs w:val="21"/>
                    </w:rPr>
                  </w:pPr>
                  <w:r>
                    <w:rPr>
                      <w:rFonts w:hint="eastAsia" w:eastAsiaTheme="minorEastAsia"/>
                      <w:bCs/>
                      <w:color w:val="auto"/>
                      <w:kern w:val="0"/>
                      <w:szCs w:val="21"/>
                      <w:lang w:bidi="en-US"/>
                    </w:rPr>
                    <w:t>38</w:t>
                  </w:r>
                </w:p>
              </w:tc>
              <w:tc>
                <w:tcPr>
                  <w:tcW w:w="247" w:type="pct"/>
                  <w:vAlign w:val="center"/>
                </w:tcPr>
                <w:p w14:paraId="6EAB8A82">
                  <w:pPr>
                    <w:pStyle w:val="477"/>
                    <w:spacing w:after="0"/>
                    <w:rPr>
                      <w:color w:val="auto"/>
                      <w:szCs w:val="21"/>
                    </w:rPr>
                  </w:pPr>
                  <w:r>
                    <w:rPr>
                      <w:color w:val="auto"/>
                      <w:szCs w:val="21"/>
                    </w:rPr>
                    <w:t>1</w:t>
                  </w:r>
                </w:p>
              </w:tc>
            </w:tr>
            <w:tr w14:paraId="3A295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F80842E">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13</w:t>
                  </w:r>
                </w:p>
              </w:tc>
              <w:tc>
                <w:tcPr>
                  <w:tcW w:w="217" w:type="pct"/>
                  <w:vMerge w:val="continue"/>
                  <w:vAlign w:val="center"/>
                </w:tcPr>
                <w:p w14:paraId="77C15742">
                  <w:pPr>
                    <w:adjustRightInd w:val="0"/>
                    <w:snapToGrid w:val="0"/>
                    <w:jc w:val="center"/>
                    <w:rPr>
                      <w:color w:val="auto"/>
                      <w:szCs w:val="21"/>
                    </w:rPr>
                  </w:pPr>
                </w:p>
              </w:tc>
              <w:tc>
                <w:tcPr>
                  <w:tcW w:w="433" w:type="pct"/>
                  <w:vAlign w:val="center"/>
                </w:tcPr>
                <w:p w14:paraId="0375D0D9">
                  <w:pPr>
                    <w:pStyle w:val="477"/>
                    <w:spacing w:after="0"/>
                    <w:rPr>
                      <w:color w:val="auto"/>
                      <w:szCs w:val="21"/>
                    </w:rPr>
                  </w:pPr>
                  <w:r>
                    <w:rPr>
                      <w:rFonts w:hint="eastAsia"/>
                      <w:color w:val="auto"/>
                      <w:szCs w:val="21"/>
                    </w:rPr>
                    <w:t>台式攻丝机</w:t>
                  </w:r>
                </w:p>
              </w:tc>
              <w:tc>
                <w:tcPr>
                  <w:tcW w:w="135" w:type="pct"/>
                  <w:vAlign w:val="center"/>
                </w:tcPr>
                <w:p w14:paraId="50662E66">
                  <w:pPr>
                    <w:widowControl/>
                    <w:jc w:val="center"/>
                    <w:rPr>
                      <w:color w:val="auto"/>
                      <w:szCs w:val="21"/>
                    </w:rPr>
                  </w:pPr>
                  <w:r>
                    <w:rPr>
                      <w:rFonts w:hint="eastAsia"/>
                      <w:color w:val="auto"/>
                      <w:szCs w:val="21"/>
                    </w:rPr>
                    <w:t>1</w:t>
                  </w:r>
                </w:p>
              </w:tc>
              <w:tc>
                <w:tcPr>
                  <w:tcW w:w="1013" w:type="pct"/>
                  <w:vAlign w:val="center"/>
                </w:tcPr>
                <w:p w14:paraId="676A9B58">
                  <w:pPr>
                    <w:widowControl/>
                    <w:jc w:val="center"/>
                    <w:rPr>
                      <w:color w:val="auto"/>
                      <w:szCs w:val="21"/>
                    </w:rPr>
                  </w:pPr>
                  <w:r>
                    <w:rPr>
                      <w:color w:val="auto"/>
                      <w:kern w:val="0"/>
                      <w:szCs w:val="21"/>
                      <w:lang w:bidi="ar"/>
                    </w:rPr>
                    <w:t>SWJ-12D</w:t>
                  </w:r>
                </w:p>
              </w:tc>
              <w:tc>
                <w:tcPr>
                  <w:tcW w:w="377" w:type="pct"/>
                  <w:vAlign w:val="center"/>
                </w:tcPr>
                <w:p w14:paraId="00422550">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1F92AAC4">
                  <w:pPr>
                    <w:pStyle w:val="477"/>
                    <w:spacing w:after="0"/>
                    <w:rPr>
                      <w:color w:val="auto"/>
                      <w:szCs w:val="21"/>
                    </w:rPr>
                  </w:pPr>
                </w:p>
              </w:tc>
              <w:tc>
                <w:tcPr>
                  <w:tcW w:w="154" w:type="pct"/>
                  <w:tcMar>
                    <w:left w:w="0" w:type="dxa"/>
                    <w:right w:w="0" w:type="dxa"/>
                  </w:tcMar>
                  <w:vAlign w:val="center"/>
                </w:tcPr>
                <w:p w14:paraId="4F4BFE8F">
                  <w:pPr>
                    <w:pStyle w:val="477"/>
                    <w:spacing w:after="0"/>
                    <w:rPr>
                      <w:color w:val="auto"/>
                      <w:szCs w:val="21"/>
                    </w:rPr>
                  </w:pPr>
                  <w:r>
                    <w:rPr>
                      <w:rFonts w:hint="eastAsia"/>
                      <w:color w:val="auto"/>
                      <w:szCs w:val="21"/>
                    </w:rPr>
                    <w:t>185</w:t>
                  </w:r>
                </w:p>
              </w:tc>
              <w:tc>
                <w:tcPr>
                  <w:tcW w:w="154" w:type="pct"/>
                  <w:tcMar>
                    <w:left w:w="0" w:type="dxa"/>
                    <w:right w:w="0" w:type="dxa"/>
                  </w:tcMar>
                  <w:vAlign w:val="center"/>
                </w:tcPr>
                <w:p w14:paraId="112A1648">
                  <w:pPr>
                    <w:pStyle w:val="477"/>
                    <w:spacing w:after="0"/>
                    <w:rPr>
                      <w:color w:val="auto"/>
                      <w:szCs w:val="21"/>
                    </w:rPr>
                  </w:pPr>
                  <w:r>
                    <w:rPr>
                      <w:rFonts w:hint="eastAsia"/>
                      <w:color w:val="auto"/>
                      <w:szCs w:val="21"/>
                    </w:rPr>
                    <w:t>90</w:t>
                  </w:r>
                </w:p>
              </w:tc>
              <w:tc>
                <w:tcPr>
                  <w:tcW w:w="153" w:type="pct"/>
                  <w:vAlign w:val="center"/>
                </w:tcPr>
                <w:p w14:paraId="28C728F5">
                  <w:pPr>
                    <w:jc w:val="center"/>
                    <w:rPr>
                      <w:color w:val="auto"/>
                      <w:szCs w:val="21"/>
                    </w:rPr>
                  </w:pPr>
                  <w:r>
                    <w:rPr>
                      <w:rFonts w:hint="eastAsia"/>
                      <w:color w:val="auto"/>
                      <w:szCs w:val="21"/>
                    </w:rPr>
                    <w:t>1.5</w:t>
                  </w:r>
                </w:p>
              </w:tc>
              <w:tc>
                <w:tcPr>
                  <w:tcW w:w="354" w:type="pct"/>
                  <w:tcMar>
                    <w:left w:w="0" w:type="dxa"/>
                    <w:right w:w="0" w:type="dxa"/>
                  </w:tcMar>
                  <w:vAlign w:val="center"/>
                </w:tcPr>
                <w:p w14:paraId="14CA822D">
                  <w:pPr>
                    <w:pStyle w:val="477"/>
                    <w:spacing w:after="0"/>
                    <w:rPr>
                      <w:color w:val="auto"/>
                      <w:szCs w:val="21"/>
                    </w:rPr>
                  </w:pPr>
                  <w:r>
                    <w:rPr>
                      <w:rFonts w:hint="eastAsia"/>
                      <w:color w:val="auto"/>
                      <w:szCs w:val="21"/>
                    </w:rPr>
                    <w:t>18</w:t>
                  </w:r>
                </w:p>
              </w:tc>
              <w:tc>
                <w:tcPr>
                  <w:tcW w:w="415" w:type="pct"/>
                  <w:tcMar>
                    <w:left w:w="0" w:type="dxa"/>
                    <w:right w:w="0" w:type="dxa"/>
                  </w:tcMar>
                  <w:vAlign w:val="center"/>
                </w:tcPr>
                <w:p w14:paraId="5C3B68C6">
                  <w:pPr>
                    <w:jc w:val="center"/>
                    <w:rPr>
                      <w:color w:val="auto"/>
                      <w:szCs w:val="21"/>
                    </w:rPr>
                  </w:pPr>
                  <w:r>
                    <w:rPr>
                      <w:rFonts w:hint="eastAsia"/>
                      <w:color w:val="auto"/>
                      <w:szCs w:val="21"/>
                    </w:rPr>
                    <w:t>63.2</w:t>
                  </w:r>
                </w:p>
              </w:tc>
              <w:tc>
                <w:tcPr>
                  <w:tcW w:w="184" w:type="pct"/>
                  <w:tcMar>
                    <w:left w:w="0" w:type="dxa"/>
                    <w:right w:w="0" w:type="dxa"/>
                  </w:tcMar>
                  <w:vAlign w:val="center"/>
                </w:tcPr>
                <w:p w14:paraId="17DF4246">
                  <w:pPr>
                    <w:jc w:val="center"/>
                    <w:rPr>
                      <w:color w:val="auto"/>
                      <w:szCs w:val="21"/>
                    </w:rPr>
                  </w:pPr>
                  <w:r>
                    <w:rPr>
                      <w:color w:val="auto"/>
                      <w:szCs w:val="21"/>
                    </w:rPr>
                    <w:t>昼</w:t>
                  </w:r>
                </w:p>
              </w:tc>
              <w:tc>
                <w:tcPr>
                  <w:tcW w:w="442" w:type="pct"/>
                  <w:tcMar>
                    <w:left w:w="0" w:type="dxa"/>
                    <w:right w:w="0" w:type="dxa"/>
                  </w:tcMar>
                  <w:vAlign w:val="center"/>
                </w:tcPr>
                <w:p w14:paraId="4A6E13DB">
                  <w:pPr>
                    <w:jc w:val="center"/>
                    <w:rPr>
                      <w:color w:val="auto"/>
                      <w:szCs w:val="21"/>
                    </w:rPr>
                  </w:pPr>
                  <w:r>
                    <w:rPr>
                      <w:rFonts w:hint="eastAsia"/>
                      <w:color w:val="auto"/>
                      <w:szCs w:val="21"/>
                    </w:rPr>
                    <w:t>25</w:t>
                  </w:r>
                </w:p>
              </w:tc>
              <w:tc>
                <w:tcPr>
                  <w:tcW w:w="350" w:type="pct"/>
                  <w:vAlign w:val="center"/>
                </w:tcPr>
                <w:p w14:paraId="7425FF67">
                  <w:pPr>
                    <w:jc w:val="center"/>
                    <w:rPr>
                      <w:color w:val="auto"/>
                      <w:szCs w:val="21"/>
                    </w:rPr>
                  </w:pPr>
                  <w:r>
                    <w:rPr>
                      <w:rFonts w:hint="eastAsia"/>
                      <w:color w:val="auto"/>
                      <w:szCs w:val="21"/>
                    </w:rPr>
                    <w:t>31.4</w:t>
                  </w:r>
                </w:p>
              </w:tc>
              <w:tc>
                <w:tcPr>
                  <w:tcW w:w="247" w:type="pct"/>
                  <w:vAlign w:val="center"/>
                </w:tcPr>
                <w:p w14:paraId="0DCE6CCC">
                  <w:pPr>
                    <w:pStyle w:val="477"/>
                    <w:spacing w:after="0"/>
                    <w:rPr>
                      <w:color w:val="auto"/>
                      <w:szCs w:val="21"/>
                    </w:rPr>
                  </w:pPr>
                  <w:r>
                    <w:rPr>
                      <w:color w:val="auto"/>
                      <w:szCs w:val="21"/>
                    </w:rPr>
                    <w:t>1</w:t>
                  </w:r>
                </w:p>
              </w:tc>
            </w:tr>
            <w:tr w14:paraId="7C293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2E2A67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14</w:t>
                  </w:r>
                </w:p>
              </w:tc>
              <w:tc>
                <w:tcPr>
                  <w:tcW w:w="217" w:type="pct"/>
                  <w:vMerge w:val="continue"/>
                  <w:vAlign w:val="center"/>
                </w:tcPr>
                <w:p w14:paraId="75232CB1">
                  <w:pPr>
                    <w:adjustRightInd w:val="0"/>
                    <w:snapToGrid w:val="0"/>
                    <w:jc w:val="center"/>
                    <w:rPr>
                      <w:color w:val="auto"/>
                      <w:szCs w:val="21"/>
                    </w:rPr>
                  </w:pPr>
                </w:p>
              </w:tc>
              <w:tc>
                <w:tcPr>
                  <w:tcW w:w="433" w:type="pct"/>
                  <w:vAlign w:val="center"/>
                </w:tcPr>
                <w:p w14:paraId="3521F975">
                  <w:pPr>
                    <w:pStyle w:val="477"/>
                    <w:spacing w:after="0"/>
                    <w:rPr>
                      <w:color w:val="auto"/>
                      <w:szCs w:val="21"/>
                    </w:rPr>
                  </w:pPr>
                  <w:r>
                    <w:rPr>
                      <w:rFonts w:hint="eastAsia"/>
                      <w:color w:val="auto"/>
                      <w:szCs w:val="21"/>
                    </w:rPr>
                    <w:t>滚圆机</w:t>
                  </w:r>
                </w:p>
              </w:tc>
              <w:tc>
                <w:tcPr>
                  <w:tcW w:w="135" w:type="pct"/>
                  <w:vAlign w:val="center"/>
                </w:tcPr>
                <w:p w14:paraId="38B1405C">
                  <w:pPr>
                    <w:widowControl/>
                    <w:jc w:val="center"/>
                    <w:rPr>
                      <w:color w:val="auto"/>
                      <w:szCs w:val="21"/>
                    </w:rPr>
                  </w:pPr>
                  <w:r>
                    <w:rPr>
                      <w:rFonts w:hint="eastAsia"/>
                      <w:color w:val="auto"/>
                      <w:szCs w:val="21"/>
                    </w:rPr>
                    <w:t>1</w:t>
                  </w:r>
                </w:p>
              </w:tc>
              <w:tc>
                <w:tcPr>
                  <w:tcW w:w="1013" w:type="pct"/>
                  <w:vAlign w:val="center"/>
                </w:tcPr>
                <w:p w14:paraId="02D65208">
                  <w:pPr>
                    <w:widowControl/>
                    <w:jc w:val="center"/>
                    <w:rPr>
                      <w:color w:val="auto"/>
                      <w:szCs w:val="21"/>
                    </w:rPr>
                  </w:pPr>
                  <w:r>
                    <w:rPr>
                      <w:rFonts w:hint="eastAsia"/>
                      <w:color w:val="auto"/>
                      <w:szCs w:val="21"/>
                    </w:rPr>
                    <w:t>/</w:t>
                  </w:r>
                </w:p>
              </w:tc>
              <w:tc>
                <w:tcPr>
                  <w:tcW w:w="377" w:type="pct"/>
                  <w:vAlign w:val="center"/>
                </w:tcPr>
                <w:p w14:paraId="46222E5B">
                  <w:pPr>
                    <w:adjustRightInd w:val="0"/>
                    <w:snapToGrid w:val="0"/>
                    <w:jc w:val="center"/>
                    <w:rPr>
                      <w:color w:val="auto"/>
                      <w:szCs w:val="21"/>
                    </w:rPr>
                  </w:pPr>
                  <w:r>
                    <w:rPr>
                      <w:color w:val="auto"/>
                      <w:szCs w:val="21"/>
                    </w:rPr>
                    <w:t>85</w:t>
                  </w:r>
                </w:p>
              </w:tc>
              <w:tc>
                <w:tcPr>
                  <w:tcW w:w="246" w:type="pct"/>
                  <w:vMerge w:val="continue"/>
                  <w:vAlign w:val="center"/>
                </w:tcPr>
                <w:p w14:paraId="222FCE20">
                  <w:pPr>
                    <w:pStyle w:val="477"/>
                    <w:spacing w:after="0"/>
                    <w:rPr>
                      <w:color w:val="auto"/>
                      <w:szCs w:val="21"/>
                    </w:rPr>
                  </w:pPr>
                </w:p>
              </w:tc>
              <w:tc>
                <w:tcPr>
                  <w:tcW w:w="154" w:type="pct"/>
                  <w:tcMar>
                    <w:left w:w="0" w:type="dxa"/>
                    <w:right w:w="0" w:type="dxa"/>
                  </w:tcMar>
                  <w:vAlign w:val="center"/>
                </w:tcPr>
                <w:p w14:paraId="1D86B059">
                  <w:pPr>
                    <w:pStyle w:val="477"/>
                    <w:spacing w:after="0"/>
                    <w:rPr>
                      <w:color w:val="auto"/>
                      <w:szCs w:val="21"/>
                    </w:rPr>
                  </w:pPr>
                  <w:r>
                    <w:rPr>
                      <w:rFonts w:hint="eastAsia"/>
                      <w:color w:val="auto"/>
                      <w:szCs w:val="21"/>
                    </w:rPr>
                    <w:t>195</w:t>
                  </w:r>
                </w:p>
              </w:tc>
              <w:tc>
                <w:tcPr>
                  <w:tcW w:w="154" w:type="pct"/>
                  <w:tcMar>
                    <w:left w:w="0" w:type="dxa"/>
                    <w:right w:w="0" w:type="dxa"/>
                  </w:tcMar>
                  <w:vAlign w:val="center"/>
                </w:tcPr>
                <w:p w14:paraId="4D4D00EB">
                  <w:pPr>
                    <w:pStyle w:val="477"/>
                    <w:spacing w:after="0"/>
                    <w:rPr>
                      <w:color w:val="auto"/>
                      <w:szCs w:val="21"/>
                    </w:rPr>
                  </w:pPr>
                  <w:r>
                    <w:rPr>
                      <w:rFonts w:hint="eastAsia"/>
                      <w:color w:val="auto"/>
                      <w:szCs w:val="21"/>
                    </w:rPr>
                    <w:t>5</w:t>
                  </w:r>
                </w:p>
              </w:tc>
              <w:tc>
                <w:tcPr>
                  <w:tcW w:w="153" w:type="pct"/>
                  <w:vAlign w:val="center"/>
                </w:tcPr>
                <w:p w14:paraId="2B1FBE48">
                  <w:pPr>
                    <w:jc w:val="center"/>
                    <w:rPr>
                      <w:color w:val="auto"/>
                      <w:szCs w:val="21"/>
                    </w:rPr>
                  </w:pPr>
                  <w:r>
                    <w:rPr>
                      <w:rFonts w:hint="eastAsia"/>
                      <w:color w:val="auto"/>
                      <w:szCs w:val="21"/>
                    </w:rPr>
                    <w:t>1.5</w:t>
                  </w:r>
                </w:p>
              </w:tc>
              <w:tc>
                <w:tcPr>
                  <w:tcW w:w="354" w:type="pct"/>
                  <w:tcMar>
                    <w:left w:w="0" w:type="dxa"/>
                    <w:right w:w="0" w:type="dxa"/>
                  </w:tcMar>
                  <w:vAlign w:val="center"/>
                </w:tcPr>
                <w:p w14:paraId="30AF86F4">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4150B837">
                  <w:pPr>
                    <w:jc w:val="center"/>
                    <w:rPr>
                      <w:color w:val="auto"/>
                      <w:szCs w:val="21"/>
                    </w:rPr>
                  </w:pPr>
                  <w:r>
                    <w:rPr>
                      <w:rFonts w:hint="eastAsia"/>
                      <w:color w:val="auto"/>
                      <w:szCs w:val="21"/>
                    </w:rPr>
                    <w:t>61</w:t>
                  </w:r>
                </w:p>
              </w:tc>
              <w:tc>
                <w:tcPr>
                  <w:tcW w:w="184" w:type="pct"/>
                  <w:tcMar>
                    <w:left w:w="0" w:type="dxa"/>
                    <w:right w:w="0" w:type="dxa"/>
                  </w:tcMar>
                  <w:vAlign w:val="center"/>
                </w:tcPr>
                <w:p w14:paraId="6B05A8D2">
                  <w:pPr>
                    <w:jc w:val="center"/>
                    <w:rPr>
                      <w:color w:val="auto"/>
                      <w:szCs w:val="21"/>
                    </w:rPr>
                  </w:pPr>
                  <w:r>
                    <w:rPr>
                      <w:color w:val="auto"/>
                      <w:szCs w:val="21"/>
                    </w:rPr>
                    <w:t>昼</w:t>
                  </w:r>
                </w:p>
              </w:tc>
              <w:tc>
                <w:tcPr>
                  <w:tcW w:w="442" w:type="pct"/>
                  <w:tcMar>
                    <w:left w:w="0" w:type="dxa"/>
                    <w:right w:w="0" w:type="dxa"/>
                  </w:tcMar>
                  <w:vAlign w:val="center"/>
                </w:tcPr>
                <w:p w14:paraId="686AEC1C">
                  <w:pPr>
                    <w:jc w:val="center"/>
                    <w:rPr>
                      <w:color w:val="auto"/>
                      <w:szCs w:val="21"/>
                    </w:rPr>
                  </w:pPr>
                  <w:r>
                    <w:rPr>
                      <w:rFonts w:hint="eastAsia"/>
                      <w:color w:val="auto"/>
                      <w:szCs w:val="21"/>
                    </w:rPr>
                    <w:t>25</w:t>
                  </w:r>
                </w:p>
              </w:tc>
              <w:tc>
                <w:tcPr>
                  <w:tcW w:w="350" w:type="pct"/>
                  <w:vAlign w:val="center"/>
                </w:tcPr>
                <w:p w14:paraId="50C9C7B3">
                  <w:pPr>
                    <w:jc w:val="center"/>
                    <w:rPr>
                      <w:color w:val="auto"/>
                      <w:szCs w:val="21"/>
                    </w:rPr>
                  </w:pPr>
                  <w:r>
                    <w:rPr>
                      <w:rFonts w:hint="eastAsia"/>
                      <w:color w:val="auto"/>
                      <w:szCs w:val="21"/>
                    </w:rPr>
                    <w:t>30.1</w:t>
                  </w:r>
                </w:p>
              </w:tc>
              <w:tc>
                <w:tcPr>
                  <w:tcW w:w="247" w:type="pct"/>
                  <w:vAlign w:val="center"/>
                </w:tcPr>
                <w:p w14:paraId="7073946C">
                  <w:pPr>
                    <w:pStyle w:val="477"/>
                    <w:spacing w:after="0"/>
                    <w:rPr>
                      <w:color w:val="auto"/>
                      <w:szCs w:val="21"/>
                    </w:rPr>
                  </w:pPr>
                  <w:r>
                    <w:rPr>
                      <w:color w:val="auto"/>
                      <w:szCs w:val="21"/>
                    </w:rPr>
                    <w:t>1</w:t>
                  </w:r>
                </w:p>
              </w:tc>
            </w:tr>
            <w:tr w14:paraId="3A8C6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BCA266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15</w:t>
                  </w:r>
                </w:p>
              </w:tc>
              <w:tc>
                <w:tcPr>
                  <w:tcW w:w="217" w:type="pct"/>
                  <w:vMerge w:val="continue"/>
                  <w:vAlign w:val="center"/>
                </w:tcPr>
                <w:p w14:paraId="6CBE0E14">
                  <w:pPr>
                    <w:adjustRightInd w:val="0"/>
                    <w:snapToGrid w:val="0"/>
                    <w:jc w:val="center"/>
                    <w:rPr>
                      <w:color w:val="auto"/>
                      <w:szCs w:val="21"/>
                    </w:rPr>
                  </w:pPr>
                </w:p>
              </w:tc>
              <w:tc>
                <w:tcPr>
                  <w:tcW w:w="433" w:type="pct"/>
                  <w:vAlign w:val="center"/>
                </w:tcPr>
                <w:p w14:paraId="6F0F1333">
                  <w:pPr>
                    <w:pStyle w:val="477"/>
                    <w:spacing w:after="0"/>
                    <w:rPr>
                      <w:color w:val="auto"/>
                      <w:szCs w:val="21"/>
                    </w:rPr>
                  </w:pPr>
                  <w:r>
                    <w:rPr>
                      <w:color w:val="auto"/>
                      <w:kern w:val="0"/>
                      <w:szCs w:val="21"/>
                      <w:lang w:bidi="ar"/>
                    </w:rPr>
                    <w:t>激光机切管机</w:t>
                  </w:r>
                </w:p>
              </w:tc>
              <w:tc>
                <w:tcPr>
                  <w:tcW w:w="135" w:type="pct"/>
                  <w:vAlign w:val="center"/>
                </w:tcPr>
                <w:p w14:paraId="1E59F72C">
                  <w:pPr>
                    <w:widowControl/>
                    <w:jc w:val="center"/>
                    <w:rPr>
                      <w:color w:val="auto"/>
                      <w:szCs w:val="21"/>
                    </w:rPr>
                  </w:pPr>
                  <w:r>
                    <w:rPr>
                      <w:rFonts w:hint="eastAsia"/>
                      <w:color w:val="auto"/>
                      <w:szCs w:val="21"/>
                    </w:rPr>
                    <w:t>1</w:t>
                  </w:r>
                </w:p>
              </w:tc>
              <w:tc>
                <w:tcPr>
                  <w:tcW w:w="1013" w:type="pct"/>
                  <w:vAlign w:val="center"/>
                </w:tcPr>
                <w:p w14:paraId="19FB52FB">
                  <w:pPr>
                    <w:widowControl/>
                    <w:jc w:val="center"/>
                    <w:rPr>
                      <w:color w:val="auto"/>
                      <w:szCs w:val="21"/>
                    </w:rPr>
                  </w:pPr>
                  <w:r>
                    <w:rPr>
                      <w:color w:val="auto"/>
                      <w:kern w:val="0"/>
                      <w:szCs w:val="21"/>
                      <w:lang w:bidi="ar"/>
                    </w:rPr>
                    <w:t>HS-R3</w:t>
                  </w:r>
                </w:p>
              </w:tc>
              <w:tc>
                <w:tcPr>
                  <w:tcW w:w="377" w:type="pct"/>
                  <w:vAlign w:val="center"/>
                </w:tcPr>
                <w:p w14:paraId="468EC0E2">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1DB814F">
                  <w:pPr>
                    <w:pStyle w:val="477"/>
                    <w:spacing w:after="0"/>
                    <w:rPr>
                      <w:color w:val="auto"/>
                      <w:szCs w:val="21"/>
                    </w:rPr>
                  </w:pPr>
                </w:p>
              </w:tc>
              <w:tc>
                <w:tcPr>
                  <w:tcW w:w="154" w:type="pct"/>
                  <w:tcMar>
                    <w:left w:w="0" w:type="dxa"/>
                    <w:right w:w="0" w:type="dxa"/>
                  </w:tcMar>
                  <w:vAlign w:val="center"/>
                </w:tcPr>
                <w:p w14:paraId="3D5905A7">
                  <w:pPr>
                    <w:pStyle w:val="477"/>
                    <w:spacing w:after="0"/>
                    <w:rPr>
                      <w:color w:val="auto"/>
                      <w:szCs w:val="21"/>
                    </w:rPr>
                  </w:pPr>
                  <w:r>
                    <w:rPr>
                      <w:rFonts w:hint="eastAsia"/>
                      <w:color w:val="auto"/>
                      <w:szCs w:val="21"/>
                    </w:rPr>
                    <w:t>155</w:t>
                  </w:r>
                </w:p>
              </w:tc>
              <w:tc>
                <w:tcPr>
                  <w:tcW w:w="154" w:type="pct"/>
                  <w:tcMar>
                    <w:left w:w="0" w:type="dxa"/>
                    <w:right w:w="0" w:type="dxa"/>
                  </w:tcMar>
                  <w:vAlign w:val="center"/>
                </w:tcPr>
                <w:p w14:paraId="450CDE3B">
                  <w:pPr>
                    <w:pStyle w:val="477"/>
                    <w:spacing w:after="0"/>
                    <w:rPr>
                      <w:color w:val="auto"/>
                      <w:szCs w:val="21"/>
                    </w:rPr>
                  </w:pPr>
                  <w:r>
                    <w:rPr>
                      <w:rFonts w:hint="eastAsia"/>
                      <w:color w:val="auto"/>
                      <w:szCs w:val="21"/>
                    </w:rPr>
                    <w:t>20</w:t>
                  </w:r>
                </w:p>
              </w:tc>
              <w:tc>
                <w:tcPr>
                  <w:tcW w:w="153" w:type="pct"/>
                  <w:vAlign w:val="center"/>
                </w:tcPr>
                <w:p w14:paraId="5721BD59">
                  <w:pPr>
                    <w:jc w:val="center"/>
                    <w:rPr>
                      <w:color w:val="auto"/>
                      <w:szCs w:val="21"/>
                    </w:rPr>
                  </w:pPr>
                  <w:r>
                    <w:rPr>
                      <w:rFonts w:hint="eastAsia"/>
                      <w:color w:val="auto"/>
                      <w:szCs w:val="21"/>
                    </w:rPr>
                    <w:t>1.5</w:t>
                  </w:r>
                </w:p>
              </w:tc>
              <w:tc>
                <w:tcPr>
                  <w:tcW w:w="354" w:type="pct"/>
                  <w:tcMar>
                    <w:left w:w="0" w:type="dxa"/>
                    <w:right w:w="0" w:type="dxa"/>
                  </w:tcMar>
                  <w:vAlign w:val="center"/>
                </w:tcPr>
                <w:p w14:paraId="344C7B25">
                  <w:pPr>
                    <w:pStyle w:val="477"/>
                    <w:spacing w:after="0"/>
                    <w:rPr>
                      <w:color w:val="auto"/>
                      <w:szCs w:val="21"/>
                    </w:rPr>
                  </w:pPr>
                  <w:r>
                    <w:rPr>
                      <w:rFonts w:hint="eastAsia"/>
                      <w:color w:val="auto"/>
                      <w:szCs w:val="21"/>
                    </w:rPr>
                    <w:t>20</w:t>
                  </w:r>
                </w:p>
              </w:tc>
              <w:tc>
                <w:tcPr>
                  <w:tcW w:w="415" w:type="pct"/>
                  <w:tcMar>
                    <w:left w:w="0" w:type="dxa"/>
                    <w:right w:w="0" w:type="dxa"/>
                  </w:tcMar>
                  <w:vAlign w:val="center"/>
                </w:tcPr>
                <w:p w14:paraId="70F25676">
                  <w:pPr>
                    <w:jc w:val="center"/>
                    <w:rPr>
                      <w:color w:val="auto"/>
                      <w:szCs w:val="21"/>
                    </w:rPr>
                  </w:pPr>
                  <w:r>
                    <w:rPr>
                      <w:rFonts w:hint="eastAsia"/>
                      <w:color w:val="auto"/>
                      <w:szCs w:val="21"/>
                    </w:rPr>
                    <w:t>70</w:t>
                  </w:r>
                </w:p>
              </w:tc>
              <w:tc>
                <w:tcPr>
                  <w:tcW w:w="184" w:type="pct"/>
                  <w:tcMar>
                    <w:left w:w="0" w:type="dxa"/>
                    <w:right w:w="0" w:type="dxa"/>
                  </w:tcMar>
                  <w:vAlign w:val="center"/>
                </w:tcPr>
                <w:p w14:paraId="27F36CE0">
                  <w:pPr>
                    <w:jc w:val="center"/>
                    <w:rPr>
                      <w:color w:val="auto"/>
                      <w:szCs w:val="21"/>
                    </w:rPr>
                  </w:pPr>
                  <w:r>
                    <w:rPr>
                      <w:rFonts w:hint="eastAsia"/>
                      <w:color w:val="auto"/>
                      <w:szCs w:val="21"/>
                    </w:rPr>
                    <w:t>昼</w:t>
                  </w:r>
                </w:p>
              </w:tc>
              <w:tc>
                <w:tcPr>
                  <w:tcW w:w="442" w:type="pct"/>
                  <w:tcMar>
                    <w:left w:w="0" w:type="dxa"/>
                    <w:right w:w="0" w:type="dxa"/>
                  </w:tcMar>
                  <w:vAlign w:val="center"/>
                </w:tcPr>
                <w:p w14:paraId="46EDECA2">
                  <w:pPr>
                    <w:jc w:val="center"/>
                    <w:rPr>
                      <w:color w:val="auto"/>
                      <w:szCs w:val="21"/>
                    </w:rPr>
                  </w:pPr>
                  <w:r>
                    <w:rPr>
                      <w:rFonts w:hint="eastAsia"/>
                      <w:color w:val="auto"/>
                      <w:szCs w:val="21"/>
                    </w:rPr>
                    <w:t>25</w:t>
                  </w:r>
                </w:p>
              </w:tc>
              <w:tc>
                <w:tcPr>
                  <w:tcW w:w="350" w:type="pct"/>
                  <w:vAlign w:val="center"/>
                </w:tcPr>
                <w:p w14:paraId="3510CC59">
                  <w:pPr>
                    <w:jc w:val="center"/>
                    <w:rPr>
                      <w:color w:val="auto"/>
                      <w:szCs w:val="21"/>
                    </w:rPr>
                  </w:pPr>
                  <w:r>
                    <w:rPr>
                      <w:rFonts w:hint="eastAsia"/>
                      <w:color w:val="auto"/>
                      <w:szCs w:val="21"/>
                    </w:rPr>
                    <w:t>37.2</w:t>
                  </w:r>
                </w:p>
              </w:tc>
              <w:tc>
                <w:tcPr>
                  <w:tcW w:w="247" w:type="pct"/>
                  <w:vAlign w:val="center"/>
                </w:tcPr>
                <w:p w14:paraId="242BFAF2">
                  <w:pPr>
                    <w:pStyle w:val="477"/>
                    <w:spacing w:after="0"/>
                    <w:rPr>
                      <w:color w:val="auto"/>
                      <w:szCs w:val="21"/>
                    </w:rPr>
                  </w:pPr>
                  <w:r>
                    <w:rPr>
                      <w:color w:val="auto"/>
                      <w:szCs w:val="21"/>
                    </w:rPr>
                    <w:t>1</w:t>
                  </w:r>
                </w:p>
              </w:tc>
            </w:tr>
            <w:tr w14:paraId="1CEDD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0" w:hRule="atLeast"/>
                <w:jc w:val="center"/>
              </w:trPr>
              <w:tc>
                <w:tcPr>
                  <w:tcW w:w="121" w:type="pct"/>
                  <w:shd w:val="clear" w:color="auto" w:fill="auto"/>
                  <w:tcMar>
                    <w:left w:w="0" w:type="dxa"/>
                    <w:right w:w="0" w:type="dxa"/>
                  </w:tcMar>
                  <w:vAlign w:val="center"/>
                </w:tcPr>
                <w:p w14:paraId="37449B2D">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6</w:t>
                  </w:r>
                </w:p>
              </w:tc>
              <w:tc>
                <w:tcPr>
                  <w:tcW w:w="217" w:type="pct"/>
                  <w:vMerge w:val="continue"/>
                  <w:vAlign w:val="center"/>
                </w:tcPr>
                <w:p w14:paraId="25C3EDC3">
                  <w:pPr>
                    <w:adjustRightInd w:val="0"/>
                    <w:snapToGrid w:val="0"/>
                    <w:jc w:val="center"/>
                    <w:rPr>
                      <w:color w:val="auto"/>
                      <w:szCs w:val="21"/>
                    </w:rPr>
                  </w:pPr>
                </w:p>
              </w:tc>
              <w:tc>
                <w:tcPr>
                  <w:tcW w:w="433" w:type="pct"/>
                  <w:vAlign w:val="center"/>
                </w:tcPr>
                <w:p w14:paraId="20486CE8">
                  <w:pPr>
                    <w:pStyle w:val="477"/>
                    <w:spacing w:after="0"/>
                    <w:rPr>
                      <w:color w:val="auto"/>
                      <w:szCs w:val="21"/>
                    </w:rPr>
                  </w:pPr>
                  <w:r>
                    <w:rPr>
                      <w:rFonts w:hint="eastAsia"/>
                      <w:color w:val="auto"/>
                      <w:szCs w:val="21"/>
                    </w:rPr>
                    <w:t>台钻</w:t>
                  </w:r>
                </w:p>
              </w:tc>
              <w:tc>
                <w:tcPr>
                  <w:tcW w:w="135" w:type="pct"/>
                  <w:vAlign w:val="center"/>
                </w:tcPr>
                <w:p w14:paraId="2D16959B">
                  <w:pPr>
                    <w:widowControl/>
                    <w:jc w:val="center"/>
                    <w:rPr>
                      <w:color w:val="auto"/>
                      <w:szCs w:val="21"/>
                    </w:rPr>
                  </w:pPr>
                  <w:r>
                    <w:rPr>
                      <w:rFonts w:hint="eastAsia"/>
                      <w:color w:val="auto"/>
                      <w:szCs w:val="21"/>
                    </w:rPr>
                    <w:t>2</w:t>
                  </w:r>
                </w:p>
              </w:tc>
              <w:tc>
                <w:tcPr>
                  <w:tcW w:w="1013" w:type="pct"/>
                  <w:vAlign w:val="center"/>
                </w:tcPr>
                <w:p w14:paraId="18D045C9">
                  <w:pPr>
                    <w:widowControl/>
                    <w:jc w:val="center"/>
                    <w:rPr>
                      <w:color w:val="auto"/>
                      <w:szCs w:val="21"/>
                    </w:rPr>
                  </w:pPr>
                  <w:r>
                    <w:rPr>
                      <w:rFonts w:hint="eastAsia"/>
                      <w:color w:val="auto"/>
                      <w:szCs w:val="21"/>
                    </w:rPr>
                    <w:t>/</w:t>
                  </w:r>
                </w:p>
              </w:tc>
              <w:tc>
                <w:tcPr>
                  <w:tcW w:w="377" w:type="pct"/>
                  <w:vAlign w:val="center"/>
                </w:tcPr>
                <w:p w14:paraId="5CD3609D">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08A0989">
                  <w:pPr>
                    <w:pStyle w:val="477"/>
                    <w:spacing w:after="0"/>
                    <w:rPr>
                      <w:color w:val="auto"/>
                      <w:szCs w:val="21"/>
                    </w:rPr>
                  </w:pPr>
                </w:p>
              </w:tc>
              <w:tc>
                <w:tcPr>
                  <w:tcW w:w="154" w:type="pct"/>
                  <w:tcMar>
                    <w:left w:w="0" w:type="dxa"/>
                    <w:right w:w="0" w:type="dxa"/>
                  </w:tcMar>
                  <w:vAlign w:val="center"/>
                </w:tcPr>
                <w:p w14:paraId="2086873E">
                  <w:pPr>
                    <w:pStyle w:val="477"/>
                    <w:spacing w:after="0"/>
                    <w:rPr>
                      <w:color w:val="auto"/>
                      <w:szCs w:val="21"/>
                    </w:rPr>
                  </w:pPr>
                  <w:r>
                    <w:rPr>
                      <w:rFonts w:hint="eastAsia"/>
                      <w:color w:val="auto"/>
                      <w:szCs w:val="21"/>
                    </w:rPr>
                    <w:t>180</w:t>
                  </w:r>
                </w:p>
              </w:tc>
              <w:tc>
                <w:tcPr>
                  <w:tcW w:w="154" w:type="pct"/>
                  <w:tcMar>
                    <w:left w:w="0" w:type="dxa"/>
                    <w:right w:w="0" w:type="dxa"/>
                  </w:tcMar>
                  <w:vAlign w:val="center"/>
                </w:tcPr>
                <w:p w14:paraId="611A5C92">
                  <w:pPr>
                    <w:pStyle w:val="477"/>
                    <w:spacing w:after="0"/>
                    <w:rPr>
                      <w:color w:val="auto"/>
                      <w:szCs w:val="21"/>
                    </w:rPr>
                  </w:pPr>
                  <w:r>
                    <w:rPr>
                      <w:rFonts w:hint="eastAsia"/>
                      <w:color w:val="auto"/>
                      <w:szCs w:val="21"/>
                    </w:rPr>
                    <w:t>50</w:t>
                  </w:r>
                </w:p>
              </w:tc>
              <w:tc>
                <w:tcPr>
                  <w:tcW w:w="153" w:type="pct"/>
                  <w:vAlign w:val="center"/>
                </w:tcPr>
                <w:p w14:paraId="34551241">
                  <w:pPr>
                    <w:pStyle w:val="477"/>
                    <w:spacing w:after="0"/>
                    <w:rPr>
                      <w:color w:val="auto"/>
                      <w:szCs w:val="21"/>
                    </w:rPr>
                  </w:pPr>
                  <w:r>
                    <w:rPr>
                      <w:rFonts w:hint="eastAsia"/>
                      <w:color w:val="auto"/>
                      <w:szCs w:val="21"/>
                    </w:rPr>
                    <w:t>2</w:t>
                  </w:r>
                </w:p>
              </w:tc>
              <w:tc>
                <w:tcPr>
                  <w:tcW w:w="354" w:type="pct"/>
                  <w:tcMar>
                    <w:left w:w="0" w:type="dxa"/>
                    <w:right w:w="0" w:type="dxa"/>
                  </w:tcMar>
                  <w:vAlign w:val="center"/>
                </w:tcPr>
                <w:p w14:paraId="698B2B88">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0696DBEA">
                  <w:pPr>
                    <w:jc w:val="center"/>
                    <w:rPr>
                      <w:color w:val="auto"/>
                      <w:szCs w:val="21"/>
                    </w:rPr>
                  </w:pPr>
                  <w:r>
                    <w:rPr>
                      <w:rFonts w:hint="eastAsia"/>
                      <w:color w:val="auto"/>
                      <w:szCs w:val="21"/>
                    </w:rPr>
                    <w:t>55.1</w:t>
                  </w:r>
                </w:p>
              </w:tc>
              <w:tc>
                <w:tcPr>
                  <w:tcW w:w="184" w:type="pct"/>
                  <w:tcMar>
                    <w:left w:w="0" w:type="dxa"/>
                    <w:right w:w="0" w:type="dxa"/>
                  </w:tcMar>
                  <w:vAlign w:val="center"/>
                </w:tcPr>
                <w:p w14:paraId="05C28554">
                  <w:pPr>
                    <w:jc w:val="center"/>
                    <w:rPr>
                      <w:color w:val="auto"/>
                      <w:szCs w:val="21"/>
                    </w:rPr>
                  </w:pPr>
                  <w:r>
                    <w:rPr>
                      <w:color w:val="auto"/>
                      <w:szCs w:val="21"/>
                    </w:rPr>
                    <w:t>昼</w:t>
                  </w:r>
                </w:p>
              </w:tc>
              <w:tc>
                <w:tcPr>
                  <w:tcW w:w="442" w:type="pct"/>
                  <w:tcMar>
                    <w:left w:w="0" w:type="dxa"/>
                    <w:right w:w="0" w:type="dxa"/>
                  </w:tcMar>
                  <w:vAlign w:val="center"/>
                </w:tcPr>
                <w:p w14:paraId="22CC4A18">
                  <w:pPr>
                    <w:jc w:val="center"/>
                    <w:rPr>
                      <w:color w:val="auto"/>
                      <w:szCs w:val="21"/>
                    </w:rPr>
                  </w:pPr>
                  <w:r>
                    <w:rPr>
                      <w:rFonts w:hint="eastAsia"/>
                      <w:color w:val="auto"/>
                      <w:szCs w:val="21"/>
                    </w:rPr>
                    <w:t>25</w:t>
                  </w:r>
                </w:p>
              </w:tc>
              <w:tc>
                <w:tcPr>
                  <w:tcW w:w="350" w:type="pct"/>
                  <w:vAlign w:val="center"/>
                </w:tcPr>
                <w:p w14:paraId="071A3077">
                  <w:pPr>
                    <w:jc w:val="center"/>
                    <w:rPr>
                      <w:color w:val="auto"/>
                      <w:szCs w:val="21"/>
                    </w:rPr>
                  </w:pPr>
                  <w:r>
                    <w:rPr>
                      <w:rFonts w:hint="eastAsia"/>
                      <w:color w:val="auto"/>
                      <w:szCs w:val="21"/>
                    </w:rPr>
                    <w:t>28.9</w:t>
                  </w:r>
                </w:p>
              </w:tc>
              <w:tc>
                <w:tcPr>
                  <w:tcW w:w="247" w:type="pct"/>
                  <w:vAlign w:val="center"/>
                </w:tcPr>
                <w:p w14:paraId="1B3FD4F6">
                  <w:pPr>
                    <w:pStyle w:val="477"/>
                    <w:spacing w:after="0"/>
                    <w:rPr>
                      <w:color w:val="auto"/>
                      <w:szCs w:val="21"/>
                    </w:rPr>
                  </w:pPr>
                  <w:r>
                    <w:rPr>
                      <w:color w:val="auto"/>
                      <w:szCs w:val="21"/>
                    </w:rPr>
                    <w:t>1</w:t>
                  </w:r>
                </w:p>
              </w:tc>
            </w:tr>
            <w:tr w14:paraId="080E3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D6A71B8">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7</w:t>
                  </w:r>
                </w:p>
              </w:tc>
              <w:tc>
                <w:tcPr>
                  <w:tcW w:w="217" w:type="pct"/>
                  <w:vMerge w:val="continue"/>
                  <w:vAlign w:val="center"/>
                </w:tcPr>
                <w:p w14:paraId="2627F800">
                  <w:pPr>
                    <w:adjustRightInd w:val="0"/>
                    <w:snapToGrid w:val="0"/>
                    <w:jc w:val="center"/>
                    <w:rPr>
                      <w:color w:val="auto"/>
                      <w:szCs w:val="21"/>
                    </w:rPr>
                  </w:pPr>
                </w:p>
              </w:tc>
              <w:tc>
                <w:tcPr>
                  <w:tcW w:w="433" w:type="pct"/>
                  <w:vAlign w:val="center"/>
                </w:tcPr>
                <w:p w14:paraId="6CED3042">
                  <w:pPr>
                    <w:pStyle w:val="477"/>
                    <w:spacing w:after="0"/>
                    <w:rPr>
                      <w:color w:val="auto"/>
                      <w:szCs w:val="21"/>
                    </w:rPr>
                  </w:pPr>
                  <w:r>
                    <w:rPr>
                      <w:rFonts w:hint="eastAsia"/>
                      <w:color w:val="auto"/>
                      <w:kern w:val="0"/>
                      <w:szCs w:val="21"/>
                      <w:lang w:eastAsia="zh-CN" w:bidi="ar"/>
                    </w:rPr>
                    <w:t>水分</w:t>
                  </w:r>
                  <w:r>
                    <w:rPr>
                      <w:color w:val="auto"/>
                      <w:kern w:val="0"/>
                      <w:szCs w:val="21"/>
                      <w:lang w:bidi="ar"/>
                    </w:rPr>
                    <w:t>烘干炉</w:t>
                  </w:r>
                </w:p>
              </w:tc>
              <w:tc>
                <w:tcPr>
                  <w:tcW w:w="135" w:type="pct"/>
                  <w:vAlign w:val="center"/>
                </w:tcPr>
                <w:p w14:paraId="1064091B">
                  <w:pPr>
                    <w:widowControl/>
                    <w:jc w:val="center"/>
                    <w:rPr>
                      <w:color w:val="auto"/>
                      <w:szCs w:val="21"/>
                    </w:rPr>
                  </w:pPr>
                  <w:r>
                    <w:rPr>
                      <w:rFonts w:hint="eastAsia"/>
                      <w:color w:val="auto"/>
                      <w:szCs w:val="21"/>
                    </w:rPr>
                    <w:t>1</w:t>
                  </w:r>
                </w:p>
              </w:tc>
              <w:tc>
                <w:tcPr>
                  <w:tcW w:w="1013" w:type="pct"/>
                  <w:vAlign w:val="center"/>
                </w:tcPr>
                <w:p w14:paraId="50A3036D">
                  <w:pPr>
                    <w:widowControl/>
                    <w:jc w:val="center"/>
                    <w:rPr>
                      <w:color w:val="auto"/>
                      <w:szCs w:val="21"/>
                    </w:rPr>
                  </w:pPr>
                  <w:r>
                    <w:rPr>
                      <w:rFonts w:hint="eastAsia"/>
                      <w:color w:val="auto"/>
                      <w:szCs w:val="21"/>
                    </w:rPr>
                    <w:t>/</w:t>
                  </w:r>
                </w:p>
              </w:tc>
              <w:tc>
                <w:tcPr>
                  <w:tcW w:w="377" w:type="pct"/>
                  <w:vAlign w:val="center"/>
                </w:tcPr>
                <w:p w14:paraId="05034E04">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54635AE7">
                  <w:pPr>
                    <w:pStyle w:val="477"/>
                    <w:spacing w:after="0"/>
                    <w:rPr>
                      <w:color w:val="auto"/>
                      <w:szCs w:val="21"/>
                    </w:rPr>
                  </w:pPr>
                </w:p>
              </w:tc>
              <w:tc>
                <w:tcPr>
                  <w:tcW w:w="154" w:type="pct"/>
                  <w:tcMar>
                    <w:left w:w="0" w:type="dxa"/>
                    <w:right w:w="0" w:type="dxa"/>
                  </w:tcMar>
                  <w:vAlign w:val="center"/>
                </w:tcPr>
                <w:p w14:paraId="661E8066">
                  <w:pPr>
                    <w:pStyle w:val="477"/>
                    <w:spacing w:after="0"/>
                    <w:rPr>
                      <w:color w:val="auto"/>
                      <w:szCs w:val="21"/>
                    </w:rPr>
                  </w:pPr>
                  <w:r>
                    <w:rPr>
                      <w:rFonts w:hint="eastAsia"/>
                      <w:color w:val="auto"/>
                      <w:szCs w:val="21"/>
                    </w:rPr>
                    <w:t>120</w:t>
                  </w:r>
                </w:p>
              </w:tc>
              <w:tc>
                <w:tcPr>
                  <w:tcW w:w="154" w:type="pct"/>
                  <w:tcMar>
                    <w:left w:w="0" w:type="dxa"/>
                    <w:right w:w="0" w:type="dxa"/>
                  </w:tcMar>
                  <w:vAlign w:val="center"/>
                </w:tcPr>
                <w:p w14:paraId="530CA380">
                  <w:pPr>
                    <w:pStyle w:val="477"/>
                    <w:spacing w:after="0"/>
                    <w:rPr>
                      <w:color w:val="auto"/>
                      <w:szCs w:val="21"/>
                    </w:rPr>
                  </w:pPr>
                  <w:r>
                    <w:rPr>
                      <w:rFonts w:hint="eastAsia"/>
                      <w:color w:val="auto"/>
                      <w:szCs w:val="21"/>
                    </w:rPr>
                    <w:t>60</w:t>
                  </w:r>
                </w:p>
              </w:tc>
              <w:tc>
                <w:tcPr>
                  <w:tcW w:w="153" w:type="pct"/>
                  <w:vAlign w:val="center"/>
                </w:tcPr>
                <w:p w14:paraId="729A155C">
                  <w:pPr>
                    <w:pStyle w:val="477"/>
                    <w:spacing w:after="0"/>
                    <w:rPr>
                      <w:color w:val="auto"/>
                      <w:szCs w:val="21"/>
                    </w:rPr>
                  </w:pPr>
                  <w:r>
                    <w:rPr>
                      <w:rFonts w:hint="eastAsia"/>
                      <w:color w:val="auto"/>
                      <w:szCs w:val="21"/>
                    </w:rPr>
                    <w:t>3</w:t>
                  </w:r>
                </w:p>
              </w:tc>
              <w:tc>
                <w:tcPr>
                  <w:tcW w:w="354" w:type="pct"/>
                  <w:tcMar>
                    <w:left w:w="0" w:type="dxa"/>
                    <w:right w:w="0" w:type="dxa"/>
                  </w:tcMar>
                  <w:vAlign w:val="center"/>
                </w:tcPr>
                <w:p w14:paraId="33A1F3F2">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33578275">
                  <w:pPr>
                    <w:jc w:val="center"/>
                    <w:rPr>
                      <w:color w:val="auto"/>
                      <w:szCs w:val="21"/>
                    </w:rPr>
                  </w:pPr>
                  <w:r>
                    <w:rPr>
                      <w:rFonts w:hint="eastAsia"/>
                      <w:color w:val="auto"/>
                      <w:szCs w:val="21"/>
                    </w:rPr>
                    <w:t>45.2</w:t>
                  </w:r>
                </w:p>
              </w:tc>
              <w:tc>
                <w:tcPr>
                  <w:tcW w:w="184" w:type="pct"/>
                  <w:tcMar>
                    <w:left w:w="0" w:type="dxa"/>
                    <w:right w:w="0" w:type="dxa"/>
                  </w:tcMar>
                  <w:vAlign w:val="center"/>
                </w:tcPr>
                <w:p w14:paraId="7B3884FA">
                  <w:pPr>
                    <w:jc w:val="center"/>
                    <w:rPr>
                      <w:color w:val="auto"/>
                      <w:szCs w:val="21"/>
                    </w:rPr>
                  </w:pPr>
                  <w:r>
                    <w:rPr>
                      <w:rFonts w:hint="eastAsia"/>
                      <w:color w:val="auto"/>
                      <w:szCs w:val="21"/>
                    </w:rPr>
                    <w:t>昼</w:t>
                  </w:r>
                </w:p>
              </w:tc>
              <w:tc>
                <w:tcPr>
                  <w:tcW w:w="442" w:type="pct"/>
                  <w:tcMar>
                    <w:left w:w="0" w:type="dxa"/>
                    <w:right w:w="0" w:type="dxa"/>
                  </w:tcMar>
                  <w:vAlign w:val="center"/>
                </w:tcPr>
                <w:p w14:paraId="5FF125AA">
                  <w:pPr>
                    <w:jc w:val="center"/>
                    <w:rPr>
                      <w:color w:val="auto"/>
                      <w:szCs w:val="21"/>
                    </w:rPr>
                  </w:pPr>
                  <w:r>
                    <w:rPr>
                      <w:rFonts w:hint="eastAsia"/>
                      <w:color w:val="auto"/>
                      <w:szCs w:val="21"/>
                    </w:rPr>
                    <w:t>25</w:t>
                  </w:r>
                </w:p>
              </w:tc>
              <w:tc>
                <w:tcPr>
                  <w:tcW w:w="350" w:type="pct"/>
                  <w:vAlign w:val="center"/>
                </w:tcPr>
                <w:p w14:paraId="709849D7">
                  <w:pPr>
                    <w:jc w:val="center"/>
                    <w:rPr>
                      <w:color w:val="auto"/>
                      <w:szCs w:val="21"/>
                    </w:rPr>
                  </w:pPr>
                  <w:r>
                    <w:rPr>
                      <w:rFonts w:hint="eastAsia"/>
                      <w:color w:val="auto"/>
                      <w:szCs w:val="21"/>
                    </w:rPr>
                    <w:t>25.7</w:t>
                  </w:r>
                </w:p>
              </w:tc>
              <w:tc>
                <w:tcPr>
                  <w:tcW w:w="247" w:type="pct"/>
                  <w:vAlign w:val="center"/>
                </w:tcPr>
                <w:p w14:paraId="70F41A7B">
                  <w:pPr>
                    <w:pStyle w:val="477"/>
                    <w:spacing w:after="0"/>
                    <w:rPr>
                      <w:color w:val="auto"/>
                      <w:szCs w:val="21"/>
                    </w:rPr>
                  </w:pPr>
                  <w:r>
                    <w:rPr>
                      <w:color w:val="auto"/>
                      <w:szCs w:val="21"/>
                    </w:rPr>
                    <w:t>1</w:t>
                  </w:r>
                </w:p>
              </w:tc>
            </w:tr>
            <w:tr w14:paraId="04596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A74CEE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1</w:t>
                  </w:r>
                  <w:r>
                    <w:rPr>
                      <w:rFonts w:hint="eastAsia"/>
                      <w:color w:val="auto"/>
                      <w:kern w:val="0"/>
                      <w:szCs w:val="21"/>
                      <w:lang w:bidi="ar"/>
                    </w:rPr>
                    <w:t>8</w:t>
                  </w:r>
                </w:p>
              </w:tc>
              <w:tc>
                <w:tcPr>
                  <w:tcW w:w="217" w:type="pct"/>
                  <w:vMerge w:val="continue"/>
                  <w:vAlign w:val="center"/>
                </w:tcPr>
                <w:p w14:paraId="72057647">
                  <w:pPr>
                    <w:adjustRightInd w:val="0"/>
                    <w:snapToGrid w:val="0"/>
                    <w:jc w:val="center"/>
                    <w:rPr>
                      <w:color w:val="auto"/>
                      <w:szCs w:val="21"/>
                    </w:rPr>
                  </w:pPr>
                </w:p>
              </w:tc>
              <w:tc>
                <w:tcPr>
                  <w:tcW w:w="433" w:type="pct"/>
                  <w:vAlign w:val="center"/>
                </w:tcPr>
                <w:p w14:paraId="53F4897E">
                  <w:pPr>
                    <w:pStyle w:val="477"/>
                    <w:spacing w:after="0"/>
                    <w:rPr>
                      <w:color w:val="auto"/>
                      <w:szCs w:val="21"/>
                    </w:rPr>
                  </w:pPr>
                  <w:r>
                    <w:rPr>
                      <w:color w:val="auto"/>
                      <w:kern w:val="0"/>
                      <w:szCs w:val="21"/>
                      <w:lang w:bidi="ar"/>
                    </w:rPr>
                    <w:t>静电喷枪</w:t>
                  </w:r>
                </w:p>
              </w:tc>
              <w:tc>
                <w:tcPr>
                  <w:tcW w:w="135" w:type="pct"/>
                  <w:vAlign w:val="center"/>
                </w:tcPr>
                <w:p w14:paraId="49528354">
                  <w:pPr>
                    <w:widowControl/>
                    <w:jc w:val="center"/>
                    <w:rPr>
                      <w:color w:val="auto"/>
                      <w:szCs w:val="21"/>
                    </w:rPr>
                  </w:pPr>
                  <w:r>
                    <w:rPr>
                      <w:rFonts w:hint="eastAsia"/>
                      <w:color w:val="auto"/>
                      <w:szCs w:val="21"/>
                    </w:rPr>
                    <w:t>4</w:t>
                  </w:r>
                </w:p>
              </w:tc>
              <w:tc>
                <w:tcPr>
                  <w:tcW w:w="1013" w:type="pct"/>
                  <w:vAlign w:val="center"/>
                </w:tcPr>
                <w:p w14:paraId="192B1315">
                  <w:pPr>
                    <w:widowControl/>
                    <w:jc w:val="center"/>
                    <w:rPr>
                      <w:color w:val="auto"/>
                      <w:szCs w:val="21"/>
                    </w:rPr>
                  </w:pPr>
                  <w:r>
                    <w:rPr>
                      <w:rFonts w:hint="eastAsia"/>
                      <w:color w:val="auto"/>
                      <w:szCs w:val="21"/>
                    </w:rPr>
                    <w:t>/</w:t>
                  </w:r>
                </w:p>
              </w:tc>
              <w:tc>
                <w:tcPr>
                  <w:tcW w:w="377" w:type="pct"/>
                  <w:vAlign w:val="center"/>
                </w:tcPr>
                <w:p w14:paraId="4830DA5D">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D2EEB1E">
                  <w:pPr>
                    <w:pStyle w:val="477"/>
                    <w:spacing w:after="0"/>
                    <w:rPr>
                      <w:color w:val="auto"/>
                      <w:szCs w:val="21"/>
                    </w:rPr>
                  </w:pPr>
                </w:p>
              </w:tc>
              <w:tc>
                <w:tcPr>
                  <w:tcW w:w="154" w:type="pct"/>
                  <w:tcMar>
                    <w:left w:w="0" w:type="dxa"/>
                    <w:right w:w="0" w:type="dxa"/>
                  </w:tcMar>
                  <w:vAlign w:val="center"/>
                </w:tcPr>
                <w:p w14:paraId="15A652B7">
                  <w:pPr>
                    <w:pStyle w:val="477"/>
                    <w:spacing w:after="0"/>
                    <w:rPr>
                      <w:color w:val="auto"/>
                      <w:szCs w:val="21"/>
                    </w:rPr>
                  </w:pPr>
                  <w:r>
                    <w:rPr>
                      <w:rFonts w:hint="eastAsia"/>
                      <w:color w:val="auto"/>
                      <w:szCs w:val="21"/>
                    </w:rPr>
                    <w:t>120</w:t>
                  </w:r>
                </w:p>
              </w:tc>
              <w:tc>
                <w:tcPr>
                  <w:tcW w:w="154" w:type="pct"/>
                  <w:tcMar>
                    <w:left w:w="0" w:type="dxa"/>
                    <w:right w:w="0" w:type="dxa"/>
                  </w:tcMar>
                  <w:vAlign w:val="center"/>
                </w:tcPr>
                <w:p w14:paraId="1A8FE363">
                  <w:pPr>
                    <w:pStyle w:val="477"/>
                    <w:spacing w:after="0"/>
                    <w:rPr>
                      <w:color w:val="auto"/>
                      <w:szCs w:val="21"/>
                    </w:rPr>
                  </w:pPr>
                  <w:r>
                    <w:rPr>
                      <w:rFonts w:hint="eastAsia"/>
                      <w:color w:val="auto"/>
                      <w:szCs w:val="21"/>
                    </w:rPr>
                    <w:t>70</w:t>
                  </w:r>
                </w:p>
              </w:tc>
              <w:tc>
                <w:tcPr>
                  <w:tcW w:w="153" w:type="pct"/>
                  <w:vAlign w:val="center"/>
                </w:tcPr>
                <w:p w14:paraId="594335BD">
                  <w:pPr>
                    <w:pStyle w:val="477"/>
                    <w:spacing w:after="0"/>
                    <w:rPr>
                      <w:color w:val="auto"/>
                      <w:szCs w:val="21"/>
                    </w:rPr>
                  </w:pPr>
                  <w:r>
                    <w:rPr>
                      <w:rFonts w:hint="eastAsia"/>
                      <w:color w:val="auto"/>
                      <w:szCs w:val="21"/>
                    </w:rPr>
                    <w:t>1</w:t>
                  </w:r>
                </w:p>
              </w:tc>
              <w:tc>
                <w:tcPr>
                  <w:tcW w:w="354" w:type="pct"/>
                  <w:tcMar>
                    <w:left w:w="0" w:type="dxa"/>
                    <w:right w:w="0" w:type="dxa"/>
                  </w:tcMar>
                  <w:vAlign w:val="center"/>
                </w:tcPr>
                <w:p w14:paraId="591F5E3F">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6B48EA0C">
                  <w:pPr>
                    <w:jc w:val="center"/>
                    <w:rPr>
                      <w:color w:val="auto"/>
                      <w:szCs w:val="21"/>
                    </w:rPr>
                  </w:pPr>
                  <w:r>
                    <w:rPr>
                      <w:rFonts w:hint="eastAsia"/>
                      <w:color w:val="auto"/>
                      <w:szCs w:val="21"/>
                    </w:rPr>
                    <w:t>41.3</w:t>
                  </w:r>
                </w:p>
              </w:tc>
              <w:tc>
                <w:tcPr>
                  <w:tcW w:w="184" w:type="pct"/>
                  <w:tcMar>
                    <w:left w:w="0" w:type="dxa"/>
                    <w:right w:w="0" w:type="dxa"/>
                  </w:tcMar>
                  <w:vAlign w:val="center"/>
                </w:tcPr>
                <w:p w14:paraId="4D4C9775">
                  <w:pPr>
                    <w:jc w:val="center"/>
                    <w:rPr>
                      <w:color w:val="auto"/>
                      <w:szCs w:val="21"/>
                    </w:rPr>
                  </w:pPr>
                  <w:r>
                    <w:rPr>
                      <w:color w:val="auto"/>
                      <w:szCs w:val="21"/>
                    </w:rPr>
                    <w:t>昼</w:t>
                  </w:r>
                </w:p>
              </w:tc>
              <w:tc>
                <w:tcPr>
                  <w:tcW w:w="442" w:type="pct"/>
                  <w:tcMar>
                    <w:left w:w="0" w:type="dxa"/>
                    <w:right w:w="0" w:type="dxa"/>
                  </w:tcMar>
                  <w:vAlign w:val="center"/>
                </w:tcPr>
                <w:p w14:paraId="029FA09B">
                  <w:pPr>
                    <w:jc w:val="center"/>
                    <w:rPr>
                      <w:color w:val="auto"/>
                      <w:szCs w:val="21"/>
                    </w:rPr>
                  </w:pPr>
                  <w:r>
                    <w:rPr>
                      <w:rFonts w:hint="eastAsia"/>
                      <w:color w:val="auto"/>
                      <w:szCs w:val="21"/>
                    </w:rPr>
                    <w:t>25</w:t>
                  </w:r>
                </w:p>
              </w:tc>
              <w:tc>
                <w:tcPr>
                  <w:tcW w:w="350" w:type="pct"/>
                  <w:vAlign w:val="center"/>
                </w:tcPr>
                <w:p w14:paraId="2F1C75AC">
                  <w:pPr>
                    <w:jc w:val="center"/>
                    <w:rPr>
                      <w:color w:val="auto"/>
                      <w:szCs w:val="21"/>
                    </w:rPr>
                  </w:pPr>
                  <w:r>
                    <w:rPr>
                      <w:rFonts w:hint="eastAsia"/>
                      <w:color w:val="auto"/>
                      <w:szCs w:val="21"/>
                    </w:rPr>
                    <w:t>21</w:t>
                  </w:r>
                </w:p>
              </w:tc>
              <w:tc>
                <w:tcPr>
                  <w:tcW w:w="247" w:type="pct"/>
                  <w:vAlign w:val="center"/>
                </w:tcPr>
                <w:p w14:paraId="27AF7880">
                  <w:pPr>
                    <w:pStyle w:val="477"/>
                    <w:spacing w:after="0"/>
                    <w:rPr>
                      <w:color w:val="auto"/>
                      <w:szCs w:val="21"/>
                    </w:rPr>
                  </w:pPr>
                  <w:r>
                    <w:rPr>
                      <w:color w:val="auto"/>
                      <w:szCs w:val="21"/>
                    </w:rPr>
                    <w:t>1</w:t>
                  </w:r>
                </w:p>
              </w:tc>
            </w:tr>
            <w:tr w14:paraId="3A0ED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7105177">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19</w:t>
                  </w:r>
                </w:p>
              </w:tc>
              <w:tc>
                <w:tcPr>
                  <w:tcW w:w="217" w:type="pct"/>
                  <w:vMerge w:val="continue"/>
                  <w:vAlign w:val="center"/>
                </w:tcPr>
                <w:p w14:paraId="039747ED">
                  <w:pPr>
                    <w:adjustRightInd w:val="0"/>
                    <w:snapToGrid w:val="0"/>
                    <w:jc w:val="center"/>
                    <w:rPr>
                      <w:color w:val="auto"/>
                      <w:szCs w:val="21"/>
                    </w:rPr>
                  </w:pPr>
                </w:p>
              </w:tc>
              <w:tc>
                <w:tcPr>
                  <w:tcW w:w="433" w:type="pct"/>
                  <w:vAlign w:val="center"/>
                </w:tcPr>
                <w:p w14:paraId="77536E65">
                  <w:pPr>
                    <w:pStyle w:val="477"/>
                    <w:spacing w:after="0"/>
                    <w:rPr>
                      <w:color w:val="auto"/>
                      <w:szCs w:val="21"/>
                    </w:rPr>
                  </w:pPr>
                  <w:r>
                    <w:rPr>
                      <w:color w:val="auto"/>
                      <w:kern w:val="0"/>
                      <w:szCs w:val="21"/>
                      <w:lang w:bidi="ar"/>
                    </w:rPr>
                    <w:t>粉末固化炉</w:t>
                  </w:r>
                </w:p>
              </w:tc>
              <w:tc>
                <w:tcPr>
                  <w:tcW w:w="135" w:type="pct"/>
                  <w:vAlign w:val="center"/>
                </w:tcPr>
                <w:p w14:paraId="1E0A2216">
                  <w:pPr>
                    <w:widowControl/>
                    <w:jc w:val="center"/>
                    <w:rPr>
                      <w:color w:val="auto"/>
                      <w:szCs w:val="21"/>
                    </w:rPr>
                  </w:pPr>
                  <w:r>
                    <w:rPr>
                      <w:rFonts w:hint="eastAsia"/>
                      <w:color w:val="auto"/>
                      <w:szCs w:val="21"/>
                    </w:rPr>
                    <w:t>1</w:t>
                  </w:r>
                </w:p>
              </w:tc>
              <w:tc>
                <w:tcPr>
                  <w:tcW w:w="1013" w:type="pct"/>
                  <w:vAlign w:val="center"/>
                </w:tcPr>
                <w:p w14:paraId="1723E545">
                  <w:pPr>
                    <w:widowControl/>
                    <w:jc w:val="center"/>
                    <w:rPr>
                      <w:color w:val="auto"/>
                      <w:szCs w:val="21"/>
                    </w:rPr>
                  </w:pPr>
                  <w:r>
                    <w:rPr>
                      <w:rFonts w:hint="eastAsia"/>
                      <w:color w:val="auto"/>
                      <w:szCs w:val="21"/>
                    </w:rPr>
                    <w:t>/</w:t>
                  </w:r>
                </w:p>
              </w:tc>
              <w:tc>
                <w:tcPr>
                  <w:tcW w:w="377" w:type="pct"/>
                  <w:vAlign w:val="center"/>
                </w:tcPr>
                <w:p w14:paraId="2D334619">
                  <w:pPr>
                    <w:adjustRightInd w:val="0"/>
                    <w:snapToGrid w:val="0"/>
                    <w:jc w:val="center"/>
                    <w:rPr>
                      <w:color w:val="auto"/>
                      <w:szCs w:val="21"/>
                    </w:rPr>
                  </w:pPr>
                  <w:r>
                    <w:rPr>
                      <w:color w:val="auto"/>
                      <w:szCs w:val="21"/>
                    </w:rPr>
                    <w:t>85</w:t>
                  </w:r>
                </w:p>
              </w:tc>
              <w:tc>
                <w:tcPr>
                  <w:tcW w:w="246" w:type="pct"/>
                  <w:vMerge w:val="continue"/>
                  <w:vAlign w:val="center"/>
                </w:tcPr>
                <w:p w14:paraId="5C4AB08A">
                  <w:pPr>
                    <w:pStyle w:val="477"/>
                    <w:spacing w:after="0"/>
                    <w:rPr>
                      <w:color w:val="auto"/>
                      <w:szCs w:val="21"/>
                    </w:rPr>
                  </w:pPr>
                </w:p>
              </w:tc>
              <w:tc>
                <w:tcPr>
                  <w:tcW w:w="154" w:type="pct"/>
                  <w:tcMar>
                    <w:left w:w="0" w:type="dxa"/>
                    <w:right w:w="0" w:type="dxa"/>
                  </w:tcMar>
                  <w:vAlign w:val="center"/>
                </w:tcPr>
                <w:p w14:paraId="5148450A">
                  <w:pPr>
                    <w:pStyle w:val="477"/>
                    <w:spacing w:after="0"/>
                    <w:rPr>
                      <w:color w:val="auto"/>
                      <w:szCs w:val="21"/>
                    </w:rPr>
                  </w:pPr>
                  <w:r>
                    <w:rPr>
                      <w:rFonts w:hint="eastAsia"/>
                      <w:color w:val="auto"/>
                      <w:szCs w:val="21"/>
                    </w:rPr>
                    <w:t>125</w:t>
                  </w:r>
                </w:p>
              </w:tc>
              <w:tc>
                <w:tcPr>
                  <w:tcW w:w="154" w:type="pct"/>
                  <w:tcMar>
                    <w:left w:w="0" w:type="dxa"/>
                    <w:right w:w="0" w:type="dxa"/>
                  </w:tcMar>
                  <w:vAlign w:val="center"/>
                </w:tcPr>
                <w:p w14:paraId="5EAD35CF">
                  <w:pPr>
                    <w:pStyle w:val="477"/>
                    <w:spacing w:after="0"/>
                    <w:rPr>
                      <w:color w:val="auto"/>
                      <w:szCs w:val="21"/>
                    </w:rPr>
                  </w:pPr>
                  <w:r>
                    <w:rPr>
                      <w:rFonts w:hint="eastAsia"/>
                      <w:color w:val="auto"/>
                      <w:szCs w:val="21"/>
                    </w:rPr>
                    <w:t>60</w:t>
                  </w:r>
                </w:p>
              </w:tc>
              <w:tc>
                <w:tcPr>
                  <w:tcW w:w="153" w:type="pct"/>
                  <w:vAlign w:val="center"/>
                </w:tcPr>
                <w:p w14:paraId="0932559F">
                  <w:pPr>
                    <w:pStyle w:val="477"/>
                    <w:spacing w:after="0"/>
                    <w:rPr>
                      <w:color w:val="auto"/>
                      <w:szCs w:val="21"/>
                    </w:rPr>
                  </w:pPr>
                  <w:r>
                    <w:rPr>
                      <w:rFonts w:hint="eastAsia"/>
                      <w:color w:val="auto"/>
                      <w:szCs w:val="21"/>
                    </w:rPr>
                    <w:t>3</w:t>
                  </w:r>
                </w:p>
              </w:tc>
              <w:tc>
                <w:tcPr>
                  <w:tcW w:w="354" w:type="pct"/>
                  <w:tcMar>
                    <w:left w:w="0" w:type="dxa"/>
                    <w:right w:w="0" w:type="dxa"/>
                  </w:tcMar>
                  <w:vAlign w:val="center"/>
                </w:tcPr>
                <w:p w14:paraId="429DF2D7">
                  <w:pPr>
                    <w:pStyle w:val="477"/>
                    <w:spacing w:after="0"/>
                    <w:rPr>
                      <w:color w:val="auto"/>
                      <w:szCs w:val="21"/>
                    </w:rPr>
                  </w:pPr>
                  <w:r>
                    <w:rPr>
                      <w:rFonts w:hint="eastAsia"/>
                      <w:color w:val="auto"/>
                      <w:szCs w:val="21"/>
                    </w:rPr>
                    <w:t>15</w:t>
                  </w:r>
                </w:p>
              </w:tc>
              <w:tc>
                <w:tcPr>
                  <w:tcW w:w="415" w:type="pct"/>
                  <w:tcMar>
                    <w:left w:w="0" w:type="dxa"/>
                    <w:right w:w="0" w:type="dxa"/>
                  </w:tcMar>
                  <w:vAlign w:val="center"/>
                </w:tcPr>
                <w:p w14:paraId="27490DE7">
                  <w:pPr>
                    <w:jc w:val="center"/>
                    <w:rPr>
                      <w:color w:val="auto"/>
                      <w:szCs w:val="21"/>
                    </w:rPr>
                  </w:pPr>
                  <w:r>
                    <w:rPr>
                      <w:rFonts w:hint="eastAsia"/>
                      <w:color w:val="auto"/>
                      <w:szCs w:val="21"/>
                    </w:rPr>
                    <w:t>45.5</w:t>
                  </w:r>
                </w:p>
              </w:tc>
              <w:tc>
                <w:tcPr>
                  <w:tcW w:w="184" w:type="pct"/>
                  <w:tcMar>
                    <w:left w:w="0" w:type="dxa"/>
                    <w:right w:w="0" w:type="dxa"/>
                  </w:tcMar>
                  <w:vAlign w:val="center"/>
                </w:tcPr>
                <w:p w14:paraId="49F8DC74">
                  <w:pPr>
                    <w:jc w:val="center"/>
                    <w:rPr>
                      <w:color w:val="auto"/>
                      <w:szCs w:val="21"/>
                    </w:rPr>
                  </w:pPr>
                  <w:r>
                    <w:rPr>
                      <w:color w:val="auto"/>
                      <w:szCs w:val="21"/>
                    </w:rPr>
                    <w:t>昼</w:t>
                  </w:r>
                </w:p>
              </w:tc>
              <w:tc>
                <w:tcPr>
                  <w:tcW w:w="442" w:type="pct"/>
                  <w:tcMar>
                    <w:left w:w="0" w:type="dxa"/>
                    <w:right w:w="0" w:type="dxa"/>
                  </w:tcMar>
                  <w:vAlign w:val="center"/>
                </w:tcPr>
                <w:p w14:paraId="79781091">
                  <w:pPr>
                    <w:jc w:val="center"/>
                    <w:rPr>
                      <w:color w:val="auto"/>
                      <w:szCs w:val="21"/>
                    </w:rPr>
                  </w:pPr>
                  <w:r>
                    <w:rPr>
                      <w:rFonts w:hint="eastAsia"/>
                      <w:color w:val="auto"/>
                      <w:szCs w:val="21"/>
                    </w:rPr>
                    <w:t>25</w:t>
                  </w:r>
                </w:p>
              </w:tc>
              <w:tc>
                <w:tcPr>
                  <w:tcW w:w="350" w:type="pct"/>
                  <w:vAlign w:val="center"/>
                </w:tcPr>
                <w:p w14:paraId="6283B80E">
                  <w:pPr>
                    <w:jc w:val="center"/>
                    <w:rPr>
                      <w:color w:val="auto"/>
                      <w:szCs w:val="21"/>
                    </w:rPr>
                  </w:pPr>
                  <w:r>
                    <w:rPr>
                      <w:rFonts w:hint="eastAsia"/>
                      <w:color w:val="auto"/>
                      <w:szCs w:val="21"/>
                    </w:rPr>
                    <w:t>29.2</w:t>
                  </w:r>
                </w:p>
              </w:tc>
              <w:tc>
                <w:tcPr>
                  <w:tcW w:w="247" w:type="pct"/>
                  <w:vAlign w:val="center"/>
                </w:tcPr>
                <w:p w14:paraId="3C3E391F">
                  <w:pPr>
                    <w:pStyle w:val="477"/>
                    <w:spacing w:after="0"/>
                    <w:rPr>
                      <w:color w:val="auto"/>
                      <w:szCs w:val="21"/>
                    </w:rPr>
                  </w:pPr>
                  <w:r>
                    <w:rPr>
                      <w:color w:val="auto"/>
                      <w:szCs w:val="21"/>
                    </w:rPr>
                    <w:t>1</w:t>
                  </w:r>
                </w:p>
              </w:tc>
            </w:tr>
            <w:tr w14:paraId="2F67F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0662805">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0</w:t>
                  </w:r>
                </w:p>
              </w:tc>
              <w:tc>
                <w:tcPr>
                  <w:tcW w:w="217" w:type="pct"/>
                  <w:vMerge w:val="restart"/>
                  <w:vAlign w:val="center"/>
                </w:tcPr>
                <w:p w14:paraId="4D595F4D">
                  <w:pPr>
                    <w:adjustRightInd w:val="0"/>
                    <w:snapToGrid w:val="0"/>
                    <w:jc w:val="center"/>
                    <w:rPr>
                      <w:color w:val="auto"/>
                      <w:szCs w:val="21"/>
                    </w:rPr>
                  </w:pPr>
                  <w:r>
                    <w:rPr>
                      <w:rFonts w:hint="eastAsia"/>
                      <w:color w:val="auto"/>
                      <w:szCs w:val="21"/>
                    </w:rPr>
                    <w:t>木工车间</w:t>
                  </w:r>
                </w:p>
              </w:tc>
              <w:tc>
                <w:tcPr>
                  <w:tcW w:w="433" w:type="pct"/>
                  <w:vAlign w:val="center"/>
                </w:tcPr>
                <w:p w14:paraId="0EE66DC2">
                  <w:pPr>
                    <w:pStyle w:val="477"/>
                    <w:spacing w:after="0"/>
                    <w:rPr>
                      <w:color w:val="auto"/>
                      <w:szCs w:val="21"/>
                    </w:rPr>
                  </w:pPr>
                  <w:r>
                    <w:rPr>
                      <w:color w:val="auto"/>
                      <w:kern w:val="0"/>
                      <w:szCs w:val="21"/>
                      <w:lang w:bidi="ar"/>
                    </w:rPr>
                    <w:t>冷压机</w:t>
                  </w:r>
                </w:p>
              </w:tc>
              <w:tc>
                <w:tcPr>
                  <w:tcW w:w="135" w:type="pct"/>
                  <w:vAlign w:val="center"/>
                </w:tcPr>
                <w:p w14:paraId="34377655">
                  <w:pPr>
                    <w:widowControl/>
                    <w:jc w:val="center"/>
                    <w:rPr>
                      <w:color w:val="auto"/>
                      <w:szCs w:val="21"/>
                    </w:rPr>
                  </w:pPr>
                  <w:r>
                    <w:rPr>
                      <w:rFonts w:hint="eastAsia"/>
                      <w:color w:val="auto"/>
                      <w:szCs w:val="21"/>
                    </w:rPr>
                    <w:t>1</w:t>
                  </w:r>
                </w:p>
              </w:tc>
              <w:tc>
                <w:tcPr>
                  <w:tcW w:w="1013" w:type="pct"/>
                  <w:vAlign w:val="center"/>
                </w:tcPr>
                <w:p w14:paraId="2B1C1E63">
                  <w:pPr>
                    <w:widowControl/>
                    <w:jc w:val="center"/>
                    <w:rPr>
                      <w:color w:val="auto"/>
                      <w:szCs w:val="21"/>
                    </w:rPr>
                  </w:pPr>
                  <w:r>
                    <w:rPr>
                      <w:color w:val="auto"/>
                      <w:kern w:val="0"/>
                      <w:szCs w:val="21"/>
                      <w:lang w:bidi="ar"/>
                    </w:rPr>
                    <w:t>HLY-50</w:t>
                  </w:r>
                </w:p>
              </w:tc>
              <w:tc>
                <w:tcPr>
                  <w:tcW w:w="377" w:type="pct"/>
                  <w:vAlign w:val="center"/>
                </w:tcPr>
                <w:p w14:paraId="0907C564">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8ACE7D4">
                  <w:pPr>
                    <w:pStyle w:val="477"/>
                    <w:spacing w:after="0"/>
                    <w:rPr>
                      <w:color w:val="auto"/>
                      <w:szCs w:val="21"/>
                    </w:rPr>
                  </w:pPr>
                </w:p>
              </w:tc>
              <w:tc>
                <w:tcPr>
                  <w:tcW w:w="154" w:type="pct"/>
                  <w:tcMar>
                    <w:left w:w="0" w:type="dxa"/>
                    <w:right w:w="0" w:type="dxa"/>
                  </w:tcMar>
                  <w:vAlign w:val="center"/>
                </w:tcPr>
                <w:p w14:paraId="200B247C">
                  <w:pPr>
                    <w:pStyle w:val="477"/>
                    <w:spacing w:after="0"/>
                    <w:rPr>
                      <w:color w:val="auto"/>
                      <w:szCs w:val="21"/>
                    </w:rPr>
                  </w:pPr>
                  <w:r>
                    <w:rPr>
                      <w:rFonts w:hint="eastAsia"/>
                      <w:color w:val="auto"/>
                      <w:szCs w:val="21"/>
                    </w:rPr>
                    <w:t>195</w:t>
                  </w:r>
                </w:p>
              </w:tc>
              <w:tc>
                <w:tcPr>
                  <w:tcW w:w="154" w:type="pct"/>
                  <w:tcMar>
                    <w:left w:w="0" w:type="dxa"/>
                    <w:right w:w="0" w:type="dxa"/>
                  </w:tcMar>
                  <w:vAlign w:val="center"/>
                </w:tcPr>
                <w:p w14:paraId="188B8A1C">
                  <w:pPr>
                    <w:pStyle w:val="477"/>
                    <w:spacing w:after="0"/>
                    <w:rPr>
                      <w:color w:val="auto"/>
                      <w:szCs w:val="21"/>
                    </w:rPr>
                  </w:pPr>
                  <w:r>
                    <w:rPr>
                      <w:rFonts w:hint="eastAsia"/>
                      <w:color w:val="auto"/>
                      <w:szCs w:val="21"/>
                    </w:rPr>
                    <w:t>120</w:t>
                  </w:r>
                </w:p>
              </w:tc>
              <w:tc>
                <w:tcPr>
                  <w:tcW w:w="153" w:type="pct"/>
                  <w:vAlign w:val="center"/>
                </w:tcPr>
                <w:p w14:paraId="5DEDBEBD">
                  <w:pPr>
                    <w:pStyle w:val="477"/>
                    <w:spacing w:after="0"/>
                    <w:rPr>
                      <w:color w:val="auto"/>
                      <w:szCs w:val="21"/>
                    </w:rPr>
                  </w:pPr>
                  <w:r>
                    <w:rPr>
                      <w:rFonts w:hint="eastAsia"/>
                      <w:color w:val="auto"/>
                      <w:szCs w:val="21"/>
                    </w:rPr>
                    <w:t>2</w:t>
                  </w:r>
                </w:p>
              </w:tc>
              <w:tc>
                <w:tcPr>
                  <w:tcW w:w="354" w:type="pct"/>
                  <w:tcMar>
                    <w:left w:w="0" w:type="dxa"/>
                    <w:right w:w="0" w:type="dxa"/>
                  </w:tcMar>
                  <w:vAlign w:val="center"/>
                </w:tcPr>
                <w:p w14:paraId="0CBAE9D1">
                  <w:pPr>
                    <w:pStyle w:val="477"/>
                    <w:spacing w:after="0"/>
                    <w:rPr>
                      <w:color w:val="auto"/>
                      <w:szCs w:val="21"/>
                    </w:rPr>
                  </w:pPr>
                  <w:r>
                    <w:rPr>
                      <w:rFonts w:hint="eastAsia"/>
                      <w:color w:val="auto"/>
                      <w:szCs w:val="21"/>
                    </w:rPr>
                    <w:t>15</w:t>
                  </w:r>
                </w:p>
              </w:tc>
              <w:tc>
                <w:tcPr>
                  <w:tcW w:w="415" w:type="pct"/>
                  <w:tcMar>
                    <w:left w:w="0" w:type="dxa"/>
                    <w:right w:w="0" w:type="dxa"/>
                  </w:tcMar>
                  <w:vAlign w:val="center"/>
                </w:tcPr>
                <w:p w14:paraId="32B8FB20">
                  <w:pPr>
                    <w:jc w:val="center"/>
                    <w:rPr>
                      <w:color w:val="auto"/>
                      <w:szCs w:val="21"/>
                    </w:rPr>
                  </w:pPr>
                  <w:r>
                    <w:rPr>
                      <w:rFonts w:hint="eastAsia"/>
                      <w:color w:val="auto"/>
                      <w:szCs w:val="21"/>
                    </w:rPr>
                    <w:t>61.2</w:t>
                  </w:r>
                </w:p>
              </w:tc>
              <w:tc>
                <w:tcPr>
                  <w:tcW w:w="184" w:type="pct"/>
                  <w:tcMar>
                    <w:left w:w="0" w:type="dxa"/>
                    <w:right w:w="0" w:type="dxa"/>
                  </w:tcMar>
                  <w:vAlign w:val="center"/>
                </w:tcPr>
                <w:p w14:paraId="5B35B74E">
                  <w:pPr>
                    <w:jc w:val="center"/>
                    <w:rPr>
                      <w:color w:val="auto"/>
                      <w:szCs w:val="21"/>
                    </w:rPr>
                  </w:pPr>
                  <w:r>
                    <w:rPr>
                      <w:rFonts w:hint="eastAsia"/>
                      <w:color w:val="auto"/>
                      <w:szCs w:val="21"/>
                    </w:rPr>
                    <w:t>昼</w:t>
                  </w:r>
                </w:p>
              </w:tc>
              <w:tc>
                <w:tcPr>
                  <w:tcW w:w="442" w:type="pct"/>
                  <w:tcMar>
                    <w:left w:w="0" w:type="dxa"/>
                    <w:right w:w="0" w:type="dxa"/>
                  </w:tcMar>
                  <w:vAlign w:val="center"/>
                </w:tcPr>
                <w:p w14:paraId="5D014CD3">
                  <w:pPr>
                    <w:jc w:val="center"/>
                    <w:rPr>
                      <w:color w:val="auto"/>
                      <w:szCs w:val="21"/>
                    </w:rPr>
                  </w:pPr>
                  <w:r>
                    <w:rPr>
                      <w:rFonts w:hint="eastAsia"/>
                      <w:color w:val="auto"/>
                      <w:szCs w:val="21"/>
                    </w:rPr>
                    <w:t>25</w:t>
                  </w:r>
                </w:p>
              </w:tc>
              <w:tc>
                <w:tcPr>
                  <w:tcW w:w="350" w:type="pct"/>
                  <w:vAlign w:val="center"/>
                </w:tcPr>
                <w:p w14:paraId="541C939B">
                  <w:pPr>
                    <w:jc w:val="center"/>
                    <w:rPr>
                      <w:color w:val="auto"/>
                      <w:szCs w:val="21"/>
                    </w:rPr>
                  </w:pPr>
                  <w:r>
                    <w:rPr>
                      <w:rFonts w:hint="eastAsia"/>
                      <w:color w:val="auto"/>
                      <w:szCs w:val="21"/>
                    </w:rPr>
                    <w:t>31.2</w:t>
                  </w:r>
                </w:p>
              </w:tc>
              <w:tc>
                <w:tcPr>
                  <w:tcW w:w="247" w:type="pct"/>
                  <w:vAlign w:val="center"/>
                </w:tcPr>
                <w:p w14:paraId="781DBC0D">
                  <w:pPr>
                    <w:pStyle w:val="477"/>
                    <w:spacing w:after="0"/>
                    <w:rPr>
                      <w:color w:val="auto"/>
                      <w:szCs w:val="21"/>
                    </w:rPr>
                  </w:pPr>
                  <w:r>
                    <w:rPr>
                      <w:color w:val="auto"/>
                      <w:szCs w:val="21"/>
                    </w:rPr>
                    <w:t>1</w:t>
                  </w:r>
                </w:p>
              </w:tc>
            </w:tr>
            <w:tr w14:paraId="513F5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9D1F3A7">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1</w:t>
                  </w:r>
                </w:p>
              </w:tc>
              <w:tc>
                <w:tcPr>
                  <w:tcW w:w="217" w:type="pct"/>
                  <w:vMerge w:val="continue"/>
                  <w:vAlign w:val="center"/>
                </w:tcPr>
                <w:p w14:paraId="3985C6B2">
                  <w:pPr>
                    <w:adjustRightInd w:val="0"/>
                    <w:snapToGrid w:val="0"/>
                    <w:jc w:val="center"/>
                    <w:rPr>
                      <w:color w:val="auto"/>
                      <w:szCs w:val="21"/>
                    </w:rPr>
                  </w:pPr>
                </w:p>
              </w:tc>
              <w:tc>
                <w:tcPr>
                  <w:tcW w:w="433" w:type="pct"/>
                  <w:vAlign w:val="center"/>
                </w:tcPr>
                <w:p w14:paraId="2B5D44F1">
                  <w:pPr>
                    <w:pStyle w:val="477"/>
                    <w:spacing w:after="0"/>
                    <w:rPr>
                      <w:color w:val="auto"/>
                      <w:szCs w:val="21"/>
                    </w:rPr>
                  </w:pPr>
                  <w:r>
                    <w:rPr>
                      <w:color w:val="auto"/>
                      <w:kern w:val="0"/>
                      <w:szCs w:val="21"/>
                      <w:lang w:bidi="ar"/>
                    </w:rPr>
                    <w:t>雕刻机</w:t>
                  </w:r>
                </w:p>
              </w:tc>
              <w:tc>
                <w:tcPr>
                  <w:tcW w:w="135" w:type="pct"/>
                  <w:vAlign w:val="center"/>
                </w:tcPr>
                <w:p w14:paraId="3A5463B6">
                  <w:pPr>
                    <w:widowControl/>
                    <w:jc w:val="center"/>
                    <w:rPr>
                      <w:color w:val="auto"/>
                      <w:szCs w:val="21"/>
                    </w:rPr>
                  </w:pPr>
                  <w:r>
                    <w:rPr>
                      <w:rFonts w:hint="eastAsia"/>
                      <w:color w:val="auto"/>
                      <w:szCs w:val="21"/>
                    </w:rPr>
                    <w:t>5</w:t>
                  </w:r>
                </w:p>
              </w:tc>
              <w:tc>
                <w:tcPr>
                  <w:tcW w:w="1013" w:type="pct"/>
                  <w:vAlign w:val="center"/>
                </w:tcPr>
                <w:p w14:paraId="064E1294">
                  <w:pPr>
                    <w:widowControl/>
                    <w:jc w:val="center"/>
                    <w:rPr>
                      <w:color w:val="auto"/>
                      <w:szCs w:val="21"/>
                    </w:rPr>
                  </w:pPr>
                  <w:r>
                    <w:rPr>
                      <w:color w:val="auto"/>
                      <w:kern w:val="0"/>
                      <w:szCs w:val="21"/>
                      <w:lang w:bidi="ar"/>
                    </w:rPr>
                    <w:t>MD2030S-ATC</w:t>
                  </w:r>
                </w:p>
              </w:tc>
              <w:tc>
                <w:tcPr>
                  <w:tcW w:w="377" w:type="pct"/>
                  <w:vAlign w:val="center"/>
                </w:tcPr>
                <w:p w14:paraId="55FEB4DA">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48CFE3D9">
                  <w:pPr>
                    <w:pStyle w:val="477"/>
                    <w:spacing w:after="0"/>
                    <w:rPr>
                      <w:color w:val="auto"/>
                      <w:szCs w:val="21"/>
                    </w:rPr>
                  </w:pPr>
                </w:p>
              </w:tc>
              <w:tc>
                <w:tcPr>
                  <w:tcW w:w="154" w:type="pct"/>
                  <w:tcMar>
                    <w:left w:w="0" w:type="dxa"/>
                    <w:right w:w="0" w:type="dxa"/>
                  </w:tcMar>
                  <w:vAlign w:val="center"/>
                </w:tcPr>
                <w:p w14:paraId="4E47B77A">
                  <w:pPr>
                    <w:pStyle w:val="477"/>
                    <w:spacing w:after="0"/>
                    <w:rPr>
                      <w:color w:val="auto"/>
                      <w:szCs w:val="21"/>
                    </w:rPr>
                  </w:pPr>
                  <w:r>
                    <w:rPr>
                      <w:rFonts w:hint="eastAsia"/>
                      <w:color w:val="auto"/>
                      <w:szCs w:val="21"/>
                    </w:rPr>
                    <w:t>175</w:t>
                  </w:r>
                </w:p>
              </w:tc>
              <w:tc>
                <w:tcPr>
                  <w:tcW w:w="154" w:type="pct"/>
                  <w:tcMar>
                    <w:left w:w="0" w:type="dxa"/>
                    <w:right w:w="0" w:type="dxa"/>
                  </w:tcMar>
                  <w:vAlign w:val="center"/>
                </w:tcPr>
                <w:p w14:paraId="39954A78">
                  <w:pPr>
                    <w:pStyle w:val="477"/>
                    <w:spacing w:after="0"/>
                    <w:rPr>
                      <w:color w:val="auto"/>
                      <w:szCs w:val="21"/>
                    </w:rPr>
                  </w:pPr>
                  <w:r>
                    <w:rPr>
                      <w:rFonts w:hint="eastAsia"/>
                      <w:color w:val="auto"/>
                      <w:szCs w:val="21"/>
                    </w:rPr>
                    <w:t>100</w:t>
                  </w:r>
                </w:p>
              </w:tc>
              <w:tc>
                <w:tcPr>
                  <w:tcW w:w="153" w:type="pct"/>
                  <w:vAlign w:val="center"/>
                </w:tcPr>
                <w:p w14:paraId="15C46E35">
                  <w:pPr>
                    <w:pStyle w:val="477"/>
                    <w:spacing w:after="0"/>
                    <w:rPr>
                      <w:color w:val="auto"/>
                      <w:szCs w:val="21"/>
                    </w:rPr>
                  </w:pPr>
                  <w:r>
                    <w:rPr>
                      <w:rFonts w:hint="eastAsia"/>
                      <w:color w:val="auto"/>
                      <w:szCs w:val="21"/>
                    </w:rPr>
                    <w:t>1.5</w:t>
                  </w:r>
                </w:p>
              </w:tc>
              <w:tc>
                <w:tcPr>
                  <w:tcW w:w="354" w:type="pct"/>
                  <w:tcMar>
                    <w:left w:w="0" w:type="dxa"/>
                    <w:right w:w="0" w:type="dxa"/>
                  </w:tcMar>
                  <w:vAlign w:val="center"/>
                </w:tcPr>
                <w:p w14:paraId="3BD105FF">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646201EB">
                  <w:pPr>
                    <w:jc w:val="center"/>
                    <w:rPr>
                      <w:color w:val="auto"/>
                      <w:szCs w:val="21"/>
                    </w:rPr>
                  </w:pPr>
                  <w:r>
                    <w:rPr>
                      <w:rFonts w:hint="eastAsia"/>
                      <w:color w:val="auto"/>
                      <w:szCs w:val="21"/>
                    </w:rPr>
                    <w:t>55.6</w:t>
                  </w:r>
                </w:p>
              </w:tc>
              <w:tc>
                <w:tcPr>
                  <w:tcW w:w="184" w:type="pct"/>
                  <w:tcMar>
                    <w:left w:w="0" w:type="dxa"/>
                    <w:right w:w="0" w:type="dxa"/>
                  </w:tcMar>
                  <w:vAlign w:val="center"/>
                </w:tcPr>
                <w:p w14:paraId="36F1D675">
                  <w:pPr>
                    <w:jc w:val="center"/>
                    <w:rPr>
                      <w:color w:val="auto"/>
                      <w:szCs w:val="21"/>
                    </w:rPr>
                  </w:pPr>
                  <w:r>
                    <w:rPr>
                      <w:color w:val="auto"/>
                      <w:szCs w:val="21"/>
                    </w:rPr>
                    <w:t>昼</w:t>
                  </w:r>
                </w:p>
              </w:tc>
              <w:tc>
                <w:tcPr>
                  <w:tcW w:w="442" w:type="pct"/>
                  <w:tcMar>
                    <w:left w:w="0" w:type="dxa"/>
                    <w:right w:w="0" w:type="dxa"/>
                  </w:tcMar>
                  <w:vAlign w:val="center"/>
                </w:tcPr>
                <w:p w14:paraId="272490F5">
                  <w:pPr>
                    <w:jc w:val="center"/>
                    <w:rPr>
                      <w:color w:val="auto"/>
                      <w:szCs w:val="21"/>
                    </w:rPr>
                  </w:pPr>
                  <w:r>
                    <w:rPr>
                      <w:rFonts w:hint="eastAsia"/>
                      <w:color w:val="auto"/>
                      <w:szCs w:val="21"/>
                    </w:rPr>
                    <w:t>25</w:t>
                  </w:r>
                </w:p>
              </w:tc>
              <w:tc>
                <w:tcPr>
                  <w:tcW w:w="350" w:type="pct"/>
                  <w:vAlign w:val="center"/>
                </w:tcPr>
                <w:p w14:paraId="266B137B">
                  <w:pPr>
                    <w:jc w:val="center"/>
                    <w:rPr>
                      <w:color w:val="auto"/>
                      <w:szCs w:val="21"/>
                    </w:rPr>
                  </w:pPr>
                  <w:r>
                    <w:rPr>
                      <w:rFonts w:hint="eastAsia"/>
                      <w:color w:val="auto"/>
                      <w:szCs w:val="21"/>
                    </w:rPr>
                    <w:t>27.4</w:t>
                  </w:r>
                </w:p>
              </w:tc>
              <w:tc>
                <w:tcPr>
                  <w:tcW w:w="247" w:type="pct"/>
                  <w:vAlign w:val="center"/>
                </w:tcPr>
                <w:p w14:paraId="066091E2">
                  <w:pPr>
                    <w:pStyle w:val="477"/>
                    <w:spacing w:after="0"/>
                    <w:rPr>
                      <w:color w:val="auto"/>
                      <w:szCs w:val="21"/>
                    </w:rPr>
                  </w:pPr>
                  <w:r>
                    <w:rPr>
                      <w:color w:val="auto"/>
                      <w:szCs w:val="21"/>
                    </w:rPr>
                    <w:t>1</w:t>
                  </w:r>
                </w:p>
              </w:tc>
            </w:tr>
            <w:tr w14:paraId="0B120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CA25E5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2</w:t>
                  </w:r>
                </w:p>
              </w:tc>
              <w:tc>
                <w:tcPr>
                  <w:tcW w:w="217" w:type="pct"/>
                  <w:vMerge w:val="continue"/>
                  <w:vAlign w:val="center"/>
                </w:tcPr>
                <w:p w14:paraId="4A03C924">
                  <w:pPr>
                    <w:adjustRightInd w:val="0"/>
                    <w:snapToGrid w:val="0"/>
                    <w:jc w:val="center"/>
                    <w:rPr>
                      <w:color w:val="auto"/>
                      <w:szCs w:val="21"/>
                    </w:rPr>
                  </w:pPr>
                </w:p>
              </w:tc>
              <w:tc>
                <w:tcPr>
                  <w:tcW w:w="433" w:type="pct"/>
                  <w:vAlign w:val="center"/>
                </w:tcPr>
                <w:p w14:paraId="7F74F9CF">
                  <w:pPr>
                    <w:pStyle w:val="477"/>
                    <w:spacing w:after="0"/>
                    <w:rPr>
                      <w:color w:val="auto"/>
                      <w:szCs w:val="21"/>
                    </w:rPr>
                  </w:pPr>
                  <w:r>
                    <w:rPr>
                      <w:color w:val="auto"/>
                      <w:kern w:val="0"/>
                      <w:szCs w:val="21"/>
                      <w:lang w:bidi="ar"/>
                    </w:rPr>
                    <w:t>气磨机</w:t>
                  </w:r>
                </w:p>
              </w:tc>
              <w:tc>
                <w:tcPr>
                  <w:tcW w:w="135" w:type="pct"/>
                  <w:vAlign w:val="center"/>
                </w:tcPr>
                <w:p w14:paraId="7BD125AB">
                  <w:pPr>
                    <w:widowControl/>
                    <w:jc w:val="center"/>
                    <w:rPr>
                      <w:color w:val="auto"/>
                      <w:szCs w:val="21"/>
                    </w:rPr>
                  </w:pPr>
                  <w:r>
                    <w:rPr>
                      <w:rFonts w:hint="eastAsia"/>
                      <w:color w:val="auto"/>
                      <w:szCs w:val="21"/>
                    </w:rPr>
                    <w:t>10</w:t>
                  </w:r>
                </w:p>
              </w:tc>
              <w:tc>
                <w:tcPr>
                  <w:tcW w:w="1013" w:type="pct"/>
                  <w:vAlign w:val="center"/>
                </w:tcPr>
                <w:p w14:paraId="3A0B9B99">
                  <w:pPr>
                    <w:widowControl/>
                    <w:jc w:val="center"/>
                    <w:rPr>
                      <w:color w:val="auto"/>
                      <w:szCs w:val="21"/>
                    </w:rPr>
                  </w:pPr>
                  <w:r>
                    <w:rPr>
                      <w:rFonts w:hint="eastAsia"/>
                      <w:color w:val="auto"/>
                      <w:szCs w:val="21"/>
                    </w:rPr>
                    <w:t>5寸</w:t>
                  </w:r>
                </w:p>
              </w:tc>
              <w:tc>
                <w:tcPr>
                  <w:tcW w:w="377" w:type="pct"/>
                  <w:vAlign w:val="center"/>
                </w:tcPr>
                <w:p w14:paraId="220E94FA">
                  <w:pPr>
                    <w:adjustRightInd w:val="0"/>
                    <w:snapToGrid w:val="0"/>
                    <w:jc w:val="center"/>
                    <w:rPr>
                      <w:color w:val="auto"/>
                      <w:szCs w:val="21"/>
                    </w:rPr>
                  </w:pPr>
                  <w:r>
                    <w:rPr>
                      <w:color w:val="auto"/>
                      <w:szCs w:val="21"/>
                    </w:rPr>
                    <w:t>85</w:t>
                  </w:r>
                </w:p>
              </w:tc>
              <w:tc>
                <w:tcPr>
                  <w:tcW w:w="246" w:type="pct"/>
                  <w:vMerge w:val="continue"/>
                  <w:vAlign w:val="center"/>
                </w:tcPr>
                <w:p w14:paraId="32A5A2D5">
                  <w:pPr>
                    <w:pStyle w:val="477"/>
                    <w:spacing w:after="0"/>
                    <w:rPr>
                      <w:color w:val="auto"/>
                      <w:szCs w:val="21"/>
                    </w:rPr>
                  </w:pPr>
                </w:p>
              </w:tc>
              <w:tc>
                <w:tcPr>
                  <w:tcW w:w="154" w:type="pct"/>
                  <w:tcMar>
                    <w:left w:w="0" w:type="dxa"/>
                    <w:right w:w="0" w:type="dxa"/>
                  </w:tcMar>
                  <w:vAlign w:val="center"/>
                </w:tcPr>
                <w:p w14:paraId="63A43C84">
                  <w:pPr>
                    <w:pStyle w:val="477"/>
                    <w:spacing w:after="0"/>
                    <w:rPr>
                      <w:color w:val="auto"/>
                      <w:szCs w:val="21"/>
                    </w:rPr>
                  </w:pPr>
                  <w:r>
                    <w:rPr>
                      <w:rFonts w:hint="eastAsia"/>
                      <w:color w:val="auto"/>
                      <w:szCs w:val="21"/>
                    </w:rPr>
                    <w:t>150</w:t>
                  </w:r>
                </w:p>
              </w:tc>
              <w:tc>
                <w:tcPr>
                  <w:tcW w:w="154" w:type="pct"/>
                  <w:tcMar>
                    <w:left w:w="0" w:type="dxa"/>
                    <w:right w:w="0" w:type="dxa"/>
                  </w:tcMar>
                  <w:vAlign w:val="center"/>
                </w:tcPr>
                <w:p w14:paraId="6641A131">
                  <w:pPr>
                    <w:pStyle w:val="477"/>
                    <w:spacing w:after="0"/>
                    <w:rPr>
                      <w:color w:val="auto"/>
                      <w:szCs w:val="21"/>
                    </w:rPr>
                  </w:pPr>
                  <w:r>
                    <w:rPr>
                      <w:rFonts w:hint="eastAsia"/>
                      <w:color w:val="auto"/>
                      <w:szCs w:val="21"/>
                    </w:rPr>
                    <w:t>120</w:t>
                  </w:r>
                </w:p>
              </w:tc>
              <w:tc>
                <w:tcPr>
                  <w:tcW w:w="153" w:type="pct"/>
                  <w:vAlign w:val="center"/>
                </w:tcPr>
                <w:p w14:paraId="4C485240">
                  <w:pPr>
                    <w:pStyle w:val="477"/>
                    <w:spacing w:after="0"/>
                    <w:rPr>
                      <w:color w:val="auto"/>
                      <w:szCs w:val="21"/>
                    </w:rPr>
                  </w:pPr>
                  <w:r>
                    <w:rPr>
                      <w:rFonts w:hint="eastAsia"/>
                      <w:color w:val="auto"/>
                      <w:szCs w:val="21"/>
                    </w:rPr>
                    <w:t>1.5</w:t>
                  </w:r>
                </w:p>
              </w:tc>
              <w:tc>
                <w:tcPr>
                  <w:tcW w:w="354" w:type="pct"/>
                  <w:tcMar>
                    <w:left w:w="0" w:type="dxa"/>
                    <w:right w:w="0" w:type="dxa"/>
                  </w:tcMar>
                  <w:vAlign w:val="center"/>
                </w:tcPr>
                <w:p w14:paraId="255F1606">
                  <w:pPr>
                    <w:pStyle w:val="477"/>
                    <w:spacing w:after="0"/>
                    <w:rPr>
                      <w:color w:val="auto"/>
                      <w:szCs w:val="21"/>
                    </w:rPr>
                  </w:pPr>
                  <w:r>
                    <w:rPr>
                      <w:rFonts w:hint="eastAsia"/>
                      <w:color w:val="auto"/>
                      <w:szCs w:val="21"/>
                    </w:rPr>
                    <w:t>15</w:t>
                  </w:r>
                </w:p>
              </w:tc>
              <w:tc>
                <w:tcPr>
                  <w:tcW w:w="415" w:type="pct"/>
                  <w:tcMar>
                    <w:left w:w="0" w:type="dxa"/>
                    <w:right w:w="0" w:type="dxa"/>
                  </w:tcMar>
                  <w:vAlign w:val="center"/>
                </w:tcPr>
                <w:p w14:paraId="05F9F0D3">
                  <w:pPr>
                    <w:jc w:val="center"/>
                    <w:rPr>
                      <w:color w:val="auto"/>
                      <w:szCs w:val="21"/>
                    </w:rPr>
                  </w:pPr>
                  <w:r>
                    <w:rPr>
                      <w:rFonts w:hint="eastAsia"/>
                      <w:color w:val="auto"/>
                      <w:szCs w:val="21"/>
                    </w:rPr>
                    <w:t>54.2</w:t>
                  </w:r>
                </w:p>
              </w:tc>
              <w:tc>
                <w:tcPr>
                  <w:tcW w:w="184" w:type="pct"/>
                  <w:tcMar>
                    <w:left w:w="0" w:type="dxa"/>
                    <w:right w:w="0" w:type="dxa"/>
                  </w:tcMar>
                  <w:vAlign w:val="center"/>
                </w:tcPr>
                <w:p w14:paraId="63D12550">
                  <w:pPr>
                    <w:jc w:val="center"/>
                    <w:rPr>
                      <w:color w:val="auto"/>
                      <w:szCs w:val="21"/>
                    </w:rPr>
                  </w:pPr>
                  <w:r>
                    <w:rPr>
                      <w:color w:val="auto"/>
                      <w:szCs w:val="21"/>
                    </w:rPr>
                    <w:t>昼</w:t>
                  </w:r>
                </w:p>
              </w:tc>
              <w:tc>
                <w:tcPr>
                  <w:tcW w:w="442" w:type="pct"/>
                  <w:tcMar>
                    <w:left w:w="0" w:type="dxa"/>
                    <w:right w:w="0" w:type="dxa"/>
                  </w:tcMar>
                  <w:vAlign w:val="center"/>
                </w:tcPr>
                <w:p w14:paraId="7B1A7586">
                  <w:pPr>
                    <w:jc w:val="center"/>
                    <w:rPr>
                      <w:color w:val="auto"/>
                      <w:szCs w:val="21"/>
                    </w:rPr>
                  </w:pPr>
                  <w:r>
                    <w:rPr>
                      <w:rFonts w:hint="eastAsia"/>
                      <w:color w:val="auto"/>
                      <w:szCs w:val="21"/>
                    </w:rPr>
                    <w:t>25</w:t>
                  </w:r>
                </w:p>
              </w:tc>
              <w:tc>
                <w:tcPr>
                  <w:tcW w:w="350" w:type="pct"/>
                  <w:vAlign w:val="center"/>
                </w:tcPr>
                <w:p w14:paraId="45F0176D">
                  <w:pPr>
                    <w:jc w:val="center"/>
                    <w:rPr>
                      <w:color w:val="auto"/>
                      <w:szCs w:val="21"/>
                    </w:rPr>
                  </w:pPr>
                  <w:r>
                    <w:rPr>
                      <w:rFonts w:hint="eastAsia"/>
                      <w:color w:val="auto"/>
                      <w:szCs w:val="21"/>
                    </w:rPr>
                    <w:t>26.3</w:t>
                  </w:r>
                </w:p>
              </w:tc>
              <w:tc>
                <w:tcPr>
                  <w:tcW w:w="247" w:type="pct"/>
                  <w:vAlign w:val="center"/>
                </w:tcPr>
                <w:p w14:paraId="3BC3A32A">
                  <w:pPr>
                    <w:pStyle w:val="477"/>
                    <w:spacing w:after="0"/>
                    <w:rPr>
                      <w:color w:val="auto"/>
                      <w:szCs w:val="21"/>
                    </w:rPr>
                  </w:pPr>
                  <w:r>
                    <w:rPr>
                      <w:color w:val="auto"/>
                      <w:szCs w:val="21"/>
                    </w:rPr>
                    <w:t>1</w:t>
                  </w:r>
                </w:p>
              </w:tc>
            </w:tr>
            <w:tr w14:paraId="003BC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73C33D93">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3</w:t>
                  </w:r>
                </w:p>
              </w:tc>
              <w:tc>
                <w:tcPr>
                  <w:tcW w:w="217" w:type="pct"/>
                  <w:vMerge w:val="continue"/>
                  <w:vAlign w:val="center"/>
                </w:tcPr>
                <w:p w14:paraId="6AB3DE0C">
                  <w:pPr>
                    <w:adjustRightInd w:val="0"/>
                    <w:snapToGrid w:val="0"/>
                    <w:jc w:val="center"/>
                    <w:rPr>
                      <w:color w:val="auto"/>
                      <w:szCs w:val="21"/>
                    </w:rPr>
                  </w:pPr>
                </w:p>
              </w:tc>
              <w:tc>
                <w:tcPr>
                  <w:tcW w:w="433" w:type="pct"/>
                  <w:vAlign w:val="center"/>
                </w:tcPr>
                <w:p w14:paraId="449B4093">
                  <w:pPr>
                    <w:pStyle w:val="477"/>
                    <w:spacing w:after="0"/>
                    <w:rPr>
                      <w:color w:val="auto"/>
                      <w:szCs w:val="21"/>
                    </w:rPr>
                  </w:pPr>
                  <w:r>
                    <w:rPr>
                      <w:color w:val="auto"/>
                      <w:kern w:val="0"/>
                      <w:szCs w:val="21"/>
                      <w:lang w:bidi="ar"/>
                    </w:rPr>
                    <w:t>精密推台锯</w:t>
                  </w:r>
                </w:p>
              </w:tc>
              <w:tc>
                <w:tcPr>
                  <w:tcW w:w="135" w:type="pct"/>
                  <w:vAlign w:val="center"/>
                </w:tcPr>
                <w:p w14:paraId="0948E538">
                  <w:pPr>
                    <w:widowControl/>
                    <w:jc w:val="center"/>
                    <w:rPr>
                      <w:color w:val="auto"/>
                      <w:szCs w:val="21"/>
                    </w:rPr>
                  </w:pPr>
                  <w:r>
                    <w:rPr>
                      <w:rFonts w:hint="eastAsia"/>
                      <w:color w:val="auto"/>
                      <w:szCs w:val="21"/>
                    </w:rPr>
                    <w:t>8</w:t>
                  </w:r>
                </w:p>
              </w:tc>
              <w:tc>
                <w:tcPr>
                  <w:tcW w:w="1013" w:type="pct"/>
                  <w:vAlign w:val="center"/>
                </w:tcPr>
                <w:p w14:paraId="69C4B035">
                  <w:pPr>
                    <w:widowControl/>
                    <w:jc w:val="center"/>
                    <w:rPr>
                      <w:color w:val="auto"/>
                      <w:szCs w:val="21"/>
                    </w:rPr>
                  </w:pPr>
                  <w:r>
                    <w:rPr>
                      <w:color w:val="auto"/>
                      <w:kern w:val="0"/>
                      <w:szCs w:val="21"/>
                      <w:lang w:bidi="ar"/>
                    </w:rPr>
                    <w:t>MJ1132F</w:t>
                  </w:r>
                </w:p>
              </w:tc>
              <w:tc>
                <w:tcPr>
                  <w:tcW w:w="377" w:type="pct"/>
                  <w:vAlign w:val="center"/>
                </w:tcPr>
                <w:p w14:paraId="3A36BC9F">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32DB6CD6">
                  <w:pPr>
                    <w:pStyle w:val="477"/>
                    <w:spacing w:after="0"/>
                    <w:rPr>
                      <w:color w:val="auto"/>
                      <w:szCs w:val="21"/>
                    </w:rPr>
                  </w:pPr>
                </w:p>
              </w:tc>
              <w:tc>
                <w:tcPr>
                  <w:tcW w:w="154" w:type="pct"/>
                  <w:tcMar>
                    <w:left w:w="0" w:type="dxa"/>
                    <w:right w:w="0" w:type="dxa"/>
                  </w:tcMar>
                  <w:vAlign w:val="center"/>
                </w:tcPr>
                <w:p w14:paraId="6FEFD123">
                  <w:pPr>
                    <w:pStyle w:val="477"/>
                    <w:spacing w:after="0"/>
                    <w:rPr>
                      <w:color w:val="auto"/>
                      <w:szCs w:val="21"/>
                    </w:rPr>
                  </w:pPr>
                  <w:r>
                    <w:rPr>
                      <w:rFonts w:hint="eastAsia"/>
                      <w:color w:val="auto"/>
                      <w:szCs w:val="21"/>
                    </w:rPr>
                    <w:t>150</w:t>
                  </w:r>
                </w:p>
              </w:tc>
              <w:tc>
                <w:tcPr>
                  <w:tcW w:w="154" w:type="pct"/>
                  <w:tcMar>
                    <w:left w:w="0" w:type="dxa"/>
                    <w:right w:w="0" w:type="dxa"/>
                  </w:tcMar>
                  <w:vAlign w:val="center"/>
                </w:tcPr>
                <w:p w14:paraId="6E62E1D3">
                  <w:pPr>
                    <w:pStyle w:val="477"/>
                    <w:spacing w:after="0"/>
                    <w:rPr>
                      <w:color w:val="auto"/>
                      <w:szCs w:val="21"/>
                    </w:rPr>
                  </w:pPr>
                  <w:r>
                    <w:rPr>
                      <w:rFonts w:hint="eastAsia"/>
                      <w:color w:val="auto"/>
                      <w:szCs w:val="21"/>
                    </w:rPr>
                    <w:t>170</w:t>
                  </w:r>
                </w:p>
              </w:tc>
              <w:tc>
                <w:tcPr>
                  <w:tcW w:w="153" w:type="pct"/>
                  <w:vAlign w:val="center"/>
                </w:tcPr>
                <w:p w14:paraId="6C41D15A">
                  <w:pPr>
                    <w:jc w:val="center"/>
                    <w:rPr>
                      <w:color w:val="auto"/>
                      <w:szCs w:val="21"/>
                    </w:rPr>
                  </w:pPr>
                  <w:r>
                    <w:rPr>
                      <w:rFonts w:hint="eastAsia"/>
                      <w:color w:val="auto"/>
                      <w:szCs w:val="21"/>
                    </w:rPr>
                    <w:t>1.5</w:t>
                  </w:r>
                </w:p>
              </w:tc>
              <w:tc>
                <w:tcPr>
                  <w:tcW w:w="354" w:type="pct"/>
                  <w:tcMar>
                    <w:left w:w="0" w:type="dxa"/>
                    <w:right w:w="0" w:type="dxa"/>
                  </w:tcMar>
                  <w:vAlign w:val="center"/>
                </w:tcPr>
                <w:p w14:paraId="45805BC4">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742F9FD8">
                  <w:pPr>
                    <w:jc w:val="center"/>
                    <w:rPr>
                      <w:color w:val="auto"/>
                      <w:szCs w:val="21"/>
                    </w:rPr>
                  </w:pPr>
                  <w:r>
                    <w:rPr>
                      <w:rFonts w:hint="eastAsia"/>
                      <w:color w:val="auto"/>
                      <w:szCs w:val="21"/>
                    </w:rPr>
                    <w:t>60.7</w:t>
                  </w:r>
                </w:p>
              </w:tc>
              <w:tc>
                <w:tcPr>
                  <w:tcW w:w="184" w:type="pct"/>
                  <w:tcMar>
                    <w:left w:w="0" w:type="dxa"/>
                    <w:right w:w="0" w:type="dxa"/>
                  </w:tcMar>
                  <w:vAlign w:val="center"/>
                </w:tcPr>
                <w:p w14:paraId="7A6A40A5">
                  <w:pPr>
                    <w:jc w:val="center"/>
                    <w:rPr>
                      <w:color w:val="auto"/>
                      <w:szCs w:val="21"/>
                    </w:rPr>
                  </w:pPr>
                  <w:r>
                    <w:rPr>
                      <w:color w:val="auto"/>
                      <w:szCs w:val="21"/>
                    </w:rPr>
                    <w:t>昼</w:t>
                  </w:r>
                </w:p>
              </w:tc>
              <w:tc>
                <w:tcPr>
                  <w:tcW w:w="442" w:type="pct"/>
                  <w:tcMar>
                    <w:left w:w="0" w:type="dxa"/>
                    <w:right w:w="0" w:type="dxa"/>
                  </w:tcMar>
                  <w:vAlign w:val="center"/>
                </w:tcPr>
                <w:p w14:paraId="2B84658A">
                  <w:pPr>
                    <w:jc w:val="center"/>
                    <w:rPr>
                      <w:color w:val="auto"/>
                      <w:szCs w:val="21"/>
                    </w:rPr>
                  </w:pPr>
                  <w:r>
                    <w:rPr>
                      <w:rFonts w:hint="eastAsia"/>
                      <w:color w:val="auto"/>
                      <w:szCs w:val="21"/>
                    </w:rPr>
                    <w:t>25</w:t>
                  </w:r>
                </w:p>
              </w:tc>
              <w:tc>
                <w:tcPr>
                  <w:tcW w:w="350" w:type="pct"/>
                  <w:vAlign w:val="center"/>
                </w:tcPr>
                <w:p w14:paraId="0692AFFD">
                  <w:pPr>
                    <w:jc w:val="center"/>
                    <w:rPr>
                      <w:color w:val="auto"/>
                      <w:szCs w:val="21"/>
                    </w:rPr>
                  </w:pPr>
                  <w:r>
                    <w:rPr>
                      <w:rFonts w:hint="eastAsia"/>
                      <w:color w:val="auto"/>
                      <w:szCs w:val="21"/>
                    </w:rPr>
                    <w:t>29.6</w:t>
                  </w:r>
                </w:p>
              </w:tc>
              <w:tc>
                <w:tcPr>
                  <w:tcW w:w="247" w:type="pct"/>
                  <w:vAlign w:val="center"/>
                </w:tcPr>
                <w:p w14:paraId="2E01B947">
                  <w:pPr>
                    <w:pStyle w:val="477"/>
                    <w:spacing w:after="0"/>
                    <w:rPr>
                      <w:color w:val="auto"/>
                      <w:szCs w:val="21"/>
                    </w:rPr>
                  </w:pPr>
                  <w:r>
                    <w:rPr>
                      <w:color w:val="auto"/>
                      <w:szCs w:val="21"/>
                    </w:rPr>
                    <w:t>1</w:t>
                  </w:r>
                </w:p>
              </w:tc>
            </w:tr>
            <w:tr w14:paraId="67459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120E37B0">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4</w:t>
                  </w:r>
                </w:p>
              </w:tc>
              <w:tc>
                <w:tcPr>
                  <w:tcW w:w="217" w:type="pct"/>
                  <w:vMerge w:val="continue"/>
                  <w:vAlign w:val="center"/>
                </w:tcPr>
                <w:p w14:paraId="7B590DCE">
                  <w:pPr>
                    <w:adjustRightInd w:val="0"/>
                    <w:snapToGrid w:val="0"/>
                    <w:jc w:val="center"/>
                    <w:rPr>
                      <w:color w:val="auto"/>
                      <w:szCs w:val="21"/>
                    </w:rPr>
                  </w:pPr>
                </w:p>
              </w:tc>
              <w:tc>
                <w:tcPr>
                  <w:tcW w:w="433" w:type="pct"/>
                  <w:vAlign w:val="center"/>
                </w:tcPr>
                <w:p w14:paraId="3C141A44">
                  <w:pPr>
                    <w:pStyle w:val="477"/>
                    <w:spacing w:after="0"/>
                    <w:rPr>
                      <w:color w:val="auto"/>
                      <w:szCs w:val="21"/>
                    </w:rPr>
                  </w:pPr>
                  <w:r>
                    <w:rPr>
                      <w:color w:val="auto"/>
                      <w:kern w:val="0"/>
                      <w:szCs w:val="21"/>
                      <w:lang w:bidi="ar"/>
                    </w:rPr>
                    <w:t>气钉枪</w:t>
                  </w:r>
                </w:p>
              </w:tc>
              <w:tc>
                <w:tcPr>
                  <w:tcW w:w="135" w:type="pct"/>
                  <w:vAlign w:val="center"/>
                </w:tcPr>
                <w:p w14:paraId="06111861">
                  <w:pPr>
                    <w:widowControl/>
                    <w:jc w:val="center"/>
                    <w:rPr>
                      <w:color w:val="auto"/>
                      <w:szCs w:val="21"/>
                    </w:rPr>
                  </w:pPr>
                  <w:r>
                    <w:rPr>
                      <w:rFonts w:hint="eastAsia"/>
                      <w:color w:val="auto"/>
                      <w:szCs w:val="21"/>
                    </w:rPr>
                    <w:t>31</w:t>
                  </w:r>
                </w:p>
              </w:tc>
              <w:tc>
                <w:tcPr>
                  <w:tcW w:w="1013" w:type="pct"/>
                  <w:vAlign w:val="center"/>
                </w:tcPr>
                <w:p w14:paraId="755A3F20">
                  <w:pPr>
                    <w:widowControl/>
                    <w:jc w:val="center"/>
                    <w:rPr>
                      <w:color w:val="auto"/>
                      <w:szCs w:val="21"/>
                    </w:rPr>
                  </w:pPr>
                  <w:r>
                    <w:rPr>
                      <w:rFonts w:hint="eastAsia"/>
                      <w:color w:val="auto"/>
                      <w:szCs w:val="21"/>
                    </w:rPr>
                    <w:t>/</w:t>
                  </w:r>
                </w:p>
              </w:tc>
              <w:tc>
                <w:tcPr>
                  <w:tcW w:w="377" w:type="pct"/>
                  <w:vAlign w:val="center"/>
                </w:tcPr>
                <w:p w14:paraId="4A878ED4">
                  <w:pPr>
                    <w:adjustRightInd w:val="0"/>
                    <w:snapToGrid w:val="0"/>
                    <w:jc w:val="center"/>
                    <w:rPr>
                      <w:color w:val="auto"/>
                      <w:szCs w:val="21"/>
                    </w:rPr>
                  </w:pPr>
                  <w:r>
                    <w:rPr>
                      <w:color w:val="auto"/>
                      <w:szCs w:val="21"/>
                    </w:rPr>
                    <w:t>85</w:t>
                  </w:r>
                </w:p>
              </w:tc>
              <w:tc>
                <w:tcPr>
                  <w:tcW w:w="246" w:type="pct"/>
                  <w:vMerge w:val="continue"/>
                  <w:vAlign w:val="center"/>
                </w:tcPr>
                <w:p w14:paraId="09B9EBB5">
                  <w:pPr>
                    <w:pStyle w:val="477"/>
                    <w:spacing w:after="0"/>
                    <w:rPr>
                      <w:color w:val="auto"/>
                      <w:szCs w:val="21"/>
                    </w:rPr>
                  </w:pPr>
                </w:p>
              </w:tc>
              <w:tc>
                <w:tcPr>
                  <w:tcW w:w="154" w:type="pct"/>
                  <w:tcMar>
                    <w:left w:w="0" w:type="dxa"/>
                    <w:right w:w="0" w:type="dxa"/>
                  </w:tcMar>
                  <w:vAlign w:val="center"/>
                </w:tcPr>
                <w:p w14:paraId="6CA866FA">
                  <w:pPr>
                    <w:pStyle w:val="477"/>
                    <w:spacing w:after="0"/>
                    <w:rPr>
                      <w:color w:val="auto"/>
                      <w:szCs w:val="21"/>
                    </w:rPr>
                  </w:pPr>
                  <w:r>
                    <w:rPr>
                      <w:rFonts w:hint="eastAsia"/>
                      <w:color w:val="auto"/>
                      <w:szCs w:val="21"/>
                    </w:rPr>
                    <w:t>155</w:t>
                  </w:r>
                </w:p>
              </w:tc>
              <w:tc>
                <w:tcPr>
                  <w:tcW w:w="154" w:type="pct"/>
                  <w:tcMar>
                    <w:left w:w="0" w:type="dxa"/>
                    <w:right w:w="0" w:type="dxa"/>
                  </w:tcMar>
                  <w:vAlign w:val="center"/>
                </w:tcPr>
                <w:p w14:paraId="16895603">
                  <w:pPr>
                    <w:pStyle w:val="477"/>
                    <w:spacing w:after="0"/>
                    <w:rPr>
                      <w:color w:val="auto"/>
                      <w:szCs w:val="21"/>
                    </w:rPr>
                  </w:pPr>
                  <w:r>
                    <w:rPr>
                      <w:rFonts w:hint="eastAsia"/>
                      <w:color w:val="auto"/>
                      <w:szCs w:val="21"/>
                    </w:rPr>
                    <w:t>125</w:t>
                  </w:r>
                </w:p>
              </w:tc>
              <w:tc>
                <w:tcPr>
                  <w:tcW w:w="153" w:type="pct"/>
                  <w:vAlign w:val="center"/>
                </w:tcPr>
                <w:p w14:paraId="18772A48">
                  <w:pPr>
                    <w:jc w:val="center"/>
                    <w:rPr>
                      <w:color w:val="auto"/>
                      <w:szCs w:val="21"/>
                    </w:rPr>
                  </w:pPr>
                  <w:r>
                    <w:rPr>
                      <w:rFonts w:hint="eastAsia"/>
                      <w:color w:val="auto"/>
                      <w:szCs w:val="21"/>
                    </w:rPr>
                    <w:t>1.5</w:t>
                  </w:r>
                </w:p>
              </w:tc>
              <w:tc>
                <w:tcPr>
                  <w:tcW w:w="354" w:type="pct"/>
                  <w:tcMar>
                    <w:left w:w="0" w:type="dxa"/>
                    <w:right w:w="0" w:type="dxa"/>
                  </w:tcMar>
                  <w:vAlign w:val="center"/>
                </w:tcPr>
                <w:p w14:paraId="7E365E10">
                  <w:pPr>
                    <w:pStyle w:val="477"/>
                    <w:spacing w:after="0"/>
                    <w:rPr>
                      <w:color w:val="auto"/>
                      <w:szCs w:val="21"/>
                    </w:rPr>
                  </w:pPr>
                  <w:r>
                    <w:rPr>
                      <w:rFonts w:hint="eastAsia"/>
                      <w:color w:val="auto"/>
                      <w:szCs w:val="21"/>
                    </w:rPr>
                    <w:t>25</w:t>
                  </w:r>
                </w:p>
              </w:tc>
              <w:tc>
                <w:tcPr>
                  <w:tcW w:w="415" w:type="pct"/>
                  <w:tcMar>
                    <w:left w:w="0" w:type="dxa"/>
                    <w:right w:w="0" w:type="dxa"/>
                  </w:tcMar>
                  <w:vAlign w:val="center"/>
                </w:tcPr>
                <w:p w14:paraId="1560BC2E">
                  <w:pPr>
                    <w:jc w:val="center"/>
                    <w:rPr>
                      <w:color w:val="auto"/>
                      <w:szCs w:val="21"/>
                    </w:rPr>
                  </w:pPr>
                  <w:r>
                    <w:rPr>
                      <w:rFonts w:hint="eastAsia"/>
                      <w:color w:val="auto"/>
                      <w:szCs w:val="21"/>
                    </w:rPr>
                    <w:t>65.3</w:t>
                  </w:r>
                </w:p>
              </w:tc>
              <w:tc>
                <w:tcPr>
                  <w:tcW w:w="184" w:type="pct"/>
                  <w:tcMar>
                    <w:left w:w="0" w:type="dxa"/>
                    <w:right w:w="0" w:type="dxa"/>
                  </w:tcMar>
                  <w:vAlign w:val="center"/>
                </w:tcPr>
                <w:p w14:paraId="2095FDDA">
                  <w:pPr>
                    <w:jc w:val="center"/>
                    <w:rPr>
                      <w:color w:val="auto"/>
                      <w:szCs w:val="21"/>
                    </w:rPr>
                  </w:pPr>
                  <w:r>
                    <w:rPr>
                      <w:color w:val="auto"/>
                      <w:szCs w:val="21"/>
                    </w:rPr>
                    <w:t>昼</w:t>
                  </w:r>
                </w:p>
              </w:tc>
              <w:tc>
                <w:tcPr>
                  <w:tcW w:w="442" w:type="pct"/>
                  <w:tcMar>
                    <w:left w:w="0" w:type="dxa"/>
                    <w:right w:w="0" w:type="dxa"/>
                  </w:tcMar>
                  <w:vAlign w:val="center"/>
                </w:tcPr>
                <w:p w14:paraId="0D53CF8B">
                  <w:pPr>
                    <w:jc w:val="center"/>
                    <w:rPr>
                      <w:color w:val="auto"/>
                      <w:szCs w:val="21"/>
                    </w:rPr>
                  </w:pPr>
                  <w:r>
                    <w:rPr>
                      <w:rFonts w:hint="eastAsia"/>
                      <w:color w:val="auto"/>
                      <w:szCs w:val="21"/>
                    </w:rPr>
                    <w:t>25</w:t>
                  </w:r>
                </w:p>
              </w:tc>
              <w:tc>
                <w:tcPr>
                  <w:tcW w:w="350" w:type="pct"/>
                  <w:vAlign w:val="center"/>
                </w:tcPr>
                <w:p w14:paraId="1C015A85">
                  <w:pPr>
                    <w:jc w:val="center"/>
                    <w:rPr>
                      <w:color w:val="auto"/>
                      <w:szCs w:val="21"/>
                    </w:rPr>
                  </w:pPr>
                  <w:r>
                    <w:rPr>
                      <w:rFonts w:hint="eastAsia"/>
                      <w:color w:val="auto"/>
                      <w:szCs w:val="21"/>
                    </w:rPr>
                    <w:t>31.5</w:t>
                  </w:r>
                </w:p>
              </w:tc>
              <w:tc>
                <w:tcPr>
                  <w:tcW w:w="247" w:type="pct"/>
                  <w:vAlign w:val="center"/>
                </w:tcPr>
                <w:p w14:paraId="1D900B50">
                  <w:pPr>
                    <w:pStyle w:val="477"/>
                    <w:spacing w:after="0"/>
                    <w:rPr>
                      <w:color w:val="auto"/>
                      <w:szCs w:val="21"/>
                    </w:rPr>
                  </w:pPr>
                  <w:r>
                    <w:rPr>
                      <w:color w:val="auto"/>
                      <w:szCs w:val="21"/>
                    </w:rPr>
                    <w:t>1</w:t>
                  </w:r>
                </w:p>
              </w:tc>
            </w:tr>
            <w:tr w14:paraId="3434E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7925106B">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5</w:t>
                  </w:r>
                </w:p>
              </w:tc>
              <w:tc>
                <w:tcPr>
                  <w:tcW w:w="217" w:type="pct"/>
                  <w:vMerge w:val="continue"/>
                  <w:vAlign w:val="center"/>
                </w:tcPr>
                <w:p w14:paraId="3C9ECD6C">
                  <w:pPr>
                    <w:adjustRightInd w:val="0"/>
                    <w:snapToGrid w:val="0"/>
                    <w:jc w:val="center"/>
                    <w:rPr>
                      <w:color w:val="auto"/>
                      <w:szCs w:val="21"/>
                    </w:rPr>
                  </w:pPr>
                </w:p>
              </w:tc>
              <w:tc>
                <w:tcPr>
                  <w:tcW w:w="433" w:type="pct"/>
                  <w:vAlign w:val="center"/>
                </w:tcPr>
                <w:p w14:paraId="43D365F6">
                  <w:pPr>
                    <w:pStyle w:val="477"/>
                    <w:spacing w:after="0"/>
                    <w:rPr>
                      <w:color w:val="auto"/>
                      <w:szCs w:val="21"/>
                    </w:rPr>
                  </w:pPr>
                  <w:r>
                    <w:rPr>
                      <w:color w:val="auto"/>
                      <w:kern w:val="0"/>
                      <w:szCs w:val="21"/>
                      <w:lang w:bidi="ar"/>
                    </w:rPr>
                    <w:t>电动打磨抛光机</w:t>
                  </w:r>
                </w:p>
              </w:tc>
              <w:tc>
                <w:tcPr>
                  <w:tcW w:w="135" w:type="pct"/>
                  <w:vAlign w:val="center"/>
                </w:tcPr>
                <w:p w14:paraId="1D848BB9">
                  <w:pPr>
                    <w:widowControl/>
                    <w:jc w:val="center"/>
                    <w:rPr>
                      <w:color w:val="auto"/>
                      <w:szCs w:val="21"/>
                    </w:rPr>
                  </w:pPr>
                  <w:r>
                    <w:rPr>
                      <w:rFonts w:hint="eastAsia"/>
                      <w:color w:val="auto"/>
                      <w:szCs w:val="21"/>
                    </w:rPr>
                    <w:t>4</w:t>
                  </w:r>
                </w:p>
              </w:tc>
              <w:tc>
                <w:tcPr>
                  <w:tcW w:w="1013" w:type="pct"/>
                  <w:vAlign w:val="center"/>
                </w:tcPr>
                <w:p w14:paraId="36E1A253">
                  <w:pPr>
                    <w:widowControl/>
                    <w:jc w:val="center"/>
                    <w:rPr>
                      <w:color w:val="auto"/>
                      <w:szCs w:val="21"/>
                    </w:rPr>
                  </w:pPr>
                  <w:r>
                    <w:rPr>
                      <w:rFonts w:hint="eastAsia"/>
                      <w:color w:val="auto"/>
                      <w:szCs w:val="21"/>
                    </w:rPr>
                    <w:t>/</w:t>
                  </w:r>
                </w:p>
              </w:tc>
              <w:tc>
                <w:tcPr>
                  <w:tcW w:w="377" w:type="pct"/>
                  <w:vAlign w:val="center"/>
                </w:tcPr>
                <w:p w14:paraId="21D75572">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789A1E25">
                  <w:pPr>
                    <w:pStyle w:val="477"/>
                    <w:spacing w:after="0"/>
                    <w:rPr>
                      <w:color w:val="auto"/>
                      <w:szCs w:val="21"/>
                    </w:rPr>
                  </w:pPr>
                </w:p>
              </w:tc>
              <w:tc>
                <w:tcPr>
                  <w:tcW w:w="154" w:type="pct"/>
                  <w:tcMar>
                    <w:left w:w="0" w:type="dxa"/>
                    <w:right w:w="0" w:type="dxa"/>
                  </w:tcMar>
                  <w:vAlign w:val="center"/>
                </w:tcPr>
                <w:p w14:paraId="7483E377">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28416ABF">
                  <w:pPr>
                    <w:pStyle w:val="477"/>
                    <w:spacing w:after="0"/>
                    <w:rPr>
                      <w:color w:val="auto"/>
                      <w:szCs w:val="21"/>
                    </w:rPr>
                  </w:pPr>
                  <w:r>
                    <w:rPr>
                      <w:rFonts w:hint="eastAsia"/>
                      <w:color w:val="auto"/>
                      <w:szCs w:val="21"/>
                    </w:rPr>
                    <w:t>130</w:t>
                  </w:r>
                </w:p>
              </w:tc>
              <w:tc>
                <w:tcPr>
                  <w:tcW w:w="153" w:type="pct"/>
                  <w:vAlign w:val="center"/>
                </w:tcPr>
                <w:p w14:paraId="4DCC81B3">
                  <w:pPr>
                    <w:jc w:val="center"/>
                    <w:rPr>
                      <w:color w:val="auto"/>
                      <w:szCs w:val="21"/>
                    </w:rPr>
                  </w:pPr>
                  <w:r>
                    <w:rPr>
                      <w:rFonts w:hint="eastAsia"/>
                      <w:color w:val="auto"/>
                      <w:szCs w:val="21"/>
                    </w:rPr>
                    <w:t>1.5</w:t>
                  </w:r>
                </w:p>
              </w:tc>
              <w:tc>
                <w:tcPr>
                  <w:tcW w:w="354" w:type="pct"/>
                  <w:tcMar>
                    <w:left w:w="0" w:type="dxa"/>
                    <w:right w:w="0" w:type="dxa"/>
                  </w:tcMar>
                  <w:vAlign w:val="center"/>
                </w:tcPr>
                <w:p w14:paraId="6EA5D0DB">
                  <w:pPr>
                    <w:pStyle w:val="477"/>
                    <w:spacing w:after="0"/>
                    <w:rPr>
                      <w:color w:val="auto"/>
                      <w:szCs w:val="21"/>
                    </w:rPr>
                  </w:pPr>
                  <w:r>
                    <w:rPr>
                      <w:rFonts w:hint="eastAsia"/>
                      <w:color w:val="auto"/>
                      <w:szCs w:val="21"/>
                    </w:rPr>
                    <w:t>25</w:t>
                  </w:r>
                </w:p>
              </w:tc>
              <w:tc>
                <w:tcPr>
                  <w:tcW w:w="415" w:type="pct"/>
                  <w:tcMar>
                    <w:left w:w="0" w:type="dxa"/>
                    <w:right w:w="0" w:type="dxa"/>
                  </w:tcMar>
                  <w:vAlign w:val="center"/>
                </w:tcPr>
                <w:p w14:paraId="4903BB19">
                  <w:pPr>
                    <w:jc w:val="center"/>
                    <w:rPr>
                      <w:color w:val="auto"/>
                      <w:szCs w:val="21"/>
                    </w:rPr>
                  </w:pPr>
                  <w:r>
                    <w:rPr>
                      <w:rFonts w:hint="eastAsia"/>
                      <w:color w:val="auto"/>
                      <w:szCs w:val="21"/>
                    </w:rPr>
                    <w:t>43.2</w:t>
                  </w:r>
                </w:p>
              </w:tc>
              <w:tc>
                <w:tcPr>
                  <w:tcW w:w="184" w:type="pct"/>
                  <w:tcMar>
                    <w:left w:w="0" w:type="dxa"/>
                    <w:right w:w="0" w:type="dxa"/>
                  </w:tcMar>
                  <w:vAlign w:val="center"/>
                </w:tcPr>
                <w:p w14:paraId="02DA2289">
                  <w:pPr>
                    <w:jc w:val="center"/>
                    <w:rPr>
                      <w:color w:val="auto"/>
                      <w:szCs w:val="21"/>
                    </w:rPr>
                  </w:pPr>
                  <w:r>
                    <w:rPr>
                      <w:rFonts w:hint="eastAsia"/>
                      <w:color w:val="auto"/>
                      <w:szCs w:val="21"/>
                    </w:rPr>
                    <w:t>昼</w:t>
                  </w:r>
                </w:p>
              </w:tc>
              <w:tc>
                <w:tcPr>
                  <w:tcW w:w="442" w:type="pct"/>
                  <w:tcMar>
                    <w:left w:w="0" w:type="dxa"/>
                    <w:right w:w="0" w:type="dxa"/>
                  </w:tcMar>
                  <w:vAlign w:val="center"/>
                </w:tcPr>
                <w:p w14:paraId="7F38FF04">
                  <w:pPr>
                    <w:jc w:val="center"/>
                    <w:rPr>
                      <w:color w:val="auto"/>
                      <w:szCs w:val="21"/>
                    </w:rPr>
                  </w:pPr>
                  <w:r>
                    <w:rPr>
                      <w:rFonts w:hint="eastAsia"/>
                      <w:color w:val="auto"/>
                      <w:szCs w:val="21"/>
                    </w:rPr>
                    <w:t>25</w:t>
                  </w:r>
                </w:p>
              </w:tc>
              <w:tc>
                <w:tcPr>
                  <w:tcW w:w="350" w:type="pct"/>
                  <w:vAlign w:val="center"/>
                </w:tcPr>
                <w:p w14:paraId="51601AD5">
                  <w:pPr>
                    <w:jc w:val="center"/>
                    <w:rPr>
                      <w:color w:val="auto"/>
                      <w:szCs w:val="21"/>
                    </w:rPr>
                  </w:pPr>
                  <w:r>
                    <w:rPr>
                      <w:rFonts w:hint="eastAsia"/>
                      <w:color w:val="auto"/>
                      <w:szCs w:val="21"/>
                    </w:rPr>
                    <w:t>22.4</w:t>
                  </w:r>
                </w:p>
              </w:tc>
              <w:tc>
                <w:tcPr>
                  <w:tcW w:w="247" w:type="pct"/>
                  <w:vAlign w:val="center"/>
                </w:tcPr>
                <w:p w14:paraId="688879FE">
                  <w:pPr>
                    <w:pStyle w:val="477"/>
                    <w:spacing w:after="0"/>
                    <w:rPr>
                      <w:color w:val="auto"/>
                      <w:szCs w:val="21"/>
                    </w:rPr>
                  </w:pPr>
                  <w:r>
                    <w:rPr>
                      <w:color w:val="auto"/>
                      <w:szCs w:val="21"/>
                    </w:rPr>
                    <w:t>1</w:t>
                  </w:r>
                </w:p>
              </w:tc>
            </w:tr>
            <w:tr w14:paraId="02041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1CD950A0">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2</w:t>
                  </w:r>
                  <w:r>
                    <w:rPr>
                      <w:rFonts w:hint="eastAsia"/>
                      <w:color w:val="auto"/>
                      <w:kern w:val="0"/>
                      <w:szCs w:val="21"/>
                      <w:lang w:bidi="ar"/>
                    </w:rPr>
                    <w:t>6</w:t>
                  </w:r>
                </w:p>
              </w:tc>
              <w:tc>
                <w:tcPr>
                  <w:tcW w:w="217" w:type="pct"/>
                  <w:vMerge w:val="continue"/>
                  <w:vAlign w:val="center"/>
                </w:tcPr>
                <w:p w14:paraId="7711332C">
                  <w:pPr>
                    <w:adjustRightInd w:val="0"/>
                    <w:snapToGrid w:val="0"/>
                    <w:jc w:val="center"/>
                    <w:rPr>
                      <w:color w:val="auto"/>
                      <w:szCs w:val="21"/>
                    </w:rPr>
                  </w:pPr>
                </w:p>
              </w:tc>
              <w:tc>
                <w:tcPr>
                  <w:tcW w:w="433" w:type="pct"/>
                  <w:vAlign w:val="center"/>
                </w:tcPr>
                <w:p w14:paraId="24874A85">
                  <w:pPr>
                    <w:pStyle w:val="477"/>
                    <w:spacing w:after="0"/>
                    <w:rPr>
                      <w:color w:val="auto"/>
                      <w:szCs w:val="21"/>
                    </w:rPr>
                  </w:pPr>
                  <w:r>
                    <w:rPr>
                      <w:color w:val="auto"/>
                      <w:kern w:val="0"/>
                      <w:szCs w:val="21"/>
                      <w:lang w:bidi="ar"/>
                    </w:rPr>
                    <w:t>电动打磨</w:t>
                  </w:r>
                  <w:r>
                    <w:rPr>
                      <w:rFonts w:hint="eastAsia"/>
                      <w:color w:val="auto"/>
                      <w:kern w:val="0"/>
                      <w:szCs w:val="21"/>
                      <w:lang w:bidi="ar"/>
                    </w:rPr>
                    <w:t>砂</w:t>
                  </w:r>
                  <w:r>
                    <w:rPr>
                      <w:color w:val="auto"/>
                      <w:kern w:val="0"/>
                      <w:szCs w:val="21"/>
                      <w:lang w:bidi="ar"/>
                    </w:rPr>
                    <w:t>光机</w:t>
                  </w:r>
                </w:p>
              </w:tc>
              <w:tc>
                <w:tcPr>
                  <w:tcW w:w="135" w:type="pct"/>
                  <w:vAlign w:val="center"/>
                </w:tcPr>
                <w:p w14:paraId="66E2A1E8">
                  <w:pPr>
                    <w:widowControl/>
                    <w:jc w:val="center"/>
                    <w:rPr>
                      <w:color w:val="auto"/>
                      <w:szCs w:val="21"/>
                    </w:rPr>
                  </w:pPr>
                  <w:r>
                    <w:rPr>
                      <w:rFonts w:hint="eastAsia"/>
                      <w:color w:val="auto"/>
                      <w:szCs w:val="21"/>
                    </w:rPr>
                    <w:t>4</w:t>
                  </w:r>
                </w:p>
              </w:tc>
              <w:tc>
                <w:tcPr>
                  <w:tcW w:w="1013" w:type="pct"/>
                  <w:vAlign w:val="center"/>
                </w:tcPr>
                <w:p w14:paraId="38A47CAA">
                  <w:pPr>
                    <w:widowControl/>
                    <w:jc w:val="center"/>
                    <w:rPr>
                      <w:color w:val="auto"/>
                      <w:szCs w:val="21"/>
                    </w:rPr>
                  </w:pPr>
                  <w:r>
                    <w:rPr>
                      <w:rFonts w:hint="eastAsia"/>
                      <w:color w:val="auto"/>
                      <w:szCs w:val="21"/>
                    </w:rPr>
                    <w:t>/</w:t>
                  </w:r>
                </w:p>
              </w:tc>
              <w:tc>
                <w:tcPr>
                  <w:tcW w:w="377" w:type="pct"/>
                  <w:vAlign w:val="center"/>
                </w:tcPr>
                <w:p w14:paraId="2F837538">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92E5C3F">
                  <w:pPr>
                    <w:pStyle w:val="477"/>
                    <w:spacing w:after="0"/>
                    <w:rPr>
                      <w:color w:val="auto"/>
                      <w:szCs w:val="21"/>
                    </w:rPr>
                  </w:pPr>
                </w:p>
              </w:tc>
              <w:tc>
                <w:tcPr>
                  <w:tcW w:w="154" w:type="pct"/>
                  <w:tcMar>
                    <w:left w:w="0" w:type="dxa"/>
                    <w:right w:w="0" w:type="dxa"/>
                  </w:tcMar>
                  <w:vAlign w:val="center"/>
                </w:tcPr>
                <w:p w14:paraId="056549F5">
                  <w:pPr>
                    <w:pStyle w:val="477"/>
                    <w:spacing w:after="0"/>
                    <w:rPr>
                      <w:color w:val="auto"/>
                      <w:szCs w:val="21"/>
                    </w:rPr>
                  </w:pPr>
                  <w:r>
                    <w:rPr>
                      <w:rFonts w:hint="eastAsia"/>
                      <w:color w:val="auto"/>
                      <w:szCs w:val="21"/>
                    </w:rPr>
                    <w:t>165</w:t>
                  </w:r>
                </w:p>
              </w:tc>
              <w:tc>
                <w:tcPr>
                  <w:tcW w:w="154" w:type="pct"/>
                  <w:tcMar>
                    <w:left w:w="0" w:type="dxa"/>
                    <w:right w:w="0" w:type="dxa"/>
                  </w:tcMar>
                  <w:vAlign w:val="center"/>
                </w:tcPr>
                <w:p w14:paraId="5F3968FC">
                  <w:pPr>
                    <w:pStyle w:val="477"/>
                    <w:spacing w:after="0"/>
                    <w:rPr>
                      <w:color w:val="auto"/>
                      <w:szCs w:val="21"/>
                    </w:rPr>
                  </w:pPr>
                  <w:r>
                    <w:rPr>
                      <w:rFonts w:hint="eastAsia"/>
                      <w:color w:val="auto"/>
                      <w:szCs w:val="21"/>
                    </w:rPr>
                    <w:t>135</w:t>
                  </w:r>
                </w:p>
              </w:tc>
              <w:tc>
                <w:tcPr>
                  <w:tcW w:w="153" w:type="pct"/>
                  <w:vAlign w:val="center"/>
                </w:tcPr>
                <w:p w14:paraId="1C7C057A">
                  <w:pPr>
                    <w:jc w:val="center"/>
                    <w:rPr>
                      <w:color w:val="auto"/>
                      <w:szCs w:val="21"/>
                    </w:rPr>
                  </w:pPr>
                  <w:r>
                    <w:rPr>
                      <w:rFonts w:hint="eastAsia"/>
                      <w:color w:val="auto"/>
                      <w:szCs w:val="21"/>
                    </w:rPr>
                    <w:t>1.5</w:t>
                  </w:r>
                </w:p>
              </w:tc>
              <w:tc>
                <w:tcPr>
                  <w:tcW w:w="354" w:type="pct"/>
                  <w:tcMar>
                    <w:left w:w="0" w:type="dxa"/>
                    <w:right w:w="0" w:type="dxa"/>
                  </w:tcMar>
                  <w:vAlign w:val="center"/>
                </w:tcPr>
                <w:p w14:paraId="59DDB973">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0B55428E">
                  <w:pPr>
                    <w:jc w:val="center"/>
                    <w:rPr>
                      <w:color w:val="auto"/>
                      <w:szCs w:val="21"/>
                    </w:rPr>
                  </w:pPr>
                  <w:r>
                    <w:rPr>
                      <w:rFonts w:hint="eastAsia"/>
                      <w:color w:val="auto"/>
                      <w:szCs w:val="21"/>
                    </w:rPr>
                    <w:t>49.7</w:t>
                  </w:r>
                </w:p>
              </w:tc>
              <w:tc>
                <w:tcPr>
                  <w:tcW w:w="184" w:type="pct"/>
                  <w:tcMar>
                    <w:left w:w="0" w:type="dxa"/>
                    <w:right w:w="0" w:type="dxa"/>
                  </w:tcMar>
                  <w:vAlign w:val="center"/>
                </w:tcPr>
                <w:p w14:paraId="4A54F3B2">
                  <w:pPr>
                    <w:jc w:val="center"/>
                    <w:rPr>
                      <w:color w:val="auto"/>
                      <w:szCs w:val="21"/>
                    </w:rPr>
                  </w:pPr>
                  <w:r>
                    <w:rPr>
                      <w:color w:val="auto"/>
                      <w:szCs w:val="21"/>
                    </w:rPr>
                    <w:t>昼</w:t>
                  </w:r>
                </w:p>
              </w:tc>
              <w:tc>
                <w:tcPr>
                  <w:tcW w:w="442" w:type="pct"/>
                  <w:tcMar>
                    <w:left w:w="0" w:type="dxa"/>
                    <w:right w:w="0" w:type="dxa"/>
                  </w:tcMar>
                  <w:vAlign w:val="center"/>
                </w:tcPr>
                <w:p w14:paraId="55D58944">
                  <w:pPr>
                    <w:jc w:val="center"/>
                    <w:rPr>
                      <w:color w:val="auto"/>
                      <w:szCs w:val="21"/>
                    </w:rPr>
                  </w:pPr>
                  <w:r>
                    <w:rPr>
                      <w:rFonts w:hint="eastAsia"/>
                      <w:color w:val="auto"/>
                      <w:szCs w:val="21"/>
                    </w:rPr>
                    <w:t>25</w:t>
                  </w:r>
                </w:p>
              </w:tc>
              <w:tc>
                <w:tcPr>
                  <w:tcW w:w="350" w:type="pct"/>
                  <w:vAlign w:val="center"/>
                </w:tcPr>
                <w:p w14:paraId="700C94C5">
                  <w:pPr>
                    <w:jc w:val="center"/>
                    <w:rPr>
                      <w:color w:val="auto"/>
                      <w:szCs w:val="21"/>
                    </w:rPr>
                  </w:pPr>
                  <w:r>
                    <w:rPr>
                      <w:rFonts w:hint="eastAsia"/>
                      <w:color w:val="auto"/>
                      <w:szCs w:val="21"/>
                    </w:rPr>
                    <w:t>25.1</w:t>
                  </w:r>
                </w:p>
              </w:tc>
              <w:tc>
                <w:tcPr>
                  <w:tcW w:w="247" w:type="pct"/>
                  <w:vAlign w:val="center"/>
                </w:tcPr>
                <w:p w14:paraId="3DAA3BBE">
                  <w:pPr>
                    <w:pStyle w:val="477"/>
                    <w:spacing w:after="0"/>
                    <w:rPr>
                      <w:color w:val="auto"/>
                      <w:szCs w:val="21"/>
                    </w:rPr>
                  </w:pPr>
                  <w:r>
                    <w:rPr>
                      <w:color w:val="auto"/>
                      <w:szCs w:val="21"/>
                    </w:rPr>
                    <w:t>1</w:t>
                  </w:r>
                </w:p>
              </w:tc>
            </w:tr>
            <w:tr w14:paraId="5641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5FEA52BE">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27</w:t>
                  </w:r>
                </w:p>
              </w:tc>
              <w:tc>
                <w:tcPr>
                  <w:tcW w:w="217" w:type="pct"/>
                  <w:vMerge w:val="continue"/>
                  <w:vAlign w:val="center"/>
                </w:tcPr>
                <w:p w14:paraId="75E2A07D">
                  <w:pPr>
                    <w:adjustRightInd w:val="0"/>
                    <w:snapToGrid w:val="0"/>
                    <w:jc w:val="center"/>
                    <w:rPr>
                      <w:color w:val="auto"/>
                      <w:szCs w:val="21"/>
                    </w:rPr>
                  </w:pPr>
                </w:p>
              </w:tc>
              <w:tc>
                <w:tcPr>
                  <w:tcW w:w="433" w:type="pct"/>
                  <w:vAlign w:val="center"/>
                </w:tcPr>
                <w:p w14:paraId="20A8CF24">
                  <w:pPr>
                    <w:pStyle w:val="477"/>
                    <w:spacing w:after="0"/>
                    <w:rPr>
                      <w:color w:val="auto"/>
                      <w:szCs w:val="21"/>
                    </w:rPr>
                  </w:pPr>
                  <w:r>
                    <w:rPr>
                      <w:color w:val="auto"/>
                      <w:kern w:val="0"/>
                      <w:szCs w:val="21"/>
                      <w:lang w:bidi="ar"/>
                    </w:rPr>
                    <w:t>角磨机</w:t>
                  </w:r>
                </w:p>
              </w:tc>
              <w:tc>
                <w:tcPr>
                  <w:tcW w:w="135" w:type="pct"/>
                  <w:vAlign w:val="center"/>
                </w:tcPr>
                <w:p w14:paraId="5CE5CB34">
                  <w:pPr>
                    <w:widowControl/>
                    <w:jc w:val="center"/>
                    <w:rPr>
                      <w:color w:val="auto"/>
                      <w:szCs w:val="21"/>
                    </w:rPr>
                  </w:pPr>
                  <w:r>
                    <w:rPr>
                      <w:rFonts w:hint="eastAsia"/>
                      <w:color w:val="auto"/>
                      <w:szCs w:val="21"/>
                    </w:rPr>
                    <w:t>6</w:t>
                  </w:r>
                </w:p>
              </w:tc>
              <w:tc>
                <w:tcPr>
                  <w:tcW w:w="1013" w:type="pct"/>
                  <w:vAlign w:val="center"/>
                </w:tcPr>
                <w:p w14:paraId="07A34FB9">
                  <w:pPr>
                    <w:widowControl/>
                    <w:jc w:val="center"/>
                    <w:rPr>
                      <w:color w:val="auto"/>
                      <w:szCs w:val="21"/>
                    </w:rPr>
                  </w:pPr>
                  <w:r>
                    <w:rPr>
                      <w:rFonts w:hint="eastAsia"/>
                      <w:color w:val="auto"/>
                      <w:szCs w:val="21"/>
                    </w:rPr>
                    <w:t>/</w:t>
                  </w:r>
                </w:p>
              </w:tc>
              <w:tc>
                <w:tcPr>
                  <w:tcW w:w="377" w:type="pct"/>
                  <w:vAlign w:val="center"/>
                </w:tcPr>
                <w:p w14:paraId="20DAECCD">
                  <w:pPr>
                    <w:adjustRightInd w:val="0"/>
                    <w:snapToGrid w:val="0"/>
                    <w:jc w:val="center"/>
                    <w:rPr>
                      <w:color w:val="auto"/>
                      <w:szCs w:val="21"/>
                    </w:rPr>
                  </w:pPr>
                  <w:r>
                    <w:rPr>
                      <w:color w:val="auto"/>
                      <w:szCs w:val="21"/>
                    </w:rPr>
                    <w:t>85</w:t>
                  </w:r>
                </w:p>
              </w:tc>
              <w:tc>
                <w:tcPr>
                  <w:tcW w:w="246" w:type="pct"/>
                  <w:vMerge w:val="continue"/>
                  <w:vAlign w:val="center"/>
                </w:tcPr>
                <w:p w14:paraId="455991D5">
                  <w:pPr>
                    <w:pStyle w:val="477"/>
                    <w:spacing w:after="0"/>
                    <w:rPr>
                      <w:color w:val="auto"/>
                      <w:szCs w:val="21"/>
                    </w:rPr>
                  </w:pPr>
                </w:p>
              </w:tc>
              <w:tc>
                <w:tcPr>
                  <w:tcW w:w="154" w:type="pct"/>
                  <w:tcMar>
                    <w:left w:w="0" w:type="dxa"/>
                    <w:right w:w="0" w:type="dxa"/>
                  </w:tcMar>
                  <w:vAlign w:val="center"/>
                </w:tcPr>
                <w:p w14:paraId="4D45B9B0">
                  <w:pPr>
                    <w:pStyle w:val="477"/>
                    <w:spacing w:after="0"/>
                    <w:rPr>
                      <w:color w:val="auto"/>
                      <w:szCs w:val="21"/>
                    </w:rPr>
                  </w:pPr>
                  <w:r>
                    <w:rPr>
                      <w:rFonts w:hint="eastAsia"/>
                      <w:color w:val="auto"/>
                      <w:szCs w:val="21"/>
                    </w:rPr>
                    <w:t>155</w:t>
                  </w:r>
                </w:p>
              </w:tc>
              <w:tc>
                <w:tcPr>
                  <w:tcW w:w="154" w:type="pct"/>
                  <w:tcMar>
                    <w:left w:w="0" w:type="dxa"/>
                    <w:right w:w="0" w:type="dxa"/>
                  </w:tcMar>
                  <w:vAlign w:val="center"/>
                </w:tcPr>
                <w:p w14:paraId="6D475038">
                  <w:pPr>
                    <w:pStyle w:val="477"/>
                    <w:spacing w:after="0"/>
                    <w:rPr>
                      <w:color w:val="auto"/>
                      <w:szCs w:val="21"/>
                    </w:rPr>
                  </w:pPr>
                  <w:r>
                    <w:rPr>
                      <w:rFonts w:hint="eastAsia"/>
                      <w:color w:val="auto"/>
                      <w:szCs w:val="21"/>
                    </w:rPr>
                    <w:t>160</w:t>
                  </w:r>
                </w:p>
              </w:tc>
              <w:tc>
                <w:tcPr>
                  <w:tcW w:w="153" w:type="pct"/>
                  <w:vAlign w:val="center"/>
                </w:tcPr>
                <w:p w14:paraId="3A817CB5">
                  <w:pPr>
                    <w:jc w:val="center"/>
                    <w:rPr>
                      <w:color w:val="auto"/>
                      <w:szCs w:val="21"/>
                    </w:rPr>
                  </w:pPr>
                  <w:r>
                    <w:rPr>
                      <w:rFonts w:hint="eastAsia"/>
                      <w:color w:val="auto"/>
                      <w:szCs w:val="21"/>
                    </w:rPr>
                    <w:t>1.5</w:t>
                  </w:r>
                </w:p>
              </w:tc>
              <w:tc>
                <w:tcPr>
                  <w:tcW w:w="354" w:type="pct"/>
                  <w:tcMar>
                    <w:left w:w="0" w:type="dxa"/>
                    <w:right w:w="0" w:type="dxa"/>
                  </w:tcMar>
                  <w:vAlign w:val="center"/>
                </w:tcPr>
                <w:p w14:paraId="1FBCD419">
                  <w:pPr>
                    <w:pStyle w:val="477"/>
                    <w:spacing w:after="0"/>
                    <w:rPr>
                      <w:color w:val="auto"/>
                      <w:szCs w:val="21"/>
                    </w:rPr>
                  </w:pPr>
                  <w:r>
                    <w:rPr>
                      <w:rFonts w:hint="eastAsia"/>
                      <w:color w:val="auto"/>
                      <w:szCs w:val="21"/>
                    </w:rPr>
                    <w:t>15</w:t>
                  </w:r>
                </w:p>
              </w:tc>
              <w:tc>
                <w:tcPr>
                  <w:tcW w:w="415" w:type="pct"/>
                  <w:tcMar>
                    <w:left w:w="0" w:type="dxa"/>
                    <w:right w:w="0" w:type="dxa"/>
                  </w:tcMar>
                  <w:vAlign w:val="center"/>
                </w:tcPr>
                <w:p w14:paraId="4D9B5808">
                  <w:pPr>
                    <w:jc w:val="center"/>
                    <w:rPr>
                      <w:color w:val="auto"/>
                      <w:szCs w:val="21"/>
                    </w:rPr>
                  </w:pPr>
                  <w:r>
                    <w:rPr>
                      <w:rFonts w:hint="eastAsia"/>
                      <w:color w:val="auto"/>
                      <w:szCs w:val="21"/>
                    </w:rPr>
                    <w:t>39.5</w:t>
                  </w:r>
                </w:p>
              </w:tc>
              <w:tc>
                <w:tcPr>
                  <w:tcW w:w="184" w:type="pct"/>
                  <w:tcMar>
                    <w:left w:w="0" w:type="dxa"/>
                    <w:right w:w="0" w:type="dxa"/>
                  </w:tcMar>
                  <w:vAlign w:val="center"/>
                </w:tcPr>
                <w:p w14:paraId="4E20112A">
                  <w:pPr>
                    <w:jc w:val="center"/>
                    <w:rPr>
                      <w:color w:val="auto"/>
                      <w:szCs w:val="21"/>
                    </w:rPr>
                  </w:pPr>
                  <w:r>
                    <w:rPr>
                      <w:color w:val="auto"/>
                      <w:szCs w:val="21"/>
                    </w:rPr>
                    <w:t>昼</w:t>
                  </w:r>
                </w:p>
              </w:tc>
              <w:tc>
                <w:tcPr>
                  <w:tcW w:w="442" w:type="pct"/>
                  <w:tcMar>
                    <w:left w:w="0" w:type="dxa"/>
                    <w:right w:w="0" w:type="dxa"/>
                  </w:tcMar>
                  <w:vAlign w:val="center"/>
                </w:tcPr>
                <w:p w14:paraId="6438303B">
                  <w:pPr>
                    <w:jc w:val="center"/>
                    <w:rPr>
                      <w:color w:val="auto"/>
                      <w:szCs w:val="21"/>
                    </w:rPr>
                  </w:pPr>
                  <w:r>
                    <w:rPr>
                      <w:rFonts w:hint="eastAsia"/>
                      <w:color w:val="auto"/>
                      <w:szCs w:val="21"/>
                    </w:rPr>
                    <w:t>25</w:t>
                  </w:r>
                </w:p>
              </w:tc>
              <w:tc>
                <w:tcPr>
                  <w:tcW w:w="350" w:type="pct"/>
                  <w:vAlign w:val="center"/>
                </w:tcPr>
                <w:p w14:paraId="6874A0DC">
                  <w:pPr>
                    <w:jc w:val="center"/>
                    <w:rPr>
                      <w:color w:val="auto"/>
                      <w:szCs w:val="21"/>
                    </w:rPr>
                  </w:pPr>
                  <w:r>
                    <w:rPr>
                      <w:rFonts w:hint="eastAsia"/>
                      <w:color w:val="auto"/>
                      <w:szCs w:val="21"/>
                    </w:rPr>
                    <w:t>21.3</w:t>
                  </w:r>
                </w:p>
              </w:tc>
              <w:tc>
                <w:tcPr>
                  <w:tcW w:w="247" w:type="pct"/>
                  <w:vAlign w:val="center"/>
                </w:tcPr>
                <w:p w14:paraId="21A0A4D6">
                  <w:pPr>
                    <w:pStyle w:val="477"/>
                    <w:spacing w:after="0"/>
                    <w:rPr>
                      <w:color w:val="auto"/>
                      <w:szCs w:val="21"/>
                    </w:rPr>
                  </w:pPr>
                  <w:r>
                    <w:rPr>
                      <w:color w:val="auto"/>
                      <w:szCs w:val="21"/>
                    </w:rPr>
                    <w:t>1</w:t>
                  </w:r>
                </w:p>
              </w:tc>
            </w:tr>
            <w:tr w14:paraId="15BB8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BCFF11C">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28</w:t>
                  </w:r>
                </w:p>
              </w:tc>
              <w:tc>
                <w:tcPr>
                  <w:tcW w:w="217" w:type="pct"/>
                  <w:vMerge w:val="continue"/>
                  <w:vAlign w:val="center"/>
                </w:tcPr>
                <w:p w14:paraId="004287CD">
                  <w:pPr>
                    <w:adjustRightInd w:val="0"/>
                    <w:snapToGrid w:val="0"/>
                    <w:jc w:val="center"/>
                    <w:rPr>
                      <w:color w:val="auto"/>
                      <w:szCs w:val="21"/>
                    </w:rPr>
                  </w:pPr>
                </w:p>
              </w:tc>
              <w:tc>
                <w:tcPr>
                  <w:tcW w:w="433" w:type="pct"/>
                  <w:vAlign w:val="center"/>
                </w:tcPr>
                <w:p w14:paraId="70FFDE59">
                  <w:pPr>
                    <w:pStyle w:val="477"/>
                    <w:spacing w:after="0"/>
                    <w:rPr>
                      <w:color w:val="auto"/>
                      <w:szCs w:val="21"/>
                    </w:rPr>
                  </w:pPr>
                  <w:r>
                    <w:rPr>
                      <w:color w:val="auto"/>
                      <w:kern w:val="0"/>
                      <w:szCs w:val="21"/>
                      <w:lang w:bidi="ar"/>
                    </w:rPr>
                    <w:t>大修边机</w:t>
                  </w:r>
                </w:p>
              </w:tc>
              <w:tc>
                <w:tcPr>
                  <w:tcW w:w="135" w:type="pct"/>
                  <w:vAlign w:val="center"/>
                </w:tcPr>
                <w:p w14:paraId="6596F0B8">
                  <w:pPr>
                    <w:widowControl/>
                    <w:jc w:val="center"/>
                    <w:rPr>
                      <w:color w:val="auto"/>
                      <w:szCs w:val="21"/>
                    </w:rPr>
                  </w:pPr>
                  <w:r>
                    <w:rPr>
                      <w:rFonts w:hint="eastAsia"/>
                      <w:color w:val="auto"/>
                      <w:szCs w:val="21"/>
                    </w:rPr>
                    <w:t>3</w:t>
                  </w:r>
                </w:p>
              </w:tc>
              <w:tc>
                <w:tcPr>
                  <w:tcW w:w="1013" w:type="pct"/>
                  <w:vAlign w:val="center"/>
                </w:tcPr>
                <w:p w14:paraId="6F5432C6">
                  <w:pPr>
                    <w:widowControl/>
                    <w:jc w:val="center"/>
                    <w:rPr>
                      <w:color w:val="auto"/>
                      <w:szCs w:val="21"/>
                    </w:rPr>
                  </w:pPr>
                  <w:r>
                    <w:rPr>
                      <w:rFonts w:hint="eastAsia"/>
                      <w:color w:val="auto"/>
                      <w:szCs w:val="21"/>
                    </w:rPr>
                    <w:t>/</w:t>
                  </w:r>
                </w:p>
              </w:tc>
              <w:tc>
                <w:tcPr>
                  <w:tcW w:w="377" w:type="pct"/>
                  <w:vAlign w:val="center"/>
                </w:tcPr>
                <w:p w14:paraId="39497993">
                  <w:pPr>
                    <w:adjustRightInd w:val="0"/>
                    <w:snapToGrid w:val="0"/>
                    <w:jc w:val="center"/>
                    <w:rPr>
                      <w:color w:val="auto"/>
                      <w:szCs w:val="21"/>
                    </w:rPr>
                  </w:pPr>
                  <w:r>
                    <w:rPr>
                      <w:color w:val="auto"/>
                      <w:szCs w:val="21"/>
                    </w:rPr>
                    <w:t>85</w:t>
                  </w:r>
                </w:p>
              </w:tc>
              <w:tc>
                <w:tcPr>
                  <w:tcW w:w="246" w:type="pct"/>
                  <w:vMerge w:val="continue"/>
                  <w:vAlign w:val="center"/>
                </w:tcPr>
                <w:p w14:paraId="163E2A4F">
                  <w:pPr>
                    <w:pStyle w:val="477"/>
                    <w:spacing w:after="0"/>
                    <w:rPr>
                      <w:color w:val="auto"/>
                      <w:szCs w:val="21"/>
                    </w:rPr>
                  </w:pPr>
                </w:p>
              </w:tc>
              <w:tc>
                <w:tcPr>
                  <w:tcW w:w="154" w:type="pct"/>
                  <w:tcMar>
                    <w:left w:w="0" w:type="dxa"/>
                    <w:right w:w="0" w:type="dxa"/>
                  </w:tcMar>
                  <w:vAlign w:val="center"/>
                </w:tcPr>
                <w:p w14:paraId="34E46314">
                  <w:pPr>
                    <w:pStyle w:val="477"/>
                    <w:spacing w:after="0"/>
                    <w:rPr>
                      <w:color w:val="auto"/>
                      <w:szCs w:val="21"/>
                    </w:rPr>
                  </w:pPr>
                  <w:r>
                    <w:rPr>
                      <w:rFonts w:hint="eastAsia"/>
                      <w:color w:val="auto"/>
                      <w:szCs w:val="21"/>
                    </w:rPr>
                    <w:t>175</w:t>
                  </w:r>
                </w:p>
              </w:tc>
              <w:tc>
                <w:tcPr>
                  <w:tcW w:w="154" w:type="pct"/>
                  <w:tcMar>
                    <w:left w:w="0" w:type="dxa"/>
                    <w:right w:w="0" w:type="dxa"/>
                  </w:tcMar>
                  <w:vAlign w:val="center"/>
                </w:tcPr>
                <w:p w14:paraId="0CB50F81">
                  <w:pPr>
                    <w:pStyle w:val="477"/>
                    <w:spacing w:after="0"/>
                    <w:rPr>
                      <w:color w:val="auto"/>
                      <w:szCs w:val="21"/>
                    </w:rPr>
                  </w:pPr>
                  <w:r>
                    <w:rPr>
                      <w:rFonts w:hint="eastAsia"/>
                      <w:color w:val="auto"/>
                      <w:szCs w:val="21"/>
                    </w:rPr>
                    <w:t>160</w:t>
                  </w:r>
                </w:p>
              </w:tc>
              <w:tc>
                <w:tcPr>
                  <w:tcW w:w="153" w:type="pct"/>
                  <w:vAlign w:val="center"/>
                </w:tcPr>
                <w:p w14:paraId="24A17227">
                  <w:pPr>
                    <w:jc w:val="center"/>
                    <w:rPr>
                      <w:color w:val="auto"/>
                      <w:szCs w:val="21"/>
                    </w:rPr>
                  </w:pPr>
                  <w:r>
                    <w:rPr>
                      <w:rFonts w:hint="eastAsia"/>
                      <w:color w:val="auto"/>
                      <w:szCs w:val="21"/>
                    </w:rPr>
                    <w:t>1.5</w:t>
                  </w:r>
                </w:p>
              </w:tc>
              <w:tc>
                <w:tcPr>
                  <w:tcW w:w="354" w:type="pct"/>
                  <w:tcMar>
                    <w:left w:w="0" w:type="dxa"/>
                    <w:right w:w="0" w:type="dxa"/>
                  </w:tcMar>
                  <w:vAlign w:val="center"/>
                </w:tcPr>
                <w:p w14:paraId="477E9C8F">
                  <w:pPr>
                    <w:pStyle w:val="477"/>
                    <w:spacing w:after="0"/>
                    <w:rPr>
                      <w:color w:val="auto"/>
                      <w:szCs w:val="21"/>
                    </w:rPr>
                  </w:pPr>
                  <w:r>
                    <w:rPr>
                      <w:rFonts w:hint="eastAsia"/>
                      <w:color w:val="auto"/>
                      <w:szCs w:val="21"/>
                    </w:rPr>
                    <w:t>25</w:t>
                  </w:r>
                </w:p>
              </w:tc>
              <w:tc>
                <w:tcPr>
                  <w:tcW w:w="415" w:type="pct"/>
                  <w:tcMar>
                    <w:left w:w="0" w:type="dxa"/>
                    <w:right w:w="0" w:type="dxa"/>
                  </w:tcMar>
                  <w:vAlign w:val="center"/>
                </w:tcPr>
                <w:p w14:paraId="4CCA0732">
                  <w:pPr>
                    <w:jc w:val="center"/>
                    <w:rPr>
                      <w:color w:val="auto"/>
                      <w:szCs w:val="21"/>
                    </w:rPr>
                  </w:pPr>
                  <w:r>
                    <w:rPr>
                      <w:rFonts w:hint="eastAsia"/>
                      <w:color w:val="auto"/>
                      <w:szCs w:val="21"/>
                    </w:rPr>
                    <w:t>52.6</w:t>
                  </w:r>
                </w:p>
              </w:tc>
              <w:tc>
                <w:tcPr>
                  <w:tcW w:w="184" w:type="pct"/>
                  <w:tcMar>
                    <w:left w:w="0" w:type="dxa"/>
                    <w:right w:w="0" w:type="dxa"/>
                  </w:tcMar>
                  <w:vAlign w:val="center"/>
                </w:tcPr>
                <w:p w14:paraId="7724664E">
                  <w:pPr>
                    <w:jc w:val="center"/>
                    <w:rPr>
                      <w:color w:val="auto"/>
                      <w:szCs w:val="21"/>
                    </w:rPr>
                  </w:pPr>
                  <w:r>
                    <w:rPr>
                      <w:color w:val="auto"/>
                      <w:szCs w:val="21"/>
                    </w:rPr>
                    <w:t>昼</w:t>
                  </w:r>
                </w:p>
              </w:tc>
              <w:tc>
                <w:tcPr>
                  <w:tcW w:w="442" w:type="pct"/>
                  <w:tcMar>
                    <w:left w:w="0" w:type="dxa"/>
                    <w:right w:w="0" w:type="dxa"/>
                  </w:tcMar>
                  <w:vAlign w:val="center"/>
                </w:tcPr>
                <w:p w14:paraId="280EF968">
                  <w:pPr>
                    <w:jc w:val="center"/>
                    <w:rPr>
                      <w:color w:val="auto"/>
                      <w:szCs w:val="21"/>
                    </w:rPr>
                  </w:pPr>
                  <w:r>
                    <w:rPr>
                      <w:rFonts w:hint="eastAsia"/>
                      <w:color w:val="auto"/>
                      <w:szCs w:val="21"/>
                    </w:rPr>
                    <w:t>25</w:t>
                  </w:r>
                </w:p>
              </w:tc>
              <w:tc>
                <w:tcPr>
                  <w:tcW w:w="350" w:type="pct"/>
                  <w:vAlign w:val="center"/>
                </w:tcPr>
                <w:p w14:paraId="3784C4BB">
                  <w:pPr>
                    <w:jc w:val="center"/>
                    <w:rPr>
                      <w:color w:val="auto"/>
                      <w:szCs w:val="21"/>
                    </w:rPr>
                  </w:pPr>
                  <w:r>
                    <w:rPr>
                      <w:rFonts w:hint="eastAsia"/>
                      <w:color w:val="auto"/>
                      <w:szCs w:val="21"/>
                    </w:rPr>
                    <w:t>28.1</w:t>
                  </w:r>
                </w:p>
              </w:tc>
              <w:tc>
                <w:tcPr>
                  <w:tcW w:w="247" w:type="pct"/>
                  <w:vAlign w:val="center"/>
                </w:tcPr>
                <w:p w14:paraId="61DFC5FE">
                  <w:pPr>
                    <w:pStyle w:val="477"/>
                    <w:spacing w:after="0"/>
                    <w:rPr>
                      <w:color w:val="auto"/>
                      <w:szCs w:val="21"/>
                    </w:rPr>
                  </w:pPr>
                  <w:r>
                    <w:rPr>
                      <w:color w:val="auto"/>
                      <w:szCs w:val="21"/>
                    </w:rPr>
                    <w:t>1</w:t>
                  </w:r>
                </w:p>
              </w:tc>
            </w:tr>
            <w:tr w14:paraId="1B667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10AEA92B">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29</w:t>
                  </w:r>
                </w:p>
              </w:tc>
              <w:tc>
                <w:tcPr>
                  <w:tcW w:w="217" w:type="pct"/>
                  <w:vMerge w:val="continue"/>
                  <w:vAlign w:val="center"/>
                </w:tcPr>
                <w:p w14:paraId="5D101A05">
                  <w:pPr>
                    <w:adjustRightInd w:val="0"/>
                    <w:snapToGrid w:val="0"/>
                    <w:jc w:val="center"/>
                    <w:rPr>
                      <w:color w:val="auto"/>
                      <w:szCs w:val="21"/>
                    </w:rPr>
                  </w:pPr>
                </w:p>
              </w:tc>
              <w:tc>
                <w:tcPr>
                  <w:tcW w:w="433" w:type="pct"/>
                  <w:vAlign w:val="center"/>
                </w:tcPr>
                <w:p w14:paraId="796FE236">
                  <w:pPr>
                    <w:pStyle w:val="477"/>
                    <w:spacing w:after="0"/>
                    <w:rPr>
                      <w:color w:val="auto"/>
                      <w:szCs w:val="21"/>
                    </w:rPr>
                  </w:pPr>
                  <w:r>
                    <w:rPr>
                      <w:color w:val="auto"/>
                      <w:kern w:val="0"/>
                      <w:szCs w:val="21"/>
                      <w:lang w:bidi="ar"/>
                    </w:rPr>
                    <w:t>修边机</w:t>
                  </w:r>
                </w:p>
              </w:tc>
              <w:tc>
                <w:tcPr>
                  <w:tcW w:w="135" w:type="pct"/>
                  <w:vAlign w:val="center"/>
                </w:tcPr>
                <w:p w14:paraId="04520472">
                  <w:pPr>
                    <w:widowControl/>
                    <w:jc w:val="center"/>
                    <w:rPr>
                      <w:color w:val="auto"/>
                      <w:szCs w:val="21"/>
                    </w:rPr>
                  </w:pPr>
                  <w:r>
                    <w:rPr>
                      <w:rFonts w:hint="eastAsia"/>
                      <w:color w:val="auto"/>
                      <w:szCs w:val="21"/>
                    </w:rPr>
                    <w:t>8</w:t>
                  </w:r>
                </w:p>
              </w:tc>
              <w:tc>
                <w:tcPr>
                  <w:tcW w:w="1013" w:type="pct"/>
                  <w:vAlign w:val="center"/>
                </w:tcPr>
                <w:p w14:paraId="460A5EE3">
                  <w:pPr>
                    <w:widowControl/>
                    <w:jc w:val="center"/>
                    <w:rPr>
                      <w:color w:val="auto"/>
                      <w:szCs w:val="21"/>
                    </w:rPr>
                  </w:pPr>
                  <w:r>
                    <w:rPr>
                      <w:rFonts w:hint="eastAsia"/>
                      <w:color w:val="auto"/>
                      <w:szCs w:val="21"/>
                    </w:rPr>
                    <w:t>/</w:t>
                  </w:r>
                </w:p>
              </w:tc>
              <w:tc>
                <w:tcPr>
                  <w:tcW w:w="377" w:type="pct"/>
                  <w:vAlign w:val="center"/>
                </w:tcPr>
                <w:p w14:paraId="66C6AF8F">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A05A30B">
                  <w:pPr>
                    <w:pStyle w:val="477"/>
                    <w:spacing w:after="0"/>
                    <w:rPr>
                      <w:color w:val="auto"/>
                      <w:szCs w:val="21"/>
                    </w:rPr>
                  </w:pPr>
                </w:p>
              </w:tc>
              <w:tc>
                <w:tcPr>
                  <w:tcW w:w="154" w:type="pct"/>
                  <w:tcMar>
                    <w:left w:w="0" w:type="dxa"/>
                    <w:right w:w="0" w:type="dxa"/>
                  </w:tcMar>
                  <w:vAlign w:val="center"/>
                </w:tcPr>
                <w:p w14:paraId="5F410C0D">
                  <w:pPr>
                    <w:pStyle w:val="477"/>
                    <w:spacing w:after="0"/>
                    <w:rPr>
                      <w:color w:val="auto"/>
                      <w:szCs w:val="21"/>
                    </w:rPr>
                  </w:pPr>
                  <w:r>
                    <w:rPr>
                      <w:rFonts w:hint="eastAsia"/>
                      <w:color w:val="auto"/>
                      <w:szCs w:val="21"/>
                    </w:rPr>
                    <w:t>180</w:t>
                  </w:r>
                </w:p>
              </w:tc>
              <w:tc>
                <w:tcPr>
                  <w:tcW w:w="154" w:type="pct"/>
                  <w:tcMar>
                    <w:left w:w="0" w:type="dxa"/>
                    <w:right w:w="0" w:type="dxa"/>
                  </w:tcMar>
                  <w:vAlign w:val="center"/>
                </w:tcPr>
                <w:p w14:paraId="58E4A008">
                  <w:pPr>
                    <w:pStyle w:val="477"/>
                    <w:spacing w:after="0"/>
                    <w:rPr>
                      <w:color w:val="auto"/>
                      <w:szCs w:val="21"/>
                    </w:rPr>
                  </w:pPr>
                  <w:r>
                    <w:rPr>
                      <w:rFonts w:hint="eastAsia"/>
                      <w:color w:val="auto"/>
                      <w:szCs w:val="21"/>
                    </w:rPr>
                    <w:t>150</w:t>
                  </w:r>
                </w:p>
              </w:tc>
              <w:tc>
                <w:tcPr>
                  <w:tcW w:w="153" w:type="pct"/>
                  <w:vAlign w:val="center"/>
                </w:tcPr>
                <w:p w14:paraId="25769370">
                  <w:pPr>
                    <w:jc w:val="center"/>
                    <w:rPr>
                      <w:color w:val="auto"/>
                      <w:szCs w:val="21"/>
                    </w:rPr>
                  </w:pPr>
                  <w:r>
                    <w:rPr>
                      <w:rFonts w:hint="eastAsia"/>
                      <w:color w:val="auto"/>
                      <w:szCs w:val="21"/>
                    </w:rPr>
                    <w:t>1.5</w:t>
                  </w:r>
                </w:p>
              </w:tc>
              <w:tc>
                <w:tcPr>
                  <w:tcW w:w="354" w:type="pct"/>
                  <w:tcMar>
                    <w:left w:w="0" w:type="dxa"/>
                    <w:right w:w="0" w:type="dxa"/>
                  </w:tcMar>
                  <w:vAlign w:val="center"/>
                </w:tcPr>
                <w:p w14:paraId="7EF37E7F">
                  <w:pPr>
                    <w:pStyle w:val="477"/>
                    <w:spacing w:after="0"/>
                    <w:rPr>
                      <w:color w:val="auto"/>
                      <w:szCs w:val="21"/>
                    </w:rPr>
                  </w:pPr>
                  <w:r>
                    <w:rPr>
                      <w:rFonts w:hint="eastAsia"/>
                      <w:color w:val="auto"/>
                      <w:szCs w:val="21"/>
                    </w:rPr>
                    <w:t>40</w:t>
                  </w:r>
                </w:p>
              </w:tc>
              <w:tc>
                <w:tcPr>
                  <w:tcW w:w="415" w:type="pct"/>
                  <w:tcMar>
                    <w:left w:w="0" w:type="dxa"/>
                    <w:right w:w="0" w:type="dxa"/>
                  </w:tcMar>
                  <w:vAlign w:val="center"/>
                </w:tcPr>
                <w:p w14:paraId="5E8A3AFE">
                  <w:pPr>
                    <w:jc w:val="center"/>
                    <w:rPr>
                      <w:color w:val="auto"/>
                      <w:szCs w:val="21"/>
                    </w:rPr>
                  </w:pPr>
                  <w:r>
                    <w:rPr>
                      <w:rFonts w:hint="eastAsia"/>
                      <w:color w:val="auto"/>
                      <w:szCs w:val="21"/>
                    </w:rPr>
                    <w:t>48.7</w:t>
                  </w:r>
                </w:p>
              </w:tc>
              <w:tc>
                <w:tcPr>
                  <w:tcW w:w="184" w:type="pct"/>
                  <w:tcMar>
                    <w:left w:w="0" w:type="dxa"/>
                    <w:right w:w="0" w:type="dxa"/>
                  </w:tcMar>
                  <w:vAlign w:val="center"/>
                </w:tcPr>
                <w:p w14:paraId="3D23FE91">
                  <w:pPr>
                    <w:jc w:val="center"/>
                    <w:rPr>
                      <w:color w:val="auto"/>
                      <w:szCs w:val="21"/>
                    </w:rPr>
                  </w:pPr>
                  <w:r>
                    <w:rPr>
                      <w:color w:val="auto"/>
                      <w:szCs w:val="21"/>
                    </w:rPr>
                    <w:t>昼</w:t>
                  </w:r>
                </w:p>
              </w:tc>
              <w:tc>
                <w:tcPr>
                  <w:tcW w:w="442" w:type="pct"/>
                  <w:tcMar>
                    <w:left w:w="0" w:type="dxa"/>
                    <w:right w:w="0" w:type="dxa"/>
                  </w:tcMar>
                  <w:vAlign w:val="center"/>
                </w:tcPr>
                <w:p w14:paraId="159C988B">
                  <w:pPr>
                    <w:jc w:val="center"/>
                    <w:rPr>
                      <w:color w:val="auto"/>
                      <w:szCs w:val="21"/>
                    </w:rPr>
                  </w:pPr>
                  <w:r>
                    <w:rPr>
                      <w:rFonts w:hint="eastAsia"/>
                      <w:color w:val="auto"/>
                      <w:szCs w:val="21"/>
                    </w:rPr>
                    <w:t>25</w:t>
                  </w:r>
                </w:p>
              </w:tc>
              <w:tc>
                <w:tcPr>
                  <w:tcW w:w="350" w:type="pct"/>
                  <w:vAlign w:val="center"/>
                </w:tcPr>
                <w:p w14:paraId="0F7C957E">
                  <w:pPr>
                    <w:jc w:val="center"/>
                    <w:rPr>
                      <w:color w:val="auto"/>
                      <w:szCs w:val="21"/>
                    </w:rPr>
                  </w:pPr>
                  <w:r>
                    <w:rPr>
                      <w:rFonts w:hint="eastAsia"/>
                      <w:color w:val="auto"/>
                      <w:szCs w:val="21"/>
                    </w:rPr>
                    <w:t>22.6</w:t>
                  </w:r>
                </w:p>
              </w:tc>
              <w:tc>
                <w:tcPr>
                  <w:tcW w:w="247" w:type="pct"/>
                  <w:vAlign w:val="center"/>
                </w:tcPr>
                <w:p w14:paraId="1BE85D56">
                  <w:pPr>
                    <w:pStyle w:val="477"/>
                    <w:spacing w:after="0"/>
                    <w:rPr>
                      <w:color w:val="auto"/>
                      <w:szCs w:val="21"/>
                    </w:rPr>
                  </w:pPr>
                  <w:r>
                    <w:rPr>
                      <w:color w:val="auto"/>
                      <w:szCs w:val="21"/>
                    </w:rPr>
                    <w:t>1</w:t>
                  </w:r>
                </w:p>
              </w:tc>
            </w:tr>
            <w:tr w14:paraId="3749D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0843D55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0</w:t>
                  </w:r>
                </w:p>
              </w:tc>
              <w:tc>
                <w:tcPr>
                  <w:tcW w:w="217" w:type="pct"/>
                  <w:vMerge w:val="continue"/>
                  <w:vAlign w:val="center"/>
                </w:tcPr>
                <w:p w14:paraId="4820952C">
                  <w:pPr>
                    <w:adjustRightInd w:val="0"/>
                    <w:snapToGrid w:val="0"/>
                    <w:jc w:val="center"/>
                    <w:rPr>
                      <w:color w:val="auto"/>
                      <w:szCs w:val="21"/>
                    </w:rPr>
                  </w:pPr>
                </w:p>
              </w:tc>
              <w:tc>
                <w:tcPr>
                  <w:tcW w:w="433" w:type="pct"/>
                  <w:vAlign w:val="center"/>
                </w:tcPr>
                <w:p w14:paraId="0AAF28B2">
                  <w:pPr>
                    <w:pStyle w:val="477"/>
                    <w:spacing w:after="0"/>
                    <w:rPr>
                      <w:color w:val="auto"/>
                      <w:szCs w:val="21"/>
                    </w:rPr>
                  </w:pPr>
                  <w:r>
                    <w:rPr>
                      <w:color w:val="auto"/>
                      <w:kern w:val="0"/>
                      <w:szCs w:val="21"/>
                      <w:lang w:bidi="ar"/>
                    </w:rPr>
                    <w:t>快速下料机</w:t>
                  </w:r>
                </w:p>
              </w:tc>
              <w:tc>
                <w:tcPr>
                  <w:tcW w:w="135" w:type="pct"/>
                  <w:vAlign w:val="center"/>
                </w:tcPr>
                <w:p w14:paraId="15617A30">
                  <w:pPr>
                    <w:widowControl/>
                    <w:jc w:val="center"/>
                    <w:rPr>
                      <w:color w:val="auto"/>
                      <w:szCs w:val="21"/>
                    </w:rPr>
                  </w:pPr>
                  <w:r>
                    <w:rPr>
                      <w:rFonts w:hint="eastAsia"/>
                      <w:color w:val="auto"/>
                      <w:szCs w:val="21"/>
                    </w:rPr>
                    <w:t>1</w:t>
                  </w:r>
                </w:p>
              </w:tc>
              <w:tc>
                <w:tcPr>
                  <w:tcW w:w="1013" w:type="pct"/>
                  <w:vAlign w:val="center"/>
                </w:tcPr>
                <w:p w14:paraId="75E342D4">
                  <w:pPr>
                    <w:widowControl/>
                    <w:jc w:val="center"/>
                    <w:rPr>
                      <w:color w:val="auto"/>
                      <w:szCs w:val="21"/>
                    </w:rPr>
                  </w:pPr>
                  <w:r>
                    <w:rPr>
                      <w:rFonts w:hint="eastAsia"/>
                      <w:color w:val="auto"/>
                      <w:szCs w:val="21"/>
                    </w:rPr>
                    <w:t>/</w:t>
                  </w:r>
                </w:p>
              </w:tc>
              <w:tc>
                <w:tcPr>
                  <w:tcW w:w="377" w:type="pct"/>
                  <w:vAlign w:val="center"/>
                </w:tcPr>
                <w:p w14:paraId="44DEA3A3">
                  <w:pPr>
                    <w:adjustRightInd w:val="0"/>
                    <w:snapToGrid w:val="0"/>
                    <w:jc w:val="center"/>
                    <w:rPr>
                      <w:color w:val="auto"/>
                      <w:szCs w:val="21"/>
                    </w:rPr>
                  </w:pPr>
                  <w:r>
                    <w:rPr>
                      <w:color w:val="auto"/>
                      <w:szCs w:val="21"/>
                    </w:rPr>
                    <w:t>85</w:t>
                  </w:r>
                </w:p>
              </w:tc>
              <w:tc>
                <w:tcPr>
                  <w:tcW w:w="246" w:type="pct"/>
                  <w:vMerge w:val="continue"/>
                  <w:vAlign w:val="center"/>
                </w:tcPr>
                <w:p w14:paraId="7F96843D">
                  <w:pPr>
                    <w:pStyle w:val="477"/>
                    <w:spacing w:after="0"/>
                    <w:rPr>
                      <w:color w:val="auto"/>
                      <w:szCs w:val="21"/>
                    </w:rPr>
                  </w:pPr>
                </w:p>
              </w:tc>
              <w:tc>
                <w:tcPr>
                  <w:tcW w:w="154" w:type="pct"/>
                  <w:tcMar>
                    <w:left w:w="0" w:type="dxa"/>
                    <w:right w:w="0" w:type="dxa"/>
                  </w:tcMar>
                  <w:vAlign w:val="center"/>
                </w:tcPr>
                <w:p w14:paraId="16A7FAAD">
                  <w:pPr>
                    <w:pStyle w:val="477"/>
                    <w:spacing w:after="0"/>
                    <w:rPr>
                      <w:color w:val="auto"/>
                      <w:szCs w:val="21"/>
                    </w:rPr>
                  </w:pPr>
                  <w:r>
                    <w:rPr>
                      <w:rFonts w:hint="eastAsia"/>
                      <w:color w:val="auto"/>
                      <w:szCs w:val="21"/>
                    </w:rPr>
                    <w:t>180</w:t>
                  </w:r>
                </w:p>
              </w:tc>
              <w:tc>
                <w:tcPr>
                  <w:tcW w:w="154" w:type="pct"/>
                  <w:tcMar>
                    <w:left w:w="0" w:type="dxa"/>
                    <w:right w:w="0" w:type="dxa"/>
                  </w:tcMar>
                  <w:vAlign w:val="center"/>
                </w:tcPr>
                <w:p w14:paraId="5C40EF93">
                  <w:pPr>
                    <w:pStyle w:val="477"/>
                    <w:spacing w:after="0"/>
                    <w:rPr>
                      <w:color w:val="auto"/>
                      <w:szCs w:val="21"/>
                    </w:rPr>
                  </w:pPr>
                  <w:r>
                    <w:rPr>
                      <w:rFonts w:hint="eastAsia"/>
                      <w:color w:val="auto"/>
                      <w:szCs w:val="21"/>
                    </w:rPr>
                    <w:t>155</w:t>
                  </w:r>
                </w:p>
              </w:tc>
              <w:tc>
                <w:tcPr>
                  <w:tcW w:w="153" w:type="pct"/>
                  <w:vAlign w:val="center"/>
                </w:tcPr>
                <w:p w14:paraId="44C3BB65">
                  <w:pPr>
                    <w:jc w:val="center"/>
                    <w:rPr>
                      <w:color w:val="auto"/>
                      <w:szCs w:val="21"/>
                    </w:rPr>
                  </w:pPr>
                  <w:r>
                    <w:rPr>
                      <w:rFonts w:hint="eastAsia"/>
                      <w:color w:val="auto"/>
                      <w:szCs w:val="21"/>
                    </w:rPr>
                    <w:t>1.5</w:t>
                  </w:r>
                </w:p>
              </w:tc>
              <w:tc>
                <w:tcPr>
                  <w:tcW w:w="354" w:type="pct"/>
                  <w:tcMar>
                    <w:left w:w="0" w:type="dxa"/>
                    <w:right w:w="0" w:type="dxa"/>
                  </w:tcMar>
                  <w:vAlign w:val="center"/>
                </w:tcPr>
                <w:p w14:paraId="7A9CAAB1">
                  <w:pPr>
                    <w:pStyle w:val="477"/>
                    <w:spacing w:after="0"/>
                    <w:rPr>
                      <w:color w:val="auto"/>
                      <w:szCs w:val="21"/>
                    </w:rPr>
                  </w:pPr>
                  <w:r>
                    <w:rPr>
                      <w:rFonts w:hint="eastAsia"/>
                      <w:color w:val="auto"/>
                      <w:szCs w:val="21"/>
                    </w:rPr>
                    <w:t>35</w:t>
                  </w:r>
                </w:p>
              </w:tc>
              <w:tc>
                <w:tcPr>
                  <w:tcW w:w="415" w:type="pct"/>
                  <w:tcMar>
                    <w:left w:w="0" w:type="dxa"/>
                    <w:right w:w="0" w:type="dxa"/>
                  </w:tcMar>
                  <w:vAlign w:val="center"/>
                </w:tcPr>
                <w:p w14:paraId="1AC35C70">
                  <w:pPr>
                    <w:jc w:val="center"/>
                    <w:rPr>
                      <w:color w:val="auto"/>
                      <w:szCs w:val="21"/>
                    </w:rPr>
                  </w:pPr>
                  <w:r>
                    <w:rPr>
                      <w:rFonts w:hint="eastAsia"/>
                      <w:color w:val="auto"/>
                      <w:szCs w:val="21"/>
                    </w:rPr>
                    <w:t>56.2</w:t>
                  </w:r>
                </w:p>
              </w:tc>
              <w:tc>
                <w:tcPr>
                  <w:tcW w:w="184" w:type="pct"/>
                  <w:tcMar>
                    <w:left w:w="0" w:type="dxa"/>
                    <w:right w:w="0" w:type="dxa"/>
                  </w:tcMar>
                  <w:vAlign w:val="center"/>
                </w:tcPr>
                <w:p w14:paraId="72A4EC17">
                  <w:pPr>
                    <w:jc w:val="center"/>
                    <w:rPr>
                      <w:color w:val="auto"/>
                      <w:szCs w:val="21"/>
                    </w:rPr>
                  </w:pPr>
                  <w:r>
                    <w:rPr>
                      <w:color w:val="auto"/>
                      <w:szCs w:val="21"/>
                    </w:rPr>
                    <w:t>昼</w:t>
                  </w:r>
                </w:p>
              </w:tc>
              <w:tc>
                <w:tcPr>
                  <w:tcW w:w="442" w:type="pct"/>
                  <w:tcMar>
                    <w:left w:w="0" w:type="dxa"/>
                    <w:right w:w="0" w:type="dxa"/>
                  </w:tcMar>
                  <w:vAlign w:val="center"/>
                </w:tcPr>
                <w:p w14:paraId="5989B565">
                  <w:pPr>
                    <w:jc w:val="center"/>
                    <w:rPr>
                      <w:color w:val="auto"/>
                      <w:szCs w:val="21"/>
                    </w:rPr>
                  </w:pPr>
                  <w:r>
                    <w:rPr>
                      <w:rFonts w:hint="eastAsia"/>
                      <w:color w:val="auto"/>
                      <w:szCs w:val="21"/>
                    </w:rPr>
                    <w:t>25</w:t>
                  </w:r>
                </w:p>
              </w:tc>
              <w:tc>
                <w:tcPr>
                  <w:tcW w:w="350" w:type="pct"/>
                  <w:vAlign w:val="center"/>
                </w:tcPr>
                <w:p w14:paraId="70A1290D">
                  <w:pPr>
                    <w:jc w:val="center"/>
                    <w:rPr>
                      <w:color w:val="auto"/>
                      <w:szCs w:val="21"/>
                    </w:rPr>
                  </w:pPr>
                  <w:r>
                    <w:rPr>
                      <w:rFonts w:hint="eastAsia"/>
                      <w:color w:val="auto"/>
                      <w:szCs w:val="21"/>
                    </w:rPr>
                    <w:t>31.3</w:t>
                  </w:r>
                </w:p>
              </w:tc>
              <w:tc>
                <w:tcPr>
                  <w:tcW w:w="247" w:type="pct"/>
                  <w:vAlign w:val="center"/>
                </w:tcPr>
                <w:p w14:paraId="76ED2251">
                  <w:pPr>
                    <w:pStyle w:val="477"/>
                    <w:spacing w:after="0"/>
                    <w:rPr>
                      <w:color w:val="auto"/>
                      <w:szCs w:val="21"/>
                    </w:rPr>
                  </w:pPr>
                  <w:r>
                    <w:rPr>
                      <w:color w:val="auto"/>
                      <w:szCs w:val="21"/>
                    </w:rPr>
                    <w:t>1</w:t>
                  </w:r>
                </w:p>
              </w:tc>
            </w:tr>
            <w:tr w14:paraId="28D3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6FF32BB">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1</w:t>
                  </w:r>
                </w:p>
              </w:tc>
              <w:tc>
                <w:tcPr>
                  <w:tcW w:w="217" w:type="pct"/>
                  <w:vMerge w:val="continue"/>
                  <w:vAlign w:val="center"/>
                </w:tcPr>
                <w:p w14:paraId="0442F03A">
                  <w:pPr>
                    <w:adjustRightInd w:val="0"/>
                    <w:snapToGrid w:val="0"/>
                    <w:jc w:val="center"/>
                    <w:rPr>
                      <w:color w:val="auto"/>
                      <w:szCs w:val="21"/>
                    </w:rPr>
                  </w:pPr>
                </w:p>
              </w:tc>
              <w:tc>
                <w:tcPr>
                  <w:tcW w:w="433" w:type="pct"/>
                  <w:vAlign w:val="center"/>
                </w:tcPr>
                <w:p w14:paraId="6F9E063A">
                  <w:pPr>
                    <w:pStyle w:val="477"/>
                    <w:spacing w:after="0"/>
                    <w:rPr>
                      <w:color w:val="auto"/>
                      <w:szCs w:val="21"/>
                    </w:rPr>
                  </w:pPr>
                  <w:r>
                    <w:rPr>
                      <w:color w:val="auto"/>
                      <w:kern w:val="0"/>
                      <w:szCs w:val="21"/>
                      <w:lang w:bidi="ar"/>
                    </w:rPr>
                    <w:t>南兴全自动封边机</w:t>
                  </w:r>
                </w:p>
              </w:tc>
              <w:tc>
                <w:tcPr>
                  <w:tcW w:w="135" w:type="pct"/>
                  <w:vAlign w:val="center"/>
                </w:tcPr>
                <w:p w14:paraId="04DFC166">
                  <w:pPr>
                    <w:widowControl/>
                    <w:jc w:val="center"/>
                    <w:rPr>
                      <w:color w:val="auto"/>
                      <w:szCs w:val="21"/>
                    </w:rPr>
                  </w:pPr>
                  <w:r>
                    <w:rPr>
                      <w:rFonts w:hint="eastAsia"/>
                      <w:color w:val="auto"/>
                      <w:szCs w:val="21"/>
                    </w:rPr>
                    <w:t>1</w:t>
                  </w:r>
                </w:p>
              </w:tc>
              <w:tc>
                <w:tcPr>
                  <w:tcW w:w="1013" w:type="pct"/>
                  <w:vAlign w:val="center"/>
                </w:tcPr>
                <w:p w14:paraId="05D627B0">
                  <w:pPr>
                    <w:widowControl/>
                    <w:jc w:val="center"/>
                    <w:rPr>
                      <w:color w:val="auto"/>
                      <w:szCs w:val="21"/>
                    </w:rPr>
                  </w:pPr>
                  <w:r>
                    <w:rPr>
                      <w:color w:val="auto"/>
                      <w:kern w:val="0"/>
                      <w:szCs w:val="21"/>
                    </w:rPr>
                    <w:t>NBC332</w:t>
                  </w:r>
                </w:p>
              </w:tc>
              <w:tc>
                <w:tcPr>
                  <w:tcW w:w="377" w:type="pct"/>
                  <w:vAlign w:val="center"/>
                </w:tcPr>
                <w:p w14:paraId="0B242350">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10937C91">
                  <w:pPr>
                    <w:pStyle w:val="477"/>
                    <w:spacing w:after="0"/>
                    <w:rPr>
                      <w:color w:val="auto"/>
                      <w:szCs w:val="21"/>
                    </w:rPr>
                  </w:pPr>
                </w:p>
              </w:tc>
              <w:tc>
                <w:tcPr>
                  <w:tcW w:w="154" w:type="pct"/>
                  <w:tcMar>
                    <w:left w:w="0" w:type="dxa"/>
                    <w:right w:w="0" w:type="dxa"/>
                  </w:tcMar>
                  <w:vAlign w:val="center"/>
                </w:tcPr>
                <w:p w14:paraId="636A7391">
                  <w:pPr>
                    <w:pStyle w:val="477"/>
                    <w:spacing w:after="0"/>
                    <w:rPr>
                      <w:color w:val="auto"/>
                      <w:szCs w:val="21"/>
                    </w:rPr>
                  </w:pPr>
                  <w:r>
                    <w:rPr>
                      <w:rFonts w:hint="eastAsia"/>
                      <w:color w:val="auto"/>
                      <w:szCs w:val="21"/>
                    </w:rPr>
                    <w:t>180</w:t>
                  </w:r>
                </w:p>
              </w:tc>
              <w:tc>
                <w:tcPr>
                  <w:tcW w:w="154" w:type="pct"/>
                  <w:tcMar>
                    <w:left w:w="0" w:type="dxa"/>
                    <w:right w:w="0" w:type="dxa"/>
                  </w:tcMar>
                  <w:vAlign w:val="center"/>
                </w:tcPr>
                <w:p w14:paraId="5C6F4B00">
                  <w:pPr>
                    <w:pStyle w:val="477"/>
                    <w:spacing w:after="0"/>
                    <w:rPr>
                      <w:color w:val="auto"/>
                      <w:szCs w:val="21"/>
                    </w:rPr>
                  </w:pPr>
                  <w:r>
                    <w:rPr>
                      <w:rFonts w:hint="eastAsia"/>
                      <w:color w:val="auto"/>
                      <w:szCs w:val="21"/>
                    </w:rPr>
                    <w:t>140</w:t>
                  </w:r>
                </w:p>
              </w:tc>
              <w:tc>
                <w:tcPr>
                  <w:tcW w:w="153" w:type="pct"/>
                  <w:vAlign w:val="center"/>
                </w:tcPr>
                <w:p w14:paraId="25282FE3">
                  <w:pPr>
                    <w:jc w:val="center"/>
                    <w:rPr>
                      <w:color w:val="auto"/>
                      <w:szCs w:val="21"/>
                    </w:rPr>
                  </w:pPr>
                  <w:r>
                    <w:rPr>
                      <w:rFonts w:hint="eastAsia"/>
                      <w:color w:val="auto"/>
                      <w:szCs w:val="21"/>
                    </w:rPr>
                    <w:t>1.5</w:t>
                  </w:r>
                </w:p>
              </w:tc>
              <w:tc>
                <w:tcPr>
                  <w:tcW w:w="354" w:type="pct"/>
                  <w:tcMar>
                    <w:left w:w="0" w:type="dxa"/>
                    <w:right w:w="0" w:type="dxa"/>
                  </w:tcMar>
                  <w:vAlign w:val="center"/>
                </w:tcPr>
                <w:p w14:paraId="1D270FB3">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5759C313">
                  <w:pPr>
                    <w:jc w:val="center"/>
                    <w:rPr>
                      <w:color w:val="auto"/>
                      <w:szCs w:val="21"/>
                    </w:rPr>
                  </w:pPr>
                  <w:r>
                    <w:rPr>
                      <w:rFonts w:hint="eastAsia"/>
                      <w:color w:val="auto"/>
                      <w:szCs w:val="21"/>
                    </w:rPr>
                    <w:t>59.3</w:t>
                  </w:r>
                </w:p>
              </w:tc>
              <w:tc>
                <w:tcPr>
                  <w:tcW w:w="184" w:type="pct"/>
                  <w:tcMar>
                    <w:left w:w="0" w:type="dxa"/>
                    <w:right w:w="0" w:type="dxa"/>
                  </w:tcMar>
                  <w:vAlign w:val="center"/>
                </w:tcPr>
                <w:p w14:paraId="6C2E4966">
                  <w:pPr>
                    <w:jc w:val="center"/>
                    <w:rPr>
                      <w:color w:val="auto"/>
                      <w:szCs w:val="21"/>
                    </w:rPr>
                  </w:pPr>
                  <w:r>
                    <w:rPr>
                      <w:rFonts w:hint="eastAsia"/>
                      <w:color w:val="auto"/>
                      <w:szCs w:val="21"/>
                    </w:rPr>
                    <w:t>昼</w:t>
                  </w:r>
                </w:p>
              </w:tc>
              <w:tc>
                <w:tcPr>
                  <w:tcW w:w="442" w:type="pct"/>
                  <w:tcMar>
                    <w:left w:w="0" w:type="dxa"/>
                    <w:right w:w="0" w:type="dxa"/>
                  </w:tcMar>
                  <w:vAlign w:val="center"/>
                </w:tcPr>
                <w:p w14:paraId="079C33D8">
                  <w:pPr>
                    <w:jc w:val="center"/>
                    <w:rPr>
                      <w:color w:val="auto"/>
                      <w:szCs w:val="21"/>
                    </w:rPr>
                  </w:pPr>
                  <w:r>
                    <w:rPr>
                      <w:rFonts w:hint="eastAsia"/>
                      <w:color w:val="auto"/>
                      <w:szCs w:val="21"/>
                    </w:rPr>
                    <w:t>25</w:t>
                  </w:r>
                </w:p>
              </w:tc>
              <w:tc>
                <w:tcPr>
                  <w:tcW w:w="350" w:type="pct"/>
                  <w:vAlign w:val="center"/>
                </w:tcPr>
                <w:p w14:paraId="3160868C">
                  <w:pPr>
                    <w:jc w:val="center"/>
                    <w:rPr>
                      <w:color w:val="auto"/>
                      <w:szCs w:val="21"/>
                    </w:rPr>
                  </w:pPr>
                  <w:r>
                    <w:rPr>
                      <w:rFonts w:hint="eastAsia"/>
                      <w:color w:val="auto"/>
                      <w:szCs w:val="21"/>
                    </w:rPr>
                    <w:t>34.6</w:t>
                  </w:r>
                </w:p>
              </w:tc>
              <w:tc>
                <w:tcPr>
                  <w:tcW w:w="247" w:type="pct"/>
                  <w:vAlign w:val="center"/>
                </w:tcPr>
                <w:p w14:paraId="3C8D2802">
                  <w:pPr>
                    <w:pStyle w:val="477"/>
                    <w:spacing w:after="0"/>
                    <w:rPr>
                      <w:color w:val="auto"/>
                      <w:szCs w:val="21"/>
                    </w:rPr>
                  </w:pPr>
                  <w:r>
                    <w:rPr>
                      <w:color w:val="auto"/>
                      <w:szCs w:val="21"/>
                    </w:rPr>
                    <w:t>1</w:t>
                  </w:r>
                </w:p>
              </w:tc>
            </w:tr>
            <w:tr w14:paraId="522AC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D36DD32">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3</w:t>
                  </w:r>
                </w:p>
              </w:tc>
              <w:tc>
                <w:tcPr>
                  <w:tcW w:w="217" w:type="pct"/>
                  <w:vMerge w:val="continue"/>
                  <w:vAlign w:val="center"/>
                </w:tcPr>
                <w:p w14:paraId="7775C8F8">
                  <w:pPr>
                    <w:adjustRightInd w:val="0"/>
                    <w:snapToGrid w:val="0"/>
                    <w:jc w:val="center"/>
                    <w:rPr>
                      <w:color w:val="auto"/>
                      <w:szCs w:val="21"/>
                    </w:rPr>
                  </w:pPr>
                </w:p>
              </w:tc>
              <w:tc>
                <w:tcPr>
                  <w:tcW w:w="433" w:type="pct"/>
                  <w:vAlign w:val="center"/>
                </w:tcPr>
                <w:p w14:paraId="681CDBD1">
                  <w:pPr>
                    <w:pStyle w:val="477"/>
                    <w:spacing w:after="0"/>
                    <w:rPr>
                      <w:color w:val="auto"/>
                      <w:szCs w:val="21"/>
                    </w:rPr>
                  </w:pPr>
                  <w:r>
                    <w:rPr>
                      <w:color w:val="auto"/>
                      <w:kern w:val="0"/>
                      <w:szCs w:val="21"/>
                      <w:lang w:bidi="ar"/>
                    </w:rPr>
                    <w:t>台钻</w:t>
                  </w:r>
                </w:p>
              </w:tc>
              <w:tc>
                <w:tcPr>
                  <w:tcW w:w="135" w:type="pct"/>
                  <w:vAlign w:val="center"/>
                </w:tcPr>
                <w:p w14:paraId="7B899DE6">
                  <w:pPr>
                    <w:widowControl/>
                    <w:jc w:val="center"/>
                    <w:rPr>
                      <w:color w:val="auto"/>
                      <w:szCs w:val="21"/>
                    </w:rPr>
                  </w:pPr>
                  <w:r>
                    <w:rPr>
                      <w:rFonts w:hint="eastAsia"/>
                      <w:color w:val="auto"/>
                      <w:szCs w:val="21"/>
                    </w:rPr>
                    <w:t>1</w:t>
                  </w:r>
                </w:p>
              </w:tc>
              <w:tc>
                <w:tcPr>
                  <w:tcW w:w="1013" w:type="pct"/>
                  <w:vAlign w:val="center"/>
                </w:tcPr>
                <w:p w14:paraId="2C292233">
                  <w:pPr>
                    <w:widowControl/>
                    <w:jc w:val="center"/>
                    <w:rPr>
                      <w:color w:val="auto"/>
                      <w:szCs w:val="21"/>
                    </w:rPr>
                  </w:pPr>
                  <w:r>
                    <w:rPr>
                      <w:rFonts w:hint="eastAsia"/>
                      <w:color w:val="auto"/>
                      <w:szCs w:val="21"/>
                    </w:rPr>
                    <w:t>/</w:t>
                  </w:r>
                </w:p>
              </w:tc>
              <w:tc>
                <w:tcPr>
                  <w:tcW w:w="377" w:type="pct"/>
                  <w:vAlign w:val="center"/>
                </w:tcPr>
                <w:p w14:paraId="508CE610">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F38785A">
                  <w:pPr>
                    <w:pStyle w:val="477"/>
                    <w:spacing w:after="0"/>
                    <w:rPr>
                      <w:color w:val="auto"/>
                      <w:szCs w:val="21"/>
                    </w:rPr>
                  </w:pPr>
                </w:p>
              </w:tc>
              <w:tc>
                <w:tcPr>
                  <w:tcW w:w="154" w:type="pct"/>
                  <w:tcMar>
                    <w:left w:w="0" w:type="dxa"/>
                    <w:right w:w="0" w:type="dxa"/>
                  </w:tcMar>
                  <w:vAlign w:val="center"/>
                </w:tcPr>
                <w:p w14:paraId="23F33D76">
                  <w:pPr>
                    <w:pStyle w:val="477"/>
                    <w:spacing w:after="0"/>
                    <w:rPr>
                      <w:color w:val="auto"/>
                      <w:szCs w:val="21"/>
                    </w:rPr>
                  </w:pPr>
                  <w:r>
                    <w:rPr>
                      <w:rFonts w:hint="eastAsia"/>
                      <w:color w:val="auto"/>
                      <w:szCs w:val="21"/>
                    </w:rPr>
                    <w:t>160</w:t>
                  </w:r>
                </w:p>
              </w:tc>
              <w:tc>
                <w:tcPr>
                  <w:tcW w:w="154" w:type="pct"/>
                  <w:tcMar>
                    <w:left w:w="0" w:type="dxa"/>
                    <w:right w:w="0" w:type="dxa"/>
                  </w:tcMar>
                  <w:vAlign w:val="center"/>
                </w:tcPr>
                <w:p w14:paraId="7CF7973F">
                  <w:pPr>
                    <w:pStyle w:val="477"/>
                    <w:spacing w:after="0"/>
                    <w:rPr>
                      <w:color w:val="auto"/>
                      <w:szCs w:val="21"/>
                    </w:rPr>
                  </w:pPr>
                  <w:r>
                    <w:rPr>
                      <w:rFonts w:hint="eastAsia"/>
                      <w:color w:val="auto"/>
                      <w:szCs w:val="21"/>
                    </w:rPr>
                    <w:t>175</w:t>
                  </w:r>
                </w:p>
              </w:tc>
              <w:tc>
                <w:tcPr>
                  <w:tcW w:w="153" w:type="pct"/>
                  <w:vAlign w:val="center"/>
                </w:tcPr>
                <w:p w14:paraId="3460F377">
                  <w:pPr>
                    <w:jc w:val="center"/>
                    <w:rPr>
                      <w:color w:val="auto"/>
                      <w:szCs w:val="21"/>
                    </w:rPr>
                  </w:pPr>
                  <w:r>
                    <w:rPr>
                      <w:rFonts w:hint="eastAsia"/>
                      <w:color w:val="auto"/>
                      <w:szCs w:val="21"/>
                    </w:rPr>
                    <w:t>1.5</w:t>
                  </w:r>
                </w:p>
              </w:tc>
              <w:tc>
                <w:tcPr>
                  <w:tcW w:w="354" w:type="pct"/>
                  <w:tcMar>
                    <w:left w:w="0" w:type="dxa"/>
                    <w:right w:w="0" w:type="dxa"/>
                  </w:tcMar>
                  <w:vAlign w:val="center"/>
                </w:tcPr>
                <w:p w14:paraId="05435E38">
                  <w:pPr>
                    <w:pStyle w:val="477"/>
                    <w:spacing w:after="0"/>
                    <w:rPr>
                      <w:color w:val="auto"/>
                      <w:szCs w:val="21"/>
                    </w:rPr>
                  </w:pPr>
                  <w:r>
                    <w:rPr>
                      <w:rFonts w:hint="eastAsia"/>
                      <w:color w:val="auto"/>
                      <w:szCs w:val="21"/>
                    </w:rPr>
                    <w:t>30</w:t>
                  </w:r>
                </w:p>
              </w:tc>
              <w:tc>
                <w:tcPr>
                  <w:tcW w:w="415" w:type="pct"/>
                  <w:tcMar>
                    <w:left w:w="0" w:type="dxa"/>
                    <w:right w:w="0" w:type="dxa"/>
                  </w:tcMar>
                  <w:vAlign w:val="center"/>
                </w:tcPr>
                <w:p w14:paraId="21908500">
                  <w:pPr>
                    <w:jc w:val="center"/>
                    <w:rPr>
                      <w:color w:val="auto"/>
                      <w:szCs w:val="21"/>
                    </w:rPr>
                  </w:pPr>
                  <w:r>
                    <w:rPr>
                      <w:rFonts w:hint="eastAsia"/>
                      <w:color w:val="auto"/>
                      <w:szCs w:val="21"/>
                    </w:rPr>
                    <w:t>41.6</w:t>
                  </w:r>
                </w:p>
              </w:tc>
              <w:tc>
                <w:tcPr>
                  <w:tcW w:w="184" w:type="pct"/>
                  <w:tcMar>
                    <w:left w:w="0" w:type="dxa"/>
                    <w:right w:w="0" w:type="dxa"/>
                  </w:tcMar>
                  <w:vAlign w:val="center"/>
                </w:tcPr>
                <w:p w14:paraId="777C69B2">
                  <w:pPr>
                    <w:jc w:val="center"/>
                    <w:rPr>
                      <w:color w:val="auto"/>
                      <w:szCs w:val="21"/>
                    </w:rPr>
                  </w:pPr>
                  <w:r>
                    <w:rPr>
                      <w:color w:val="auto"/>
                      <w:szCs w:val="21"/>
                    </w:rPr>
                    <w:t>昼</w:t>
                  </w:r>
                </w:p>
              </w:tc>
              <w:tc>
                <w:tcPr>
                  <w:tcW w:w="442" w:type="pct"/>
                  <w:tcMar>
                    <w:left w:w="0" w:type="dxa"/>
                    <w:right w:w="0" w:type="dxa"/>
                  </w:tcMar>
                  <w:vAlign w:val="center"/>
                </w:tcPr>
                <w:p w14:paraId="375831BC">
                  <w:pPr>
                    <w:jc w:val="center"/>
                    <w:rPr>
                      <w:color w:val="auto"/>
                      <w:szCs w:val="21"/>
                    </w:rPr>
                  </w:pPr>
                  <w:r>
                    <w:rPr>
                      <w:rFonts w:hint="eastAsia"/>
                      <w:color w:val="auto"/>
                      <w:szCs w:val="21"/>
                    </w:rPr>
                    <w:t>25</w:t>
                  </w:r>
                </w:p>
              </w:tc>
              <w:tc>
                <w:tcPr>
                  <w:tcW w:w="350" w:type="pct"/>
                  <w:vAlign w:val="center"/>
                </w:tcPr>
                <w:p w14:paraId="4E8D35B1">
                  <w:pPr>
                    <w:jc w:val="center"/>
                    <w:rPr>
                      <w:color w:val="auto"/>
                      <w:szCs w:val="21"/>
                    </w:rPr>
                  </w:pPr>
                  <w:r>
                    <w:rPr>
                      <w:rFonts w:hint="eastAsia"/>
                      <w:color w:val="auto"/>
                      <w:szCs w:val="21"/>
                    </w:rPr>
                    <w:t>30.1</w:t>
                  </w:r>
                </w:p>
              </w:tc>
              <w:tc>
                <w:tcPr>
                  <w:tcW w:w="247" w:type="pct"/>
                  <w:vAlign w:val="center"/>
                </w:tcPr>
                <w:p w14:paraId="550D2841">
                  <w:pPr>
                    <w:pStyle w:val="477"/>
                    <w:spacing w:after="0"/>
                    <w:rPr>
                      <w:color w:val="auto"/>
                      <w:szCs w:val="21"/>
                    </w:rPr>
                  </w:pPr>
                  <w:r>
                    <w:rPr>
                      <w:color w:val="auto"/>
                      <w:szCs w:val="21"/>
                    </w:rPr>
                    <w:t>1</w:t>
                  </w:r>
                </w:p>
              </w:tc>
            </w:tr>
            <w:tr w14:paraId="0CCA0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70C0A42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3</w:t>
                  </w:r>
                  <w:r>
                    <w:rPr>
                      <w:rFonts w:hint="eastAsia"/>
                      <w:color w:val="auto"/>
                      <w:kern w:val="0"/>
                      <w:szCs w:val="21"/>
                      <w:lang w:bidi="ar"/>
                    </w:rPr>
                    <w:t>4</w:t>
                  </w:r>
                </w:p>
              </w:tc>
              <w:tc>
                <w:tcPr>
                  <w:tcW w:w="217" w:type="pct"/>
                  <w:vAlign w:val="center"/>
                </w:tcPr>
                <w:p w14:paraId="4C321DA1">
                  <w:pPr>
                    <w:adjustRightInd w:val="0"/>
                    <w:snapToGrid w:val="0"/>
                    <w:jc w:val="center"/>
                    <w:rPr>
                      <w:color w:val="auto"/>
                      <w:szCs w:val="21"/>
                    </w:rPr>
                  </w:pPr>
                  <w:r>
                    <w:rPr>
                      <w:rFonts w:hint="eastAsia"/>
                      <w:color w:val="auto"/>
                      <w:szCs w:val="21"/>
                    </w:rPr>
                    <w:t>油漆车间</w:t>
                  </w:r>
                </w:p>
              </w:tc>
              <w:tc>
                <w:tcPr>
                  <w:tcW w:w="433" w:type="pct"/>
                  <w:vAlign w:val="center"/>
                </w:tcPr>
                <w:p w14:paraId="3499026D">
                  <w:pPr>
                    <w:pStyle w:val="477"/>
                    <w:spacing w:after="0"/>
                    <w:rPr>
                      <w:color w:val="auto"/>
                      <w:szCs w:val="21"/>
                    </w:rPr>
                  </w:pPr>
                  <w:r>
                    <w:rPr>
                      <w:color w:val="auto"/>
                      <w:kern w:val="0"/>
                      <w:szCs w:val="21"/>
                      <w:lang w:bidi="ar"/>
                    </w:rPr>
                    <w:t>打磨工位</w:t>
                  </w:r>
                </w:p>
              </w:tc>
              <w:tc>
                <w:tcPr>
                  <w:tcW w:w="135" w:type="pct"/>
                  <w:vAlign w:val="center"/>
                </w:tcPr>
                <w:p w14:paraId="2CDFE8A2">
                  <w:pPr>
                    <w:widowControl/>
                    <w:jc w:val="center"/>
                    <w:rPr>
                      <w:color w:val="auto"/>
                      <w:szCs w:val="21"/>
                    </w:rPr>
                  </w:pPr>
                  <w:r>
                    <w:rPr>
                      <w:rFonts w:hint="eastAsia"/>
                      <w:color w:val="auto"/>
                      <w:szCs w:val="21"/>
                    </w:rPr>
                    <w:t>18</w:t>
                  </w:r>
                </w:p>
              </w:tc>
              <w:tc>
                <w:tcPr>
                  <w:tcW w:w="1013" w:type="pct"/>
                  <w:vAlign w:val="center"/>
                </w:tcPr>
                <w:p w14:paraId="30124759">
                  <w:pPr>
                    <w:widowControl/>
                    <w:jc w:val="center"/>
                    <w:rPr>
                      <w:color w:val="auto"/>
                      <w:szCs w:val="21"/>
                    </w:rPr>
                  </w:pPr>
                  <w:r>
                    <w:rPr>
                      <w:rFonts w:hint="eastAsia"/>
                      <w:color w:val="auto"/>
                      <w:szCs w:val="21"/>
                    </w:rPr>
                    <w:t>/</w:t>
                  </w:r>
                </w:p>
              </w:tc>
              <w:tc>
                <w:tcPr>
                  <w:tcW w:w="377" w:type="pct"/>
                  <w:vAlign w:val="center"/>
                </w:tcPr>
                <w:p w14:paraId="475C18AF">
                  <w:pPr>
                    <w:adjustRightInd w:val="0"/>
                    <w:snapToGrid w:val="0"/>
                    <w:jc w:val="center"/>
                    <w:rPr>
                      <w:color w:val="auto"/>
                      <w:szCs w:val="21"/>
                    </w:rPr>
                  </w:pPr>
                  <w:r>
                    <w:rPr>
                      <w:color w:val="auto"/>
                      <w:szCs w:val="21"/>
                    </w:rPr>
                    <w:t>85</w:t>
                  </w:r>
                </w:p>
              </w:tc>
              <w:tc>
                <w:tcPr>
                  <w:tcW w:w="246" w:type="pct"/>
                  <w:vMerge w:val="continue"/>
                  <w:vAlign w:val="center"/>
                </w:tcPr>
                <w:p w14:paraId="64CFF277">
                  <w:pPr>
                    <w:pStyle w:val="477"/>
                    <w:spacing w:after="0"/>
                    <w:rPr>
                      <w:color w:val="auto"/>
                      <w:szCs w:val="21"/>
                    </w:rPr>
                  </w:pPr>
                </w:p>
              </w:tc>
              <w:tc>
                <w:tcPr>
                  <w:tcW w:w="154" w:type="pct"/>
                  <w:tcMar>
                    <w:left w:w="0" w:type="dxa"/>
                    <w:right w:w="0" w:type="dxa"/>
                  </w:tcMar>
                  <w:vAlign w:val="center"/>
                </w:tcPr>
                <w:p w14:paraId="63EEBC7C">
                  <w:pPr>
                    <w:pStyle w:val="477"/>
                    <w:spacing w:after="0"/>
                    <w:rPr>
                      <w:color w:val="auto"/>
                      <w:szCs w:val="21"/>
                    </w:rPr>
                  </w:pPr>
                  <w:r>
                    <w:rPr>
                      <w:rFonts w:hint="eastAsia"/>
                      <w:color w:val="auto"/>
                      <w:szCs w:val="21"/>
                    </w:rPr>
                    <w:t>30</w:t>
                  </w:r>
                </w:p>
              </w:tc>
              <w:tc>
                <w:tcPr>
                  <w:tcW w:w="154" w:type="pct"/>
                  <w:tcMar>
                    <w:left w:w="0" w:type="dxa"/>
                    <w:right w:w="0" w:type="dxa"/>
                  </w:tcMar>
                  <w:vAlign w:val="center"/>
                </w:tcPr>
                <w:p w14:paraId="6B54DBB1">
                  <w:pPr>
                    <w:pStyle w:val="477"/>
                    <w:spacing w:after="0"/>
                    <w:rPr>
                      <w:color w:val="auto"/>
                      <w:szCs w:val="21"/>
                    </w:rPr>
                  </w:pPr>
                  <w:r>
                    <w:rPr>
                      <w:rFonts w:hint="eastAsia"/>
                      <w:color w:val="auto"/>
                      <w:szCs w:val="21"/>
                    </w:rPr>
                    <w:t>120</w:t>
                  </w:r>
                </w:p>
              </w:tc>
              <w:tc>
                <w:tcPr>
                  <w:tcW w:w="153" w:type="pct"/>
                  <w:vAlign w:val="center"/>
                </w:tcPr>
                <w:p w14:paraId="79FCAED5">
                  <w:pPr>
                    <w:pStyle w:val="477"/>
                    <w:spacing w:after="0"/>
                    <w:rPr>
                      <w:color w:val="auto"/>
                      <w:szCs w:val="21"/>
                    </w:rPr>
                  </w:pPr>
                  <w:r>
                    <w:rPr>
                      <w:rFonts w:hint="eastAsia"/>
                      <w:color w:val="auto"/>
                      <w:szCs w:val="21"/>
                    </w:rPr>
                    <w:t>1</w:t>
                  </w:r>
                </w:p>
              </w:tc>
              <w:tc>
                <w:tcPr>
                  <w:tcW w:w="354" w:type="pct"/>
                  <w:tcMar>
                    <w:left w:w="0" w:type="dxa"/>
                    <w:right w:w="0" w:type="dxa"/>
                  </w:tcMar>
                  <w:vAlign w:val="center"/>
                </w:tcPr>
                <w:p w14:paraId="13565D7D">
                  <w:pPr>
                    <w:pStyle w:val="477"/>
                    <w:spacing w:after="0"/>
                    <w:rPr>
                      <w:color w:val="auto"/>
                      <w:szCs w:val="21"/>
                    </w:rPr>
                  </w:pPr>
                  <w:r>
                    <w:rPr>
                      <w:rFonts w:hint="eastAsia"/>
                      <w:color w:val="auto"/>
                      <w:szCs w:val="21"/>
                    </w:rPr>
                    <w:t>20</w:t>
                  </w:r>
                </w:p>
              </w:tc>
              <w:tc>
                <w:tcPr>
                  <w:tcW w:w="415" w:type="pct"/>
                  <w:tcMar>
                    <w:left w:w="0" w:type="dxa"/>
                    <w:right w:w="0" w:type="dxa"/>
                  </w:tcMar>
                  <w:vAlign w:val="center"/>
                </w:tcPr>
                <w:p w14:paraId="2F9E0034">
                  <w:pPr>
                    <w:jc w:val="center"/>
                    <w:rPr>
                      <w:color w:val="auto"/>
                      <w:szCs w:val="21"/>
                    </w:rPr>
                  </w:pPr>
                  <w:r>
                    <w:rPr>
                      <w:rFonts w:hint="eastAsia"/>
                      <w:color w:val="auto"/>
                      <w:szCs w:val="21"/>
                    </w:rPr>
                    <w:t>49.5</w:t>
                  </w:r>
                </w:p>
              </w:tc>
              <w:tc>
                <w:tcPr>
                  <w:tcW w:w="184" w:type="pct"/>
                  <w:tcMar>
                    <w:left w:w="0" w:type="dxa"/>
                    <w:right w:w="0" w:type="dxa"/>
                  </w:tcMar>
                  <w:vAlign w:val="center"/>
                </w:tcPr>
                <w:p w14:paraId="5977B80F">
                  <w:pPr>
                    <w:jc w:val="center"/>
                    <w:rPr>
                      <w:color w:val="auto"/>
                      <w:szCs w:val="21"/>
                    </w:rPr>
                  </w:pPr>
                  <w:r>
                    <w:rPr>
                      <w:color w:val="auto"/>
                      <w:szCs w:val="21"/>
                    </w:rPr>
                    <w:t>昼</w:t>
                  </w:r>
                </w:p>
              </w:tc>
              <w:tc>
                <w:tcPr>
                  <w:tcW w:w="442" w:type="pct"/>
                  <w:tcMar>
                    <w:left w:w="0" w:type="dxa"/>
                    <w:right w:w="0" w:type="dxa"/>
                  </w:tcMar>
                  <w:vAlign w:val="center"/>
                </w:tcPr>
                <w:p w14:paraId="1746AC65">
                  <w:pPr>
                    <w:jc w:val="center"/>
                    <w:rPr>
                      <w:color w:val="auto"/>
                      <w:szCs w:val="21"/>
                    </w:rPr>
                  </w:pPr>
                  <w:r>
                    <w:rPr>
                      <w:rFonts w:hint="eastAsia"/>
                      <w:color w:val="auto"/>
                      <w:szCs w:val="21"/>
                    </w:rPr>
                    <w:t>25</w:t>
                  </w:r>
                </w:p>
              </w:tc>
              <w:tc>
                <w:tcPr>
                  <w:tcW w:w="350" w:type="pct"/>
                  <w:vAlign w:val="center"/>
                </w:tcPr>
                <w:p w14:paraId="246FA225">
                  <w:pPr>
                    <w:jc w:val="center"/>
                    <w:rPr>
                      <w:color w:val="auto"/>
                      <w:szCs w:val="21"/>
                    </w:rPr>
                  </w:pPr>
                  <w:r>
                    <w:rPr>
                      <w:rFonts w:hint="eastAsia"/>
                      <w:color w:val="auto"/>
                      <w:szCs w:val="21"/>
                    </w:rPr>
                    <w:t>35.5</w:t>
                  </w:r>
                </w:p>
              </w:tc>
              <w:tc>
                <w:tcPr>
                  <w:tcW w:w="247" w:type="pct"/>
                  <w:vAlign w:val="center"/>
                </w:tcPr>
                <w:p w14:paraId="1BAD6B5D">
                  <w:pPr>
                    <w:pStyle w:val="477"/>
                    <w:spacing w:after="0"/>
                    <w:rPr>
                      <w:color w:val="auto"/>
                      <w:szCs w:val="21"/>
                    </w:rPr>
                  </w:pPr>
                  <w:r>
                    <w:rPr>
                      <w:color w:val="auto"/>
                      <w:szCs w:val="21"/>
                    </w:rPr>
                    <w:t>1</w:t>
                  </w:r>
                </w:p>
              </w:tc>
            </w:tr>
            <w:tr w14:paraId="6F3CE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442A282">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35</w:t>
                  </w:r>
                </w:p>
              </w:tc>
              <w:tc>
                <w:tcPr>
                  <w:tcW w:w="217" w:type="pct"/>
                  <w:vMerge w:val="restart"/>
                  <w:vAlign w:val="center"/>
                </w:tcPr>
                <w:p w14:paraId="0AACB4A7">
                  <w:pPr>
                    <w:adjustRightInd w:val="0"/>
                    <w:snapToGrid w:val="0"/>
                    <w:jc w:val="center"/>
                    <w:rPr>
                      <w:color w:val="auto"/>
                      <w:szCs w:val="21"/>
                    </w:rPr>
                  </w:pPr>
                </w:p>
              </w:tc>
              <w:tc>
                <w:tcPr>
                  <w:tcW w:w="433" w:type="pct"/>
                  <w:vAlign w:val="center"/>
                </w:tcPr>
                <w:p w14:paraId="67210B87">
                  <w:pPr>
                    <w:pStyle w:val="477"/>
                    <w:spacing w:after="0"/>
                    <w:rPr>
                      <w:color w:val="auto"/>
                      <w:szCs w:val="21"/>
                    </w:rPr>
                  </w:pPr>
                  <w:r>
                    <w:rPr>
                      <w:color w:val="auto"/>
                      <w:kern w:val="0"/>
                      <w:szCs w:val="21"/>
                      <w:lang w:bidi="ar"/>
                    </w:rPr>
                    <w:t>气钉枪</w:t>
                  </w:r>
                </w:p>
              </w:tc>
              <w:tc>
                <w:tcPr>
                  <w:tcW w:w="135" w:type="pct"/>
                  <w:vAlign w:val="center"/>
                </w:tcPr>
                <w:p w14:paraId="71B67C68">
                  <w:pPr>
                    <w:widowControl/>
                    <w:jc w:val="center"/>
                    <w:rPr>
                      <w:color w:val="auto"/>
                      <w:szCs w:val="21"/>
                    </w:rPr>
                  </w:pPr>
                  <w:r>
                    <w:rPr>
                      <w:rFonts w:hint="eastAsia"/>
                      <w:color w:val="auto"/>
                      <w:szCs w:val="21"/>
                    </w:rPr>
                    <w:t>8</w:t>
                  </w:r>
                </w:p>
              </w:tc>
              <w:tc>
                <w:tcPr>
                  <w:tcW w:w="1013" w:type="pct"/>
                  <w:vAlign w:val="center"/>
                </w:tcPr>
                <w:p w14:paraId="0CCABADA">
                  <w:pPr>
                    <w:widowControl/>
                    <w:jc w:val="center"/>
                    <w:rPr>
                      <w:color w:val="auto"/>
                      <w:szCs w:val="21"/>
                    </w:rPr>
                  </w:pPr>
                  <w:r>
                    <w:rPr>
                      <w:color w:val="auto"/>
                      <w:kern w:val="0"/>
                      <w:szCs w:val="21"/>
                      <w:lang w:bidi="ar"/>
                    </w:rPr>
                    <w:t>YZ112M-4</w:t>
                  </w:r>
                </w:p>
              </w:tc>
              <w:tc>
                <w:tcPr>
                  <w:tcW w:w="377" w:type="pct"/>
                  <w:vAlign w:val="center"/>
                </w:tcPr>
                <w:p w14:paraId="6A037FC7">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03C1EB19">
                  <w:pPr>
                    <w:pStyle w:val="477"/>
                    <w:spacing w:after="0"/>
                    <w:rPr>
                      <w:color w:val="auto"/>
                      <w:szCs w:val="21"/>
                    </w:rPr>
                  </w:pPr>
                </w:p>
              </w:tc>
              <w:tc>
                <w:tcPr>
                  <w:tcW w:w="154" w:type="pct"/>
                  <w:tcMar>
                    <w:left w:w="0" w:type="dxa"/>
                    <w:right w:w="0" w:type="dxa"/>
                  </w:tcMar>
                  <w:vAlign w:val="center"/>
                </w:tcPr>
                <w:p w14:paraId="7E7AD668">
                  <w:pPr>
                    <w:pStyle w:val="477"/>
                    <w:spacing w:after="0"/>
                    <w:rPr>
                      <w:color w:val="auto"/>
                      <w:szCs w:val="21"/>
                    </w:rPr>
                  </w:pPr>
                  <w:r>
                    <w:rPr>
                      <w:rFonts w:hint="eastAsia"/>
                      <w:color w:val="auto"/>
                      <w:szCs w:val="21"/>
                    </w:rPr>
                    <w:t>45</w:t>
                  </w:r>
                </w:p>
              </w:tc>
              <w:tc>
                <w:tcPr>
                  <w:tcW w:w="154" w:type="pct"/>
                  <w:tcMar>
                    <w:left w:w="0" w:type="dxa"/>
                    <w:right w:w="0" w:type="dxa"/>
                  </w:tcMar>
                  <w:vAlign w:val="center"/>
                </w:tcPr>
                <w:p w14:paraId="398C5C77">
                  <w:pPr>
                    <w:pStyle w:val="477"/>
                    <w:spacing w:after="0"/>
                    <w:rPr>
                      <w:color w:val="auto"/>
                      <w:szCs w:val="21"/>
                    </w:rPr>
                  </w:pPr>
                  <w:r>
                    <w:rPr>
                      <w:rFonts w:hint="eastAsia"/>
                      <w:color w:val="auto"/>
                      <w:szCs w:val="21"/>
                    </w:rPr>
                    <w:t>45</w:t>
                  </w:r>
                </w:p>
              </w:tc>
              <w:tc>
                <w:tcPr>
                  <w:tcW w:w="153" w:type="pct"/>
                  <w:vAlign w:val="center"/>
                </w:tcPr>
                <w:p w14:paraId="67866C33">
                  <w:pPr>
                    <w:jc w:val="center"/>
                    <w:rPr>
                      <w:color w:val="auto"/>
                      <w:szCs w:val="21"/>
                    </w:rPr>
                  </w:pPr>
                  <w:r>
                    <w:rPr>
                      <w:rFonts w:hint="eastAsia"/>
                      <w:color w:val="auto"/>
                      <w:szCs w:val="21"/>
                    </w:rPr>
                    <w:t>1.5</w:t>
                  </w:r>
                </w:p>
              </w:tc>
              <w:tc>
                <w:tcPr>
                  <w:tcW w:w="354" w:type="pct"/>
                  <w:tcMar>
                    <w:left w:w="0" w:type="dxa"/>
                    <w:right w:w="0" w:type="dxa"/>
                  </w:tcMar>
                  <w:vAlign w:val="center"/>
                </w:tcPr>
                <w:p w14:paraId="5241EC2F">
                  <w:pPr>
                    <w:pStyle w:val="477"/>
                    <w:spacing w:after="0"/>
                    <w:rPr>
                      <w:color w:val="auto"/>
                      <w:szCs w:val="21"/>
                    </w:rPr>
                  </w:pPr>
                  <w:r>
                    <w:rPr>
                      <w:rFonts w:hint="eastAsia"/>
                      <w:color w:val="auto"/>
                      <w:szCs w:val="21"/>
                    </w:rPr>
                    <w:t>50</w:t>
                  </w:r>
                </w:p>
              </w:tc>
              <w:tc>
                <w:tcPr>
                  <w:tcW w:w="415" w:type="pct"/>
                  <w:tcMar>
                    <w:left w:w="0" w:type="dxa"/>
                    <w:right w:w="0" w:type="dxa"/>
                  </w:tcMar>
                  <w:vAlign w:val="center"/>
                </w:tcPr>
                <w:p w14:paraId="7251F2C9">
                  <w:pPr>
                    <w:jc w:val="center"/>
                    <w:rPr>
                      <w:color w:val="auto"/>
                      <w:szCs w:val="21"/>
                    </w:rPr>
                  </w:pPr>
                  <w:r>
                    <w:rPr>
                      <w:rFonts w:hint="eastAsia"/>
                      <w:color w:val="auto"/>
                      <w:szCs w:val="21"/>
                    </w:rPr>
                    <w:t>43.7</w:t>
                  </w:r>
                </w:p>
              </w:tc>
              <w:tc>
                <w:tcPr>
                  <w:tcW w:w="184" w:type="pct"/>
                  <w:tcMar>
                    <w:left w:w="0" w:type="dxa"/>
                    <w:right w:w="0" w:type="dxa"/>
                  </w:tcMar>
                  <w:vAlign w:val="center"/>
                </w:tcPr>
                <w:p w14:paraId="07D2D5E7">
                  <w:pPr>
                    <w:jc w:val="center"/>
                    <w:rPr>
                      <w:color w:val="auto"/>
                      <w:szCs w:val="21"/>
                    </w:rPr>
                  </w:pPr>
                  <w:r>
                    <w:rPr>
                      <w:color w:val="auto"/>
                      <w:szCs w:val="21"/>
                    </w:rPr>
                    <w:t>昼</w:t>
                  </w:r>
                </w:p>
              </w:tc>
              <w:tc>
                <w:tcPr>
                  <w:tcW w:w="442" w:type="pct"/>
                  <w:tcMar>
                    <w:left w:w="0" w:type="dxa"/>
                    <w:right w:w="0" w:type="dxa"/>
                  </w:tcMar>
                  <w:vAlign w:val="center"/>
                </w:tcPr>
                <w:p w14:paraId="44F7BFF3">
                  <w:pPr>
                    <w:jc w:val="center"/>
                    <w:rPr>
                      <w:color w:val="auto"/>
                      <w:szCs w:val="21"/>
                    </w:rPr>
                  </w:pPr>
                  <w:r>
                    <w:rPr>
                      <w:rFonts w:hint="eastAsia"/>
                      <w:color w:val="auto"/>
                      <w:szCs w:val="21"/>
                    </w:rPr>
                    <w:t>25</w:t>
                  </w:r>
                </w:p>
              </w:tc>
              <w:tc>
                <w:tcPr>
                  <w:tcW w:w="350" w:type="pct"/>
                  <w:vAlign w:val="center"/>
                </w:tcPr>
                <w:p w14:paraId="17623338">
                  <w:pPr>
                    <w:jc w:val="center"/>
                    <w:rPr>
                      <w:color w:val="auto"/>
                      <w:szCs w:val="21"/>
                    </w:rPr>
                  </w:pPr>
                  <w:r>
                    <w:rPr>
                      <w:rFonts w:hint="eastAsia"/>
                      <w:color w:val="auto"/>
                      <w:szCs w:val="21"/>
                    </w:rPr>
                    <w:t>33.7</w:t>
                  </w:r>
                </w:p>
              </w:tc>
              <w:tc>
                <w:tcPr>
                  <w:tcW w:w="247" w:type="pct"/>
                  <w:vAlign w:val="center"/>
                </w:tcPr>
                <w:p w14:paraId="1BB9FCE1">
                  <w:pPr>
                    <w:pStyle w:val="477"/>
                    <w:spacing w:after="0"/>
                    <w:rPr>
                      <w:color w:val="auto"/>
                      <w:szCs w:val="21"/>
                    </w:rPr>
                  </w:pPr>
                  <w:r>
                    <w:rPr>
                      <w:color w:val="auto"/>
                      <w:szCs w:val="21"/>
                    </w:rPr>
                    <w:t>1</w:t>
                  </w:r>
                </w:p>
              </w:tc>
            </w:tr>
            <w:tr w14:paraId="58903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3646988A">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36</w:t>
                  </w:r>
                </w:p>
              </w:tc>
              <w:tc>
                <w:tcPr>
                  <w:tcW w:w="217" w:type="pct"/>
                  <w:vMerge w:val="continue"/>
                  <w:vAlign w:val="center"/>
                </w:tcPr>
                <w:p w14:paraId="4C60B971">
                  <w:pPr>
                    <w:adjustRightInd w:val="0"/>
                    <w:snapToGrid w:val="0"/>
                    <w:jc w:val="center"/>
                    <w:rPr>
                      <w:color w:val="auto"/>
                      <w:szCs w:val="21"/>
                    </w:rPr>
                  </w:pPr>
                </w:p>
              </w:tc>
              <w:tc>
                <w:tcPr>
                  <w:tcW w:w="433" w:type="pct"/>
                  <w:vAlign w:val="center"/>
                </w:tcPr>
                <w:p w14:paraId="71109266">
                  <w:pPr>
                    <w:pStyle w:val="477"/>
                    <w:spacing w:after="0"/>
                    <w:rPr>
                      <w:color w:val="auto"/>
                      <w:szCs w:val="21"/>
                    </w:rPr>
                  </w:pPr>
                  <w:r>
                    <w:rPr>
                      <w:color w:val="auto"/>
                      <w:kern w:val="0"/>
                      <w:szCs w:val="21"/>
                      <w:lang w:bidi="ar"/>
                    </w:rPr>
                    <w:t>数控激光切割机</w:t>
                  </w:r>
                </w:p>
              </w:tc>
              <w:tc>
                <w:tcPr>
                  <w:tcW w:w="135" w:type="pct"/>
                  <w:vAlign w:val="center"/>
                </w:tcPr>
                <w:p w14:paraId="65B79E8C">
                  <w:pPr>
                    <w:widowControl/>
                    <w:jc w:val="center"/>
                    <w:rPr>
                      <w:color w:val="auto"/>
                      <w:szCs w:val="21"/>
                    </w:rPr>
                  </w:pPr>
                  <w:r>
                    <w:rPr>
                      <w:rFonts w:hint="eastAsia"/>
                      <w:color w:val="auto"/>
                      <w:szCs w:val="21"/>
                    </w:rPr>
                    <w:t>6</w:t>
                  </w:r>
                </w:p>
              </w:tc>
              <w:tc>
                <w:tcPr>
                  <w:tcW w:w="1013" w:type="pct"/>
                  <w:vAlign w:val="center"/>
                </w:tcPr>
                <w:p w14:paraId="5F321804">
                  <w:pPr>
                    <w:widowControl/>
                    <w:jc w:val="center"/>
                    <w:rPr>
                      <w:color w:val="auto"/>
                      <w:szCs w:val="21"/>
                    </w:rPr>
                  </w:pPr>
                  <w:r>
                    <w:rPr>
                      <w:rFonts w:hint="eastAsia"/>
                      <w:color w:val="auto"/>
                      <w:kern w:val="0"/>
                      <w:szCs w:val="21"/>
                      <w:lang w:bidi="ar"/>
                    </w:rPr>
                    <w:t>130SA+CCD</w:t>
                  </w:r>
                </w:p>
              </w:tc>
              <w:tc>
                <w:tcPr>
                  <w:tcW w:w="377" w:type="pct"/>
                  <w:vAlign w:val="center"/>
                </w:tcPr>
                <w:p w14:paraId="073F2A3C">
                  <w:pPr>
                    <w:adjustRightInd w:val="0"/>
                    <w:snapToGrid w:val="0"/>
                    <w:jc w:val="center"/>
                    <w:rPr>
                      <w:color w:val="auto"/>
                      <w:szCs w:val="21"/>
                    </w:rPr>
                  </w:pPr>
                  <w:r>
                    <w:rPr>
                      <w:color w:val="auto"/>
                      <w:szCs w:val="21"/>
                    </w:rPr>
                    <w:t>85</w:t>
                  </w:r>
                </w:p>
              </w:tc>
              <w:tc>
                <w:tcPr>
                  <w:tcW w:w="246" w:type="pct"/>
                  <w:vMerge w:val="continue"/>
                  <w:vAlign w:val="center"/>
                </w:tcPr>
                <w:p w14:paraId="0C2AB151">
                  <w:pPr>
                    <w:pStyle w:val="477"/>
                    <w:spacing w:after="0"/>
                    <w:rPr>
                      <w:color w:val="auto"/>
                      <w:szCs w:val="21"/>
                    </w:rPr>
                  </w:pPr>
                </w:p>
              </w:tc>
              <w:tc>
                <w:tcPr>
                  <w:tcW w:w="154" w:type="pct"/>
                  <w:tcMar>
                    <w:left w:w="0" w:type="dxa"/>
                    <w:right w:w="0" w:type="dxa"/>
                  </w:tcMar>
                  <w:vAlign w:val="center"/>
                </w:tcPr>
                <w:p w14:paraId="0A3F5275">
                  <w:pPr>
                    <w:pStyle w:val="477"/>
                    <w:spacing w:after="0"/>
                    <w:rPr>
                      <w:color w:val="auto"/>
                      <w:szCs w:val="21"/>
                    </w:rPr>
                  </w:pPr>
                  <w:r>
                    <w:rPr>
                      <w:rFonts w:hint="eastAsia"/>
                      <w:color w:val="auto"/>
                      <w:szCs w:val="21"/>
                    </w:rPr>
                    <w:t>30</w:t>
                  </w:r>
                </w:p>
              </w:tc>
              <w:tc>
                <w:tcPr>
                  <w:tcW w:w="154" w:type="pct"/>
                  <w:tcMar>
                    <w:left w:w="0" w:type="dxa"/>
                    <w:right w:w="0" w:type="dxa"/>
                  </w:tcMar>
                  <w:vAlign w:val="center"/>
                </w:tcPr>
                <w:p w14:paraId="614A225D">
                  <w:pPr>
                    <w:pStyle w:val="477"/>
                    <w:spacing w:after="0"/>
                    <w:rPr>
                      <w:color w:val="auto"/>
                      <w:szCs w:val="21"/>
                    </w:rPr>
                  </w:pPr>
                  <w:r>
                    <w:rPr>
                      <w:rFonts w:hint="eastAsia"/>
                      <w:color w:val="auto"/>
                      <w:szCs w:val="21"/>
                    </w:rPr>
                    <w:t>25</w:t>
                  </w:r>
                </w:p>
              </w:tc>
              <w:tc>
                <w:tcPr>
                  <w:tcW w:w="153" w:type="pct"/>
                  <w:vAlign w:val="center"/>
                </w:tcPr>
                <w:p w14:paraId="452C41A7">
                  <w:pPr>
                    <w:jc w:val="center"/>
                    <w:rPr>
                      <w:color w:val="auto"/>
                      <w:szCs w:val="21"/>
                    </w:rPr>
                  </w:pPr>
                  <w:r>
                    <w:rPr>
                      <w:rFonts w:hint="eastAsia"/>
                      <w:color w:val="auto"/>
                      <w:szCs w:val="21"/>
                    </w:rPr>
                    <w:t>1.5</w:t>
                  </w:r>
                </w:p>
              </w:tc>
              <w:tc>
                <w:tcPr>
                  <w:tcW w:w="354" w:type="pct"/>
                  <w:tcMar>
                    <w:left w:w="0" w:type="dxa"/>
                    <w:right w:w="0" w:type="dxa"/>
                  </w:tcMar>
                  <w:vAlign w:val="center"/>
                </w:tcPr>
                <w:p w14:paraId="78988501">
                  <w:pPr>
                    <w:pStyle w:val="477"/>
                    <w:spacing w:after="0"/>
                    <w:rPr>
                      <w:color w:val="auto"/>
                      <w:szCs w:val="21"/>
                    </w:rPr>
                  </w:pPr>
                  <w:r>
                    <w:rPr>
                      <w:rFonts w:hint="eastAsia"/>
                      <w:color w:val="auto"/>
                      <w:szCs w:val="21"/>
                    </w:rPr>
                    <w:t>25</w:t>
                  </w:r>
                </w:p>
              </w:tc>
              <w:tc>
                <w:tcPr>
                  <w:tcW w:w="415" w:type="pct"/>
                  <w:tcMar>
                    <w:left w:w="0" w:type="dxa"/>
                    <w:right w:w="0" w:type="dxa"/>
                  </w:tcMar>
                  <w:vAlign w:val="center"/>
                </w:tcPr>
                <w:p w14:paraId="3AA8688B">
                  <w:pPr>
                    <w:jc w:val="center"/>
                    <w:rPr>
                      <w:color w:val="auto"/>
                      <w:szCs w:val="21"/>
                    </w:rPr>
                  </w:pPr>
                  <w:r>
                    <w:rPr>
                      <w:rFonts w:hint="eastAsia"/>
                      <w:color w:val="auto"/>
                      <w:szCs w:val="21"/>
                    </w:rPr>
                    <w:t>61.2</w:t>
                  </w:r>
                </w:p>
              </w:tc>
              <w:tc>
                <w:tcPr>
                  <w:tcW w:w="184" w:type="pct"/>
                  <w:tcMar>
                    <w:left w:w="0" w:type="dxa"/>
                    <w:right w:w="0" w:type="dxa"/>
                  </w:tcMar>
                  <w:vAlign w:val="center"/>
                </w:tcPr>
                <w:p w14:paraId="383573BE">
                  <w:pPr>
                    <w:jc w:val="center"/>
                    <w:rPr>
                      <w:color w:val="auto"/>
                      <w:szCs w:val="21"/>
                    </w:rPr>
                  </w:pPr>
                  <w:r>
                    <w:rPr>
                      <w:color w:val="auto"/>
                      <w:szCs w:val="21"/>
                    </w:rPr>
                    <w:t>昼</w:t>
                  </w:r>
                </w:p>
              </w:tc>
              <w:tc>
                <w:tcPr>
                  <w:tcW w:w="442" w:type="pct"/>
                  <w:tcMar>
                    <w:left w:w="0" w:type="dxa"/>
                    <w:right w:w="0" w:type="dxa"/>
                  </w:tcMar>
                  <w:vAlign w:val="center"/>
                </w:tcPr>
                <w:p w14:paraId="21966E02">
                  <w:pPr>
                    <w:jc w:val="center"/>
                    <w:rPr>
                      <w:color w:val="auto"/>
                      <w:szCs w:val="21"/>
                    </w:rPr>
                  </w:pPr>
                  <w:r>
                    <w:rPr>
                      <w:rFonts w:hint="eastAsia"/>
                      <w:color w:val="auto"/>
                      <w:szCs w:val="21"/>
                    </w:rPr>
                    <w:t>25</w:t>
                  </w:r>
                </w:p>
              </w:tc>
              <w:tc>
                <w:tcPr>
                  <w:tcW w:w="350" w:type="pct"/>
                  <w:vAlign w:val="center"/>
                </w:tcPr>
                <w:p w14:paraId="2125D3E2">
                  <w:pPr>
                    <w:jc w:val="center"/>
                    <w:rPr>
                      <w:color w:val="auto"/>
                      <w:szCs w:val="21"/>
                    </w:rPr>
                  </w:pPr>
                  <w:r>
                    <w:rPr>
                      <w:rFonts w:hint="eastAsia"/>
                      <w:color w:val="auto"/>
                      <w:szCs w:val="21"/>
                    </w:rPr>
                    <w:t>41</w:t>
                  </w:r>
                </w:p>
              </w:tc>
              <w:tc>
                <w:tcPr>
                  <w:tcW w:w="247" w:type="pct"/>
                  <w:vAlign w:val="center"/>
                </w:tcPr>
                <w:p w14:paraId="591F4F82">
                  <w:pPr>
                    <w:pStyle w:val="477"/>
                    <w:spacing w:after="0"/>
                    <w:rPr>
                      <w:color w:val="auto"/>
                      <w:szCs w:val="21"/>
                    </w:rPr>
                  </w:pPr>
                  <w:r>
                    <w:rPr>
                      <w:color w:val="auto"/>
                      <w:szCs w:val="21"/>
                    </w:rPr>
                    <w:t>1</w:t>
                  </w:r>
                </w:p>
              </w:tc>
            </w:tr>
            <w:tr w14:paraId="587AD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17182F1C">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37</w:t>
                  </w:r>
                </w:p>
              </w:tc>
              <w:tc>
                <w:tcPr>
                  <w:tcW w:w="217" w:type="pct"/>
                  <w:vMerge w:val="continue"/>
                  <w:vAlign w:val="center"/>
                </w:tcPr>
                <w:p w14:paraId="18F807EC">
                  <w:pPr>
                    <w:adjustRightInd w:val="0"/>
                    <w:snapToGrid w:val="0"/>
                    <w:jc w:val="center"/>
                    <w:rPr>
                      <w:color w:val="auto"/>
                      <w:szCs w:val="21"/>
                    </w:rPr>
                  </w:pPr>
                </w:p>
              </w:tc>
              <w:tc>
                <w:tcPr>
                  <w:tcW w:w="433" w:type="pct"/>
                  <w:vAlign w:val="center"/>
                </w:tcPr>
                <w:p w14:paraId="4E1FBA0A">
                  <w:pPr>
                    <w:pStyle w:val="477"/>
                    <w:spacing w:after="0"/>
                    <w:rPr>
                      <w:color w:val="auto"/>
                      <w:szCs w:val="21"/>
                    </w:rPr>
                  </w:pPr>
                  <w:r>
                    <w:rPr>
                      <w:color w:val="auto"/>
                      <w:kern w:val="0"/>
                      <w:szCs w:val="21"/>
                      <w:lang w:bidi="ar"/>
                    </w:rPr>
                    <w:t>雕刻机</w:t>
                  </w:r>
                </w:p>
              </w:tc>
              <w:tc>
                <w:tcPr>
                  <w:tcW w:w="135" w:type="pct"/>
                  <w:vAlign w:val="center"/>
                </w:tcPr>
                <w:p w14:paraId="3F128201">
                  <w:pPr>
                    <w:widowControl/>
                    <w:jc w:val="center"/>
                    <w:rPr>
                      <w:color w:val="auto"/>
                      <w:szCs w:val="21"/>
                    </w:rPr>
                  </w:pPr>
                  <w:r>
                    <w:rPr>
                      <w:rFonts w:hint="eastAsia"/>
                      <w:color w:val="auto"/>
                      <w:szCs w:val="21"/>
                    </w:rPr>
                    <w:t>4</w:t>
                  </w:r>
                </w:p>
              </w:tc>
              <w:tc>
                <w:tcPr>
                  <w:tcW w:w="1013" w:type="pct"/>
                  <w:vAlign w:val="center"/>
                </w:tcPr>
                <w:p w14:paraId="5DB4EBFA">
                  <w:pPr>
                    <w:widowControl/>
                    <w:jc w:val="center"/>
                    <w:rPr>
                      <w:color w:val="auto"/>
                      <w:szCs w:val="21"/>
                    </w:rPr>
                  </w:pPr>
                  <w:r>
                    <w:rPr>
                      <w:rFonts w:hint="eastAsia"/>
                      <w:color w:val="auto"/>
                      <w:szCs w:val="21"/>
                    </w:rPr>
                    <w:t>/</w:t>
                  </w:r>
                </w:p>
              </w:tc>
              <w:tc>
                <w:tcPr>
                  <w:tcW w:w="377" w:type="pct"/>
                  <w:vAlign w:val="center"/>
                </w:tcPr>
                <w:p w14:paraId="0D4F9091">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58AEFA9">
                  <w:pPr>
                    <w:pStyle w:val="477"/>
                    <w:spacing w:after="0"/>
                    <w:rPr>
                      <w:color w:val="auto"/>
                      <w:szCs w:val="21"/>
                    </w:rPr>
                  </w:pPr>
                </w:p>
              </w:tc>
              <w:tc>
                <w:tcPr>
                  <w:tcW w:w="154" w:type="pct"/>
                  <w:tcMar>
                    <w:left w:w="0" w:type="dxa"/>
                    <w:right w:w="0" w:type="dxa"/>
                  </w:tcMar>
                  <w:vAlign w:val="center"/>
                </w:tcPr>
                <w:p w14:paraId="419AE81F">
                  <w:pPr>
                    <w:pStyle w:val="477"/>
                    <w:spacing w:after="0"/>
                    <w:rPr>
                      <w:color w:val="auto"/>
                      <w:szCs w:val="21"/>
                    </w:rPr>
                  </w:pPr>
                  <w:r>
                    <w:rPr>
                      <w:rFonts w:hint="eastAsia"/>
                      <w:color w:val="auto"/>
                      <w:szCs w:val="21"/>
                    </w:rPr>
                    <w:t>5</w:t>
                  </w:r>
                </w:p>
              </w:tc>
              <w:tc>
                <w:tcPr>
                  <w:tcW w:w="154" w:type="pct"/>
                  <w:tcMar>
                    <w:left w:w="0" w:type="dxa"/>
                    <w:right w:w="0" w:type="dxa"/>
                  </w:tcMar>
                  <w:vAlign w:val="center"/>
                </w:tcPr>
                <w:p w14:paraId="7124651C">
                  <w:pPr>
                    <w:pStyle w:val="477"/>
                    <w:spacing w:after="0"/>
                    <w:rPr>
                      <w:color w:val="auto"/>
                      <w:szCs w:val="21"/>
                    </w:rPr>
                  </w:pPr>
                  <w:r>
                    <w:rPr>
                      <w:rFonts w:hint="eastAsia"/>
                      <w:color w:val="auto"/>
                      <w:szCs w:val="21"/>
                    </w:rPr>
                    <w:t>20</w:t>
                  </w:r>
                </w:p>
              </w:tc>
              <w:tc>
                <w:tcPr>
                  <w:tcW w:w="153" w:type="pct"/>
                  <w:vAlign w:val="center"/>
                </w:tcPr>
                <w:p w14:paraId="5F63849F">
                  <w:pPr>
                    <w:jc w:val="center"/>
                    <w:rPr>
                      <w:color w:val="auto"/>
                      <w:szCs w:val="21"/>
                    </w:rPr>
                  </w:pPr>
                  <w:r>
                    <w:rPr>
                      <w:rFonts w:hint="eastAsia"/>
                      <w:color w:val="auto"/>
                      <w:szCs w:val="21"/>
                    </w:rPr>
                    <w:t>1.5</w:t>
                  </w:r>
                </w:p>
              </w:tc>
              <w:tc>
                <w:tcPr>
                  <w:tcW w:w="354" w:type="pct"/>
                  <w:tcMar>
                    <w:left w:w="0" w:type="dxa"/>
                    <w:right w:w="0" w:type="dxa"/>
                  </w:tcMar>
                  <w:vAlign w:val="center"/>
                </w:tcPr>
                <w:p w14:paraId="1AD39336">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236DDAF5">
                  <w:pPr>
                    <w:jc w:val="center"/>
                    <w:rPr>
                      <w:color w:val="auto"/>
                      <w:szCs w:val="21"/>
                    </w:rPr>
                  </w:pPr>
                  <w:r>
                    <w:rPr>
                      <w:rFonts w:hint="eastAsia"/>
                      <w:color w:val="auto"/>
                      <w:szCs w:val="21"/>
                    </w:rPr>
                    <w:t>59.1</w:t>
                  </w:r>
                </w:p>
              </w:tc>
              <w:tc>
                <w:tcPr>
                  <w:tcW w:w="184" w:type="pct"/>
                  <w:tcMar>
                    <w:left w:w="0" w:type="dxa"/>
                    <w:right w:w="0" w:type="dxa"/>
                  </w:tcMar>
                  <w:vAlign w:val="center"/>
                </w:tcPr>
                <w:p w14:paraId="644A55F8">
                  <w:pPr>
                    <w:jc w:val="center"/>
                    <w:rPr>
                      <w:color w:val="auto"/>
                      <w:szCs w:val="21"/>
                    </w:rPr>
                  </w:pPr>
                  <w:r>
                    <w:rPr>
                      <w:rFonts w:hint="eastAsia"/>
                      <w:color w:val="auto"/>
                      <w:szCs w:val="21"/>
                    </w:rPr>
                    <w:t>昼</w:t>
                  </w:r>
                </w:p>
              </w:tc>
              <w:tc>
                <w:tcPr>
                  <w:tcW w:w="442" w:type="pct"/>
                  <w:tcMar>
                    <w:left w:w="0" w:type="dxa"/>
                    <w:right w:w="0" w:type="dxa"/>
                  </w:tcMar>
                  <w:vAlign w:val="center"/>
                </w:tcPr>
                <w:p w14:paraId="075C3FE2">
                  <w:pPr>
                    <w:jc w:val="center"/>
                    <w:rPr>
                      <w:color w:val="auto"/>
                      <w:szCs w:val="21"/>
                    </w:rPr>
                  </w:pPr>
                  <w:r>
                    <w:rPr>
                      <w:rFonts w:hint="eastAsia"/>
                      <w:color w:val="auto"/>
                      <w:szCs w:val="21"/>
                    </w:rPr>
                    <w:t>25</w:t>
                  </w:r>
                </w:p>
              </w:tc>
              <w:tc>
                <w:tcPr>
                  <w:tcW w:w="350" w:type="pct"/>
                  <w:vAlign w:val="center"/>
                </w:tcPr>
                <w:p w14:paraId="613BCFB4">
                  <w:pPr>
                    <w:jc w:val="center"/>
                    <w:rPr>
                      <w:color w:val="auto"/>
                      <w:szCs w:val="21"/>
                    </w:rPr>
                  </w:pPr>
                  <w:r>
                    <w:rPr>
                      <w:rFonts w:hint="eastAsia"/>
                      <w:color w:val="auto"/>
                      <w:szCs w:val="21"/>
                    </w:rPr>
                    <w:t>40.3</w:t>
                  </w:r>
                </w:p>
              </w:tc>
              <w:tc>
                <w:tcPr>
                  <w:tcW w:w="247" w:type="pct"/>
                  <w:vAlign w:val="center"/>
                </w:tcPr>
                <w:p w14:paraId="62B417AF">
                  <w:pPr>
                    <w:pStyle w:val="477"/>
                    <w:spacing w:after="0"/>
                    <w:rPr>
                      <w:color w:val="auto"/>
                      <w:szCs w:val="21"/>
                    </w:rPr>
                  </w:pPr>
                  <w:r>
                    <w:rPr>
                      <w:color w:val="auto"/>
                      <w:szCs w:val="21"/>
                    </w:rPr>
                    <w:t>1</w:t>
                  </w:r>
                </w:p>
              </w:tc>
            </w:tr>
            <w:tr w14:paraId="1F93C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49864A0">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38</w:t>
                  </w:r>
                </w:p>
              </w:tc>
              <w:tc>
                <w:tcPr>
                  <w:tcW w:w="217" w:type="pct"/>
                  <w:vMerge w:val="continue"/>
                  <w:vAlign w:val="center"/>
                </w:tcPr>
                <w:p w14:paraId="6B8ED513">
                  <w:pPr>
                    <w:adjustRightInd w:val="0"/>
                    <w:snapToGrid w:val="0"/>
                    <w:jc w:val="center"/>
                    <w:rPr>
                      <w:color w:val="auto"/>
                      <w:szCs w:val="21"/>
                    </w:rPr>
                  </w:pPr>
                </w:p>
              </w:tc>
              <w:tc>
                <w:tcPr>
                  <w:tcW w:w="433" w:type="pct"/>
                  <w:vAlign w:val="center"/>
                </w:tcPr>
                <w:p w14:paraId="32882535">
                  <w:pPr>
                    <w:pStyle w:val="477"/>
                    <w:spacing w:after="0"/>
                    <w:rPr>
                      <w:color w:val="auto"/>
                      <w:szCs w:val="21"/>
                    </w:rPr>
                  </w:pPr>
                  <w:r>
                    <w:rPr>
                      <w:color w:val="auto"/>
                      <w:kern w:val="0"/>
                      <w:szCs w:val="21"/>
                      <w:lang w:bidi="ar"/>
                    </w:rPr>
                    <w:t>精雕机</w:t>
                  </w:r>
                </w:p>
              </w:tc>
              <w:tc>
                <w:tcPr>
                  <w:tcW w:w="135" w:type="pct"/>
                  <w:vAlign w:val="center"/>
                </w:tcPr>
                <w:p w14:paraId="4BB2A781">
                  <w:pPr>
                    <w:widowControl/>
                    <w:jc w:val="center"/>
                    <w:rPr>
                      <w:color w:val="auto"/>
                      <w:szCs w:val="21"/>
                    </w:rPr>
                  </w:pPr>
                  <w:r>
                    <w:rPr>
                      <w:rFonts w:hint="eastAsia"/>
                      <w:color w:val="auto"/>
                      <w:szCs w:val="21"/>
                    </w:rPr>
                    <w:t>2</w:t>
                  </w:r>
                </w:p>
              </w:tc>
              <w:tc>
                <w:tcPr>
                  <w:tcW w:w="1013" w:type="pct"/>
                  <w:vAlign w:val="center"/>
                </w:tcPr>
                <w:p w14:paraId="37A95ACB">
                  <w:pPr>
                    <w:widowControl/>
                    <w:jc w:val="center"/>
                    <w:rPr>
                      <w:color w:val="auto"/>
                      <w:szCs w:val="21"/>
                    </w:rPr>
                  </w:pPr>
                  <w:r>
                    <w:rPr>
                      <w:rFonts w:hint="eastAsia"/>
                      <w:color w:val="auto"/>
                      <w:szCs w:val="21"/>
                    </w:rPr>
                    <w:t>/</w:t>
                  </w:r>
                </w:p>
              </w:tc>
              <w:tc>
                <w:tcPr>
                  <w:tcW w:w="377" w:type="pct"/>
                  <w:vAlign w:val="center"/>
                </w:tcPr>
                <w:p w14:paraId="4BDA90A5">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5BEC40CC">
                  <w:pPr>
                    <w:pStyle w:val="477"/>
                    <w:spacing w:after="0"/>
                    <w:rPr>
                      <w:color w:val="auto"/>
                      <w:szCs w:val="21"/>
                    </w:rPr>
                  </w:pPr>
                </w:p>
              </w:tc>
              <w:tc>
                <w:tcPr>
                  <w:tcW w:w="154" w:type="pct"/>
                  <w:tcMar>
                    <w:left w:w="0" w:type="dxa"/>
                    <w:right w:w="0" w:type="dxa"/>
                  </w:tcMar>
                  <w:vAlign w:val="center"/>
                </w:tcPr>
                <w:p w14:paraId="5F0E5D76">
                  <w:pPr>
                    <w:pStyle w:val="477"/>
                    <w:spacing w:after="0"/>
                    <w:rPr>
                      <w:color w:val="auto"/>
                      <w:szCs w:val="21"/>
                    </w:rPr>
                  </w:pPr>
                  <w:r>
                    <w:rPr>
                      <w:rFonts w:hint="eastAsia"/>
                      <w:color w:val="auto"/>
                      <w:szCs w:val="21"/>
                    </w:rPr>
                    <w:t>10</w:t>
                  </w:r>
                </w:p>
              </w:tc>
              <w:tc>
                <w:tcPr>
                  <w:tcW w:w="154" w:type="pct"/>
                  <w:tcMar>
                    <w:left w:w="0" w:type="dxa"/>
                    <w:right w:w="0" w:type="dxa"/>
                  </w:tcMar>
                  <w:vAlign w:val="center"/>
                </w:tcPr>
                <w:p w14:paraId="4C069B38">
                  <w:pPr>
                    <w:pStyle w:val="477"/>
                    <w:spacing w:after="0"/>
                    <w:rPr>
                      <w:color w:val="auto"/>
                      <w:szCs w:val="21"/>
                    </w:rPr>
                  </w:pPr>
                  <w:r>
                    <w:rPr>
                      <w:rFonts w:hint="eastAsia"/>
                      <w:color w:val="auto"/>
                      <w:szCs w:val="21"/>
                    </w:rPr>
                    <w:t>20</w:t>
                  </w:r>
                </w:p>
              </w:tc>
              <w:tc>
                <w:tcPr>
                  <w:tcW w:w="153" w:type="pct"/>
                  <w:vAlign w:val="center"/>
                </w:tcPr>
                <w:p w14:paraId="150AD77D">
                  <w:pPr>
                    <w:jc w:val="center"/>
                    <w:rPr>
                      <w:color w:val="auto"/>
                      <w:szCs w:val="21"/>
                    </w:rPr>
                  </w:pPr>
                  <w:r>
                    <w:rPr>
                      <w:rFonts w:hint="eastAsia"/>
                      <w:color w:val="auto"/>
                      <w:szCs w:val="21"/>
                    </w:rPr>
                    <w:t>1.5</w:t>
                  </w:r>
                </w:p>
              </w:tc>
              <w:tc>
                <w:tcPr>
                  <w:tcW w:w="354" w:type="pct"/>
                  <w:tcMar>
                    <w:left w:w="0" w:type="dxa"/>
                    <w:right w:w="0" w:type="dxa"/>
                  </w:tcMar>
                  <w:vAlign w:val="center"/>
                </w:tcPr>
                <w:p w14:paraId="05525416">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072C5E1D">
                  <w:pPr>
                    <w:jc w:val="center"/>
                    <w:rPr>
                      <w:color w:val="auto"/>
                      <w:szCs w:val="21"/>
                    </w:rPr>
                  </w:pPr>
                  <w:r>
                    <w:rPr>
                      <w:rFonts w:hint="eastAsia"/>
                      <w:color w:val="auto"/>
                      <w:szCs w:val="21"/>
                    </w:rPr>
                    <w:t>61.3</w:t>
                  </w:r>
                </w:p>
              </w:tc>
              <w:tc>
                <w:tcPr>
                  <w:tcW w:w="184" w:type="pct"/>
                  <w:tcMar>
                    <w:left w:w="0" w:type="dxa"/>
                    <w:right w:w="0" w:type="dxa"/>
                  </w:tcMar>
                  <w:vAlign w:val="center"/>
                </w:tcPr>
                <w:p w14:paraId="167ABF55">
                  <w:pPr>
                    <w:jc w:val="center"/>
                    <w:rPr>
                      <w:color w:val="auto"/>
                      <w:szCs w:val="21"/>
                    </w:rPr>
                  </w:pPr>
                  <w:r>
                    <w:rPr>
                      <w:color w:val="auto"/>
                      <w:szCs w:val="21"/>
                    </w:rPr>
                    <w:t>昼</w:t>
                  </w:r>
                </w:p>
              </w:tc>
              <w:tc>
                <w:tcPr>
                  <w:tcW w:w="442" w:type="pct"/>
                  <w:tcMar>
                    <w:left w:w="0" w:type="dxa"/>
                    <w:right w:w="0" w:type="dxa"/>
                  </w:tcMar>
                  <w:vAlign w:val="center"/>
                </w:tcPr>
                <w:p w14:paraId="692450E9">
                  <w:pPr>
                    <w:jc w:val="center"/>
                    <w:rPr>
                      <w:color w:val="auto"/>
                      <w:szCs w:val="21"/>
                    </w:rPr>
                  </w:pPr>
                  <w:r>
                    <w:rPr>
                      <w:rFonts w:hint="eastAsia"/>
                      <w:color w:val="auto"/>
                      <w:szCs w:val="21"/>
                    </w:rPr>
                    <w:t>25</w:t>
                  </w:r>
                </w:p>
              </w:tc>
              <w:tc>
                <w:tcPr>
                  <w:tcW w:w="350" w:type="pct"/>
                  <w:vAlign w:val="center"/>
                </w:tcPr>
                <w:p w14:paraId="29DDDB81">
                  <w:pPr>
                    <w:jc w:val="center"/>
                    <w:rPr>
                      <w:color w:val="auto"/>
                      <w:szCs w:val="21"/>
                    </w:rPr>
                  </w:pPr>
                  <w:r>
                    <w:rPr>
                      <w:rFonts w:hint="eastAsia"/>
                      <w:color w:val="auto"/>
                      <w:szCs w:val="21"/>
                    </w:rPr>
                    <w:t>42.7</w:t>
                  </w:r>
                </w:p>
              </w:tc>
              <w:tc>
                <w:tcPr>
                  <w:tcW w:w="247" w:type="pct"/>
                  <w:vAlign w:val="center"/>
                </w:tcPr>
                <w:p w14:paraId="791BD71D">
                  <w:pPr>
                    <w:pStyle w:val="477"/>
                    <w:spacing w:after="0"/>
                    <w:rPr>
                      <w:color w:val="auto"/>
                      <w:szCs w:val="21"/>
                    </w:rPr>
                  </w:pPr>
                  <w:r>
                    <w:rPr>
                      <w:color w:val="auto"/>
                      <w:szCs w:val="21"/>
                    </w:rPr>
                    <w:t>1</w:t>
                  </w:r>
                </w:p>
              </w:tc>
            </w:tr>
            <w:tr w14:paraId="60C46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46EDA6A">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39</w:t>
                  </w:r>
                </w:p>
              </w:tc>
              <w:tc>
                <w:tcPr>
                  <w:tcW w:w="217" w:type="pct"/>
                  <w:vMerge w:val="continue"/>
                  <w:vAlign w:val="center"/>
                </w:tcPr>
                <w:p w14:paraId="0E870165">
                  <w:pPr>
                    <w:adjustRightInd w:val="0"/>
                    <w:snapToGrid w:val="0"/>
                    <w:jc w:val="center"/>
                    <w:rPr>
                      <w:color w:val="auto"/>
                      <w:szCs w:val="21"/>
                    </w:rPr>
                  </w:pPr>
                </w:p>
              </w:tc>
              <w:tc>
                <w:tcPr>
                  <w:tcW w:w="433" w:type="pct"/>
                  <w:vAlign w:val="center"/>
                </w:tcPr>
                <w:p w14:paraId="02F08B90">
                  <w:pPr>
                    <w:pStyle w:val="477"/>
                    <w:spacing w:after="0"/>
                    <w:rPr>
                      <w:color w:val="auto"/>
                      <w:szCs w:val="21"/>
                    </w:rPr>
                  </w:pPr>
                  <w:r>
                    <w:rPr>
                      <w:color w:val="auto"/>
                      <w:kern w:val="0"/>
                      <w:szCs w:val="21"/>
                      <w:lang w:bidi="ar"/>
                    </w:rPr>
                    <w:t>气磨机</w:t>
                  </w:r>
                </w:p>
              </w:tc>
              <w:tc>
                <w:tcPr>
                  <w:tcW w:w="135" w:type="pct"/>
                  <w:vAlign w:val="center"/>
                </w:tcPr>
                <w:p w14:paraId="6288059F">
                  <w:pPr>
                    <w:widowControl/>
                    <w:jc w:val="center"/>
                    <w:rPr>
                      <w:color w:val="auto"/>
                      <w:szCs w:val="21"/>
                    </w:rPr>
                  </w:pPr>
                  <w:r>
                    <w:rPr>
                      <w:rFonts w:hint="eastAsia"/>
                      <w:color w:val="auto"/>
                      <w:szCs w:val="21"/>
                    </w:rPr>
                    <w:t>5</w:t>
                  </w:r>
                </w:p>
              </w:tc>
              <w:tc>
                <w:tcPr>
                  <w:tcW w:w="1013" w:type="pct"/>
                  <w:vAlign w:val="center"/>
                </w:tcPr>
                <w:p w14:paraId="54BB9925">
                  <w:pPr>
                    <w:widowControl/>
                    <w:jc w:val="center"/>
                    <w:rPr>
                      <w:color w:val="auto"/>
                      <w:szCs w:val="21"/>
                    </w:rPr>
                  </w:pPr>
                  <w:r>
                    <w:rPr>
                      <w:rFonts w:hint="eastAsia"/>
                      <w:color w:val="auto"/>
                      <w:szCs w:val="21"/>
                    </w:rPr>
                    <w:t>/</w:t>
                  </w:r>
                </w:p>
              </w:tc>
              <w:tc>
                <w:tcPr>
                  <w:tcW w:w="377" w:type="pct"/>
                  <w:vAlign w:val="center"/>
                </w:tcPr>
                <w:p w14:paraId="1352F8C6">
                  <w:pPr>
                    <w:adjustRightInd w:val="0"/>
                    <w:snapToGrid w:val="0"/>
                    <w:jc w:val="center"/>
                    <w:rPr>
                      <w:color w:val="auto"/>
                      <w:szCs w:val="21"/>
                    </w:rPr>
                  </w:pPr>
                  <w:r>
                    <w:rPr>
                      <w:color w:val="auto"/>
                      <w:szCs w:val="21"/>
                    </w:rPr>
                    <w:t>85</w:t>
                  </w:r>
                </w:p>
              </w:tc>
              <w:tc>
                <w:tcPr>
                  <w:tcW w:w="246" w:type="pct"/>
                  <w:vMerge w:val="continue"/>
                  <w:vAlign w:val="center"/>
                </w:tcPr>
                <w:p w14:paraId="1E3B8FFF">
                  <w:pPr>
                    <w:pStyle w:val="477"/>
                    <w:spacing w:after="0"/>
                    <w:rPr>
                      <w:color w:val="auto"/>
                      <w:szCs w:val="21"/>
                    </w:rPr>
                  </w:pPr>
                </w:p>
              </w:tc>
              <w:tc>
                <w:tcPr>
                  <w:tcW w:w="154" w:type="pct"/>
                  <w:tcMar>
                    <w:left w:w="0" w:type="dxa"/>
                    <w:right w:w="0" w:type="dxa"/>
                  </w:tcMar>
                  <w:vAlign w:val="center"/>
                </w:tcPr>
                <w:p w14:paraId="4634E54A">
                  <w:pPr>
                    <w:pStyle w:val="477"/>
                    <w:spacing w:after="0"/>
                    <w:rPr>
                      <w:color w:val="auto"/>
                      <w:szCs w:val="21"/>
                    </w:rPr>
                  </w:pPr>
                  <w:r>
                    <w:rPr>
                      <w:rFonts w:hint="eastAsia"/>
                      <w:color w:val="auto"/>
                      <w:szCs w:val="21"/>
                    </w:rPr>
                    <w:t>60</w:t>
                  </w:r>
                </w:p>
              </w:tc>
              <w:tc>
                <w:tcPr>
                  <w:tcW w:w="154" w:type="pct"/>
                  <w:tcMar>
                    <w:left w:w="0" w:type="dxa"/>
                    <w:right w:w="0" w:type="dxa"/>
                  </w:tcMar>
                  <w:vAlign w:val="center"/>
                </w:tcPr>
                <w:p w14:paraId="507B7B8A">
                  <w:pPr>
                    <w:pStyle w:val="477"/>
                    <w:spacing w:after="0"/>
                    <w:rPr>
                      <w:color w:val="auto"/>
                      <w:szCs w:val="21"/>
                    </w:rPr>
                  </w:pPr>
                  <w:r>
                    <w:rPr>
                      <w:rFonts w:hint="eastAsia"/>
                      <w:color w:val="auto"/>
                      <w:szCs w:val="21"/>
                    </w:rPr>
                    <w:t>60</w:t>
                  </w:r>
                </w:p>
              </w:tc>
              <w:tc>
                <w:tcPr>
                  <w:tcW w:w="153" w:type="pct"/>
                  <w:vAlign w:val="center"/>
                </w:tcPr>
                <w:p w14:paraId="12541FC7">
                  <w:pPr>
                    <w:jc w:val="center"/>
                    <w:rPr>
                      <w:color w:val="auto"/>
                      <w:szCs w:val="21"/>
                    </w:rPr>
                  </w:pPr>
                  <w:r>
                    <w:rPr>
                      <w:rFonts w:hint="eastAsia"/>
                      <w:color w:val="auto"/>
                      <w:szCs w:val="21"/>
                    </w:rPr>
                    <w:t>1.5</w:t>
                  </w:r>
                </w:p>
              </w:tc>
              <w:tc>
                <w:tcPr>
                  <w:tcW w:w="354" w:type="pct"/>
                  <w:tcMar>
                    <w:left w:w="0" w:type="dxa"/>
                    <w:right w:w="0" w:type="dxa"/>
                  </w:tcMar>
                  <w:vAlign w:val="center"/>
                </w:tcPr>
                <w:p w14:paraId="4F6B5265">
                  <w:pPr>
                    <w:pStyle w:val="477"/>
                    <w:spacing w:after="0"/>
                    <w:rPr>
                      <w:color w:val="auto"/>
                      <w:szCs w:val="21"/>
                    </w:rPr>
                  </w:pPr>
                  <w:r>
                    <w:rPr>
                      <w:rFonts w:hint="eastAsia"/>
                      <w:color w:val="auto"/>
                      <w:szCs w:val="21"/>
                    </w:rPr>
                    <w:t>35</w:t>
                  </w:r>
                </w:p>
              </w:tc>
              <w:tc>
                <w:tcPr>
                  <w:tcW w:w="415" w:type="pct"/>
                  <w:tcMar>
                    <w:left w:w="0" w:type="dxa"/>
                    <w:right w:w="0" w:type="dxa"/>
                  </w:tcMar>
                  <w:vAlign w:val="center"/>
                </w:tcPr>
                <w:p w14:paraId="4CA91921">
                  <w:pPr>
                    <w:jc w:val="center"/>
                    <w:rPr>
                      <w:color w:val="auto"/>
                      <w:szCs w:val="21"/>
                    </w:rPr>
                  </w:pPr>
                  <w:r>
                    <w:rPr>
                      <w:rFonts w:hint="eastAsia"/>
                      <w:color w:val="auto"/>
                      <w:szCs w:val="21"/>
                    </w:rPr>
                    <w:t>49.3</w:t>
                  </w:r>
                </w:p>
              </w:tc>
              <w:tc>
                <w:tcPr>
                  <w:tcW w:w="184" w:type="pct"/>
                  <w:tcMar>
                    <w:left w:w="0" w:type="dxa"/>
                    <w:right w:w="0" w:type="dxa"/>
                  </w:tcMar>
                  <w:vAlign w:val="center"/>
                </w:tcPr>
                <w:p w14:paraId="74FDE8FC">
                  <w:pPr>
                    <w:jc w:val="center"/>
                    <w:rPr>
                      <w:color w:val="auto"/>
                      <w:szCs w:val="21"/>
                    </w:rPr>
                  </w:pPr>
                  <w:r>
                    <w:rPr>
                      <w:color w:val="auto"/>
                      <w:szCs w:val="21"/>
                    </w:rPr>
                    <w:t>昼</w:t>
                  </w:r>
                </w:p>
              </w:tc>
              <w:tc>
                <w:tcPr>
                  <w:tcW w:w="442" w:type="pct"/>
                  <w:tcMar>
                    <w:left w:w="0" w:type="dxa"/>
                    <w:right w:w="0" w:type="dxa"/>
                  </w:tcMar>
                  <w:vAlign w:val="center"/>
                </w:tcPr>
                <w:p w14:paraId="5D4EDD5E">
                  <w:pPr>
                    <w:jc w:val="center"/>
                    <w:rPr>
                      <w:color w:val="auto"/>
                      <w:szCs w:val="21"/>
                    </w:rPr>
                  </w:pPr>
                  <w:r>
                    <w:rPr>
                      <w:rFonts w:hint="eastAsia"/>
                      <w:color w:val="auto"/>
                      <w:szCs w:val="21"/>
                    </w:rPr>
                    <w:t>25</w:t>
                  </w:r>
                </w:p>
              </w:tc>
              <w:tc>
                <w:tcPr>
                  <w:tcW w:w="350" w:type="pct"/>
                  <w:vAlign w:val="center"/>
                </w:tcPr>
                <w:p w14:paraId="0D73A872">
                  <w:pPr>
                    <w:jc w:val="center"/>
                    <w:rPr>
                      <w:color w:val="auto"/>
                      <w:szCs w:val="21"/>
                    </w:rPr>
                  </w:pPr>
                  <w:r>
                    <w:rPr>
                      <w:rFonts w:hint="eastAsia"/>
                      <w:color w:val="auto"/>
                      <w:szCs w:val="21"/>
                    </w:rPr>
                    <w:t>34.6</w:t>
                  </w:r>
                </w:p>
              </w:tc>
              <w:tc>
                <w:tcPr>
                  <w:tcW w:w="247" w:type="pct"/>
                  <w:vAlign w:val="center"/>
                </w:tcPr>
                <w:p w14:paraId="55E367AD">
                  <w:pPr>
                    <w:pStyle w:val="477"/>
                    <w:spacing w:after="0"/>
                    <w:rPr>
                      <w:color w:val="auto"/>
                      <w:szCs w:val="21"/>
                    </w:rPr>
                  </w:pPr>
                  <w:r>
                    <w:rPr>
                      <w:color w:val="auto"/>
                      <w:szCs w:val="21"/>
                    </w:rPr>
                    <w:t>1</w:t>
                  </w:r>
                </w:p>
              </w:tc>
            </w:tr>
            <w:tr w14:paraId="1FFCA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6D750376">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0</w:t>
                  </w:r>
                </w:p>
              </w:tc>
              <w:tc>
                <w:tcPr>
                  <w:tcW w:w="217" w:type="pct"/>
                  <w:vMerge w:val="continue"/>
                  <w:vAlign w:val="center"/>
                </w:tcPr>
                <w:p w14:paraId="1A862F0E">
                  <w:pPr>
                    <w:adjustRightInd w:val="0"/>
                    <w:snapToGrid w:val="0"/>
                    <w:jc w:val="center"/>
                    <w:rPr>
                      <w:color w:val="auto"/>
                      <w:szCs w:val="21"/>
                    </w:rPr>
                  </w:pPr>
                </w:p>
              </w:tc>
              <w:tc>
                <w:tcPr>
                  <w:tcW w:w="433" w:type="pct"/>
                  <w:vAlign w:val="center"/>
                </w:tcPr>
                <w:p w14:paraId="5DCE9C2D">
                  <w:pPr>
                    <w:pStyle w:val="477"/>
                    <w:spacing w:after="0"/>
                    <w:rPr>
                      <w:color w:val="auto"/>
                      <w:szCs w:val="21"/>
                    </w:rPr>
                  </w:pPr>
                  <w:r>
                    <w:rPr>
                      <w:color w:val="auto"/>
                      <w:kern w:val="0"/>
                      <w:szCs w:val="21"/>
                      <w:lang w:bidi="ar"/>
                    </w:rPr>
                    <w:t>环保湿式抛光一体机</w:t>
                  </w:r>
                </w:p>
              </w:tc>
              <w:tc>
                <w:tcPr>
                  <w:tcW w:w="135" w:type="pct"/>
                  <w:vAlign w:val="center"/>
                </w:tcPr>
                <w:p w14:paraId="4119D73E">
                  <w:pPr>
                    <w:widowControl/>
                    <w:jc w:val="center"/>
                    <w:rPr>
                      <w:color w:val="auto"/>
                      <w:szCs w:val="21"/>
                    </w:rPr>
                  </w:pPr>
                  <w:r>
                    <w:rPr>
                      <w:rFonts w:hint="eastAsia"/>
                      <w:color w:val="auto"/>
                      <w:szCs w:val="21"/>
                    </w:rPr>
                    <w:t>3</w:t>
                  </w:r>
                </w:p>
              </w:tc>
              <w:tc>
                <w:tcPr>
                  <w:tcW w:w="1013" w:type="pct"/>
                  <w:vAlign w:val="center"/>
                </w:tcPr>
                <w:p w14:paraId="66E7B60C">
                  <w:pPr>
                    <w:widowControl/>
                    <w:jc w:val="center"/>
                    <w:rPr>
                      <w:color w:val="auto"/>
                      <w:szCs w:val="21"/>
                    </w:rPr>
                  </w:pPr>
                  <w:r>
                    <w:rPr>
                      <w:color w:val="auto"/>
                      <w:kern w:val="0"/>
                      <w:szCs w:val="21"/>
                    </w:rPr>
                    <w:t>YZ112M-4</w:t>
                  </w:r>
                </w:p>
              </w:tc>
              <w:tc>
                <w:tcPr>
                  <w:tcW w:w="377" w:type="pct"/>
                  <w:vAlign w:val="center"/>
                </w:tcPr>
                <w:p w14:paraId="26A23101">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4A01969C">
                  <w:pPr>
                    <w:pStyle w:val="477"/>
                    <w:spacing w:after="0"/>
                    <w:rPr>
                      <w:color w:val="auto"/>
                      <w:szCs w:val="21"/>
                    </w:rPr>
                  </w:pPr>
                </w:p>
              </w:tc>
              <w:tc>
                <w:tcPr>
                  <w:tcW w:w="154" w:type="pct"/>
                  <w:tcMar>
                    <w:left w:w="0" w:type="dxa"/>
                    <w:right w:w="0" w:type="dxa"/>
                  </w:tcMar>
                  <w:vAlign w:val="center"/>
                </w:tcPr>
                <w:p w14:paraId="09A5347F">
                  <w:pPr>
                    <w:pStyle w:val="477"/>
                    <w:spacing w:after="0"/>
                    <w:rPr>
                      <w:color w:val="auto"/>
                      <w:szCs w:val="21"/>
                    </w:rPr>
                  </w:pPr>
                  <w:r>
                    <w:rPr>
                      <w:rFonts w:hint="eastAsia"/>
                      <w:color w:val="auto"/>
                      <w:szCs w:val="21"/>
                    </w:rPr>
                    <w:t>10</w:t>
                  </w:r>
                </w:p>
              </w:tc>
              <w:tc>
                <w:tcPr>
                  <w:tcW w:w="154" w:type="pct"/>
                  <w:tcMar>
                    <w:left w:w="0" w:type="dxa"/>
                    <w:right w:w="0" w:type="dxa"/>
                  </w:tcMar>
                  <w:vAlign w:val="center"/>
                </w:tcPr>
                <w:p w14:paraId="61C06335">
                  <w:pPr>
                    <w:pStyle w:val="477"/>
                    <w:spacing w:after="0"/>
                    <w:rPr>
                      <w:color w:val="auto"/>
                      <w:szCs w:val="21"/>
                    </w:rPr>
                  </w:pPr>
                  <w:r>
                    <w:rPr>
                      <w:rFonts w:hint="eastAsia"/>
                      <w:color w:val="auto"/>
                      <w:szCs w:val="21"/>
                    </w:rPr>
                    <w:t>10</w:t>
                  </w:r>
                </w:p>
              </w:tc>
              <w:tc>
                <w:tcPr>
                  <w:tcW w:w="153" w:type="pct"/>
                  <w:vAlign w:val="center"/>
                </w:tcPr>
                <w:p w14:paraId="2A32837E">
                  <w:pPr>
                    <w:jc w:val="center"/>
                    <w:rPr>
                      <w:color w:val="auto"/>
                      <w:szCs w:val="21"/>
                    </w:rPr>
                  </w:pPr>
                  <w:r>
                    <w:rPr>
                      <w:rFonts w:hint="eastAsia"/>
                      <w:color w:val="auto"/>
                      <w:szCs w:val="21"/>
                    </w:rPr>
                    <w:t>1.5</w:t>
                  </w:r>
                </w:p>
              </w:tc>
              <w:tc>
                <w:tcPr>
                  <w:tcW w:w="354" w:type="pct"/>
                  <w:tcMar>
                    <w:left w:w="0" w:type="dxa"/>
                    <w:right w:w="0" w:type="dxa"/>
                  </w:tcMar>
                  <w:vAlign w:val="center"/>
                </w:tcPr>
                <w:p w14:paraId="51B55770">
                  <w:pPr>
                    <w:pStyle w:val="477"/>
                    <w:spacing w:after="0"/>
                    <w:rPr>
                      <w:color w:val="auto"/>
                      <w:szCs w:val="21"/>
                    </w:rPr>
                  </w:pPr>
                  <w:r>
                    <w:rPr>
                      <w:rFonts w:hint="eastAsia"/>
                      <w:color w:val="auto"/>
                      <w:szCs w:val="21"/>
                    </w:rPr>
                    <w:t>10</w:t>
                  </w:r>
                </w:p>
              </w:tc>
              <w:tc>
                <w:tcPr>
                  <w:tcW w:w="415" w:type="pct"/>
                  <w:tcMar>
                    <w:left w:w="0" w:type="dxa"/>
                    <w:right w:w="0" w:type="dxa"/>
                  </w:tcMar>
                  <w:vAlign w:val="center"/>
                </w:tcPr>
                <w:p w14:paraId="2E8EC46E">
                  <w:pPr>
                    <w:jc w:val="center"/>
                    <w:rPr>
                      <w:color w:val="auto"/>
                      <w:szCs w:val="21"/>
                    </w:rPr>
                  </w:pPr>
                  <w:r>
                    <w:rPr>
                      <w:rFonts w:hint="eastAsia"/>
                      <w:color w:val="auto"/>
                      <w:szCs w:val="21"/>
                    </w:rPr>
                    <w:t>51.3</w:t>
                  </w:r>
                </w:p>
              </w:tc>
              <w:tc>
                <w:tcPr>
                  <w:tcW w:w="184" w:type="pct"/>
                  <w:tcMar>
                    <w:left w:w="0" w:type="dxa"/>
                    <w:right w:w="0" w:type="dxa"/>
                  </w:tcMar>
                  <w:vAlign w:val="center"/>
                </w:tcPr>
                <w:p w14:paraId="28FF4E7F">
                  <w:pPr>
                    <w:jc w:val="center"/>
                    <w:rPr>
                      <w:color w:val="auto"/>
                      <w:szCs w:val="21"/>
                    </w:rPr>
                  </w:pPr>
                  <w:r>
                    <w:rPr>
                      <w:rFonts w:hint="eastAsia"/>
                      <w:color w:val="auto"/>
                      <w:szCs w:val="21"/>
                    </w:rPr>
                    <w:t>昼</w:t>
                  </w:r>
                </w:p>
              </w:tc>
              <w:tc>
                <w:tcPr>
                  <w:tcW w:w="442" w:type="pct"/>
                  <w:tcMar>
                    <w:left w:w="0" w:type="dxa"/>
                    <w:right w:w="0" w:type="dxa"/>
                  </w:tcMar>
                  <w:vAlign w:val="center"/>
                </w:tcPr>
                <w:p w14:paraId="4C02F075">
                  <w:pPr>
                    <w:jc w:val="center"/>
                    <w:rPr>
                      <w:color w:val="auto"/>
                      <w:szCs w:val="21"/>
                    </w:rPr>
                  </w:pPr>
                  <w:r>
                    <w:rPr>
                      <w:rFonts w:hint="eastAsia"/>
                      <w:color w:val="auto"/>
                      <w:szCs w:val="21"/>
                    </w:rPr>
                    <w:t>25</w:t>
                  </w:r>
                </w:p>
              </w:tc>
              <w:tc>
                <w:tcPr>
                  <w:tcW w:w="350" w:type="pct"/>
                  <w:vAlign w:val="center"/>
                </w:tcPr>
                <w:p w14:paraId="071924E2">
                  <w:pPr>
                    <w:jc w:val="center"/>
                    <w:rPr>
                      <w:color w:val="auto"/>
                      <w:szCs w:val="21"/>
                    </w:rPr>
                  </w:pPr>
                  <w:r>
                    <w:rPr>
                      <w:rFonts w:hint="eastAsia"/>
                      <w:color w:val="auto"/>
                      <w:szCs w:val="21"/>
                    </w:rPr>
                    <w:t>35.3</w:t>
                  </w:r>
                </w:p>
              </w:tc>
              <w:tc>
                <w:tcPr>
                  <w:tcW w:w="247" w:type="pct"/>
                  <w:vAlign w:val="center"/>
                </w:tcPr>
                <w:p w14:paraId="7286B401">
                  <w:pPr>
                    <w:pStyle w:val="477"/>
                    <w:spacing w:after="0"/>
                    <w:rPr>
                      <w:color w:val="auto"/>
                      <w:szCs w:val="21"/>
                    </w:rPr>
                  </w:pPr>
                  <w:r>
                    <w:rPr>
                      <w:color w:val="auto"/>
                      <w:szCs w:val="21"/>
                    </w:rPr>
                    <w:t>1</w:t>
                  </w:r>
                </w:p>
              </w:tc>
            </w:tr>
            <w:tr w14:paraId="7E27A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tcMar>
                    <w:left w:w="0" w:type="dxa"/>
                    <w:right w:w="0" w:type="dxa"/>
                  </w:tcMar>
                  <w:vAlign w:val="center"/>
                </w:tcPr>
                <w:p w14:paraId="43FBF1D9">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1</w:t>
                  </w:r>
                </w:p>
              </w:tc>
              <w:tc>
                <w:tcPr>
                  <w:tcW w:w="217" w:type="pct"/>
                  <w:vMerge w:val="continue"/>
                  <w:vAlign w:val="center"/>
                </w:tcPr>
                <w:p w14:paraId="54A2A328">
                  <w:pPr>
                    <w:adjustRightInd w:val="0"/>
                    <w:snapToGrid w:val="0"/>
                    <w:jc w:val="center"/>
                    <w:rPr>
                      <w:color w:val="auto"/>
                      <w:szCs w:val="21"/>
                    </w:rPr>
                  </w:pPr>
                </w:p>
              </w:tc>
              <w:tc>
                <w:tcPr>
                  <w:tcW w:w="433" w:type="pct"/>
                  <w:vAlign w:val="center"/>
                </w:tcPr>
                <w:p w14:paraId="79EBB48A">
                  <w:pPr>
                    <w:pStyle w:val="477"/>
                    <w:spacing w:after="0"/>
                    <w:rPr>
                      <w:color w:val="auto"/>
                      <w:szCs w:val="21"/>
                    </w:rPr>
                  </w:pPr>
                  <w:r>
                    <w:rPr>
                      <w:color w:val="auto"/>
                      <w:kern w:val="0"/>
                      <w:szCs w:val="21"/>
                      <w:lang w:bidi="ar"/>
                    </w:rPr>
                    <w:t>倒角机</w:t>
                  </w:r>
                </w:p>
              </w:tc>
              <w:tc>
                <w:tcPr>
                  <w:tcW w:w="135" w:type="pct"/>
                  <w:vAlign w:val="center"/>
                </w:tcPr>
                <w:p w14:paraId="565EC19A">
                  <w:pPr>
                    <w:widowControl/>
                    <w:jc w:val="center"/>
                    <w:rPr>
                      <w:color w:val="auto"/>
                      <w:szCs w:val="21"/>
                    </w:rPr>
                  </w:pPr>
                  <w:r>
                    <w:rPr>
                      <w:rFonts w:hint="eastAsia"/>
                      <w:color w:val="auto"/>
                      <w:szCs w:val="21"/>
                    </w:rPr>
                    <w:t>2</w:t>
                  </w:r>
                </w:p>
              </w:tc>
              <w:tc>
                <w:tcPr>
                  <w:tcW w:w="1013" w:type="pct"/>
                  <w:vAlign w:val="center"/>
                </w:tcPr>
                <w:p w14:paraId="6B9862DB">
                  <w:pPr>
                    <w:widowControl/>
                    <w:jc w:val="center"/>
                    <w:rPr>
                      <w:color w:val="auto"/>
                      <w:szCs w:val="21"/>
                    </w:rPr>
                  </w:pPr>
                  <w:r>
                    <w:rPr>
                      <w:color w:val="auto"/>
                      <w:kern w:val="0"/>
                      <w:szCs w:val="21"/>
                      <w:lang w:bidi="ar"/>
                    </w:rPr>
                    <w:t>MD2500-ATC/130SA+CCD</w:t>
                  </w:r>
                </w:p>
              </w:tc>
              <w:tc>
                <w:tcPr>
                  <w:tcW w:w="377" w:type="pct"/>
                  <w:vAlign w:val="center"/>
                </w:tcPr>
                <w:p w14:paraId="64DDE0AC">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50ABB989">
                  <w:pPr>
                    <w:pStyle w:val="477"/>
                    <w:spacing w:after="0"/>
                    <w:rPr>
                      <w:color w:val="auto"/>
                      <w:szCs w:val="21"/>
                    </w:rPr>
                  </w:pPr>
                </w:p>
              </w:tc>
              <w:tc>
                <w:tcPr>
                  <w:tcW w:w="154" w:type="pct"/>
                  <w:tcMar>
                    <w:left w:w="0" w:type="dxa"/>
                    <w:right w:w="0" w:type="dxa"/>
                  </w:tcMar>
                  <w:vAlign w:val="center"/>
                </w:tcPr>
                <w:p w14:paraId="79BA9B7B">
                  <w:pPr>
                    <w:pStyle w:val="477"/>
                    <w:spacing w:after="0"/>
                    <w:rPr>
                      <w:color w:val="auto"/>
                      <w:szCs w:val="21"/>
                    </w:rPr>
                  </w:pPr>
                  <w:r>
                    <w:rPr>
                      <w:rFonts w:hint="eastAsia"/>
                      <w:color w:val="auto"/>
                      <w:szCs w:val="21"/>
                    </w:rPr>
                    <w:t>5</w:t>
                  </w:r>
                </w:p>
              </w:tc>
              <w:tc>
                <w:tcPr>
                  <w:tcW w:w="154" w:type="pct"/>
                  <w:tcMar>
                    <w:left w:w="0" w:type="dxa"/>
                    <w:right w:w="0" w:type="dxa"/>
                  </w:tcMar>
                  <w:vAlign w:val="center"/>
                </w:tcPr>
                <w:p w14:paraId="494D9762">
                  <w:pPr>
                    <w:pStyle w:val="477"/>
                    <w:spacing w:after="0"/>
                    <w:rPr>
                      <w:color w:val="auto"/>
                      <w:szCs w:val="21"/>
                    </w:rPr>
                  </w:pPr>
                  <w:r>
                    <w:rPr>
                      <w:rFonts w:hint="eastAsia"/>
                      <w:color w:val="auto"/>
                      <w:szCs w:val="21"/>
                    </w:rPr>
                    <w:t>5</w:t>
                  </w:r>
                </w:p>
              </w:tc>
              <w:tc>
                <w:tcPr>
                  <w:tcW w:w="153" w:type="pct"/>
                  <w:vAlign w:val="center"/>
                </w:tcPr>
                <w:p w14:paraId="4E4075BA">
                  <w:pPr>
                    <w:jc w:val="center"/>
                    <w:rPr>
                      <w:color w:val="auto"/>
                      <w:szCs w:val="21"/>
                    </w:rPr>
                  </w:pPr>
                  <w:r>
                    <w:rPr>
                      <w:rFonts w:hint="eastAsia"/>
                      <w:color w:val="auto"/>
                      <w:szCs w:val="21"/>
                    </w:rPr>
                    <w:t>1.5</w:t>
                  </w:r>
                </w:p>
              </w:tc>
              <w:tc>
                <w:tcPr>
                  <w:tcW w:w="354" w:type="pct"/>
                  <w:tcMar>
                    <w:left w:w="0" w:type="dxa"/>
                    <w:right w:w="0" w:type="dxa"/>
                  </w:tcMar>
                  <w:vAlign w:val="center"/>
                </w:tcPr>
                <w:p w14:paraId="17E89046">
                  <w:pPr>
                    <w:pStyle w:val="477"/>
                    <w:spacing w:after="0"/>
                    <w:rPr>
                      <w:color w:val="auto"/>
                      <w:szCs w:val="21"/>
                    </w:rPr>
                  </w:pPr>
                  <w:r>
                    <w:rPr>
                      <w:rFonts w:hint="eastAsia"/>
                      <w:color w:val="auto"/>
                      <w:szCs w:val="21"/>
                    </w:rPr>
                    <w:t>5</w:t>
                  </w:r>
                </w:p>
              </w:tc>
              <w:tc>
                <w:tcPr>
                  <w:tcW w:w="415" w:type="pct"/>
                  <w:tcMar>
                    <w:left w:w="0" w:type="dxa"/>
                    <w:right w:w="0" w:type="dxa"/>
                  </w:tcMar>
                  <w:vAlign w:val="center"/>
                </w:tcPr>
                <w:p w14:paraId="35494239">
                  <w:pPr>
                    <w:jc w:val="center"/>
                    <w:rPr>
                      <w:color w:val="auto"/>
                      <w:szCs w:val="21"/>
                    </w:rPr>
                  </w:pPr>
                  <w:r>
                    <w:rPr>
                      <w:rFonts w:hint="eastAsia"/>
                      <w:color w:val="auto"/>
                      <w:szCs w:val="21"/>
                    </w:rPr>
                    <w:t>66</w:t>
                  </w:r>
                </w:p>
              </w:tc>
              <w:tc>
                <w:tcPr>
                  <w:tcW w:w="184" w:type="pct"/>
                  <w:tcMar>
                    <w:left w:w="0" w:type="dxa"/>
                    <w:right w:w="0" w:type="dxa"/>
                  </w:tcMar>
                  <w:vAlign w:val="center"/>
                </w:tcPr>
                <w:p w14:paraId="1A25708C">
                  <w:pPr>
                    <w:jc w:val="center"/>
                    <w:rPr>
                      <w:color w:val="auto"/>
                      <w:szCs w:val="21"/>
                    </w:rPr>
                  </w:pPr>
                  <w:r>
                    <w:rPr>
                      <w:color w:val="auto"/>
                      <w:szCs w:val="21"/>
                    </w:rPr>
                    <w:t>昼</w:t>
                  </w:r>
                </w:p>
              </w:tc>
              <w:tc>
                <w:tcPr>
                  <w:tcW w:w="442" w:type="pct"/>
                  <w:tcMar>
                    <w:left w:w="0" w:type="dxa"/>
                    <w:right w:w="0" w:type="dxa"/>
                  </w:tcMar>
                  <w:vAlign w:val="center"/>
                </w:tcPr>
                <w:p w14:paraId="193BC08F">
                  <w:pPr>
                    <w:jc w:val="center"/>
                    <w:rPr>
                      <w:color w:val="auto"/>
                      <w:szCs w:val="21"/>
                    </w:rPr>
                  </w:pPr>
                  <w:r>
                    <w:rPr>
                      <w:rFonts w:hint="eastAsia"/>
                      <w:color w:val="auto"/>
                      <w:szCs w:val="21"/>
                    </w:rPr>
                    <w:t>25</w:t>
                  </w:r>
                </w:p>
              </w:tc>
              <w:tc>
                <w:tcPr>
                  <w:tcW w:w="350" w:type="pct"/>
                  <w:vAlign w:val="center"/>
                </w:tcPr>
                <w:p w14:paraId="5079DB54">
                  <w:pPr>
                    <w:jc w:val="center"/>
                    <w:rPr>
                      <w:color w:val="auto"/>
                      <w:szCs w:val="21"/>
                    </w:rPr>
                  </w:pPr>
                  <w:r>
                    <w:rPr>
                      <w:rFonts w:hint="eastAsia"/>
                      <w:color w:val="auto"/>
                      <w:szCs w:val="21"/>
                    </w:rPr>
                    <w:t>42.3</w:t>
                  </w:r>
                </w:p>
              </w:tc>
              <w:tc>
                <w:tcPr>
                  <w:tcW w:w="247" w:type="pct"/>
                  <w:vAlign w:val="center"/>
                </w:tcPr>
                <w:p w14:paraId="48F60AD1">
                  <w:pPr>
                    <w:pStyle w:val="477"/>
                    <w:spacing w:after="0"/>
                    <w:rPr>
                      <w:color w:val="auto"/>
                      <w:szCs w:val="21"/>
                    </w:rPr>
                  </w:pPr>
                  <w:r>
                    <w:rPr>
                      <w:color w:val="auto"/>
                      <w:szCs w:val="21"/>
                    </w:rPr>
                    <w:t>1</w:t>
                  </w:r>
                </w:p>
              </w:tc>
            </w:tr>
            <w:tr w14:paraId="5AC57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139518E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2</w:t>
                  </w:r>
                </w:p>
              </w:tc>
              <w:tc>
                <w:tcPr>
                  <w:tcW w:w="217" w:type="pct"/>
                  <w:vMerge w:val="continue"/>
                  <w:vAlign w:val="center"/>
                </w:tcPr>
                <w:p w14:paraId="6D449EB2">
                  <w:pPr>
                    <w:adjustRightInd w:val="0"/>
                    <w:snapToGrid w:val="0"/>
                    <w:jc w:val="center"/>
                    <w:rPr>
                      <w:color w:val="auto"/>
                      <w:szCs w:val="21"/>
                    </w:rPr>
                  </w:pPr>
                </w:p>
              </w:tc>
              <w:tc>
                <w:tcPr>
                  <w:tcW w:w="433" w:type="pct"/>
                  <w:shd w:val="clear" w:color="auto" w:fill="auto"/>
                  <w:vAlign w:val="center"/>
                </w:tcPr>
                <w:p w14:paraId="13545A3A">
                  <w:pPr>
                    <w:widowControl/>
                    <w:jc w:val="center"/>
                    <w:textAlignment w:val="center"/>
                    <w:rPr>
                      <w:color w:val="auto"/>
                      <w:kern w:val="0"/>
                      <w:szCs w:val="21"/>
                    </w:rPr>
                  </w:pPr>
                  <w:r>
                    <w:rPr>
                      <w:color w:val="auto"/>
                      <w:kern w:val="0"/>
                      <w:szCs w:val="21"/>
                      <w:lang w:bidi="ar"/>
                    </w:rPr>
                    <w:t>钻石抛光机</w:t>
                  </w:r>
                </w:p>
              </w:tc>
              <w:tc>
                <w:tcPr>
                  <w:tcW w:w="135" w:type="pct"/>
                  <w:shd w:val="clear" w:color="auto" w:fill="auto"/>
                  <w:vAlign w:val="center"/>
                </w:tcPr>
                <w:p w14:paraId="27FA2276">
                  <w:pPr>
                    <w:widowControl/>
                    <w:jc w:val="center"/>
                    <w:textAlignment w:val="center"/>
                    <w:rPr>
                      <w:color w:val="auto"/>
                      <w:kern w:val="0"/>
                      <w:szCs w:val="21"/>
                    </w:rPr>
                  </w:pPr>
                  <w:r>
                    <w:rPr>
                      <w:color w:val="auto"/>
                      <w:kern w:val="0"/>
                      <w:szCs w:val="21"/>
                      <w:lang w:bidi="ar"/>
                    </w:rPr>
                    <w:t>3</w:t>
                  </w:r>
                </w:p>
              </w:tc>
              <w:tc>
                <w:tcPr>
                  <w:tcW w:w="1013" w:type="pct"/>
                  <w:shd w:val="clear" w:color="auto" w:fill="auto"/>
                  <w:vAlign w:val="center"/>
                </w:tcPr>
                <w:p w14:paraId="1068E9D0">
                  <w:pPr>
                    <w:jc w:val="center"/>
                    <w:rPr>
                      <w:color w:val="auto"/>
                      <w:kern w:val="0"/>
                      <w:szCs w:val="21"/>
                    </w:rPr>
                  </w:pPr>
                  <w:r>
                    <w:rPr>
                      <w:color w:val="auto"/>
                      <w:kern w:val="0"/>
                      <w:szCs w:val="21"/>
                    </w:rPr>
                    <w:t>YZ112M-4</w:t>
                  </w:r>
                </w:p>
              </w:tc>
              <w:tc>
                <w:tcPr>
                  <w:tcW w:w="377" w:type="pct"/>
                  <w:vAlign w:val="center"/>
                </w:tcPr>
                <w:p w14:paraId="2436F883">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BB63DFC">
                  <w:pPr>
                    <w:pStyle w:val="477"/>
                    <w:spacing w:after="0"/>
                    <w:rPr>
                      <w:color w:val="auto"/>
                      <w:szCs w:val="21"/>
                    </w:rPr>
                  </w:pPr>
                </w:p>
              </w:tc>
              <w:tc>
                <w:tcPr>
                  <w:tcW w:w="154" w:type="pct"/>
                  <w:vAlign w:val="center"/>
                </w:tcPr>
                <w:p w14:paraId="79BBBEE9">
                  <w:pPr>
                    <w:pStyle w:val="477"/>
                    <w:spacing w:after="0"/>
                    <w:rPr>
                      <w:color w:val="auto"/>
                      <w:szCs w:val="21"/>
                    </w:rPr>
                  </w:pPr>
                  <w:r>
                    <w:rPr>
                      <w:rFonts w:hint="eastAsia"/>
                      <w:color w:val="auto"/>
                      <w:szCs w:val="21"/>
                    </w:rPr>
                    <w:t>35</w:t>
                  </w:r>
                </w:p>
              </w:tc>
              <w:tc>
                <w:tcPr>
                  <w:tcW w:w="154" w:type="pct"/>
                  <w:vAlign w:val="center"/>
                </w:tcPr>
                <w:p w14:paraId="77D4221F">
                  <w:pPr>
                    <w:pStyle w:val="477"/>
                    <w:spacing w:after="0"/>
                    <w:rPr>
                      <w:color w:val="auto"/>
                      <w:szCs w:val="21"/>
                    </w:rPr>
                  </w:pPr>
                  <w:r>
                    <w:rPr>
                      <w:rFonts w:hint="eastAsia"/>
                      <w:color w:val="auto"/>
                      <w:szCs w:val="21"/>
                    </w:rPr>
                    <w:t>40</w:t>
                  </w:r>
                </w:p>
              </w:tc>
              <w:tc>
                <w:tcPr>
                  <w:tcW w:w="153" w:type="pct"/>
                  <w:vAlign w:val="center"/>
                </w:tcPr>
                <w:p w14:paraId="2CE392C5">
                  <w:pPr>
                    <w:jc w:val="center"/>
                    <w:rPr>
                      <w:color w:val="auto"/>
                      <w:szCs w:val="21"/>
                    </w:rPr>
                  </w:pPr>
                  <w:r>
                    <w:rPr>
                      <w:rFonts w:hint="eastAsia"/>
                      <w:color w:val="auto"/>
                      <w:szCs w:val="21"/>
                    </w:rPr>
                    <w:t>1.5</w:t>
                  </w:r>
                </w:p>
              </w:tc>
              <w:tc>
                <w:tcPr>
                  <w:tcW w:w="354" w:type="pct"/>
                  <w:vAlign w:val="center"/>
                </w:tcPr>
                <w:p w14:paraId="74A15521">
                  <w:pPr>
                    <w:pStyle w:val="477"/>
                    <w:spacing w:after="0"/>
                    <w:rPr>
                      <w:color w:val="auto"/>
                      <w:szCs w:val="21"/>
                    </w:rPr>
                  </w:pPr>
                  <w:r>
                    <w:rPr>
                      <w:rFonts w:hint="eastAsia"/>
                      <w:color w:val="auto"/>
                      <w:szCs w:val="21"/>
                    </w:rPr>
                    <w:t>35</w:t>
                  </w:r>
                </w:p>
              </w:tc>
              <w:tc>
                <w:tcPr>
                  <w:tcW w:w="415" w:type="pct"/>
                  <w:vAlign w:val="center"/>
                </w:tcPr>
                <w:p w14:paraId="0EE9B9EC">
                  <w:pPr>
                    <w:jc w:val="center"/>
                    <w:rPr>
                      <w:color w:val="auto"/>
                      <w:szCs w:val="21"/>
                    </w:rPr>
                  </w:pPr>
                  <w:r>
                    <w:rPr>
                      <w:rFonts w:hint="eastAsia"/>
                      <w:color w:val="auto"/>
                      <w:szCs w:val="21"/>
                    </w:rPr>
                    <w:t>56.7</w:t>
                  </w:r>
                </w:p>
              </w:tc>
              <w:tc>
                <w:tcPr>
                  <w:tcW w:w="184" w:type="pct"/>
                  <w:vAlign w:val="center"/>
                </w:tcPr>
                <w:p w14:paraId="6C9F1041">
                  <w:pPr>
                    <w:jc w:val="center"/>
                    <w:rPr>
                      <w:color w:val="auto"/>
                      <w:szCs w:val="21"/>
                    </w:rPr>
                  </w:pPr>
                  <w:r>
                    <w:rPr>
                      <w:rFonts w:hint="eastAsia"/>
                      <w:color w:val="auto"/>
                      <w:szCs w:val="21"/>
                    </w:rPr>
                    <w:t>昼</w:t>
                  </w:r>
                </w:p>
              </w:tc>
              <w:tc>
                <w:tcPr>
                  <w:tcW w:w="442" w:type="pct"/>
                  <w:vAlign w:val="center"/>
                </w:tcPr>
                <w:p w14:paraId="6C849AC1">
                  <w:pPr>
                    <w:jc w:val="center"/>
                    <w:rPr>
                      <w:color w:val="auto"/>
                      <w:szCs w:val="21"/>
                    </w:rPr>
                  </w:pPr>
                  <w:r>
                    <w:rPr>
                      <w:rFonts w:hint="eastAsia"/>
                      <w:color w:val="auto"/>
                      <w:szCs w:val="21"/>
                    </w:rPr>
                    <w:t>25</w:t>
                  </w:r>
                </w:p>
              </w:tc>
              <w:tc>
                <w:tcPr>
                  <w:tcW w:w="350" w:type="pct"/>
                  <w:vAlign w:val="center"/>
                </w:tcPr>
                <w:p w14:paraId="09D34A2C">
                  <w:pPr>
                    <w:jc w:val="center"/>
                    <w:rPr>
                      <w:color w:val="auto"/>
                      <w:szCs w:val="21"/>
                    </w:rPr>
                  </w:pPr>
                  <w:r>
                    <w:rPr>
                      <w:rFonts w:hint="eastAsia"/>
                      <w:color w:val="auto"/>
                      <w:szCs w:val="21"/>
                    </w:rPr>
                    <w:t>34.1</w:t>
                  </w:r>
                </w:p>
              </w:tc>
              <w:tc>
                <w:tcPr>
                  <w:tcW w:w="247" w:type="pct"/>
                  <w:vAlign w:val="center"/>
                </w:tcPr>
                <w:p w14:paraId="6387F88F">
                  <w:pPr>
                    <w:pStyle w:val="477"/>
                    <w:spacing w:after="0"/>
                    <w:rPr>
                      <w:color w:val="auto"/>
                      <w:szCs w:val="21"/>
                    </w:rPr>
                  </w:pPr>
                  <w:r>
                    <w:rPr>
                      <w:color w:val="auto"/>
                      <w:szCs w:val="21"/>
                    </w:rPr>
                    <w:t>1</w:t>
                  </w:r>
                </w:p>
              </w:tc>
            </w:tr>
            <w:tr w14:paraId="2EFD3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3C613431">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3</w:t>
                  </w:r>
                </w:p>
              </w:tc>
              <w:tc>
                <w:tcPr>
                  <w:tcW w:w="217" w:type="pct"/>
                  <w:vMerge w:val="continue"/>
                  <w:vAlign w:val="center"/>
                </w:tcPr>
                <w:p w14:paraId="4E66655F">
                  <w:pPr>
                    <w:adjustRightInd w:val="0"/>
                    <w:snapToGrid w:val="0"/>
                    <w:jc w:val="center"/>
                    <w:rPr>
                      <w:color w:val="auto"/>
                      <w:szCs w:val="21"/>
                    </w:rPr>
                  </w:pPr>
                </w:p>
              </w:tc>
              <w:tc>
                <w:tcPr>
                  <w:tcW w:w="433" w:type="pct"/>
                  <w:shd w:val="clear" w:color="auto" w:fill="auto"/>
                  <w:vAlign w:val="center"/>
                </w:tcPr>
                <w:p w14:paraId="37F03D78">
                  <w:pPr>
                    <w:widowControl/>
                    <w:jc w:val="center"/>
                    <w:textAlignment w:val="center"/>
                    <w:rPr>
                      <w:color w:val="auto"/>
                      <w:kern w:val="0"/>
                      <w:szCs w:val="21"/>
                    </w:rPr>
                  </w:pPr>
                  <w:r>
                    <w:rPr>
                      <w:color w:val="auto"/>
                      <w:kern w:val="0"/>
                      <w:szCs w:val="21"/>
                      <w:lang w:bidi="ar"/>
                    </w:rPr>
                    <w:t>火焰抛光机</w:t>
                  </w:r>
                </w:p>
              </w:tc>
              <w:tc>
                <w:tcPr>
                  <w:tcW w:w="135" w:type="pct"/>
                  <w:shd w:val="clear" w:color="auto" w:fill="auto"/>
                  <w:vAlign w:val="center"/>
                </w:tcPr>
                <w:p w14:paraId="6184BB0C">
                  <w:pPr>
                    <w:widowControl/>
                    <w:jc w:val="center"/>
                    <w:textAlignment w:val="center"/>
                    <w:rPr>
                      <w:color w:val="auto"/>
                      <w:kern w:val="0"/>
                      <w:szCs w:val="21"/>
                    </w:rPr>
                  </w:pPr>
                  <w:r>
                    <w:rPr>
                      <w:color w:val="auto"/>
                      <w:kern w:val="0"/>
                      <w:szCs w:val="21"/>
                      <w:lang w:bidi="ar"/>
                    </w:rPr>
                    <w:t>2</w:t>
                  </w:r>
                </w:p>
              </w:tc>
              <w:tc>
                <w:tcPr>
                  <w:tcW w:w="1013" w:type="pct"/>
                  <w:shd w:val="clear" w:color="auto" w:fill="auto"/>
                  <w:vAlign w:val="center"/>
                </w:tcPr>
                <w:p w14:paraId="02CC8575">
                  <w:pPr>
                    <w:jc w:val="center"/>
                    <w:rPr>
                      <w:color w:val="auto"/>
                      <w:kern w:val="0"/>
                      <w:szCs w:val="21"/>
                    </w:rPr>
                  </w:pPr>
                  <w:r>
                    <w:rPr>
                      <w:color w:val="auto"/>
                      <w:kern w:val="0"/>
                      <w:szCs w:val="21"/>
                    </w:rPr>
                    <w:t>I-2008 120AC</w:t>
                  </w:r>
                </w:p>
              </w:tc>
              <w:tc>
                <w:tcPr>
                  <w:tcW w:w="377" w:type="pct"/>
                  <w:vAlign w:val="center"/>
                </w:tcPr>
                <w:p w14:paraId="4E8E5EB0">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347A4423">
                  <w:pPr>
                    <w:pStyle w:val="477"/>
                    <w:spacing w:after="0"/>
                    <w:rPr>
                      <w:color w:val="auto"/>
                      <w:szCs w:val="21"/>
                    </w:rPr>
                  </w:pPr>
                </w:p>
              </w:tc>
              <w:tc>
                <w:tcPr>
                  <w:tcW w:w="154" w:type="pct"/>
                  <w:vAlign w:val="center"/>
                </w:tcPr>
                <w:p w14:paraId="186C7CC1">
                  <w:pPr>
                    <w:pStyle w:val="477"/>
                    <w:spacing w:after="0"/>
                    <w:rPr>
                      <w:color w:val="auto"/>
                      <w:szCs w:val="21"/>
                    </w:rPr>
                  </w:pPr>
                  <w:r>
                    <w:rPr>
                      <w:rFonts w:hint="eastAsia"/>
                      <w:color w:val="auto"/>
                      <w:szCs w:val="21"/>
                    </w:rPr>
                    <w:t>40</w:t>
                  </w:r>
                </w:p>
              </w:tc>
              <w:tc>
                <w:tcPr>
                  <w:tcW w:w="154" w:type="pct"/>
                  <w:vAlign w:val="center"/>
                </w:tcPr>
                <w:p w14:paraId="76354F95">
                  <w:pPr>
                    <w:pStyle w:val="477"/>
                    <w:spacing w:after="0"/>
                    <w:rPr>
                      <w:color w:val="auto"/>
                      <w:szCs w:val="21"/>
                    </w:rPr>
                  </w:pPr>
                  <w:r>
                    <w:rPr>
                      <w:rFonts w:hint="eastAsia"/>
                      <w:color w:val="auto"/>
                      <w:szCs w:val="21"/>
                    </w:rPr>
                    <w:t>60</w:t>
                  </w:r>
                </w:p>
              </w:tc>
              <w:tc>
                <w:tcPr>
                  <w:tcW w:w="153" w:type="pct"/>
                  <w:vAlign w:val="center"/>
                </w:tcPr>
                <w:p w14:paraId="7EC3D6AC">
                  <w:pPr>
                    <w:jc w:val="center"/>
                    <w:rPr>
                      <w:color w:val="auto"/>
                      <w:szCs w:val="21"/>
                    </w:rPr>
                  </w:pPr>
                  <w:r>
                    <w:rPr>
                      <w:rFonts w:hint="eastAsia"/>
                      <w:color w:val="auto"/>
                      <w:szCs w:val="21"/>
                    </w:rPr>
                    <w:t>1.5</w:t>
                  </w:r>
                </w:p>
              </w:tc>
              <w:tc>
                <w:tcPr>
                  <w:tcW w:w="354" w:type="pct"/>
                  <w:vAlign w:val="center"/>
                </w:tcPr>
                <w:p w14:paraId="569CD785">
                  <w:pPr>
                    <w:pStyle w:val="477"/>
                    <w:spacing w:after="0"/>
                    <w:rPr>
                      <w:color w:val="auto"/>
                      <w:szCs w:val="21"/>
                    </w:rPr>
                  </w:pPr>
                  <w:r>
                    <w:rPr>
                      <w:rFonts w:hint="eastAsia"/>
                      <w:color w:val="auto"/>
                      <w:szCs w:val="21"/>
                    </w:rPr>
                    <w:t>35</w:t>
                  </w:r>
                </w:p>
              </w:tc>
              <w:tc>
                <w:tcPr>
                  <w:tcW w:w="415" w:type="pct"/>
                  <w:vAlign w:val="center"/>
                </w:tcPr>
                <w:p w14:paraId="014C13E4">
                  <w:pPr>
                    <w:jc w:val="center"/>
                    <w:rPr>
                      <w:color w:val="auto"/>
                      <w:szCs w:val="21"/>
                    </w:rPr>
                  </w:pPr>
                  <w:r>
                    <w:rPr>
                      <w:rFonts w:hint="eastAsia"/>
                      <w:color w:val="auto"/>
                      <w:szCs w:val="21"/>
                    </w:rPr>
                    <w:t>55.1</w:t>
                  </w:r>
                </w:p>
              </w:tc>
              <w:tc>
                <w:tcPr>
                  <w:tcW w:w="184" w:type="pct"/>
                  <w:vAlign w:val="center"/>
                </w:tcPr>
                <w:p w14:paraId="40AE3BE4">
                  <w:pPr>
                    <w:jc w:val="center"/>
                    <w:rPr>
                      <w:color w:val="auto"/>
                      <w:szCs w:val="21"/>
                    </w:rPr>
                  </w:pPr>
                  <w:r>
                    <w:rPr>
                      <w:color w:val="auto"/>
                      <w:szCs w:val="21"/>
                    </w:rPr>
                    <w:t>昼</w:t>
                  </w:r>
                </w:p>
              </w:tc>
              <w:tc>
                <w:tcPr>
                  <w:tcW w:w="442" w:type="pct"/>
                  <w:vAlign w:val="center"/>
                </w:tcPr>
                <w:p w14:paraId="3A11C303">
                  <w:pPr>
                    <w:jc w:val="center"/>
                    <w:rPr>
                      <w:color w:val="auto"/>
                      <w:szCs w:val="21"/>
                    </w:rPr>
                  </w:pPr>
                  <w:r>
                    <w:rPr>
                      <w:rFonts w:hint="eastAsia"/>
                      <w:color w:val="auto"/>
                      <w:szCs w:val="21"/>
                    </w:rPr>
                    <w:t>25</w:t>
                  </w:r>
                </w:p>
              </w:tc>
              <w:tc>
                <w:tcPr>
                  <w:tcW w:w="350" w:type="pct"/>
                  <w:vAlign w:val="center"/>
                </w:tcPr>
                <w:p w14:paraId="25040D50">
                  <w:pPr>
                    <w:jc w:val="center"/>
                    <w:rPr>
                      <w:color w:val="auto"/>
                      <w:szCs w:val="21"/>
                    </w:rPr>
                  </w:pPr>
                  <w:r>
                    <w:rPr>
                      <w:rFonts w:hint="eastAsia"/>
                      <w:color w:val="auto"/>
                      <w:szCs w:val="21"/>
                    </w:rPr>
                    <w:t>39.5</w:t>
                  </w:r>
                </w:p>
              </w:tc>
              <w:tc>
                <w:tcPr>
                  <w:tcW w:w="247" w:type="pct"/>
                  <w:vAlign w:val="center"/>
                </w:tcPr>
                <w:p w14:paraId="58D1A76F">
                  <w:pPr>
                    <w:pStyle w:val="477"/>
                    <w:spacing w:after="0"/>
                    <w:rPr>
                      <w:color w:val="auto"/>
                      <w:szCs w:val="21"/>
                    </w:rPr>
                  </w:pPr>
                  <w:r>
                    <w:rPr>
                      <w:color w:val="auto"/>
                      <w:szCs w:val="21"/>
                    </w:rPr>
                    <w:t>1</w:t>
                  </w:r>
                </w:p>
              </w:tc>
            </w:tr>
            <w:tr w14:paraId="5FC89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734FE03B">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4</w:t>
                  </w:r>
                </w:p>
              </w:tc>
              <w:tc>
                <w:tcPr>
                  <w:tcW w:w="217" w:type="pct"/>
                  <w:vMerge w:val="continue"/>
                  <w:vAlign w:val="center"/>
                </w:tcPr>
                <w:p w14:paraId="2343A0EB">
                  <w:pPr>
                    <w:adjustRightInd w:val="0"/>
                    <w:snapToGrid w:val="0"/>
                    <w:jc w:val="center"/>
                    <w:rPr>
                      <w:color w:val="auto"/>
                      <w:szCs w:val="21"/>
                    </w:rPr>
                  </w:pPr>
                </w:p>
              </w:tc>
              <w:tc>
                <w:tcPr>
                  <w:tcW w:w="433" w:type="pct"/>
                  <w:shd w:val="clear" w:color="auto" w:fill="auto"/>
                  <w:vAlign w:val="center"/>
                </w:tcPr>
                <w:p w14:paraId="7801847E">
                  <w:pPr>
                    <w:widowControl/>
                    <w:jc w:val="center"/>
                    <w:textAlignment w:val="center"/>
                    <w:rPr>
                      <w:color w:val="auto"/>
                      <w:kern w:val="0"/>
                      <w:szCs w:val="21"/>
                    </w:rPr>
                  </w:pPr>
                  <w:r>
                    <w:rPr>
                      <w:color w:val="auto"/>
                      <w:kern w:val="0"/>
                      <w:szCs w:val="21"/>
                      <w:lang w:bidi="ar"/>
                    </w:rPr>
                    <w:t>快速下料机</w:t>
                  </w:r>
                </w:p>
              </w:tc>
              <w:tc>
                <w:tcPr>
                  <w:tcW w:w="135" w:type="pct"/>
                  <w:shd w:val="clear" w:color="auto" w:fill="auto"/>
                  <w:vAlign w:val="center"/>
                </w:tcPr>
                <w:p w14:paraId="08C1F173">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566B05F3">
                  <w:pPr>
                    <w:widowControl/>
                    <w:jc w:val="center"/>
                    <w:textAlignment w:val="center"/>
                    <w:rPr>
                      <w:color w:val="auto"/>
                      <w:kern w:val="0"/>
                      <w:szCs w:val="21"/>
                    </w:rPr>
                  </w:pPr>
                  <w:r>
                    <w:rPr>
                      <w:rFonts w:hint="eastAsia"/>
                      <w:color w:val="auto"/>
                      <w:kern w:val="0"/>
                      <w:szCs w:val="21"/>
                    </w:rPr>
                    <w:t>/</w:t>
                  </w:r>
                </w:p>
              </w:tc>
              <w:tc>
                <w:tcPr>
                  <w:tcW w:w="377" w:type="pct"/>
                  <w:vAlign w:val="center"/>
                </w:tcPr>
                <w:p w14:paraId="11D23AA7">
                  <w:pPr>
                    <w:adjustRightInd w:val="0"/>
                    <w:snapToGrid w:val="0"/>
                    <w:jc w:val="center"/>
                    <w:rPr>
                      <w:color w:val="auto"/>
                      <w:szCs w:val="21"/>
                    </w:rPr>
                  </w:pPr>
                  <w:r>
                    <w:rPr>
                      <w:color w:val="auto"/>
                      <w:szCs w:val="21"/>
                    </w:rPr>
                    <w:t>85</w:t>
                  </w:r>
                </w:p>
              </w:tc>
              <w:tc>
                <w:tcPr>
                  <w:tcW w:w="246" w:type="pct"/>
                  <w:vMerge w:val="continue"/>
                  <w:vAlign w:val="center"/>
                </w:tcPr>
                <w:p w14:paraId="08D8E532">
                  <w:pPr>
                    <w:pStyle w:val="477"/>
                    <w:spacing w:after="0"/>
                    <w:rPr>
                      <w:color w:val="auto"/>
                      <w:szCs w:val="21"/>
                    </w:rPr>
                  </w:pPr>
                </w:p>
              </w:tc>
              <w:tc>
                <w:tcPr>
                  <w:tcW w:w="154" w:type="pct"/>
                  <w:vAlign w:val="center"/>
                </w:tcPr>
                <w:p w14:paraId="2D0A9A93">
                  <w:pPr>
                    <w:pStyle w:val="477"/>
                    <w:spacing w:after="0"/>
                    <w:rPr>
                      <w:color w:val="auto"/>
                      <w:szCs w:val="21"/>
                    </w:rPr>
                  </w:pPr>
                  <w:r>
                    <w:rPr>
                      <w:rFonts w:hint="eastAsia"/>
                      <w:color w:val="auto"/>
                      <w:szCs w:val="21"/>
                    </w:rPr>
                    <w:t>35</w:t>
                  </w:r>
                </w:p>
              </w:tc>
              <w:tc>
                <w:tcPr>
                  <w:tcW w:w="154" w:type="pct"/>
                  <w:vAlign w:val="center"/>
                </w:tcPr>
                <w:p w14:paraId="3E0470C9">
                  <w:pPr>
                    <w:pStyle w:val="477"/>
                    <w:spacing w:after="0"/>
                    <w:rPr>
                      <w:color w:val="auto"/>
                      <w:szCs w:val="21"/>
                    </w:rPr>
                  </w:pPr>
                  <w:r>
                    <w:rPr>
                      <w:rFonts w:hint="eastAsia"/>
                      <w:color w:val="auto"/>
                      <w:szCs w:val="21"/>
                    </w:rPr>
                    <w:t>25</w:t>
                  </w:r>
                </w:p>
              </w:tc>
              <w:tc>
                <w:tcPr>
                  <w:tcW w:w="153" w:type="pct"/>
                  <w:vAlign w:val="center"/>
                </w:tcPr>
                <w:p w14:paraId="03AB84B8">
                  <w:pPr>
                    <w:jc w:val="center"/>
                    <w:rPr>
                      <w:color w:val="auto"/>
                      <w:szCs w:val="21"/>
                    </w:rPr>
                  </w:pPr>
                  <w:r>
                    <w:rPr>
                      <w:rFonts w:hint="eastAsia"/>
                      <w:color w:val="auto"/>
                      <w:szCs w:val="21"/>
                    </w:rPr>
                    <w:t>1.5</w:t>
                  </w:r>
                </w:p>
              </w:tc>
              <w:tc>
                <w:tcPr>
                  <w:tcW w:w="354" w:type="pct"/>
                  <w:vAlign w:val="center"/>
                </w:tcPr>
                <w:p w14:paraId="5A03B544">
                  <w:pPr>
                    <w:pStyle w:val="477"/>
                    <w:spacing w:after="0"/>
                    <w:rPr>
                      <w:color w:val="auto"/>
                      <w:szCs w:val="21"/>
                    </w:rPr>
                  </w:pPr>
                  <w:r>
                    <w:rPr>
                      <w:rFonts w:hint="eastAsia"/>
                      <w:color w:val="auto"/>
                      <w:szCs w:val="21"/>
                    </w:rPr>
                    <w:t>25</w:t>
                  </w:r>
                </w:p>
              </w:tc>
              <w:tc>
                <w:tcPr>
                  <w:tcW w:w="415" w:type="pct"/>
                  <w:vAlign w:val="center"/>
                </w:tcPr>
                <w:p w14:paraId="6C829EE5">
                  <w:pPr>
                    <w:jc w:val="center"/>
                    <w:rPr>
                      <w:color w:val="auto"/>
                      <w:szCs w:val="21"/>
                    </w:rPr>
                  </w:pPr>
                  <w:r>
                    <w:rPr>
                      <w:rFonts w:hint="eastAsia"/>
                      <w:color w:val="auto"/>
                      <w:szCs w:val="21"/>
                    </w:rPr>
                    <w:t>61.3</w:t>
                  </w:r>
                </w:p>
              </w:tc>
              <w:tc>
                <w:tcPr>
                  <w:tcW w:w="184" w:type="pct"/>
                  <w:vAlign w:val="center"/>
                </w:tcPr>
                <w:p w14:paraId="09530E94">
                  <w:pPr>
                    <w:jc w:val="center"/>
                    <w:rPr>
                      <w:color w:val="auto"/>
                      <w:szCs w:val="21"/>
                    </w:rPr>
                  </w:pPr>
                  <w:r>
                    <w:rPr>
                      <w:color w:val="auto"/>
                      <w:szCs w:val="21"/>
                    </w:rPr>
                    <w:t>昼</w:t>
                  </w:r>
                </w:p>
              </w:tc>
              <w:tc>
                <w:tcPr>
                  <w:tcW w:w="442" w:type="pct"/>
                  <w:vAlign w:val="center"/>
                </w:tcPr>
                <w:p w14:paraId="5CBA24D9">
                  <w:pPr>
                    <w:jc w:val="center"/>
                    <w:rPr>
                      <w:color w:val="auto"/>
                      <w:szCs w:val="21"/>
                    </w:rPr>
                  </w:pPr>
                  <w:r>
                    <w:rPr>
                      <w:rFonts w:hint="eastAsia"/>
                      <w:color w:val="auto"/>
                      <w:szCs w:val="21"/>
                    </w:rPr>
                    <w:t>25</w:t>
                  </w:r>
                </w:p>
              </w:tc>
              <w:tc>
                <w:tcPr>
                  <w:tcW w:w="350" w:type="pct"/>
                  <w:vAlign w:val="center"/>
                </w:tcPr>
                <w:p w14:paraId="17FB45F3">
                  <w:pPr>
                    <w:jc w:val="center"/>
                    <w:rPr>
                      <w:color w:val="auto"/>
                      <w:szCs w:val="21"/>
                    </w:rPr>
                  </w:pPr>
                  <w:r>
                    <w:rPr>
                      <w:rFonts w:hint="eastAsia"/>
                      <w:color w:val="auto"/>
                      <w:szCs w:val="21"/>
                    </w:rPr>
                    <w:t>41.9</w:t>
                  </w:r>
                </w:p>
              </w:tc>
              <w:tc>
                <w:tcPr>
                  <w:tcW w:w="247" w:type="pct"/>
                  <w:vAlign w:val="center"/>
                </w:tcPr>
                <w:p w14:paraId="70AA8D9D">
                  <w:pPr>
                    <w:pStyle w:val="477"/>
                    <w:spacing w:after="0"/>
                    <w:rPr>
                      <w:color w:val="auto"/>
                      <w:szCs w:val="21"/>
                    </w:rPr>
                  </w:pPr>
                  <w:r>
                    <w:rPr>
                      <w:color w:val="auto"/>
                      <w:szCs w:val="21"/>
                    </w:rPr>
                    <w:t>1</w:t>
                  </w:r>
                </w:p>
              </w:tc>
            </w:tr>
            <w:tr w14:paraId="429F7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6B933AEA">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4</w:t>
                  </w:r>
                  <w:r>
                    <w:rPr>
                      <w:rFonts w:hint="eastAsia"/>
                      <w:color w:val="auto"/>
                      <w:kern w:val="0"/>
                      <w:szCs w:val="21"/>
                      <w:lang w:bidi="ar"/>
                    </w:rPr>
                    <w:t>5</w:t>
                  </w:r>
                </w:p>
              </w:tc>
              <w:tc>
                <w:tcPr>
                  <w:tcW w:w="217" w:type="pct"/>
                  <w:vMerge w:val="continue"/>
                  <w:vAlign w:val="center"/>
                </w:tcPr>
                <w:p w14:paraId="1E32AC05">
                  <w:pPr>
                    <w:adjustRightInd w:val="0"/>
                    <w:snapToGrid w:val="0"/>
                    <w:jc w:val="center"/>
                    <w:rPr>
                      <w:color w:val="auto"/>
                      <w:szCs w:val="21"/>
                    </w:rPr>
                  </w:pPr>
                </w:p>
              </w:tc>
              <w:tc>
                <w:tcPr>
                  <w:tcW w:w="433" w:type="pct"/>
                  <w:shd w:val="clear" w:color="auto" w:fill="auto"/>
                  <w:vAlign w:val="center"/>
                </w:tcPr>
                <w:p w14:paraId="1CB8548B">
                  <w:pPr>
                    <w:widowControl/>
                    <w:jc w:val="center"/>
                    <w:textAlignment w:val="center"/>
                    <w:rPr>
                      <w:color w:val="auto"/>
                      <w:kern w:val="0"/>
                      <w:szCs w:val="21"/>
                    </w:rPr>
                  </w:pPr>
                  <w:r>
                    <w:rPr>
                      <w:color w:val="auto"/>
                      <w:kern w:val="0"/>
                      <w:szCs w:val="21"/>
                      <w:lang w:bidi="ar"/>
                    </w:rPr>
                    <w:t>激光打标机</w:t>
                  </w:r>
                </w:p>
              </w:tc>
              <w:tc>
                <w:tcPr>
                  <w:tcW w:w="135" w:type="pct"/>
                  <w:shd w:val="clear" w:color="auto" w:fill="auto"/>
                  <w:vAlign w:val="center"/>
                </w:tcPr>
                <w:p w14:paraId="64AC00CA">
                  <w:pPr>
                    <w:widowControl/>
                    <w:jc w:val="center"/>
                    <w:textAlignment w:val="center"/>
                    <w:rPr>
                      <w:color w:val="auto"/>
                      <w:kern w:val="0"/>
                      <w:szCs w:val="21"/>
                    </w:rPr>
                  </w:pPr>
                  <w:r>
                    <w:rPr>
                      <w:color w:val="auto"/>
                      <w:kern w:val="0"/>
                      <w:szCs w:val="21"/>
                      <w:lang w:bidi="ar"/>
                    </w:rPr>
                    <w:t>2</w:t>
                  </w:r>
                </w:p>
              </w:tc>
              <w:tc>
                <w:tcPr>
                  <w:tcW w:w="1013" w:type="pct"/>
                  <w:shd w:val="clear" w:color="auto" w:fill="auto"/>
                  <w:vAlign w:val="center"/>
                </w:tcPr>
                <w:p w14:paraId="10FBA106">
                  <w:pPr>
                    <w:jc w:val="center"/>
                    <w:rPr>
                      <w:color w:val="auto"/>
                      <w:kern w:val="0"/>
                      <w:szCs w:val="21"/>
                    </w:rPr>
                  </w:pPr>
                  <w:r>
                    <w:rPr>
                      <w:color w:val="auto"/>
                      <w:kern w:val="0"/>
                      <w:szCs w:val="21"/>
                    </w:rPr>
                    <w:t>YLP-30-P20-600</w:t>
                  </w:r>
                </w:p>
              </w:tc>
              <w:tc>
                <w:tcPr>
                  <w:tcW w:w="377" w:type="pct"/>
                  <w:vAlign w:val="center"/>
                </w:tcPr>
                <w:p w14:paraId="3DAEB697">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2DF41C4C">
                  <w:pPr>
                    <w:pStyle w:val="477"/>
                    <w:spacing w:after="0"/>
                    <w:rPr>
                      <w:color w:val="auto"/>
                      <w:szCs w:val="21"/>
                    </w:rPr>
                  </w:pPr>
                </w:p>
              </w:tc>
              <w:tc>
                <w:tcPr>
                  <w:tcW w:w="154" w:type="pct"/>
                  <w:vAlign w:val="center"/>
                </w:tcPr>
                <w:p w14:paraId="7EAF66D8">
                  <w:pPr>
                    <w:pStyle w:val="477"/>
                    <w:spacing w:after="0"/>
                    <w:rPr>
                      <w:color w:val="auto"/>
                      <w:szCs w:val="21"/>
                    </w:rPr>
                  </w:pPr>
                  <w:r>
                    <w:rPr>
                      <w:rFonts w:hint="eastAsia"/>
                      <w:color w:val="auto"/>
                      <w:szCs w:val="21"/>
                    </w:rPr>
                    <w:t>30</w:t>
                  </w:r>
                </w:p>
              </w:tc>
              <w:tc>
                <w:tcPr>
                  <w:tcW w:w="154" w:type="pct"/>
                  <w:vAlign w:val="center"/>
                </w:tcPr>
                <w:p w14:paraId="48082D8E">
                  <w:pPr>
                    <w:pStyle w:val="477"/>
                    <w:spacing w:after="0"/>
                    <w:rPr>
                      <w:color w:val="auto"/>
                      <w:szCs w:val="21"/>
                    </w:rPr>
                  </w:pPr>
                  <w:r>
                    <w:rPr>
                      <w:rFonts w:hint="eastAsia"/>
                      <w:color w:val="auto"/>
                      <w:szCs w:val="21"/>
                    </w:rPr>
                    <w:t>30</w:t>
                  </w:r>
                </w:p>
              </w:tc>
              <w:tc>
                <w:tcPr>
                  <w:tcW w:w="153" w:type="pct"/>
                  <w:vAlign w:val="center"/>
                </w:tcPr>
                <w:p w14:paraId="2BB323C0">
                  <w:pPr>
                    <w:jc w:val="center"/>
                    <w:rPr>
                      <w:color w:val="auto"/>
                      <w:szCs w:val="21"/>
                    </w:rPr>
                  </w:pPr>
                  <w:r>
                    <w:rPr>
                      <w:rFonts w:hint="eastAsia"/>
                      <w:color w:val="auto"/>
                      <w:szCs w:val="21"/>
                    </w:rPr>
                    <w:t>1.5</w:t>
                  </w:r>
                </w:p>
              </w:tc>
              <w:tc>
                <w:tcPr>
                  <w:tcW w:w="354" w:type="pct"/>
                  <w:vAlign w:val="center"/>
                </w:tcPr>
                <w:p w14:paraId="719E77B5">
                  <w:pPr>
                    <w:pStyle w:val="477"/>
                    <w:spacing w:after="0"/>
                    <w:rPr>
                      <w:color w:val="auto"/>
                      <w:szCs w:val="21"/>
                    </w:rPr>
                  </w:pPr>
                  <w:r>
                    <w:rPr>
                      <w:rFonts w:hint="eastAsia"/>
                      <w:color w:val="auto"/>
                      <w:szCs w:val="21"/>
                    </w:rPr>
                    <w:t>30</w:t>
                  </w:r>
                </w:p>
              </w:tc>
              <w:tc>
                <w:tcPr>
                  <w:tcW w:w="415" w:type="pct"/>
                  <w:vAlign w:val="center"/>
                </w:tcPr>
                <w:p w14:paraId="7DBE30B0">
                  <w:pPr>
                    <w:jc w:val="center"/>
                    <w:rPr>
                      <w:color w:val="auto"/>
                      <w:szCs w:val="21"/>
                    </w:rPr>
                  </w:pPr>
                  <w:r>
                    <w:rPr>
                      <w:rFonts w:hint="eastAsia"/>
                      <w:color w:val="auto"/>
                      <w:szCs w:val="21"/>
                    </w:rPr>
                    <w:t>41.9</w:t>
                  </w:r>
                </w:p>
              </w:tc>
              <w:tc>
                <w:tcPr>
                  <w:tcW w:w="184" w:type="pct"/>
                  <w:vAlign w:val="center"/>
                </w:tcPr>
                <w:p w14:paraId="0E321EAA">
                  <w:pPr>
                    <w:jc w:val="center"/>
                    <w:rPr>
                      <w:color w:val="auto"/>
                      <w:szCs w:val="21"/>
                    </w:rPr>
                  </w:pPr>
                  <w:r>
                    <w:rPr>
                      <w:rFonts w:hint="eastAsia"/>
                      <w:color w:val="auto"/>
                      <w:szCs w:val="21"/>
                    </w:rPr>
                    <w:t>昼</w:t>
                  </w:r>
                </w:p>
              </w:tc>
              <w:tc>
                <w:tcPr>
                  <w:tcW w:w="442" w:type="pct"/>
                  <w:vAlign w:val="center"/>
                </w:tcPr>
                <w:p w14:paraId="14B338C9">
                  <w:pPr>
                    <w:jc w:val="center"/>
                    <w:rPr>
                      <w:color w:val="auto"/>
                      <w:szCs w:val="21"/>
                    </w:rPr>
                  </w:pPr>
                  <w:r>
                    <w:rPr>
                      <w:rFonts w:hint="eastAsia"/>
                      <w:color w:val="auto"/>
                      <w:szCs w:val="21"/>
                    </w:rPr>
                    <w:t>25</w:t>
                  </w:r>
                </w:p>
              </w:tc>
              <w:tc>
                <w:tcPr>
                  <w:tcW w:w="350" w:type="pct"/>
                  <w:vAlign w:val="center"/>
                </w:tcPr>
                <w:p w14:paraId="60D6B3A6">
                  <w:pPr>
                    <w:jc w:val="center"/>
                    <w:rPr>
                      <w:color w:val="auto"/>
                      <w:szCs w:val="21"/>
                    </w:rPr>
                  </w:pPr>
                  <w:r>
                    <w:rPr>
                      <w:rFonts w:hint="eastAsia"/>
                      <w:color w:val="auto"/>
                      <w:szCs w:val="21"/>
                    </w:rPr>
                    <w:t>32.4</w:t>
                  </w:r>
                </w:p>
              </w:tc>
              <w:tc>
                <w:tcPr>
                  <w:tcW w:w="247" w:type="pct"/>
                  <w:vAlign w:val="center"/>
                </w:tcPr>
                <w:p w14:paraId="4BEEDA36">
                  <w:pPr>
                    <w:pStyle w:val="477"/>
                    <w:spacing w:after="0"/>
                    <w:rPr>
                      <w:color w:val="auto"/>
                      <w:szCs w:val="21"/>
                    </w:rPr>
                  </w:pPr>
                  <w:r>
                    <w:rPr>
                      <w:color w:val="auto"/>
                      <w:szCs w:val="21"/>
                    </w:rPr>
                    <w:t>1</w:t>
                  </w:r>
                </w:p>
              </w:tc>
            </w:tr>
            <w:tr w14:paraId="6E94F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159D6087">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46</w:t>
                  </w:r>
                </w:p>
              </w:tc>
              <w:tc>
                <w:tcPr>
                  <w:tcW w:w="217" w:type="pct"/>
                  <w:vMerge w:val="continue"/>
                  <w:vAlign w:val="center"/>
                </w:tcPr>
                <w:p w14:paraId="04DF448C">
                  <w:pPr>
                    <w:adjustRightInd w:val="0"/>
                    <w:snapToGrid w:val="0"/>
                    <w:jc w:val="center"/>
                    <w:rPr>
                      <w:color w:val="auto"/>
                      <w:szCs w:val="21"/>
                    </w:rPr>
                  </w:pPr>
                </w:p>
              </w:tc>
              <w:tc>
                <w:tcPr>
                  <w:tcW w:w="433" w:type="pct"/>
                  <w:shd w:val="clear" w:color="auto" w:fill="auto"/>
                  <w:vAlign w:val="center"/>
                </w:tcPr>
                <w:p w14:paraId="29682680">
                  <w:pPr>
                    <w:widowControl/>
                    <w:jc w:val="center"/>
                    <w:textAlignment w:val="center"/>
                    <w:rPr>
                      <w:color w:val="auto"/>
                      <w:kern w:val="0"/>
                      <w:szCs w:val="21"/>
                    </w:rPr>
                  </w:pPr>
                  <w:r>
                    <w:rPr>
                      <w:color w:val="auto"/>
                      <w:kern w:val="0"/>
                      <w:szCs w:val="21"/>
                      <w:lang w:bidi="ar"/>
                    </w:rPr>
                    <w:t>烫金机</w:t>
                  </w:r>
                </w:p>
              </w:tc>
              <w:tc>
                <w:tcPr>
                  <w:tcW w:w="135" w:type="pct"/>
                  <w:shd w:val="clear" w:color="auto" w:fill="auto"/>
                  <w:vAlign w:val="center"/>
                </w:tcPr>
                <w:p w14:paraId="20F48331">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3F86FBC6">
                  <w:pPr>
                    <w:jc w:val="center"/>
                    <w:rPr>
                      <w:color w:val="auto"/>
                      <w:kern w:val="0"/>
                      <w:szCs w:val="21"/>
                    </w:rPr>
                  </w:pPr>
                  <w:r>
                    <w:rPr>
                      <w:rFonts w:hint="eastAsia"/>
                      <w:color w:val="auto"/>
                      <w:kern w:val="0"/>
                      <w:szCs w:val="21"/>
                    </w:rPr>
                    <w:t>/</w:t>
                  </w:r>
                </w:p>
              </w:tc>
              <w:tc>
                <w:tcPr>
                  <w:tcW w:w="377" w:type="pct"/>
                  <w:vAlign w:val="center"/>
                </w:tcPr>
                <w:p w14:paraId="092F9BBE">
                  <w:pPr>
                    <w:adjustRightInd w:val="0"/>
                    <w:snapToGrid w:val="0"/>
                    <w:jc w:val="center"/>
                    <w:rPr>
                      <w:color w:val="auto"/>
                      <w:szCs w:val="21"/>
                    </w:rPr>
                  </w:pPr>
                  <w:r>
                    <w:rPr>
                      <w:color w:val="auto"/>
                      <w:szCs w:val="21"/>
                    </w:rPr>
                    <w:t>85</w:t>
                  </w:r>
                </w:p>
              </w:tc>
              <w:tc>
                <w:tcPr>
                  <w:tcW w:w="246" w:type="pct"/>
                  <w:vMerge w:val="continue"/>
                  <w:vAlign w:val="center"/>
                </w:tcPr>
                <w:p w14:paraId="2996AE63">
                  <w:pPr>
                    <w:pStyle w:val="477"/>
                    <w:spacing w:after="0"/>
                    <w:rPr>
                      <w:color w:val="auto"/>
                      <w:szCs w:val="21"/>
                    </w:rPr>
                  </w:pPr>
                </w:p>
              </w:tc>
              <w:tc>
                <w:tcPr>
                  <w:tcW w:w="154" w:type="pct"/>
                  <w:vAlign w:val="center"/>
                </w:tcPr>
                <w:p w14:paraId="1114DB4F">
                  <w:pPr>
                    <w:pStyle w:val="477"/>
                    <w:spacing w:after="0"/>
                    <w:rPr>
                      <w:color w:val="auto"/>
                      <w:szCs w:val="21"/>
                    </w:rPr>
                  </w:pPr>
                  <w:r>
                    <w:rPr>
                      <w:rFonts w:hint="eastAsia"/>
                      <w:color w:val="auto"/>
                      <w:szCs w:val="21"/>
                    </w:rPr>
                    <w:t>10</w:t>
                  </w:r>
                </w:p>
              </w:tc>
              <w:tc>
                <w:tcPr>
                  <w:tcW w:w="154" w:type="pct"/>
                  <w:vAlign w:val="center"/>
                </w:tcPr>
                <w:p w14:paraId="57ADF7FD">
                  <w:pPr>
                    <w:pStyle w:val="477"/>
                    <w:spacing w:after="0"/>
                    <w:rPr>
                      <w:color w:val="auto"/>
                      <w:szCs w:val="21"/>
                    </w:rPr>
                  </w:pPr>
                  <w:r>
                    <w:rPr>
                      <w:rFonts w:hint="eastAsia"/>
                      <w:color w:val="auto"/>
                      <w:szCs w:val="21"/>
                    </w:rPr>
                    <w:t>60</w:t>
                  </w:r>
                </w:p>
              </w:tc>
              <w:tc>
                <w:tcPr>
                  <w:tcW w:w="153" w:type="pct"/>
                  <w:vAlign w:val="center"/>
                </w:tcPr>
                <w:p w14:paraId="18C2532C">
                  <w:pPr>
                    <w:jc w:val="center"/>
                    <w:rPr>
                      <w:color w:val="auto"/>
                      <w:szCs w:val="21"/>
                    </w:rPr>
                  </w:pPr>
                  <w:r>
                    <w:rPr>
                      <w:rFonts w:hint="eastAsia"/>
                      <w:color w:val="auto"/>
                      <w:szCs w:val="21"/>
                    </w:rPr>
                    <w:t>1.5</w:t>
                  </w:r>
                </w:p>
              </w:tc>
              <w:tc>
                <w:tcPr>
                  <w:tcW w:w="354" w:type="pct"/>
                  <w:vAlign w:val="center"/>
                </w:tcPr>
                <w:p w14:paraId="41E1FF90">
                  <w:pPr>
                    <w:pStyle w:val="477"/>
                    <w:spacing w:after="0"/>
                    <w:rPr>
                      <w:color w:val="auto"/>
                      <w:szCs w:val="21"/>
                    </w:rPr>
                  </w:pPr>
                  <w:r>
                    <w:rPr>
                      <w:rFonts w:hint="eastAsia"/>
                      <w:color w:val="auto"/>
                      <w:szCs w:val="21"/>
                    </w:rPr>
                    <w:t>10</w:t>
                  </w:r>
                </w:p>
              </w:tc>
              <w:tc>
                <w:tcPr>
                  <w:tcW w:w="415" w:type="pct"/>
                  <w:vAlign w:val="center"/>
                </w:tcPr>
                <w:p w14:paraId="74A68969">
                  <w:pPr>
                    <w:jc w:val="center"/>
                    <w:rPr>
                      <w:color w:val="auto"/>
                      <w:szCs w:val="21"/>
                    </w:rPr>
                  </w:pPr>
                  <w:r>
                    <w:rPr>
                      <w:rFonts w:hint="eastAsia"/>
                      <w:color w:val="auto"/>
                      <w:szCs w:val="21"/>
                    </w:rPr>
                    <w:t>51</w:t>
                  </w:r>
                </w:p>
              </w:tc>
              <w:tc>
                <w:tcPr>
                  <w:tcW w:w="184" w:type="pct"/>
                  <w:vAlign w:val="center"/>
                </w:tcPr>
                <w:p w14:paraId="40E41A9F">
                  <w:pPr>
                    <w:jc w:val="center"/>
                    <w:rPr>
                      <w:color w:val="auto"/>
                      <w:szCs w:val="21"/>
                    </w:rPr>
                  </w:pPr>
                  <w:r>
                    <w:rPr>
                      <w:color w:val="auto"/>
                      <w:szCs w:val="21"/>
                    </w:rPr>
                    <w:t>昼</w:t>
                  </w:r>
                </w:p>
              </w:tc>
              <w:tc>
                <w:tcPr>
                  <w:tcW w:w="442" w:type="pct"/>
                  <w:vAlign w:val="center"/>
                </w:tcPr>
                <w:p w14:paraId="04DCEECE">
                  <w:pPr>
                    <w:jc w:val="center"/>
                    <w:rPr>
                      <w:color w:val="auto"/>
                      <w:szCs w:val="21"/>
                    </w:rPr>
                  </w:pPr>
                  <w:r>
                    <w:rPr>
                      <w:rFonts w:hint="eastAsia"/>
                      <w:color w:val="auto"/>
                      <w:szCs w:val="21"/>
                    </w:rPr>
                    <w:t>25</w:t>
                  </w:r>
                </w:p>
              </w:tc>
              <w:tc>
                <w:tcPr>
                  <w:tcW w:w="350" w:type="pct"/>
                  <w:vAlign w:val="center"/>
                </w:tcPr>
                <w:p w14:paraId="469EE318">
                  <w:pPr>
                    <w:jc w:val="center"/>
                    <w:rPr>
                      <w:color w:val="auto"/>
                      <w:szCs w:val="21"/>
                    </w:rPr>
                  </w:pPr>
                  <w:r>
                    <w:rPr>
                      <w:rFonts w:hint="eastAsia"/>
                      <w:color w:val="auto"/>
                      <w:szCs w:val="21"/>
                    </w:rPr>
                    <w:t>37.6</w:t>
                  </w:r>
                </w:p>
              </w:tc>
              <w:tc>
                <w:tcPr>
                  <w:tcW w:w="247" w:type="pct"/>
                  <w:vAlign w:val="center"/>
                </w:tcPr>
                <w:p w14:paraId="6836576C">
                  <w:pPr>
                    <w:pStyle w:val="477"/>
                    <w:spacing w:after="0"/>
                    <w:rPr>
                      <w:color w:val="auto"/>
                      <w:szCs w:val="21"/>
                    </w:rPr>
                  </w:pPr>
                  <w:r>
                    <w:rPr>
                      <w:color w:val="auto"/>
                      <w:szCs w:val="21"/>
                    </w:rPr>
                    <w:t>1</w:t>
                  </w:r>
                </w:p>
              </w:tc>
            </w:tr>
            <w:tr w14:paraId="3EAF8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739F48CA">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47</w:t>
                  </w:r>
                </w:p>
              </w:tc>
              <w:tc>
                <w:tcPr>
                  <w:tcW w:w="217" w:type="pct"/>
                  <w:vMerge w:val="continue"/>
                  <w:vAlign w:val="center"/>
                </w:tcPr>
                <w:p w14:paraId="3B979EE5">
                  <w:pPr>
                    <w:adjustRightInd w:val="0"/>
                    <w:snapToGrid w:val="0"/>
                    <w:jc w:val="center"/>
                    <w:rPr>
                      <w:color w:val="auto"/>
                      <w:szCs w:val="21"/>
                    </w:rPr>
                  </w:pPr>
                </w:p>
              </w:tc>
              <w:tc>
                <w:tcPr>
                  <w:tcW w:w="433" w:type="pct"/>
                  <w:shd w:val="clear" w:color="auto" w:fill="auto"/>
                  <w:vAlign w:val="center"/>
                </w:tcPr>
                <w:p w14:paraId="074D1032">
                  <w:pPr>
                    <w:widowControl/>
                    <w:jc w:val="center"/>
                    <w:textAlignment w:val="center"/>
                    <w:rPr>
                      <w:color w:val="auto"/>
                      <w:kern w:val="0"/>
                      <w:szCs w:val="21"/>
                    </w:rPr>
                  </w:pPr>
                  <w:r>
                    <w:rPr>
                      <w:color w:val="auto"/>
                      <w:kern w:val="0"/>
                      <w:szCs w:val="21"/>
                      <w:lang w:bidi="ar"/>
                    </w:rPr>
                    <w:t>热弯成型机</w:t>
                  </w:r>
                </w:p>
              </w:tc>
              <w:tc>
                <w:tcPr>
                  <w:tcW w:w="135" w:type="pct"/>
                  <w:shd w:val="clear" w:color="auto" w:fill="auto"/>
                  <w:vAlign w:val="center"/>
                </w:tcPr>
                <w:p w14:paraId="1107DAB5">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2060F2A6">
                  <w:pPr>
                    <w:jc w:val="center"/>
                    <w:rPr>
                      <w:color w:val="auto"/>
                      <w:kern w:val="0"/>
                      <w:szCs w:val="21"/>
                    </w:rPr>
                  </w:pPr>
                  <w:r>
                    <w:rPr>
                      <w:rFonts w:hint="eastAsia"/>
                      <w:color w:val="auto"/>
                      <w:kern w:val="0"/>
                      <w:szCs w:val="21"/>
                    </w:rPr>
                    <w:t>/</w:t>
                  </w:r>
                </w:p>
              </w:tc>
              <w:tc>
                <w:tcPr>
                  <w:tcW w:w="377" w:type="pct"/>
                  <w:vAlign w:val="center"/>
                </w:tcPr>
                <w:p w14:paraId="7161FE1C">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68860BF4">
                  <w:pPr>
                    <w:pStyle w:val="477"/>
                    <w:spacing w:after="0"/>
                    <w:rPr>
                      <w:color w:val="auto"/>
                      <w:szCs w:val="21"/>
                    </w:rPr>
                  </w:pPr>
                </w:p>
              </w:tc>
              <w:tc>
                <w:tcPr>
                  <w:tcW w:w="154" w:type="pct"/>
                  <w:vAlign w:val="center"/>
                </w:tcPr>
                <w:p w14:paraId="2BD32735">
                  <w:pPr>
                    <w:pStyle w:val="477"/>
                    <w:spacing w:after="0"/>
                    <w:rPr>
                      <w:color w:val="auto"/>
                      <w:szCs w:val="21"/>
                    </w:rPr>
                  </w:pPr>
                  <w:r>
                    <w:rPr>
                      <w:rFonts w:hint="eastAsia"/>
                      <w:color w:val="auto"/>
                      <w:szCs w:val="21"/>
                    </w:rPr>
                    <w:t>15</w:t>
                  </w:r>
                </w:p>
              </w:tc>
              <w:tc>
                <w:tcPr>
                  <w:tcW w:w="154" w:type="pct"/>
                  <w:vAlign w:val="center"/>
                </w:tcPr>
                <w:p w14:paraId="1A5D45E1">
                  <w:pPr>
                    <w:pStyle w:val="477"/>
                    <w:spacing w:after="0"/>
                    <w:rPr>
                      <w:color w:val="auto"/>
                      <w:szCs w:val="21"/>
                    </w:rPr>
                  </w:pPr>
                  <w:r>
                    <w:rPr>
                      <w:rFonts w:hint="eastAsia"/>
                      <w:color w:val="auto"/>
                      <w:szCs w:val="21"/>
                    </w:rPr>
                    <w:t>5</w:t>
                  </w:r>
                </w:p>
              </w:tc>
              <w:tc>
                <w:tcPr>
                  <w:tcW w:w="153" w:type="pct"/>
                  <w:vAlign w:val="center"/>
                </w:tcPr>
                <w:p w14:paraId="47B1ECA0">
                  <w:pPr>
                    <w:jc w:val="center"/>
                    <w:rPr>
                      <w:color w:val="auto"/>
                      <w:szCs w:val="21"/>
                    </w:rPr>
                  </w:pPr>
                  <w:r>
                    <w:rPr>
                      <w:rFonts w:hint="eastAsia"/>
                      <w:color w:val="auto"/>
                      <w:szCs w:val="21"/>
                    </w:rPr>
                    <w:t>1.5</w:t>
                  </w:r>
                </w:p>
              </w:tc>
              <w:tc>
                <w:tcPr>
                  <w:tcW w:w="354" w:type="pct"/>
                  <w:vAlign w:val="center"/>
                </w:tcPr>
                <w:p w14:paraId="636E9541">
                  <w:pPr>
                    <w:pStyle w:val="477"/>
                    <w:spacing w:after="0"/>
                    <w:rPr>
                      <w:color w:val="auto"/>
                      <w:szCs w:val="21"/>
                    </w:rPr>
                  </w:pPr>
                  <w:r>
                    <w:rPr>
                      <w:rFonts w:hint="eastAsia"/>
                      <w:color w:val="auto"/>
                      <w:szCs w:val="21"/>
                    </w:rPr>
                    <w:t>5</w:t>
                  </w:r>
                </w:p>
              </w:tc>
              <w:tc>
                <w:tcPr>
                  <w:tcW w:w="415" w:type="pct"/>
                  <w:vAlign w:val="center"/>
                </w:tcPr>
                <w:p w14:paraId="2CBE259E">
                  <w:pPr>
                    <w:jc w:val="center"/>
                    <w:rPr>
                      <w:color w:val="auto"/>
                      <w:szCs w:val="21"/>
                    </w:rPr>
                  </w:pPr>
                  <w:r>
                    <w:rPr>
                      <w:rFonts w:hint="eastAsia"/>
                      <w:color w:val="auto"/>
                      <w:szCs w:val="21"/>
                    </w:rPr>
                    <w:t>63.2</w:t>
                  </w:r>
                </w:p>
              </w:tc>
              <w:tc>
                <w:tcPr>
                  <w:tcW w:w="184" w:type="pct"/>
                  <w:vAlign w:val="center"/>
                </w:tcPr>
                <w:p w14:paraId="03EFE0E0">
                  <w:pPr>
                    <w:jc w:val="center"/>
                    <w:rPr>
                      <w:color w:val="auto"/>
                      <w:szCs w:val="21"/>
                    </w:rPr>
                  </w:pPr>
                  <w:r>
                    <w:rPr>
                      <w:color w:val="auto"/>
                      <w:szCs w:val="21"/>
                    </w:rPr>
                    <w:t>昼</w:t>
                  </w:r>
                </w:p>
              </w:tc>
              <w:tc>
                <w:tcPr>
                  <w:tcW w:w="442" w:type="pct"/>
                  <w:vAlign w:val="center"/>
                </w:tcPr>
                <w:p w14:paraId="4F179519">
                  <w:pPr>
                    <w:jc w:val="center"/>
                    <w:rPr>
                      <w:color w:val="auto"/>
                      <w:szCs w:val="21"/>
                    </w:rPr>
                  </w:pPr>
                  <w:r>
                    <w:rPr>
                      <w:rFonts w:hint="eastAsia"/>
                      <w:color w:val="auto"/>
                      <w:szCs w:val="21"/>
                    </w:rPr>
                    <w:t>25</w:t>
                  </w:r>
                </w:p>
              </w:tc>
              <w:tc>
                <w:tcPr>
                  <w:tcW w:w="350" w:type="pct"/>
                  <w:vAlign w:val="center"/>
                </w:tcPr>
                <w:p w14:paraId="28EC0CA7">
                  <w:pPr>
                    <w:jc w:val="center"/>
                    <w:rPr>
                      <w:color w:val="auto"/>
                      <w:szCs w:val="21"/>
                    </w:rPr>
                  </w:pPr>
                  <w:r>
                    <w:rPr>
                      <w:rFonts w:hint="eastAsia"/>
                      <w:color w:val="auto"/>
                      <w:szCs w:val="21"/>
                    </w:rPr>
                    <w:t>43.7</w:t>
                  </w:r>
                </w:p>
              </w:tc>
              <w:tc>
                <w:tcPr>
                  <w:tcW w:w="247" w:type="pct"/>
                  <w:vAlign w:val="center"/>
                </w:tcPr>
                <w:p w14:paraId="42B66268">
                  <w:pPr>
                    <w:pStyle w:val="477"/>
                    <w:spacing w:after="0"/>
                    <w:rPr>
                      <w:color w:val="auto"/>
                      <w:szCs w:val="21"/>
                    </w:rPr>
                  </w:pPr>
                  <w:r>
                    <w:rPr>
                      <w:color w:val="auto"/>
                      <w:szCs w:val="21"/>
                    </w:rPr>
                    <w:t>1</w:t>
                  </w:r>
                </w:p>
              </w:tc>
            </w:tr>
            <w:tr w14:paraId="4831D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25BD01D2">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48</w:t>
                  </w:r>
                </w:p>
              </w:tc>
              <w:tc>
                <w:tcPr>
                  <w:tcW w:w="217" w:type="pct"/>
                  <w:vMerge w:val="continue"/>
                  <w:vAlign w:val="center"/>
                </w:tcPr>
                <w:p w14:paraId="5A21AB73">
                  <w:pPr>
                    <w:adjustRightInd w:val="0"/>
                    <w:snapToGrid w:val="0"/>
                    <w:jc w:val="center"/>
                    <w:rPr>
                      <w:color w:val="auto"/>
                      <w:szCs w:val="21"/>
                    </w:rPr>
                  </w:pPr>
                </w:p>
              </w:tc>
              <w:tc>
                <w:tcPr>
                  <w:tcW w:w="433" w:type="pct"/>
                  <w:shd w:val="clear" w:color="auto" w:fill="auto"/>
                  <w:vAlign w:val="center"/>
                </w:tcPr>
                <w:p w14:paraId="366E58D6">
                  <w:pPr>
                    <w:widowControl/>
                    <w:jc w:val="center"/>
                    <w:textAlignment w:val="center"/>
                    <w:rPr>
                      <w:color w:val="auto"/>
                      <w:kern w:val="0"/>
                      <w:szCs w:val="21"/>
                    </w:rPr>
                  </w:pPr>
                  <w:r>
                    <w:rPr>
                      <w:color w:val="auto"/>
                      <w:kern w:val="0"/>
                      <w:szCs w:val="21"/>
                      <w:lang w:bidi="ar"/>
                    </w:rPr>
                    <w:t>UV打印机</w:t>
                  </w:r>
                </w:p>
              </w:tc>
              <w:tc>
                <w:tcPr>
                  <w:tcW w:w="135" w:type="pct"/>
                  <w:shd w:val="clear" w:color="auto" w:fill="auto"/>
                  <w:vAlign w:val="center"/>
                </w:tcPr>
                <w:p w14:paraId="620EC61B">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75A30800">
                  <w:pPr>
                    <w:widowControl/>
                    <w:jc w:val="center"/>
                    <w:textAlignment w:val="center"/>
                    <w:rPr>
                      <w:color w:val="auto"/>
                      <w:kern w:val="0"/>
                      <w:szCs w:val="21"/>
                    </w:rPr>
                  </w:pPr>
                  <w:r>
                    <w:rPr>
                      <w:rFonts w:hint="eastAsia"/>
                      <w:color w:val="auto"/>
                      <w:kern w:val="0"/>
                      <w:szCs w:val="21"/>
                    </w:rPr>
                    <w:t>/</w:t>
                  </w:r>
                </w:p>
              </w:tc>
              <w:tc>
                <w:tcPr>
                  <w:tcW w:w="377" w:type="pct"/>
                  <w:vAlign w:val="center"/>
                </w:tcPr>
                <w:p w14:paraId="43D441BB">
                  <w:pPr>
                    <w:adjustRightInd w:val="0"/>
                    <w:snapToGrid w:val="0"/>
                    <w:jc w:val="center"/>
                    <w:rPr>
                      <w:color w:val="auto"/>
                      <w:szCs w:val="21"/>
                    </w:rPr>
                  </w:pPr>
                  <w:r>
                    <w:rPr>
                      <w:color w:val="auto"/>
                      <w:szCs w:val="21"/>
                    </w:rPr>
                    <w:t>85</w:t>
                  </w:r>
                </w:p>
              </w:tc>
              <w:tc>
                <w:tcPr>
                  <w:tcW w:w="246" w:type="pct"/>
                  <w:vMerge w:val="continue"/>
                  <w:vAlign w:val="center"/>
                </w:tcPr>
                <w:p w14:paraId="5619F3DC">
                  <w:pPr>
                    <w:pStyle w:val="477"/>
                    <w:spacing w:after="0"/>
                    <w:rPr>
                      <w:color w:val="auto"/>
                      <w:szCs w:val="21"/>
                    </w:rPr>
                  </w:pPr>
                </w:p>
              </w:tc>
              <w:tc>
                <w:tcPr>
                  <w:tcW w:w="154" w:type="pct"/>
                  <w:vAlign w:val="center"/>
                </w:tcPr>
                <w:p w14:paraId="7DE6BED6">
                  <w:pPr>
                    <w:pStyle w:val="477"/>
                    <w:spacing w:after="0"/>
                    <w:rPr>
                      <w:color w:val="auto"/>
                      <w:szCs w:val="21"/>
                    </w:rPr>
                  </w:pPr>
                  <w:r>
                    <w:rPr>
                      <w:rFonts w:hint="eastAsia"/>
                      <w:color w:val="auto"/>
                      <w:szCs w:val="21"/>
                    </w:rPr>
                    <w:t>10</w:t>
                  </w:r>
                </w:p>
              </w:tc>
              <w:tc>
                <w:tcPr>
                  <w:tcW w:w="154" w:type="pct"/>
                  <w:vAlign w:val="center"/>
                </w:tcPr>
                <w:p w14:paraId="27DDB610">
                  <w:pPr>
                    <w:pStyle w:val="477"/>
                    <w:spacing w:after="0"/>
                    <w:rPr>
                      <w:color w:val="auto"/>
                      <w:szCs w:val="21"/>
                    </w:rPr>
                  </w:pPr>
                  <w:r>
                    <w:rPr>
                      <w:rFonts w:hint="eastAsia"/>
                      <w:color w:val="auto"/>
                      <w:szCs w:val="21"/>
                    </w:rPr>
                    <w:t>5</w:t>
                  </w:r>
                </w:p>
              </w:tc>
              <w:tc>
                <w:tcPr>
                  <w:tcW w:w="153" w:type="pct"/>
                  <w:vAlign w:val="center"/>
                </w:tcPr>
                <w:p w14:paraId="31482B48">
                  <w:pPr>
                    <w:jc w:val="center"/>
                    <w:rPr>
                      <w:color w:val="auto"/>
                      <w:szCs w:val="21"/>
                    </w:rPr>
                  </w:pPr>
                  <w:r>
                    <w:rPr>
                      <w:rFonts w:hint="eastAsia"/>
                      <w:color w:val="auto"/>
                      <w:szCs w:val="21"/>
                    </w:rPr>
                    <w:t>1.5</w:t>
                  </w:r>
                </w:p>
              </w:tc>
              <w:tc>
                <w:tcPr>
                  <w:tcW w:w="354" w:type="pct"/>
                  <w:vAlign w:val="center"/>
                </w:tcPr>
                <w:p w14:paraId="474A1E52">
                  <w:pPr>
                    <w:pStyle w:val="477"/>
                    <w:spacing w:after="0"/>
                    <w:rPr>
                      <w:color w:val="auto"/>
                      <w:szCs w:val="21"/>
                    </w:rPr>
                  </w:pPr>
                  <w:r>
                    <w:rPr>
                      <w:rFonts w:hint="eastAsia"/>
                      <w:color w:val="auto"/>
                      <w:szCs w:val="21"/>
                    </w:rPr>
                    <w:t>5</w:t>
                  </w:r>
                </w:p>
              </w:tc>
              <w:tc>
                <w:tcPr>
                  <w:tcW w:w="415" w:type="pct"/>
                  <w:vAlign w:val="center"/>
                </w:tcPr>
                <w:p w14:paraId="18BF50A2">
                  <w:pPr>
                    <w:jc w:val="center"/>
                    <w:rPr>
                      <w:color w:val="auto"/>
                      <w:szCs w:val="21"/>
                    </w:rPr>
                  </w:pPr>
                  <w:r>
                    <w:rPr>
                      <w:rFonts w:hint="eastAsia"/>
                      <w:color w:val="auto"/>
                      <w:szCs w:val="21"/>
                    </w:rPr>
                    <w:t>47.8</w:t>
                  </w:r>
                </w:p>
              </w:tc>
              <w:tc>
                <w:tcPr>
                  <w:tcW w:w="184" w:type="pct"/>
                  <w:vAlign w:val="center"/>
                </w:tcPr>
                <w:p w14:paraId="75302D74">
                  <w:pPr>
                    <w:jc w:val="center"/>
                    <w:rPr>
                      <w:color w:val="auto"/>
                      <w:szCs w:val="21"/>
                    </w:rPr>
                  </w:pPr>
                  <w:r>
                    <w:rPr>
                      <w:color w:val="auto"/>
                      <w:szCs w:val="21"/>
                    </w:rPr>
                    <w:t>昼</w:t>
                  </w:r>
                </w:p>
              </w:tc>
              <w:tc>
                <w:tcPr>
                  <w:tcW w:w="442" w:type="pct"/>
                  <w:vAlign w:val="center"/>
                </w:tcPr>
                <w:p w14:paraId="04D5C33A">
                  <w:pPr>
                    <w:jc w:val="center"/>
                    <w:rPr>
                      <w:color w:val="auto"/>
                      <w:szCs w:val="21"/>
                    </w:rPr>
                  </w:pPr>
                  <w:r>
                    <w:rPr>
                      <w:rFonts w:hint="eastAsia"/>
                      <w:color w:val="auto"/>
                      <w:szCs w:val="21"/>
                    </w:rPr>
                    <w:t>25</w:t>
                  </w:r>
                </w:p>
              </w:tc>
              <w:tc>
                <w:tcPr>
                  <w:tcW w:w="350" w:type="pct"/>
                  <w:vAlign w:val="center"/>
                </w:tcPr>
                <w:p w14:paraId="46709D84">
                  <w:pPr>
                    <w:jc w:val="center"/>
                    <w:rPr>
                      <w:color w:val="auto"/>
                      <w:szCs w:val="21"/>
                    </w:rPr>
                  </w:pPr>
                  <w:r>
                    <w:rPr>
                      <w:rFonts w:hint="eastAsia"/>
                      <w:color w:val="auto"/>
                      <w:szCs w:val="21"/>
                    </w:rPr>
                    <w:t>34.6</w:t>
                  </w:r>
                </w:p>
              </w:tc>
              <w:tc>
                <w:tcPr>
                  <w:tcW w:w="247" w:type="pct"/>
                  <w:vAlign w:val="center"/>
                </w:tcPr>
                <w:p w14:paraId="41EBF2A2">
                  <w:pPr>
                    <w:pStyle w:val="477"/>
                    <w:spacing w:after="0"/>
                    <w:rPr>
                      <w:color w:val="auto"/>
                      <w:szCs w:val="21"/>
                    </w:rPr>
                  </w:pPr>
                  <w:r>
                    <w:rPr>
                      <w:color w:val="auto"/>
                      <w:szCs w:val="21"/>
                    </w:rPr>
                    <w:t>1</w:t>
                  </w:r>
                </w:p>
              </w:tc>
            </w:tr>
            <w:tr w14:paraId="2CF2C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7AD3169A">
                  <w:pPr>
                    <w:widowControl/>
                    <w:jc w:val="center"/>
                    <w:textAlignment w:val="center"/>
                    <w:rPr>
                      <w:rFonts w:ascii="Times New Roman" w:hAnsi="Times New Roman" w:eastAsia="宋体" w:cs="Times New Roman"/>
                      <w:color w:val="auto"/>
                      <w:kern w:val="0"/>
                      <w:sz w:val="21"/>
                      <w:szCs w:val="21"/>
                      <w:lang w:val="en-US" w:eastAsia="zh-CN" w:bidi="ar-SA"/>
                    </w:rPr>
                  </w:pPr>
                  <w:r>
                    <w:rPr>
                      <w:rFonts w:hint="eastAsia"/>
                      <w:color w:val="auto"/>
                      <w:kern w:val="0"/>
                      <w:szCs w:val="21"/>
                      <w:lang w:bidi="ar"/>
                    </w:rPr>
                    <w:t>49</w:t>
                  </w:r>
                </w:p>
              </w:tc>
              <w:tc>
                <w:tcPr>
                  <w:tcW w:w="217" w:type="pct"/>
                  <w:vMerge w:val="continue"/>
                  <w:vAlign w:val="center"/>
                </w:tcPr>
                <w:p w14:paraId="1EEB9D8D">
                  <w:pPr>
                    <w:adjustRightInd w:val="0"/>
                    <w:snapToGrid w:val="0"/>
                    <w:jc w:val="center"/>
                    <w:rPr>
                      <w:color w:val="auto"/>
                      <w:szCs w:val="21"/>
                    </w:rPr>
                  </w:pPr>
                </w:p>
              </w:tc>
              <w:tc>
                <w:tcPr>
                  <w:tcW w:w="433" w:type="pct"/>
                  <w:shd w:val="clear" w:color="auto" w:fill="auto"/>
                  <w:vAlign w:val="center"/>
                </w:tcPr>
                <w:p w14:paraId="33AE9908">
                  <w:pPr>
                    <w:widowControl/>
                    <w:jc w:val="center"/>
                    <w:textAlignment w:val="center"/>
                    <w:rPr>
                      <w:color w:val="auto"/>
                      <w:kern w:val="0"/>
                      <w:szCs w:val="21"/>
                    </w:rPr>
                  </w:pPr>
                  <w:r>
                    <w:rPr>
                      <w:color w:val="auto"/>
                      <w:kern w:val="0"/>
                      <w:szCs w:val="21"/>
                      <w:lang w:bidi="ar"/>
                    </w:rPr>
                    <w:t>烤箱（大）</w:t>
                  </w:r>
                </w:p>
              </w:tc>
              <w:tc>
                <w:tcPr>
                  <w:tcW w:w="135" w:type="pct"/>
                  <w:shd w:val="clear" w:color="auto" w:fill="auto"/>
                  <w:vAlign w:val="center"/>
                </w:tcPr>
                <w:p w14:paraId="3DE67986">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02A9A23B">
                  <w:pPr>
                    <w:jc w:val="center"/>
                    <w:rPr>
                      <w:color w:val="auto"/>
                      <w:kern w:val="0"/>
                      <w:szCs w:val="21"/>
                    </w:rPr>
                  </w:pPr>
                  <w:r>
                    <w:rPr>
                      <w:rFonts w:hint="eastAsia"/>
                      <w:color w:val="auto"/>
                      <w:kern w:val="0"/>
                      <w:szCs w:val="21"/>
                    </w:rPr>
                    <w:t>/</w:t>
                  </w:r>
                </w:p>
              </w:tc>
              <w:tc>
                <w:tcPr>
                  <w:tcW w:w="377" w:type="pct"/>
                  <w:vAlign w:val="center"/>
                </w:tcPr>
                <w:p w14:paraId="06333B19">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08E8A266">
                  <w:pPr>
                    <w:pStyle w:val="477"/>
                    <w:spacing w:after="0"/>
                    <w:rPr>
                      <w:color w:val="auto"/>
                      <w:szCs w:val="21"/>
                    </w:rPr>
                  </w:pPr>
                </w:p>
              </w:tc>
              <w:tc>
                <w:tcPr>
                  <w:tcW w:w="154" w:type="pct"/>
                  <w:vAlign w:val="center"/>
                </w:tcPr>
                <w:p w14:paraId="10313F9A">
                  <w:pPr>
                    <w:pStyle w:val="477"/>
                    <w:spacing w:after="0"/>
                    <w:rPr>
                      <w:color w:val="auto"/>
                      <w:szCs w:val="21"/>
                    </w:rPr>
                  </w:pPr>
                  <w:r>
                    <w:rPr>
                      <w:rFonts w:hint="eastAsia"/>
                      <w:color w:val="auto"/>
                      <w:szCs w:val="21"/>
                    </w:rPr>
                    <w:t>15</w:t>
                  </w:r>
                </w:p>
              </w:tc>
              <w:tc>
                <w:tcPr>
                  <w:tcW w:w="154" w:type="pct"/>
                  <w:vAlign w:val="center"/>
                </w:tcPr>
                <w:p w14:paraId="736BF6FF">
                  <w:pPr>
                    <w:pStyle w:val="477"/>
                    <w:spacing w:after="0"/>
                    <w:rPr>
                      <w:color w:val="auto"/>
                      <w:szCs w:val="21"/>
                    </w:rPr>
                  </w:pPr>
                  <w:r>
                    <w:rPr>
                      <w:rFonts w:hint="eastAsia"/>
                      <w:color w:val="auto"/>
                      <w:szCs w:val="21"/>
                    </w:rPr>
                    <w:t>10</w:t>
                  </w:r>
                </w:p>
              </w:tc>
              <w:tc>
                <w:tcPr>
                  <w:tcW w:w="153" w:type="pct"/>
                  <w:vAlign w:val="center"/>
                </w:tcPr>
                <w:p w14:paraId="52DBBB76">
                  <w:pPr>
                    <w:jc w:val="center"/>
                    <w:rPr>
                      <w:color w:val="auto"/>
                      <w:szCs w:val="21"/>
                    </w:rPr>
                  </w:pPr>
                  <w:r>
                    <w:rPr>
                      <w:rFonts w:hint="eastAsia"/>
                      <w:color w:val="auto"/>
                      <w:szCs w:val="21"/>
                    </w:rPr>
                    <w:t>1.5</w:t>
                  </w:r>
                </w:p>
              </w:tc>
              <w:tc>
                <w:tcPr>
                  <w:tcW w:w="354" w:type="pct"/>
                  <w:vAlign w:val="center"/>
                </w:tcPr>
                <w:p w14:paraId="5344D205">
                  <w:pPr>
                    <w:pStyle w:val="477"/>
                    <w:spacing w:after="0"/>
                    <w:rPr>
                      <w:color w:val="auto"/>
                      <w:szCs w:val="21"/>
                    </w:rPr>
                  </w:pPr>
                  <w:r>
                    <w:rPr>
                      <w:rFonts w:hint="eastAsia"/>
                      <w:color w:val="auto"/>
                      <w:szCs w:val="21"/>
                    </w:rPr>
                    <w:t>10</w:t>
                  </w:r>
                </w:p>
              </w:tc>
              <w:tc>
                <w:tcPr>
                  <w:tcW w:w="415" w:type="pct"/>
                  <w:vAlign w:val="center"/>
                </w:tcPr>
                <w:p w14:paraId="6B78562E">
                  <w:pPr>
                    <w:jc w:val="center"/>
                    <w:rPr>
                      <w:color w:val="auto"/>
                      <w:szCs w:val="21"/>
                    </w:rPr>
                  </w:pPr>
                  <w:r>
                    <w:rPr>
                      <w:rFonts w:hint="eastAsia"/>
                      <w:color w:val="auto"/>
                      <w:szCs w:val="21"/>
                    </w:rPr>
                    <w:t>51.2</w:t>
                  </w:r>
                </w:p>
              </w:tc>
              <w:tc>
                <w:tcPr>
                  <w:tcW w:w="184" w:type="pct"/>
                  <w:vAlign w:val="center"/>
                </w:tcPr>
                <w:p w14:paraId="5EF1A3C7">
                  <w:pPr>
                    <w:jc w:val="center"/>
                    <w:rPr>
                      <w:color w:val="auto"/>
                      <w:szCs w:val="21"/>
                    </w:rPr>
                  </w:pPr>
                  <w:r>
                    <w:rPr>
                      <w:color w:val="auto"/>
                      <w:szCs w:val="21"/>
                    </w:rPr>
                    <w:t>昼</w:t>
                  </w:r>
                </w:p>
              </w:tc>
              <w:tc>
                <w:tcPr>
                  <w:tcW w:w="442" w:type="pct"/>
                  <w:vAlign w:val="center"/>
                </w:tcPr>
                <w:p w14:paraId="314270E1">
                  <w:pPr>
                    <w:jc w:val="center"/>
                    <w:rPr>
                      <w:color w:val="auto"/>
                      <w:szCs w:val="21"/>
                    </w:rPr>
                  </w:pPr>
                  <w:r>
                    <w:rPr>
                      <w:rFonts w:hint="eastAsia"/>
                      <w:color w:val="auto"/>
                      <w:szCs w:val="21"/>
                    </w:rPr>
                    <w:t>25</w:t>
                  </w:r>
                </w:p>
              </w:tc>
              <w:tc>
                <w:tcPr>
                  <w:tcW w:w="350" w:type="pct"/>
                  <w:vAlign w:val="center"/>
                </w:tcPr>
                <w:p w14:paraId="44F39C04">
                  <w:pPr>
                    <w:jc w:val="center"/>
                    <w:rPr>
                      <w:color w:val="auto"/>
                      <w:szCs w:val="21"/>
                    </w:rPr>
                  </w:pPr>
                  <w:r>
                    <w:rPr>
                      <w:rFonts w:hint="eastAsia"/>
                      <w:color w:val="auto"/>
                      <w:szCs w:val="21"/>
                    </w:rPr>
                    <w:t>38.4</w:t>
                  </w:r>
                </w:p>
              </w:tc>
              <w:tc>
                <w:tcPr>
                  <w:tcW w:w="247" w:type="pct"/>
                  <w:vAlign w:val="center"/>
                </w:tcPr>
                <w:p w14:paraId="4226895D">
                  <w:pPr>
                    <w:pStyle w:val="477"/>
                    <w:spacing w:after="0"/>
                    <w:rPr>
                      <w:color w:val="auto"/>
                      <w:szCs w:val="21"/>
                    </w:rPr>
                  </w:pPr>
                  <w:r>
                    <w:rPr>
                      <w:color w:val="auto"/>
                      <w:szCs w:val="21"/>
                    </w:rPr>
                    <w:t>1</w:t>
                  </w:r>
                </w:p>
              </w:tc>
            </w:tr>
            <w:tr w14:paraId="337A0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5931D172">
                  <w:pPr>
                    <w:widowControl/>
                    <w:jc w:val="center"/>
                    <w:textAlignment w:val="center"/>
                    <w:rPr>
                      <w:rFonts w:ascii="Times New Roman" w:hAnsi="Times New Roman" w:eastAsia="宋体" w:cs="Times New Roman"/>
                      <w:color w:val="auto"/>
                      <w:kern w:val="0"/>
                      <w:sz w:val="21"/>
                      <w:szCs w:val="21"/>
                      <w:lang w:val="en-US" w:eastAsia="zh-CN" w:bidi="ar-SA"/>
                    </w:rPr>
                  </w:pPr>
                  <w:r>
                    <w:rPr>
                      <w:color w:val="auto"/>
                      <w:kern w:val="0"/>
                      <w:szCs w:val="21"/>
                      <w:lang w:bidi="ar"/>
                    </w:rPr>
                    <w:t>5</w:t>
                  </w:r>
                  <w:r>
                    <w:rPr>
                      <w:rFonts w:hint="eastAsia"/>
                      <w:color w:val="auto"/>
                      <w:kern w:val="0"/>
                      <w:szCs w:val="21"/>
                      <w:lang w:bidi="ar"/>
                    </w:rPr>
                    <w:t>0</w:t>
                  </w:r>
                </w:p>
              </w:tc>
              <w:tc>
                <w:tcPr>
                  <w:tcW w:w="217" w:type="pct"/>
                  <w:vMerge w:val="continue"/>
                  <w:vAlign w:val="center"/>
                </w:tcPr>
                <w:p w14:paraId="7E0B9153">
                  <w:pPr>
                    <w:adjustRightInd w:val="0"/>
                    <w:snapToGrid w:val="0"/>
                    <w:jc w:val="center"/>
                    <w:rPr>
                      <w:color w:val="auto"/>
                      <w:szCs w:val="21"/>
                    </w:rPr>
                  </w:pPr>
                </w:p>
              </w:tc>
              <w:tc>
                <w:tcPr>
                  <w:tcW w:w="433" w:type="pct"/>
                  <w:shd w:val="clear" w:color="auto" w:fill="auto"/>
                  <w:vAlign w:val="center"/>
                </w:tcPr>
                <w:p w14:paraId="7843C6C5">
                  <w:pPr>
                    <w:widowControl/>
                    <w:jc w:val="center"/>
                    <w:textAlignment w:val="center"/>
                    <w:rPr>
                      <w:color w:val="auto"/>
                      <w:kern w:val="0"/>
                      <w:szCs w:val="21"/>
                    </w:rPr>
                  </w:pPr>
                  <w:r>
                    <w:rPr>
                      <w:color w:val="auto"/>
                      <w:kern w:val="0"/>
                      <w:szCs w:val="21"/>
                      <w:lang w:bidi="ar"/>
                    </w:rPr>
                    <w:t>烤箱（小）</w:t>
                  </w:r>
                </w:p>
              </w:tc>
              <w:tc>
                <w:tcPr>
                  <w:tcW w:w="135" w:type="pct"/>
                  <w:shd w:val="clear" w:color="auto" w:fill="auto"/>
                  <w:vAlign w:val="center"/>
                </w:tcPr>
                <w:p w14:paraId="7E13D534">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5BFDE4C1">
                  <w:pPr>
                    <w:widowControl/>
                    <w:jc w:val="center"/>
                    <w:textAlignment w:val="center"/>
                    <w:rPr>
                      <w:color w:val="auto"/>
                      <w:kern w:val="0"/>
                      <w:szCs w:val="21"/>
                    </w:rPr>
                  </w:pPr>
                  <w:r>
                    <w:rPr>
                      <w:color w:val="auto"/>
                      <w:kern w:val="0"/>
                      <w:szCs w:val="21"/>
                      <w:lang w:bidi="ar"/>
                    </w:rPr>
                    <w:t>PGNK-1250/4000</w:t>
                  </w:r>
                </w:p>
              </w:tc>
              <w:tc>
                <w:tcPr>
                  <w:tcW w:w="377" w:type="pct"/>
                  <w:vAlign w:val="center"/>
                </w:tcPr>
                <w:p w14:paraId="236EF445">
                  <w:pPr>
                    <w:adjustRightInd w:val="0"/>
                    <w:snapToGrid w:val="0"/>
                    <w:jc w:val="center"/>
                    <w:rPr>
                      <w:color w:val="auto"/>
                      <w:szCs w:val="21"/>
                    </w:rPr>
                  </w:pPr>
                  <w:r>
                    <w:rPr>
                      <w:color w:val="auto"/>
                      <w:szCs w:val="21"/>
                    </w:rPr>
                    <w:t>85</w:t>
                  </w:r>
                </w:p>
              </w:tc>
              <w:tc>
                <w:tcPr>
                  <w:tcW w:w="246" w:type="pct"/>
                  <w:vMerge w:val="continue"/>
                  <w:vAlign w:val="center"/>
                </w:tcPr>
                <w:p w14:paraId="63E7541C">
                  <w:pPr>
                    <w:pStyle w:val="477"/>
                    <w:spacing w:after="0"/>
                    <w:rPr>
                      <w:color w:val="auto"/>
                      <w:szCs w:val="21"/>
                    </w:rPr>
                  </w:pPr>
                </w:p>
              </w:tc>
              <w:tc>
                <w:tcPr>
                  <w:tcW w:w="154" w:type="pct"/>
                  <w:vAlign w:val="center"/>
                </w:tcPr>
                <w:p w14:paraId="3C4A7F1A">
                  <w:pPr>
                    <w:pStyle w:val="477"/>
                    <w:spacing w:after="0"/>
                    <w:rPr>
                      <w:color w:val="auto"/>
                      <w:szCs w:val="21"/>
                    </w:rPr>
                  </w:pPr>
                  <w:r>
                    <w:rPr>
                      <w:rFonts w:hint="eastAsia"/>
                      <w:color w:val="auto"/>
                      <w:szCs w:val="21"/>
                    </w:rPr>
                    <w:t>15</w:t>
                  </w:r>
                </w:p>
              </w:tc>
              <w:tc>
                <w:tcPr>
                  <w:tcW w:w="154" w:type="pct"/>
                  <w:vAlign w:val="center"/>
                </w:tcPr>
                <w:p w14:paraId="31555AF3">
                  <w:pPr>
                    <w:pStyle w:val="477"/>
                    <w:spacing w:after="0"/>
                    <w:rPr>
                      <w:color w:val="auto"/>
                      <w:szCs w:val="21"/>
                    </w:rPr>
                  </w:pPr>
                  <w:r>
                    <w:rPr>
                      <w:rFonts w:hint="eastAsia"/>
                      <w:color w:val="auto"/>
                      <w:szCs w:val="21"/>
                    </w:rPr>
                    <w:t>15</w:t>
                  </w:r>
                </w:p>
              </w:tc>
              <w:tc>
                <w:tcPr>
                  <w:tcW w:w="153" w:type="pct"/>
                  <w:vAlign w:val="center"/>
                </w:tcPr>
                <w:p w14:paraId="0B5FFD8B">
                  <w:pPr>
                    <w:jc w:val="center"/>
                    <w:rPr>
                      <w:color w:val="auto"/>
                      <w:szCs w:val="21"/>
                    </w:rPr>
                  </w:pPr>
                  <w:r>
                    <w:rPr>
                      <w:rFonts w:hint="eastAsia"/>
                      <w:color w:val="auto"/>
                      <w:szCs w:val="21"/>
                    </w:rPr>
                    <w:t>1.5</w:t>
                  </w:r>
                </w:p>
              </w:tc>
              <w:tc>
                <w:tcPr>
                  <w:tcW w:w="354" w:type="pct"/>
                  <w:vAlign w:val="center"/>
                </w:tcPr>
                <w:p w14:paraId="0E9C24ED">
                  <w:pPr>
                    <w:pStyle w:val="477"/>
                    <w:spacing w:after="0"/>
                    <w:rPr>
                      <w:color w:val="auto"/>
                      <w:szCs w:val="21"/>
                    </w:rPr>
                  </w:pPr>
                  <w:r>
                    <w:rPr>
                      <w:rFonts w:hint="eastAsia"/>
                      <w:color w:val="auto"/>
                      <w:szCs w:val="21"/>
                    </w:rPr>
                    <w:t>15</w:t>
                  </w:r>
                </w:p>
              </w:tc>
              <w:tc>
                <w:tcPr>
                  <w:tcW w:w="415" w:type="pct"/>
                  <w:vAlign w:val="center"/>
                </w:tcPr>
                <w:p w14:paraId="43454E5B">
                  <w:pPr>
                    <w:jc w:val="center"/>
                    <w:rPr>
                      <w:color w:val="auto"/>
                      <w:szCs w:val="21"/>
                    </w:rPr>
                  </w:pPr>
                  <w:r>
                    <w:rPr>
                      <w:rFonts w:hint="eastAsia"/>
                      <w:color w:val="auto"/>
                      <w:szCs w:val="21"/>
                    </w:rPr>
                    <w:t>43.7</w:t>
                  </w:r>
                </w:p>
              </w:tc>
              <w:tc>
                <w:tcPr>
                  <w:tcW w:w="184" w:type="pct"/>
                  <w:vAlign w:val="center"/>
                </w:tcPr>
                <w:p w14:paraId="208AF431">
                  <w:pPr>
                    <w:jc w:val="center"/>
                    <w:rPr>
                      <w:color w:val="auto"/>
                      <w:szCs w:val="21"/>
                    </w:rPr>
                  </w:pPr>
                  <w:r>
                    <w:rPr>
                      <w:rFonts w:hint="eastAsia"/>
                      <w:color w:val="auto"/>
                      <w:szCs w:val="21"/>
                    </w:rPr>
                    <w:t>昼</w:t>
                  </w:r>
                </w:p>
              </w:tc>
              <w:tc>
                <w:tcPr>
                  <w:tcW w:w="442" w:type="pct"/>
                  <w:vAlign w:val="center"/>
                </w:tcPr>
                <w:p w14:paraId="4FD26C60">
                  <w:pPr>
                    <w:jc w:val="center"/>
                    <w:rPr>
                      <w:color w:val="auto"/>
                      <w:szCs w:val="21"/>
                    </w:rPr>
                  </w:pPr>
                  <w:r>
                    <w:rPr>
                      <w:rFonts w:hint="eastAsia"/>
                      <w:color w:val="auto"/>
                      <w:szCs w:val="21"/>
                    </w:rPr>
                    <w:t>25</w:t>
                  </w:r>
                </w:p>
              </w:tc>
              <w:tc>
                <w:tcPr>
                  <w:tcW w:w="350" w:type="pct"/>
                  <w:vAlign w:val="center"/>
                </w:tcPr>
                <w:p w14:paraId="1A4D2ECD">
                  <w:pPr>
                    <w:jc w:val="center"/>
                    <w:rPr>
                      <w:color w:val="auto"/>
                      <w:szCs w:val="21"/>
                    </w:rPr>
                  </w:pPr>
                  <w:r>
                    <w:rPr>
                      <w:rFonts w:hint="eastAsia"/>
                      <w:color w:val="auto"/>
                      <w:szCs w:val="21"/>
                    </w:rPr>
                    <w:t>33.6</w:t>
                  </w:r>
                </w:p>
              </w:tc>
              <w:tc>
                <w:tcPr>
                  <w:tcW w:w="247" w:type="pct"/>
                  <w:vAlign w:val="center"/>
                </w:tcPr>
                <w:p w14:paraId="242A5242">
                  <w:pPr>
                    <w:pStyle w:val="477"/>
                    <w:spacing w:after="0"/>
                    <w:rPr>
                      <w:color w:val="auto"/>
                      <w:szCs w:val="21"/>
                    </w:rPr>
                  </w:pPr>
                  <w:r>
                    <w:rPr>
                      <w:color w:val="auto"/>
                      <w:szCs w:val="21"/>
                    </w:rPr>
                    <w:t>1</w:t>
                  </w:r>
                </w:p>
              </w:tc>
            </w:tr>
            <w:tr w14:paraId="15CD8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121" w:type="pct"/>
                  <w:shd w:val="clear" w:color="auto" w:fill="auto"/>
                  <w:vAlign w:val="center"/>
                </w:tcPr>
                <w:p w14:paraId="625B5CAB">
                  <w:pPr>
                    <w:widowControl/>
                    <w:jc w:val="center"/>
                    <w:textAlignment w:val="center"/>
                    <w:rPr>
                      <w:rFonts w:hint="eastAsia" w:eastAsia="宋体"/>
                      <w:color w:val="auto"/>
                      <w:kern w:val="0"/>
                      <w:szCs w:val="21"/>
                      <w:lang w:eastAsia="zh-CN"/>
                    </w:rPr>
                  </w:pPr>
                  <w:r>
                    <w:rPr>
                      <w:color w:val="auto"/>
                      <w:kern w:val="0"/>
                      <w:szCs w:val="21"/>
                      <w:lang w:bidi="ar"/>
                    </w:rPr>
                    <w:t>5</w:t>
                  </w:r>
                  <w:r>
                    <w:rPr>
                      <w:rFonts w:hint="eastAsia"/>
                      <w:color w:val="auto"/>
                      <w:kern w:val="0"/>
                      <w:szCs w:val="21"/>
                      <w:lang w:val="en-US" w:eastAsia="zh-CN" w:bidi="ar"/>
                    </w:rPr>
                    <w:t>1</w:t>
                  </w:r>
                </w:p>
              </w:tc>
              <w:tc>
                <w:tcPr>
                  <w:tcW w:w="217" w:type="pct"/>
                  <w:vMerge w:val="continue"/>
                  <w:vAlign w:val="center"/>
                </w:tcPr>
                <w:p w14:paraId="49006A4D">
                  <w:pPr>
                    <w:adjustRightInd w:val="0"/>
                    <w:snapToGrid w:val="0"/>
                    <w:jc w:val="center"/>
                    <w:rPr>
                      <w:color w:val="auto"/>
                      <w:szCs w:val="21"/>
                    </w:rPr>
                  </w:pPr>
                </w:p>
              </w:tc>
              <w:tc>
                <w:tcPr>
                  <w:tcW w:w="433" w:type="pct"/>
                  <w:shd w:val="clear" w:color="auto" w:fill="auto"/>
                  <w:vAlign w:val="center"/>
                </w:tcPr>
                <w:p w14:paraId="24DF51FB">
                  <w:pPr>
                    <w:widowControl/>
                    <w:jc w:val="center"/>
                    <w:textAlignment w:val="center"/>
                    <w:rPr>
                      <w:color w:val="auto"/>
                      <w:kern w:val="0"/>
                      <w:szCs w:val="21"/>
                    </w:rPr>
                  </w:pPr>
                  <w:r>
                    <w:rPr>
                      <w:color w:val="auto"/>
                      <w:kern w:val="0"/>
                      <w:szCs w:val="21"/>
                      <w:lang w:bidi="ar"/>
                    </w:rPr>
                    <w:t>UV烘干机（自动）</w:t>
                  </w:r>
                </w:p>
              </w:tc>
              <w:tc>
                <w:tcPr>
                  <w:tcW w:w="135" w:type="pct"/>
                  <w:shd w:val="clear" w:color="auto" w:fill="auto"/>
                  <w:vAlign w:val="center"/>
                </w:tcPr>
                <w:p w14:paraId="17D8FABA">
                  <w:pPr>
                    <w:widowControl/>
                    <w:jc w:val="center"/>
                    <w:textAlignment w:val="center"/>
                    <w:rPr>
                      <w:color w:val="auto"/>
                      <w:kern w:val="0"/>
                      <w:szCs w:val="21"/>
                    </w:rPr>
                  </w:pPr>
                  <w:r>
                    <w:rPr>
                      <w:color w:val="auto"/>
                      <w:kern w:val="0"/>
                      <w:szCs w:val="21"/>
                      <w:lang w:bidi="ar"/>
                    </w:rPr>
                    <w:t>1</w:t>
                  </w:r>
                </w:p>
              </w:tc>
              <w:tc>
                <w:tcPr>
                  <w:tcW w:w="1013" w:type="pct"/>
                  <w:shd w:val="clear" w:color="auto" w:fill="auto"/>
                  <w:vAlign w:val="center"/>
                </w:tcPr>
                <w:p w14:paraId="63F93460">
                  <w:pPr>
                    <w:widowControl/>
                    <w:jc w:val="center"/>
                    <w:textAlignment w:val="center"/>
                    <w:rPr>
                      <w:color w:val="auto"/>
                      <w:kern w:val="0"/>
                      <w:szCs w:val="21"/>
                    </w:rPr>
                  </w:pPr>
                  <w:r>
                    <w:rPr>
                      <w:color w:val="auto"/>
                      <w:kern w:val="0"/>
                      <w:szCs w:val="21"/>
                      <w:lang w:bidi="ar"/>
                    </w:rPr>
                    <w:t>YT400-2</w:t>
                  </w:r>
                </w:p>
              </w:tc>
              <w:tc>
                <w:tcPr>
                  <w:tcW w:w="377" w:type="pct"/>
                  <w:vAlign w:val="center"/>
                </w:tcPr>
                <w:p w14:paraId="3D84CDA5">
                  <w:pPr>
                    <w:adjustRightInd w:val="0"/>
                    <w:snapToGrid w:val="0"/>
                    <w:jc w:val="center"/>
                    <w:rPr>
                      <w:color w:val="auto"/>
                      <w:szCs w:val="21"/>
                    </w:rPr>
                  </w:pPr>
                  <w:r>
                    <w:rPr>
                      <w:rFonts w:hint="eastAsia"/>
                      <w:color w:val="auto"/>
                      <w:szCs w:val="21"/>
                    </w:rPr>
                    <w:t>8</w:t>
                  </w:r>
                  <w:r>
                    <w:rPr>
                      <w:color w:val="auto"/>
                      <w:szCs w:val="21"/>
                    </w:rPr>
                    <w:t>0</w:t>
                  </w:r>
                </w:p>
              </w:tc>
              <w:tc>
                <w:tcPr>
                  <w:tcW w:w="246" w:type="pct"/>
                  <w:vMerge w:val="continue"/>
                  <w:vAlign w:val="center"/>
                </w:tcPr>
                <w:p w14:paraId="4C7C9C3E">
                  <w:pPr>
                    <w:pStyle w:val="477"/>
                    <w:spacing w:after="0"/>
                    <w:rPr>
                      <w:color w:val="auto"/>
                      <w:szCs w:val="21"/>
                    </w:rPr>
                  </w:pPr>
                </w:p>
              </w:tc>
              <w:tc>
                <w:tcPr>
                  <w:tcW w:w="154" w:type="pct"/>
                  <w:vAlign w:val="center"/>
                </w:tcPr>
                <w:p w14:paraId="1BD565E7">
                  <w:pPr>
                    <w:pStyle w:val="477"/>
                    <w:spacing w:after="0"/>
                    <w:rPr>
                      <w:color w:val="auto"/>
                      <w:szCs w:val="21"/>
                    </w:rPr>
                  </w:pPr>
                  <w:r>
                    <w:rPr>
                      <w:rFonts w:hint="eastAsia"/>
                      <w:color w:val="auto"/>
                      <w:szCs w:val="21"/>
                    </w:rPr>
                    <w:t>10</w:t>
                  </w:r>
                </w:p>
              </w:tc>
              <w:tc>
                <w:tcPr>
                  <w:tcW w:w="154" w:type="pct"/>
                  <w:vAlign w:val="center"/>
                </w:tcPr>
                <w:p w14:paraId="761CB699">
                  <w:pPr>
                    <w:pStyle w:val="477"/>
                    <w:spacing w:after="0"/>
                    <w:rPr>
                      <w:color w:val="auto"/>
                      <w:szCs w:val="21"/>
                    </w:rPr>
                  </w:pPr>
                  <w:r>
                    <w:rPr>
                      <w:rFonts w:hint="eastAsia"/>
                      <w:color w:val="auto"/>
                      <w:szCs w:val="21"/>
                    </w:rPr>
                    <w:t>0</w:t>
                  </w:r>
                </w:p>
              </w:tc>
              <w:tc>
                <w:tcPr>
                  <w:tcW w:w="153" w:type="pct"/>
                  <w:vAlign w:val="center"/>
                </w:tcPr>
                <w:p w14:paraId="2058B30E">
                  <w:pPr>
                    <w:jc w:val="center"/>
                    <w:rPr>
                      <w:color w:val="auto"/>
                      <w:szCs w:val="21"/>
                    </w:rPr>
                  </w:pPr>
                  <w:r>
                    <w:rPr>
                      <w:rFonts w:hint="eastAsia"/>
                      <w:color w:val="auto"/>
                      <w:szCs w:val="21"/>
                    </w:rPr>
                    <w:t>1.5</w:t>
                  </w:r>
                </w:p>
              </w:tc>
              <w:tc>
                <w:tcPr>
                  <w:tcW w:w="354" w:type="pct"/>
                  <w:vAlign w:val="center"/>
                </w:tcPr>
                <w:p w14:paraId="568E0614">
                  <w:pPr>
                    <w:pStyle w:val="477"/>
                    <w:spacing w:after="0"/>
                    <w:rPr>
                      <w:color w:val="auto"/>
                      <w:szCs w:val="21"/>
                    </w:rPr>
                  </w:pPr>
                  <w:r>
                    <w:rPr>
                      <w:rFonts w:hint="eastAsia"/>
                      <w:color w:val="auto"/>
                      <w:szCs w:val="21"/>
                    </w:rPr>
                    <w:t>0</w:t>
                  </w:r>
                </w:p>
              </w:tc>
              <w:tc>
                <w:tcPr>
                  <w:tcW w:w="415" w:type="pct"/>
                  <w:vAlign w:val="center"/>
                </w:tcPr>
                <w:p w14:paraId="238B6D8C">
                  <w:pPr>
                    <w:jc w:val="center"/>
                    <w:rPr>
                      <w:color w:val="auto"/>
                      <w:szCs w:val="21"/>
                    </w:rPr>
                  </w:pPr>
                  <w:r>
                    <w:rPr>
                      <w:rFonts w:hint="eastAsia"/>
                      <w:color w:val="auto"/>
                      <w:szCs w:val="21"/>
                    </w:rPr>
                    <w:t>61.3</w:t>
                  </w:r>
                </w:p>
              </w:tc>
              <w:tc>
                <w:tcPr>
                  <w:tcW w:w="184" w:type="pct"/>
                  <w:vAlign w:val="center"/>
                </w:tcPr>
                <w:p w14:paraId="61EEF06A">
                  <w:pPr>
                    <w:jc w:val="center"/>
                    <w:rPr>
                      <w:color w:val="auto"/>
                      <w:szCs w:val="21"/>
                    </w:rPr>
                  </w:pPr>
                  <w:r>
                    <w:rPr>
                      <w:color w:val="auto"/>
                      <w:szCs w:val="21"/>
                    </w:rPr>
                    <w:t>昼</w:t>
                  </w:r>
                </w:p>
              </w:tc>
              <w:tc>
                <w:tcPr>
                  <w:tcW w:w="442" w:type="pct"/>
                  <w:vAlign w:val="center"/>
                </w:tcPr>
                <w:p w14:paraId="191DFBBA">
                  <w:pPr>
                    <w:jc w:val="center"/>
                    <w:rPr>
                      <w:color w:val="auto"/>
                      <w:szCs w:val="21"/>
                    </w:rPr>
                  </w:pPr>
                  <w:r>
                    <w:rPr>
                      <w:rFonts w:hint="eastAsia"/>
                      <w:color w:val="auto"/>
                      <w:szCs w:val="21"/>
                    </w:rPr>
                    <w:t>25</w:t>
                  </w:r>
                </w:p>
              </w:tc>
              <w:tc>
                <w:tcPr>
                  <w:tcW w:w="350" w:type="pct"/>
                  <w:vAlign w:val="center"/>
                </w:tcPr>
                <w:p w14:paraId="2FCE7E03">
                  <w:pPr>
                    <w:jc w:val="center"/>
                    <w:rPr>
                      <w:color w:val="auto"/>
                      <w:szCs w:val="21"/>
                    </w:rPr>
                  </w:pPr>
                  <w:r>
                    <w:rPr>
                      <w:rFonts w:hint="eastAsia"/>
                      <w:color w:val="auto"/>
                      <w:szCs w:val="21"/>
                    </w:rPr>
                    <w:t>40.2</w:t>
                  </w:r>
                </w:p>
              </w:tc>
              <w:tc>
                <w:tcPr>
                  <w:tcW w:w="247" w:type="pct"/>
                  <w:vAlign w:val="center"/>
                </w:tcPr>
                <w:p w14:paraId="10595EBD">
                  <w:pPr>
                    <w:pStyle w:val="477"/>
                    <w:spacing w:after="0"/>
                    <w:rPr>
                      <w:color w:val="auto"/>
                      <w:szCs w:val="21"/>
                    </w:rPr>
                  </w:pPr>
                  <w:r>
                    <w:rPr>
                      <w:color w:val="auto"/>
                      <w:szCs w:val="21"/>
                    </w:rPr>
                    <w:t>1</w:t>
                  </w:r>
                </w:p>
              </w:tc>
            </w:tr>
          </w:tbl>
          <w:p w14:paraId="2D7F710A">
            <w:pPr>
              <w:keepNext/>
              <w:adjustRightInd w:val="0"/>
              <w:snapToGrid w:val="0"/>
              <w:rPr>
                <w:b/>
                <w:color w:val="auto"/>
                <w:szCs w:val="21"/>
              </w:rPr>
            </w:pPr>
            <w:r>
              <w:rPr>
                <w:b/>
                <w:color w:val="auto"/>
                <w:szCs w:val="21"/>
              </w:rPr>
              <w:t>注：以西南角水平地面为（0,0,0）点。</w:t>
            </w:r>
          </w:p>
          <w:p w14:paraId="3BCD7404">
            <w:pPr>
              <w:adjustRightInd w:val="0"/>
              <w:snapToGrid w:val="0"/>
              <w:ind w:firstLine="482" w:firstLineChars="200"/>
              <w:jc w:val="center"/>
              <w:rPr>
                <w:b/>
                <w:color w:val="auto"/>
                <w:sz w:val="24"/>
              </w:rPr>
            </w:pPr>
            <w:r>
              <w:rPr>
                <w:b/>
                <w:color w:val="auto"/>
                <w:sz w:val="24"/>
              </w:rPr>
              <w:t>表4-</w:t>
            </w:r>
            <w:r>
              <w:rPr>
                <w:rFonts w:hint="eastAsia"/>
                <w:b/>
                <w:color w:val="auto"/>
                <w:sz w:val="24"/>
              </w:rPr>
              <w:t>22</w:t>
            </w:r>
            <w:r>
              <w:rPr>
                <w:b/>
                <w:color w:val="auto"/>
                <w:sz w:val="24"/>
              </w:rPr>
              <w:t xml:space="preserve">  工业企业噪声源强调查清单（室外声源）</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795"/>
              <w:gridCol w:w="1474"/>
              <w:gridCol w:w="1367"/>
              <w:gridCol w:w="1367"/>
              <w:gridCol w:w="1377"/>
              <w:gridCol w:w="1541"/>
              <w:gridCol w:w="1377"/>
              <w:gridCol w:w="1197"/>
            </w:tblGrid>
            <w:tr w14:paraId="087B7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79" w:type="pct"/>
                  <w:vMerge w:val="restart"/>
                  <w:vAlign w:val="center"/>
                </w:tcPr>
                <w:p w14:paraId="5ED5E282">
                  <w:pPr>
                    <w:pStyle w:val="4003"/>
                    <w:ind w:firstLine="0" w:firstLineChars="0"/>
                    <w:jc w:val="center"/>
                    <w:rPr>
                      <w:rFonts w:cs="Times New Roman"/>
                      <w:b/>
                      <w:color w:val="auto"/>
                      <w:sz w:val="21"/>
                      <w:szCs w:val="21"/>
                    </w:rPr>
                  </w:pPr>
                  <w:r>
                    <w:rPr>
                      <w:rFonts w:cs="Times New Roman"/>
                      <w:b/>
                      <w:color w:val="auto"/>
                      <w:sz w:val="21"/>
                      <w:szCs w:val="21"/>
                    </w:rPr>
                    <w:t>序号</w:t>
                  </w:r>
                </w:p>
              </w:tc>
              <w:tc>
                <w:tcPr>
                  <w:tcW w:w="721" w:type="pct"/>
                  <w:vMerge w:val="restart"/>
                  <w:vAlign w:val="center"/>
                </w:tcPr>
                <w:p w14:paraId="366B83EF">
                  <w:pPr>
                    <w:pStyle w:val="4003"/>
                    <w:ind w:firstLine="0" w:firstLineChars="0"/>
                    <w:jc w:val="center"/>
                    <w:rPr>
                      <w:rFonts w:cs="Times New Roman"/>
                      <w:b/>
                      <w:color w:val="auto"/>
                      <w:sz w:val="21"/>
                      <w:szCs w:val="21"/>
                    </w:rPr>
                  </w:pPr>
                  <w:r>
                    <w:rPr>
                      <w:rFonts w:cs="Times New Roman"/>
                      <w:b/>
                      <w:color w:val="auto"/>
                      <w:sz w:val="21"/>
                      <w:szCs w:val="21"/>
                    </w:rPr>
                    <w:t>声源名称</w:t>
                  </w:r>
                </w:p>
              </w:tc>
              <w:tc>
                <w:tcPr>
                  <w:tcW w:w="592" w:type="pct"/>
                  <w:vMerge w:val="restart"/>
                  <w:vAlign w:val="center"/>
                </w:tcPr>
                <w:p w14:paraId="4DE5E2E7">
                  <w:pPr>
                    <w:pStyle w:val="4003"/>
                    <w:ind w:firstLine="0" w:firstLineChars="0"/>
                    <w:jc w:val="center"/>
                    <w:rPr>
                      <w:rFonts w:cs="Times New Roman"/>
                      <w:b/>
                      <w:color w:val="auto"/>
                      <w:sz w:val="21"/>
                      <w:szCs w:val="21"/>
                    </w:rPr>
                  </w:pPr>
                  <w:r>
                    <w:rPr>
                      <w:rFonts w:cs="Times New Roman"/>
                      <w:b/>
                      <w:color w:val="auto"/>
                      <w:sz w:val="21"/>
                      <w:szCs w:val="21"/>
                    </w:rPr>
                    <w:t>型号</w:t>
                  </w:r>
                </w:p>
              </w:tc>
              <w:tc>
                <w:tcPr>
                  <w:tcW w:w="1651" w:type="pct"/>
                  <w:gridSpan w:val="3"/>
                  <w:vAlign w:val="center"/>
                </w:tcPr>
                <w:p w14:paraId="58A383DF">
                  <w:pPr>
                    <w:pStyle w:val="4003"/>
                    <w:ind w:firstLine="0" w:firstLineChars="0"/>
                    <w:jc w:val="center"/>
                    <w:rPr>
                      <w:rFonts w:cs="Times New Roman"/>
                      <w:b/>
                      <w:color w:val="auto"/>
                      <w:sz w:val="21"/>
                      <w:szCs w:val="21"/>
                    </w:rPr>
                  </w:pPr>
                  <w:r>
                    <w:rPr>
                      <w:rFonts w:cs="Times New Roman"/>
                      <w:b/>
                      <w:color w:val="auto"/>
                      <w:sz w:val="21"/>
                      <w:szCs w:val="21"/>
                    </w:rPr>
                    <w:t>空间相对位置/m</w:t>
                  </w:r>
                </w:p>
              </w:tc>
              <w:tc>
                <w:tcPr>
                  <w:tcW w:w="619" w:type="pct"/>
                  <w:vMerge w:val="restart"/>
                  <w:vAlign w:val="center"/>
                </w:tcPr>
                <w:p w14:paraId="19375A2D">
                  <w:pPr>
                    <w:pStyle w:val="4003"/>
                    <w:ind w:firstLine="0" w:firstLineChars="0"/>
                    <w:jc w:val="center"/>
                    <w:rPr>
                      <w:rFonts w:cs="Times New Roman"/>
                      <w:b/>
                      <w:color w:val="auto"/>
                      <w:sz w:val="21"/>
                      <w:szCs w:val="21"/>
                    </w:rPr>
                  </w:pPr>
                  <w:r>
                    <w:rPr>
                      <w:rFonts w:cs="Times New Roman"/>
                      <w:b/>
                      <w:color w:val="auto"/>
                      <w:sz w:val="21"/>
                      <w:szCs w:val="21"/>
                    </w:rPr>
                    <w:t>声源源强dB(A)</w:t>
                  </w:r>
                </w:p>
              </w:tc>
              <w:tc>
                <w:tcPr>
                  <w:tcW w:w="553" w:type="pct"/>
                  <w:vMerge w:val="restart"/>
                  <w:vAlign w:val="center"/>
                </w:tcPr>
                <w:p w14:paraId="0F3A9FFE">
                  <w:pPr>
                    <w:pStyle w:val="4003"/>
                    <w:ind w:firstLine="0" w:firstLineChars="0"/>
                    <w:jc w:val="center"/>
                    <w:rPr>
                      <w:rFonts w:cs="Times New Roman"/>
                      <w:b/>
                      <w:color w:val="auto"/>
                      <w:sz w:val="21"/>
                      <w:szCs w:val="21"/>
                    </w:rPr>
                  </w:pPr>
                  <w:r>
                    <w:rPr>
                      <w:rFonts w:cs="Times New Roman"/>
                      <w:b/>
                      <w:color w:val="auto"/>
                      <w:sz w:val="21"/>
                      <w:szCs w:val="21"/>
                    </w:rPr>
                    <w:t>声源控制措施</w:t>
                  </w:r>
                </w:p>
              </w:tc>
              <w:tc>
                <w:tcPr>
                  <w:tcW w:w="481" w:type="pct"/>
                  <w:vMerge w:val="restart"/>
                  <w:vAlign w:val="center"/>
                </w:tcPr>
                <w:p w14:paraId="59B41EB0">
                  <w:pPr>
                    <w:pStyle w:val="4003"/>
                    <w:ind w:firstLine="0" w:firstLineChars="0"/>
                    <w:jc w:val="center"/>
                    <w:rPr>
                      <w:rFonts w:cs="Times New Roman"/>
                      <w:b/>
                      <w:color w:val="auto"/>
                      <w:sz w:val="21"/>
                      <w:szCs w:val="21"/>
                    </w:rPr>
                  </w:pPr>
                  <w:r>
                    <w:rPr>
                      <w:rFonts w:cs="Times New Roman"/>
                      <w:b/>
                      <w:color w:val="auto"/>
                      <w:sz w:val="21"/>
                      <w:szCs w:val="21"/>
                    </w:rPr>
                    <w:t>运行时段</w:t>
                  </w:r>
                </w:p>
              </w:tc>
            </w:tr>
            <w:tr w14:paraId="57F0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Merge w:val="continue"/>
                  <w:vAlign w:val="center"/>
                </w:tcPr>
                <w:p w14:paraId="4A87F151">
                  <w:pPr>
                    <w:pStyle w:val="4003"/>
                    <w:ind w:firstLine="0" w:firstLineChars="0"/>
                    <w:jc w:val="center"/>
                    <w:rPr>
                      <w:rFonts w:cs="Times New Roman"/>
                      <w:color w:val="auto"/>
                      <w:sz w:val="21"/>
                      <w:szCs w:val="21"/>
                    </w:rPr>
                  </w:pPr>
                </w:p>
              </w:tc>
              <w:tc>
                <w:tcPr>
                  <w:tcW w:w="721" w:type="pct"/>
                  <w:vMerge w:val="continue"/>
                  <w:vAlign w:val="center"/>
                </w:tcPr>
                <w:p w14:paraId="44E2179B">
                  <w:pPr>
                    <w:pStyle w:val="4003"/>
                    <w:ind w:firstLine="0" w:firstLineChars="0"/>
                    <w:jc w:val="center"/>
                    <w:rPr>
                      <w:rFonts w:cs="Times New Roman"/>
                      <w:color w:val="auto"/>
                      <w:sz w:val="21"/>
                      <w:szCs w:val="21"/>
                    </w:rPr>
                  </w:pPr>
                </w:p>
              </w:tc>
              <w:tc>
                <w:tcPr>
                  <w:tcW w:w="592" w:type="pct"/>
                  <w:vMerge w:val="continue"/>
                  <w:vAlign w:val="center"/>
                </w:tcPr>
                <w:p w14:paraId="6B6E7D74">
                  <w:pPr>
                    <w:pStyle w:val="4003"/>
                    <w:ind w:firstLine="0" w:firstLineChars="0"/>
                    <w:jc w:val="center"/>
                    <w:rPr>
                      <w:rFonts w:cs="Times New Roman"/>
                      <w:color w:val="auto"/>
                      <w:sz w:val="21"/>
                      <w:szCs w:val="21"/>
                    </w:rPr>
                  </w:pPr>
                </w:p>
              </w:tc>
              <w:tc>
                <w:tcPr>
                  <w:tcW w:w="549" w:type="pct"/>
                  <w:vAlign w:val="center"/>
                </w:tcPr>
                <w:p w14:paraId="7B81BA9E">
                  <w:pPr>
                    <w:pStyle w:val="4003"/>
                    <w:ind w:firstLine="0" w:firstLineChars="0"/>
                    <w:jc w:val="center"/>
                    <w:rPr>
                      <w:rFonts w:cs="Times New Roman"/>
                      <w:b/>
                      <w:color w:val="auto"/>
                      <w:sz w:val="21"/>
                      <w:szCs w:val="21"/>
                    </w:rPr>
                  </w:pPr>
                  <w:r>
                    <w:rPr>
                      <w:rFonts w:cs="Times New Roman"/>
                      <w:b/>
                      <w:color w:val="auto"/>
                      <w:sz w:val="21"/>
                      <w:szCs w:val="21"/>
                    </w:rPr>
                    <w:t>X</w:t>
                  </w:r>
                </w:p>
              </w:tc>
              <w:tc>
                <w:tcPr>
                  <w:tcW w:w="549" w:type="pct"/>
                  <w:vAlign w:val="center"/>
                </w:tcPr>
                <w:p w14:paraId="0D895057">
                  <w:pPr>
                    <w:pStyle w:val="4003"/>
                    <w:ind w:firstLine="0" w:firstLineChars="0"/>
                    <w:jc w:val="center"/>
                    <w:rPr>
                      <w:rFonts w:cs="Times New Roman"/>
                      <w:b/>
                      <w:color w:val="auto"/>
                      <w:sz w:val="21"/>
                      <w:szCs w:val="21"/>
                    </w:rPr>
                  </w:pPr>
                  <w:r>
                    <w:rPr>
                      <w:rFonts w:cs="Times New Roman"/>
                      <w:b/>
                      <w:color w:val="auto"/>
                      <w:sz w:val="21"/>
                      <w:szCs w:val="21"/>
                    </w:rPr>
                    <w:t>Y</w:t>
                  </w:r>
                </w:p>
              </w:tc>
              <w:tc>
                <w:tcPr>
                  <w:tcW w:w="552" w:type="pct"/>
                  <w:vAlign w:val="center"/>
                </w:tcPr>
                <w:p w14:paraId="33E80836">
                  <w:pPr>
                    <w:pStyle w:val="4003"/>
                    <w:ind w:firstLine="0" w:firstLineChars="0"/>
                    <w:jc w:val="center"/>
                    <w:rPr>
                      <w:rFonts w:cs="Times New Roman"/>
                      <w:b/>
                      <w:color w:val="auto"/>
                      <w:sz w:val="21"/>
                      <w:szCs w:val="21"/>
                    </w:rPr>
                  </w:pPr>
                  <w:r>
                    <w:rPr>
                      <w:rFonts w:cs="Times New Roman"/>
                      <w:b/>
                      <w:color w:val="auto"/>
                      <w:sz w:val="21"/>
                      <w:szCs w:val="21"/>
                    </w:rPr>
                    <w:t>Z</w:t>
                  </w:r>
                </w:p>
              </w:tc>
              <w:tc>
                <w:tcPr>
                  <w:tcW w:w="619" w:type="pct"/>
                  <w:vMerge w:val="continue"/>
                  <w:vAlign w:val="center"/>
                </w:tcPr>
                <w:p w14:paraId="67D8B28F">
                  <w:pPr>
                    <w:pStyle w:val="4003"/>
                    <w:ind w:firstLine="0" w:firstLineChars="0"/>
                    <w:jc w:val="center"/>
                    <w:rPr>
                      <w:rFonts w:cs="Times New Roman"/>
                      <w:color w:val="auto"/>
                      <w:sz w:val="21"/>
                      <w:szCs w:val="21"/>
                    </w:rPr>
                  </w:pPr>
                </w:p>
              </w:tc>
              <w:tc>
                <w:tcPr>
                  <w:tcW w:w="553" w:type="pct"/>
                  <w:vMerge w:val="continue"/>
                  <w:vAlign w:val="center"/>
                </w:tcPr>
                <w:p w14:paraId="09917A72">
                  <w:pPr>
                    <w:pStyle w:val="4003"/>
                    <w:ind w:firstLine="0" w:firstLineChars="0"/>
                    <w:jc w:val="center"/>
                    <w:rPr>
                      <w:rFonts w:cs="Times New Roman"/>
                      <w:color w:val="auto"/>
                      <w:sz w:val="21"/>
                      <w:szCs w:val="21"/>
                    </w:rPr>
                  </w:pPr>
                </w:p>
              </w:tc>
              <w:tc>
                <w:tcPr>
                  <w:tcW w:w="481" w:type="pct"/>
                  <w:vMerge w:val="continue"/>
                  <w:vAlign w:val="center"/>
                </w:tcPr>
                <w:p w14:paraId="1990A7B5">
                  <w:pPr>
                    <w:pStyle w:val="4003"/>
                    <w:ind w:firstLine="0" w:firstLineChars="0"/>
                    <w:jc w:val="center"/>
                    <w:rPr>
                      <w:rFonts w:cs="Times New Roman"/>
                      <w:color w:val="auto"/>
                      <w:sz w:val="21"/>
                      <w:szCs w:val="21"/>
                    </w:rPr>
                  </w:pPr>
                </w:p>
              </w:tc>
            </w:tr>
            <w:tr w14:paraId="4F802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364B145">
                  <w:pPr>
                    <w:pStyle w:val="4003"/>
                    <w:ind w:firstLine="0" w:firstLineChars="0"/>
                    <w:jc w:val="center"/>
                    <w:rPr>
                      <w:rFonts w:cs="Times New Roman"/>
                      <w:color w:val="auto"/>
                      <w:sz w:val="21"/>
                      <w:szCs w:val="21"/>
                    </w:rPr>
                  </w:pPr>
                  <w:r>
                    <w:rPr>
                      <w:rFonts w:cs="Times New Roman"/>
                      <w:color w:val="auto"/>
                      <w:sz w:val="21"/>
                      <w:szCs w:val="21"/>
                    </w:rPr>
                    <w:t>1</w:t>
                  </w:r>
                </w:p>
              </w:tc>
              <w:tc>
                <w:tcPr>
                  <w:tcW w:w="721" w:type="pct"/>
                  <w:vAlign w:val="center"/>
                </w:tcPr>
                <w:p w14:paraId="39811349">
                  <w:pPr>
                    <w:pStyle w:val="4003"/>
                    <w:ind w:firstLine="0" w:firstLineChars="0"/>
                    <w:jc w:val="center"/>
                    <w:rPr>
                      <w:rFonts w:cs="Times New Roman"/>
                      <w:color w:val="auto"/>
                      <w:sz w:val="21"/>
                      <w:szCs w:val="21"/>
                    </w:rPr>
                  </w:pPr>
                  <w:r>
                    <w:rPr>
                      <w:rFonts w:cs="Times New Roman"/>
                      <w:color w:val="auto"/>
                      <w:sz w:val="21"/>
                      <w:szCs w:val="21"/>
                    </w:rPr>
                    <w:t>风机</w:t>
                  </w:r>
                </w:p>
              </w:tc>
              <w:tc>
                <w:tcPr>
                  <w:tcW w:w="592" w:type="pct"/>
                  <w:vAlign w:val="center"/>
                </w:tcPr>
                <w:p w14:paraId="5E9932C7">
                  <w:pPr>
                    <w:pStyle w:val="4003"/>
                    <w:ind w:firstLine="0" w:firstLineChars="0"/>
                    <w:jc w:val="center"/>
                    <w:rPr>
                      <w:rFonts w:cs="Times New Roman"/>
                      <w:color w:val="auto"/>
                      <w:sz w:val="21"/>
                      <w:szCs w:val="21"/>
                    </w:rPr>
                  </w:pPr>
                  <w:r>
                    <w:rPr>
                      <w:rFonts w:cs="Times New Roman"/>
                      <w:color w:val="auto"/>
                      <w:sz w:val="21"/>
                      <w:szCs w:val="21"/>
                    </w:rPr>
                    <w:t>/</w:t>
                  </w:r>
                </w:p>
              </w:tc>
              <w:tc>
                <w:tcPr>
                  <w:tcW w:w="549" w:type="pct"/>
                  <w:vAlign w:val="center"/>
                </w:tcPr>
                <w:p w14:paraId="3AAF3E3D">
                  <w:pPr>
                    <w:pStyle w:val="4003"/>
                    <w:ind w:firstLine="0" w:firstLineChars="0"/>
                    <w:jc w:val="center"/>
                    <w:rPr>
                      <w:rFonts w:cs="Times New Roman"/>
                      <w:color w:val="auto"/>
                      <w:sz w:val="21"/>
                      <w:szCs w:val="21"/>
                    </w:rPr>
                  </w:pPr>
                  <w:r>
                    <w:rPr>
                      <w:rFonts w:hint="eastAsia" w:cs="Times New Roman"/>
                      <w:color w:val="auto"/>
                      <w:sz w:val="21"/>
                      <w:szCs w:val="21"/>
                    </w:rPr>
                    <w:t>0</w:t>
                  </w:r>
                </w:p>
              </w:tc>
              <w:tc>
                <w:tcPr>
                  <w:tcW w:w="549" w:type="pct"/>
                  <w:vAlign w:val="center"/>
                </w:tcPr>
                <w:p w14:paraId="29EE40C4">
                  <w:pPr>
                    <w:pStyle w:val="4003"/>
                    <w:ind w:firstLine="0" w:firstLineChars="0"/>
                    <w:jc w:val="center"/>
                    <w:rPr>
                      <w:rFonts w:cs="Times New Roman"/>
                      <w:color w:val="auto"/>
                      <w:sz w:val="21"/>
                      <w:szCs w:val="21"/>
                    </w:rPr>
                  </w:pPr>
                  <w:r>
                    <w:rPr>
                      <w:rFonts w:hint="eastAsia" w:cs="Times New Roman"/>
                      <w:color w:val="auto"/>
                      <w:sz w:val="21"/>
                      <w:szCs w:val="21"/>
                    </w:rPr>
                    <w:t>152</w:t>
                  </w:r>
                </w:p>
              </w:tc>
              <w:tc>
                <w:tcPr>
                  <w:tcW w:w="552" w:type="pct"/>
                  <w:vAlign w:val="center"/>
                </w:tcPr>
                <w:p w14:paraId="0ECEA669">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20E50910">
                  <w:pPr>
                    <w:pStyle w:val="4003"/>
                    <w:ind w:firstLine="0" w:firstLineChars="0"/>
                    <w:jc w:val="center"/>
                    <w:rPr>
                      <w:rFonts w:cs="Times New Roman"/>
                      <w:color w:val="auto"/>
                      <w:sz w:val="21"/>
                      <w:szCs w:val="21"/>
                    </w:rPr>
                  </w:pPr>
                  <w:r>
                    <w:rPr>
                      <w:rFonts w:cs="Times New Roman"/>
                      <w:color w:val="auto"/>
                      <w:sz w:val="21"/>
                      <w:szCs w:val="21"/>
                    </w:rPr>
                    <w:t>8</w:t>
                  </w:r>
                  <w:r>
                    <w:rPr>
                      <w:rFonts w:hint="eastAsia" w:cs="Times New Roman"/>
                      <w:color w:val="auto"/>
                      <w:sz w:val="21"/>
                      <w:szCs w:val="21"/>
                    </w:rPr>
                    <w:t>0</w:t>
                  </w:r>
                </w:p>
              </w:tc>
              <w:tc>
                <w:tcPr>
                  <w:tcW w:w="553" w:type="pct"/>
                  <w:vAlign w:val="center"/>
                </w:tcPr>
                <w:p w14:paraId="7A9E1F41">
                  <w:pPr>
                    <w:pStyle w:val="4003"/>
                    <w:ind w:firstLine="0" w:firstLineChars="0"/>
                    <w:jc w:val="center"/>
                    <w:rPr>
                      <w:rFonts w:cs="Times New Roman"/>
                      <w:color w:val="auto"/>
                      <w:sz w:val="21"/>
                      <w:szCs w:val="21"/>
                    </w:rPr>
                  </w:pPr>
                  <w:r>
                    <w:rPr>
                      <w:rFonts w:cs="Times New Roman"/>
                      <w:color w:val="auto"/>
                      <w:sz w:val="21"/>
                      <w:szCs w:val="21"/>
                    </w:rPr>
                    <w:t>距离衰减</w:t>
                  </w:r>
                </w:p>
              </w:tc>
              <w:tc>
                <w:tcPr>
                  <w:tcW w:w="481" w:type="pct"/>
                  <w:vAlign w:val="center"/>
                </w:tcPr>
                <w:p w14:paraId="05AD0177">
                  <w:pPr>
                    <w:pStyle w:val="4003"/>
                    <w:ind w:firstLine="0" w:firstLineChars="0"/>
                    <w:jc w:val="center"/>
                    <w:rPr>
                      <w:rFonts w:cs="Times New Roman"/>
                      <w:color w:val="auto"/>
                      <w:sz w:val="21"/>
                      <w:szCs w:val="21"/>
                    </w:rPr>
                  </w:pPr>
                  <w:r>
                    <w:rPr>
                      <w:rFonts w:cs="Times New Roman"/>
                      <w:color w:val="auto"/>
                      <w:sz w:val="21"/>
                      <w:szCs w:val="21"/>
                    </w:rPr>
                    <w:t>昼</w:t>
                  </w:r>
                </w:p>
              </w:tc>
            </w:tr>
            <w:tr w14:paraId="18738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718E60C7">
                  <w:pPr>
                    <w:pStyle w:val="4003"/>
                    <w:ind w:firstLine="0" w:firstLineChars="0"/>
                    <w:jc w:val="center"/>
                    <w:rPr>
                      <w:rFonts w:cs="Times New Roman"/>
                      <w:color w:val="auto"/>
                      <w:sz w:val="21"/>
                      <w:szCs w:val="21"/>
                    </w:rPr>
                  </w:pPr>
                  <w:r>
                    <w:rPr>
                      <w:rFonts w:hint="eastAsia" w:cs="Times New Roman"/>
                      <w:color w:val="auto"/>
                      <w:sz w:val="21"/>
                      <w:szCs w:val="21"/>
                    </w:rPr>
                    <w:t>2</w:t>
                  </w:r>
                </w:p>
              </w:tc>
              <w:tc>
                <w:tcPr>
                  <w:tcW w:w="721" w:type="pct"/>
                  <w:vAlign w:val="center"/>
                </w:tcPr>
                <w:p w14:paraId="70133803">
                  <w:pPr>
                    <w:jc w:val="center"/>
                    <w:rPr>
                      <w:color w:val="auto"/>
                      <w:szCs w:val="21"/>
                    </w:rPr>
                  </w:pPr>
                  <w:r>
                    <w:rPr>
                      <w:color w:val="auto"/>
                      <w:szCs w:val="21"/>
                    </w:rPr>
                    <w:t>风机</w:t>
                  </w:r>
                </w:p>
              </w:tc>
              <w:tc>
                <w:tcPr>
                  <w:tcW w:w="592" w:type="pct"/>
                  <w:vAlign w:val="center"/>
                </w:tcPr>
                <w:p w14:paraId="0F588DC4">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7B46D282">
                  <w:pPr>
                    <w:pStyle w:val="4003"/>
                    <w:ind w:firstLine="0" w:firstLineChars="0"/>
                    <w:jc w:val="center"/>
                    <w:rPr>
                      <w:rFonts w:cs="Times New Roman"/>
                      <w:color w:val="auto"/>
                      <w:sz w:val="21"/>
                      <w:szCs w:val="21"/>
                    </w:rPr>
                  </w:pPr>
                  <w:r>
                    <w:rPr>
                      <w:rFonts w:hint="eastAsia" w:cs="Times New Roman"/>
                      <w:color w:val="auto"/>
                      <w:sz w:val="21"/>
                      <w:szCs w:val="21"/>
                    </w:rPr>
                    <w:t>150</w:t>
                  </w:r>
                </w:p>
              </w:tc>
              <w:tc>
                <w:tcPr>
                  <w:tcW w:w="549" w:type="pct"/>
                  <w:vAlign w:val="center"/>
                </w:tcPr>
                <w:p w14:paraId="04678AD5">
                  <w:pPr>
                    <w:pStyle w:val="4003"/>
                    <w:ind w:firstLine="0" w:firstLineChars="0"/>
                    <w:jc w:val="center"/>
                    <w:rPr>
                      <w:rFonts w:cs="Times New Roman"/>
                      <w:color w:val="auto"/>
                      <w:sz w:val="21"/>
                      <w:szCs w:val="21"/>
                    </w:rPr>
                  </w:pPr>
                  <w:r>
                    <w:rPr>
                      <w:rFonts w:hint="eastAsia" w:cs="Times New Roman"/>
                      <w:color w:val="auto"/>
                      <w:sz w:val="21"/>
                      <w:szCs w:val="21"/>
                    </w:rPr>
                    <w:t>0</w:t>
                  </w:r>
                </w:p>
              </w:tc>
              <w:tc>
                <w:tcPr>
                  <w:tcW w:w="552" w:type="pct"/>
                  <w:vAlign w:val="center"/>
                </w:tcPr>
                <w:p w14:paraId="62098358">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1D985799">
                  <w:pPr>
                    <w:jc w:val="center"/>
                    <w:rPr>
                      <w:color w:val="auto"/>
                      <w:szCs w:val="21"/>
                    </w:rPr>
                  </w:pPr>
                  <w:r>
                    <w:rPr>
                      <w:color w:val="auto"/>
                      <w:szCs w:val="21"/>
                    </w:rPr>
                    <w:t>8</w:t>
                  </w:r>
                  <w:r>
                    <w:rPr>
                      <w:rFonts w:hint="eastAsia"/>
                      <w:color w:val="auto"/>
                      <w:szCs w:val="21"/>
                    </w:rPr>
                    <w:t>0</w:t>
                  </w:r>
                </w:p>
              </w:tc>
              <w:tc>
                <w:tcPr>
                  <w:tcW w:w="553" w:type="pct"/>
                  <w:vAlign w:val="center"/>
                </w:tcPr>
                <w:p w14:paraId="46C456C1">
                  <w:pPr>
                    <w:jc w:val="center"/>
                    <w:rPr>
                      <w:color w:val="auto"/>
                      <w:szCs w:val="21"/>
                    </w:rPr>
                  </w:pPr>
                  <w:r>
                    <w:rPr>
                      <w:color w:val="auto"/>
                      <w:szCs w:val="21"/>
                    </w:rPr>
                    <w:t>距离衰减</w:t>
                  </w:r>
                </w:p>
              </w:tc>
              <w:tc>
                <w:tcPr>
                  <w:tcW w:w="481" w:type="pct"/>
                  <w:vAlign w:val="center"/>
                </w:tcPr>
                <w:p w14:paraId="42C737A2">
                  <w:pPr>
                    <w:jc w:val="center"/>
                    <w:rPr>
                      <w:color w:val="auto"/>
                      <w:szCs w:val="21"/>
                    </w:rPr>
                  </w:pPr>
                  <w:r>
                    <w:rPr>
                      <w:color w:val="auto"/>
                      <w:szCs w:val="21"/>
                    </w:rPr>
                    <w:t>昼</w:t>
                  </w:r>
                </w:p>
              </w:tc>
            </w:tr>
            <w:tr w14:paraId="1FBF3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70A2A647">
                  <w:pPr>
                    <w:pStyle w:val="4003"/>
                    <w:ind w:firstLine="0" w:firstLineChars="0"/>
                    <w:jc w:val="center"/>
                    <w:rPr>
                      <w:rFonts w:cs="Times New Roman"/>
                      <w:color w:val="auto"/>
                      <w:sz w:val="21"/>
                      <w:szCs w:val="21"/>
                    </w:rPr>
                  </w:pPr>
                  <w:r>
                    <w:rPr>
                      <w:rFonts w:hint="eastAsia" w:cs="Times New Roman"/>
                      <w:color w:val="auto"/>
                      <w:sz w:val="21"/>
                      <w:szCs w:val="21"/>
                    </w:rPr>
                    <w:t>3</w:t>
                  </w:r>
                </w:p>
              </w:tc>
              <w:tc>
                <w:tcPr>
                  <w:tcW w:w="721" w:type="pct"/>
                  <w:vAlign w:val="center"/>
                </w:tcPr>
                <w:p w14:paraId="1DF12C28">
                  <w:pPr>
                    <w:jc w:val="center"/>
                    <w:rPr>
                      <w:color w:val="auto"/>
                      <w:szCs w:val="21"/>
                    </w:rPr>
                  </w:pPr>
                  <w:r>
                    <w:rPr>
                      <w:color w:val="auto"/>
                      <w:szCs w:val="21"/>
                    </w:rPr>
                    <w:t>风机</w:t>
                  </w:r>
                </w:p>
              </w:tc>
              <w:tc>
                <w:tcPr>
                  <w:tcW w:w="592" w:type="pct"/>
                  <w:vAlign w:val="center"/>
                </w:tcPr>
                <w:p w14:paraId="0574AF3D">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4EE13250">
                  <w:pPr>
                    <w:pStyle w:val="4003"/>
                    <w:ind w:firstLine="0" w:firstLineChars="0"/>
                    <w:jc w:val="center"/>
                    <w:rPr>
                      <w:rFonts w:cs="Times New Roman"/>
                      <w:color w:val="auto"/>
                      <w:sz w:val="21"/>
                      <w:szCs w:val="21"/>
                    </w:rPr>
                  </w:pPr>
                  <w:r>
                    <w:rPr>
                      <w:rFonts w:hint="eastAsia" w:cs="Times New Roman"/>
                      <w:color w:val="auto"/>
                      <w:sz w:val="21"/>
                      <w:szCs w:val="21"/>
                    </w:rPr>
                    <w:t>110</w:t>
                  </w:r>
                </w:p>
              </w:tc>
              <w:tc>
                <w:tcPr>
                  <w:tcW w:w="549" w:type="pct"/>
                  <w:vAlign w:val="center"/>
                </w:tcPr>
                <w:p w14:paraId="6BE92A81">
                  <w:pPr>
                    <w:pStyle w:val="4003"/>
                    <w:ind w:firstLine="0" w:firstLineChars="0"/>
                    <w:jc w:val="center"/>
                    <w:rPr>
                      <w:rFonts w:cs="Times New Roman"/>
                      <w:color w:val="auto"/>
                      <w:sz w:val="21"/>
                      <w:szCs w:val="21"/>
                    </w:rPr>
                  </w:pPr>
                  <w:r>
                    <w:rPr>
                      <w:rFonts w:hint="eastAsia" w:cs="Times New Roman"/>
                      <w:color w:val="auto"/>
                      <w:sz w:val="21"/>
                      <w:szCs w:val="21"/>
                    </w:rPr>
                    <w:t>45</w:t>
                  </w:r>
                </w:p>
              </w:tc>
              <w:tc>
                <w:tcPr>
                  <w:tcW w:w="552" w:type="pct"/>
                  <w:vAlign w:val="center"/>
                </w:tcPr>
                <w:p w14:paraId="2ECF068C">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1BBFA50F">
                  <w:pPr>
                    <w:jc w:val="center"/>
                    <w:rPr>
                      <w:color w:val="auto"/>
                      <w:szCs w:val="21"/>
                    </w:rPr>
                  </w:pPr>
                  <w:r>
                    <w:rPr>
                      <w:color w:val="auto"/>
                      <w:szCs w:val="21"/>
                    </w:rPr>
                    <w:t>8</w:t>
                  </w:r>
                  <w:r>
                    <w:rPr>
                      <w:rFonts w:hint="eastAsia"/>
                      <w:color w:val="auto"/>
                      <w:szCs w:val="21"/>
                    </w:rPr>
                    <w:t>0</w:t>
                  </w:r>
                </w:p>
              </w:tc>
              <w:tc>
                <w:tcPr>
                  <w:tcW w:w="553" w:type="pct"/>
                  <w:vAlign w:val="center"/>
                </w:tcPr>
                <w:p w14:paraId="186B07E8">
                  <w:pPr>
                    <w:jc w:val="center"/>
                    <w:rPr>
                      <w:color w:val="auto"/>
                      <w:szCs w:val="21"/>
                    </w:rPr>
                  </w:pPr>
                  <w:r>
                    <w:rPr>
                      <w:color w:val="auto"/>
                      <w:szCs w:val="21"/>
                    </w:rPr>
                    <w:t>距离衰减</w:t>
                  </w:r>
                </w:p>
              </w:tc>
              <w:tc>
                <w:tcPr>
                  <w:tcW w:w="481" w:type="pct"/>
                  <w:vAlign w:val="center"/>
                </w:tcPr>
                <w:p w14:paraId="6C88C1A1">
                  <w:pPr>
                    <w:jc w:val="center"/>
                    <w:rPr>
                      <w:color w:val="auto"/>
                      <w:szCs w:val="21"/>
                    </w:rPr>
                  </w:pPr>
                  <w:r>
                    <w:rPr>
                      <w:color w:val="auto"/>
                      <w:szCs w:val="21"/>
                    </w:rPr>
                    <w:t>昼</w:t>
                  </w:r>
                </w:p>
              </w:tc>
            </w:tr>
            <w:tr w14:paraId="642F9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2722A0C9">
                  <w:pPr>
                    <w:pStyle w:val="4003"/>
                    <w:ind w:firstLine="0" w:firstLineChars="0"/>
                    <w:jc w:val="center"/>
                    <w:rPr>
                      <w:rFonts w:cs="Times New Roman"/>
                      <w:color w:val="auto"/>
                      <w:sz w:val="21"/>
                      <w:szCs w:val="21"/>
                    </w:rPr>
                  </w:pPr>
                  <w:r>
                    <w:rPr>
                      <w:rFonts w:hint="eastAsia" w:cs="Times New Roman"/>
                      <w:color w:val="auto"/>
                      <w:sz w:val="21"/>
                      <w:szCs w:val="21"/>
                    </w:rPr>
                    <w:t>4</w:t>
                  </w:r>
                </w:p>
              </w:tc>
              <w:tc>
                <w:tcPr>
                  <w:tcW w:w="721" w:type="pct"/>
                  <w:vAlign w:val="center"/>
                </w:tcPr>
                <w:p w14:paraId="7F00E913">
                  <w:pPr>
                    <w:jc w:val="center"/>
                    <w:rPr>
                      <w:color w:val="auto"/>
                      <w:szCs w:val="21"/>
                    </w:rPr>
                  </w:pPr>
                  <w:r>
                    <w:rPr>
                      <w:color w:val="auto"/>
                      <w:szCs w:val="21"/>
                    </w:rPr>
                    <w:t>风机</w:t>
                  </w:r>
                </w:p>
              </w:tc>
              <w:tc>
                <w:tcPr>
                  <w:tcW w:w="592" w:type="pct"/>
                  <w:vAlign w:val="center"/>
                </w:tcPr>
                <w:p w14:paraId="17718CBE">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28A0E370">
                  <w:pPr>
                    <w:pStyle w:val="4003"/>
                    <w:ind w:firstLine="0" w:firstLineChars="0"/>
                    <w:jc w:val="center"/>
                    <w:rPr>
                      <w:rFonts w:cs="Times New Roman"/>
                      <w:color w:val="auto"/>
                      <w:sz w:val="21"/>
                      <w:szCs w:val="21"/>
                    </w:rPr>
                  </w:pPr>
                  <w:r>
                    <w:rPr>
                      <w:rFonts w:hint="eastAsia" w:cs="Times New Roman"/>
                      <w:color w:val="auto"/>
                      <w:sz w:val="21"/>
                      <w:szCs w:val="21"/>
                    </w:rPr>
                    <w:t>160</w:t>
                  </w:r>
                </w:p>
              </w:tc>
              <w:tc>
                <w:tcPr>
                  <w:tcW w:w="549" w:type="pct"/>
                  <w:vAlign w:val="center"/>
                </w:tcPr>
                <w:p w14:paraId="3E9EB8D8">
                  <w:pPr>
                    <w:pStyle w:val="4003"/>
                    <w:ind w:firstLine="0" w:firstLineChars="0"/>
                    <w:jc w:val="center"/>
                    <w:rPr>
                      <w:rFonts w:cs="Times New Roman"/>
                      <w:color w:val="auto"/>
                      <w:sz w:val="21"/>
                      <w:szCs w:val="21"/>
                    </w:rPr>
                  </w:pPr>
                  <w:r>
                    <w:rPr>
                      <w:rFonts w:hint="eastAsia" w:cs="Times New Roman"/>
                      <w:color w:val="auto"/>
                      <w:sz w:val="21"/>
                      <w:szCs w:val="21"/>
                    </w:rPr>
                    <w:t>100</w:t>
                  </w:r>
                </w:p>
              </w:tc>
              <w:tc>
                <w:tcPr>
                  <w:tcW w:w="552" w:type="pct"/>
                  <w:vAlign w:val="center"/>
                </w:tcPr>
                <w:p w14:paraId="14524AB9">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6C1E2DC4">
                  <w:pPr>
                    <w:jc w:val="center"/>
                    <w:rPr>
                      <w:color w:val="auto"/>
                      <w:szCs w:val="21"/>
                    </w:rPr>
                  </w:pPr>
                  <w:r>
                    <w:rPr>
                      <w:color w:val="auto"/>
                      <w:szCs w:val="21"/>
                    </w:rPr>
                    <w:t>8</w:t>
                  </w:r>
                  <w:r>
                    <w:rPr>
                      <w:rFonts w:hint="eastAsia"/>
                      <w:color w:val="auto"/>
                      <w:szCs w:val="21"/>
                    </w:rPr>
                    <w:t>0</w:t>
                  </w:r>
                </w:p>
              </w:tc>
              <w:tc>
                <w:tcPr>
                  <w:tcW w:w="553" w:type="pct"/>
                  <w:vAlign w:val="center"/>
                </w:tcPr>
                <w:p w14:paraId="3F0D6118">
                  <w:pPr>
                    <w:jc w:val="center"/>
                    <w:rPr>
                      <w:color w:val="auto"/>
                      <w:szCs w:val="21"/>
                    </w:rPr>
                  </w:pPr>
                  <w:r>
                    <w:rPr>
                      <w:color w:val="auto"/>
                      <w:szCs w:val="21"/>
                    </w:rPr>
                    <w:t>距离衰减</w:t>
                  </w:r>
                </w:p>
              </w:tc>
              <w:tc>
                <w:tcPr>
                  <w:tcW w:w="481" w:type="pct"/>
                  <w:vAlign w:val="center"/>
                </w:tcPr>
                <w:p w14:paraId="52AD1DA5">
                  <w:pPr>
                    <w:jc w:val="center"/>
                    <w:rPr>
                      <w:color w:val="auto"/>
                      <w:szCs w:val="21"/>
                    </w:rPr>
                  </w:pPr>
                  <w:r>
                    <w:rPr>
                      <w:color w:val="auto"/>
                      <w:szCs w:val="21"/>
                    </w:rPr>
                    <w:t>昼</w:t>
                  </w:r>
                </w:p>
              </w:tc>
            </w:tr>
            <w:tr w14:paraId="383CB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37C06BED">
                  <w:pPr>
                    <w:pStyle w:val="4003"/>
                    <w:ind w:firstLine="0" w:firstLineChars="0"/>
                    <w:jc w:val="center"/>
                    <w:rPr>
                      <w:rFonts w:cs="Times New Roman"/>
                      <w:color w:val="auto"/>
                      <w:sz w:val="21"/>
                      <w:szCs w:val="21"/>
                    </w:rPr>
                  </w:pPr>
                  <w:r>
                    <w:rPr>
                      <w:rFonts w:hint="eastAsia" w:cs="Times New Roman"/>
                      <w:color w:val="auto"/>
                      <w:sz w:val="21"/>
                      <w:szCs w:val="21"/>
                    </w:rPr>
                    <w:t>5</w:t>
                  </w:r>
                </w:p>
              </w:tc>
              <w:tc>
                <w:tcPr>
                  <w:tcW w:w="721" w:type="pct"/>
                  <w:vAlign w:val="center"/>
                </w:tcPr>
                <w:p w14:paraId="75C1D88E">
                  <w:pPr>
                    <w:jc w:val="center"/>
                    <w:rPr>
                      <w:color w:val="auto"/>
                      <w:szCs w:val="21"/>
                    </w:rPr>
                  </w:pPr>
                  <w:r>
                    <w:rPr>
                      <w:color w:val="auto"/>
                      <w:szCs w:val="21"/>
                    </w:rPr>
                    <w:t>风机</w:t>
                  </w:r>
                </w:p>
              </w:tc>
              <w:tc>
                <w:tcPr>
                  <w:tcW w:w="592" w:type="pct"/>
                  <w:vAlign w:val="center"/>
                </w:tcPr>
                <w:p w14:paraId="60B99167">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333CFB35">
                  <w:pPr>
                    <w:pStyle w:val="4003"/>
                    <w:ind w:firstLine="0" w:firstLineChars="0"/>
                    <w:jc w:val="center"/>
                    <w:rPr>
                      <w:rFonts w:cs="Times New Roman"/>
                      <w:color w:val="auto"/>
                      <w:sz w:val="21"/>
                      <w:szCs w:val="21"/>
                    </w:rPr>
                  </w:pPr>
                  <w:r>
                    <w:rPr>
                      <w:rFonts w:hint="eastAsia" w:cs="Times New Roman"/>
                      <w:color w:val="auto"/>
                      <w:sz w:val="21"/>
                      <w:szCs w:val="21"/>
                    </w:rPr>
                    <w:t>200</w:t>
                  </w:r>
                </w:p>
              </w:tc>
              <w:tc>
                <w:tcPr>
                  <w:tcW w:w="549" w:type="pct"/>
                  <w:vAlign w:val="center"/>
                </w:tcPr>
                <w:p w14:paraId="72DF8419">
                  <w:pPr>
                    <w:pStyle w:val="4003"/>
                    <w:ind w:firstLine="0" w:firstLineChars="0"/>
                    <w:jc w:val="center"/>
                    <w:rPr>
                      <w:rFonts w:cs="Times New Roman"/>
                      <w:color w:val="auto"/>
                      <w:sz w:val="21"/>
                      <w:szCs w:val="21"/>
                    </w:rPr>
                  </w:pPr>
                  <w:r>
                    <w:rPr>
                      <w:rFonts w:hint="eastAsia" w:cs="Times New Roman"/>
                      <w:color w:val="auto"/>
                      <w:sz w:val="21"/>
                      <w:szCs w:val="21"/>
                    </w:rPr>
                    <w:t>160</w:t>
                  </w:r>
                </w:p>
              </w:tc>
              <w:tc>
                <w:tcPr>
                  <w:tcW w:w="552" w:type="pct"/>
                  <w:vAlign w:val="center"/>
                </w:tcPr>
                <w:p w14:paraId="340CC03B">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476F9D5D">
                  <w:pPr>
                    <w:jc w:val="center"/>
                    <w:rPr>
                      <w:color w:val="auto"/>
                      <w:szCs w:val="21"/>
                    </w:rPr>
                  </w:pPr>
                  <w:r>
                    <w:rPr>
                      <w:color w:val="auto"/>
                      <w:szCs w:val="21"/>
                    </w:rPr>
                    <w:t>8</w:t>
                  </w:r>
                  <w:r>
                    <w:rPr>
                      <w:rFonts w:hint="eastAsia"/>
                      <w:color w:val="auto"/>
                      <w:szCs w:val="21"/>
                    </w:rPr>
                    <w:t>0</w:t>
                  </w:r>
                </w:p>
              </w:tc>
              <w:tc>
                <w:tcPr>
                  <w:tcW w:w="553" w:type="pct"/>
                  <w:vAlign w:val="center"/>
                </w:tcPr>
                <w:p w14:paraId="42DD0DB1">
                  <w:pPr>
                    <w:jc w:val="center"/>
                    <w:rPr>
                      <w:color w:val="auto"/>
                      <w:szCs w:val="21"/>
                    </w:rPr>
                  </w:pPr>
                  <w:r>
                    <w:rPr>
                      <w:color w:val="auto"/>
                      <w:szCs w:val="21"/>
                    </w:rPr>
                    <w:t>距离衰减</w:t>
                  </w:r>
                </w:p>
              </w:tc>
              <w:tc>
                <w:tcPr>
                  <w:tcW w:w="481" w:type="pct"/>
                  <w:vAlign w:val="center"/>
                </w:tcPr>
                <w:p w14:paraId="1F02E0F8">
                  <w:pPr>
                    <w:jc w:val="center"/>
                    <w:rPr>
                      <w:color w:val="auto"/>
                      <w:szCs w:val="21"/>
                    </w:rPr>
                  </w:pPr>
                  <w:r>
                    <w:rPr>
                      <w:color w:val="auto"/>
                      <w:szCs w:val="21"/>
                    </w:rPr>
                    <w:t>昼</w:t>
                  </w:r>
                </w:p>
              </w:tc>
            </w:tr>
            <w:tr w14:paraId="3AF47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4E1C231A">
                  <w:pPr>
                    <w:pStyle w:val="4003"/>
                    <w:ind w:firstLine="0" w:firstLineChars="0"/>
                    <w:jc w:val="center"/>
                    <w:rPr>
                      <w:rFonts w:cs="Times New Roman"/>
                      <w:color w:val="auto"/>
                      <w:sz w:val="21"/>
                      <w:szCs w:val="21"/>
                    </w:rPr>
                  </w:pPr>
                  <w:r>
                    <w:rPr>
                      <w:rFonts w:hint="eastAsia" w:cs="Times New Roman"/>
                      <w:color w:val="auto"/>
                      <w:sz w:val="21"/>
                      <w:szCs w:val="21"/>
                    </w:rPr>
                    <w:t>6</w:t>
                  </w:r>
                </w:p>
              </w:tc>
              <w:tc>
                <w:tcPr>
                  <w:tcW w:w="721" w:type="pct"/>
                  <w:vAlign w:val="center"/>
                </w:tcPr>
                <w:p w14:paraId="5F702907">
                  <w:pPr>
                    <w:jc w:val="center"/>
                    <w:rPr>
                      <w:color w:val="auto"/>
                      <w:szCs w:val="21"/>
                    </w:rPr>
                  </w:pPr>
                  <w:r>
                    <w:rPr>
                      <w:color w:val="auto"/>
                      <w:szCs w:val="21"/>
                    </w:rPr>
                    <w:t>风机</w:t>
                  </w:r>
                </w:p>
              </w:tc>
              <w:tc>
                <w:tcPr>
                  <w:tcW w:w="592" w:type="pct"/>
                  <w:vAlign w:val="center"/>
                </w:tcPr>
                <w:p w14:paraId="216B818A">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12E71EF2">
                  <w:pPr>
                    <w:pStyle w:val="4003"/>
                    <w:ind w:firstLine="0" w:firstLineChars="0"/>
                    <w:jc w:val="center"/>
                    <w:rPr>
                      <w:rFonts w:cs="Times New Roman"/>
                      <w:color w:val="auto"/>
                      <w:sz w:val="21"/>
                      <w:szCs w:val="21"/>
                    </w:rPr>
                  </w:pPr>
                  <w:r>
                    <w:rPr>
                      <w:rFonts w:hint="eastAsia" w:cs="Times New Roman"/>
                      <w:color w:val="auto"/>
                      <w:sz w:val="21"/>
                      <w:szCs w:val="21"/>
                    </w:rPr>
                    <w:t>40</w:t>
                  </w:r>
                </w:p>
              </w:tc>
              <w:tc>
                <w:tcPr>
                  <w:tcW w:w="549" w:type="pct"/>
                  <w:vAlign w:val="center"/>
                </w:tcPr>
                <w:p w14:paraId="78549FCF">
                  <w:pPr>
                    <w:pStyle w:val="4003"/>
                    <w:ind w:firstLine="0" w:firstLineChars="0"/>
                    <w:jc w:val="center"/>
                    <w:rPr>
                      <w:rFonts w:cs="Times New Roman"/>
                      <w:color w:val="auto"/>
                      <w:sz w:val="21"/>
                      <w:szCs w:val="21"/>
                    </w:rPr>
                  </w:pPr>
                  <w:r>
                    <w:rPr>
                      <w:rFonts w:hint="eastAsia" w:cs="Times New Roman"/>
                      <w:color w:val="auto"/>
                      <w:sz w:val="21"/>
                      <w:szCs w:val="21"/>
                    </w:rPr>
                    <w:t>0</w:t>
                  </w:r>
                </w:p>
              </w:tc>
              <w:tc>
                <w:tcPr>
                  <w:tcW w:w="552" w:type="pct"/>
                  <w:vAlign w:val="center"/>
                </w:tcPr>
                <w:p w14:paraId="21FC1E6D">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4D945CE0">
                  <w:pPr>
                    <w:pStyle w:val="4003"/>
                    <w:ind w:firstLine="0" w:firstLineChars="0"/>
                    <w:jc w:val="center"/>
                    <w:rPr>
                      <w:rFonts w:cs="Times New Roman"/>
                      <w:color w:val="auto"/>
                      <w:sz w:val="21"/>
                      <w:szCs w:val="21"/>
                    </w:rPr>
                  </w:pPr>
                  <w:r>
                    <w:rPr>
                      <w:rFonts w:hint="eastAsia" w:cs="Times New Roman"/>
                      <w:color w:val="auto"/>
                      <w:sz w:val="21"/>
                      <w:szCs w:val="21"/>
                    </w:rPr>
                    <w:t>80</w:t>
                  </w:r>
                </w:p>
              </w:tc>
              <w:tc>
                <w:tcPr>
                  <w:tcW w:w="553" w:type="pct"/>
                  <w:vAlign w:val="center"/>
                </w:tcPr>
                <w:p w14:paraId="03EDE8FF">
                  <w:pPr>
                    <w:pStyle w:val="4003"/>
                    <w:ind w:firstLine="0" w:firstLineChars="0"/>
                    <w:jc w:val="center"/>
                    <w:rPr>
                      <w:rFonts w:cs="Times New Roman"/>
                      <w:color w:val="auto"/>
                      <w:sz w:val="21"/>
                      <w:szCs w:val="21"/>
                    </w:rPr>
                  </w:pPr>
                  <w:r>
                    <w:rPr>
                      <w:rFonts w:cs="Times New Roman"/>
                      <w:color w:val="auto"/>
                      <w:sz w:val="21"/>
                      <w:szCs w:val="21"/>
                    </w:rPr>
                    <w:t>距离衰减</w:t>
                  </w:r>
                </w:p>
              </w:tc>
              <w:tc>
                <w:tcPr>
                  <w:tcW w:w="481" w:type="pct"/>
                  <w:vAlign w:val="center"/>
                </w:tcPr>
                <w:p w14:paraId="4B083E76">
                  <w:pPr>
                    <w:pStyle w:val="4003"/>
                    <w:ind w:firstLine="0" w:firstLineChars="0"/>
                    <w:jc w:val="center"/>
                    <w:rPr>
                      <w:rFonts w:cs="Times New Roman"/>
                      <w:color w:val="auto"/>
                      <w:sz w:val="21"/>
                      <w:szCs w:val="21"/>
                    </w:rPr>
                  </w:pPr>
                  <w:r>
                    <w:rPr>
                      <w:rFonts w:cs="Times New Roman"/>
                      <w:color w:val="auto"/>
                      <w:sz w:val="21"/>
                      <w:szCs w:val="21"/>
                    </w:rPr>
                    <w:t>昼</w:t>
                  </w:r>
                </w:p>
              </w:tc>
            </w:tr>
            <w:tr w14:paraId="04FEC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1348E73A">
                  <w:pPr>
                    <w:pStyle w:val="4003"/>
                    <w:ind w:firstLine="0" w:firstLineChars="0"/>
                    <w:jc w:val="center"/>
                    <w:rPr>
                      <w:rFonts w:cs="Times New Roman"/>
                      <w:color w:val="auto"/>
                      <w:sz w:val="21"/>
                      <w:szCs w:val="21"/>
                    </w:rPr>
                  </w:pPr>
                  <w:r>
                    <w:rPr>
                      <w:rFonts w:hint="eastAsia" w:cs="Times New Roman"/>
                      <w:color w:val="auto"/>
                      <w:sz w:val="21"/>
                      <w:szCs w:val="21"/>
                    </w:rPr>
                    <w:t>7</w:t>
                  </w:r>
                </w:p>
              </w:tc>
              <w:tc>
                <w:tcPr>
                  <w:tcW w:w="721" w:type="pct"/>
                  <w:vAlign w:val="center"/>
                </w:tcPr>
                <w:p w14:paraId="4F2E91BB">
                  <w:pPr>
                    <w:jc w:val="center"/>
                    <w:rPr>
                      <w:color w:val="auto"/>
                      <w:szCs w:val="21"/>
                    </w:rPr>
                  </w:pPr>
                  <w:r>
                    <w:rPr>
                      <w:rFonts w:hint="eastAsia"/>
                      <w:color w:val="auto"/>
                      <w:szCs w:val="21"/>
                    </w:rPr>
                    <w:t>水泵</w:t>
                  </w:r>
                </w:p>
              </w:tc>
              <w:tc>
                <w:tcPr>
                  <w:tcW w:w="592" w:type="pct"/>
                  <w:vAlign w:val="center"/>
                </w:tcPr>
                <w:p w14:paraId="7103B01E">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70C2A268">
                  <w:pPr>
                    <w:pStyle w:val="4003"/>
                    <w:ind w:firstLine="0" w:firstLineChars="0"/>
                    <w:jc w:val="center"/>
                    <w:rPr>
                      <w:rFonts w:cs="Times New Roman"/>
                      <w:color w:val="auto"/>
                      <w:sz w:val="21"/>
                      <w:szCs w:val="21"/>
                    </w:rPr>
                  </w:pPr>
                  <w:r>
                    <w:rPr>
                      <w:rFonts w:hint="eastAsia" w:cs="Times New Roman"/>
                      <w:color w:val="auto"/>
                      <w:sz w:val="21"/>
                      <w:szCs w:val="21"/>
                    </w:rPr>
                    <w:t>110</w:t>
                  </w:r>
                </w:p>
              </w:tc>
              <w:tc>
                <w:tcPr>
                  <w:tcW w:w="549" w:type="pct"/>
                  <w:vAlign w:val="center"/>
                </w:tcPr>
                <w:p w14:paraId="64FA25A2">
                  <w:pPr>
                    <w:pStyle w:val="4003"/>
                    <w:ind w:firstLine="0" w:firstLineChars="0"/>
                    <w:jc w:val="center"/>
                    <w:rPr>
                      <w:rFonts w:cs="Times New Roman"/>
                      <w:color w:val="auto"/>
                      <w:sz w:val="21"/>
                      <w:szCs w:val="21"/>
                    </w:rPr>
                  </w:pPr>
                  <w:r>
                    <w:rPr>
                      <w:rFonts w:hint="eastAsia" w:cs="Times New Roman"/>
                      <w:color w:val="auto"/>
                      <w:sz w:val="21"/>
                      <w:szCs w:val="21"/>
                    </w:rPr>
                    <w:t>50</w:t>
                  </w:r>
                </w:p>
              </w:tc>
              <w:tc>
                <w:tcPr>
                  <w:tcW w:w="552" w:type="pct"/>
                  <w:vAlign w:val="center"/>
                </w:tcPr>
                <w:p w14:paraId="1CC0A54C">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0DC346FD">
                  <w:pPr>
                    <w:pStyle w:val="4003"/>
                    <w:ind w:firstLine="0" w:firstLineChars="0"/>
                    <w:jc w:val="center"/>
                    <w:rPr>
                      <w:rFonts w:cs="Times New Roman"/>
                      <w:color w:val="auto"/>
                      <w:sz w:val="21"/>
                      <w:szCs w:val="21"/>
                    </w:rPr>
                  </w:pPr>
                  <w:r>
                    <w:rPr>
                      <w:rFonts w:hint="eastAsia" w:cs="Times New Roman"/>
                      <w:color w:val="auto"/>
                      <w:sz w:val="21"/>
                      <w:szCs w:val="21"/>
                    </w:rPr>
                    <w:t>80</w:t>
                  </w:r>
                </w:p>
              </w:tc>
              <w:tc>
                <w:tcPr>
                  <w:tcW w:w="1377" w:type="dxa"/>
                  <w:vAlign w:val="center"/>
                </w:tcPr>
                <w:p w14:paraId="120A3E22">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17B51B57">
                  <w:pPr>
                    <w:pStyle w:val="4003"/>
                    <w:ind w:firstLine="0" w:firstLineChars="0"/>
                    <w:jc w:val="center"/>
                    <w:rPr>
                      <w:rFonts w:cs="Times New Roman"/>
                      <w:color w:val="auto"/>
                      <w:sz w:val="21"/>
                      <w:szCs w:val="21"/>
                    </w:rPr>
                  </w:pPr>
                  <w:r>
                    <w:rPr>
                      <w:rFonts w:cs="Times New Roman"/>
                      <w:color w:val="auto"/>
                      <w:sz w:val="21"/>
                      <w:szCs w:val="21"/>
                    </w:rPr>
                    <w:t>昼</w:t>
                  </w:r>
                </w:p>
              </w:tc>
            </w:tr>
          </w:tbl>
          <w:p w14:paraId="2AD2FBF7">
            <w:pPr>
              <w:adjustRightInd w:val="0"/>
              <w:snapToGrid w:val="0"/>
              <w:spacing w:line="360" w:lineRule="auto"/>
              <w:rPr>
                <w:color w:val="auto"/>
                <w:sz w:val="24"/>
              </w:rPr>
            </w:pPr>
            <w:r>
              <w:rPr>
                <w:b/>
                <w:color w:val="auto"/>
                <w:szCs w:val="21"/>
              </w:rPr>
              <w:t>注：以西南角水平地面为（0,0,0）点。</w:t>
            </w:r>
          </w:p>
          <w:p w14:paraId="3653630C">
            <w:pPr>
              <w:adjustRightInd w:val="0"/>
              <w:snapToGrid w:val="0"/>
              <w:spacing w:line="360" w:lineRule="auto"/>
              <w:ind w:firstLine="380" w:firstLineChars="200"/>
              <w:rPr>
                <w:bCs/>
                <w:color w:val="auto"/>
                <w:spacing w:val="-10"/>
                <w:szCs w:val="21"/>
              </w:rPr>
            </w:pPr>
          </w:p>
        </w:tc>
      </w:tr>
    </w:tbl>
    <w:p w14:paraId="17DB04C2">
      <w:pPr>
        <w:rPr>
          <w:color w:val="auto"/>
          <w:sz w:val="28"/>
          <w:szCs w:val="28"/>
        </w:rPr>
      </w:pPr>
    </w:p>
    <w:p w14:paraId="3EAC6C75">
      <w:pPr>
        <w:rPr>
          <w:color w:val="auto"/>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450"/>
      </w:tblGrid>
      <w:tr w14:paraId="79985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58" w:type="dxa"/>
            <w:tcMar>
              <w:left w:w="28" w:type="dxa"/>
              <w:right w:w="28" w:type="dxa"/>
            </w:tcMar>
            <w:vAlign w:val="center"/>
          </w:tcPr>
          <w:p w14:paraId="42C6EAB4">
            <w:pPr>
              <w:adjustRightInd w:val="0"/>
              <w:snapToGrid w:val="0"/>
              <w:jc w:val="center"/>
              <w:rPr>
                <w:bCs/>
                <w:color w:val="auto"/>
                <w:szCs w:val="21"/>
              </w:rPr>
            </w:pPr>
            <w:r>
              <w:rPr>
                <w:bCs/>
                <w:color w:val="auto"/>
                <w:sz w:val="24"/>
              </w:rPr>
              <w:t>运营期环境影响和保护措施</w:t>
            </w:r>
          </w:p>
        </w:tc>
        <w:tc>
          <w:tcPr>
            <w:tcW w:w="8450" w:type="dxa"/>
          </w:tcPr>
          <w:p w14:paraId="2603E5E0">
            <w:pPr>
              <w:adjustRightInd w:val="0"/>
              <w:snapToGrid w:val="0"/>
              <w:spacing w:line="360" w:lineRule="auto"/>
              <w:ind w:firstLine="482" w:firstLineChars="200"/>
              <w:rPr>
                <w:b/>
                <w:color w:val="auto"/>
                <w:sz w:val="24"/>
              </w:rPr>
            </w:pPr>
            <w:r>
              <w:rPr>
                <w:b/>
                <w:color w:val="auto"/>
                <w:sz w:val="24"/>
              </w:rPr>
              <w:t>3.2噪声环境影响分析</w:t>
            </w:r>
          </w:p>
          <w:p w14:paraId="55DE4B65">
            <w:pPr>
              <w:adjustRightInd w:val="0"/>
              <w:snapToGrid w:val="0"/>
              <w:spacing w:line="360" w:lineRule="auto"/>
              <w:ind w:firstLine="480" w:firstLineChars="200"/>
              <w:rPr>
                <w:color w:val="auto"/>
                <w:sz w:val="24"/>
              </w:rPr>
            </w:pPr>
            <w:r>
              <w:rPr>
                <w:color w:val="auto"/>
                <w:sz w:val="24"/>
              </w:rPr>
              <w:t>根据噪声源参数，采用点声源等距离衰减预测模型，噪声源几何尺寸远小于传播至厂界的距离，因此忽略噪声源几何尺寸影响，将其简化为点声源。根据《环境影响评价技术导则 声环境》（HJ2.4-2021），采用导则推荐点声源噪声传播模式进行项目噪声环境影响预测。</w:t>
            </w:r>
          </w:p>
          <w:p w14:paraId="3A8D356F">
            <w:pPr>
              <w:adjustRightInd w:val="0"/>
              <w:snapToGrid w:val="0"/>
              <w:spacing w:line="360" w:lineRule="auto"/>
              <w:ind w:firstLine="480" w:firstLineChars="200"/>
              <w:rPr>
                <w:color w:val="auto"/>
                <w:sz w:val="24"/>
              </w:rPr>
            </w:pPr>
            <w:r>
              <w:rPr>
                <w:color w:val="auto"/>
                <w:sz w:val="24"/>
              </w:rPr>
              <w:t>（1）点声源预测模式</w:t>
            </w:r>
          </w:p>
          <w:p w14:paraId="7B7B49DE">
            <w:pPr>
              <w:adjustRightInd w:val="0"/>
              <w:snapToGrid w:val="0"/>
              <w:spacing w:line="360" w:lineRule="auto"/>
              <w:jc w:val="center"/>
              <w:rPr>
                <w:color w:val="auto"/>
                <w:sz w:val="24"/>
              </w:rPr>
            </w:pPr>
            <w:r>
              <w:rPr>
                <w:color w:val="auto"/>
                <w:sz w:val="24"/>
              </w:rPr>
              <w:t>L</w:t>
            </w:r>
            <w:r>
              <w:rPr>
                <w:color w:val="auto"/>
                <w:sz w:val="24"/>
                <w:vertAlign w:val="subscript"/>
              </w:rPr>
              <w:t>p</w:t>
            </w:r>
            <w:r>
              <w:rPr>
                <w:color w:val="auto"/>
                <w:sz w:val="24"/>
              </w:rPr>
              <w:t>(r)=L</w:t>
            </w:r>
            <w:r>
              <w:rPr>
                <w:color w:val="auto"/>
                <w:sz w:val="24"/>
                <w:vertAlign w:val="subscript"/>
              </w:rPr>
              <w:t>p</w:t>
            </w:r>
            <w:r>
              <w:rPr>
                <w:color w:val="auto"/>
                <w:sz w:val="24"/>
              </w:rPr>
              <w:t>(r</w:t>
            </w:r>
            <w:r>
              <w:rPr>
                <w:color w:val="auto"/>
                <w:sz w:val="24"/>
                <w:vertAlign w:val="subscript"/>
              </w:rPr>
              <w:t>0</w:t>
            </w:r>
            <w:r>
              <w:rPr>
                <w:color w:val="auto"/>
                <w:sz w:val="24"/>
              </w:rPr>
              <w:t>)+D</w:t>
            </w:r>
            <w:r>
              <w:rPr>
                <w:color w:val="auto"/>
                <w:sz w:val="24"/>
                <w:vertAlign w:val="subscript"/>
              </w:rPr>
              <w:t>C</w:t>
            </w:r>
            <w:r>
              <w:rPr>
                <w:color w:val="auto"/>
                <w:sz w:val="24"/>
              </w:rPr>
              <w:t>-(A</w:t>
            </w:r>
            <w:r>
              <w:rPr>
                <w:color w:val="auto"/>
                <w:sz w:val="24"/>
                <w:vertAlign w:val="subscript"/>
              </w:rPr>
              <w:t>div</w:t>
            </w:r>
            <w:r>
              <w:rPr>
                <w:color w:val="auto"/>
                <w:sz w:val="24"/>
              </w:rPr>
              <w:t>+A</w:t>
            </w:r>
            <w:r>
              <w:rPr>
                <w:color w:val="auto"/>
                <w:sz w:val="24"/>
                <w:vertAlign w:val="subscript"/>
              </w:rPr>
              <w:t>atm</w:t>
            </w:r>
            <w:r>
              <w:rPr>
                <w:color w:val="auto"/>
                <w:sz w:val="24"/>
              </w:rPr>
              <w:t>+A</w:t>
            </w:r>
            <w:r>
              <w:rPr>
                <w:color w:val="auto"/>
                <w:sz w:val="24"/>
                <w:vertAlign w:val="subscript"/>
              </w:rPr>
              <w:t>gr</w:t>
            </w:r>
            <w:r>
              <w:rPr>
                <w:color w:val="auto"/>
                <w:sz w:val="24"/>
              </w:rPr>
              <w:t>+A</w:t>
            </w:r>
            <w:r>
              <w:rPr>
                <w:color w:val="auto"/>
                <w:sz w:val="24"/>
                <w:vertAlign w:val="subscript"/>
              </w:rPr>
              <w:t>bar</w:t>
            </w:r>
            <w:r>
              <w:rPr>
                <w:color w:val="auto"/>
                <w:sz w:val="24"/>
              </w:rPr>
              <w:t>+A</w:t>
            </w:r>
            <w:r>
              <w:rPr>
                <w:color w:val="auto"/>
                <w:sz w:val="24"/>
                <w:vertAlign w:val="subscript"/>
              </w:rPr>
              <w:t>misc</w:t>
            </w:r>
            <w:r>
              <w:rPr>
                <w:color w:val="auto"/>
                <w:sz w:val="24"/>
              </w:rPr>
              <w:t>)</w:t>
            </w:r>
          </w:p>
          <w:p w14:paraId="2147295B">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p</w:t>
            </w:r>
            <w:r>
              <w:rPr>
                <w:color w:val="auto"/>
                <w:sz w:val="24"/>
              </w:rPr>
              <w:t>(r)——预测点处声压级，dB；</w:t>
            </w:r>
          </w:p>
          <w:p w14:paraId="5BAB4271">
            <w:pPr>
              <w:adjustRightInd w:val="0"/>
              <w:snapToGrid w:val="0"/>
              <w:spacing w:line="360" w:lineRule="auto"/>
              <w:ind w:firstLine="480" w:firstLineChars="200"/>
              <w:rPr>
                <w:color w:val="auto"/>
                <w:sz w:val="24"/>
              </w:rPr>
            </w:pPr>
            <w:r>
              <w:rPr>
                <w:color w:val="auto"/>
                <w:sz w:val="24"/>
              </w:rPr>
              <w:t>L</w:t>
            </w:r>
            <w:r>
              <w:rPr>
                <w:color w:val="auto"/>
                <w:sz w:val="24"/>
                <w:vertAlign w:val="subscript"/>
              </w:rPr>
              <w:t>p</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处的声压级，dB；</w:t>
            </w:r>
          </w:p>
          <w:p w14:paraId="29FFD4DB">
            <w:pPr>
              <w:adjustRightInd w:val="0"/>
              <w:snapToGrid w:val="0"/>
              <w:spacing w:line="360" w:lineRule="auto"/>
              <w:ind w:firstLine="480" w:firstLineChars="200"/>
              <w:rPr>
                <w:color w:val="auto"/>
                <w:sz w:val="24"/>
              </w:rPr>
            </w:pPr>
            <w:r>
              <w:rPr>
                <w:color w:val="auto"/>
                <w:sz w:val="24"/>
              </w:rPr>
              <w:t>D</w:t>
            </w:r>
            <w:r>
              <w:rPr>
                <w:color w:val="auto"/>
                <w:sz w:val="24"/>
                <w:vertAlign w:val="subscript"/>
              </w:rPr>
              <w:t>C</w:t>
            </w:r>
            <w:r>
              <w:rPr>
                <w:color w:val="auto"/>
                <w:sz w:val="24"/>
              </w:rPr>
              <w:t>——指向性校正，它描述点声源的等效连续声压级与产生声功率级Lw的全向点声源在规定方向的声级的偏差程度，dB；</w:t>
            </w:r>
          </w:p>
          <w:p w14:paraId="412B6B17">
            <w:pPr>
              <w:adjustRightInd w:val="0"/>
              <w:snapToGrid w:val="0"/>
              <w:spacing w:line="360" w:lineRule="auto"/>
              <w:ind w:firstLine="480" w:firstLineChars="200"/>
              <w:rPr>
                <w:color w:val="auto"/>
                <w:sz w:val="24"/>
              </w:rPr>
            </w:pPr>
            <w:r>
              <w:rPr>
                <w:color w:val="auto"/>
                <w:sz w:val="24"/>
              </w:rPr>
              <w:t>A</w:t>
            </w:r>
            <w:r>
              <w:rPr>
                <w:color w:val="auto"/>
                <w:sz w:val="24"/>
                <w:vertAlign w:val="subscript"/>
              </w:rPr>
              <w:t>div</w:t>
            </w:r>
            <w:r>
              <w:rPr>
                <w:color w:val="auto"/>
                <w:sz w:val="24"/>
              </w:rPr>
              <w:t>——几何发散引起的衰减，dB；</w:t>
            </w:r>
          </w:p>
          <w:p w14:paraId="27FE05EF">
            <w:pPr>
              <w:adjustRightInd w:val="0"/>
              <w:snapToGrid w:val="0"/>
              <w:spacing w:line="360" w:lineRule="auto"/>
              <w:ind w:firstLine="480" w:firstLineChars="200"/>
              <w:rPr>
                <w:color w:val="auto"/>
                <w:sz w:val="24"/>
              </w:rPr>
            </w:pPr>
            <w:r>
              <w:rPr>
                <w:color w:val="auto"/>
                <w:sz w:val="24"/>
              </w:rPr>
              <w:t>A</w:t>
            </w:r>
            <w:r>
              <w:rPr>
                <w:color w:val="auto"/>
                <w:sz w:val="24"/>
                <w:vertAlign w:val="subscript"/>
              </w:rPr>
              <w:t>atm</w:t>
            </w:r>
            <w:r>
              <w:rPr>
                <w:color w:val="auto"/>
                <w:sz w:val="24"/>
              </w:rPr>
              <w:t>——大气吸收引起的衰减，dB；</w:t>
            </w:r>
          </w:p>
          <w:p w14:paraId="066411F2">
            <w:pPr>
              <w:adjustRightInd w:val="0"/>
              <w:snapToGrid w:val="0"/>
              <w:spacing w:line="360" w:lineRule="auto"/>
              <w:ind w:firstLine="480" w:firstLineChars="200"/>
              <w:rPr>
                <w:color w:val="auto"/>
                <w:sz w:val="24"/>
              </w:rPr>
            </w:pPr>
            <w:r>
              <w:rPr>
                <w:color w:val="auto"/>
                <w:sz w:val="24"/>
              </w:rPr>
              <w:t>A</w:t>
            </w:r>
            <w:r>
              <w:rPr>
                <w:color w:val="auto"/>
                <w:sz w:val="24"/>
                <w:vertAlign w:val="subscript"/>
              </w:rPr>
              <w:t>gr</w:t>
            </w:r>
            <w:r>
              <w:rPr>
                <w:color w:val="auto"/>
                <w:sz w:val="24"/>
              </w:rPr>
              <w:t>——地面效应引起的衰减，dB；</w:t>
            </w:r>
          </w:p>
          <w:p w14:paraId="19BC7299">
            <w:pPr>
              <w:adjustRightInd w:val="0"/>
              <w:snapToGrid w:val="0"/>
              <w:spacing w:line="360" w:lineRule="auto"/>
              <w:ind w:firstLine="480" w:firstLineChars="200"/>
              <w:rPr>
                <w:color w:val="auto"/>
                <w:sz w:val="24"/>
              </w:rPr>
            </w:pPr>
            <w:r>
              <w:rPr>
                <w:color w:val="auto"/>
                <w:sz w:val="24"/>
              </w:rPr>
              <w:t>A</w:t>
            </w:r>
            <w:r>
              <w:rPr>
                <w:color w:val="auto"/>
                <w:sz w:val="24"/>
                <w:vertAlign w:val="subscript"/>
              </w:rPr>
              <w:t>bar</w:t>
            </w:r>
            <w:r>
              <w:rPr>
                <w:color w:val="auto"/>
                <w:sz w:val="24"/>
              </w:rPr>
              <w:t>——障碍物屏蔽引起的衰减，dB；</w:t>
            </w:r>
          </w:p>
          <w:p w14:paraId="469A612D">
            <w:pPr>
              <w:adjustRightInd w:val="0"/>
              <w:snapToGrid w:val="0"/>
              <w:spacing w:line="360" w:lineRule="auto"/>
              <w:ind w:firstLine="480" w:firstLineChars="200"/>
              <w:rPr>
                <w:color w:val="auto"/>
                <w:sz w:val="24"/>
              </w:rPr>
            </w:pPr>
            <w:r>
              <w:rPr>
                <w:color w:val="auto"/>
                <w:sz w:val="24"/>
              </w:rPr>
              <w:t>A</w:t>
            </w:r>
            <w:r>
              <w:rPr>
                <w:color w:val="auto"/>
                <w:sz w:val="24"/>
                <w:vertAlign w:val="subscript"/>
              </w:rPr>
              <w:t>misc</w:t>
            </w:r>
            <w:r>
              <w:rPr>
                <w:color w:val="auto"/>
                <w:sz w:val="24"/>
              </w:rPr>
              <w:t>——其他多方面效应引起的衰减，dB。</w:t>
            </w:r>
          </w:p>
          <w:p w14:paraId="10AB30CD">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声级的计算</w:t>
            </w:r>
          </w:p>
          <w:p w14:paraId="5B36AA49">
            <w:pPr>
              <w:adjustRightInd w:val="0"/>
              <w:snapToGrid w:val="0"/>
              <w:spacing w:line="360" w:lineRule="auto"/>
              <w:ind w:firstLine="480" w:firstLineChars="200"/>
              <w:rPr>
                <w:color w:val="auto"/>
                <w:sz w:val="24"/>
              </w:rPr>
            </w:pPr>
            <w:r>
              <w:rPr>
                <w:color w:val="auto"/>
                <w:sz w:val="24"/>
              </w:rPr>
              <w:t>①项目声源在预测点产生的等效声级贡献值（L</w:t>
            </w:r>
            <w:r>
              <w:rPr>
                <w:color w:val="auto"/>
                <w:sz w:val="24"/>
                <w:vertAlign w:val="subscript"/>
              </w:rPr>
              <w:t>eqg</w:t>
            </w:r>
            <w:r>
              <w:rPr>
                <w:color w:val="auto"/>
                <w:sz w:val="24"/>
              </w:rPr>
              <w:t>）计算公式：</w:t>
            </w:r>
          </w:p>
          <w:p w14:paraId="607371E3">
            <w:pPr>
              <w:adjustRightInd w:val="0"/>
              <w:snapToGrid w:val="0"/>
              <w:spacing w:line="360" w:lineRule="auto"/>
              <w:jc w:val="center"/>
              <w:rPr>
                <w:color w:val="auto"/>
                <w:sz w:val="24"/>
              </w:rPr>
            </w:pPr>
            <w:r>
              <w:rPr>
                <w:color w:val="auto"/>
                <w:sz w:val="24"/>
              </w:rPr>
              <w:drawing>
                <wp:inline distT="0" distB="0" distL="114300" distR="114300">
                  <wp:extent cx="1686560" cy="457200"/>
                  <wp:effectExtent l="0" t="0" r="889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32"/>
                          <a:stretch>
                            <a:fillRect/>
                          </a:stretch>
                        </pic:blipFill>
                        <pic:spPr>
                          <a:xfrm>
                            <a:off x="0" y="0"/>
                            <a:ext cx="1686560" cy="457200"/>
                          </a:xfrm>
                          <a:prstGeom prst="rect">
                            <a:avLst/>
                          </a:prstGeom>
                          <a:noFill/>
                          <a:ln>
                            <a:noFill/>
                          </a:ln>
                        </pic:spPr>
                      </pic:pic>
                    </a:graphicData>
                  </a:graphic>
                </wp:inline>
              </w:drawing>
            </w:r>
          </w:p>
          <w:p w14:paraId="73C569F3">
            <w:pPr>
              <w:adjustRightInd w:val="0"/>
              <w:snapToGrid w:val="0"/>
              <w:spacing w:line="360" w:lineRule="auto"/>
              <w:ind w:firstLine="480" w:firstLineChars="200"/>
              <w:rPr>
                <w:color w:val="auto"/>
                <w:sz w:val="24"/>
              </w:rPr>
            </w:pPr>
            <w:r>
              <w:rPr>
                <w:color w:val="auto"/>
                <w:sz w:val="24"/>
              </w:rPr>
              <w:t>式中：</w:t>
            </w:r>
          </w:p>
          <w:p w14:paraId="744D89A0">
            <w:pPr>
              <w:adjustRightInd w:val="0"/>
              <w:snapToGrid w:val="0"/>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——项目声源在预测点的等效声级贡献值，dB(A)；</w:t>
            </w:r>
          </w:p>
          <w:p w14:paraId="09120A51">
            <w:pPr>
              <w:adjustRightInd w:val="0"/>
              <w:snapToGrid w:val="0"/>
              <w:spacing w:line="360" w:lineRule="auto"/>
              <w:ind w:firstLine="480" w:firstLineChars="200"/>
              <w:rPr>
                <w:color w:val="auto"/>
                <w:sz w:val="24"/>
              </w:rPr>
            </w:pPr>
            <w:r>
              <w:rPr>
                <w:color w:val="auto"/>
                <w:sz w:val="24"/>
              </w:rPr>
              <w:t>L</w:t>
            </w:r>
            <w:r>
              <w:rPr>
                <w:color w:val="auto"/>
                <w:sz w:val="24"/>
                <w:vertAlign w:val="subscript"/>
              </w:rPr>
              <w:t>Ai</w:t>
            </w:r>
            <w:r>
              <w:rPr>
                <w:color w:val="auto"/>
                <w:sz w:val="24"/>
              </w:rPr>
              <w:t>——i声源在预测点产生的A声级，dB(A)；</w:t>
            </w:r>
          </w:p>
          <w:p w14:paraId="5C25240B">
            <w:pPr>
              <w:adjustRightInd w:val="0"/>
              <w:snapToGrid w:val="0"/>
              <w:spacing w:line="360" w:lineRule="auto"/>
              <w:ind w:firstLine="480" w:firstLineChars="200"/>
              <w:rPr>
                <w:color w:val="auto"/>
                <w:sz w:val="24"/>
              </w:rPr>
            </w:pPr>
            <w:r>
              <w:rPr>
                <w:color w:val="auto"/>
                <w:sz w:val="24"/>
              </w:rPr>
              <w:t>T——预测计算的时间段，s；</w:t>
            </w:r>
          </w:p>
          <w:p w14:paraId="07509C56">
            <w:pPr>
              <w:adjustRightInd w:val="0"/>
              <w:snapToGrid w:val="0"/>
              <w:spacing w:line="360" w:lineRule="auto"/>
              <w:ind w:firstLine="480" w:firstLineChars="200"/>
              <w:rPr>
                <w:color w:val="auto"/>
                <w:sz w:val="24"/>
              </w:rPr>
            </w:pPr>
            <w:r>
              <w:rPr>
                <w:color w:val="auto"/>
                <w:sz w:val="24"/>
              </w:rPr>
              <w:t>t</w:t>
            </w:r>
            <w:r>
              <w:rPr>
                <w:color w:val="auto"/>
                <w:sz w:val="24"/>
                <w:vertAlign w:val="subscript"/>
              </w:rPr>
              <w:t>i</w:t>
            </w:r>
            <w:r>
              <w:rPr>
                <w:color w:val="auto"/>
                <w:sz w:val="24"/>
              </w:rPr>
              <w:t>——i声源在T时段内的运行时间，s。</w:t>
            </w:r>
          </w:p>
          <w:p w14:paraId="5AD7ABB0">
            <w:pPr>
              <w:adjustRightInd w:val="0"/>
              <w:snapToGrid w:val="0"/>
              <w:spacing w:line="360" w:lineRule="auto"/>
              <w:ind w:firstLine="480" w:firstLineChars="200"/>
              <w:rPr>
                <w:color w:val="auto"/>
                <w:sz w:val="24"/>
              </w:rPr>
            </w:pPr>
            <w:r>
              <w:rPr>
                <w:color w:val="auto"/>
                <w:sz w:val="24"/>
              </w:rPr>
              <w:t>②预测点的预测等效声级（L</w:t>
            </w:r>
            <w:r>
              <w:rPr>
                <w:color w:val="auto"/>
                <w:sz w:val="24"/>
                <w:vertAlign w:val="subscript"/>
              </w:rPr>
              <w:t>eq</w:t>
            </w:r>
            <w:r>
              <w:rPr>
                <w:color w:val="auto"/>
                <w:sz w:val="24"/>
              </w:rPr>
              <w:t>）计算公式：</w:t>
            </w:r>
          </w:p>
          <w:p w14:paraId="264B6CB8">
            <w:pPr>
              <w:adjustRightInd w:val="0"/>
              <w:snapToGrid w:val="0"/>
              <w:spacing w:line="360" w:lineRule="auto"/>
              <w:jc w:val="center"/>
              <w:rPr>
                <w:color w:val="auto"/>
                <w:sz w:val="24"/>
              </w:rPr>
            </w:pPr>
            <w:r>
              <w:rPr>
                <w:color w:val="auto"/>
                <w:sz w:val="24"/>
              </w:rPr>
              <w:drawing>
                <wp:inline distT="0" distB="0" distL="114300" distR="114300">
                  <wp:extent cx="1724660" cy="266700"/>
                  <wp:effectExtent l="0" t="0" r="8890" b="0"/>
                  <wp:docPr id="6"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0"/>
                          <pic:cNvPicPr>
                            <a:picLocks noChangeAspect="1"/>
                          </pic:cNvPicPr>
                        </pic:nvPicPr>
                        <pic:blipFill>
                          <a:blip r:embed="rId33"/>
                          <a:stretch>
                            <a:fillRect/>
                          </a:stretch>
                        </pic:blipFill>
                        <pic:spPr>
                          <a:xfrm>
                            <a:off x="0" y="0"/>
                            <a:ext cx="1724660" cy="266700"/>
                          </a:xfrm>
                          <a:prstGeom prst="rect">
                            <a:avLst/>
                          </a:prstGeom>
                          <a:noFill/>
                          <a:ln>
                            <a:noFill/>
                          </a:ln>
                        </pic:spPr>
                      </pic:pic>
                    </a:graphicData>
                  </a:graphic>
                </wp:inline>
              </w:drawing>
            </w:r>
          </w:p>
          <w:p w14:paraId="42A4ACAD">
            <w:pPr>
              <w:adjustRightInd w:val="0"/>
              <w:snapToGrid w:val="0"/>
              <w:spacing w:line="360" w:lineRule="auto"/>
              <w:ind w:firstLine="480" w:firstLineChars="200"/>
              <w:rPr>
                <w:color w:val="auto"/>
                <w:sz w:val="24"/>
              </w:rPr>
            </w:pPr>
            <w:r>
              <w:rPr>
                <w:color w:val="auto"/>
                <w:sz w:val="24"/>
              </w:rPr>
              <w:t>式中：</w:t>
            </w:r>
          </w:p>
          <w:p w14:paraId="46E5A339">
            <w:pPr>
              <w:adjustRightInd w:val="0"/>
              <w:snapToGrid w:val="0"/>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——项目声源在预测点的等效声级贡献值，dB(A)；</w:t>
            </w:r>
          </w:p>
          <w:p w14:paraId="5835594D">
            <w:pPr>
              <w:adjustRightInd w:val="0"/>
              <w:snapToGrid w:val="0"/>
              <w:spacing w:line="360" w:lineRule="auto"/>
              <w:ind w:firstLine="480" w:firstLineChars="200"/>
              <w:rPr>
                <w:color w:val="auto"/>
                <w:sz w:val="24"/>
              </w:rPr>
            </w:pPr>
            <w:r>
              <w:rPr>
                <w:color w:val="auto"/>
                <w:sz w:val="24"/>
              </w:rPr>
              <w:t>L</w:t>
            </w:r>
            <w:r>
              <w:rPr>
                <w:color w:val="auto"/>
                <w:sz w:val="24"/>
                <w:vertAlign w:val="subscript"/>
              </w:rPr>
              <w:t>eqb</w:t>
            </w:r>
            <w:r>
              <w:rPr>
                <w:color w:val="auto"/>
                <w:sz w:val="24"/>
              </w:rPr>
              <w:t>——预测点的背景值，dB(A)。</w:t>
            </w:r>
          </w:p>
          <w:p w14:paraId="659CAF7B">
            <w:pPr>
              <w:adjustRightInd w:val="0"/>
              <w:snapToGrid w:val="0"/>
              <w:spacing w:line="360" w:lineRule="auto"/>
              <w:ind w:firstLine="480" w:firstLineChars="200"/>
              <w:rPr>
                <w:color w:val="auto"/>
                <w:sz w:val="24"/>
              </w:rPr>
            </w:pPr>
            <w:r>
              <w:rPr>
                <w:color w:val="auto"/>
                <w:sz w:val="24"/>
              </w:rPr>
              <w:t>按照上面给出的计算公式及各点声源距最近厂界的距离，考虑距离衰减时噪声对厂界贡献），经厂房隔声和距离衰减后各噪声源对各测点的贡献值比较小。</w:t>
            </w:r>
          </w:p>
          <w:p w14:paraId="70F4B3E6">
            <w:pPr>
              <w:adjustRightInd w:val="0"/>
              <w:snapToGrid w:val="0"/>
              <w:ind w:firstLine="482" w:firstLineChars="200"/>
              <w:jc w:val="center"/>
              <w:rPr>
                <w:b/>
                <w:color w:val="auto"/>
                <w:sz w:val="24"/>
              </w:rPr>
            </w:pPr>
            <w:bookmarkStart w:id="8" w:name="_Ref66275762"/>
            <w:r>
              <w:rPr>
                <w:b/>
                <w:color w:val="auto"/>
                <w:sz w:val="24"/>
              </w:rPr>
              <w:t>表</w:t>
            </w:r>
            <w:bookmarkEnd w:id="8"/>
            <w:r>
              <w:rPr>
                <w:b/>
                <w:color w:val="auto"/>
                <w:sz w:val="24"/>
              </w:rPr>
              <w:t>4-2</w:t>
            </w:r>
            <w:r>
              <w:rPr>
                <w:rFonts w:hint="eastAsia"/>
                <w:b/>
                <w:color w:val="auto"/>
                <w:sz w:val="24"/>
              </w:rPr>
              <w:t>3</w:t>
            </w:r>
            <w:r>
              <w:rPr>
                <w:b/>
                <w:color w:val="auto"/>
                <w:sz w:val="24"/>
              </w:rPr>
              <w:t xml:space="preserve">  厂界噪声影响值预测结果与达标分析表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134"/>
              <w:gridCol w:w="1420"/>
              <w:gridCol w:w="1702"/>
              <w:gridCol w:w="1702"/>
              <w:gridCol w:w="1420"/>
            </w:tblGrid>
            <w:tr w14:paraId="0DFF7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Merge w:val="restart"/>
                  <w:vAlign w:val="center"/>
                </w:tcPr>
                <w:p w14:paraId="379411BD">
                  <w:pPr>
                    <w:pStyle w:val="4003"/>
                    <w:ind w:firstLine="0" w:firstLineChars="0"/>
                    <w:jc w:val="center"/>
                    <w:rPr>
                      <w:rFonts w:cs="Times New Roman"/>
                      <w:b/>
                      <w:color w:val="auto"/>
                      <w:sz w:val="21"/>
                      <w:szCs w:val="21"/>
                    </w:rPr>
                  </w:pPr>
                  <w:r>
                    <w:rPr>
                      <w:rFonts w:cs="Times New Roman"/>
                      <w:b/>
                      <w:color w:val="auto"/>
                      <w:sz w:val="21"/>
                      <w:szCs w:val="21"/>
                    </w:rPr>
                    <w:t>序号</w:t>
                  </w:r>
                </w:p>
              </w:tc>
              <w:tc>
                <w:tcPr>
                  <w:tcW w:w="688" w:type="pct"/>
                  <w:vMerge w:val="restart"/>
                  <w:vAlign w:val="center"/>
                </w:tcPr>
                <w:p w14:paraId="63354E70">
                  <w:pPr>
                    <w:pStyle w:val="4003"/>
                    <w:ind w:firstLine="0" w:firstLineChars="0"/>
                    <w:jc w:val="center"/>
                    <w:rPr>
                      <w:rFonts w:cs="Times New Roman"/>
                      <w:b/>
                      <w:color w:val="auto"/>
                      <w:sz w:val="21"/>
                      <w:szCs w:val="21"/>
                    </w:rPr>
                  </w:pPr>
                  <w:r>
                    <w:rPr>
                      <w:rFonts w:cs="Times New Roman"/>
                      <w:b/>
                      <w:color w:val="auto"/>
                      <w:sz w:val="21"/>
                      <w:szCs w:val="21"/>
                    </w:rPr>
                    <w:t>厂界</w:t>
                  </w:r>
                </w:p>
              </w:tc>
              <w:tc>
                <w:tcPr>
                  <w:tcW w:w="862" w:type="pct"/>
                  <w:tcBorders>
                    <w:top w:val="single" w:color="auto" w:sz="12" w:space="0"/>
                    <w:bottom w:val="single" w:color="auto" w:sz="4" w:space="0"/>
                    <w:right w:val="single" w:color="auto" w:sz="4" w:space="0"/>
                  </w:tcBorders>
                  <w:vAlign w:val="center"/>
                </w:tcPr>
                <w:p w14:paraId="4E359824">
                  <w:pPr>
                    <w:pStyle w:val="4003"/>
                    <w:ind w:firstLine="0" w:firstLineChars="0"/>
                    <w:jc w:val="center"/>
                    <w:rPr>
                      <w:rFonts w:cs="Times New Roman"/>
                      <w:b/>
                      <w:color w:val="auto"/>
                      <w:sz w:val="21"/>
                      <w:szCs w:val="21"/>
                    </w:rPr>
                  </w:pPr>
                  <w:r>
                    <w:rPr>
                      <w:rFonts w:cs="Times New Roman"/>
                      <w:b/>
                      <w:color w:val="auto"/>
                      <w:sz w:val="21"/>
                      <w:szCs w:val="21"/>
                    </w:rPr>
                    <w:t>噪声标准</w:t>
                  </w:r>
                </w:p>
              </w:tc>
              <w:tc>
                <w:tcPr>
                  <w:tcW w:w="1033" w:type="pct"/>
                  <w:tcBorders>
                    <w:top w:val="single" w:color="auto" w:sz="12" w:space="0"/>
                    <w:bottom w:val="single" w:color="auto" w:sz="4" w:space="0"/>
                  </w:tcBorders>
                  <w:vAlign w:val="center"/>
                </w:tcPr>
                <w:p w14:paraId="527609BA">
                  <w:pPr>
                    <w:pStyle w:val="4003"/>
                    <w:ind w:firstLine="0" w:firstLineChars="0"/>
                    <w:jc w:val="center"/>
                    <w:rPr>
                      <w:rFonts w:cs="Times New Roman"/>
                      <w:b/>
                      <w:color w:val="auto"/>
                      <w:sz w:val="21"/>
                      <w:szCs w:val="21"/>
                    </w:rPr>
                  </w:pPr>
                  <w:r>
                    <w:rPr>
                      <w:rFonts w:cs="Times New Roman"/>
                      <w:b/>
                      <w:color w:val="auto"/>
                      <w:sz w:val="21"/>
                      <w:szCs w:val="21"/>
                    </w:rPr>
                    <w:t>噪声贡献值</w:t>
                  </w:r>
                </w:p>
              </w:tc>
              <w:tc>
                <w:tcPr>
                  <w:tcW w:w="1033" w:type="pct"/>
                  <w:vAlign w:val="center"/>
                </w:tcPr>
                <w:p w14:paraId="40054922">
                  <w:pPr>
                    <w:pStyle w:val="4003"/>
                    <w:ind w:firstLine="0" w:firstLineChars="0"/>
                    <w:jc w:val="center"/>
                    <w:rPr>
                      <w:rFonts w:cs="Times New Roman"/>
                      <w:b/>
                      <w:color w:val="auto"/>
                      <w:sz w:val="21"/>
                      <w:szCs w:val="21"/>
                    </w:rPr>
                  </w:pPr>
                  <w:r>
                    <w:rPr>
                      <w:rFonts w:cs="Times New Roman"/>
                      <w:b/>
                      <w:color w:val="auto"/>
                      <w:sz w:val="21"/>
                      <w:szCs w:val="21"/>
                    </w:rPr>
                    <w:t>较现状增量</w:t>
                  </w:r>
                </w:p>
              </w:tc>
              <w:tc>
                <w:tcPr>
                  <w:tcW w:w="862" w:type="pct"/>
                  <w:vAlign w:val="center"/>
                </w:tcPr>
                <w:p w14:paraId="5891C207">
                  <w:pPr>
                    <w:pStyle w:val="4003"/>
                    <w:ind w:firstLine="0" w:firstLineChars="0"/>
                    <w:rPr>
                      <w:rFonts w:cs="Times New Roman"/>
                      <w:b/>
                      <w:color w:val="auto"/>
                      <w:sz w:val="21"/>
                      <w:szCs w:val="21"/>
                    </w:rPr>
                  </w:pPr>
                  <w:r>
                    <w:rPr>
                      <w:rFonts w:cs="Times New Roman"/>
                      <w:b/>
                      <w:color w:val="auto"/>
                      <w:sz w:val="21"/>
                      <w:szCs w:val="21"/>
                    </w:rPr>
                    <w:t>达标情况</w:t>
                  </w:r>
                </w:p>
              </w:tc>
            </w:tr>
            <w:tr w14:paraId="39B0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Merge w:val="continue"/>
                  <w:vAlign w:val="center"/>
                </w:tcPr>
                <w:p w14:paraId="03AE2CF8">
                  <w:pPr>
                    <w:pStyle w:val="4003"/>
                    <w:ind w:firstLine="0" w:firstLineChars="0"/>
                    <w:jc w:val="center"/>
                    <w:rPr>
                      <w:rFonts w:cs="Times New Roman"/>
                      <w:b/>
                      <w:color w:val="auto"/>
                      <w:sz w:val="21"/>
                      <w:szCs w:val="21"/>
                    </w:rPr>
                  </w:pPr>
                </w:p>
              </w:tc>
              <w:tc>
                <w:tcPr>
                  <w:tcW w:w="688" w:type="pct"/>
                  <w:vMerge w:val="continue"/>
                  <w:vAlign w:val="center"/>
                </w:tcPr>
                <w:p w14:paraId="0F3DA3E3">
                  <w:pPr>
                    <w:pStyle w:val="4003"/>
                    <w:ind w:firstLine="0" w:firstLineChars="0"/>
                    <w:jc w:val="center"/>
                    <w:rPr>
                      <w:rFonts w:cs="Times New Roman"/>
                      <w:b/>
                      <w:color w:val="auto"/>
                      <w:sz w:val="21"/>
                      <w:szCs w:val="21"/>
                    </w:rPr>
                  </w:pPr>
                </w:p>
              </w:tc>
              <w:tc>
                <w:tcPr>
                  <w:tcW w:w="862" w:type="pct"/>
                  <w:tcBorders>
                    <w:top w:val="single" w:color="auto" w:sz="4" w:space="0"/>
                    <w:left w:val="single" w:color="auto" w:sz="4" w:space="0"/>
                    <w:bottom w:val="single" w:color="auto" w:sz="4" w:space="0"/>
                    <w:right w:val="single" w:color="auto" w:sz="4" w:space="0"/>
                  </w:tcBorders>
                  <w:vAlign w:val="center"/>
                </w:tcPr>
                <w:p w14:paraId="47E4BC44">
                  <w:pPr>
                    <w:pStyle w:val="4003"/>
                    <w:ind w:firstLine="0" w:firstLineChars="0"/>
                    <w:jc w:val="center"/>
                    <w:rPr>
                      <w:rFonts w:cs="Times New Roman"/>
                      <w:b/>
                      <w:color w:val="auto"/>
                      <w:sz w:val="21"/>
                      <w:szCs w:val="21"/>
                    </w:rPr>
                  </w:pPr>
                  <w:r>
                    <w:rPr>
                      <w:rFonts w:cs="Times New Roman"/>
                      <w:b/>
                      <w:color w:val="auto"/>
                      <w:sz w:val="21"/>
                      <w:szCs w:val="21"/>
                    </w:rPr>
                    <w:t>昼间</w:t>
                  </w:r>
                </w:p>
              </w:tc>
              <w:tc>
                <w:tcPr>
                  <w:tcW w:w="1033" w:type="pct"/>
                  <w:tcBorders>
                    <w:top w:val="single" w:color="auto" w:sz="4" w:space="0"/>
                    <w:left w:val="single" w:color="auto" w:sz="4" w:space="0"/>
                    <w:bottom w:val="single" w:color="auto" w:sz="4" w:space="0"/>
                    <w:right w:val="single" w:color="auto" w:sz="4" w:space="0"/>
                  </w:tcBorders>
                  <w:vAlign w:val="center"/>
                </w:tcPr>
                <w:p w14:paraId="4648903F">
                  <w:pPr>
                    <w:pStyle w:val="4003"/>
                    <w:ind w:firstLine="0" w:firstLineChars="0"/>
                    <w:jc w:val="center"/>
                    <w:rPr>
                      <w:rFonts w:cs="Times New Roman"/>
                      <w:b/>
                      <w:color w:val="auto"/>
                      <w:sz w:val="21"/>
                      <w:szCs w:val="21"/>
                    </w:rPr>
                  </w:pPr>
                  <w:r>
                    <w:rPr>
                      <w:rFonts w:cs="Times New Roman"/>
                      <w:b/>
                      <w:color w:val="auto"/>
                      <w:sz w:val="21"/>
                      <w:szCs w:val="21"/>
                    </w:rPr>
                    <w:t>昼间</w:t>
                  </w:r>
                </w:p>
              </w:tc>
              <w:tc>
                <w:tcPr>
                  <w:tcW w:w="1033" w:type="pct"/>
                  <w:vAlign w:val="center"/>
                </w:tcPr>
                <w:p w14:paraId="097CD7F7">
                  <w:pPr>
                    <w:pStyle w:val="4003"/>
                    <w:ind w:firstLine="0" w:firstLineChars="0"/>
                    <w:jc w:val="center"/>
                    <w:rPr>
                      <w:rFonts w:cs="Times New Roman"/>
                      <w:b/>
                      <w:color w:val="auto"/>
                      <w:sz w:val="21"/>
                      <w:szCs w:val="21"/>
                    </w:rPr>
                  </w:pPr>
                  <w:r>
                    <w:rPr>
                      <w:rFonts w:cs="Times New Roman"/>
                      <w:b/>
                      <w:color w:val="auto"/>
                      <w:sz w:val="21"/>
                      <w:szCs w:val="21"/>
                    </w:rPr>
                    <w:t>昼间</w:t>
                  </w:r>
                </w:p>
              </w:tc>
              <w:tc>
                <w:tcPr>
                  <w:tcW w:w="862" w:type="pct"/>
                  <w:vAlign w:val="center"/>
                </w:tcPr>
                <w:p w14:paraId="353A67C2">
                  <w:pPr>
                    <w:pStyle w:val="4003"/>
                    <w:ind w:firstLine="0" w:firstLineChars="0"/>
                    <w:jc w:val="center"/>
                    <w:rPr>
                      <w:rFonts w:cs="Times New Roman"/>
                      <w:b/>
                      <w:color w:val="auto"/>
                      <w:sz w:val="21"/>
                      <w:szCs w:val="21"/>
                    </w:rPr>
                  </w:pPr>
                  <w:r>
                    <w:rPr>
                      <w:rFonts w:cs="Times New Roman"/>
                      <w:b/>
                      <w:color w:val="auto"/>
                      <w:sz w:val="21"/>
                      <w:szCs w:val="21"/>
                    </w:rPr>
                    <w:t>昼间</w:t>
                  </w:r>
                </w:p>
              </w:tc>
            </w:tr>
            <w:tr w14:paraId="1277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1AB851C9">
                  <w:pPr>
                    <w:pStyle w:val="4003"/>
                    <w:ind w:firstLine="0" w:firstLineChars="0"/>
                    <w:jc w:val="center"/>
                    <w:rPr>
                      <w:rFonts w:cs="Times New Roman"/>
                      <w:color w:val="auto"/>
                      <w:sz w:val="21"/>
                      <w:szCs w:val="21"/>
                    </w:rPr>
                  </w:pPr>
                  <w:r>
                    <w:rPr>
                      <w:rFonts w:cs="Times New Roman"/>
                      <w:color w:val="auto"/>
                      <w:sz w:val="21"/>
                      <w:szCs w:val="21"/>
                    </w:rPr>
                    <w:t>1</w:t>
                  </w:r>
                </w:p>
              </w:tc>
              <w:tc>
                <w:tcPr>
                  <w:tcW w:w="688" w:type="pct"/>
                  <w:vAlign w:val="center"/>
                </w:tcPr>
                <w:p w14:paraId="1083DD98">
                  <w:pPr>
                    <w:pStyle w:val="4003"/>
                    <w:ind w:firstLine="0" w:firstLineChars="0"/>
                    <w:jc w:val="center"/>
                    <w:rPr>
                      <w:rFonts w:cs="Times New Roman"/>
                      <w:color w:val="auto"/>
                      <w:sz w:val="21"/>
                      <w:szCs w:val="21"/>
                    </w:rPr>
                  </w:pPr>
                  <w:r>
                    <w:rPr>
                      <w:rFonts w:cs="Times New Roman"/>
                      <w:color w:val="auto"/>
                      <w:sz w:val="21"/>
                      <w:szCs w:val="21"/>
                    </w:rPr>
                    <w:t>东厂界</w:t>
                  </w:r>
                </w:p>
              </w:tc>
              <w:tc>
                <w:tcPr>
                  <w:tcW w:w="862" w:type="pct"/>
                  <w:tcBorders>
                    <w:top w:val="single" w:color="auto" w:sz="4" w:space="0"/>
                    <w:bottom w:val="single" w:color="auto" w:sz="4" w:space="0"/>
                  </w:tcBorders>
                  <w:vAlign w:val="center"/>
                </w:tcPr>
                <w:p w14:paraId="5BC33F11">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296F5DC1">
                  <w:pPr>
                    <w:pStyle w:val="4003"/>
                    <w:ind w:firstLine="0" w:firstLineChars="0"/>
                    <w:jc w:val="center"/>
                    <w:rPr>
                      <w:rFonts w:cs="Times New Roman"/>
                      <w:color w:val="auto"/>
                      <w:sz w:val="21"/>
                      <w:szCs w:val="21"/>
                    </w:rPr>
                  </w:pPr>
                  <w:r>
                    <w:rPr>
                      <w:rFonts w:hint="eastAsia" w:cs="Times New Roman"/>
                      <w:color w:val="auto"/>
                      <w:sz w:val="21"/>
                      <w:szCs w:val="21"/>
                    </w:rPr>
                    <w:t>52.2</w:t>
                  </w:r>
                </w:p>
              </w:tc>
              <w:tc>
                <w:tcPr>
                  <w:tcW w:w="1033" w:type="pct"/>
                  <w:vAlign w:val="center"/>
                </w:tcPr>
                <w:p w14:paraId="6803AD1F">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63A26EF1">
                  <w:pPr>
                    <w:pStyle w:val="4003"/>
                    <w:ind w:firstLine="0" w:firstLineChars="0"/>
                    <w:jc w:val="center"/>
                    <w:rPr>
                      <w:rFonts w:cs="Times New Roman"/>
                      <w:color w:val="auto"/>
                      <w:sz w:val="21"/>
                      <w:szCs w:val="21"/>
                    </w:rPr>
                  </w:pPr>
                  <w:r>
                    <w:rPr>
                      <w:rFonts w:cs="Times New Roman"/>
                      <w:color w:val="auto"/>
                      <w:sz w:val="21"/>
                      <w:szCs w:val="21"/>
                    </w:rPr>
                    <w:t>达标</w:t>
                  </w:r>
                </w:p>
              </w:tc>
            </w:tr>
            <w:tr w14:paraId="633C2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3BDA8CB3">
                  <w:pPr>
                    <w:pStyle w:val="4003"/>
                    <w:ind w:firstLine="0" w:firstLineChars="0"/>
                    <w:jc w:val="center"/>
                    <w:rPr>
                      <w:rFonts w:cs="Times New Roman"/>
                      <w:color w:val="auto"/>
                      <w:sz w:val="21"/>
                      <w:szCs w:val="21"/>
                    </w:rPr>
                  </w:pPr>
                  <w:r>
                    <w:rPr>
                      <w:rFonts w:cs="Times New Roman"/>
                      <w:color w:val="auto"/>
                      <w:sz w:val="21"/>
                      <w:szCs w:val="21"/>
                    </w:rPr>
                    <w:t>2</w:t>
                  </w:r>
                </w:p>
              </w:tc>
              <w:tc>
                <w:tcPr>
                  <w:tcW w:w="688" w:type="pct"/>
                  <w:vAlign w:val="center"/>
                </w:tcPr>
                <w:p w14:paraId="2F0744E4">
                  <w:pPr>
                    <w:pStyle w:val="4003"/>
                    <w:ind w:firstLine="0" w:firstLineChars="0"/>
                    <w:jc w:val="center"/>
                    <w:rPr>
                      <w:rFonts w:cs="Times New Roman"/>
                      <w:color w:val="auto"/>
                      <w:sz w:val="21"/>
                      <w:szCs w:val="21"/>
                    </w:rPr>
                  </w:pPr>
                  <w:r>
                    <w:rPr>
                      <w:rFonts w:cs="Times New Roman"/>
                      <w:color w:val="auto"/>
                      <w:sz w:val="21"/>
                      <w:szCs w:val="21"/>
                    </w:rPr>
                    <w:t>南厂界</w:t>
                  </w:r>
                </w:p>
              </w:tc>
              <w:tc>
                <w:tcPr>
                  <w:tcW w:w="862" w:type="pct"/>
                  <w:tcBorders>
                    <w:top w:val="single" w:color="auto" w:sz="4" w:space="0"/>
                    <w:bottom w:val="single" w:color="auto" w:sz="4" w:space="0"/>
                  </w:tcBorders>
                  <w:vAlign w:val="center"/>
                </w:tcPr>
                <w:p w14:paraId="11C72071">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052D4C62">
                  <w:pPr>
                    <w:pStyle w:val="4003"/>
                    <w:ind w:firstLine="0" w:firstLineChars="0"/>
                    <w:jc w:val="center"/>
                    <w:rPr>
                      <w:rFonts w:cs="Times New Roman"/>
                      <w:color w:val="auto"/>
                      <w:sz w:val="21"/>
                      <w:szCs w:val="21"/>
                    </w:rPr>
                  </w:pPr>
                  <w:r>
                    <w:rPr>
                      <w:rFonts w:hint="eastAsia" w:cs="Times New Roman"/>
                      <w:color w:val="auto"/>
                      <w:sz w:val="21"/>
                      <w:szCs w:val="21"/>
                    </w:rPr>
                    <w:t>32.2</w:t>
                  </w:r>
                </w:p>
              </w:tc>
              <w:tc>
                <w:tcPr>
                  <w:tcW w:w="1033" w:type="pct"/>
                  <w:vAlign w:val="center"/>
                </w:tcPr>
                <w:p w14:paraId="5F06A302">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1FBAF892">
                  <w:pPr>
                    <w:pStyle w:val="4003"/>
                    <w:ind w:firstLine="0" w:firstLineChars="0"/>
                    <w:jc w:val="center"/>
                    <w:rPr>
                      <w:rFonts w:cs="Times New Roman"/>
                      <w:color w:val="auto"/>
                      <w:sz w:val="21"/>
                      <w:szCs w:val="21"/>
                    </w:rPr>
                  </w:pPr>
                  <w:r>
                    <w:rPr>
                      <w:rFonts w:cs="Times New Roman"/>
                      <w:color w:val="auto"/>
                      <w:sz w:val="21"/>
                      <w:szCs w:val="21"/>
                    </w:rPr>
                    <w:t>达标</w:t>
                  </w:r>
                </w:p>
              </w:tc>
            </w:tr>
            <w:tr w14:paraId="18F70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72734ABC">
                  <w:pPr>
                    <w:pStyle w:val="4003"/>
                    <w:ind w:firstLine="0" w:firstLineChars="0"/>
                    <w:jc w:val="center"/>
                    <w:rPr>
                      <w:rFonts w:cs="Times New Roman"/>
                      <w:color w:val="auto"/>
                      <w:sz w:val="21"/>
                      <w:szCs w:val="21"/>
                    </w:rPr>
                  </w:pPr>
                  <w:r>
                    <w:rPr>
                      <w:rFonts w:cs="Times New Roman"/>
                      <w:color w:val="auto"/>
                      <w:sz w:val="21"/>
                      <w:szCs w:val="21"/>
                    </w:rPr>
                    <w:t>3</w:t>
                  </w:r>
                </w:p>
              </w:tc>
              <w:tc>
                <w:tcPr>
                  <w:tcW w:w="688" w:type="pct"/>
                  <w:vAlign w:val="center"/>
                </w:tcPr>
                <w:p w14:paraId="68B7CFBB">
                  <w:pPr>
                    <w:pStyle w:val="4003"/>
                    <w:ind w:firstLine="0" w:firstLineChars="0"/>
                    <w:jc w:val="center"/>
                    <w:rPr>
                      <w:rFonts w:cs="Times New Roman"/>
                      <w:color w:val="auto"/>
                      <w:sz w:val="21"/>
                      <w:szCs w:val="21"/>
                    </w:rPr>
                  </w:pPr>
                  <w:r>
                    <w:rPr>
                      <w:rFonts w:cs="Times New Roman"/>
                      <w:color w:val="auto"/>
                      <w:sz w:val="21"/>
                      <w:szCs w:val="21"/>
                    </w:rPr>
                    <w:t>西厂界</w:t>
                  </w:r>
                </w:p>
              </w:tc>
              <w:tc>
                <w:tcPr>
                  <w:tcW w:w="862" w:type="pct"/>
                  <w:tcBorders>
                    <w:top w:val="single" w:color="auto" w:sz="4" w:space="0"/>
                    <w:bottom w:val="single" w:color="auto" w:sz="4" w:space="0"/>
                  </w:tcBorders>
                  <w:vAlign w:val="center"/>
                </w:tcPr>
                <w:p w14:paraId="78F880B3">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6FF89B68">
                  <w:pPr>
                    <w:pStyle w:val="4003"/>
                    <w:ind w:firstLine="0" w:firstLineChars="0"/>
                    <w:jc w:val="center"/>
                    <w:rPr>
                      <w:rFonts w:cs="Times New Roman"/>
                      <w:color w:val="auto"/>
                      <w:sz w:val="21"/>
                      <w:szCs w:val="21"/>
                    </w:rPr>
                  </w:pPr>
                  <w:r>
                    <w:rPr>
                      <w:rFonts w:hint="eastAsia" w:cs="Times New Roman"/>
                      <w:color w:val="auto"/>
                      <w:sz w:val="21"/>
                      <w:szCs w:val="21"/>
                    </w:rPr>
                    <w:t>38.7</w:t>
                  </w:r>
                </w:p>
              </w:tc>
              <w:tc>
                <w:tcPr>
                  <w:tcW w:w="1033" w:type="pct"/>
                  <w:vAlign w:val="center"/>
                </w:tcPr>
                <w:p w14:paraId="6E28295F">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0E746C5B">
                  <w:pPr>
                    <w:pStyle w:val="4003"/>
                    <w:ind w:firstLine="0" w:firstLineChars="0"/>
                    <w:jc w:val="center"/>
                    <w:rPr>
                      <w:rFonts w:cs="Times New Roman"/>
                      <w:color w:val="auto"/>
                      <w:sz w:val="21"/>
                      <w:szCs w:val="21"/>
                    </w:rPr>
                  </w:pPr>
                  <w:r>
                    <w:rPr>
                      <w:rFonts w:cs="Times New Roman"/>
                      <w:color w:val="auto"/>
                      <w:sz w:val="21"/>
                      <w:szCs w:val="21"/>
                    </w:rPr>
                    <w:t>达标</w:t>
                  </w:r>
                </w:p>
              </w:tc>
            </w:tr>
            <w:tr w14:paraId="45587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6457059A">
                  <w:pPr>
                    <w:pStyle w:val="4003"/>
                    <w:ind w:firstLine="0" w:firstLineChars="0"/>
                    <w:jc w:val="center"/>
                    <w:rPr>
                      <w:rFonts w:cs="Times New Roman"/>
                      <w:color w:val="auto"/>
                      <w:sz w:val="21"/>
                      <w:szCs w:val="21"/>
                    </w:rPr>
                  </w:pPr>
                  <w:r>
                    <w:rPr>
                      <w:rFonts w:cs="Times New Roman"/>
                      <w:color w:val="auto"/>
                      <w:sz w:val="21"/>
                      <w:szCs w:val="21"/>
                    </w:rPr>
                    <w:t>4</w:t>
                  </w:r>
                </w:p>
              </w:tc>
              <w:tc>
                <w:tcPr>
                  <w:tcW w:w="688" w:type="pct"/>
                  <w:vAlign w:val="center"/>
                </w:tcPr>
                <w:p w14:paraId="2EEA2413">
                  <w:pPr>
                    <w:pStyle w:val="4003"/>
                    <w:ind w:firstLine="0" w:firstLineChars="0"/>
                    <w:jc w:val="center"/>
                    <w:rPr>
                      <w:rFonts w:cs="Times New Roman"/>
                      <w:color w:val="auto"/>
                      <w:sz w:val="21"/>
                      <w:szCs w:val="21"/>
                    </w:rPr>
                  </w:pPr>
                  <w:r>
                    <w:rPr>
                      <w:rFonts w:cs="Times New Roman"/>
                      <w:color w:val="auto"/>
                      <w:sz w:val="21"/>
                      <w:szCs w:val="21"/>
                    </w:rPr>
                    <w:t>北厂界</w:t>
                  </w:r>
                </w:p>
              </w:tc>
              <w:tc>
                <w:tcPr>
                  <w:tcW w:w="862" w:type="pct"/>
                  <w:tcBorders>
                    <w:top w:val="single" w:color="auto" w:sz="4" w:space="0"/>
                    <w:bottom w:val="single" w:color="auto" w:sz="12" w:space="0"/>
                  </w:tcBorders>
                  <w:vAlign w:val="center"/>
                </w:tcPr>
                <w:p w14:paraId="5FF200CF">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12" w:space="0"/>
                  </w:tcBorders>
                  <w:vAlign w:val="center"/>
                </w:tcPr>
                <w:p w14:paraId="18E98F2B">
                  <w:pPr>
                    <w:pStyle w:val="4003"/>
                    <w:ind w:firstLine="0" w:firstLineChars="0"/>
                    <w:jc w:val="center"/>
                    <w:rPr>
                      <w:rFonts w:cs="Times New Roman"/>
                      <w:color w:val="auto"/>
                      <w:sz w:val="21"/>
                      <w:szCs w:val="21"/>
                    </w:rPr>
                  </w:pPr>
                  <w:r>
                    <w:rPr>
                      <w:rFonts w:hint="eastAsia" w:cs="Times New Roman"/>
                      <w:color w:val="auto"/>
                      <w:sz w:val="21"/>
                      <w:szCs w:val="21"/>
                    </w:rPr>
                    <w:t>52.2</w:t>
                  </w:r>
                </w:p>
              </w:tc>
              <w:tc>
                <w:tcPr>
                  <w:tcW w:w="1033" w:type="pct"/>
                  <w:vAlign w:val="center"/>
                </w:tcPr>
                <w:p w14:paraId="7E84BFDE">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5AF2C828">
                  <w:pPr>
                    <w:pStyle w:val="4003"/>
                    <w:ind w:firstLine="0" w:firstLineChars="0"/>
                    <w:jc w:val="center"/>
                    <w:rPr>
                      <w:rFonts w:cs="Times New Roman"/>
                      <w:color w:val="auto"/>
                      <w:sz w:val="21"/>
                      <w:szCs w:val="21"/>
                    </w:rPr>
                  </w:pPr>
                  <w:r>
                    <w:rPr>
                      <w:rFonts w:cs="Times New Roman"/>
                      <w:color w:val="auto"/>
                      <w:sz w:val="21"/>
                      <w:szCs w:val="21"/>
                    </w:rPr>
                    <w:t>达标</w:t>
                  </w:r>
                </w:p>
              </w:tc>
            </w:tr>
          </w:tbl>
          <w:p w14:paraId="1F010139">
            <w:pPr>
              <w:adjustRightInd w:val="0"/>
              <w:snapToGrid w:val="0"/>
              <w:spacing w:line="360" w:lineRule="auto"/>
              <w:ind w:firstLine="480" w:firstLineChars="200"/>
              <w:rPr>
                <w:color w:val="auto"/>
                <w:sz w:val="24"/>
              </w:rPr>
            </w:pPr>
            <w:r>
              <w:rPr>
                <w:color w:val="auto"/>
                <w:sz w:val="24"/>
              </w:rPr>
              <w:t>本项目对厂界的噪声贡献值均满足《工业企业厂界环境噪声排放标准》（GB12348-2008）3类标准要求，即昼间≤65dB(A)、夜间≤55dB(A)，对周边声环境影响较小。</w:t>
            </w:r>
          </w:p>
          <w:p w14:paraId="33BFB55C">
            <w:pPr>
              <w:adjustRightInd w:val="0"/>
              <w:snapToGrid w:val="0"/>
              <w:spacing w:line="360" w:lineRule="auto"/>
              <w:ind w:firstLine="482" w:firstLineChars="200"/>
              <w:rPr>
                <w:b/>
                <w:color w:val="auto"/>
                <w:sz w:val="24"/>
              </w:rPr>
            </w:pPr>
            <w:r>
              <w:rPr>
                <w:b/>
                <w:color w:val="auto"/>
                <w:sz w:val="24"/>
              </w:rPr>
              <w:t>3.3噪声污染防治措施</w:t>
            </w:r>
          </w:p>
          <w:p w14:paraId="7EA17851">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合理布局</w:t>
            </w:r>
          </w:p>
          <w:p w14:paraId="10055A05">
            <w:pPr>
              <w:adjustRightInd w:val="0"/>
              <w:snapToGrid w:val="0"/>
              <w:spacing w:line="360" w:lineRule="auto"/>
              <w:ind w:firstLine="480" w:firstLineChars="200"/>
              <w:rPr>
                <w:color w:val="auto"/>
                <w:sz w:val="24"/>
              </w:rPr>
            </w:pPr>
            <w:r>
              <w:rPr>
                <w:color w:val="auto"/>
                <w:sz w:val="24"/>
              </w:rPr>
              <w:t>将高噪声源尽量布置在厂区中部，通过距离衰减减轻噪声对外环境的影响。</w:t>
            </w:r>
          </w:p>
          <w:p w14:paraId="22646AB6">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选择低噪声设备</w:t>
            </w:r>
          </w:p>
          <w:p w14:paraId="69600F6A">
            <w:pPr>
              <w:adjustRightInd w:val="0"/>
              <w:snapToGrid w:val="0"/>
              <w:spacing w:line="360" w:lineRule="auto"/>
              <w:ind w:firstLine="480" w:firstLineChars="200"/>
              <w:rPr>
                <w:color w:val="auto"/>
                <w:sz w:val="24"/>
              </w:rPr>
            </w:pPr>
            <w:r>
              <w:rPr>
                <w:color w:val="auto"/>
                <w:sz w:val="24"/>
              </w:rPr>
              <w:t>在满足工艺设计的前提下，尽量选用满足国际标准的低噪声、低振动型号的设备，降低噪声源强。</w:t>
            </w:r>
          </w:p>
          <w:p w14:paraId="36DFD1E2">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隔声、减振</w:t>
            </w:r>
          </w:p>
          <w:p w14:paraId="064F3099">
            <w:pPr>
              <w:adjustRightInd w:val="0"/>
              <w:snapToGrid w:val="0"/>
              <w:spacing w:line="360" w:lineRule="auto"/>
              <w:ind w:firstLine="480" w:firstLineChars="200"/>
              <w:rPr>
                <w:color w:val="auto"/>
                <w:sz w:val="24"/>
              </w:rPr>
            </w:pPr>
            <w:r>
              <w:rPr>
                <w:color w:val="auto"/>
                <w:sz w:val="24"/>
              </w:rPr>
              <w:t>根据噪声产生的性质可分为机械运动噪声及空气动力性噪声，根据其产生的性质和机理不同分别采用了隔声、减振等方式进行了降噪处理。</w:t>
            </w:r>
          </w:p>
          <w:p w14:paraId="4E8C98BA">
            <w:pPr>
              <w:adjustRightInd w:val="0"/>
              <w:snapToGrid w:val="0"/>
              <w:spacing w:line="360" w:lineRule="auto"/>
              <w:ind w:firstLine="480" w:firstLineChars="200"/>
              <w:rPr>
                <w:color w:val="auto"/>
                <w:sz w:val="24"/>
              </w:rPr>
            </w:pPr>
            <w:r>
              <w:rPr>
                <w:rFonts w:hint="eastAsia"/>
                <w:color w:val="auto"/>
                <w:sz w:val="24"/>
                <w:lang w:eastAsia="zh-CN"/>
              </w:rPr>
              <w:t>(4)</w:t>
            </w:r>
            <w:r>
              <w:rPr>
                <w:color w:val="auto"/>
                <w:sz w:val="24"/>
              </w:rPr>
              <w:t>各类泵和风机噪声控制</w:t>
            </w:r>
          </w:p>
          <w:p w14:paraId="326DDEDF">
            <w:pPr>
              <w:adjustRightInd w:val="0"/>
              <w:snapToGrid w:val="0"/>
              <w:spacing w:line="360" w:lineRule="auto"/>
              <w:ind w:firstLine="480" w:firstLineChars="200"/>
              <w:rPr>
                <w:color w:val="auto"/>
                <w:sz w:val="24"/>
              </w:rPr>
            </w:pPr>
            <w:r>
              <w:rPr>
                <w:color w:val="auto"/>
                <w:sz w:val="24"/>
              </w:rPr>
              <w:t>各类泵等动力设备大部分安装在密闭的房间，对噪声较大的设备，设置隔音罩、房间内壁铺设吸声材料，采取隔声门、隔声窗等措施。</w:t>
            </w:r>
          </w:p>
          <w:p w14:paraId="506360D9">
            <w:pPr>
              <w:adjustRightInd w:val="0"/>
              <w:snapToGrid w:val="0"/>
              <w:spacing w:line="360" w:lineRule="auto"/>
              <w:ind w:firstLine="480" w:firstLineChars="200"/>
              <w:rPr>
                <w:color w:val="auto"/>
                <w:sz w:val="24"/>
              </w:rPr>
            </w:pPr>
            <w:r>
              <w:rPr>
                <w:rFonts w:hint="eastAsia"/>
                <w:color w:val="auto"/>
                <w:sz w:val="24"/>
                <w:lang w:eastAsia="zh-CN"/>
              </w:rPr>
              <w:t>(5)</w:t>
            </w:r>
            <w:r>
              <w:rPr>
                <w:color w:val="auto"/>
                <w:sz w:val="24"/>
              </w:rPr>
              <w:t>强化生产管理</w:t>
            </w:r>
          </w:p>
          <w:p w14:paraId="7DE7987D">
            <w:pPr>
              <w:adjustRightInd w:val="0"/>
              <w:snapToGrid w:val="0"/>
              <w:spacing w:line="360" w:lineRule="auto"/>
              <w:ind w:firstLine="480" w:firstLineChars="200"/>
              <w:rPr>
                <w:color w:val="auto"/>
                <w:sz w:val="24"/>
              </w:rPr>
            </w:pPr>
            <w:r>
              <w:rPr>
                <w:color w:val="auto"/>
                <w:sz w:val="24"/>
              </w:rPr>
              <w:t>确保降噪设施的有效运行，并加强对生产设备的保养、检修与润滑，保证设备处于良好</w:t>
            </w:r>
            <w:r>
              <w:rPr>
                <w:rFonts w:hint="eastAsia"/>
                <w:color w:val="auto"/>
                <w:sz w:val="24"/>
                <w:lang w:eastAsia="zh-CN"/>
              </w:rPr>
              <w:t>地</w:t>
            </w:r>
            <w:r>
              <w:rPr>
                <w:color w:val="auto"/>
                <w:sz w:val="24"/>
              </w:rPr>
              <w:t>运转状态。</w:t>
            </w:r>
          </w:p>
          <w:p w14:paraId="1A35327B">
            <w:pPr>
              <w:adjustRightInd w:val="0"/>
              <w:snapToGrid w:val="0"/>
              <w:spacing w:line="360" w:lineRule="auto"/>
              <w:ind w:firstLine="480" w:firstLineChars="200"/>
              <w:rPr>
                <w:color w:val="auto"/>
                <w:sz w:val="24"/>
              </w:rPr>
            </w:pPr>
            <w:r>
              <w:rPr>
                <w:rFonts w:hint="eastAsia"/>
                <w:color w:val="auto"/>
                <w:sz w:val="24"/>
                <w:lang w:eastAsia="zh-CN"/>
              </w:rPr>
              <w:t>(6)</w:t>
            </w:r>
            <w:r>
              <w:rPr>
                <w:color w:val="auto"/>
                <w:sz w:val="24"/>
              </w:rPr>
              <w:t>厂区绿化</w:t>
            </w:r>
          </w:p>
          <w:p w14:paraId="7D6A4C55">
            <w:pPr>
              <w:adjustRightInd w:val="0"/>
              <w:snapToGrid w:val="0"/>
              <w:spacing w:line="360" w:lineRule="auto"/>
              <w:ind w:firstLine="480" w:firstLineChars="200"/>
              <w:rPr>
                <w:color w:val="auto"/>
                <w:sz w:val="24"/>
              </w:rPr>
            </w:pPr>
            <w:r>
              <w:rPr>
                <w:color w:val="auto"/>
                <w:sz w:val="24"/>
              </w:rPr>
              <w:t>加强绿化，在厂区、厂界四周布置绿化带，增加对噪声的阻尼作用。项目厂界沿厂区围墙植有乔木，厂区绿化以灌木和草坪为主，有效降低噪声强度。</w:t>
            </w:r>
          </w:p>
          <w:p w14:paraId="384DE090">
            <w:pPr>
              <w:adjustRightInd w:val="0"/>
              <w:snapToGrid w:val="0"/>
              <w:ind w:firstLine="482" w:firstLineChars="200"/>
              <w:jc w:val="center"/>
              <w:rPr>
                <w:b/>
                <w:color w:val="auto"/>
                <w:sz w:val="24"/>
              </w:rPr>
            </w:pPr>
            <w:r>
              <w:rPr>
                <w:b/>
                <w:color w:val="auto"/>
                <w:sz w:val="24"/>
              </w:rPr>
              <w:t>表4-2</w:t>
            </w:r>
            <w:r>
              <w:rPr>
                <w:rFonts w:hint="eastAsia"/>
                <w:b/>
                <w:color w:val="auto"/>
                <w:sz w:val="24"/>
              </w:rPr>
              <w:t>4</w:t>
            </w:r>
            <w:r>
              <w:rPr>
                <w:b/>
                <w:color w:val="auto"/>
                <w:sz w:val="24"/>
              </w:rPr>
              <w:t xml:space="preserve">  工业企业噪声防治措施及投资表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58"/>
              <w:gridCol w:w="2059"/>
              <w:gridCol w:w="1910"/>
              <w:gridCol w:w="2207"/>
            </w:tblGrid>
            <w:tr w14:paraId="4A08C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4647C9A1">
                  <w:pPr>
                    <w:adjustRightInd w:val="0"/>
                    <w:snapToGrid w:val="0"/>
                    <w:jc w:val="center"/>
                    <w:rPr>
                      <w:b/>
                      <w:color w:val="auto"/>
                      <w:szCs w:val="21"/>
                    </w:rPr>
                  </w:pPr>
                  <w:r>
                    <w:rPr>
                      <w:b/>
                      <w:color w:val="auto"/>
                      <w:szCs w:val="21"/>
                    </w:rPr>
                    <w:t>噪声防治措施名称</w:t>
                  </w:r>
                </w:p>
                <w:p w14:paraId="73020CF7">
                  <w:pPr>
                    <w:adjustRightInd w:val="0"/>
                    <w:snapToGrid w:val="0"/>
                    <w:jc w:val="center"/>
                    <w:rPr>
                      <w:b/>
                      <w:color w:val="auto"/>
                      <w:szCs w:val="21"/>
                    </w:rPr>
                  </w:pPr>
                  <w:r>
                    <w:rPr>
                      <w:b/>
                      <w:color w:val="auto"/>
                      <w:szCs w:val="21"/>
                    </w:rPr>
                    <w:t>（类型）</w:t>
                  </w:r>
                </w:p>
              </w:tc>
              <w:tc>
                <w:tcPr>
                  <w:tcW w:w="1250" w:type="pct"/>
                  <w:vAlign w:val="center"/>
                </w:tcPr>
                <w:p w14:paraId="32996283">
                  <w:pPr>
                    <w:adjustRightInd w:val="0"/>
                    <w:snapToGrid w:val="0"/>
                    <w:jc w:val="center"/>
                    <w:rPr>
                      <w:b/>
                      <w:color w:val="auto"/>
                      <w:szCs w:val="21"/>
                    </w:rPr>
                  </w:pPr>
                  <w:r>
                    <w:rPr>
                      <w:b/>
                      <w:color w:val="auto"/>
                      <w:szCs w:val="21"/>
                    </w:rPr>
                    <w:t>噪声防治措施规模</w:t>
                  </w:r>
                </w:p>
              </w:tc>
              <w:tc>
                <w:tcPr>
                  <w:tcW w:w="1160" w:type="pct"/>
                  <w:tcMar>
                    <w:left w:w="0" w:type="dxa"/>
                    <w:right w:w="0" w:type="dxa"/>
                  </w:tcMar>
                  <w:vAlign w:val="center"/>
                </w:tcPr>
                <w:p w14:paraId="1B83D146">
                  <w:pPr>
                    <w:adjustRightInd w:val="0"/>
                    <w:snapToGrid w:val="0"/>
                    <w:jc w:val="center"/>
                    <w:rPr>
                      <w:b/>
                      <w:color w:val="auto"/>
                      <w:szCs w:val="21"/>
                    </w:rPr>
                  </w:pPr>
                  <w:r>
                    <w:rPr>
                      <w:b/>
                      <w:color w:val="auto"/>
                      <w:szCs w:val="21"/>
                    </w:rPr>
                    <w:t>噪声防治措施效果</w:t>
                  </w:r>
                </w:p>
              </w:tc>
              <w:tc>
                <w:tcPr>
                  <w:tcW w:w="1340" w:type="pct"/>
                  <w:tcMar>
                    <w:left w:w="0" w:type="dxa"/>
                    <w:right w:w="0" w:type="dxa"/>
                  </w:tcMar>
                  <w:vAlign w:val="center"/>
                </w:tcPr>
                <w:p w14:paraId="1FBC5C8B">
                  <w:pPr>
                    <w:tabs>
                      <w:tab w:val="left" w:pos="2103"/>
                      <w:tab w:val="left" w:pos="3635"/>
                    </w:tabs>
                    <w:adjustRightInd w:val="0"/>
                    <w:snapToGrid w:val="0"/>
                    <w:jc w:val="center"/>
                    <w:rPr>
                      <w:b/>
                      <w:color w:val="auto"/>
                      <w:szCs w:val="21"/>
                    </w:rPr>
                  </w:pPr>
                  <w:r>
                    <w:rPr>
                      <w:b/>
                      <w:color w:val="auto"/>
                      <w:szCs w:val="21"/>
                    </w:rPr>
                    <w:t>噪声防治措施投资/万元</w:t>
                  </w:r>
                </w:p>
              </w:tc>
            </w:tr>
            <w:tr w14:paraId="1B636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1A04371E">
                  <w:pPr>
                    <w:adjustRightInd w:val="0"/>
                    <w:snapToGrid w:val="0"/>
                    <w:jc w:val="center"/>
                    <w:rPr>
                      <w:color w:val="auto"/>
                      <w:szCs w:val="21"/>
                    </w:rPr>
                  </w:pPr>
                  <w:r>
                    <w:rPr>
                      <w:color w:val="auto"/>
                      <w:szCs w:val="21"/>
                    </w:rPr>
                    <w:t>合理布局</w:t>
                  </w:r>
                </w:p>
              </w:tc>
              <w:tc>
                <w:tcPr>
                  <w:tcW w:w="1250" w:type="pct"/>
                  <w:vAlign w:val="center"/>
                </w:tcPr>
                <w:p w14:paraId="5E4BB7DB">
                  <w:pPr>
                    <w:adjustRightInd w:val="0"/>
                    <w:snapToGrid w:val="0"/>
                    <w:jc w:val="center"/>
                    <w:rPr>
                      <w:color w:val="auto"/>
                      <w:szCs w:val="21"/>
                    </w:rPr>
                  </w:pPr>
                  <w:r>
                    <w:rPr>
                      <w:color w:val="auto"/>
                      <w:szCs w:val="21"/>
                    </w:rPr>
                    <w:t>/</w:t>
                  </w:r>
                </w:p>
              </w:tc>
              <w:tc>
                <w:tcPr>
                  <w:tcW w:w="1160" w:type="pct"/>
                  <w:vMerge w:val="restart"/>
                  <w:tcMar>
                    <w:left w:w="0" w:type="dxa"/>
                    <w:right w:w="0" w:type="dxa"/>
                  </w:tcMar>
                  <w:vAlign w:val="center"/>
                </w:tcPr>
                <w:p w14:paraId="6D2AAAFE">
                  <w:pPr>
                    <w:adjustRightInd w:val="0"/>
                    <w:snapToGrid w:val="0"/>
                    <w:jc w:val="center"/>
                    <w:rPr>
                      <w:color w:val="auto"/>
                      <w:szCs w:val="21"/>
                    </w:rPr>
                  </w:pPr>
                  <w:r>
                    <w:rPr>
                      <w:color w:val="auto"/>
                      <w:szCs w:val="21"/>
                    </w:rPr>
                    <w:t>降噪≥25dB(A)</w:t>
                  </w:r>
                </w:p>
              </w:tc>
              <w:tc>
                <w:tcPr>
                  <w:tcW w:w="1340" w:type="pct"/>
                  <w:tcMar>
                    <w:left w:w="0" w:type="dxa"/>
                    <w:right w:w="0" w:type="dxa"/>
                  </w:tcMar>
                  <w:vAlign w:val="center"/>
                </w:tcPr>
                <w:p w14:paraId="7FD4F23E">
                  <w:pPr>
                    <w:adjustRightInd w:val="0"/>
                    <w:snapToGrid w:val="0"/>
                    <w:jc w:val="center"/>
                    <w:rPr>
                      <w:color w:val="auto"/>
                      <w:szCs w:val="21"/>
                    </w:rPr>
                  </w:pPr>
                  <w:r>
                    <w:rPr>
                      <w:color w:val="auto"/>
                      <w:szCs w:val="21"/>
                    </w:rPr>
                    <w:t>/</w:t>
                  </w:r>
                </w:p>
              </w:tc>
            </w:tr>
            <w:tr w14:paraId="389FD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38D18B32">
                  <w:pPr>
                    <w:adjustRightInd w:val="0"/>
                    <w:snapToGrid w:val="0"/>
                    <w:jc w:val="center"/>
                    <w:rPr>
                      <w:color w:val="auto"/>
                      <w:szCs w:val="21"/>
                    </w:rPr>
                  </w:pPr>
                  <w:r>
                    <w:rPr>
                      <w:color w:val="auto"/>
                      <w:szCs w:val="21"/>
                    </w:rPr>
                    <w:t>选择低噪声设备</w:t>
                  </w:r>
                </w:p>
              </w:tc>
              <w:tc>
                <w:tcPr>
                  <w:tcW w:w="1250" w:type="pct"/>
                  <w:vAlign w:val="center"/>
                </w:tcPr>
                <w:p w14:paraId="2E102249">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418BD2BD">
                  <w:pPr>
                    <w:adjustRightInd w:val="0"/>
                    <w:snapToGrid w:val="0"/>
                    <w:jc w:val="center"/>
                    <w:rPr>
                      <w:color w:val="auto"/>
                      <w:szCs w:val="21"/>
                    </w:rPr>
                  </w:pPr>
                </w:p>
              </w:tc>
              <w:tc>
                <w:tcPr>
                  <w:tcW w:w="1340" w:type="pct"/>
                  <w:tcMar>
                    <w:left w:w="0" w:type="dxa"/>
                    <w:right w:w="0" w:type="dxa"/>
                  </w:tcMar>
                  <w:vAlign w:val="center"/>
                </w:tcPr>
                <w:p w14:paraId="726CA11C">
                  <w:pPr>
                    <w:adjustRightInd w:val="0"/>
                    <w:snapToGrid w:val="0"/>
                    <w:jc w:val="center"/>
                    <w:rPr>
                      <w:color w:val="auto"/>
                      <w:szCs w:val="21"/>
                    </w:rPr>
                  </w:pPr>
                  <w:r>
                    <w:rPr>
                      <w:rFonts w:hint="eastAsia"/>
                      <w:color w:val="auto"/>
                      <w:szCs w:val="21"/>
                    </w:rPr>
                    <w:t>4.5</w:t>
                  </w:r>
                </w:p>
              </w:tc>
            </w:tr>
            <w:tr w14:paraId="1908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48D9E948">
                  <w:pPr>
                    <w:adjustRightInd w:val="0"/>
                    <w:snapToGrid w:val="0"/>
                    <w:jc w:val="center"/>
                    <w:rPr>
                      <w:color w:val="auto"/>
                      <w:szCs w:val="21"/>
                    </w:rPr>
                  </w:pPr>
                  <w:r>
                    <w:rPr>
                      <w:color w:val="auto"/>
                      <w:szCs w:val="21"/>
                    </w:rPr>
                    <w:t>隔声、减振</w:t>
                  </w:r>
                </w:p>
              </w:tc>
              <w:tc>
                <w:tcPr>
                  <w:tcW w:w="1250" w:type="pct"/>
                  <w:vAlign w:val="center"/>
                </w:tcPr>
                <w:p w14:paraId="6D33DBEE">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4632CE9D">
                  <w:pPr>
                    <w:adjustRightInd w:val="0"/>
                    <w:snapToGrid w:val="0"/>
                    <w:jc w:val="center"/>
                    <w:rPr>
                      <w:color w:val="auto"/>
                      <w:szCs w:val="21"/>
                    </w:rPr>
                  </w:pPr>
                </w:p>
              </w:tc>
              <w:tc>
                <w:tcPr>
                  <w:tcW w:w="1340" w:type="pct"/>
                  <w:tcMar>
                    <w:left w:w="0" w:type="dxa"/>
                    <w:right w:w="0" w:type="dxa"/>
                  </w:tcMar>
                  <w:vAlign w:val="center"/>
                </w:tcPr>
                <w:p w14:paraId="7990E6F5">
                  <w:pPr>
                    <w:adjustRightInd w:val="0"/>
                    <w:snapToGrid w:val="0"/>
                    <w:jc w:val="center"/>
                    <w:rPr>
                      <w:color w:val="auto"/>
                      <w:szCs w:val="21"/>
                    </w:rPr>
                  </w:pPr>
                  <w:r>
                    <w:rPr>
                      <w:rFonts w:hint="eastAsia"/>
                      <w:color w:val="auto"/>
                      <w:szCs w:val="21"/>
                    </w:rPr>
                    <w:t>1.5</w:t>
                  </w:r>
                </w:p>
              </w:tc>
            </w:tr>
            <w:tr w14:paraId="3116C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7F0708BD">
                  <w:pPr>
                    <w:adjustRightInd w:val="0"/>
                    <w:snapToGrid w:val="0"/>
                    <w:jc w:val="center"/>
                    <w:rPr>
                      <w:color w:val="auto"/>
                      <w:szCs w:val="21"/>
                    </w:rPr>
                  </w:pPr>
                  <w:r>
                    <w:rPr>
                      <w:color w:val="auto"/>
                      <w:szCs w:val="21"/>
                    </w:rPr>
                    <w:t>厂区绿化</w:t>
                  </w:r>
                </w:p>
              </w:tc>
              <w:tc>
                <w:tcPr>
                  <w:tcW w:w="1250" w:type="pct"/>
                  <w:vAlign w:val="center"/>
                </w:tcPr>
                <w:p w14:paraId="4743588B">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2D2B2159">
                  <w:pPr>
                    <w:adjustRightInd w:val="0"/>
                    <w:snapToGrid w:val="0"/>
                    <w:jc w:val="center"/>
                    <w:rPr>
                      <w:color w:val="auto"/>
                      <w:szCs w:val="21"/>
                    </w:rPr>
                  </w:pPr>
                </w:p>
              </w:tc>
              <w:tc>
                <w:tcPr>
                  <w:tcW w:w="1340" w:type="pct"/>
                  <w:tcMar>
                    <w:left w:w="0" w:type="dxa"/>
                    <w:right w:w="0" w:type="dxa"/>
                  </w:tcMar>
                  <w:vAlign w:val="center"/>
                </w:tcPr>
                <w:p w14:paraId="22A91377">
                  <w:pPr>
                    <w:adjustRightInd w:val="0"/>
                    <w:snapToGrid w:val="0"/>
                    <w:jc w:val="center"/>
                    <w:rPr>
                      <w:color w:val="auto"/>
                      <w:szCs w:val="21"/>
                    </w:rPr>
                  </w:pPr>
                  <w:r>
                    <w:rPr>
                      <w:rFonts w:hint="eastAsia"/>
                      <w:color w:val="auto"/>
                      <w:szCs w:val="21"/>
                    </w:rPr>
                    <w:t>5</w:t>
                  </w:r>
                </w:p>
              </w:tc>
            </w:tr>
          </w:tbl>
          <w:p w14:paraId="109D2AEA">
            <w:pPr>
              <w:adjustRightInd w:val="0"/>
              <w:snapToGrid w:val="0"/>
              <w:spacing w:line="360" w:lineRule="auto"/>
              <w:ind w:firstLine="482" w:firstLineChars="200"/>
              <w:rPr>
                <w:b/>
                <w:color w:val="auto"/>
                <w:sz w:val="24"/>
              </w:rPr>
            </w:pPr>
            <w:r>
              <w:rPr>
                <w:b/>
                <w:color w:val="auto"/>
                <w:sz w:val="24"/>
              </w:rPr>
              <w:t>3.4达标情况分析</w:t>
            </w:r>
          </w:p>
          <w:p w14:paraId="1F5ADF56">
            <w:pPr>
              <w:adjustRightInd w:val="0"/>
              <w:snapToGrid w:val="0"/>
              <w:spacing w:line="360" w:lineRule="auto"/>
              <w:ind w:firstLine="480" w:firstLineChars="200"/>
              <w:rPr>
                <w:color w:val="auto"/>
                <w:sz w:val="24"/>
              </w:rPr>
            </w:pPr>
            <w:r>
              <w:rPr>
                <w:color w:val="auto"/>
                <w:sz w:val="24"/>
              </w:rPr>
              <w:t>本项目通过上述噪声治理设施可有效降低噪声影响，厂界可满足《工业企业厂界环境噪声排放标准》（GB12348-2008）中的3类标准要求。</w:t>
            </w:r>
          </w:p>
          <w:p w14:paraId="6CA05EF5">
            <w:pPr>
              <w:adjustRightInd w:val="0"/>
              <w:snapToGrid w:val="0"/>
              <w:spacing w:line="360" w:lineRule="auto"/>
              <w:ind w:firstLine="482" w:firstLineChars="200"/>
              <w:rPr>
                <w:b/>
                <w:color w:val="auto"/>
                <w:sz w:val="24"/>
              </w:rPr>
            </w:pPr>
            <w:r>
              <w:rPr>
                <w:b/>
                <w:color w:val="auto"/>
                <w:sz w:val="24"/>
              </w:rPr>
              <w:t>3.5环境监测计划</w:t>
            </w:r>
          </w:p>
          <w:p w14:paraId="766C0CA7">
            <w:pPr>
              <w:adjustRightInd w:val="0"/>
              <w:snapToGrid w:val="0"/>
              <w:spacing w:line="360" w:lineRule="auto"/>
              <w:ind w:firstLine="480" w:firstLineChars="200"/>
              <w:rPr>
                <w:color w:val="auto"/>
                <w:sz w:val="24"/>
              </w:rPr>
            </w:pPr>
            <w:r>
              <w:rPr>
                <w:color w:val="auto"/>
                <w:sz w:val="24"/>
              </w:rPr>
              <w:t>根据《排污单位自行监测技术指南  总则》（HJ819-2017），同时参照</w:t>
            </w:r>
            <w:r>
              <w:rPr>
                <w:rFonts w:hint="eastAsia"/>
                <w:color w:val="auto"/>
                <w:kern w:val="0"/>
                <w:sz w:val="24"/>
              </w:rPr>
              <w:t>《排污单位自行监测技术指南涂装》（HJ1086-2020）</w:t>
            </w:r>
            <w:r>
              <w:rPr>
                <w:color w:val="auto"/>
                <w:sz w:val="24"/>
              </w:rPr>
              <w:t>，本项目噪声监测计划见表4-2</w:t>
            </w:r>
            <w:r>
              <w:rPr>
                <w:rFonts w:hint="eastAsia"/>
                <w:color w:val="auto"/>
                <w:sz w:val="24"/>
              </w:rPr>
              <w:t>5</w:t>
            </w:r>
            <w:r>
              <w:rPr>
                <w:color w:val="auto"/>
                <w:sz w:val="24"/>
              </w:rPr>
              <w:t>。</w:t>
            </w:r>
          </w:p>
          <w:p w14:paraId="295DCD8F">
            <w:pPr>
              <w:adjustRightInd w:val="0"/>
              <w:snapToGrid w:val="0"/>
              <w:ind w:firstLine="482" w:firstLineChars="200"/>
              <w:jc w:val="center"/>
              <w:rPr>
                <w:b/>
                <w:color w:val="auto"/>
                <w:sz w:val="24"/>
              </w:rPr>
            </w:pPr>
            <w:r>
              <w:rPr>
                <w:b/>
                <w:color w:val="auto"/>
                <w:sz w:val="24"/>
              </w:rPr>
              <w:t>表4-2</w:t>
            </w:r>
            <w:r>
              <w:rPr>
                <w:rFonts w:hint="eastAsia"/>
                <w:b/>
                <w:color w:val="auto"/>
                <w:sz w:val="24"/>
              </w:rPr>
              <w:t>5</w:t>
            </w:r>
            <w:r>
              <w:rPr>
                <w:b/>
                <w:color w:val="auto"/>
                <w:sz w:val="24"/>
              </w:rPr>
              <w:t xml:space="preserve">  噪声监测计划表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05"/>
              <w:gridCol w:w="1028"/>
              <w:gridCol w:w="2203"/>
              <w:gridCol w:w="3798"/>
            </w:tblGrid>
            <w:tr w14:paraId="02374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tcBorders>
                    <w:top w:val="single" w:color="auto" w:sz="12" w:space="0"/>
                    <w:bottom w:val="single" w:color="auto" w:sz="12" w:space="0"/>
                  </w:tcBorders>
                  <w:vAlign w:val="center"/>
                </w:tcPr>
                <w:p w14:paraId="536CD670">
                  <w:pPr>
                    <w:keepNext/>
                    <w:topLinePunct/>
                    <w:jc w:val="center"/>
                    <w:textAlignment w:val="center"/>
                    <w:rPr>
                      <w:b/>
                      <w:color w:val="auto"/>
                      <w:szCs w:val="21"/>
                    </w:rPr>
                  </w:pPr>
                  <w:r>
                    <w:rPr>
                      <w:b/>
                      <w:color w:val="auto"/>
                      <w:szCs w:val="21"/>
                    </w:rPr>
                    <w:t>监测点位</w:t>
                  </w:r>
                </w:p>
              </w:tc>
              <w:tc>
                <w:tcPr>
                  <w:tcW w:w="624" w:type="pct"/>
                  <w:tcBorders>
                    <w:top w:val="single" w:color="auto" w:sz="12" w:space="0"/>
                    <w:bottom w:val="single" w:color="auto" w:sz="12" w:space="0"/>
                  </w:tcBorders>
                  <w:vAlign w:val="center"/>
                </w:tcPr>
                <w:p w14:paraId="424802A6">
                  <w:pPr>
                    <w:keepNext/>
                    <w:topLinePunct/>
                    <w:jc w:val="center"/>
                    <w:textAlignment w:val="center"/>
                    <w:rPr>
                      <w:b/>
                      <w:color w:val="auto"/>
                      <w:szCs w:val="21"/>
                    </w:rPr>
                  </w:pPr>
                  <w:r>
                    <w:rPr>
                      <w:b/>
                      <w:color w:val="auto"/>
                      <w:szCs w:val="21"/>
                    </w:rPr>
                    <w:t>监测指标</w:t>
                  </w:r>
                </w:p>
              </w:tc>
              <w:tc>
                <w:tcPr>
                  <w:tcW w:w="1338" w:type="pct"/>
                  <w:tcBorders>
                    <w:top w:val="single" w:color="auto" w:sz="12" w:space="0"/>
                    <w:bottom w:val="single" w:color="auto" w:sz="12" w:space="0"/>
                  </w:tcBorders>
                  <w:vAlign w:val="center"/>
                </w:tcPr>
                <w:p w14:paraId="45C10C44">
                  <w:pPr>
                    <w:keepNext/>
                    <w:topLinePunct/>
                    <w:jc w:val="center"/>
                    <w:textAlignment w:val="center"/>
                    <w:rPr>
                      <w:b/>
                      <w:color w:val="auto"/>
                      <w:szCs w:val="21"/>
                    </w:rPr>
                  </w:pPr>
                  <w:r>
                    <w:rPr>
                      <w:b/>
                      <w:color w:val="auto"/>
                      <w:szCs w:val="21"/>
                    </w:rPr>
                    <w:t>监测频次</w:t>
                  </w:r>
                </w:p>
              </w:tc>
              <w:tc>
                <w:tcPr>
                  <w:tcW w:w="2306" w:type="pct"/>
                  <w:tcBorders>
                    <w:top w:val="single" w:color="auto" w:sz="12" w:space="0"/>
                    <w:bottom w:val="single" w:color="auto" w:sz="12" w:space="0"/>
                  </w:tcBorders>
                  <w:vAlign w:val="center"/>
                </w:tcPr>
                <w:p w14:paraId="1EF95C5C">
                  <w:pPr>
                    <w:keepNext/>
                    <w:topLinePunct/>
                    <w:jc w:val="center"/>
                    <w:textAlignment w:val="center"/>
                    <w:rPr>
                      <w:b/>
                      <w:color w:val="auto"/>
                      <w:szCs w:val="21"/>
                    </w:rPr>
                  </w:pPr>
                  <w:r>
                    <w:rPr>
                      <w:b/>
                      <w:color w:val="auto"/>
                      <w:szCs w:val="21"/>
                    </w:rPr>
                    <w:t>执行排放标准</w:t>
                  </w:r>
                </w:p>
              </w:tc>
            </w:tr>
            <w:tr w14:paraId="7AF39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tcBorders>
                    <w:top w:val="single" w:color="auto" w:sz="12" w:space="0"/>
                  </w:tcBorders>
                  <w:vAlign w:val="center"/>
                </w:tcPr>
                <w:p w14:paraId="43D6BE9D">
                  <w:pPr>
                    <w:keepNext/>
                    <w:topLinePunct/>
                    <w:jc w:val="center"/>
                    <w:textAlignment w:val="center"/>
                    <w:rPr>
                      <w:color w:val="auto"/>
                      <w:szCs w:val="21"/>
                    </w:rPr>
                  </w:pPr>
                  <w:r>
                    <w:rPr>
                      <w:color w:val="auto"/>
                      <w:szCs w:val="21"/>
                    </w:rPr>
                    <w:t>厂界</w:t>
                  </w:r>
                </w:p>
              </w:tc>
              <w:tc>
                <w:tcPr>
                  <w:tcW w:w="624" w:type="pct"/>
                  <w:tcBorders>
                    <w:top w:val="single" w:color="auto" w:sz="12" w:space="0"/>
                  </w:tcBorders>
                  <w:vAlign w:val="center"/>
                </w:tcPr>
                <w:p w14:paraId="5601BE52">
                  <w:pPr>
                    <w:keepNext/>
                    <w:topLinePunct/>
                    <w:jc w:val="center"/>
                    <w:textAlignment w:val="center"/>
                    <w:rPr>
                      <w:color w:val="auto"/>
                      <w:szCs w:val="21"/>
                    </w:rPr>
                  </w:pPr>
                  <w:r>
                    <w:rPr>
                      <w:color w:val="auto"/>
                      <w:szCs w:val="21"/>
                    </w:rPr>
                    <w:t>Leq(A)</w:t>
                  </w:r>
                </w:p>
              </w:tc>
              <w:tc>
                <w:tcPr>
                  <w:tcW w:w="1338" w:type="pct"/>
                  <w:tcBorders>
                    <w:top w:val="single" w:color="auto" w:sz="12" w:space="0"/>
                  </w:tcBorders>
                  <w:vAlign w:val="center"/>
                </w:tcPr>
                <w:p w14:paraId="2DF0FBFD">
                  <w:pPr>
                    <w:keepNext/>
                    <w:topLinePunct/>
                    <w:jc w:val="center"/>
                    <w:textAlignment w:val="center"/>
                    <w:rPr>
                      <w:color w:val="auto"/>
                      <w:szCs w:val="21"/>
                    </w:rPr>
                  </w:pPr>
                  <w:r>
                    <w:rPr>
                      <w:color w:val="auto"/>
                      <w:szCs w:val="21"/>
                    </w:rPr>
                    <w:t>每季度一次，昼</w:t>
                  </w:r>
                  <w:r>
                    <w:rPr>
                      <w:rFonts w:hint="eastAsia"/>
                      <w:color w:val="auto"/>
                      <w:szCs w:val="21"/>
                    </w:rPr>
                    <w:t>间</w:t>
                  </w:r>
                  <w:r>
                    <w:rPr>
                      <w:color w:val="auto"/>
                      <w:szCs w:val="21"/>
                    </w:rPr>
                    <w:t>监测</w:t>
                  </w:r>
                </w:p>
              </w:tc>
              <w:tc>
                <w:tcPr>
                  <w:tcW w:w="2306" w:type="pct"/>
                  <w:tcBorders>
                    <w:top w:val="single" w:color="auto" w:sz="12" w:space="0"/>
                  </w:tcBorders>
                  <w:vAlign w:val="center"/>
                </w:tcPr>
                <w:p w14:paraId="19CE20D4">
                  <w:pPr>
                    <w:keepNext/>
                    <w:topLinePunct/>
                    <w:jc w:val="center"/>
                    <w:textAlignment w:val="center"/>
                    <w:rPr>
                      <w:color w:val="auto"/>
                      <w:szCs w:val="21"/>
                    </w:rPr>
                  </w:pPr>
                  <w:r>
                    <w:rPr>
                      <w:color w:val="auto"/>
                      <w:szCs w:val="21"/>
                    </w:rPr>
                    <w:t>《工业企业厂界环境噪声排放标准》（GB12348-2008）中的3类标准</w:t>
                  </w:r>
                </w:p>
              </w:tc>
            </w:tr>
          </w:tbl>
          <w:p w14:paraId="004D2960">
            <w:pPr>
              <w:adjustRightInd w:val="0"/>
              <w:snapToGrid w:val="0"/>
              <w:spacing w:line="360" w:lineRule="auto"/>
              <w:ind w:firstLine="482" w:firstLineChars="200"/>
              <w:rPr>
                <w:b/>
                <w:color w:val="auto"/>
                <w:sz w:val="24"/>
              </w:rPr>
            </w:pPr>
            <w:r>
              <w:rPr>
                <w:b/>
                <w:color w:val="auto"/>
                <w:sz w:val="24"/>
              </w:rPr>
              <w:t>四、固体废物</w:t>
            </w:r>
          </w:p>
          <w:p w14:paraId="251C1863">
            <w:pPr>
              <w:adjustRightInd w:val="0"/>
              <w:snapToGrid w:val="0"/>
              <w:spacing w:line="360" w:lineRule="auto"/>
              <w:ind w:firstLine="482" w:firstLineChars="200"/>
              <w:rPr>
                <w:b/>
                <w:color w:val="auto"/>
                <w:sz w:val="24"/>
              </w:rPr>
            </w:pPr>
            <w:r>
              <w:rPr>
                <w:b/>
                <w:color w:val="auto"/>
                <w:sz w:val="24"/>
              </w:rPr>
              <w:t>4.1固体废物产生情况</w:t>
            </w:r>
          </w:p>
          <w:p w14:paraId="75CD04DB">
            <w:pPr>
              <w:adjustRightInd w:val="0"/>
              <w:snapToGrid w:val="0"/>
              <w:spacing w:line="360" w:lineRule="auto"/>
              <w:ind w:firstLine="480" w:firstLineChars="200"/>
              <w:rPr>
                <w:color w:val="auto"/>
                <w:sz w:val="24"/>
              </w:rPr>
            </w:pPr>
            <w:r>
              <w:rPr>
                <w:color w:val="auto"/>
                <w:sz w:val="24"/>
              </w:rPr>
              <w:t>本项目产生的固体废弃物主要有</w:t>
            </w:r>
            <w:r>
              <w:rPr>
                <w:rFonts w:hint="eastAsia"/>
                <w:color w:val="auto"/>
                <w:sz w:val="24"/>
              </w:rPr>
              <w:t>木材边角料、废刀头、废液压油、废封边条、废木皮、废胶桶、废砂纸、废灰桶、废漆渣、废漆桶、大理石废料、废胶瓶、废切割片、金属废边角料、废切削液</w:t>
            </w:r>
            <w:r>
              <w:rPr>
                <w:color w:val="auto"/>
                <w:sz w:val="24"/>
              </w:rPr>
              <w:t>、</w:t>
            </w:r>
            <w:r>
              <w:rPr>
                <w:rFonts w:hint="eastAsia"/>
                <w:color w:val="auto"/>
                <w:sz w:val="24"/>
              </w:rPr>
              <w:t>金属碎屑、</w:t>
            </w:r>
            <w:r>
              <w:rPr>
                <w:rFonts w:hint="eastAsia"/>
                <w:color w:val="auto"/>
                <w:sz w:val="24"/>
                <w:lang w:val="en-US" w:eastAsia="zh-CN"/>
              </w:rPr>
              <w:t>废钢丸、</w:t>
            </w:r>
            <w:r>
              <w:rPr>
                <w:rFonts w:hint="eastAsia"/>
                <w:color w:val="auto"/>
                <w:sz w:val="24"/>
              </w:rPr>
              <w:t>废焊渣、废焊丝、喷粉粉末、喷涂渣、废抹布、废布轮、废油墨、废油墨桶、废洗网水、废过滤棉、废机油、废油桶、不合格品、废活性炭、喷枪清洗废液、水幕帘废液、化粪池污泥、</w:t>
            </w:r>
            <w:r>
              <w:rPr>
                <w:color w:val="auto"/>
                <w:sz w:val="24"/>
              </w:rPr>
              <w:t>生活垃圾。</w:t>
            </w:r>
          </w:p>
          <w:p w14:paraId="4BCA6D51">
            <w:pPr>
              <w:adjustRightInd w:val="0"/>
              <w:snapToGrid w:val="0"/>
              <w:spacing w:line="360" w:lineRule="auto"/>
              <w:ind w:firstLine="480"/>
              <w:rPr>
                <w:b/>
                <w:bCs/>
                <w:color w:val="auto"/>
                <w:sz w:val="24"/>
              </w:rPr>
            </w:pPr>
            <w:r>
              <w:rPr>
                <w:rFonts w:hint="eastAsia"/>
                <w:b/>
                <w:color w:val="auto"/>
                <w:sz w:val="24"/>
                <w:lang w:eastAsia="zh-CN"/>
              </w:rPr>
              <w:t>(1)</w:t>
            </w:r>
            <w:r>
              <w:rPr>
                <w:b/>
                <w:bCs/>
                <w:color w:val="auto"/>
                <w:sz w:val="24"/>
              </w:rPr>
              <w:t>废活性炭</w:t>
            </w:r>
          </w:p>
          <w:p w14:paraId="64CA93A5">
            <w:pPr>
              <w:adjustRightInd w:val="0"/>
              <w:snapToGrid w:val="0"/>
              <w:spacing w:line="360" w:lineRule="auto"/>
              <w:ind w:firstLine="480" w:firstLineChars="200"/>
              <w:rPr>
                <w:color w:val="auto"/>
                <w:sz w:val="24"/>
              </w:rPr>
            </w:pPr>
            <w:r>
              <w:rPr>
                <w:color w:val="auto"/>
                <w:sz w:val="24"/>
              </w:rPr>
              <w:t>本项目有机废气采用二级活性炭吸附装置处理后达标排放。</w:t>
            </w:r>
            <w:r>
              <w:rPr>
                <w:rFonts w:hint="eastAsia"/>
                <w:color w:val="auto"/>
                <w:sz w:val="24"/>
              </w:rPr>
              <w:t>本项目共有</w:t>
            </w:r>
            <w:r>
              <w:rPr>
                <w:rFonts w:hint="eastAsia"/>
                <w:color w:val="auto"/>
                <w:sz w:val="24"/>
                <w:lang w:val="en-US" w:eastAsia="zh-CN"/>
              </w:rPr>
              <w:t>4</w:t>
            </w:r>
            <w:r>
              <w:rPr>
                <w:rFonts w:hint="eastAsia"/>
                <w:color w:val="auto"/>
                <w:sz w:val="24"/>
              </w:rPr>
              <w:t>套二级活性炭设备，因此分别计算每套二级活性炭用量。</w:t>
            </w:r>
          </w:p>
          <w:p w14:paraId="27C6325F">
            <w:pPr>
              <w:widowControl/>
              <w:spacing w:line="360" w:lineRule="auto"/>
              <w:ind w:firstLine="480" w:firstLineChars="200"/>
              <w:jc w:val="left"/>
              <w:rPr>
                <w:color w:val="auto"/>
                <w:sz w:val="24"/>
              </w:rPr>
            </w:pPr>
            <w:r>
              <w:rPr>
                <w:rFonts w:hint="eastAsia" w:ascii="宋体" w:hAnsi="宋体" w:cs="宋体"/>
                <w:color w:val="auto"/>
                <w:kern w:val="0"/>
                <w:sz w:val="24"/>
                <w:lang w:bidi="ar"/>
              </w:rPr>
              <w:t>根据《省生态环境厅关于将排污单位活性炭使用更换纳入排污许可管理的通知》要求，活性炭更换周期如下：</w:t>
            </w:r>
          </w:p>
          <w:p w14:paraId="3B0683F4">
            <w:pPr>
              <w:widowControl/>
              <w:jc w:val="center"/>
              <w:rPr>
                <w:color w:val="auto"/>
                <w:spacing w:val="-10"/>
                <w:sz w:val="24"/>
              </w:rPr>
            </w:pPr>
            <w:r>
              <w:rPr>
                <w:color w:val="auto"/>
                <w:kern w:val="0"/>
                <w:sz w:val="24"/>
                <w:lang w:bidi="ar"/>
              </w:rPr>
              <w:t>T=m×s÷</w:t>
            </w:r>
            <w:r>
              <w:rPr>
                <w:rFonts w:hint="eastAsia"/>
                <w:color w:val="auto"/>
                <w:kern w:val="0"/>
                <w:sz w:val="24"/>
                <w:lang w:eastAsia="zh-CN" w:bidi="ar"/>
              </w:rPr>
              <w:t>(</w:t>
            </w:r>
            <w:r>
              <w:rPr>
                <w:color w:val="auto"/>
                <w:kern w:val="0"/>
                <w:sz w:val="24"/>
                <w:lang w:bidi="ar"/>
              </w:rPr>
              <w:t>c×10</w:t>
            </w:r>
            <w:r>
              <w:rPr>
                <w:color w:val="auto"/>
                <w:kern w:val="0"/>
                <w:sz w:val="24"/>
                <w:vertAlign w:val="superscript"/>
                <w:lang w:bidi="ar"/>
              </w:rPr>
              <w:t>-6</w:t>
            </w:r>
            <w:r>
              <w:rPr>
                <w:color w:val="auto"/>
                <w:kern w:val="0"/>
                <w:sz w:val="24"/>
                <w:lang w:bidi="ar"/>
              </w:rPr>
              <w:t>×Q×t</w:t>
            </w:r>
            <w:r>
              <w:rPr>
                <w:rFonts w:hint="eastAsia"/>
                <w:color w:val="auto"/>
                <w:kern w:val="0"/>
                <w:sz w:val="24"/>
                <w:lang w:eastAsia="zh-CN" w:bidi="ar"/>
              </w:rPr>
              <w:t>)</w:t>
            </w:r>
          </w:p>
          <w:p w14:paraId="28FA6D65">
            <w:pPr>
              <w:widowControl/>
              <w:spacing w:line="360" w:lineRule="auto"/>
              <w:ind w:firstLine="480" w:firstLineChars="200"/>
              <w:jc w:val="left"/>
              <w:rPr>
                <w:color w:val="auto"/>
                <w:sz w:val="24"/>
              </w:rPr>
            </w:pPr>
            <w:r>
              <w:rPr>
                <w:rFonts w:hint="eastAsia" w:ascii="宋体" w:hAnsi="宋体" w:cs="宋体"/>
                <w:color w:val="auto"/>
                <w:kern w:val="0"/>
                <w:sz w:val="24"/>
                <w:lang w:bidi="ar"/>
              </w:rPr>
              <w:t>式中：</w:t>
            </w:r>
            <w:r>
              <w:rPr>
                <w:color w:val="auto"/>
                <w:kern w:val="0"/>
                <w:sz w:val="24"/>
                <w:lang w:bidi="ar"/>
              </w:rPr>
              <w:t>T—</w:t>
            </w:r>
            <w:r>
              <w:rPr>
                <w:rFonts w:hint="eastAsia" w:ascii="宋体" w:hAnsi="宋体" w:cs="宋体"/>
                <w:color w:val="auto"/>
                <w:kern w:val="0"/>
                <w:sz w:val="24"/>
                <w:lang w:bidi="ar"/>
              </w:rPr>
              <w:t>更换周期，天；</w:t>
            </w:r>
          </w:p>
          <w:p w14:paraId="7D7F070F">
            <w:pPr>
              <w:widowControl/>
              <w:spacing w:line="360" w:lineRule="auto"/>
              <w:ind w:firstLine="480" w:firstLineChars="200"/>
              <w:jc w:val="left"/>
              <w:rPr>
                <w:color w:val="auto"/>
                <w:sz w:val="24"/>
              </w:rPr>
            </w:pPr>
            <w:r>
              <w:rPr>
                <w:color w:val="auto"/>
                <w:kern w:val="0"/>
                <w:sz w:val="24"/>
                <w:lang w:bidi="ar"/>
              </w:rPr>
              <w:t>m—</w:t>
            </w:r>
            <w:r>
              <w:rPr>
                <w:rFonts w:hint="eastAsia" w:ascii="宋体" w:hAnsi="宋体" w:cs="宋体"/>
                <w:color w:val="auto"/>
                <w:kern w:val="0"/>
                <w:sz w:val="24"/>
                <w:lang w:bidi="ar"/>
              </w:rPr>
              <w:t>活性炭的用量，</w:t>
            </w:r>
            <w:r>
              <w:rPr>
                <w:color w:val="auto"/>
                <w:kern w:val="0"/>
                <w:sz w:val="24"/>
                <w:lang w:bidi="ar"/>
              </w:rPr>
              <w:t>kg</w:t>
            </w:r>
            <w:r>
              <w:rPr>
                <w:rFonts w:hint="eastAsia" w:ascii="宋体" w:hAnsi="宋体" w:cs="宋体"/>
                <w:color w:val="auto"/>
                <w:kern w:val="0"/>
                <w:sz w:val="24"/>
                <w:lang w:bidi="ar"/>
              </w:rPr>
              <w:t>；</w:t>
            </w:r>
          </w:p>
          <w:p w14:paraId="558390A1">
            <w:pPr>
              <w:widowControl/>
              <w:spacing w:line="360" w:lineRule="auto"/>
              <w:ind w:firstLine="480" w:firstLineChars="200"/>
              <w:jc w:val="left"/>
              <w:rPr>
                <w:rFonts w:hint="eastAsia" w:ascii="宋体" w:hAnsi="宋体" w:cs="宋体"/>
                <w:color w:val="auto"/>
                <w:kern w:val="0"/>
                <w:sz w:val="24"/>
                <w:lang w:bidi="ar"/>
              </w:rPr>
            </w:pPr>
            <w:r>
              <w:rPr>
                <w:color w:val="auto"/>
                <w:kern w:val="0"/>
                <w:sz w:val="24"/>
                <w:lang w:bidi="ar"/>
              </w:rPr>
              <w:t>s—</w:t>
            </w:r>
            <w:r>
              <w:rPr>
                <w:rFonts w:hint="eastAsia" w:ascii="宋体" w:hAnsi="宋体" w:cs="宋体"/>
                <w:color w:val="auto"/>
                <w:kern w:val="0"/>
                <w:sz w:val="24"/>
                <w:lang w:bidi="ar"/>
              </w:rPr>
              <w:t>动态吸附量，</w:t>
            </w:r>
            <w:r>
              <w:rPr>
                <w:color w:val="auto"/>
                <w:kern w:val="0"/>
                <w:sz w:val="24"/>
                <w:lang w:bidi="ar"/>
              </w:rPr>
              <w:t>%</w:t>
            </w:r>
            <w:r>
              <w:rPr>
                <w:rFonts w:hint="eastAsia" w:ascii="宋体" w:hAnsi="宋体" w:cs="宋体"/>
                <w:color w:val="auto"/>
                <w:kern w:val="0"/>
                <w:sz w:val="24"/>
                <w:lang w:bidi="ar"/>
              </w:rPr>
              <w:t>；（一般取值</w:t>
            </w:r>
            <w:r>
              <w:rPr>
                <w:color w:val="auto"/>
                <w:kern w:val="0"/>
                <w:sz w:val="24"/>
                <w:lang w:bidi="ar"/>
              </w:rPr>
              <w:t>10%</w:t>
            </w:r>
            <w:r>
              <w:rPr>
                <w:rFonts w:hint="eastAsia" w:ascii="宋体" w:hAnsi="宋体" w:cs="宋体"/>
                <w:color w:val="auto"/>
                <w:kern w:val="0"/>
                <w:sz w:val="24"/>
                <w:lang w:bidi="ar"/>
              </w:rPr>
              <w:t>）；</w:t>
            </w:r>
          </w:p>
          <w:p w14:paraId="492ED986">
            <w:pPr>
              <w:widowControl/>
              <w:spacing w:line="360" w:lineRule="auto"/>
              <w:ind w:firstLine="480" w:firstLineChars="200"/>
              <w:jc w:val="left"/>
              <w:rPr>
                <w:color w:val="auto"/>
                <w:sz w:val="24"/>
              </w:rPr>
            </w:pPr>
            <w:r>
              <w:rPr>
                <w:color w:val="auto"/>
                <w:kern w:val="0"/>
                <w:sz w:val="24"/>
                <w:lang w:bidi="ar"/>
              </w:rPr>
              <w:t>c—</w:t>
            </w:r>
            <w:r>
              <w:rPr>
                <w:rFonts w:hint="eastAsia" w:ascii="宋体" w:hAnsi="宋体" w:cs="宋体"/>
                <w:color w:val="auto"/>
                <w:kern w:val="0"/>
                <w:sz w:val="24"/>
                <w:lang w:bidi="ar"/>
              </w:rPr>
              <w:t>活性炭削减的</w:t>
            </w:r>
            <w:r>
              <w:rPr>
                <w:color w:val="auto"/>
                <w:kern w:val="0"/>
                <w:sz w:val="24"/>
                <w:lang w:bidi="ar"/>
              </w:rPr>
              <w:t>VOCs</w:t>
            </w:r>
            <w:r>
              <w:rPr>
                <w:rFonts w:hint="eastAsia" w:ascii="宋体" w:hAnsi="宋体" w:cs="宋体"/>
                <w:color w:val="auto"/>
                <w:kern w:val="0"/>
                <w:sz w:val="24"/>
                <w:lang w:bidi="ar"/>
              </w:rPr>
              <w:t>浓度，</w:t>
            </w:r>
            <w:r>
              <w:rPr>
                <w:color w:val="auto"/>
                <w:kern w:val="0"/>
                <w:sz w:val="24"/>
                <w:lang w:bidi="ar"/>
              </w:rPr>
              <w:t>mg/m</w:t>
            </w:r>
            <w:r>
              <w:rPr>
                <w:color w:val="auto"/>
                <w:kern w:val="0"/>
                <w:sz w:val="24"/>
                <w:vertAlign w:val="superscript"/>
                <w:lang w:bidi="ar"/>
              </w:rPr>
              <w:t>3</w:t>
            </w:r>
            <w:r>
              <w:rPr>
                <w:rFonts w:hint="eastAsia"/>
                <w:color w:val="auto"/>
                <w:kern w:val="0"/>
                <w:sz w:val="24"/>
                <w:vertAlign w:val="superscript"/>
                <w:lang w:eastAsia="zh-CN" w:bidi="ar"/>
              </w:rPr>
              <w:t>；</w:t>
            </w:r>
          </w:p>
          <w:p w14:paraId="3A14519B">
            <w:pPr>
              <w:widowControl/>
              <w:spacing w:line="360" w:lineRule="auto"/>
              <w:ind w:firstLine="480" w:firstLineChars="200"/>
              <w:jc w:val="left"/>
              <w:rPr>
                <w:rFonts w:hint="eastAsia" w:ascii="宋体" w:hAnsi="宋体" w:cs="宋体"/>
                <w:color w:val="auto"/>
                <w:kern w:val="0"/>
                <w:sz w:val="24"/>
                <w:lang w:bidi="ar"/>
              </w:rPr>
            </w:pPr>
            <w:r>
              <w:rPr>
                <w:color w:val="auto"/>
                <w:kern w:val="0"/>
                <w:sz w:val="24"/>
                <w:lang w:bidi="ar"/>
              </w:rPr>
              <w:t>Q—</w:t>
            </w:r>
            <w:r>
              <w:rPr>
                <w:rFonts w:hint="eastAsia" w:ascii="宋体" w:hAnsi="宋体" w:cs="宋体"/>
                <w:color w:val="auto"/>
                <w:kern w:val="0"/>
                <w:sz w:val="24"/>
                <w:lang w:bidi="ar"/>
              </w:rPr>
              <w:t>风量，单位</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ascii="宋体" w:hAnsi="宋体" w:cs="宋体"/>
                <w:color w:val="auto"/>
                <w:kern w:val="0"/>
                <w:sz w:val="24"/>
                <w:lang w:bidi="ar"/>
              </w:rPr>
              <w:t>；</w:t>
            </w:r>
          </w:p>
          <w:p w14:paraId="23907E23">
            <w:pPr>
              <w:widowControl/>
              <w:spacing w:line="360" w:lineRule="auto"/>
              <w:ind w:firstLine="480" w:firstLineChars="200"/>
              <w:jc w:val="left"/>
              <w:rPr>
                <w:color w:val="auto"/>
                <w:kern w:val="0"/>
                <w:sz w:val="24"/>
                <w:lang w:bidi="ar"/>
              </w:rPr>
            </w:pPr>
            <w:r>
              <w:rPr>
                <w:color w:val="auto"/>
                <w:kern w:val="0"/>
                <w:sz w:val="24"/>
                <w:lang w:bidi="ar"/>
              </w:rPr>
              <w:t>t—</w:t>
            </w:r>
            <w:r>
              <w:rPr>
                <w:rFonts w:hint="eastAsia" w:ascii="宋体" w:hAnsi="宋体" w:cs="宋体"/>
                <w:color w:val="auto"/>
                <w:kern w:val="0"/>
                <w:sz w:val="24"/>
                <w:lang w:bidi="ar"/>
              </w:rPr>
              <w:t>运行时间，单位</w:t>
            </w:r>
            <w:r>
              <w:rPr>
                <w:color w:val="auto"/>
                <w:kern w:val="0"/>
                <w:sz w:val="24"/>
                <w:lang w:bidi="ar"/>
              </w:rPr>
              <w:t>h/d</w:t>
            </w:r>
            <w:r>
              <w:rPr>
                <w:rFonts w:hint="eastAsia" w:ascii="宋体" w:hAnsi="宋体" w:cs="宋体"/>
                <w:color w:val="auto"/>
                <w:kern w:val="0"/>
                <w:sz w:val="24"/>
                <w:lang w:bidi="ar"/>
              </w:rPr>
              <w:t>。</w:t>
            </w:r>
          </w:p>
          <w:p w14:paraId="3712BE12">
            <w:pPr>
              <w:adjustRightInd w:val="0"/>
              <w:snapToGrid w:val="0"/>
              <w:spacing w:line="360" w:lineRule="auto"/>
              <w:ind w:firstLine="480" w:firstLineChars="200"/>
              <w:rPr>
                <w:color w:val="auto"/>
                <w:kern w:val="0"/>
                <w:sz w:val="24"/>
                <w:lang w:bidi="ar"/>
              </w:rPr>
            </w:pPr>
            <w:r>
              <w:rPr>
                <w:rFonts w:hint="eastAsia"/>
                <w:color w:val="auto"/>
                <w:sz w:val="24"/>
              </w:rPr>
              <w:t>对</w:t>
            </w:r>
            <w:r>
              <w:rPr>
                <w:rFonts w:hint="eastAsia"/>
                <w:color w:val="auto"/>
                <w:sz w:val="24"/>
                <w:lang w:val="en-US" w:eastAsia="zh-CN"/>
              </w:rPr>
              <w:t>4</w:t>
            </w:r>
            <w:r>
              <w:rPr>
                <w:rFonts w:hint="eastAsia"/>
                <w:color w:val="auto"/>
                <w:sz w:val="24"/>
              </w:rPr>
              <w:t>套活性炭装置分别进行计算，计算内容和结果如下表：</w:t>
            </w:r>
          </w:p>
          <w:tbl>
            <w:tblPr>
              <w:tblStyle w:val="9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648"/>
              <w:gridCol w:w="1066"/>
              <w:gridCol w:w="914"/>
              <w:gridCol w:w="695"/>
              <w:gridCol w:w="741"/>
              <w:gridCol w:w="849"/>
              <w:gridCol w:w="2173"/>
            </w:tblGrid>
            <w:tr w14:paraId="2ADE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01B6C3A6">
                  <w:pPr>
                    <w:adjustRightInd w:val="0"/>
                    <w:snapToGrid w:val="0"/>
                    <w:spacing w:line="360" w:lineRule="auto"/>
                    <w:jc w:val="center"/>
                    <w:rPr>
                      <w:b/>
                      <w:bCs/>
                      <w:color w:val="auto"/>
                      <w:kern w:val="0"/>
                      <w:szCs w:val="21"/>
                      <w:lang w:bidi="ar"/>
                    </w:rPr>
                  </w:pPr>
                  <w:r>
                    <w:rPr>
                      <w:rFonts w:hint="eastAsia"/>
                      <w:b/>
                      <w:bCs/>
                      <w:color w:val="auto"/>
                      <w:kern w:val="0"/>
                      <w:szCs w:val="21"/>
                      <w:lang w:bidi="ar"/>
                    </w:rPr>
                    <w:t>编号</w:t>
                  </w:r>
                </w:p>
              </w:tc>
              <w:tc>
                <w:tcPr>
                  <w:tcW w:w="394" w:type="pct"/>
                  <w:vAlign w:val="center"/>
                </w:tcPr>
                <w:p w14:paraId="1A4BF198">
                  <w:pPr>
                    <w:adjustRightInd w:val="0"/>
                    <w:snapToGrid w:val="0"/>
                    <w:spacing w:line="360" w:lineRule="auto"/>
                    <w:jc w:val="center"/>
                    <w:rPr>
                      <w:b/>
                      <w:bCs/>
                      <w:color w:val="auto"/>
                      <w:kern w:val="0"/>
                      <w:szCs w:val="21"/>
                      <w:lang w:bidi="ar"/>
                    </w:rPr>
                  </w:pPr>
                  <w:r>
                    <w:rPr>
                      <w:rFonts w:hint="eastAsia"/>
                      <w:b/>
                      <w:bCs/>
                      <w:color w:val="auto"/>
                      <w:kern w:val="0"/>
                      <w:szCs w:val="21"/>
                      <w:lang w:bidi="ar"/>
                    </w:rPr>
                    <w:t>S(</w:t>
                  </w:r>
                  <w:r>
                    <w:rPr>
                      <w:rFonts w:hint="eastAsia"/>
                      <w:color w:val="auto"/>
                      <w:kern w:val="0"/>
                      <w:szCs w:val="21"/>
                      <w:lang w:bidi="ar"/>
                    </w:rPr>
                    <w:t>%)</w:t>
                  </w:r>
                </w:p>
              </w:tc>
              <w:tc>
                <w:tcPr>
                  <w:tcW w:w="648" w:type="pct"/>
                  <w:vAlign w:val="center"/>
                </w:tcPr>
                <w:p w14:paraId="11F5E944">
                  <w:pPr>
                    <w:adjustRightInd w:val="0"/>
                    <w:snapToGrid w:val="0"/>
                    <w:spacing w:line="360" w:lineRule="auto"/>
                    <w:jc w:val="center"/>
                    <w:rPr>
                      <w:b/>
                      <w:bCs/>
                      <w:color w:val="auto"/>
                      <w:kern w:val="0"/>
                      <w:szCs w:val="21"/>
                      <w:lang w:bidi="ar"/>
                    </w:rPr>
                  </w:pPr>
                  <w:r>
                    <w:rPr>
                      <w:rFonts w:hint="eastAsia"/>
                      <w:b/>
                      <w:bCs/>
                      <w:color w:val="auto"/>
                      <w:kern w:val="0"/>
                      <w:szCs w:val="21"/>
                      <w:lang w:bidi="ar"/>
                    </w:rPr>
                    <w:t>C(</w:t>
                  </w:r>
                  <w:r>
                    <w:rPr>
                      <w:color w:val="auto"/>
                      <w:kern w:val="0"/>
                      <w:szCs w:val="21"/>
                      <w:lang w:bidi="ar"/>
                    </w:rPr>
                    <w:t>mg/m</w:t>
                  </w:r>
                  <w:r>
                    <w:rPr>
                      <w:color w:val="auto"/>
                      <w:kern w:val="0"/>
                      <w:szCs w:val="21"/>
                      <w:vertAlign w:val="superscript"/>
                      <w:lang w:bidi="ar"/>
                    </w:rPr>
                    <w:t>3</w:t>
                  </w:r>
                  <w:r>
                    <w:rPr>
                      <w:rFonts w:hint="eastAsia"/>
                      <w:b/>
                      <w:bCs/>
                      <w:color w:val="auto"/>
                      <w:kern w:val="0"/>
                      <w:szCs w:val="21"/>
                      <w:lang w:bidi="ar"/>
                    </w:rPr>
                    <w:t>)</w:t>
                  </w:r>
                </w:p>
              </w:tc>
              <w:tc>
                <w:tcPr>
                  <w:tcW w:w="556" w:type="pct"/>
                  <w:vAlign w:val="center"/>
                </w:tcPr>
                <w:p w14:paraId="4174DC95">
                  <w:pPr>
                    <w:adjustRightInd w:val="0"/>
                    <w:snapToGrid w:val="0"/>
                    <w:spacing w:line="360" w:lineRule="auto"/>
                    <w:jc w:val="center"/>
                    <w:rPr>
                      <w:b/>
                      <w:bCs/>
                      <w:color w:val="auto"/>
                      <w:kern w:val="0"/>
                      <w:szCs w:val="21"/>
                      <w:lang w:bidi="ar"/>
                    </w:rPr>
                  </w:pPr>
                  <w:r>
                    <w:rPr>
                      <w:rFonts w:hint="eastAsia"/>
                      <w:b/>
                      <w:bCs/>
                      <w:color w:val="auto"/>
                      <w:kern w:val="0"/>
                      <w:szCs w:val="21"/>
                      <w:lang w:bidi="ar"/>
                    </w:rPr>
                    <w:t>Q(</w:t>
                  </w:r>
                  <w:r>
                    <w:rPr>
                      <w:color w:val="auto"/>
                      <w:kern w:val="0"/>
                      <w:szCs w:val="21"/>
                      <w:lang w:bidi="ar"/>
                    </w:rPr>
                    <w:t>m</w:t>
                  </w:r>
                  <w:r>
                    <w:rPr>
                      <w:color w:val="auto"/>
                      <w:kern w:val="0"/>
                      <w:szCs w:val="21"/>
                      <w:vertAlign w:val="superscript"/>
                      <w:lang w:bidi="ar"/>
                    </w:rPr>
                    <w:t>3</w:t>
                  </w:r>
                  <w:r>
                    <w:rPr>
                      <w:color w:val="auto"/>
                      <w:kern w:val="0"/>
                      <w:szCs w:val="21"/>
                      <w:lang w:bidi="ar"/>
                    </w:rPr>
                    <w:t>/h</w:t>
                  </w:r>
                  <w:r>
                    <w:rPr>
                      <w:rFonts w:hint="eastAsia"/>
                      <w:b/>
                      <w:bCs/>
                      <w:color w:val="auto"/>
                      <w:kern w:val="0"/>
                      <w:szCs w:val="21"/>
                      <w:lang w:bidi="ar"/>
                    </w:rPr>
                    <w:t>)</w:t>
                  </w:r>
                </w:p>
              </w:tc>
              <w:tc>
                <w:tcPr>
                  <w:tcW w:w="422" w:type="pct"/>
                  <w:vAlign w:val="center"/>
                </w:tcPr>
                <w:p w14:paraId="4DCB131C">
                  <w:pPr>
                    <w:adjustRightInd w:val="0"/>
                    <w:snapToGrid w:val="0"/>
                    <w:spacing w:line="360" w:lineRule="auto"/>
                    <w:jc w:val="center"/>
                    <w:rPr>
                      <w:b/>
                      <w:bCs/>
                      <w:color w:val="auto"/>
                      <w:kern w:val="0"/>
                      <w:szCs w:val="21"/>
                      <w:lang w:bidi="ar"/>
                    </w:rPr>
                  </w:pPr>
                  <w:r>
                    <w:rPr>
                      <w:rFonts w:hint="eastAsia"/>
                      <w:b/>
                      <w:bCs/>
                      <w:color w:val="auto"/>
                      <w:kern w:val="0"/>
                      <w:szCs w:val="21"/>
                      <w:lang w:bidi="ar"/>
                    </w:rPr>
                    <w:t>t(</w:t>
                  </w:r>
                  <w:r>
                    <w:rPr>
                      <w:color w:val="auto"/>
                      <w:kern w:val="0"/>
                      <w:szCs w:val="21"/>
                      <w:lang w:bidi="ar"/>
                    </w:rPr>
                    <w:t>h/d</w:t>
                  </w:r>
                  <w:r>
                    <w:rPr>
                      <w:rFonts w:hint="eastAsia"/>
                      <w:b/>
                      <w:bCs/>
                      <w:color w:val="auto"/>
                      <w:kern w:val="0"/>
                      <w:szCs w:val="21"/>
                      <w:lang w:bidi="ar"/>
                    </w:rPr>
                    <w:t>)</w:t>
                  </w:r>
                </w:p>
              </w:tc>
              <w:tc>
                <w:tcPr>
                  <w:tcW w:w="450" w:type="pct"/>
                  <w:vAlign w:val="center"/>
                </w:tcPr>
                <w:p w14:paraId="72720E45">
                  <w:pPr>
                    <w:adjustRightInd w:val="0"/>
                    <w:snapToGrid w:val="0"/>
                    <w:spacing w:line="360" w:lineRule="auto"/>
                    <w:jc w:val="center"/>
                    <w:rPr>
                      <w:b/>
                      <w:bCs/>
                      <w:color w:val="auto"/>
                      <w:kern w:val="0"/>
                      <w:szCs w:val="21"/>
                      <w:lang w:bidi="ar"/>
                    </w:rPr>
                  </w:pPr>
                  <w:r>
                    <w:rPr>
                      <w:rFonts w:hint="eastAsia"/>
                      <w:b/>
                      <w:bCs/>
                      <w:color w:val="auto"/>
                      <w:kern w:val="0"/>
                      <w:szCs w:val="21"/>
                      <w:lang w:bidi="ar"/>
                    </w:rPr>
                    <w:t>m(</w:t>
                  </w:r>
                  <w:r>
                    <w:rPr>
                      <w:color w:val="auto"/>
                      <w:kern w:val="0"/>
                      <w:szCs w:val="21"/>
                      <w:lang w:bidi="ar"/>
                    </w:rPr>
                    <w:t>kg</w:t>
                  </w:r>
                  <w:r>
                    <w:rPr>
                      <w:rFonts w:hint="eastAsia"/>
                      <w:b/>
                      <w:bCs/>
                      <w:color w:val="auto"/>
                      <w:kern w:val="0"/>
                      <w:szCs w:val="21"/>
                      <w:lang w:bidi="ar"/>
                    </w:rPr>
                    <w:t>)</w:t>
                  </w:r>
                </w:p>
              </w:tc>
              <w:tc>
                <w:tcPr>
                  <w:tcW w:w="516" w:type="pct"/>
                  <w:vAlign w:val="center"/>
                </w:tcPr>
                <w:p w14:paraId="165D288B">
                  <w:pPr>
                    <w:adjustRightInd w:val="0"/>
                    <w:snapToGrid w:val="0"/>
                    <w:spacing w:line="360" w:lineRule="auto"/>
                    <w:jc w:val="center"/>
                    <w:rPr>
                      <w:b/>
                      <w:bCs/>
                      <w:color w:val="auto"/>
                      <w:kern w:val="0"/>
                      <w:szCs w:val="21"/>
                      <w:lang w:bidi="ar"/>
                    </w:rPr>
                  </w:pPr>
                  <w:r>
                    <w:rPr>
                      <w:rFonts w:hint="eastAsia"/>
                      <w:b/>
                      <w:bCs/>
                      <w:color w:val="auto"/>
                      <w:kern w:val="0"/>
                      <w:szCs w:val="21"/>
                      <w:lang w:bidi="ar"/>
                    </w:rPr>
                    <w:t>T（天）</w:t>
                  </w:r>
                </w:p>
              </w:tc>
              <w:tc>
                <w:tcPr>
                  <w:tcW w:w="1322" w:type="pct"/>
                  <w:vAlign w:val="center"/>
                </w:tcPr>
                <w:p w14:paraId="0F101F0D">
                  <w:pPr>
                    <w:adjustRightInd w:val="0"/>
                    <w:snapToGrid w:val="0"/>
                    <w:spacing w:line="360" w:lineRule="auto"/>
                    <w:jc w:val="center"/>
                    <w:rPr>
                      <w:b/>
                      <w:bCs/>
                      <w:color w:val="auto"/>
                      <w:kern w:val="0"/>
                      <w:szCs w:val="21"/>
                      <w:lang w:bidi="ar"/>
                    </w:rPr>
                  </w:pPr>
                  <w:r>
                    <w:rPr>
                      <w:rFonts w:hint="eastAsia"/>
                      <w:b/>
                      <w:bCs/>
                      <w:color w:val="auto"/>
                      <w:kern w:val="0"/>
                      <w:szCs w:val="21"/>
                      <w:lang w:bidi="ar"/>
                    </w:rPr>
                    <w:t>废活性炭量（t/a）</w:t>
                  </w:r>
                </w:p>
              </w:tc>
            </w:tr>
            <w:tr w14:paraId="71FB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0E138346">
                  <w:pPr>
                    <w:adjustRightInd w:val="0"/>
                    <w:snapToGrid w:val="0"/>
                    <w:spacing w:line="360" w:lineRule="auto"/>
                    <w:jc w:val="center"/>
                    <w:rPr>
                      <w:color w:val="auto"/>
                      <w:kern w:val="0"/>
                      <w:szCs w:val="21"/>
                      <w:lang w:bidi="ar"/>
                    </w:rPr>
                  </w:pPr>
                  <w:r>
                    <w:rPr>
                      <w:rFonts w:hint="eastAsia"/>
                      <w:color w:val="auto"/>
                      <w:kern w:val="0"/>
                      <w:szCs w:val="21"/>
                      <w:lang w:eastAsia="zh-CN" w:bidi="ar"/>
                    </w:rPr>
                    <w:t>4.</w:t>
                  </w:r>
                  <w:r>
                    <w:rPr>
                      <w:rFonts w:hint="eastAsia"/>
                      <w:color w:val="auto"/>
                      <w:kern w:val="0"/>
                      <w:szCs w:val="21"/>
                      <w:lang w:bidi="ar"/>
                    </w:rPr>
                    <w:t>厂房木工车间</w:t>
                  </w:r>
                </w:p>
              </w:tc>
              <w:tc>
                <w:tcPr>
                  <w:tcW w:w="394" w:type="pct"/>
                  <w:vAlign w:val="center"/>
                </w:tcPr>
                <w:p w14:paraId="24F2C04A">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0570841C">
                  <w:pPr>
                    <w:adjustRightInd w:val="0"/>
                    <w:snapToGrid w:val="0"/>
                    <w:spacing w:line="360" w:lineRule="auto"/>
                    <w:jc w:val="center"/>
                    <w:rPr>
                      <w:color w:val="auto"/>
                      <w:kern w:val="0"/>
                      <w:szCs w:val="21"/>
                      <w:lang w:bidi="ar"/>
                    </w:rPr>
                  </w:pPr>
                  <w:r>
                    <w:rPr>
                      <w:rFonts w:hint="eastAsia"/>
                      <w:color w:val="auto"/>
                      <w:kern w:val="0"/>
                      <w:szCs w:val="21"/>
                      <w:lang w:bidi="ar"/>
                    </w:rPr>
                    <w:t>0.148</w:t>
                  </w:r>
                </w:p>
              </w:tc>
              <w:tc>
                <w:tcPr>
                  <w:tcW w:w="556" w:type="pct"/>
                  <w:vAlign w:val="center"/>
                </w:tcPr>
                <w:p w14:paraId="387E6967">
                  <w:pPr>
                    <w:adjustRightInd w:val="0"/>
                    <w:snapToGrid w:val="0"/>
                    <w:spacing w:line="360" w:lineRule="auto"/>
                    <w:jc w:val="center"/>
                    <w:rPr>
                      <w:color w:val="auto"/>
                      <w:kern w:val="0"/>
                      <w:szCs w:val="21"/>
                      <w:lang w:bidi="ar"/>
                    </w:rPr>
                  </w:pPr>
                  <w:r>
                    <w:rPr>
                      <w:rFonts w:hint="eastAsia"/>
                      <w:color w:val="auto"/>
                      <w:kern w:val="0"/>
                      <w:szCs w:val="21"/>
                      <w:lang w:bidi="ar"/>
                    </w:rPr>
                    <w:t>10000</w:t>
                  </w:r>
                </w:p>
              </w:tc>
              <w:tc>
                <w:tcPr>
                  <w:tcW w:w="422" w:type="pct"/>
                  <w:vAlign w:val="center"/>
                </w:tcPr>
                <w:p w14:paraId="26090257">
                  <w:pPr>
                    <w:adjustRightInd w:val="0"/>
                    <w:snapToGrid w:val="0"/>
                    <w:spacing w:line="360" w:lineRule="auto"/>
                    <w:jc w:val="center"/>
                    <w:rPr>
                      <w:color w:val="auto"/>
                      <w:kern w:val="0"/>
                      <w:szCs w:val="21"/>
                      <w:lang w:bidi="ar"/>
                    </w:rPr>
                  </w:pPr>
                  <w:r>
                    <w:rPr>
                      <w:rFonts w:hint="eastAsia"/>
                      <w:color w:val="auto"/>
                      <w:kern w:val="0"/>
                      <w:szCs w:val="21"/>
                      <w:lang w:bidi="ar"/>
                    </w:rPr>
                    <w:t>12</w:t>
                  </w:r>
                </w:p>
              </w:tc>
              <w:tc>
                <w:tcPr>
                  <w:tcW w:w="450" w:type="pct"/>
                  <w:vAlign w:val="center"/>
                </w:tcPr>
                <w:p w14:paraId="64CCFA8B">
                  <w:pPr>
                    <w:adjustRightInd w:val="0"/>
                    <w:snapToGrid w:val="0"/>
                    <w:spacing w:line="360" w:lineRule="auto"/>
                    <w:jc w:val="center"/>
                    <w:rPr>
                      <w:color w:val="auto"/>
                      <w:kern w:val="0"/>
                      <w:szCs w:val="21"/>
                      <w:lang w:bidi="ar"/>
                    </w:rPr>
                  </w:pPr>
                  <w:r>
                    <w:rPr>
                      <w:rFonts w:hint="eastAsia"/>
                      <w:color w:val="auto"/>
                      <w:kern w:val="0"/>
                      <w:szCs w:val="21"/>
                      <w:lang w:bidi="ar"/>
                    </w:rPr>
                    <w:t>15</w:t>
                  </w:r>
                </w:p>
              </w:tc>
              <w:tc>
                <w:tcPr>
                  <w:tcW w:w="516" w:type="pct"/>
                  <w:vAlign w:val="center"/>
                </w:tcPr>
                <w:p w14:paraId="7B0F2A96">
                  <w:pPr>
                    <w:adjustRightInd w:val="0"/>
                    <w:snapToGrid w:val="0"/>
                    <w:spacing w:line="360" w:lineRule="auto"/>
                    <w:jc w:val="center"/>
                    <w:rPr>
                      <w:color w:val="auto"/>
                      <w:kern w:val="0"/>
                      <w:szCs w:val="21"/>
                      <w:lang w:bidi="ar"/>
                    </w:rPr>
                  </w:pPr>
                  <w:r>
                    <w:rPr>
                      <w:rFonts w:hint="eastAsia"/>
                      <w:color w:val="auto"/>
                      <w:kern w:val="0"/>
                      <w:szCs w:val="21"/>
                      <w:lang w:bidi="ar"/>
                    </w:rPr>
                    <w:t>84.5</w:t>
                  </w:r>
                </w:p>
              </w:tc>
              <w:tc>
                <w:tcPr>
                  <w:tcW w:w="1322" w:type="pct"/>
                  <w:vAlign w:val="center"/>
                </w:tcPr>
                <w:p w14:paraId="396BD932">
                  <w:pPr>
                    <w:adjustRightInd w:val="0"/>
                    <w:snapToGrid w:val="0"/>
                    <w:spacing w:line="360" w:lineRule="auto"/>
                    <w:jc w:val="center"/>
                    <w:rPr>
                      <w:color w:val="auto"/>
                      <w:kern w:val="0"/>
                      <w:szCs w:val="21"/>
                      <w:lang w:bidi="ar"/>
                    </w:rPr>
                  </w:pPr>
                  <w:r>
                    <w:rPr>
                      <w:rFonts w:hint="eastAsia"/>
                      <w:color w:val="auto"/>
                      <w:kern w:val="0"/>
                      <w:szCs w:val="21"/>
                      <w:lang w:bidi="ar"/>
                    </w:rPr>
                    <w:t>0.06519</w:t>
                  </w:r>
                </w:p>
              </w:tc>
            </w:tr>
            <w:tr w14:paraId="16BE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47F80BE3">
                  <w:pPr>
                    <w:adjustRightInd w:val="0"/>
                    <w:snapToGrid w:val="0"/>
                    <w:spacing w:line="360" w:lineRule="auto"/>
                    <w:jc w:val="center"/>
                    <w:rPr>
                      <w:color w:val="auto"/>
                      <w:kern w:val="0"/>
                      <w:szCs w:val="21"/>
                      <w:lang w:bidi="ar"/>
                    </w:rPr>
                  </w:pPr>
                  <w:r>
                    <w:rPr>
                      <w:rFonts w:hint="eastAsia"/>
                      <w:color w:val="auto"/>
                      <w:kern w:val="0"/>
                      <w:szCs w:val="21"/>
                      <w:lang w:eastAsia="zh-CN" w:bidi="ar"/>
                    </w:rPr>
                    <w:t>3.</w:t>
                  </w:r>
                  <w:r>
                    <w:rPr>
                      <w:rFonts w:hint="eastAsia"/>
                      <w:color w:val="auto"/>
                      <w:kern w:val="0"/>
                      <w:szCs w:val="21"/>
                      <w:lang w:bidi="ar"/>
                    </w:rPr>
                    <w:t>厂房油漆车间</w:t>
                  </w:r>
                </w:p>
              </w:tc>
              <w:tc>
                <w:tcPr>
                  <w:tcW w:w="394" w:type="pct"/>
                  <w:vAlign w:val="center"/>
                </w:tcPr>
                <w:p w14:paraId="72181BC1">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46CCC564">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27.5</w:t>
                  </w:r>
                </w:p>
              </w:tc>
              <w:tc>
                <w:tcPr>
                  <w:tcW w:w="556" w:type="pct"/>
                  <w:vAlign w:val="center"/>
                </w:tcPr>
                <w:p w14:paraId="74173730">
                  <w:pPr>
                    <w:adjustRightInd w:val="0"/>
                    <w:snapToGrid w:val="0"/>
                    <w:spacing w:line="360" w:lineRule="auto"/>
                    <w:jc w:val="center"/>
                    <w:rPr>
                      <w:color w:val="auto"/>
                      <w:kern w:val="0"/>
                      <w:szCs w:val="21"/>
                      <w:lang w:bidi="ar"/>
                    </w:rPr>
                  </w:pPr>
                  <w:r>
                    <w:rPr>
                      <w:rFonts w:hint="eastAsia"/>
                      <w:color w:val="auto"/>
                      <w:kern w:val="0"/>
                      <w:szCs w:val="21"/>
                      <w:lang w:bidi="ar"/>
                    </w:rPr>
                    <w:t>15000</w:t>
                  </w:r>
                </w:p>
              </w:tc>
              <w:tc>
                <w:tcPr>
                  <w:tcW w:w="422" w:type="pct"/>
                  <w:vAlign w:val="center"/>
                </w:tcPr>
                <w:p w14:paraId="2BC7611E">
                  <w:pPr>
                    <w:adjustRightInd w:val="0"/>
                    <w:snapToGrid w:val="0"/>
                    <w:spacing w:line="360" w:lineRule="auto"/>
                    <w:jc w:val="center"/>
                    <w:rPr>
                      <w:color w:val="auto"/>
                      <w:kern w:val="0"/>
                      <w:szCs w:val="21"/>
                      <w:lang w:bidi="ar"/>
                    </w:rPr>
                  </w:pPr>
                  <w:r>
                    <w:rPr>
                      <w:rFonts w:hint="eastAsia"/>
                      <w:color w:val="auto"/>
                      <w:kern w:val="0"/>
                      <w:szCs w:val="21"/>
                      <w:lang w:bidi="ar"/>
                    </w:rPr>
                    <w:t>12</w:t>
                  </w:r>
                </w:p>
              </w:tc>
              <w:tc>
                <w:tcPr>
                  <w:tcW w:w="450" w:type="pct"/>
                  <w:vAlign w:val="center"/>
                </w:tcPr>
                <w:p w14:paraId="1CDD89DD">
                  <w:pPr>
                    <w:adjustRightInd w:val="0"/>
                    <w:snapToGrid w:val="0"/>
                    <w:spacing w:line="360" w:lineRule="auto"/>
                    <w:jc w:val="center"/>
                    <w:rPr>
                      <w:color w:val="auto"/>
                      <w:kern w:val="0"/>
                      <w:szCs w:val="21"/>
                      <w:lang w:bidi="ar"/>
                    </w:rPr>
                  </w:pPr>
                  <w:r>
                    <w:rPr>
                      <w:rFonts w:hint="eastAsia"/>
                      <w:color w:val="auto"/>
                      <w:kern w:val="0"/>
                      <w:szCs w:val="21"/>
                      <w:lang w:val="en-US" w:eastAsia="zh-CN" w:bidi="ar"/>
                    </w:rPr>
                    <w:t>4</w:t>
                  </w:r>
                  <w:r>
                    <w:rPr>
                      <w:rFonts w:hint="eastAsia"/>
                      <w:color w:val="auto"/>
                      <w:kern w:val="0"/>
                      <w:szCs w:val="21"/>
                      <w:lang w:bidi="ar"/>
                    </w:rPr>
                    <w:t>000</w:t>
                  </w:r>
                </w:p>
              </w:tc>
              <w:tc>
                <w:tcPr>
                  <w:tcW w:w="516" w:type="pct"/>
                  <w:vAlign w:val="center"/>
                </w:tcPr>
                <w:p w14:paraId="709D0E06">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bidi="ar"/>
                    </w:rPr>
                    <w:t>8</w:t>
                  </w:r>
                  <w:r>
                    <w:rPr>
                      <w:rFonts w:hint="eastAsia"/>
                      <w:color w:val="auto"/>
                      <w:kern w:val="0"/>
                      <w:szCs w:val="21"/>
                      <w:lang w:val="en-US" w:eastAsia="zh-CN" w:bidi="ar"/>
                    </w:rPr>
                    <w:t>0.8</w:t>
                  </w:r>
                </w:p>
              </w:tc>
              <w:tc>
                <w:tcPr>
                  <w:tcW w:w="1322" w:type="pct"/>
                  <w:vAlign w:val="center"/>
                </w:tcPr>
                <w:p w14:paraId="45DC46A7">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17.5906</w:t>
                  </w:r>
                </w:p>
              </w:tc>
            </w:tr>
            <w:tr w14:paraId="6DE3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2F5D3F67">
                  <w:pPr>
                    <w:adjustRightInd w:val="0"/>
                    <w:snapToGrid w:val="0"/>
                    <w:spacing w:line="360" w:lineRule="auto"/>
                    <w:jc w:val="center"/>
                    <w:rPr>
                      <w:color w:val="auto"/>
                      <w:kern w:val="0"/>
                      <w:szCs w:val="21"/>
                      <w:lang w:bidi="ar"/>
                    </w:rPr>
                  </w:pPr>
                  <w:r>
                    <w:rPr>
                      <w:rFonts w:hint="eastAsia"/>
                      <w:color w:val="auto"/>
                      <w:kern w:val="0"/>
                      <w:szCs w:val="21"/>
                      <w:lang w:eastAsia="zh-CN" w:bidi="ar"/>
                    </w:rPr>
                    <w:t>2.</w:t>
                  </w:r>
                  <w:r>
                    <w:rPr>
                      <w:rFonts w:hint="eastAsia"/>
                      <w:color w:val="auto"/>
                      <w:kern w:val="0"/>
                      <w:szCs w:val="21"/>
                      <w:lang w:bidi="ar"/>
                    </w:rPr>
                    <w:t>厂房金属车间</w:t>
                  </w:r>
                </w:p>
              </w:tc>
              <w:tc>
                <w:tcPr>
                  <w:tcW w:w="394" w:type="pct"/>
                  <w:vAlign w:val="center"/>
                </w:tcPr>
                <w:p w14:paraId="6E3160E2">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3EDBF564">
                  <w:pPr>
                    <w:adjustRightInd w:val="0"/>
                    <w:snapToGrid w:val="0"/>
                    <w:spacing w:line="360" w:lineRule="auto"/>
                    <w:jc w:val="center"/>
                    <w:rPr>
                      <w:color w:val="auto"/>
                      <w:kern w:val="0"/>
                      <w:szCs w:val="21"/>
                      <w:lang w:bidi="ar"/>
                    </w:rPr>
                  </w:pPr>
                  <w:r>
                    <w:rPr>
                      <w:rFonts w:hint="eastAsia"/>
                      <w:color w:val="auto"/>
                      <w:kern w:val="0"/>
                      <w:szCs w:val="21"/>
                      <w:lang w:bidi="ar"/>
                    </w:rPr>
                    <w:t>0.56</w:t>
                  </w:r>
                </w:p>
              </w:tc>
              <w:tc>
                <w:tcPr>
                  <w:tcW w:w="556" w:type="pct"/>
                  <w:vAlign w:val="center"/>
                </w:tcPr>
                <w:p w14:paraId="49F40704">
                  <w:pPr>
                    <w:adjustRightInd w:val="0"/>
                    <w:snapToGrid w:val="0"/>
                    <w:spacing w:line="360" w:lineRule="auto"/>
                    <w:jc w:val="center"/>
                    <w:rPr>
                      <w:color w:val="auto"/>
                      <w:kern w:val="0"/>
                      <w:szCs w:val="21"/>
                      <w:lang w:bidi="ar"/>
                    </w:rPr>
                  </w:pPr>
                  <w:r>
                    <w:rPr>
                      <w:rFonts w:hint="eastAsia"/>
                      <w:color w:val="auto"/>
                      <w:kern w:val="0"/>
                      <w:szCs w:val="21"/>
                      <w:lang w:bidi="ar"/>
                    </w:rPr>
                    <w:t>13555</w:t>
                  </w:r>
                </w:p>
              </w:tc>
              <w:tc>
                <w:tcPr>
                  <w:tcW w:w="422" w:type="pct"/>
                  <w:vAlign w:val="center"/>
                </w:tcPr>
                <w:p w14:paraId="41BCDB72">
                  <w:pPr>
                    <w:adjustRightInd w:val="0"/>
                    <w:snapToGrid w:val="0"/>
                    <w:spacing w:line="360" w:lineRule="auto"/>
                    <w:jc w:val="center"/>
                    <w:rPr>
                      <w:color w:val="auto"/>
                      <w:kern w:val="0"/>
                      <w:szCs w:val="21"/>
                      <w:lang w:bidi="ar"/>
                    </w:rPr>
                  </w:pPr>
                  <w:r>
                    <w:rPr>
                      <w:rFonts w:hint="eastAsia"/>
                      <w:color w:val="auto"/>
                      <w:kern w:val="0"/>
                      <w:szCs w:val="21"/>
                      <w:lang w:bidi="ar"/>
                    </w:rPr>
                    <w:t>12</w:t>
                  </w:r>
                </w:p>
              </w:tc>
              <w:tc>
                <w:tcPr>
                  <w:tcW w:w="450" w:type="pct"/>
                  <w:vAlign w:val="center"/>
                </w:tcPr>
                <w:p w14:paraId="23245347">
                  <w:pPr>
                    <w:adjustRightInd w:val="0"/>
                    <w:snapToGrid w:val="0"/>
                    <w:spacing w:line="360" w:lineRule="auto"/>
                    <w:jc w:val="center"/>
                    <w:rPr>
                      <w:color w:val="auto"/>
                      <w:kern w:val="0"/>
                      <w:szCs w:val="21"/>
                      <w:lang w:bidi="ar"/>
                    </w:rPr>
                  </w:pPr>
                  <w:r>
                    <w:rPr>
                      <w:rFonts w:hint="eastAsia"/>
                      <w:color w:val="auto"/>
                      <w:kern w:val="0"/>
                      <w:szCs w:val="21"/>
                      <w:lang w:bidi="ar"/>
                    </w:rPr>
                    <w:t>650</w:t>
                  </w:r>
                </w:p>
              </w:tc>
              <w:tc>
                <w:tcPr>
                  <w:tcW w:w="516" w:type="pct"/>
                  <w:vAlign w:val="center"/>
                </w:tcPr>
                <w:p w14:paraId="2B35551D">
                  <w:pPr>
                    <w:adjustRightInd w:val="0"/>
                    <w:snapToGrid w:val="0"/>
                    <w:spacing w:line="360" w:lineRule="auto"/>
                    <w:jc w:val="center"/>
                    <w:rPr>
                      <w:color w:val="auto"/>
                      <w:kern w:val="0"/>
                      <w:szCs w:val="21"/>
                      <w:lang w:bidi="ar"/>
                    </w:rPr>
                  </w:pPr>
                  <w:r>
                    <w:rPr>
                      <w:rFonts w:hint="eastAsia"/>
                      <w:color w:val="auto"/>
                      <w:kern w:val="0"/>
                      <w:szCs w:val="21"/>
                      <w:lang w:bidi="ar"/>
                    </w:rPr>
                    <w:t>84.1</w:t>
                  </w:r>
                </w:p>
              </w:tc>
              <w:tc>
                <w:tcPr>
                  <w:tcW w:w="1322" w:type="pct"/>
                  <w:vAlign w:val="center"/>
                </w:tcPr>
                <w:p w14:paraId="3AFED351">
                  <w:pPr>
                    <w:adjustRightInd w:val="0"/>
                    <w:snapToGrid w:val="0"/>
                    <w:spacing w:line="360" w:lineRule="auto"/>
                    <w:jc w:val="center"/>
                    <w:rPr>
                      <w:color w:val="auto"/>
                      <w:kern w:val="0"/>
                      <w:szCs w:val="21"/>
                      <w:lang w:bidi="ar"/>
                    </w:rPr>
                  </w:pPr>
                  <w:r>
                    <w:rPr>
                      <w:rFonts w:hint="eastAsia"/>
                      <w:color w:val="auto"/>
                      <w:kern w:val="0"/>
                      <w:szCs w:val="21"/>
                      <w:lang w:bidi="ar"/>
                    </w:rPr>
                    <w:t>0.34736</w:t>
                  </w:r>
                </w:p>
              </w:tc>
            </w:tr>
            <w:tr w14:paraId="0177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4E7D83EC">
                  <w:pPr>
                    <w:adjustRightInd w:val="0"/>
                    <w:snapToGrid w:val="0"/>
                    <w:spacing w:line="360" w:lineRule="auto"/>
                    <w:jc w:val="center"/>
                    <w:rPr>
                      <w:color w:val="auto"/>
                      <w:kern w:val="0"/>
                      <w:szCs w:val="21"/>
                      <w:lang w:bidi="ar"/>
                    </w:rPr>
                  </w:pPr>
                  <w:r>
                    <w:rPr>
                      <w:rFonts w:hint="eastAsia"/>
                      <w:color w:val="auto"/>
                      <w:kern w:val="0"/>
                      <w:szCs w:val="21"/>
                      <w:lang w:eastAsia="zh-CN" w:bidi="ar"/>
                    </w:rPr>
                    <w:t>1.</w:t>
                  </w:r>
                  <w:r>
                    <w:rPr>
                      <w:rFonts w:hint="eastAsia"/>
                      <w:color w:val="auto"/>
                      <w:kern w:val="0"/>
                      <w:szCs w:val="21"/>
                      <w:lang w:bidi="ar"/>
                    </w:rPr>
                    <w:t>厂房组装车间</w:t>
                  </w:r>
                </w:p>
              </w:tc>
              <w:tc>
                <w:tcPr>
                  <w:tcW w:w="394" w:type="pct"/>
                  <w:vAlign w:val="center"/>
                </w:tcPr>
                <w:p w14:paraId="528E6091">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0440881C">
                  <w:pPr>
                    <w:adjustRightInd w:val="0"/>
                    <w:snapToGrid w:val="0"/>
                    <w:spacing w:line="360" w:lineRule="auto"/>
                    <w:jc w:val="center"/>
                    <w:rPr>
                      <w:color w:val="auto"/>
                      <w:kern w:val="0"/>
                      <w:szCs w:val="21"/>
                      <w:lang w:bidi="ar"/>
                    </w:rPr>
                  </w:pPr>
                  <w:r>
                    <w:rPr>
                      <w:rFonts w:hint="eastAsia"/>
                      <w:color w:val="auto"/>
                      <w:kern w:val="0"/>
                      <w:szCs w:val="21"/>
                      <w:lang w:bidi="ar"/>
                    </w:rPr>
                    <w:t>14.78</w:t>
                  </w:r>
                </w:p>
              </w:tc>
              <w:tc>
                <w:tcPr>
                  <w:tcW w:w="556" w:type="pct"/>
                  <w:vAlign w:val="center"/>
                </w:tcPr>
                <w:p w14:paraId="3DC4E8E0">
                  <w:pPr>
                    <w:adjustRightInd w:val="0"/>
                    <w:snapToGrid w:val="0"/>
                    <w:spacing w:line="360" w:lineRule="auto"/>
                    <w:jc w:val="center"/>
                    <w:rPr>
                      <w:color w:val="auto"/>
                      <w:kern w:val="0"/>
                      <w:szCs w:val="21"/>
                      <w:lang w:bidi="ar"/>
                    </w:rPr>
                  </w:pPr>
                  <w:r>
                    <w:rPr>
                      <w:rFonts w:hint="eastAsia"/>
                      <w:color w:val="auto"/>
                      <w:kern w:val="0"/>
                      <w:szCs w:val="21"/>
                      <w:lang w:bidi="ar"/>
                    </w:rPr>
                    <w:t>17000</w:t>
                  </w:r>
                </w:p>
              </w:tc>
              <w:tc>
                <w:tcPr>
                  <w:tcW w:w="422" w:type="pct"/>
                  <w:vAlign w:val="center"/>
                </w:tcPr>
                <w:p w14:paraId="1616D064">
                  <w:pPr>
                    <w:adjustRightInd w:val="0"/>
                    <w:snapToGrid w:val="0"/>
                    <w:spacing w:line="360" w:lineRule="auto"/>
                    <w:jc w:val="center"/>
                    <w:rPr>
                      <w:color w:val="auto"/>
                      <w:kern w:val="0"/>
                      <w:szCs w:val="21"/>
                      <w:lang w:bidi="ar"/>
                    </w:rPr>
                  </w:pPr>
                  <w:r>
                    <w:rPr>
                      <w:rFonts w:hint="eastAsia"/>
                      <w:color w:val="auto"/>
                      <w:kern w:val="0"/>
                      <w:szCs w:val="21"/>
                      <w:lang w:bidi="ar"/>
                    </w:rPr>
                    <w:t>12</w:t>
                  </w:r>
                </w:p>
              </w:tc>
              <w:tc>
                <w:tcPr>
                  <w:tcW w:w="450" w:type="pct"/>
                  <w:vAlign w:val="center"/>
                </w:tcPr>
                <w:p w14:paraId="183C7421">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2600</w:t>
                  </w:r>
                </w:p>
              </w:tc>
              <w:tc>
                <w:tcPr>
                  <w:tcW w:w="516" w:type="pct"/>
                  <w:vAlign w:val="center"/>
                </w:tcPr>
                <w:p w14:paraId="397DF502">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bidi="ar"/>
                    </w:rPr>
                    <w:t>8</w:t>
                  </w:r>
                  <w:r>
                    <w:rPr>
                      <w:rFonts w:hint="eastAsia"/>
                      <w:color w:val="auto"/>
                      <w:kern w:val="0"/>
                      <w:szCs w:val="21"/>
                      <w:lang w:val="en-US" w:eastAsia="zh-CN" w:bidi="ar"/>
                    </w:rPr>
                    <w:t>6.2</w:t>
                  </w:r>
                </w:p>
              </w:tc>
              <w:tc>
                <w:tcPr>
                  <w:tcW w:w="1322" w:type="pct"/>
                  <w:vAlign w:val="center"/>
                </w:tcPr>
                <w:p w14:paraId="75A7CBD2">
                  <w:pPr>
                    <w:adjustRightInd w:val="0"/>
                    <w:snapToGrid w:val="0"/>
                    <w:spacing w:line="360" w:lineRule="auto"/>
                    <w:jc w:val="center"/>
                    <w:rPr>
                      <w:color w:val="auto"/>
                      <w:kern w:val="0"/>
                      <w:szCs w:val="21"/>
                      <w:lang w:bidi="ar"/>
                    </w:rPr>
                  </w:pPr>
                  <w:r>
                    <w:rPr>
                      <w:rFonts w:hint="eastAsia"/>
                      <w:color w:val="auto"/>
                      <w:kern w:val="0"/>
                      <w:szCs w:val="21"/>
                      <w:lang w:bidi="ar"/>
                    </w:rPr>
                    <w:t>1</w:t>
                  </w:r>
                  <w:r>
                    <w:rPr>
                      <w:rFonts w:hint="eastAsia"/>
                      <w:color w:val="auto"/>
                      <w:kern w:val="0"/>
                      <w:szCs w:val="21"/>
                      <w:lang w:val="en-US" w:eastAsia="zh-CN" w:bidi="ar"/>
                    </w:rPr>
                    <w:t>0</w:t>
                  </w:r>
                  <w:r>
                    <w:rPr>
                      <w:rFonts w:hint="eastAsia"/>
                      <w:color w:val="auto"/>
                      <w:kern w:val="0"/>
                      <w:szCs w:val="21"/>
                      <w:lang w:bidi="ar"/>
                    </w:rPr>
                    <w:t>.90388</w:t>
                  </w:r>
                </w:p>
              </w:tc>
            </w:tr>
          </w:tbl>
          <w:p w14:paraId="1C359A13">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1.</w:t>
            </w:r>
            <w:r>
              <w:rPr>
                <w:rFonts w:hint="eastAsia"/>
                <w:color w:val="auto"/>
                <w:kern w:val="0"/>
                <w:sz w:val="24"/>
                <w:lang w:bidi="ar"/>
              </w:rPr>
              <w:t>DA001</w:t>
            </w:r>
            <w:r>
              <w:rPr>
                <w:rFonts w:hint="eastAsia"/>
                <w:color w:val="auto"/>
                <w:kern w:val="0"/>
                <w:sz w:val="24"/>
                <w:lang w:eastAsia="zh-CN" w:bidi="ar"/>
              </w:rPr>
              <w:t>排气管</w:t>
            </w:r>
            <w:r>
              <w:rPr>
                <w:color w:val="auto"/>
                <w:kern w:val="0"/>
                <w:sz w:val="24"/>
                <w:lang w:bidi="ar"/>
              </w:rPr>
              <w:t>封边、贴皮、大理石粘接工艺设置</w:t>
            </w:r>
            <w:r>
              <w:rPr>
                <w:rFonts w:hint="eastAsia"/>
                <w:color w:val="auto"/>
                <w:kern w:val="0"/>
                <w:sz w:val="24"/>
                <w:lang w:bidi="ar"/>
              </w:rPr>
              <w:t>4#厂房木工车间</w:t>
            </w:r>
            <w:r>
              <w:rPr>
                <w:color w:val="auto"/>
                <w:kern w:val="0"/>
                <w:sz w:val="24"/>
                <w:lang w:bidi="ar"/>
              </w:rPr>
              <w:t>活性炭吸附设备，</w:t>
            </w:r>
            <w:r>
              <w:rPr>
                <w:color w:val="auto"/>
                <w:sz w:val="24"/>
              </w:rPr>
              <w:t>根据企业提供资料，填充量为1</w:t>
            </w:r>
            <w:r>
              <w:rPr>
                <w:rFonts w:hint="eastAsia"/>
                <w:color w:val="auto"/>
                <w:sz w:val="24"/>
              </w:rPr>
              <w:t>5</w:t>
            </w:r>
            <w:r>
              <w:rPr>
                <w:color w:val="auto"/>
                <w:sz w:val="24"/>
              </w:rPr>
              <w:t>kg（粒状活性炭密度按500kg/m</w:t>
            </w:r>
            <w:r>
              <w:rPr>
                <w:color w:val="auto"/>
                <w:sz w:val="24"/>
                <w:vertAlign w:val="superscript"/>
              </w:rPr>
              <w:t>3</w:t>
            </w:r>
            <w:r>
              <w:rPr>
                <w:color w:val="auto"/>
                <w:sz w:val="24"/>
              </w:rPr>
              <w:t>）</w:t>
            </w:r>
            <w:r>
              <w:rPr>
                <w:color w:val="auto"/>
                <w:kern w:val="0"/>
                <w:sz w:val="24"/>
                <w:lang w:bidi="ar"/>
              </w:rPr>
              <w:t>，动态吸附量取10%，削减浓度取0.</w:t>
            </w:r>
            <w:r>
              <w:rPr>
                <w:rFonts w:hint="eastAsia"/>
                <w:color w:val="auto"/>
                <w:kern w:val="0"/>
                <w:sz w:val="24"/>
                <w:lang w:bidi="ar"/>
              </w:rPr>
              <w:t>148</w:t>
            </w:r>
            <w:r>
              <w:rPr>
                <w:color w:val="auto"/>
                <w:kern w:val="0"/>
                <w:sz w:val="24"/>
                <w:lang w:bidi="ar"/>
              </w:rPr>
              <w:t>mg/m</w:t>
            </w:r>
            <w:r>
              <w:rPr>
                <w:color w:val="auto"/>
                <w:kern w:val="0"/>
                <w:sz w:val="24"/>
                <w:vertAlign w:val="superscript"/>
                <w:lang w:bidi="ar"/>
              </w:rPr>
              <w:t>3</w:t>
            </w:r>
            <w:r>
              <w:rPr>
                <w:color w:val="auto"/>
                <w:kern w:val="0"/>
                <w:sz w:val="24"/>
                <w:lang w:bidi="ar"/>
              </w:rPr>
              <w:t>，风量为</w:t>
            </w:r>
            <w:r>
              <w:rPr>
                <w:rFonts w:hint="eastAsia"/>
                <w:color w:val="auto"/>
                <w:kern w:val="0"/>
                <w:sz w:val="24"/>
                <w:lang w:bidi="ar"/>
              </w:rPr>
              <w:t>10</w:t>
            </w:r>
            <w:r>
              <w:rPr>
                <w:color w:val="auto"/>
                <w:kern w:val="0"/>
                <w:sz w:val="24"/>
                <w:lang w:bidi="ar"/>
              </w:rPr>
              <w:t>000m</w:t>
            </w:r>
            <w:r>
              <w:rPr>
                <w:color w:val="auto"/>
                <w:kern w:val="0"/>
                <w:sz w:val="24"/>
                <w:vertAlign w:val="superscript"/>
                <w:lang w:bidi="ar"/>
              </w:rPr>
              <w:t>3</w:t>
            </w:r>
            <w:r>
              <w:rPr>
                <w:color w:val="auto"/>
                <w:kern w:val="0"/>
                <w:sz w:val="24"/>
                <w:lang w:bidi="ar"/>
              </w:rPr>
              <w:t>/h，运行时间取12，则处理废气的活性炭吸附装置更换周期为=</w:t>
            </w:r>
            <w:r>
              <w:rPr>
                <w:rFonts w:hint="eastAsia"/>
                <w:color w:val="auto"/>
                <w:kern w:val="0"/>
                <w:sz w:val="24"/>
                <w:lang w:bidi="ar"/>
              </w:rPr>
              <w:t>15</w:t>
            </w:r>
            <w:r>
              <w:rPr>
                <w:color w:val="auto"/>
                <w:kern w:val="0"/>
                <w:sz w:val="24"/>
                <w:lang w:bidi="ar"/>
              </w:rPr>
              <w:t>×10%÷（0.</w:t>
            </w:r>
            <w:r>
              <w:rPr>
                <w:rFonts w:hint="eastAsia"/>
                <w:color w:val="auto"/>
                <w:kern w:val="0"/>
                <w:sz w:val="24"/>
                <w:lang w:bidi="ar"/>
              </w:rPr>
              <w:t>148</w:t>
            </w:r>
            <w:r>
              <w:rPr>
                <w:color w:val="auto"/>
                <w:kern w:val="0"/>
                <w:sz w:val="24"/>
                <w:lang w:bidi="ar"/>
              </w:rPr>
              <w:t>×10</w:t>
            </w:r>
            <w:r>
              <w:rPr>
                <w:color w:val="auto"/>
                <w:kern w:val="0"/>
                <w:sz w:val="24"/>
                <w:vertAlign w:val="superscript"/>
                <w:lang w:bidi="ar"/>
              </w:rPr>
              <w:t>-6</w:t>
            </w:r>
            <w:r>
              <w:rPr>
                <w:color w:val="auto"/>
                <w:kern w:val="0"/>
                <w:sz w:val="24"/>
                <w:lang w:bidi="ar"/>
              </w:rPr>
              <w:t>×</w:t>
            </w:r>
            <w:r>
              <w:rPr>
                <w:rFonts w:hint="eastAsia"/>
                <w:color w:val="auto"/>
                <w:kern w:val="0"/>
                <w:sz w:val="24"/>
                <w:lang w:bidi="ar"/>
              </w:rPr>
              <w:t>10</w:t>
            </w:r>
            <w:r>
              <w:rPr>
                <w:color w:val="auto"/>
                <w:kern w:val="0"/>
                <w:sz w:val="24"/>
                <w:lang w:bidi="ar"/>
              </w:rPr>
              <w:t>000×12）=</w:t>
            </w:r>
            <w:r>
              <w:rPr>
                <w:rFonts w:hint="eastAsia"/>
                <w:color w:val="auto"/>
                <w:kern w:val="0"/>
                <w:sz w:val="24"/>
                <w:lang w:bidi="ar"/>
              </w:rPr>
              <w:t>84.5</w:t>
            </w:r>
            <w:r>
              <w:rPr>
                <w:color w:val="auto"/>
                <w:kern w:val="0"/>
                <w:sz w:val="24"/>
                <w:lang w:bidi="ar"/>
              </w:rPr>
              <w:t>天；</w:t>
            </w:r>
            <w:r>
              <w:rPr>
                <w:rFonts w:hint="eastAsia"/>
                <w:color w:val="auto"/>
                <w:kern w:val="0"/>
                <w:sz w:val="24"/>
                <w:lang w:bidi="ar"/>
              </w:rPr>
              <w:t>根据《省生态环境厅关于深入开展涉VOCs治理重点工作核查的通知》（苏环办</w:t>
            </w:r>
            <w:r>
              <w:rPr>
                <w:rFonts w:hint="eastAsia"/>
                <w:color w:val="auto"/>
                <w:kern w:val="0"/>
                <w:sz w:val="24"/>
                <w:lang w:eastAsia="zh-CN" w:bidi="ar"/>
              </w:rPr>
              <w:t>〔2022〕218号</w:t>
            </w:r>
            <w:r>
              <w:rPr>
                <w:rFonts w:hint="eastAsia"/>
                <w:color w:val="auto"/>
                <w:kern w:val="0"/>
                <w:sz w:val="24"/>
                <w:lang w:bidi="ar"/>
              </w:rPr>
              <w:t>）：明确活性炭更换周期一般不应超过累计运行500小时或3个月，因此</w:t>
            </w:r>
            <w:r>
              <w:rPr>
                <w:color w:val="auto"/>
                <w:kern w:val="0"/>
                <w:sz w:val="24"/>
                <w:lang w:bidi="ar"/>
              </w:rPr>
              <w:t>取</w:t>
            </w:r>
            <w:r>
              <w:rPr>
                <w:rFonts w:hint="eastAsia"/>
                <w:color w:val="auto"/>
                <w:kern w:val="0"/>
                <w:sz w:val="24"/>
                <w:lang w:bidi="ar"/>
              </w:rPr>
              <w:t>84</w:t>
            </w:r>
            <w:r>
              <w:rPr>
                <w:color w:val="auto"/>
                <w:kern w:val="0"/>
                <w:sz w:val="24"/>
                <w:lang w:bidi="ar"/>
              </w:rPr>
              <w:t>天</w:t>
            </w:r>
            <w:r>
              <w:rPr>
                <w:rFonts w:hint="eastAsia"/>
                <w:color w:val="auto"/>
                <w:kern w:val="0"/>
                <w:sz w:val="24"/>
                <w:lang w:bidi="ar"/>
              </w:rPr>
              <w:t>，则一年约更换4次，每次填充量为15kg，一年吸附有机废气0.00519吨，因此一年</w:t>
            </w:r>
            <w:r>
              <w:rPr>
                <w:color w:val="auto"/>
                <w:kern w:val="0"/>
                <w:sz w:val="24"/>
                <w:lang w:bidi="ar"/>
              </w:rPr>
              <w:t>废活性炭</w:t>
            </w:r>
            <w:r>
              <w:rPr>
                <w:rFonts w:hint="eastAsia"/>
                <w:color w:val="auto"/>
                <w:kern w:val="0"/>
                <w:sz w:val="24"/>
                <w:lang w:bidi="ar"/>
              </w:rPr>
              <w:t>量为（4*0.015+0.00519）=0.06519</w:t>
            </w:r>
            <w:r>
              <w:rPr>
                <w:color w:val="auto"/>
                <w:kern w:val="0"/>
                <w:sz w:val="24"/>
                <w:lang w:bidi="ar"/>
              </w:rPr>
              <w:t>t/a。</w:t>
            </w:r>
          </w:p>
          <w:p w14:paraId="74D37FA5">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2.</w:t>
            </w:r>
            <w:r>
              <w:rPr>
                <w:rFonts w:hint="eastAsia"/>
                <w:color w:val="auto"/>
                <w:kern w:val="0"/>
                <w:sz w:val="24"/>
                <w:lang w:bidi="ar"/>
              </w:rPr>
              <w:t>DA003</w:t>
            </w:r>
            <w:r>
              <w:rPr>
                <w:color w:val="auto"/>
                <w:kern w:val="0"/>
                <w:sz w:val="24"/>
                <w:lang w:bidi="ar"/>
              </w:rPr>
              <w:t>排气筒批灰、调漆、喷漆、晾干工艺设置</w:t>
            </w:r>
            <w:r>
              <w:rPr>
                <w:rFonts w:hint="eastAsia"/>
                <w:color w:val="auto"/>
                <w:kern w:val="0"/>
                <w:sz w:val="24"/>
                <w:lang w:bidi="ar"/>
              </w:rPr>
              <w:t>3#厂房油漆车间</w:t>
            </w:r>
            <w:r>
              <w:rPr>
                <w:color w:val="auto"/>
                <w:kern w:val="0"/>
                <w:sz w:val="24"/>
                <w:lang w:bidi="ar"/>
              </w:rPr>
              <w:t>活性炭吸附设备及干式过滤器，</w:t>
            </w:r>
            <w:r>
              <w:rPr>
                <w:color w:val="auto"/>
                <w:sz w:val="24"/>
              </w:rPr>
              <w:t>根据企业提供资料，填充量为</w:t>
            </w:r>
            <w:r>
              <w:rPr>
                <w:rFonts w:hint="eastAsia"/>
                <w:color w:val="auto"/>
                <w:sz w:val="24"/>
                <w:lang w:val="en-US" w:eastAsia="zh-CN"/>
              </w:rPr>
              <w:t>4</w:t>
            </w:r>
            <w:r>
              <w:rPr>
                <w:rFonts w:hint="eastAsia"/>
                <w:color w:val="auto"/>
                <w:sz w:val="24"/>
              </w:rPr>
              <w:t>000</w:t>
            </w:r>
            <w:r>
              <w:rPr>
                <w:color w:val="auto"/>
                <w:sz w:val="24"/>
              </w:rPr>
              <w:t>kg（粒状活性炭密度按500kg/m</w:t>
            </w:r>
            <w:r>
              <w:rPr>
                <w:color w:val="auto"/>
                <w:sz w:val="24"/>
                <w:vertAlign w:val="superscript"/>
              </w:rPr>
              <w:t>3</w:t>
            </w:r>
            <w:r>
              <w:rPr>
                <w:color w:val="auto"/>
                <w:sz w:val="24"/>
              </w:rPr>
              <w:t>）</w:t>
            </w:r>
            <w:r>
              <w:rPr>
                <w:color w:val="auto"/>
                <w:kern w:val="0"/>
                <w:sz w:val="24"/>
                <w:lang w:bidi="ar"/>
              </w:rPr>
              <w:t>，动态吸附量取10%，削减浓度取</w:t>
            </w:r>
            <w:r>
              <w:rPr>
                <w:rFonts w:hint="eastAsia"/>
                <w:color w:val="auto"/>
                <w:kern w:val="0"/>
                <w:sz w:val="24"/>
                <w:lang w:val="en-US" w:eastAsia="zh-CN" w:bidi="ar"/>
              </w:rPr>
              <w:t>27.5</w:t>
            </w:r>
            <w:r>
              <w:rPr>
                <w:color w:val="auto"/>
                <w:kern w:val="0"/>
                <w:sz w:val="24"/>
                <w:lang w:bidi="ar"/>
              </w:rPr>
              <w:t>mg/m</w:t>
            </w:r>
            <w:r>
              <w:rPr>
                <w:color w:val="auto"/>
                <w:kern w:val="0"/>
                <w:sz w:val="24"/>
                <w:vertAlign w:val="superscript"/>
                <w:lang w:bidi="ar"/>
              </w:rPr>
              <w:t>3</w:t>
            </w:r>
            <w:r>
              <w:rPr>
                <w:color w:val="auto"/>
                <w:kern w:val="0"/>
                <w:sz w:val="24"/>
                <w:lang w:bidi="ar"/>
              </w:rPr>
              <w:t>，风量为</w:t>
            </w:r>
            <w:r>
              <w:rPr>
                <w:rFonts w:hint="eastAsia"/>
                <w:color w:val="auto"/>
                <w:kern w:val="0"/>
                <w:sz w:val="24"/>
                <w:lang w:bidi="ar"/>
              </w:rPr>
              <w:t>1</w:t>
            </w:r>
            <w:r>
              <w:rPr>
                <w:color w:val="auto"/>
                <w:kern w:val="0"/>
                <w:sz w:val="24"/>
                <w:lang w:bidi="ar"/>
              </w:rPr>
              <w:t>5000m</w:t>
            </w:r>
            <w:r>
              <w:rPr>
                <w:color w:val="auto"/>
                <w:kern w:val="0"/>
                <w:sz w:val="24"/>
                <w:vertAlign w:val="superscript"/>
                <w:lang w:bidi="ar"/>
              </w:rPr>
              <w:t>3</w:t>
            </w:r>
            <w:r>
              <w:rPr>
                <w:color w:val="auto"/>
                <w:kern w:val="0"/>
                <w:sz w:val="24"/>
                <w:lang w:bidi="ar"/>
              </w:rPr>
              <w:t>/h，运行时间取12，则处理废气的活性炭吸附装置更换</w:t>
            </w:r>
            <w:r>
              <w:rPr>
                <w:rFonts w:hint="eastAsia" w:ascii="宋体" w:hAnsi="宋体" w:cs="宋体"/>
                <w:color w:val="auto"/>
                <w:kern w:val="0"/>
                <w:sz w:val="24"/>
                <w:lang w:bidi="ar"/>
              </w:rPr>
              <w:t>周期为</w:t>
            </w:r>
            <w:r>
              <w:rPr>
                <w:rFonts w:hint="eastAsia"/>
                <w:color w:val="auto"/>
                <w:kern w:val="0"/>
                <w:sz w:val="24"/>
                <w:lang w:bidi="ar"/>
              </w:rPr>
              <w:t>=</w:t>
            </w:r>
            <w:r>
              <w:rPr>
                <w:rFonts w:hint="eastAsia"/>
                <w:color w:val="auto"/>
                <w:kern w:val="0"/>
                <w:sz w:val="24"/>
                <w:lang w:val="en-US" w:eastAsia="zh-CN" w:bidi="ar"/>
              </w:rPr>
              <w:t>4</w:t>
            </w:r>
            <w:r>
              <w:rPr>
                <w:rFonts w:hint="eastAsia"/>
                <w:color w:val="auto"/>
                <w:kern w:val="0"/>
                <w:sz w:val="24"/>
                <w:lang w:bidi="ar"/>
              </w:rPr>
              <w:t>000×10%÷（</w:t>
            </w:r>
            <w:r>
              <w:rPr>
                <w:rFonts w:hint="eastAsia"/>
                <w:color w:val="auto"/>
                <w:kern w:val="0"/>
                <w:sz w:val="24"/>
                <w:lang w:val="en-US" w:eastAsia="zh-CN" w:bidi="ar"/>
              </w:rPr>
              <w:t>27.5</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×15000×12）=</w:t>
            </w:r>
            <w:r>
              <w:rPr>
                <w:rFonts w:hint="eastAsia"/>
                <w:color w:val="auto"/>
                <w:kern w:val="0"/>
                <w:sz w:val="24"/>
                <w:lang w:val="en-US" w:eastAsia="zh-CN" w:bidi="ar"/>
              </w:rPr>
              <w:t>80.8</w:t>
            </w:r>
            <w:r>
              <w:rPr>
                <w:rFonts w:hint="eastAsia" w:ascii="宋体" w:hAnsi="宋体" w:cs="宋体"/>
                <w:color w:val="auto"/>
                <w:kern w:val="0"/>
                <w:sz w:val="24"/>
                <w:lang w:bidi="ar"/>
              </w:rPr>
              <w:t>天，</w:t>
            </w:r>
            <w:r>
              <w:rPr>
                <w:rFonts w:hint="eastAsia"/>
                <w:color w:val="auto"/>
                <w:kern w:val="0"/>
                <w:sz w:val="24"/>
                <w:lang w:bidi="ar"/>
              </w:rPr>
              <w:t>取8</w:t>
            </w:r>
            <w:r>
              <w:rPr>
                <w:rFonts w:hint="eastAsia"/>
                <w:color w:val="auto"/>
                <w:kern w:val="0"/>
                <w:sz w:val="24"/>
                <w:lang w:val="en-US" w:eastAsia="zh-CN" w:bidi="ar"/>
              </w:rPr>
              <w:t>0</w:t>
            </w:r>
            <w:r>
              <w:rPr>
                <w:rFonts w:hint="eastAsia"/>
                <w:color w:val="auto"/>
                <w:kern w:val="0"/>
                <w:sz w:val="24"/>
                <w:lang w:bidi="ar"/>
              </w:rPr>
              <w:t>天，则一年约更换4次，每次填充量为</w:t>
            </w:r>
            <w:r>
              <w:rPr>
                <w:rFonts w:hint="eastAsia"/>
                <w:color w:val="auto"/>
                <w:kern w:val="0"/>
                <w:sz w:val="24"/>
                <w:lang w:val="en-US" w:eastAsia="zh-CN" w:bidi="ar"/>
              </w:rPr>
              <w:t>4</w:t>
            </w:r>
            <w:r>
              <w:rPr>
                <w:rFonts w:hint="eastAsia"/>
                <w:color w:val="auto"/>
                <w:kern w:val="0"/>
                <w:sz w:val="24"/>
                <w:lang w:bidi="ar"/>
              </w:rPr>
              <w:t>000kg，一年吸附有机废气1.</w:t>
            </w:r>
            <w:r>
              <w:rPr>
                <w:rFonts w:hint="eastAsia"/>
                <w:color w:val="auto"/>
                <w:kern w:val="0"/>
                <w:sz w:val="24"/>
                <w:lang w:val="en-US" w:eastAsia="zh-CN" w:bidi="ar"/>
              </w:rPr>
              <w:t>5906</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量为（4*</w:t>
            </w:r>
            <w:r>
              <w:rPr>
                <w:rFonts w:hint="eastAsia"/>
                <w:color w:val="auto"/>
                <w:kern w:val="0"/>
                <w:sz w:val="24"/>
                <w:lang w:val="en-US" w:eastAsia="zh-CN" w:bidi="ar"/>
              </w:rPr>
              <w:t>4</w:t>
            </w:r>
            <w:r>
              <w:rPr>
                <w:rFonts w:hint="eastAsia"/>
                <w:color w:val="auto"/>
                <w:kern w:val="0"/>
                <w:sz w:val="24"/>
                <w:lang w:bidi="ar"/>
              </w:rPr>
              <w:t>+1.</w:t>
            </w:r>
            <w:r>
              <w:rPr>
                <w:rFonts w:hint="eastAsia"/>
                <w:color w:val="auto"/>
                <w:kern w:val="0"/>
                <w:sz w:val="24"/>
                <w:lang w:val="en-US" w:eastAsia="zh-CN" w:bidi="ar"/>
              </w:rPr>
              <w:t>5906</w:t>
            </w:r>
            <w:r>
              <w:rPr>
                <w:rFonts w:hint="eastAsia"/>
                <w:color w:val="auto"/>
                <w:kern w:val="0"/>
                <w:sz w:val="24"/>
                <w:lang w:bidi="ar"/>
              </w:rPr>
              <w:t>）=1</w:t>
            </w:r>
            <w:r>
              <w:rPr>
                <w:rFonts w:hint="eastAsia"/>
                <w:color w:val="auto"/>
                <w:kern w:val="0"/>
                <w:sz w:val="24"/>
                <w:lang w:val="en-US" w:eastAsia="zh-CN" w:bidi="ar"/>
              </w:rPr>
              <w:t>7</w:t>
            </w:r>
            <w:r>
              <w:rPr>
                <w:rFonts w:hint="eastAsia"/>
                <w:color w:val="auto"/>
                <w:kern w:val="0"/>
                <w:sz w:val="24"/>
                <w:lang w:bidi="ar"/>
              </w:rPr>
              <w:t>.</w:t>
            </w:r>
            <w:r>
              <w:rPr>
                <w:rFonts w:hint="eastAsia"/>
                <w:color w:val="auto"/>
                <w:kern w:val="0"/>
                <w:sz w:val="24"/>
                <w:lang w:val="en-US" w:eastAsia="zh-CN" w:bidi="ar"/>
              </w:rPr>
              <w:t>5906</w:t>
            </w:r>
            <w:r>
              <w:rPr>
                <w:color w:val="auto"/>
                <w:kern w:val="0"/>
                <w:sz w:val="24"/>
                <w:lang w:bidi="ar"/>
              </w:rPr>
              <w:t>t/a。</w:t>
            </w:r>
          </w:p>
          <w:p w14:paraId="48927C09">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3.</w:t>
            </w:r>
            <w:r>
              <w:rPr>
                <w:rFonts w:hint="eastAsia"/>
                <w:color w:val="auto"/>
                <w:kern w:val="0"/>
                <w:sz w:val="24"/>
                <w:lang w:bidi="ar"/>
              </w:rPr>
              <w:t>DA005</w:t>
            </w:r>
            <w:r>
              <w:rPr>
                <w:rFonts w:hint="eastAsia"/>
                <w:color w:val="auto"/>
                <w:kern w:val="0"/>
                <w:sz w:val="24"/>
                <w:lang w:eastAsia="zh-CN" w:bidi="ar"/>
              </w:rPr>
              <w:t>排气筒</w:t>
            </w:r>
            <w:r>
              <w:rPr>
                <w:rFonts w:hint="eastAsia"/>
                <w:color w:val="auto"/>
                <w:kern w:val="0"/>
                <w:sz w:val="24"/>
                <w:lang w:bidi="ar"/>
              </w:rPr>
              <w:t>金属压合、烘烤固化工艺设置2#厂房金属车间活性炭吸附设备，</w:t>
            </w:r>
            <w:r>
              <w:rPr>
                <w:color w:val="auto"/>
                <w:sz w:val="24"/>
              </w:rPr>
              <w:t>根据企业提供资料，填充量为</w:t>
            </w:r>
            <w:r>
              <w:rPr>
                <w:rFonts w:hint="eastAsia"/>
                <w:color w:val="auto"/>
                <w:sz w:val="24"/>
              </w:rPr>
              <w:t>80</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w:t>
            </w:r>
            <w:r>
              <w:rPr>
                <w:color w:val="auto"/>
                <w:kern w:val="0"/>
                <w:sz w:val="24"/>
                <w:lang w:bidi="ar"/>
              </w:rPr>
              <w:t>取10%</w:t>
            </w:r>
            <w:r>
              <w:rPr>
                <w:rFonts w:hint="eastAsia" w:ascii="宋体" w:hAnsi="宋体" w:cs="宋体"/>
                <w:color w:val="auto"/>
                <w:kern w:val="0"/>
                <w:sz w:val="24"/>
                <w:lang w:bidi="ar"/>
              </w:rPr>
              <w:t>，削减浓度取</w:t>
            </w:r>
            <w:r>
              <w:rPr>
                <w:rFonts w:hint="eastAsia"/>
                <w:color w:val="auto"/>
                <w:kern w:val="0"/>
                <w:sz w:val="24"/>
                <w:lang w:bidi="ar"/>
              </w:rPr>
              <w:t>0.56</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，风量为13555</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，运行时间取12，</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=80×10%÷（0.56×10</w:t>
            </w:r>
            <w:r>
              <w:rPr>
                <w:rFonts w:hint="eastAsia"/>
                <w:color w:val="auto"/>
                <w:kern w:val="0"/>
                <w:sz w:val="24"/>
                <w:vertAlign w:val="superscript"/>
                <w:lang w:bidi="ar"/>
              </w:rPr>
              <w:t>-6</w:t>
            </w:r>
            <w:r>
              <w:rPr>
                <w:rFonts w:hint="eastAsia"/>
                <w:color w:val="auto"/>
                <w:kern w:val="0"/>
                <w:sz w:val="24"/>
                <w:lang w:bidi="ar"/>
              </w:rPr>
              <w:t>×13555×12）=87.8</w:t>
            </w:r>
            <w:r>
              <w:rPr>
                <w:rFonts w:hint="eastAsia" w:ascii="宋体" w:hAnsi="宋体" w:cs="宋体"/>
                <w:color w:val="auto"/>
                <w:kern w:val="0"/>
                <w:sz w:val="24"/>
                <w:lang w:bidi="ar"/>
              </w:rPr>
              <w:t>天，</w:t>
            </w:r>
            <w:r>
              <w:rPr>
                <w:rFonts w:hint="eastAsia"/>
                <w:color w:val="auto"/>
                <w:kern w:val="0"/>
                <w:sz w:val="24"/>
                <w:lang w:bidi="ar"/>
              </w:rPr>
              <w:t>取87天，则一年约更换4次，每次填充量为80kg，一年吸附有机废气0.02736吨，因此一年</w:t>
            </w:r>
            <w:r>
              <w:rPr>
                <w:color w:val="auto"/>
                <w:kern w:val="0"/>
                <w:sz w:val="24"/>
                <w:lang w:bidi="ar"/>
              </w:rPr>
              <w:t>废活性炭</w:t>
            </w:r>
            <w:r>
              <w:rPr>
                <w:rFonts w:hint="eastAsia"/>
                <w:color w:val="auto"/>
                <w:kern w:val="0"/>
                <w:sz w:val="24"/>
                <w:lang w:bidi="ar"/>
              </w:rPr>
              <w:t>量为（4*0.08+0.02736）=0.34736</w:t>
            </w:r>
            <w:r>
              <w:rPr>
                <w:color w:val="auto"/>
                <w:kern w:val="0"/>
                <w:sz w:val="24"/>
                <w:lang w:bidi="ar"/>
              </w:rPr>
              <w:t>t/a。</w:t>
            </w:r>
          </w:p>
          <w:p w14:paraId="29F73F42">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4.</w:t>
            </w:r>
            <w:r>
              <w:rPr>
                <w:rFonts w:hint="eastAsia"/>
                <w:color w:val="auto"/>
                <w:kern w:val="0"/>
                <w:sz w:val="24"/>
                <w:lang w:bidi="ar"/>
              </w:rPr>
              <w:t>DA006排气筒亚克力下料、打标、热弯、丝印、烘烤、洗网水、粘接清洗工艺设置1#厂房组装车间活性炭吸附设备，</w:t>
            </w:r>
            <w:r>
              <w:rPr>
                <w:color w:val="auto"/>
                <w:sz w:val="24"/>
              </w:rPr>
              <w:t>根据企业提供资料，填充量为</w:t>
            </w:r>
            <w:r>
              <w:rPr>
                <w:rFonts w:hint="eastAsia"/>
                <w:color w:val="auto"/>
                <w:sz w:val="24"/>
              </w:rPr>
              <w:t>2</w:t>
            </w:r>
            <w:r>
              <w:rPr>
                <w:rFonts w:hint="eastAsia"/>
                <w:color w:val="auto"/>
                <w:sz w:val="24"/>
                <w:lang w:val="en-US" w:eastAsia="zh-CN"/>
              </w:rPr>
              <w:t>5</w:t>
            </w:r>
            <w:r>
              <w:rPr>
                <w:rFonts w:hint="eastAsia"/>
                <w:color w:val="auto"/>
                <w:sz w:val="24"/>
              </w:rPr>
              <w:t>00</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动态吸附量取</w:t>
            </w:r>
            <w:r>
              <w:rPr>
                <w:color w:val="auto"/>
                <w:kern w:val="0"/>
                <w:sz w:val="24"/>
                <w:lang w:bidi="ar"/>
              </w:rPr>
              <w:t>10%</w:t>
            </w:r>
            <w:r>
              <w:rPr>
                <w:rFonts w:hint="eastAsia" w:ascii="宋体" w:hAnsi="宋体" w:cs="宋体"/>
                <w:color w:val="auto"/>
                <w:kern w:val="0"/>
                <w:sz w:val="24"/>
                <w:lang w:bidi="ar"/>
              </w:rPr>
              <w:t>，削减浓度取</w:t>
            </w:r>
            <w:r>
              <w:rPr>
                <w:rFonts w:hint="eastAsia"/>
                <w:color w:val="auto"/>
                <w:kern w:val="0"/>
                <w:sz w:val="24"/>
                <w:lang w:bidi="ar"/>
              </w:rPr>
              <w:t>14.78</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，风量为17000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，运行时间取12，</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=2</w:t>
            </w:r>
            <w:r>
              <w:rPr>
                <w:rFonts w:hint="eastAsia"/>
                <w:color w:val="auto"/>
                <w:kern w:val="0"/>
                <w:sz w:val="24"/>
                <w:lang w:val="en-US" w:eastAsia="zh-CN" w:bidi="ar"/>
              </w:rPr>
              <w:t>5</w:t>
            </w:r>
            <w:r>
              <w:rPr>
                <w:rFonts w:hint="eastAsia"/>
                <w:color w:val="auto"/>
                <w:kern w:val="0"/>
                <w:sz w:val="24"/>
                <w:lang w:bidi="ar"/>
              </w:rPr>
              <w:t>00×10%÷（14.78×10</w:t>
            </w:r>
            <w:r>
              <w:rPr>
                <w:rFonts w:hint="eastAsia"/>
                <w:color w:val="auto"/>
                <w:kern w:val="0"/>
                <w:sz w:val="24"/>
                <w:vertAlign w:val="superscript"/>
                <w:lang w:bidi="ar"/>
              </w:rPr>
              <w:t>-6</w:t>
            </w:r>
            <w:r>
              <w:rPr>
                <w:rFonts w:hint="eastAsia"/>
                <w:color w:val="auto"/>
                <w:kern w:val="0"/>
                <w:sz w:val="24"/>
                <w:lang w:bidi="ar"/>
              </w:rPr>
              <w:t>×17000×12）=8</w:t>
            </w:r>
            <w:r>
              <w:rPr>
                <w:rFonts w:hint="eastAsia"/>
                <w:color w:val="auto"/>
                <w:kern w:val="0"/>
                <w:sz w:val="24"/>
                <w:lang w:val="en-US" w:eastAsia="zh-CN" w:bidi="ar"/>
              </w:rPr>
              <w:t>2</w:t>
            </w:r>
            <w:r>
              <w:rPr>
                <w:rFonts w:hint="eastAsia"/>
                <w:color w:val="auto"/>
                <w:kern w:val="0"/>
                <w:sz w:val="24"/>
                <w:lang w:bidi="ar"/>
              </w:rPr>
              <w:t>.</w:t>
            </w:r>
            <w:r>
              <w:rPr>
                <w:rFonts w:hint="eastAsia"/>
                <w:color w:val="auto"/>
                <w:kern w:val="0"/>
                <w:sz w:val="24"/>
                <w:lang w:val="en-US" w:eastAsia="zh-CN" w:bidi="ar"/>
              </w:rPr>
              <w:t>9</w:t>
            </w:r>
            <w:r>
              <w:rPr>
                <w:rFonts w:hint="eastAsia" w:ascii="宋体" w:hAnsi="宋体" w:cs="宋体"/>
                <w:color w:val="auto"/>
                <w:kern w:val="0"/>
                <w:sz w:val="24"/>
                <w:lang w:bidi="ar"/>
              </w:rPr>
              <w:t>天，</w:t>
            </w:r>
            <w:r>
              <w:rPr>
                <w:rFonts w:hint="eastAsia"/>
                <w:color w:val="auto"/>
                <w:kern w:val="0"/>
                <w:sz w:val="24"/>
                <w:lang w:bidi="ar"/>
              </w:rPr>
              <w:t>取8</w:t>
            </w:r>
            <w:r>
              <w:rPr>
                <w:rFonts w:hint="eastAsia"/>
                <w:color w:val="auto"/>
                <w:kern w:val="0"/>
                <w:sz w:val="24"/>
                <w:lang w:val="en-US" w:eastAsia="zh-CN" w:bidi="ar"/>
              </w:rPr>
              <w:t>2</w:t>
            </w:r>
            <w:r>
              <w:rPr>
                <w:rFonts w:hint="eastAsia"/>
                <w:color w:val="auto"/>
                <w:kern w:val="0"/>
                <w:sz w:val="24"/>
                <w:lang w:bidi="ar"/>
              </w:rPr>
              <w:t>天，则一年约更换4次，每次填充量为2</w:t>
            </w:r>
            <w:r>
              <w:rPr>
                <w:rFonts w:hint="eastAsia"/>
                <w:color w:val="auto"/>
                <w:kern w:val="0"/>
                <w:sz w:val="24"/>
                <w:lang w:val="en-US" w:eastAsia="zh-CN" w:bidi="ar"/>
              </w:rPr>
              <w:t>5</w:t>
            </w:r>
            <w:r>
              <w:rPr>
                <w:rFonts w:hint="eastAsia"/>
                <w:color w:val="auto"/>
                <w:kern w:val="0"/>
                <w:sz w:val="24"/>
                <w:lang w:bidi="ar"/>
              </w:rPr>
              <w:t>00kg，一年吸附有机废气0.90388吨，因此一年</w:t>
            </w:r>
            <w:r>
              <w:rPr>
                <w:color w:val="auto"/>
                <w:kern w:val="0"/>
                <w:sz w:val="24"/>
                <w:lang w:bidi="ar"/>
              </w:rPr>
              <w:t>废活性炭</w:t>
            </w:r>
            <w:r>
              <w:rPr>
                <w:rFonts w:hint="eastAsia"/>
                <w:color w:val="auto"/>
                <w:kern w:val="0"/>
                <w:sz w:val="24"/>
                <w:lang w:bidi="ar"/>
              </w:rPr>
              <w:t>量为（4*2.</w:t>
            </w:r>
            <w:r>
              <w:rPr>
                <w:rFonts w:hint="eastAsia"/>
                <w:color w:val="auto"/>
                <w:kern w:val="0"/>
                <w:sz w:val="24"/>
                <w:lang w:val="en-US" w:eastAsia="zh-CN" w:bidi="ar"/>
              </w:rPr>
              <w:t>5</w:t>
            </w:r>
            <w:r>
              <w:rPr>
                <w:rFonts w:hint="eastAsia"/>
                <w:color w:val="auto"/>
                <w:kern w:val="0"/>
                <w:sz w:val="24"/>
                <w:lang w:bidi="ar"/>
              </w:rPr>
              <w:t>+0.90388）=1</w:t>
            </w:r>
            <w:r>
              <w:rPr>
                <w:rFonts w:hint="eastAsia"/>
                <w:color w:val="auto"/>
                <w:kern w:val="0"/>
                <w:sz w:val="24"/>
                <w:lang w:val="en-US" w:eastAsia="zh-CN" w:bidi="ar"/>
              </w:rPr>
              <w:t>0</w:t>
            </w:r>
            <w:r>
              <w:rPr>
                <w:rFonts w:hint="eastAsia"/>
                <w:color w:val="auto"/>
                <w:kern w:val="0"/>
                <w:sz w:val="24"/>
                <w:lang w:bidi="ar"/>
              </w:rPr>
              <w:t>.90388</w:t>
            </w:r>
            <w:r>
              <w:rPr>
                <w:color w:val="auto"/>
                <w:kern w:val="0"/>
                <w:sz w:val="24"/>
                <w:lang w:bidi="ar"/>
              </w:rPr>
              <w:t>t/a。</w:t>
            </w:r>
          </w:p>
          <w:p w14:paraId="228F6032">
            <w:pPr>
              <w:widowControl/>
              <w:spacing w:line="360" w:lineRule="auto"/>
              <w:ind w:firstLine="480" w:firstLineChars="200"/>
              <w:jc w:val="left"/>
              <w:rPr>
                <w:rFonts w:hint="eastAsia" w:ascii="宋体" w:hAnsi="宋体" w:cs="宋体"/>
                <w:color w:val="auto"/>
                <w:kern w:val="0"/>
                <w:sz w:val="24"/>
                <w:lang w:bidi="ar"/>
              </w:rPr>
            </w:pPr>
            <w:r>
              <w:rPr>
                <w:rFonts w:hint="eastAsia"/>
                <w:color w:val="auto"/>
                <w:kern w:val="0"/>
                <w:sz w:val="24"/>
                <w:lang w:bidi="ar"/>
              </w:rPr>
              <w:t>综上，废活性炭产生量为</w:t>
            </w:r>
            <w:r>
              <w:rPr>
                <w:rFonts w:hint="eastAsia"/>
                <w:color w:val="auto"/>
                <w:kern w:val="0"/>
                <w:sz w:val="24"/>
                <w:lang w:eastAsia="zh-CN" w:bidi="ar"/>
              </w:rPr>
              <w:t>28.90703</w:t>
            </w:r>
            <w:r>
              <w:rPr>
                <w:rFonts w:hint="eastAsia"/>
                <w:color w:val="auto"/>
                <w:kern w:val="0"/>
                <w:sz w:val="24"/>
                <w:lang w:bidi="ar"/>
              </w:rPr>
              <w:t>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，属于HW49，900-039-49，</w:t>
            </w:r>
            <w:r>
              <w:rPr>
                <w:rFonts w:hint="eastAsia"/>
                <w:color w:val="auto"/>
                <w:kern w:val="0"/>
                <w:sz w:val="24"/>
                <w:lang w:bidi="ar"/>
              </w:rPr>
              <w:t>暂存在危废暂存间，定期交由有资质单位进行处置</w:t>
            </w:r>
            <w:r>
              <w:rPr>
                <w:color w:val="auto"/>
                <w:kern w:val="0"/>
                <w:sz w:val="24"/>
                <w:lang w:bidi="ar"/>
              </w:rPr>
              <w:t>。</w:t>
            </w:r>
          </w:p>
          <w:p w14:paraId="44C5BD1A">
            <w:pPr>
              <w:adjustRightInd w:val="0"/>
              <w:snapToGrid w:val="0"/>
              <w:spacing w:line="360" w:lineRule="auto"/>
              <w:ind w:firstLine="482" w:firstLineChars="200"/>
              <w:rPr>
                <w:b/>
                <w:bCs/>
                <w:color w:val="auto"/>
                <w:sz w:val="24"/>
              </w:rPr>
            </w:pPr>
            <w:r>
              <w:rPr>
                <w:rFonts w:hint="eastAsia"/>
                <w:b/>
                <w:bCs/>
                <w:color w:val="auto"/>
                <w:sz w:val="24"/>
                <w:lang w:eastAsia="zh-CN"/>
              </w:rPr>
              <w:t>(2)</w:t>
            </w:r>
            <w:r>
              <w:rPr>
                <w:rFonts w:hint="eastAsia"/>
                <w:b/>
                <w:bCs/>
                <w:color w:val="auto"/>
                <w:sz w:val="24"/>
              </w:rPr>
              <w:t>木材边角料、不合格品</w:t>
            </w:r>
          </w:p>
          <w:p w14:paraId="0AFDDC40">
            <w:pPr>
              <w:adjustRightInd w:val="0"/>
              <w:snapToGrid w:val="0"/>
              <w:spacing w:line="360" w:lineRule="auto"/>
              <w:ind w:firstLine="480" w:firstLineChars="200"/>
              <w:rPr>
                <w:b/>
                <w:bCs/>
                <w:color w:val="auto"/>
                <w:sz w:val="24"/>
              </w:rPr>
            </w:pPr>
            <w:r>
              <w:rPr>
                <w:bCs/>
                <w:color w:val="auto"/>
                <w:sz w:val="24"/>
              </w:rPr>
              <w:t>本项目</w:t>
            </w:r>
            <w:r>
              <w:rPr>
                <w:rFonts w:hint="eastAsia"/>
                <w:bCs/>
                <w:color w:val="auto"/>
                <w:sz w:val="24"/>
              </w:rPr>
              <w:t>木材边角料为木制组件下料、倒角/钻孔、修边工艺产生，不合格品为生产过程中产生，</w:t>
            </w:r>
            <w:r>
              <w:rPr>
                <w:rFonts w:hint="eastAsia"/>
                <w:color w:val="auto"/>
                <w:sz w:val="24"/>
              </w:rPr>
              <w:t>根据企业提供信息以及以往工程经验，边角料产生率一般为原料的3%，不合格品约为原料的2%，木板材年原料约52t，则木材边角料、不合格品的产生量为52*（3%+2%）=2.6t/a，对照《</w:t>
            </w:r>
            <w:r>
              <w:rPr>
                <w:rFonts w:ascii="宋体" w:hAnsi="宋体" w:cs="宋体"/>
                <w:color w:val="auto"/>
                <w:sz w:val="24"/>
              </w:rPr>
              <w:t>固体废物分类与代码目录</w:t>
            </w:r>
            <w:r>
              <w:rPr>
                <w:rFonts w:hint="eastAsia"/>
                <w:color w:val="auto"/>
                <w:sz w:val="24"/>
              </w:rPr>
              <w:t>》，属于SW17，900-009-S17，</w:t>
            </w:r>
            <w:r>
              <w:rPr>
                <w:bCs/>
                <w:color w:val="auto"/>
                <w:sz w:val="24"/>
              </w:rPr>
              <w:t>收集后外售综合利用。</w:t>
            </w:r>
          </w:p>
          <w:p w14:paraId="163E0972">
            <w:pPr>
              <w:adjustRightInd w:val="0"/>
              <w:snapToGrid w:val="0"/>
              <w:spacing w:line="360" w:lineRule="auto"/>
              <w:ind w:firstLine="482" w:firstLineChars="200"/>
              <w:rPr>
                <w:b/>
                <w:bCs/>
                <w:color w:val="auto"/>
                <w:sz w:val="24"/>
              </w:rPr>
            </w:pPr>
            <w:r>
              <w:rPr>
                <w:rFonts w:hint="eastAsia"/>
                <w:b/>
                <w:bCs/>
                <w:color w:val="auto"/>
                <w:sz w:val="24"/>
                <w:lang w:eastAsia="zh-CN"/>
              </w:rPr>
              <w:t>(3)</w:t>
            </w:r>
            <w:r>
              <w:rPr>
                <w:rFonts w:hint="eastAsia"/>
                <w:b/>
                <w:bCs/>
                <w:color w:val="auto"/>
                <w:sz w:val="24"/>
              </w:rPr>
              <w:t>废刀头</w:t>
            </w:r>
          </w:p>
          <w:p w14:paraId="242EE3B1">
            <w:pPr>
              <w:adjustRightInd w:val="0"/>
              <w:snapToGrid w:val="0"/>
              <w:spacing w:line="360" w:lineRule="auto"/>
              <w:ind w:firstLine="480" w:firstLineChars="200"/>
              <w:rPr>
                <w:b/>
                <w:bCs/>
                <w:color w:val="auto"/>
                <w:sz w:val="24"/>
              </w:rPr>
            </w:pPr>
            <w:r>
              <w:rPr>
                <w:bCs/>
                <w:color w:val="auto"/>
                <w:sz w:val="24"/>
              </w:rPr>
              <w:t>本项目</w:t>
            </w:r>
            <w:r>
              <w:rPr>
                <w:rFonts w:hint="eastAsia"/>
                <w:bCs/>
                <w:color w:val="auto"/>
                <w:sz w:val="24"/>
              </w:rPr>
              <w:t>废刀头为设备使用刀头，使用过程中刀头会损坏，且根据企业经验以及</w:t>
            </w:r>
            <w:r>
              <w:rPr>
                <w:rFonts w:hint="eastAsia"/>
                <w:color w:val="auto"/>
                <w:sz w:val="24"/>
              </w:rPr>
              <w:t>以往工程经验，刀头使用过程中存在10</w:t>
            </w:r>
            <w:r>
              <w:rPr>
                <w:rFonts w:hint="eastAsia"/>
                <w:color w:val="auto"/>
                <w:sz w:val="24"/>
                <w:lang w:eastAsia="zh-CN"/>
              </w:rPr>
              <w:t>%～</w:t>
            </w:r>
            <w:r>
              <w:rPr>
                <w:rFonts w:hint="eastAsia"/>
                <w:color w:val="auto"/>
                <w:sz w:val="24"/>
              </w:rPr>
              <w:t>20%的磨损，此处按最小磨损量计，企业年使用刀头5000支，单只重量约50g，则废刀头产生量为5000*50*90%/1000=225kg/a=0.225t/a，对照《</w:t>
            </w:r>
            <w:r>
              <w:rPr>
                <w:rFonts w:ascii="宋体" w:hAnsi="宋体" w:cs="宋体"/>
                <w:color w:val="auto"/>
                <w:sz w:val="24"/>
              </w:rPr>
              <w:t>固体废物分类与代码目录</w:t>
            </w:r>
            <w:r>
              <w:rPr>
                <w:rFonts w:hint="eastAsia"/>
                <w:color w:val="auto"/>
                <w:sz w:val="24"/>
              </w:rPr>
              <w:t>》，属于SW62，900-003-S62，</w:t>
            </w:r>
            <w:r>
              <w:rPr>
                <w:bCs/>
                <w:color w:val="auto"/>
                <w:sz w:val="24"/>
              </w:rPr>
              <w:t>收集后外售综合利用。</w:t>
            </w:r>
          </w:p>
          <w:p w14:paraId="7838CC3D">
            <w:pPr>
              <w:adjustRightInd w:val="0"/>
              <w:snapToGrid w:val="0"/>
              <w:spacing w:line="360" w:lineRule="auto"/>
              <w:ind w:firstLine="482" w:firstLineChars="200"/>
              <w:rPr>
                <w:b/>
                <w:bCs/>
                <w:color w:val="auto"/>
                <w:sz w:val="24"/>
              </w:rPr>
            </w:pPr>
            <w:r>
              <w:rPr>
                <w:rFonts w:hint="eastAsia"/>
                <w:b/>
                <w:bCs/>
                <w:color w:val="auto"/>
                <w:sz w:val="24"/>
                <w:lang w:eastAsia="zh-CN"/>
              </w:rPr>
              <w:t>(4)</w:t>
            </w:r>
            <w:r>
              <w:rPr>
                <w:b/>
                <w:bCs/>
                <w:color w:val="auto"/>
                <w:sz w:val="24"/>
              </w:rPr>
              <w:t>废</w:t>
            </w:r>
            <w:r>
              <w:rPr>
                <w:rFonts w:hint="eastAsia"/>
                <w:b/>
                <w:bCs/>
                <w:color w:val="auto"/>
                <w:sz w:val="24"/>
              </w:rPr>
              <w:t>液压</w:t>
            </w:r>
            <w:r>
              <w:rPr>
                <w:b/>
                <w:bCs/>
                <w:color w:val="auto"/>
                <w:sz w:val="24"/>
              </w:rPr>
              <w:t>油</w:t>
            </w:r>
          </w:p>
          <w:p w14:paraId="22705655">
            <w:pPr>
              <w:adjustRightInd w:val="0"/>
              <w:snapToGrid w:val="0"/>
              <w:spacing w:line="360" w:lineRule="auto"/>
              <w:ind w:firstLine="480" w:firstLineChars="200"/>
              <w:rPr>
                <w:b/>
                <w:bCs/>
                <w:color w:val="auto"/>
                <w:sz w:val="24"/>
              </w:rPr>
            </w:pPr>
            <w:r>
              <w:rPr>
                <w:rFonts w:hint="eastAsia"/>
                <w:color w:val="auto"/>
                <w:sz w:val="24"/>
              </w:rPr>
              <w:t>本项目年使用液压油0.1t，</w:t>
            </w:r>
            <w:r>
              <w:rPr>
                <w:rFonts w:hint="eastAsia"/>
                <w:bCs/>
                <w:color w:val="auto"/>
                <w:sz w:val="24"/>
              </w:rPr>
              <w:t>根据企业经验以及</w:t>
            </w:r>
            <w:r>
              <w:rPr>
                <w:rFonts w:hint="eastAsia"/>
                <w:color w:val="auto"/>
                <w:sz w:val="24"/>
              </w:rPr>
              <w:t>以往工程经验，会有20%的折损，因此废液压油产生量为0.08t/a，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w:t>
            </w:r>
            <w:r>
              <w:rPr>
                <w:rFonts w:hint="eastAsia"/>
                <w:color w:val="auto"/>
                <w:kern w:val="0"/>
                <w:sz w:val="24"/>
                <w:lang w:bidi="ar"/>
              </w:rPr>
              <w:t>08</w:t>
            </w:r>
            <w:r>
              <w:rPr>
                <w:color w:val="auto"/>
                <w:kern w:val="0"/>
                <w:sz w:val="24"/>
                <w:lang w:bidi="ar"/>
              </w:rPr>
              <w:t>，900-</w:t>
            </w:r>
            <w:r>
              <w:rPr>
                <w:rFonts w:hint="eastAsia"/>
                <w:color w:val="auto"/>
                <w:kern w:val="0"/>
                <w:sz w:val="24"/>
                <w:lang w:bidi="ar"/>
              </w:rPr>
              <w:t>218</w:t>
            </w:r>
            <w:r>
              <w:rPr>
                <w:color w:val="auto"/>
                <w:kern w:val="0"/>
                <w:sz w:val="24"/>
                <w:lang w:bidi="ar"/>
              </w:rPr>
              <w:t>-</w:t>
            </w:r>
            <w:r>
              <w:rPr>
                <w:rFonts w:hint="eastAsia"/>
                <w:color w:val="auto"/>
                <w:kern w:val="0"/>
                <w:sz w:val="24"/>
                <w:lang w:bidi="ar"/>
              </w:rPr>
              <w:t>08</w:t>
            </w:r>
            <w:r>
              <w:rPr>
                <w:color w:val="auto"/>
                <w:kern w:val="0"/>
                <w:sz w:val="24"/>
                <w:lang w:bidi="ar"/>
              </w:rPr>
              <w:t>，</w:t>
            </w:r>
            <w:r>
              <w:rPr>
                <w:rFonts w:hint="eastAsia"/>
                <w:color w:val="auto"/>
                <w:kern w:val="0"/>
                <w:sz w:val="24"/>
                <w:lang w:bidi="ar"/>
              </w:rPr>
              <w:t>暂存在危废暂存间，定期交由有资质单位进行处置</w:t>
            </w:r>
            <w:r>
              <w:rPr>
                <w:color w:val="auto"/>
                <w:kern w:val="0"/>
                <w:sz w:val="24"/>
                <w:lang w:bidi="ar"/>
              </w:rPr>
              <w:t>。</w:t>
            </w:r>
          </w:p>
          <w:p w14:paraId="15986EE5">
            <w:pPr>
              <w:adjustRightInd w:val="0"/>
              <w:snapToGrid w:val="0"/>
              <w:spacing w:line="360" w:lineRule="auto"/>
              <w:ind w:firstLine="482" w:firstLineChars="200"/>
              <w:rPr>
                <w:b/>
                <w:bCs/>
                <w:color w:val="auto"/>
                <w:sz w:val="24"/>
              </w:rPr>
            </w:pPr>
            <w:r>
              <w:rPr>
                <w:rFonts w:hint="eastAsia"/>
                <w:b/>
                <w:bCs/>
                <w:color w:val="auto"/>
                <w:sz w:val="24"/>
                <w:lang w:eastAsia="zh-CN"/>
              </w:rPr>
              <w:t>(5)</w:t>
            </w:r>
            <w:r>
              <w:rPr>
                <w:rFonts w:hint="eastAsia"/>
                <w:b/>
                <w:bCs/>
                <w:color w:val="auto"/>
                <w:sz w:val="24"/>
              </w:rPr>
              <w:t>废封边条</w:t>
            </w:r>
          </w:p>
          <w:p w14:paraId="1B956410">
            <w:pPr>
              <w:adjustRightInd w:val="0"/>
              <w:snapToGrid w:val="0"/>
              <w:spacing w:line="360" w:lineRule="auto"/>
              <w:ind w:firstLine="480" w:firstLineChars="200"/>
              <w:rPr>
                <w:color w:val="auto"/>
                <w:sz w:val="24"/>
              </w:rPr>
            </w:pPr>
            <w:r>
              <w:rPr>
                <w:rFonts w:hint="eastAsia"/>
                <w:color w:val="auto"/>
                <w:sz w:val="24"/>
              </w:rPr>
              <w:t>本项目年使用封边条15000米，根据企业提供资料约360kg，企业使用封边条废料率约为1%，因此废封边条产生量为360*1%=3.6kg/a=0.0036t/a，对照《</w:t>
            </w:r>
            <w:r>
              <w:rPr>
                <w:rFonts w:ascii="宋体" w:hAnsi="宋体" w:cs="宋体"/>
                <w:color w:val="auto"/>
                <w:sz w:val="24"/>
              </w:rPr>
              <w:t>固体废物分类与代码目录</w:t>
            </w:r>
            <w:r>
              <w:rPr>
                <w:rFonts w:hint="eastAsia"/>
                <w:color w:val="auto"/>
                <w:sz w:val="24"/>
              </w:rPr>
              <w:t>》，属于SW59，900-099-S59，</w:t>
            </w:r>
            <w:r>
              <w:rPr>
                <w:bCs/>
                <w:color w:val="auto"/>
                <w:sz w:val="24"/>
              </w:rPr>
              <w:t>收集后外售综合利用。</w:t>
            </w:r>
          </w:p>
          <w:p w14:paraId="575C38A6">
            <w:pPr>
              <w:adjustRightInd w:val="0"/>
              <w:snapToGrid w:val="0"/>
              <w:spacing w:line="360" w:lineRule="auto"/>
              <w:ind w:firstLine="482" w:firstLineChars="200"/>
              <w:rPr>
                <w:b/>
                <w:bCs/>
                <w:color w:val="auto"/>
                <w:sz w:val="24"/>
              </w:rPr>
            </w:pPr>
            <w:r>
              <w:rPr>
                <w:rFonts w:hint="eastAsia"/>
                <w:b/>
                <w:bCs/>
                <w:color w:val="auto"/>
                <w:sz w:val="24"/>
                <w:lang w:eastAsia="zh-CN"/>
              </w:rPr>
              <w:t>(6)</w:t>
            </w:r>
            <w:r>
              <w:rPr>
                <w:rFonts w:hint="eastAsia"/>
                <w:b/>
                <w:bCs/>
                <w:color w:val="auto"/>
                <w:sz w:val="24"/>
              </w:rPr>
              <w:t>废木皮</w:t>
            </w:r>
          </w:p>
          <w:p w14:paraId="0D599BE6">
            <w:pPr>
              <w:adjustRightInd w:val="0"/>
              <w:snapToGrid w:val="0"/>
              <w:spacing w:line="360" w:lineRule="auto"/>
              <w:ind w:firstLine="480" w:firstLineChars="200"/>
              <w:rPr>
                <w:color w:val="auto"/>
                <w:sz w:val="24"/>
              </w:rPr>
            </w:pPr>
            <w:r>
              <w:rPr>
                <w:rFonts w:hint="eastAsia"/>
                <w:color w:val="auto"/>
                <w:sz w:val="24"/>
              </w:rPr>
              <w:t>本项目贴皮工艺使用木皮进行，根据企业提供资料年使用量约为0.2t，废料率约为5%，因此废木皮产生量为2*5%=0.01t/a，对照《</w:t>
            </w:r>
            <w:r>
              <w:rPr>
                <w:rFonts w:ascii="宋体" w:hAnsi="宋体" w:cs="宋体"/>
                <w:color w:val="auto"/>
                <w:sz w:val="24"/>
              </w:rPr>
              <w:t>固体废物分类与代码目录</w:t>
            </w:r>
            <w:r>
              <w:rPr>
                <w:rFonts w:hint="eastAsia"/>
                <w:color w:val="auto"/>
                <w:sz w:val="24"/>
              </w:rPr>
              <w:t>》，属于SW17，900-009-S17，</w:t>
            </w:r>
            <w:r>
              <w:rPr>
                <w:bCs/>
                <w:color w:val="auto"/>
                <w:sz w:val="24"/>
              </w:rPr>
              <w:t>收集后外售综合利用。</w:t>
            </w:r>
          </w:p>
          <w:p w14:paraId="6130B2E0">
            <w:pPr>
              <w:adjustRightInd w:val="0"/>
              <w:snapToGrid w:val="0"/>
              <w:spacing w:line="360" w:lineRule="auto"/>
              <w:ind w:firstLine="482" w:firstLineChars="200"/>
              <w:rPr>
                <w:b/>
                <w:bCs/>
                <w:color w:val="auto"/>
                <w:sz w:val="24"/>
              </w:rPr>
            </w:pPr>
            <w:r>
              <w:rPr>
                <w:rFonts w:hint="eastAsia"/>
                <w:b/>
                <w:bCs/>
                <w:color w:val="auto"/>
                <w:sz w:val="24"/>
                <w:lang w:eastAsia="zh-CN"/>
              </w:rPr>
              <w:t>(7)</w:t>
            </w:r>
            <w:r>
              <w:rPr>
                <w:rFonts w:hint="eastAsia"/>
                <w:b/>
                <w:bCs/>
                <w:color w:val="auto"/>
                <w:sz w:val="24"/>
              </w:rPr>
              <w:t>废胶桶、废胶瓶</w:t>
            </w:r>
          </w:p>
          <w:p w14:paraId="08CF8C4E">
            <w:pPr>
              <w:adjustRightInd w:val="0"/>
              <w:snapToGrid w:val="0"/>
              <w:spacing w:line="360" w:lineRule="auto"/>
              <w:ind w:firstLine="480" w:firstLineChars="200"/>
              <w:rPr>
                <w:color w:val="auto"/>
                <w:sz w:val="24"/>
              </w:rPr>
            </w:pPr>
            <w:r>
              <w:rPr>
                <w:color w:val="auto"/>
                <w:sz w:val="24"/>
              </w:rPr>
              <w:t>本项目涉及多类胶的使用，对封边胶、白乳胶、石材粘接剂、聚氨酯胶、亚克力胶进行分析，封边胶为管状，单支20g，年使用125kg，共计6250只，废胶管单只约5g，则封边胶废胶管为0.03125t/a，白乳胶为瓶装，单瓶2kg，年使用2300kg，共计1150瓶，单个废胶瓶约0.2kg，则白乳胶废胶瓶为0.23t/a，石材</w:t>
            </w:r>
            <w:r>
              <w:rPr>
                <w:rFonts w:hint="eastAsia"/>
                <w:color w:val="auto"/>
                <w:sz w:val="24"/>
                <w:lang w:eastAsia="zh-CN"/>
              </w:rPr>
              <w:t>粘结剂</w:t>
            </w:r>
            <w:r>
              <w:rPr>
                <w:color w:val="auto"/>
                <w:sz w:val="24"/>
              </w:rPr>
              <w:t>为管状，单支50g，年使用300kg，共计6000支，单支废胶水管为10g，则石材粘接剂废胶管量为0.06t/a，聚氨酯胶为桶装，单桶20kg，年使用9.5吨，共计475桶，单个废桶约2kg，则聚氨酯胶废胶桶为0.95t/a，亚克力胶为瓶装，单瓶200g，年使用80kg，共计400瓶，单个废瓶约30g，则废亚克力胶瓶为0.012t/a，综上，废胶桶、废胶瓶共计1.28325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w:t>
            </w:r>
            <w:r>
              <w:rPr>
                <w:color w:val="auto"/>
                <w:sz w:val="24"/>
              </w:rPr>
              <w:t>属于</w:t>
            </w:r>
            <w:r>
              <w:rPr>
                <w:color w:val="auto"/>
                <w:kern w:val="0"/>
                <w:sz w:val="24"/>
                <w:lang w:bidi="ar"/>
              </w:rPr>
              <w:t>HW49，900-041-49，暂存在危废暂存间，定期交由有资质单位进行处置。</w:t>
            </w:r>
          </w:p>
          <w:p w14:paraId="767CA603">
            <w:pPr>
              <w:pStyle w:val="37"/>
              <w:ind w:firstLine="482" w:firstLineChars="200"/>
              <w:rPr>
                <w:b/>
                <w:bCs/>
                <w:color w:val="auto"/>
                <w:sz w:val="24"/>
              </w:rPr>
            </w:pPr>
            <w:r>
              <w:rPr>
                <w:rFonts w:hint="eastAsia"/>
                <w:b/>
                <w:bCs/>
                <w:color w:val="auto"/>
                <w:sz w:val="24"/>
                <w:lang w:eastAsia="zh-CN"/>
              </w:rPr>
              <w:t>(8)</w:t>
            </w:r>
            <w:r>
              <w:rPr>
                <w:b/>
                <w:bCs/>
                <w:color w:val="auto"/>
                <w:sz w:val="24"/>
              </w:rPr>
              <w:t>废砂纸</w:t>
            </w:r>
          </w:p>
          <w:p w14:paraId="0C0C5F7D">
            <w:pPr>
              <w:adjustRightInd w:val="0"/>
              <w:snapToGrid w:val="0"/>
              <w:spacing w:line="360" w:lineRule="auto"/>
              <w:ind w:firstLine="480" w:firstLineChars="200"/>
              <w:rPr>
                <w:b/>
                <w:bCs/>
                <w:color w:val="auto"/>
                <w:sz w:val="24"/>
              </w:rPr>
            </w:pPr>
            <w:r>
              <w:rPr>
                <w:color w:val="auto"/>
                <w:sz w:val="24"/>
              </w:rPr>
              <w:t>本项目涉及砂纸的使用，砂纸年用量为8.5吨，废砂纸既包括质量不佳、未使用即废弃的砂纸，也包括使用后因磨损而失去功能的砂纸，根据企业</w:t>
            </w:r>
            <w:r>
              <w:rPr>
                <w:bCs/>
                <w:color w:val="auto"/>
                <w:sz w:val="24"/>
              </w:rPr>
              <w:t>经验以及</w:t>
            </w:r>
            <w:r>
              <w:rPr>
                <w:color w:val="auto"/>
                <w:sz w:val="24"/>
              </w:rPr>
              <w:t>以往工程经验，废砂纸产生量约为10%，则废砂纸产生量为0.85t/a，对照《固体废物分类与代码目录》，属于SW59，900-099-S59，</w:t>
            </w:r>
            <w:r>
              <w:rPr>
                <w:bCs/>
                <w:color w:val="auto"/>
                <w:sz w:val="24"/>
              </w:rPr>
              <w:t>收集后外售综合利用。</w:t>
            </w:r>
          </w:p>
          <w:p w14:paraId="6FA25E09">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(9)</w:t>
            </w:r>
            <w:r>
              <w:rPr>
                <w:b/>
                <w:bCs/>
                <w:color w:val="auto"/>
                <w:sz w:val="24"/>
              </w:rPr>
              <w:t>废灰桶、废漆桶</w:t>
            </w:r>
          </w:p>
          <w:p w14:paraId="0FA16610">
            <w:pPr>
              <w:adjustRightInd w:val="0"/>
              <w:snapToGrid w:val="0"/>
              <w:spacing w:line="360" w:lineRule="auto"/>
              <w:ind w:firstLine="480" w:firstLineChars="200"/>
              <w:rPr>
                <w:color w:val="auto"/>
                <w:sz w:val="24"/>
              </w:rPr>
            </w:pPr>
            <w:r>
              <w:rPr>
                <w:color w:val="auto"/>
                <w:sz w:val="24"/>
              </w:rPr>
              <w:t>本项目涉及原子灰、水性漆、油性漆、稀释剂的使用，其中原子灰为桶装，单桶10kg，年用量1200kg，共计120桶，单个废桶约为1.2kg，则废灰桶为0.144t/a，水性漆为桶装，单桶5kg，年用量0.4t，共计80桶，单个废桶约为0.8kg，则废水性漆桶为0.064t/a，油性漆为桶装，单桶10kg，年用量2.8t，共计280桶，单个废桶约为1.5kg，则废油性漆桶为0.42t/a，稀释剂为桶装，单桶5kg，年用量0.4t，共计80桶，单个废桶约为0.5kg，则废稀释剂桶为0.04t/a，综上，废灰桶、废漆桶共计0.668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HW49，900-041-49，暂存在危废暂存间，定期交由有资质单位进行处置。</w:t>
            </w:r>
          </w:p>
          <w:p w14:paraId="1D41C24B">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(10)</w:t>
            </w:r>
            <w:r>
              <w:rPr>
                <w:b/>
                <w:bCs/>
                <w:color w:val="auto"/>
                <w:sz w:val="24"/>
              </w:rPr>
              <w:t>废漆渣</w:t>
            </w:r>
          </w:p>
          <w:p w14:paraId="222FEFC8">
            <w:pPr>
              <w:adjustRightInd w:val="0"/>
              <w:snapToGrid w:val="0"/>
              <w:spacing w:line="360" w:lineRule="auto"/>
              <w:ind w:firstLine="480" w:firstLineChars="200"/>
              <w:rPr>
                <w:color w:val="auto"/>
                <w:sz w:val="24"/>
              </w:rPr>
            </w:pPr>
            <w:r>
              <w:rPr>
                <w:color w:val="auto"/>
                <w:sz w:val="24"/>
              </w:rPr>
              <w:t>根据本报告废气污染源源强核算过程“一、木制组件生产工艺8、调漆喷漆、晾干废气”内容可知本项目水性漆废漆渣产生量为0.0</w:t>
            </w:r>
            <w:r>
              <w:rPr>
                <w:rFonts w:hint="eastAsia"/>
                <w:color w:val="auto"/>
                <w:sz w:val="24"/>
                <w:lang w:val="en-US" w:eastAsia="zh-CN"/>
              </w:rPr>
              <w:t>325</w:t>
            </w:r>
            <w:r>
              <w:rPr>
                <w:color w:val="auto"/>
                <w:sz w:val="24"/>
              </w:rPr>
              <w:t>t/a，油性漆废漆渣产生量为0.</w:t>
            </w:r>
            <w:r>
              <w:rPr>
                <w:rFonts w:hint="eastAsia"/>
                <w:color w:val="auto"/>
                <w:sz w:val="24"/>
                <w:lang w:val="en-US" w:eastAsia="zh-CN"/>
              </w:rPr>
              <w:t>2616</w:t>
            </w:r>
            <w:r>
              <w:rPr>
                <w:color w:val="auto"/>
                <w:sz w:val="24"/>
              </w:rPr>
              <w:t>t/a，共计</w:t>
            </w:r>
            <w:r>
              <w:rPr>
                <w:rFonts w:hint="eastAsia"/>
                <w:color w:val="auto"/>
                <w:sz w:val="24"/>
                <w:lang w:eastAsia="zh-CN"/>
              </w:rPr>
              <w:t>0.2941</w:t>
            </w:r>
            <w:r>
              <w:rPr>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HW12，900-252-12，暂存在危废暂存间，定期交由有资质单位进行处置。</w:t>
            </w:r>
          </w:p>
          <w:p w14:paraId="5747B77A">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(11)</w:t>
            </w:r>
            <w:r>
              <w:rPr>
                <w:b/>
                <w:bCs/>
                <w:color w:val="auto"/>
                <w:sz w:val="24"/>
              </w:rPr>
              <w:t>大理石废料</w:t>
            </w:r>
          </w:p>
          <w:p w14:paraId="2C5934A5">
            <w:pPr>
              <w:adjustRightInd w:val="0"/>
              <w:snapToGrid w:val="0"/>
              <w:spacing w:line="360" w:lineRule="auto"/>
              <w:ind w:firstLine="480" w:firstLineChars="200"/>
              <w:rPr>
                <w:b/>
                <w:bCs/>
                <w:color w:val="auto"/>
                <w:sz w:val="24"/>
              </w:rPr>
            </w:pPr>
            <w:r>
              <w:rPr>
                <w:color w:val="auto"/>
                <w:sz w:val="24"/>
              </w:rPr>
              <w:t>本项目涉及大理石加工工艺，因此过程中会产生大理石废边角料，根据企业</w:t>
            </w:r>
            <w:r>
              <w:rPr>
                <w:bCs/>
                <w:color w:val="auto"/>
                <w:sz w:val="24"/>
              </w:rPr>
              <w:t>经验以及</w:t>
            </w:r>
            <w:r>
              <w:rPr>
                <w:color w:val="auto"/>
                <w:sz w:val="24"/>
              </w:rPr>
              <w:t>以往工程经验，废料大约占原料的10%，企业年购置大理石约108t，则大理石废料产生量为10.8t/a，对照《固体废物分类与代码目录》，属于SW17，900-010-S17，</w:t>
            </w:r>
            <w:r>
              <w:rPr>
                <w:bCs/>
                <w:color w:val="auto"/>
                <w:sz w:val="24"/>
              </w:rPr>
              <w:t>收集后外售综合利用。</w:t>
            </w:r>
          </w:p>
          <w:p w14:paraId="27FB1983">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(12)</w:t>
            </w:r>
            <w:r>
              <w:rPr>
                <w:b/>
                <w:bCs/>
                <w:color w:val="auto"/>
                <w:sz w:val="24"/>
              </w:rPr>
              <w:t>废切割片</w:t>
            </w:r>
          </w:p>
          <w:p w14:paraId="34946D45">
            <w:pPr>
              <w:adjustRightInd w:val="0"/>
              <w:snapToGrid w:val="0"/>
              <w:spacing w:line="360" w:lineRule="auto"/>
              <w:ind w:firstLine="480" w:firstLineChars="200"/>
              <w:rPr>
                <w:color w:val="auto"/>
                <w:sz w:val="24"/>
              </w:rPr>
            </w:pPr>
            <w:r>
              <w:rPr>
                <w:color w:val="auto"/>
                <w:sz w:val="24"/>
              </w:rPr>
              <w:t>本项目涉及切割片的使用，切割片年用量1吨，单张切割片为5寸，约200g，共5000张，根据企业</w:t>
            </w:r>
            <w:r>
              <w:rPr>
                <w:bCs/>
                <w:color w:val="auto"/>
                <w:sz w:val="24"/>
              </w:rPr>
              <w:t>经验以及</w:t>
            </w:r>
            <w:r>
              <w:rPr>
                <w:color w:val="auto"/>
                <w:sz w:val="24"/>
              </w:rPr>
              <w:t>以往工程经验，切割片的磨损率约为20%，因此废切割片单张约200*（1</w:t>
            </w:r>
            <w:r>
              <w:rPr>
                <w:rFonts w:hint="eastAsia"/>
                <w:color w:val="auto"/>
                <w:sz w:val="24"/>
                <w:lang w:eastAsia="zh-CN"/>
              </w:rPr>
              <w:t>%～</w:t>
            </w:r>
            <w:r>
              <w:rPr>
                <w:color w:val="auto"/>
                <w:sz w:val="24"/>
              </w:rPr>
              <w:t>20%）=160g，则废切割片产生量为0.8t/a，对照《固体废物分类与代码目录》，属于SW59，900-099-S59，</w:t>
            </w:r>
            <w:r>
              <w:rPr>
                <w:bCs/>
                <w:color w:val="auto"/>
                <w:sz w:val="24"/>
              </w:rPr>
              <w:t>收集后外售综合利用。</w:t>
            </w:r>
          </w:p>
          <w:p w14:paraId="5D74EDDD">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(13)</w:t>
            </w:r>
            <w:r>
              <w:rPr>
                <w:b/>
                <w:bCs/>
                <w:color w:val="auto"/>
                <w:sz w:val="24"/>
              </w:rPr>
              <w:t>金属废边角料、碎屑、不合格品</w:t>
            </w:r>
          </w:p>
          <w:p w14:paraId="1154B851">
            <w:pPr>
              <w:adjustRightInd w:val="0"/>
              <w:snapToGrid w:val="0"/>
              <w:spacing w:line="360" w:lineRule="auto"/>
              <w:ind w:firstLine="480" w:firstLineChars="200"/>
              <w:rPr>
                <w:b/>
                <w:bCs/>
                <w:color w:val="auto"/>
                <w:sz w:val="24"/>
              </w:rPr>
            </w:pPr>
            <w:r>
              <w:rPr>
                <w:color w:val="auto"/>
                <w:sz w:val="24"/>
              </w:rPr>
              <w:t>本项目涉及金属加工工艺，在金属加工过程中会产生边角料、碎屑、不合格品等废物，根据企业提供资料，本项目年使用各类钢材合计350t，根据企业</w:t>
            </w:r>
            <w:r>
              <w:rPr>
                <w:bCs/>
                <w:color w:val="auto"/>
                <w:sz w:val="24"/>
              </w:rPr>
              <w:t>经验以及</w:t>
            </w:r>
            <w:r>
              <w:rPr>
                <w:color w:val="auto"/>
                <w:sz w:val="24"/>
              </w:rPr>
              <w:t>以往工程经验，边角料、碎屑产生量约为原料的0.5%，不合格品约占原料的0.2%，则金属废边角料、碎屑、不合格品产生量为350*（0.5%+0.2%）=2.45t/a，对照《固体废物分类与代码目录》，属于SW17，900-001-S17，</w:t>
            </w:r>
            <w:r>
              <w:rPr>
                <w:bCs/>
                <w:color w:val="auto"/>
                <w:sz w:val="24"/>
              </w:rPr>
              <w:t>收集后外售综合利用。</w:t>
            </w:r>
          </w:p>
          <w:p w14:paraId="26733367">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(14)</w:t>
            </w:r>
            <w:r>
              <w:rPr>
                <w:b/>
                <w:bCs/>
                <w:color w:val="auto"/>
                <w:sz w:val="24"/>
              </w:rPr>
              <w:t>废切削液</w:t>
            </w:r>
          </w:p>
          <w:p w14:paraId="6335BE34">
            <w:pPr>
              <w:adjustRightInd w:val="0"/>
              <w:snapToGrid w:val="0"/>
              <w:spacing w:line="360" w:lineRule="auto"/>
              <w:ind w:firstLine="480" w:firstLineChars="200"/>
              <w:rPr>
                <w:b/>
                <w:bCs/>
                <w:color w:val="auto"/>
                <w:sz w:val="24"/>
              </w:rPr>
            </w:pPr>
            <w:r>
              <w:rPr>
                <w:color w:val="auto"/>
                <w:sz w:val="24"/>
              </w:rPr>
              <w:t>本项目年使用切削液0.06t，</w:t>
            </w:r>
            <w:r>
              <w:rPr>
                <w:bCs/>
                <w:color w:val="auto"/>
                <w:sz w:val="24"/>
              </w:rPr>
              <w:t>根据企业经验以及</w:t>
            </w:r>
            <w:r>
              <w:rPr>
                <w:color w:val="auto"/>
                <w:sz w:val="24"/>
              </w:rPr>
              <w:t>以往工程经验，会有10%的折损，因此废切削液产生量为0.054t/a，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，属于HW09，900-006-09，暂存在危废暂存间，定期交由有资质单位进行处置。</w:t>
            </w:r>
          </w:p>
          <w:p w14:paraId="687ABE4D">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(15)</w:t>
            </w:r>
            <w:r>
              <w:rPr>
                <w:b/>
                <w:bCs/>
                <w:color w:val="auto"/>
                <w:sz w:val="24"/>
              </w:rPr>
              <w:t>废焊渣、废焊丝</w:t>
            </w:r>
          </w:p>
          <w:p w14:paraId="53B64E1B">
            <w:pPr>
              <w:adjustRightInd w:val="0"/>
              <w:snapToGrid w:val="0"/>
              <w:spacing w:line="360" w:lineRule="auto"/>
              <w:ind w:firstLine="480" w:firstLineChars="200"/>
              <w:rPr>
                <w:b/>
                <w:bCs/>
                <w:color w:val="auto"/>
                <w:sz w:val="24"/>
              </w:rPr>
            </w:pPr>
            <w:r>
              <w:rPr>
                <w:color w:val="auto"/>
                <w:sz w:val="24"/>
              </w:rPr>
              <w:t>根据《机加工行业环境影响评价中常见污染物源强估算及污染治理》（许海萍等，湖北大学学报，2010，32（3）</w:t>
            </w:r>
            <w:r>
              <w:rPr>
                <w:rFonts w:hint="eastAsia"/>
                <w:color w:val="auto"/>
                <w:sz w:val="24"/>
                <w:lang w:eastAsia="zh-CN"/>
              </w:rPr>
              <w:t>：</w:t>
            </w:r>
            <w:r>
              <w:rPr>
                <w:color w:val="auto"/>
                <w:sz w:val="24"/>
              </w:rPr>
              <w:t>344-348），焊渣、废焊丝产生量为焊材使用量*(1/11+4%)，本项目焊材总使用量为50kg/a，则焊渣、废焊丝产生量为0.00654t/a，对照《固体废物分类与代码目录》，属于SW59，900-099-S59，</w:t>
            </w:r>
            <w:r>
              <w:rPr>
                <w:bCs/>
                <w:color w:val="auto"/>
                <w:sz w:val="24"/>
              </w:rPr>
              <w:t>收集后外售综合利用。</w:t>
            </w:r>
          </w:p>
          <w:p w14:paraId="148548F8">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(16)</w:t>
            </w:r>
            <w:r>
              <w:rPr>
                <w:b/>
                <w:bCs/>
                <w:color w:val="auto"/>
                <w:sz w:val="24"/>
              </w:rPr>
              <w:t>喷涂渣</w:t>
            </w:r>
          </w:p>
          <w:p w14:paraId="3B887C8D">
            <w:pPr>
              <w:adjustRightInd w:val="0"/>
              <w:snapToGrid w:val="0"/>
              <w:spacing w:line="360" w:lineRule="auto"/>
              <w:ind w:firstLine="480" w:firstLineChars="200"/>
              <w:rPr>
                <w:color w:val="auto"/>
                <w:sz w:val="24"/>
              </w:rPr>
            </w:pPr>
            <w:r>
              <w:rPr>
                <w:color w:val="auto"/>
                <w:sz w:val="24"/>
              </w:rPr>
              <w:t>本项目喷塑挂架清理时产生废塑粉渣，类比久恩金属制品（江苏）有限公司项目验收可知，年使用450t塑粉，废塑粉渣产生量为0.82t/a，本项目年使用塑粉20t，则本项目废塑粉渣产生量约0.037t/a，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HW12，900-252-12，暂存在危废暂存间，定期交由有资质单位进行处置。</w:t>
            </w:r>
          </w:p>
          <w:p w14:paraId="0FA400A9">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(17)</w:t>
            </w:r>
            <w:r>
              <w:rPr>
                <w:b/>
                <w:bCs/>
                <w:color w:val="auto"/>
                <w:kern w:val="0"/>
                <w:sz w:val="24"/>
                <w:szCs w:val="20"/>
              </w:rPr>
              <w:t>废抹布</w:t>
            </w:r>
          </w:p>
          <w:p w14:paraId="69CAA375">
            <w:pPr>
              <w:adjustRightInd w:val="0"/>
              <w:snapToGrid w:val="0"/>
              <w:spacing w:line="360" w:lineRule="auto"/>
              <w:ind w:firstLine="480" w:firstLineChars="200"/>
              <w:rPr>
                <w:color w:val="auto"/>
                <w:sz w:val="24"/>
              </w:rPr>
            </w:pPr>
            <w:r>
              <w:rPr>
                <w:color w:val="auto"/>
                <w:sz w:val="24"/>
              </w:rPr>
              <w:t>本项目擦拭碳氢清洗剂的抹布年用量为200kg，因此废抹布量为200kg/a，对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HW49，900-041-49，暂存在危废暂存间，定期交由有资质单位进行处置。</w:t>
            </w:r>
          </w:p>
          <w:p w14:paraId="5C29C254">
            <w:pPr>
              <w:adjustRightInd w:val="0"/>
              <w:snapToGrid w:val="0"/>
              <w:spacing w:line="360" w:lineRule="auto"/>
              <w:ind w:firstLine="482" w:firstLineChars="200"/>
              <w:rPr>
                <w:color w:val="auto"/>
                <w:sz w:val="24"/>
              </w:rPr>
            </w:pPr>
            <w:r>
              <w:rPr>
                <w:rFonts w:hint="eastAsia"/>
                <w:b/>
                <w:bCs/>
                <w:color w:val="auto"/>
                <w:kern w:val="0"/>
                <w:sz w:val="24"/>
                <w:szCs w:val="20"/>
                <w:lang w:eastAsia="zh-CN"/>
              </w:rPr>
              <w:t>(18)</w:t>
            </w:r>
            <w:r>
              <w:rPr>
                <w:b/>
                <w:bCs/>
                <w:color w:val="auto"/>
                <w:kern w:val="0"/>
                <w:sz w:val="24"/>
                <w:szCs w:val="20"/>
              </w:rPr>
              <w:t>废布轮</w:t>
            </w:r>
          </w:p>
          <w:p w14:paraId="49A65471">
            <w:pPr>
              <w:adjustRightInd w:val="0"/>
              <w:snapToGrid w:val="0"/>
              <w:spacing w:line="360" w:lineRule="auto"/>
              <w:ind w:firstLine="480" w:firstLineChars="200"/>
              <w:rPr>
                <w:b/>
                <w:bCs/>
                <w:color w:val="auto"/>
                <w:sz w:val="24"/>
              </w:rPr>
            </w:pPr>
            <w:r>
              <w:rPr>
                <w:color w:val="auto"/>
                <w:sz w:val="24"/>
              </w:rPr>
              <w:t>本项目涉及抛光工艺使用抛光布轮和抛光麻布轮，根据企业提供资料，年用量合计2.2t，布轮使用过程中会有20%的损耗，因此废布轮产生量为2.2*（1</w:t>
            </w:r>
            <w:r>
              <w:rPr>
                <w:rFonts w:hint="eastAsia"/>
                <w:color w:val="auto"/>
                <w:sz w:val="24"/>
                <w:lang w:eastAsia="zh-CN"/>
              </w:rPr>
              <w:t>%～</w:t>
            </w:r>
            <w:r>
              <w:rPr>
                <w:color w:val="auto"/>
                <w:sz w:val="24"/>
              </w:rPr>
              <w:t>20%）=1.76t/a，对照《固体废物分类与代码目录》，属于SW59，900-099-S59，</w:t>
            </w:r>
            <w:r>
              <w:rPr>
                <w:bCs/>
                <w:color w:val="auto"/>
                <w:sz w:val="24"/>
              </w:rPr>
              <w:t>收集后外售综合利用。</w:t>
            </w:r>
          </w:p>
          <w:p w14:paraId="2E7230AF">
            <w:pPr>
              <w:adjustRightInd w:val="0"/>
              <w:snapToGrid w:val="0"/>
              <w:spacing w:line="360" w:lineRule="auto"/>
              <w:ind w:firstLine="482" w:firstLineChars="200"/>
              <w:rPr>
                <w:b/>
                <w:bCs/>
                <w:color w:val="auto"/>
                <w:sz w:val="24"/>
              </w:rPr>
            </w:pPr>
            <w:r>
              <w:rPr>
                <w:rFonts w:hint="eastAsia"/>
                <w:b/>
                <w:bCs/>
                <w:color w:val="auto"/>
                <w:kern w:val="0"/>
                <w:sz w:val="24"/>
                <w:szCs w:val="20"/>
                <w:lang w:eastAsia="zh-CN"/>
              </w:rPr>
              <w:t>(19)</w:t>
            </w:r>
            <w:r>
              <w:rPr>
                <w:b/>
                <w:bCs/>
                <w:color w:val="auto"/>
                <w:kern w:val="0"/>
                <w:sz w:val="24"/>
                <w:szCs w:val="20"/>
              </w:rPr>
              <w:t>废油墨、废油墨桶</w:t>
            </w:r>
          </w:p>
          <w:p w14:paraId="5A6673A8">
            <w:pPr>
              <w:adjustRightInd w:val="0"/>
              <w:snapToGrid w:val="0"/>
              <w:spacing w:line="360" w:lineRule="auto"/>
              <w:ind w:firstLine="480" w:firstLineChars="200"/>
              <w:rPr>
                <w:b/>
                <w:bCs/>
                <w:color w:val="auto"/>
                <w:sz w:val="24"/>
              </w:rPr>
            </w:pPr>
            <w:r>
              <w:rPr>
                <w:color w:val="auto"/>
                <w:sz w:val="24"/>
              </w:rPr>
              <w:t>本项目涉及油墨的使用，根据企业提供资料，废油墨产生量约为油墨使用量的0.5%，企业年使用油墨50kg，因此废油墨产生量为50*0.5%/1000=0.00025t/a，油墨桶采用10kg每桶装，总计5桶，单个废桶重量约0.5kg，则废油墨桶产生量为0.0025t/a，综上，对</w:t>
            </w:r>
            <w:r>
              <w:rPr>
                <w:color w:val="auto"/>
                <w:kern w:val="0"/>
                <w:sz w:val="24"/>
                <w:lang w:bidi="ar"/>
              </w:rPr>
              <w:t>照</w:t>
            </w:r>
            <w:r>
              <w:rPr>
                <w:rFonts w:hint="eastAsia"/>
                <w:color w:val="auto"/>
                <w:kern w:val="0"/>
                <w:sz w:val="24"/>
                <w:lang w:eastAsia="zh-CN" w:bidi="ar"/>
              </w:rPr>
              <w:t>《国家危险废物名录》（2025年）</w:t>
            </w:r>
            <w:r>
              <w:rPr>
                <w:color w:val="auto"/>
                <w:sz w:val="24"/>
              </w:rPr>
              <w:t>，废油墨属于</w:t>
            </w:r>
            <w:r>
              <w:rPr>
                <w:color w:val="auto"/>
                <w:kern w:val="0"/>
                <w:sz w:val="24"/>
                <w:lang w:bidi="ar"/>
              </w:rPr>
              <w:t>HW12，900-299-12，废油墨桶属于HW49，900-047-49，暂存在危废暂存间，定期交由有资质单位进行处置。</w:t>
            </w:r>
          </w:p>
          <w:p w14:paraId="1985B92F">
            <w:pPr>
              <w:adjustRightInd w:val="0"/>
              <w:snapToGrid w:val="0"/>
              <w:spacing w:line="360" w:lineRule="auto"/>
              <w:ind w:firstLine="482" w:firstLineChars="200"/>
              <w:rPr>
                <w:b/>
                <w:bCs/>
                <w:color w:val="auto"/>
                <w:sz w:val="24"/>
              </w:rPr>
            </w:pPr>
            <w:r>
              <w:rPr>
                <w:rFonts w:hint="eastAsia"/>
                <w:b/>
                <w:bCs/>
                <w:color w:val="auto"/>
                <w:sz w:val="24"/>
                <w:lang w:eastAsia="zh-CN"/>
              </w:rPr>
              <w:t>(20)</w:t>
            </w:r>
            <w:r>
              <w:rPr>
                <w:b/>
                <w:bCs/>
                <w:color w:val="auto"/>
                <w:sz w:val="24"/>
              </w:rPr>
              <w:t>废洗网水</w:t>
            </w:r>
          </w:p>
          <w:p w14:paraId="79232351">
            <w:pPr>
              <w:adjustRightInd w:val="0"/>
              <w:snapToGrid w:val="0"/>
              <w:spacing w:line="360" w:lineRule="auto"/>
              <w:ind w:firstLine="480" w:firstLineChars="200"/>
              <w:rPr>
                <w:b/>
                <w:bCs/>
                <w:color w:val="auto"/>
                <w:sz w:val="24"/>
              </w:rPr>
            </w:pPr>
            <w:r>
              <w:rPr>
                <w:color w:val="auto"/>
                <w:sz w:val="24"/>
              </w:rPr>
              <w:t>本项目涉及洗网水的使用，根据企业提供资料，损耗率为15%，年使用量400kg，因此废洗网水产生量为400*（1</w:t>
            </w:r>
            <w:r>
              <w:rPr>
                <w:rFonts w:hint="eastAsia"/>
                <w:color w:val="auto"/>
                <w:sz w:val="24"/>
                <w:lang w:eastAsia="zh-CN"/>
              </w:rPr>
              <w:t>%～</w:t>
            </w:r>
            <w:r>
              <w:rPr>
                <w:color w:val="auto"/>
                <w:sz w:val="24"/>
              </w:rPr>
              <w:t>15%）=340kg/a=0.34t/a，对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HW12，900-256-12，暂存在危废暂存间，定期交由有资质单位进行处置。</w:t>
            </w:r>
          </w:p>
          <w:p w14:paraId="28E104EF">
            <w:pPr>
              <w:adjustRightInd w:val="0"/>
              <w:snapToGrid w:val="0"/>
              <w:spacing w:line="360" w:lineRule="auto"/>
              <w:ind w:firstLine="482" w:firstLineChars="200"/>
              <w:rPr>
                <w:b/>
                <w:bCs/>
                <w:color w:val="auto"/>
                <w:sz w:val="24"/>
              </w:rPr>
            </w:pPr>
            <w:r>
              <w:rPr>
                <w:rFonts w:hint="eastAsia"/>
                <w:b/>
                <w:bCs/>
                <w:color w:val="auto"/>
                <w:sz w:val="24"/>
                <w:lang w:eastAsia="zh-CN"/>
              </w:rPr>
              <w:t>(21)</w:t>
            </w:r>
            <w:r>
              <w:rPr>
                <w:b/>
                <w:bCs/>
                <w:color w:val="auto"/>
                <w:sz w:val="24"/>
              </w:rPr>
              <w:t>废机油</w:t>
            </w:r>
          </w:p>
          <w:p w14:paraId="4E1EF172">
            <w:pPr>
              <w:adjustRightInd w:val="0"/>
              <w:snapToGrid w:val="0"/>
              <w:spacing w:line="360" w:lineRule="auto"/>
              <w:ind w:firstLine="480" w:firstLineChars="200"/>
              <w:rPr>
                <w:b/>
                <w:bCs/>
                <w:color w:val="auto"/>
                <w:sz w:val="24"/>
              </w:rPr>
            </w:pPr>
            <w:r>
              <w:rPr>
                <w:color w:val="auto"/>
                <w:sz w:val="24"/>
              </w:rPr>
              <w:t>本项目在机械设备维护产生废机油，使用过程中约有10%的损耗，机油年用量为0.1t/a，因此废机油产生量约为0.01t/a，对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HW12，900-214-08，暂存在危废暂存间，定期交由有资质单位进行处置。</w:t>
            </w:r>
          </w:p>
          <w:p w14:paraId="0985F719">
            <w:pPr>
              <w:adjustRightInd w:val="0"/>
              <w:snapToGrid w:val="0"/>
              <w:spacing w:line="360" w:lineRule="auto"/>
              <w:ind w:firstLine="482" w:firstLineChars="200"/>
              <w:rPr>
                <w:color w:val="auto"/>
                <w:sz w:val="24"/>
              </w:rPr>
            </w:pPr>
            <w:r>
              <w:rPr>
                <w:rFonts w:hint="eastAsia"/>
                <w:b/>
                <w:bCs/>
                <w:color w:val="auto"/>
                <w:sz w:val="24"/>
                <w:lang w:eastAsia="zh-CN"/>
              </w:rPr>
              <w:t>(22)</w:t>
            </w:r>
            <w:r>
              <w:rPr>
                <w:b/>
                <w:bCs/>
                <w:color w:val="auto"/>
                <w:sz w:val="24"/>
              </w:rPr>
              <w:t>废油桶</w:t>
            </w:r>
          </w:p>
          <w:p w14:paraId="13ACD728">
            <w:pPr>
              <w:adjustRightInd w:val="0"/>
              <w:snapToGrid w:val="0"/>
              <w:spacing w:line="360" w:lineRule="auto"/>
              <w:ind w:firstLine="480" w:firstLineChars="200"/>
              <w:rPr>
                <w:b/>
                <w:bCs/>
                <w:color w:val="auto"/>
                <w:sz w:val="24"/>
              </w:rPr>
            </w:pPr>
            <w:r>
              <w:rPr>
                <w:color w:val="auto"/>
                <w:sz w:val="24"/>
              </w:rPr>
              <w:t>本项目涉及机油、液压油的使用，机油单桶5kg，年使用100kg，共计20桶，空桶重0.8kg，则废机油桶产生量为0.016t/a，液压油单桶10kg，年使用100kg，共计10桶，空桶重1.2kg，则废液压油桶产生量为0.012t/a，综上，废油桶共计0.028t/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HW12，900-249-08，暂存在危废暂存间，定期交由有资质单位进行处置。</w:t>
            </w:r>
          </w:p>
          <w:p w14:paraId="173647D6">
            <w:pPr>
              <w:adjustRightInd w:val="0"/>
              <w:snapToGrid w:val="0"/>
              <w:spacing w:line="360" w:lineRule="auto"/>
              <w:ind w:firstLine="482" w:firstLineChars="200"/>
              <w:rPr>
                <w:b/>
                <w:bCs/>
                <w:color w:val="auto"/>
                <w:sz w:val="24"/>
              </w:rPr>
            </w:pPr>
            <w:r>
              <w:rPr>
                <w:rFonts w:hint="eastAsia"/>
                <w:b/>
                <w:bCs/>
                <w:color w:val="auto"/>
                <w:sz w:val="24"/>
                <w:lang w:eastAsia="zh-CN"/>
              </w:rPr>
              <w:t>(23)</w:t>
            </w:r>
            <w:r>
              <w:rPr>
                <w:b/>
                <w:bCs/>
                <w:color w:val="auto"/>
                <w:sz w:val="24"/>
              </w:rPr>
              <w:t>废过滤棉</w:t>
            </w:r>
          </w:p>
          <w:p w14:paraId="010D97B9">
            <w:pPr>
              <w:adjustRightInd w:val="0"/>
              <w:snapToGrid w:val="0"/>
              <w:spacing w:line="360" w:lineRule="auto"/>
              <w:ind w:firstLine="480" w:firstLineChars="200"/>
              <w:rPr>
                <w:b/>
                <w:bCs/>
                <w:color w:val="auto"/>
                <w:sz w:val="24"/>
              </w:rPr>
            </w:pPr>
            <w:r>
              <w:rPr>
                <w:color w:val="auto"/>
                <w:sz w:val="24"/>
              </w:rPr>
              <w:t>本项目喷漆颗粒物采用密闭负压收集+干式过滤器+二级活性炭处理，有组织漆雾颗粒物产生量为0.8938t/a，过滤棉处理效率以90%计，则过滤棉吸附颗粒物产生量为0.80442t/a，喷漆废气处理过程产生废过滤棉，类比同类项目，过滤棉使用量约为2.0t/a，则废过滤棉产生量为2.80442t/a，对</w:t>
            </w:r>
            <w:r>
              <w:rPr>
                <w:color w:val="auto"/>
                <w:kern w:val="0"/>
                <w:sz w:val="24"/>
                <w:lang w:bidi="ar"/>
              </w:rPr>
              <w:t>照</w:t>
            </w:r>
            <w:r>
              <w:rPr>
                <w:rFonts w:hint="eastAsia"/>
                <w:color w:val="auto"/>
                <w:kern w:val="0"/>
                <w:sz w:val="24"/>
                <w:lang w:eastAsia="zh-CN" w:bidi="ar"/>
              </w:rPr>
              <w:t>《国家危险废物名录》（2025年）</w:t>
            </w:r>
            <w:r>
              <w:rPr>
                <w:color w:val="auto"/>
                <w:sz w:val="24"/>
              </w:rPr>
              <w:t>，属于HW49，900-041-49，</w:t>
            </w:r>
            <w:r>
              <w:rPr>
                <w:color w:val="auto"/>
                <w:kern w:val="0"/>
                <w:sz w:val="24"/>
                <w:lang w:bidi="ar"/>
              </w:rPr>
              <w:t>暂存在危废暂存间，定期交由有资质单位进行处置</w:t>
            </w:r>
            <w:r>
              <w:rPr>
                <w:color w:val="auto"/>
                <w:sz w:val="24"/>
              </w:rPr>
              <w:t>。</w:t>
            </w:r>
          </w:p>
          <w:p w14:paraId="77F8BCE6">
            <w:pPr>
              <w:adjustRightInd w:val="0"/>
              <w:snapToGrid w:val="0"/>
              <w:spacing w:line="360" w:lineRule="auto"/>
              <w:ind w:firstLine="482" w:firstLineChars="200"/>
              <w:rPr>
                <w:b/>
                <w:bCs/>
                <w:color w:val="auto"/>
                <w:sz w:val="24"/>
              </w:rPr>
            </w:pPr>
            <w:r>
              <w:rPr>
                <w:rFonts w:hint="eastAsia"/>
                <w:b/>
                <w:bCs/>
                <w:color w:val="auto"/>
                <w:sz w:val="24"/>
                <w:lang w:eastAsia="zh-CN"/>
              </w:rPr>
              <w:t>(24)</w:t>
            </w:r>
            <w:r>
              <w:rPr>
                <w:b/>
                <w:bCs/>
                <w:color w:val="auto"/>
                <w:sz w:val="24"/>
              </w:rPr>
              <w:t>喷枪清洗废液</w:t>
            </w:r>
          </w:p>
          <w:p w14:paraId="5F7CF761">
            <w:pPr>
              <w:adjustRightInd w:val="0"/>
              <w:snapToGrid w:val="0"/>
              <w:spacing w:line="360" w:lineRule="auto"/>
              <w:ind w:firstLine="480" w:firstLineChars="200"/>
              <w:rPr>
                <w:b/>
                <w:bCs/>
                <w:color w:val="auto"/>
                <w:sz w:val="24"/>
              </w:rPr>
            </w:pPr>
            <w:r>
              <w:rPr>
                <w:color w:val="auto"/>
                <w:sz w:val="24"/>
              </w:rPr>
              <w:t>建设项目喷涂后需用清水清洗喷头。根据企业提供资料，喷头清洗用水量约为0.01t/次，每天清洗一次，则喷头清洗用水量约为3t/a，清洗过程中约有20%的损耗，80%进入危废，则清洗废液量为2.4t/a，对</w:t>
            </w:r>
            <w:r>
              <w:rPr>
                <w:color w:val="auto"/>
                <w:kern w:val="0"/>
                <w:sz w:val="24"/>
                <w:lang w:bidi="ar"/>
              </w:rPr>
              <w:t>照</w:t>
            </w:r>
            <w:r>
              <w:rPr>
                <w:rFonts w:hint="eastAsia"/>
                <w:color w:val="auto"/>
                <w:kern w:val="0"/>
                <w:sz w:val="24"/>
                <w:lang w:eastAsia="zh-CN" w:bidi="ar"/>
              </w:rPr>
              <w:t>《国家危险废物名录》（2025年）</w:t>
            </w:r>
            <w:r>
              <w:rPr>
                <w:color w:val="auto"/>
                <w:sz w:val="24"/>
              </w:rPr>
              <w:t>，属于HW12，900-252-12，</w:t>
            </w:r>
            <w:r>
              <w:rPr>
                <w:color w:val="auto"/>
                <w:kern w:val="0"/>
                <w:sz w:val="24"/>
                <w:lang w:bidi="ar"/>
              </w:rPr>
              <w:t>暂存在危废暂存间，定期交由有资质单位进行处置</w:t>
            </w:r>
            <w:r>
              <w:rPr>
                <w:color w:val="auto"/>
                <w:sz w:val="24"/>
              </w:rPr>
              <w:t>。</w:t>
            </w:r>
          </w:p>
          <w:p w14:paraId="21B11FEF">
            <w:pPr>
              <w:adjustRightInd w:val="0"/>
              <w:snapToGrid w:val="0"/>
              <w:spacing w:line="360" w:lineRule="auto"/>
              <w:ind w:firstLine="482" w:firstLineChars="200"/>
              <w:rPr>
                <w:b/>
                <w:bCs/>
                <w:color w:val="auto"/>
                <w:sz w:val="24"/>
              </w:rPr>
            </w:pPr>
            <w:r>
              <w:rPr>
                <w:rFonts w:hint="eastAsia"/>
                <w:b/>
                <w:bCs/>
                <w:color w:val="auto"/>
                <w:sz w:val="24"/>
                <w:lang w:eastAsia="zh-CN"/>
              </w:rPr>
              <w:t>(25)</w:t>
            </w:r>
            <w:r>
              <w:rPr>
                <w:b/>
                <w:bCs/>
                <w:color w:val="auto"/>
                <w:sz w:val="24"/>
              </w:rPr>
              <w:t>水幕帘废液</w:t>
            </w:r>
          </w:p>
          <w:p w14:paraId="73A845DB">
            <w:pPr>
              <w:adjustRightInd w:val="0"/>
              <w:snapToGrid w:val="0"/>
              <w:spacing w:line="360" w:lineRule="auto"/>
              <w:ind w:firstLine="480" w:firstLineChars="200"/>
              <w:rPr>
                <w:color w:val="auto"/>
              </w:rPr>
            </w:pPr>
            <w:r>
              <w:rPr>
                <w:color w:val="auto"/>
                <w:sz w:val="24"/>
              </w:rPr>
              <w:t>建设项目涉及湿式抛光工序设置环保湿式抛光一体机自带水帘幕柜收集池容量为0.3m</w:t>
            </w:r>
            <w:r>
              <w:rPr>
                <w:color w:val="auto"/>
                <w:sz w:val="24"/>
                <w:vertAlign w:val="superscript"/>
              </w:rPr>
              <w:t>3</w:t>
            </w:r>
            <w:r>
              <w:rPr>
                <w:color w:val="auto"/>
                <w:sz w:val="24"/>
              </w:rPr>
              <w:t>，水帘幕循环水量为180t/a，损耗量按循环水量的1%计为1.8t/a，每6个月更换一次，产生废液0.9t/次，年产生量为1.8t，对</w:t>
            </w:r>
            <w:r>
              <w:rPr>
                <w:color w:val="auto"/>
                <w:kern w:val="0"/>
                <w:sz w:val="24"/>
                <w:lang w:bidi="ar"/>
              </w:rPr>
              <w:t>照</w:t>
            </w:r>
            <w:r>
              <w:rPr>
                <w:rFonts w:hint="eastAsia"/>
                <w:color w:val="auto"/>
                <w:kern w:val="0"/>
                <w:sz w:val="24"/>
                <w:lang w:eastAsia="zh-CN" w:bidi="ar"/>
              </w:rPr>
              <w:t>《国家危险废物名录》（2025年）</w:t>
            </w:r>
            <w:r>
              <w:rPr>
                <w:color w:val="auto"/>
                <w:sz w:val="24"/>
              </w:rPr>
              <w:t>，属于HW12，900-252-12，</w:t>
            </w:r>
            <w:r>
              <w:rPr>
                <w:color w:val="auto"/>
                <w:kern w:val="0"/>
                <w:sz w:val="24"/>
                <w:lang w:bidi="ar"/>
              </w:rPr>
              <w:t>暂存在危废暂存间，定期交由有资质单位进行处置</w:t>
            </w:r>
            <w:r>
              <w:rPr>
                <w:color w:val="auto"/>
                <w:sz w:val="24"/>
              </w:rPr>
              <w:t>。</w:t>
            </w:r>
          </w:p>
          <w:p w14:paraId="7461E471">
            <w:pPr>
              <w:adjustRightInd w:val="0"/>
              <w:snapToGrid w:val="0"/>
              <w:spacing w:line="360" w:lineRule="auto"/>
              <w:ind w:firstLine="482" w:firstLineChars="200"/>
              <w:rPr>
                <w:b/>
                <w:bCs/>
                <w:color w:val="auto"/>
                <w:sz w:val="24"/>
              </w:rPr>
            </w:pPr>
            <w:r>
              <w:rPr>
                <w:b/>
                <w:bCs/>
                <w:color w:val="auto"/>
                <w:sz w:val="24"/>
              </w:rPr>
              <w:t>（26）生活垃圾</w:t>
            </w:r>
          </w:p>
          <w:p w14:paraId="5BE8B575">
            <w:pPr>
              <w:adjustRightInd w:val="0"/>
              <w:snapToGrid w:val="0"/>
              <w:spacing w:line="360" w:lineRule="auto"/>
              <w:ind w:firstLine="480" w:firstLineChars="200"/>
              <w:rPr>
                <w:bCs/>
                <w:color w:val="auto"/>
                <w:sz w:val="24"/>
              </w:rPr>
            </w:pPr>
            <w:r>
              <w:rPr>
                <w:bCs/>
                <w:color w:val="auto"/>
                <w:sz w:val="24"/>
              </w:rPr>
              <w:t>本项目共有员工300人，年工作300天</w:t>
            </w:r>
            <w:r>
              <w:rPr>
                <w:rFonts w:hint="eastAsia"/>
                <w:bCs/>
                <w:color w:val="auto"/>
                <w:sz w:val="24"/>
                <w:lang w:eastAsia="zh-CN"/>
              </w:rPr>
              <w:t>，</w:t>
            </w:r>
            <w:r>
              <w:rPr>
                <w:bCs/>
                <w:color w:val="auto"/>
                <w:kern w:val="0"/>
                <w:sz w:val="24"/>
                <w:szCs w:val="20"/>
              </w:rPr>
              <w:t>根据《城镇生活源产排污系数手册》，生活垃圾按0.42kg/人</w:t>
            </w:r>
            <w:r>
              <w:rPr>
                <w:color w:val="auto"/>
                <w:kern w:val="0"/>
                <w:sz w:val="24"/>
                <w:szCs w:val="20"/>
              </w:rPr>
              <w:t>·</w:t>
            </w:r>
            <w:r>
              <w:rPr>
                <w:bCs/>
                <w:color w:val="auto"/>
                <w:kern w:val="0"/>
                <w:sz w:val="24"/>
                <w:szCs w:val="20"/>
              </w:rPr>
              <w:t>d计算</w:t>
            </w:r>
            <w:r>
              <w:rPr>
                <w:color w:val="auto"/>
                <w:sz w:val="24"/>
              </w:rPr>
              <w:t>，则产生生活垃圾37.8t/a。</w:t>
            </w:r>
            <w:r>
              <w:rPr>
                <w:bCs/>
                <w:color w:val="auto"/>
                <w:sz w:val="24"/>
              </w:rPr>
              <w:t>由环卫部门统一清运。</w:t>
            </w:r>
          </w:p>
          <w:p w14:paraId="1489F7F2">
            <w:pPr>
              <w:adjustRightInd w:val="0"/>
              <w:snapToGrid w:val="0"/>
              <w:spacing w:line="360" w:lineRule="auto"/>
              <w:ind w:firstLine="482" w:firstLineChars="200"/>
              <w:rPr>
                <w:b/>
                <w:bCs/>
                <w:color w:val="auto"/>
                <w:sz w:val="24"/>
              </w:rPr>
            </w:pPr>
            <w:r>
              <w:rPr>
                <w:rFonts w:hint="eastAsia"/>
                <w:b/>
                <w:bCs/>
                <w:color w:val="auto"/>
                <w:sz w:val="24"/>
                <w:lang w:eastAsia="zh-CN"/>
              </w:rPr>
              <w:t>(27)</w:t>
            </w:r>
            <w:r>
              <w:rPr>
                <w:b/>
                <w:bCs/>
                <w:color w:val="auto"/>
                <w:sz w:val="24"/>
              </w:rPr>
              <w:t>化粪池污泥</w:t>
            </w:r>
          </w:p>
          <w:p w14:paraId="5148678A">
            <w:pPr>
              <w:widowControl/>
              <w:autoSpaceDE w:val="0"/>
              <w:autoSpaceDN w:val="0"/>
              <w:adjustRightInd w:val="0"/>
              <w:snapToGrid w:val="0"/>
              <w:spacing w:line="360" w:lineRule="auto"/>
              <w:ind w:firstLine="480" w:firstLineChars="200"/>
              <w:jc w:val="left"/>
              <w:rPr>
                <w:color w:val="auto"/>
                <w:sz w:val="24"/>
              </w:rPr>
            </w:pPr>
            <w:r>
              <w:rPr>
                <w:color w:val="auto"/>
                <w:sz w:val="24"/>
              </w:rPr>
              <w:t>根据《建筑给排水设计标准》（GB50015-2019），化粪池计算污泥量为0.3L/人•天，</w:t>
            </w:r>
            <w:r>
              <w:rPr>
                <w:color w:val="auto"/>
                <w:kern w:val="0"/>
                <w:sz w:val="24"/>
                <w:szCs w:val="20"/>
              </w:rPr>
              <w:t>项目职工300人，</w:t>
            </w:r>
            <w:r>
              <w:rPr>
                <w:bCs/>
                <w:color w:val="auto"/>
                <w:kern w:val="0"/>
                <w:sz w:val="24"/>
                <w:szCs w:val="20"/>
              </w:rPr>
              <w:t>年运营300d，</w:t>
            </w:r>
            <w:r>
              <w:rPr>
                <w:color w:val="auto"/>
                <w:sz w:val="24"/>
              </w:rPr>
              <w:t>则污泥产生量为27t/a，</w:t>
            </w:r>
            <w:r>
              <w:rPr>
                <w:bCs/>
                <w:color w:val="auto"/>
                <w:sz w:val="24"/>
              </w:rPr>
              <w:t>由环卫部门统一清运。</w:t>
            </w:r>
          </w:p>
          <w:p w14:paraId="641661D9">
            <w:pPr>
              <w:widowControl/>
              <w:adjustRightInd w:val="0"/>
              <w:snapToGrid w:val="0"/>
              <w:spacing w:line="360" w:lineRule="auto"/>
              <w:ind w:firstLine="480" w:firstLineChars="200"/>
              <w:jc w:val="left"/>
              <w:rPr>
                <w:color w:val="auto"/>
                <w:kern w:val="0"/>
                <w:sz w:val="24"/>
                <w:szCs w:val="20"/>
              </w:rPr>
            </w:pPr>
            <w:r>
              <w:rPr>
                <w:color w:val="auto"/>
                <w:kern w:val="0"/>
                <w:sz w:val="24"/>
                <w:szCs w:val="20"/>
              </w:rPr>
              <w:t>化粪池污泥量计算如下：</w:t>
            </w:r>
          </w:p>
          <w:p w14:paraId="55296891">
            <w:pPr>
              <w:pStyle w:val="73"/>
              <w:adjustRightInd w:val="0"/>
              <w:snapToGrid w:val="0"/>
              <w:ind w:firstLine="482"/>
              <w:jc w:val="center"/>
              <w:rPr>
                <w:rFonts w:ascii="Times New Roman" w:hAnsi="Times New Roman"/>
                <w:b/>
                <w:color w:val="auto"/>
              </w:rPr>
            </w:pPr>
            <w:r>
              <w:rPr>
                <w:rFonts w:ascii="Times New Roman" w:hAnsi="Times New Roman"/>
                <w:b/>
                <w:color w:val="auto"/>
              </w:rPr>
              <w:t>表4-26化粪池每人每日计算污泥量</w:t>
            </w:r>
            <w:r>
              <w:rPr>
                <w:rFonts w:ascii="Times New Roman" w:hAnsi="Times New Roman"/>
                <w:color w:val="auto"/>
                <w:sz w:val="21"/>
                <w:szCs w:val="21"/>
              </w:rPr>
              <w:t>单位</w:t>
            </w:r>
            <w:r>
              <w:rPr>
                <w:rFonts w:hint="eastAsia" w:ascii="Times New Roman" w:hAnsi="Times New Roman"/>
                <w:color w:val="auto"/>
                <w:sz w:val="21"/>
                <w:szCs w:val="21"/>
                <w:lang w:eastAsia="zh-CN"/>
              </w:rPr>
              <w:t>：</w:t>
            </w:r>
            <w:r>
              <w:rPr>
                <w:rFonts w:ascii="Times New Roman" w:hAnsi="Times New Roman"/>
                <w:color w:val="auto"/>
                <w:sz w:val="21"/>
                <w:szCs w:val="21"/>
              </w:rPr>
              <w:t>L</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12"/>
              <w:gridCol w:w="2829"/>
              <w:gridCol w:w="1993"/>
            </w:tblGrid>
            <w:tr w14:paraId="54D7E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264C28C1">
                  <w:pPr>
                    <w:pStyle w:val="73"/>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建筑物分类</w:t>
                  </w:r>
                </w:p>
              </w:tc>
              <w:tc>
                <w:tcPr>
                  <w:tcW w:w="1718" w:type="pct"/>
                  <w:vAlign w:val="center"/>
                </w:tcPr>
                <w:p w14:paraId="13EDD310">
                  <w:pPr>
                    <w:pStyle w:val="73"/>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生活污水与生活废水合流排入</w:t>
                  </w:r>
                </w:p>
              </w:tc>
              <w:tc>
                <w:tcPr>
                  <w:tcW w:w="1210" w:type="pct"/>
                  <w:vAlign w:val="center"/>
                </w:tcPr>
                <w:p w14:paraId="0A9A01DC">
                  <w:pPr>
                    <w:pStyle w:val="73"/>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生活污水单独排入</w:t>
                  </w:r>
                </w:p>
              </w:tc>
            </w:tr>
            <w:tr w14:paraId="0C29F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55F8759B">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有住宿的建筑物</w:t>
                  </w:r>
                </w:p>
              </w:tc>
              <w:tc>
                <w:tcPr>
                  <w:tcW w:w="1718" w:type="pct"/>
                  <w:vAlign w:val="center"/>
                </w:tcPr>
                <w:p w14:paraId="26DA2039">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0.7</w:t>
                  </w:r>
                </w:p>
              </w:tc>
              <w:tc>
                <w:tcPr>
                  <w:tcW w:w="1210" w:type="pct"/>
                  <w:vAlign w:val="center"/>
                </w:tcPr>
                <w:p w14:paraId="114B0E73">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0.4</w:t>
                  </w:r>
                </w:p>
              </w:tc>
            </w:tr>
            <w:tr w14:paraId="67638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54870819">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人员逗留时间＞4h，并≤10h的建筑物</w:t>
                  </w:r>
                </w:p>
              </w:tc>
              <w:tc>
                <w:tcPr>
                  <w:tcW w:w="1718" w:type="pct"/>
                  <w:vAlign w:val="center"/>
                </w:tcPr>
                <w:p w14:paraId="00CD6795">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0.3</w:t>
                  </w:r>
                </w:p>
              </w:tc>
              <w:tc>
                <w:tcPr>
                  <w:tcW w:w="1210" w:type="pct"/>
                  <w:vAlign w:val="center"/>
                </w:tcPr>
                <w:p w14:paraId="115EB3CE">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0.2</w:t>
                  </w:r>
                </w:p>
              </w:tc>
            </w:tr>
            <w:tr w14:paraId="296A9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538E3804">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人员逗留时间≤4h的建筑物</w:t>
                  </w:r>
                </w:p>
              </w:tc>
              <w:tc>
                <w:tcPr>
                  <w:tcW w:w="1718" w:type="pct"/>
                  <w:vAlign w:val="center"/>
                </w:tcPr>
                <w:p w14:paraId="422D8CBA">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0.1</w:t>
                  </w:r>
                </w:p>
              </w:tc>
              <w:tc>
                <w:tcPr>
                  <w:tcW w:w="1210" w:type="pct"/>
                  <w:vAlign w:val="center"/>
                </w:tcPr>
                <w:p w14:paraId="65CBCAC1">
                  <w:pPr>
                    <w:pStyle w:val="73"/>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0.07</w:t>
                  </w:r>
                </w:p>
              </w:tc>
            </w:tr>
          </w:tbl>
          <w:p w14:paraId="0DD13A03">
            <w:pPr>
              <w:autoSpaceDE w:val="0"/>
              <w:autoSpaceDN w:val="0"/>
              <w:adjustRightInd w:val="0"/>
              <w:snapToGrid w:val="0"/>
              <w:spacing w:line="360" w:lineRule="auto"/>
              <w:ind w:firstLine="480" w:firstLineChars="200"/>
              <w:rPr>
                <w:color w:val="auto"/>
                <w:sz w:val="24"/>
              </w:rPr>
            </w:pPr>
            <w:r>
              <w:rPr>
                <w:color w:val="auto"/>
                <w:sz w:val="24"/>
              </w:rPr>
              <w:t>根据《中华人民共和国固体废物污染环境防治法</w:t>
            </w:r>
            <w:r>
              <w:rPr>
                <w:rFonts w:hint="eastAsia"/>
                <w:color w:val="auto"/>
                <w:sz w:val="24"/>
                <w:lang w:eastAsia="zh-CN"/>
              </w:rPr>
              <w:t>》《</w:t>
            </w:r>
            <w:r>
              <w:rPr>
                <w:color w:val="auto"/>
                <w:sz w:val="24"/>
              </w:rPr>
              <w:t>固体废物鉴别标准通则》（GB34330-2017），对建设项目产生的物质（除目标产物，即产品和副产品外），依据产生来源、利用和处置过程鉴别是否属于固体废物，副产物属性判断见表4-27。</w:t>
            </w:r>
          </w:p>
          <w:p w14:paraId="15361B3C">
            <w:pPr>
              <w:numPr>
                <w:ilvl w:val="0"/>
                <w:numId w:val="0"/>
              </w:numPr>
              <w:autoSpaceDE w:val="0"/>
              <w:autoSpaceDN w:val="0"/>
              <w:adjustRightInd w:val="0"/>
              <w:snapToGrid w:val="0"/>
              <w:spacing w:line="360" w:lineRule="auto"/>
              <w:ind w:firstLine="482" w:firstLineChars="200"/>
              <w:rPr>
                <w:b/>
                <w:bCs/>
                <w:color w:val="auto"/>
                <w:sz w:val="24"/>
              </w:rPr>
            </w:pPr>
            <w:r>
              <w:rPr>
                <w:rFonts w:hint="eastAsia" w:cs="Times New Roman"/>
                <w:b/>
                <w:bCs/>
                <w:color w:val="auto"/>
                <w:kern w:val="2"/>
                <w:sz w:val="24"/>
                <w:szCs w:val="24"/>
                <w:lang w:val="en-US" w:eastAsia="zh-CN" w:bidi="ar-SA"/>
              </w:rPr>
              <w:t>(28)</w:t>
            </w:r>
            <w:r>
              <w:rPr>
                <w:b/>
                <w:bCs/>
                <w:color w:val="auto"/>
                <w:sz w:val="24"/>
              </w:rPr>
              <w:t>废包装袋</w:t>
            </w:r>
          </w:p>
          <w:p w14:paraId="3EEE68C4">
            <w:pPr>
              <w:autoSpaceDE w:val="0"/>
              <w:autoSpaceDN w:val="0"/>
              <w:adjustRightInd w:val="0"/>
              <w:snapToGrid w:val="0"/>
              <w:spacing w:line="360" w:lineRule="auto"/>
              <w:ind w:firstLine="480" w:firstLineChars="200"/>
              <w:rPr>
                <w:bCs/>
                <w:color w:val="auto"/>
                <w:sz w:val="24"/>
              </w:rPr>
            </w:pPr>
            <w:r>
              <w:rPr>
                <w:color w:val="auto"/>
                <w:sz w:val="24"/>
              </w:rPr>
              <w:t>根据企业现有项目验收经验，</w:t>
            </w:r>
            <w:r>
              <w:rPr>
                <w:rFonts w:hint="eastAsia"/>
                <w:color w:val="auto"/>
                <w:sz w:val="24"/>
              </w:rPr>
              <w:t>企业废包装袋为纸箱装原辅料使用后所剩余纸箱，根据第二章节表2-4原辅料消耗情况表可知，企业纸箱装原辅料共约46吨，纸箱约占总重量的0.5%，则废包装袋为46*0.5%=0.23t/a，</w:t>
            </w:r>
            <w:r>
              <w:rPr>
                <w:color w:val="auto"/>
                <w:sz w:val="24"/>
              </w:rPr>
              <w:t>对照《固体废物分类与代码目录》，属于SW17，900-00</w:t>
            </w:r>
            <w:r>
              <w:rPr>
                <w:rFonts w:hint="eastAsia"/>
                <w:color w:val="auto"/>
                <w:sz w:val="24"/>
              </w:rPr>
              <w:t>5</w:t>
            </w:r>
            <w:r>
              <w:rPr>
                <w:color w:val="auto"/>
                <w:sz w:val="24"/>
              </w:rPr>
              <w:t>-S17，</w:t>
            </w:r>
            <w:r>
              <w:rPr>
                <w:bCs/>
                <w:color w:val="auto"/>
                <w:sz w:val="24"/>
              </w:rPr>
              <w:t>收集后外售综合利用。</w:t>
            </w:r>
          </w:p>
          <w:p w14:paraId="36691EA3">
            <w:pPr>
              <w:numPr>
                <w:ilvl w:val="0"/>
                <w:numId w:val="0"/>
              </w:numPr>
              <w:autoSpaceDE w:val="0"/>
              <w:autoSpaceDN w:val="0"/>
              <w:adjustRightInd w:val="0"/>
              <w:snapToGrid w:val="0"/>
              <w:spacing w:line="360" w:lineRule="auto"/>
              <w:ind w:firstLine="482" w:firstLineChars="200"/>
              <w:rPr>
                <w:b/>
                <w:bCs/>
                <w:color w:val="auto"/>
                <w:sz w:val="24"/>
              </w:rPr>
            </w:pPr>
            <w:r>
              <w:rPr>
                <w:rFonts w:hint="eastAsia" w:cs="Times New Roman"/>
                <w:b/>
                <w:bCs/>
                <w:color w:val="auto"/>
                <w:kern w:val="2"/>
                <w:sz w:val="24"/>
                <w:szCs w:val="24"/>
                <w:lang w:val="en-US" w:eastAsia="zh-CN" w:bidi="ar-SA"/>
              </w:rPr>
              <w:t>(29)</w:t>
            </w:r>
            <w:r>
              <w:rPr>
                <w:b/>
                <w:bCs/>
                <w:color w:val="auto"/>
                <w:sz w:val="24"/>
              </w:rPr>
              <w:t>废</w:t>
            </w:r>
            <w:r>
              <w:rPr>
                <w:rFonts w:hint="eastAsia"/>
                <w:b/>
                <w:bCs/>
                <w:color w:val="auto"/>
                <w:sz w:val="24"/>
                <w:lang w:val="en-US" w:eastAsia="zh-CN"/>
              </w:rPr>
              <w:t>钢丸</w:t>
            </w:r>
          </w:p>
          <w:p w14:paraId="314D4AF1">
            <w:pPr>
              <w:numPr>
                <w:ilvl w:val="0"/>
                <w:numId w:val="0"/>
              </w:numPr>
              <w:autoSpaceDE w:val="0"/>
              <w:autoSpaceDN w:val="0"/>
              <w:adjustRightInd w:val="0"/>
              <w:snapToGrid w:val="0"/>
              <w:spacing w:line="360" w:lineRule="auto"/>
              <w:ind w:firstLine="480" w:firstLineChars="200"/>
              <w:rPr>
                <w:rFonts w:hint="default" w:eastAsia="宋体"/>
                <w:b/>
                <w:bCs/>
                <w:color w:val="auto"/>
                <w:sz w:val="24"/>
                <w:lang w:val="en-US" w:eastAsia="zh-CN"/>
              </w:rPr>
            </w:pPr>
            <w:r>
              <w:rPr>
                <w:color w:val="auto"/>
                <w:sz w:val="24"/>
              </w:rPr>
              <w:t>根据企业</w:t>
            </w:r>
            <w:r>
              <w:rPr>
                <w:rFonts w:hint="eastAsia"/>
                <w:color w:val="auto"/>
                <w:sz w:val="24"/>
                <w:lang w:val="en-US" w:eastAsia="zh-CN"/>
              </w:rPr>
              <w:t>工程</w:t>
            </w:r>
            <w:r>
              <w:rPr>
                <w:color w:val="auto"/>
                <w:sz w:val="24"/>
              </w:rPr>
              <w:t>经验</w:t>
            </w:r>
            <w:r>
              <w:rPr>
                <w:rFonts w:hint="eastAsia"/>
                <w:color w:val="auto"/>
                <w:sz w:val="24"/>
                <w:lang w:val="en-US" w:eastAsia="zh-CN"/>
              </w:rPr>
              <w:t>及抛丸机设备厂家提供数据</w:t>
            </w:r>
            <w:r>
              <w:rPr>
                <w:color w:val="auto"/>
                <w:sz w:val="24"/>
              </w:rPr>
              <w:t>，</w:t>
            </w:r>
            <w:r>
              <w:rPr>
                <w:rFonts w:hint="eastAsia"/>
                <w:color w:val="auto"/>
                <w:sz w:val="24"/>
              </w:rPr>
              <w:t>企业</w:t>
            </w:r>
            <w:r>
              <w:rPr>
                <w:rFonts w:hint="eastAsia"/>
                <w:color w:val="auto"/>
                <w:sz w:val="24"/>
                <w:lang w:val="en-US" w:eastAsia="zh-CN"/>
              </w:rPr>
              <w:t>抛丸工艺使用钢丸损耗率约为10%，企业钢丸年用量为48吨，因此废钢丸的产生量为48*10%=4.8t/a，对照</w:t>
            </w:r>
            <w:r>
              <w:rPr>
                <w:color w:val="auto"/>
                <w:sz w:val="24"/>
              </w:rPr>
              <w:t>《固体废物分类与代码目录》，属于SW17，900-00</w:t>
            </w:r>
            <w:r>
              <w:rPr>
                <w:rFonts w:hint="eastAsia"/>
                <w:color w:val="auto"/>
                <w:sz w:val="24"/>
                <w:lang w:val="en-US" w:eastAsia="zh-CN"/>
              </w:rPr>
              <w:t>1</w:t>
            </w:r>
            <w:r>
              <w:rPr>
                <w:color w:val="auto"/>
                <w:sz w:val="24"/>
              </w:rPr>
              <w:t>-S17，</w:t>
            </w:r>
            <w:r>
              <w:rPr>
                <w:bCs/>
                <w:color w:val="auto"/>
                <w:sz w:val="24"/>
              </w:rPr>
              <w:t>收集后外售综合利用。</w:t>
            </w:r>
          </w:p>
          <w:p w14:paraId="23038BAE">
            <w:pPr>
              <w:pStyle w:val="2"/>
              <w:rPr>
                <w:color w:val="auto"/>
              </w:rPr>
            </w:pPr>
          </w:p>
        </w:tc>
      </w:tr>
    </w:tbl>
    <w:p w14:paraId="4E971110">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2796"/>
      </w:tblGrid>
      <w:tr w14:paraId="45082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52" w:type="dxa"/>
            <w:tcBorders>
              <w:top w:val="single" w:color="FEFEFE" w:sz="8" w:space="0"/>
              <w:left w:val="single" w:color="FEFEFE" w:sz="8" w:space="0"/>
              <w:bottom w:val="single" w:color="FEFEFE" w:sz="8" w:space="0"/>
              <w:right w:val="single" w:color="FEFEFE" w:sz="8" w:space="0"/>
            </w:tcBorders>
            <w:shd w:val="clear" w:color="auto" w:fill="FEFEFE"/>
            <w:tcMar>
              <w:left w:w="28" w:type="dxa"/>
              <w:right w:w="28" w:type="dxa"/>
            </w:tcMar>
            <w:vAlign w:val="center"/>
          </w:tcPr>
          <w:p w14:paraId="70D858DF">
            <w:pPr>
              <w:adjustRightInd w:val="0"/>
              <w:snapToGrid w:val="0"/>
              <w:jc w:val="center"/>
              <w:rPr>
                <w:bCs/>
                <w:color w:val="auto"/>
                <w:szCs w:val="21"/>
              </w:rPr>
            </w:pPr>
            <w:r>
              <w:rPr>
                <w:bCs/>
                <w:color w:val="auto"/>
                <w:sz w:val="24"/>
              </w:rPr>
              <w:t>运营期环境影响和保护措施</w:t>
            </w:r>
          </w:p>
        </w:tc>
        <w:tc>
          <w:tcPr>
            <w:tcW w:w="12796" w:type="dxa"/>
            <w:tcBorders>
              <w:top w:val="single" w:color="FEFEFE" w:sz="8" w:space="0"/>
              <w:left w:val="single" w:color="FEFEFE" w:sz="8" w:space="0"/>
              <w:bottom w:val="single" w:color="FEFEFE" w:sz="8" w:space="0"/>
              <w:right w:val="single" w:color="FEFEFE" w:sz="8" w:space="0"/>
            </w:tcBorders>
            <w:shd w:val="clear" w:color="auto" w:fill="FEFEFE"/>
          </w:tcPr>
          <w:p w14:paraId="31C7422C">
            <w:pPr>
              <w:keepNext/>
              <w:adjustRightInd w:val="0"/>
              <w:snapToGrid w:val="0"/>
              <w:jc w:val="center"/>
              <w:rPr>
                <w:b/>
                <w:color w:val="auto"/>
                <w:szCs w:val="21"/>
              </w:rPr>
            </w:pPr>
            <w:r>
              <w:rPr>
                <w:b/>
                <w:color w:val="auto"/>
                <w:sz w:val="24"/>
              </w:rPr>
              <w:t>表4-2</w:t>
            </w:r>
            <w:r>
              <w:rPr>
                <w:rFonts w:hint="eastAsia"/>
                <w:b/>
                <w:color w:val="auto"/>
                <w:sz w:val="24"/>
              </w:rPr>
              <w:t>7</w:t>
            </w:r>
            <w:r>
              <w:rPr>
                <w:b/>
                <w:color w:val="auto"/>
                <w:sz w:val="24"/>
              </w:rPr>
              <w:t xml:space="preserve">  固体废物污染源源强核算结果及相关参数一览表</w:t>
            </w:r>
          </w:p>
          <w:tbl>
            <w:tblPr>
              <w:tblStyle w:val="89"/>
              <w:tblW w:w="493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6"/>
              <w:gridCol w:w="1559"/>
              <w:gridCol w:w="1482"/>
              <w:gridCol w:w="597"/>
              <w:gridCol w:w="2668"/>
              <w:gridCol w:w="1633"/>
              <w:gridCol w:w="1068"/>
              <w:gridCol w:w="809"/>
              <w:gridCol w:w="1920"/>
            </w:tblGrid>
            <w:tr w14:paraId="0585C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vMerge w:val="restart"/>
                  <w:tcBorders>
                    <w:top w:val="single" w:color="auto" w:sz="12" w:space="0"/>
                    <w:left w:val="nil"/>
                  </w:tcBorders>
                  <w:vAlign w:val="center"/>
                </w:tcPr>
                <w:p w14:paraId="605D8F83">
                  <w:pPr>
                    <w:pStyle w:val="906"/>
                    <w:spacing w:line="240" w:lineRule="auto"/>
                    <w:rPr>
                      <w:rFonts w:cs="Times New Roman"/>
                      <w:b/>
                      <w:color w:val="auto"/>
                      <w:sz w:val="21"/>
                    </w:rPr>
                  </w:pPr>
                  <w:r>
                    <w:rPr>
                      <w:rFonts w:cs="Times New Roman"/>
                      <w:b/>
                      <w:color w:val="auto"/>
                      <w:sz w:val="21"/>
                    </w:rPr>
                    <w:t>序号</w:t>
                  </w:r>
                </w:p>
              </w:tc>
              <w:tc>
                <w:tcPr>
                  <w:tcW w:w="1559" w:type="dxa"/>
                  <w:vMerge w:val="restart"/>
                  <w:tcBorders>
                    <w:top w:val="single" w:color="auto" w:sz="12" w:space="0"/>
                  </w:tcBorders>
                  <w:vAlign w:val="center"/>
                </w:tcPr>
                <w:p w14:paraId="3CBC705D">
                  <w:pPr>
                    <w:pStyle w:val="906"/>
                    <w:spacing w:line="240" w:lineRule="auto"/>
                    <w:rPr>
                      <w:rFonts w:cs="Times New Roman"/>
                      <w:b/>
                      <w:color w:val="auto"/>
                      <w:sz w:val="21"/>
                    </w:rPr>
                  </w:pPr>
                  <w:r>
                    <w:rPr>
                      <w:rFonts w:cs="Times New Roman"/>
                      <w:b/>
                      <w:color w:val="auto"/>
                      <w:sz w:val="21"/>
                    </w:rPr>
                    <w:t>固体废物名称</w:t>
                  </w:r>
                </w:p>
              </w:tc>
              <w:tc>
                <w:tcPr>
                  <w:tcW w:w="1482" w:type="dxa"/>
                  <w:vMerge w:val="restart"/>
                  <w:tcBorders>
                    <w:top w:val="single" w:color="auto" w:sz="12" w:space="0"/>
                  </w:tcBorders>
                  <w:vAlign w:val="center"/>
                </w:tcPr>
                <w:p w14:paraId="338219D0">
                  <w:pPr>
                    <w:pStyle w:val="906"/>
                    <w:spacing w:line="240" w:lineRule="auto"/>
                    <w:rPr>
                      <w:rFonts w:cs="Times New Roman"/>
                      <w:b/>
                      <w:color w:val="auto"/>
                      <w:sz w:val="21"/>
                    </w:rPr>
                  </w:pPr>
                  <w:r>
                    <w:rPr>
                      <w:rFonts w:cs="Times New Roman"/>
                      <w:b/>
                      <w:color w:val="auto"/>
                      <w:sz w:val="21"/>
                    </w:rPr>
                    <w:t>产生工序</w:t>
                  </w:r>
                </w:p>
              </w:tc>
              <w:tc>
                <w:tcPr>
                  <w:tcW w:w="597" w:type="dxa"/>
                  <w:vMerge w:val="restart"/>
                  <w:tcBorders>
                    <w:top w:val="single" w:color="auto" w:sz="12" w:space="0"/>
                  </w:tcBorders>
                  <w:vAlign w:val="center"/>
                </w:tcPr>
                <w:p w14:paraId="1876F5E9">
                  <w:pPr>
                    <w:pStyle w:val="906"/>
                    <w:spacing w:line="240" w:lineRule="auto"/>
                    <w:rPr>
                      <w:rFonts w:cs="Times New Roman"/>
                      <w:b/>
                      <w:color w:val="auto"/>
                      <w:sz w:val="21"/>
                    </w:rPr>
                  </w:pPr>
                  <w:r>
                    <w:rPr>
                      <w:rFonts w:cs="Times New Roman"/>
                      <w:b/>
                      <w:color w:val="auto"/>
                      <w:sz w:val="21"/>
                    </w:rPr>
                    <w:t>形态</w:t>
                  </w:r>
                </w:p>
              </w:tc>
              <w:tc>
                <w:tcPr>
                  <w:tcW w:w="2668" w:type="dxa"/>
                  <w:vMerge w:val="restart"/>
                  <w:tcBorders>
                    <w:top w:val="single" w:color="auto" w:sz="12" w:space="0"/>
                  </w:tcBorders>
                  <w:vAlign w:val="center"/>
                </w:tcPr>
                <w:p w14:paraId="78B49A9B">
                  <w:pPr>
                    <w:pStyle w:val="906"/>
                    <w:spacing w:line="240" w:lineRule="auto"/>
                    <w:rPr>
                      <w:rFonts w:cs="Times New Roman"/>
                      <w:b/>
                      <w:color w:val="auto"/>
                      <w:sz w:val="21"/>
                    </w:rPr>
                  </w:pPr>
                  <w:r>
                    <w:rPr>
                      <w:rFonts w:cs="Times New Roman"/>
                      <w:b/>
                      <w:color w:val="auto"/>
                      <w:sz w:val="21"/>
                    </w:rPr>
                    <w:t>主要成分</w:t>
                  </w:r>
                </w:p>
              </w:tc>
              <w:tc>
                <w:tcPr>
                  <w:tcW w:w="1633" w:type="dxa"/>
                  <w:vMerge w:val="restart"/>
                  <w:tcBorders>
                    <w:top w:val="single" w:color="auto" w:sz="12" w:space="0"/>
                  </w:tcBorders>
                  <w:vAlign w:val="center"/>
                </w:tcPr>
                <w:p w14:paraId="07F6979E">
                  <w:pPr>
                    <w:pStyle w:val="906"/>
                    <w:spacing w:line="240" w:lineRule="auto"/>
                    <w:rPr>
                      <w:rFonts w:cs="Times New Roman"/>
                      <w:b/>
                      <w:color w:val="auto"/>
                      <w:sz w:val="21"/>
                    </w:rPr>
                  </w:pPr>
                  <w:r>
                    <w:rPr>
                      <w:rFonts w:cs="Times New Roman"/>
                      <w:b/>
                      <w:color w:val="auto"/>
                      <w:sz w:val="21"/>
                    </w:rPr>
                    <w:t>预测产生量</w:t>
                  </w:r>
                  <w:r>
                    <w:rPr>
                      <w:rFonts w:hint="eastAsia" w:cs="Times New Roman"/>
                      <w:b/>
                      <w:color w:val="auto"/>
                      <w:sz w:val="21"/>
                      <w:lang w:eastAsia="zh-CN"/>
                    </w:rPr>
                    <w:t>（</w:t>
                  </w:r>
                  <w:r>
                    <w:rPr>
                      <w:rFonts w:cs="Times New Roman"/>
                      <w:b/>
                      <w:color w:val="auto"/>
                      <w:sz w:val="21"/>
                    </w:rPr>
                    <w:t>t/a</w:t>
                  </w:r>
                  <w:r>
                    <w:rPr>
                      <w:rFonts w:hint="eastAsia" w:cs="Times New Roman"/>
                      <w:b/>
                      <w:color w:val="auto"/>
                      <w:sz w:val="21"/>
                      <w:lang w:eastAsia="zh-CN"/>
                    </w:rPr>
                    <w:t>）</w:t>
                  </w:r>
                </w:p>
              </w:tc>
              <w:tc>
                <w:tcPr>
                  <w:tcW w:w="3798" w:type="dxa"/>
                  <w:gridSpan w:val="3"/>
                  <w:tcBorders>
                    <w:top w:val="single" w:color="auto" w:sz="12" w:space="0"/>
                    <w:right w:val="nil"/>
                  </w:tcBorders>
                  <w:vAlign w:val="center"/>
                </w:tcPr>
                <w:p w14:paraId="6D925B61">
                  <w:pPr>
                    <w:pStyle w:val="906"/>
                    <w:spacing w:line="240" w:lineRule="auto"/>
                    <w:rPr>
                      <w:rFonts w:cs="Times New Roman"/>
                      <w:b/>
                      <w:color w:val="auto"/>
                      <w:sz w:val="21"/>
                    </w:rPr>
                  </w:pPr>
                  <w:r>
                    <w:rPr>
                      <w:rFonts w:cs="Times New Roman"/>
                      <w:b/>
                      <w:color w:val="auto"/>
                      <w:sz w:val="21"/>
                    </w:rPr>
                    <w:t>种类判断</w:t>
                  </w:r>
                </w:p>
              </w:tc>
            </w:tr>
            <w:tr w14:paraId="7FCAD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vMerge w:val="continue"/>
                  <w:tcBorders>
                    <w:top w:val="single" w:color="auto" w:sz="4" w:space="0"/>
                    <w:left w:val="nil"/>
                    <w:bottom w:val="single" w:color="auto" w:sz="12" w:space="0"/>
                  </w:tcBorders>
                  <w:vAlign w:val="center"/>
                </w:tcPr>
                <w:p w14:paraId="47A5D7EC">
                  <w:pPr>
                    <w:pStyle w:val="906"/>
                    <w:spacing w:line="240" w:lineRule="auto"/>
                    <w:rPr>
                      <w:rFonts w:cs="Times New Roman"/>
                      <w:b/>
                      <w:color w:val="auto"/>
                      <w:sz w:val="21"/>
                    </w:rPr>
                  </w:pPr>
                </w:p>
              </w:tc>
              <w:tc>
                <w:tcPr>
                  <w:tcW w:w="1559" w:type="dxa"/>
                  <w:vMerge w:val="continue"/>
                  <w:tcBorders>
                    <w:top w:val="single" w:color="auto" w:sz="4" w:space="0"/>
                    <w:bottom w:val="single" w:color="auto" w:sz="12" w:space="0"/>
                  </w:tcBorders>
                  <w:vAlign w:val="center"/>
                </w:tcPr>
                <w:p w14:paraId="4B7FA623">
                  <w:pPr>
                    <w:pStyle w:val="906"/>
                    <w:spacing w:line="240" w:lineRule="auto"/>
                    <w:rPr>
                      <w:rFonts w:cs="Times New Roman"/>
                      <w:b/>
                      <w:color w:val="auto"/>
                      <w:sz w:val="21"/>
                    </w:rPr>
                  </w:pPr>
                </w:p>
              </w:tc>
              <w:tc>
                <w:tcPr>
                  <w:tcW w:w="1482" w:type="dxa"/>
                  <w:vMerge w:val="continue"/>
                  <w:tcBorders>
                    <w:top w:val="single" w:color="auto" w:sz="4" w:space="0"/>
                    <w:bottom w:val="single" w:color="auto" w:sz="12" w:space="0"/>
                  </w:tcBorders>
                  <w:vAlign w:val="center"/>
                </w:tcPr>
                <w:p w14:paraId="2C977B18">
                  <w:pPr>
                    <w:pStyle w:val="906"/>
                    <w:spacing w:line="240" w:lineRule="auto"/>
                    <w:rPr>
                      <w:rFonts w:cs="Times New Roman"/>
                      <w:b/>
                      <w:color w:val="auto"/>
                      <w:sz w:val="21"/>
                    </w:rPr>
                  </w:pPr>
                </w:p>
              </w:tc>
              <w:tc>
                <w:tcPr>
                  <w:tcW w:w="597" w:type="dxa"/>
                  <w:vMerge w:val="continue"/>
                  <w:tcBorders>
                    <w:top w:val="single" w:color="auto" w:sz="4" w:space="0"/>
                    <w:bottom w:val="single" w:color="auto" w:sz="12" w:space="0"/>
                  </w:tcBorders>
                  <w:vAlign w:val="center"/>
                </w:tcPr>
                <w:p w14:paraId="20589189">
                  <w:pPr>
                    <w:pStyle w:val="906"/>
                    <w:spacing w:line="240" w:lineRule="auto"/>
                    <w:rPr>
                      <w:rFonts w:cs="Times New Roman"/>
                      <w:b/>
                      <w:color w:val="auto"/>
                      <w:sz w:val="21"/>
                    </w:rPr>
                  </w:pPr>
                </w:p>
              </w:tc>
              <w:tc>
                <w:tcPr>
                  <w:tcW w:w="2668" w:type="dxa"/>
                  <w:vMerge w:val="continue"/>
                  <w:tcBorders>
                    <w:top w:val="single" w:color="auto" w:sz="4" w:space="0"/>
                    <w:bottom w:val="single" w:color="auto" w:sz="12" w:space="0"/>
                  </w:tcBorders>
                  <w:vAlign w:val="center"/>
                </w:tcPr>
                <w:p w14:paraId="34BB26EE">
                  <w:pPr>
                    <w:pStyle w:val="906"/>
                    <w:spacing w:line="240" w:lineRule="auto"/>
                    <w:rPr>
                      <w:rFonts w:cs="Times New Roman"/>
                      <w:b/>
                      <w:color w:val="auto"/>
                      <w:sz w:val="21"/>
                    </w:rPr>
                  </w:pPr>
                </w:p>
              </w:tc>
              <w:tc>
                <w:tcPr>
                  <w:tcW w:w="1633" w:type="dxa"/>
                  <w:vMerge w:val="continue"/>
                  <w:tcBorders>
                    <w:top w:val="single" w:color="auto" w:sz="4" w:space="0"/>
                    <w:bottom w:val="single" w:color="auto" w:sz="12" w:space="0"/>
                  </w:tcBorders>
                  <w:vAlign w:val="center"/>
                </w:tcPr>
                <w:p w14:paraId="30B8BA31">
                  <w:pPr>
                    <w:pStyle w:val="906"/>
                    <w:spacing w:line="240" w:lineRule="auto"/>
                    <w:rPr>
                      <w:rFonts w:cs="Times New Roman"/>
                      <w:b/>
                      <w:color w:val="auto"/>
                      <w:sz w:val="21"/>
                    </w:rPr>
                  </w:pPr>
                </w:p>
              </w:tc>
              <w:tc>
                <w:tcPr>
                  <w:tcW w:w="1069" w:type="dxa"/>
                  <w:tcBorders>
                    <w:top w:val="single" w:color="auto" w:sz="4" w:space="0"/>
                    <w:bottom w:val="single" w:color="auto" w:sz="12" w:space="0"/>
                  </w:tcBorders>
                  <w:vAlign w:val="center"/>
                </w:tcPr>
                <w:p w14:paraId="32755898">
                  <w:pPr>
                    <w:pStyle w:val="906"/>
                    <w:spacing w:line="240" w:lineRule="auto"/>
                    <w:rPr>
                      <w:rFonts w:cs="Times New Roman"/>
                      <w:b/>
                      <w:color w:val="auto"/>
                      <w:sz w:val="21"/>
                    </w:rPr>
                  </w:pPr>
                  <w:r>
                    <w:rPr>
                      <w:rFonts w:cs="Times New Roman"/>
                      <w:b/>
                      <w:color w:val="auto"/>
                      <w:sz w:val="21"/>
                    </w:rPr>
                    <w:t>固体废物</w:t>
                  </w:r>
                </w:p>
              </w:tc>
              <w:tc>
                <w:tcPr>
                  <w:tcW w:w="809" w:type="dxa"/>
                  <w:tcBorders>
                    <w:top w:val="single" w:color="auto" w:sz="4" w:space="0"/>
                    <w:bottom w:val="single" w:color="auto" w:sz="12" w:space="0"/>
                  </w:tcBorders>
                  <w:vAlign w:val="center"/>
                </w:tcPr>
                <w:p w14:paraId="21483D7C">
                  <w:pPr>
                    <w:pStyle w:val="906"/>
                    <w:spacing w:line="240" w:lineRule="auto"/>
                    <w:rPr>
                      <w:rFonts w:cs="Times New Roman"/>
                      <w:b/>
                      <w:color w:val="auto"/>
                      <w:sz w:val="21"/>
                    </w:rPr>
                  </w:pPr>
                  <w:r>
                    <w:rPr>
                      <w:rFonts w:cs="Times New Roman"/>
                      <w:b/>
                      <w:color w:val="auto"/>
                      <w:sz w:val="21"/>
                    </w:rPr>
                    <w:t>副产品</w:t>
                  </w:r>
                </w:p>
              </w:tc>
              <w:tc>
                <w:tcPr>
                  <w:tcW w:w="1920" w:type="dxa"/>
                  <w:tcBorders>
                    <w:top w:val="single" w:color="auto" w:sz="4" w:space="0"/>
                    <w:bottom w:val="single" w:color="auto" w:sz="12" w:space="0"/>
                    <w:right w:val="nil"/>
                  </w:tcBorders>
                  <w:vAlign w:val="center"/>
                </w:tcPr>
                <w:p w14:paraId="6EC6AE11">
                  <w:pPr>
                    <w:pStyle w:val="906"/>
                    <w:spacing w:line="240" w:lineRule="auto"/>
                    <w:rPr>
                      <w:rFonts w:cs="Times New Roman"/>
                      <w:b/>
                      <w:color w:val="auto"/>
                      <w:sz w:val="21"/>
                    </w:rPr>
                  </w:pPr>
                  <w:r>
                    <w:rPr>
                      <w:rFonts w:cs="Times New Roman"/>
                      <w:b/>
                      <w:color w:val="auto"/>
                      <w:sz w:val="21"/>
                    </w:rPr>
                    <w:t>判定依据</w:t>
                  </w:r>
                </w:p>
              </w:tc>
            </w:tr>
            <w:tr w14:paraId="443EB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14" w:hRule="atLeast"/>
              </w:trPr>
              <w:tc>
                <w:tcPr>
                  <w:tcW w:w="656" w:type="dxa"/>
                  <w:tcBorders>
                    <w:top w:val="single" w:color="auto" w:sz="12" w:space="0"/>
                    <w:left w:val="nil"/>
                  </w:tcBorders>
                  <w:vAlign w:val="center"/>
                </w:tcPr>
                <w:p w14:paraId="1714EA7E">
                  <w:pPr>
                    <w:pStyle w:val="906"/>
                    <w:spacing w:line="240" w:lineRule="auto"/>
                    <w:rPr>
                      <w:rFonts w:cs="Times New Roman"/>
                      <w:color w:val="auto"/>
                      <w:sz w:val="21"/>
                    </w:rPr>
                  </w:pPr>
                  <w:r>
                    <w:rPr>
                      <w:rFonts w:cs="Times New Roman"/>
                      <w:color w:val="auto"/>
                      <w:sz w:val="21"/>
                    </w:rPr>
                    <w:t>1</w:t>
                  </w:r>
                </w:p>
              </w:tc>
              <w:tc>
                <w:tcPr>
                  <w:tcW w:w="1559" w:type="dxa"/>
                  <w:tcBorders>
                    <w:top w:val="single" w:color="auto" w:sz="12" w:space="0"/>
                  </w:tcBorders>
                  <w:vAlign w:val="center"/>
                </w:tcPr>
                <w:p w14:paraId="131B6A5E">
                  <w:pPr>
                    <w:pStyle w:val="906"/>
                    <w:spacing w:line="240" w:lineRule="auto"/>
                    <w:rPr>
                      <w:rFonts w:cs="Times New Roman"/>
                      <w:color w:val="auto"/>
                    </w:rPr>
                  </w:pPr>
                  <w:r>
                    <w:rPr>
                      <w:rFonts w:cs="Times New Roman"/>
                      <w:color w:val="auto"/>
                      <w:sz w:val="21"/>
                    </w:rPr>
                    <w:t>废活性炭</w:t>
                  </w:r>
                </w:p>
              </w:tc>
              <w:tc>
                <w:tcPr>
                  <w:tcW w:w="1482" w:type="dxa"/>
                  <w:tcBorders>
                    <w:top w:val="single" w:color="auto" w:sz="12" w:space="0"/>
                  </w:tcBorders>
                  <w:vAlign w:val="center"/>
                </w:tcPr>
                <w:p w14:paraId="6B66FD60">
                  <w:pPr>
                    <w:pStyle w:val="906"/>
                    <w:spacing w:line="240" w:lineRule="auto"/>
                    <w:rPr>
                      <w:rFonts w:cs="Times New Roman"/>
                      <w:color w:val="auto"/>
                    </w:rPr>
                  </w:pPr>
                  <w:r>
                    <w:rPr>
                      <w:rFonts w:cs="Times New Roman"/>
                      <w:color w:val="auto"/>
                      <w:sz w:val="21"/>
                    </w:rPr>
                    <w:t>废气处理</w:t>
                  </w:r>
                </w:p>
              </w:tc>
              <w:tc>
                <w:tcPr>
                  <w:tcW w:w="597" w:type="dxa"/>
                  <w:tcBorders>
                    <w:top w:val="single" w:color="auto" w:sz="12" w:space="0"/>
                  </w:tcBorders>
                  <w:vAlign w:val="center"/>
                </w:tcPr>
                <w:p w14:paraId="7C7B793C">
                  <w:pPr>
                    <w:pStyle w:val="906"/>
                    <w:spacing w:line="240" w:lineRule="auto"/>
                    <w:rPr>
                      <w:rFonts w:cs="Times New Roman"/>
                      <w:color w:val="auto"/>
                      <w:sz w:val="21"/>
                    </w:rPr>
                  </w:pPr>
                  <w:r>
                    <w:rPr>
                      <w:rFonts w:cs="Times New Roman"/>
                      <w:color w:val="auto"/>
                      <w:sz w:val="21"/>
                    </w:rPr>
                    <w:t>固</w:t>
                  </w:r>
                </w:p>
              </w:tc>
              <w:tc>
                <w:tcPr>
                  <w:tcW w:w="2668" w:type="dxa"/>
                  <w:tcBorders>
                    <w:top w:val="single" w:color="auto" w:sz="12" w:space="0"/>
                  </w:tcBorders>
                  <w:vAlign w:val="center"/>
                </w:tcPr>
                <w:p w14:paraId="13009993">
                  <w:pPr>
                    <w:pStyle w:val="906"/>
                    <w:spacing w:line="240" w:lineRule="auto"/>
                    <w:rPr>
                      <w:rFonts w:cs="Times New Roman"/>
                      <w:color w:val="auto"/>
                      <w:sz w:val="21"/>
                    </w:rPr>
                  </w:pPr>
                  <w:r>
                    <w:rPr>
                      <w:rFonts w:cs="Times New Roman"/>
                      <w:color w:val="auto"/>
                      <w:sz w:val="21"/>
                    </w:rPr>
                    <w:t>废活性炭、有机物等</w:t>
                  </w:r>
                </w:p>
              </w:tc>
              <w:tc>
                <w:tcPr>
                  <w:tcW w:w="1633" w:type="dxa"/>
                  <w:tcBorders>
                    <w:top w:val="single" w:color="auto" w:sz="12" w:space="0"/>
                  </w:tcBorders>
                  <w:vAlign w:val="center"/>
                </w:tcPr>
                <w:p w14:paraId="1054BA0D">
                  <w:pPr>
                    <w:pStyle w:val="906"/>
                    <w:spacing w:line="240" w:lineRule="auto"/>
                    <w:rPr>
                      <w:rFonts w:hint="eastAsia" w:eastAsia="宋体" w:cs="Times New Roman"/>
                      <w:color w:val="auto"/>
                      <w:sz w:val="21"/>
                      <w:lang w:val="en-US" w:eastAsia="zh-CN"/>
                    </w:rPr>
                  </w:pPr>
                  <w:r>
                    <w:rPr>
                      <w:rFonts w:hint="eastAsia" w:cs="Times New Roman"/>
                      <w:color w:val="auto"/>
                      <w:sz w:val="21"/>
                      <w:lang w:val="en-US" w:eastAsia="zh-CN"/>
                    </w:rPr>
                    <w:t>28.90703</w:t>
                  </w:r>
                </w:p>
              </w:tc>
              <w:tc>
                <w:tcPr>
                  <w:tcW w:w="1069" w:type="dxa"/>
                  <w:tcBorders>
                    <w:top w:val="single" w:color="auto" w:sz="12" w:space="0"/>
                  </w:tcBorders>
                  <w:vAlign w:val="center"/>
                </w:tcPr>
                <w:p w14:paraId="69686AB1">
                  <w:pPr>
                    <w:pStyle w:val="906"/>
                    <w:spacing w:line="240" w:lineRule="auto"/>
                    <w:rPr>
                      <w:rFonts w:cs="Times New Roman"/>
                      <w:color w:val="auto"/>
                      <w:sz w:val="21"/>
                    </w:rPr>
                  </w:pPr>
                  <w:r>
                    <w:rPr>
                      <w:rFonts w:cs="Times New Roman"/>
                      <w:color w:val="auto"/>
                      <w:sz w:val="21"/>
                    </w:rPr>
                    <w:t>√</w:t>
                  </w:r>
                </w:p>
              </w:tc>
              <w:tc>
                <w:tcPr>
                  <w:tcW w:w="809" w:type="dxa"/>
                  <w:tcBorders>
                    <w:top w:val="single" w:color="auto" w:sz="12" w:space="0"/>
                  </w:tcBorders>
                  <w:vAlign w:val="center"/>
                </w:tcPr>
                <w:p w14:paraId="40601078">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restart"/>
                  <w:tcBorders>
                    <w:top w:val="single" w:color="auto" w:sz="12" w:space="0"/>
                    <w:right w:val="nil"/>
                  </w:tcBorders>
                  <w:vAlign w:val="center"/>
                </w:tcPr>
                <w:p w14:paraId="729F3035">
                  <w:pPr>
                    <w:pStyle w:val="906"/>
                    <w:spacing w:line="240" w:lineRule="auto"/>
                    <w:rPr>
                      <w:rFonts w:cs="Times New Roman"/>
                      <w:color w:val="auto"/>
                      <w:sz w:val="21"/>
                    </w:rPr>
                  </w:pPr>
                  <w:r>
                    <w:rPr>
                      <w:rFonts w:cs="Times New Roman"/>
                      <w:color w:val="auto"/>
                      <w:sz w:val="21"/>
                    </w:rPr>
                    <w:t>《固体废物鉴别标准通则》、(GB34330-2017)</w:t>
                  </w:r>
                </w:p>
                <w:p w14:paraId="53A6ECD0">
                  <w:pPr>
                    <w:pStyle w:val="906"/>
                    <w:spacing w:line="240" w:lineRule="auto"/>
                    <w:rPr>
                      <w:rFonts w:cs="Times New Roman"/>
                      <w:color w:val="auto"/>
                      <w:sz w:val="21"/>
                    </w:rPr>
                  </w:pPr>
                  <w:r>
                    <w:rPr>
                      <w:rFonts w:cs="Times New Roman"/>
                      <w:color w:val="auto"/>
                      <w:sz w:val="21"/>
                    </w:rPr>
                    <w:t>《国家危险废物名录》(2021年</w:t>
                  </w:r>
                  <w:r>
                    <w:rPr>
                      <w:rFonts w:hint="eastAsia" w:cs="Times New Roman"/>
                      <w:color w:val="auto"/>
                      <w:sz w:val="21"/>
                      <w:lang w:eastAsia="zh-CN"/>
                    </w:rPr>
                    <w:t>）</w:t>
                  </w:r>
                  <w:r>
                    <w:rPr>
                      <w:rFonts w:cs="Times New Roman"/>
                      <w:color w:val="auto"/>
                      <w:sz w:val="21"/>
                    </w:rPr>
                    <w:t>、</w:t>
                  </w:r>
                </w:p>
                <w:p w14:paraId="617DBFF2">
                  <w:pPr>
                    <w:pStyle w:val="906"/>
                    <w:spacing w:line="240" w:lineRule="auto"/>
                    <w:rPr>
                      <w:rFonts w:cs="Times New Roman"/>
                      <w:color w:val="auto"/>
                      <w:sz w:val="21"/>
                    </w:rPr>
                  </w:pPr>
                  <w:r>
                    <w:rPr>
                      <w:rFonts w:cs="Times New Roman"/>
                      <w:color w:val="auto"/>
                      <w:sz w:val="21"/>
                    </w:rPr>
                    <w:t>《危险废物鉴别标准通则》(GB5085.</w:t>
                  </w:r>
                  <w:r>
                    <w:rPr>
                      <w:rFonts w:hint="eastAsia" w:cs="Times New Roman"/>
                      <w:color w:val="auto"/>
                      <w:sz w:val="21"/>
                      <w:lang w:eastAsia="zh-CN"/>
                    </w:rPr>
                    <w:t>7)</w:t>
                  </w:r>
                  <w:r>
                    <w:rPr>
                      <w:rFonts w:cs="Times New Roman"/>
                      <w:color w:val="auto"/>
                      <w:sz w:val="21"/>
                    </w:rPr>
                    <w:t>《固体废物分类与代码目录2024版》</w:t>
                  </w:r>
                </w:p>
              </w:tc>
            </w:tr>
            <w:tr w14:paraId="383EF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5" w:hRule="atLeast"/>
              </w:trPr>
              <w:tc>
                <w:tcPr>
                  <w:tcW w:w="656" w:type="dxa"/>
                  <w:tcBorders>
                    <w:left w:val="nil"/>
                  </w:tcBorders>
                  <w:vAlign w:val="center"/>
                </w:tcPr>
                <w:p w14:paraId="3F241AEE">
                  <w:pPr>
                    <w:pStyle w:val="906"/>
                    <w:spacing w:line="240" w:lineRule="auto"/>
                    <w:rPr>
                      <w:rFonts w:cs="Times New Roman"/>
                      <w:color w:val="auto"/>
                      <w:sz w:val="21"/>
                    </w:rPr>
                  </w:pPr>
                  <w:r>
                    <w:rPr>
                      <w:rFonts w:cs="Times New Roman"/>
                      <w:color w:val="auto"/>
                      <w:sz w:val="21"/>
                    </w:rPr>
                    <w:t>2</w:t>
                  </w:r>
                </w:p>
              </w:tc>
              <w:tc>
                <w:tcPr>
                  <w:tcW w:w="1559" w:type="dxa"/>
                  <w:vAlign w:val="center"/>
                </w:tcPr>
                <w:p w14:paraId="6022D694">
                  <w:pPr>
                    <w:pStyle w:val="477"/>
                    <w:spacing w:after="0"/>
                    <w:rPr>
                      <w:color w:val="auto"/>
                      <w:kern w:val="0"/>
                      <w:szCs w:val="21"/>
                      <w:lang w:val="zh-CN"/>
                    </w:rPr>
                  </w:pPr>
                  <w:r>
                    <w:rPr>
                      <w:rFonts w:hint="eastAsia"/>
                      <w:color w:val="auto"/>
                      <w:kern w:val="0"/>
                      <w:szCs w:val="21"/>
                      <w:lang w:val="zh-CN"/>
                    </w:rPr>
                    <w:t>木材边角料、不合格品</w:t>
                  </w:r>
                </w:p>
              </w:tc>
              <w:tc>
                <w:tcPr>
                  <w:tcW w:w="1482" w:type="dxa"/>
                  <w:vAlign w:val="center"/>
                </w:tcPr>
                <w:p w14:paraId="40D751F2">
                  <w:pPr>
                    <w:pStyle w:val="477"/>
                    <w:spacing w:after="0"/>
                    <w:rPr>
                      <w:color w:val="auto"/>
                      <w:kern w:val="0"/>
                      <w:szCs w:val="21"/>
                    </w:rPr>
                  </w:pPr>
                  <w:r>
                    <w:rPr>
                      <w:rFonts w:hint="eastAsia"/>
                      <w:color w:val="auto"/>
                      <w:kern w:val="0"/>
                      <w:szCs w:val="21"/>
                    </w:rPr>
                    <w:t>木制组件生产</w:t>
                  </w:r>
                </w:p>
              </w:tc>
              <w:tc>
                <w:tcPr>
                  <w:tcW w:w="597" w:type="dxa"/>
                  <w:vAlign w:val="center"/>
                </w:tcPr>
                <w:p w14:paraId="1AF03F06">
                  <w:pPr>
                    <w:pStyle w:val="906"/>
                    <w:spacing w:line="240" w:lineRule="auto"/>
                    <w:rPr>
                      <w:rFonts w:cs="Times New Roman"/>
                      <w:color w:val="auto"/>
                      <w:sz w:val="21"/>
                    </w:rPr>
                  </w:pPr>
                  <w:r>
                    <w:rPr>
                      <w:rFonts w:cs="Times New Roman"/>
                      <w:color w:val="auto"/>
                      <w:sz w:val="21"/>
                    </w:rPr>
                    <w:t>固</w:t>
                  </w:r>
                </w:p>
              </w:tc>
              <w:tc>
                <w:tcPr>
                  <w:tcW w:w="2668" w:type="dxa"/>
                  <w:vAlign w:val="center"/>
                </w:tcPr>
                <w:p w14:paraId="6EE194D3">
                  <w:pPr>
                    <w:pStyle w:val="906"/>
                    <w:spacing w:line="240" w:lineRule="auto"/>
                    <w:rPr>
                      <w:rFonts w:cs="Times New Roman"/>
                      <w:color w:val="auto"/>
                      <w:sz w:val="21"/>
                    </w:rPr>
                  </w:pPr>
                  <w:r>
                    <w:rPr>
                      <w:rFonts w:hint="eastAsia" w:cs="Times New Roman"/>
                      <w:color w:val="auto"/>
                      <w:sz w:val="21"/>
                      <w:lang w:val="en-US"/>
                    </w:rPr>
                    <w:t>木材</w:t>
                  </w:r>
                </w:p>
              </w:tc>
              <w:tc>
                <w:tcPr>
                  <w:tcW w:w="1633" w:type="dxa"/>
                  <w:vAlign w:val="center"/>
                </w:tcPr>
                <w:p w14:paraId="79A91B6B">
                  <w:pPr>
                    <w:pStyle w:val="906"/>
                    <w:spacing w:line="240" w:lineRule="auto"/>
                    <w:rPr>
                      <w:rFonts w:cs="Times New Roman"/>
                      <w:color w:val="auto"/>
                      <w:sz w:val="21"/>
                      <w:lang w:val="en-US"/>
                    </w:rPr>
                  </w:pPr>
                  <w:r>
                    <w:rPr>
                      <w:rFonts w:hint="eastAsia" w:cs="Times New Roman"/>
                      <w:color w:val="auto"/>
                      <w:sz w:val="21"/>
                      <w:lang w:val="en-US"/>
                    </w:rPr>
                    <w:t>2.6</w:t>
                  </w:r>
                </w:p>
              </w:tc>
              <w:tc>
                <w:tcPr>
                  <w:tcW w:w="1069" w:type="dxa"/>
                  <w:vAlign w:val="center"/>
                </w:tcPr>
                <w:p w14:paraId="3C1963CD">
                  <w:pPr>
                    <w:pStyle w:val="906"/>
                    <w:spacing w:line="240" w:lineRule="auto"/>
                    <w:rPr>
                      <w:rFonts w:cs="Times New Roman"/>
                      <w:color w:val="auto"/>
                      <w:sz w:val="21"/>
                    </w:rPr>
                  </w:pPr>
                  <w:r>
                    <w:rPr>
                      <w:rFonts w:cs="Times New Roman"/>
                      <w:color w:val="auto"/>
                      <w:sz w:val="21"/>
                    </w:rPr>
                    <w:t>√</w:t>
                  </w:r>
                </w:p>
              </w:tc>
              <w:tc>
                <w:tcPr>
                  <w:tcW w:w="809" w:type="dxa"/>
                  <w:vAlign w:val="center"/>
                </w:tcPr>
                <w:p w14:paraId="2F5D083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F619315">
                  <w:pPr>
                    <w:pStyle w:val="73"/>
                    <w:spacing w:line="240" w:lineRule="auto"/>
                    <w:ind w:firstLine="0" w:firstLineChars="0"/>
                    <w:rPr>
                      <w:rFonts w:ascii="Times New Roman" w:hAnsi="Times New Roman"/>
                      <w:color w:val="auto"/>
                      <w:sz w:val="21"/>
                      <w:szCs w:val="21"/>
                    </w:rPr>
                  </w:pPr>
                </w:p>
              </w:tc>
            </w:tr>
            <w:tr w14:paraId="4CD92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6" w:hRule="atLeast"/>
              </w:trPr>
              <w:tc>
                <w:tcPr>
                  <w:tcW w:w="656" w:type="dxa"/>
                  <w:tcBorders>
                    <w:left w:val="nil"/>
                  </w:tcBorders>
                  <w:vAlign w:val="center"/>
                </w:tcPr>
                <w:p w14:paraId="09164141">
                  <w:pPr>
                    <w:pStyle w:val="906"/>
                    <w:spacing w:line="240" w:lineRule="auto"/>
                    <w:rPr>
                      <w:rFonts w:cs="Times New Roman"/>
                      <w:color w:val="auto"/>
                      <w:sz w:val="21"/>
                    </w:rPr>
                  </w:pPr>
                  <w:r>
                    <w:rPr>
                      <w:rFonts w:cs="Times New Roman"/>
                      <w:color w:val="auto"/>
                      <w:sz w:val="21"/>
                    </w:rPr>
                    <w:t>3</w:t>
                  </w:r>
                </w:p>
              </w:tc>
              <w:tc>
                <w:tcPr>
                  <w:tcW w:w="1559" w:type="dxa"/>
                  <w:vAlign w:val="center"/>
                </w:tcPr>
                <w:p w14:paraId="5FB5700A">
                  <w:pPr>
                    <w:spacing w:line="200" w:lineRule="atLeast"/>
                    <w:jc w:val="center"/>
                    <w:rPr>
                      <w:color w:val="auto"/>
                      <w:kern w:val="0"/>
                      <w:szCs w:val="21"/>
                      <w:lang w:val="zh-CN"/>
                    </w:rPr>
                  </w:pPr>
                  <w:r>
                    <w:rPr>
                      <w:rFonts w:hint="eastAsia"/>
                      <w:color w:val="auto"/>
                      <w:szCs w:val="21"/>
                    </w:rPr>
                    <w:t>废刀头</w:t>
                  </w:r>
                </w:p>
              </w:tc>
              <w:tc>
                <w:tcPr>
                  <w:tcW w:w="1482" w:type="dxa"/>
                  <w:vAlign w:val="center"/>
                </w:tcPr>
                <w:p w14:paraId="0D8F8777">
                  <w:pPr>
                    <w:spacing w:line="280" w:lineRule="exact"/>
                    <w:jc w:val="center"/>
                    <w:rPr>
                      <w:color w:val="auto"/>
                      <w:kern w:val="0"/>
                      <w:szCs w:val="21"/>
                    </w:rPr>
                  </w:pPr>
                  <w:r>
                    <w:rPr>
                      <w:rFonts w:hint="eastAsia"/>
                      <w:color w:val="auto"/>
                      <w:kern w:val="0"/>
                      <w:szCs w:val="21"/>
                    </w:rPr>
                    <w:t>下料、雕刻等工艺</w:t>
                  </w:r>
                </w:p>
              </w:tc>
              <w:tc>
                <w:tcPr>
                  <w:tcW w:w="597" w:type="dxa"/>
                  <w:vAlign w:val="center"/>
                </w:tcPr>
                <w:p w14:paraId="23981393">
                  <w:pPr>
                    <w:spacing w:line="280" w:lineRule="exact"/>
                    <w:jc w:val="center"/>
                    <w:rPr>
                      <w:color w:val="auto"/>
                    </w:rPr>
                  </w:pPr>
                  <w:r>
                    <w:rPr>
                      <w:color w:val="auto"/>
                      <w:szCs w:val="21"/>
                    </w:rPr>
                    <w:t>固</w:t>
                  </w:r>
                </w:p>
              </w:tc>
              <w:tc>
                <w:tcPr>
                  <w:tcW w:w="2668" w:type="dxa"/>
                  <w:vAlign w:val="center"/>
                </w:tcPr>
                <w:p w14:paraId="156F2E67">
                  <w:pPr>
                    <w:spacing w:line="280" w:lineRule="exact"/>
                    <w:jc w:val="center"/>
                    <w:rPr>
                      <w:color w:val="auto"/>
                    </w:rPr>
                  </w:pPr>
                  <w:r>
                    <w:rPr>
                      <w:rFonts w:hint="eastAsia"/>
                      <w:color w:val="auto"/>
                    </w:rPr>
                    <w:t>合金钢</w:t>
                  </w:r>
                </w:p>
              </w:tc>
              <w:tc>
                <w:tcPr>
                  <w:tcW w:w="1633" w:type="dxa"/>
                  <w:vAlign w:val="center"/>
                </w:tcPr>
                <w:p w14:paraId="66176359">
                  <w:pPr>
                    <w:spacing w:line="280" w:lineRule="exact"/>
                    <w:jc w:val="center"/>
                    <w:rPr>
                      <w:color w:val="auto"/>
                    </w:rPr>
                  </w:pPr>
                  <w:r>
                    <w:rPr>
                      <w:rFonts w:hint="eastAsia"/>
                      <w:color w:val="auto"/>
                      <w:szCs w:val="21"/>
                    </w:rPr>
                    <w:t>0.225</w:t>
                  </w:r>
                </w:p>
              </w:tc>
              <w:tc>
                <w:tcPr>
                  <w:tcW w:w="1069" w:type="dxa"/>
                  <w:vAlign w:val="center"/>
                </w:tcPr>
                <w:p w14:paraId="2BB9AA1C">
                  <w:pPr>
                    <w:pStyle w:val="906"/>
                    <w:spacing w:line="240" w:lineRule="auto"/>
                    <w:rPr>
                      <w:rFonts w:cs="Times New Roman"/>
                      <w:color w:val="auto"/>
                      <w:sz w:val="21"/>
                    </w:rPr>
                  </w:pPr>
                  <w:r>
                    <w:rPr>
                      <w:rFonts w:cs="Times New Roman"/>
                      <w:color w:val="auto"/>
                      <w:sz w:val="21"/>
                    </w:rPr>
                    <w:t>√</w:t>
                  </w:r>
                </w:p>
              </w:tc>
              <w:tc>
                <w:tcPr>
                  <w:tcW w:w="809" w:type="dxa"/>
                  <w:vAlign w:val="center"/>
                </w:tcPr>
                <w:p w14:paraId="6988E7F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EDAFD28">
                  <w:pPr>
                    <w:pStyle w:val="73"/>
                    <w:spacing w:line="240" w:lineRule="auto"/>
                    <w:ind w:firstLine="0" w:firstLineChars="0"/>
                    <w:rPr>
                      <w:rFonts w:ascii="Times New Roman" w:hAnsi="Times New Roman"/>
                      <w:color w:val="auto"/>
                      <w:sz w:val="21"/>
                      <w:szCs w:val="21"/>
                    </w:rPr>
                  </w:pPr>
                </w:p>
              </w:tc>
            </w:tr>
            <w:tr w14:paraId="38C20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58" w:hRule="atLeast"/>
              </w:trPr>
              <w:tc>
                <w:tcPr>
                  <w:tcW w:w="656" w:type="dxa"/>
                  <w:tcBorders>
                    <w:left w:val="nil"/>
                  </w:tcBorders>
                  <w:vAlign w:val="center"/>
                </w:tcPr>
                <w:p w14:paraId="628529F0">
                  <w:pPr>
                    <w:pStyle w:val="906"/>
                    <w:spacing w:line="240" w:lineRule="auto"/>
                    <w:rPr>
                      <w:rFonts w:cs="Times New Roman"/>
                      <w:color w:val="auto"/>
                      <w:sz w:val="21"/>
                      <w:lang w:val="en-US"/>
                    </w:rPr>
                  </w:pPr>
                  <w:r>
                    <w:rPr>
                      <w:rFonts w:hint="eastAsia" w:cs="Times New Roman"/>
                      <w:color w:val="auto"/>
                      <w:sz w:val="21"/>
                      <w:lang w:val="en-US"/>
                    </w:rPr>
                    <w:t>4</w:t>
                  </w:r>
                </w:p>
              </w:tc>
              <w:tc>
                <w:tcPr>
                  <w:tcW w:w="1559" w:type="dxa"/>
                  <w:vAlign w:val="center"/>
                </w:tcPr>
                <w:p w14:paraId="3A11BACE">
                  <w:pPr>
                    <w:spacing w:line="200" w:lineRule="atLeast"/>
                    <w:jc w:val="center"/>
                    <w:rPr>
                      <w:color w:val="auto"/>
                      <w:szCs w:val="21"/>
                    </w:rPr>
                  </w:pPr>
                  <w:r>
                    <w:rPr>
                      <w:rFonts w:hint="eastAsia"/>
                      <w:color w:val="auto"/>
                      <w:szCs w:val="21"/>
                    </w:rPr>
                    <w:t>废液压油</w:t>
                  </w:r>
                </w:p>
              </w:tc>
              <w:tc>
                <w:tcPr>
                  <w:tcW w:w="1482" w:type="dxa"/>
                  <w:vAlign w:val="center"/>
                </w:tcPr>
                <w:p w14:paraId="63EBD31C">
                  <w:pPr>
                    <w:spacing w:line="280" w:lineRule="exact"/>
                    <w:jc w:val="center"/>
                    <w:rPr>
                      <w:color w:val="auto"/>
                      <w:szCs w:val="21"/>
                    </w:rPr>
                  </w:pPr>
                  <w:r>
                    <w:rPr>
                      <w:rFonts w:hint="eastAsia"/>
                      <w:color w:val="auto"/>
                      <w:szCs w:val="21"/>
                    </w:rPr>
                    <w:t>液压系统</w:t>
                  </w:r>
                </w:p>
              </w:tc>
              <w:tc>
                <w:tcPr>
                  <w:tcW w:w="597" w:type="dxa"/>
                  <w:vAlign w:val="center"/>
                </w:tcPr>
                <w:p w14:paraId="745603FE">
                  <w:pPr>
                    <w:spacing w:line="280" w:lineRule="exact"/>
                    <w:jc w:val="center"/>
                    <w:rPr>
                      <w:color w:val="auto"/>
                      <w:szCs w:val="21"/>
                    </w:rPr>
                  </w:pPr>
                  <w:r>
                    <w:rPr>
                      <w:rFonts w:hint="eastAsia"/>
                      <w:color w:val="auto"/>
                      <w:szCs w:val="21"/>
                    </w:rPr>
                    <w:t>液</w:t>
                  </w:r>
                </w:p>
              </w:tc>
              <w:tc>
                <w:tcPr>
                  <w:tcW w:w="2668" w:type="dxa"/>
                  <w:vAlign w:val="center"/>
                </w:tcPr>
                <w:p w14:paraId="11F2BD77">
                  <w:pPr>
                    <w:spacing w:line="280" w:lineRule="exact"/>
                    <w:jc w:val="center"/>
                    <w:rPr>
                      <w:color w:val="auto"/>
                      <w:szCs w:val="21"/>
                    </w:rPr>
                  </w:pPr>
                  <w:r>
                    <w:rPr>
                      <w:rFonts w:hint="eastAsia"/>
                      <w:color w:val="auto"/>
                      <w:szCs w:val="21"/>
                    </w:rPr>
                    <w:t>废液压油</w:t>
                  </w:r>
                </w:p>
              </w:tc>
              <w:tc>
                <w:tcPr>
                  <w:tcW w:w="1633" w:type="dxa"/>
                  <w:vAlign w:val="center"/>
                </w:tcPr>
                <w:p w14:paraId="3E858D8A">
                  <w:pPr>
                    <w:spacing w:line="280" w:lineRule="exact"/>
                    <w:jc w:val="center"/>
                    <w:rPr>
                      <w:color w:val="auto"/>
                      <w:szCs w:val="21"/>
                    </w:rPr>
                  </w:pPr>
                  <w:r>
                    <w:rPr>
                      <w:rFonts w:hint="eastAsia"/>
                      <w:color w:val="auto"/>
                      <w:szCs w:val="21"/>
                    </w:rPr>
                    <w:t>0.08</w:t>
                  </w:r>
                </w:p>
              </w:tc>
              <w:tc>
                <w:tcPr>
                  <w:tcW w:w="1069" w:type="dxa"/>
                  <w:vAlign w:val="center"/>
                </w:tcPr>
                <w:p w14:paraId="7CEBED1E">
                  <w:pPr>
                    <w:pStyle w:val="906"/>
                    <w:spacing w:line="240" w:lineRule="auto"/>
                    <w:rPr>
                      <w:rFonts w:cs="Times New Roman"/>
                      <w:color w:val="auto"/>
                      <w:sz w:val="21"/>
                    </w:rPr>
                  </w:pPr>
                  <w:r>
                    <w:rPr>
                      <w:rFonts w:cs="Times New Roman"/>
                      <w:color w:val="auto"/>
                      <w:sz w:val="21"/>
                    </w:rPr>
                    <w:t>√</w:t>
                  </w:r>
                </w:p>
              </w:tc>
              <w:tc>
                <w:tcPr>
                  <w:tcW w:w="809" w:type="dxa"/>
                  <w:vAlign w:val="center"/>
                </w:tcPr>
                <w:p w14:paraId="49CEDEA7">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6C650F3">
                  <w:pPr>
                    <w:pStyle w:val="73"/>
                    <w:spacing w:line="240" w:lineRule="auto"/>
                    <w:ind w:firstLine="0" w:firstLineChars="0"/>
                    <w:rPr>
                      <w:rFonts w:ascii="Times New Roman" w:hAnsi="Times New Roman"/>
                      <w:color w:val="auto"/>
                      <w:sz w:val="21"/>
                      <w:szCs w:val="21"/>
                    </w:rPr>
                  </w:pPr>
                </w:p>
              </w:tc>
            </w:tr>
            <w:tr w14:paraId="48FF3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58" w:hRule="atLeast"/>
              </w:trPr>
              <w:tc>
                <w:tcPr>
                  <w:tcW w:w="656" w:type="dxa"/>
                  <w:tcBorders>
                    <w:left w:val="nil"/>
                  </w:tcBorders>
                  <w:vAlign w:val="center"/>
                </w:tcPr>
                <w:p w14:paraId="1B61F1BF">
                  <w:pPr>
                    <w:pStyle w:val="906"/>
                    <w:spacing w:line="240" w:lineRule="auto"/>
                    <w:rPr>
                      <w:rFonts w:cs="Times New Roman"/>
                      <w:color w:val="auto"/>
                      <w:sz w:val="21"/>
                      <w:lang w:val="en-US"/>
                    </w:rPr>
                  </w:pPr>
                  <w:r>
                    <w:rPr>
                      <w:rFonts w:hint="eastAsia" w:cs="Times New Roman"/>
                      <w:color w:val="auto"/>
                      <w:sz w:val="21"/>
                      <w:lang w:val="en-US"/>
                    </w:rPr>
                    <w:t>5</w:t>
                  </w:r>
                </w:p>
              </w:tc>
              <w:tc>
                <w:tcPr>
                  <w:tcW w:w="1559" w:type="dxa"/>
                  <w:vAlign w:val="center"/>
                </w:tcPr>
                <w:p w14:paraId="4EA9A8BF">
                  <w:pPr>
                    <w:spacing w:line="200" w:lineRule="atLeast"/>
                    <w:jc w:val="center"/>
                    <w:rPr>
                      <w:color w:val="auto"/>
                      <w:szCs w:val="21"/>
                    </w:rPr>
                  </w:pPr>
                  <w:r>
                    <w:rPr>
                      <w:rFonts w:hint="eastAsia"/>
                      <w:color w:val="auto"/>
                      <w:szCs w:val="21"/>
                    </w:rPr>
                    <w:t>废封边条</w:t>
                  </w:r>
                </w:p>
              </w:tc>
              <w:tc>
                <w:tcPr>
                  <w:tcW w:w="1482" w:type="dxa"/>
                  <w:vAlign w:val="center"/>
                </w:tcPr>
                <w:p w14:paraId="23E1C6F0">
                  <w:pPr>
                    <w:spacing w:line="280" w:lineRule="exact"/>
                    <w:jc w:val="center"/>
                    <w:rPr>
                      <w:color w:val="auto"/>
                      <w:szCs w:val="21"/>
                    </w:rPr>
                  </w:pPr>
                  <w:r>
                    <w:rPr>
                      <w:rFonts w:hint="eastAsia"/>
                      <w:color w:val="auto"/>
                      <w:szCs w:val="21"/>
                    </w:rPr>
                    <w:t>封边</w:t>
                  </w:r>
                </w:p>
              </w:tc>
              <w:tc>
                <w:tcPr>
                  <w:tcW w:w="597" w:type="dxa"/>
                  <w:vAlign w:val="center"/>
                </w:tcPr>
                <w:p w14:paraId="68E09AD6">
                  <w:pPr>
                    <w:spacing w:line="280" w:lineRule="exact"/>
                    <w:jc w:val="center"/>
                    <w:rPr>
                      <w:color w:val="auto"/>
                      <w:szCs w:val="21"/>
                    </w:rPr>
                  </w:pPr>
                  <w:r>
                    <w:rPr>
                      <w:color w:val="auto"/>
                      <w:szCs w:val="21"/>
                    </w:rPr>
                    <w:t>固</w:t>
                  </w:r>
                </w:p>
              </w:tc>
              <w:tc>
                <w:tcPr>
                  <w:tcW w:w="2668" w:type="dxa"/>
                  <w:vAlign w:val="center"/>
                </w:tcPr>
                <w:p w14:paraId="76EB168B">
                  <w:pPr>
                    <w:spacing w:line="280" w:lineRule="exact"/>
                    <w:jc w:val="center"/>
                    <w:rPr>
                      <w:color w:val="auto"/>
                      <w:szCs w:val="21"/>
                    </w:rPr>
                  </w:pPr>
                  <w:r>
                    <w:rPr>
                      <w:rFonts w:hint="eastAsia"/>
                      <w:color w:val="auto"/>
                      <w:szCs w:val="21"/>
                    </w:rPr>
                    <w:t>PVC</w:t>
                  </w:r>
                </w:p>
              </w:tc>
              <w:tc>
                <w:tcPr>
                  <w:tcW w:w="1633" w:type="dxa"/>
                  <w:vAlign w:val="center"/>
                </w:tcPr>
                <w:p w14:paraId="511ABD7F">
                  <w:pPr>
                    <w:spacing w:line="280" w:lineRule="exact"/>
                    <w:jc w:val="center"/>
                    <w:rPr>
                      <w:color w:val="auto"/>
                      <w:szCs w:val="21"/>
                    </w:rPr>
                  </w:pPr>
                  <w:r>
                    <w:rPr>
                      <w:rFonts w:hint="eastAsia"/>
                      <w:color w:val="auto"/>
                      <w:szCs w:val="21"/>
                    </w:rPr>
                    <w:t>0.0036</w:t>
                  </w:r>
                </w:p>
              </w:tc>
              <w:tc>
                <w:tcPr>
                  <w:tcW w:w="1069" w:type="dxa"/>
                  <w:vAlign w:val="center"/>
                </w:tcPr>
                <w:p w14:paraId="7D50B7A3">
                  <w:pPr>
                    <w:pStyle w:val="906"/>
                    <w:spacing w:line="240" w:lineRule="auto"/>
                    <w:rPr>
                      <w:rFonts w:cs="Times New Roman"/>
                      <w:color w:val="auto"/>
                      <w:sz w:val="21"/>
                    </w:rPr>
                  </w:pPr>
                  <w:r>
                    <w:rPr>
                      <w:rFonts w:cs="Times New Roman"/>
                      <w:color w:val="auto"/>
                      <w:sz w:val="21"/>
                    </w:rPr>
                    <w:t>√</w:t>
                  </w:r>
                </w:p>
              </w:tc>
              <w:tc>
                <w:tcPr>
                  <w:tcW w:w="809" w:type="dxa"/>
                  <w:vAlign w:val="center"/>
                </w:tcPr>
                <w:p w14:paraId="3B8F9C5C">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78E08FD">
                  <w:pPr>
                    <w:pStyle w:val="73"/>
                    <w:spacing w:line="240" w:lineRule="auto"/>
                    <w:ind w:firstLine="0" w:firstLineChars="0"/>
                    <w:rPr>
                      <w:rFonts w:ascii="Times New Roman" w:hAnsi="Times New Roman"/>
                      <w:color w:val="auto"/>
                      <w:sz w:val="21"/>
                      <w:szCs w:val="21"/>
                    </w:rPr>
                  </w:pPr>
                </w:p>
              </w:tc>
            </w:tr>
            <w:tr w14:paraId="016BA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87" w:hRule="atLeast"/>
              </w:trPr>
              <w:tc>
                <w:tcPr>
                  <w:tcW w:w="656" w:type="dxa"/>
                  <w:tcBorders>
                    <w:left w:val="nil"/>
                  </w:tcBorders>
                  <w:vAlign w:val="center"/>
                </w:tcPr>
                <w:p w14:paraId="64C44F00">
                  <w:pPr>
                    <w:pStyle w:val="906"/>
                    <w:spacing w:line="240" w:lineRule="auto"/>
                    <w:rPr>
                      <w:rFonts w:cs="Times New Roman"/>
                      <w:color w:val="auto"/>
                      <w:sz w:val="21"/>
                      <w:lang w:val="en-US"/>
                    </w:rPr>
                  </w:pPr>
                  <w:r>
                    <w:rPr>
                      <w:rFonts w:hint="eastAsia" w:cs="Times New Roman"/>
                      <w:color w:val="auto"/>
                      <w:sz w:val="21"/>
                      <w:lang w:val="en-US"/>
                    </w:rPr>
                    <w:t>6</w:t>
                  </w:r>
                </w:p>
              </w:tc>
              <w:tc>
                <w:tcPr>
                  <w:tcW w:w="1559" w:type="dxa"/>
                  <w:vAlign w:val="center"/>
                </w:tcPr>
                <w:p w14:paraId="0C721B83">
                  <w:pPr>
                    <w:spacing w:line="200" w:lineRule="atLeast"/>
                    <w:jc w:val="center"/>
                    <w:rPr>
                      <w:color w:val="auto"/>
                      <w:szCs w:val="21"/>
                    </w:rPr>
                  </w:pPr>
                  <w:r>
                    <w:rPr>
                      <w:rFonts w:hint="eastAsia"/>
                      <w:color w:val="auto"/>
                      <w:szCs w:val="21"/>
                    </w:rPr>
                    <w:t>废木皮</w:t>
                  </w:r>
                </w:p>
              </w:tc>
              <w:tc>
                <w:tcPr>
                  <w:tcW w:w="1482" w:type="dxa"/>
                  <w:vAlign w:val="center"/>
                </w:tcPr>
                <w:p w14:paraId="6111527F">
                  <w:pPr>
                    <w:spacing w:line="280" w:lineRule="exact"/>
                    <w:jc w:val="center"/>
                    <w:rPr>
                      <w:color w:val="auto"/>
                      <w:szCs w:val="21"/>
                    </w:rPr>
                  </w:pPr>
                  <w:r>
                    <w:rPr>
                      <w:rFonts w:hint="eastAsia"/>
                      <w:color w:val="auto"/>
                      <w:szCs w:val="21"/>
                    </w:rPr>
                    <w:t>贴皮</w:t>
                  </w:r>
                </w:p>
              </w:tc>
              <w:tc>
                <w:tcPr>
                  <w:tcW w:w="597" w:type="dxa"/>
                  <w:vAlign w:val="center"/>
                </w:tcPr>
                <w:p w14:paraId="0E2312BD">
                  <w:pPr>
                    <w:spacing w:line="280" w:lineRule="exact"/>
                    <w:jc w:val="center"/>
                    <w:rPr>
                      <w:color w:val="auto"/>
                      <w:szCs w:val="21"/>
                    </w:rPr>
                  </w:pPr>
                  <w:r>
                    <w:rPr>
                      <w:rFonts w:hint="eastAsia"/>
                      <w:color w:val="auto"/>
                      <w:szCs w:val="21"/>
                    </w:rPr>
                    <w:t>固</w:t>
                  </w:r>
                </w:p>
              </w:tc>
              <w:tc>
                <w:tcPr>
                  <w:tcW w:w="2668" w:type="dxa"/>
                  <w:vAlign w:val="center"/>
                </w:tcPr>
                <w:p w14:paraId="74BDCC01">
                  <w:pPr>
                    <w:spacing w:line="280" w:lineRule="exact"/>
                    <w:jc w:val="center"/>
                    <w:rPr>
                      <w:color w:val="auto"/>
                      <w:szCs w:val="21"/>
                    </w:rPr>
                  </w:pPr>
                  <w:r>
                    <w:rPr>
                      <w:rFonts w:hint="eastAsia"/>
                      <w:color w:val="auto"/>
                      <w:szCs w:val="21"/>
                    </w:rPr>
                    <w:t>木材</w:t>
                  </w:r>
                </w:p>
              </w:tc>
              <w:tc>
                <w:tcPr>
                  <w:tcW w:w="1633" w:type="dxa"/>
                  <w:vAlign w:val="center"/>
                </w:tcPr>
                <w:p w14:paraId="435018A5">
                  <w:pPr>
                    <w:spacing w:line="280" w:lineRule="exact"/>
                    <w:jc w:val="center"/>
                    <w:rPr>
                      <w:color w:val="auto"/>
                      <w:szCs w:val="21"/>
                    </w:rPr>
                  </w:pPr>
                  <w:r>
                    <w:rPr>
                      <w:rFonts w:hint="eastAsia"/>
                      <w:color w:val="auto"/>
                      <w:szCs w:val="21"/>
                    </w:rPr>
                    <w:t>0.01</w:t>
                  </w:r>
                </w:p>
              </w:tc>
              <w:tc>
                <w:tcPr>
                  <w:tcW w:w="1069" w:type="dxa"/>
                  <w:vAlign w:val="center"/>
                </w:tcPr>
                <w:p w14:paraId="4C14F6C1">
                  <w:pPr>
                    <w:pStyle w:val="906"/>
                    <w:spacing w:line="240" w:lineRule="auto"/>
                    <w:rPr>
                      <w:rFonts w:cs="Times New Roman"/>
                      <w:color w:val="auto"/>
                      <w:sz w:val="21"/>
                    </w:rPr>
                  </w:pPr>
                  <w:r>
                    <w:rPr>
                      <w:rFonts w:cs="Times New Roman"/>
                      <w:color w:val="auto"/>
                      <w:sz w:val="21"/>
                    </w:rPr>
                    <w:t>√</w:t>
                  </w:r>
                </w:p>
              </w:tc>
              <w:tc>
                <w:tcPr>
                  <w:tcW w:w="809" w:type="dxa"/>
                  <w:vAlign w:val="center"/>
                </w:tcPr>
                <w:p w14:paraId="701E1DD0">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77023AB">
                  <w:pPr>
                    <w:pStyle w:val="73"/>
                    <w:spacing w:line="240" w:lineRule="auto"/>
                    <w:ind w:firstLine="0" w:firstLineChars="0"/>
                    <w:rPr>
                      <w:rFonts w:ascii="Times New Roman" w:hAnsi="Times New Roman"/>
                      <w:color w:val="auto"/>
                      <w:sz w:val="21"/>
                      <w:szCs w:val="21"/>
                    </w:rPr>
                  </w:pPr>
                </w:p>
              </w:tc>
            </w:tr>
            <w:tr w14:paraId="35D74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6AE1CAC8">
                  <w:pPr>
                    <w:pStyle w:val="906"/>
                    <w:spacing w:line="240" w:lineRule="auto"/>
                    <w:rPr>
                      <w:rFonts w:cs="Times New Roman"/>
                      <w:color w:val="auto"/>
                      <w:sz w:val="21"/>
                      <w:lang w:val="en-US"/>
                    </w:rPr>
                  </w:pPr>
                  <w:r>
                    <w:rPr>
                      <w:rFonts w:hint="eastAsia" w:cs="Times New Roman"/>
                      <w:color w:val="auto"/>
                      <w:sz w:val="21"/>
                      <w:lang w:val="en-US"/>
                    </w:rPr>
                    <w:t>7</w:t>
                  </w:r>
                </w:p>
              </w:tc>
              <w:tc>
                <w:tcPr>
                  <w:tcW w:w="1559" w:type="dxa"/>
                  <w:vAlign w:val="center"/>
                </w:tcPr>
                <w:p w14:paraId="2B748940">
                  <w:pPr>
                    <w:spacing w:line="200" w:lineRule="atLeast"/>
                    <w:jc w:val="center"/>
                    <w:rPr>
                      <w:color w:val="auto"/>
                      <w:szCs w:val="21"/>
                    </w:rPr>
                  </w:pPr>
                  <w:r>
                    <w:rPr>
                      <w:rFonts w:hint="eastAsia"/>
                      <w:color w:val="auto"/>
                      <w:szCs w:val="21"/>
                    </w:rPr>
                    <w:t>废胶桶、废胶瓶</w:t>
                  </w:r>
                </w:p>
              </w:tc>
              <w:tc>
                <w:tcPr>
                  <w:tcW w:w="1482" w:type="dxa"/>
                  <w:vAlign w:val="center"/>
                </w:tcPr>
                <w:p w14:paraId="62BB5FE0">
                  <w:pPr>
                    <w:spacing w:line="280" w:lineRule="exact"/>
                    <w:jc w:val="center"/>
                    <w:rPr>
                      <w:color w:val="auto"/>
                      <w:szCs w:val="21"/>
                    </w:rPr>
                  </w:pPr>
                  <w:r>
                    <w:rPr>
                      <w:rFonts w:hint="eastAsia"/>
                      <w:color w:val="auto"/>
                      <w:szCs w:val="21"/>
                    </w:rPr>
                    <w:t>用胶工艺</w:t>
                  </w:r>
                </w:p>
              </w:tc>
              <w:tc>
                <w:tcPr>
                  <w:tcW w:w="597" w:type="dxa"/>
                  <w:vAlign w:val="center"/>
                </w:tcPr>
                <w:p w14:paraId="59CB56B8">
                  <w:pPr>
                    <w:spacing w:line="280" w:lineRule="exact"/>
                    <w:jc w:val="center"/>
                    <w:rPr>
                      <w:color w:val="auto"/>
                      <w:szCs w:val="21"/>
                    </w:rPr>
                  </w:pPr>
                  <w:r>
                    <w:rPr>
                      <w:rFonts w:hint="eastAsia"/>
                      <w:color w:val="auto"/>
                      <w:szCs w:val="21"/>
                    </w:rPr>
                    <w:t>固</w:t>
                  </w:r>
                </w:p>
              </w:tc>
              <w:tc>
                <w:tcPr>
                  <w:tcW w:w="2668" w:type="dxa"/>
                  <w:vAlign w:val="center"/>
                </w:tcPr>
                <w:p w14:paraId="251A2920">
                  <w:pPr>
                    <w:spacing w:line="280" w:lineRule="exact"/>
                    <w:jc w:val="center"/>
                    <w:rPr>
                      <w:color w:val="auto"/>
                      <w:szCs w:val="21"/>
                    </w:rPr>
                  </w:pPr>
                  <w:r>
                    <w:rPr>
                      <w:rFonts w:hint="eastAsia"/>
                      <w:color w:val="auto"/>
                      <w:szCs w:val="21"/>
                    </w:rPr>
                    <w:t>胶、包装桶</w:t>
                  </w:r>
                </w:p>
              </w:tc>
              <w:tc>
                <w:tcPr>
                  <w:tcW w:w="1633" w:type="dxa"/>
                  <w:vAlign w:val="center"/>
                </w:tcPr>
                <w:p w14:paraId="498395D8">
                  <w:pPr>
                    <w:spacing w:line="280" w:lineRule="exact"/>
                    <w:jc w:val="center"/>
                    <w:rPr>
                      <w:color w:val="auto"/>
                      <w:szCs w:val="21"/>
                    </w:rPr>
                  </w:pPr>
                  <w:r>
                    <w:rPr>
                      <w:rFonts w:hint="eastAsia"/>
                      <w:color w:val="auto"/>
                      <w:szCs w:val="21"/>
                    </w:rPr>
                    <w:t>1.28325</w:t>
                  </w:r>
                </w:p>
              </w:tc>
              <w:tc>
                <w:tcPr>
                  <w:tcW w:w="1069" w:type="dxa"/>
                  <w:vAlign w:val="center"/>
                </w:tcPr>
                <w:p w14:paraId="3C6909E4">
                  <w:pPr>
                    <w:pStyle w:val="906"/>
                    <w:spacing w:line="240" w:lineRule="auto"/>
                    <w:rPr>
                      <w:rFonts w:cs="Times New Roman"/>
                      <w:color w:val="auto"/>
                      <w:sz w:val="21"/>
                    </w:rPr>
                  </w:pPr>
                  <w:r>
                    <w:rPr>
                      <w:rFonts w:cs="Times New Roman"/>
                      <w:color w:val="auto"/>
                      <w:sz w:val="21"/>
                    </w:rPr>
                    <w:t>√</w:t>
                  </w:r>
                </w:p>
              </w:tc>
              <w:tc>
                <w:tcPr>
                  <w:tcW w:w="809" w:type="dxa"/>
                  <w:vAlign w:val="center"/>
                </w:tcPr>
                <w:p w14:paraId="3FE4A88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A83C98B">
                  <w:pPr>
                    <w:pStyle w:val="73"/>
                    <w:spacing w:line="240" w:lineRule="auto"/>
                    <w:ind w:firstLine="0" w:firstLineChars="0"/>
                    <w:rPr>
                      <w:rFonts w:ascii="Times New Roman" w:hAnsi="Times New Roman"/>
                      <w:color w:val="auto"/>
                      <w:sz w:val="21"/>
                      <w:szCs w:val="21"/>
                    </w:rPr>
                  </w:pPr>
                </w:p>
              </w:tc>
            </w:tr>
            <w:tr w14:paraId="1B336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B7C37E6">
                  <w:pPr>
                    <w:pStyle w:val="906"/>
                    <w:spacing w:line="240" w:lineRule="auto"/>
                    <w:rPr>
                      <w:rFonts w:cs="Times New Roman"/>
                      <w:color w:val="auto"/>
                      <w:sz w:val="21"/>
                      <w:lang w:val="en-US"/>
                    </w:rPr>
                  </w:pPr>
                  <w:r>
                    <w:rPr>
                      <w:rFonts w:hint="eastAsia" w:cs="Times New Roman"/>
                      <w:color w:val="auto"/>
                      <w:sz w:val="21"/>
                      <w:lang w:val="en-US"/>
                    </w:rPr>
                    <w:t>8</w:t>
                  </w:r>
                </w:p>
              </w:tc>
              <w:tc>
                <w:tcPr>
                  <w:tcW w:w="1559" w:type="dxa"/>
                  <w:vAlign w:val="center"/>
                </w:tcPr>
                <w:p w14:paraId="30AE869F">
                  <w:pPr>
                    <w:spacing w:line="200" w:lineRule="atLeast"/>
                    <w:jc w:val="center"/>
                    <w:rPr>
                      <w:color w:val="auto"/>
                      <w:szCs w:val="21"/>
                    </w:rPr>
                  </w:pPr>
                  <w:r>
                    <w:rPr>
                      <w:rFonts w:hint="eastAsia"/>
                      <w:color w:val="auto"/>
                      <w:szCs w:val="21"/>
                    </w:rPr>
                    <w:t>废砂纸</w:t>
                  </w:r>
                </w:p>
              </w:tc>
              <w:tc>
                <w:tcPr>
                  <w:tcW w:w="1482" w:type="dxa"/>
                  <w:vAlign w:val="center"/>
                </w:tcPr>
                <w:p w14:paraId="02AF4A3F">
                  <w:pPr>
                    <w:spacing w:line="280" w:lineRule="exact"/>
                    <w:jc w:val="center"/>
                    <w:rPr>
                      <w:color w:val="auto"/>
                      <w:szCs w:val="21"/>
                    </w:rPr>
                  </w:pPr>
                  <w:r>
                    <w:rPr>
                      <w:rFonts w:hint="eastAsia"/>
                      <w:color w:val="auto"/>
                      <w:szCs w:val="21"/>
                    </w:rPr>
                    <w:t>打磨</w:t>
                  </w:r>
                </w:p>
              </w:tc>
              <w:tc>
                <w:tcPr>
                  <w:tcW w:w="597" w:type="dxa"/>
                  <w:vAlign w:val="center"/>
                </w:tcPr>
                <w:p w14:paraId="55D71CAF">
                  <w:pPr>
                    <w:spacing w:line="280" w:lineRule="exact"/>
                    <w:jc w:val="center"/>
                    <w:rPr>
                      <w:color w:val="auto"/>
                      <w:szCs w:val="21"/>
                    </w:rPr>
                  </w:pPr>
                  <w:r>
                    <w:rPr>
                      <w:rFonts w:hint="eastAsia"/>
                      <w:color w:val="auto"/>
                      <w:szCs w:val="21"/>
                    </w:rPr>
                    <w:t>固</w:t>
                  </w:r>
                </w:p>
              </w:tc>
              <w:tc>
                <w:tcPr>
                  <w:tcW w:w="2668" w:type="dxa"/>
                  <w:vAlign w:val="center"/>
                </w:tcPr>
                <w:p w14:paraId="0D003889">
                  <w:pPr>
                    <w:spacing w:line="280" w:lineRule="exact"/>
                    <w:jc w:val="center"/>
                    <w:rPr>
                      <w:color w:val="auto"/>
                      <w:szCs w:val="21"/>
                    </w:rPr>
                  </w:pPr>
                  <w:r>
                    <w:rPr>
                      <w:rFonts w:hint="eastAsia"/>
                      <w:color w:val="auto"/>
                      <w:szCs w:val="21"/>
                    </w:rPr>
                    <w:t>砂纸</w:t>
                  </w:r>
                </w:p>
              </w:tc>
              <w:tc>
                <w:tcPr>
                  <w:tcW w:w="1633" w:type="dxa"/>
                  <w:vAlign w:val="center"/>
                </w:tcPr>
                <w:p w14:paraId="7A39C08B">
                  <w:pPr>
                    <w:spacing w:line="280" w:lineRule="exact"/>
                    <w:jc w:val="center"/>
                    <w:rPr>
                      <w:color w:val="auto"/>
                      <w:szCs w:val="21"/>
                    </w:rPr>
                  </w:pPr>
                  <w:r>
                    <w:rPr>
                      <w:rFonts w:hint="eastAsia"/>
                      <w:color w:val="auto"/>
                      <w:szCs w:val="21"/>
                    </w:rPr>
                    <w:t>0.85</w:t>
                  </w:r>
                </w:p>
              </w:tc>
              <w:tc>
                <w:tcPr>
                  <w:tcW w:w="1069" w:type="dxa"/>
                  <w:vAlign w:val="center"/>
                </w:tcPr>
                <w:p w14:paraId="084A49C6">
                  <w:pPr>
                    <w:pStyle w:val="906"/>
                    <w:spacing w:line="240" w:lineRule="auto"/>
                    <w:rPr>
                      <w:rFonts w:cs="Times New Roman"/>
                      <w:color w:val="auto"/>
                      <w:sz w:val="21"/>
                    </w:rPr>
                  </w:pPr>
                  <w:r>
                    <w:rPr>
                      <w:rFonts w:cs="Times New Roman"/>
                      <w:color w:val="auto"/>
                      <w:sz w:val="21"/>
                    </w:rPr>
                    <w:t>√</w:t>
                  </w:r>
                </w:p>
              </w:tc>
              <w:tc>
                <w:tcPr>
                  <w:tcW w:w="809" w:type="dxa"/>
                  <w:vAlign w:val="center"/>
                </w:tcPr>
                <w:p w14:paraId="04D84535">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2FB2E7B">
                  <w:pPr>
                    <w:pStyle w:val="73"/>
                    <w:spacing w:line="240" w:lineRule="auto"/>
                    <w:ind w:firstLine="0" w:firstLineChars="0"/>
                    <w:rPr>
                      <w:rFonts w:ascii="Times New Roman" w:hAnsi="Times New Roman"/>
                      <w:color w:val="auto"/>
                      <w:sz w:val="21"/>
                      <w:szCs w:val="21"/>
                    </w:rPr>
                  </w:pPr>
                </w:p>
              </w:tc>
            </w:tr>
            <w:tr w14:paraId="5837A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3274B512">
                  <w:pPr>
                    <w:pStyle w:val="906"/>
                    <w:spacing w:line="240" w:lineRule="auto"/>
                    <w:rPr>
                      <w:rFonts w:cs="Times New Roman"/>
                      <w:color w:val="auto"/>
                      <w:sz w:val="21"/>
                      <w:lang w:val="en-US"/>
                    </w:rPr>
                  </w:pPr>
                  <w:r>
                    <w:rPr>
                      <w:rFonts w:hint="eastAsia" w:cs="Times New Roman"/>
                      <w:color w:val="auto"/>
                      <w:sz w:val="21"/>
                      <w:lang w:val="en-US"/>
                    </w:rPr>
                    <w:t>9</w:t>
                  </w:r>
                </w:p>
              </w:tc>
              <w:tc>
                <w:tcPr>
                  <w:tcW w:w="1559" w:type="dxa"/>
                  <w:vAlign w:val="center"/>
                </w:tcPr>
                <w:p w14:paraId="35B71085">
                  <w:pPr>
                    <w:spacing w:line="200" w:lineRule="atLeast"/>
                    <w:jc w:val="center"/>
                    <w:rPr>
                      <w:color w:val="auto"/>
                      <w:szCs w:val="21"/>
                    </w:rPr>
                  </w:pPr>
                  <w:r>
                    <w:rPr>
                      <w:rFonts w:hint="eastAsia"/>
                      <w:color w:val="auto"/>
                      <w:szCs w:val="21"/>
                    </w:rPr>
                    <w:t>废灰桶、废漆桶</w:t>
                  </w:r>
                </w:p>
              </w:tc>
              <w:tc>
                <w:tcPr>
                  <w:tcW w:w="1482" w:type="dxa"/>
                  <w:vAlign w:val="center"/>
                </w:tcPr>
                <w:p w14:paraId="6F016F21">
                  <w:pPr>
                    <w:spacing w:line="280" w:lineRule="exact"/>
                    <w:jc w:val="center"/>
                    <w:rPr>
                      <w:color w:val="auto"/>
                      <w:szCs w:val="21"/>
                    </w:rPr>
                  </w:pPr>
                  <w:r>
                    <w:rPr>
                      <w:rFonts w:hint="eastAsia"/>
                      <w:color w:val="auto"/>
                      <w:szCs w:val="21"/>
                    </w:rPr>
                    <w:t>批灰、喷漆</w:t>
                  </w:r>
                </w:p>
              </w:tc>
              <w:tc>
                <w:tcPr>
                  <w:tcW w:w="597" w:type="dxa"/>
                  <w:vAlign w:val="center"/>
                </w:tcPr>
                <w:p w14:paraId="35C587E1">
                  <w:pPr>
                    <w:spacing w:line="280" w:lineRule="exact"/>
                    <w:jc w:val="center"/>
                    <w:rPr>
                      <w:color w:val="auto"/>
                      <w:szCs w:val="21"/>
                    </w:rPr>
                  </w:pPr>
                  <w:r>
                    <w:rPr>
                      <w:rFonts w:hint="eastAsia"/>
                      <w:color w:val="auto"/>
                      <w:szCs w:val="21"/>
                    </w:rPr>
                    <w:t>固</w:t>
                  </w:r>
                </w:p>
              </w:tc>
              <w:tc>
                <w:tcPr>
                  <w:tcW w:w="2668" w:type="dxa"/>
                  <w:vAlign w:val="center"/>
                </w:tcPr>
                <w:p w14:paraId="35A65699">
                  <w:pPr>
                    <w:spacing w:line="280" w:lineRule="exact"/>
                    <w:jc w:val="center"/>
                    <w:rPr>
                      <w:color w:val="auto"/>
                      <w:szCs w:val="21"/>
                    </w:rPr>
                  </w:pPr>
                  <w:r>
                    <w:rPr>
                      <w:rFonts w:hint="eastAsia"/>
                      <w:color w:val="auto"/>
                      <w:szCs w:val="21"/>
                    </w:rPr>
                    <w:t>漆、包装桶</w:t>
                  </w:r>
                </w:p>
              </w:tc>
              <w:tc>
                <w:tcPr>
                  <w:tcW w:w="1633" w:type="dxa"/>
                  <w:vAlign w:val="center"/>
                </w:tcPr>
                <w:p w14:paraId="170C62F2">
                  <w:pPr>
                    <w:spacing w:line="280" w:lineRule="exact"/>
                    <w:jc w:val="center"/>
                    <w:rPr>
                      <w:color w:val="auto"/>
                      <w:szCs w:val="21"/>
                    </w:rPr>
                  </w:pPr>
                  <w:r>
                    <w:rPr>
                      <w:rFonts w:hint="eastAsia"/>
                      <w:color w:val="auto"/>
                      <w:szCs w:val="21"/>
                    </w:rPr>
                    <w:t>0.668</w:t>
                  </w:r>
                </w:p>
              </w:tc>
              <w:tc>
                <w:tcPr>
                  <w:tcW w:w="1069" w:type="dxa"/>
                  <w:vAlign w:val="center"/>
                </w:tcPr>
                <w:p w14:paraId="1566ECF2">
                  <w:pPr>
                    <w:pStyle w:val="906"/>
                    <w:spacing w:line="240" w:lineRule="auto"/>
                    <w:rPr>
                      <w:rFonts w:cs="Times New Roman"/>
                      <w:color w:val="auto"/>
                      <w:sz w:val="21"/>
                    </w:rPr>
                  </w:pPr>
                  <w:r>
                    <w:rPr>
                      <w:rFonts w:cs="Times New Roman"/>
                      <w:color w:val="auto"/>
                      <w:sz w:val="21"/>
                    </w:rPr>
                    <w:t>√</w:t>
                  </w:r>
                </w:p>
              </w:tc>
              <w:tc>
                <w:tcPr>
                  <w:tcW w:w="809" w:type="dxa"/>
                  <w:vAlign w:val="center"/>
                </w:tcPr>
                <w:p w14:paraId="476F050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84FF852">
                  <w:pPr>
                    <w:pStyle w:val="73"/>
                    <w:spacing w:line="240" w:lineRule="auto"/>
                    <w:ind w:firstLine="0" w:firstLineChars="0"/>
                    <w:rPr>
                      <w:rFonts w:ascii="Times New Roman" w:hAnsi="Times New Roman"/>
                      <w:color w:val="auto"/>
                      <w:sz w:val="21"/>
                      <w:szCs w:val="21"/>
                    </w:rPr>
                  </w:pPr>
                </w:p>
              </w:tc>
            </w:tr>
            <w:tr w14:paraId="3360E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32C5393">
                  <w:pPr>
                    <w:pStyle w:val="906"/>
                    <w:spacing w:line="240" w:lineRule="auto"/>
                    <w:rPr>
                      <w:rFonts w:cs="Times New Roman"/>
                      <w:color w:val="auto"/>
                      <w:sz w:val="21"/>
                      <w:lang w:val="en-US"/>
                    </w:rPr>
                  </w:pPr>
                  <w:r>
                    <w:rPr>
                      <w:rFonts w:hint="eastAsia" w:cs="Times New Roman"/>
                      <w:color w:val="auto"/>
                      <w:sz w:val="21"/>
                      <w:lang w:val="en-US"/>
                    </w:rPr>
                    <w:t>10</w:t>
                  </w:r>
                </w:p>
              </w:tc>
              <w:tc>
                <w:tcPr>
                  <w:tcW w:w="1559" w:type="dxa"/>
                  <w:vAlign w:val="center"/>
                </w:tcPr>
                <w:p w14:paraId="4D692E2B">
                  <w:pPr>
                    <w:spacing w:line="200" w:lineRule="atLeast"/>
                    <w:jc w:val="center"/>
                    <w:rPr>
                      <w:color w:val="auto"/>
                      <w:szCs w:val="21"/>
                    </w:rPr>
                  </w:pPr>
                  <w:r>
                    <w:rPr>
                      <w:rFonts w:hint="eastAsia"/>
                      <w:color w:val="auto"/>
                      <w:szCs w:val="21"/>
                    </w:rPr>
                    <w:t>废漆渣</w:t>
                  </w:r>
                </w:p>
              </w:tc>
              <w:tc>
                <w:tcPr>
                  <w:tcW w:w="1482" w:type="dxa"/>
                  <w:vAlign w:val="center"/>
                </w:tcPr>
                <w:p w14:paraId="46A54D7C">
                  <w:pPr>
                    <w:spacing w:line="280" w:lineRule="exact"/>
                    <w:jc w:val="center"/>
                    <w:rPr>
                      <w:color w:val="auto"/>
                      <w:szCs w:val="21"/>
                    </w:rPr>
                  </w:pPr>
                  <w:r>
                    <w:rPr>
                      <w:rFonts w:hint="eastAsia"/>
                      <w:color w:val="auto"/>
                      <w:szCs w:val="21"/>
                    </w:rPr>
                    <w:t>喷漆</w:t>
                  </w:r>
                </w:p>
              </w:tc>
              <w:tc>
                <w:tcPr>
                  <w:tcW w:w="597" w:type="dxa"/>
                  <w:vAlign w:val="center"/>
                </w:tcPr>
                <w:p w14:paraId="4730491A">
                  <w:pPr>
                    <w:spacing w:line="280" w:lineRule="exact"/>
                    <w:jc w:val="center"/>
                    <w:rPr>
                      <w:color w:val="auto"/>
                      <w:szCs w:val="21"/>
                    </w:rPr>
                  </w:pPr>
                  <w:r>
                    <w:rPr>
                      <w:rFonts w:hint="eastAsia"/>
                      <w:color w:val="auto"/>
                      <w:szCs w:val="21"/>
                    </w:rPr>
                    <w:t>固</w:t>
                  </w:r>
                </w:p>
              </w:tc>
              <w:tc>
                <w:tcPr>
                  <w:tcW w:w="2668" w:type="dxa"/>
                  <w:vAlign w:val="center"/>
                </w:tcPr>
                <w:p w14:paraId="075DBD74">
                  <w:pPr>
                    <w:spacing w:line="280" w:lineRule="exact"/>
                    <w:jc w:val="center"/>
                    <w:rPr>
                      <w:color w:val="auto"/>
                      <w:szCs w:val="21"/>
                    </w:rPr>
                  </w:pPr>
                  <w:r>
                    <w:rPr>
                      <w:rFonts w:hint="eastAsia"/>
                      <w:color w:val="auto"/>
                      <w:szCs w:val="21"/>
                    </w:rPr>
                    <w:t>漆</w:t>
                  </w:r>
                </w:p>
              </w:tc>
              <w:tc>
                <w:tcPr>
                  <w:tcW w:w="1633" w:type="dxa"/>
                  <w:vAlign w:val="center"/>
                </w:tcPr>
                <w:p w14:paraId="6CA83D02">
                  <w:pPr>
                    <w:spacing w:line="280" w:lineRule="exact"/>
                    <w:jc w:val="center"/>
                    <w:rPr>
                      <w:rFonts w:hint="eastAsia" w:eastAsia="宋体"/>
                      <w:color w:val="auto"/>
                      <w:szCs w:val="21"/>
                      <w:lang w:eastAsia="zh-CN"/>
                    </w:rPr>
                  </w:pPr>
                  <w:r>
                    <w:rPr>
                      <w:rFonts w:hint="eastAsia"/>
                      <w:color w:val="auto"/>
                      <w:szCs w:val="21"/>
                      <w:lang w:eastAsia="zh-CN"/>
                    </w:rPr>
                    <w:t>0.2941</w:t>
                  </w:r>
                </w:p>
              </w:tc>
              <w:tc>
                <w:tcPr>
                  <w:tcW w:w="1069" w:type="dxa"/>
                  <w:vAlign w:val="center"/>
                </w:tcPr>
                <w:p w14:paraId="3D994C68">
                  <w:pPr>
                    <w:pStyle w:val="906"/>
                    <w:spacing w:line="240" w:lineRule="auto"/>
                    <w:rPr>
                      <w:rFonts w:cs="Times New Roman"/>
                      <w:color w:val="auto"/>
                      <w:sz w:val="21"/>
                    </w:rPr>
                  </w:pPr>
                  <w:r>
                    <w:rPr>
                      <w:rFonts w:cs="Times New Roman"/>
                      <w:color w:val="auto"/>
                      <w:sz w:val="21"/>
                    </w:rPr>
                    <w:t>√</w:t>
                  </w:r>
                </w:p>
              </w:tc>
              <w:tc>
                <w:tcPr>
                  <w:tcW w:w="809" w:type="dxa"/>
                  <w:vAlign w:val="center"/>
                </w:tcPr>
                <w:p w14:paraId="1017B072">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1EE8817">
                  <w:pPr>
                    <w:pStyle w:val="73"/>
                    <w:spacing w:line="240" w:lineRule="auto"/>
                    <w:ind w:firstLine="0" w:firstLineChars="0"/>
                    <w:rPr>
                      <w:rFonts w:ascii="Times New Roman" w:hAnsi="Times New Roman"/>
                      <w:color w:val="auto"/>
                      <w:sz w:val="21"/>
                      <w:szCs w:val="21"/>
                    </w:rPr>
                  </w:pPr>
                </w:p>
              </w:tc>
            </w:tr>
            <w:tr w14:paraId="7E198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180FA950">
                  <w:pPr>
                    <w:pStyle w:val="906"/>
                    <w:spacing w:line="240" w:lineRule="auto"/>
                    <w:rPr>
                      <w:rFonts w:cs="Times New Roman"/>
                      <w:color w:val="auto"/>
                      <w:sz w:val="21"/>
                      <w:lang w:val="en-US"/>
                    </w:rPr>
                  </w:pPr>
                  <w:r>
                    <w:rPr>
                      <w:rFonts w:hint="eastAsia" w:cs="Times New Roman"/>
                      <w:color w:val="auto"/>
                      <w:sz w:val="21"/>
                      <w:lang w:val="en-US"/>
                    </w:rPr>
                    <w:t>11</w:t>
                  </w:r>
                </w:p>
              </w:tc>
              <w:tc>
                <w:tcPr>
                  <w:tcW w:w="1559" w:type="dxa"/>
                  <w:vAlign w:val="center"/>
                </w:tcPr>
                <w:p w14:paraId="53AC0217">
                  <w:pPr>
                    <w:spacing w:line="200" w:lineRule="atLeast"/>
                    <w:jc w:val="center"/>
                    <w:rPr>
                      <w:color w:val="auto"/>
                      <w:szCs w:val="21"/>
                    </w:rPr>
                  </w:pPr>
                  <w:r>
                    <w:rPr>
                      <w:rFonts w:hint="eastAsia"/>
                      <w:color w:val="auto"/>
                      <w:szCs w:val="21"/>
                    </w:rPr>
                    <w:t>大理石废料</w:t>
                  </w:r>
                </w:p>
              </w:tc>
              <w:tc>
                <w:tcPr>
                  <w:tcW w:w="1482" w:type="dxa"/>
                  <w:vAlign w:val="center"/>
                </w:tcPr>
                <w:p w14:paraId="1D7CC5F2">
                  <w:pPr>
                    <w:spacing w:line="280" w:lineRule="exact"/>
                    <w:jc w:val="center"/>
                    <w:rPr>
                      <w:color w:val="auto"/>
                      <w:szCs w:val="21"/>
                    </w:rPr>
                  </w:pPr>
                  <w:r>
                    <w:rPr>
                      <w:rFonts w:hint="eastAsia"/>
                      <w:color w:val="auto"/>
                      <w:szCs w:val="21"/>
                    </w:rPr>
                    <w:t>下料</w:t>
                  </w:r>
                </w:p>
              </w:tc>
              <w:tc>
                <w:tcPr>
                  <w:tcW w:w="597" w:type="dxa"/>
                  <w:vAlign w:val="center"/>
                </w:tcPr>
                <w:p w14:paraId="6591E1A7">
                  <w:pPr>
                    <w:spacing w:line="280" w:lineRule="exact"/>
                    <w:jc w:val="center"/>
                    <w:rPr>
                      <w:color w:val="auto"/>
                      <w:szCs w:val="21"/>
                    </w:rPr>
                  </w:pPr>
                  <w:r>
                    <w:rPr>
                      <w:rFonts w:hint="eastAsia"/>
                      <w:color w:val="auto"/>
                      <w:szCs w:val="21"/>
                    </w:rPr>
                    <w:t>固</w:t>
                  </w:r>
                </w:p>
              </w:tc>
              <w:tc>
                <w:tcPr>
                  <w:tcW w:w="2668" w:type="dxa"/>
                  <w:vAlign w:val="center"/>
                </w:tcPr>
                <w:p w14:paraId="163DA99C">
                  <w:pPr>
                    <w:spacing w:line="280" w:lineRule="exact"/>
                    <w:jc w:val="center"/>
                    <w:rPr>
                      <w:color w:val="auto"/>
                      <w:szCs w:val="21"/>
                    </w:rPr>
                  </w:pPr>
                  <w:r>
                    <w:rPr>
                      <w:rFonts w:hint="eastAsia"/>
                      <w:color w:val="auto"/>
                      <w:szCs w:val="21"/>
                    </w:rPr>
                    <w:t>大理石</w:t>
                  </w:r>
                </w:p>
              </w:tc>
              <w:tc>
                <w:tcPr>
                  <w:tcW w:w="1633" w:type="dxa"/>
                  <w:vAlign w:val="center"/>
                </w:tcPr>
                <w:p w14:paraId="1E1AB5CF">
                  <w:pPr>
                    <w:spacing w:line="280" w:lineRule="exact"/>
                    <w:jc w:val="center"/>
                    <w:rPr>
                      <w:color w:val="auto"/>
                      <w:szCs w:val="21"/>
                    </w:rPr>
                  </w:pPr>
                  <w:r>
                    <w:rPr>
                      <w:rFonts w:hint="eastAsia"/>
                      <w:color w:val="auto"/>
                      <w:szCs w:val="21"/>
                    </w:rPr>
                    <w:t>10.08</w:t>
                  </w:r>
                </w:p>
              </w:tc>
              <w:tc>
                <w:tcPr>
                  <w:tcW w:w="1069" w:type="dxa"/>
                  <w:vAlign w:val="center"/>
                </w:tcPr>
                <w:p w14:paraId="46CA1B98">
                  <w:pPr>
                    <w:pStyle w:val="906"/>
                    <w:spacing w:line="240" w:lineRule="auto"/>
                    <w:rPr>
                      <w:rFonts w:cs="Times New Roman"/>
                      <w:color w:val="auto"/>
                      <w:sz w:val="21"/>
                    </w:rPr>
                  </w:pPr>
                  <w:r>
                    <w:rPr>
                      <w:rFonts w:cs="Times New Roman"/>
                      <w:color w:val="auto"/>
                      <w:sz w:val="21"/>
                    </w:rPr>
                    <w:t>√</w:t>
                  </w:r>
                </w:p>
              </w:tc>
              <w:tc>
                <w:tcPr>
                  <w:tcW w:w="809" w:type="dxa"/>
                  <w:vAlign w:val="center"/>
                </w:tcPr>
                <w:p w14:paraId="028F0B7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10838627">
                  <w:pPr>
                    <w:pStyle w:val="73"/>
                    <w:spacing w:line="240" w:lineRule="auto"/>
                    <w:ind w:firstLine="0" w:firstLineChars="0"/>
                    <w:rPr>
                      <w:rFonts w:ascii="Times New Roman" w:hAnsi="Times New Roman"/>
                      <w:color w:val="auto"/>
                      <w:sz w:val="21"/>
                      <w:szCs w:val="21"/>
                    </w:rPr>
                  </w:pPr>
                </w:p>
              </w:tc>
            </w:tr>
            <w:tr w14:paraId="74D82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565220A1">
                  <w:pPr>
                    <w:pStyle w:val="906"/>
                    <w:spacing w:line="240" w:lineRule="auto"/>
                    <w:rPr>
                      <w:rFonts w:cs="Times New Roman"/>
                      <w:color w:val="auto"/>
                      <w:sz w:val="21"/>
                      <w:lang w:val="en-US"/>
                    </w:rPr>
                  </w:pPr>
                  <w:r>
                    <w:rPr>
                      <w:rFonts w:hint="eastAsia" w:cs="Times New Roman"/>
                      <w:color w:val="auto"/>
                      <w:sz w:val="21"/>
                      <w:lang w:val="en-US"/>
                    </w:rPr>
                    <w:t>12</w:t>
                  </w:r>
                </w:p>
              </w:tc>
              <w:tc>
                <w:tcPr>
                  <w:tcW w:w="1559" w:type="dxa"/>
                  <w:vAlign w:val="center"/>
                </w:tcPr>
                <w:p w14:paraId="37A6BC51">
                  <w:pPr>
                    <w:spacing w:line="200" w:lineRule="atLeast"/>
                    <w:jc w:val="center"/>
                    <w:rPr>
                      <w:color w:val="auto"/>
                      <w:szCs w:val="21"/>
                    </w:rPr>
                  </w:pPr>
                  <w:r>
                    <w:rPr>
                      <w:rFonts w:hint="eastAsia"/>
                      <w:color w:val="auto"/>
                      <w:szCs w:val="21"/>
                    </w:rPr>
                    <w:t>废切割片</w:t>
                  </w:r>
                </w:p>
              </w:tc>
              <w:tc>
                <w:tcPr>
                  <w:tcW w:w="1482" w:type="dxa"/>
                  <w:vAlign w:val="center"/>
                </w:tcPr>
                <w:p w14:paraId="796F35D2">
                  <w:pPr>
                    <w:spacing w:line="280" w:lineRule="exact"/>
                    <w:jc w:val="center"/>
                    <w:rPr>
                      <w:color w:val="auto"/>
                      <w:szCs w:val="21"/>
                    </w:rPr>
                  </w:pPr>
                  <w:r>
                    <w:rPr>
                      <w:rFonts w:hint="eastAsia"/>
                      <w:color w:val="auto"/>
                      <w:szCs w:val="21"/>
                    </w:rPr>
                    <w:t>打磨倒角</w:t>
                  </w:r>
                </w:p>
              </w:tc>
              <w:tc>
                <w:tcPr>
                  <w:tcW w:w="597" w:type="dxa"/>
                  <w:vAlign w:val="center"/>
                </w:tcPr>
                <w:p w14:paraId="6CCA45D7">
                  <w:pPr>
                    <w:spacing w:line="280" w:lineRule="exact"/>
                    <w:jc w:val="center"/>
                    <w:rPr>
                      <w:color w:val="auto"/>
                      <w:szCs w:val="21"/>
                    </w:rPr>
                  </w:pPr>
                  <w:r>
                    <w:rPr>
                      <w:rFonts w:hint="eastAsia"/>
                      <w:color w:val="auto"/>
                      <w:szCs w:val="21"/>
                    </w:rPr>
                    <w:t>固</w:t>
                  </w:r>
                </w:p>
              </w:tc>
              <w:tc>
                <w:tcPr>
                  <w:tcW w:w="2668" w:type="dxa"/>
                  <w:vAlign w:val="center"/>
                </w:tcPr>
                <w:p w14:paraId="5AD267B0">
                  <w:pPr>
                    <w:spacing w:line="280" w:lineRule="exact"/>
                    <w:jc w:val="center"/>
                    <w:rPr>
                      <w:color w:val="auto"/>
                      <w:szCs w:val="21"/>
                    </w:rPr>
                  </w:pPr>
                  <w:r>
                    <w:rPr>
                      <w:rFonts w:hint="eastAsia"/>
                      <w:color w:val="auto"/>
                      <w:szCs w:val="21"/>
                    </w:rPr>
                    <w:t>切割片</w:t>
                  </w:r>
                </w:p>
              </w:tc>
              <w:tc>
                <w:tcPr>
                  <w:tcW w:w="1633" w:type="dxa"/>
                  <w:vAlign w:val="center"/>
                </w:tcPr>
                <w:p w14:paraId="2D6EAC45">
                  <w:pPr>
                    <w:spacing w:line="280" w:lineRule="exact"/>
                    <w:jc w:val="center"/>
                    <w:rPr>
                      <w:color w:val="auto"/>
                      <w:szCs w:val="21"/>
                    </w:rPr>
                  </w:pPr>
                  <w:r>
                    <w:rPr>
                      <w:rFonts w:hint="eastAsia"/>
                      <w:color w:val="auto"/>
                      <w:szCs w:val="21"/>
                    </w:rPr>
                    <w:t>0.8</w:t>
                  </w:r>
                </w:p>
              </w:tc>
              <w:tc>
                <w:tcPr>
                  <w:tcW w:w="1069" w:type="dxa"/>
                  <w:vAlign w:val="center"/>
                </w:tcPr>
                <w:p w14:paraId="430683FA">
                  <w:pPr>
                    <w:pStyle w:val="906"/>
                    <w:spacing w:line="240" w:lineRule="auto"/>
                    <w:rPr>
                      <w:rFonts w:cs="Times New Roman"/>
                      <w:color w:val="auto"/>
                      <w:sz w:val="21"/>
                    </w:rPr>
                  </w:pPr>
                  <w:r>
                    <w:rPr>
                      <w:rFonts w:cs="Times New Roman"/>
                      <w:color w:val="auto"/>
                      <w:sz w:val="21"/>
                    </w:rPr>
                    <w:t>√</w:t>
                  </w:r>
                </w:p>
              </w:tc>
              <w:tc>
                <w:tcPr>
                  <w:tcW w:w="809" w:type="dxa"/>
                  <w:vAlign w:val="center"/>
                </w:tcPr>
                <w:p w14:paraId="4D1B871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2567F9FD">
                  <w:pPr>
                    <w:pStyle w:val="73"/>
                    <w:spacing w:line="240" w:lineRule="auto"/>
                    <w:ind w:firstLine="0" w:firstLineChars="0"/>
                    <w:rPr>
                      <w:rFonts w:ascii="Times New Roman" w:hAnsi="Times New Roman"/>
                      <w:color w:val="auto"/>
                      <w:sz w:val="21"/>
                      <w:szCs w:val="21"/>
                    </w:rPr>
                  </w:pPr>
                </w:p>
              </w:tc>
            </w:tr>
            <w:tr w14:paraId="78E04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730D5088">
                  <w:pPr>
                    <w:pStyle w:val="906"/>
                    <w:spacing w:line="240" w:lineRule="auto"/>
                    <w:rPr>
                      <w:rFonts w:cs="Times New Roman"/>
                      <w:color w:val="auto"/>
                      <w:sz w:val="21"/>
                      <w:lang w:val="en-US"/>
                    </w:rPr>
                  </w:pPr>
                  <w:r>
                    <w:rPr>
                      <w:rFonts w:hint="eastAsia" w:cs="Times New Roman"/>
                      <w:color w:val="auto"/>
                      <w:sz w:val="21"/>
                      <w:lang w:val="en-US"/>
                    </w:rPr>
                    <w:t>13</w:t>
                  </w:r>
                </w:p>
              </w:tc>
              <w:tc>
                <w:tcPr>
                  <w:tcW w:w="1559" w:type="dxa"/>
                  <w:vAlign w:val="center"/>
                </w:tcPr>
                <w:p w14:paraId="405FC878">
                  <w:pPr>
                    <w:spacing w:line="200" w:lineRule="atLeast"/>
                    <w:jc w:val="center"/>
                    <w:rPr>
                      <w:color w:val="auto"/>
                      <w:szCs w:val="21"/>
                    </w:rPr>
                  </w:pPr>
                  <w:r>
                    <w:rPr>
                      <w:rFonts w:hint="eastAsia"/>
                      <w:color w:val="auto"/>
                      <w:szCs w:val="21"/>
                    </w:rPr>
                    <w:t>金属废边角料、碎屑、不合格品</w:t>
                  </w:r>
                </w:p>
              </w:tc>
              <w:tc>
                <w:tcPr>
                  <w:tcW w:w="1482" w:type="dxa"/>
                  <w:vAlign w:val="center"/>
                </w:tcPr>
                <w:p w14:paraId="0BA7E6F9">
                  <w:pPr>
                    <w:spacing w:line="280" w:lineRule="exact"/>
                    <w:jc w:val="center"/>
                    <w:rPr>
                      <w:color w:val="auto"/>
                      <w:szCs w:val="21"/>
                    </w:rPr>
                  </w:pPr>
                  <w:r>
                    <w:rPr>
                      <w:rFonts w:hint="eastAsia"/>
                      <w:color w:val="auto"/>
                      <w:szCs w:val="21"/>
                    </w:rPr>
                    <w:t>下料</w:t>
                  </w:r>
                </w:p>
              </w:tc>
              <w:tc>
                <w:tcPr>
                  <w:tcW w:w="597" w:type="dxa"/>
                  <w:vAlign w:val="center"/>
                </w:tcPr>
                <w:p w14:paraId="5C950BB0">
                  <w:pPr>
                    <w:spacing w:line="280" w:lineRule="exact"/>
                    <w:jc w:val="center"/>
                    <w:rPr>
                      <w:color w:val="auto"/>
                      <w:szCs w:val="21"/>
                    </w:rPr>
                  </w:pPr>
                  <w:r>
                    <w:rPr>
                      <w:rFonts w:hint="eastAsia"/>
                      <w:color w:val="auto"/>
                      <w:szCs w:val="21"/>
                    </w:rPr>
                    <w:t>固</w:t>
                  </w:r>
                </w:p>
              </w:tc>
              <w:tc>
                <w:tcPr>
                  <w:tcW w:w="2668" w:type="dxa"/>
                  <w:vAlign w:val="center"/>
                </w:tcPr>
                <w:p w14:paraId="4C8BA1FD">
                  <w:pPr>
                    <w:spacing w:line="280" w:lineRule="exact"/>
                    <w:jc w:val="center"/>
                    <w:rPr>
                      <w:color w:val="auto"/>
                      <w:szCs w:val="21"/>
                    </w:rPr>
                  </w:pPr>
                  <w:r>
                    <w:rPr>
                      <w:rFonts w:hint="eastAsia"/>
                      <w:color w:val="auto"/>
                      <w:szCs w:val="21"/>
                    </w:rPr>
                    <w:t>金属</w:t>
                  </w:r>
                </w:p>
              </w:tc>
              <w:tc>
                <w:tcPr>
                  <w:tcW w:w="1633" w:type="dxa"/>
                  <w:vAlign w:val="center"/>
                </w:tcPr>
                <w:p w14:paraId="496C410E">
                  <w:pPr>
                    <w:spacing w:line="280" w:lineRule="exact"/>
                    <w:jc w:val="center"/>
                    <w:rPr>
                      <w:color w:val="auto"/>
                      <w:szCs w:val="21"/>
                    </w:rPr>
                  </w:pPr>
                  <w:r>
                    <w:rPr>
                      <w:rFonts w:hint="eastAsia"/>
                      <w:color w:val="auto"/>
                      <w:szCs w:val="21"/>
                    </w:rPr>
                    <w:t>2.45</w:t>
                  </w:r>
                </w:p>
              </w:tc>
              <w:tc>
                <w:tcPr>
                  <w:tcW w:w="1069" w:type="dxa"/>
                  <w:vAlign w:val="center"/>
                </w:tcPr>
                <w:p w14:paraId="63C31959">
                  <w:pPr>
                    <w:pStyle w:val="906"/>
                    <w:spacing w:line="240" w:lineRule="auto"/>
                    <w:rPr>
                      <w:rFonts w:cs="Times New Roman"/>
                      <w:color w:val="auto"/>
                      <w:sz w:val="21"/>
                    </w:rPr>
                  </w:pPr>
                  <w:r>
                    <w:rPr>
                      <w:rFonts w:cs="Times New Roman"/>
                      <w:color w:val="auto"/>
                      <w:sz w:val="21"/>
                    </w:rPr>
                    <w:t>√</w:t>
                  </w:r>
                </w:p>
              </w:tc>
              <w:tc>
                <w:tcPr>
                  <w:tcW w:w="809" w:type="dxa"/>
                  <w:vAlign w:val="center"/>
                </w:tcPr>
                <w:p w14:paraId="2C2B0215">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AA6F0C4">
                  <w:pPr>
                    <w:pStyle w:val="73"/>
                    <w:spacing w:line="240" w:lineRule="auto"/>
                    <w:ind w:firstLine="0" w:firstLineChars="0"/>
                    <w:rPr>
                      <w:rFonts w:ascii="Times New Roman" w:hAnsi="Times New Roman"/>
                      <w:color w:val="auto"/>
                      <w:sz w:val="21"/>
                      <w:szCs w:val="21"/>
                    </w:rPr>
                  </w:pPr>
                </w:p>
              </w:tc>
            </w:tr>
            <w:tr w14:paraId="7A6ED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7E2EB25F">
                  <w:pPr>
                    <w:pStyle w:val="906"/>
                    <w:spacing w:line="240" w:lineRule="auto"/>
                    <w:rPr>
                      <w:rFonts w:cs="Times New Roman"/>
                      <w:color w:val="auto"/>
                      <w:sz w:val="21"/>
                      <w:lang w:val="en-US"/>
                    </w:rPr>
                  </w:pPr>
                  <w:r>
                    <w:rPr>
                      <w:rFonts w:hint="eastAsia" w:cs="Times New Roman"/>
                      <w:color w:val="auto"/>
                      <w:sz w:val="21"/>
                      <w:lang w:val="en-US"/>
                    </w:rPr>
                    <w:t>14</w:t>
                  </w:r>
                </w:p>
              </w:tc>
              <w:tc>
                <w:tcPr>
                  <w:tcW w:w="1559" w:type="dxa"/>
                  <w:vAlign w:val="center"/>
                </w:tcPr>
                <w:p w14:paraId="002A06EC">
                  <w:pPr>
                    <w:spacing w:line="200" w:lineRule="atLeast"/>
                    <w:jc w:val="center"/>
                    <w:rPr>
                      <w:color w:val="auto"/>
                      <w:szCs w:val="21"/>
                    </w:rPr>
                  </w:pPr>
                  <w:r>
                    <w:rPr>
                      <w:rFonts w:hint="eastAsia"/>
                      <w:color w:val="auto"/>
                      <w:szCs w:val="21"/>
                    </w:rPr>
                    <w:t>废切削液</w:t>
                  </w:r>
                </w:p>
              </w:tc>
              <w:tc>
                <w:tcPr>
                  <w:tcW w:w="1482" w:type="dxa"/>
                  <w:vAlign w:val="center"/>
                </w:tcPr>
                <w:p w14:paraId="21009F29">
                  <w:pPr>
                    <w:spacing w:line="280" w:lineRule="exact"/>
                    <w:jc w:val="center"/>
                    <w:rPr>
                      <w:color w:val="auto"/>
                      <w:szCs w:val="21"/>
                    </w:rPr>
                  </w:pPr>
                  <w:r>
                    <w:rPr>
                      <w:rFonts w:hint="eastAsia"/>
                      <w:color w:val="auto"/>
                      <w:szCs w:val="21"/>
                    </w:rPr>
                    <w:t>设备</w:t>
                  </w:r>
                </w:p>
              </w:tc>
              <w:tc>
                <w:tcPr>
                  <w:tcW w:w="597" w:type="dxa"/>
                  <w:vAlign w:val="center"/>
                </w:tcPr>
                <w:p w14:paraId="543692F1">
                  <w:pPr>
                    <w:spacing w:line="280" w:lineRule="exact"/>
                    <w:jc w:val="center"/>
                    <w:rPr>
                      <w:color w:val="auto"/>
                      <w:szCs w:val="21"/>
                    </w:rPr>
                  </w:pPr>
                  <w:r>
                    <w:rPr>
                      <w:rFonts w:hint="eastAsia"/>
                      <w:color w:val="auto"/>
                      <w:szCs w:val="21"/>
                    </w:rPr>
                    <w:t>液</w:t>
                  </w:r>
                </w:p>
              </w:tc>
              <w:tc>
                <w:tcPr>
                  <w:tcW w:w="2668" w:type="dxa"/>
                  <w:vAlign w:val="center"/>
                </w:tcPr>
                <w:p w14:paraId="2CA29722">
                  <w:pPr>
                    <w:spacing w:line="280" w:lineRule="exact"/>
                    <w:jc w:val="center"/>
                    <w:rPr>
                      <w:color w:val="auto"/>
                      <w:szCs w:val="21"/>
                    </w:rPr>
                  </w:pPr>
                  <w:r>
                    <w:rPr>
                      <w:rFonts w:hint="eastAsia"/>
                      <w:color w:val="auto"/>
                      <w:szCs w:val="21"/>
                    </w:rPr>
                    <w:t>切削液</w:t>
                  </w:r>
                </w:p>
              </w:tc>
              <w:tc>
                <w:tcPr>
                  <w:tcW w:w="1633" w:type="dxa"/>
                  <w:vAlign w:val="center"/>
                </w:tcPr>
                <w:p w14:paraId="7A17A5EE">
                  <w:pPr>
                    <w:spacing w:line="280" w:lineRule="exact"/>
                    <w:jc w:val="center"/>
                    <w:rPr>
                      <w:color w:val="auto"/>
                      <w:szCs w:val="21"/>
                    </w:rPr>
                  </w:pPr>
                  <w:r>
                    <w:rPr>
                      <w:rFonts w:hint="eastAsia"/>
                      <w:color w:val="auto"/>
                      <w:szCs w:val="21"/>
                    </w:rPr>
                    <w:t>0.054</w:t>
                  </w:r>
                </w:p>
              </w:tc>
              <w:tc>
                <w:tcPr>
                  <w:tcW w:w="1069" w:type="dxa"/>
                  <w:vAlign w:val="center"/>
                </w:tcPr>
                <w:p w14:paraId="5922DDCB">
                  <w:pPr>
                    <w:pStyle w:val="906"/>
                    <w:spacing w:line="240" w:lineRule="auto"/>
                    <w:rPr>
                      <w:rFonts w:cs="Times New Roman"/>
                      <w:color w:val="auto"/>
                      <w:sz w:val="21"/>
                    </w:rPr>
                  </w:pPr>
                  <w:r>
                    <w:rPr>
                      <w:rFonts w:cs="Times New Roman"/>
                      <w:color w:val="auto"/>
                      <w:sz w:val="21"/>
                    </w:rPr>
                    <w:t>√</w:t>
                  </w:r>
                </w:p>
              </w:tc>
              <w:tc>
                <w:tcPr>
                  <w:tcW w:w="809" w:type="dxa"/>
                  <w:vAlign w:val="center"/>
                </w:tcPr>
                <w:p w14:paraId="65F4DA2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CAD7831">
                  <w:pPr>
                    <w:pStyle w:val="73"/>
                    <w:spacing w:line="240" w:lineRule="auto"/>
                    <w:ind w:firstLine="0" w:firstLineChars="0"/>
                    <w:rPr>
                      <w:rFonts w:ascii="Times New Roman" w:hAnsi="Times New Roman"/>
                      <w:color w:val="auto"/>
                      <w:sz w:val="21"/>
                      <w:szCs w:val="21"/>
                    </w:rPr>
                  </w:pPr>
                </w:p>
              </w:tc>
            </w:tr>
            <w:tr w14:paraId="1BC6E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36DA9517">
                  <w:pPr>
                    <w:pStyle w:val="906"/>
                    <w:spacing w:line="240" w:lineRule="auto"/>
                    <w:rPr>
                      <w:rFonts w:cs="Times New Roman"/>
                      <w:color w:val="auto"/>
                      <w:sz w:val="21"/>
                      <w:lang w:val="en-US"/>
                    </w:rPr>
                  </w:pPr>
                  <w:r>
                    <w:rPr>
                      <w:rFonts w:hint="eastAsia" w:cs="Times New Roman"/>
                      <w:color w:val="auto"/>
                      <w:sz w:val="21"/>
                      <w:lang w:val="en-US"/>
                    </w:rPr>
                    <w:t>15</w:t>
                  </w:r>
                </w:p>
              </w:tc>
              <w:tc>
                <w:tcPr>
                  <w:tcW w:w="1559" w:type="dxa"/>
                  <w:vAlign w:val="center"/>
                </w:tcPr>
                <w:p w14:paraId="73B82AAB">
                  <w:pPr>
                    <w:spacing w:line="200" w:lineRule="atLeast"/>
                    <w:jc w:val="center"/>
                    <w:rPr>
                      <w:color w:val="auto"/>
                      <w:szCs w:val="21"/>
                    </w:rPr>
                  </w:pPr>
                  <w:r>
                    <w:rPr>
                      <w:rFonts w:hint="eastAsia"/>
                      <w:color w:val="auto"/>
                      <w:szCs w:val="21"/>
                    </w:rPr>
                    <w:t>废焊渣、废焊丝</w:t>
                  </w:r>
                </w:p>
              </w:tc>
              <w:tc>
                <w:tcPr>
                  <w:tcW w:w="1482" w:type="dxa"/>
                  <w:vAlign w:val="center"/>
                </w:tcPr>
                <w:p w14:paraId="518F4817">
                  <w:pPr>
                    <w:spacing w:line="280" w:lineRule="exact"/>
                    <w:jc w:val="center"/>
                    <w:rPr>
                      <w:color w:val="auto"/>
                      <w:szCs w:val="21"/>
                    </w:rPr>
                  </w:pPr>
                  <w:r>
                    <w:rPr>
                      <w:rFonts w:hint="eastAsia"/>
                      <w:color w:val="auto"/>
                      <w:szCs w:val="21"/>
                    </w:rPr>
                    <w:t>焊接</w:t>
                  </w:r>
                </w:p>
              </w:tc>
              <w:tc>
                <w:tcPr>
                  <w:tcW w:w="597" w:type="dxa"/>
                  <w:vAlign w:val="center"/>
                </w:tcPr>
                <w:p w14:paraId="3DC9B3FA">
                  <w:pPr>
                    <w:spacing w:line="280" w:lineRule="exact"/>
                    <w:jc w:val="center"/>
                    <w:rPr>
                      <w:color w:val="auto"/>
                      <w:szCs w:val="21"/>
                    </w:rPr>
                  </w:pPr>
                  <w:r>
                    <w:rPr>
                      <w:rFonts w:hint="eastAsia"/>
                      <w:color w:val="auto"/>
                      <w:szCs w:val="21"/>
                    </w:rPr>
                    <w:t>固</w:t>
                  </w:r>
                </w:p>
              </w:tc>
              <w:tc>
                <w:tcPr>
                  <w:tcW w:w="2668" w:type="dxa"/>
                  <w:vAlign w:val="center"/>
                </w:tcPr>
                <w:p w14:paraId="794D8570">
                  <w:pPr>
                    <w:spacing w:line="280" w:lineRule="exact"/>
                    <w:jc w:val="center"/>
                    <w:rPr>
                      <w:color w:val="auto"/>
                      <w:szCs w:val="21"/>
                    </w:rPr>
                  </w:pPr>
                  <w:r>
                    <w:rPr>
                      <w:rFonts w:hint="eastAsia"/>
                      <w:color w:val="auto"/>
                      <w:szCs w:val="21"/>
                    </w:rPr>
                    <w:t>焊丝</w:t>
                  </w:r>
                </w:p>
              </w:tc>
              <w:tc>
                <w:tcPr>
                  <w:tcW w:w="1633" w:type="dxa"/>
                  <w:vAlign w:val="center"/>
                </w:tcPr>
                <w:p w14:paraId="7BD995A8">
                  <w:pPr>
                    <w:spacing w:line="280" w:lineRule="exact"/>
                    <w:jc w:val="center"/>
                    <w:rPr>
                      <w:color w:val="auto"/>
                      <w:szCs w:val="21"/>
                    </w:rPr>
                  </w:pPr>
                  <w:r>
                    <w:rPr>
                      <w:rFonts w:hint="eastAsia"/>
                      <w:color w:val="auto"/>
                      <w:szCs w:val="21"/>
                    </w:rPr>
                    <w:t>0.00654</w:t>
                  </w:r>
                </w:p>
              </w:tc>
              <w:tc>
                <w:tcPr>
                  <w:tcW w:w="1069" w:type="dxa"/>
                  <w:vAlign w:val="center"/>
                </w:tcPr>
                <w:p w14:paraId="45857707">
                  <w:pPr>
                    <w:pStyle w:val="906"/>
                    <w:spacing w:line="240" w:lineRule="auto"/>
                    <w:rPr>
                      <w:rFonts w:cs="Times New Roman"/>
                      <w:color w:val="auto"/>
                      <w:sz w:val="21"/>
                    </w:rPr>
                  </w:pPr>
                  <w:r>
                    <w:rPr>
                      <w:rFonts w:cs="Times New Roman"/>
                      <w:color w:val="auto"/>
                      <w:sz w:val="21"/>
                    </w:rPr>
                    <w:t>√</w:t>
                  </w:r>
                </w:p>
              </w:tc>
              <w:tc>
                <w:tcPr>
                  <w:tcW w:w="809" w:type="dxa"/>
                  <w:vAlign w:val="center"/>
                </w:tcPr>
                <w:p w14:paraId="15ECA5EC">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BF8ABA3">
                  <w:pPr>
                    <w:pStyle w:val="73"/>
                    <w:spacing w:line="240" w:lineRule="auto"/>
                    <w:ind w:firstLine="0" w:firstLineChars="0"/>
                    <w:rPr>
                      <w:rFonts w:ascii="Times New Roman" w:hAnsi="Times New Roman"/>
                      <w:color w:val="auto"/>
                      <w:sz w:val="21"/>
                      <w:szCs w:val="21"/>
                    </w:rPr>
                  </w:pPr>
                </w:p>
              </w:tc>
            </w:tr>
            <w:tr w14:paraId="6473A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0DFB077">
                  <w:pPr>
                    <w:pStyle w:val="906"/>
                    <w:spacing w:line="240" w:lineRule="auto"/>
                    <w:rPr>
                      <w:rFonts w:cs="Times New Roman"/>
                      <w:color w:val="auto"/>
                      <w:sz w:val="21"/>
                      <w:lang w:val="en-US"/>
                    </w:rPr>
                  </w:pPr>
                  <w:r>
                    <w:rPr>
                      <w:rFonts w:hint="eastAsia" w:cs="Times New Roman"/>
                      <w:color w:val="auto"/>
                      <w:sz w:val="21"/>
                      <w:lang w:val="en-US"/>
                    </w:rPr>
                    <w:t>16</w:t>
                  </w:r>
                </w:p>
              </w:tc>
              <w:tc>
                <w:tcPr>
                  <w:tcW w:w="1559" w:type="dxa"/>
                  <w:vAlign w:val="center"/>
                </w:tcPr>
                <w:p w14:paraId="4DD3ED7F">
                  <w:pPr>
                    <w:spacing w:line="200" w:lineRule="atLeast"/>
                    <w:jc w:val="center"/>
                    <w:rPr>
                      <w:color w:val="auto"/>
                      <w:szCs w:val="21"/>
                    </w:rPr>
                  </w:pPr>
                  <w:r>
                    <w:rPr>
                      <w:rFonts w:hint="eastAsia"/>
                      <w:color w:val="auto"/>
                      <w:szCs w:val="21"/>
                    </w:rPr>
                    <w:t>喷涂渣</w:t>
                  </w:r>
                </w:p>
              </w:tc>
              <w:tc>
                <w:tcPr>
                  <w:tcW w:w="1482" w:type="dxa"/>
                  <w:vAlign w:val="center"/>
                </w:tcPr>
                <w:p w14:paraId="32729C90">
                  <w:pPr>
                    <w:spacing w:line="280" w:lineRule="exact"/>
                    <w:jc w:val="center"/>
                    <w:rPr>
                      <w:color w:val="auto"/>
                      <w:szCs w:val="21"/>
                    </w:rPr>
                  </w:pPr>
                  <w:r>
                    <w:rPr>
                      <w:rFonts w:hint="eastAsia"/>
                      <w:color w:val="auto"/>
                      <w:szCs w:val="21"/>
                    </w:rPr>
                    <w:t>喷粉</w:t>
                  </w:r>
                </w:p>
              </w:tc>
              <w:tc>
                <w:tcPr>
                  <w:tcW w:w="597" w:type="dxa"/>
                  <w:vAlign w:val="center"/>
                </w:tcPr>
                <w:p w14:paraId="2AEDFB9A">
                  <w:pPr>
                    <w:spacing w:line="280" w:lineRule="exact"/>
                    <w:jc w:val="center"/>
                    <w:rPr>
                      <w:color w:val="auto"/>
                      <w:szCs w:val="21"/>
                    </w:rPr>
                  </w:pPr>
                  <w:r>
                    <w:rPr>
                      <w:rFonts w:hint="eastAsia"/>
                      <w:color w:val="auto"/>
                      <w:szCs w:val="21"/>
                    </w:rPr>
                    <w:t>固</w:t>
                  </w:r>
                </w:p>
              </w:tc>
              <w:tc>
                <w:tcPr>
                  <w:tcW w:w="2668" w:type="dxa"/>
                  <w:vAlign w:val="center"/>
                </w:tcPr>
                <w:p w14:paraId="7230E411">
                  <w:pPr>
                    <w:spacing w:line="280" w:lineRule="exact"/>
                    <w:jc w:val="center"/>
                    <w:rPr>
                      <w:color w:val="auto"/>
                      <w:szCs w:val="21"/>
                    </w:rPr>
                  </w:pPr>
                  <w:r>
                    <w:rPr>
                      <w:rFonts w:hint="eastAsia"/>
                      <w:color w:val="auto"/>
                      <w:szCs w:val="21"/>
                    </w:rPr>
                    <w:t>喷粉</w:t>
                  </w:r>
                </w:p>
              </w:tc>
              <w:tc>
                <w:tcPr>
                  <w:tcW w:w="1633" w:type="dxa"/>
                  <w:vAlign w:val="center"/>
                </w:tcPr>
                <w:p w14:paraId="07A4A750">
                  <w:pPr>
                    <w:spacing w:line="280" w:lineRule="exact"/>
                    <w:jc w:val="center"/>
                    <w:rPr>
                      <w:color w:val="auto"/>
                      <w:szCs w:val="21"/>
                    </w:rPr>
                  </w:pPr>
                  <w:r>
                    <w:rPr>
                      <w:rFonts w:hint="eastAsia"/>
                      <w:color w:val="auto"/>
                      <w:szCs w:val="21"/>
                    </w:rPr>
                    <w:t>0.037</w:t>
                  </w:r>
                </w:p>
              </w:tc>
              <w:tc>
                <w:tcPr>
                  <w:tcW w:w="1069" w:type="dxa"/>
                  <w:vAlign w:val="center"/>
                </w:tcPr>
                <w:p w14:paraId="497E45A9">
                  <w:pPr>
                    <w:pStyle w:val="906"/>
                    <w:spacing w:line="240" w:lineRule="auto"/>
                    <w:rPr>
                      <w:rFonts w:cs="Times New Roman"/>
                      <w:color w:val="auto"/>
                      <w:sz w:val="21"/>
                    </w:rPr>
                  </w:pPr>
                  <w:r>
                    <w:rPr>
                      <w:rFonts w:cs="Times New Roman"/>
                      <w:color w:val="auto"/>
                      <w:sz w:val="21"/>
                    </w:rPr>
                    <w:t>√</w:t>
                  </w:r>
                </w:p>
              </w:tc>
              <w:tc>
                <w:tcPr>
                  <w:tcW w:w="809" w:type="dxa"/>
                  <w:vAlign w:val="center"/>
                </w:tcPr>
                <w:p w14:paraId="1649582D">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16526B7">
                  <w:pPr>
                    <w:pStyle w:val="73"/>
                    <w:spacing w:line="240" w:lineRule="auto"/>
                    <w:ind w:firstLine="0" w:firstLineChars="0"/>
                    <w:rPr>
                      <w:rFonts w:ascii="Times New Roman" w:hAnsi="Times New Roman"/>
                      <w:color w:val="auto"/>
                      <w:sz w:val="21"/>
                      <w:szCs w:val="21"/>
                    </w:rPr>
                  </w:pPr>
                </w:p>
              </w:tc>
            </w:tr>
            <w:tr w14:paraId="1C4CD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5D330A4">
                  <w:pPr>
                    <w:pStyle w:val="906"/>
                    <w:spacing w:line="240" w:lineRule="auto"/>
                    <w:rPr>
                      <w:rFonts w:cs="Times New Roman"/>
                      <w:color w:val="auto"/>
                      <w:sz w:val="21"/>
                      <w:lang w:val="en-US"/>
                    </w:rPr>
                  </w:pPr>
                  <w:r>
                    <w:rPr>
                      <w:rFonts w:hint="eastAsia" w:cs="Times New Roman"/>
                      <w:color w:val="auto"/>
                      <w:sz w:val="21"/>
                      <w:lang w:val="en-US"/>
                    </w:rPr>
                    <w:t>17</w:t>
                  </w:r>
                </w:p>
              </w:tc>
              <w:tc>
                <w:tcPr>
                  <w:tcW w:w="1559" w:type="dxa"/>
                  <w:vAlign w:val="center"/>
                </w:tcPr>
                <w:p w14:paraId="33ED0C85">
                  <w:pPr>
                    <w:spacing w:line="200" w:lineRule="atLeast"/>
                    <w:jc w:val="center"/>
                    <w:rPr>
                      <w:color w:val="auto"/>
                      <w:szCs w:val="21"/>
                    </w:rPr>
                  </w:pPr>
                  <w:r>
                    <w:rPr>
                      <w:rFonts w:hint="eastAsia"/>
                      <w:color w:val="auto"/>
                      <w:szCs w:val="21"/>
                    </w:rPr>
                    <w:t>废抹布</w:t>
                  </w:r>
                </w:p>
              </w:tc>
              <w:tc>
                <w:tcPr>
                  <w:tcW w:w="1482" w:type="dxa"/>
                  <w:vAlign w:val="center"/>
                </w:tcPr>
                <w:p w14:paraId="2A5A9795">
                  <w:pPr>
                    <w:spacing w:line="280" w:lineRule="exact"/>
                    <w:jc w:val="center"/>
                    <w:rPr>
                      <w:color w:val="auto"/>
                      <w:szCs w:val="21"/>
                    </w:rPr>
                  </w:pPr>
                  <w:r>
                    <w:rPr>
                      <w:rFonts w:hint="eastAsia"/>
                      <w:color w:val="auto"/>
                      <w:szCs w:val="21"/>
                    </w:rPr>
                    <w:t>清洁</w:t>
                  </w:r>
                </w:p>
              </w:tc>
              <w:tc>
                <w:tcPr>
                  <w:tcW w:w="597" w:type="dxa"/>
                  <w:vAlign w:val="center"/>
                </w:tcPr>
                <w:p w14:paraId="2105C8F4">
                  <w:pPr>
                    <w:spacing w:line="280" w:lineRule="exact"/>
                    <w:jc w:val="center"/>
                    <w:rPr>
                      <w:color w:val="auto"/>
                      <w:szCs w:val="21"/>
                    </w:rPr>
                  </w:pPr>
                  <w:r>
                    <w:rPr>
                      <w:rFonts w:hint="eastAsia"/>
                      <w:color w:val="auto"/>
                      <w:szCs w:val="21"/>
                    </w:rPr>
                    <w:t>固</w:t>
                  </w:r>
                </w:p>
              </w:tc>
              <w:tc>
                <w:tcPr>
                  <w:tcW w:w="2668" w:type="dxa"/>
                  <w:vAlign w:val="center"/>
                </w:tcPr>
                <w:p w14:paraId="45BAD41C">
                  <w:pPr>
                    <w:spacing w:line="280" w:lineRule="exact"/>
                    <w:jc w:val="center"/>
                    <w:rPr>
                      <w:color w:val="auto"/>
                      <w:szCs w:val="21"/>
                    </w:rPr>
                  </w:pPr>
                  <w:r>
                    <w:rPr>
                      <w:rFonts w:hint="eastAsia"/>
                      <w:color w:val="auto"/>
                      <w:szCs w:val="21"/>
                    </w:rPr>
                    <w:t>碳氢清洗剂</w:t>
                  </w:r>
                </w:p>
              </w:tc>
              <w:tc>
                <w:tcPr>
                  <w:tcW w:w="1633" w:type="dxa"/>
                  <w:vAlign w:val="center"/>
                </w:tcPr>
                <w:p w14:paraId="174E59E1">
                  <w:pPr>
                    <w:spacing w:line="280" w:lineRule="exact"/>
                    <w:jc w:val="center"/>
                    <w:rPr>
                      <w:color w:val="auto"/>
                      <w:szCs w:val="21"/>
                    </w:rPr>
                  </w:pPr>
                  <w:r>
                    <w:rPr>
                      <w:rFonts w:hint="eastAsia"/>
                      <w:color w:val="auto"/>
                      <w:szCs w:val="21"/>
                    </w:rPr>
                    <w:t>0.2</w:t>
                  </w:r>
                </w:p>
              </w:tc>
              <w:tc>
                <w:tcPr>
                  <w:tcW w:w="1069" w:type="dxa"/>
                  <w:vAlign w:val="center"/>
                </w:tcPr>
                <w:p w14:paraId="3C796CD8">
                  <w:pPr>
                    <w:pStyle w:val="906"/>
                    <w:spacing w:line="240" w:lineRule="auto"/>
                    <w:rPr>
                      <w:rFonts w:cs="Times New Roman"/>
                      <w:color w:val="auto"/>
                      <w:sz w:val="21"/>
                    </w:rPr>
                  </w:pPr>
                  <w:r>
                    <w:rPr>
                      <w:rFonts w:cs="Times New Roman"/>
                      <w:color w:val="auto"/>
                      <w:sz w:val="21"/>
                    </w:rPr>
                    <w:t>√</w:t>
                  </w:r>
                </w:p>
              </w:tc>
              <w:tc>
                <w:tcPr>
                  <w:tcW w:w="809" w:type="dxa"/>
                  <w:vAlign w:val="center"/>
                </w:tcPr>
                <w:p w14:paraId="5BAB13C9">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37969C26">
                  <w:pPr>
                    <w:pStyle w:val="73"/>
                    <w:spacing w:line="240" w:lineRule="auto"/>
                    <w:ind w:firstLine="0" w:firstLineChars="0"/>
                    <w:rPr>
                      <w:rFonts w:ascii="Times New Roman" w:hAnsi="Times New Roman"/>
                      <w:color w:val="auto"/>
                      <w:sz w:val="21"/>
                      <w:szCs w:val="21"/>
                    </w:rPr>
                  </w:pPr>
                </w:p>
              </w:tc>
            </w:tr>
            <w:tr w14:paraId="740F6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E6565E5">
                  <w:pPr>
                    <w:pStyle w:val="906"/>
                    <w:spacing w:line="240" w:lineRule="auto"/>
                    <w:rPr>
                      <w:rFonts w:cs="Times New Roman"/>
                      <w:color w:val="auto"/>
                      <w:sz w:val="21"/>
                      <w:lang w:val="en-US"/>
                    </w:rPr>
                  </w:pPr>
                  <w:r>
                    <w:rPr>
                      <w:rFonts w:hint="eastAsia" w:cs="Times New Roman"/>
                      <w:color w:val="auto"/>
                      <w:sz w:val="21"/>
                      <w:lang w:val="en-US"/>
                    </w:rPr>
                    <w:t>18</w:t>
                  </w:r>
                </w:p>
              </w:tc>
              <w:tc>
                <w:tcPr>
                  <w:tcW w:w="1559" w:type="dxa"/>
                  <w:vAlign w:val="center"/>
                </w:tcPr>
                <w:p w14:paraId="07A5D028">
                  <w:pPr>
                    <w:spacing w:line="200" w:lineRule="atLeast"/>
                    <w:jc w:val="center"/>
                    <w:rPr>
                      <w:color w:val="auto"/>
                      <w:szCs w:val="21"/>
                    </w:rPr>
                  </w:pPr>
                  <w:r>
                    <w:rPr>
                      <w:rFonts w:hint="eastAsia"/>
                      <w:color w:val="auto"/>
                      <w:szCs w:val="21"/>
                    </w:rPr>
                    <w:t>废布轮</w:t>
                  </w:r>
                </w:p>
              </w:tc>
              <w:tc>
                <w:tcPr>
                  <w:tcW w:w="1482" w:type="dxa"/>
                  <w:vAlign w:val="center"/>
                </w:tcPr>
                <w:p w14:paraId="470D18F6">
                  <w:pPr>
                    <w:spacing w:line="280" w:lineRule="exact"/>
                    <w:jc w:val="center"/>
                    <w:rPr>
                      <w:color w:val="auto"/>
                      <w:szCs w:val="21"/>
                    </w:rPr>
                  </w:pPr>
                  <w:r>
                    <w:rPr>
                      <w:rFonts w:hint="eastAsia"/>
                      <w:color w:val="auto"/>
                      <w:szCs w:val="21"/>
                    </w:rPr>
                    <w:t>抛光</w:t>
                  </w:r>
                </w:p>
              </w:tc>
              <w:tc>
                <w:tcPr>
                  <w:tcW w:w="597" w:type="dxa"/>
                  <w:vAlign w:val="center"/>
                </w:tcPr>
                <w:p w14:paraId="4A24FE03">
                  <w:pPr>
                    <w:spacing w:line="280" w:lineRule="exact"/>
                    <w:jc w:val="center"/>
                    <w:rPr>
                      <w:color w:val="auto"/>
                      <w:szCs w:val="21"/>
                    </w:rPr>
                  </w:pPr>
                  <w:r>
                    <w:rPr>
                      <w:rFonts w:hint="eastAsia"/>
                      <w:color w:val="auto"/>
                      <w:szCs w:val="21"/>
                    </w:rPr>
                    <w:t>固</w:t>
                  </w:r>
                </w:p>
              </w:tc>
              <w:tc>
                <w:tcPr>
                  <w:tcW w:w="2668" w:type="dxa"/>
                  <w:vAlign w:val="center"/>
                </w:tcPr>
                <w:p w14:paraId="5666CED4">
                  <w:pPr>
                    <w:spacing w:line="280" w:lineRule="exact"/>
                    <w:jc w:val="center"/>
                    <w:rPr>
                      <w:color w:val="auto"/>
                      <w:szCs w:val="21"/>
                    </w:rPr>
                  </w:pPr>
                  <w:r>
                    <w:rPr>
                      <w:rFonts w:hint="eastAsia"/>
                      <w:color w:val="auto"/>
                      <w:szCs w:val="21"/>
                    </w:rPr>
                    <w:t>布轮</w:t>
                  </w:r>
                </w:p>
              </w:tc>
              <w:tc>
                <w:tcPr>
                  <w:tcW w:w="1633" w:type="dxa"/>
                  <w:vAlign w:val="center"/>
                </w:tcPr>
                <w:p w14:paraId="0D39F055">
                  <w:pPr>
                    <w:spacing w:line="280" w:lineRule="exact"/>
                    <w:jc w:val="center"/>
                    <w:rPr>
                      <w:color w:val="auto"/>
                      <w:szCs w:val="21"/>
                    </w:rPr>
                  </w:pPr>
                  <w:r>
                    <w:rPr>
                      <w:rFonts w:hint="eastAsia"/>
                      <w:color w:val="auto"/>
                      <w:szCs w:val="21"/>
                    </w:rPr>
                    <w:t>1.76</w:t>
                  </w:r>
                </w:p>
              </w:tc>
              <w:tc>
                <w:tcPr>
                  <w:tcW w:w="1069" w:type="dxa"/>
                  <w:vAlign w:val="center"/>
                </w:tcPr>
                <w:p w14:paraId="3AC02F74">
                  <w:pPr>
                    <w:pStyle w:val="906"/>
                    <w:spacing w:line="240" w:lineRule="auto"/>
                    <w:rPr>
                      <w:rFonts w:cs="Times New Roman"/>
                      <w:color w:val="auto"/>
                      <w:sz w:val="21"/>
                    </w:rPr>
                  </w:pPr>
                  <w:r>
                    <w:rPr>
                      <w:rFonts w:cs="Times New Roman"/>
                      <w:color w:val="auto"/>
                      <w:sz w:val="21"/>
                    </w:rPr>
                    <w:t>√</w:t>
                  </w:r>
                </w:p>
              </w:tc>
              <w:tc>
                <w:tcPr>
                  <w:tcW w:w="809" w:type="dxa"/>
                  <w:vAlign w:val="center"/>
                </w:tcPr>
                <w:p w14:paraId="11747A1D">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B92A0A8">
                  <w:pPr>
                    <w:pStyle w:val="73"/>
                    <w:spacing w:line="240" w:lineRule="auto"/>
                    <w:ind w:firstLine="0" w:firstLineChars="0"/>
                    <w:rPr>
                      <w:rFonts w:ascii="Times New Roman" w:hAnsi="Times New Roman"/>
                      <w:color w:val="auto"/>
                      <w:sz w:val="21"/>
                      <w:szCs w:val="21"/>
                    </w:rPr>
                  </w:pPr>
                </w:p>
              </w:tc>
            </w:tr>
            <w:tr w14:paraId="1D75F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9212D9C">
                  <w:pPr>
                    <w:pStyle w:val="906"/>
                    <w:spacing w:line="240" w:lineRule="auto"/>
                    <w:rPr>
                      <w:rFonts w:cs="Times New Roman"/>
                      <w:color w:val="auto"/>
                      <w:sz w:val="21"/>
                      <w:lang w:val="en-US"/>
                    </w:rPr>
                  </w:pPr>
                  <w:r>
                    <w:rPr>
                      <w:rFonts w:hint="eastAsia" w:cs="Times New Roman"/>
                      <w:color w:val="auto"/>
                      <w:sz w:val="21"/>
                      <w:lang w:val="en-US"/>
                    </w:rPr>
                    <w:t>19</w:t>
                  </w:r>
                </w:p>
              </w:tc>
              <w:tc>
                <w:tcPr>
                  <w:tcW w:w="1559" w:type="dxa"/>
                  <w:vAlign w:val="center"/>
                </w:tcPr>
                <w:p w14:paraId="3E7E51B9">
                  <w:pPr>
                    <w:spacing w:line="200" w:lineRule="atLeast"/>
                    <w:jc w:val="center"/>
                    <w:rPr>
                      <w:color w:val="auto"/>
                      <w:szCs w:val="21"/>
                    </w:rPr>
                  </w:pPr>
                  <w:r>
                    <w:rPr>
                      <w:rFonts w:hint="eastAsia"/>
                      <w:color w:val="auto"/>
                      <w:szCs w:val="21"/>
                    </w:rPr>
                    <w:t>废油墨</w:t>
                  </w:r>
                </w:p>
              </w:tc>
              <w:tc>
                <w:tcPr>
                  <w:tcW w:w="1482" w:type="dxa"/>
                  <w:vAlign w:val="center"/>
                </w:tcPr>
                <w:p w14:paraId="6DB86E6D">
                  <w:pPr>
                    <w:spacing w:line="280" w:lineRule="exact"/>
                    <w:jc w:val="center"/>
                    <w:rPr>
                      <w:color w:val="auto"/>
                      <w:szCs w:val="21"/>
                    </w:rPr>
                  </w:pPr>
                  <w:r>
                    <w:rPr>
                      <w:rFonts w:hint="eastAsia"/>
                      <w:color w:val="auto"/>
                      <w:szCs w:val="21"/>
                    </w:rPr>
                    <w:t>丝印</w:t>
                  </w:r>
                </w:p>
              </w:tc>
              <w:tc>
                <w:tcPr>
                  <w:tcW w:w="597" w:type="dxa"/>
                  <w:vAlign w:val="center"/>
                </w:tcPr>
                <w:p w14:paraId="2E6235C9">
                  <w:pPr>
                    <w:spacing w:line="280" w:lineRule="exact"/>
                    <w:jc w:val="center"/>
                    <w:rPr>
                      <w:color w:val="auto"/>
                      <w:szCs w:val="21"/>
                    </w:rPr>
                  </w:pPr>
                  <w:r>
                    <w:rPr>
                      <w:rFonts w:hint="eastAsia"/>
                      <w:color w:val="auto"/>
                      <w:szCs w:val="21"/>
                    </w:rPr>
                    <w:t>液</w:t>
                  </w:r>
                </w:p>
              </w:tc>
              <w:tc>
                <w:tcPr>
                  <w:tcW w:w="2668" w:type="dxa"/>
                  <w:vAlign w:val="center"/>
                </w:tcPr>
                <w:p w14:paraId="2C5E7BE6">
                  <w:pPr>
                    <w:spacing w:line="280" w:lineRule="exact"/>
                    <w:jc w:val="center"/>
                    <w:rPr>
                      <w:color w:val="auto"/>
                      <w:szCs w:val="21"/>
                    </w:rPr>
                  </w:pPr>
                  <w:r>
                    <w:rPr>
                      <w:rFonts w:hint="eastAsia"/>
                      <w:color w:val="auto"/>
                      <w:szCs w:val="21"/>
                    </w:rPr>
                    <w:t>油墨</w:t>
                  </w:r>
                </w:p>
              </w:tc>
              <w:tc>
                <w:tcPr>
                  <w:tcW w:w="1633" w:type="dxa"/>
                  <w:vAlign w:val="center"/>
                </w:tcPr>
                <w:p w14:paraId="1D740A22">
                  <w:pPr>
                    <w:spacing w:line="280" w:lineRule="exact"/>
                    <w:jc w:val="center"/>
                    <w:rPr>
                      <w:color w:val="auto"/>
                      <w:szCs w:val="21"/>
                    </w:rPr>
                  </w:pPr>
                  <w:r>
                    <w:rPr>
                      <w:rFonts w:hint="eastAsia"/>
                      <w:color w:val="auto"/>
                      <w:szCs w:val="21"/>
                    </w:rPr>
                    <w:t>0.00025</w:t>
                  </w:r>
                </w:p>
              </w:tc>
              <w:tc>
                <w:tcPr>
                  <w:tcW w:w="1069" w:type="dxa"/>
                  <w:vAlign w:val="center"/>
                </w:tcPr>
                <w:p w14:paraId="6D854E07">
                  <w:pPr>
                    <w:pStyle w:val="906"/>
                    <w:spacing w:line="240" w:lineRule="auto"/>
                    <w:rPr>
                      <w:rFonts w:cs="Times New Roman"/>
                      <w:color w:val="auto"/>
                      <w:sz w:val="21"/>
                    </w:rPr>
                  </w:pPr>
                  <w:r>
                    <w:rPr>
                      <w:rFonts w:cs="Times New Roman"/>
                      <w:color w:val="auto"/>
                      <w:sz w:val="21"/>
                    </w:rPr>
                    <w:t>√</w:t>
                  </w:r>
                </w:p>
              </w:tc>
              <w:tc>
                <w:tcPr>
                  <w:tcW w:w="809" w:type="dxa"/>
                  <w:vAlign w:val="center"/>
                </w:tcPr>
                <w:p w14:paraId="2B14EDA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3133CD61">
                  <w:pPr>
                    <w:pStyle w:val="73"/>
                    <w:spacing w:line="240" w:lineRule="auto"/>
                    <w:ind w:firstLine="0" w:firstLineChars="0"/>
                    <w:rPr>
                      <w:rFonts w:ascii="Times New Roman" w:hAnsi="Times New Roman"/>
                      <w:color w:val="auto"/>
                      <w:sz w:val="21"/>
                      <w:szCs w:val="21"/>
                    </w:rPr>
                  </w:pPr>
                </w:p>
              </w:tc>
            </w:tr>
            <w:tr w14:paraId="0462A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42253711">
                  <w:pPr>
                    <w:pStyle w:val="906"/>
                    <w:spacing w:line="240" w:lineRule="auto"/>
                    <w:rPr>
                      <w:rFonts w:cs="Times New Roman"/>
                      <w:color w:val="auto"/>
                      <w:sz w:val="21"/>
                      <w:lang w:val="en-US"/>
                    </w:rPr>
                  </w:pPr>
                  <w:r>
                    <w:rPr>
                      <w:rFonts w:hint="eastAsia" w:cs="Times New Roman"/>
                      <w:color w:val="auto"/>
                      <w:sz w:val="21"/>
                      <w:lang w:val="en-US"/>
                    </w:rPr>
                    <w:t>20</w:t>
                  </w:r>
                </w:p>
              </w:tc>
              <w:tc>
                <w:tcPr>
                  <w:tcW w:w="1559" w:type="dxa"/>
                  <w:vAlign w:val="center"/>
                </w:tcPr>
                <w:p w14:paraId="05C3F3BA">
                  <w:pPr>
                    <w:spacing w:line="200" w:lineRule="atLeast"/>
                    <w:jc w:val="center"/>
                    <w:rPr>
                      <w:color w:val="auto"/>
                      <w:szCs w:val="21"/>
                    </w:rPr>
                  </w:pPr>
                  <w:r>
                    <w:rPr>
                      <w:rFonts w:hint="eastAsia"/>
                      <w:color w:val="auto"/>
                      <w:szCs w:val="21"/>
                    </w:rPr>
                    <w:t>废油墨桶</w:t>
                  </w:r>
                </w:p>
              </w:tc>
              <w:tc>
                <w:tcPr>
                  <w:tcW w:w="1482" w:type="dxa"/>
                  <w:vAlign w:val="center"/>
                </w:tcPr>
                <w:p w14:paraId="5D82E12F">
                  <w:pPr>
                    <w:spacing w:line="280" w:lineRule="exact"/>
                    <w:jc w:val="center"/>
                    <w:rPr>
                      <w:color w:val="auto"/>
                      <w:szCs w:val="21"/>
                    </w:rPr>
                  </w:pPr>
                  <w:r>
                    <w:rPr>
                      <w:rFonts w:hint="eastAsia"/>
                      <w:color w:val="auto"/>
                      <w:szCs w:val="21"/>
                    </w:rPr>
                    <w:t>丝印</w:t>
                  </w:r>
                </w:p>
              </w:tc>
              <w:tc>
                <w:tcPr>
                  <w:tcW w:w="597" w:type="dxa"/>
                  <w:vAlign w:val="center"/>
                </w:tcPr>
                <w:p w14:paraId="212FD58D">
                  <w:pPr>
                    <w:spacing w:line="280" w:lineRule="exact"/>
                    <w:jc w:val="center"/>
                    <w:rPr>
                      <w:color w:val="auto"/>
                      <w:szCs w:val="21"/>
                    </w:rPr>
                  </w:pPr>
                  <w:r>
                    <w:rPr>
                      <w:rFonts w:hint="eastAsia"/>
                      <w:color w:val="auto"/>
                      <w:szCs w:val="21"/>
                    </w:rPr>
                    <w:t>固</w:t>
                  </w:r>
                </w:p>
              </w:tc>
              <w:tc>
                <w:tcPr>
                  <w:tcW w:w="2668" w:type="dxa"/>
                  <w:vAlign w:val="center"/>
                </w:tcPr>
                <w:p w14:paraId="0E378586">
                  <w:pPr>
                    <w:spacing w:line="280" w:lineRule="exact"/>
                    <w:jc w:val="center"/>
                    <w:rPr>
                      <w:color w:val="auto"/>
                      <w:szCs w:val="21"/>
                    </w:rPr>
                  </w:pPr>
                  <w:r>
                    <w:rPr>
                      <w:rFonts w:hint="eastAsia"/>
                      <w:color w:val="auto"/>
                      <w:szCs w:val="21"/>
                    </w:rPr>
                    <w:t>包装桶</w:t>
                  </w:r>
                </w:p>
              </w:tc>
              <w:tc>
                <w:tcPr>
                  <w:tcW w:w="1633" w:type="dxa"/>
                  <w:vAlign w:val="center"/>
                </w:tcPr>
                <w:p w14:paraId="50596F7F">
                  <w:pPr>
                    <w:spacing w:line="280" w:lineRule="exact"/>
                    <w:jc w:val="center"/>
                    <w:rPr>
                      <w:color w:val="auto"/>
                      <w:szCs w:val="21"/>
                    </w:rPr>
                  </w:pPr>
                  <w:r>
                    <w:rPr>
                      <w:rFonts w:hint="eastAsia"/>
                      <w:color w:val="auto"/>
                      <w:szCs w:val="21"/>
                    </w:rPr>
                    <w:t>0.0025</w:t>
                  </w:r>
                </w:p>
              </w:tc>
              <w:tc>
                <w:tcPr>
                  <w:tcW w:w="1069" w:type="dxa"/>
                  <w:vAlign w:val="center"/>
                </w:tcPr>
                <w:p w14:paraId="7057AAA1">
                  <w:pPr>
                    <w:pStyle w:val="906"/>
                    <w:spacing w:line="240" w:lineRule="auto"/>
                    <w:rPr>
                      <w:rFonts w:cs="Times New Roman"/>
                      <w:color w:val="auto"/>
                      <w:sz w:val="21"/>
                    </w:rPr>
                  </w:pPr>
                  <w:r>
                    <w:rPr>
                      <w:rFonts w:cs="Times New Roman"/>
                      <w:color w:val="auto"/>
                      <w:sz w:val="21"/>
                    </w:rPr>
                    <w:t>√</w:t>
                  </w:r>
                </w:p>
              </w:tc>
              <w:tc>
                <w:tcPr>
                  <w:tcW w:w="809" w:type="dxa"/>
                  <w:vAlign w:val="center"/>
                </w:tcPr>
                <w:p w14:paraId="5FBDB973">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CDA67E8">
                  <w:pPr>
                    <w:pStyle w:val="73"/>
                    <w:spacing w:line="240" w:lineRule="auto"/>
                    <w:ind w:firstLine="0" w:firstLineChars="0"/>
                    <w:rPr>
                      <w:rFonts w:ascii="Times New Roman" w:hAnsi="Times New Roman"/>
                      <w:color w:val="auto"/>
                      <w:sz w:val="21"/>
                      <w:szCs w:val="21"/>
                    </w:rPr>
                  </w:pPr>
                </w:p>
              </w:tc>
            </w:tr>
            <w:tr w14:paraId="78B9F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689AE8E2">
                  <w:pPr>
                    <w:pStyle w:val="906"/>
                    <w:spacing w:line="240" w:lineRule="auto"/>
                    <w:rPr>
                      <w:rFonts w:cs="Times New Roman"/>
                      <w:color w:val="auto"/>
                      <w:sz w:val="21"/>
                      <w:lang w:val="en-US"/>
                    </w:rPr>
                  </w:pPr>
                  <w:r>
                    <w:rPr>
                      <w:rFonts w:hint="eastAsia" w:cs="Times New Roman"/>
                      <w:color w:val="auto"/>
                      <w:sz w:val="21"/>
                      <w:lang w:val="en-US"/>
                    </w:rPr>
                    <w:t>21</w:t>
                  </w:r>
                </w:p>
              </w:tc>
              <w:tc>
                <w:tcPr>
                  <w:tcW w:w="1559" w:type="dxa"/>
                  <w:vAlign w:val="center"/>
                </w:tcPr>
                <w:p w14:paraId="3BC77058">
                  <w:pPr>
                    <w:spacing w:line="200" w:lineRule="atLeast"/>
                    <w:jc w:val="center"/>
                    <w:rPr>
                      <w:color w:val="auto"/>
                      <w:szCs w:val="21"/>
                    </w:rPr>
                  </w:pPr>
                  <w:r>
                    <w:rPr>
                      <w:rFonts w:hint="eastAsia"/>
                      <w:color w:val="auto"/>
                      <w:szCs w:val="21"/>
                    </w:rPr>
                    <w:t>废洗网水</w:t>
                  </w:r>
                </w:p>
              </w:tc>
              <w:tc>
                <w:tcPr>
                  <w:tcW w:w="1482" w:type="dxa"/>
                  <w:vAlign w:val="center"/>
                </w:tcPr>
                <w:p w14:paraId="7BB50411">
                  <w:pPr>
                    <w:spacing w:line="280" w:lineRule="exact"/>
                    <w:jc w:val="center"/>
                    <w:rPr>
                      <w:color w:val="auto"/>
                      <w:szCs w:val="21"/>
                    </w:rPr>
                  </w:pPr>
                  <w:r>
                    <w:rPr>
                      <w:rFonts w:hint="eastAsia"/>
                      <w:color w:val="auto"/>
                      <w:szCs w:val="21"/>
                    </w:rPr>
                    <w:t>丝印</w:t>
                  </w:r>
                </w:p>
              </w:tc>
              <w:tc>
                <w:tcPr>
                  <w:tcW w:w="597" w:type="dxa"/>
                  <w:vAlign w:val="center"/>
                </w:tcPr>
                <w:p w14:paraId="3708A830">
                  <w:pPr>
                    <w:spacing w:line="280" w:lineRule="exact"/>
                    <w:jc w:val="center"/>
                    <w:rPr>
                      <w:color w:val="auto"/>
                      <w:szCs w:val="21"/>
                    </w:rPr>
                  </w:pPr>
                  <w:r>
                    <w:rPr>
                      <w:rFonts w:hint="eastAsia"/>
                      <w:color w:val="auto"/>
                      <w:szCs w:val="21"/>
                    </w:rPr>
                    <w:t>液</w:t>
                  </w:r>
                </w:p>
              </w:tc>
              <w:tc>
                <w:tcPr>
                  <w:tcW w:w="2668" w:type="dxa"/>
                  <w:vAlign w:val="center"/>
                </w:tcPr>
                <w:p w14:paraId="50840D46">
                  <w:pPr>
                    <w:spacing w:line="280" w:lineRule="exact"/>
                    <w:jc w:val="center"/>
                    <w:rPr>
                      <w:color w:val="auto"/>
                      <w:szCs w:val="21"/>
                    </w:rPr>
                  </w:pPr>
                  <w:r>
                    <w:rPr>
                      <w:rFonts w:hint="eastAsia"/>
                      <w:color w:val="auto"/>
                      <w:szCs w:val="21"/>
                    </w:rPr>
                    <w:t>洗网水</w:t>
                  </w:r>
                </w:p>
              </w:tc>
              <w:tc>
                <w:tcPr>
                  <w:tcW w:w="1633" w:type="dxa"/>
                  <w:vAlign w:val="center"/>
                </w:tcPr>
                <w:p w14:paraId="7CBBA7F0">
                  <w:pPr>
                    <w:spacing w:line="280" w:lineRule="exact"/>
                    <w:jc w:val="center"/>
                    <w:rPr>
                      <w:color w:val="auto"/>
                      <w:szCs w:val="21"/>
                    </w:rPr>
                  </w:pPr>
                  <w:r>
                    <w:rPr>
                      <w:rFonts w:hint="eastAsia"/>
                      <w:color w:val="auto"/>
                      <w:szCs w:val="21"/>
                    </w:rPr>
                    <w:t>0.34</w:t>
                  </w:r>
                </w:p>
              </w:tc>
              <w:tc>
                <w:tcPr>
                  <w:tcW w:w="1069" w:type="dxa"/>
                  <w:vAlign w:val="center"/>
                </w:tcPr>
                <w:p w14:paraId="0AC6E007">
                  <w:pPr>
                    <w:pStyle w:val="906"/>
                    <w:spacing w:line="240" w:lineRule="auto"/>
                    <w:rPr>
                      <w:rFonts w:cs="Times New Roman"/>
                      <w:color w:val="auto"/>
                      <w:sz w:val="21"/>
                    </w:rPr>
                  </w:pPr>
                  <w:r>
                    <w:rPr>
                      <w:rFonts w:cs="Times New Roman"/>
                      <w:color w:val="auto"/>
                      <w:sz w:val="21"/>
                    </w:rPr>
                    <w:t>√</w:t>
                  </w:r>
                </w:p>
              </w:tc>
              <w:tc>
                <w:tcPr>
                  <w:tcW w:w="809" w:type="dxa"/>
                  <w:vAlign w:val="center"/>
                </w:tcPr>
                <w:p w14:paraId="5BEA6756">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200B2DAE">
                  <w:pPr>
                    <w:pStyle w:val="73"/>
                    <w:spacing w:line="240" w:lineRule="auto"/>
                    <w:ind w:firstLine="0" w:firstLineChars="0"/>
                    <w:rPr>
                      <w:rFonts w:ascii="Times New Roman" w:hAnsi="Times New Roman"/>
                      <w:color w:val="auto"/>
                      <w:sz w:val="21"/>
                      <w:szCs w:val="21"/>
                    </w:rPr>
                  </w:pPr>
                </w:p>
              </w:tc>
            </w:tr>
            <w:tr w14:paraId="62E3C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844F08D">
                  <w:pPr>
                    <w:pStyle w:val="906"/>
                    <w:spacing w:line="240" w:lineRule="auto"/>
                    <w:rPr>
                      <w:rFonts w:cs="Times New Roman"/>
                      <w:color w:val="auto"/>
                      <w:sz w:val="21"/>
                      <w:lang w:val="en-US"/>
                    </w:rPr>
                  </w:pPr>
                  <w:r>
                    <w:rPr>
                      <w:rFonts w:hint="eastAsia" w:cs="Times New Roman"/>
                      <w:color w:val="auto"/>
                      <w:sz w:val="21"/>
                      <w:lang w:val="en-US"/>
                    </w:rPr>
                    <w:t>22</w:t>
                  </w:r>
                </w:p>
              </w:tc>
              <w:tc>
                <w:tcPr>
                  <w:tcW w:w="1559" w:type="dxa"/>
                  <w:vAlign w:val="center"/>
                </w:tcPr>
                <w:p w14:paraId="1735696A">
                  <w:pPr>
                    <w:spacing w:line="200" w:lineRule="atLeast"/>
                    <w:jc w:val="center"/>
                    <w:rPr>
                      <w:color w:val="auto"/>
                      <w:szCs w:val="21"/>
                    </w:rPr>
                  </w:pPr>
                  <w:r>
                    <w:rPr>
                      <w:rFonts w:hint="eastAsia"/>
                      <w:color w:val="auto"/>
                      <w:szCs w:val="21"/>
                    </w:rPr>
                    <w:t>废机油</w:t>
                  </w:r>
                </w:p>
              </w:tc>
              <w:tc>
                <w:tcPr>
                  <w:tcW w:w="1482" w:type="dxa"/>
                  <w:vAlign w:val="center"/>
                </w:tcPr>
                <w:p w14:paraId="716070C5">
                  <w:pPr>
                    <w:spacing w:line="280" w:lineRule="exact"/>
                    <w:jc w:val="center"/>
                    <w:rPr>
                      <w:color w:val="auto"/>
                      <w:szCs w:val="21"/>
                    </w:rPr>
                  </w:pPr>
                  <w:r>
                    <w:rPr>
                      <w:rFonts w:hint="eastAsia"/>
                      <w:color w:val="auto"/>
                      <w:szCs w:val="21"/>
                    </w:rPr>
                    <w:t>设备维护</w:t>
                  </w:r>
                </w:p>
              </w:tc>
              <w:tc>
                <w:tcPr>
                  <w:tcW w:w="597" w:type="dxa"/>
                  <w:vAlign w:val="center"/>
                </w:tcPr>
                <w:p w14:paraId="1E6BC12D">
                  <w:pPr>
                    <w:spacing w:line="280" w:lineRule="exact"/>
                    <w:jc w:val="center"/>
                    <w:rPr>
                      <w:color w:val="auto"/>
                      <w:szCs w:val="21"/>
                    </w:rPr>
                  </w:pPr>
                  <w:r>
                    <w:rPr>
                      <w:rFonts w:hint="eastAsia"/>
                      <w:color w:val="auto"/>
                      <w:szCs w:val="21"/>
                    </w:rPr>
                    <w:t>液</w:t>
                  </w:r>
                </w:p>
              </w:tc>
              <w:tc>
                <w:tcPr>
                  <w:tcW w:w="2668" w:type="dxa"/>
                  <w:vAlign w:val="center"/>
                </w:tcPr>
                <w:p w14:paraId="7D34B314">
                  <w:pPr>
                    <w:spacing w:line="280" w:lineRule="exact"/>
                    <w:jc w:val="center"/>
                    <w:rPr>
                      <w:color w:val="auto"/>
                      <w:szCs w:val="21"/>
                    </w:rPr>
                  </w:pPr>
                  <w:r>
                    <w:rPr>
                      <w:rFonts w:hint="eastAsia"/>
                      <w:color w:val="auto"/>
                      <w:szCs w:val="21"/>
                    </w:rPr>
                    <w:t>机油</w:t>
                  </w:r>
                </w:p>
              </w:tc>
              <w:tc>
                <w:tcPr>
                  <w:tcW w:w="1633" w:type="dxa"/>
                  <w:vAlign w:val="center"/>
                </w:tcPr>
                <w:p w14:paraId="5E56D6E8">
                  <w:pPr>
                    <w:spacing w:line="280" w:lineRule="exact"/>
                    <w:jc w:val="center"/>
                    <w:rPr>
                      <w:color w:val="auto"/>
                      <w:szCs w:val="21"/>
                    </w:rPr>
                  </w:pPr>
                  <w:r>
                    <w:rPr>
                      <w:rFonts w:hint="eastAsia"/>
                      <w:color w:val="auto"/>
                      <w:szCs w:val="21"/>
                    </w:rPr>
                    <w:t>0.01</w:t>
                  </w:r>
                </w:p>
              </w:tc>
              <w:tc>
                <w:tcPr>
                  <w:tcW w:w="1069" w:type="dxa"/>
                  <w:vAlign w:val="center"/>
                </w:tcPr>
                <w:p w14:paraId="1716FFC2">
                  <w:pPr>
                    <w:pStyle w:val="906"/>
                    <w:spacing w:line="240" w:lineRule="auto"/>
                    <w:rPr>
                      <w:rFonts w:cs="Times New Roman"/>
                      <w:color w:val="auto"/>
                      <w:sz w:val="21"/>
                    </w:rPr>
                  </w:pPr>
                  <w:r>
                    <w:rPr>
                      <w:rFonts w:cs="Times New Roman"/>
                      <w:color w:val="auto"/>
                      <w:sz w:val="21"/>
                    </w:rPr>
                    <w:t>√</w:t>
                  </w:r>
                </w:p>
              </w:tc>
              <w:tc>
                <w:tcPr>
                  <w:tcW w:w="809" w:type="dxa"/>
                  <w:vAlign w:val="center"/>
                </w:tcPr>
                <w:p w14:paraId="02D70549">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2257B14">
                  <w:pPr>
                    <w:pStyle w:val="73"/>
                    <w:spacing w:line="240" w:lineRule="auto"/>
                    <w:ind w:firstLine="0" w:firstLineChars="0"/>
                    <w:rPr>
                      <w:rFonts w:ascii="Times New Roman" w:hAnsi="Times New Roman"/>
                      <w:color w:val="auto"/>
                      <w:sz w:val="21"/>
                      <w:szCs w:val="21"/>
                    </w:rPr>
                  </w:pPr>
                </w:p>
              </w:tc>
            </w:tr>
            <w:tr w14:paraId="20AC8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4A664268">
                  <w:pPr>
                    <w:pStyle w:val="906"/>
                    <w:spacing w:line="240" w:lineRule="auto"/>
                    <w:rPr>
                      <w:rFonts w:cs="Times New Roman"/>
                      <w:color w:val="auto"/>
                      <w:sz w:val="21"/>
                      <w:lang w:val="en-US"/>
                    </w:rPr>
                  </w:pPr>
                  <w:r>
                    <w:rPr>
                      <w:rFonts w:hint="eastAsia" w:cs="Times New Roman"/>
                      <w:color w:val="auto"/>
                      <w:sz w:val="21"/>
                      <w:lang w:val="en-US"/>
                    </w:rPr>
                    <w:t>23</w:t>
                  </w:r>
                </w:p>
              </w:tc>
              <w:tc>
                <w:tcPr>
                  <w:tcW w:w="1559" w:type="dxa"/>
                  <w:vAlign w:val="center"/>
                </w:tcPr>
                <w:p w14:paraId="3769B555">
                  <w:pPr>
                    <w:spacing w:line="200" w:lineRule="atLeast"/>
                    <w:jc w:val="center"/>
                    <w:rPr>
                      <w:color w:val="auto"/>
                      <w:szCs w:val="21"/>
                    </w:rPr>
                  </w:pPr>
                  <w:r>
                    <w:rPr>
                      <w:rFonts w:hint="eastAsia"/>
                      <w:color w:val="auto"/>
                      <w:szCs w:val="21"/>
                    </w:rPr>
                    <w:t>废油桶</w:t>
                  </w:r>
                </w:p>
              </w:tc>
              <w:tc>
                <w:tcPr>
                  <w:tcW w:w="1482" w:type="dxa"/>
                  <w:vAlign w:val="center"/>
                </w:tcPr>
                <w:p w14:paraId="70DC7D16">
                  <w:pPr>
                    <w:spacing w:line="280" w:lineRule="exact"/>
                    <w:jc w:val="center"/>
                    <w:rPr>
                      <w:color w:val="auto"/>
                      <w:szCs w:val="21"/>
                    </w:rPr>
                  </w:pPr>
                  <w:r>
                    <w:rPr>
                      <w:rFonts w:hint="eastAsia"/>
                      <w:color w:val="auto"/>
                      <w:szCs w:val="21"/>
                    </w:rPr>
                    <w:t>设备维护</w:t>
                  </w:r>
                </w:p>
              </w:tc>
              <w:tc>
                <w:tcPr>
                  <w:tcW w:w="597" w:type="dxa"/>
                  <w:vAlign w:val="center"/>
                </w:tcPr>
                <w:p w14:paraId="123EC1DE">
                  <w:pPr>
                    <w:spacing w:line="280" w:lineRule="exact"/>
                    <w:jc w:val="center"/>
                    <w:rPr>
                      <w:color w:val="auto"/>
                      <w:szCs w:val="21"/>
                    </w:rPr>
                  </w:pPr>
                  <w:r>
                    <w:rPr>
                      <w:rFonts w:hint="eastAsia"/>
                      <w:color w:val="auto"/>
                      <w:szCs w:val="21"/>
                    </w:rPr>
                    <w:t>固</w:t>
                  </w:r>
                </w:p>
              </w:tc>
              <w:tc>
                <w:tcPr>
                  <w:tcW w:w="2668" w:type="dxa"/>
                  <w:vAlign w:val="center"/>
                </w:tcPr>
                <w:p w14:paraId="6022A80C">
                  <w:pPr>
                    <w:spacing w:line="280" w:lineRule="exact"/>
                    <w:jc w:val="center"/>
                    <w:rPr>
                      <w:color w:val="auto"/>
                      <w:szCs w:val="21"/>
                    </w:rPr>
                  </w:pPr>
                  <w:r>
                    <w:rPr>
                      <w:rFonts w:hint="eastAsia"/>
                      <w:color w:val="auto"/>
                      <w:szCs w:val="21"/>
                    </w:rPr>
                    <w:t>机油</w:t>
                  </w:r>
                </w:p>
              </w:tc>
              <w:tc>
                <w:tcPr>
                  <w:tcW w:w="1633" w:type="dxa"/>
                  <w:vAlign w:val="center"/>
                </w:tcPr>
                <w:p w14:paraId="5E3ED4A7">
                  <w:pPr>
                    <w:spacing w:line="280" w:lineRule="exact"/>
                    <w:jc w:val="center"/>
                    <w:rPr>
                      <w:color w:val="auto"/>
                      <w:szCs w:val="21"/>
                    </w:rPr>
                  </w:pPr>
                  <w:r>
                    <w:rPr>
                      <w:rFonts w:hint="eastAsia"/>
                      <w:color w:val="auto"/>
                      <w:szCs w:val="21"/>
                    </w:rPr>
                    <w:t>0.012</w:t>
                  </w:r>
                </w:p>
              </w:tc>
              <w:tc>
                <w:tcPr>
                  <w:tcW w:w="1069" w:type="dxa"/>
                  <w:vAlign w:val="center"/>
                </w:tcPr>
                <w:p w14:paraId="50946B45">
                  <w:pPr>
                    <w:pStyle w:val="906"/>
                    <w:spacing w:line="240" w:lineRule="auto"/>
                    <w:rPr>
                      <w:rFonts w:cs="Times New Roman"/>
                      <w:color w:val="auto"/>
                      <w:sz w:val="21"/>
                    </w:rPr>
                  </w:pPr>
                  <w:r>
                    <w:rPr>
                      <w:rFonts w:cs="Times New Roman"/>
                      <w:color w:val="auto"/>
                      <w:sz w:val="21"/>
                    </w:rPr>
                    <w:t>√</w:t>
                  </w:r>
                </w:p>
              </w:tc>
              <w:tc>
                <w:tcPr>
                  <w:tcW w:w="809" w:type="dxa"/>
                  <w:vAlign w:val="center"/>
                </w:tcPr>
                <w:p w14:paraId="538343D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004E07A">
                  <w:pPr>
                    <w:pStyle w:val="73"/>
                    <w:spacing w:line="240" w:lineRule="auto"/>
                    <w:ind w:firstLine="0" w:firstLineChars="0"/>
                    <w:rPr>
                      <w:rFonts w:ascii="Times New Roman" w:hAnsi="Times New Roman"/>
                      <w:color w:val="auto"/>
                      <w:sz w:val="21"/>
                      <w:szCs w:val="21"/>
                    </w:rPr>
                  </w:pPr>
                </w:p>
              </w:tc>
            </w:tr>
            <w:tr w14:paraId="5BA22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EBB2565">
                  <w:pPr>
                    <w:pStyle w:val="906"/>
                    <w:spacing w:line="240" w:lineRule="auto"/>
                    <w:rPr>
                      <w:rFonts w:cs="Times New Roman"/>
                      <w:color w:val="auto"/>
                      <w:sz w:val="21"/>
                      <w:lang w:val="en-US"/>
                    </w:rPr>
                  </w:pPr>
                  <w:r>
                    <w:rPr>
                      <w:rFonts w:hint="eastAsia" w:cs="Times New Roman"/>
                      <w:color w:val="auto"/>
                      <w:sz w:val="21"/>
                      <w:lang w:val="en-US"/>
                    </w:rPr>
                    <w:t>24</w:t>
                  </w:r>
                </w:p>
              </w:tc>
              <w:tc>
                <w:tcPr>
                  <w:tcW w:w="1559" w:type="dxa"/>
                  <w:vAlign w:val="center"/>
                </w:tcPr>
                <w:p w14:paraId="0674A9C0">
                  <w:pPr>
                    <w:spacing w:line="200" w:lineRule="atLeast"/>
                    <w:jc w:val="center"/>
                    <w:rPr>
                      <w:color w:val="auto"/>
                      <w:szCs w:val="21"/>
                    </w:rPr>
                  </w:pPr>
                  <w:r>
                    <w:rPr>
                      <w:rFonts w:hint="eastAsia"/>
                      <w:color w:val="auto"/>
                      <w:szCs w:val="21"/>
                    </w:rPr>
                    <w:t>废过滤棉</w:t>
                  </w:r>
                </w:p>
              </w:tc>
              <w:tc>
                <w:tcPr>
                  <w:tcW w:w="1482" w:type="dxa"/>
                  <w:vAlign w:val="center"/>
                </w:tcPr>
                <w:p w14:paraId="371D608A">
                  <w:pPr>
                    <w:spacing w:line="280" w:lineRule="exact"/>
                    <w:jc w:val="center"/>
                    <w:rPr>
                      <w:color w:val="auto"/>
                      <w:szCs w:val="21"/>
                    </w:rPr>
                  </w:pPr>
                  <w:r>
                    <w:rPr>
                      <w:rFonts w:hint="eastAsia"/>
                      <w:color w:val="auto"/>
                      <w:szCs w:val="21"/>
                    </w:rPr>
                    <w:t>废气处理</w:t>
                  </w:r>
                </w:p>
              </w:tc>
              <w:tc>
                <w:tcPr>
                  <w:tcW w:w="597" w:type="dxa"/>
                  <w:vAlign w:val="center"/>
                </w:tcPr>
                <w:p w14:paraId="7B12D97C">
                  <w:pPr>
                    <w:spacing w:line="280" w:lineRule="exact"/>
                    <w:jc w:val="center"/>
                    <w:rPr>
                      <w:color w:val="auto"/>
                      <w:szCs w:val="21"/>
                    </w:rPr>
                  </w:pPr>
                  <w:r>
                    <w:rPr>
                      <w:rFonts w:hint="eastAsia"/>
                      <w:color w:val="auto"/>
                      <w:szCs w:val="21"/>
                    </w:rPr>
                    <w:t>固</w:t>
                  </w:r>
                </w:p>
              </w:tc>
              <w:tc>
                <w:tcPr>
                  <w:tcW w:w="2668" w:type="dxa"/>
                  <w:vAlign w:val="center"/>
                </w:tcPr>
                <w:p w14:paraId="6663ED64">
                  <w:pPr>
                    <w:spacing w:line="280" w:lineRule="exact"/>
                    <w:jc w:val="center"/>
                    <w:rPr>
                      <w:color w:val="auto"/>
                      <w:szCs w:val="21"/>
                    </w:rPr>
                  </w:pPr>
                  <w:r>
                    <w:rPr>
                      <w:rFonts w:hint="eastAsia"/>
                      <w:color w:val="auto"/>
                      <w:szCs w:val="21"/>
                    </w:rPr>
                    <w:t>过滤棉</w:t>
                  </w:r>
                </w:p>
              </w:tc>
              <w:tc>
                <w:tcPr>
                  <w:tcW w:w="1633" w:type="dxa"/>
                  <w:vAlign w:val="center"/>
                </w:tcPr>
                <w:p w14:paraId="3545E9C0">
                  <w:pPr>
                    <w:spacing w:line="280" w:lineRule="exact"/>
                    <w:jc w:val="center"/>
                    <w:rPr>
                      <w:color w:val="auto"/>
                      <w:szCs w:val="21"/>
                    </w:rPr>
                  </w:pPr>
                  <w:r>
                    <w:rPr>
                      <w:rFonts w:hint="eastAsia"/>
                      <w:color w:val="auto"/>
                      <w:szCs w:val="21"/>
                    </w:rPr>
                    <w:t>2.80442</w:t>
                  </w:r>
                </w:p>
              </w:tc>
              <w:tc>
                <w:tcPr>
                  <w:tcW w:w="1069" w:type="dxa"/>
                  <w:vAlign w:val="center"/>
                </w:tcPr>
                <w:p w14:paraId="6A3045C7">
                  <w:pPr>
                    <w:pStyle w:val="906"/>
                    <w:spacing w:line="240" w:lineRule="auto"/>
                    <w:rPr>
                      <w:rFonts w:cs="Times New Roman"/>
                      <w:color w:val="auto"/>
                      <w:sz w:val="21"/>
                    </w:rPr>
                  </w:pPr>
                  <w:r>
                    <w:rPr>
                      <w:rFonts w:cs="Times New Roman"/>
                      <w:color w:val="auto"/>
                      <w:sz w:val="21"/>
                    </w:rPr>
                    <w:t>√</w:t>
                  </w:r>
                </w:p>
              </w:tc>
              <w:tc>
                <w:tcPr>
                  <w:tcW w:w="809" w:type="dxa"/>
                  <w:vAlign w:val="center"/>
                </w:tcPr>
                <w:p w14:paraId="09989A55">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36644B9">
                  <w:pPr>
                    <w:pStyle w:val="73"/>
                    <w:spacing w:line="240" w:lineRule="auto"/>
                    <w:ind w:firstLine="0" w:firstLineChars="0"/>
                    <w:rPr>
                      <w:rFonts w:ascii="Times New Roman" w:hAnsi="Times New Roman"/>
                      <w:color w:val="auto"/>
                      <w:sz w:val="21"/>
                      <w:szCs w:val="21"/>
                    </w:rPr>
                  </w:pPr>
                </w:p>
              </w:tc>
            </w:tr>
            <w:tr w14:paraId="4F473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11D9DB76">
                  <w:pPr>
                    <w:pStyle w:val="906"/>
                    <w:spacing w:line="240" w:lineRule="auto"/>
                    <w:rPr>
                      <w:rFonts w:cs="Times New Roman"/>
                      <w:color w:val="auto"/>
                      <w:sz w:val="21"/>
                      <w:lang w:val="en-US"/>
                    </w:rPr>
                  </w:pPr>
                  <w:r>
                    <w:rPr>
                      <w:rFonts w:hint="eastAsia" w:cs="Times New Roman"/>
                      <w:color w:val="auto"/>
                      <w:sz w:val="21"/>
                      <w:lang w:val="en-US"/>
                    </w:rPr>
                    <w:t>25</w:t>
                  </w:r>
                </w:p>
              </w:tc>
              <w:tc>
                <w:tcPr>
                  <w:tcW w:w="1559" w:type="dxa"/>
                  <w:vAlign w:val="center"/>
                </w:tcPr>
                <w:p w14:paraId="707B07E7">
                  <w:pPr>
                    <w:spacing w:line="200" w:lineRule="atLeast"/>
                    <w:jc w:val="center"/>
                    <w:rPr>
                      <w:color w:val="auto"/>
                      <w:szCs w:val="21"/>
                    </w:rPr>
                  </w:pPr>
                  <w:r>
                    <w:rPr>
                      <w:rFonts w:hint="eastAsia"/>
                      <w:color w:val="auto"/>
                      <w:szCs w:val="21"/>
                    </w:rPr>
                    <w:t>喷枪清洗废液</w:t>
                  </w:r>
                </w:p>
              </w:tc>
              <w:tc>
                <w:tcPr>
                  <w:tcW w:w="1482" w:type="dxa"/>
                  <w:vAlign w:val="center"/>
                </w:tcPr>
                <w:p w14:paraId="086F8A0A">
                  <w:pPr>
                    <w:spacing w:line="280" w:lineRule="exact"/>
                    <w:jc w:val="center"/>
                    <w:rPr>
                      <w:color w:val="auto"/>
                      <w:szCs w:val="21"/>
                    </w:rPr>
                  </w:pPr>
                  <w:r>
                    <w:rPr>
                      <w:rFonts w:hint="eastAsia"/>
                      <w:color w:val="auto"/>
                      <w:szCs w:val="21"/>
                    </w:rPr>
                    <w:t>清洗喷枪</w:t>
                  </w:r>
                </w:p>
              </w:tc>
              <w:tc>
                <w:tcPr>
                  <w:tcW w:w="597" w:type="dxa"/>
                  <w:vAlign w:val="center"/>
                </w:tcPr>
                <w:p w14:paraId="510A8C76">
                  <w:pPr>
                    <w:spacing w:line="280" w:lineRule="exact"/>
                    <w:jc w:val="center"/>
                    <w:rPr>
                      <w:color w:val="auto"/>
                      <w:szCs w:val="21"/>
                    </w:rPr>
                  </w:pPr>
                  <w:r>
                    <w:rPr>
                      <w:rFonts w:hint="eastAsia"/>
                      <w:color w:val="auto"/>
                      <w:szCs w:val="21"/>
                    </w:rPr>
                    <w:t>液</w:t>
                  </w:r>
                </w:p>
              </w:tc>
              <w:tc>
                <w:tcPr>
                  <w:tcW w:w="2668" w:type="dxa"/>
                  <w:vAlign w:val="center"/>
                </w:tcPr>
                <w:p w14:paraId="6F275321">
                  <w:pPr>
                    <w:spacing w:line="280" w:lineRule="exact"/>
                    <w:jc w:val="center"/>
                    <w:rPr>
                      <w:color w:val="auto"/>
                      <w:szCs w:val="21"/>
                    </w:rPr>
                  </w:pPr>
                  <w:r>
                    <w:rPr>
                      <w:rFonts w:hint="eastAsia"/>
                      <w:color w:val="auto"/>
                      <w:szCs w:val="21"/>
                    </w:rPr>
                    <w:t>漆</w:t>
                  </w:r>
                </w:p>
              </w:tc>
              <w:tc>
                <w:tcPr>
                  <w:tcW w:w="1633" w:type="dxa"/>
                  <w:vAlign w:val="center"/>
                </w:tcPr>
                <w:p w14:paraId="2F1C0E6F">
                  <w:pPr>
                    <w:spacing w:line="280" w:lineRule="exact"/>
                    <w:jc w:val="center"/>
                    <w:rPr>
                      <w:color w:val="auto"/>
                      <w:szCs w:val="21"/>
                    </w:rPr>
                  </w:pPr>
                  <w:r>
                    <w:rPr>
                      <w:rFonts w:hint="eastAsia"/>
                      <w:color w:val="auto"/>
                      <w:szCs w:val="21"/>
                    </w:rPr>
                    <w:t>2.4</w:t>
                  </w:r>
                </w:p>
              </w:tc>
              <w:tc>
                <w:tcPr>
                  <w:tcW w:w="1069" w:type="dxa"/>
                  <w:vAlign w:val="center"/>
                </w:tcPr>
                <w:p w14:paraId="49705388">
                  <w:pPr>
                    <w:pStyle w:val="906"/>
                    <w:spacing w:line="240" w:lineRule="auto"/>
                    <w:rPr>
                      <w:rFonts w:cs="Times New Roman"/>
                      <w:color w:val="auto"/>
                      <w:sz w:val="21"/>
                    </w:rPr>
                  </w:pPr>
                  <w:r>
                    <w:rPr>
                      <w:rFonts w:cs="Times New Roman"/>
                      <w:color w:val="auto"/>
                      <w:sz w:val="21"/>
                    </w:rPr>
                    <w:t>√</w:t>
                  </w:r>
                </w:p>
              </w:tc>
              <w:tc>
                <w:tcPr>
                  <w:tcW w:w="809" w:type="dxa"/>
                  <w:vAlign w:val="center"/>
                </w:tcPr>
                <w:p w14:paraId="06D04054">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E7CDD37">
                  <w:pPr>
                    <w:pStyle w:val="73"/>
                    <w:spacing w:line="240" w:lineRule="auto"/>
                    <w:ind w:firstLine="0" w:firstLineChars="0"/>
                    <w:rPr>
                      <w:rFonts w:ascii="Times New Roman" w:hAnsi="Times New Roman"/>
                      <w:color w:val="auto"/>
                      <w:sz w:val="21"/>
                      <w:szCs w:val="21"/>
                    </w:rPr>
                  </w:pPr>
                </w:p>
              </w:tc>
            </w:tr>
            <w:tr w14:paraId="15F60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75C7320">
                  <w:pPr>
                    <w:pStyle w:val="906"/>
                    <w:spacing w:line="240" w:lineRule="auto"/>
                    <w:rPr>
                      <w:rFonts w:cs="Times New Roman"/>
                      <w:color w:val="auto"/>
                      <w:sz w:val="21"/>
                      <w:lang w:val="en-US"/>
                    </w:rPr>
                  </w:pPr>
                  <w:r>
                    <w:rPr>
                      <w:rFonts w:hint="eastAsia" w:cs="Times New Roman"/>
                      <w:color w:val="auto"/>
                      <w:sz w:val="21"/>
                      <w:lang w:val="en-US"/>
                    </w:rPr>
                    <w:t>26</w:t>
                  </w:r>
                </w:p>
              </w:tc>
              <w:tc>
                <w:tcPr>
                  <w:tcW w:w="1559" w:type="dxa"/>
                  <w:vAlign w:val="center"/>
                </w:tcPr>
                <w:p w14:paraId="11013777">
                  <w:pPr>
                    <w:spacing w:line="200" w:lineRule="atLeast"/>
                    <w:jc w:val="center"/>
                    <w:rPr>
                      <w:color w:val="auto"/>
                      <w:szCs w:val="21"/>
                    </w:rPr>
                  </w:pPr>
                  <w:r>
                    <w:rPr>
                      <w:rFonts w:hint="eastAsia"/>
                      <w:color w:val="auto"/>
                      <w:szCs w:val="21"/>
                    </w:rPr>
                    <w:t>水幕帘废液</w:t>
                  </w:r>
                </w:p>
              </w:tc>
              <w:tc>
                <w:tcPr>
                  <w:tcW w:w="1482" w:type="dxa"/>
                  <w:vAlign w:val="center"/>
                </w:tcPr>
                <w:p w14:paraId="5D0564FE">
                  <w:pPr>
                    <w:spacing w:line="280" w:lineRule="exact"/>
                    <w:jc w:val="center"/>
                    <w:rPr>
                      <w:color w:val="auto"/>
                      <w:szCs w:val="21"/>
                    </w:rPr>
                  </w:pPr>
                  <w:r>
                    <w:rPr>
                      <w:rFonts w:hint="eastAsia"/>
                      <w:color w:val="auto"/>
                      <w:szCs w:val="21"/>
                    </w:rPr>
                    <w:t>水幕帘</w:t>
                  </w:r>
                </w:p>
              </w:tc>
              <w:tc>
                <w:tcPr>
                  <w:tcW w:w="597" w:type="dxa"/>
                  <w:vAlign w:val="center"/>
                </w:tcPr>
                <w:p w14:paraId="4AC93793">
                  <w:pPr>
                    <w:spacing w:line="280" w:lineRule="exact"/>
                    <w:jc w:val="center"/>
                    <w:rPr>
                      <w:color w:val="auto"/>
                      <w:szCs w:val="21"/>
                    </w:rPr>
                  </w:pPr>
                  <w:r>
                    <w:rPr>
                      <w:rFonts w:hint="eastAsia"/>
                      <w:color w:val="auto"/>
                      <w:szCs w:val="21"/>
                    </w:rPr>
                    <w:t>液</w:t>
                  </w:r>
                </w:p>
              </w:tc>
              <w:tc>
                <w:tcPr>
                  <w:tcW w:w="2668" w:type="dxa"/>
                  <w:vAlign w:val="center"/>
                </w:tcPr>
                <w:p w14:paraId="09377643">
                  <w:pPr>
                    <w:spacing w:line="280" w:lineRule="exact"/>
                    <w:jc w:val="center"/>
                    <w:rPr>
                      <w:color w:val="auto"/>
                      <w:szCs w:val="21"/>
                    </w:rPr>
                  </w:pPr>
                  <w:r>
                    <w:rPr>
                      <w:rFonts w:hint="eastAsia"/>
                      <w:color w:val="auto"/>
                      <w:szCs w:val="21"/>
                    </w:rPr>
                    <w:t>废液</w:t>
                  </w:r>
                </w:p>
              </w:tc>
              <w:tc>
                <w:tcPr>
                  <w:tcW w:w="1633" w:type="dxa"/>
                  <w:vAlign w:val="center"/>
                </w:tcPr>
                <w:p w14:paraId="558B6FBE">
                  <w:pPr>
                    <w:spacing w:line="280" w:lineRule="exact"/>
                    <w:jc w:val="center"/>
                    <w:rPr>
                      <w:color w:val="auto"/>
                      <w:szCs w:val="21"/>
                    </w:rPr>
                  </w:pPr>
                  <w:r>
                    <w:rPr>
                      <w:rFonts w:hint="eastAsia"/>
                      <w:color w:val="auto"/>
                      <w:szCs w:val="21"/>
                    </w:rPr>
                    <w:t>1.8</w:t>
                  </w:r>
                </w:p>
              </w:tc>
              <w:tc>
                <w:tcPr>
                  <w:tcW w:w="1069" w:type="dxa"/>
                  <w:vAlign w:val="center"/>
                </w:tcPr>
                <w:p w14:paraId="0D12B822">
                  <w:pPr>
                    <w:pStyle w:val="906"/>
                    <w:spacing w:line="240" w:lineRule="auto"/>
                    <w:rPr>
                      <w:rFonts w:cs="Times New Roman"/>
                      <w:color w:val="auto"/>
                      <w:sz w:val="21"/>
                    </w:rPr>
                  </w:pPr>
                  <w:r>
                    <w:rPr>
                      <w:rFonts w:cs="Times New Roman"/>
                      <w:color w:val="auto"/>
                      <w:sz w:val="21"/>
                    </w:rPr>
                    <w:t>√</w:t>
                  </w:r>
                </w:p>
              </w:tc>
              <w:tc>
                <w:tcPr>
                  <w:tcW w:w="809" w:type="dxa"/>
                  <w:vAlign w:val="center"/>
                </w:tcPr>
                <w:p w14:paraId="3F58588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E2BC8EC">
                  <w:pPr>
                    <w:pStyle w:val="73"/>
                    <w:spacing w:line="240" w:lineRule="auto"/>
                    <w:ind w:firstLine="0" w:firstLineChars="0"/>
                    <w:rPr>
                      <w:rFonts w:ascii="Times New Roman" w:hAnsi="Times New Roman"/>
                      <w:color w:val="auto"/>
                      <w:sz w:val="21"/>
                      <w:szCs w:val="21"/>
                    </w:rPr>
                  </w:pPr>
                </w:p>
              </w:tc>
            </w:tr>
            <w:tr w14:paraId="0A13F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shd w:val="clear" w:color="auto" w:fill="auto"/>
                  <w:vAlign w:val="center"/>
                </w:tcPr>
                <w:p w14:paraId="14C4FD15">
                  <w:pPr>
                    <w:pStyle w:val="906"/>
                    <w:spacing w:line="240" w:lineRule="auto"/>
                    <w:rPr>
                      <w:rFonts w:cs="Times New Roman"/>
                      <w:color w:val="auto"/>
                      <w:sz w:val="21"/>
                      <w:lang w:val="en-US"/>
                    </w:rPr>
                  </w:pPr>
                  <w:r>
                    <w:rPr>
                      <w:rFonts w:hint="eastAsia" w:cs="Times New Roman"/>
                      <w:color w:val="auto"/>
                      <w:sz w:val="21"/>
                      <w:lang w:val="en-US"/>
                    </w:rPr>
                    <w:t>27</w:t>
                  </w:r>
                </w:p>
              </w:tc>
              <w:tc>
                <w:tcPr>
                  <w:tcW w:w="1559" w:type="dxa"/>
                  <w:vAlign w:val="center"/>
                </w:tcPr>
                <w:p w14:paraId="154796A3">
                  <w:pPr>
                    <w:spacing w:line="200" w:lineRule="atLeast"/>
                    <w:jc w:val="center"/>
                    <w:rPr>
                      <w:color w:val="auto"/>
                      <w:szCs w:val="21"/>
                    </w:rPr>
                  </w:pPr>
                  <w:r>
                    <w:rPr>
                      <w:rFonts w:hint="eastAsia"/>
                      <w:color w:val="auto"/>
                      <w:szCs w:val="21"/>
                    </w:rPr>
                    <w:t>废包装袋</w:t>
                  </w:r>
                </w:p>
              </w:tc>
              <w:tc>
                <w:tcPr>
                  <w:tcW w:w="1482" w:type="dxa"/>
                  <w:vAlign w:val="center"/>
                </w:tcPr>
                <w:p w14:paraId="55D6F0B4">
                  <w:pPr>
                    <w:spacing w:line="280" w:lineRule="exact"/>
                    <w:jc w:val="center"/>
                    <w:rPr>
                      <w:color w:val="auto"/>
                      <w:szCs w:val="21"/>
                    </w:rPr>
                  </w:pPr>
                  <w:r>
                    <w:rPr>
                      <w:rFonts w:hint="eastAsia"/>
                      <w:color w:val="auto"/>
                      <w:szCs w:val="21"/>
                    </w:rPr>
                    <w:t>纸箱</w:t>
                  </w:r>
                </w:p>
              </w:tc>
              <w:tc>
                <w:tcPr>
                  <w:tcW w:w="597" w:type="dxa"/>
                  <w:vAlign w:val="center"/>
                </w:tcPr>
                <w:p w14:paraId="5C21BD9A">
                  <w:pPr>
                    <w:spacing w:line="280" w:lineRule="exact"/>
                    <w:jc w:val="center"/>
                    <w:rPr>
                      <w:color w:val="auto"/>
                      <w:szCs w:val="21"/>
                    </w:rPr>
                  </w:pPr>
                  <w:r>
                    <w:rPr>
                      <w:rFonts w:hint="eastAsia"/>
                      <w:color w:val="auto"/>
                      <w:szCs w:val="21"/>
                    </w:rPr>
                    <w:t>固</w:t>
                  </w:r>
                </w:p>
              </w:tc>
              <w:tc>
                <w:tcPr>
                  <w:tcW w:w="2668" w:type="dxa"/>
                  <w:vAlign w:val="center"/>
                </w:tcPr>
                <w:p w14:paraId="2DEB27EB">
                  <w:pPr>
                    <w:spacing w:line="280" w:lineRule="exact"/>
                    <w:jc w:val="center"/>
                    <w:rPr>
                      <w:color w:val="auto"/>
                      <w:szCs w:val="21"/>
                    </w:rPr>
                  </w:pPr>
                  <w:r>
                    <w:rPr>
                      <w:rFonts w:hint="eastAsia"/>
                      <w:color w:val="auto"/>
                      <w:szCs w:val="21"/>
                    </w:rPr>
                    <w:t>纸</w:t>
                  </w:r>
                </w:p>
              </w:tc>
              <w:tc>
                <w:tcPr>
                  <w:tcW w:w="1633" w:type="dxa"/>
                  <w:vAlign w:val="center"/>
                </w:tcPr>
                <w:p w14:paraId="1FC4E052">
                  <w:pPr>
                    <w:spacing w:line="280" w:lineRule="exact"/>
                    <w:jc w:val="center"/>
                    <w:rPr>
                      <w:color w:val="auto"/>
                      <w:szCs w:val="21"/>
                    </w:rPr>
                  </w:pPr>
                  <w:r>
                    <w:rPr>
                      <w:rFonts w:hint="eastAsia"/>
                      <w:color w:val="auto"/>
                      <w:szCs w:val="21"/>
                    </w:rPr>
                    <w:t>0.23</w:t>
                  </w:r>
                </w:p>
              </w:tc>
              <w:tc>
                <w:tcPr>
                  <w:tcW w:w="1069" w:type="dxa"/>
                  <w:vAlign w:val="center"/>
                </w:tcPr>
                <w:p w14:paraId="61DBFE5C">
                  <w:pPr>
                    <w:pStyle w:val="906"/>
                    <w:spacing w:line="240" w:lineRule="auto"/>
                    <w:rPr>
                      <w:rFonts w:cs="Times New Roman"/>
                      <w:color w:val="auto"/>
                      <w:sz w:val="21"/>
                    </w:rPr>
                  </w:pPr>
                  <w:r>
                    <w:rPr>
                      <w:rFonts w:cs="Times New Roman"/>
                      <w:color w:val="auto"/>
                      <w:sz w:val="21"/>
                    </w:rPr>
                    <w:t>√</w:t>
                  </w:r>
                </w:p>
              </w:tc>
              <w:tc>
                <w:tcPr>
                  <w:tcW w:w="809" w:type="dxa"/>
                  <w:vAlign w:val="center"/>
                </w:tcPr>
                <w:p w14:paraId="0596CA04">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205A5A7">
                  <w:pPr>
                    <w:pStyle w:val="73"/>
                    <w:spacing w:line="240" w:lineRule="auto"/>
                    <w:ind w:firstLine="0" w:firstLineChars="0"/>
                    <w:rPr>
                      <w:rFonts w:ascii="Times New Roman" w:hAnsi="Times New Roman"/>
                      <w:color w:val="auto"/>
                      <w:sz w:val="21"/>
                      <w:szCs w:val="21"/>
                    </w:rPr>
                  </w:pPr>
                </w:p>
              </w:tc>
            </w:tr>
            <w:tr w14:paraId="02FFA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shd w:val="clear" w:color="auto" w:fill="auto"/>
                  <w:vAlign w:val="center"/>
                </w:tcPr>
                <w:p w14:paraId="70BCDE41">
                  <w:pPr>
                    <w:pStyle w:val="906"/>
                    <w:spacing w:line="240" w:lineRule="auto"/>
                    <w:rPr>
                      <w:rFonts w:hint="default" w:eastAsia="宋体" w:cs="Times New Roman"/>
                      <w:color w:val="auto"/>
                      <w:sz w:val="21"/>
                      <w:lang w:val="en-US" w:eastAsia="zh-CN"/>
                    </w:rPr>
                  </w:pPr>
                  <w:r>
                    <w:rPr>
                      <w:rFonts w:hint="eastAsia" w:cs="Times New Roman"/>
                      <w:color w:val="auto"/>
                      <w:sz w:val="21"/>
                      <w:lang w:val="en-US" w:eastAsia="zh-CN"/>
                    </w:rPr>
                    <w:t>28</w:t>
                  </w:r>
                </w:p>
              </w:tc>
              <w:tc>
                <w:tcPr>
                  <w:tcW w:w="1559" w:type="dxa"/>
                  <w:vAlign w:val="center"/>
                </w:tcPr>
                <w:p w14:paraId="57884882">
                  <w:pPr>
                    <w:spacing w:line="200" w:lineRule="atLeast"/>
                    <w:jc w:val="center"/>
                    <w:rPr>
                      <w:rFonts w:hint="eastAsia" w:eastAsia="宋体"/>
                      <w:color w:val="auto"/>
                      <w:szCs w:val="21"/>
                      <w:lang w:val="en-US" w:eastAsia="zh-CN"/>
                    </w:rPr>
                  </w:pPr>
                  <w:r>
                    <w:rPr>
                      <w:rFonts w:hint="eastAsia"/>
                      <w:color w:val="auto"/>
                      <w:szCs w:val="21"/>
                      <w:lang w:val="en-US" w:eastAsia="zh-CN"/>
                    </w:rPr>
                    <w:t>废钢丸</w:t>
                  </w:r>
                </w:p>
              </w:tc>
              <w:tc>
                <w:tcPr>
                  <w:tcW w:w="1482" w:type="dxa"/>
                  <w:vAlign w:val="center"/>
                </w:tcPr>
                <w:p w14:paraId="24D61B54">
                  <w:pPr>
                    <w:spacing w:line="280" w:lineRule="exact"/>
                    <w:jc w:val="center"/>
                    <w:rPr>
                      <w:rFonts w:hint="default" w:eastAsia="宋体"/>
                      <w:color w:val="auto"/>
                      <w:szCs w:val="21"/>
                      <w:lang w:val="en-US" w:eastAsia="zh-CN"/>
                    </w:rPr>
                  </w:pPr>
                  <w:r>
                    <w:rPr>
                      <w:rFonts w:hint="eastAsia"/>
                      <w:color w:val="auto"/>
                      <w:szCs w:val="21"/>
                      <w:lang w:val="en-US" w:eastAsia="zh-CN"/>
                    </w:rPr>
                    <w:t>抛丸</w:t>
                  </w:r>
                </w:p>
              </w:tc>
              <w:tc>
                <w:tcPr>
                  <w:tcW w:w="597" w:type="dxa"/>
                  <w:vAlign w:val="center"/>
                </w:tcPr>
                <w:p w14:paraId="1AB576B3">
                  <w:pPr>
                    <w:spacing w:line="280" w:lineRule="exact"/>
                    <w:jc w:val="center"/>
                    <w:rPr>
                      <w:rFonts w:hint="eastAsia" w:eastAsia="宋体"/>
                      <w:color w:val="auto"/>
                      <w:szCs w:val="21"/>
                      <w:lang w:val="en-US" w:eastAsia="zh-CN"/>
                    </w:rPr>
                  </w:pPr>
                  <w:r>
                    <w:rPr>
                      <w:rFonts w:hint="eastAsia"/>
                      <w:color w:val="auto"/>
                      <w:szCs w:val="21"/>
                      <w:lang w:val="en-US" w:eastAsia="zh-CN"/>
                    </w:rPr>
                    <w:t>固</w:t>
                  </w:r>
                </w:p>
              </w:tc>
              <w:tc>
                <w:tcPr>
                  <w:tcW w:w="2668" w:type="dxa"/>
                  <w:vAlign w:val="center"/>
                </w:tcPr>
                <w:p w14:paraId="09D50708">
                  <w:pPr>
                    <w:spacing w:line="280" w:lineRule="exact"/>
                    <w:jc w:val="center"/>
                    <w:rPr>
                      <w:rFonts w:hint="default" w:eastAsia="宋体"/>
                      <w:color w:val="auto"/>
                      <w:szCs w:val="21"/>
                      <w:lang w:val="en-US" w:eastAsia="zh-CN"/>
                    </w:rPr>
                  </w:pPr>
                  <w:r>
                    <w:rPr>
                      <w:rFonts w:hint="eastAsia"/>
                      <w:color w:val="auto"/>
                      <w:szCs w:val="21"/>
                      <w:lang w:val="en-US" w:eastAsia="zh-CN"/>
                    </w:rPr>
                    <w:t>金属</w:t>
                  </w:r>
                </w:p>
              </w:tc>
              <w:tc>
                <w:tcPr>
                  <w:tcW w:w="1633" w:type="dxa"/>
                  <w:vAlign w:val="center"/>
                </w:tcPr>
                <w:p w14:paraId="38CB832B">
                  <w:pPr>
                    <w:spacing w:line="280" w:lineRule="exact"/>
                    <w:jc w:val="center"/>
                    <w:rPr>
                      <w:rFonts w:hint="default" w:eastAsia="宋体"/>
                      <w:color w:val="auto"/>
                      <w:szCs w:val="21"/>
                      <w:lang w:val="en-US" w:eastAsia="zh-CN"/>
                    </w:rPr>
                  </w:pPr>
                  <w:r>
                    <w:rPr>
                      <w:rFonts w:hint="eastAsia"/>
                      <w:color w:val="auto"/>
                      <w:szCs w:val="21"/>
                      <w:lang w:val="en-US" w:eastAsia="zh-CN"/>
                    </w:rPr>
                    <w:t>4.8</w:t>
                  </w:r>
                </w:p>
              </w:tc>
              <w:tc>
                <w:tcPr>
                  <w:tcW w:w="1069" w:type="dxa"/>
                  <w:vAlign w:val="center"/>
                </w:tcPr>
                <w:p w14:paraId="2782726A">
                  <w:pPr>
                    <w:pStyle w:val="906"/>
                    <w:spacing w:line="240" w:lineRule="auto"/>
                    <w:rPr>
                      <w:rFonts w:cs="Times New Roman"/>
                      <w:color w:val="auto"/>
                      <w:sz w:val="21"/>
                    </w:rPr>
                  </w:pPr>
                  <w:r>
                    <w:rPr>
                      <w:rFonts w:cs="Times New Roman"/>
                      <w:color w:val="auto"/>
                      <w:sz w:val="21"/>
                    </w:rPr>
                    <w:t>√</w:t>
                  </w:r>
                </w:p>
              </w:tc>
              <w:tc>
                <w:tcPr>
                  <w:tcW w:w="809" w:type="dxa"/>
                  <w:vAlign w:val="center"/>
                </w:tcPr>
                <w:p w14:paraId="41CEC302">
                  <w:pPr>
                    <w:pStyle w:val="906"/>
                    <w:spacing w:line="240" w:lineRule="auto"/>
                    <w:rPr>
                      <w:rFonts w:hint="eastAsia"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385747F">
                  <w:pPr>
                    <w:pStyle w:val="73"/>
                    <w:spacing w:line="240" w:lineRule="auto"/>
                    <w:ind w:firstLine="0" w:firstLineChars="0"/>
                    <w:rPr>
                      <w:rFonts w:ascii="Times New Roman" w:hAnsi="Times New Roman"/>
                      <w:color w:val="auto"/>
                      <w:sz w:val="21"/>
                      <w:szCs w:val="21"/>
                    </w:rPr>
                  </w:pPr>
                </w:p>
              </w:tc>
            </w:tr>
            <w:tr w14:paraId="7B650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shd w:val="clear" w:color="auto" w:fill="auto"/>
                  <w:vAlign w:val="center"/>
                </w:tcPr>
                <w:p w14:paraId="6B874EDF">
                  <w:pPr>
                    <w:pStyle w:val="906"/>
                    <w:spacing w:line="240" w:lineRule="auto"/>
                    <w:rPr>
                      <w:rFonts w:hint="eastAsia" w:eastAsia="宋体" w:cs="Times New Roman"/>
                      <w:color w:val="auto"/>
                      <w:sz w:val="21"/>
                      <w:lang w:val="en-US" w:eastAsia="zh-CN"/>
                    </w:rPr>
                  </w:pPr>
                  <w:r>
                    <w:rPr>
                      <w:rFonts w:hint="eastAsia" w:cs="Times New Roman"/>
                      <w:color w:val="auto"/>
                      <w:sz w:val="21"/>
                      <w:lang w:val="en-US"/>
                    </w:rPr>
                    <w:t>2</w:t>
                  </w:r>
                  <w:r>
                    <w:rPr>
                      <w:rFonts w:hint="eastAsia" w:cs="Times New Roman"/>
                      <w:color w:val="auto"/>
                      <w:sz w:val="21"/>
                      <w:lang w:val="en-US" w:eastAsia="zh-CN"/>
                    </w:rPr>
                    <w:t>9</w:t>
                  </w:r>
                </w:p>
              </w:tc>
              <w:tc>
                <w:tcPr>
                  <w:tcW w:w="1559" w:type="dxa"/>
                  <w:vAlign w:val="center"/>
                </w:tcPr>
                <w:p w14:paraId="38F09CEF">
                  <w:pPr>
                    <w:spacing w:line="200" w:lineRule="atLeast"/>
                    <w:jc w:val="center"/>
                    <w:rPr>
                      <w:color w:val="auto"/>
                      <w:szCs w:val="21"/>
                    </w:rPr>
                  </w:pPr>
                  <w:r>
                    <w:rPr>
                      <w:rFonts w:hint="eastAsia"/>
                      <w:color w:val="auto"/>
                      <w:szCs w:val="21"/>
                    </w:rPr>
                    <w:t>生活垃圾</w:t>
                  </w:r>
                </w:p>
              </w:tc>
              <w:tc>
                <w:tcPr>
                  <w:tcW w:w="1482" w:type="dxa"/>
                  <w:vAlign w:val="center"/>
                </w:tcPr>
                <w:p w14:paraId="6DC8EBDF">
                  <w:pPr>
                    <w:spacing w:line="280" w:lineRule="exact"/>
                    <w:jc w:val="center"/>
                    <w:rPr>
                      <w:color w:val="auto"/>
                      <w:szCs w:val="21"/>
                    </w:rPr>
                  </w:pPr>
                  <w:r>
                    <w:rPr>
                      <w:rFonts w:hint="eastAsia"/>
                      <w:color w:val="auto"/>
                      <w:szCs w:val="21"/>
                    </w:rPr>
                    <w:t>/</w:t>
                  </w:r>
                </w:p>
              </w:tc>
              <w:tc>
                <w:tcPr>
                  <w:tcW w:w="597" w:type="dxa"/>
                  <w:vAlign w:val="center"/>
                </w:tcPr>
                <w:p w14:paraId="284BAC7C">
                  <w:pPr>
                    <w:spacing w:line="280" w:lineRule="exact"/>
                    <w:jc w:val="center"/>
                    <w:rPr>
                      <w:color w:val="auto"/>
                      <w:szCs w:val="21"/>
                    </w:rPr>
                  </w:pPr>
                  <w:r>
                    <w:rPr>
                      <w:rFonts w:hint="eastAsia"/>
                      <w:color w:val="auto"/>
                      <w:szCs w:val="21"/>
                    </w:rPr>
                    <w:t>固</w:t>
                  </w:r>
                </w:p>
              </w:tc>
              <w:tc>
                <w:tcPr>
                  <w:tcW w:w="2668" w:type="dxa"/>
                  <w:vAlign w:val="center"/>
                </w:tcPr>
                <w:p w14:paraId="0E726A19">
                  <w:pPr>
                    <w:spacing w:line="280" w:lineRule="exact"/>
                    <w:jc w:val="center"/>
                    <w:rPr>
                      <w:color w:val="auto"/>
                      <w:szCs w:val="21"/>
                    </w:rPr>
                  </w:pPr>
                  <w:r>
                    <w:rPr>
                      <w:rFonts w:hint="eastAsia"/>
                      <w:color w:val="auto"/>
                      <w:szCs w:val="21"/>
                    </w:rPr>
                    <w:t>/</w:t>
                  </w:r>
                </w:p>
              </w:tc>
              <w:tc>
                <w:tcPr>
                  <w:tcW w:w="1633" w:type="dxa"/>
                  <w:vAlign w:val="center"/>
                </w:tcPr>
                <w:p w14:paraId="33714381">
                  <w:pPr>
                    <w:spacing w:line="280" w:lineRule="exact"/>
                    <w:jc w:val="center"/>
                    <w:rPr>
                      <w:color w:val="auto"/>
                      <w:szCs w:val="21"/>
                    </w:rPr>
                  </w:pPr>
                  <w:r>
                    <w:rPr>
                      <w:rFonts w:hint="eastAsia"/>
                      <w:color w:val="auto"/>
                      <w:szCs w:val="21"/>
                    </w:rPr>
                    <w:t>37.8</w:t>
                  </w:r>
                </w:p>
              </w:tc>
              <w:tc>
                <w:tcPr>
                  <w:tcW w:w="1069" w:type="dxa"/>
                  <w:vAlign w:val="center"/>
                </w:tcPr>
                <w:p w14:paraId="0E9453FC">
                  <w:pPr>
                    <w:pStyle w:val="906"/>
                    <w:spacing w:line="240" w:lineRule="auto"/>
                    <w:rPr>
                      <w:rFonts w:cs="Times New Roman"/>
                      <w:color w:val="auto"/>
                      <w:sz w:val="21"/>
                    </w:rPr>
                  </w:pPr>
                  <w:r>
                    <w:rPr>
                      <w:rFonts w:cs="Times New Roman"/>
                      <w:color w:val="auto"/>
                      <w:sz w:val="21"/>
                    </w:rPr>
                    <w:t>√</w:t>
                  </w:r>
                </w:p>
              </w:tc>
              <w:tc>
                <w:tcPr>
                  <w:tcW w:w="809" w:type="dxa"/>
                  <w:vAlign w:val="center"/>
                </w:tcPr>
                <w:p w14:paraId="3A4FCF0D">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1A1F1B7">
                  <w:pPr>
                    <w:pStyle w:val="73"/>
                    <w:spacing w:line="240" w:lineRule="auto"/>
                    <w:ind w:firstLine="0" w:firstLineChars="0"/>
                    <w:rPr>
                      <w:rFonts w:ascii="Times New Roman" w:hAnsi="Times New Roman"/>
                      <w:color w:val="auto"/>
                      <w:sz w:val="21"/>
                      <w:szCs w:val="21"/>
                    </w:rPr>
                  </w:pPr>
                </w:p>
              </w:tc>
            </w:tr>
            <w:tr w14:paraId="07BFB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shd w:val="clear" w:color="auto" w:fill="auto"/>
                  <w:vAlign w:val="center"/>
                </w:tcPr>
                <w:p w14:paraId="64EF890F">
                  <w:pPr>
                    <w:pStyle w:val="906"/>
                    <w:spacing w:line="240" w:lineRule="auto"/>
                    <w:rPr>
                      <w:rFonts w:hint="default" w:eastAsia="宋体" w:cs="Times New Roman"/>
                      <w:color w:val="auto"/>
                      <w:sz w:val="21"/>
                      <w:lang w:val="en-US" w:eastAsia="zh-CN"/>
                    </w:rPr>
                  </w:pPr>
                  <w:r>
                    <w:rPr>
                      <w:rFonts w:hint="eastAsia" w:cs="Times New Roman"/>
                      <w:color w:val="auto"/>
                      <w:sz w:val="21"/>
                      <w:lang w:val="en-US" w:eastAsia="zh-CN"/>
                    </w:rPr>
                    <w:t>30</w:t>
                  </w:r>
                </w:p>
              </w:tc>
              <w:tc>
                <w:tcPr>
                  <w:tcW w:w="1559" w:type="dxa"/>
                  <w:vAlign w:val="center"/>
                </w:tcPr>
                <w:p w14:paraId="108AC75C">
                  <w:pPr>
                    <w:spacing w:line="200" w:lineRule="atLeast"/>
                    <w:jc w:val="center"/>
                    <w:rPr>
                      <w:color w:val="auto"/>
                      <w:szCs w:val="21"/>
                    </w:rPr>
                  </w:pPr>
                  <w:r>
                    <w:rPr>
                      <w:rFonts w:hint="eastAsia"/>
                      <w:color w:val="auto"/>
                      <w:szCs w:val="21"/>
                    </w:rPr>
                    <w:t>化粪池污泥</w:t>
                  </w:r>
                </w:p>
              </w:tc>
              <w:tc>
                <w:tcPr>
                  <w:tcW w:w="1482" w:type="dxa"/>
                  <w:vAlign w:val="center"/>
                </w:tcPr>
                <w:p w14:paraId="212FE8B2">
                  <w:pPr>
                    <w:spacing w:line="280" w:lineRule="exact"/>
                    <w:jc w:val="center"/>
                    <w:rPr>
                      <w:color w:val="auto"/>
                      <w:szCs w:val="21"/>
                    </w:rPr>
                  </w:pPr>
                  <w:r>
                    <w:rPr>
                      <w:rFonts w:hint="eastAsia"/>
                      <w:color w:val="auto"/>
                      <w:szCs w:val="21"/>
                    </w:rPr>
                    <w:t>/</w:t>
                  </w:r>
                </w:p>
              </w:tc>
              <w:tc>
                <w:tcPr>
                  <w:tcW w:w="597" w:type="dxa"/>
                  <w:vAlign w:val="center"/>
                </w:tcPr>
                <w:p w14:paraId="431A6A0F">
                  <w:pPr>
                    <w:spacing w:line="280" w:lineRule="exact"/>
                    <w:jc w:val="center"/>
                    <w:rPr>
                      <w:color w:val="auto"/>
                      <w:szCs w:val="21"/>
                    </w:rPr>
                  </w:pPr>
                  <w:r>
                    <w:rPr>
                      <w:rFonts w:hint="eastAsia"/>
                      <w:color w:val="auto"/>
                      <w:szCs w:val="21"/>
                    </w:rPr>
                    <w:t>固</w:t>
                  </w:r>
                </w:p>
              </w:tc>
              <w:tc>
                <w:tcPr>
                  <w:tcW w:w="2668" w:type="dxa"/>
                  <w:vAlign w:val="center"/>
                </w:tcPr>
                <w:p w14:paraId="2A858A38">
                  <w:pPr>
                    <w:spacing w:line="280" w:lineRule="exact"/>
                    <w:jc w:val="center"/>
                    <w:rPr>
                      <w:color w:val="auto"/>
                      <w:szCs w:val="21"/>
                    </w:rPr>
                  </w:pPr>
                  <w:r>
                    <w:rPr>
                      <w:rFonts w:hint="eastAsia"/>
                      <w:color w:val="auto"/>
                      <w:szCs w:val="21"/>
                    </w:rPr>
                    <w:t>/</w:t>
                  </w:r>
                </w:p>
              </w:tc>
              <w:tc>
                <w:tcPr>
                  <w:tcW w:w="1633" w:type="dxa"/>
                  <w:vAlign w:val="center"/>
                </w:tcPr>
                <w:p w14:paraId="69518046">
                  <w:pPr>
                    <w:spacing w:line="280" w:lineRule="exact"/>
                    <w:jc w:val="center"/>
                    <w:rPr>
                      <w:color w:val="auto"/>
                      <w:szCs w:val="21"/>
                    </w:rPr>
                  </w:pPr>
                  <w:r>
                    <w:rPr>
                      <w:rFonts w:hint="eastAsia"/>
                      <w:color w:val="auto"/>
                      <w:szCs w:val="21"/>
                    </w:rPr>
                    <w:t>27</w:t>
                  </w:r>
                </w:p>
              </w:tc>
              <w:tc>
                <w:tcPr>
                  <w:tcW w:w="1069" w:type="dxa"/>
                  <w:vAlign w:val="center"/>
                </w:tcPr>
                <w:p w14:paraId="42C73CAC">
                  <w:pPr>
                    <w:pStyle w:val="906"/>
                    <w:spacing w:line="240" w:lineRule="auto"/>
                    <w:rPr>
                      <w:rFonts w:cs="Times New Roman"/>
                      <w:color w:val="auto"/>
                      <w:sz w:val="21"/>
                    </w:rPr>
                  </w:pPr>
                  <w:r>
                    <w:rPr>
                      <w:rFonts w:cs="Times New Roman"/>
                      <w:color w:val="auto"/>
                      <w:sz w:val="21"/>
                    </w:rPr>
                    <w:t>√</w:t>
                  </w:r>
                </w:p>
              </w:tc>
              <w:tc>
                <w:tcPr>
                  <w:tcW w:w="809" w:type="dxa"/>
                  <w:vAlign w:val="center"/>
                </w:tcPr>
                <w:p w14:paraId="2354E01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3DAB530">
                  <w:pPr>
                    <w:pStyle w:val="73"/>
                    <w:spacing w:line="240" w:lineRule="auto"/>
                    <w:ind w:firstLine="0" w:firstLineChars="0"/>
                    <w:rPr>
                      <w:rFonts w:ascii="Times New Roman" w:hAnsi="Times New Roman"/>
                      <w:color w:val="auto"/>
                      <w:sz w:val="21"/>
                      <w:szCs w:val="21"/>
                    </w:rPr>
                  </w:pPr>
                </w:p>
              </w:tc>
            </w:tr>
          </w:tbl>
          <w:p w14:paraId="108AC861">
            <w:pPr>
              <w:keepNext/>
              <w:adjustRightInd w:val="0"/>
              <w:snapToGrid w:val="0"/>
              <w:jc w:val="center"/>
              <w:rPr>
                <w:b/>
                <w:color w:val="auto"/>
                <w:sz w:val="24"/>
              </w:rPr>
            </w:pPr>
            <w:r>
              <w:rPr>
                <w:b/>
                <w:color w:val="auto"/>
                <w:sz w:val="24"/>
              </w:rPr>
              <w:t>表4-2</w:t>
            </w:r>
            <w:r>
              <w:rPr>
                <w:rFonts w:hint="eastAsia"/>
                <w:b/>
                <w:color w:val="auto"/>
                <w:sz w:val="24"/>
              </w:rPr>
              <w:t>8</w:t>
            </w:r>
            <w:r>
              <w:rPr>
                <w:b/>
                <w:color w:val="auto"/>
                <w:sz w:val="24"/>
              </w:rPr>
              <w:t xml:space="preserve">  本项目营运期固体废物分析情况汇总表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9"/>
              <w:gridCol w:w="1146"/>
              <w:gridCol w:w="1176"/>
              <w:gridCol w:w="887"/>
              <w:gridCol w:w="750"/>
              <w:gridCol w:w="1296"/>
              <w:gridCol w:w="1653"/>
              <w:gridCol w:w="926"/>
              <w:gridCol w:w="941"/>
              <w:gridCol w:w="1497"/>
              <w:gridCol w:w="1082"/>
              <w:gridCol w:w="767"/>
            </w:tblGrid>
            <w:tr w14:paraId="61CE14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003DC4BA">
                  <w:pPr>
                    <w:jc w:val="center"/>
                    <w:rPr>
                      <w:b/>
                      <w:bCs/>
                      <w:color w:val="auto"/>
                      <w:szCs w:val="21"/>
                    </w:rPr>
                  </w:pPr>
                  <w:r>
                    <w:rPr>
                      <w:b/>
                      <w:bCs/>
                      <w:color w:val="auto"/>
                      <w:szCs w:val="21"/>
                    </w:rPr>
                    <w:t>序号</w:t>
                  </w:r>
                </w:p>
              </w:tc>
              <w:tc>
                <w:tcPr>
                  <w:tcW w:w="455" w:type="pct"/>
                  <w:vAlign w:val="center"/>
                </w:tcPr>
                <w:p w14:paraId="5963D6F2">
                  <w:pPr>
                    <w:pStyle w:val="6"/>
                    <w:ind w:left="2" w:leftChars="-7" w:hanging="17" w:hangingChars="8"/>
                    <w:jc w:val="center"/>
                    <w:rPr>
                      <w:rFonts w:hint="eastAsia"/>
                      <w:b/>
                      <w:bCs/>
                      <w:color w:val="auto"/>
                      <w:sz w:val="21"/>
                      <w:szCs w:val="21"/>
                    </w:rPr>
                  </w:pPr>
                  <w:r>
                    <w:rPr>
                      <w:b/>
                      <w:bCs/>
                      <w:color w:val="auto"/>
                      <w:sz w:val="21"/>
                      <w:szCs w:val="21"/>
                    </w:rPr>
                    <w:t>固体废物名称</w:t>
                  </w:r>
                </w:p>
              </w:tc>
              <w:tc>
                <w:tcPr>
                  <w:tcW w:w="467" w:type="pct"/>
                  <w:vAlign w:val="center"/>
                </w:tcPr>
                <w:p w14:paraId="0BE321C0">
                  <w:pPr>
                    <w:pStyle w:val="6"/>
                    <w:ind w:left="2" w:leftChars="-7" w:hanging="17" w:hangingChars="8"/>
                    <w:jc w:val="center"/>
                    <w:rPr>
                      <w:rFonts w:hint="eastAsia"/>
                      <w:b/>
                      <w:bCs/>
                      <w:color w:val="auto"/>
                      <w:sz w:val="21"/>
                      <w:szCs w:val="21"/>
                    </w:rPr>
                  </w:pPr>
                  <w:r>
                    <w:rPr>
                      <w:b/>
                      <w:bCs/>
                      <w:color w:val="auto"/>
                      <w:sz w:val="21"/>
                      <w:szCs w:val="21"/>
                    </w:rPr>
                    <w:t>属性</w:t>
                  </w:r>
                </w:p>
              </w:tc>
              <w:tc>
                <w:tcPr>
                  <w:tcW w:w="352" w:type="pct"/>
                  <w:vAlign w:val="center"/>
                </w:tcPr>
                <w:p w14:paraId="4A38C422">
                  <w:pPr>
                    <w:pStyle w:val="6"/>
                    <w:ind w:left="2" w:leftChars="-7" w:hanging="17" w:hangingChars="8"/>
                    <w:jc w:val="center"/>
                    <w:rPr>
                      <w:rFonts w:hint="eastAsia"/>
                      <w:b/>
                      <w:bCs/>
                      <w:color w:val="auto"/>
                      <w:sz w:val="21"/>
                      <w:szCs w:val="21"/>
                    </w:rPr>
                  </w:pPr>
                  <w:r>
                    <w:rPr>
                      <w:b/>
                      <w:bCs/>
                      <w:color w:val="auto"/>
                      <w:sz w:val="21"/>
                      <w:szCs w:val="21"/>
                    </w:rPr>
                    <w:t>产生工序</w:t>
                  </w:r>
                </w:p>
              </w:tc>
              <w:tc>
                <w:tcPr>
                  <w:tcW w:w="298" w:type="pct"/>
                  <w:vAlign w:val="center"/>
                </w:tcPr>
                <w:p w14:paraId="2C1143E8">
                  <w:pPr>
                    <w:pStyle w:val="6"/>
                    <w:ind w:left="2" w:leftChars="-7" w:hanging="17" w:hangingChars="8"/>
                    <w:jc w:val="center"/>
                    <w:rPr>
                      <w:rFonts w:hint="eastAsia"/>
                      <w:b/>
                      <w:bCs/>
                      <w:color w:val="auto"/>
                      <w:sz w:val="21"/>
                      <w:szCs w:val="21"/>
                    </w:rPr>
                  </w:pPr>
                  <w:r>
                    <w:rPr>
                      <w:b/>
                      <w:bCs/>
                      <w:color w:val="auto"/>
                      <w:sz w:val="21"/>
                      <w:szCs w:val="21"/>
                    </w:rPr>
                    <w:t>形态</w:t>
                  </w:r>
                </w:p>
              </w:tc>
              <w:tc>
                <w:tcPr>
                  <w:tcW w:w="515" w:type="pct"/>
                  <w:vAlign w:val="center"/>
                </w:tcPr>
                <w:p w14:paraId="0D8EA099">
                  <w:pPr>
                    <w:pStyle w:val="6"/>
                    <w:ind w:left="2" w:leftChars="-7" w:hanging="17" w:hangingChars="8"/>
                    <w:jc w:val="center"/>
                    <w:rPr>
                      <w:rFonts w:hint="eastAsia"/>
                      <w:b/>
                      <w:bCs/>
                      <w:color w:val="auto"/>
                      <w:sz w:val="21"/>
                      <w:szCs w:val="21"/>
                    </w:rPr>
                  </w:pPr>
                  <w:r>
                    <w:rPr>
                      <w:b/>
                      <w:bCs/>
                      <w:color w:val="auto"/>
                      <w:sz w:val="21"/>
                      <w:szCs w:val="21"/>
                    </w:rPr>
                    <w:t>主要成分</w:t>
                  </w:r>
                </w:p>
              </w:tc>
              <w:tc>
                <w:tcPr>
                  <w:tcW w:w="656" w:type="pct"/>
                  <w:vAlign w:val="center"/>
                </w:tcPr>
                <w:p w14:paraId="27D5D1E6">
                  <w:pPr>
                    <w:pStyle w:val="6"/>
                    <w:ind w:left="2" w:leftChars="-7" w:hanging="17" w:hangingChars="8"/>
                    <w:jc w:val="center"/>
                    <w:rPr>
                      <w:rFonts w:hint="eastAsia"/>
                      <w:b/>
                      <w:bCs/>
                      <w:color w:val="auto"/>
                      <w:sz w:val="21"/>
                      <w:szCs w:val="21"/>
                    </w:rPr>
                  </w:pPr>
                  <w:r>
                    <w:rPr>
                      <w:b/>
                      <w:bCs/>
                      <w:color w:val="auto"/>
                      <w:sz w:val="21"/>
                      <w:szCs w:val="21"/>
                    </w:rPr>
                    <w:t>危险特性鉴别方法</w:t>
                  </w:r>
                </w:p>
              </w:tc>
              <w:tc>
                <w:tcPr>
                  <w:tcW w:w="368" w:type="pct"/>
                  <w:vAlign w:val="center"/>
                </w:tcPr>
                <w:p w14:paraId="49FD6CEB">
                  <w:pPr>
                    <w:pStyle w:val="6"/>
                    <w:ind w:left="2" w:leftChars="-7" w:hanging="17" w:hangingChars="8"/>
                    <w:jc w:val="center"/>
                    <w:rPr>
                      <w:rFonts w:hint="eastAsia"/>
                      <w:b/>
                      <w:bCs/>
                      <w:color w:val="auto"/>
                      <w:sz w:val="21"/>
                      <w:szCs w:val="21"/>
                    </w:rPr>
                  </w:pPr>
                  <w:r>
                    <w:rPr>
                      <w:b/>
                      <w:bCs/>
                      <w:color w:val="auto"/>
                      <w:sz w:val="21"/>
                      <w:szCs w:val="21"/>
                    </w:rPr>
                    <w:t>危险特性</w:t>
                  </w:r>
                </w:p>
              </w:tc>
              <w:tc>
                <w:tcPr>
                  <w:tcW w:w="374" w:type="pct"/>
                  <w:vAlign w:val="center"/>
                </w:tcPr>
                <w:p w14:paraId="49453780">
                  <w:pPr>
                    <w:pStyle w:val="6"/>
                    <w:ind w:left="2" w:leftChars="-7" w:hanging="17" w:hangingChars="8"/>
                    <w:jc w:val="center"/>
                    <w:rPr>
                      <w:rFonts w:hint="eastAsia"/>
                      <w:b/>
                      <w:bCs/>
                      <w:color w:val="auto"/>
                      <w:sz w:val="21"/>
                      <w:szCs w:val="21"/>
                    </w:rPr>
                  </w:pPr>
                  <w:r>
                    <w:rPr>
                      <w:b/>
                      <w:bCs/>
                      <w:color w:val="auto"/>
                      <w:sz w:val="21"/>
                      <w:szCs w:val="21"/>
                    </w:rPr>
                    <w:t>废物类别</w:t>
                  </w:r>
                </w:p>
              </w:tc>
              <w:tc>
                <w:tcPr>
                  <w:tcW w:w="594" w:type="pct"/>
                  <w:vAlign w:val="center"/>
                </w:tcPr>
                <w:p w14:paraId="6BFC9AAB">
                  <w:pPr>
                    <w:pStyle w:val="6"/>
                    <w:ind w:left="2" w:leftChars="-7" w:hanging="17" w:hangingChars="8"/>
                    <w:jc w:val="center"/>
                    <w:rPr>
                      <w:rFonts w:hint="eastAsia"/>
                      <w:b/>
                      <w:bCs/>
                      <w:color w:val="auto"/>
                      <w:sz w:val="21"/>
                      <w:szCs w:val="21"/>
                    </w:rPr>
                  </w:pPr>
                  <w:r>
                    <w:rPr>
                      <w:b/>
                      <w:bCs/>
                      <w:color w:val="auto"/>
                      <w:sz w:val="21"/>
                      <w:szCs w:val="21"/>
                    </w:rPr>
                    <w:t>废物代码</w:t>
                  </w:r>
                </w:p>
              </w:tc>
              <w:tc>
                <w:tcPr>
                  <w:tcW w:w="430" w:type="pct"/>
                  <w:vAlign w:val="center"/>
                </w:tcPr>
                <w:p w14:paraId="13576426">
                  <w:pPr>
                    <w:pStyle w:val="6"/>
                    <w:ind w:left="2" w:leftChars="-7" w:hanging="17" w:hangingChars="8"/>
                    <w:jc w:val="center"/>
                    <w:rPr>
                      <w:rFonts w:hint="eastAsia"/>
                      <w:b/>
                      <w:bCs/>
                      <w:color w:val="auto"/>
                      <w:sz w:val="21"/>
                      <w:szCs w:val="21"/>
                    </w:rPr>
                  </w:pPr>
                  <w:r>
                    <w:rPr>
                      <w:b/>
                      <w:bCs/>
                      <w:color w:val="auto"/>
                      <w:sz w:val="21"/>
                      <w:szCs w:val="21"/>
                    </w:rPr>
                    <w:t>产生量（t/a）</w:t>
                  </w:r>
                </w:p>
              </w:tc>
              <w:tc>
                <w:tcPr>
                  <w:tcW w:w="304" w:type="pct"/>
                  <w:vAlign w:val="center"/>
                </w:tcPr>
                <w:p w14:paraId="3B518205">
                  <w:pPr>
                    <w:pStyle w:val="6"/>
                    <w:ind w:left="2" w:leftChars="-7" w:hanging="17" w:hangingChars="8"/>
                    <w:jc w:val="center"/>
                    <w:rPr>
                      <w:rFonts w:hint="eastAsia"/>
                      <w:b/>
                      <w:bCs/>
                      <w:color w:val="auto"/>
                      <w:sz w:val="21"/>
                      <w:szCs w:val="21"/>
                    </w:rPr>
                  </w:pPr>
                  <w:r>
                    <w:rPr>
                      <w:b/>
                      <w:bCs/>
                      <w:color w:val="auto"/>
                      <w:sz w:val="21"/>
                      <w:szCs w:val="21"/>
                    </w:rPr>
                    <w:t>利用处置方式</w:t>
                  </w:r>
                </w:p>
              </w:tc>
            </w:tr>
            <w:tr w14:paraId="03ECD2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0B372FB8">
                  <w:pPr>
                    <w:spacing w:line="200" w:lineRule="atLeast"/>
                    <w:jc w:val="center"/>
                    <w:rPr>
                      <w:color w:val="auto"/>
                      <w:szCs w:val="21"/>
                    </w:rPr>
                  </w:pPr>
                  <w:r>
                    <w:rPr>
                      <w:color w:val="auto"/>
                      <w:szCs w:val="21"/>
                    </w:rPr>
                    <w:t>1</w:t>
                  </w:r>
                </w:p>
              </w:tc>
              <w:tc>
                <w:tcPr>
                  <w:tcW w:w="455" w:type="pct"/>
                  <w:vAlign w:val="center"/>
                </w:tcPr>
                <w:p w14:paraId="7F2DA659">
                  <w:pPr>
                    <w:spacing w:line="200" w:lineRule="atLeast"/>
                    <w:jc w:val="center"/>
                    <w:rPr>
                      <w:color w:val="auto"/>
                      <w:szCs w:val="21"/>
                    </w:rPr>
                  </w:pPr>
                  <w:r>
                    <w:rPr>
                      <w:color w:val="auto"/>
                      <w:szCs w:val="21"/>
                    </w:rPr>
                    <w:t>废活性炭</w:t>
                  </w:r>
                </w:p>
              </w:tc>
              <w:tc>
                <w:tcPr>
                  <w:tcW w:w="467" w:type="pct"/>
                  <w:vAlign w:val="center"/>
                </w:tcPr>
                <w:p w14:paraId="24CE9428">
                  <w:pPr>
                    <w:spacing w:line="200" w:lineRule="atLeast"/>
                    <w:jc w:val="center"/>
                    <w:rPr>
                      <w:color w:val="auto"/>
                      <w:szCs w:val="21"/>
                    </w:rPr>
                  </w:pPr>
                  <w:r>
                    <w:rPr>
                      <w:color w:val="auto"/>
                      <w:szCs w:val="21"/>
                    </w:rPr>
                    <w:t>危险废物</w:t>
                  </w:r>
                </w:p>
              </w:tc>
              <w:tc>
                <w:tcPr>
                  <w:tcW w:w="352" w:type="pct"/>
                  <w:vAlign w:val="center"/>
                </w:tcPr>
                <w:p w14:paraId="629B9CCE">
                  <w:pPr>
                    <w:spacing w:line="200" w:lineRule="atLeast"/>
                    <w:jc w:val="center"/>
                    <w:rPr>
                      <w:color w:val="auto"/>
                      <w:szCs w:val="21"/>
                    </w:rPr>
                  </w:pPr>
                  <w:r>
                    <w:rPr>
                      <w:color w:val="auto"/>
                      <w:szCs w:val="21"/>
                    </w:rPr>
                    <w:t>废气处理</w:t>
                  </w:r>
                </w:p>
              </w:tc>
              <w:tc>
                <w:tcPr>
                  <w:tcW w:w="298" w:type="pct"/>
                  <w:vAlign w:val="center"/>
                </w:tcPr>
                <w:p w14:paraId="1FDCE67F">
                  <w:pPr>
                    <w:spacing w:line="200" w:lineRule="atLeast"/>
                    <w:jc w:val="center"/>
                    <w:rPr>
                      <w:color w:val="auto"/>
                      <w:szCs w:val="21"/>
                    </w:rPr>
                  </w:pPr>
                  <w:r>
                    <w:rPr>
                      <w:color w:val="auto"/>
                      <w:szCs w:val="21"/>
                    </w:rPr>
                    <w:t>固态</w:t>
                  </w:r>
                </w:p>
              </w:tc>
              <w:tc>
                <w:tcPr>
                  <w:tcW w:w="515" w:type="pct"/>
                  <w:vAlign w:val="center"/>
                </w:tcPr>
                <w:p w14:paraId="67F5C90E">
                  <w:pPr>
                    <w:spacing w:line="200" w:lineRule="atLeast"/>
                    <w:jc w:val="center"/>
                    <w:rPr>
                      <w:color w:val="auto"/>
                      <w:szCs w:val="21"/>
                    </w:rPr>
                  </w:pPr>
                  <w:r>
                    <w:rPr>
                      <w:color w:val="auto"/>
                      <w:szCs w:val="21"/>
                    </w:rPr>
                    <w:t>活性炭、有机废气</w:t>
                  </w:r>
                </w:p>
              </w:tc>
              <w:tc>
                <w:tcPr>
                  <w:tcW w:w="656" w:type="pct"/>
                  <w:vMerge w:val="restart"/>
                  <w:vAlign w:val="center"/>
                </w:tcPr>
                <w:p w14:paraId="6BC5E165">
                  <w:pPr>
                    <w:spacing w:line="200" w:lineRule="atLeast"/>
                    <w:jc w:val="center"/>
                    <w:rPr>
                      <w:color w:val="auto"/>
                      <w:szCs w:val="21"/>
                    </w:rPr>
                  </w:pPr>
                  <w:r>
                    <w:rPr>
                      <w:rFonts w:hint="eastAsia"/>
                      <w:color w:val="auto"/>
                      <w:szCs w:val="21"/>
                      <w:lang w:val="zh-CN"/>
                    </w:rPr>
                    <w:t>《国家危险废物名录》（2025年）</w:t>
                  </w:r>
                  <w:r>
                    <w:rPr>
                      <w:color w:val="auto"/>
                      <w:szCs w:val="21"/>
                      <w:lang w:val="zh-CN"/>
                    </w:rPr>
                    <w:t>以及《危险废物鉴别标准 通则》（GB5085.7-2019）</w:t>
                  </w:r>
                </w:p>
              </w:tc>
              <w:tc>
                <w:tcPr>
                  <w:tcW w:w="368" w:type="pct"/>
                  <w:vAlign w:val="center"/>
                </w:tcPr>
                <w:p w14:paraId="43A92494">
                  <w:pPr>
                    <w:spacing w:line="200" w:lineRule="atLeast"/>
                    <w:jc w:val="center"/>
                    <w:rPr>
                      <w:color w:val="auto"/>
                      <w:szCs w:val="21"/>
                    </w:rPr>
                  </w:pPr>
                  <w:r>
                    <w:rPr>
                      <w:color w:val="auto"/>
                      <w:szCs w:val="21"/>
                    </w:rPr>
                    <w:t>T</w:t>
                  </w:r>
                </w:p>
              </w:tc>
              <w:tc>
                <w:tcPr>
                  <w:tcW w:w="374" w:type="pct"/>
                  <w:vAlign w:val="center"/>
                </w:tcPr>
                <w:p w14:paraId="7E44756A">
                  <w:pPr>
                    <w:spacing w:line="200" w:lineRule="atLeast"/>
                    <w:jc w:val="center"/>
                    <w:rPr>
                      <w:color w:val="auto"/>
                      <w:szCs w:val="21"/>
                    </w:rPr>
                  </w:pPr>
                  <w:r>
                    <w:rPr>
                      <w:color w:val="auto"/>
                      <w:szCs w:val="21"/>
                    </w:rPr>
                    <w:t>HW49</w:t>
                  </w:r>
                </w:p>
              </w:tc>
              <w:tc>
                <w:tcPr>
                  <w:tcW w:w="594" w:type="pct"/>
                  <w:vAlign w:val="center"/>
                </w:tcPr>
                <w:p w14:paraId="69589016">
                  <w:pPr>
                    <w:spacing w:line="200" w:lineRule="atLeast"/>
                    <w:jc w:val="center"/>
                    <w:rPr>
                      <w:color w:val="auto"/>
                      <w:szCs w:val="21"/>
                    </w:rPr>
                  </w:pPr>
                  <w:r>
                    <w:rPr>
                      <w:color w:val="auto"/>
                      <w:szCs w:val="21"/>
                    </w:rPr>
                    <w:t>900-039-49</w:t>
                  </w:r>
                </w:p>
              </w:tc>
              <w:tc>
                <w:tcPr>
                  <w:tcW w:w="430" w:type="pct"/>
                  <w:tcBorders>
                    <w:bottom w:val="single" w:color="000000" w:sz="2" w:space="0"/>
                  </w:tcBorders>
                  <w:vAlign w:val="center"/>
                </w:tcPr>
                <w:p w14:paraId="502C6FF3">
                  <w:pPr>
                    <w:spacing w:line="200" w:lineRule="atLeast"/>
                    <w:jc w:val="center"/>
                    <w:rPr>
                      <w:rFonts w:hint="eastAsia" w:eastAsia="宋体"/>
                      <w:color w:val="auto"/>
                      <w:szCs w:val="21"/>
                      <w:lang w:eastAsia="zh-CN"/>
                    </w:rPr>
                  </w:pPr>
                  <w:r>
                    <w:rPr>
                      <w:rFonts w:hint="eastAsia"/>
                      <w:color w:val="auto"/>
                      <w:lang w:eastAsia="zh-CN"/>
                    </w:rPr>
                    <w:t>28.90703</w:t>
                  </w:r>
                </w:p>
              </w:tc>
              <w:tc>
                <w:tcPr>
                  <w:tcW w:w="304" w:type="pct"/>
                  <w:vMerge w:val="restart"/>
                  <w:vAlign w:val="center"/>
                </w:tcPr>
                <w:p w14:paraId="3F699559">
                  <w:pPr>
                    <w:spacing w:line="200" w:lineRule="atLeast"/>
                    <w:jc w:val="center"/>
                    <w:rPr>
                      <w:color w:val="auto"/>
                      <w:szCs w:val="21"/>
                    </w:rPr>
                  </w:pPr>
                  <w:r>
                    <w:rPr>
                      <w:color w:val="auto"/>
                      <w:szCs w:val="21"/>
                    </w:rPr>
                    <w:t>资质单位处置</w:t>
                  </w:r>
                </w:p>
              </w:tc>
            </w:tr>
            <w:tr w14:paraId="5DD692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31B4EF11">
                  <w:pPr>
                    <w:spacing w:line="200" w:lineRule="atLeast"/>
                    <w:jc w:val="center"/>
                    <w:rPr>
                      <w:color w:val="auto"/>
                      <w:szCs w:val="21"/>
                    </w:rPr>
                  </w:pPr>
                  <w:r>
                    <w:rPr>
                      <w:rFonts w:hint="eastAsia"/>
                      <w:color w:val="auto"/>
                      <w:szCs w:val="21"/>
                    </w:rPr>
                    <w:t>2</w:t>
                  </w:r>
                </w:p>
              </w:tc>
              <w:tc>
                <w:tcPr>
                  <w:tcW w:w="455" w:type="pct"/>
                  <w:vAlign w:val="center"/>
                </w:tcPr>
                <w:p w14:paraId="656ECE19">
                  <w:pPr>
                    <w:spacing w:line="200" w:lineRule="atLeast"/>
                    <w:jc w:val="center"/>
                    <w:rPr>
                      <w:color w:val="auto"/>
                      <w:szCs w:val="21"/>
                    </w:rPr>
                  </w:pPr>
                  <w:r>
                    <w:rPr>
                      <w:rFonts w:hint="eastAsia"/>
                      <w:color w:val="auto"/>
                      <w:szCs w:val="21"/>
                    </w:rPr>
                    <w:t>废液压油</w:t>
                  </w:r>
                </w:p>
              </w:tc>
              <w:tc>
                <w:tcPr>
                  <w:tcW w:w="467" w:type="pct"/>
                  <w:vAlign w:val="center"/>
                </w:tcPr>
                <w:p w14:paraId="2F8FC902">
                  <w:pPr>
                    <w:spacing w:line="200" w:lineRule="atLeast"/>
                    <w:jc w:val="center"/>
                    <w:rPr>
                      <w:color w:val="auto"/>
                      <w:szCs w:val="21"/>
                    </w:rPr>
                  </w:pPr>
                  <w:r>
                    <w:rPr>
                      <w:color w:val="auto"/>
                      <w:szCs w:val="21"/>
                    </w:rPr>
                    <w:t>危险废物</w:t>
                  </w:r>
                </w:p>
              </w:tc>
              <w:tc>
                <w:tcPr>
                  <w:tcW w:w="352" w:type="pct"/>
                  <w:vAlign w:val="center"/>
                </w:tcPr>
                <w:p w14:paraId="4CD61A8B">
                  <w:pPr>
                    <w:spacing w:line="200" w:lineRule="atLeast"/>
                    <w:jc w:val="center"/>
                    <w:rPr>
                      <w:color w:val="auto"/>
                      <w:szCs w:val="21"/>
                    </w:rPr>
                  </w:pPr>
                  <w:r>
                    <w:rPr>
                      <w:rFonts w:hint="eastAsia"/>
                      <w:color w:val="auto"/>
                      <w:szCs w:val="21"/>
                    </w:rPr>
                    <w:t>机修</w:t>
                  </w:r>
                </w:p>
              </w:tc>
              <w:tc>
                <w:tcPr>
                  <w:tcW w:w="298" w:type="pct"/>
                  <w:vAlign w:val="center"/>
                </w:tcPr>
                <w:p w14:paraId="73B1A78E">
                  <w:pPr>
                    <w:spacing w:line="200" w:lineRule="atLeast"/>
                    <w:jc w:val="center"/>
                    <w:rPr>
                      <w:color w:val="auto"/>
                      <w:szCs w:val="21"/>
                    </w:rPr>
                  </w:pPr>
                  <w:r>
                    <w:rPr>
                      <w:rFonts w:hint="eastAsia"/>
                      <w:color w:val="auto"/>
                      <w:szCs w:val="21"/>
                    </w:rPr>
                    <w:t>液态</w:t>
                  </w:r>
                </w:p>
              </w:tc>
              <w:tc>
                <w:tcPr>
                  <w:tcW w:w="515" w:type="pct"/>
                  <w:vAlign w:val="center"/>
                </w:tcPr>
                <w:p w14:paraId="661ED8E9">
                  <w:pPr>
                    <w:spacing w:line="200" w:lineRule="atLeast"/>
                    <w:jc w:val="center"/>
                    <w:rPr>
                      <w:color w:val="auto"/>
                      <w:szCs w:val="21"/>
                    </w:rPr>
                  </w:pPr>
                  <w:r>
                    <w:rPr>
                      <w:rFonts w:hint="eastAsia"/>
                      <w:color w:val="auto"/>
                      <w:szCs w:val="21"/>
                    </w:rPr>
                    <w:t>废液压油</w:t>
                  </w:r>
                </w:p>
              </w:tc>
              <w:tc>
                <w:tcPr>
                  <w:tcW w:w="656" w:type="pct"/>
                  <w:vMerge w:val="continue"/>
                  <w:vAlign w:val="center"/>
                </w:tcPr>
                <w:p w14:paraId="3DA7030C">
                  <w:pPr>
                    <w:spacing w:line="200" w:lineRule="atLeast"/>
                    <w:jc w:val="center"/>
                    <w:rPr>
                      <w:color w:val="auto"/>
                      <w:szCs w:val="21"/>
                      <w:lang w:val="zh-CN"/>
                    </w:rPr>
                  </w:pPr>
                </w:p>
              </w:tc>
              <w:tc>
                <w:tcPr>
                  <w:tcW w:w="368" w:type="pct"/>
                  <w:vAlign w:val="center"/>
                </w:tcPr>
                <w:p w14:paraId="5DCF243B">
                  <w:pPr>
                    <w:spacing w:line="200" w:lineRule="atLeast"/>
                    <w:jc w:val="center"/>
                    <w:rPr>
                      <w:color w:val="auto"/>
                      <w:szCs w:val="21"/>
                    </w:rPr>
                  </w:pPr>
                  <w:r>
                    <w:rPr>
                      <w:color w:val="auto"/>
                      <w:szCs w:val="21"/>
                    </w:rPr>
                    <w:t>T</w:t>
                  </w:r>
                  <w:r>
                    <w:rPr>
                      <w:color w:val="auto"/>
                      <w:kern w:val="0"/>
                      <w:szCs w:val="21"/>
                      <w:lang w:val="zh-CN"/>
                    </w:rPr>
                    <w:t>,I</w:t>
                  </w:r>
                </w:p>
              </w:tc>
              <w:tc>
                <w:tcPr>
                  <w:tcW w:w="374" w:type="pct"/>
                  <w:vAlign w:val="center"/>
                </w:tcPr>
                <w:p w14:paraId="19BBDEED">
                  <w:pPr>
                    <w:spacing w:line="200" w:lineRule="atLeast"/>
                    <w:jc w:val="center"/>
                    <w:rPr>
                      <w:color w:val="auto"/>
                      <w:szCs w:val="21"/>
                    </w:rPr>
                  </w:pPr>
                  <w:r>
                    <w:rPr>
                      <w:rFonts w:hint="eastAsia"/>
                      <w:color w:val="auto"/>
                      <w:szCs w:val="21"/>
                    </w:rPr>
                    <w:t>HW08</w:t>
                  </w:r>
                </w:p>
              </w:tc>
              <w:tc>
                <w:tcPr>
                  <w:tcW w:w="594" w:type="pct"/>
                  <w:vAlign w:val="center"/>
                </w:tcPr>
                <w:p w14:paraId="5FD6408D">
                  <w:pPr>
                    <w:spacing w:line="200" w:lineRule="atLeast"/>
                    <w:jc w:val="center"/>
                    <w:rPr>
                      <w:color w:val="auto"/>
                      <w:szCs w:val="21"/>
                    </w:rPr>
                  </w:pPr>
                  <w:r>
                    <w:rPr>
                      <w:rFonts w:hint="eastAsia"/>
                      <w:color w:val="auto"/>
                      <w:szCs w:val="21"/>
                    </w:rPr>
                    <w:t>900-218-08</w:t>
                  </w:r>
                </w:p>
              </w:tc>
              <w:tc>
                <w:tcPr>
                  <w:tcW w:w="430" w:type="pct"/>
                  <w:tcBorders>
                    <w:bottom w:val="single" w:color="000000" w:sz="2" w:space="0"/>
                  </w:tcBorders>
                  <w:vAlign w:val="center"/>
                </w:tcPr>
                <w:p w14:paraId="16778F10">
                  <w:pPr>
                    <w:spacing w:line="200" w:lineRule="atLeast"/>
                    <w:jc w:val="center"/>
                    <w:rPr>
                      <w:color w:val="auto"/>
                      <w:szCs w:val="21"/>
                    </w:rPr>
                  </w:pPr>
                  <w:r>
                    <w:rPr>
                      <w:rFonts w:hint="eastAsia"/>
                      <w:color w:val="auto"/>
                      <w:szCs w:val="21"/>
                    </w:rPr>
                    <w:t>0.08</w:t>
                  </w:r>
                </w:p>
              </w:tc>
              <w:tc>
                <w:tcPr>
                  <w:tcW w:w="304" w:type="pct"/>
                  <w:vMerge w:val="continue"/>
                  <w:vAlign w:val="center"/>
                </w:tcPr>
                <w:p w14:paraId="2EF0F3F9">
                  <w:pPr>
                    <w:spacing w:line="200" w:lineRule="atLeast"/>
                    <w:jc w:val="center"/>
                    <w:rPr>
                      <w:color w:val="auto"/>
                      <w:szCs w:val="21"/>
                    </w:rPr>
                  </w:pPr>
                </w:p>
              </w:tc>
            </w:tr>
            <w:tr w14:paraId="0E843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504D576D">
                  <w:pPr>
                    <w:spacing w:line="200" w:lineRule="atLeast"/>
                    <w:jc w:val="center"/>
                    <w:rPr>
                      <w:color w:val="auto"/>
                      <w:szCs w:val="21"/>
                    </w:rPr>
                  </w:pPr>
                  <w:r>
                    <w:rPr>
                      <w:rFonts w:hint="eastAsia"/>
                      <w:color w:val="auto"/>
                      <w:szCs w:val="21"/>
                    </w:rPr>
                    <w:t>3</w:t>
                  </w:r>
                </w:p>
              </w:tc>
              <w:tc>
                <w:tcPr>
                  <w:tcW w:w="455" w:type="pct"/>
                  <w:vAlign w:val="center"/>
                </w:tcPr>
                <w:p w14:paraId="15FFB1E8">
                  <w:pPr>
                    <w:spacing w:line="200" w:lineRule="atLeast"/>
                    <w:jc w:val="center"/>
                    <w:rPr>
                      <w:color w:val="auto"/>
                      <w:szCs w:val="21"/>
                    </w:rPr>
                  </w:pPr>
                  <w:r>
                    <w:rPr>
                      <w:rFonts w:hint="eastAsia"/>
                      <w:color w:val="auto"/>
                      <w:szCs w:val="21"/>
                    </w:rPr>
                    <w:t>废胶桶、废胶瓶</w:t>
                  </w:r>
                </w:p>
              </w:tc>
              <w:tc>
                <w:tcPr>
                  <w:tcW w:w="467" w:type="pct"/>
                  <w:vAlign w:val="center"/>
                </w:tcPr>
                <w:p w14:paraId="4CA34FE6">
                  <w:pPr>
                    <w:spacing w:line="200" w:lineRule="atLeast"/>
                    <w:jc w:val="center"/>
                    <w:rPr>
                      <w:color w:val="auto"/>
                      <w:szCs w:val="21"/>
                    </w:rPr>
                  </w:pPr>
                  <w:r>
                    <w:rPr>
                      <w:color w:val="auto"/>
                      <w:szCs w:val="21"/>
                    </w:rPr>
                    <w:t>危险废物</w:t>
                  </w:r>
                </w:p>
              </w:tc>
              <w:tc>
                <w:tcPr>
                  <w:tcW w:w="352" w:type="pct"/>
                  <w:vAlign w:val="center"/>
                </w:tcPr>
                <w:p w14:paraId="64428FD4">
                  <w:pPr>
                    <w:spacing w:line="200" w:lineRule="atLeast"/>
                    <w:jc w:val="center"/>
                    <w:rPr>
                      <w:color w:val="auto"/>
                      <w:szCs w:val="21"/>
                    </w:rPr>
                  </w:pPr>
                  <w:r>
                    <w:rPr>
                      <w:rFonts w:hint="eastAsia"/>
                      <w:color w:val="auto"/>
                      <w:szCs w:val="21"/>
                    </w:rPr>
                    <w:t>用胶</w:t>
                  </w:r>
                </w:p>
              </w:tc>
              <w:tc>
                <w:tcPr>
                  <w:tcW w:w="298" w:type="pct"/>
                  <w:vAlign w:val="center"/>
                </w:tcPr>
                <w:p w14:paraId="5CF96AF3">
                  <w:pPr>
                    <w:spacing w:line="200" w:lineRule="atLeast"/>
                    <w:jc w:val="center"/>
                    <w:rPr>
                      <w:color w:val="auto"/>
                      <w:szCs w:val="21"/>
                    </w:rPr>
                  </w:pPr>
                  <w:r>
                    <w:rPr>
                      <w:color w:val="auto"/>
                      <w:szCs w:val="21"/>
                    </w:rPr>
                    <w:t>固</w:t>
                  </w:r>
                  <w:r>
                    <w:rPr>
                      <w:rFonts w:hint="eastAsia"/>
                      <w:color w:val="auto"/>
                      <w:szCs w:val="21"/>
                    </w:rPr>
                    <w:t>态</w:t>
                  </w:r>
                </w:p>
              </w:tc>
              <w:tc>
                <w:tcPr>
                  <w:tcW w:w="515" w:type="pct"/>
                  <w:vAlign w:val="center"/>
                </w:tcPr>
                <w:p w14:paraId="586DE5CB">
                  <w:pPr>
                    <w:spacing w:line="200" w:lineRule="atLeast"/>
                    <w:jc w:val="center"/>
                    <w:rPr>
                      <w:color w:val="auto"/>
                      <w:szCs w:val="21"/>
                    </w:rPr>
                  </w:pPr>
                  <w:r>
                    <w:rPr>
                      <w:rFonts w:hint="eastAsia"/>
                      <w:color w:val="auto"/>
                      <w:szCs w:val="21"/>
                    </w:rPr>
                    <w:t>胶、包装桶</w:t>
                  </w:r>
                </w:p>
              </w:tc>
              <w:tc>
                <w:tcPr>
                  <w:tcW w:w="656" w:type="pct"/>
                  <w:vMerge w:val="continue"/>
                  <w:vAlign w:val="center"/>
                </w:tcPr>
                <w:p w14:paraId="09774E21">
                  <w:pPr>
                    <w:spacing w:line="200" w:lineRule="atLeast"/>
                    <w:jc w:val="center"/>
                    <w:rPr>
                      <w:color w:val="auto"/>
                      <w:szCs w:val="21"/>
                      <w:lang w:val="zh-CN"/>
                    </w:rPr>
                  </w:pPr>
                </w:p>
              </w:tc>
              <w:tc>
                <w:tcPr>
                  <w:tcW w:w="368" w:type="pct"/>
                  <w:vAlign w:val="center"/>
                </w:tcPr>
                <w:p w14:paraId="5FEA9C74">
                  <w:pPr>
                    <w:spacing w:line="200" w:lineRule="atLeast"/>
                    <w:jc w:val="center"/>
                    <w:rPr>
                      <w:color w:val="auto"/>
                      <w:szCs w:val="21"/>
                    </w:rPr>
                  </w:pPr>
                  <w:r>
                    <w:rPr>
                      <w:rFonts w:hint="eastAsia"/>
                      <w:color w:val="auto"/>
                      <w:kern w:val="0"/>
                      <w:szCs w:val="21"/>
                      <w:lang w:val="zh-CN"/>
                    </w:rPr>
                    <w:t>T/In</w:t>
                  </w:r>
                </w:p>
              </w:tc>
              <w:tc>
                <w:tcPr>
                  <w:tcW w:w="374" w:type="pct"/>
                  <w:vAlign w:val="center"/>
                </w:tcPr>
                <w:p w14:paraId="6216735B">
                  <w:pPr>
                    <w:pStyle w:val="477"/>
                    <w:spacing w:after="0"/>
                    <w:rPr>
                      <w:color w:val="auto"/>
                      <w:szCs w:val="21"/>
                    </w:rPr>
                  </w:pPr>
                  <w:r>
                    <w:rPr>
                      <w:color w:val="auto"/>
                      <w:kern w:val="0"/>
                      <w:szCs w:val="21"/>
                      <w:lang w:val="zh-CN"/>
                    </w:rPr>
                    <w:t>HW</w:t>
                  </w:r>
                  <w:r>
                    <w:rPr>
                      <w:rFonts w:hint="eastAsia"/>
                      <w:color w:val="auto"/>
                      <w:kern w:val="0"/>
                      <w:szCs w:val="21"/>
                    </w:rPr>
                    <w:t>49</w:t>
                  </w:r>
                </w:p>
              </w:tc>
              <w:tc>
                <w:tcPr>
                  <w:tcW w:w="594" w:type="pct"/>
                  <w:vAlign w:val="center"/>
                </w:tcPr>
                <w:p w14:paraId="4A75F0D2">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0" w:type="pct"/>
                  <w:tcBorders>
                    <w:bottom w:val="single" w:color="000000" w:sz="2" w:space="0"/>
                  </w:tcBorders>
                  <w:vAlign w:val="center"/>
                </w:tcPr>
                <w:p w14:paraId="5700CC06">
                  <w:pPr>
                    <w:pStyle w:val="477"/>
                    <w:spacing w:after="0"/>
                    <w:rPr>
                      <w:color w:val="auto"/>
                      <w:szCs w:val="21"/>
                    </w:rPr>
                  </w:pPr>
                  <w:r>
                    <w:rPr>
                      <w:rFonts w:hint="eastAsia"/>
                      <w:color w:val="auto"/>
                      <w:szCs w:val="21"/>
                    </w:rPr>
                    <w:t>1.28325</w:t>
                  </w:r>
                </w:p>
              </w:tc>
              <w:tc>
                <w:tcPr>
                  <w:tcW w:w="304" w:type="pct"/>
                  <w:vMerge w:val="continue"/>
                  <w:vAlign w:val="center"/>
                </w:tcPr>
                <w:p w14:paraId="714D06F3">
                  <w:pPr>
                    <w:spacing w:line="200" w:lineRule="atLeast"/>
                    <w:jc w:val="center"/>
                    <w:rPr>
                      <w:color w:val="auto"/>
                      <w:szCs w:val="21"/>
                    </w:rPr>
                  </w:pPr>
                </w:p>
              </w:tc>
            </w:tr>
            <w:tr w14:paraId="0983F6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0AC5A3D7">
                  <w:pPr>
                    <w:spacing w:line="200" w:lineRule="atLeast"/>
                    <w:jc w:val="center"/>
                    <w:rPr>
                      <w:color w:val="auto"/>
                      <w:szCs w:val="21"/>
                    </w:rPr>
                  </w:pPr>
                  <w:r>
                    <w:rPr>
                      <w:rFonts w:hint="eastAsia"/>
                      <w:color w:val="auto"/>
                      <w:szCs w:val="21"/>
                    </w:rPr>
                    <w:t>4</w:t>
                  </w:r>
                </w:p>
              </w:tc>
              <w:tc>
                <w:tcPr>
                  <w:tcW w:w="455" w:type="pct"/>
                  <w:vAlign w:val="center"/>
                </w:tcPr>
                <w:p w14:paraId="6CFEDA14">
                  <w:pPr>
                    <w:spacing w:line="200" w:lineRule="atLeast"/>
                    <w:jc w:val="center"/>
                    <w:rPr>
                      <w:color w:val="auto"/>
                      <w:szCs w:val="21"/>
                    </w:rPr>
                  </w:pPr>
                  <w:r>
                    <w:rPr>
                      <w:rFonts w:hint="eastAsia"/>
                      <w:color w:val="auto"/>
                      <w:szCs w:val="21"/>
                    </w:rPr>
                    <w:t>废灰桶、废漆桶</w:t>
                  </w:r>
                </w:p>
              </w:tc>
              <w:tc>
                <w:tcPr>
                  <w:tcW w:w="467" w:type="pct"/>
                  <w:shd w:val="clear" w:color="auto" w:fill="auto"/>
                  <w:vAlign w:val="center"/>
                </w:tcPr>
                <w:p w14:paraId="05A1D270">
                  <w:pPr>
                    <w:spacing w:line="200" w:lineRule="atLeast"/>
                    <w:jc w:val="center"/>
                    <w:rPr>
                      <w:color w:val="auto"/>
                      <w:szCs w:val="21"/>
                    </w:rPr>
                  </w:pPr>
                  <w:r>
                    <w:rPr>
                      <w:color w:val="auto"/>
                      <w:szCs w:val="21"/>
                    </w:rPr>
                    <w:t>危险废物</w:t>
                  </w:r>
                </w:p>
              </w:tc>
              <w:tc>
                <w:tcPr>
                  <w:tcW w:w="352" w:type="pct"/>
                  <w:vAlign w:val="center"/>
                </w:tcPr>
                <w:p w14:paraId="550E25BE">
                  <w:pPr>
                    <w:spacing w:line="280" w:lineRule="exact"/>
                    <w:jc w:val="center"/>
                    <w:rPr>
                      <w:color w:val="auto"/>
                      <w:szCs w:val="21"/>
                    </w:rPr>
                  </w:pPr>
                  <w:r>
                    <w:rPr>
                      <w:rFonts w:hint="eastAsia"/>
                      <w:color w:val="auto"/>
                      <w:szCs w:val="21"/>
                    </w:rPr>
                    <w:t>批灰、喷漆</w:t>
                  </w:r>
                </w:p>
              </w:tc>
              <w:tc>
                <w:tcPr>
                  <w:tcW w:w="298" w:type="pct"/>
                  <w:vAlign w:val="center"/>
                </w:tcPr>
                <w:p w14:paraId="64D73A1E">
                  <w:pPr>
                    <w:spacing w:line="280" w:lineRule="exact"/>
                    <w:jc w:val="center"/>
                    <w:rPr>
                      <w:color w:val="auto"/>
                      <w:szCs w:val="21"/>
                    </w:rPr>
                  </w:pPr>
                  <w:r>
                    <w:rPr>
                      <w:rFonts w:hint="eastAsia"/>
                      <w:color w:val="auto"/>
                      <w:szCs w:val="21"/>
                    </w:rPr>
                    <w:t>固</w:t>
                  </w:r>
                </w:p>
              </w:tc>
              <w:tc>
                <w:tcPr>
                  <w:tcW w:w="515" w:type="pct"/>
                  <w:vAlign w:val="center"/>
                </w:tcPr>
                <w:p w14:paraId="285F7655">
                  <w:pPr>
                    <w:spacing w:line="280" w:lineRule="exact"/>
                    <w:jc w:val="center"/>
                    <w:rPr>
                      <w:color w:val="auto"/>
                      <w:szCs w:val="21"/>
                    </w:rPr>
                  </w:pPr>
                  <w:r>
                    <w:rPr>
                      <w:rFonts w:hint="eastAsia"/>
                      <w:color w:val="auto"/>
                      <w:szCs w:val="21"/>
                    </w:rPr>
                    <w:t>漆、包装桶</w:t>
                  </w:r>
                </w:p>
              </w:tc>
              <w:tc>
                <w:tcPr>
                  <w:tcW w:w="656" w:type="pct"/>
                  <w:vMerge w:val="continue"/>
                  <w:vAlign w:val="center"/>
                </w:tcPr>
                <w:p w14:paraId="3969C8CB">
                  <w:pPr>
                    <w:spacing w:line="200" w:lineRule="atLeast"/>
                    <w:jc w:val="center"/>
                    <w:rPr>
                      <w:color w:val="auto"/>
                      <w:szCs w:val="21"/>
                      <w:lang w:val="zh-CN"/>
                    </w:rPr>
                  </w:pPr>
                </w:p>
              </w:tc>
              <w:tc>
                <w:tcPr>
                  <w:tcW w:w="368" w:type="pct"/>
                  <w:vAlign w:val="center"/>
                </w:tcPr>
                <w:p w14:paraId="73BFFBF3">
                  <w:pPr>
                    <w:spacing w:line="200" w:lineRule="atLeast"/>
                    <w:jc w:val="center"/>
                    <w:rPr>
                      <w:color w:val="auto"/>
                      <w:kern w:val="0"/>
                      <w:szCs w:val="21"/>
                      <w:lang w:val="zh-CN"/>
                    </w:rPr>
                  </w:pPr>
                  <w:r>
                    <w:rPr>
                      <w:rFonts w:hint="eastAsia"/>
                      <w:color w:val="auto"/>
                      <w:kern w:val="0"/>
                      <w:szCs w:val="21"/>
                      <w:lang w:val="zh-CN"/>
                    </w:rPr>
                    <w:t>T/In</w:t>
                  </w:r>
                </w:p>
              </w:tc>
              <w:tc>
                <w:tcPr>
                  <w:tcW w:w="374" w:type="pct"/>
                  <w:vAlign w:val="center"/>
                </w:tcPr>
                <w:p w14:paraId="07460DFE">
                  <w:pPr>
                    <w:pStyle w:val="477"/>
                    <w:spacing w:after="0"/>
                    <w:rPr>
                      <w:color w:val="auto"/>
                      <w:kern w:val="0"/>
                      <w:szCs w:val="21"/>
                      <w:lang w:val="zh-CN"/>
                    </w:rPr>
                  </w:pPr>
                  <w:r>
                    <w:rPr>
                      <w:color w:val="auto"/>
                      <w:kern w:val="0"/>
                      <w:szCs w:val="21"/>
                      <w:lang w:val="zh-CN"/>
                    </w:rPr>
                    <w:t>HW</w:t>
                  </w:r>
                  <w:r>
                    <w:rPr>
                      <w:rFonts w:hint="eastAsia"/>
                      <w:color w:val="auto"/>
                      <w:kern w:val="0"/>
                      <w:szCs w:val="21"/>
                    </w:rPr>
                    <w:t>49</w:t>
                  </w:r>
                </w:p>
              </w:tc>
              <w:tc>
                <w:tcPr>
                  <w:tcW w:w="594" w:type="pct"/>
                  <w:vAlign w:val="center"/>
                </w:tcPr>
                <w:p w14:paraId="744E368A">
                  <w:pPr>
                    <w:pStyle w:val="477"/>
                    <w:spacing w:after="0"/>
                    <w:rPr>
                      <w:color w:val="auto"/>
                      <w:kern w:val="0"/>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0" w:type="pct"/>
                  <w:tcBorders>
                    <w:bottom w:val="single" w:color="000000" w:sz="2" w:space="0"/>
                  </w:tcBorders>
                  <w:vAlign w:val="center"/>
                </w:tcPr>
                <w:p w14:paraId="3D5528D0">
                  <w:pPr>
                    <w:pStyle w:val="477"/>
                    <w:spacing w:after="0"/>
                    <w:rPr>
                      <w:color w:val="auto"/>
                      <w:szCs w:val="21"/>
                    </w:rPr>
                  </w:pPr>
                  <w:r>
                    <w:rPr>
                      <w:rFonts w:hint="eastAsia"/>
                      <w:color w:val="auto"/>
                      <w:szCs w:val="21"/>
                    </w:rPr>
                    <w:t>0.668</w:t>
                  </w:r>
                </w:p>
              </w:tc>
              <w:tc>
                <w:tcPr>
                  <w:tcW w:w="304" w:type="pct"/>
                  <w:vMerge w:val="continue"/>
                  <w:vAlign w:val="center"/>
                </w:tcPr>
                <w:p w14:paraId="5A257169">
                  <w:pPr>
                    <w:spacing w:line="200" w:lineRule="atLeast"/>
                    <w:jc w:val="center"/>
                    <w:rPr>
                      <w:color w:val="auto"/>
                      <w:szCs w:val="21"/>
                    </w:rPr>
                  </w:pPr>
                </w:p>
              </w:tc>
            </w:tr>
            <w:tr w14:paraId="346B85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639A8C48">
                  <w:pPr>
                    <w:spacing w:line="200" w:lineRule="atLeast"/>
                    <w:jc w:val="center"/>
                    <w:rPr>
                      <w:color w:val="auto"/>
                      <w:szCs w:val="21"/>
                    </w:rPr>
                  </w:pPr>
                  <w:r>
                    <w:rPr>
                      <w:rFonts w:hint="eastAsia"/>
                      <w:color w:val="auto"/>
                      <w:szCs w:val="21"/>
                    </w:rPr>
                    <w:t>5</w:t>
                  </w:r>
                </w:p>
              </w:tc>
              <w:tc>
                <w:tcPr>
                  <w:tcW w:w="455" w:type="pct"/>
                  <w:shd w:val="clear" w:color="auto" w:fill="auto"/>
                  <w:vAlign w:val="center"/>
                </w:tcPr>
                <w:p w14:paraId="0197E967">
                  <w:pPr>
                    <w:spacing w:line="200" w:lineRule="atLeast"/>
                    <w:jc w:val="center"/>
                    <w:rPr>
                      <w:color w:val="auto"/>
                      <w:szCs w:val="21"/>
                    </w:rPr>
                  </w:pPr>
                  <w:r>
                    <w:rPr>
                      <w:rFonts w:hint="eastAsia"/>
                      <w:color w:val="auto"/>
                      <w:szCs w:val="21"/>
                    </w:rPr>
                    <w:t>废漆渣</w:t>
                  </w:r>
                </w:p>
              </w:tc>
              <w:tc>
                <w:tcPr>
                  <w:tcW w:w="467" w:type="pct"/>
                  <w:shd w:val="clear" w:color="auto" w:fill="auto"/>
                  <w:vAlign w:val="center"/>
                </w:tcPr>
                <w:p w14:paraId="61F87861">
                  <w:pPr>
                    <w:spacing w:line="280" w:lineRule="exact"/>
                    <w:jc w:val="center"/>
                    <w:rPr>
                      <w:color w:val="auto"/>
                      <w:szCs w:val="21"/>
                    </w:rPr>
                  </w:pPr>
                  <w:r>
                    <w:rPr>
                      <w:color w:val="auto"/>
                      <w:szCs w:val="21"/>
                    </w:rPr>
                    <w:t>危险废物</w:t>
                  </w:r>
                </w:p>
              </w:tc>
              <w:tc>
                <w:tcPr>
                  <w:tcW w:w="352" w:type="pct"/>
                  <w:shd w:val="clear" w:color="auto" w:fill="auto"/>
                  <w:vAlign w:val="center"/>
                </w:tcPr>
                <w:p w14:paraId="5EB305D5">
                  <w:pPr>
                    <w:spacing w:line="280" w:lineRule="exact"/>
                    <w:jc w:val="center"/>
                    <w:rPr>
                      <w:color w:val="auto"/>
                      <w:szCs w:val="21"/>
                    </w:rPr>
                  </w:pPr>
                  <w:r>
                    <w:rPr>
                      <w:rFonts w:hint="eastAsia"/>
                      <w:color w:val="auto"/>
                      <w:szCs w:val="21"/>
                    </w:rPr>
                    <w:t>喷漆</w:t>
                  </w:r>
                </w:p>
              </w:tc>
              <w:tc>
                <w:tcPr>
                  <w:tcW w:w="298" w:type="pct"/>
                  <w:shd w:val="clear" w:color="auto" w:fill="auto"/>
                  <w:vAlign w:val="center"/>
                </w:tcPr>
                <w:p w14:paraId="04890C2B">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00781501">
                  <w:pPr>
                    <w:spacing w:line="280" w:lineRule="exact"/>
                    <w:jc w:val="center"/>
                    <w:rPr>
                      <w:color w:val="auto"/>
                      <w:szCs w:val="21"/>
                    </w:rPr>
                  </w:pPr>
                  <w:r>
                    <w:rPr>
                      <w:rFonts w:hint="eastAsia"/>
                      <w:color w:val="auto"/>
                      <w:szCs w:val="21"/>
                    </w:rPr>
                    <w:t>漆</w:t>
                  </w:r>
                </w:p>
              </w:tc>
              <w:tc>
                <w:tcPr>
                  <w:tcW w:w="656" w:type="pct"/>
                  <w:vMerge w:val="continue"/>
                  <w:vAlign w:val="center"/>
                </w:tcPr>
                <w:p w14:paraId="4ED800ED">
                  <w:pPr>
                    <w:spacing w:line="200" w:lineRule="atLeast"/>
                    <w:jc w:val="center"/>
                    <w:rPr>
                      <w:color w:val="auto"/>
                      <w:szCs w:val="21"/>
                      <w:lang w:val="zh-CN"/>
                    </w:rPr>
                  </w:pPr>
                </w:p>
              </w:tc>
              <w:tc>
                <w:tcPr>
                  <w:tcW w:w="368" w:type="pct"/>
                  <w:vAlign w:val="center"/>
                </w:tcPr>
                <w:p w14:paraId="029F182E">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79F487E3">
                  <w:pPr>
                    <w:pStyle w:val="477"/>
                    <w:spacing w:after="0"/>
                    <w:rPr>
                      <w:color w:val="auto"/>
                      <w:kern w:val="0"/>
                      <w:szCs w:val="21"/>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67F6A19A">
                  <w:pPr>
                    <w:pStyle w:val="477"/>
                    <w:spacing w:after="0"/>
                    <w:rPr>
                      <w:color w:val="auto"/>
                      <w:kern w:val="0"/>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430" w:type="pct"/>
                  <w:tcBorders>
                    <w:bottom w:val="single" w:color="000000" w:sz="2" w:space="0"/>
                  </w:tcBorders>
                  <w:vAlign w:val="center"/>
                </w:tcPr>
                <w:p w14:paraId="6FD7D775">
                  <w:pPr>
                    <w:pStyle w:val="477"/>
                    <w:spacing w:after="0"/>
                    <w:rPr>
                      <w:rFonts w:hint="eastAsia" w:eastAsia="宋体"/>
                      <w:color w:val="auto"/>
                      <w:szCs w:val="21"/>
                      <w:lang w:eastAsia="zh-CN"/>
                    </w:rPr>
                  </w:pPr>
                  <w:r>
                    <w:rPr>
                      <w:rFonts w:hint="eastAsia"/>
                      <w:color w:val="auto"/>
                      <w:szCs w:val="21"/>
                      <w:lang w:eastAsia="zh-CN"/>
                    </w:rPr>
                    <w:t>0.2941</w:t>
                  </w:r>
                </w:p>
              </w:tc>
              <w:tc>
                <w:tcPr>
                  <w:tcW w:w="304" w:type="pct"/>
                  <w:vMerge w:val="continue"/>
                  <w:vAlign w:val="center"/>
                </w:tcPr>
                <w:p w14:paraId="21AE5A7D">
                  <w:pPr>
                    <w:spacing w:line="200" w:lineRule="atLeast"/>
                    <w:jc w:val="center"/>
                    <w:rPr>
                      <w:color w:val="auto"/>
                      <w:szCs w:val="21"/>
                    </w:rPr>
                  </w:pPr>
                </w:p>
              </w:tc>
            </w:tr>
            <w:tr w14:paraId="6E6420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560079C5">
                  <w:pPr>
                    <w:spacing w:line="200" w:lineRule="atLeast"/>
                    <w:jc w:val="center"/>
                    <w:rPr>
                      <w:color w:val="auto"/>
                      <w:szCs w:val="21"/>
                    </w:rPr>
                  </w:pPr>
                  <w:r>
                    <w:rPr>
                      <w:rFonts w:hint="eastAsia"/>
                      <w:color w:val="auto"/>
                      <w:szCs w:val="21"/>
                    </w:rPr>
                    <w:t>6</w:t>
                  </w:r>
                </w:p>
              </w:tc>
              <w:tc>
                <w:tcPr>
                  <w:tcW w:w="455" w:type="pct"/>
                  <w:vAlign w:val="center"/>
                </w:tcPr>
                <w:p w14:paraId="3EB40C7D">
                  <w:pPr>
                    <w:spacing w:line="200" w:lineRule="atLeast"/>
                    <w:jc w:val="center"/>
                    <w:rPr>
                      <w:color w:val="auto"/>
                      <w:szCs w:val="21"/>
                    </w:rPr>
                  </w:pPr>
                  <w:r>
                    <w:rPr>
                      <w:rFonts w:hint="eastAsia"/>
                      <w:color w:val="auto"/>
                      <w:szCs w:val="21"/>
                    </w:rPr>
                    <w:t>废切削液</w:t>
                  </w:r>
                </w:p>
              </w:tc>
              <w:tc>
                <w:tcPr>
                  <w:tcW w:w="467" w:type="pct"/>
                  <w:shd w:val="clear" w:color="auto" w:fill="auto"/>
                  <w:vAlign w:val="center"/>
                </w:tcPr>
                <w:p w14:paraId="0765D617">
                  <w:pPr>
                    <w:spacing w:line="200" w:lineRule="atLeast"/>
                    <w:jc w:val="center"/>
                    <w:rPr>
                      <w:color w:val="auto"/>
                      <w:szCs w:val="21"/>
                    </w:rPr>
                  </w:pPr>
                  <w:r>
                    <w:rPr>
                      <w:color w:val="auto"/>
                      <w:szCs w:val="21"/>
                    </w:rPr>
                    <w:t>危险废物</w:t>
                  </w:r>
                </w:p>
              </w:tc>
              <w:tc>
                <w:tcPr>
                  <w:tcW w:w="352" w:type="pct"/>
                  <w:shd w:val="clear" w:color="auto" w:fill="auto"/>
                  <w:vAlign w:val="center"/>
                </w:tcPr>
                <w:p w14:paraId="7500F9F5">
                  <w:pPr>
                    <w:spacing w:line="280" w:lineRule="exact"/>
                    <w:jc w:val="center"/>
                    <w:rPr>
                      <w:color w:val="auto"/>
                      <w:szCs w:val="21"/>
                    </w:rPr>
                  </w:pPr>
                  <w:r>
                    <w:rPr>
                      <w:rFonts w:hint="eastAsia"/>
                      <w:color w:val="auto"/>
                      <w:szCs w:val="21"/>
                    </w:rPr>
                    <w:t>设备</w:t>
                  </w:r>
                </w:p>
              </w:tc>
              <w:tc>
                <w:tcPr>
                  <w:tcW w:w="298" w:type="pct"/>
                  <w:shd w:val="clear" w:color="auto" w:fill="auto"/>
                  <w:vAlign w:val="center"/>
                </w:tcPr>
                <w:p w14:paraId="3872D23C">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6BBBB976">
                  <w:pPr>
                    <w:spacing w:line="280" w:lineRule="exact"/>
                    <w:jc w:val="center"/>
                    <w:rPr>
                      <w:color w:val="auto"/>
                      <w:szCs w:val="21"/>
                    </w:rPr>
                  </w:pPr>
                  <w:r>
                    <w:rPr>
                      <w:rFonts w:hint="eastAsia"/>
                      <w:color w:val="auto"/>
                      <w:szCs w:val="21"/>
                    </w:rPr>
                    <w:t>切削液</w:t>
                  </w:r>
                </w:p>
              </w:tc>
              <w:tc>
                <w:tcPr>
                  <w:tcW w:w="656" w:type="pct"/>
                  <w:vMerge w:val="continue"/>
                  <w:vAlign w:val="center"/>
                </w:tcPr>
                <w:p w14:paraId="62162092">
                  <w:pPr>
                    <w:spacing w:line="200" w:lineRule="atLeast"/>
                    <w:jc w:val="center"/>
                    <w:rPr>
                      <w:color w:val="auto"/>
                      <w:szCs w:val="21"/>
                      <w:lang w:val="zh-CN"/>
                    </w:rPr>
                  </w:pPr>
                </w:p>
              </w:tc>
              <w:tc>
                <w:tcPr>
                  <w:tcW w:w="368" w:type="pct"/>
                  <w:vAlign w:val="center"/>
                </w:tcPr>
                <w:p w14:paraId="43C1667C">
                  <w:pPr>
                    <w:spacing w:line="200" w:lineRule="atLeast"/>
                    <w:jc w:val="center"/>
                    <w:rPr>
                      <w:color w:val="auto"/>
                      <w:kern w:val="0"/>
                      <w:szCs w:val="21"/>
                      <w:lang w:val="zh-CN"/>
                    </w:rPr>
                  </w:pPr>
                  <w:r>
                    <w:rPr>
                      <w:color w:val="auto"/>
                      <w:szCs w:val="21"/>
                    </w:rPr>
                    <w:t>T</w:t>
                  </w:r>
                </w:p>
              </w:tc>
              <w:tc>
                <w:tcPr>
                  <w:tcW w:w="374" w:type="pct"/>
                  <w:vAlign w:val="center"/>
                </w:tcPr>
                <w:p w14:paraId="51B57891">
                  <w:pPr>
                    <w:pStyle w:val="477"/>
                    <w:spacing w:after="0"/>
                    <w:rPr>
                      <w:color w:val="auto"/>
                      <w:kern w:val="0"/>
                      <w:szCs w:val="21"/>
                    </w:rPr>
                  </w:pPr>
                  <w:r>
                    <w:rPr>
                      <w:rFonts w:hint="eastAsia"/>
                      <w:color w:val="auto"/>
                      <w:kern w:val="0"/>
                      <w:szCs w:val="21"/>
                    </w:rPr>
                    <w:t>HW09</w:t>
                  </w:r>
                </w:p>
              </w:tc>
              <w:tc>
                <w:tcPr>
                  <w:tcW w:w="594" w:type="pct"/>
                  <w:vAlign w:val="center"/>
                </w:tcPr>
                <w:p w14:paraId="52963285">
                  <w:pPr>
                    <w:pStyle w:val="477"/>
                    <w:spacing w:after="0"/>
                    <w:rPr>
                      <w:color w:val="auto"/>
                      <w:kern w:val="0"/>
                      <w:szCs w:val="21"/>
                    </w:rPr>
                  </w:pPr>
                  <w:r>
                    <w:rPr>
                      <w:rFonts w:hint="eastAsia"/>
                      <w:color w:val="auto"/>
                      <w:kern w:val="0"/>
                      <w:szCs w:val="21"/>
                    </w:rPr>
                    <w:t>900-006-09</w:t>
                  </w:r>
                </w:p>
              </w:tc>
              <w:tc>
                <w:tcPr>
                  <w:tcW w:w="430" w:type="pct"/>
                  <w:tcBorders>
                    <w:bottom w:val="single" w:color="000000" w:sz="2" w:space="0"/>
                  </w:tcBorders>
                  <w:vAlign w:val="center"/>
                </w:tcPr>
                <w:p w14:paraId="74853652">
                  <w:pPr>
                    <w:pStyle w:val="477"/>
                    <w:spacing w:after="0"/>
                    <w:rPr>
                      <w:color w:val="auto"/>
                      <w:szCs w:val="21"/>
                    </w:rPr>
                  </w:pPr>
                  <w:r>
                    <w:rPr>
                      <w:rFonts w:hint="eastAsia"/>
                      <w:color w:val="auto"/>
                      <w:szCs w:val="21"/>
                    </w:rPr>
                    <w:t>0.054</w:t>
                  </w:r>
                </w:p>
              </w:tc>
              <w:tc>
                <w:tcPr>
                  <w:tcW w:w="304" w:type="pct"/>
                  <w:vMerge w:val="continue"/>
                  <w:vAlign w:val="center"/>
                </w:tcPr>
                <w:p w14:paraId="3251F8EB">
                  <w:pPr>
                    <w:spacing w:line="200" w:lineRule="atLeast"/>
                    <w:jc w:val="center"/>
                    <w:rPr>
                      <w:color w:val="auto"/>
                      <w:szCs w:val="21"/>
                    </w:rPr>
                  </w:pPr>
                </w:p>
              </w:tc>
            </w:tr>
            <w:tr w14:paraId="63158B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671DFBC2">
                  <w:pPr>
                    <w:spacing w:line="200" w:lineRule="atLeast"/>
                    <w:jc w:val="center"/>
                    <w:rPr>
                      <w:color w:val="auto"/>
                      <w:szCs w:val="21"/>
                    </w:rPr>
                  </w:pPr>
                  <w:r>
                    <w:rPr>
                      <w:rFonts w:hint="eastAsia"/>
                      <w:color w:val="auto"/>
                      <w:szCs w:val="21"/>
                    </w:rPr>
                    <w:t>7</w:t>
                  </w:r>
                </w:p>
              </w:tc>
              <w:tc>
                <w:tcPr>
                  <w:tcW w:w="455" w:type="pct"/>
                  <w:vAlign w:val="center"/>
                </w:tcPr>
                <w:p w14:paraId="156CE45A">
                  <w:pPr>
                    <w:spacing w:line="200" w:lineRule="atLeast"/>
                    <w:jc w:val="center"/>
                    <w:rPr>
                      <w:color w:val="auto"/>
                      <w:szCs w:val="21"/>
                    </w:rPr>
                  </w:pPr>
                  <w:r>
                    <w:rPr>
                      <w:rFonts w:hint="eastAsia"/>
                      <w:color w:val="auto"/>
                      <w:szCs w:val="21"/>
                    </w:rPr>
                    <w:t>喷涂渣</w:t>
                  </w:r>
                </w:p>
              </w:tc>
              <w:tc>
                <w:tcPr>
                  <w:tcW w:w="467" w:type="pct"/>
                  <w:vAlign w:val="center"/>
                </w:tcPr>
                <w:p w14:paraId="2AA60CB2">
                  <w:pPr>
                    <w:spacing w:line="200" w:lineRule="atLeast"/>
                    <w:jc w:val="center"/>
                    <w:rPr>
                      <w:color w:val="auto"/>
                      <w:szCs w:val="21"/>
                    </w:rPr>
                  </w:pPr>
                  <w:r>
                    <w:rPr>
                      <w:color w:val="auto"/>
                      <w:szCs w:val="21"/>
                    </w:rPr>
                    <w:t>危险废物</w:t>
                  </w:r>
                </w:p>
              </w:tc>
              <w:tc>
                <w:tcPr>
                  <w:tcW w:w="352" w:type="pct"/>
                  <w:shd w:val="clear" w:color="auto" w:fill="auto"/>
                  <w:vAlign w:val="center"/>
                </w:tcPr>
                <w:p w14:paraId="513A9AD8">
                  <w:pPr>
                    <w:spacing w:line="280" w:lineRule="exact"/>
                    <w:jc w:val="center"/>
                    <w:rPr>
                      <w:color w:val="auto"/>
                      <w:szCs w:val="21"/>
                    </w:rPr>
                  </w:pPr>
                  <w:r>
                    <w:rPr>
                      <w:rFonts w:hint="eastAsia"/>
                      <w:color w:val="auto"/>
                      <w:szCs w:val="21"/>
                    </w:rPr>
                    <w:t>喷粉</w:t>
                  </w:r>
                </w:p>
              </w:tc>
              <w:tc>
                <w:tcPr>
                  <w:tcW w:w="298" w:type="pct"/>
                  <w:shd w:val="clear" w:color="auto" w:fill="auto"/>
                  <w:vAlign w:val="center"/>
                </w:tcPr>
                <w:p w14:paraId="153AD337">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3EECA912">
                  <w:pPr>
                    <w:spacing w:line="280" w:lineRule="exact"/>
                    <w:jc w:val="center"/>
                    <w:rPr>
                      <w:color w:val="auto"/>
                      <w:szCs w:val="21"/>
                    </w:rPr>
                  </w:pPr>
                  <w:r>
                    <w:rPr>
                      <w:rFonts w:hint="eastAsia"/>
                      <w:color w:val="auto"/>
                      <w:szCs w:val="21"/>
                    </w:rPr>
                    <w:t>喷粉</w:t>
                  </w:r>
                </w:p>
              </w:tc>
              <w:tc>
                <w:tcPr>
                  <w:tcW w:w="656" w:type="pct"/>
                  <w:vMerge w:val="continue"/>
                  <w:vAlign w:val="center"/>
                </w:tcPr>
                <w:p w14:paraId="0747981A">
                  <w:pPr>
                    <w:spacing w:line="200" w:lineRule="atLeast"/>
                    <w:jc w:val="center"/>
                    <w:rPr>
                      <w:color w:val="auto"/>
                      <w:szCs w:val="21"/>
                      <w:lang w:val="zh-CN"/>
                    </w:rPr>
                  </w:pPr>
                </w:p>
              </w:tc>
              <w:tc>
                <w:tcPr>
                  <w:tcW w:w="368" w:type="pct"/>
                  <w:vAlign w:val="center"/>
                </w:tcPr>
                <w:p w14:paraId="0D77943F">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vAlign w:val="center"/>
                </w:tcPr>
                <w:p w14:paraId="24218828">
                  <w:pPr>
                    <w:pStyle w:val="477"/>
                    <w:spacing w:after="0"/>
                    <w:rPr>
                      <w:color w:val="auto"/>
                      <w:kern w:val="0"/>
                      <w:szCs w:val="21"/>
                      <w:lang w:val="zh-CN"/>
                    </w:rPr>
                  </w:pPr>
                  <w:r>
                    <w:rPr>
                      <w:rFonts w:hint="eastAsia"/>
                      <w:color w:val="auto"/>
                      <w:kern w:val="0"/>
                      <w:szCs w:val="21"/>
                    </w:rPr>
                    <w:t>HW12</w:t>
                  </w:r>
                </w:p>
              </w:tc>
              <w:tc>
                <w:tcPr>
                  <w:tcW w:w="594" w:type="pct"/>
                  <w:vAlign w:val="center"/>
                </w:tcPr>
                <w:p w14:paraId="75AB202E">
                  <w:pPr>
                    <w:pStyle w:val="477"/>
                    <w:spacing w:after="0"/>
                    <w:rPr>
                      <w:color w:val="auto"/>
                      <w:kern w:val="0"/>
                      <w:szCs w:val="21"/>
                      <w:lang w:val="zh-CN"/>
                    </w:rPr>
                  </w:pPr>
                  <w:r>
                    <w:rPr>
                      <w:rFonts w:hint="eastAsia"/>
                      <w:color w:val="auto"/>
                      <w:kern w:val="0"/>
                      <w:szCs w:val="21"/>
                    </w:rPr>
                    <w:t>900-252-12</w:t>
                  </w:r>
                </w:p>
              </w:tc>
              <w:tc>
                <w:tcPr>
                  <w:tcW w:w="430" w:type="pct"/>
                  <w:tcBorders>
                    <w:bottom w:val="single" w:color="000000" w:sz="2" w:space="0"/>
                  </w:tcBorders>
                  <w:vAlign w:val="center"/>
                </w:tcPr>
                <w:p w14:paraId="0B573A12">
                  <w:pPr>
                    <w:pStyle w:val="477"/>
                    <w:spacing w:after="0"/>
                    <w:rPr>
                      <w:color w:val="auto"/>
                      <w:szCs w:val="21"/>
                    </w:rPr>
                  </w:pPr>
                  <w:r>
                    <w:rPr>
                      <w:rFonts w:hint="eastAsia"/>
                      <w:color w:val="auto"/>
                      <w:szCs w:val="21"/>
                    </w:rPr>
                    <w:t>0.037</w:t>
                  </w:r>
                </w:p>
              </w:tc>
              <w:tc>
                <w:tcPr>
                  <w:tcW w:w="304" w:type="pct"/>
                  <w:vMerge w:val="continue"/>
                  <w:vAlign w:val="center"/>
                </w:tcPr>
                <w:p w14:paraId="0435EBDB">
                  <w:pPr>
                    <w:spacing w:line="200" w:lineRule="atLeast"/>
                    <w:jc w:val="center"/>
                    <w:rPr>
                      <w:color w:val="auto"/>
                      <w:szCs w:val="21"/>
                    </w:rPr>
                  </w:pPr>
                </w:p>
              </w:tc>
            </w:tr>
            <w:tr w14:paraId="40F27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35C5D8C4">
                  <w:pPr>
                    <w:spacing w:line="200" w:lineRule="atLeast"/>
                    <w:jc w:val="center"/>
                    <w:rPr>
                      <w:color w:val="auto"/>
                      <w:szCs w:val="21"/>
                    </w:rPr>
                  </w:pPr>
                  <w:r>
                    <w:rPr>
                      <w:rFonts w:hint="eastAsia"/>
                      <w:color w:val="auto"/>
                      <w:szCs w:val="21"/>
                    </w:rPr>
                    <w:t>8</w:t>
                  </w:r>
                </w:p>
              </w:tc>
              <w:tc>
                <w:tcPr>
                  <w:tcW w:w="455" w:type="pct"/>
                  <w:vAlign w:val="center"/>
                </w:tcPr>
                <w:p w14:paraId="109FAB5B">
                  <w:pPr>
                    <w:spacing w:line="200" w:lineRule="atLeast"/>
                    <w:jc w:val="center"/>
                    <w:rPr>
                      <w:color w:val="auto"/>
                      <w:szCs w:val="21"/>
                    </w:rPr>
                  </w:pPr>
                  <w:r>
                    <w:rPr>
                      <w:rFonts w:hint="eastAsia"/>
                      <w:color w:val="auto"/>
                      <w:szCs w:val="21"/>
                    </w:rPr>
                    <w:t>废抹布</w:t>
                  </w:r>
                </w:p>
              </w:tc>
              <w:tc>
                <w:tcPr>
                  <w:tcW w:w="467" w:type="pct"/>
                  <w:shd w:val="clear" w:color="auto" w:fill="auto"/>
                  <w:vAlign w:val="center"/>
                </w:tcPr>
                <w:p w14:paraId="5AEB084B">
                  <w:pPr>
                    <w:spacing w:line="200" w:lineRule="atLeast"/>
                    <w:jc w:val="center"/>
                    <w:rPr>
                      <w:color w:val="auto"/>
                      <w:szCs w:val="21"/>
                    </w:rPr>
                  </w:pPr>
                  <w:r>
                    <w:rPr>
                      <w:color w:val="auto"/>
                      <w:szCs w:val="21"/>
                    </w:rPr>
                    <w:t>危险废物</w:t>
                  </w:r>
                </w:p>
              </w:tc>
              <w:tc>
                <w:tcPr>
                  <w:tcW w:w="352" w:type="pct"/>
                  <w:shd w:val="clear" w:color="auto" w:fill="auto"/>
                  <w:vAlign w:val="center"/>
                </w:tcPr>
                <w:p w14:paraId="77684A39">
                  <w:pPr>
                    <w:spacing w:line="280" w:lineRule="exact"/>
                    <w:jc w:val="center"/>
                    <w:rPr>
                      <w:color w:val="auto"/>
                      <w:szCs w:val="21"/>
                    </w:rPr>
                  </w:pPr>
                  <w:r>
                    <w:rPr>
                      <w:rFonts w:hint="eastAsia"/>
                      <w:color w:val="auto"/>
                      <w:szCs w:val="21"/>
                    </w:rPr>
                    <w:t>清洁</w:t>
                  </w:r>
                </w:p>
              </w:tc>
              <w:tc>
                <w:tcPr>
                  <w:tcW w:w="298" w:type="pct"/>
                  <w:shd w:val="clear" w:color="auto" w:fill="auto"/>
                  <w:vAlign w:val="center"/>
                </w:tcPr>
                <w:p w14:paraId="1570AD6B">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32CDE262">
                  <w:pPr>
                    <w:spacing w:line="280" w:lineRule="exact"/>
                    <w:jc w:val="center"/>
                    <w:rPr>
                      <w:color w:val="auto"/>
                      <w:szCs w:val="21"/>
                    </w:rPr>
                  </w:pPr>
                  <w:r>
                    <w:rPr>
                      <w:rFonts w:hint="eastAsia"/>
                      <w:color w:val="auto"/>
                      <w:szCs w:val="21"/>
                    </w:rPr>
                    <w:t>碳氢清洗剂</w:t>
                  </w:r>
                </w:p>
              </w:tc>
              <w:tc>
                <w:tcPr>
                  <w:tcW w:w="656" w:type="pct"/>
                  <w:vMerge w:val="continue"/>
                  <w:vAlign w:val="center"/>
                </w:tcPr>
                <w:p w14:paraId="5E946BCC">
                  <w:pPr>
                    <w:spacing w:line="200" w:lineRule="atLeast"/>
                    <w:jc w:val="center"/>
                    <w:rPr>
                      <w:color w:val="auto"/>
                      <w:szCs w:val="21"/>
                      <w:lang w:val="zh-CN"/>
                    </w:rPr>
                  </w:pPr>
                </w:p>
              </w:tc>
              <w:tc>
                <w:tcPr>
                  <w:tcW w:w="368" w:type="pct"/>
                  <w:vAlign w:val="center"/>
                </w:tcPr>
                <w:p w14:paraId="545B2992">
                  <w:pPr>
                    <w:spacing w:line="200" w:lineRule="atLeast"/>
                    <w:jc w:val="center"/>
                    <w:rPr>
                      <w:color w:val="auto"/>
                      <w:kern w:val="0"/>
                      <w:szCs w:val="21"/>
                      <w:lang w:val="zh-CN"/>
                    </w:rPr>
                  </w:pPr>
                  <w:r>
                    <w:rPr>
                      <w:rFonts w:hint="eastAsia"/>
                      <w:color w:val="auto"/>
                      <w:kern w:val="0"/>
                      <w:szCs w:val="21"/>
                      <w:lang w:val="zh-CN"/>
                    </w:rPr>
                    <w:t>T/In</w:t>
                  </w:r>
                </w:p>
              </w:tc>
              <w:tc>
                <w:tcPr>
                  <w:tcW w:w="374" w:type="pct"/>
                  <w:vAlign w:val="center"/>
                </w:tcPr>
                <w:p w14:paraId="5EF08193">
                  <w:pPr>
                    <w:pStyle w:val="477"/>
                    <w:spacing w:after="0"/>
                    <w:rPr>
                      <w:color w:val="auto"/>
                      <w:kern w:val="0"/>
                      <w:szCs w:val="21"/>
                      <w:lang w:val="zh-CN"/>
                    </w:rPr>
                  </w:pPr>
                  <w:r>
                    <w:rPr>
                      <w:color w:val="auto"/>
                      <w:kern w:val="0"/>
                      <w:szCs w:val="21"/>
                      <w:lang w:val="zh-CN"/>
                    </w:rPr>
                    <w:t>HW</w:t>
                  </w:r>
                  <w:r>
                    <w:rPr>
                      <w:rFonts w:hint="eastAsia"/>
                      <w:color w:val="auto"/>
                      <w:kern w:val="0"/>
                      <w:szCs w:val="21"/>
                    </w:rPr>
                    <w:t>49</w:t>
                  </w:r>
                </w:p>
              </w:tc>
              <w:tc>
                <w:tcPr>
                  <w:tcW w:w="594" w:type="pct"/>
                  <w:vAlign w:val="center"/>
                </w:tcPr>
                <w:p w14:paraId="47112046">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041-49</w:t>
                  </w:r>
                </w:p>
              </w:tc>
              <w:tc>
                <w:tcPr>
                  <w:tcW w:w="430" w:type="pct"/>
                  <w:tcBorders>
                    <w:bottom w:val="single" w:color="000000" w:sz="2" w:space="0"/>
                  </w:tcBorders>
                  <w:vAlign w:val="center"/>
                </w:tcPr>
                <w:p w14:paraId="31ED3959">
                  <w:pPr>
                    <w:pStyle w:val="477"/>
                    <w:spacing w:after="0"/>
                    <w:rPr>
                      <w:color w:val="auto"/>
                      <w:szCs w:val="21"/>
                    </w:rPr>
                  </w:pPr>
                  <w:r>
                    <w:rPr>
                      <w:rFonts w:hint="eastAsia"/>
                      <w:color w:val="auto"/>
                      <w:szCs w:val="21"/>
                    </w:rPr>
                    <w:t>0.2</w:t>
                  </w:r>
                </w:p>
              </w:tc>
              <w:tc>
                <w:tcPr>
                  <w:tcW w:w="304" w:type="pct"/>
                  <w:vMerge w:val="continue"/>
                  <w:vAlign w:val="center"/>
                </w:tcPr>
                <w:p w14:paraId="53EBE476">
                  <w:pPr>
                    <w:spacing w:line="200" w:lineRule="atLeast"/>
                    <w:jc w:val="center"/>
                    <w:rPr>
                      <w:color w:val="auto"/>
                      <w:szCs w:val="21"/>
                    </w:rPr>
                  </w:pPr>
                </w:p>
              </w:tc>
            </w:tr>
            <w:tr w14:paraId="2110A8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0742E977">
                  <w:pPr>
                    <w:spacing w:line="200" w:lineRule="atLeast"/>
                    <w:jc w:val="center"/>
                    <w:rPr>
                      <w:color w:val="auto"/>
                      <w:szCs w:val="21"/>
                    </w:rPr>
                  </w:pPr>
                  <w:r>
                    <w:rPr>
                      <w:rFonts w:hint="eastAsia"/>
                      <w:color w:val="auto"/>
                      <w:szCs w:val="21"/>
                    </w:rPr>
                    <w:t>9</w:t>
                  </w:r>
                </w:p>
              </w:tc>
              <w:tc>
                <w:tcPr>
                  <w:tcW w:w="455" w:type="pct"/>
                  <w:vAlign w:val="center"/>
                </w:tcPr>
                <w:p w14:paraId="03AE1C1A">
                  <w:pPr>
                    <w:spacing w:line="200" w:lineRule="atLeast"/>
                    <w:jc w:val="center"/>
                    <w:rPr>
                      <w:color w:val="auto"/>
                      <w:szCs w:val="21"/>
                    </w:rPr>
                  </w:pPr>
                  <w:r>
                    <w:rPr>
                      <w:rFonts w:hint="eastAsia"/>
                      <w:color w:val="auto"/>
                      <w:szCs w:val="21"/>
                    </w:rPr>
                    <w:t>废油墨</w:t>
                  </w:r>
                </w:p>
              </w:tc>
              <w:tc>
                <w:tcPr>
                  <w:tcW w:w="467" w:type="pct"/>
                  <w:vAlign w:val="center"/>
                </w:tcPr>
                <w:p w14:paraId="4B4FA01B">
                  <w:pPr>
                    <w:spacing w:line="200" w:lineRule="atLeast"/>
                    <w:jc w:val="center"/>
                    <w:rPr>
                      <w:color w:val="auto"/>
                      <w:szCs w:val="21"/>
                    </w:rPr>
                  </w:pPr>
                  <w:r>
                    <w:rPr>
                      <w:color w:val="auto"/>
                      <w:szCs w:val="21"/>
                    </w:rPr>
                    <w:t>危险废物</w:t>
                  </w:r>
                </w:p>
              </w:tc>
              <w:tc>
                <w:tcPr>
                  <w:tcW w:w="352" w:type="pct"/>
                  <w:vAlign w:val="center"/>
                </w:tcPr>
                <w:p w14:paraId="4943BEC8">
                  <w:pPr>
                    <w:spacing w:line="280" w:lineRule="exact"/>
                    <w:jc w:val="center"/>
                    <w:rPr>
                      <w:color w:val="auto"/>
                      <w:szCs w:val="21"/>
                    </w:rPr>
                  </w:pPr>
                  <w:r>
                    <w:rPr>
                      <w:rFonts w:hint="eastAsia"/>
                      <w:color w:val="auto"/>
                      <w:szCs w:val="21"/>
                    </w:rPr>
                    <w:t>丝印</w:t>
                  </w:r>
                </w:p>
              </w:tc>
              <w:tc>
                <w:tcPr>
                  <w:tcW w:w="298" w:type="pct"/>
                  <w:vAlign w:val="center"/>
                </w:tcPr>
                <w:p w14:paraId="54B7572D">
                  <w:pPr>
                    <w:spacing w:line="280" w:lineRule="exact"/>
                    <w:jc w:val="center"/>
                    <w:rPr>
                      <w:color w:val="auto"/>
                      <w:szCs w:val="21"/>
                    </w:rPr>
                  </w:pPr>
                  <w:r>
                    <w:rPr>
                      <w:rFonts w:hint="eastAsia"/>
                      <w:color w:val="auto"/>
                      <w:szCs w:val="21"/>
                    </w:rPr>
                    <w:t>液</w:t>
                  </w:r>
                </w:p>
              </w:tc>
              <w:tc>
                <w:tcPr>
                  <w:tcW w:w="515" w:type="pct"/>
                  <w:vAlign w:val="center"/>
                </w:tcPr>
                <w:p w14:paraId="10EA76C9">
                  <w:pPr>
                    <w:spacing w:line="280" w:lineRule="exact"/>
                    <w:jc w:val="center"/>
                    <w:rPr>
                      <w:color w:val="auto"/>
                      <w:szCs w:val="21"/>
                    </w:rPr>
                  </w:pPr>
                  <w:r>
                    <w:rPr>
                      <w:rFonts w:hint="eastAsia"/>
                      <w:color w:val="auto"/>
                      <w:szCs w:val="21"/>
                    </w:rPr>
                    <w:t>油墨</w:t>
                  </w:r>
                </w:p>
              </w:tc>
              <w:tc>
                <w:tcPr>
                  <w:tcW w:w="656" w:type="pct"/>
                  <w:vMerge w:val="continue"/>
                  <w:vAlign w:val="center"/>
                </w:tcPr>
                <w:p w14:paraId="1802FADB">
                  <w:pPr>
                    <w:spacing w:line="200" w:lineRule="atLeast"/>
                    <w:jc w:val="center"/>
                    <w:rPr>
                      <w:color w:val="auto"/>
                      <w:szCs w:val="21"/>
                      <w:lang w:val="zh-CN"/>
                    </w:rPr>
                  </w:pPr>
                </w:p>
              </w:tc>
              <w:tc>
                <w:tcPr>
                  <w:tcW w:w="368" w:type="pct"/>
                  <w:vAlign w:val="center"/>
                </w:tcPr>
                <w:p w14:paraId="30603BCC">
                  <w:pPr>
                    <w:spacing w:line="200" w:lineRule="atLeast"/>
                    <w:jc w:val="center"/>
                    <w:rPr>
                      <w:color w:val="auto"/>
                      <w:kern w:val="0"/>
                      <w:szCs w:val="21"/>
                      <w:lang w:val="zh-CN"/>
                    </w:rPr>
                  </w:pPr>
                  <w:r>
                    <w:rPr>
                      <w:color w:val="auto"/>
                      <w:szCs w:val="21"/>
                    </w:rPr>
                    <w:t>T</w:t>
                  </w:r>
                </w:p>
              </w:tc>
              <w:tc>
                <w:tcPr>
                  <w:tcW w:w="374" w:type="pct"/>
                  <w:shd w:val="clear" w:color="auto" w:fill="auto"/>
                  <w:vAlign w:val="center"/>
                </w:tcPr>
                <w:p w14:paraId="2F7C2DE5">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0E8AAABA">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299-12</w:t>
                  </w:r>
                </w:p>
              </w:tc>
              <w:tc>
                <w:tcPr>
                  <w:tcW w:w="430" w:type="pct"/>
                  <w:tcBorders>
                    <w:bottom w:val="single" w:color="000000" w:sz="2" w:space="0"/>
                  </w:tcBorders>
                  <w:vAlign w:val="center"/>
                </w:tcPr>
                <w:p w14:paraId="6E7E5094">
                  <w:pPr>
                    <w:pStyle w:val="477"/>
                    <w:spacing w:after="0"/>
                    <w:rPr>
                      <w:color w:val="auto"/>
                      <w:szCs w:val="21"/>
                    </w:rPr>
                  </w:pPr>
                  <w:r>
                    <w:rPr>
                      <w:rFonts w:hint="eastAsia"/>
                      <w:color w:val="auto"/>
                      <w:szCs w:val="21"/>
                    </w:rPr>
                    <w:t>0.00025</w:t>
                  </w:r>
                </w:p>
              </w:tc>
              <w:tc>
                <w:tcPr>
                  <w:tcW w:w="304" w:type="pct"/>
                  <w:vMerge w:val="continue"/>
                  <w:vAlign w:val="center"/>
                </w:tcPr>
                <w:p w14:paraId="005E252B">
                  <w:pPr>
                    <w:spacing w:line="200" w:lineRule="atLeast"/>
                    <w:jc w:val="center"/>
                    <w:rPr>
                      <w:color w:val="auto"/>
                      <w:szCs w:val="21"/>
                    </w:rPr>
                  </w:pPr>
                </w:p>
              </w:tc>
            </w:tr>
            <w:tr w14:paraId="62A6D3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3DFD3070">
                  <w:pPr>
                    <w:spacing w:line="200" w:lineRule="atLeast"/>
                    <w:jc w:val="center"/>
                    <w:rPr>
                      <w:color w:val="auto"/>
                      <w:szCs w:val="21"/>
                    </w:rPr>
                  </w:pPr>
                  <w:r>
                    <w:rPr>
                      <w:rFonts w:hint="eastAsia"/>
                      <w:color w:val="auto"/>
                      <w:szCs w:val="21"/>
                    </w:rPr>
                    <w:t>10</w:t>
                  </w:r>
                </w:p>
              </w:tc>
              <w:tc>
                <w:tcPr>
                  <w:tcW w:w="455" w:type="pct"/>
                  <w:vAlign w:val="center"/>
                </w:tcPr>
                <w:p w14:paraId="5418EB19">
                  <w:pPr>
                    <w:spacing w:line="200" w:lineRule="atLeast"/>
                    <w:jc w:val="center"/>
                    <w:rPr>
                      <w:color w:val="auto"/>
                      <w:szCs w:val="21"/>
                    </w:rPr>
                  </w:pPr>
                  <w:r>
                    <w:rPr>
                      <w:rFonts w:hint="eastAsia"/>
                      <w:color w:val="auto"/>
                      <w:szCs w:val="21"/>
                    </w:rPr>
                    <w:t>废油墨桶</w:t>
                  </w:r>
                </w:p>
              </w:tc>
              <w:tc>
                <w:tcPr>
                  <w:tcW w:w="467" w:type="pct"/>
                  <w:vAlign w:val="center"/>
                </w:tcPr>
                <w:p w14:paraId="7DAC873B">
                  <w:pPr>
                    <w:spacing w:line="200" w:lineRule="atLeast"/>
                    <w:jc w:val="center"/>
                    <w:rPr>
                      <w:color w:val="auto"/>
                      <w:szCs w:val="21"/>
                    </w:rPr>
                  </w:pPr>
                  <w:r>
                    <w:rPr>
                      <w:color w:val="auto"/>
                      <w:szCs w:val="21"/>
                    </w:rPr>
                    <w:t>危险废物</w:t>
                  </w:r>
                </w:p>
              </w:tc>
              <w:tc>
                <w:tcPr>
                  <w:tcW w:w="352" w:type="pct"/>
                  <w:vAlign w:val="center"/>
                </w:tcPr>
                <w:p w14:paraId="1864EDA6">
                  <w:pPr>
                    <w:spacing w:line="280" w:lineRule="exact"/>
                    <w:jc w:val="center"/>
                    <w:rPr>
                      <w:color w:val="auto"/>
                      <w:szCs w:val="21"/>
                    </w:rPr>
                  </w:pPr>
                  <w:r>
                    <w:rPr>
                      <w:rFonts w:hint="eastAsia"/>
                      <w:color w:val="auto"/>
                      <w:szCs w:val="21"/>
                    </w:rPr>
                    <w:t>丝印</w:t>
                  </w:r>
                </w:p>
              </w:tc>
              <w:tc>
                <w:tcPr>
                  <w:tcW w:w="298" w:type="pct"/>
                  <w:vAlign w:val="center"/>
                </w:tcPr>
                <w:p w14:paraId="5599E42E">
                  <w:pPr>
                    <w:spacing w:line="280" w:lineRule="exact"/>
                    <w:jc w:val="center"/>
                    <w:rPr>
                      <w:color w:val="auto"/>
                      <w:szCs w:val="21"/>
                    </w:rPr>
                  </w:pPr>
                  <w:r>
                    <w:rPr>
                      <w:rFonts w:hint="eastAsia"/>
                      <w:color w:val="auto"/>
                      <w:szCs w:val="21"/>
                    </w:rPr>
                    <w:t>固</w:t>
                  </w:r>
                </w:p>
              </w:tc>
              <w:tc>
                <w:tcPr>
                  <w:tcW w:w="515" w:type="pct"/>
                  <w:vAlign w:val="center"/>
                </w:tcPr>
                <w:p w14:paraId="5CD94AFC">
                  <w:pPr>
                    <w:spacing w:line="280" w:lineRule="exact"/>
                    <w:jc w:val="center"/>
                    <w:rPr>
                      <w:color w:val="auto"/>
                      <w:szCs w:val="21"/>
                    </w:rPr>
                  </w:pPr>
                  <w:r>
                    <w:rPr>
                      <w:rFonts w:hint="eastAsia"/>
                      <w:color w:val="auto"/>
                      <w:szCs w:val="21"/>
                    </w:rPr>
                    <w:t>包装桶</w:t>
                  </w:r>
                </w:p>
              </w:tc>
              <w:tc>
                <w:tcPr>
                  <w:tcW w:w="656" w:type="pct"/>
                  <w:vMerge w:val="continue"/>
                  <w:vAlign w:val="center"/>
                </w:tcPr>
                <w:p w14:paraId="76FB0FE8">
                  <w:pPr>
                    <w:spacing w:line="200" w:lineRule="atLeast"/>
                    <w:jc w:val="center"/>
                    <w:rPr>
                      <w:color w:val="auto"/>
                      <w:szCs w:val="21"/>
                      <w:lang w:val="zh-CN"/>
                    </w:rPr>
                  </w:pPr>
                </w:p>
              </w:tc>
              <w:tc>
                <w:tcPr>
                  <w:tcW w:w="368" w:type="pct"/>
                  <w:vAlign w:val="center"/>
                </w:tcPr>
                <w:p w14:paraId="1C526570">
                  <w:pPr>
                    <w:spacing w:line="200" w:lineRule="atLeast"/>
                    <w:jc w:val="center"/>
                    <w:rPr>
                      <w:color w:val="auto"/>
                      <w:kern w:val="0"/>
                      <w:szCs w:val="21"/>
                      <w:lang w:val="zh-CN"/>
                    </w:rPr>
                  </w:pPr>
                  <w:r>
                    <w:rPr>
                      <w:color w:val="auto"/>
                      <w:szCs w:val="21"/>
                    </w:rPr>
                    <w:t>T/C/I/R</w:t>
                  </w:r>
                </w:p>
              </w:tc>
              <w:tc>
                <w:tcPr>
                  <w:tcW w:w="374" w:type="pct"/>
                  <w:vAlign w:val="center"/>
                </w:tcPr>
                <w:p w14:paraId="288A1577">
                  <w:pPr>
                    <w:pStyle w:val="477"/>
                    <w:spacing w:after="0"/>
                    <w:rPr>
                      <w:color w:val="auto"/>
                      <w:kern w:val="0"/>
                      <w:szCs w:val="21"/>
                    </w:rPr>
                  </w:pPr>
                  <w:r>
                    <w:rPr>
                      <w:color w:val="auto"/>
                      <w:kern w:val="0"/>
                      <w:szCs w:val="21"/>
                      <w:lang w:val="zh-CN"/>
                    </w:rPr>
                    <w:t>HW</w:t>
                  </w:r>
                  <w:r>
                    <w:rPr>
                      <w:rFonts w:hint="eastAsia"/>
                      <w:color w:val="auto"/>
                      <w:kern w:val="0"/>
                      <w:szCs w:val="21"/>
                    </w:rPr>
                    <w:t>49</w:t>
                  </w:r>
                </w:p>
              </w:tc>
              <w:tc>
                <w:tcPr>
                  <w:tcW w:w="594" w:type="pct"/>
                  <w:vAlign w:val="center"/>
                </w:tcPr>
                <w:p w14:paraId="707982EB">
                  <w:pPr>
                    <w:pStyle w:val="477"/>
                    <w:spacing w:after="0"/>
                    <w:rPr>
                      <w:color w:val="auto"/>
                      <w:kern w:val="0"/>
                      <w:szCs w:val="21"/>
                      <w:lang w:val="zh-CN"/>
                    </w:rPr>
                  </w:pPr>
                  <w:r>
                    <w:rPr>
                      <w:rFonts w:hint="eastAsia"/>
                      <w:color w:val="auto"/>
                      <w:kern w:val="0"/>
                      <w:szCs w:val="21"/>
                      <w:lang w:val="zh-CN"/>
                    </w:rPr>
                    <w:t>900-047-49</w:t>
                  </w:r>
                </w:p>
              </w:tc>
              <w:tc>
                <w:tcPr>
                  <w:tcW w:w="430" w:type="pct"/>
                  <w:tcBorders>
                    <w:bottom w:val="single" w:color="000000" w:sz="2" w:space="0"/>
                  </w:tcBorders>
                  <w:vAlign w:val="center"/>
                </w:tcPr>
                <w:p w14:paraId="4D5AC2B4">
                  <w:pPr>
                    <w:pStyle w:val="477"/>
                    <w:spacing w:after="0"/>
                    <w:rPr>
                      <w:color w:val="auto"/>
                      <w:szCs w:val="21"/>
                    </w:rPr>
                  </w:pPr>
                  <w:r>
                    <w:rPr>
                      <w:rFonts w:hint="eastAsia"/>
                      <w:color w:val="auto"/>
                      <w:szCs w:val="21"/>
                    </w:rPr>
                    <w:t>0.0025</w:t>
                  </w:r>
                </w:p>
              </w:tc>
              <w:tc>
                <w:tcPr>
                  <w:tcW w:w="304" w:type="pct"/>
                  <w:vMerge w:val="continue"/>
                  <w:vAlign w:val="center"/>
                </w:tcPr>
                <w:p w14:paraId="4E55C38A">
                  <w:pPr>
                    <w:spacing w:line="200" w:lineRule="atLeast"/>
                    <w:jc w:val="center"/>
                    <w:rPr>
                      <w:color w:val="auto"/>
                      <w:szCs w:val="21"/>
                    </w:rPr>
                  </w:pPr>
                </w:p>
              </w:tc>
            </w:tr>
            <w:tr w14:paraId="7EDE7E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7ECF0368">
                  <w:pPr>
                    <w:spacing w:line="200" w:lineRule="atLeast"/>
                    <w:jc w:val="center"/>
                    <w:rPr>
                      <w:color w:val="auto"/>
                      <w:szCs w:val="21"/>
                    </w:rPr>
                  </w:pPr>
                  <w:r>
                    <w:rPr>
                      <w:rFonts w:hint="eastAsia"/>
                      <w:color w:val="auto"/>
                      <w:szCs w:val="21"/>
                    </w:rPr>
                    <w:t>11</w:t>
                  </w:r>
                </w:p>
              </w:tc>
              <w:tc>
                <w:tcPr>
                  <w:tcW w:w="455" w:type="pct"/>
                  <w:vAlign w:val="center"/>
                </w:tcPr>
                <w:p w14:paraId="2E087B11">
                  <w:pPr>
                    <w:spacing w:line="200" w:lineRule="atLeast"/>
                    <w:jc w:val="center"/>
                    <w:rPr>
                      <w:color w:val="auto"/>
                      <w:szCs w:val="21"/>
                    </w:rPr>
                  </w:pPr>
                  <w:r>
                    <w:rPr>
                      <w:rFonts w:hint="eastAsia"/>
                      <w:color w:val="auto"/>
                      <w:szCs w:val="21"/>
                    </w:rPr>
                    <w:t>废洗网水</w:t>
                  </w:r>
                </w:p>
              </w:tc>
              <w:tc>
                <w:tcPr>
                  <w:tcW w:w="467" w:type="pct"/>
                  <w:vAlign w:val="center"/>
                </w:tcPr>
                <w:p w14:paraId="40B41B0B">
                  <w:pPr>
                    <w:spacing w:line="200" w:lineRule="atLeast"/>
                    <w:jc w:val="center"/>
                    <w:rPr>
                      <w:color w:val="auto"/>
                      <w:szCs w:val="21"/>
                    </w:rPr>
                  </w:pPr>
                  <w:r>
                    <w:rPr>
                      <w:color w:val="auto"/>
                      <w:szCs w:val="21"/>
                    </w:rPr>
                    <w:t>危险废物</w:t>
                  </w:r>
                </w:p>
              </w:tc>
              <w:tc>
                <w:tcPr>
                  <w:tcW w:w="352" w:type="pct"/>
                  <w:shd w:val="clear" w:color="auto" w:fill="auto"/>
                  <w:vAlign w:val="center"/>
                </w:tcPr>
                <w:p w14:paraId="1713956D">
                  <w:pPr>
                    <w:spacing w:line="280" w:lineRule="exact"/>
                    <w:jc w:val="center"/>
                    <w:rPr>
                      <w:color w:val="auto"/>
                      <w:szCs w:val="21"/>
                    </w:rPr>
                  </w:pPr>
                  <w:r>
                    <w:rPr>
                      <w:rFonts w:hint="eastAsia"/>
                      <w:color w:val="auto"/>
                      <w:szCs w:val="21"/>
                    </w:rPr>
                    <w:t>丝印</w:t>
                  </w:r>
                </w:p>
              </w:tc>
              <w:tc>
                <w:tcPr>
                  <w:tcW w:w="298" w:type="pct"/>
                  <w:shd w:val="clear" w:color="auto" w:fill="auto"/>
                  <w:vAlign w:val="center"/>
                </w:tcPr>
                <w:p w14:paraId="625F79FD">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145D0272">
                  <w:pPr>
                    <w:spacing w:line="280" w:lineRule="exact"/>
                    <w:jc w:val="center"/>
                    <w:rPr>
                      <w:color w:val="auto"/>
                      <w:szCs w:val="21"/>
                    </w:rPr>
                  </w:pPr>
                  <w:r>
                    <w:rPr>
                      <w:rFonts w:hint="eastAsia"/>
                      <w:color w:val="auto"/>
                      <w:szCs w:val="21"/>
                    </w:rPr>
                    <w:t>洗网水</w:t>
                  </w:r>
                </w:p>
              </w:tc>
              <w:tc>
                <w:tcPr>
                  <w:tcW w:w="656" w:type="pct"/>
                  <w:vMerge w:val="continue"/>
                  <w:vAlign w:val="center"/>
                </w:tcPr>
                <w:p w14:paraId="696DD526">
                  <w:pPr>
                    <w:spacing w:line="200" w:lineRule="atLeast"/>
                    <w:jc w:val="center"/>
                    <w:rPr>
                      <w:color w:val="auto"/>
                      <w:szCs w:val="21"/>
                      <w:lang w:val="zh-CN"/>
                    </w:rPr>
                  </w:pPr>
                </w:p>
              </w:tc>
              <w:tc>
                <w:tcPr>
                  <w:tcW w:w="368" w:type="pct"/>
                  <w:vAlign w:val="center"/>
                </w:tcPr>
                <w:p w14:paraId="30C26139">
                  <w:pPr>
                    <w:spacing w:line="200" w:lineRule="atLeast"/>
                    <w:jc w:val="center"/>
                    <w:rPr>
                      <w:color w:val="auto"/>
                      <w:kern w:val="0"/>
                      <w:szCs w:val="21"/>
                      <w:lang w:val="zh-CN"/>
                    </w:rPr>
                  </w:pPr>
                  <w:r>
                    <w:rPr>
                      <w:rFonts w:hint="eastAsia"/>
                      <w:color w:val="auto"/>
                      <w:kern w:val="0"/>
                      <w:szCs w:val="21"/>
                      <w:lang w:val="zh-CN"/>
                    </w:rPr>
                    <w:t>T,I,C</w:t>
                  </w:r>
                </w:p>
              </w:tc>
              <w:tc>
                <w:tcPr>
                  <w:tcW w:w="374" w:type="pct"/>
                  <w:vAlign w:val="center"/>
                </w:tcPr>
                <w:p w14:paraId="4445F010">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vAlign w:val="center"/>
                </w:tcPr>
                <w:p w14:paraId="4DEE0B6B">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256</w:t>
                  </w:r>
                  <w:r>
                    <w:rPr>
                      <w:rFonts w:hint="eastAsia"/>
                      <w:color w:val="auto"/>
                      <w:kern w:val="0"/>
                      <w:szCs w:val="21"/>
                      <w:lang w:val="zh-CN"/>
                    </w:rPr>
                    <w:t>-</w:t>
                  </w:r>
                  <w:r>
                    <w:rPr>
                      <w:rFonts w:hint="eastAsia"/>
                      <w:color w:val="auto"/>
                      <w:kern w:val="0"/>
                      <w:szCs w:val="21"/>
                    </w:rPr>
                    <w:t>12</w:t>
                  </w:r>
                </w:p>
              </w:tc>
              <w:tc>
                <w:tcPr>
                  <w:tcW w:w="430" w:type="pct"/>
                  <w:tcBorders>
                    <w:bottom w:val="single" w:color="000000" w:sz="2" w:space="0"/>
                  </w:tcBorders>
                  <w:vAlign w:val="center"/>
                </w:tcPr>
                <w:p w14:paraId="3CF3683D">
                  <w:pPr>
                    <w:pStyle w:val="477"/>
                    <w:spacing w:after="0"/>
                    <w:rPr>
                      <w:color w:val="auto"/>
                      <w:szCs w:val="21"/>
                    </w:rPr>
                  </w:pPr>
                  <w:r>
                    <w:rPr>
                      <w:rFonts w:hint="eastAsia"/>
                      <w:color w:val="auto"/>
                      <w:szCs w:val="21"/>
                    </w:rPr>
                    <w:t>0.34</w:t>
                  </w:r>
                </w:p>
              </w:tc>
              <w:tc>
                <w:tcPr>
                  <w:tcW w:w="304" w:type="pct"/>
                  <w:vMerge w:val="continue"/>
                  <w:vAlign w:val="center"/>
                </w:tcPr>
                <w:p w14:paraId="30BE8C48">
                  <w:pPr>
                    <w:spacing w:line="200" w:lineRule="atLeast"/>
                    <w:jc w:val="center"/>
                    <w:rPr>
                      <w:color w:val="auto"/>
                      <w:szCs w:val="21"/>
                    </w:rPr>
                  </w:pPr>
                </w:p>
              </w:tc>
            </w:tr>
            <w:tr w14:paraId="1ED974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5BC6CAC5">
                  <w:pPr>
                    <w:spacing w:line="200" w:lineRule="atLeast"/>
                    <w:jc w:val="center"/>
                    <w:rPr>
                      <w:color w:val="auto"/>
                      <w:szCs w:val="21"/>
                    </w:rPr>
                  </w:pPr>
                  <w:r>
                    <w:rPr>
                      <w:rFonts w:hint="eastAsia"/>
                      <w:color w:val="auto"/>
                      <w:szCs w:val="21"/>
                    </w:rPr>
                    <w:t>12</w:t>
                  </w:r>
                </w:p>
              </w:tc>
              <w:tc>
                <w:tcPr>
                  <w:tcW w:w="455" w:type="pct"/>
                  <w:shd w:val="clear" w:color="auto" w:fill="auto"/>
                  <w:vAlign w:val="center"/>
                </w:tcPr>
                <w:p w14:paraId="3FCC42F0">
                  <w:pPr>
                    <w:spacing w:line="200" w:lineRule="atLeast"/>
                    <w:jc w:val="center"/>
                    <w:rPr>
                      <w:color w:val="auto"/>
                      <w:szCs w:val="21"/>
                    </w:rPr>
                  </w:pPr>
                  <w:r>
                    <w:rPr>
                      <w:rFonts w:hint="eastAsia"/>
                      <w:color w:val="auto"/>
                      <w:szCs w:val="21"/>
                    </w:rPr>
                    <w:t>废机油</w:t>
                  </w:r>
                </w:p>
              </w:tc>
              <w:tc>
                <w:tcPr>
                  <w:tcW w:w="467" w:type="pct"/>
                  <w:vAlign w:val="center"/>
                </w:tcPr>
                <w:p w14:paraId="6F7D15AD">
                  <w:pPr>
                    <w:spacing w:line="200" w:lineRule="atLeast"/>
                    <w:jc w:val="center"/>
                    <w:rPr>
                      <w:color w:val="auto"/>
                      <w:szCs w:val="21"/>
                    </w:rPr>
                  </w:pPr>
                  <w:r>
                    <w:rPr>
                      <w:color w:val="auto"/>
                      <w:szCs w:val="21"/>
                    </w:rPr>
                    <w:t>危险废物</w:t>
                  </w:r>
                </w:p>
              </w:tc>
              <w:tc>
                <w:tcPr>
                  <w:tcW w:w="352" w:type="pct"/>
                  <w:shd w:val="clear" w:color="auto" w:fill="auto"/>
                  <w:vAlign w:val="center"/>
                </w:tcPr>
                <w:p w14:paraId="56938BE4">
                  <w:pPr>
                    <w:spacing w:line="280" w:lineRule="exact"/>
                    <w:jc w:val="center"/>
                    <w:rPr>
                      <w:color w:val="auto"/>
                      <w:szCs w:val="21"/>
                    </w:rPr>
                  </w:pPr>
                  <w:r>
                    <w:rPr>
                      <w:rFonts w:hint="eastAsia"/>
                      <w:color w:val="auto"/>
                      <w:szCs w:val="21"/>
                    </w:rPr>
                    <w:t>设备维护</w:t>
                  </w:r>
                </w:p>
              </w:tc>
              <w:tc>
                <w:tcPr>
                  <w:tcW w:w="298" w:type="pct"/>
                  <w:shd w:val="clear" w:color="auto" w:fill="auto"/>
                  <w:vAlign w:val="center"/>
                </w:tcPr>
                <w:p w14:paraId="265B3EC7">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48FD7755">
                  <w:pPr>
                    <w:spacing w:line="280" w:lineRule="exact"/>
                    <w:jc w:val="center"/>
                    <w:rPr>
                      <w:color w:val="auto"/>
                      <w:szCs w:val="21"/>
                    </w:rPr>
                  </w:pPr>
                  <w:r>
                    <w:rPr>
                      <w:rFonts w:hint="eastAsia"/>
                      <w:color w:val="auto"/>
                      <w:szCs w:val="21"/>
                    </w:rPr>
                    <w:t>机油</w:t>
                  </w:r>
                </w:p>
              </w:tc>
              <w:tc>
                <w:tcPr>
                  <w:tcW w:w="656" w:type="pct"/>
                  <w:vMerge w:val="continue"/>
                  <w:vAlign w:val="center"/>
                </w:tcPr>
                <w:p w14:paraId="743C972D">
                  <w:pPr>
                    <w:spacing w:line="200" w:lineRule="atLeast"/>
                    <w:jc w:val="center"/>
                    <w:rPr>
                      <w:color w:val="auto"/>
                      <w:szCs w:val="21"/>
                      <w:lang w:val="zh-CN"/>
                    </w:rPr>
                  </w:pPr>
                </w:p>
              </w:tc>
              <w:tc>
                <w:tcPr>
                  <w:tcW w:w="368" w:type="pct"/>
                  <w:vAlign w:val="center"/>
                </w:tcPr>
                <w:p w14:paraId="650E6DB2">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26F225DD">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7F0D5157">
                  <w:pPr>
                    <w:pStyle w:val="477"/>
                    <w:spacing w:after="0"/>
                    <w:rPr>
                      <w:color w:val="auto"/>
                      <w:kern w:val="0"/>
                      <w:szCs w:val="21"/>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430" w:type="pct"/>
                  <w:tcBorders>
                    <w:bottom w:val="single" w:color="000000" w:sz="2" w:space="0"/>
                  </w:tcBorders>
                  <w:shd w:val="clear" w:color="auto" w:fill="auto"/>
                  <w:vAlign w:val="center"/>
                </w:tcPr>
                <w:p w14:paraId="21550666">
                  <w:pPr>
                    <w:pStyle w:val="477"/>
                    <w:spacing w:after="0"/>
                    <w:rPr>
                      <w:color w:val="auto"/>
                      <w:szCs w:val="21"/>
                    </w:rPr>
                  </w:pPr>
                  <w:r>
                    <w:rPr>
                      <w:rFonts w:hint="eastAsia"/>
                      <w:color w:val="auto"/>
                      <w:szCs w:val="21"/>
                    </w:rPr>
                    <w:t>0.01</w:t>
                  </w:r>
                </w:p>
              </w:tc>
              <w:tc>
                <w:tcPr>
                  <w:tcW w:w="304" w:type="pct"/>
                  <w:vMerge w:val="continue"/>
                  <w:vAlign w:val="center"/>
                </w:tcPr>
                <w:p w14:paraId="314E55F5">
                  <w:pPr>
                    <w:spacing w:line="200" w:lineRule="atLeast"/>
                    <w:jc w:val="center"/>
                    <w:rPr>
                      <w:color w:val="auto"/>
                      <w:szCs w:val="21"/>
                    </w:rPr>
                  </w:pPr>
                </w:p>
              </w:tc>
            </w:tr>
            <w:tr w14:paraId="6A205F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24D0C976">
                  <w:pPr>
                    <w:spacing w:line="200" w:lineRule="atLeast"/>
                    <w:jc w:val="center"/>
                    <w:rPr>
                      <w:color w:val="auto"/>
                      <w:szCs w:val="21"/>
                    </w:rPr>
                  </w:pPr>
                  <w:r>
                    <w:rPr>
                      <w:rFonts w:hint="eastAsia"/>
                      <w:color w:val="auto"/>
                      <w:szCs w:val="21"/>
                    </w:rPr>
                    <w:t>13</w:t>
                  </w:r>
                </w:p>
              </w:tc>
              <w:tc>
                <w:tcPr>
                  <w:tcW w:w="455" w:type="pct"/>
                  <w:shd w:val="clear" w:color="auto" w:fill="auto"/>
                  <w:vAlign w:val="center"/>
                </w:tcPr>
                <w:p w14:paraId="23CE3A8B">
                  <w:pPr>
                    <w:spacing w:line="200" w:lineRule="atLeast"/>
                    <w:jc w:val="center"/>
                    <w:rPr>
                      <w:color w:val="auto"/>
                      <w:szCs w:val="21"/>
                    </w:rPr>
                  </w:pPr>
                  <w:r>
                    <w:rPr>
                      <w:rFonts w:hint="eastAsia"/>
                      <w:color w:val="auto"/>
                      <w:szCs w:val="21"/>
                    </w:rPr>
                    <w:t>废油桶</w:t>
                  </w:r>
                </w:p>
              </w:tc>
              <w:tc>
                <w:tcPr>
                  <w:tcW w:w="467" w:type="pct"/>
                  <w:vAlign w:val="center"/>
                </w:tcPr>
                <w:p w14:paraId="1264C844">
                  <w:pPr>
                    <w:spacing w:line="200" w:lineRule="atLeast"/>
                    <w:jc w:val="center"/>
                    <w:rPr>
                      <w:color w:val="auto"/>
                      <w:szCs w:val="21"/>
                    </w:rPr>
                  </w:pPr>
                  <w:r>
                    <w:rPr>
                      <w:color w:val="auto"/>
                      <w:szCs w:val="21"/>
                    </w:rPr>
                    <w:t>危险废物</w:t>
                  </w:r>
                </w:p>
              </w:tc>
              <w:tc>
                <w:tcPr>
                  <w:tcW w:w="352" w:type="pct"/>
                  <w:shd w:val="clear" w:color="auto" w:fill="auto"/>
                  <w:vAlign w:val="center"/>
                </w:tcPr>
                <w:p w14:paraId="052D91D0">
                  <w:pPr>
                    <w:spacing w:line="280" w:lineRule="exact"/>
                    <w:jc w:val="center"/>
                    <w:rPr>
                      <w:color w:val="auto"/>
                      <w:szCs w:val="21"/>
                    </w:rPr>
                  </w:pPr>
                  <w:r>
                    <w:rPr>
                      <w:rFonts w:hint="eastAsia"/>
                      <w:color w:val="auto"/>
                      <w:szCs w:val="21"/>
                    </w:rPr>
                    <w:t>设备维护</w:t>
                  </w:r>
                </w:p>
              </w:tc>
              <w:tc>
                <w:tcPr>
                  <w:tcW w:w="298" w:type="pct"/>
                  <w:shd w:val="clear" w:color="auto" w:fill="auto"/>
                  <w:vAlign w:val="center"/>
                </w:tcPr>
                <w:p w14:paraId="01D431DE">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21C50A07">
                  <w:pPr>
                    <w:spacing w:line="280" w:lineRule="exact"/>
                    <w:jc w:val="center"/>
                    <w:rPr>
                      <w:color w:val="auto"/>
                      <w:szCs w:val="21"/>
                    </w:rPr>
                  </w:pPr>
                  <w:r>
                    <w:rPr>
                      <w:rFonts w:hint="eastAsia"/>
                      <w:color w:val="auto"/>
                      <w:szCs w:val="21"/>
                    </w:rPr>
                    <w:t>机油</w:t>
                  </w:r>
                </w:p>
              </w:tc>
              <w:tc>
                <w:tcPr>
                  <w:tcW w:w="656" w:type="pct"/>
                  <w:vMerge w:val="continue"/>
                  <w:vAlign w:val="center"/>
                </w:tcPr>
                <w:p w14:paraId="343C2F25">
                  <w:pPr>
                    <w:spacing w:line="200" w:lineRule="atLeast"/>
                    <w:jc w:val="center"/>
                    <w:rPr>
                      <w:color w:val="auto"/>
                      <w:szCs w:val="21"/>
                      <w:lang w:val="zh-CN"/>
                    </w:rPr>
                  </w:pPr>
                </w:p>
              </w:tc>
              <w:tc>
                <w:tcPr>
                  <w:tcW w:w="368" w:type="pct"/>
                  <w:vAlign w:val="center"/>
                </w:tcPr>
                <w:p w14:paraId="0890C4F3">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1FFCE867">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394B1260">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430" w:type="pct"/>
                  <w:tcBorders>
                    <w:bottom w:val="single" w:color="000000" w:sz="2" w:space="0"/>
                  </w:tcBorders>
                  <w:vAlign w:val="center"/>
                </w:tcPr>
                <w:p w14:paraId="55240612">
                  <w:pPr>
                    <w:pStyle w:val="477"/>
                    <w:spacing w:after="0"/>
                    <w:rPr>
                      <w:color w:val="auto"/>
                      <w:szCs w:val="21"/>
                    </w:rPr>
                  </w:pPr>
                  <w:r>
                    <w:rPr>
                      <w:rFonts w:hint="eastAsia"/>
                      <w:color w:val="auto"/>
                      <w:szCs w:val="21"/>
                    </w:rPr>
                    <w:t>0.028</w:t>
                  </w:r>
                </w:p>
              </w:tc>
              <w:tc>
                <w:tcPr>
                  <w:tcW w:w="304" w:type="pct"/>
                  <w:vMerge w:val="continue"/>
                  <w:vAlign w:val="center"/>
                </w:tcPr>
                <w:p w14:paraId="06260F68">
                  <w:pPr>
                    <w:spacing w:line="200" w:lineRule="atLeast"/>
                    <w:jc w:val="center"/>
                    <w:rPr>
                      <w:color w:val="auto"/>
                      <w:szCs w:val="21"/>
                    </w:rPr>
                  </w:pPr>
                </w:p>
              </w:tc>
            </w:tr>
            <w:tr w14:paraId="311CD3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2EF12775">
                  <w:pPr>
                    <w:spacing w:line="200" w:lineRule="atLeast"/>
                    <w:jc w:val="center"/>
                    <w:rPr>
                      <w:color w:val="auto"/>
                      <w:szCs w:val="21"/>
                    </w:rPr>
                  </w:pPr>
                  <w:r>
                    <w:rPr>
                      <w:rFonts w:hint="eastAsia"/>
                      <w:color w:val="auto"/>
                      <w:szCs w:val="21"/>
                    </w:rPr>
                    <w:t>14</w:t>
                  </w:r>
                </w:p>
              </w:tc>
              <w:tc>
                <w:tcPr>
                  <w:tcW w:w="455" w:type="pct"/>
                  <w:shd w:val="clear" w:color="auto" w:fill="auto"/>
                  <w:vAlign w:val="center"/>
                </w:tcPr>
                <w:p w14:paraId="238264DA">
                  <w:pPr>
                    <w:spacing w:line="200" w:lineRule="atLeast"/>
                    <w:jc w:val="center"/>
                    <w:rPr>
                      <w:color w:val="auto"/>
                      <w:szCs w:val="21"/>
                    </w:rPr>
                  </w:pPr>
                  <w:r>
                    <w:rPr>
                      <w:rFonts w:hint="eastAsia"/>
                      <w:color w:val="auto"/>
                      <w:szCs w:val="21"/>
                    </w:rPr>
                    <w:t>废过滤棉</w:t>
                  </w:r>
                </w:p>
              </w:tc>
              <w:tc>
                <w:tcPr>
                  <w:tcW w:w="467" w:type="pct"/>
                  <w:vAlign w:val="center"/>
                </w:tcPr>
                <w:p w14:paraId="1515A242">
                  <w:pPr>
                    <w:spacing w:line="200" w:lineRule="atLeast"/>
                    <w:jc w:val="center"/>
                    <w:rPr>
                      <w:color w:val="auto"/>
                      <w:szCs w:val="21"/>
                    </w:rPr>
                  </w:pPr>
                  <w:r>
                    <w:rPr>
                      <w:color w:val="auto"/>
                      <w:szCs w:val="21"/>
                    </w:rPr>
                    <w:t>危险废物</w:t>
                  </w:r>
                </w:p>
              </w:tc>
              <w:tc>
                <w:tcPr>
                  <w:tcW w:w="352" w:type="pct"/>
                  <w:shd w:val="clear" w:color="auto" w:fill="auto"/>
                  <w:vAlign w:val="center"/>
                </w:tcPr>
                <w:p w14:paraId="1637A64E">
                  <w:pPr>
                    <w:spacing w:line="280" w:lineRule="exact"/>
                    <w:jc w:val="center"/>
                    <w:rPr>
                      <w:color w:val="auto"/>
                      <w:szCs w:val="21"/>
                    </w:rPr>
                  </w:pPr>
                  <w:r>
                    <w:rPr>
                      <w:rFonts w:hint="eastAsia"/>
                      <w:color w:val="auto"/>
                      <w:szCs w:val="21"/>
                    </w:rPr>
                    <w:t>废气处理</w:t>
                  </w:r>
                </w:p>
              </w:tc>
              <w:tc>
                <w:tcPr>
                  <w:tcW w:w="298" w:type="pct"/>
                  <w:shd w:val="clear" w:color="auto" w:fill="auto"/>
                  <w:vAlign w:val="center"/>
                </w:tcPr>
                <w:p w14:paraId="0695BC3B">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45901A2B">
                  <w:pPr>
                    <w:spacing w:line="280" w:lineRule="exact"/>
                    <w:jc w:val="center"/>
                    <w:rPr>
                      <w:color w:val="auto"/>
                      <w:szCs w:val="21"/>
                    </w:rPr>
                  </w:pPr>
                  <w:r>
                    <w:rPr>
                      <w:rFonts w:hint="eastAsia"/>
                      <w:color w:val="auto"/>
                      <w:szCs w:val="21"/>
                    </w:rPr>
                    <w:t>过滤棉</w:t>
                  </w:r>
                </w:p>
              </w:tc>
              <w:tc>
                <w:tcPr>
                  <w:tcW w:w="656" w:type="pct"/>
                  <w:vMerge w:val="continue"/>
                  <w:vAlign w:val="center"/>
                </w:tcPr>
                <w:p w14:paraId="7169221C">
                  <w:pPr>
                    <w:spacing w:line="200" w:lineRule="atLeast"/>
                    <w:jc w:val="center"/>
                    <w:rPr>
                      <w:color w:val="auto"/>
                      <w:szCs w:val="21"/>
                      <w:lang w:val="zh-CN"/>
                    </w:rPr>
                  </w:pPr>
                </w:p>
              </w:tc>
              <w:tc>
                <w:tcPr>
                  <w:tcW w:w="368" w:type="pct"/>
                  <w:shd w:val="clear" w:color="auto" w:fill="auto"/>
                  <w:vAlign w:val="center"/>
                </w:tcPr>
                <w:p w14:paraId="7123E452">
                  <w:pPr>
                    <w:spacing w:line="200" w:lineRule="atLeast"/>
                    <w:jc w:val="center"/>
                    <w:rPr>
                      <w:color w:val="auto"/>
                      <w:szCs w:val="21"/>
                      <w:lang w:val="zh-CN"/>
                    </w:rPr>
                  </w:pPr>
                  <w:r>
                    <w:rPr>
                      <w:rFonts w:hint="eastAsia"/>
                      <w:color w:val="auto"/>
                      <w:kern w:val="0"/>
                      <w:szCs w:val="21"/>
                      <w:lang w:val="zh-CN"/>
                    </w:rPr>
                    <w:t>T/In</w:t>
                  </w:r>
                </w:p>
              </w:tc>
              <w:tc>
                <w:tcPr>
                  <w:tcW w:w="374" w:type="pct"/>
                  <w:shd w:val="clear" w:color="auto" w:fill="auto"/>
                  <w:vAlign w:val="center"/>
                </w:tcPr>
                <w:p w14:paraId="51563733">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594" w:type="pct"/>
                  <w:shd w:val="clear" w:color="auto" w:fill="auto"/>
                  <w:vAlign w:val="center"/>
                </w:tcPr>
                <w:p w14:paraId="5273EDFF">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041-49</w:t>
                  </w:r>
                </w:p>
              </w:tc>
              <w:tc>
                <w:tcPr>
                  <w:tcW w:w="430" w:type="pct"/>
                  <w:tcBorders>
                    <w:bottom w:val="single" w:color="000000" w:sz="2" w:space="0"/>
                  </w:tcBorders>
                  <w:shd w:val="clear" w:color="auto" w:fill="auto"/>
                  <w:vAlign w:val="center"/>
                </w:tcPr>
                <w:p w14:paraId="2DC3AA1C">
                  <w:pPr>
                    <w:pStyle w:val="477"/>
                    <w:spacing w:after="0"/>
                    <w:rPr>
                      <w:color w:val="auto"/>
                      <w:szCs w:val="21"/>
                    </w:rPr>
                  </w:pPr>
                  <w:r>
                    <w:rPr>
                      <w:rFonts w:hint="eastAsia"/>
                      <w:color w:val="auto"/>
                      <w:szCs w:val="21"/>
                    </w:rPr>
                    <w:t>2.80442</w:t>
                  </w:r>
                </w:p>
              </w:tc>
              <w:tc>
                <w:tcPr>
                  <w:tcW w:w="304" w:type="pct"/>
                  <w:vMerge w:val="continue"/>
                  <w:vAlign w:val="center"/>
                </w:tcPr>
                <w:p w14:paraId="53BFB93E">
                  <w:pPr>
                    <w:spacing w:line="200" w:lineRule="atLeast"/>
                    <w:jc w:val="center"/>
                    <w:rPr>
                      <w:color w:val="auto"/>
                      <w:szCs w:val="21"/>
                    </w:rPr>
                  </w:pPr>
                </w:p>
              </w:tc>
            </w:tr>
            <w:tr w14:paraId="2DD34D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363DB2CF">
                  <w:pPr>
                    <w:spacing w:line="200" w:lineRule="atLeast"/>
                    <w:jc w:val="center"/>
                    <w:rPr>
                      <w:color w:val="auto"/>
                      <w:szCs w:val="21"/>
                    </w:rPr>
                  </w:pPr>
                  <w:r>
                    <w:rPr>
                      <w:rFonts w:hint="eastAsia"/>
                      <w:color w:val="auto"/>
                      <w:szCs w:val="21"/>
                    </w:rPr>
                    <w:t>15</w:t>
                  </w:r>
                </w:p>
              </w:tc>
              <w:tc>
                <w:tcPr>
                  <w:tcW w:w="455" w:type="pct"/>
                  <w:shd w:val="clear" w:color="auto" w:fill="auto"/>
                  <w:vAlign w:val="center"/>
                </w:tcPr>
                <w:p w14:paraId="0B8AD9D5">
                  <w:pPr>
                    <w:spacing w:line="200" w:lineRule="atLeast"/>
                    <w:jc w:val="center"/>
                    <w:rPr>
                      <w:color w:val="auto"/>
                      <w:szCs w:val="21"/>
                    </w:rPr>
                  </w:pPr>
                  <w:r>
                    <w:rPr>
                      <w:rFonts w:hint="eastAsia"/>
                      <w:color w:val="auto"/>
                      <w:szCs w:val="21"/>
                    </w:rPr>
                    <w:t>喷枪清洗废液</w:t>
                  </w:r>
                </w:p>
              </w:tc>
              <w:tc>
                <w:tcPr>
                  <w:tcW w:w="467" w:type="pct"/>
                  <w:vAlign w:val="center"/>
                </w:tcPr>
                <w:p w14:paraId="2CA888E6">
                  <w:pPr>
                    <w:spacing w:line="200" w:lineRule="atLeast"/>
                    <w:jc w:val="center"/>
                    <w:rPr>
                      <w:color w:val="auto"/>
                      <w:szCs w:val="21"/>
                    </w:rPr>
                  </w:pPr>
                  <w:r>
                    <w:rPr>
                      <w:color w:val="auto"/>
                      <w:szCs w:val="21"/>
                    </w:rPr>
                    <w:t>危险废物</w:t>
                  </w:r>
                </w:p>
              </w:tc>
              <w:tc>
                <w:tcPr>
                  <w:tcW w:w="352" w:type="pct"/>
                  <w:shd w:val="clear" w:color="auto" w:fill="auto"/>
                  <w:vAlign w:val="center"/>
                </w:tcPr>
                <w:p w14:paraId="72498644">
                  <w:pPr>
                    <w:spacing w:line="280" w:lineRule="exact"/>
                    <w:jc w:val="center"/>
                    <w:rPr>
                      <w:color w:val="auto"/>
                      <w:szCs w:val="21"/>
                    </w:rPr>
                  </w:pPr>
                  <w:r>
                    <w:rPr>
                      <w:rFonts w:hint="eastAsia"/>
                      <w:color w:val="auto"/>
                      <w:szCs w:val="21"/>
                    </w:rPr>
                    <w:t>清洗喷枪</w:t>
                  </w:r>
                </w:p>
              </w:tc>
              <w:tc>
                <w:tcPr>
                  <w:tcW w:w="298" w:type="pct"/>
                  <w:shd w:val="clear" w:color="auto" w:fill="auto"/>
                  <w:vAlign w:val="center"/>
                </w:tcPr>
                <w:p w14:paraId="4CE44D70">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298D30F5">
                  <w:pPr>
                    <w:spacing w:line="280" w:lineRule="exact"/>
                    <w:jc w:val="center"/>
                    <w:rPr>
                      <w:color w:val="auto"/>
                      <w:szCs w:val="21"/>
                    </w:rPr>
                  </w:pPr>
                  <w:r>
                    <w:rPr>
                      <w:rFonts w:hint="eastAsia"/>
                      <w:color w:val="auto"/>
                      <w:szCs w:val="21"/>
                    </w:rPr>
                    <w:t>漆</w:t>
                  </w:r>
                </w:p>
              </w:tc>
              <w:tc>
                <w:tcPr>
                  <w:tcW w:w="656" w:type="pct"/>
                  <w:vMerge w:val="continue"/>
                  <w:vAlign w:val="center"/>
                </w:tcPr>
                <w:p w14:paraId="6EFFC231">
                  <w:pPr>
                    <w:spacing w:line="200" w:lineRule="atLeast"/>
                    <w:jc w:val="center"/>
                    <w:rPr>
                      <w:color w:val="auto"/>
                      <w:szCs w:val="21"/>
                      <w:lang w:val="zh-CN"/>
                    </w:rPr>
                  </w:pPr>
                </w:p>
              </w:tc>
              <w:tc>
                <w:tcPr>
                  <w:tcW w:w="368" w:type="pct"/>
                  <w:shd w:val="clear" w:color="auto" w:fill="auto"/>
                  <w:vAlign w:val="center"/>
                </w:tcPr>
                <w:p w14:paraId="6F3AA840">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19994380">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30EB0FA9">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252-12</w:t>
                  </w:r>
                </w:p>
              </w:tc>
              <w:tc>
                <w:tcPr>
                  <w:tcW w:w="430" w:type="pct"/>
                  <w:tcBorders>
                    <w:bottom w:val="single" w:color="000000" w:sz="2" w:space="0"/>
                  </w:tcBorders>
                  <w:shd w:val="clear" w:color="auto" w:fill="auto"/>
                  <w:vAlign w:val="center"/>
                </w:tcPr>
                <w:p w14:paraId="07D04B1A">
                  <w:pPr>
                    <w:pStyle w:val="477"/>
                    <w:spacing w:after="0"/>
                    <w:rPr>
                      <w:color w:val="auto"/>
                      <w:szCs w:val="21"/>
                    </w:rPr>
                  </w:pPr>
                  <w:r>
                    <w:rPr>
                      <w:rFonts w:hint="eastAsia"/>
                      <w:color w:val="auto"/>
                      <w:szCs w:val="21"/>
                    </w:rPr>
                    <w:t>2.4</w:t>
                  </w:r>
                </w:p>
              </w:tc>
              <w:tc>
                <w:tcPr>
                  <w:tcW w:w="304" w:type="pct"/>
                  <w:vMerge w:val="continue"/>
                  <w:vAlign w:val="center"/>
                </w:tcPr>
                <w:p w14:paraId="1342C186">
                  <w:pPr>
                    <w:spacing w:line="200" w:lineRule="atLeast"/>
                    <w:jc w:val="center"/>
                    <w:rPr>
                      <w:color w:val="auto"/>
                      <w:szCs w:val="21"/>
                    </w:rPr>
                  </w:pPr>
                </w:p>
              </w:tc>
            </w:tr>
            <w:tr w14:paraId="3CFD5B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vAlign w:val="center"/>
                </w:tcPr>
                <w:p w14:paraId="69149D48">
                  <w:pPr>
                    <w:spacing w:line="200" w:lineRule="atLeast"/>
                    <w:jc w:val="center"/>
                    <w:rPr>
                      <w:color w:val="auto"/>
                      <w:szCs w:val="21"/>
                    </w:rPr>
                  </w:pPr>
                  <w:r>
                    <w:rPr>
                      <w:rFonts w:hint="eastAsia"/>
                      <w:color w:val="auto"/>
                      <w:szCs w:val="21"/>
                    </w:rPr>
                    <w:t>16</w:t>
                  </w:r>
                </w:p>
              </w:tc>
              <w:tc>
                <w:tcPr>
                  <w:tcW w:w="455" w:type="pct"/>
                  <w:shd w:val="clear" w:color="auto" w:fill="auto"/>
                  <w:vAlign w:val="center"/>
                </w:tcPr>
                <w:p w14:paraId="4F27ADC1">
                  <w:pPr>
                    <w:spacing w:line="200" w:lineRule="atLeast"/>
                    <w:jc w:val="center"/>
                    <w:rPr>
                      <w:color w:val="auto"/>
                      <w:szCs w:val="21"/>
                    </w:rPr>
                  </w:pPr>
                  <w:r>
                    <w:rPr>
                      <w:rFonts w:hint="eastAsia"/>
                      <w:color w:val="auto"/>
                      <w:szCs w:val="21"/>
                    </w:rPr>
                    <w:t>水幕帘废液</w:t>
                  </w:r>
                </w:p>
              </w:tc>
              <w:tc>
                <w:tcPr>
                  <w:tcW w:w="467" w:type="pct"/>
                  <w:vAlign w:val="center"/>
                </w:tcPr>
                <w:p w14:paraId="3C3A6D25">
                  <w:pPr>
                    <w:spacing w:line="200" w:lineRule="atLeast"/>
                    <w:jc w:val="center"/>
                    <w:rPr>
                      <w:color w:val="auto"/>
                      <w:szCs w:val="21"/>
                    </w:rPr>
                  </w:pPr>
                  <w:r>
                    <w:rPr>
                      <w:color w:val="auto"/>
                      <w:szCs w:val="21"/>
                    </w:rPr>
                    <w:t>危险废物</w:t>
                  </w:r>
                </w:p>
              </w:tc>
              <w:tc>
                <w:tcPr>
                  <w:tcW w:w="352" w:type="pct"/>
                  <w:shd w:val="clear" w:color="auto" w:fill="auto"/>
                  <w:vAlign w:val="center"/>
                </w:tcPr>
                <w:p w14:paraId="157E5B40">
                  <w:pPr>
                    <w:spacing w:line="280" w:lineRule="exact"/>
                    <w:jc w:val="center"/>
                    <w:rPr>
                      <w:color w:val="auto"/>
                      <w:szCs w:val="21"/>
                    </w:rPr>
                  </w:pPr>
                  <w:r>
                    <w:rPr>
                      <w:rFonts w:hint="eastAsia"/>
                      <w:color w:val="auto"/>
                      <w:szCs w:val="21"/>
                    </w:rPr>
                    <w:t>水幕帘</w:t>
                  </w:r>
                </w:p>
              </w:tc>
              <w:tc>
                <w:tcPr>
                  <w:tcW w:w="298" w:type="pct"/>
                  <w:shd w:val="clear" w:color="auto" w:fill="auto"/>
                  <w:vAlign w:val="center"/>
                </w:tcPr>
                <w:p w14:paraId="4CEE398D">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7AA9EC64">
                  <w:pPr>
                    <w:spacing w:line="280" w:lineRule="exact"/>
                    <w:jc w:val="center"/>
                    <w:rPr>
                      <w:color w:val="auto"/>
                      <w:szCs w:val="21"/>
                    </w:rPr>
                  </w:pPr>
                  <w:r>
                    <w:rPr>
                      <w:rFonts w:hint="eastAsia"/>
                      <w:color w:val="auto"/>
                      <w:szCs w:val="21"/>
                    </w:rPr>
                    <w:t>废液</w:t>
                  </w:r>
                </w:p>
              </w:tc>
              <w:tc>
                <w:tcPr>
                  <w:tcW w:w="656" w:type="pct"/>
                  <w:vMerge w:val="continue"/>
                  <w:vAlign w:val="center"/>
                </w:tcPr>
                <w:p w14:paraId="7F71E5B4">
                  <w:pPr>
                    <w:spacing w:line="200" w:lineRule="atLeast"/>
                    <w:jc w:val="center"/>
                    <w:rPr>
                      <w:color w:val="auto"/>
                      <w:szCs w:val="21"/>
                      <w:lang w:val="zh-CN"/>
                    </w:rPr>
                  </w:pPr>
                </w:p>
              </w:tc>
              <w:tc>
                <w:tcPr>
                  <w:tcW w:w="368" w:type="pct"/>
                  <w:shd w:val="clear" w:color="auto" w:fill="auto"/>
                  <w:vAlign w:val="center"/>
                </w:tcPr>
                <w:p w14:paraId="536C4674">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5E7E854C">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6BA75694">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252-12</w:t>
                  </w:r>
                </w:p>
              </w:tc>
              <w:tc>
                <w:tcPr>
                  <w:tcW w:w="430" w:type="pct"/>
                  <w:tcBorders>
                    <w:bottom w:val="single" w:color="000000" w:sz="2" w:space="0"/>
                  </w:tcBorders>
                  <w:shd w:val="clear" w:color="auto" w:fill="auto"/>
                  <w:vAlign w:val="center"/>
                </w:tcPr>
                <w:p w14:paraId="48B83AB1">
                  <w:pPr>
                    <w:pStyle w:val="477"/>
                    <w:spacing w:after="0"/>
                    <w:rPr>
                      <w:color w:val="auto"/>
                      <w:szCs w:val="21"/>
                    </w:rPr>
                  </w:pPr>
                  <w:r>
                    <w:rPr>
                      <w:rFonts w:hint="eastAsia"/>
                      <w:color w:val="auto"/>
                      <w:szCs w:val="21"/>
                    </w:rPr>
                    <w:t>1.8</w:t>
                  </w:r>
                </w:p>
              </w:tc>
              <w:tc>
                <w:tcPr>
                  <w:tcW w:w="304" w:type="pct"/>
                  <w:vMerge w:val="continue"/>
                  <w:vAlign w:val="center"/>
                </w:tcPr>
                <w:p w14:paraId="7836B74B">
                  <w:pPr>
                    <w:spacing w:line="200" w:lineRule="atLeast"/>
                    <w:jc w:val="center"/>
                    <w:rPr>
                      <w:color w:val="auto"/>
                      <w:szCs w:val="21"/>
                    </w:rPr>
                  </w:pPr>
                </w:p>
              </w:tc>
            </w:tr>
            <w:tr w14:paraId="5A88AB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5B9D6307">
                  <w:pPr>
                    <w:spacing w:line="200" w:lineRule="atLeast"/>
                    <w:jc w:val="center"/>
                    <w:rPr>
                      <w:color w:val="auto"/>
                      <w:szCs w:val="21"/>
                    </w:rPr>
                  </w:pPr>
                  <w:r>
                    <w:rPr>
                      <w:rFonts w:hint="eastAsia"/>
                      <w:color w:val="auto"/>
                      <w:szCs w:val="21"/>
                    </w:rPr>
                    <w:t>17</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416DC09">
                  <w:pPr>
                    <w:spacing w:line="200" w:lineRule="atLeast"/>
                    <w:jc w:val="center"/>
                    <w:rPr>
                      <w:color w:val="auto"/>
                      <w:szCs w:val="21"/>
                    </w:rPr>
                  </w:pPr>
                  <w:r>
                    <w:rPr>
                      <w:rFonts w:hint="eastAsia"/>
                      <w:color w:val="auto"/>
                      <w:szCs w:val="21"/>
                    </w:rPr>
                    <w:t>木材边角料、不合格品</w:t>
                  </w:r>
                </w:p>
              </w:tc>
              <w:tc>
                <w:tcPr>
                  <w:tcW w:w="467" w:type="pct"/>
                  <w:tcBorders>
                    <w:top w:val="single" w:color="auto" w:sz="4" w:space="0"/>
                    <w:left w:val="single" w:color="auto" w:sz="4" w:space="0"/>
                    <w:bottom w:val="single" w:color="auto" w:sz="4" w:space="0"/>
                    <w:right w:val="single" w:color="auto" w:sz="4" w:space="0"/>
                  </w:tcBorders>
                  <w:vAlign w:val="center"/>
                </w:tcPr>
                <w:p w14:paraId="10848A0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67DA7C97">
                  <w:pPr>
                    <w:spacing w:line="200" w:lineRule="atLeast"/>
                    <w:jc w:val="center"/>
                    <w:rPr>
                      <w:color w:val="auto"/>
                      <w:szCs w:val="21"/>
                    </w:rPr>
                  </w:pPr>
                  <w:r>
                    <w:rPr>
                      <w:rFonts w:hint="eastAsia"/>
                      <w:color w:val="auto"/>
                      <w:szCs w:val="21"/>
                    </w:rPr>
                    <w:t>原料</w:t>
                  </w:r>
                </w:p>
              </w:tc>
              <w:tc>
                <w:tcPr>
                  <w:tcW w:w="298" w:type="pct"/>
                  <w:tcBorders>
                    <w:top w:val="single" w:color="auto" w:sz="4" w:space="0"/>
                    <w:left w:val="single" w:color="auto" w:sz="4" w:space="0"/>
                    <w:bottom w:val="single" w:color="auto" w:sz="4" w:space="0"/>
                    <w:right w:val="single" w:color="auto" w:sz="4" w:space="0"/>
                  </w:tcBorders>
                  <w:vAlign w:val="center"/>
                </w:tcPr>
                <w:p w14:paraId="47C68D5E">
                  <w:pPr>
                    <w:spacing w:line="200" w:lineRule="atLeast"/>
                    <w:jc w:val="center"/>
                    <w:rPr>
                      <w:color w:val="auto"/>
                      <w:szCs w:val="21"/>
                    </w:rPr>
                  </w:pPr>
                  <w:r>
                    <w:rPr>
                      <w:color w:val="auto"/>
                      <w:szCs w:val="21"/>
                    </w:rPr>
                    <w:t>固态</w:t>
                  </w:r>
                </w:p>
              </w:tc>
              <w:tc>
                <w:tcPr>
                  <w:tcW w:w="515" w:type="pct"/>
                  <w:tcBorders>
                    <w:top w:val="single" w:color="auto" w:sz="4" w:space="0"/>
                    <w:left w:val="single" w:color="auto" w:sz="4" w:space="0"/>
                    <w:bottom w:val="single" w:color="auto" w:sz="4" w:space="0"/>
                    <w:right w:val="single" w:color="auto" w:sz="4" w:space="0"/>
                  </w:tcBorders>
                  <w:vAlign w:val="center"/>
                </w:tcPr>
                <w:p w14:paraId="675A32B0">
                  <w:pPr>
                    <w:spacing w:line="200" w:lineRule="atLeast"/>
                    <w:jc w:val="center"/>
                    <w:rPr>
                      <w:color w:val="auto"/>
                      <w:szCs w:val="21"/>
                    </w:rPr>
                  </w:pPr>
                  <w:r>
                    <w:rPr>
                      <w:rFonts w:hint="eastAsia"/>
                      <w:color w:val="auto"/>
                      <w:szCs w:val="21"/>
                    </w:rPr>
                    <w:t>木材</w:t>
                  </w:r>
                </w:p>
              </w:tc>
              <w:tc>
                <w:tcPr>
                  <w:tcW w:w="656" w:type="pct"/>
                  <w:vMerge w:val="continue"/>
                  <w:vAlign w:val="center"/>
                </w:tcPr>
                <w:p w14:paraId="32484C5B">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039C9B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5F61232A">
                  <w:pPr>
                    <w:pStyle w:val="477"/>
                    <w:spacing w:after="0"/>
                    <w:rPr>
                      <w:color w:val="auto"/>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0CB0E655">
                  <w:pPr>
                    <w:pStyle w:val="477"/>
                    <w:spacing w:after="0"/>
                    <w:rPr>
                      <w:color w:val="auto"/>
                      <w:kern w:val="0"/>
                      <w:szCs w:val="21"/>
                    </w:rPr>
                  </w:pPr>
                  <w:r>
                    <w:rPr>
                      <w:rFonts w:hint="eastAsia"/>
                      <w:color w:val="auto"/>
                      <w:kern w:val="0"/>
                      <w:szCs w:val="21"/>
                    </w:rPr>
                    <w:t>900-009-S17</w:t>
                  </w:r>
                </w:p>
              </w:tc>
              <w:tc>
                <w:tcPr>
                  <w:tcW w:w="430" w:type="pct"/>
                  <w:tcBorders>
                    <w:top w:val="single" w:color="auto" w:sz="4" w:space="0"/>
                    <w:left w:val="single" w:color="auto" w:sz="4" w:space="0"/>
                    <w:bottom w:val="single" w:color="auto" w:sz="4" w:space="0"/>
                    <w:right w:val="single" w:color="auto" w:sz="4" w:space="0"/>
                  </w:tcBorders>
                  <w:vAlign w:val="center"/>
                </w:tcPr>
                <w:p w14:paraId="7681DA6C">
                  <w:pPr>
                    <w:spacing w:line="200" w:lineRule="atLeast"/>
                    <w:jc w:val="center"/>
                    <w:rPr>
                      <w:color w:val="auto"/>
                      <w:szCs w:val="21"/>
                    </w:rPr>
                  </w:pPr>
                  <w:r>
                    <w:rPr>
                      <w:rFonts w:hint="eastAsia"/>
                      <w:color w:val="auto"/>
                      <w:szCs w:val="21"/>
                    </w:rPr>
                    <w:t>2.6</w:t>
                  </w:r>
                </w:p>
              </w:tc>
              <w:tc>
                <w:tcPr>
                  <w:tcW w:w="304" w:type="pct"/>
                  <w:vMerge w:val="restart"/>
                  <w:tcBorders>
                    <w:top w:val="single" w:color="auto" w:sz="4" w:space="0"/>
                    <w:left w:val="single" w:color="auto" w:sz="4" w:space="0"/>
                  </w:tcBorders>
                  <w:vAlign w:val="center"/>
                </w:tcPr>
                <w:p w14:paraId="02373F26">
                  <w:pPr>
                    <w:spacing w:line="200" w:lineRule="atLeast"/>
                    <w:rPr>
                      <w:color w:val="auto"/>
                      <w:szCs w:val="21"/>
                    </w:rPr>
                  </w:pPr>
                  <w:r>
                    <w:rPr>
                      <w:rFonts w:hint="eastAsia"/>
                      <w:color w:val="auto"/>
                      <w:szCs w:val="21"/>
                    </w:rPr>
                    <w:t>收集后外售综合利用</w:t>
                  </w:r>
                </w:p>
              </w:tc>
            </w:tr>
            <w:tr w14:paraId="6028EC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82" w:type="pct"/>
                  <w:tcBorders>
                    <w:top w:val="single" w:color="auto" w:sz="4" w:space="0"/>
                    <w:bottom w:val="single" w:color="auto" w:sz="4" w:space="0"/>
                    <w:right w:val="single" w:color="auto" w:sz="4" w:space="0"/>
                  </w:tcBorders>
                  <w:vAlign w:val="center"/>
                </w:tcPr>
                <w:p w14:paraId="3448198F">
                  <w:pPr>
                    <w:spacing w:line="200" w:lineRule="atLeast"/>
                    <w:jc w:val="center"/>
                    <w:rPr>
                      <w:color w:val="auto"/>
                      <w:szCs w:val="21"/>
                    </w:rPr>
                  </w:pPr>
                  <w:r>
                    <w:rPr>
                      <w:rFonts w:hint="eastAsia"/>
                      <w:color w:val="auto"/>
                      <w:szCs w:val="21"/>
                    </w:rPr>
                    <w:t>18</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09B42139">
                  <w:pPr>
                    <w:spacing w:line="200" w:lineRule="atLeast"/>
                    <w:jc w:val="center"/>
                    <w:rPr>
                      <w:color w:val="auto"/>
                      <w:szCs w:val="21"/>
                    </w:rPr>
                  </w:pPr>
                  <w:r>
                    <w:rPr>
                      <w:rFonts w:hint="eastAsia"/>
                      <w:color w:val="auto"/>
                      <w:szCs w:val="21"/>
                    </w:rPr>
                    <w:t>废刀头</w:t>
                  </w:r>
                </w:p>
              </w:tc>
              <w:tc>
                <w:tcPr>
                  <w:tcW w:w="467" w:type="pct"/>
                  <w:tcBorders>
                    <w:top w:val="single" w:color="auto" w:sz="4" w:space="0"/>
                    <w:left w:val="single" w:color="auto" w:sz="4" w:space="0"/>
                    <w:bottom w:val="single" w:color="auto" w:sz="4" w:space="0"/>
                    <w:right w:val="single" w:color="auto" w:sz="4" w:space="0"/>
                  </w:tcBorders>
                  <w:vAlign w:val="center"/>
                </w:tcPr>
                <w:p w14:paraId="798DD317">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6B4AB12B">
                  <w:pPr>
                    <w:spacing w:line="280" w:lineRule="exact"/>
                    <w:jc w:val="center"/>
                    <w:rPr>
                      <w:color w:val="auto"/>
                      <w:kern w:val="0"/>
                      <w:szCs w:val="21"/>
                    </w:rPr>
                  </w:pPr>
                  <w:r>
                    <w:rPr>
                      <w:rFonts w:hint="eastAsia"/>
                      <w:color w:val="auto"/>
                      <w:kern w:val="0"/>
                      <w:szCs w:val="21"/>
                    </w:rPr>
                    <w:t>下料、雕刻等工艺</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68E81086">
                  <w:pPr>
                    <w:spacing w:line="280" w:lineRule="exact"/>
                    <w:jc w:val="center"/>
                    <w:rPr>
                      <w:color w:val="auto"/>
                    </w:rPr>
                  </w:pPr>
                  <w:r>
                    <w:rPr>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20D3F8BA">
                  <w:pPr>
                    <w:spacing w:line="280" w:lineRule="exact"/>
                    <w:jc w:val="center"/>
                    <w:rPr>
                      <w:color w:val="auto"/>
                    </w:rPr>
                  </w:pPr>
                  <w:r>
                    <w:rPr>
                      <w:rFonts w:hint="eastAsia"/>
                      <w:color w:val="auto"/>
                    </w:rPr>
                    <w:t>合金钢</w:t>
                  </w:r>
                </w:p>
              </w:tc>
              <w:tc>
                <w:tcPr>
                  <w:tcW w:w="656" w:type="pct"/>
                  <w:vMerge w:val="continue"/>
                  <w:vAlign w:val="center"/>
                </w:tcPr>
                <w:p w14:paraId="61B8603C">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7D4F612E">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6B0AB292">
                  <w:pPr>
                    <w:pStyle w:val="477"/>
                    <w:spacing w:after="0"/>
                    <w:rPr>
                      <w:color w:val="auto"/>
                      <w:kern w:val="0"/>
                      <w:szCs w:val="21"/>
                    </w:rPr>
                  </w:pPr>
                  <w:r>
                    <w:rPr>
                      <w:rFonts w:hint="eastAsia"/>
                      <w:color w:val="auto"/>
                      <w:kern w:val="0"/>
                      <w:szCs w:val="21"/>
                    </w:rPr>
                    <w:t>SW62</w:t>
                  </w:r>
                </w:p>
              </w:tc>
              <w:tc>
                <w:tcPr>
                  <w:tcW w:w="594" w:type="pct"/>
                  <w:tcBorders>
                    <w:top w:val="single" w:color="auto" w:sz="4" w:space="0"/>
                    <w:left w:val="single" w:color="auto" w:sz="4" w:space="0"/>
                    <w:bottom w:val="single" w:color="auto" w:sz="4" w:space="0"/>
                    <w:right w:val="single" w:color="auto" w:sz="4" w:space="0"/>
                  </w:tcBorders>
                  <w:vAlign w:val="center"/>
                </w:tcPr>
                <w:p w14:paraId="03D436C5">
                  <w:pPr>
                    <w:pStyle w:val="477"/>
                    <w:spacing w:after="0"/>
                    <w:rPr>
                      <w:color w:val="auto"/>
                      <w:kern w:val="0"/>
                      <w:szCs w:val="21"/>
                    </w:rPr>
                  </w:pPr>
                  <w:r>
                    <w:rPr>
                      <w:rFonts w:hint="eastAsia"/>
                      <w:color w:val="auto"/>
                      <w:kern w:val="0"/>
                      <w:szCs w:val="21"/>
                    </w:rPr>
                    <w:t>900-003-S62</w:t>
                  </w:r>
                </w:p>
              </w:tc>
              <w:tc>
                <w:tcPr>
                  <w:tcW w:w="430" w:type="pct"/>
                  <w:tcBorders>
                    <w:top w:val="single" w:color="auto" w:sz="4" w:space="0"/>
                    <w:left w:val="single" w:color="auto" w:sz="4" w:space="0"/>
                    <w:bottom w:val="single" w:color="auto" w:sz="4" w:space="0"/>
                    <w:right w:val="single" w:color="auto" w:sz="4" w:space="0"/>
                  </w:tcBorders>
                  <w:vAlign w:val="center"/>
                </w:tcPr>
                <w:p w14:paraId="359A29DE">
                  <w:pPr>
                    <w:spacing w:line="200" w:lineRule="atLeast"/>
                    <w:jc w:val="center"/>
                    <w:rPr>
                      <w:color w:val="auto"/>
                      <w:szCs w:val="21"/>
                    </w:rPr>
                  </w:pPr>
                  <w:r>
                    <w:rPr>
                      <w:rFonts w:hint="eastAsia"/>
                      <w:color w:val="auto"/>
                      <w:szCs w:val="21"/>
                    </w:rPr>
                    <w:t>0.225</w:t>
                  </w:r>
                </w:p>
              </w:tc>
              <w:tc>
                <w:tcPr>
                  <w:tcW w:w="304" w:type="pct"/>
                  <w:vMerge w:val="continue"/>
                  <w:tcBorders>
                    <w:left w:val="single" w:color="auto" w:sz="4" w:space="0"/>
                  </w:tcBorders>
                  <w:vAlign w:val="center"/>
                </w:tcPr>
                <w:p w14:paraId="5463308F">
                  <w:pPr>
                    <w:spacing w:line="200" w:lineRule="atLeast"/>
                    <w:jc w:val="center"/>
                    <w:rPr>
                      <w:color w:val="auto"/>
                      <w:szCs w:val="21"/>
                    </w:rPr>
                  </w:pPr>
                </w:p>
              </w:tc>
            </w:tr>
            <w:tr w14:paraId="253B1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76B9205C">
                  <w:pPr>
                    <w:spacing w:line="200" w:lineRule="atLeast"/>
                    <w:jc w:val="center"/>
                    <w:rPr>
                      <w:color w:val="auto"/>
                      <w:szCs w:val="21"/>
                    </w:rPr>
                  </w:pPr>
                  <w:r>
                    <w:rPr>
                      <w:rFonts w:hint="eastAsia"/>
                      <w:color w:val="auto"/>
                      <w:szCs w:val="21"/>
                    </w:rPr>
                    <w:t>19</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DCC495F">
                  <w:pPr>
                    <w:spacing w:line="200" w:lineRule="atLeast"/>
                    <w:jc w:val="center"/>
                    <w:rPr>
                      <w:color w:val="auto"/>
                      <w:szCs w:val="21"/>
                    </w:rPr>
                  </w:pPr>
                  <w:r>
                    <w:rPr>
                      <w:rFonts w:hint="eastAsia"/>
                      <w:color w:val="auto"/>
                      <w:szCs w:val="21"/>
                    </w:rPr>
                    <w:t>废封边条</w:t>
                  </w:r>
                </w:p>
              </w:tc>
              <w:tc>
                <w:tcPr>
                  <w:tcW w:w="467" w:type="pct"/>
                  <w:tcBorders>
                    <w:top w:val="single" w:color="auto" w:sz="4" w:space="0"/>
                    <w:left w:val="single" w:color="auto" w:sz="4" w:space="0"/>
                    <w:bottom w:val="single" w:color="auto" w:sz="4" w:space="0"/>
                    <w:right w:val="single" w:color="auto" w:sz="4" w:space="0"/>
                  </w:tcBorders>
                  <w:vAlign w:val="center"/>
                </w:tcPr>
                <w:p w14:paraId="58526AC5">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8BB3342">
                  <w:pPr>
                    <w:spacing w:line="280" w:lineRule="exact"/>
                    <w:jc w:val="center"/>
                    <w:rPr>
                      <w:color w:val="auto"/>
                      <w:szCs w:val="21"/>
                    </w:rPr>
                  </w:pPr>
                  <w:r>
                    <w:rPr>
                      <w:rFonts w:hint="eastAsia"/>
                      <w:color w:val="auto"/>
                      <w:szCs w:val="21"/>
                    </w:rPr>
                    <w:t>封边</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01E347DD">
                  <w:pPr>
                    <w:spacing w:line="280" w:lineRule="exact"/>
                    <w:jc w:val="center"/>
                    <w:rPr>
                      <w:color w:val="auto"/>
                      <w:szCs w:val="21"/>
                    </w:rPr>
                  </w:pPr>
                  <w:r>
                    <w:rPr>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3D05E9EF">
                  <w:pPr>
                    <w:spacing w:line="280" w:lineRule="exact"/>
                    <w:jc w:val="center"/>
                    <w:rPr>
                      <w:color w:val="auto"/>
                      <w:szCs w:val="21"/>
                    </w:rPr>
                  </w:pPr>
                  <w:r>
                    <w:rPr>
                      <w:rFonts w:hint="eastAsia"/>
                      <w:color w:val="auto"/>
                      <w:szCs w:val="21"/>
                    </w:rPr>
                    <w:t>PVC</w:t>
                  </w:r>
                </w:p>
              </w:tc>
              <w:tc>
                <w:tcPr>
                  <w:tcW w:w="656" w:type="pct"/>
                  <w:vMerge w:val="continue"/>
                  <w:vAlign w:val="center"/>
                </w:tcPr>
                <w:p w14:paraId="4D308560">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2087BE5">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3DCCC701">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012E7845">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1E1F02B0">
                  <w:pPr>
                    <w:spacing w:line="200" w:lineRule="atLeast"/>
                    <w:jc w:val="center"/>
                    <w:rPr>
                      <w:color w:val="auto"/>
                      <w:szCs w:val="21"/>
                    </w:rPr>
                  </w:pPr>
                  <w:r>
                    <w:rPr>
                      <w:rFonts w:hint="eastAsia"/>
                      <w:color w:val="auto"/>
                      <w:szCs w:val="21"/>
                    </w:rPr>
                    <w:t>0.0036</w:t>
                  </w:r>
                </w:p>
              </w:tc>
              <w:tc>
                <w:tcPr>
                  <w:tcW w:w="304" w:type="pct"/>
                  <w:vMerge w:val="continue"/>
                  <w:tcBorders>
                    <w:left w:val="single" w:color="auto" w:sz="4" w:space="0"/>
                  </w:tcBorders>
                  <w:vAlign w:val="center"/>
                </w:tcPr>
                <w:p w14:paraId="0219D1C0">
                  <w:pPr>
                    <w:spacing w:line="200" w:lineRule="atLeast"/>
                    <w:jc w:val="center"/>
                    <w:rPr>
                      <w:color w:val="auto"/>
                      <w:szCs w:val="21"/>
                    </w:rPr>
                  </w:pPr>
                </w:p>
              </w:tc>
            </w:tr>
            <w:tr w14:paraId="2A9D17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612741DF">
                  <w:pPr>
                    <w:spacing w:line="200" w:lineRule="atLeast"/>
                    <w:jc w:val="center"/>
                    <w:rPr>
                      <w:color w:val="auto"/>
                      <w:szCs w:val="21"/>
                    </w:rPr>
                  </w:pPr>
                  <w:r>
                    <w:rPr>
                      <w:rFonts w:hint="eastAsia"/>
                      <w:color w:val="auto"/>
                      <w:szCs w:val="21"/>
                    </w:rPr>
                    <w:t>20</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745DEB8">
                  <w:pPr>
                    <w:spacing w:line="200" w:lineRule="atLeast"/>
                    <w:jc w:val="center"/>
                    <w:rPr>
                      <w:color w:val="auto"/>
                      <w:szCs w:val="21"/>
                    </w:rPr>
                  </w:pPr>
                  <w:r>
                    <w:rPr>
                      <w:rFonts w:hint="eastAsia"/>
                      <w:color w:val="auto"/>
                      <w:szCs w:val="21"/>
                    </w:rPr>
                    <w:t>废木皮</w:t>
                  </w:r>
                </w:p>
              </w:tc>
              <w:tc>
                <w:tcPr>
                  <w:tcW w:w="467" w:type="pct"/>
                  <w:tcBorders>
                    <w:top w:val="single" w:color="auto" w:sz="4" w:space="0"/>
                    <w:left w:val="single" w:color="auto" w:sz="4" w:space="0"/>
                    <w:bottom w:val="single" w:color="auto" w:sz="4" w:space="0"/>
                    <w:right w:val="single" w:color="auto" w:sz="4" w:space="0"/>
                  </w:tcBorders>
                  <w:vAlign w:val="center"/>
                </w:tcPr>
                <w:p w14:paraId="3143B649">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FFE83EA">
                  <w:pPr>
                    <w:spacing w:line="280" w:lineRule="exact"/>
                    <w:jc w:val="center"/>
                    <w:rPr>
                      <w:color w:val="auto"/>
                      <w:szCs w:val="21"/>
                    </w:rPr>
                  </w:pPr>
                  <w:r>
                    <w:rPr>
                      <w:rFonts w:hint="eastAsia"/>
                      <w:color w:val="auto"/>
                      <w:szCs w:val="21"/>
                    </w:rPr>
                    <w:t>贴皮</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59BDABE2">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C8F3440">
                  <w:pPr>
                    <w:spacing w:line="280" w:lineRule="exact"/>
                    <w:jc w:val="center"/>
                    <w:rPr>
                      <w:color w:val="auto"/>
                      <w:szCs w:val="21"/>
                    </w:rPr>
                  </w:pPr>
                  <w:r>
                    <w:rPr>
                      <w:rFonts w:hint="eastAsia"/>
                      <w:color w:val="auto"/>
                      <w:szCs w:val="21"/>
                    </w:rPr>
                    <w:t>木材</w:t>
                  </w:r>
                </w:p>
              </w:tc>
              <w:tc>
                <w:tcPr>
                  <w:tcW w:w="656" w:type="pct"/>
                  <w:vMerge w:val="continue"/>
                  <w:vAlign w:val="center"/>
                </w:tcPr>
                <w:p w14:paraId="441B9109">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76531C35">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7170F5DF">
                  <w:pPr>
                    <w:pStyle w:val="477"/>
                    <w:spacing w:after="0"/>
                    <w:rPr>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6A4B87C9">
                  <w:pPr>
                    <w:pStyle w:val="477"/>
                    <w:spacing w:after="0"/>
                    <w:rPr>
                      <w:color w:val="auto"/>
                      <w:kern w:val="0"/>
                      <w:szCs w:val="21"/>
                    </w:rPr>
                  </w:pPr>
                  <w:r>
                    <w:rPr>
                      <w:rFonts w:hint="eastAsia"/>
                      <w:color w:val="auto"/>
                      <w:kern w:val="0"/>
                      <w:szCs w:val="21"/>
                    </w:rPr>
                    <w:t>900-009-S17</w:t>
                  </w:r>
                </w:p>
              </w:tc>
              <w:tc>
                <w:tcPr>
                  <w:tcW w:w="430" w:type="pct"/>
                  <w:tcBorders>
                    <w:top w:val="single" w:color="auto" w:sz="4" w:space="0"/>
                    <w:left w:val="single" w:color="auto" w:sz="4" w:space="0"/>
                    <w:bottom w:val="single" w:color="auto" w:sz="4" w:space="0"/>
                    <w:right w:val="single" w:color="auto" w:sz="4" w:space="0"/>
                  </w:tcBorders>
                  <w:vAlign w:val="center"/>
                </w:tcPr>
                <w:p w14:paraId="3EDDDF73">
                  <w:pPr>
                    <w:spacing w:line="200" w:lineRule="atLeast"/>
                    <w:jc w:val="center"/>
                    <w:rPr>
                      <w:color w:val="auto"/>
                      <w:szCs w:val="21"/>
                    </w:rPr>
                  </w:pPr>
                  <w:r>
                    <w:rPr>
                      <w:rFonts w:hint="eastAsia"/>
                      <w:color w:val="auto"/>
                      <w:szCs w:val="21"/>
                    </w:rPr>
                    <w:t>0.01</w:t>
                  </w:r>
                </w:p>
              </w:tc>
              <w:tc>
                <w:tcPr>
                  <w:tcW w:w="304" w:type="pct"/>
                  <w:vMerge w:val="continue"/>
                  <w:tcBorders>
                    <w:left w:val="single" w:color="auto" w:sz="4" w:space="0"/>
                  </w:tcBorders>
                  <w:vAlign w:val="center"/>
                </w:tcPr>
                <w:p w14:paraId="2DADD8E3">
                  <w:pPr>
                    <w:spacing w:line="200" w:lineRule="atLeast"/>
                    <w:jc w:val="center"/>
                    <w:rPr>
                      <w:color w:val="auto"/>
                      <w:szCs w:val="21"/>
                    </w:rPr>
                  </w:pPr>
                </w:p>
              </w:tc>
            </w:tr>
            <w:tr w14:paraId="6BAB25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7D9A9A44">
                  <w:pPr>
                    <w:spacing w:line="200" w:lineRule="atLeast"/>
                    <w:jc w:val="center"/>
                    <w:rPr>
                      <w:color w:val="auto"/>
                      <w:szCs w:val="21"/>
                    </w:rPr>
                  </w:pPr>
                  <w:r>
                    <w:rPr>
                      <w:rFonts w:hint="eastAsia"/>
                      <w:color w:val="auto"/>
                      <w:szCs w:val="21"/>
                    </w:rPr>
                    <w:t>21</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2EFBE0EE">
                  <w:pPr>
                    <w:spacing w:line="200" w:lineRule="atLeast"/>
                    <w:jc w:val="center"/>
                    <w:rPr>
                      <w:color w:val="auto"/>
                      <w:szCs w:val="21"/>
                    </w:rPr>
                  </w:pPr>
                  <w:r>
                    <w:rPr>
                      <w:rFonts w:hint="eastAsia"/>
                      <w:color w:val="auto"/>
                      <w:szCs w:val="21"/>
                    </w:rPr>
                    <w:t>废砂纸</w:t>
                  </w:r>
                </w:p>
              </w:tc>
              <w:tc>
                <w:tcPr>
                  <w:tcW w:w="467" w:type="pct"/>
                  <w:tcBorders>
                    <w:top w:val="single" w:color="auto" w:sz="4" w:space="0"/>
                    <w:left w:val="single" w:color="auto" w:sz="4" w:space="0"/>
                    <w:bottom w:val="single" w:color="auto" w:sz="4" w:space="0"/>
                    <w:right w:val="single" w:color="auto" w:sz="4" w:space="0"/>
                  </w:tcBorders>
                  <w:vAlign w:val="center"/>
                </w:tcPr>
                <w:p w14:paraId="4BEEBF5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B006863">
                  <w:pPr>
                    <w:spacing w:line="280" w:lineRule="exact"/>
                    <w:jc w:val="center"/>
                    <w:rPr>
                      <w:color w:val="auto"/>
                      <w:szCs w:val="21"/>
                    </w:rPr>
                  </w:pPr>
                  <w:r>
                    <w:rPr>
                      <w:rFonts w:hint="eastAsia"/>
                      <w:color w:val="auto"/>
                      <w:szCs w:val="21"/>
                    </w:rPr>
                    <w:t>打磨</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588D281C">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7073F411">
                  <w:pPr>
                    <w:spacing w:line="280" w:lineRule="exact"/>
                    <w:jc w:val="center"/>
                    <w:rPr>
                      <w:color w:val="auto"/>
                      <w:szCs w:val="21"/>
                    </w:rPr>
                  </w:pPr>
                  <w:r>
                    <w:rPr>
                      <w:rFonts w:hint="eastAsia"/>
                      <w:color w:val="auto"/>
                      <w:szCs w:val="21"/>
                    </w:rPr>
                    <w:t>砂纸</w:t>
                  </w:r>
                </w:p>
              </w:tc>
              <w:tc>
                <w:tcPr>
                  <w:tcW w:w="656" w:type="pct"/>
                  <w:vMerge w:val="continue"/>
                  <w:vAlign w:val="center"/>
                </w:tcPr>
                <w:p w14:paraId="4AF5D2B2">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2CEBD47">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F4B3259">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12D78FE0">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3D92209E">
                  <w:pPr>
                    <w:spacing w:line="200" w:lineRule="atLeast"/>
                    <w:jc w:val="center"/>
                    <w:rPr>
                      <w:color w:val="auto"/>
                      <w:szCs w:val="21"/>
                    </w:rPr>
                  </w:pPr>
                  <w:r>
                    <w:rPr>
                      <w:rFonts w:hint="eastAsia"/>
                      <w:color w:val="auto"/>
                      <w:szCs w:val="21"/>
                    </w:rPr>
                    <w:t>0.85</w:t>
                  </w:r>
                </w:p>
              </w:tc>
              <w:tc>
                <w:tcPr>
                  <w:tcW w:w="304" w:type="pct"/>
                  <w:vMerge w:val="continue"/>
                  <w:tcBorders>
                    <w:left w:val="single" w:color="auto" w:sz="4" w:space="0"/>
                  </w:tcBorders>
                  <w:vAlign w:val="center"/>
                </w:tcPr>
                <w:p w14:paraId="41A3869A">
                  <w:pPr>
                    <w:spacing w:line="200" w:lineRule="atLeast"/>
                    <w:jc w:val="center"/>
                    <w:rPr>
                      <w:color w:val="auto"/>
                      <w:szCs w:val="21"/>
                    </w:rPr>
                  </w:pPr>
                </w:p>
              </w:tc>
            </w:tr>
            <w:tr w14:paraId="4AAC55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11F94A5D">
                  <w:pPr>
                    <w:spacing w:line="200" w:lineRule="atLeast"/>
                    <w:jc w:val="center"/>
                    <w:rPr>
                      <w:color w:val="auto"/>
                      <w:szCs w:val="21"/>
                    </w:rPr>
                  </w:pPr>
                  <w:r>
                    <w:rPr>
                      <w:rFonts w:hint="eastAsia"/>
                      <w:color w:val="auto"/>
                      <w:szCs w:val="21"/>
                    </w:rPr>
                    <w:t>22</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569F904">
                  <w:pPr>
                    <w:spacing w:line="200" w:lineRule="atLeast"/>
                    <w:jc w:val="center"/>
                    <w:rPr>
                      <w:color w:val="auto"/>
                      <w:szCs w:val="21"/>
                    </w:rPr>
                  </w:pPr>
                  <w:r>
                    <w:rPr>
                      <w:rFonts w:hint="eastAsia"/>
                      <w:color w:val="auto"/>
                      <w:szCs w:val="21"/>
                    </w:rPr>
                    <w:t>大理石废料</w:t>
                  </w:r>
                </w:p>
              </w:tc>
              <w:tc>
                <w:tcPr>
                  <w:tcW w:w="467" w:type="pct"/>
                  <w:tcBorders>
                    <w:top w:val="single" w:color="auto" w:sz="4" w:space="0"/>
                    <w:left w:val="single" w:color="auto" w:sz="4" w:space="0"/>
                    <w:bottom w:val="single" w:color="auto" w:sz="4" w:space="0"/>
                    <w:right w:val="single" w:color="auto" w:sz="4" w:space="0"/>
                  </w:tcBorders>
                  <w:vAlign w:val="center"/>
                </w:tcPr>
                <w:p w14:paraId="2D40ECC5">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C76DF9E">
                  <w:pPr>
                    <w:spacing w:line="280" w:lineRule="exact"/>
                    <w:jc w:val="center"/>
                    <w:rPr>
                      <w:color w:val="auto"/>
                      <w:szCs w:val="21"/>
                    </w:rPr>
                  </w:pPr>
                  <w:r>
                    <w:rPr>
                      <w:rFonts w:hint="eastAsia"/>
                      <w:color w:val="auto"/>
                      <w:szCs w:val="21"/>
                    </w:rPr>
                    <w:t>下料</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551AD7D">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6576683E">
                  <w:pPr>
                    <w:spacing w:line="280" w:lineRule="exact"/>
                    <w:jc w:val="center"/>
                    <w:rPr>
                      <w:color w:val="auto"/>
                      <w:szCs w:val="21"/>
                    </w:rPr>
                  </w:pPr>
                  <w:r>
                    <w:rPr>
                      <w:rFonts w:hint="eastAsia"/>
                      <w:color w:val="auto"/>
                      <w:szCs w:val="21"/>
                    </w:rPr>
                    <w:t>大理石</w:t>
                  </w:r>
                </w:p>
              </w:tc>
              <w:tc>
                <w:tcPr>
                  <w:tcW w:w="656" w:type="pct"/>
                  <w:vMerge w:val="continue"/>
                  <w:vAlign w:val="center"/>
                </w:tcPr>
                <w:p w14:paraId="2ADC1B11">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2B47504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3A40213B">
                  <w:pPr>
                    <w:pStyle w:val="477"/>
                    <w:spacing w:after="0"/>
                    <w:rPr>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01F3F2A0">
                  <w:pPr>
                    <w:pStyle w:val="477"/>
                    <w:spacing w:after="0"/>
                    <w:rPr>
                      <w:color w:val="auto"/>
                      <w:kern w:val="0"/>
                      <w:szCs w:val="21"/>
                    </w:rPr>
                  </w:pPr>
                  <w:r>
                    <w:rPr>
                      <w:rFonts w:hint="eastAsia"/>
                      <w:color w:val="auto"/>
                      <w:kern w:val="0"/>
                      <w:szCs w:val="21"/>
                    </w:rPr>
                    <w:t>900-010-S17</w:t>
                  </w:r>
                </w:p>
              </w:tc>
              <w:tc>
                <w:tcPr>
                  <w:tcW w:w="430" w:type="pct"/>
                  <w:tcBorders>
                    <w:top w:val="single" w:color="auto" w:sz="4" w:space="0"/>
                    <w:left w:val="single" w:color="auto" w:sz="4" w:space="0"/>
                    <w:bottom w:val="single" w:color="auto" w:sz="4" w:space="0"/>
                    <w:right w:val="single" w:color="auto" w:sz="4" w:space="0"/>
                  </w:tcBorders>
                  <w:vAlign w:val="center"/>
                </w:tcPr>
                <w:p w14:paraId="523B1445">
                  <w:pPr>
                    <w:spacing w:line="200" w:lineRule="atLeast"/>
                    <w:jc w:val="center"/>
                    <w:rPr>
                      <w:color w:val="auto"/>
                      <w:szCs w:val="21"/>
                    </w:rPr>
                  </w:pPr>
                  <w:r>
                    <w:rPr>
                      <w:rFonts w:hint="eastAsia"/>
                      <w:color w:val="auto"/>
                      <w:szCs w:val="21"/>
                    </w:rPr>
                    <w:t>10.08</w:t>
                  </w:r>
                </w:p>
              </w:tc>
              <w:tc>
                <w:tcPr>
                  <w:tcW w:w="304" w:type="pct"/>
                  <w:vMerge w:val="continue"/>
                  <w:tcBorders>
                    <w:left w:val="single" w:color="auto" w:sz="4" w:space="0"/>
                  </w:tcBorders>
                  <w:vAlign w:val="center"/>
                </w:tcPr>
                <w:p w14:paraId="399FDA72">
                  <w:pPr>
                    <w:spacing w:line="200" w:lineRule="atLeast"/>
                    <w:jc w:val="center"/>
                    <w:rPr>
                      <w:color w:val="auto"/>
                      <w:szCs w:val="21"/>
                    </w:rPr>
                  </w:pPr>
                </w:p>
              </w:tc>
            </w:tr>
            <w:tr w14:paraId="2DF6F6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1CCF5506">
                  <w:pPr>
                    <w:spacing w:line="200" w:lineRule="atLeast"/>
                    <w:jc w:val="center"/>
                    <w:rPr>
                      <w:color w:val="auto"/>
                      <w:szCs w:val="21"/>
                    </w:rPr>
                  </w:pPr>
                  <w:r>
                    <w:rPr>
                      <w:rFonts w:hint="eastAsia"/>
                      <w:color w:val="auto"/>
                      <w:szCs w:val="21"/>
                    </w:rPr>
                    <w:t>23</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826267D">
                  <w:pPr>
                    <w:spacing w:line="200" w:lineRule="atLeast"/>
                    <w:jc w:val="center"/>
                    <w:rPr>
                      <w:color w:val="auto"/>
                      <w:szCs w:val="21"/>
                    </w:rPr>
                  </w:pPr>
                  <w:r>
                    <w:rPr>
                      <w:rFonts w:hint="eastAsia"/>
                      <w:color w:val="auto"/>
                      <w:szCs w:val="21"/>
                    </w:rPr>
                    <w:t>废切割片</w:t>
                  </w:r>
                </w:p>
              </w:tc>
              <w:tc>
                <w:tcPr>
                  <w:tcW w:w="467" w:type="pct"/>
                  <w:tcBorders>
                    <w:top w:val="single" w:color="auto" w:sz="4" w:space="0"/>
                    <w:left w:val="single" w:color="auto" w:sz="4" w:space="0"/>
                    <w:bottom w:val="single" w:color="auto" w:sz="4" w:space="0"/>
                    <w:right w:val="single" w:color="auto" w:sz="4" w:space="0"/>
                  </w:tcBorders>
                  <w:vAlign w:val="center"/>
                </w:tcPr>
                <w:p w14:paraId="45CDD951">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65E7A0C3">
                  <w:pPr>
                    <w:spacing w:line="280" w:lineRule="exact"/>
                    <w:jc w:val="center"/>
                    <w:rPr>
                      <w:color w:val="auto"/>
                      <w:szCs w:val="21"/>
                    </w:rPr>
                  </w:pPr>
                  <w:r>
                    <w:rPr>
                      <w:rFonts w:hint="eastAsia"/>
                      <w:color w:val="auto"/>
                      <w:szCs w:val="21"/>
                    </w:rPr>
                    <w:t>打磨倒角</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6EAEE2D">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7489514D">
                  <w:pPr>
                    <w:spacing w:line="280" w:lineRule="exact"/>
                    <w:jc w:val="center"/>
                    <w:rPr>
                      <w:color w:val="auto"/>
                      <w:szCs w:val="21"/>
                    </w:rPr>
                  </w:pPr>
                  <w:r>
                    <w:rPr>
                      <w:rFonts w:hint="eastAsia"/>
                      <w:color w:val="auto"/>
                      <w:szCs w:val="21"/>
                    </w:rPr>
                    <w:t>切割片</w:t>
                  </w:r>
                </w:p>
              </w:tc>
              <w:tc>
                <w:tcPr>
                  <w:tcW w:w="656" w:type="pct"/>
                  <w:vMerge w:val="continue"/>
                  <w:vAlign w:val="center"/>
                </w:tcPr>
                <w:p w14:paraId="0DE1564B">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43635D37">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69049E3C">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14:paraId="621D3FA2">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477A7F2C">
                  <w:pPr>
                    <w:spacing w:line="200" w:lineRule="atLeast"/>
                    <w:jc w:val="center"/>
                    <w:rPr>
                      <w:color w:val="auto"/>
                      <w:szCs w:val="21"/>
                    </w:rPr>
                  </w:pPr>
                  <w:r>
                    <w:rPr>
                      <w:rFonts w:hint="eastAsia"/>
                      <w:color w:val="auto"/>
                      <w:szCs w:val="21"/>
                    </w:rPr>
                    <w:t>0.8</w:t>
                  </w:r>
                </w:p>
              </w:tc>
              <w:tc>
                <w:tcPr>
                  <w:tcW w:w="304" w:type="pct"/>
                  <w:vMerge w:val="continue"/>
                  <w:tcBorders>
                    <w:left w:val="single" w:color="auto" w:sz="4" w:space="0"/>
                  </w:tcBorders>
                  <w:vAlign w:val="center"/>
                </w:tcPr>
                <w:p w14:paraId="2DF4AC50">
                  <w:pPr>
                    <w:spacing w:line="200" w:lineRule="atLeast"/>
                    <w:jc w:val="center"/>
                    <w:rPr>
                      <w:color w:val="auto"/>
                      <w:szCs w:val="21"/>
                    </w:rPr>
                  </w:pPr>
                </w:p>
              </w:tc>
            </w:tr>
            <w:tr w14:paraId="639F6F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5143824E">
                  <w:pPr>
                    <w:spacing w:line="200" w:lineRule="atLeast"/>
                    <w:jc w:val="center"/>
                    <w:rPr>
                      <w:color w:val="auto"/>
                      <w:szCs w:val="21"/>
                    </w:rPr>
                  </w:pPr>
                  <w:r>
                    <w:rPr>
                      <w:rFonts w:hint="eastAsia"/>
                      <w:color w:val="auto"/>
                      <w:szCs w:val="21"/>
                    </w:rPr>
                    <w:t>24</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85FF498">
                  <w:pPr>
                    <w:spacing w:line="200" w:lineRule="atLeast"/>
                    <w:jc w:val="center"/>
                    <w:rPr>
                      <w:color w:val="auto"/>
                      <w:szCs w:val="21"/>
                    </w:rPr>
                  </w:pPr>
                  <w:r>
                    <w:rPr>
                      <w:rFonts w:hint="eastAsia"/>
                      <w:color w:val="auto"/>
                      <w:szCs w:val="21"/>
                    </w:rPr>
                    <w:t>金属废边角料、碎屑、不合格品</w:t>
                  </w:r>
                </w:p>
              </w:tc>
              <w:tc>
                <w:tcPr>
                  <w:tcW w:w="467" w:type="pct"/>
                  <w:tcBorders>
                    <w:top w:val="single" w:color="auto" w:sz="4" w:space="0"/>
                    <w:left w:val="single" w:color="auto" w:sz="4" w:space="0"/>
                    <w:bottom w:val="single" w:color="auto" w:sz="4" w:space="0"/>
                    <w:right w:val="single" w:color="auto" w:sz="4" w:space="0"/>
                  </w:tcBorders>
                  <w:vAlign w:val="center"/>
                </w:tcPr>
                <w:p w14:paraId="55EC0880">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4203577">
                  <w:pPr>
                    <w:spacing w:line="280" w:lineRule="exact"/>
                    <w:jc w:val="center"/>
                    <w:rPr>
                      <w:color w:val="auto"/>
                      <w:szCs w:val="21"/>
                    </w:rPr>
                  </w:pPr>
                  <w:r>
                    <w:rPr>
                      <w:rFonts w:hint="eastAsia"/>
                      <w:color w:val="auto"/>
                      <w:szCs w:val="21"/>
                    </w:rPr>
                    <w:t>下料</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E25C039">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969D557">
                  <w:pPr>
                    <w:spacing w:line="280" w:lineRule="exact"/>
                    <w:jc w:val="center"/>
                    <w:rPr>
                      <w:color w:val="auto"/>
                      <w:szCs w:val="21"/>
                    </w:rPr>
                  </w:pPr>
                  <w:r>
                    <w:rPr>
                      <w:rFonts w:hint="eastAsia"/>
                      <w:color w:val="auto"/>
                      <w:szCs w:val="21"/>
                    </w:rPr>
                    <w:t>金属</w:t>
                  </w:r>
                </w:p>
              </w:tc>
              <w:tc>
                <w:tcPr>
                  <w:tcW w:w="656" w:type="pct"/>
                  <w:vMerge w:val="continue"/>
                  <w:vAlign w:val="center"/>
                </w:tcPr>
                <w:p w14:paraId="68AD2B8D">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1B41D8F2">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F590732">
                  <w:pPr>
                    <w:pStyle w:val="477"/>
                    <w:spacing w:after="0"/>
                    <w:rPr>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7FF28A09">
                  <w:pPr>
                    <w:pStyle w:val="477"/>
                    <w:spacing w:after="0"/>
                    <w:rPr>
                      <w:color w:val="auto"/>
                      <w:kern w:val="0"/>
                      <w:szCs w:val="21"/>
                    </w:rPr>
                  </w:pPr>
                  <w:r>
                    <w:rPr>
                      <w:rFonts w:hint="eastAsia"/>
                      <w:color w:val="auto"/>
                      <w:kern w:val="0"/>
                      <w:szCs w:val="21"/>
                    </w:rPr>
                    <w:t>900-001-S17</w:t>
                  </w:r>
                </w:p>
              </w:tc>
              <w:tc>
                <w:tcPr>
                  <w:tcW w:w="430" w:type="pct"/>
                  <w:tcBorders>
                    <w:top w:val="single" w:color="auto" w:sz="4" w:space="0"/>
                    <w:left w:val="single" w:color="auto" w:sz="4" w:space="0"/>
                    <w:bottom w:val="single" w:color="auto" w:sz="4" w:space="0"/>
                    <w:right w:val="single" w:color="auto" w:sz="4" w:space="0"/>
                  </w:tcBorders>
                  <w:vAlign w:val="center"/>
                </w:tcPr>
                <w:p w14:paraId="73FF9F67">
                  <w:pPr>
                    <w:spacing w:line="200" w:lineRule="atLeast"/>
                    <w:jc w:val="center"/>
                    <w:rPr>
                      <w:color w:val="auto"/>
                      <w:szCs w:val="21"/>
                    </w:rPr>
                  </w:pPr>
                  <w:r>
                    <w:rPr>
                      <w:rFonts w:hint="eastAsia"/>
                      <w:color w:val="auto"/>
                      <w:szCs w:val="21"/>
                    </w:rPr>
                    <w:t>2.45</w:t>
                  </w:r>
                </w:p>
              </w:tc>
              <w:tc>
                <w:tcPr>
                  <w:tcW w:w="304" w:type="pct"/>
                  <w:vMerge w:val="continue"/>
                  <w:tcBorders>
                    <w:left w:val="single" w:color="auto" w:sz="4" w:space="0"/>
                  </w:tcBorders>
                  <w:vAlign w:val="center"/>
                </w:tcPr>
                <w:p w14:paraId="3E7D3746">
                  <w:pPr>
                    <w:spacing w:line="200" w:lineRule="atLeast"/>
                    <w:jc w:val="center"/>
                    <w:rPr>
                      <w:color w:val="auto"/>
                      <w:szCs w:val="21"/>
                    </w:rPr>
                  </w:pPr>
                </w:p>
              </w:tc>
            </w:tr>
            <w:tr w14:paraId="61F06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6B24D347">
                  <w:pPr>
                    <w:spacing w:line="200" w:lineRule="atLeast"/>
                    <w:jc w:val="center"/>
                    <w:rPr>
                      <w:color w:val="auto"/>
                      <w:szCs w:val="21"/>
                    </w:rPr>
                  </w:pPr>
                  <w:r>
                    <w:rPr>
                      <w:rFonts w:hint="eastAsia"/>
                      <w:color w:val="auto"/>
                      <w:szCs w:val="21"/>
                    </w:rPr>
                    <w:t>25</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2AF14C4">
                  <w:pPr>
                    <w:spacing w:line="200" w:lineRule="atLeast"/>
                    <w:jc w:val="center"/>
                    <w:rPr>
                      <w:color w:val="auto"/>
                      <w:szCs w:val="21"/>
                    </w:rPr>
                  </w:pPr>
                  <w:r>
                    <w:rPr>
                      <w:rFonts w:hint="eastAsia"/>
                      <w:color w:val="auto"/>
                      <w:szCs w:val="21"/>
                    </w:rPr>
                    <w:t>废焊渣、废焊丝</w:t>
                  </w:r>
                </w:p>
              </w:tc>
              <w:tc>
                <w:tcPr>
                  <w:tcW w:w="467" w:type="pct"/>
                  <w:tcBorders>
                    <w:top w:val="single" w:color="auto" w:sz="4" w:space="0"/>
                    <w:left w:val="single" w:color="auto" w:sz="4" w:space="0"/>
                    <w:bottom w:val="single" w:color="auto" w:sz="4" w:space="0"/>
                    <w:right w:val="single" w:color="auto" w:sz="4" w:space="0"/>
                  </w:tcBorders>
                  <w:vAlign w:val="center"/>
                </w:tcPr>
                <w:p w14:paraId="67F10236">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8BDE605">
                  <w:pPr>
                    <w:spacing w:line="280" w:lineRule="exact"/>
                    <w:jc w:val="center"/>
                    <w:rPr>
                      <w:color w:val="auto"/>
                      <w:szCs w:val="21"/>
                    </w:rPr>
                  </w:pPr>
                  <w:r>
                    <w:rPr>
                      <w:rFonts w:hint="eastAsia"/>
                      <w:color w:val="auto"/>
                      <w:szCs w:val="21"/>
                    </w:rPr>
                    <w:t>焊接</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4ECA90F1">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223EE0A0">
                  <w:pPr>
                    <w:spacing w:line="280" w:lineRule="exact"/>
                    <w:jc w:val="center"/>
                    <w:rPr>
                      <w:color w:val="auto"/>
                      <w:szCs w:val="21"/>
                    </w:rPr>
                  </w:pPr>
                  <w:r>
                    <w:rPr>
                      <w:rFonts w:hint="eastAsia"/>
                      <w:color w:val="auto"/>
                      <w:szCs w:val="21"/>
                    </w:rPr>
                    <w:t>焊丝</w:t>
                  </w:r>
                </w:p>
              </w:tc>
              <w:tc>
                <w:tcPr>
                  <w:tcW w:w="656" w:type="pct"/>
                  <w:vMerge w:val="continue"/>
                  <w:vAlign w:val="center"/>
                </w:tcPr>
                <w:p w14:paraId="4A9CC7CF">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57126993">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EB3620F">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44F9E3C9">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4F6F8F44">
                  <w:pPr>
                    <w:spacing w:line="200" w:lineRule="atLeast"/>
                    <w:jc w:val="center"/>
                    <w:rPr>
                      <w:color w:val="auto"/>
                      <w:szCs w:val="21"/>
                    </w:rPr>
                  </w:pPr>
                  <w:r>
                    <w:rPr>
                      <w:rFonts w:hint="eastAsia"/>
                      <w:color w:val="auto"/>
                      <w:szCs w:val="21"/>
                    </w:rPr>
                    <w:t>0.00654</w:t>
                  </w:r>
                </w:p>
              </w:tc>
              <w:tc>
                <w:tcPr>
                  <w:tcW w:w="304" w:type="pct"/>
                  <w:vMerge w:val="continue"/>
                  <w:tcBorders>
                    <w:left w:val="single" w:color="auto" w:sz="4" w:space="0"/>
                  </w:tcBorders>
                  <w:vAlign w:val="center"/>
                </w:tcPr>
                <w:p w14:paraId="62A240E9">
                  <w:pPr>
                    <w:spacing w:line="200" w:lineRule="atLeast"/>
                    <w:jc w:val="center"/>
                    <w:rPr>
                      <w:color w:val="auto"/>
                      <w:szCs w:val="21"/>
                    </w:rPr>
                  </w:pPr>
                </w:p>
              </w:tc>
            </w:tr>
            <w:tr w14:paraId="3EECA1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25A872F4">
                  <w:pPr>
                    <w:spacing w:line="200" w:lineRule="atLeast"/>
                    <w:jc w:val="center"/>
                    <w:rPr>
                      <w:color w:val="auto"/>
                      <w:szCs w:val="21"/>
                    </w:rPr>
                  </w:pPr>
                  <w:r>
                    <w:rPr>
                      <w:rFonts w:hint="eastAsia"/>
                      <w:color w:val="auto"/>
                      <w:szCs w:val="21"/>
                    </w:rPr>
                    <w:t>26</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4C2FCE6">
                  <w:pPr>
                    <w:spacing w:line="200" w:lineRule="atLeast"/>
                    <w:jc w:val="center"/>
                    <w:rPr>
                      <w:color w:val="auto"/>
                      <w:szCs w:val="21"/>
                    </w:rPr>
                  </w:pPr>
                  <w:r>
                    <w:rPr>
                      <w:rFonts w:hint="eastAsia"/>
                      <w:color w:val="auto"/>
                      <w:szCs w:val="21"/>
                    </w:rPr>
                    <w:t>废布轮</w:t>
                  </w:r>
                </w:p>
              </w:tc>
              <w:tc>
                <w:tcPr>
                  <w:tcW w:w="467" w:type="pct"/>
                  <w:tcBorders>
                    <w:top w:val="single" w:color="auto" w:sz="4" w:space="0"/>
                    <w:left w:val="single" w:color="auto" w:sz="4" w:space="0"/>
                    <w:bottom w:val="single" w:color="auto" w:sz="4" w:space="0"/>
                    <w:right w:val="single" w:color="auto" w:sz="4" w:space="0"/>
                  </w:tcBorders>
                  <w:vAlign w:val="center"/>
                </w:tcPr>
                <w:p w14:paraId="7AE4EC6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4DD6BC5E">
                  <w:pPr>
                    <w:spacing w:line="280" w:lineRule="exact"/>
                    <w:jc w:val="center"/>
                    <w:rPr>
                      <w:color w:val="auto"/>
                      <w:szCs w:val="21"/>
                    </w:rPr>
                  </w:pPr>
                  <w:r>
                    <w:rPr>
                      <w:rFonts w:hint="eastAsia"/>
                      <w:color w:val="auto"/>
                      <w:szCs w:val="21"/>
                    </w:rPr>
                    <w:t>抛光</w:t>
                  </w:r>
                </w:p>
              </w:tc>
              <w:tc>
                <w:tcPr>
                  <w:tcW w:w="298" w:type="pct"/>
                  <w:tcBorders>
                    <w:top w:val="single" w:color="auto" w:sz="4" w:space="0"/>
                    <w:left w:val="single" w:color="auto" w:sz="4" w:space="0"/>
                    <w:bottom w:val="single" w:color="auto" w:sz="4" w:space="0"/>
                    <w:right w:val="single" w:color="auto" w:sz="4" w:space="0"/>
                  </w:tcBorders>
                  <w:vAlign w:val="center"/>
                </w:tcPr>
                <w:p w14:paraId="76EF97C9">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71FA9282">
                  <w:pPr>
                    <w:spacing w:line="280" w:lineRule="exact"/>
                    <w:jc w:val="center"/>
                    <w:rPr>
                      <w:color w:val="auto"/>
                      <w:szCs w:val="21"/>
                    </w:rPr>
                  </w:pPr>
                  <w:r>
                    <w:rPr>
                      <w:rFonts w:hint="eastAsia"/>
                      <w:color w:val="auto"/>
                      <w:szCs w:val="21"/>
                    </w:rPr>
                    <w:t>布轮</w:t>
                  </w:r>
                </w:p>
              </w:tc>
              <w:tc>
                <w:tcPr>
                  <w:tcW w:w="656" w:type="pct"/>
                  <w:vMerge w:val="continue"/>
                  <w:vAlign w:val="center"/>
                </w:tcPr>
                <w:p w14:paraId="00F74883">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04A0288E">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6463FDF9">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1621C721">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285B5800">
                  <w:pPr>
                    <w:spacing w:line="200" w:lineRule="atLeast"/>
                    <w:jc w:val="center"/>
                    <w:rPr>
                      <w:color w:val="auto"/>
                      <w:szCs w:val="21"/>
                    </w:rPr>
                  </w:pPr>
                  <w:r>
                    <w:rPr>
                      <w:rFonts w:hint="eastAsia"/>
                      <w:color w:val="auto"/>
                      <w:szCs w:val="21"/>
                    </w:rPr>
                    <w:t>1.76</w:t>
                  </w:r>
                </w:p>
              </w:tc>
              <w:tc>
                <w:tcPr>
                  <w:tcW w:w="304" w:type="pct"/>
                  <w:vMerge w:val="continue"/>
                  <w:tcBorders>
                    <w:left w:val="single" w:color="auto" w:sz="4" w:space="0"/>
                  </w:tcBorders>
                  <w:vAlign w:val="center"/>
                </w:tcPr>
                <w:p w14:paraId="59BC6A5A">
                  <w:pPr>
                    <w:spacing w:line="200" w:lineRule="atLeast"/>
                    <w:rPr>
                      <w:color w:val="auto"/>
                      <w:szCs w:val="21"/>
                    </w:rPr>
                  </w:pPr>
                </w:p>
              </w:tc>
            </w:tr>
            <w:tr w14:paraId="733FA7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17786B91">
                  <w:pPr>
                    <w:spacing w:line="200" w:lineRule="atLeast"/>
                    <w:jc w:val="center"/>
                    <w:rPr>
                      <w:rFonts w:hint="eastAsia"/>
                      <w:color w:val="auto"/>
                      <w:szCs w:val="21"/>
                    </w:rPr>
                  </w:pPr>
                  <w:r>
                    <w:rPr>
                      <w:rFonts w:hint="eastAsia"/>
                      <w:color w:val="auto"/>
                      <w:szCs w:val="21"/>
                    </w:rPr>
                    <w:t>27</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3BFBCE43">
                  <w:pPr>
                    <w:spacing w:line="200" w:lineRule="atLeast"/>
                    <w:jc w:val="center"/>
                    <w:rPr>
                      <w:rFonts w:hint="eastAsia"/>
                      <w:color w:val="auto"/>
                      <w:szCs w:val="21"/>
                    </w:rPr>
                  </w:pPr>
                  <w:r>
                    <w:rPr>
                      <w:rFonts w:hint="eastAsia"/>
                      <w:color w:val="auto"/>
                      <w:szCs w:val="21"/>
                    </w:rPr>
                    <w:t>废包装袋</w:t>
                  </w:r>
                </w:p>
              </w:tc>
              <w:tc>
                <w:tcPr>
                  <w:tcW w:w="467" w:type="pct"/>
                  <w:tcBorders>
                    <w:top w:val="single" w:color="auto" w:sz="4" w:space="0"/>
                    <w:left w:val="single" w:color="auto" w:sz="4" w:space="0"/>
                    <w:bottom w:val="single" w:color="auto" w:sz="4" w:space="0"/>
                    <w:right w:val="single" w:color="auto" w:sz="4" w:space="0"/>
                  </w:tcBorders>
                  <w:vAlign w:val="center"/>
                </w:tcPr>
                <w:p w14:paraId="7F18A50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744B0F17">
                  <w:pPr>
                    <w:spacing w:line="280" w:lineRule="exact"/>
                    <w:jc w:val="center"/>
                    <w:rPr>
                      <w:rFonts w:hint="eastAsia"/>
                      <w:color w:val="auto"/>
                      <w:szCs w:val="21"/>
                    </w:rPr>
                  </w:pPr>
                  <w:r>
                    <w:rPr>
                      <w:rFonts w:hint="eastAsia"/>
                      <w:color w:val="auto"/>
                      <w:szCs w:val="21"/>
                    </w:rPr>
                    <w:t>原辅料</w:t>
                  </w:r>
                </w:p>
              </w:tc>
              <w:tc>
                <w:tcPr>
                  <w:tcW w:w="298" w:type="pct"/>
                  <w:tcBorders>
                    <w:top w:val="single" w:color="auto" w:sz="4" w:space="0"/>
                    <w:left w:val="single" w:color="auto" w:sz="4" w:space="0"/>
                    <w:bottom w:val="single" w:color="auto" w:sz="4" w:space="0"/>
                    <w:right w:val="single" w:color="auto" w:sz="4" w:space="0"/>
                  </w:tcBorders>
                  <w:vAlign w:val="center"/>
                </w:tcPr>
                <w:p w14:paraId="25CC613D">
                  <w:pPr>
                    <w:spacing w:line="280" w:lineRule="exact"/>
                    <w:jc w:val="center"/>
                    <w:rPr>
                      <w:rFonts w:hint="eastAsia"/>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45A80960">
                  <w:pPr>
                    <w:spacing w:line="280" w:lineRule="exact"/>
                    <w:jc w:val="center"/>
                    <w:rPr>
                      <w:rFonts w:hint="eastAsia"/>
                      <w:color w:val="auto"/>
                      <w:szCs w:val="21"/>
                    </w:rPr>
                  </w:pPr>
                  <w:r>
                    <w:rPr>
                      <w:rFonts w:hint="eastAsia"/>
                      <w:color w:val="auto"/>
                      <w:szCs w:val="21"/>
                    </w:rPr>
                    <w:t>纸箱</w:t>
                  </w:r>
                </w:p>
              </w:tc>
              <w:tc>
                <w:tcPr>
                  <w:tcW w:w="656" w:type="pct"/>
                  <w:vMerge w:val="continue"/>
                  <w:vAlign w:val="center"/>
                </w:tcPr>
                <w:p w14:paraId="20C3080E">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249F7603">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55D5970B">
                  <w:pPr>
                    <w:pStyle w:val="477"/>
                    <w:spacing w:after="0"/>
                    <w:rPr>
                      <w:rFonts w:hint="eastAsia"/>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599308BE">
                  <w:pPr>
                    <w:pStyle w:val="477"/>
                    <w:spacing w:after="0"/>
                    <w:rPr>
                      <w:rFonts w:hint="eastAsia"/>
                      <w:color w:val="auto"/>
                      <w:kern w:val="0"/>
                      <w:szCs w:val="21"/>
                    </w:rPr>
                  </w:pPr>
                  <w:r>
                    <w:rPr>
                      <w:rFonts w:hint="eastAsia"/>
                      <w:color w:val="auto"/>
                      <w:kern w:val="0"/>
                      <w:szCs w:val="21"/>
                    </w:rPr>
                    <w:t>900-005-S17</w:t>
                  </w:r>
                </w:p>
              </w:tc>
              <w:tc>
                <w:tcPr>
                  <w:tcW w:w="430" w:type="pct"/>
                  <w:tcBorders>
                    <w:top w:val="single" w:color="auto" w:sz="4" w:space="0"/>
                    <w:left w:val="single" w:color="auto" w:sz="4" w:space="0"/>
                    <w:bottom w:val="single" w:color="auto" w:sz="4" w:space="0"/>
                    <w:right w:val="single" w:color="auto" w:sz="4" w:space="0"/>
                  </w:tcBorders>
                  <w:vAlign w:val="center"/>
                </w:tcPr>
                <w:p w14:paraId="3CB48F1E">
                  <w:pPr>
                    <w:spacing w:line="200" w:lineRule="atLeast"/>
                    <w:jc w:val="center"/>
                    <w:rPr>
                      <w:rFonts w:hint="eastAsia"/>
                      <w:color w:val="auto"/>
                      <w:szCs w:val="21"/>
                    </w:rPr>
                  </w:pPr>
                  <w:r>
                    <w:rPr>
                      <w:rFonts w:hint="eastAsia"/>
                      <w:color w:val="auto"/>
                      <w:szCs w:val="21"/>
                    </w:rPr>
                    <w:t>0.23</w:t>
                  </w:r>
                </w:p>
              </w:tc>
              <w:tc>
                <w:tcPr>
                  <w:tcW w:w="304" w:type="pct"/>
                  <w:vMerge w:val="continue"/>
                  <w:tcBorders>
                    <w:left w:val="single" w:color="auto" w:sz="4" w:space="0"/>
                  </w:tcBorders>
                  <w:vAlign w:val="center"/>
                </w:tcPr>
                <w:p w14:paraId="7F5264EC">
                  <w:pPr>
                    <w:spacing w:line="200" w:lineRule="atLeast"/>
                    <w:rPr>
                      <w:color w:val="auto"/>
                      <w:szCs w:val="21"/>
                    </w:rPr>
                  </w:pPr>
                </w:p>
              </w:tc>
            </w:tr>
            <w:tr w14:paraId="14592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1BEAC968">
                  <w:pPr>
                    <w:spacing w:line="200" w:lineRule="atLeast"/>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8</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A8F484D">
                  <w:pPr>
                    <w:spacing w:line="200" w:lineRule="atLeast"/>
                    <w:jc w:val="center"/>
                    <w:rPr>
                      <w:rFonts w:hint="eastAsia" w:eastAsia="宋体"/>
                      <w:color w:val="auto"/>
                      <w:szCs w:val="21"/>
                      <w:lang w:eastAsia="zh-CN"/>
                    </w:rPr>
                  </w:pPr>
                  <w:r>
                    <w:rPr>
                      <w:rFonts w:hint="eastAsia"/>
                      <w:color w:val="auto"/>
                      <w:szCs w:val="21"/>
                      <w:lang w:val="en-US" w:eastAsia="zh-CN"/>
                    </w:rPr>
                    <w:t>废钢丸</w:t>
                  </w:r>
                </w:p>
              </w:tc>
              <w:tc>
                <w:tcPr>
                  <w:tcW w:w="467" w:type="pct"/>
                  <w:tcBorders>
                    <w:top w:val="single" w:color="auto" w:sz="4" w:space="0"/>
                    <w:left w:val="single" w:color="auto" w:sz="4" w:space="0"/>
                    <w:bottom w:val="single" w:color="auto" w:sz="4" w:space="0"/>
                    <w:right w:val="single" w:color="auto" w:sz="4" w:space="0"/>
                  </w:tcBorders>
                  <w:vAlign w:val="center"/>
                </w:tcPr>
                <w:p w14:paraId="3924FBB9">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72ED49AD">
                  <w:pPr>
                    <w:spacing w:line="280" w:lineRule="exact"/>
                    <w:jc w:val="center"/>
                    <w:rPr>
                      <w:rFonts w:hint="default" w:eastAsia="宋体"/>
                      <w:color w:val="auto"/>
                      <w:szCs w:val="21"/>
                      <w:lang w:val="en-US" w:eastAsia="zh-CN"/>
                    </w:rPr>
                  </w:pPr>
                  <w:r>
                    <w:rPr>
                      <w:rFonts w:hint="eastAsia"/>
                      <w:color w:val="auto"/>
                      <w:szCs w:val="21"/>
                      <w:lang w:val="en-US" w:eastAsia="zh-CN"/>
                    </w:rPr>
                    <w:t>抛丸</w:t>
                  </w:r>
                </w:p>
              </w:tc>
              <w:tc>
                <w:tcPr>
                  <w:tcW w:w="298" w:type="pct"/>
                  <w:tcBorders>
                    <w:top w:val="single" w:color="auto" w:sz="4" w:space="0"/>
                    <w:left w:val="single" w:color="auto" w:sz="4" w:space="0"/>
                    <w:bottom w:val="single" w:color="auto" w:sz="4" w:space="0"/>
                    <w:right w:val="single" w:color="auto" w:sz="4" w:space="0"/>
                  </w:tcBorders>
                  <w:vAlign w:val="center"/>
                </w:tcPr>
                <w:p w14:paraId="48CE783C">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7D259197">
                  <w:pPr>
                    <w:spacing w:line="280" w:lineRule="exact"/>
                    <w:jc w:val="center"/>
                    <w:rPr>
                      <w:rFonts w:hint="eastAsia" w:eastAsia="宋体"/>
                      <w:color w:val="auto"/>
                      <w:szCs w:val="21"/>
                      <w:lang w:eastAsia="zh-CN"/>
                    </w:rPr>
                  </w:pPr>
                  <w:r>
                    <w:rPr>
                      <w:rFonts w:hint="eastAsia"/>
                      <w:color w:val="auto"/>
                      <w:szCs w:val="21"/>
                      <w:lang w:val="en-US" w:eastAsia="zh-CN"/>
                    </w:rPr>
                    <w:t>金属</w:t>
                  </w:r>
                </w:p>
              </w:tc>
              <w:tc>
                <w:tcPr>
                  <w:tcW w:w="656" w:type="pct"/>
                  <w:vMerge w:val="continue"/>
                  <w:vAlign w:val="center"/>
                </w:tcPr>
                <w:p w14:paraId="7225E7FF">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200A6DE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4EBF5F77">
                  <w:pPr>
                    <w:pStyle w:val="477"/>
                    <w:spacing w:after="0"/>
                    <w:rPr>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67969EA6">
                  <w:pPr>
                    <w:pStyle w:val="477"/>
                    <w:spacing w:after="0"/>
                    <w:rPr>
                      <w:color w:val="auto"/>
                      <w:kern w:val="0"/>
                      <w:szCs w:val="21"/>
                    </w:rPr>
                  </w:pPr>
                  <w:r>
                    <w:rPr>
                      <w:rFonts w:hint="eastAsia"/>
                      <w:color w:val="auto"/>
                      <w:kern w:val="0"/>
                      <w:szCs w:val="21"/>
                    </w:rPr>
                    <w:t>900-00</w:t>
                  </w:r>
                  <w:r>
                    <w:rPr>
                      <w:rFonts w:hint="eastAsia"/>
                      <w:color w:val="auto"/>
                      <w:kern w:val="0"/>
                      <w:szCs w:val="21"/>
                      <w:lang w:val="en-US" w:eastAsia="zh-CN"/>
                    </w:rPr>
                    <w:t>1</w:t>
                  </w:r>
                  <w:r>
                    <w:rPr>
                      <w:rFonts w:hint="eastAsia"/>
                      <w:color w:val="auto"/>
                      <w:kern w:val="0"/>
                      <w:szCs w:val="21"/>
                    </w:rPr>
                    <w:t>-S17</w:t>
                  </w:r>
                </w:p>
              </w:tc>
              <w:tc>
                <w:tcPr>
                  <w:tcW w:w="430" w:type="pct"/>
                  <w:tcBorders>
                    <w:top w:val="single" w:color="auto" w:sz="4" w:space="0"/>
                    <w:left w:val="single" w:color="auto" w:sz="4" w:space="0"/>
                    <w:bottom w:val="single" w:color="auto" w:sz="4" w:space="0"/>
                    <w:right w:val="single" w:color="auto" w:sz="4" w:space="0"/>
                  </w:tcBorders>
                  <w:vAlign w:val="center"/>
                </w:tcPr>
                <w:p w14:paraId="65E9E62E">
                  <w:pPr>
                    <w:spacing w:line="200" w:lineRule="atLeast"/>
                    <w:jc w:val="center"/>
                    <w:rPr>
                      <w:rFonts w:hint="default" w:eastAsia="宋体"/>
                      <w:color w:val="auto"/>
                      <w:szCs w:val="21"/>
                      <w:lang w:val="en-US" w:eastAsia="zh-CN"/>
                    </w:rPr>
                  </w:pPr>
                  <w:r>
                    <w:rPr>
                      <w:rFonts w:hint="eastAsia"/>
                      <w:color w:val="auto"/>
                      <w:szCs w:val="21"/>
                      <w:lang w:val="en-US" w:eastAsia="zh-CN"/>
                    </w:rPr>
                    <w:t>4.8</w:t>
                  </w:r>
                </w:p>
              </w:tc>
              <w:tc>
                <w:tcPr>
                  <w:tcW w:w="304" w:type="pct"/>
                  <w:vMerge w:val="continue"/>
                  <w:tcBorders>
                    <w:left w:val="single" w:color="auto" w:sz="4" w:space="0"/>
                    <w:bottom w:val="single" w:color="auto" w:sz="4" w:space="0"/>
                  </w:tcBorders>
                  <w:vAlign w:val="center"/>
                </w:tcPr>
                <w:p w14:paraId="5B2E8142">
                  <w:pPr>
                    <w:spacing w:line="200" w:lineRule="atLeast"/>
                    <w:rPr>
                      <w:color w:val="auto"/>
                      <w:szCs w:val="21"/>
                    </w:rPr>
                  </w:pPr>
                </w:p>
              </w:tc>
            </w:tr>
            <w:tr w14:paraId="4A7507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bottom w:val="single" w:color="auto" w:sz="4" w:space="0"/>
                    <w:right w:val="single" w:color="auto" w:sz="4" w:space="0"/>
                  </w:tcBorders>
                  <w:vAlign w:val="center"/>
                </w:tcPr>
                <w:p w14:paraId="3DC4AB31">
                  <w:pPr>
                    <w:spacing w:line="200" w:lineRule="atLeast"/>
                    <w:jc w:val="center"/>
                    <w:rPr>
                      <w:rFonts w:hint="default" w:eastAsia="宋体"/>
                      <w:color w:val="auto"/>
                      <w:szCs w:val="21"/>
                      <w:lang w:val="en-US" w:eastAsia="zh-CN"/>
                    </w:rPr>
                  </w:pPr>
                  <w:r>
                    <w:rPr>
                      <w:rFonts w:hint="eastAsia"/>
                      <w:color w:val="auto"/>
                      <w:szCs w:val="21"/>
                    </w:rPr>
                    <w:t>2</w:t>
                  </w:r>
                  <w:r>
                    <w:rPr>
                      <w:rFonts w:hint="eastAsia"/>
                      <w:color w:val="auto"/>
                      <w:szCs w:val="21"/>
                      <w:lang w:val="en-US" w:eastAsia="zh-CN"/>
                    </w:rPr>
                    <w:t>9</w:t>
                  </w:r>
                </w:p>
              </w:tc>
              <w:tc>
                <w:tcPr>
                  <w:tcW w:w="455" w:type="pct"/>
                  <w:tcBorders>
                    <w:top w:val="single" w:color="auto" w:sz="4" w:space="0"/>
                    <w:left w:val="single" w:color="auto" w:sz="4" w:space="0"/>
                    <w:bottom w:val="single" w:color="auto" w:sz="4" w:space="0"/>
                    <w:right w:val="single" w:color="auto" w:sz="4" w:space="0"/>
                  </w:tcBorders>
                  <w:vAlign w:val="center"/>
                </w:tcPr>
                <w:p w14:paraId="6D94072E">
                  <w:pPr>
                    <w:spacing w:line="200" w:lineRule="atLeast"/>
                    <w:jc w:val="center"/>
                    <w:rPr>
                      <w:color w:val="auto"/>
                      <w:szCs w:val="21"/>
                    </w:rPr>
                  </w:pPr>
                  <w:r>
                    <w:rPr>
                      <w:rFonts w:hint="eastAsia"/>
                      <w:color w:val="auto"/>
                      <w:szCs w:val="21"/>
                    </w:rPr>
                    <w:t>生活垃圾</w:t>
                  </w:r>
                </w:p>
              </w:tc>
              <w:tc>
                <w:tcPr>
                  <w:tcW w:w="467" w:type="pct"/>
                  <w:tcBorders>
                    <w:top w:val="single" w:color="auto" w:sz="4" w:space="0"/>
                    <w:left w:val="single" w:color="auto" w:sz="4" w:space="0"/>
                    <w:bottom w:val="single" w:color="auto" w:sz="4" w:space="0"/>
                    <w:right w:val="single" w:color="auto" w:sz="4" w:space="0"/>
                  </w:tcBorders>
                  <w:vAlign w:val="center"/>
                </w:tcPr>
                <w:p w14:paraId="719B21D3">
                  <w:pPr>
                    <w:spacing w:line="200" w:lineRule="atLeast"/>
                    <w:jc w:val="center"/>
                    <w:rPr>
                      <w:color w:val="auto"/>
                      <w:szCs w:val="21"/>
                    </w:rPr>
                  </w:pPr>
                  <w:r>
                    <w:rPr>
                      <w:rFonts w:hint="eastAsia"/>
                      <w:color w:val="auto"/>
                      <w:szCs w:val="21"/>
                    </w:rPr>
                    <w:t>生活垃圾</w:t>
                  </w:r>
                </w:p>
              </w:tc>
              <w:tc>
                <w:tcPr>
                  <w:tcW w:w="352" w:type="pct"/>
                  <w:tcBorders>
                    <w:top w:val="single" w:color="auto" w:sz="4" w:space="0"/>
                    <w:left w:val="single" w:color="auto" w:sz="4" w:space="0"/>
                    <w:bottom w:val="single" w:color="auto" w:sz="4" w:space="0"/>
                    <w:right w:val="single" w:color="auto" w:sz="4" w:space="0"/>
                  </w:tcBorders>
                  <w:vAlign w:val="center"/>
                </w:tcPr>
                <w:p w14:paraId="61F067E2">
                  <w:pPr>
                    <w:spacing w:line="280" w:lineRule="exact"/>
                    <w:jc w:val="center"/>
                    <w:rPr>
                      <w:color w:val="auto"/>
                      <w:szCs w:val="21"/>
                    </w:rPr>
                  </w:pPr>
                  <w:r>
                    <w:rPr>
                      <w:rFonts w:hint="eastAsia"/>
                      <w:color w:val="auto"/>
                      <w:szCs w:val="21"/>
                    </w:rPr>
                    <w:t>/</w:t>
                  </w:r>
                </w:p>
              </w:tc>
              <w:tc>
                <w:tcPr>
                  <w:tcW w:w="298" w:type="pct"/>
                  <w:tcBorders>
                    <w:top w:val="single" w:color="auto" w:sz="4" w:space="0"/>
                    <w:left w:val="single" w:color="auto" w:sz="4" w:space="0"/>
                    <w:bottom w:val="single" w:color="auto" w:sz="4" w:space="0"/>
                    <w:right w:val="single" w:color="auto" w:sz="4" w:space="0"/>
                  </w:tcBorders>
                  <w:vAlign w:val="center"/>
                </w:tcPr>
                <w:p w14:paraId="6B0DF784">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0EAEA9D7">
                  <w:pPr>
                    <w:spacing w:line="280" w:lineRule="exact"/>
                    <w:jc w:val="center"/>
                    <w:rPr>
                      <w:color w:val="auto"/>
                      <w:szCs w:val="21"/>
                    </w:rPr>
                  </w:pPr>
                  <w:r>
                    <w:rPr>
                      <w:rFonts w:hint="eastAsia"/>
                      <w:color w:val="auto"/>
                      <w:szCs w:val="21"/>
                    </w:rPr>
                    <w:t>/</w:t>
                  </w:r>
                </w:p>
              </w:tc>
              <w:tc>
                <w:tcPr>
                  <w:tcW w:w="656" w:type="pct"/>
                  <w:vMerge w:val="continue"/>
                  <w:vAlign w:val="center"/>
                </w:tcPr>
                <w:p w14:paraId="02DCE7C4">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4E3FA62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6D57A1B">
                  <w:pPr>
                    <w:spacing w:line="200" w:lineRule="atLeast"/>
                    <w:jc w:val="center"/>
                    <w:rPr>
                      <w:color w:val="auto"/>
                      <w:szCs w:val="21"/>
                    </w:rPr>
                  </w:pPr>
                  <w:r>
                    <w:rPr>
                      <w:rFonts w:hint="eastAsia"/>
                      <w:color w:val="auto"/>
                      <w:szCs w:val="21"/>
                    </w:rPr>
                    <w:t>SW64</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14:paraId="50BC06FA">
                  <w:pPr>
                    <w:pStyle w:val="477"/>
                    <w:spacing w:after="0"/>
                    <w:rPr>
                      <w:color w:val="auto"/>
                      <w:kern w:val="0"/>
                      <w:szCs w:val="21"/>
                    </w:rPr>
                  </w:pPr>
                  <w:r>
                    <w:rPr>
                      <w:rFonts w:hint="eastAsia"/>
                      <w:color w:val="auto"/>
                      <w:kern w:val="0"/>
                      <w:szCs w:val="21"/>
                    </w:rPr>
                    <w:t>900-099-S64</w:t>
                  </w:r>
                </w:p>
              </w:tc>
              <w:tc>
                <w:tcPr>
                  <w:tcW w:w="430" w:type="pct"/>
                  <w:tcBorders>
                    <w:top w:val="single" w:color="auto" w:sz="4" w:space="0"/>
                    <w:left w:val="single" w:color="auto" w:sz="4" w:space="0"/>
                    <w:bottom w:val="single" w:color="auto" w:sz="4" w:space="0"/>
                    <w:right w:val="single" w:color="auto" w:sz="4" w:space="0"/>
                  </w:tcBorders>
                  <w:vAlign w:val="center"/>
                </w:tcPr>
                <w:p w14:paraId="16834517">
                  <w:pPr>
                    <w:spacing w:line="200" w:lineRule="atLeast"/>
                    <w:jc w:val="center"/>
                    <w:rPr>
                      <w:color w:val="auto"/>
                      <w:szCs w:val="21"/>
                    </w:rPr>
                  </w:pPr>
                  <w:r>
                    <w:rPr>
                      <w:rFonts w:hint="eastAsia"/>
                      <w:color w:val="auto"/>
                      <w:szCs w:val="21"/>
                    </w:rPr>
                    <w:t>37.8</w:t>
                  </w:r>
                </w:p>
              </w:tc>
              <w:tc>
                <w:tcPr>
                  <w:tcW w:w="304" w:type="pct"/>
                  <w:tcBorders>
                    <w:top w:val="single" w:color="auto" w:sz="4" w:space="0"/>
                    <w:left w:val="single" w:color="auto" w:sz="4" w:space="0"/>
                    <w:bottom w:val="single" w:color="auto" w:sz="4" w:space="0"/>
                  </w:tcBorders>
                  <w:vAlign w:val="center"/>
                </w:tcPr>
                <w:p w14:paraId="7ED9B1B1">
                  <w:pPr>
                    <w:spacing w:line="200" w:lineRule="atLeast"/>
                    <w:jc w:val="center"/>
                    <w:rPr>
                      <w:color w:val="auto"/>
                      <w:szCs w:val="21"/>
                    </w:rPr>
                  </w:pPr>
                  <w:r>
                    <w:rPr>
                      <w:color w:val="auto"/>
                      <w:szCs w:val="21"/>
                    </w:rPr>
                    <w:t>环卫清运</w:t>
                  </w:r>
                </w:p>
              </w:tc>
            </w:tr>
            <w:tr w14:paraId="5F84D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2" w:type="pct"/>
                  <w:tcBorders>
                    <w:top w:val="single" w:color="auto" w:sz="4" w:space="0"/>
                  </w:tcBorders>
                  <w:vAlign w:val="center"/>
                </w:tcPr>
                <w:p w14:paraId="12ED5150">
                  <w:pPr>
                    <w:pStyle w:val="906"/>
                    <w:spacing w:line="240" w:lineRule="auto"/>
                    <w:rPr>
                      <w:rFonts w:hint="default" w:eastAsia="宋体" w:cs="Times New Roman"/>
                      <w:color w:val="auto"/>
                      <w:lang w:val="en-US" w:eastAsia="zh-CN"/>
                    </w:rPr>
                  </w:pPr>
                  <w:r>
                    <w:rPr>
                      <w:rFonts w:hint="eastAsia" w:cs="Times New Roman"/>
                      <w:color w:val="auto"/>
                      <w:sz w:val="21"/>
                      <w:lang w:val="en-US" w:eastAsia="zh-CN"/>
                    </w:rPr>
                    <w:t>30</w:t>
                  </w:r>
                </w:p>
              </w:tc>
              <w:tc>
                <w:tcPr>
                  <w:tcW w:w="455" w:type="pct"/>
                  <w:tcBorders>
                    <w:top w:val="single" w:color="auto" w:sz="4" w:space="0"/>
                    <w:bottom w:val="single" w:color="auto" w:sz="12" w:space="0"/>
                  </w:tcBorders>
                  <w:vAlign w:val="center"/>
                </w:tcPr>
                <w:p w14:paraId="2EBD9A03">
                  <w:pPr>
                    <w:spacing w:line="200" w:lineRule="atLeast"/>
                    <w:jc w:val="center"/>
                    <w:rPr>
                      <w:color w:val="auto"/>
                      <w:szCs w:val="21"/>
                    </w:rPr>
                  </w:pPr>
                  <w:r>
                    <w:rPr>
                      <w:rFonts w:hint="eastAsia"/>
                      <w:color w:val="auto"/>
                      <w:szCs w:val="21"/>
                    </w:rPr>
                    <w:t>化粪池垃圾</w:t>
                  </w:r>
                </w:p>
              </w:tc>
              <w:tc>
                <w:tcPr>
                  <w:tcW w:w="467" w:type="pct"/>
                  <w:tcBorders>
                    <w:top w:val="single" w:color="auto" w:sz="4" w:space="0"/>
                    <w:bottom w:val="single" w:color="auto" w:sz="12" w:space="0"/>
                  </w:tcBorders>
                  <w:vAlign w:val="center"/>
                </w:tcPr>
                <w:p w14:paraId="1993F41D">
                  <w:pPr>
                    <w:spacing w:line="200" w:lineRule="atLeast"/>
                    <w:jc w:val="center"/>
                    <w:rPr>
                      <w:color w:val="auto"/>
                      <w:szCs w:val="21"/>
                    </w:rPr>
                  </w:pPr>
                  <w:r>
                    <w:rPr>
                      <w:rFonts w:hint="eastAsia"/>
                      <w:color w:val="auto"/>
                      <w:szCs w:val="21"/>
                    </w:rPr>
                    <w:t>生活垃圾</w:t>
                  </w:r>
                </w:p>
              </w:tc>
              <w:tc>
                <w:tcPr>
                  <w:tcW w:w="352" w:type="pct"/>
                  <w:tcBorders>
                    <w:top w:val="single" w:color="auto" w:sz="4" w:space="0"/>
                    <w:bottom w:val="single" w:color="auto" w:sz="12" w:space="0"/>
                  </w:tcBorders>
                  <w:vAlign w:val="center"/>
                </w:tcPr>
                <w:p w14:paraId="1CC63209">
                  <w:pPr>
                    <w:spacing w:line="280" w:lineRule="exact"/>
                    <w:jc w:val="center"/>
                    <w:rPr>
                      <w:color w:val="auto"/>
                      <w:szCs w:val="21"/>
                    </w:rPr>
                  </w:pPr>
                  <w:r>
                    <w:rPr>
                      <w:rFonts w:hint="eastAsia"/>
                      <w:color w:val="auto"/>
                      <w:szCs w:val="21"/>
                    </w:rPr>
                    <w:t>/</w:t>
                  </w:r>
                </w:p>
              </w:tc>
              <w:tc>
                <w:tcPr>
                  <w:tcW w:w="298" w:type="pct"/>
                  <w:tcBorders>
                    <w:top w:val="single" w:color="auto" w:sz="4" w:space="0"/>
                    <w:bottom w:val="single" w:color="auto" w:sz="12" w:space="0"/>
                  </w:tcBorders>
                  <w:vAlign w:val="center"/>
                </w:tcPr>
                <w:p w14:paraId="2F1BC878">
                  <w:pPr>
                    <w:spacing w:line="280" w:lineRule="exact"/>
                    <w:jc w:val="center"/>
                    <w:rPr>
                      <w:color w:val="auto"/>
                      <w:szCs w:val="21"/>
                    </w:rPr>
                  </w:pPr>
                  <w:r>
                    <w:rPr>
                      <w:rFonts w:hint="eastAsia"/>
                      <w:color w:val="auto"/>
                      <w:szCs w:val="21"/>
                    </w:rPr>
                    <w:t>固</w:t>
                  </w:r>
                </w:p>
              </w:tc>
              <w:tc>
                <w:tcPr>
                  <w:tcW w:w="515" w:type="pct"/>
                  <w:tcBorders>
                    <w:top w:val="single" w:color="auto" w:sz="4" w:space="0"/>
                    <w:bottom w:val="single" w:color="auto" w:sz="12" w:space="0"/>
                  </w:tcBorders>
                  <w:vAlign w:val="center"/>
                </w:tcPr>
                <w:p w14:paraId="01DF2C96">
                  <w:pPr>
                    <w:spacing w:line="280" w:lineRule="exact"/>
                    <w:jc w:val="center"/>
                    <w:rPr>
                      <w:color w:val="auto"/>
                      <w:szCs w:val="21"/>
                    </w:rPr>
                  </w:pPr>
                  <w:r>
                    <w:rPr>
                      <w:rFonts w:hint="eastAsia"/>
                      <w:color w:val="auto"/>
                      <w:szCs w:val="21"/>
                    </w:rPr>
                    <w:t>/</w:t>
                  </w:r>
                </w:p>
              </w:tc>
              <w:tc>
                <w:tcPr>
                  <w:tcW w:w="656" w:type="pct"/>
                  <w:vMerge w:val="continue"/>
                  <w:tcBorders>
                    <w:bottom w:val="single" w:color="auto" w:sz="12" w:space="0"/>
                  </w:tcBorders>
                  <w:vAlign w:val="center"/>
                </w:tcPr>
                <w:p w14:paraId="3F7244D1">
                  <w:pPr>
                    <w:spacing w:line="200" w:lineRule="atLeast"/>
                    <w:jc w:val="center"/>
                    <w:rPr>
                      <w:color w:val="auto"/>
                      <w:szCs w:val="21"/>
                    </w:rPr>
                  </w:pPr>
                </w:p>
              </w:tc>
              <w:tc>
                <w:tcPr>
                  <w:tcW w:w="368" w:type="pct"/>
                  <w:tcBorders>
                    <w:top w:val="single" w:color="auto" w:sz="4" w:space="0"/>
                    <w:bottom w:val="single" w:color="auto" w:sz="12" w:space="0"/>
                  </w:tcBorders>
                  <w:vAlign w:val="center"/>
                </w:tcPr>
                <w:p w14:paraId="71DE0054">
                  <w:pPr>
                    <w:spacing w:line="200" w:lineRule="atLeast"/>
                    <w:jc w:val="center"/>
                    <w:rPr>
                      <w:color w:val="auto"/>
                      <w:szCs w:val="21"/>
                    </w:rPr>
                  </w:pPr>
                  <w:r>
                    <w:rPr>
                      <w:color w:val="auto"/>
                      <w:szCs w:val="21"/>
                    </w:rPr>
                    <w:t>--</w:t>
                  </w:r>
                </w:p>
              </w:tc>
              <w:tc>
                <w:tcPr>
                  <w:tcW w:w="374" w:type="pct"/>
                  <w:tcBorders>
                    <w:top w:val="single" w:color="auto" w:sz="4" w:space="0"/>
                    <w:bottom w:val="single" w:color="auto" w:sz="12" w:space="0"/>
                  </w:tcBorders>
                  <w:vAlign w:val="center"/>
                </w:tcPr>
                <w:p w14:paraId="0C0696DD">
                  <w:pPr>
                    <w:spacing w:line="200" w:lineRule="atLeast"/>
                    <w:jc w:val="center"/>
                    <w:rPr>
                      <w:color w:val="auto"/>
                      <w:szCs w:val="21"/>
                    </w:rPr>
                  </w:pPr>
                  <w:r>
                    <w:rPr>
                      <w:rFonts w:hint="eastAsia"/>
                      <w:color w:val="auto"/>
                      <w:szCs w:val="21"/>
                    </w:rPr>
                    <w:t>SW64</w:t>
                  </w:r>
                </w:p>
              </w:tc>
              <w:tc>
                <w:tcPr>
                  <w:tcW w:w="594" w:type="pct"/>
                  <w:tcBorders>
                    <w:top w:val="single" w:color="auto" w:sz="4" w:space="0"/>
                    <w:bottom w:val="single" w:color="auto" w:sz="12" w:space="0"/>
                  </w:tcBorders>
                  <w:vAlign w:val="center"/>
                </w:tcPr>
                <w:p w14:paraId="55EE762B">
                  <w:pPr>
                    <w:pStyle w:val="477"/>
                    <w:spacing w:after="0"/>
                    <w:rPr>
                      <w:color w:val="auto"/>
                      <w:kern w:val="0"/>
                      <w:szCs w:val="21"/>
                    </w:rPr>
                  </w:pPr>
                  <w:r>
                    <w:rPr>
                      <w:rFonts w:hint="eastAsia"/>
                      <w:color w:val="auto"/>
                      <w:kern w:val="0"/>
                      <w:szCs w:val="21"/>
                    </w:rPr>
                    <w:t>900-099-S64</w:t>
                  </w:r>
                </w:p>
              </w:tc>
              <w:tc>
                <w:tcPr>
                  <w:tcW w:w="430" w:type="pct"/>
                  <w:tcBorders>
                    <w:top w:val="single" w:color="auto" w:sz="4" w:space="0"/>
                    <w:bottom w:val="single" w:color="auto" w:sz="12" w:space="0"/>
                  </w:tcBorders>
                  <w:vAlign w:val="center"/>
                </w:tcPr>
                <w:p w14:paraId="28F30EEC">
                  <w:pPr>
                    <w:spacing w:line="280" w:lineRule="exact"/>
                    <w:jc w:val="center"/>
                    <w:rPr>
                      <w:color w:val="auto"/>
                      <w:szCs w:val="21"/>
                    </w:rPr>
                  </w:pPr>
                  <w:r>
                    <w:rPr>
                      <w:rFonts w:hint="eastAsia"/>
                      <w:color w:val="auto"/>
                      <w:szCs w:val="21"/>
                    </w:rPr>
                    <w:t>27</w:t>
                  </w:r>
                </w:p>
              </w:tc>
              <w:tc>
                <w:tcPr>
                  <w:tcW w:w="304" w:type="pct"/>
                  <w:tcBorders>
                    <w:top w:val="single" w:color="auto" w:sz="4" w:space="0"/>
                    <w:bottom w:val="single" w:color="auto" w:sz="12" w:space="0"/>
                  </w:tcBorders>
                  <w:vAlign w:val="center"/>
                </w:tcPr>
                <w:p w14:paraId="4A6BBC89">
                  <w:pPr>
                    <w:spacing w:line="200" w:lineRule="atLeast"/>
                    <w:jc w:val="center"/>
                    <w:rPr>
                      <w:color w:val="auto"/>
                      <w:szCs w:val="21"/>
                    </w:rPr>
                  </w:pPr>
                  <w:r>
                    <w:rPr>
                      <w:color w:val="auto"/>
                      <w:szCs w:val="21"/>
                    </w:rPr>
                    <w:t>环卫清运</w:t>
                  </w:r>
                </w:p>
              </w:tc>
            </w:tr>
          </w:tbl>
          <w:p w14:paraId="0BB579C7">
            <w:pPr>
              <w:keepNext/>
              <w:adjustRightInd w:val="0"/>
              <w:snapToGrid w:val="0"/>
              <w:jc w:val="center"/>
              <w:rPr>
                <w:b/>
                <w:color w:val="auto"/>
                <w:szCs w:val="21"/>
              </w:rPr>
            </w:pPr>
            <w:r>
              <w:rPr>
                <w:b/>
                <w:color w:val="auto"/>
                <w:sz w:val="24"/>
              </w:rPr>
              <w:t>表4-2</w:t>
            </w:r>
            <w:r>
              <w:rPr>
                <w:rFonts w:hint="eastAsia"/>
                <w:b/>
                <w:color w:val="auto"/>
                <w:sz w:val="24"/>
              </w:rPr>
              <w:t>9</w:t>
            </w:r>
            <w:r>
              <w:rPr>
                <w:b/>
                <w:color w:val="auto"/>
                <w:sz w:val="24"/>
              </w:rPr>
              <w:t xml:space="preserve">  本项目危险废物汇总表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1"/>
              <w:gridCol w:w="1548"/>
              <w:gridCol w:w="849"/>
              <w:gridCol w:w="1172"/>
              <w:gridCol w:w="833"/>
              <w:gridCol w:w="1454"/>
              <w:gridCol w:w="604"/>
              <w:gridCol w:w="1507"/>
              <w:gridCol w:w="1507"/>
              <w:gridCol w:w="755"/>
              <w:gridCol w:w="901"/>
              <w:gridCol w:w="979"/>
            </w:tblGrid>
            <w:tr w14:paraId="4BC41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tcBorders>
                    <w:top w:val="single" w:color="auto" w:sz="12" w:space="0"/>
                    <w:bottom w:val="single" w:color="auto" w:sz="12" w:space="0"/>
                  </w:tcBorders>
                  <w:vAlign w:val="center"/>
                </w:tcPr>
                <w:p w14:paraId="3D47F02E">
                  <w:pPr>
                    <w:pStyle w:val="906"/>
                    <w:spacing w:line="240" w:lineRule="auto"/>
                    <w:rPr>
                      <w:rFonts w:cs="Times New Roman"/>
                      <w:b/>
                      <w:color w:val="auto"/>
                      <w:sz w:val="21"/>
                    </w:rPr>
                  </w:pPr>
                  <w:r>
                    <w:rPr>
                      <w:rFonts w:cs="Times New Roman"/>
                      <w:b/>
                      <w:color w:val="auto"/>
                      <w:sz w:val="21"/>
                    </w:rPr>
                    <w:t>序号</w:t>
                  </w:r>
                </w:p>
              </w:tc>
              <w:tc>
                <w:tcPr>
                  <w:tcW w:w="615" w:type="pct"/>
                  <w:tcBorders>
                    <w:top w:val="single" w:color="auto" w:sz="12" w:space="0"/>
                    <w:bottom w:val="single" w:color="auto" w:sz="12" w:space="0"/>
                  </w:tcBorders>
                  <w:vAlign w:val="center"/>
                </w:tcPr>
                <w:p w14:paraId="3DF498EB">
                  <w:pPr>
                    <w:pStyle w:val="906"/>
                    <w:spacing w:line="240" w:lineRule="auto"/>
                    <w:rPr>
                      <w:rFonts w:cs="Times New Roman"/>
                      <w:b/>
                      <w:color w:val="auto"/>
                      <w:sz w:val="21"/>
                    </w:rPr>
                  </w:pPr>
                  <w:r>
                    <w:rPr>
                      <w:rFonts w:cs="Times New Roman"/>
                      <w:b/>
                      <w:color w:val="auto"/>
                      <w:sz w:val="21"/>
                    </w:rPr>
                    <w:t>危险废物名称</w:t>
                  </w:r>
                </w:p>
              </w:tc>
              <w:tc>
                <w:tcPr>
                  <w:tcW w:w="337" w:type="pct"/>
                  <w:tcBorders>
                    <w:top w:val="single" w:color="auto" w:sz="12" w:space="0"/>
                    <w:bottom w:val="single" w:color="auto" w:sz="12" w:space="0"/>
                  </w:tcBorders>
                  <w:vAlign w:val="center"/>
                </w:tcPr>
                <w:p w14:paraId="214A3908">
                  <w:pPr>
                    <w:pStyle w:val="906"/>
                    <w:spacing w:line="240" w:lineRule="auto"/>
                    <w:rPr>
                      <w:rFonts w:cs="Times New Roman"/>
                      <w:b/>
                      <w:color w:val="auto"/>
                      <w:sz w:val="21"/>
                    </w:rPr>
                  </w:pPr>
                  <w:r>
                    <w:rPr>
                      <w:rFonts w:cs="Times New Roman"/>
                      <w:b/>
                      <w:color w:val="auto"/>
                      <w:sz w:val="21"/>
                    </w:rPr>
                    <w:t>危险废物类别</w:t>
                  </w:r>
                </w:p>
              </w:tc>
              <w:tc>
                <w:tcPr>
                  <w:tcW w:w="465" w:type="pct"/>
                  <w:tcBorders>
                    <w:top w:val="single" w:color="auto" w:sz="12" w:space="0"/>
                    <w:bottom w:val="single" w:color="auto" w:sz="12" w:space="0"/>
                  </w:tcBorders>
                  <w:vAlign w:val="center"/>
                </w:tcPr>
                <w:p w14:paraId="19D791F6">
                  <w:pPr>
                    <w:pStyle w:val="906"/>
                    <w:spacing w:line="240" w:lineRule="auto"/>
                    <w:rPr>
                      <w:rFonts w:cs="Times New Roman"/>
                      <w:b/>
                      <w:color w:val="auto"/>
                      <w:sz w:val="21"/>
                    </w:rPr>
                  </w:pPr>
                  <w:r>
                    <w:rPr>
                      <w:rFonts w:cs="Times New Roman"/>
                      <w:b/>
                      <w:color w:val="auto"/>
                      <w:sz w:val="21"/>
                    </w:rPr>
                    <w:t>危险废物代码</w:t>
                  </w:r>
                </w:p>
              </w:tc>
              <w:tc>
                <w:tcPr>
                  <w:tcW w:w="331" w:type="pct"/>
                  <w:tcBorders>
                    <w:top w:val="single" w:color="auto" w:sz="12" w:space="0"/>
                    <w:bottom w:val="single" w:color="auto" w:sz="12" w:space="0"/>
                  </w:tcBorders>
                  <w:vAlign w:val="center"/>
                </w:tcPr>
                <w:p w14:paraId="455C916F">
                  <w:pPr>
                    <w:pStyle w:val="906"/>
                    <w:spacing w:line="240" w:lineRule="auto"/>
                    <w:rPr>
                      <w:rFonts w:cs="Times New Roman"/>
                      <w:b/>
                      <w:color w:val="auto"/>
                      <w:sz w:val="21"/>
                    </w:rPr>
                  </w:pPr>
                  <w:r>
                    <w:rPr>
                      <w:rFonts w:cs="Times New Roman"/>
                      <w:b/>
                      <w:color w:val="auto"/>
                      <w:sz w:val="21"/>
                    </w:rPr>
                    <w:t>产生量</w:t>
                  </w:r>
                  <w:r>
                    <w:rPr>
                      <w:rFonts w:hint="eastAsia" w:cs="Times New Roman"/>
                      <w:b/>
                      <w:color w:val="auto"/>
                      <w:sz w:val="21"/>
                      <w:lang w:eastAsia="zh-CN"/>
                    </w:rPr>
                    <w:t>（</w:t>
                  </w:r>
                  <w:r>
                    <w:rPr>
                      <w:rFonts w:cs="Times New Roman"/>
                      <w:b/>
                      <w:color w:val="auto"/>
                      <w:sz w:val="21"/>
                    </w:rPr>
                    <w:t>t/a</w:t>
                  </w:r>
                  <w:r>
                    <w:rPr>
                      <w:rFonts w:hint="eastAsia" w:cs="Times New Roman"/>
                      <w:b/>
                      <w:color w:val="auto"/>
                      <w:sz w:val="21"/>
                      <w:lang w:eastAsia="zh-CN"/>
                    </w:rPr>
                    <w:t>）</w:t>
                  </w:r>
                </w:p>
              </w:tc>
              <w:tc>
                <w:tcPr>
                  <w:tcW w:w="577" w:type="pct"/>
                  <w:tcBorders>
                    <w:top w:val="single" w:color="auto" w:sz="12" w:space="0"/>
                    <w:bottom w:val="single" w:color="auto" w:sz="12" w:space="0"/>
                  </w:tcBorders>
                  <w:vAlign w:val="center"/>
                </w:tcPr>
                <w:p w14:paraId="4C35FA68">
                  <w:pPr>
                    <w:pStyle w:val="906"/>
                    <w:spacing w:line="240" w:lineRule="auto"/>
                    <w:rPr>
                      <w:rFonts w:cs="Times New Roman"/>
                      <w:b/>
                      <w:color w:val="auto"/>
                      <w:sz w:val="21"/>
                    </w:rPr>
                  </w:pPr>
                  <w:r>
                    <w:rPr>
                      <w:rFonts w:cs="Times New Roman"/>
                      <w:b/>
                      <w:color w:val="auto"/>
                      <w:sz w:val="21"/>
                    </w:rPr>
                    <w:t>产生工序及装置</w:t>
                  </w:r>
                </w:p>
              </w:tc>
              <w:tc>
                <w:tcPr>
                  <w:tcW w:w="240" w:type="pct"/>
                  <w:tcBorders>
                    <w:top w:val="single" w:color="auto" w:sz="12" w:space="0"/>
                    <w:bottom w:val="single" w:color="auto" w:sz="12" w:space="0"/>
                  </w:tcBorders>
                  <w:vAlign w:val="center"/>
                </w:tcPr>
                <w:p w14:paraId="59027DBD">
                  <w:pPr>
                    <w:pStyle w:val="906"/>
                    <w:spacing w:line="240" w:lineRule="auto"/>
                    <w:rPr>
                      <w:rFonts w:cs="Times New Roman"/>
                      <w:b/>
                      <w:color w:val="auto"/>
                      <w:sz w:val="21"/>
                    </w:rPr>
                  </w:pPr>
                  <w:r>
                    <w:rPr>
                      <w:rFonts w:cs="Times New Roman"/>
                      <w:b/>
                      <w:color w:val="auto"/>
                      <w:sz w:val="21"/>
                    </w:rPr>
                    <w:t>形态</w:t>
                  </w:r>
                </w:p>
              </w:tc>
              <w:tc>
                <w:tcPr>
                  <w:tcW w:w="598" w:type="pct"/>
                  <w:tcBorders>
                    <w:top w:val="single" w:color="auto" w:sz="12" w:space="0"/>
                    <w:bottom w:val="single" w:color="auto" w:sz="12" w:space="0"/>
                  </w:tcBorders>
                  <w:vAlign w:val="center"/>
                </w:tcPr>
                <w:p w14:paraId="760E10E1">
                  <w:pPr>
                    <w:pStyle w:val="906"/>
                    <w:spacing w:line="240" w:lineRule="auto"/>
                    <w:rPr>
                      <w:rFonts w:cs="Times New Roman"/>
                      <w:b/>
                      <w:color w:val="auto"/>
                      <w:sz w:val="21"/>
                    </w:rPr>
                  </w:pPr>
                  <w:r>
                    <w:rPr>
                      <w:rFonts w:cs="Times New Roman"/>
                      <w:b/>
                      <w:color w:val="auto"/>
                      <w:sz w:val="21"/>
                    </w:rPr>
                    <w:t>主要成分</w:t>
                  </w:r>
                </w:p>
              </w:tc>
              <w:tc>
                <w:tcPr>
                  <w:tcW w:w="598" w:type="pct"/>
                  <w:tcBorders>
                    <w:top w:val="single" w:color="auto" w:sz="12" w:space="0"/>
                    <w:bottom w:val="single" w:color="auto" w:sz="12" w:space="0"/>
                  </w:tcBorders>
                  <w:vAlign w:val="center"/>
                </w:tcPr>
                <w:p w14:paraId="37061F28">
                  <w:pPr>
                    <w:pStyle w:val="906"/>
                    <w:spacing w:line="240" w:lineRule="auto"/>
                    <w:rPr>
                      <w:rFonts w:cs="Times New Roman"/>
                      <w:b/>
                      <w:color w:val="auto"/>
                      <w:sz w:val="21"/>
                    </w:rPr>
                  </w:pPr>
                  <w:r>
                    <w:rPr>
                      <w:rFonts w:cs="Times New Roman"/>
                      <w:b/>
                      <w:color w:val="auto"/>
                      <w:sz w:val="21"/>
                    </w:rPr>
                    <w:t>有害成分</w:t>
                  </w:r>
                </w:p>
              </w:tc>
              <w:tc>
                <w:tcPr>
                  <w:tcW w:w="300" w:type="pct"/>
                  <w:tcBorders>
                    <w:top w:val="single" w:color="auto" w:sz="12" w:space="0"/>
                    <w:bottom w:val="single" w:color="auto" w:sz="12" w:space="0"/>
                  </w:tcBorders>
                  <w:vAlign w:val="center"/>
                </w:tcPr>
                <w:p w14:paraId="7EA666BC">
                  <w:pPr>
                    <w:pStyle w:val="906"/>
                    <w:spacing w:line="240" w:lineRule="auto"/>
                    <w:rPr>
                      <w:rFonts w:cs="Times New Roman"/>
                      <w:b/>
                      <w:color w:val="auto"/>
                      <w:sz w:val="21"/>
                    </w:rPr>
                  </w:pPr>
                  <w:r>
                    <w:rPr>
                      <w:rFonts w:cs="Times New Roman"/>
                      <w:b/>
                      <w:color w:val="auto"/>
                      <w:sz w:val="21"/>
                    </w:rPr>
                    <w:t>产废</w:t>
                  </w:r>
                </w:p>
                <w:p w14:paraId="64FD4D42">
                  <w:pPr>
                    <w:pStyle w:val="906"/>
                    <w:spacing w:line="240" w:lineRule="auto"/>
                    <w:rPr>
                      <w:rFonts w:cs="Times New Roman"/>
                      <w:b/>
                      <w:color w:val="auto"/>
                      <w:sz w:val="21"/>
                    </w:rPr>
                  </w:pPr>
                  <w:r>
                    <w:rPr>
                      <w:rFonts w:cs="Times New Roman"/>
                      <w:b/>
                      <w:color w:val="auto"/>
                      <w:sz w:val="21"/>
                    </w:rPr>
                    <w:t>周期</w:t>
                  </w:r>
                </w:p>
              </w:tc>
              <w:tc>
                <w:tcPr>
                  <w:tcW w:w="358" w:type="pct"/>
                  <w:tcBorders>
                    <w:top w:val="single" w:color="auto" w:sz="12" w:space="0"/>
                    <w:bottom w:val="single" w:color="auto" w:sz="12" w:space="0"/>
                  </w:tcBorders>
                  <w:vAlign w:val="center"/>
                </w:tcPr>
                <w:p w14:paraId="7DD44A32">
                  <w:pPr>
                    <w:pStyle w:val="906"/>
                    <w:spacing w:line="240" w:lineRule="auto"/>
                    <w:rPr>
                      <w:rFonts w:cs="Times New Roman"/>
                      <w:b/>
                      <w:color w:val="auto"/>
                      <w:sz w:val="21"/>
                    </w:rPr>
                  </w:pPr>
                  <w:r>
                    <w:rPr>
                      <w:rFonts w:cs="Times New Roman"/>
                      <w:b/>
                      <w:color w:val="auto"/>
                      <w:sz w:val="21"/>
                    </w:rPr>
                    <w:t>危险特性</w:t>
                  </w:r>
                </w:p>
              </w:tc>
              <w:tc>
                <w:tcPr>
                  <w:tcW w:w="389" w:type="pct"/>
                  <w:tcBorders>
                    <w:top w:val="single" w:color="auto" w:sz="12" w:space="0"/>
                    <w:bottom w:val="single" w:color="auto" w:sz="12" w:space="0"/>
                  </w:tcBorders>
                  <w:vAlign w:val="center"/>
                </w:tcPr>
                <w:p w14:paraId="37468CA8">
                  <w:pPr>
                    <w:pStyle w:val="906"/>
                    <w:spacing w:line="240" w:lineRule="auto"/>
                    <w:rPr>
                      <w:rFonts w:cs="Times New Roman"/>
                      <w:b/>
                      <w:color w:val="auto"/>
                      <w:sz w:val="21"/>
                    </w:rPr>
                  </w:pPr>
                  <w:r>
                    <w:rPr>
                      <w:rFonts w:cs="Times New Roman"/>
                      <w:b/>
                      <w:color w:val="auto"/>
                      <w:sz w:val="21"/>
                    </w:rPr>
                    <w:t>污染防治措施</w:t>
                  </w:r>
                </w:p>
              </w:tc>
            </w:tr>
            <w:tr w14:paraId="566D6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292D2F6">
                  <w:pPr>
                    <w:spacing w:line="200" w:lineRule="atLeast"/>
                    <w:jc w:val="center"/>
                    <w:rPr>
                      <w:color w:val="auto"/>
                      <w:szCs w:val="21"/>
                    </w:rPr>
                  </w:pPr>
                  <w:r>
                    <w:rPr>
                      <w:color w:val="auto"/>
                      <w:szCs w:val="21"/>
                    </w:rPr>
                    <w:t>1</w:t>
                  </w:r>
                </w:p>
              </w:tc>
              <w:tc>
                <w:tcPr>
                  <w:tcW w:w="615" w:type="pct"/>
                  <w:vAlign w:val="center"/>
                </w:tcPr>
                <w:p w14:paraId="480008CF">
                  <w:pPr>
                    <w:spacing w:line="200" w:lineRule="atLeast"/>
                    <w:jc w:val="center"/>
                    <w:rPr>
                      <w:color w:val="auto"/>
                      <w:szCs w:val="21"/>
                    </w:rPr>
                  </w:pPr>
                  <w:r>
                    <w:rPr>
                      <w:color w:val="auto"/>
                      <w:szCs w:val="21"/>
                    </w:rPr>
                    <w:t>废活性炭</w:t>
                  </w:r>
                </w:p>
              </w:tc>
              <w:tc>
                <w:tcPr>
                  <w:tcW w:w="337" w:type="pct"/>
                  <w:vAlign w:val="center"/>
                </w:tcPr>
                <w:p w14:paraId="0DCB33E2">
                  <w:pPr>
                    <w:spacing w:line="200" w:lineRule="atLeast"/>
                    <w:jc w:val="center"/>
                    <w:rPr>
                      <w:color w:val="auto"/>
                      <w:szCs w:val="21"/>
                      <w:lang w:val="zh-CN"/>
                    </w:rPr>
                  </w:pPr>
                  <w:r>
                    <w:rPr>
                      <w:color w:val="auto"/>
                      <w:szCs w:val="21"/>
                    </w:rPr>
                    <w:t>HW49</w:t>
                  </w:r>
                </w:p>
              </w:tc>
              <w:tc>
                <w:tcPr>
                  <w:tcW w:w="465" w:type="pct"/>
                  <w:vAlign w:val="center"/>
                </w:tcPr>
                <w:p w14:paraId="22CB47FF">
                  <w:pPr>
                    <w:spacing w:line="200" w:lineRule="atLeast"/>
                    <w:jc w:val="center"/>
                    <w:rPr>
                      <w:color w:val="auto"/>
                      <w:szCs w:val="21"/>
                      <w:lang w:val="zh-CN"/>
                    </w:rPr>
                  </w:pPr>
                  <w:r>
                    <w:rPr>
                      <w:color w:val="auto"/>
                      <w:szCs w:val="21"/>
                    </w:rPr>
                    <w:t>900-039-49</w:t>
                  </w:r>
                </w:p>
              </w:tc>
              <w:tc>
                <w:tcPr>
                  <w:tcW w:w="331" w:type="pct"/>
                  <w:vAlign w:val="center"/>
                </w:tcPr>
                <w:p w14:paraId="1880E98C">
                  <w:pPr>
                    <w:spacing w:line="200" w:lineRule="atLeast"/>
                    <w:jc w:val="center"/>
                    <w:rPr>
                      <w:rFonts w:hint="eastAsia" w:eastAsia="宋体"/>
                      <w:color w:val="auto"/>
                      <w:szCs w:val="21"/>
                      <w:lang w:eastAsia="zh-CN"/>
                    </w:rPr>
                  </w:pPr>
                  <w:r>
                    <w:rPr>
                      <w:rFonts w:hint="eastAsia"/>
                      <w:color w:val="auto"/>
                      <w:lang w:eastAsia="zh-CN"/>
                    </w:rPr>
                    <w:t>28.90703</w:t>
                  </w:r>
                </w:p>
              </w:tc>
              <w:tc>
                <w:tcPr>
                  <w:tcW w:w="577" w:type="pct"/>
                  <w:vAlign w:val="center"/>
                </w:tcPr>
                <w:p w14:paraId="31687325">
                  <w:pPr>
                    <w:spacing w:line="200" w:lineRule="atLeast"/>
                    <w:jc w:val="center"/>
                    <w:rPr>
                      <w:color w:val="auto"/>
                      <w:szCs w:val="21"/>
                      <w:lang w:val="zh-CN"/>
                    </w:rPr>
                  </w:pPr>
                  <w:r>
                    <w:rPr>
                      <w:color w:val="auto"/>
                      <w:szCs w:val="21"/>
                    </w:rPr>
                    <w:t>废气处理</w:t>
                  </w:r>
                </w:p>
              </w:tc>
              <w:tc>
                <w:tcPr>
                  <w:tcW w:w="240" w:type="pct"/>
                  <w:vAlign w:val="center"/>
                </w:tcPr>
                <w:p w14:paraId="7898EA80">
                  <w:pPr>
                    <w:spacing w:line="200" w:lineRule="atLeast"/>
                    <w:jc w:val="center"/>
                    <w:rPr>
                      <w:color w:val="auto"/>
                      <w:szCs w:val="21"/>
                    </w:rPr>
                  </w:pPr>
                  <w:r>
                    <w:rPr>
                      <w:color w:val="auto"/>
                      <w:szCs w:val="21"/>
                    </w:rPr>
                    <w:t>固态</w:t>
                  </w:r>
                </w:p>
              </w:tc>
              <w:tc>
                <w:tcPr>
                  <w:tcW w:w="598" w:type="pct"/>
                  <w:vAlign w:val="center"/>
                </w:tcPr>
                <w:p w14:paraId="6F164BF0">
                  <w:pPr>
                    <w:spacing w:line="200" w:lineRule="atLeast"/>
                    <w:jc w:val="center"/>
                    <w:rPr>
                      <w:color w:val="auto"/>
                      <w:szCs w:val="21"/>
                    </w:rPr>
                  </w:pPr>
                  <w:r>
                    <w:rPr>
                      <w:color w:val="auto"/>
                      <w:szCs w:val="21"/>
                    </w:rPr>
                    <w:t>活性炭、有机废气</w:t>
                  </w:r>
                </w:p>
              </w:tc>
              <w:tc>
                <w:tcPr>
                  <w:tcW w:w="598" w:type="pct"/>
                  <w:vAlign w:val="center"/>
                </w:tcPr>
                <w:p w14:paraId="0ADA12CE">
                  <w:pPr>
                    <w:spacing w:line="200" w:lineRule="atLeast"/>
                    <w:jc w:val="center"/>
                    <w:rPr>
                      <w:color w:val="auto"/>
                      <w:szCs w:val="21"/>
                    </w:rPr>
                  </w:pPr>
                  <w:r>
                    <w:rPr>
                      <w:color w:val="auto"/>
                      <w:szCs w:val="21"/>
                    </w:rPr>
                    <w:t>有机物</w:t>
                  </w:r>
                </w:p>
              </w:tc>
              <w:tc>
                <w:tcPr>
                  <w:tcW w:w="300" w:type="pct"/>
                  <w:vAlign w:val="center"/>
                </w:tcPr>
                <w:p w14:paraId="05EE798D">
                  <w:pPr>
                    <w:spacing w:line="200" w:lineRule="atLeast"/>
                    <w:jc w:val="center"/>
                    <w:rPr>
                      <w:color w:val="auto"/>
                      <w:szCs w:val="21"/>
                    </w:rPr>
                  </w:pPr>
                  <w:r>
                    <w:rPr>
                      <w:rFonts w:hint="eastAsia"/>
                      <w:color w:val="auto"/>
                      <w:szCs w:val="21"/>
                    </w:rPr>
                    <w:t>8</w:t>
                  </w:r>
                  <w:r>
                    <w:rPr>
                      <w:rFonts w:hint="eastAsia"/>
                      <w:color w:val="auto"/>
                      <w:szCs w:val="21"/>
                      <w:lang w:val="en-US" w:eastAsia="zh-CN"/>
                    </w:rPr>
                    <w:t>0</w:t>
                  </w:r>
                  <w:r>
                    <w:rPr>
                      <w:rFonts w:hint="eastAsia"/>
                      <w:color w:val="auto"/>
                      <w:szCs w:val="21"/>
                    </w:rPr>
                    <w:t>天</w:t>
                  </w:r>
                </w:p>
              </w:tc>
              <w:tc>
                <w:tcPr>
                  <w:tcW w:w="358" w:type="pct"/>
                  <w:vAlign w:val="center"/>
                </w:tcPr>
                <w:p w14:paraId="128F45B6">
                  <w:pPr>
                    <w:spacing w:line="200" w:lineRule="atLeast"/>
                    <w:jc w:val="center"/>
                    <w:rPr>
                      <w:color w:val="auto"/>
                      <w:kern w:val="0"/>
                      <w:szCs w:val="21"/>
                      <w:lang w:val="zh-CN"/>
                    </w:rPr>
                  </w:pPr>
                  <w:r>
                    <w:rPr>
                      <w:color w:val="auto"/>
                      <w:szCs w:val="21"/>
                    </w:rPr>
                    <w:t>T</w:t>
                  </w:r>
                </w:p>
              </w:tc>
              <w:tc>
                <w:tcPr>
                  <w:tcW w:w="389" w:type="pct"/>
                  <w:vAlign w:val="center"/>
                </w:tcPr>
                <w:p w14:paraId="642DF5BE">
                  <w:pPr>
                    <w:pStyle w:val="906"/>
                    <w:spacing w:line="240" w:lineRule="auto"/>
                    <w:rPr>
                      <w:rFonts w:cs="Times New Roman"/>
                      <w:color w:val="auto"/>
                      <w:sz w:val="21"/>
                    </w:rPr>
                  </w:pPr>
                  <w:r>
                    <w:rPr>
                      <w:rFonts w:cs="Times New Roman"/>
                      <w:color w:val="auto"/>
                      <w:sz w:val="21"/>
                    </w:rPr>
                    <w:t>资质单位处置</w:t>
                  </w:r>
                </w:p>
              </w:tc>
            </w:tr>
            <w:tr w14:paraId="48BDD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233B43CF">
                  <w:pPr>
                    <w:spacing w:line="200" w:lineRule="atLeast"/>
                    <w:jc w:val="center"/>
                    <w:rPr>
                      <w:color w:val="auto"/>
                      <w:szCs w:val="21"/>
                    </w:rPr>
                  </w:pPr>
                  <w:r>
                    <w:rPr>
                      <w:rFonts w:hint="eastAsia"/>
                      <w:color w:val="auto"/>
                      <w:szCs w:val="21"/>
                    </w:rPr>
                    <w:t>2</w:t>
                  </w:r>
                </w:p>
              </w:tc>
              <w:tc>
                <w:tcPr>
                  <w:tcW w:w="615" w:type="pct"/>
                  <w:vAlign w:val="center"/>
                </w:tcPr>
                <w:p w14:paraId="7C51310C">
                  <w:pPr>
                    <w:spacing w:line="200" w:lineRule="atLeast"/>
                    <w:jc w:val="center"/>
                    <w:rPr>
                      <w:color w:val="auto"/>
                      <w:szCs w:val="21"/>
                    </w:rPr>
                  </w:pPr>
                  <w:r>
                    <w:rPr>
                      <w:rFonts w:hint="eastAsia"/>
                      <w:color w:val="auto"/>
                      <w:szCs w:val="21"/>
                    </w:rPr>
                    <w:t>废液压油</w:t>
                  </w:r>
                </w:p>
              </w:tc>
              <w:tc>
                <w:tcPr>
                  <w:tcW w:w="337" w:type="pct"/>
                  <w:vAlign w:val="center"/>
                </w:tcPr>
                <w:p w14:paraId="535B13EE">
                  <w:pPr>
                    <w:spacing w:line="200" w:lineRule="atLeast"/>
                    <w:jc w:val="center"/>
                    <w:rPr>
                      <w:color w:val="auto"/>
                      <w:szCs w:val="21"/>
                      <w:lang w:val="zh-CN"/>
                    </w:rPr>
                  </w:pPr>
                  <w:r>
                    <w:rPr>
                      <w:rFonts w:hint="eastAsia"/>
                      <w:color w:val="auto"/>
                      <w:szCs w:val="21"/>
                    </w:rPr>
                    <w:t>HW08</w:t>
                  </w:r>
                </w:p>
              </w:tc>
              <w:tc>
                <w:tcPr>
                  <w:tcW w:w="465" w:type="pct"/>
                  <w:vAlign w:val="center"/>
                </w:tcPr>
                <w:p w14:paraId="49CD9891">
                  <w:pPr>
                    <w:spacing w:line="200" w:lineRule="atLeast"/>
                    <w:jc w:val="center"/>
                    <w:rPr>
                      <w:color w:val="auto"/>
                      <w:szCs w:val="21"/>
                      <w:lang w:val="zh-CN"/>
                    </w:rPr>
                  </w:pPr>
                  <w:r>
                    <w:rPr>
                      <w:rFonts w:hint="eastAsia"/>
                      <w:color w:val="auto"/>
                      <w:szCs w:val="21"/>
                    </w:rPr>
                    <w:t>900-218-08</w:t>
                  </w:r>
                </w:p>
              </w:tc>
              <w:tc>
                <w:tcPr>
                  <w:tcW w:w="331" w:type="pct"/>
                  <w:vAlign w:val="center"/>
                </w:tcPr>
                <w:p w14:paraId="68EC7720">
                  <w:pPr>
                    <w:spacing w:line="200" w:lineRule="atLeast"/>
                    <w:jc w:val="center"/>
                    <w:rPr>
                      <w:color w:val="auto"/>
                      <w:szCs w:val="21"/>
                    </w:rPr>
                  </w:pPr>
                  <w:r>
                    <w:rPr>
                      <w:rFonts w:hint="eastAsia"/>
                      <w:color w:val="auto"/>
                      <w:szCs w:val="21"/>
                    </w:rPr>
                    <w:t>0.08</w:t>
                  </w:r>
                </w:p>
              </w:tc>
              <w:tc>
                <w:tcPr>
                  <w:tcW w:w="577" w:type="pct"/>
                  <w:vAlign w:val="center"/>
                </w:tcPr>
                <w:p w14:paraId="376FBAC6">
                  <w:pPr>
                    <w:spacing w:line="200" w:lineRule="atLeast"/>
                    <w:jc w:val="center"/>
                    <w:rPr>
                      <w:color w:val="auto"/>
                      <w:szCs w:val="21"/>
                    </w:rPr>
                  </w:pPr>
                  <w:r>
                    <w:rPr>
                      <w:rFonts w:hint="eastAsia"/>
                      <w:color w:val="auto"/>
                      <w:szCs w:val="21"/>
                    </w:rPr>
                    <w:t>机修</w:t>
                  </w:r>
                </w:p>
              </w:tc>
              <w:tc>
                <w:tcPr>
                  <w:tcW w:w="240" w:type="pct"/>
                  <w:vAlign w:val="center"/>
                </w:tcPr>
                <w:p w14:paraId="7783D5B7">
                  <w:pPr>
                    <w:spacing w:line="200" w:lineRule="atLeast"/>
                    <w:jc w:val="center"/>
                    <w:rPr>
                      <w:color w:val="auto"/>
                      <w:szCs w:val="21"/>
                    </w:rPr>
                  </w:pPr>
                  <w:r>
                    <w:rPr>
                      <w:rFonts w:hint="eastAsia"/>
                      <w:color w:val="auto"/>
                      <w:szCs w:val="21"/>
                    </w:rPr>
                    <w:t>液态</w:t>
                  </w:r>
                </w:p>
              </w:tc>
              <w:tc>
                <w:tcPr>
                  <w:tcW w:w="598" w:type="pct"/>
                  <w:vAlign w:val="center"/>
                </w:tcPr>
                <w:p w14:paraId="779E5A37">
                  <w:pPr>
                    <w:spacing w:line="200" w:lineRule="atLeast"/>
                    <w:jc w:val="center"/>
                    <w:rPr>
                      <w:color w:val="auto"/>
                      <w:szCs w:val="21"/>
                    </w:rPr>
                  </w:pPr>
                  <w:r>
                    <w:rPr>
                      <w:rFonts w:hint="eastAsia"/>
                      <w:color w:val="auto"/>
                      <w:szCs w:val="21"/>
                    </w:rPr>
                    <w:t>废液压油</w:t>
                  </w:r>
                </w:p>
              </w:tc>
              <w:tc>
                <w:tcPr>
                  <w:tcW w:w="598" w:type="pct"/>
                  <w:vAlign w:val="center"/>
                </w:tcPr>
                <w:p w14:paraId="19814DF2">
                  <w:pPr>
                    <w:spacing w:line="200" w:lineRule="atLeast"/>
                    <w:jc w:val="center"/>
                    <w:rPr>
                      <w:color w:val="auto"/>
                      <w:szCs w:val="21"/>
                    </w:rPr>
                  </w:pPr>
                  <w:r>
                    <w:rPr>
                      <w:rFonts w:hint="eastAsia"/>
                      <w:color w:val="auto"/>
                      <w:szCs w:val="21"/>
                    </w:rPr>
                    <w:t>矿物油</w:t>
                  </w:r>
                </w:p>
              </w:tc>
              <w:tc>
                <w:tcPr>
                  <w:tcW w:w="300" w:type="pct"/>
                  <w:vAlign w:val="center"/>
                </w:tcPr>
                <w:p w14:paraId="44A9E9A8">
                  <w:pPr>
                    <w:spacing w:line="200" w:lineRule="atLeast"/>
                    <w:jc w:val="center"/>
                    <w:rPr>
                      <w:color w:val="auto"/>
                      <w:szCs w:val="21"/>
                    </w:rPr>
                  </w:pPr>
                  <w:r>
                    <w:rPr>
                      <w:rFonts w:hint="eastAsia"/>
                      <w:color w:val="auto"/>
                      <w:szCs w:val="21"/>
                    </w:rPr>
                    <w:t>365天</w:t>
                  </w:r>
                </w:p>
              </w:tc>
              <w:tc>
                <w:tcPr>
                  <w:tcW w:w="358" w:type="pct"/>
                  <w:vAlign w:val="center"/>
                </w:tcPr>
                <w:p w14:paraId="7E1B5EBE">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2A5D6380">
                  <w:pPr>
                    <w:pStyle w:val="906"/>
                    <w:spacing w:line="240" w:lineRule="auto"/>
                    <w:rPr>
                      <w:rFonts w:cs="Times New Roman"/>
                      <w:color w:val="auto"/>
                      <w:sz w:val="21"/>
                    </w:rPr>
                  </w:pPr>
                  <w:r>
                    <w:rPr>
                      <w:rFonts w:cs="Times New Roman"/>
                      <w:color w:val="auto"/>
                      <w:sz w:val="21"/>
                    </w:rPr>
                    <w:t>资质单位处置</w:t>
                  </w:r>
                </w:p>
              </w:tc>
            </w:tr>
            <w:tr w14:paraId="70616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5B101732">
                  <w:pPr>
                    <w:spacing w:line="200" w:lineRule="atLeast"/>
                    <w:jc w:val="center"/>
                    <w:rPr>
                      <w:color w:val="auto"/>
                      <w:szCs w:val="21"/>
                    </w:rPr>
                  </w:pPr>
                  <w:r>
                    <w:rPr>
                      <w:rFonts w:hint="eastAsia"/>
                      <w:color w:val="auto"/>
                      <w:szCs w:val="21"/>
                    </w:rPr>
                    <w:t>3</w:t>
                  </w:r>
                </w:p>
              </w:tc>
              <w:tc>
                <w:tcPr>
                  <w:tcW w:w="615" w:type="pct"/>
                  <w:vAlign w:val="center"/>
                </w:tcPr>
                <w:p w14:paraId="75D06B25">
                  <w:pPr>
                    <w:spacing w:line="200" w:lineRule="atLeast"/>
                    <w:jc w:val="center"/>
                    <w:rPr>
                      <w:color w:val="auto"/>
                      <w:szCs w:val="21"/>
                    </w:rPr>
                  </w:pPr>
                  <w:r>
                    <w:rPr>
                      <w:rFonts w:hint="eastAsia"/>
                      <w:color w:val="auto"/>
                      <w:szCs w:val="21"/>
                    </w:rPr>
                    <w:t>废胶桶、废胶瓶</w:t>
                  </w:r>
                </w:p>
              </w:tc>
              <w:tc>
                <w:tcPr>
                  <w:tcW w:w="337" w:type="pct"/>
                  <w:vAlign w:val="center"/>
                </w:tcPr>
                <w:p w14:paraId="0A986CD5">
                  <w:pPr>
                    <w:pStyle w:val="477"/>
                    <w:spacing w:after="0"/>
                    <w:rPr>
                      <w:color w:val="auto"/>
                      <w:szCs w:val="21"/>
                    </w:rPr>
                  </w:pPr>
                  <w:r>
                    <w:rPr>
                      <w:color w:val="auto"/>
                      <w:kern w:val="0"/>
                      <w:szCs w:val="21"/>
                      <w:lang w:val="zh-CN"/>
                    </w:rPr>
                    <w:t>HW</w:t>
                  </w:r>
                  <w:r>
                    <w:rPr>
                      <w:rFonts w:hint="eastAsia"/>
                      <w:color w:val="auto"/>
                      <w:kern w:val="0"/>
                      <w:szCs w:val="21"/>
                    </w:rPr>
                    <w:t>49</w:t>
                  </w:r>
                </w:p>
              </w:tc>
              <w:tc>
                <w:tcPr>
                  <w:tcW w:w="465" w:type="pct"/>
                  <w:vAlign w:val="center"/>
                </w:tcPr>
                <w:p w14:paraId="67C21773">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331" w:type="pct"/>
                  <w:vAlign w:val="center"/>
                </w:tcPr>
                <w:p w14:paraId="68E36B62">
                  <w:pPr>
                    <w:pStyle w:val="477"/>
                    <w:spacing w:after="0"/>
                    <w:rPr>
                      <w:color w:val="auto"/>
                      <w:szCs w:val="21"/>
                    </w:rPr>
                  </w:pPr>
                  <w:r>
                    <w:rPr>
                      <w:rFonts w:hint="eastAsia"/>
                      <w:color w:val="auto"/>
                      <w:szCs w:val="21"/>
                    </w:rPr>
                    <w:t>1.28325</w:t>
                  </w:r>
                </w:p>
              </w:tc>
              <w:tc>
                <w:tcPr>
                  <w:tcW w:w="577" w:type="pct"/>
                  <w:vAlign w:val="center"/>
                </w:tcPr>
                <w:p w14:paraId="48B1EB7E">
                  <w:pPr>
                    <w:spacing w:line="200" w:lineRule="atLeast"/>
                    <w:jc w:val="center"/>
                    <w:rPr>
                      <w:color w:val="auto"/>
                      <w:szCs w:val="21"/>
                    </w:rPr>
                  </w:pPr>
                  <w:r>
                    <w:rPr>
                      <w:rFonts w:hint="eastAsia"/>
                      <w:color w:val="auto"/>
                      <w:szCs w:val="21"/>
                    </w:rPr>
                    <w:t>用胶</w:t>
                  </w:r>
                </w:p>
              </w:tc>
              <w:tc>
                <w:tcPr>
                  <w:tcW w:w="240" w:type="pct"/>
                  <w:vAlign w:val="center"/>
                </w:tcPr>
                <w:p w14:paraId="4720A00E">
                  <w:pPr>
                    <w:spacing w:line="200" w:lineRule="atLeast"/>
                    <w:jc w:val="center"/>
                    <w:rPr>
                      <w:color w:val="auto"/>
                      <w:szCs w:val="21"/>
                    </w:rPr>
                  </w:pPr>
                  <w:r>
                    <w:rPr>
                      <w:color w:val="auto"/>
                      <w:szCs w:val="21"/>
                    </w:rPr>
                    <w:t>固</w:t>
                  </w:r>
                  <w:r>
                    <w:rPr>
                      <w:rFonts w:hint="eastAsia"/>
                      <w:color w:val="auto"/>
                      <w:szCs w:val="21"/>
                    </w:rPr>
                    <w:t>态</w:t>
                  </w:r>
                </w:p>
              </w:tc>
              <w:tc>
                <w:tcPr>
                  <w:tcW w:w="598" w:type="pct"/>
                  <w:vAlign w:val="center"/>
                </w:tcPr>
                <w:p w14:paraId="1229B969">
                  <w:pPr>
                    <w:spacing w:line="200" w:lineRule="atLeast"/>
                    <w:jc w:val="center"/>
                    <w:rPr>
                      <w:color w:val="auto"/>
                      <w:szCs w:val="21"/>
                    </w:rPr>
                  </w:pPr>
                  <w:r>
                    <w:rPr>
                      <w:rFonts w:hint="eastAsia"/>
                      <w:color w:val="auto"/>
                      <w:szCs w:val="21"/>
                    </w:rPr>
                    <w:t>胶、包装桶</w:t>
                  </w:r>
                </w:p>
              </w:tc>
              <w:tc>
                <w:tcPr>
                  <w:tcW w:w="598" w:type="pct"/>
                  <w:vAlign w:val="center"/>
                </w:tcPr>
                <w:p w14:paraId="697104B5">
                  <w:pPr>
                    <w:spacing w:line="200" w:lineRule="atLeast"/>
                    <w:jc w:val="center"/>
                    <w:rPr>
                      <w:color w:val="auto"/>
                      <w:szCs w:val="21"/>
                    </w:rPr>
                  </w:pPr>
                  <w:r>
                    <w:rPr>
                      <w:rFonts w:hint="eastAsia"/>
                      <w:color w:val="auto"/>
                      <w:szCs w:val="21"/>
                    </w:rPr>
                    <w:t>残留物</w:t>
                  </w:r>
                </w:p>
              </w:tc>
              <w:tc>
                <w:tcPr>
                  <w:tcW w:w="300" w:type="pct"/>
                  <w:vAlign w:val="center"/>
                </w:tcPr>
                <w:p w14:paraId="54C7C4B6">
                  <w:pPr>
                    <w:spacing w:line="200" w:lineRule="atLeast"/>
                    <w:jc w:val="center"/>
                    <w:rPr>
                      <w:color w:val="auto"/>
                      <w:szCs w:val="21"/>
                    </w:rPr>
                  </w:pPr>
                  <w:r>
                    <w:rPr>
                      <w:rFonts w:hint="eastAsia"/>
                      <w:color w:val="auto"/>
                      <w:szCs w:val="21"/>
                    </w:rPr>
                    <w:t>365天</w:t>
                  </w:r>
                </w:p>
              </w:tc>
              <w:tc>
                <w:tcPr>
                  <w:tcW w:w="358" w:type="pct"/>
                  <w:vAlign w:val="center"/>
                </w:tcPr>
                <w:p w14:paraId="150835EE">
                  <w:pPr>
                    <w:spacing w:line="200" w:lineRule="atLeast"/>
                    <w:jc w:val="center"/>
                    <w:rPr>
                      <w:color w:val="auto"/>
                      <w:kern w:val="0"/>
                      <w:szCs w:val="21"/>
                      <w:lang w:val="zh-CN"/>
                    </w:rPr>
                  </w:pPr>
                  <w:r>
                    <w:rPr>
                      <w:rFonts w:hint="eastAsia"/>
                      <w:color w:val="auto"/>
                      <w:kern w:val="0"/>
                      <w:szCs w:val="21"/>
                      <w:lang w:val="zh-CN"/>
                    </w:rPr>
                    <w:t>T/In</w:t>
                  </w:r>
                </w:p>
              </w:tc>
              <w:tc>
                <w:tcPr>
                  <w:tcW w:w="389" w:type="pct"/>
                  <w:vAlign w:val="center"/>
                </w:tcPr>
                <w:p w14:paraId="43E774D9">
                  <w:pPr>
                    <w:pStyle w:val="906"/>
                    <w:spacing w:line="240" w:lineRule="auto"/>
                    <w:rPr>
                      <w:rFonts w:cs="Times New Roman"/>
                      <w:color w:val="auto"/>
                      <w:sz w:val="21"/>
                    </w:rPr>
                  </w:pPr>
                  <w:r>
                    <w:rPr>
                      <w:rFonts w:cs="Times New Roman"/>
                      <w:color w:val="auto"/>
                      <w:sz w:val="21"/>
                    </w:rPr>
                    <w:t>资质单位处置</w:t>
                  </w:r>
                </w:p>
              </w:tc>
            </w:tr>
            <w:tr w14:paraId="050FB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4" w:hRule="atLeast"/>
              </w:trPr>
              <w:tc>
                <w:tcPr>
                  <w:tcW w:w="187" w:type="pct"/>
                  <w:vAlign w:val="center"/>
                </w:tcPr>
                <w:p w14:paraId="5472716C">
                  <w:pPr>
                    <w:spacing w:line="200" w:lineRule="atLeast"/>
                    <w:jc w:val="center"/>
                    <w:rPr>
                      <w:color w:val="auto"/>
                      <w:szCs w:val="21"/>
                    </w:rPr>
                  </w:pPr>
                  <w:r>
                    <w:rPr>
                      <w:rFonts w:hint="eastAsia"/>
                      <w:color w:val="auto"/>
                      <w:szCs w:val="21"/>
                    </w:rPr>
                    <w:t>4</w:t>
                  </w:r>
                </w:p>
              </w:tc>
              <w:tc>
                <w:tcPr>
                  <w:tcW w:w="615" w:type="pct"/>
                  <w:vAlign w:val="center"/>
                </w:tcPr>
                <w:p w14:paraId="13B5183B">
                  <w:pPr>
                    <w:spacing w:line="200" w:lineRule="atLeast"/>
                    <w:jc w:val="center"/>
                    <w:rPr>
                      <w:color w:val="auto"/>
                      <w:szCs w:val="21"/>
                    </w:rPr>
                  </w:pPr>
                  <w:r>
                    <w:rPr>
                      <w:rFonts w:hint="eastAsia"/>
                      <w:color w:val="auto"/>
                      <w:szCs w:val="21"/>
                    </w:rPr>
                    <w:t>废灰桶、废漆桶</w:t>
                  </w:r>
                </w:p>
              </w:tc>
              <w:tc>
                <w:tcPr>
                  <w:tcW w:w="337" w:type="pct"/>
                  <w:vAlign w:val="center"/>
                </w:tcPr>
                <w:p w14:paraId="3910E868">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465" w:type="pct"/>
                  <w:vAlign w:val="center"/>
                </w:tcPr>
                <w:p w14:paraId="2E6ED394">
                  <w:pPr>
                    <w:pStyle w:val="477"/>
                    <w:spacing w:after="0"/>
                    <w:rPr>
                      <w:color w:val="auto"/>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331" w:type="pct"/>
                  <w:vAlign w:val="center"/>
                </w:tcPr>
                <w:p w14:paraId="60566873">
                  <w:pPr>
                    <w:pStyle w:val="477"/>
                    <w:spacing w:after="0"/>
                    <w:rPr>
                      <w:color w:val="auto"/>
                      <w:szCs w:val="21"/>
                    </w:rPr>
                  </w:pPr>
                  <w:r>
                    <w:rPr>
                      <w:rFonts w:hint="eastAsia"/>
                      <w:color w:val="auto"/>
                      <w:szCs w:val="21"/>
                    </w:rPr>
                    <w:t>0.668</w:t>
                  </w:r>
                </w:p>
              </w:tc>
              <w:tc>
                <w:tcPr>
                  <w:tcW w:w="577" w:type="pct"/>
                  <w:vAlign w:val="center"/>
                </w:tcPr>
                <w:p w14:paraId="7E4E8DE5">
                  <w:pPr>
                    <w:spacing w:line="280" w:lineRule="exact"/>
                    <w:jc w:val="center"/>
                    <w:rPr>
                      <w:color w:val="auto"/>
                      <w:szCs w:val="21"/>
                    </w:rPr>
                  </w:pPr>
                  <w:r>
                    <w:rPr>
                      <w:rFonts w:hint="eastAsia"/>
                      <w:color w:val="auto"/>
                      <w:szCs w:val="21"/>
                    </w:rPr>
                    <w:t>批灰、喷漆</w:t>
                  </w:r>
                </w:p>
              </w:tc>
              <w:tc>
                <w:tcPr>
                  <w:tcW w:w="240" w:type="pct"/>
                  <w:vAlign w:val="center"/>
                </w:tcPr>
                <w:p w14:paraId="1CA6346F">
                  <w:pPr>
                    <w:spacing w:line="280" w:lineRule="exact"/>
                    <w:jc w:val="center"/>
                    <w:rPr>
                      <w:color w:val="auto"/>
                      <w:szCs w:val="21"/>
                    </w:rPr>
                  </w:pPr>
                  <w:r>
                    <w:rPr>
                      <w:rFonts w:hint="eastAsia"/>
                      <w:color w:val="auto"/>
                      <w:szCs w:val="21"/>
                    </w:rPr>
                    <w:t>固</w:t>
                  </w:r>
                </w:p>
              </w:tc>
              <w:tc>
                <w:tcPr>
                  <w:tcW w:w="598" w:type="pct"/>
                  <w:vAlign w:val="center"/>
                </w:tcPr>
                <w:p w14:paraId="5831524A">
                  <w:pPr>
                    <w:spacing w:line="280" w:lineRule="exact"/>
                    <w:jc w:val="center"/>
                    <w:rPr>
                      <w:color w:val="auto"/>
                      <w:szCs w:val="21"/>
                    </w:rPr>
                  </w:pPr>
                  <w:r>
                    <w:rPr>
                      <w:rFonts w:hint="eastAsia"/>
                      <w:color w:val="auto"/>
                      <w:szCs w:val="21"/>
                    </w:rPr>
                    <w:t>漆、包装桶</w:t>
                  </w:r>
                </w:p>
              </w:tc>
              <w:tc>
                <w:tcPr>
                  <w:tcW w:w="598" w:type="pct"/>
                  <w:vAlign w:val="center"/>
                </w:tcPr>
                <w:p w14:paraId="3DF0A128">
                  <w:pPr>
                    <w:spacing w:line="200" w:lineRule="atLeast"/>
                    <w:jc w:val="center"/>
                    <w:rPr>
                      <w:color w:val="auto"/>
                      <w:szCs w:val="21"/>
                    </w:rPr>
                  </w:pPr>
                  <w:r>
                    <w:rPr>
                      <w:rFonts w:hint="eastAsia"/>
                      <w:color w:val="auto"/>
                      <w:szCs w:val="21"/>
                    </w:rPr>
                    <w:t>残留物</w:t>
                  </w:r>
                </w:p>
              </w:tc>
              <w:tc>
                <w:tcPr>
                  <w:tcW w:w="300" w:type="pct"/>
                  <w:vAlign w:val="center"/>
                </w:tcPr>
                <w:p w14:paraId="4C1AA8E0">
                  <w:pPr>
                    <w:spacing w:line="200" w:lineRule="atLeast"/>
                    <w:jc w:val="center"/>
                    <w:rPr>
                      <w:color w:val="auto"/>
                      <w:szCs w:val="21"/>
                    </w:rPr>
                  </w:pPr>
                  <w:r>
                    <w:rPr>
                      <w:rFonts w:hint="eastAsia"/>
                      <w:color w:val="auto"/>
                      <w:szCs w:val="21"/>
                    </w:rPr>
                    <w:t>365天</w:t>
                  </w:r>
                </w:p>
              </w:tc>
              <w:tc>
                <w:tcPr>
                  <w:tcW w:w="358" w:type="pct"/>
                  <w:vAlign w:val="center"/>
                </w:tcPr>
                <w:p w14:paraId="11C66B7E">
                  <w:pPr>
                    <w:spacing w:line="200" w:lineRule="atLeast"/>
                    <w:jc w:val="center"/>
                    <w:rPr>
                      <w:color w:val="auto"/>
                      <w:kern w:val="0"/>
                      <w:szCs w:val="21"/>
                      <w:lang w:val="zh-CN"/>
                    </w:rPr>
                  </w:pPr>
                  <w:r>
                    <w:rPr>
                      <w:rFonts w:hint="eastAsia"/>
                      <w:color w:val="auto"/>
                      <w:kern w:val="0"/>
                      <w:szCs w:val="21"/>
                      <w:lang w:val="zh-CN"/>
                    </w:rPr>
                    <w:t>T/In</w:t>
                  </w:r>
                </w:p>
              </w:tc>
              <w:tc>
                <w:tcPr>
                  <w:tcW w:w="389" w:type="pct"/>
                  <w:vAlign w:val="center"/>
                </w:tcPr>
                <w:p w14:paraId="7AF1E386">
                  <w:pPr>
                    <w:pStyle w:val="906"/>
                    <w:spacing w:line="240" w:lineRule="auto"/>
                    <w:rPr>
                      <w:rFonts w:cs="Times New Roman"/>
                      <w:color w:val="auto"/>
                      <w:sz w:val="21"/>
                    </w:rPr>
                  </w:pPr>
                  <w:r>
                    <w:rPr>
                      <w:rFonts w:cs="Times New Roman"/>
                      <w:color w:val="auto"/>
                      <w:sz w:val="21"/>
                    </w:rPr>
                    <w:t>资质单位处置</w:t>
                  </w:r>
                </w:p>
              </w:tc>
            </w:tr>
            <w:tr w14:paraId="43D60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62569097">
                  <w:pPr>
                    <w:spacing w:line="200" w:lineRule="atLeast"/>
                    <w:jc w:val="center"/>
                    <w:rPr>
                      <w:color w:val="auto"/>
                      <w:szCs w:val="21"/>
                    </w:rPr>
                  </w:pPr>
                  <w:r>
                    <w:rPr>
                      <w:rFonts w:hint="eastAsia"/>
                      <w:color w:val="auto"/>
                      <w:szCs w:val="21"/>
                    </w:rPr>
                    <w:t>5</w:t>
                  </w:r>
                </w:p>
              </w:tc>
              <w:tc>
                <w:tcPr>
                  <w:tcW w:w="615" w:type="pct"/>
                  <w:vAlign w:val="center"/>
                </w:tcPr>
                <w:p w14:paraId="78FA4DCE">
                  <w:pPr>
                    <w:spacing w:line="200" w:lineRule="atLeast"/>
                    <w:jc w:val="center"/>
                    <w:rPr>
                      <w:color w:val="auto"/>
                      <w:szCs w:val="21"/>
                    </w:rPr>
                  </w:pPr>
                  <w:r>
                    <w:rPr>
                      <w:rFonts w:hint="eastAsia"/>
                      <w:color w:val="auto"/>
                      <w:szCs w:val="21"/>
                    </w:rPr>
                    <w:t>废漆渣</w:t>
                  </w:r>
                </w:p>
              </w:tc>
              <w:tc>
                <w:tcPr>
                  <w:tcW w:w="337" w:type="pct"/>
                  <w:vAlign w:val="center"/>
                </w:tcPr>
                <w:p w14:paraId="3B432A3E">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1D1E297C">
                  <w:pPr>
                    <w:pStyle w:val="477"/>
                    <w:spacing w:after="0"/>
                    <w:rPr>
                      <w:color w:val="auto"/>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331" w:type="pct"/>
                  <w:vAlign w:val="center"/>
                </w:tcPr>
                <w:p w14:paraId="7E3F7216">
                  <w:pPr>
                    <w:pStyle w:val="477"/>
                    <w:spacing w:after="0"/>
                    <w:rPr>
                      <w:rFonts w:hint="eastAsia" w:eastAsia="宋体"/>
                      <w:color w:val="auto"/>
                      <w:szCs w:val="21"/>
                      <w:lang w:eastAsia="zh-CN"/>
                    </w:rPr>
                  </w:pPr>
                  <w:r>
                    <w:rPr>
                      <w:rFonts w:hint="eastAsia"/>
                      <w:color w:val="auto"/>
                      <w:szCs w:val="21"/>
                      <w:lang w:eastAsia="zh-CN"/>
                    </w:rPr>
                    <w:t>0.2941</w:t>
                  </w:r>
                </w:p>
              </w:tc>
              <w:tc>
                <w:tcPr>
                  <w:tcW w:w="577" w:type="pct"/>
                  <w:vAlign w:val="center"/>
                </w:tcPr>
                <w:p w14:paraId="68B0E8B2">
                  <w:pPr>
                    <w:spacing w:line="280" w:lineRule="exact"/>
                    <w:jc w:val="center"/>
                    <w:rPr>
                      <w:color w:val="auto"/>
                      <w:szCs w:val="21"/>
                    </w:rPr>
                  </w:pPr>
                  <w:r>
                    <w:rPr>
                      <w:rFonts w:hint="eastAsia"/>
                      <w:color w:val="auto"/>
                      <w:szCs w:val="21"/>
                    </w:rPr>
                    <w:t>喷漆</w:t>
                  </w:r>
                </w:p>
              </w:tc>
              <w:tc>
                <w:tcPr>
                  <w:tcW w:w="240" w:type="pct"/>
                  <w:vAlign w:val="center"/>
                </w:tcPr>
                <w:p w14:paraId="186C3C5C">
                  <w:pPr>
                    <w:spacing w:line="280" w:lineRule="exact"/>
                    <w:jc w:val="center"/>
                    <w:rPr>
                      <w:color w:val="auto"/>
                      <w:szCs w:val="21"/>
                    </w:rPr>
                  </w:pPr>
                  <w:r>
                    <w:rPr>
                      <w:rFonts w:hint="eastAsia"/>
                      <w:color w:val="auto"/>
                      <w:szCs w:val="21"/>
                    </w:rPr>
                    <w:t>固</w:t>
                  </w:r>
                </w:p>
              </w:tc>
              <w:tc>
                <w:tcPr>
                  <w:tcW w:w="598" w:type="pct"/>
                  <w:vAlign w:val="center"/>
                </w:tcPr>
                <w:p w14:paraId="2667DCCE">
                  <w:pPr>
                    <w:spacing w:line="280" w:lineRule="exact"/>
                    <w:jc w:val="center"/>
                    <w:rPr>
                      <w:color w:val="auto"/>
                      <w:szCs w:val="21"/>
                    </w:rPr>
                  </w:pPr>
                  <w:r>
                    <w:rPr>
                      <w:rFonts w:hint="eastAsia"/>
                      <w:color w:val="auto"/>
                      <w:szCs w:val="21"/>
                    </w:rPr>
                    <w:t>漆</w:t>
                  </w:r>
                </w:p>
              </w:tc>
              <w:tc>
                <w:tcPr>
                  <w:tcW w:w="598" w:type="pct"/>
                  <w:vAlign w:val="center"/>
                </w:tcPr>
                <w:p w14:paraId="559231A9">
                  <w:pPr>
                    <w:spacing w:line="200" w:lineRule="atLeast"/>
                    <w:jc w:val="center"/>
                    <w:rPr>
                      <w:color w:val="auto"/>
                      <w:szCs w:val="21"/>
                    </w:rPr>
                  </w:pPr>
                  <w:r>
                    <w:rPr>
                      <w:color w:val="auto"/>
                      <w:szCs w:val="21"/>
                    </w:rPr>
                    <w:t>有机物</w:t>
                  </w:r>
                </w:p>
              </w:tc>
              <w:tc>
                <w:tcPr>
                  <w:tcW w:w="300" w:type="pct"/>
                  <w:vAlign w:val="center"/>
                </w:tcPr>
                <w:p w14:paraId="22019209">
                  <w:pPr>
                    <w:spacing w:line="200" w:lineRule="atLeast"/>
                    <w:jc w:val="center"/>
                    <w:rPr>
                      <w:color w:val="auto"/>
                      <w:szCs w:val="21"/>
                    </w:rPr>
                  </w:pPr>
                  <w:r>
                    <w:rPr>
                      <w:rFonts w:hint="eastAsia"/>
                      <w:color w:val="auto"/>
                      <w:szCs w:val="21"/>
                    </w:rPr>
                    <w:t>365天</w:t>
                  </w:r>
                </w:p>
              </w:tc>
              <w:tc>
                <w:tcPr>
                  <w:tcW w:w="358" w:type="pct"/>
                  <w:vAlign w:val="center"/>
                </w:tcPr>
                <w:p w14:paraId="5BFA5AA8">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2A2654E5">
                  <w:pPr>
                    <w:pStyle w:val="906"/>
                    <w:spacing w:line="240" w:lineRule="auto"/>
                    <w:rPr>
                      <w:rFonts w:cs="Times New Roman"/>
                      <w:color w:val="auto"/>
                      <w:sz w:val="21"/>
                    </w:rPr>
                  </w:pPr>
                  <w:r>
                    <w:rPr>
                      <w:rFonts w:cs="Times New Roman"/>
                      <w:color w:val="auto"/>
                      <w:sz w:val="21"/>
                    </w:rPr>
                    <w:t>资质单位处置</w:t>
                  </w:r>
                </w:p>
              </w:tc>
            </w:tr>
            <w:tr w14:paraId="422D6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7110E1AC">
                  <w:pPr>
                    <w:spacing w:line="200" w:lineRule="atLeast"/>
                    <w:jc w:val="center"/>
                    <w:rPr>
                      <w:color w:val="auto"/>
                      <w:szCs w:val="21"/>
                    </w:rPr>
                  </w:pPr>
                  <w:r>
                    <w:rPr>
                      <w:rFonts w:hint="eastAsia"/>
                      <w:color w:val="auto"/>
                      <w:szCs w:val="21"/>
                    </w:rPr>
                    <w:t>6</w:t>
                  </w:r>
                </w:p>
              </w:tc>
              <w:tc>
                <w:tcPr>
                  <w:tcW w:w="615" w:type="pct"/>
                  <w:vAlign w:val="center"/>
                </w:tcPr>
                <w:p w14:paraId="2B6615E7">
                  <w:pPr>
                    <w:spacing w:line="200" w:lineRule="atLeast"/>
                    <w:jc w:val="center"/>
                    <w:rPr>
                      <w:color w:val="auto"/>
                      <w:szCs w:val="21"/>
                    </w:rPr>
                  </w:pPr>
                  <w:r>
                    <w:rPr>
                      <w:rFonts w:hint="eastAsia"/>
                      <w:color w:val="auto"/>
                      <w:szCs w:val="21"/>
                    </w:rPr>
                    <w:t>废切削液</w:t>
                  </w:r>
                </w:p>
              </w:tc>
              <w:tc>
                <w:tcPr>
                  <w:tcW w:w="337" w:type="pct"/>
                  <w:vAlign w:val="center"/>
                </w:tcPr>
                <w:p w14:paraId="28C49DCD">
                  <w:pPr>
                    <w:pStyle w:val="477"/>
                    <w:spacing w:after="0"/>
                    <w:rPr>
                      <w:color w:val="auto"/>
                      <w:szCs w:val="21"/>
                      <w:lang w:val="zh-CN"/>
                    </w:rPr>
                  </w:pPr>
                  <w:r>
                    <w:rPr>
                      <w:rFonts w:hint="eastAsia"/>
                      <w:color w:val="auto"/>
                      <w:kern w:val="0"/>
                      <w:szCs w:val="21"/>
                    </w:rPr>
                    <w:t>HW09</w:t>
                  </w:r>
                </w:p>
              </w:tc>
              <w:tc>
                <w:tcPr>
                  <w:tcW w:w="465" w:type="pct"/>
                  <w:vAlign w:val="center"/>
                </w:tcPr>
                <w:p w14:paraId="6CE85BBA">
                  <w:pPr>
                    <w:pStyle w:val="477"/>
                    <w:spacing w:after="0"/>
                    <w:rPr>
                      <w:color w:val="auto"/>
                      <w:szCs w:val="21"/>
                      <w:lang w:val="zh-CN"/>
                    </w:rPr>
                  </w:pPr>
                  <w:r>
                    <w:rPr>
                      <w:rFonts w:hint="eastAsia"/>
                      <w:color w:val="auto"/>
                      <w:kern w:val="0"/>
                      <w:szCs w:val="21"/>
                    </w:rPr>
                    <w:t>900-006-09</w:t>
                  </w:r>
                </w:p>
              </w:tc>
              <w:tc>
                <w:tcPr>
                  <w:tcW w:w="331" w:type="pct"/>
                  <w:vAlign w:val="center"/>
                </w:tcPr>
                <w:p w14:paraId="72BFE94F">
                  <w:pPr>
                    <w:pStyle w:val="477"/>
                    <w:spacing w:after="0"/>
                    <w:rPr>
                      <w:color w:val="auto"/>
                      <w:szCs w:val="21"/>
                    </w:rPr>
                  </w:pPr>
                  <w:r>
                    <w:rPr>
                      <w:rFonts w:hint="eastAsia"/>
                      <w:color w:val="auto"/>
                      <w:szCs w:val="21"/>
                    </w:rPr>
                    <w:t>0.054</w:t>
                  </w:r>
                </w:p>
              </w:tc>
              <w:tc>
                <w:tcPr>
                  <w:tcW w:w="577" w:type="pct"/>
                  <w:vAlign w:val="center"/>
                </w:tcPr>
                <w:p w14:paraId="6D63226F">
                  <w:pPr>
                    <w:spacing w:line="280" w:lineRule="exact"/>
                    <w:jc w:val="center"/>
                    <w:rPr>
                      <w:color w:val="auto"/>
                      <w:szCs w:val="21"/>
                    </w:rPr>
                  </w:pPr>
                  <w:r>
                    <w:rPr>
                      <w:rFonts w:hint="eastAsia"/>
                      <w:color w:val="auto"/>
                      <w:szCs w:val="21"/>
                    </w:rPr>
                    <w:t>设备</w:t>
                  </w:r>
                </w:p>
              </w:tc>
              <w:tc>
                <w:tcPr>
                  <w:tcW w:w="240" w:type="pct"/>
                  <w:vAlign w:val="center"/>
                </w:tcPr>
                <w:p w14:paraId="23381DE8">
                  <w:pPr>
                    <w:spacing w:line="280" w:lineRule="exact"/>
                    <w:jc w:val="center"/>
                    <w:rPr>
                      <w:color w:val="auto"/>
                      <w:szCs w:val="21"/>
                    </w:rPr>
                  </w:pPr>
                  <w:r>
                    <w:rPr>
                      <w:rFonts w:hint="eastAsia"/>
                      <w:color w:val="auto"/>
                      <w:szCs w:val="21"/>
                    </w:rPr>
                    <w:t>液</w:t>
                  </w:r>
                </w:p>
              </w:tc>
              <w:tc>
                <w:tcPr>
                  <w:tcW w:w="598" w:type="pct"/>
                  <w:vAlign w:val="center"/>
                </w:tcPr>
                <w:p w14:paraId="58F68176">
                  <w:pPr>
                    <w:spacing w:line="280" w:lineRule="exact"/>
                    <w:jc w:val="center"/>
                    <w:rPr>
                      <w:color w:val="auto"/>
                      <w:szCs w:val="21"/>
                    </w:rPr>
                  </w:pPr>
                  <w:r>
                    <w:rPr>
                      <w:rFonts w:hint="eastAsia"/>
                      <w:color w:val="auto"/>
                      <w:szCs w:val="21"/>
                    </w:rPr>
                    <w:t>切削液</w:t>
                  </w:r>
                </w:p>
              </w:tc>
              <w:tc>
                <w:tcPr>
                  <w:tcW w:w="598" w:type="pct"/>
                  <w:vAlign w:val="center"/>
                </w:tcPr>
                <w:p w14:paraId="16DAECBE">
                  <w:pPr>
                    <w:spacing w:line="200" w:lineRule="atLeast"/>
                    <w:jc w:val="center"/>
                    <w:rPr>
                      <w:color w:val="auto"/>
                      <w:szCs w:val="21"/>
                    </w:rPr>
                  </w:pPr>
                  <w:r>
                    <w:rPr>
                      <w:rFonts w:hint="eastAsia"/>
                      <w:color w:val="auto"/>
                      <w:szCs w:val="21"/>
                    </w:rPr>
                    <w:t>矿物油</w:t>
                  </w:r>
                </w:p>
              </w:tc>
              <w:tc>
                <w:tcPr>
                  <w:tcW w:w="300" w:type="pct"/>
                  <w:vAlign w:val="center"/>
                </w:tcPr>
                <w:p w14:paraId="78CD4F82">
                  <w:pPr>
                    <w:spacing w:line="200" w:lineRule="atLeast"/>
                    <w:jc w:val="center"/>
                    <w:rPr>
                      <w:color w:val="auto"/>
                      <w:szCs w:val="21"/>
                    </w:rPr>
                  </w:pPr>
                  <w:r>
                    <w:rPr>
                      <w:rFonts w:hint="eastAsia"/>
                      <w:color w:val="auto"/>
                      <w:szCs w:val="21"/>
                    </w:rPr>
                    <w:t>365天</w:t>
                  </w:r>
                </w:p>
              </w:tc>
              <w:tc>
                <w:tcPr>
                  <w:tcW w:w="358" w:type="pct"/>
                  <w:vAlign w:val="center"/>
                </w:tcPr>
                <w:p w14:paraId="2A932193">
                  <w:pPr>
                    <w:spacing w:line="200" w:lineRule="atLeast"/>
                    <w:jc w:val="center"/>
                    <w:rPr>
                      <w:color w:val="auto"/>
                      <w:kern w:val="0"/>
                      <w:szCs w:val="21"/>
                      <w:lang w:val="zh-CN"/>
                    </w:rPr>
                  </w:pPr>
                  <w:r>
                    <w:rPr>
                      <w:color w:val="auto"/>
                      <w:szCs w:val="21"/>
                    </w:rPr>
                    <w:t>T</w:t>
                  </w:r>
                </w:p>
              </w:tc>
              <w:tc>
                <w:tcPr>
                  <w:tcW w:w="389" w:type="pct"/>
                  <w:vAlign w:val="center"/>
                </w:tcPr>
                <w:p w14:paraId="47D96BE8">
                  <w:pPr>
                    <w:pStyle w:val="906"/>
                    <w:spacing w:line="240" w:lineRule="auto"/>
                    <w:rPr>
                      <w:rFonts w:cs="Times New Roman"/>
                      <w:color w:val="auto"/>
                      <w:sz w:val="21"/>
                    </w:rPr>
                  </w:pPr>
                  <w:r>
                    <w:rPr>
                      <w:rFonts w:cs="Times New Roman"/>
                      <w:color w:val="auto"/>
                      <w:sz w:val="21"/>
                    </w:rPr>
                    <w:t>资质单位处置</w:t>
                  </w:r>
                </w:p>
              </w:tc>
            </w:tr>
            <w:tr w14:paraId="4BE08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39AA852F">
                  <w:pPr>
                    <w:spacing w:line="200" w:lineRule="atLeast"/>
                    <w:jc w:val="center"/>
                    <w:rPr>
                      <w:color w:val="auto"/>
                      <w:szCs w:val="21"/>
                    </w:rPr>
                  </w:pPr>
                  <w:r>
                    <w:rPr>
                      <w:rFonts w:hint="eastAsia"/>
                      <w:color w:val="auto"/>
                      <w:szCs w:val="21"/>
                    </w:rPr>
                    <w:t>7</w:t>
                  </w:r>
                </w:p>
              </w:tc>
              <w:tc>
                <w:tcPr>
                  <w:tcW w:w="615" w:type="pct"/>
                  <w:vAlign w:val="center"/>
                </w:tcPr>
                <w:p w14:paraId="1A334BD2">
                  <w:pPr>
                    <w:spacing w:line="200" w:lineRule="atLeast"/>
                    <w:jc w:val="center"/>
                    <w:rPr>
                      <w:color w:val="auto"/>
                      <w:szCs w:val="21"/>
                    </w:rPr>
                  </w:pPr>
                  <w:r>
                    <w:rPr>
                      <w:rFonts w:hint="eastAsia"/>
                      <w:color w:val="auto"/>
                      <w:szCs w:val="21"/>
                    </w:rPr>
                    <w:t>喷涂渣</w:t>
                  </w:r>
                </w:p>
              </w:tc>
              <w:tc>
                <w:tcPr>
                  <w:tcW w:w="337" w:type="pct"/>
                  <w:vAlign w:val="center"/>
                </w:tcPr>
                <w:p w14:paraId="6DF42E48">
                  <w:pPr>
                    <w:pStyle w:val="477"/>
                    <w:spacing w:after="0"/>
                    <w:rPr>
                      <w:color w:val="auto"/>
                      <w:szCs w:val="21"/>
                      <w:lang w:val="zh-CN"/>
                    </w:rPr>
                  </w:pPr>
                  <w:r>
                    <w:rPr>
                      <w:rFonts w:hint="eastAsia"/>
                      <w:color w:val="auto"/>
                      <w:kern w:val="0"/>
                      <w:szCs w:val="21"/>
                    </w:rPr>
                    <w:t>HW12</w:t>
                  </w:r>
                </w:p>
              </w:tc>
              <w:tc>
                <w:tcPr>
                  <w:tcW w:w="465" w:type="pct"/>
                  <w:vAlign w:val="center"/>
                </w:tcPr>
                <w:p w14:paraId="215D3991">
                  <w:pPr>
                    <w:pStyle w:val="477"/>
                    <w:spacing w:after="0"/>
                    <w:rPr>
                      <w:color w:val="auto"/>
                      <w:szCs w:val="21"/>
                      <w:lang w:val="zh-CN"/>
                    </w:rPr>
                  </w:pPr>
                  <w:r>
                    <w:rPr>
                      <w:rFonts w:hint="eastAsia"/>
                      <w:color w:val="auto"/>
                      <w:kern w:val="0"/>
                      <w:szCs w:val="21"/>
                    </w:rPr>
                    <w:t>900-252-12</w:t>
                  </w:r>
                </w:p>
              </w:tc>
              <w:tc>
                <w:tcPr>
                  <w:tcW w:w="331" w:type="pct"/>
                  <w:vAlign w:val="center"/>
                </w:tcPr>
                <w:p w14:paraId="2B9B709E">
                  <w:pPr>
                    <w:pStyle w:val="477"/>
                    <w:spacing w:after="0"/>
                    <w:rPr>
                      <w:color w:val="auto"/>
                      <w:szCs w:val="21"/>
                    </w:rPr>
                  </w:pPr>
                  <w:r>
                    <w:rPr>
                      <w:rFonts w:hint="eastAsia"/>
                      <w:color w:val="auto"/>
                      <w:szCs w:val="21"/>
                    </w:rPr>
                    <w:t>0.037</w:t>
                  </w:r>
                </w:p>
              </w:tc>
              <w:tc>
                <w:tcPr>
                  <w:tcW w:w="577" w:type="pct"/>
                  <w:vAlign w:val="center"/>
                </w:tcPr>
                <w:p w14:paraId="4560E846">
                  <w:pPr>
                    <w:spacing w:line="280" w:lineRule="exact"/>
                    <w:jc w:val="center"/>
                    <w:rPr>
                      <w:color w:val="auto"/>
                      <w:szCs w:val="21"/>
                    </w:rPr>
                  </w:pPr>
                  <w:r>
                    <w:rPr>
                      <w:rFonts w:hint="eastAsia"/>
                      <w:color w:val="auto"/>
                      <w:szCs w:val="21"/>
                    </w:rPr>
                    <w:t>喷粉</w:t>
                  </w:r>
                </w:p>
              </w:tc>
              <w:tc>
                <w:tcPr>
                  <w:tcW w:w="240" w:type="pct"/>
                  <w:vAlign w:val="center"/>
                </w:tcPr>
                <w:p w14:paraId="2F83F5DA">
                  <w:pPr>
                    <w:spacing w:line="280" w:lineRule="exact"/>
                    <w:jc w:val="center"/>
                    <w:rPr>
                      <w:color w:val="auto"/>
                      <w:szCs w:val="21"/>
                    </w:rPr>
                  </w:pPr>
                  <w:r>
                    <w:rPr>
                      <w:rFonts w:hint="eastAsia"/>
                      <w:color w:val="auto"/>
                      <w:szCs w:val="21"/>
                    </w:rPr>
                    <w:t>固</w:t>
                  </w:r>
                </w:p>
              </w:tc>
              <w:tc>
                <w:tcPr>
                  <w:tcW w:w="598" w:type="pct"/>
                  <w:vAlign w:val="center"/>
                </w:tcPr>
                <w:p w14:paraId="2E8DA71C">
                  <w:pPr>
                    <w:spacing w:line="280" w:lineRule="exact"/>
                    <w:jc w:val="center"/>
                    <w:rPr>
                      <w:color w:val="auto"/>
                      <w:szCs w:val="21"/>
                    </w:rPr>
                  </w:pPr>
                  <w:r>
                    <w:rPr>
                      <w:rFonts w:hint="eastAsia"/>
                      <w:color w:val="auto"/>
                      <w:szCs w:val="21"/>
                    </w:rPr>
                    <w:t>喷粉</w:t>
                  </w:r>
                </w:p>
              </w:tc>
              <w:tc>
                <w:tcPr>
                  <w:tcW w:w="598" w:type="pct"/>
                  <w:vAlign w:val="center"/>
                </w:tcPr>
                <w:p w14:paraId="6E733AF7">
                  <w:pPr>
                    <w:spacing w:line="200" w:lineRule="atLeast"/>
                    <w:jc w:val="center"/>
                    <w:rPr>
                      <w:color w:val="auto"/>
                      <w:szCs w:val="21"/>
                    </w:rPr>
                  </w:pPr>
                  <w:r>
                    <w:rPr>
                      <w:color w:val="auto"/>
                      <w:szCs w:val="21"/>
                    </w:rPr>
                    <w:t>有机物</w:t>
                  </w:r>
                </w:p>
              </w:tc>
              <w:tc>
                <w:tcPr>
                  <w:tcW w:w="300" w:type="pct"/>
                  <w:vAlign w:val="center"/>
                </w:tcPr>
                <w:p w14:paraId="6C3E2AB1">
                  <w:pPr>
                    <w:spacing w:line="200" w:lineRule="atLeast"/>
                    <w:jc w:val="center"/>
                    <w:rPr>
                      <w:color w:val="auto"/>
                      <w:szCs w:val="21"/>
                    </w:rPr>
                  </w:pPr>
                  <w:r>
                    <w:rPr>
                      <w:rFonts w:hint="eastAsia"/>
                      <w:color w:val="auto"/>
                      <w:szCs w:val="21"/>
                    </w:rPr>
                    <w:t>365天</w:t>
                  </w:r>
                </w:p>
              </w:tc>
              <w:tc>
                <w:tcPr>
                  <w:tcW w:w="358" w:type="pct"/>
                  <w:vAlign w:val="center"/>
                </w:tcPr>
                <w:p w14:paraId="6C249D31">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06662734">
                  <w:pPr>
                    <w:pStyle w:val="906"/>
                    <w:spacing w:line="240" w:lineRule="auto"/>
                    <w:rPr>
                      <w:rFonts w:cs="Times New Roman"/>
                      <w:color w:val="auto"/>
                      <w:sz w:val="21"/>
                    </w:rPr>
                  </w:pPr>
                  <w:r>
                    <w:rPr>
                      <w:rFonts w:cs="Times New Roman"/>
                      <w:color w:val="auto"/>
                      <w:sz w:val="21"/>
                    </w:rPr>
                    <w:t>资质单位处置</w:t>
                  </w:r>
                </w:p>
              </w:tc>
            </w:tr>
            <w:tr w14:paraId="4DA8A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5808CF0A">
                  <w:pPr>
                    <w:spacing w:line="200" w:lineRule="atLeast"/>
                    <w:jc w:val="center"/>
                    <w:rPr>
                      <w:color w:val="auto"/>
                      <w:szCs w:val="21"/>
                    </w:rPr>
                  </w:pPr>
                  <w:r>
                    <w:rPr>
                      <w:rFonts w:hint="eastAsia"/>
                      <w:color w:val="auto"/>
                      <w:szCs w:val="21"/>
                    </w:rPr>
                    <w:t>8</w:t>
                  </w:r>
                </w:p>
              </w:tc>
              <w:tc>
                <w:tcPr>
                  <w:tcW w:w="615" w:type="pct"/>
                  <w:vAlign w:val="center"/>
                </w:tcPr>
                <w:p w14:paraId="75AB4C2F">
                  <w:pPr>
                    <w:spacing w:line="200" w:lineRule="atLeast"/>
                    <w:jc w:val="center"/>
                    <w:rPr>
                      <w:color w:val="auto"/>
                      <w:szCs w:val="21"/>
                    </w:rPr>
                  </w:pPr>
                  <w:r>
                    <w:rPr>
                      <w:rFonts w:hint="eastAsia"/>
                      <w:color w:val="auto"/>
                      <w:szCs w:val="21"/>
                    </w:rPr>
                    <w:t>废抹布</w:t>
                  </w:r>
                </w:p>
              </w:tc>
              <w:tc>
                <w:tcPr>
                  <w:tcW w:w="337" w:type="pct"/>
                  <w:vAlign w:val="center"/>
                </w:tcPr>
                <w:p w14:paraId="4074DC6E">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465" w:type="pct"/>
                  <w:vAlign w:val="center"/>
                </w:tcPr>
                <w:p w14:paraId="04797ABF">
                  <w:pPr>
                    <w:pStyle w:val="477"/>
                    <w:spacing w:after="0"/>
                    <w:rPr>
                      <w:color w:val="auto"/>
                      <w:szCs w:val="21"/>
                      <w:lang w:val="zh-CN"/>
                    </w:rPr>
                  </w:pPr>
                  <w:r>
                    <w:rPr>
                      <w:rFonts w:hint="eastAsia"/>
                      <w:color w:val="auto"/>
                      <w:kern w:val="0"/>
                      <w:szCs w:val="21"/>
                      <w:lang w:val="zh-CN"/>
                    </w:rPr>
                    <w:t>900-</w:t>
                  </w:r>
                  <w:r>
                    <w:rPr>
                      <w:rFonts w:hint="eastAsia"/>
                      <w:color w:val="auto"/>
                      <w:kern w:val="0"/>
                      <w:szCs w:val="21"/>
                    </w:rPr>
                    <w:t>041-49</w:t>
                  </w:r>
                </w:p>
              </w:tc>
              <w:tc>
                <w:tcPr>
                  <w:tcW w:w="331" w:type="pct"/>
                  <w:vAlign w:val="center"/>
                </w:tcPr>
                <w:p w14:paraId="16E45F4F">
                  <w:pPr>
                    <w:pStyle w:val="477"/>
                    <w:spacing w:after="0"/>
                    <w:rPr>
                      <w:color w:val="auto"/>
                      <w:szCs w:val="21"/>
                    </w:rPr>
                  </w:pPr>
                  <w:r>
                    <w:rPr>
                      <w:rFonts w:hint="eastAsia"/>
                      <w:color w:val="auto"/>
                      <w:szCs w:val="21"/>
                    </w:rPr>
                    <w:t>0.2</w:t>
                  </w:r>
                </w:p>
              </w:tc>
              <w:tc>
                <w:tcPr>
                  <w:tcW w:w="577" w:type="pct"/>
                  <w:vAlign w:val="center"/>
                </w:tcPr>
                <w:p w14:paraId="5625D60E">
                  <w:pPr>
                    <w:spacing w:line="280" w:lineRule="exact"/>
                    <w:jc w:val="center"/>
                    <w:rPr>
                      <w:color w:val="auto"/>
                      <w:szCs w:val="21"/>
                    </w:rPr>
                  </w:pPr>
                  <w:r>
                    <w:rPr>
                      <w:rFonts w:hint="eastAsia"/>
                      <w:color w:val="auto"/>
                      <w:szCs w:val="21"/>
                    </w:rPr>
                    <w:t>清洁</w:t>
                  </w:r>
                </w:p>
              </w:tc>
              <w:tc>
                <w:tcPr>
                  <w:tcW w:w="240" w:type="pct"/>
                  <w:vAlign w:val="center"/>
                </w:tcPr>
                <w:p w14:paraId="280E766E">
                  <w:pPr>
                    <w:spacing w:line="280" w:lineRule="exact"/>
                    <w:jc w:val="center"/>
                    <w:rPr>
                      <w:color w:val="auto"/>
                      <w:szCs w:val="21"/>
                    </w:rPr>
                  </w:pPr>
                  <w:r>
                    <w:rPr>
                      <w:rFonts w:hint="eastAsia"/>
                      <w:color w:val="auto"/>
                      <w:szCs w:val="21"/>
                    </w:rPr>
                    <w:t>固</w:t>
                  </w:r>
                </w:p>
              </w:tc>
              <w:tc>
                <w:tcPr>
                  <w:tcW w:w="598" w:type="pct"/>
                  <w:vAlign w:val="center"/>
                </w:tcPr>
                <w:p w14:paraId="6983EB23">
                  <w:pPr>
                    <w:spacing w:line="280" w:lineRule="exact"/>
                    <w:jc w:val="center"/>
                    <w:rPr>
                      <w:color w:val="auto"/>
                      <w:szCs w:val="21"/>
                    </w:rPr>
                  </w:pPr>
                  <w:r>
                    <w:rPr>
                      <w:rFonts w:hint="eastAsia"/>
                      <w:color w:val="auto"/>
                      <w:szCs w:val="21"/>
                    </w:rPr>
                    <w:t>碳氢清洗剂</w:t>
                  </w:r>
                </w:p>
              </w:tc>
              <w:tc>
                <w:tcPr>
                  <w:tcW w:w="598" w:type="pct"/>
                  <w:vAlign w:val="center"/>
                </w:tcPr>
                <w:p w14:paraId="30789EA8">
                  <w:pPr>
                    <w:spacing w:line="200" w:lineRule="atLeast"/>
                    <w:jc w:val="center"/>
                    <w:rPr>
                      <w:color w:val="auto"/>
                      <w:szCs w:val="21"/>
                    </w:rPr>
                  </w:pPr>
                  <w:r>
                    <w:rPr>
                      <w:rFonts w:hint="eastAsia"/>
                      <w:color w:val="auto"/>
                      <w:szCs w:val="21"/>
                    </w:rPr>
                    <w:t>清洗剂</w:t>
                  </w:r>
                </w:p>
              </w:tc>
              <w:tc>
                <w:tcPr>
                  <w:tcW w:w="300" w:type="pct"/>
                  <w:vAlign w:val="center"/>
                </w:tcPr>
                <w:p w14:paraId="7A8715DF">
                  <w:pPr>
                    <w:spacing w:line="200" w:lineRule="atLeast"/>
                    <w:jc w:val="center"/>
                    <w:rPr>
                      <w:color w:val="auto"/>
                      <w:szCs w:val="21"/>
                    </w:rPr>
                  </w:pPr>
                  <w:r>
                    <w:rPr>
                      <w:rFonts w:hint="eastAsia"/>
                      <w:color w:val="auto"/>
                      <w:szCs w:val="21"/>
                    </w:rPr>
                    <w:t>365天</w:t>
                  </w:r>
                </w:p>
              </w:tc>
              <w:tc>
                <w:tcPr>
                  <w:tcW w:w="358" w:type="pct"/>
                  <w:vAlign w:val="center"/>
                </w:tcPr>
                <w:p w14:paraId="110B4BF1">
                  <w:pPr>
                    <w:spacing w:line="200" w:lineRule="atLeast"/>
                    <w:jc w:val="center"/>
                    <w:rPr>
                      <w:color w:val="auto"/>
                      <w:kern w:val="0"/>
                      <w:szCs w:val="21"/>
                      <w:lang w:val="zh-CN"/>
                    </w:rPr>
                  </w:pPr>
                  <w:r>
                    <w:rPr>
                      <w:rFonts w:hint="eastAsia"/>
                      <w:color w:val="auto"/>
                      <w:kern w:val="0"/>
                      <w:szCs w:val="21"/>
                      <w:lang w:val="zh-CN"/>
                    </w:rPr>
                    <w:t>T/In</w:t>
                  </w:r>
                </w:p>
              </w:tc>
              <w:tc>
                <w:tcPr>
                  <w:tcW w:w="389" w:type="pct"/>
                  <w:vAlign w:val="center"/>
                </w:tcPr>
                <w:p w14:paraId="72102A2C">
                  <w:pPr>
                    <w:pStyle w:val="906"/>
                    <w:spacing w:line="240" w:lineRule="auto"/>
                    <w:rPr>
                      <w:rFonts w:cs="Times New Roman"/>
                      <w:color w:val="auto"/>
                      <w:sz w:val="21"/>
                    </w:rPr>
                  </w:pPr>
                  <w:r>
                    <w:rPr>
                      <w:rFonts w:cs="Times New Roman"/>
                      <w:color w:val="auto"/>
                      <w:sz w:val="21"/>
                    </w:rPr>
                    <w:t>资质单位处置</w:t>
                  </w:r>
                </w:p>
              </w:tc>
            </w:tr>
            <w:tr w14:paraId="31B96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740DD87">
                  <w:pPr>
                    <w:spacing w:line="200" w:lineRule="atLeast"/>
                    <w:jc w:val="center"/>
                    <w:rPr>
                      <w:color w:val="auto"/>
                      <w:szCs w:val="21"/>
                    </w:rPr>
                  </w:pPr>
                  <w:r>
                    <w:rPr>
                      <w:rFonts w:hint="eastAsia"/>
                      <w:color w:val="auto"/>
                      <w:szCs w:val="21"/>
                    </w:rPr>
                    <w:t>9</w:t>
                  </w:r>
                </w:p>
              </w:tc>
              <w:tc>
                <w:tcPr>
                  <w:tcW w:w="615" w:type="pct"/>
                  <w:vAlign w:val="center"/>
                </w:tcPr>
                <w:p w14:paraId="0BC91C1B">
                  <w:pPr>
                    <w:spacing w:line="200" w:lineRule="atLeast"/>
                    <w:jc w:val="center"/>
                    <w:rPr>
                      <w:color w:val="auto"/>
                      <w:szCs w:val="21"/>
                    </w:rPr>
                  </w:pPr>
                  <w:r>
                    <w:rPr>
                      <w:rFonts w:hint="eastAsia"/>
                      <w:color w:val="auto"/>
                      <w:szCs w:val="21"/>
                    </w:rPr>
                    <w:t>废油墨</w:t>
                  </w:r>
                </w:p>
              </w:tc>
              <w:tc>
                <w:tcPr>
                  <w:tcW w:w="337" w:type="pct"/>
                  <w:vAlign w:val="center"/>
                </w:tcPr>
                <w:p w14:paraId="7873239C">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782DBCE9">
                  <w:pPr>
                    <w:pStyle w:val="477"/>
                    <w:spacing w:after="0"/>
                    <w:rPr>
                      <w:color w:val="auto"/>
                      <w:szCs w:val="21"/>
                      <w:lang w:val="zh-CN"/>
                    </w:rPr>
                  </w:pPr>
                  <w:r>
                    <w:rPr>
                      <w:rFonts w:hint="eastAsia"/>
                      <w:color w:val="auto"/>
                      <w:kern w:val="0"/>
                      <w:szCs w:val="21"/>
                      <w:lang w:val="zh-CN"/>
                    </w:rPr>
                    <w:t>900-</w:t>
                  </w:r>
                  <w:r>
                    <w:rPr>
                      <w:rFonts w:hint="eastAsia"/>
                      <w:color w:val="auto"/>
                      <w:kern w:val="0"/>
                      <w:szCs w:val="21"/>
                    </w:rPr>
                    <w:t>299-12</w:t>
                  </w:r>
                </w:p>
              </w:tc>
              <w:tc>
                <w:tcPr>
                  <w:tcW w:w="331" w:type="pct"/>
                  <w:vAlign w:val="center"/>
                </w:tcPr>
                <w:p w14:paraId="58693396">
                  <w:pPr>
                    <w:pStyle w:val="477"/>
                    <w:spacing w:after="0"/>
                    <w:rPr>
                      <w:color w:val="auto"/>
                      <w:szCs w:val="21"/>
                    </w:rPr>
                  </w:pPr>
                  <w:r>
                    <w:rPr>
                      <w:rFonts w:hint="eastAsia"/>
                      <w:color w:val="auto"/>
                      <w:szCs w:val="21"/>
                    </w:rPr>
                    <w:t>0.00025</w:t>
                  </w:r>
                </w:p>
              </w:tc>
              <w:tc>
                <w:tcPr>
                  <w:tcW w:w="577" w:type="pct"/>
                  <w:vAlign w:val="center"/>
                </w:tcPr>
                <w:p w14:paraId="7087C431">
                  <w:pPr>
                    <w:spacing w:line="280" w:lineRule="exact"/>
                    <w:jc w:val="center"/>
                    <w:rPr>
                      <w:color w:val="auto"/>
                      <w:szCs w:val="21"/>
                    </w:rPr>
                  </w:pPr>
                  <w:r>
                    <w:rPr>
                      <w:rFonts w:hint="eastAsia"/>
                      <w:color w:val="auto"/>
                      <w:szCs w:val="21"/>
                    </w:rPr>
                    <w:t>丝印</w:t>
                  </w:r>
                </w:p>
              </w:tc>
              <w:tc>
                <w:tcPr>
                  <w:tcW w:w="240" w:type="pct"/>
                  <w:vAlign w:val="center"/>
                </w:tcPr>
                <w:p w14:paraId="08446D06">
                  <w:pPr>
                    <w:spacing w:line="280" w:lineRule="exact"/>
                    <w:jc w:val="center"/>
                    <w:rPr>
                      <w:color w:val="auto"/>
                      <w:szCs w:val="21"/>
                    </w:rPr>
                  </w:pPr>
                  <w:r>
                    <w:rPr>
                      <w:rFonts w:hint="eastAsia"/>
                      <w:color w:val="auto"/>
                      <w:szCs w:val="21"/>
                    </w:rPr>
                    <w:t>液</w:t>
                  </w:r>
                </w:p>
              </w:tc>
              <w:tc>
                <w:tcPr>
                  <w:tcW w:w="598" w:type="pct"/>
                  <w:vAlign w:val="center"/>
                </w:tcPr>
                <w:p w14:paraId="24FDF1AF">
                  <w:pPr>
                    <w:spacing w:line="280" w:lineRule="exact"/>
                    <w:jc w:val="center"/>
                    <w:rPr>
                      <w:color w:val="auto"/>
                      <w:szCs w:val="21"/>
                    </w:rPr>
                  </w:pPr>
                  <w:r>
                    <w:rPr>
                      <w:rFonts w:hint="eastAsia"/>
                      <w:color w:val="auto"/>
                      <w:szCs w:val="21"/>
                    </w:rPr>
                    <w:t>油墨</w:t>
                  </w:r>
                </w:p>
              </w:tc>
              <w:tc>
                <w:tcPr>
                  <w:tcW w:w="598" w:type="pct"/>
                  <w:vAlign w:val="center"/>
                </w:tcPr>
                <w:p w14:paraId="3C32923E">
                  <w:pPr>
                    <w:spacing w:line="200" w:lineRule="atLeast"/>
                    <w:jc w:val="center"/>
                    <w:rPr>
                      <w:color w:val="auto"/>
                      <w:szCs w:val="21"/>
                    </w:rPr>
                  </w:pPr>
                  <w:r>
                    <w:rPr>
                      <w:rFonts w:hint="eastAsia"/>
                      <w:color w:val="auto"/>
                      <w:szCs w:val="21"/>
                    </w:rPr>
                    <w:t>废油墨</w:t>
                  </w:r>
                </w:p>
              </w:tc>
              <w:tc>
                <w:tcPr>
                  <w:tcW w:w="300" w:type="pct"/>
                  <w:vAlign w:val="center"/>
                </w:tcPr>
                <w:p w14:paraId="08DE9FF2">
                  <w:pPr>
                    <w:spacing w:line="200" w:lineRule="atLeast"/>
                    <w:jc w:val="center"/>
                    <w:rPr>
                      <w:color w:val="auto"/>
                      <w:szCs w:val="21"/>
                    </w:rPr>
                  </w:pPr>
                  <w:r>
                    <w:rPr>
                      <w:rFonts w:hint="eastAsia"/>
                      <w:color w:val="auto"/>
                      <w:szCs w:val="21"/>
                    </w:rPr>
                    <w:t>365天</w:t>
                  </w:r>
                </w:p>
              </w:tc>
              <w:tc>
                <w:tcPr>
                  <w:tcW w:w="358" w:type="pct"/>
                  <w:vAlign w:val="center"/>
                </w:tcPr>
                <w:p w14:paraId="028A45CF">
                  <w:pPr>
                    <w:spacing w:line="200" w:lineRule="atLeast"/>
                    <w:jc w:val="center"/>
                    <w:rPr>
                      <w:color w:val="auto"/>
                      <w:kern w:val="0"/>
                      <w:szCs w:val="21"/>
                      <w:lang w:val="zh-CN"/>
                    </w:rPr>
                  </w:pPr>
                  <w:r>
                    <w:rPr>
                      <w:color w:val="auto"/>
                      <w:szCs w:val="21"/>
                    </w:rPr>
                    <w:t>T</w:t>
                  </w:r>
                </w:p>
              </w:tc>
              <w:tc>
                <w:tcPr>
                  <w:tcW w:w="389" w:type="pct"/>
                  <w:vAlign w:val="center"/>
                </w:tcPr>
                <w:p w14:paraId="1028D411">
                  <w:pPr>
                    <w:pStyle w:val="906"/>
                    <w:spacing w:line="240" w:lineRule="auto"/>
                    <w:rPr>
                      <w:rFonts w:cs="Times New Roman"/>
                      <w:color w:val="auto"/>
                      <w:sz w:val="21"/>
                    </w:rPr>
                  </w:pPr>
                  <w:r>
                    <w:rPr>
                      <w:rFonts w:cs="Times New Roman"/>
                      <w:color w:val="auto"/>
                      <w:sz w:val="21"/>
                    </w:rPr>
                    <w:t>资质单位处置</w:t>
                  </w:r>
                </w:p>
              </w:tc>
            </w:tr>
            <w:tr w14:paraId="2132C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696C950">
                  <w:pPr>
                    <w:spacing w:line="200" w:lineRule="atLeast"/>
                    <w:jc w:val="center"/>
                    <w:rPr>
                      <w:color w:val="auto"/>
                      <w:szCs w:val="21"/>
                    </w:rPr>
                  </w:pPr>
                  <w:r>
                    <w:rPr>
                      <w:rFonts w:hint="eastAsia"/>
                      <w:color w:val="auto"/>
                      <w:szCs w:val="21"/>
                    </w:rPr>
                    <w:t>10</w:t>
                  </w:r>
                </w:p>
              </w:tc>
              <w:tc>
                <w:tcPr>
                  <w:tcW w:w="615" w:type="pct"/>
                  <w:vAlign w:val="center"/>
                </w:tcPr>
                <w:p w14:paraId="049010A2">
                  <w:pPr>
                    <w:spacing w:line="200" w:lineRule="atLeast"/>
                    <w:jc w:val="center"/>
                    <w:rPr>
                      <w:color w:val="auto"/>
                      <w:szCs w:val="21"/>
                    </w:rPr>
                  </w:pPr>
                  <w:r>
                    <w:rPr>
                      <w:rFonts w:hint="eastAsia"/>
                      <w:color w:val="auto"/>
                      <w:szCs w:val="21"/>
                    </w:rPr>
                    <w:t>废油墨桶</w:t>
                  </w:r>
                </w:p>
              </w:tc>
              <w:tc>
                <w:tcPr>
                  <w:tcW w:w="337" w:type="pct"/>
                  <w:vAlign w:val="center"/>
                </w:tcPr>
                <w:p w14:paraId="342DC365">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465" w:type="pct"/>
                  <w:vAlign w:val="center"/>
                </w:tcPr>
                <w:p w14:paraId="13788A4E">
                  <w:pPr>
                    <w:pStyle w:val="477"/>
                    <w:spacing w:after="0"/>
                    <w:rPr>
                      <w:color w:val="auto"/>
                      <w:szCs w:val="21"/>
                      <w:lang w:val="zh-CN"/>
                    </w:rPr>
                  </w:pPr>
                  <w:r>
                    <w:rPr>
                      <w:rFonts w:hint="eastAsia"/>
                      <w:color w:val="auto"/>
                      <w:kern w:val="0"/>
                      <w:szCs w:val="21"/>
                      <w:lang w:val="zh-CN"/>
                    </w:rPr>
                    <w:t>900-047-49</w:t>
                  </w:r>
                </w:p>
              </w:tc>
              <w:tc>
                <w:tcPr>
                  <w:tcW w:w="331" w:type="pct"/>
                  <w:vAlign w:val="center"/>
                </w:tcPr>
                <w:p w14:paraId="3233980B">
                  <w:pPr>
                    <w:pStyle w:val="477"/>
                    <w:spacing w:after="0"/>
                    <w:rPr>
                      <w:color w:val="auto"/>
                      <w:szCs w:val="21"/>
                    </w:rPr>
                  </w:pPr>
                  <w:r>
                    <w:rPr>
                      <w:rFonts w:hint="eastAsia"/>
                      <w:color w:val="auto"/>
                      <w:szCs w:val="21"/>
                    </w:rPr>
                    <w:t>0.0025</w:t>
                  </w:r>
                </w:p>
              </w:tc>
              <w:tc>
                <w:tcPr>
                  <w:tcW w:w="577" w:type="pct"/>
                  <w:vAlign w:val="center"/>
                </w:tcPr>
                <w:p w14:paraId="703E642A">
                  <w:pPr>
                    <w:spacing w:line="280" w:lineRule="exact"/>
                    <w:jc w:val="center"/>
                    <w:rPr>
                      <w:color w:val="auto"/>
                      <w:szCs w:val="21"/>
                    </w:rPr>
                  </w:pPr>
                  <w:r>
                    <w:rPr>
                      <w:rFonts w:hint="eastAsia"/>
                      <w:color w:val="auto"/>
                      <w:szCs w:val="21"/>
                    </w:rPr>
                    <w:t>丝印</w:t>
                  </w:r>
                </w:p>
              </w:tc>
              <w:tc>
                <w:tcPr>
                  <w:tcW w:w="240" w:type="pct"/>
                  <w:vAlign w:val="center"/>
                </w:tcPr>
                <w:p w14:paraId="5BF181A7">
                  <w:pPr>
                    <w:spacing w:line="280" w:lineRule="exact"/>
                    <w:jc w:val="center"/>
                    <w:rPr>
                      <w:color w:val="auto"/>
                      <w:szCs w:val="21"/>
                    </w:rPr>
                  </w:pPr>
                  <w:r>
                    <w:rPr>
                      <w:rFonts w:hint="eastAsia"/>
                      <w:color w:val="auto"/>
                      <w:szCs w:val="21"/>
                    </w:rPr>
                    <w:t>固</w:t>
                  </w:r>
                </w:p>
              </w:tc>
              <w:tc>
                <w:tcPr>
                  <w:tcW w:w="598" w:type="pct"/>
                  <w:vAlign w:val="center"/>
                </w:tcPr>
                <w:p w14:paraId="56641D38">
                  <w:pPr>
                    <w:spacing w:line="280" w:lineRule="exact"/>
                    <w:jc w:val="center"/>
                    <w:rPr>
                      <w:color w:val="auto"/>
                      <w:szCs w:val="21"/>
                    </w:rPr>
                  </w:pPr>
                  <w:r>
                    <w:rPr>
                      <w:rFonts w:hint="eastAsia"/>
                      <w:color w:val="auto"/>
                      <w:szCs w:val="21"/>
                    </w:rPr>
                    <w:t>包装桶</w:t>
                  </w:r>
                </w:p>
              </w:tc>
              <w:tc>
                <w:tcPr>
                  <w:tcW w:w="598" w:type="pct"/>
                  <w:vAlign w:val="center"/>
                </w:tcPr>
                <w:p w14:paraId="4E4B22F5">
                  <w:pPr>
                    <w:spacing w:line="200" w:lineRule="atLeast"/>
                    <w:jc w:val="center"/>
                    <w:rPr>
                      <w:color w:val="auto"/>
                      <w:szCs w:val="21"/>
                    </w:rPr>
                  </w:pPr>
                  <w:r>
                    <w:rPr>
                      <w:rFonts w:hint="eastAsia"/>
                      <w:color w:val="auto"/>
                      <w:szCs w:val="21"/>
                    </w:rPr>
                    <w:t>废油墨</w:t>
                  </w:r>
                </w:p>
              </w:tc>
              <w:tc>
                <w:tcPr>
                  <w:tcW w:w="300" w:type="pct"/>
                  <w:vAlign w:val="center"/>
                </w:tcPr>
                <w:p w14:paraId="4B8FB51F">
                  <w:pPr>
                    <w:spacing w:line="200" w:lineRule="atLeast"/>
                    <w:jc w:val="center"/>
                    <w:rPr>
                      <w:color w:val="auto"/>
                      <w:szCs w:val="21"/>
                    </w:rPr>
                  </w:pPr>
                  <w:r>
                    <w:rPr>
                      <w:rFonts w:hint="eastAsia"/>
                      <w:color w:val="auto"/>
                      <w:szCs w:val="21"/>
                    </w:rPr>
                    <w:t>365天</w:t>
                  </w:r>
                </w:p>
              </w:tc>
              <w:tc>
                <w:tcPr>
                  <w:tcW w:w="358" w:type="pct"/>
                  <w:vAlign w:val="center"/>
                </w:tcPr>
                <w:p w14:paraId="52C56EDF">
                  <w:pPr>
                    <w:spacing w:line="200" w:lineRule="atLeast"/>
                    <w:jc w:val="center"/>
                    <w:rPr>
                      <w:color w:val="auto"/>
                      <w:kern w:val="0"/>
                      <w:szCs w:val="21"/>
                      <w:lang w:val="zh-CN"/>
                    </w:rPr>
                  </w:pPr>
                  <w:r>
                    <w:rPr>
                      <w:color w:val="auto"/>
                      <w:szCs w:val="21"/>
                    </w:rPr>
                    <w:t>T/C/I/R</w:t>
                  </w:r>
                </w:p>
              </w:tc>
              <w:tc>
                <w:tcPr>
                  <w:tcW w:w="389" w:type="pct"/>
                  <w:vAlign w:val="center"/>
                </w:tcPr>
                <w:p w14:paraId="64CF8C57">
                  <w:pPr>
                    <w:pStyle w:val="906"/>
                    <w:spacing w:line="240" w:lineRule="auto"/>
                    <w:rPr>
                      <w:rFonts w:cs="Times New Roman"/>
                      <w:color w:val="auto"/>
                      <w:sz w:val="21"/>
                    </w:rPr>
                  </w:pPr>
                  <w:r>
                    <w:rPr>
                      <w:rFonts w:cs="Times New Roman"/>
                      <w:color w:val="auto"/>
                      <w:sz w:val="21"/>
                    </w:rPr>
                    <w:t>资质单位处置</w:t>
                  </w:r>
                </w:p>
              </w:tc>
            </w:tr>
            <w:tr w14:paraId="21A9F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3E225616">
                  <w:pPr>
                    <w:spacing w:line="200" w:lineRule="atLeast"/>
                    <w:jc w:val="center"/>
                    <w:rPr>
                      <w:color w:val="auto"/>
                      <w:szCs w:val="21"/>
                    </w:rPr>
                  </w:pPr>
                  <w:r>
                    <w:rPr>
                      <w:rFonts w:hint="eastAsia"/>
                      <w:color w:val="auto"/>
                      <w:szCs w:val="21"/>
                    </w:rPr>
                    <w:t>11</w:t>
                  </w:r>
                </w:p>
              </w:tc>
              <w:tc>
                <w:tcPr>
                  <w:tcW w:w="615" w:type="pct"/>
                  <w:vAlign w:val="center"/>
                </w:tcPr>
                <w:p w14:paraId="4723783F">
                  <w:pPr>
                    <w:spacing w:line="200" w:lineRule="atLeast"/>
                    <w:jc w:val="center"/>
                    <w:rPr>
                      <w:color w:val="auto"/>
                      <w:szCs w:val="21"/>
                    </w:rPr>
                  </w:pPr>
                  <w:r>
                    <w:rPr>
                      <w:rFonts w:hint="eastAsia"/>
                      <w:color w:val="auto"/>
                      <w:szCs w:val="21"/>
                    </w:rPr>
                    <w:t>废洗网水</w:t>
                  </w:r>
                </w:p>
              </w:tc>
              <w:tc>
                <w:tcPr>
                  <w:tcW w:w="337" w:type="pct"/>
                  <w:vAlign w:val="center"/>
                </w:tcPr>
                <w:p w14:paraId="4324C060">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69DA5183">
                  <w:pPr>
                    <w:pStyle w:val="477"/>
                    <w:spacing w:after="0"/>
                    <w:rPr>
                      <w:color w:val="auto"/>
                      <w:szCs w:val="21"/>
                      <w:lang w:val="zh-CN"/>
                    </w:rPr>
                  </w:pPr>
                  <w:r>
                    <w:rPr>
                      <w:rFonts w:hint="eastAsia"/>
                      <w:color w:val="auto"/>
                      <w:kern w:val="0"/>
                      <w:szCs w:val="21"/>
                      <w:lang w:val="zh-CN"/>
                    </w:rPr>
                    <w:t>900-</w:t>
                  </w:r>
                  <w:r>
                    <w:rPr>
                      <w:rFonts w:hint="eastAsia"/>
                      <w:color w:val="auto"/>
                      <w:kern w:val="0"/>
                      <w:szCs w:val="21"/>
                    </w:rPr>
                    <w:t>256</w:t>
                  </w:r>
                  <w:r>
                    <w:rPr>
                      <w:rFonts w:hint="eastAsia"/>
                      <w:color w:val="auto"/>
                      <w:kern w:val="0"/>
                      <w:szCs w:val="21"/>
                      <w:lang w:val="zh-CN"/>
                    </w:rPr>
                    <w:t>-</w:t>
                  </w:r>
                  <w:r>
                    <w:rPr>
                      <w:rFonts w:hint="eastAsia"/>
                      <w:color w:val="auto"/>
                      <w:kern w:val="0"/>
                      <w:szCs w:val="21"/>
                    </w:rPr>
                    <w:t>12</w:t>
                  </w:r>
                </w:p>
              </w:tc>
              <w:tc>
                <w:tcPr>
                  <w:tcW w:w="331" w:type="pct"/>
                  <w:vAlign w:val="center"/>
                </w:tcPr>
                <w:p w14:paraId="234A8C4F">
                  <w:pPr>
                    <w:pStyle w:val="477"/>
                    <w:spacing w:after="0"/>
                    <w:rPr>
                      <w:color w:val="auto"/>
                      <w:szCs w:val="21"/>
                    </w:rPr>
                  </w:pPr>
                  <w:r>
                    <w:rPr>
                      <w:rFonts w:hint="eastAsia"/>
                      <w:color w:val="auto"/>
                      <w:szCs w:val="21"/>
                    </w:rPr>
                    <w:t>0.34</w:t>
                  </w:r>
                </w:p>
              </w:tc>
              <w:tc>
                <w:tcPr>
                  <w:tcW w:w="577" w:type="pct"/>
                  <w:vAlign w:val="center"/>
                </w:tcPr>
                <w:p w14:paraId="02CACC71">
                  <w:pPr>
                    <w:spacing w:line="280" w:lineRule="exact"/>
                    <w:jc w:val="center"/>
                    <w:rPr>
                      <w:color w:val="auto"/>
                      <w:szCs w:val="21"/>
                    </w:rPr>
                  </w:pPr>
                  <w:r>
                    <w:rPr>
                      <w:rFonts w:hint="eastAsia"/>
                      <w:color w:val="auto"/>
                      <w:szCs w:val="21"/>
                    </w:rPr>
                    <w:t>丝印</w:t>
                  </w:r>
                </w:p>
              </w:tc>
              <w:tc>
                <w:tcPr>
                  <w:tcW w:w="240" w:type="pct"/>
                  <w:vAlign w:val="center"/>
                </w:tcPr>
                <w:p w14:paraId="4CC20EDE">
                  <w:pPr>
                    <w:spacing w:line="280" w:lineRule="exact"/>
                    <w:jc w:val="center"/>
                    <w:rPr>
                      <w:color w:val="auto"/>
                      <w:szCs w:val="21"/>
                    </w:rPr>
                  </w:pPr>
                  <w:r>
                    <w:rPr>
                      <w:rFonts w:hint="eastAsia"/>
                      <w:color w:val="auto"/>
                      <w:szCs w:val="21"/>
                    </w:rPr>
                    <w:t>液</w:t>
                  </w:r>
                </w:p>
              </w:tc>
              <w:tc>
                <w:tcPr>
                  <w:tcW w:w="598" w:type="pct"/>
                  <w:vAlign w:val="center"/>
                </w:tcPr>
                <w:p w14:paraId="4A8745F9">
                  <w:pPr>
                    <w:spacing w:line="280" w:lineRule="exact"/>
                    <w:jc w:val="center"/>
                    <w:rPr>
                      <w:color w:val="auto"/>
                      <w:szCs w:val="21"/>
                    </w:rPr>
                  </w:pPr>
                  <w:r>
                    <w:rPr>
                      <w:rFonts w:hint="eastAsia"/>
                      <w:color w:val="auto"/>
                      <w:szCs w:val="21"/>
                    </w:rPr>
                    <w:t>洗网水</w:t>
                  </w:r>
                </w:p>
              </w:tc>
              <w:tc>
                <w:tcPr>
                  <w:tcW w:w="598" w:type="pct"/>
                  <w:vAlign w:val="center"/>
                </w:tcPr>
                <w:p w14:paraId="7E2A0631">
                  <w:pPr>
                    <w:spacing w:line="200" w:lineRule="atLeast"/>
                    <w:jc w:val="center"/>
                    <w:rPr>
                      <w:color w:val="auto"/>
                      <w:szCs w:val="21"/>
                    </w:rPr>
                  </w:pPr>
                  <w:r>
                    <w:rPr>
                      <w:rFonts w:hint="eastAsia"/>
                      <w:color w:val="auto"/>
                      <w:szCs w:val="21"/>
                    </w:rPr>
                    <w:t>清洗剂</w:t>
                  </w:r>
                </w:p>
              </w:tc>
              <w:tc>
                <w:tcPr>
                  <w:tcW w:w="300" w:type="pct"/>
                  <w:vAlign w:val="center"/>
                </w:tcPr>
                <w:p w14:paraId="49CB83F8">
                  <w:pPr>
                    <w:spacing w:line="200" w:lineRule="atLeast"/>
                    <w:jc w:val="center"/>
                    <w:rPr>
                      <w:color w:val="auto"/>
                      <w:szCs w:val="21"/>
                    </w:rPr>
                  </w:pPr>
                  <w:r>
                    <w:rPr>
                      <w:rFonts w:hint="eastAsia"/>
                      <w:color w:val="auto"/>
                      <w:szCs w:val="21"/>
                    </w:rPr>
                    <w:t>365天</w:t>
                  </w:r>
                </w:p>
              </w:tc>
              <w:tc>
                <w:tcPr>
                  <w:tcW w:w="358" w:type="pct"/>
                  <w:vAlign w:val="center"/>
                </w:tcPr>
                <w:p w14:paraId="20F4A952">
                  <w:pPr>
                    <w:spacing w:line="200" w:lineRule="atLeast"/>
                    <w:jc w:val="center"/>
                    <w:rPr>
                      <w:color w:val="auto"/>
                      <w:kern w:val="0"/>
                      <w:szCs w:val="21"/>
                      <w:lang w:val="zh-CN"/>
                    </w:rPr>
                  </w:pPr>
                  <w:r>
                    <w:rPr>
                      <w:rFonts w:hint="eastAsia"/>
                      <w:color w:val="auto"/>
                      <w:kern w:val="0"/>
                      <w:szCs w:val="21"/>
                      <w:lang w:val="zh-CN"/>
                    </w:rPr>
                    <w:t>T,I,C</w:t>
                  </w:r>
                </w:p>
              </w:tc>
              <w:tc>
                <w:tcPr>
                  <w:tcW w:w="389" w:type="pct"/>
                  <w:vAlign w:val="center"/>
                </w:tcPr>
                <w:p w14:paraId="567119DA">
                  <w:pPr>
                    <w:pStyle w:val="906"/>
                    <w:spacing w:line="240" w:lineRule="auto"/>
                    <w:rPr>
                      <w:rFonts w:cs="Times New Roman"/>
                      <w:color w:val="auto"/>
                      <w:sz w:val="21"/>
                    </w:rPr>
                  </w:pPr>
                  <w:r>
                    <w:rPr>
                      <w:rFonts w:cs="Times New Roman"/>
                      <w:color w:val="auto"/>
                      <w:sz w:val="21"/>
                    </w:rPr>
                    <w:t>资质单位处置</w:t>
                  </w:r>
                </w:p>
              </w:tc>
            </w:tr>
            <w:tr w14:paraId="01A41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1C8EDCAC">
                  <w:pPr>
                    <w:spacing w:line="200" w:lineRule="atLeast"/>
                    <w:jc w:val="center"/>
                    <w:rPr>
                      <w:color w:val="auto"/>
                      <w:szCs w:val="21"/>
                    </w:rPr>
                  </w:pPr>
                  <w:r>
                    <w:rPr>
                      <w:rFonts w:hint="eastAsia"/>
                      <w:color w:val="auto"/>
                      <w:szCs w:val="21"/>
                    </w:rPr>
                    <w:t>12</w:t>
                  </w:r>
                </w:p>
              </w:tc>
              <w:tc>
                <w:tcPr>
                  <w:tcW w:w="615" w:type="pct"/>
                  <w:vAlign w:val="center"/>
                </w:tcPr>
                <w:p w14:paraId="01E58010">
                  <w:pPr>
                    <w:spacing w:line="200" w:lineRule="atLeast"/>
                    <w:jc w:val="center"/>
                    <w:rPr>
                      <w:color w:val="auto"/>
                      <w:szCs w:val="21"/>
                    </w:rPr>
                  </w:pPr>
                  <w:r>
                    <w:rPr>
                      <w:rFonts w:hint="eastAsia"/>
                      <w:color w:val="auto"/>
                      <w:szCs w:val="21"/>
                    </w:rPr>
                    <w:t>废机油</w:t>
                  </w:r>
                </w:p>
              </w:tc>
              <w:tc>
                <w:tcPr>
                  <w:tcW w:w="337" w:type="pct"/>
                  <w:vAlign w:val="center"/>
                </w:tcPr>
                <w:p w14:paraId="00A9C142">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2DCF36E4">
                  <w:pPr>
                    <w:pStyle w:val="477"/>
                    <w:spacing w:after="0"/>
                    <w:rPr>
                      <w:color w:val="auto"/>
                      <w:szCs w:val="21"/>
                      <w:lang w:val="zh-CN"/>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331" w:type="pct"/>
                  <w:vAlign w:val="center"/>
                </w:tcPr>
                <w:p w14:paraId="33A50041">
                  <w:pPr>
                    <w:pStyle w:val="477"/>
                    <w:spacing w:after="0"/>
                    <w:rPr>
                      <w:color w:val="auto"/>
                      <w:szCs w:val="21"/>
                    </w:rPr>
                  </w:pPr>
                  <w:r>
                    <w:rPr>
                      <w:rFonts w:hint="eastAsia"/>
                      <w:color w:val="auto"/>
                      <w:szCs w:val="21"/>
                    </w:rPr>
                    <w:t>0.01</w:t>
                  </w:r>
                </w:p>
              </w:tc>
              <w:tc>
                <w:tcPr>
                  <w:tcW w:w="577" w:type="pct"/>
                  <w:vAlign w:val="center"/>
                </w:tcPr>
                <w:p w14:paraId="2892ED63">
                  <w:pPr>
                    <w:spacing w:line="280" w:lineRule="exact"/>
                    <w:jc w:val="center"/>
                    <w:rPr>
                      <w:color w:val="auto"/>
                      <w:szCs w:val="21"/>
                    </w:rPr>
                  </w:pPr>
                  <w:r>
                    <w:rPr>
                      <w:rFonts w:hint="eastAsia"/>
                      <w:color w:val="auto"/>
                      <w:szCs w:val="21"/>
                    </w:rPr>
                    <w:t>设备维护</w:t>
                  </w:r>
                </w:p>
              </w:tc>
              <w:tc>
                <w:tcPr>
                  <w:tcW w:w="240" w:type="pct"/>
                  <w:vAlign w:val="center"/>
                </w:tcPr>
                <w:p w14:paraId="496F5438">
                  <w:pPr>
                    <w:spacing w:line="280" w:lineRule="exact"/>
                    <w:jc w:val="center"/>
                    <w:rPr>
                      <w:color w:val="auto"/>
                      <w:szCs w:val="21"/>
                    </w:rPr>
                  </w:pPr>
                  <w:r>
                    <w:rPr>
                      <w:rFonts w:hint="eastAsia"/>
                      <w:color w:val="auto"/>
                      <w:szCs w:val="21"/>
                    </w:rPr>
                    <w:t>液</w:t>
                  </w:r>
                </w:p>
              </w:tc>
              <w:tc>
                <w:tcPr>
                  <w:tcW w:w="598" w:type="pct"/>
                  <w:vAlign w:val="center"/>
                </w:tcPr>
                <w:p w14:paraId="7DC1244C">
                  <w:pPr>
                    <w:spacing w:line="280" w:lineRule="exact"/>
                    <w:jc w:val="center"/>
                    <w:rPr>
                      <w:color w:val="auto"/>
                      <w:szCs w:val="21"/>
                    </w:rPr>
                  </w:pPr>
                  <w:r>
                    <w:rPr>
                      <w:rFonts w:hint="eastAsia"/>
                      <w:color w:val="auto"/>
                      <w:szCs w:val="21"/>
                    </w:rPr>
                    <w:t>机油</w:t>
                  </w:r>
                </w:p>
              </w:tc>
              <w:tc>
                <w:tcPr>
                  <w:tcW w:w="598" w:type="pct"/>
                  <w:vAlign w:val="center"/>
                </w:tcPr>
                <w:p w14:paraId="4DE27EC8">
                  <w:pPr>
                    <w:spacing w:line="200" w:lineRule="atLeast"/>
                    <w:jc w:val="center"/>
                    <w:rPr>
                      <w:color w:val="auto"/>
                      <w:szCs w:val="21"/>
                    </w:rPr>
                  </w:pPr>
                  <w:r>
                    <w:rPr>
                      <w:rFonts w:hint="eastAsia"/>
                      <w:color w:val="auto"/>
                      <w:szCs w:val="21"/>
                    </w:rPr>
                    <w:t>矿物油</w:t>
                  </w:r>
                </w:p>
              </w:tc>
              <w:tc>
                <w:tcPr>
                  <w:tcW w:w="300" w:type="pct"/>
                  <w:vAlign w:val="center"/>
                </w:tcPr>
                <w:p w14:paraId="761B6940">
                  <w:pPr>
                    <w:spacing w:line="200" w:lineRule="atLeast"/>
                    <w:jc w:val="center"/>
                    <w:rPr>
                      <w:color w:val="auto"/>
                      <w:szCs w:val="21"/>
                    </w:rPr>
                  </w:pPr>
                  <w:r>
                    <w:rPr>
                      <w:rFonts w:hint="eastAsia"/>
                      <w:color w:val="auto"/>
                      <w:szCs w:val="21"/>
                    </w:rPr>
                    <w:t>365天</w:t>
                  </w:r>
                </w:p>
              </w:tc>
              <w:tc>
                <w:tcPr>
                  <w:tcW w:w="358" w:type="pct"/>
                  <w:vAlign w:val="center"/>
                </w:tcPr>
                <w:p w14:paraId="1981F191">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4FF001B0">
                  <w:pPr>
                    <w:pStyle w:val="906"/>
                    <w:spacing w:line="240" w:lineRule="auto"/>
                    <w:rPr>
                      <w:rFonts w:cs="Times New Roman"/>
                      <w:color w:val="auto"/>
                      <w:sz w:val="21"/>
                    </w:rPr>
                  </w:pPr>
                  <w:r>
                    <w:rPr>
                      <w:rFonts w:cs="Times New Roman"/>
                      <w:color w:val="auto"/>
                      <w:sz w:val="21"/>
                    </w:rPr>
                    <w:t>资质单位处置</w:t>
                  </w:r>
                </w:p>
              </w:tc>
            </w:tr>
            <w:tr w14:paraId="7410B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270A2025">
                  <w:pPr>
                    <w:spacing w:line="200" w:lineRule="atLeast"/>
                    <w:jc w:val="center"/>
                    <w:rPr>
                      <w:color w:val="auto"/>
                      <w:szCs w:val="21"/>
                    </w:rPr>
                  </w:pPr>
                  <w:r>
                    <w:rPr>
                      <w:rFonts w:hint="eastAsia"/>
                      <w:color w:val="auto"/>
                      <w:szCs w:val="21"/>
                    </w:rPr>
                    <w:t>13</w:t>
                  </w:r>
                </w:p>
              </w:tc>
              <w:tc>
                <w:tcPr>
                  <w:tcW w:w="615" w:type="pct"/>
                  <w:vAlign w:val="center"/>
                </w:tcPr>
                <w:p w14:paraId="7D8EF9C4">
                  <w:pPr>
                    <w:spacing w:line="200" w:lineRule="atLeast"/>
                    <w:jc w:val="center"/>
                    <w:rPr>
                      <w:color w:val="auto"/>
                      <w:szCs w:val="21"/>
                    </w:rPr>
                  </w:pPr>
                  <w:r>
                    <w:rPr>
                      <w:rFonts w:hint="eastAsia"/>
                      <w:color w:val="auto"/>
                      <w:szCs w:val="21"/>
                    </w:rPr>
                    <w:t>废油桶</w:t>
                  </w:r>
                </w:p>
              </w:tc>
              <w:tc>
                <w:tcPr>
                  <w:tcW w:w="337" w:type="pct"/>
                  <w:vAlign w:val="center"/>
                </w:tcPr>
                <w:p w14:paraId="7FEED925">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442B645D">
                  <w:pPr>
                    <w:pStyle w:val="477"/>
                    <w:spacing w:after="0"/>
                    <w:rPr>
                      <w:color w:val="auto"/>
                      <w:szCs w:val="21"/>
                      <w:lang w:val="zh-CN"/>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331" w:type="pct"/>
                  <w:vAlign w:val="center"/>
                </w:tcPr>
                <w:p w14:paraId="3D49214D">
                  <w:pPr>
                    <w:pStyle w:val="477"/>
                    <w:spacing w:after="0"/>
                    <w:rPr>
                      <w:color w:val="auto"/>
                      <w:szCs w:val="21"/>
                    </w:rPr>
                  </w:pPr>
                  <w:r>
                    <w:rPr>
                      <w:rFonts w:hint="eastAsia"/>
                      <w:color w:val="auto"/>
                      <w:szCs w:val="21"/>
                    </w:rPr>
                    <w:t>0.028</w:t>
                  </w:r>
                </w:p>
              </w:tc>
              <w:tc>
                <w:tcPr>
                  <w:tcW w:w="577" w:type="pct"/>
                  <w:vAlign w:val="center"/>
                </w:tcPr>
                <w:p w14:paraId="68660CF9">
                  <w:pPr>
                    <w:spacing w:line="280" w:lineRule="exact"/>
                    <w:jc w:val="center"/>
                    <w:rPr>
                      <w:color w:val="auto"/>
                      <w:szCs w:val="21"/>
                    </w:rPr>
                  </w:pPr>
                  <w:r>
                    <w:rPr>
                      <w:rFonts w:hint="eastAsia"/>
                      <w:color w:val="auto"/>
                      <w:szCs w:val="21"/>
                    </w:rPr>
                    <w:t>设备维护</w:t>
                  </w:r>
                </w:p>
              </w:tc>
              <w:tc>
                <w:tcPr>
                  <w:tcW w:w="240" w:type="pct"/>
                  <w:vAlign w:val="center"/>
                </w:tcPr>
                <w:p w14:paraId="6914355E">
                  <w:pPr>
                    <w:spacing w:line="280" w:lineRule="exact"/>
                    <w:jc w:val="center"/>
                    <w:rPr>
                      <w:color w:val="auto"/>
                      <w:szCs w:val="21"/>
                    </w:rPr>
                  </w:pPr>
                  <w:r>
                    <w:rPr>
                      <w:rFonts w:hint="eastAsia"/>
                      <w:color w:val="auto"/>
                      <w:szCs w:val="21"/>
                    </w:rPr>
                    <w:t>固</w:t>
                  </w:r>
                </w:p>
              </w:tc>
              <w:tc>
                <w:tcPr>
                  <w:tcW w:w="598" w:type="pct"/>
                  <w:vAlign w:val="center"/>
                </w:tcPr>
                <w:p w14:paraId="08BBBB26">
                  <w:pPr>
                    <w:spacing w:line="280" w:lineRule="exact"/>
                    <w:jc w:val="center"/>
                    <w:rPr>
                      <w:color w:val="auto"/>
                      <w:szCs w:val="21"/>
                    </w:rPr>
                  </w:pPr>
                  <w:r>
                    <w:rPr>
                      <w:rFonts w:hint="eastAsia"/>
                      <w:color w:val="auto"/>
                      <w:szCs w:val="21"/>
                    </w:rPr>
                    <w:t>机油</w:t>
                  </w:r>
                </w:p>
              </w:tc>
              <w:tc>
                <w:tcPr>
                  <w:tcW w:w="598" w:type="pct"/>
                  <w:vAlign w:val="center"/>
                </w:tcPr>
                <w:p w14:paraId="72F45498">
                  <w:pPr>
                    <w:spacing w:line="200" w:lineRule="atLeast"/>
                    <w:jc w:val="center"/>
                    <w:rPr>
                      <w:color w:val="auto"/>
                      <w:szCs w:val="21"/>
                    </w:rPr>
                  </w:pPr>
                  <w:r>
                    <w:rPr>
                      <w:rFonts w:hint="eastAsia"/>
                      <w:color w:val="auto"/>
                      <w:szCs w:val="21"/>
                    </w:rPr>
                    <w:t>矿物油</w:t>
                  </w:r>
                </w:p>
              </w:tc>
              <w:tc>
                <w:tcPr>
                  <w:tcW w:w="300" w:type="pct"/>
                  <w:vAlign w:val="center"/>
                </w:tcPr>
                <w:p w14:paraId="0F41389B">
                  <w:pPr>
                    <w:spacing w:line="200" w:lineRule="atLeast"/>
                    <w:jc w:val="center"/>
                    <w:rPr>
                      <w:color w:val="auto"/>
                      <w:szCs w:val="21"/>
                    </w:rPr>
                  </w:pPr>
                  <w:r>
                    <w:rPr>
                      <w:rFonts w:hint="eastAsia"/>
                      <w:color w:val="auto"/>
                      <w:szCs w:val="21"/>
                    </w:rPr>
                    <w:t>365天</w:t>
                  </w:r>
                </w:p>
              </w:tc>
              <w:tc>
                <w:tcPr>
                  <w:tcW w:w="358" w:type="pct"/>
                  <w:vAlign w:val="center"/>
                </w:tcPr>
                <w:p w14:paraId="35A786AA">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5E928797">
                  <w:pPr>
                    <w:pStyle w:val="906"/>
                    <w:spacing w:line="240" w:lineRule="auto"/>
                    <w:rPr>
                      <w:rFonts w:cs="Times New Roman"/>
                      <w:color w:val="auto"/>
                      <w:sz w:val="21"/>
                    </w:rPr>
                  </w:pPr>
                  <w:r>
                    <w:rPr>
                      <w:rFonts w:cs="Times New Roman"/>
                      <w:color w:val="auto"/>
                      <w:sz w:val="21"/>
                    </w:rPr>
                    <w:t>资质单位处置</w:t>
                  </w:r>
                </w:p>
              </w:tc>
            </w:tr>
            <w:tr w14:paraId="7FA52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6427B70D">
                  <w:pPr>
                    <w:spacing w:line="200" w:lineRule="atLeast"/>
                    <w:jc w:val="center"/>
                    <w:rPr>
                      <w:color w:val="auto"/>
                      <w:szCs w:val="21"/>
                    </w:rPr>
                  </w:pPr>
                  <w:r>
                    <w:rPr>
                      <w:rFonts w:hint="eastAsia"/>
                      <w:color w:val="auto"/>
                      <w:szCs w:val="21"/>
                    </w:rPr>
                    <w:t>14</w:t>
                  </w:r>
                </w:p>
              </w:tc>
              <w:tc>
                <w:tcPr>
                  <w:tcW w:w="615" w:type="pct"/>
                  <w:vAlign w:val="center"/>
                </w:tcPr>
                <w:p w14:paraId="23580A83">
                  <w:pPr>
                    <w:spacing w:line="200" w:lineRule="atLeast"/>
                    <w:jc w:val="center"/>
                    <w:rPr>
                      <w:color w:val="auto"/>
                      <w:szCs w:val="21"/>
                    </w:rPr>
                  </w:pPr>
                  <w:r>
                    <w:rPr>
                      <w:rFonts w:hint="eastAsia"/>
                      <w:color w:val="auto"/>
                      <w:szCs w:val="21"/>
                    </w:rPr>
                    <w:t>废过滤棉</w:t>
                  </w:r>
                </w:p>
              </w:tc>
              <w:tc>
                <w:tcPr>
                  <w:tcW w:w="337" w:type="pct"/>
                  <w:vAlign w:val="center"/>
                </w:tcPr>
                <w:p w14:paraId="59245F46">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465" w:type="pct"/>
                  <w:vAlign w:val="center"/>
                </w:tcPr>
                <w:p w14:paraId="24361631">
                  <w:pPr>
                    <w:pStyle w:val="477"/>
                    <w:spacing w:after="0"/>
                    <w:rPr>
                      <w:color w:val="auto"/>
                      <w:szCs w:val="21"/>
                      <w:lang w:val="zh-CN"/>
                    </w:rPr>
                  </w:pPr>
                  <w:r>
                    <w:rPr>
                      <w:rFonts w:hint="eastAsia"/>
                      <w:color w:val="auto"/>
                      <w:kern w:val="0"/>
                      <w:szCs w:val="21"/>
                      <w:lang w:val="zh-CN"/>
                    </w:rPr>
                    <w:t>900-</w:t>
                  </w:r>
                  <w:r>
                    <w:rPr>
                      <w:rFonts w:hint="eastAsia"/>
                      <w:color w:val="auto"/>
                      <w:kern w:val="0"/>
                      <w:szCs w:val="21"/>
                    </w:rPr>
                    <w:t>041-49</w:t>
                  </w:r>
                </w:p>
              </w:tc>
              <w:tc>
                <w:tcPr>
                  <w:tcW w:w="331" w:type="pct"/>
                  <w:vAlign w:val="center"/>
                </w:tcPr>
                <w:p w14:paraId="35F39047">
                  <w:pPr>
                    <w:pStyle w:val="477"/>
                    <w:spacing w:after="0"/>
                    <w:rPr>
                      <w:color w:val="auto"/>
                      <w:szCs w:val="21"/>
                    </w:rPr>
                  </w:pPr>
                  <w:r>
                    <w:rPr>
                      <w:rFonts w:hint="eastAsia"/>
                      <w:color w:val="auto"/>
                      <w:szCs w:val="21"/>
                    </w:rPr>
                    <w:t>2.80442</w:t>
                  </w:r>
                </w:p>
              </w:tc>
              <w:tc>
                <w:tcPr>
                  <w:tcW w:w="577" w:type="pct"/>
                  <w:vAlign w:val="center"/>
                </w:tcPr>
                <w:p w14:paraId="1DB76922">
                  <w:pPr>
                    <w:spacing w:line="280" w:lineRule="exact"/>
                    <w:jc w:val="center"/>
                    <w:rPr>
                      <w:color w:val="auto"/>
                      <w:szCs w:val="21"/>
                    </w:rPr>
                  </w:pPr>
                  <w:r>
                    <w:rPr>
                      <w:rFonts w:hint="eastAsia"/>
                      <w:color w:val="auto"/>
                      <w:szCs w:val="21"/>
                    </w:rPr>
                    <w:t>废气处理</w:t>
                  </w:r>
                </w:p>
              </w:tc>
              <w:tc>
                <w:tcPr>
                  <w:tcW w:w="240" w:type="pct"/>
                  <w:vAlign w:val="center"/>
                </w:tcPr>
                <w:p w14:paraId="71E1DF62">
                  <w:pPr>
                    <w:spacing w:line="280" w:lineRule="exact"/>
                    <w:jc w:val="center"/>
                    <w:rPr>
                      <w:color w:val="auto"/>
                      <w:szCs w:val="21"/>
                    </w:rPr>
                  </w:pPr>
                  <w:r>
                    <w:rPr>
                      <w:rFonts w:hint="eastAsia"/>
                      <w:color w:val="auto"/>
                      <w:szCs w:val="21"/>
                    </w:rPr>
                    <w:t>固</w:t>
                  </w:r>
                </w:p>
              </w:tc>
              <w:tc>
                <w:tcPr>
                  <w:tcW w:w="598" w:type="pct"/>
                  <w:vAlign w:val="center"/>
                </w:tcPr>
                <w:p w14:paraId="30A6FBB3">
                  <w:pPr>
                    <w:spacing w:line="280" w:lineRule="exact"/>
                    <w:jc w:val="center"/>
                    <w:rPr>
                      <w:color w:val="auto"/>
                      <w:szCs w:val="21"/>
                    </w:rPr>
                  </w:pPr>
                  <w:r>
                    <w:rPr>
                      <w:rFonts w:hint="eastAsia"/>
                      <w:color w:val="auto"/>
                      <w:szCs w:val="21"/>
                    </w:rPr>
                    <w:t>过滤棉</w:t>
                  </w:r>
                </w:p>
              </w:tc>
              <w:tc>
                <w:tcPr>
                  <w:tcW w:w="598" w:type="pct"/>
                  <w:vAlign w:val="center"/>
                </w:tcPr>
                <w:p w14:paraId="5F4C6B30">
                  <w:pPr>
                    <w:spacing w:line="200" w:lineRule="atLeast"/>
                    <w:jc w:val="center"/>
                    <w:rPr>
                      <w:color w:val="auto"/>
                      <w:szCs w:val="21"/>
                    </w:rPr>
                  </w:pPr>
                  <w:r>
                    <w:rPr>
                      <w:rFonts w:hint="eastAsia"/>
                      <w:color w:val="auto"/>
                      <w:szCs w:val="21"/>
                    </w:rPr>
                    <w:t>残留物</w:t>
                  </w:r>
                </w:p>
              </w:tc>
              <w:tc>
                <w:tcPr>
                  <w:tcW w:w="300" w:type="pct"/>
                  <w:vAlign w:val="center"/>
                </w:tcPr>
                <w:p w14:paraId="531D19D6">
                  <w:pPr>
                    <w:spacing w:line="200" w:lineRule="atLeast"/>
                    <w:jc w:val="center"/>
                    <w:rPr>
                      <w:color w:val="auto"/>
                      <w:szCs w:val="21"/>
                    </w:rPr>
                  </w:pPr>
                  <w:r>
                    <w:rPr>
                      <w:rFonts w:hint="eastAsia"/>
                      <w:color w:val="auto"/>
                      <w:szCs w:val="21"/>
                    </w:rPr>
                    <w:t>365天</w:t>
                  </w:r>
                </w:p>
              </w:tc>
              <w:tc>
                <w:tcPr>
                  <w:tcW w:w="358" w:type="pct"/>
                  <w:vAlign w:val="center"/>
                </w:tcPr>
                <w:p w14:paraId="7474F795">
                  <w:pPr>
                    <w:spacing w:line="200" w:lineRule="atLeast"/>
                    <w:jc w:val="center"/>
                    <w:rPr>
                      <w:color w:val="auto"/>
                      <w:kern w:val="0"/>
                      <w:szCs w:val="21"/>
                      <w:lang w:val="zh-CN"/>
                    </w:rPr>
                  </w:pPr>
                  <w:r>
                    <w:rPr>
                      <w:rFonts w:hint="eastAsia"/>
                      <w:color w:val="auto"/>
                      <w:kern w:val="0"/>
                      <w:szCs w:val="21"/>
                      <w:lang w:val="zh-CN"/>
                    </w:rPr>
                    <w:t>T/In</w:t>
                  </w:r>
                </w:p>
              </w:tc>
              <w:tc>
                <w:tcPr>
                  <w:tcW w:w="389" w:type="pct"/>
                  <w:vAlign w:val="center"/>
                </w:tcPr>
                <w:p w14:paraId="213944A5">
                  <w:pPr>
                    <w:pStyle w:val="906"/>
                    <w:spacing w:line="240" w:lineRule="auto"/>
                    <w:rPr>
                      <w:rFonts w:cs="Times New Roman"/>
                      <w:color w:val="auto"/>
                      <w:sz w:val="21"/>
                    </w:rPr>
                  </w:pPr>
                  <w:r>
                    <w:rPr>
                      <w:rFonts w:cs="Times New Roman"/>
                      <w:color w:val="auto"/>
                      <w:sz w:val="21"/>
                    </w:rPr>
                    <w:t>资质单位处置</w:t>
                  </w:r>
                </w:p>
              </w:tc>
            </w:tr>
            <w:tr w14:paraId="6DFAC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0281A447">
                  <w:pPr>
                    <w:spacing w:line="200" w:lineRule="atLeast"/>
                    <w:jc w:val="center"/>
                    <w:rPr>
                      <w:color w:val="auto"/>
                      <w:szCs w:val="21"/>
                    </w:rPr>
                  </w:pPr>
                  <w:r>
                    <w:rPr>
                      <w:rFonts w:hint="eastAsia"/>
                      <w:color w:val="auto"/>
                      <w:szCs w:val="21"/>
                    </w:rPr>
                    <w:t>15</w:t>
                  </w:r>
                </w:p>
              </w:tc>
              <w:tc>
                <w:tcPr>
                  <w:tcW w:w="615" w:type="pct"/>
                  <w:vAlign w:val="center"/>
                </w:tcPr>
                <w:p w14:paraId="3475F210">
                  <w:pPr>
                    <w:spacing w:line="200" w:lineRule="atLeast"/>
                    <w:jc w:val="center"/>
                    <w:rPr>
                      <w:color w:val="auto"/>
                      <w:szCs w:val="21"/>
                    </w:rPr>
                  </w:pPr>
                  <w:r>
                    <w:rPr>
                      <w:rFonts w:hint="eastAsia"/>
                      <w:color w:val="auto"/>
                      <w:szCs w:val="21"/>
                    </w:rPr>
                    <w:t>喷枪清洗废液</w:t>
                  </w:r>
                </w:p>
              </w:tc>
              <w:tc>
                <w:tcPr>
                  <w:tcW w:w="337" w:type="pct"/>
                  <w:vAlign w:val="center"/>
                </w:tcPr>
                <w:p w14:paraId="1C6F0ADE">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65D6D4BC">
                  <w:pPr>
                    <w:pStyle w:val="477"/>
                    <w:spacing w:after="0"/>
                    <w:rPr>
                      <w:color w:val="auto"/>
                      <w:szCs w:val="21"/>
                      <w:lang w:val="zh-CN"/>
                    </w:rPr>
                  </w:pPr>
                  <w:r>
                    <w:rPr>
                      <w:rFonts w:hint="eastAsia"/>
                      <w:color w:val="auto"/>
                      <w:kern w:val="0"/>
                      <w:szCs w:val="21"/>
                      <w:lang w:val="zh-CN"/>
                    </w:rPr>
                    <w:t>900-</w:t>
                  </w:r>
                  <w:r>
                    <w:rPr>
                      <w:rFonts w:hint="eastAsia"/>
                      <w:color w:val="auto"/>
                      <w:kern w:val="0"/>
                      <w:szCs w:val="21"/>
                    </w:rPr>
                    <w:t>252-12</w:t>
                  </w:r>
                </w:p>
              </w:tc>
              <w:tc>
                <w:tcPr>
                  <w:tcW w:w="331" w:type="pct"/>
                  <w:vAlign w:val="center"/>
                </w:tcPr>
                <w:p w14:paraId="50F3A903">
                  <w:pPr>
                    <w:pStyle w:val="477"/>
                    <w:spacing w:after="0"/>
                    <w:rPr>
                      <w:color w:val="auto"/>
                      <w:szCs w:val="21"/>
                    </w:rPr>
                  </w:pPr>
                  <w:r>
                    <w:rPr>
                      <w:rFonts w:hint="eastAsia"/>
                      <w:color w:val="auto"/>
                      <w:szCs w:val="21"/>
                    </w:rPr>
                    <w:t>2.4</w:t>
                  </w:r>
                </w:p>
              </w:tc>
              <w:tc>
                <w:tcPr>
                  <w:tcW w:w="577" w:type="pct"/>
                  <w:vAlign w:val="center"/>
                </w:tcPr>
                <w:p w14:paraId="2E5D79E4">
                  <w:pPr>
                    <w:spacing w:line="280" w:lineRule="exact"/>
                    <w:jc w:val="center"/>
                    <w:rPr>
                      <w:color w:val="auto"/>
                      <w:szCs w:val="21"/>
                    </w:rPr>
                  </w:pPr>
                  <w:r>
                    <w:rPr>
                      <w:rFonts w:hint="eastAsia"/>
                      <w:color w:val="auto"/>
                      <w:szCs w:val="21"/>
                    </w:rPr>
                    <w:t>清洗喷枪</w:t>
                  </w:r>
                </w:p>
              </w:tc>
              <w:tc>
                <w:tcPr>
                  <w:tcW w:w="240" w:type="pct"/>
                  <w:vAlign w:val="center"/>
                </w:tcPr>
                <w:p w14:paraId="46B412D6">
                  <w:pPr>
                    <w:spacing w:line="280" w:lineRule="exact"/>
                    <w:jc w:val="center"/>
                    <w:rPr>
                      <w:color w:val="auto"/>
                      <w:szCs w:val="21"/>
                    </w:rPr>
                  </w:pPr>
                  <w:r>
                    <w:rPr>
                      <w:rFonts w:hint="eastAsia"/>
                      <w:color w:val="auto"/>
                      <w:szCs w:val="21"/>
                    </w:rPr>
                    <w:t>液</w:t>
                  </w:r>
                </w:p>
              </w:tc>
              <w:tc>
                <w:tcPr>
                  <w:tcW w:w="598" w:type="pct"/>
                  <w:vAlign w:val="center"/>
                </w:tcPr>
                <w:p w14:paraId="30642F64">
                  <w:pPr>
                    <w:spacing w:line="280" w:lineRule="exact"/>
                    <w:jc w:val="center"/>
                    <w:rPr>
                      <w:color w:val="auto"/>
                      <w:szCs w:val="21"/>
                    </w:rPr>
                  </w:pPr>
                  <w:r>
                    <w:rPr>
                      <w:rFonts w:hint="eastAsia"/>
                      <w:color w:val="auto"/>
                      <w:szCs w:val="21"/>
                    </w:rPr>
                    <w:t>漆</w:t>
                  </w:r>
                </w:p>
              </w:tc>
              <w:tc>
                <w:tcPr>
                  <w:tcW w:w="598" w:type="pct"/>
                  <w:vAlign w:val="center"/>
                </w:tcPr>
                <w:p w14:paraId="5B0F0702">
                  <w:pPr>
                    <w:spacing w:line="200" w:lineRule="atLeast"/>
                    <w:jc w:val="center"/>
                    <w:rPr>
                      <w:color w:val="auto"/>
                      <w:szCs w:val="21"/>
                    </w:rPr>
                  </w:pPr>
                  <w:r>
                    <w:rPr>
                      <w:rFonts w:hint="eastAsia"/>
                      <w:color w:val="auto"/>
                      <w:szCs w:val="21"/>
                    </w:rPr>
                    <w:t>残留物</w:t>
                  </w:r>
                </w:p>
              </w:tc>
              <w:tc>
                <w:tcPr>
                  <w:tcW w:w="300" w:type="pct"/>
                  <w:vAlign w:val="center"/>
                </w:tcPr>
                <w:p w14:paraId="4672538A">
                  <w:pPr>
                    <w:spacing w:line="200" w:lineRule="atLeast"/>
                    <w:jc w:val="center"/>
                    <w:rPr>
                      <w:color w:val="auto"/>
                      <w:szCs w:val="21"/>
                    </w:rPr>
                  </w:pPr>
                  <w:r>
                    <w:rPr>
                      <w:rFonts w:hint="eastAsia"/>
                      <w:color w:val="auto"/>
                      <w:szCs w:val="21"/>
                    </w:rPr>
                    <w:t>365天</w:t>
                  </w:r>
                </w:p>
              </w:tc>
              <w:tc>
                <w:tcPr>
                  <w:tcW w:w="358" w:type="pct"/>
                  <w:vAlign w:val="center"/>
                </w:tcPr>
                <w:p w14:paraId="16D3C189">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37F6F266">
                  <w:pPr>
                    <w:pStyle w:val="906"/>
                    <w:spacing w:line="240" w:lineRule="auto"/>
                    <w:rPr>
                      <w:rFonts w:cs="Times New Roman"/>
                      <w:color w:val="auto"/>
                      <w:sz w:val="21"/>
                    </w:rPr>
                  </w:pPr>
                  <w:r>
                    <w:rPr>
                      <w:rFonts w:cs="Times New Roman"/>
                      <w:color w:val="auto"/>
                      <w:sz w:val="21"/>
                    </w:rPr>
                    <w:t>资质单位处置</w:t>
                  </w:r>
                </w:p>
              </w:tc>
            </w:tr>
            <w:tr w14:paraId="0B073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252FC0EE">
                  <w:pPr>
                    <w:spacing w:line="200" w:lineRule="atLeast"/>
                    <w:jc w:val="center"/>
                    <w:rPr>
                      <w:color w:val="auto"/>
                      <w:szCs w:val="21"/>
                    </w:rPr>
                  </w:pPr>
                  <w:r>
                    <w:rPr>
                      <w:rFonts w:hint="eastAsia"/>
                      <w:color w:val="auto"/>
                      <w:szCs w:val="21"/>
                    </w:rPr>
                    <w:t>16</w:t>
                  </w:r>
                </w:p>
              </w:tc>
              <w:tc>
                <w:tcPr>
                  <w:tcW w:w="615" w:type="pct"/>
                  <w:vAlign w:val="center"/>
                </w:tcPr>
                <w:p w14:paraId="3D83075A">
                  <w:pPr>
                    <w:spacing w:line="200" w:lineRule="atLeast"/>
                    <w:jc w:val="center"/>
                    <w:rPr>
                      <w:color w:val="auto"/>
                      <w:szCs w:val="21"/>
                    </w:rPr>
                  </w:pPr>
                  <w:r>
                    <w:rPr>
                      <w:rFonts w:hint="eastAsia"/>
                      <w:color w:val="auto"/>
                      <w:szCs w:val="21"/>
                    </w:rPr>
                    <w:t>水幕帘废液</w:t>
                  </w:r>
                </w:p>
              </w:tc>
              <w:tc>
                <w:tcPr>
                  <w:tcW w:w="337" w:type="pct"/>
                  <w:vAlign w:val="center"/>
                </w:tcPr>
                <w:p w14:paraId="3715E82D">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465" w:type="pct"/>
                  <w:vAlign w:val="center"/>
                </w:tcPr>
                <w:p w14:paraId="72F6A7F5">
                  <w:pPr>
                    <w:pStyle w:val="477"/>
                    <w:spacing w:after="0"/>
                    <w:rPr>
                      <w:color w:val="auto"/>
                      <w:szCs w:val="21"/>
                      <w:lang w:val="zh-CN"/>
                    </w:rPr>
                  </w:pPr>
                  <w:r>
                    <w:rPr>
                      <w:rFonts w:hint="eastAsia"/>
                      <w:color w:val="auto"/>
                      <w:kern w:val="0"/>
                      <w:szCs w:val="21"/>
                      <w:lang w:val="zh-CN"/>
                    </w:rPr>
                    <w:t>900-</w:t>
                  </w:r>
                  <w:r>
                    <w:rPr>
                      <w:rFonts w:hint="eastAsia"/>
                      <w:color w:val="auto"/>
                      <w:kern w:val="0"/>
                      <w:szCs w:val="21"/>
                    </w:rPr>
                    <w:t>252-12</w:t>
                  </w:r>
                </w:p>
              </w:tc>
              <w:tc>
                <w:tcPr>
                  <w:tcW w:w="331" w:type="pct"/>
                  <w:vAlign w:val="center"/>
                </w:tcPr>
                <w:p w14:paraId="17811280">
                  <w:pPr>
                    <w:pStyle w:val="477"/>
                    <w:spacing w:after="0"/>
                    <w:rPr>
                      <w:color w:val="auto"/>
                      <w:szCs w:val="21"/>
                    </w:rPr>
                  </w:pPr>
                  <w:r>
                    <w:rPr>
                      <w:rFonts w:hint="eastAsia"/>
                      <w:color w:val="auto"/>
                      <w:szCs w:val="21"/>
                    </w:rPr>
                    <w:t>1.8</w:t>
                  </w:r>
                </w:p>
              </w:tc>
              <w:tc>
                <w:tcPr>
                  <w:tcW w:w="577" w:type="pct"/>
                  <w:vAlign w:val="center"/>
                </w:tcPr>
                <w:p w14:paraId="6BFC67C9">
                  <w:pPr>
                    <w:spacing w:line="280" w:lineRule="exact"/>
                    <w:jc w:val="center"/>
                    <w:rPr>
                      <w:color w:val="auto"/>
                      <w:szCs w:val="21"/>
                    </w:rPr>
                  </w:pPr>
                  <w:r>
                    <w:rPr>
                      <w:rFonts w:hint="eastAsia"/>
                      <w:color w:val="auto"/>
                      <w:szCs w:val="21"/>
                    </w:rPr>
                    <w:t>水幕帘</w:t>
                  </w:r>
                </w:p>
              </w:tc>
              <w:tc>
                <w:tcPr>
                  <w:tcW w:w="240" w:type="pct"/>
                  <w:vAlign w:val="center"/>
                </w:tcPr>
                <w:p w14:paraId="7EEA2AE8">
                  <w:pPr>
                    <w:spacing w:line="280" w:lineRule="exact"/>
                    <w:jc w:val="center"/>
                    <w:rPr>
                      <w:color w:val="auto"/>
                      <w:szCs w:val="21"/>
                    </w:rPr>
                  </w:pPr>
                  <w:r>
                    <w:rPr>
                      <w:rFonts w:hint="eastAsia"/>
                      <w:color w:val="auto"/>
                      <w:szCs w:val="21"/>
                    </w:rPr>
                    <w:t>液</w:t>
                  </w:r>
                </w:p>
              </w:tc>
              <w:tc>
                <w:tcPr>
                  <w:tcW w:w="598" w:type="pct"/>
                  <w:vAlign w:val="center"/>
                </w:tcPr>
                <w:p w14:paraId="6E8B39FE">
                  <w:pPr>
                    <w:spacing w:line="280" w:lineRule="exact"/>
                    <w:jc w:val="center"/>
                    <w:rPr>
                      <w:color w:val="auto"/>
                      <w:szCs w:val="21"/>
                    </w:rPr>
                  </w:pPr>
                  <w:r>
                    <w:rPr>
                      <w:rFonts w:hint="eastAsia"/>
                      <w:color w:val="auto"/>
                      <w:szCs w:val="21"/>
                    </w:rPr>
                    <w:t>废液</w:t>
                  </w:r>
                </w:p>
              </w:tc>
              <w:tc>
                <w:tcPr>
                  <w:tcW w:w="598" w:type="pct"/>
                  <w:vAlign w:val="center"/>
                </w:tcPr>
                <w:p w14:paraId="058BF2A0">
                  <w:pPr>
                    <w:spacing w:line="200" w:lineRule="atLeast"/>
                    <w:jc w:val="center"/>
                    <w:rPr>
                      <w:color w:val="auto"/>
                      <w:szCs w:val="21"/>
                    </w:rPr>
                  </w:pPr>
                  <w:r>
                    <w:rPr>
                      <w:rFonts w:hint="eastAsia"/>
                      <w:color w:val="auto"/>
                      <w:szCs w:val="21"/>
                    </w:rPr>
                    <w:t>残留物</w:t>
                  </w:r>
                </w:p>
              </w:tc>
              <w:tc>
                <w:tcPr>
                  <w:tcW w:w="300" w:type="pct"/>
                  <w:vAlign w:val="center"/>
                </w:tcPr>
                <w:p w14:paraId="02B02002">
                  <w:pPr>
                    <w:spacing w:line="200" w:lineRule="atLeast"/>
                    <w:jc w:val="center"/>
                    <w:rPr>
                      <w:color w:val="auto"/>
                      <w:szCs w:val="21"/>
                    </w:rPr>
                  </w:pPr>
                  <w:r>
                    <w:rPr>
                      <w:rFonts w:hint="eastAsia"/>
                      <w:color w:val="auto"/>
                      <w:szCs w:val="21"/>
                    </w:rPr>
                    <w:t>180天</w:t>
                  </w:r>
                </w:p>
              </w:tc>
              <w:tc>
                <w:tcPr>
                  <w:tcW w:w="358" w:type="pct"/>
                  <w:vAlign w:val="center"/>
                </w:tcPr>
                <w:p w14:paraId="1430E1DC">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324306EC">
                  <w:pPr>
                    <w:pStyle w:val="906"/>
                    <w:spacing w:line="240" w:lineRule="auto"/>
                    <w:rPr>
                      <w:rFonts w:cs="Times New Roman"/>
                      <w:color w:val="auto"/>
                      <w:sz w:val="21"/>
                    </w:rPr>
                  </w:pPr>
                  <w:r>
                    <w:rPr>
                      <w:rFonts w:cs="Times New Roman"/>
                      <w:color w:val="auto"/>
                      <w:sz w:val="21"/>
                    </w:rPr>
                    <w:t>资质单位处置</w:t>
                  </w:r>
                </w:p>
              </w:tc>
            </w:tr>
          </w:tbl>
          <w:p w14:paraId="23D41C26">
            <w:pPr>
              <w:keepNext/>
              <w:adjustRightInd w:val="0"/>
              <w:snapToGrid w:val="0"/>
              <w:jc w:val="center"/>
              <w:rPr>
                <w:bCs/>
                <w:color w:val="auto"/>
                <w:spacing w:val="-10"/>
                <w:szCs w:val="21"/>
              </w:rPr>
            </w:pPr>
          </w:p>
        </w:tc>
      </w:tr>
    </w:tbl>
    <w:p w14:paraId="7CA59595">
      <w:pPr>
        <w:adjustRightInd w:val="0"/>
        <w:snapToGrid w:val="0"/>
        <w:spacing w:line="360" w:lineRule="auto"/>
        <w:rPr>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
        <w:gridCol w:w="8693"/>
      </w:tblGrid>
      <w:tr w14:paraId="20738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0" w:hRule="atLeast"/>
          <w:jc w:val="center"/>
        </w:trPr>
        <w:tc>
          <w:tcPr>
            <w:tcW w:w="458" w:type="dxa"/>
            <w:tcMar>
              <w:left w:w="28" w:type="dxa"/>
              <w:right w:w="28" w:type="dxa"/>
            </w:tcMar>
            <w:vAlign w:val="center"/>
          </w:tcPr>
          <w:p w14:paraId="3DC42FAD">
            <w:pPr>
              <w:adjustRightInd w:val="0"/>
              <w:snapToGrid w:val="0"/>
              <w:jc w:val="center"/>
              <w:rPr>
                <w:bCs/>
                <w:color w:val="auto"/>
                <w:szCs w:val="21"/>
              </w:rPr>
            </w:pPr>
            <w:r>
              <w:rPr>
                <w:bCs/>
                <w:color w:val="auto"/>
                <w:sz w:val="24"/>
              </w:rPr>
              <w:t>运营期环境影响和保护措施</w:t>
            </w:r>
          </w:p>
        </w:tc>
        <w:tc>
          <w:tcPr>
            <w:tcW w:w="8450" w:type="dxa"/>
          </w:tcPr>
          <w:p w14:paraId="407305D0">
            <w:pPr>
              <w:adjustRightInd w:val="0"/>
              <w:snapToGrid w:val="0"/>
              <w:spacing w:line="360" w:lineRule="auto"/>
              <w:ind w:firstLine="482" w:firstLineChars="200"/>
              <w:rPr>
                <w:b/>
                <w:color w:val="auto"/>
                <w:sz w:val="24"/>
              </w:rPr>
            </w:pPr>
            <w:r>
              <w:rPr>
                <w:b/>
                <w:color w:val="auto"/>
                <w:sz w:val="24"/>
              </w:rPr>
              <w:t>4.2固体废物污染防治措施及其经济、技术分析</w:t>
            </w:r>
          </w:p>
          <w:p w14:paraId="69E02AEC">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包装及贮存场所防治措施</w:t>
            </w:r>
          </w:p>
          <w:p w14:paraId="00C19715">
            <w:pPr>
              <w:adjustRightInd w:val="0"/>
              <w:snapToGrid w:val="0"/>
              <w:spacing w:line="360" w:lineRule="auto"/>
              <w:ind w:firstLine="480" w:firstLineChars="200"/>
              <w:rPr>
                <w:color w:val="auto"/>
                <w:sz w:val="24"/>
              </w:rPr>
            </w:pPr>
            <w:r>
              <w:rPr>
                <w:color w:val="auto"/>
                <w:sz w:val="24"/>
              </w:rPr>
              <w:t>根据《一般工业固体废物贮存和填埋污染控制标准》（GB18599-2020）、《环境保护图形标志—固体废物贮存（处置场）》（GB15562.2-1995）及修改清单、《危险废物识别标志设置技术规范》（HJ1276-2022）、《危险废物贮存污染控制标准》（GB18597-2023），等规定要求，各类固体废物按照相关要求分类收集贮存。包装容器符合相关规定，与固体废物无任何反应，对固体废物无影响。</w:t>
            </w:r>
          </w:p>
          <w:p w14:paraId="31320263">
            <w:pPr>
              <w:adjustRightInd w:val="0"/>
              <w:snapToGrid w:val="0"/>
              <w:spacing w:line="360" w:lineRule="auto"/>
              <w:ind w:firstLine="480" w:firstLineChars="200"/>
              <w:rPr>
                <w:color w:val="auto"/>
                <w:sz w:val="24"/>
              </w:rPr>
            </w:pPr>
            <w:r>
              <w:rPr>
                <w:color w:val="auto"/>
                <w:sz w:val="24"/>
              </w:rPr>
              <w:t>①一般固废暂存具体要求如下：</w:t>
            </w:r>
          </w:p>
          <w:p w14:paraId="4F779140">
            <w:pPr>
              <w:adjustRightInd w:val="0"/>
              <w:snapToGrid w:val="0"/>
              <w:spacing w:line="360" w:lineRule="auto"/>
              <w:ind w:firstLine="480" w:firstLineChars="200"/>
              <w:rPr>
                <w:color w:val="auto"/>
                <w:sz w:val="24"/>
              </w:rPr>
            </w:pPr>
            <w:r>
              <w:rPr>
                <w:color w:val="auto"/>
                <w:sz w:val="24"/>
              </w:rPr>
              <w:t>a.贮存、处置场的建设类型必须与将要堆放的一般工业固体废物的类别一致。</w:t>
            </w:r>
          </w:p>
          <w:p w14:paraId="617E6CD2">
            <w:pPr>
              <w:adjustRightInd w:val="0"/>
              <w:snapToGrid w:val="0"/>
              <w:spacing w:line="360" w:lineRule="auto"/>
              <w:ind w:firstLine="480" w:firstLineChars="200"/>
              <w:rPr>
                <w:color w:val="auto"/>
                <w:sz w:val="24"/>
              </w:rPr>
            </w:pPr>
            <w:r>
              <w:rPr>
                <w:color w:val="auto"/>
                <w:sz w:val="24"/>
              </w:rPr>
              <w:t>b.加强监督管理，采取防火、防扬散、防雨、防流失措施，贮存、处置场应按GB1552.2设置环境保护图形标志。</w:t>
            </w:r>
          </w:p>
          <w:p w14:paraId="2DFF6672">
            <w:pPr>
              <w:adjustRightInd w:val="0"/>
              <w:snapToGrid w:val="0"/>
              <w:spacing w:line="360" w:lineRule="auto"/>
              <w:ind w:firstLine="480" w:firstLineChars="200"/>
              <w:rPr>
                <w:color w:val="auto"/>
                <w:sz w:val="24"/>
              </w:rPr>
            </w:pPr>
            <w:r>
              <w:rPr>
                <w:color w:val="auto"/>
                <w:sz w:val="24"/>
              </w:rPr>
              <w:t>②危险废物堆放场所要求如下：</w:t>
            </w:r>
          </w:p>
          <w:p w14:paraId="08BF435B">
            <w:pPr>
              <w:adjustRightInd w:val="0"/>
              <w:snapToGrid w:val="0"/>
              <w:spacing w:line="360" w:lineRule="auto"/>
              <w:ind w:firstLine="480" w:firstLineChars="200"/>
              <w:rPr>
                <w:color w:val="auto"/>
                <w:sz w:val="24"/>
              </w:rPr>
            </w:pPr>
            <w:r>
              <w:rPr>
                <w:color w:val="auto"/>
                <w:sz w:val="24"/>
              </w:rPr>
              <w:t>a.废物贮存设施周围应设置围墙，顶盖与四侧无缝隙，防盗门锁，避免雨水落入或流入仓库内；</w:t>
            </w:r>
          </w:p>
          <w:p w14:paraId="2A38DE10">
            <w:pPr>
              <w:adjustRightInd w:val="0"/>
              <w:snapToGrid w:val="0"/>
              <w:spacing w:line="360" w:lineRule="auto"/>
              <w:ind w:firstLine="480" w:firstLineChars="200"/>
              <w:rPr>
                <w:color w:val="auto"/>
                <w:sz w:val="24"/>
              </w:rPr>
            </w:pPr>
            <w:r>
              <w:rPr>
                <w:color w:val="auto"/>
                <w:sz w:val="24"/>
              </w:rPr>
              <w:t>b.仓库为独立的封闭建筑或围闭场所，专用于贮存危险废物；</w:t>
            </w:r>
          </w:p>
          <w:p w14:paraId="2C655A77">
            <w:pPr>
              <w:adjustRightInd w:val="0"/>
              <w:snapToGrid w:val="0"/>
              <w:spacing w:line="360" w:lineRule="auto"/>
              <w:ind w:firstLine="480" w:firstLineChars="200"/>
              <w:rPr>
                <w:color w:val="auto"/>
                <w:sz w:val="24"/>
              </w:rPr>
            </w:pPr>
            <w:r>
              <w:rPr>
                <w:color w:val="auto"/>
                <w:sz w:val="24"/>
              </w:rPr>
              <w:t>c.地面设置</w:t>
            </w:r>
            <w:r>
              <w:rPr>
                <w:rFonts w:hint="eastAsia"/>
                <w:color w:val="auto"/>
                <w:sz w:val="24"/>
                <w:lang w:eastAsia="zh-CN"/>
              </w:rPr>
              <w:t>泄漏液体</w:t>
            </w:r>
            <w:r>
              <w:rPr>
                <w:color w:val="auto"/>
                <w:sz w:val="24"/>
              </w:rPr>
              <w:t>的收集渠，能够自流至在最低处设置的收集池，库门口须有围堰或</w:t>
            </w:r>
            <w:r>
              <w:rPr>
                <w:rFonts w:hint="eastAsia"/>
                <w:color w:val="auto"/>
                <w:sz w:val="24"/>
                <w:lang w:eastAsia="zh-CN"/>
              </w:rPr>
              <w:t>截流</w:t>
            </w:r>
            <w:r>
              <w:rPr>
                <w:color w:val="auto"/>
                <w:sz w:val="24"/>
              </w:rPr>
              <w:t>沟，防止仓库废物向外泄漏。</w:t>
            </w:r>
          </w:p>
          <w:p w14:paraId="2A34384D">
            <w:pPr>
              <w:adjustRightInd w:val="0"/>
              <w:snapToGrid w:val="0"/>
              <w:spacing w:line="360" w:lineRule="auto"/>
              <w:ind w:firstLine="480" w:firstLineChars="200"/>
              <w:rPr>
                <w:color w:val="auto"/>
                <w:sz w:val="24"/>
              </w:rPr>
            </w:pPr>
            <w:r>
              <w:rPr>
                <w:color w:val="auto"/>
                <w:sz w:val="24"/>
              </w:rPr>
              <w:t>d.不同类的危废须分区贮存，不同分区应在地面画线并预留明显间隔</w:t>
            </w:r>
            <w:r>
              <w:rPr>
                <w:rFonts w:hint="eastAsia"/>
                <w:color w:val="auto"/>
                <w:sz w:val="24"/>
                <w:lang w:eastAsia="zh-CN"/>
              </w:rPr>
              <w:t>（</w:t>
            </w:r>
            <w:r>
              <w:rPr>
                <w:color w:val="auto"/>
                <w:sz w:val="24"/>
              </w:rPr>
              <w:t>如过道、墙体等</w:t>
            </w:r>
            <w:r>
              <w:rPr>
                <w:rFonts w:hint="eastAsia"/>
                <w:color w:val="auto"/>
                <w:sz w:val="24"/>
                <w:lang w:eastAsia="zh-CN"/>
              </w:rPr>
              <w:t>）</w:t>
            </w:r>
            <w:r>
              <w:rPr>
                <w:color w:val="auto"/>
                <w:sz w:val="24"/>
              </w:rPr>
              <w:t>，仓库内应留足工作人员和搬运工具的通行过道，贮存容器必须有明显标志，具有耐腐蚀、耐压、密封和不与所贮存的废物发生</w:t>
            </w:r>
            <w:r>
              <w:rPr>
                <w:rFonts w:hint="eastAsia"/>
                <w:color w:val="auto"/>
                <w:sz w:val="24"/>
                <w:lang w:eastAsia="zh-CN"/>
              </w:rPr>
              <w:t>反应</w:t>
            </w:r>
            <w:r>
              <w:rPr>
                <w:color w:val="auto"/>
                <w:sz w:val="24"/>
              </w:rPr>
              <w:t>等特性；</w:t>
            </w:r>
          </w:p>
          <w:p w14:paraId="40F232BB">
            <w:pPr>
              <w:adjustRightInd w:val="0"/>
              <w:snapToGrid w:val="0"/>
              <w:spacing w:line="360" w:lineRule="auto"/>
              <w:ind w:firstLine="480" w:firstLineChars="200"/>
              <w:rPr>
                <w:color w:val="auto"/>
                <w:sz w:val="24"/>
              </w:rPr>
            </w:pPr>
            <w:r>
              <w:rPr>
                <w:color w:val="auto"/>
                <w:sz w:val="24"/>
              </w:rPr>
              <w:t>e.基础防渗层为至少1m厚粘土层（渗透系数≤10</w:t>
            </w:r>
            <w:r>
              <w:rPr>
                <w:rFonts w:hint="eastAsia"/>
                <w:color w:val="auto"/>
                <w:sz w:val="24"/>
                <w:lang w:eastAsia="zh-CN"/>
              </w:rPr>
              <w:t>—</w:t>
            </w:r>
            <w:r>
              <w:rPr>
                <w:color w:val="auto"/>
                <w:sz w:val="24"/>
                <w:vertAlign w:val="superscript"/>
              </w:rPr>
              <w:t>7</w:t>
            </w:r>
            <w:r>
              <w:rPr>
                <w:color w:val="auto"/>
                <w:sz w:val="24"/>
              </w:rPr>
              <w:t>cm/s），或2mm厚高密度聚乙烯，或至少2mm厚的其他人工材料，渗透系数≤10</w:t>
            </w:r>
            <w:r>
              <w:rPr>
                <w:rFonts w:hint="eastAsia"/>
                <w:color w:val="auto"/>
                <w:sz w:val="24"/>
                <w:lang w:eastAsia="zh-CN"/>
              </w:rPr>
              <w:t>—</w:t>
            </w:r>
            <w:r>
              <w:rPr>
                <w:color w:val="auto"/>
                <w:sz w:val="24"/>
                <w:vertAlign w:val="superscript"/>
              </w:rPr>
              <w:t>10</w:t>
            </w:r>
            <w:r>
              <w:rPr>
                <w:color w:val="auto"/>
                <w:sz w:val="24"/>
              </w:rPr>
              <w:t>cm/s；</w:t>
            </w:r>
          </w:p>
          <w:p w14:paraId="2C2E589F">
            <w:pPr>
              <w:adjustRightInd w:val="0"/>
              <w:snapToGrid w:val="0"/>
              <w:spacing w:line="360" w:lineRule="auto"/>
              <w:ind w:firstLine="480" w:firstLineChars="200"/>
              <w:rPr>
                <w:color w:val="auto"/>
                <w:sz w:val="24"/>
              </w:rPr>
            </w:pPr>
            <w:r>
              <w:rPr>
                <w:color w:val="auto"/>
                <w:sz w:val="24"/>
              </w:rPr>
              <w:t>f.根据</w:t>
            </w:r>
            <w:r>
              <w:rPr>
                <w:rFonts w:hint="eastAsia"/>
                <w:bCs/>
                <w:color w:val="auto"/>
                <w:sz w:val="24"/>
              </w:rPr>
              <w:t>《江苏省固体废物全过程环境监管工作意见》（苏环办</w:t>
            </w:r>
            <w:r>
              <w:rPr>
                <w:rFonts w:hint="eastAsia"/>
                <w:bCs/>
                <w:color w:val="auto"/>
                <w:sz w:val="24"/>
                <w:lang w:eastAsia="zh-CN"/>
              </w:rPr>
              <w:t>〔2024〕16号</w:t>
            </w:r>
            <w:r>
              <w:rPr>
                <w:rFonts w:hint="eastAsia"/>
                <w:bCs/>
                <w:color w:val="auto"/>
                <w:sz w:val="24"/>
              </w:rPr>
              <w:t>）、《危险废物贮存污染控制标准》（</w:t>
            </w:r>
            <w:r>
              <w:rPr>
                <w:bCs/>
                <w:color w:val="auto"/>
                <w:sz w:val="24"/>
              </w:rPr>
              <w:t>GB18597-2023</w:t>
            </w:r>
            <w:r>
              <w:rPr>
                <w:rFonts w:hint="eastAsia"/>
                <w:bCs/>
                <w:color w:val="auto"/>
                <w:sz w:val="24"/>
              </w:rPr>
              <w:t>）</w:t>
            </w:r>
            <w:r>
              <w:rPr>
                <w:color w:val="auto"/>
                <w:sz w:val="24"/>
              </w:rPr>
              <w:t>的要求</w:t>
            </w:r>
            <w:r>
              <w:rPr>
                <w:rFonts w:hint="eastAsia"/>
                <w:color w:val="auto"/>
                <w:sz w:val="24"/>
              </w:rPr>
              <w:t>进行设置</w:t>
            </w:r>
            <w:r>
              <w:rPr>
                <w:color w:val="auto"/>
                <w:sz w:val="24"/>
              </w:rPr>
              <w:t>，按照《环境保护图形标志—固体废物贮存（处置场）》（GB15562.2-1995）及修改清单、《危险废物识别标志设置技术规范》（HJ1276-2022）设置标志，配备通讯设备、照明设施和消防设施，在仓库出入口、仓库内部、仓库围墙四周、装卸区域、危险废物运输车辆通道（含车辆出口和入口）等关键位置按照危险废物贮存设施视频监控布设要求设置视频监控，并与中控室联网。</w:t>
            </w:r>
          </w:p>
          <w:p w14:paraId="47AE3FA6">
            <w:pPr>
              <w:adjustRightInd w:val="0"/>
              <w:snapToGrid w:val="0"/>
              <w:spacing w:line="360" w:lineRule="auto"/>
              <w:ind w:firstLine="480" w:firstLineChars="200"/>
              <w:rPr>
                <w:color w:val="auto"/>
                <w:sz w:val="24"/>
              </w:rPr>
            </w:pPr>
            <w:r>
              <w:rPr>
                <w:color w:val="auto"/>
                <w:sz w:val="24"/>
              </w:rPr>
              <w:t>因此，本项目固体废物贮存场所建设能够达到国家相关标准规定要求。</w:t>
            </w:r>
          </w:p>
          <w:p w14:paraId="5E269742">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固体废物自行利用、处置分析</w:t>
            </w:r>
          </w:p>
          <w:p w14:paraId="2D535645">
            <w:pPr>
              <w:adjustRightInd w:val="0"/>
              <w:snapToGrid w:val="0"/>
              <w:spacing w:line="360" w:lineRule="auto"/>
              <w:ind w:firstLine="480" w:firstLineChars="200"/>
              <w:rPr>
                <w:color w:val="auto"/>
                <w:sz w:val="24"/>
              </w:rPr>
            </w:pPr>
            <w:r>
              <w:rPr>
                <w:color w:val="auto"/>
                <w:sz w:val="24"/>
              </w:rPr>
              <w:t>本项目产生的固体废物无自行利用和处置的情况。</w:t>
            </w:r>
          </w:p>
          <w:p w14:paraId="25D8E7B5">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固体废物委托处置分析</w:t>
            </w:r>
          </w:p>
          <w:p w14:paraId="23FFA53C">
            <w:pPr>
              <w:adjustRightInd w:val="0"/>
              <w:snapToGrid w:val="0"/>
              <w:spacing w:line="360" w:lineRule="auto"/>
              <w:ind w:firstLine="480" w:firstLineChars="200"/>
              <w:rPr>
                <w:color w:val="auto"/>
                <w:sz w:val="24"/>
              </w:rPr>
            </w:pPr>
            <w:r>
              <w:rPr>
                <w:color w:val="auto"/>
                <w:sz w:val="24"/>
              </w:rPr>
              <w:t>本项目一般固废</w:t>
            </w:r>
            <w:r>
              <w:rPr>
                <w:rFonts w:hint="eastAsia"/>
                <w:color w:val="auto"/>
                <w:sz w:val="24"/>
              </w:rPr>
              <w:t>收集后外售；危险废物暂存在危废暂存间，定期交由有资质单位进行处置</w:t>
            </w:r>
            <w:r>
              <w:rPr>
                <w:color w:val="auto"/>
                <w:sz w:val="24"/>
              </w:rPr>
              <w:t>，保证项目产生的危废全部得到安全处置，因此本项目产生的危险废物交由资质单位处理后对环境影响较小。</w:t>
            </w:r>
          </w:p>
          <w:p w14:paraId="5187E0C5">
            <w:pPr>
              <w:adjustRightInd w:val="0"/>
              <w:snapToGrid w:val="0"/>
              <w:spacing w:line="360" w:lineRule="auto"/>
              <w:ind w:firstLine="482" w:firstLineChars="200"/>
              <w:rPr>
                <w:b/>
                <w:color w:val="auto"/>
                <w:sz w:val="24"/>
              </w:rPr>
            </w:pPr>
            <w:r>
              <w:rPr>
                <w:b/>
                <w:color w:val="auto"/>
                <w:sz w:val="24"/>
              </w:rPr>
              <w:t>4.3固体废物管理措施</w:t>
            </w:r>
          </w:p>
          <w:p w14:paraId="678CA21A">
            <w:pPr>
              <w:adjustRightInd w:val="0"/>
              <w:snapToGrid w:val="0"/>
              <w:spacing w:line="360" w:lineRule="auto"/>
              <w:ind w:firstLine="480" w:firstLineChars="200"/>
              <w:rPr>
                <w:color w:val="auto"/>
                <w:sz w:val="24"/>
              </w:rPr>
            </w:pPr>
            <w:r>
              <w:rPr>
                <w:color w:val="auto"/>
                <w:sz w:val="24"/>
              </w:rPr>
              <w:t>项目建设单位根据《中华人民共和国固体废物污染环境防治法》（2020年4月修订）中有关规定，对其固废收集、贮存、运输和处置做好妥善处理。同时场地应严格执行《一般工业固体废物贮存和填埋污染控制标准》（GB 18599-2020）有关规定，设置防雨、防扬散、防流失、防渗透等措施。危险固废暂存场地的设置应按《危险废物贮存污染控制》（GB18579-2023）要求设置，应该做到防漏、防渗。危险固废的暂存方案：建设单位拟收集危险固废后，放置在厂内的危废仓库内，同时</w:t>
            </w:r>
            <w:r>
              <w:rPr>
                <w:rFonts w:hint="eastAsia"/>
                <w:color w:val="auto"/>
                <w:sz w:val="24"/>
                <w:lang w:eastAsia="zh-CN"/>
              </w:rPr>
              <w:t>做好</w:t>
            </w:r>
            <w:r>
              <w:rPr>
                <w:color w:val="auto"/>
                <w:sz w:val="24"/>
              </w:rPr>
              <w:t>危险废物情况的记录，记录上注明危险废物的名称、来源、数量、特性和包装容器的类别、入库日期、存放库位、废物出库日期及接收单位名称。本项目一般工业固废仓库占地面积</w:t>
            </w:r>
            <w:r>
              <w:rPr>
                <w:rFonts w:hint="eastAsia"/>
                <w:color w:val="auto"/>
                <w:sz w:val="24"/>
              </w:rPr>
              <w:t>206</w:t>
            </w:r>
            <w:r>
              <w:rPr>
                <w:color w:val="auto"/>
                <w:sz w:val="24"/>
              </w:rPr>
              <w:t>m</w:t>
            </w:r>
            <w:r>
              <w:rPr>
                <w:color w:val="auto"/>
                <w:sz w:val="24"/>
                <w:vertAlign w:val="superscript"/>
              </w:rPr>
              <w:t>2</w:t>
            </w:r>
            <w:r>
              <w:rPr>
                <w:color w:val="auto"/>
                <w:sz w:val="24"/>
              </w:rPr>
              <w:t>、危废仓库占地面积为</w:t>
            </w:r>
            <w:r>
              <w:rPr>
                <w:rFonts w:hint="eastAsia"/>
                <w:color w:val="auto"/>
                <w:sz w:val="24"/>
                <w:lang w:val="en-US" w:eastAsia="zh-CN"/>
              </w:rPr>
              <w:t>32.3</w:t>
            </w:r>
            <w:r>
              <w:rPr>
                <w:color w:val="auto"/>
                <w:sz w:val="24"/>
              </w:rPr>
              <w:t>m</w:t>
            </w:r>
            <w:r>
              <w:rPr>
                <w:color w:val="auto"/>
                <w:sz w:val="24"/>
                <w:vertAlign w:val="superscript"/>
              </w:rPr>
              <w:t>2</w:t>
            </w:r>
            <w:r>
              <w:rPr>
                <w:color w:val="auto"/>
                <w:sz w:val="24"/>
              </w:rPr>
              <w:t>。</w:t>
            </w:r>
          </w:p>
          <w:p w14:paraId="4E829EF7">
            <w:pPr>
              <w:wordWrap w:val="0"/>
              <w:spacing w:line="360" w:lineRule="auto"/>
              <w:ind w:firstLine="480" w:firstLineChars="200"/>
              <w:jc w:val="left"/>
              <w:rPr>
                <w:color w:val="auto"/>
                <w:sz w:val="24"/>
              </w:rPr>
            </w:pPr>
            <w:r>
              <w:rPr>
                <w:color w:val="auto"/>
                <w:sz w:val="24"/>
              </w:rPr>
              <w:t>（1）分类收集</w:t>
            </w:r>
          </w:p>
          <w:p w14:paraId="36F592EC">
            <w:pPr>
              <w:wordWrap w:val="0"/>
              <w:spacing w:line="360" w:lineRule="auto"/>
              <w:ind w:firstLine="480" w:firstLineChars="200"/>
              <w:jc w:val="left"/>
              <w:rPr>
                <w:color w:val="auto"/>
                <w:sz w:val="24"/>
                <w:szCs w:val="28"/>
              </w:rPr>
            </w:pPr>
            <w:r>
              <w:rPr>
                <w:color w:val="auto"/>
                <w:sz w:val="24"/>
                <w:szCs w:val="28"/>
              </w:rPr>
              <w:fldChar w:fldCharType="begin"/>
            </w:r>
            <w:r>
              <w:rPr>
                <w:color w:val="auto"/>
                <w:sz w:val="24"/>
                <w:szCs w:val="28"/>
              </w:rPr>
              <w:instrText xml:space="preserve"> = 1 \* GB3 </w:instrText>
            </w:r>
            <w:r>
              <w:rPr>
                <w:color w:val="auto"/>
                <w:sz w:val="24"/>
                <w:szCs w:val="28"/>
              </w:rPr>
              <w:fldChar w:fldCharType="separate"/>
            </w:r>
            <w:r>
              <w:rPr>
                <w:color w:val="auto"/>
                <w:sz w:val="24"/>
                <w:szCs w:val="28"/>
              </w:rPr>
              <w:t>①</w:t>
            </w:r>
            <w:r>
              <w:rPr>
                <w:color w:val="auto"/>
                <w:sz w:val="24"/>
                <w:szCs w:val="28"/>
              </w:rPr>
              <w:fldChar w:fldCharType="end"/>
            </w:r>
            <w:r>
              <w:rPr>
                <w:color w:val="auto"/>
                <w:sz w:val="24"/>
                <w:szCs w:val="28"/>
              </w:rPr>
              <w:t>一般固废收集</w:t>
            </w:r>
          </w:p>
          <w:p w14:paraId="1137DCF6">
            <w:pPr>
              <w:spacing w:line="360" w:lineRule="auto"/>
              <w:ind w:firstLine="480" w:firstLineChars="200"/>
              <w:rPr>
                <w:color w:val="auto"/>
                <w:sz w:val="24"/>
              </w:rPr>
            </w:pPr>
            <w:r>
              <w:rPr>
                <w:color w:val="auto"/>
                <w:sz w:val="24"/>
                <w:szCs w:val="28"/>
              </w:rPr>
              <w:t>本</w:t>
            </w:r>
            <w:r>
              <w:rPr>
                <w:rFonts w:hint="eastAsia"/>
                <w:color w:val="auto"/>
                <w:sz w:val="24"/>
                <w:szCs w:val="28"/>
                <w:lang w:eastAsia="zh-CN"/>
              </w:rPr>
              <w:t>项目</w:t>
            </w:r>
            <w:r>
              <w:rPr>
                <w:color w:val="auto"/>
                <w:sz w:val="24"/>
                <w:szCs w:val="28"/>
              </w:rPr>
              <w:t>产生的一般工业固废包括</w:t>
            </w:r>
            <w:r>
              <w:rPr>
                <w:rFonts w:hint="eastAsia"/>
                <w:color w:val="auto"/>
                <w:sz w:val="24"/>
              </w:rPr>
              <w:t>废包装</w:t>
            </w:r>
            <w:r>
              <w:rPr>
                <w:color w:val="auto"/>
                <w:sz w:val="24"/>
              </w:rPr>
              <w:t>、</w:t>
            </w:r>
            <w:r>
              <w:rPr>
                <w:rFonts w:hint="eastAsia"/>
                <w:color w:val="auto"/>
                <w:sz w:val="24"/>
              </w:rPr>
              <w:t>不合格</w:t>
            </w:r>
            <w:r>
              <w:rPr>
                <w:color w:val="auto"/>
                <w:sz w:val="24"/>
              </w:rPr>
              <w:t>品</w:t>
            </w:r>
            <w:r>
              <w:rPr>
                <w:rFonts w:hint="eastAsia"/>
                <w:color w:val="auto"/>
                <w:sz w:val="24"/>
              </w:rPr>
              <w:t>等</w:t>
            </w:r>
            <w:r>
              <w:rPr>
                <w:color w:val="auto"/>
                <w:sz w:val="24"/>
              </w:rPr>
              <w:t>。分类收集</w:t>
            </w:r>
            <w:r>
              <w:rPr>
                <w:rFonts w:hint="eastAsia"/>
                <w:color w:val="auto"/>
                <w:sz w:val="24"/>
              </w:rPr>
              <w:t>后外售</w:t>
            </w:r>
          </w:p>
          <w:p w14:paraId="7F06DCEA">
            <w:pPr>
              <w:wordWrap w:val="0"/>
              <w:spacing w:line="360" w:lineRule="auto"/>
              <w:ind w:firstLine="480" w:firstLineChars="200"/>
              <w:jc w:val="left"/>
              <w:rPr>
                <w:color w:val="auto"/>
                <w:sz w:val="24"/>
                <w:szCs w:val="28"/>
              </w:rPr>
            </w:pPr>
            <w:r>
              <w:rPr>
                <w:color w:val="auto"/>
                <w:sz w:val="24"/>
                <w:szCs w:val="28"/>
              </w:rPr>
              <w:fldChar w:fldCharType="begin"/>
            </w:r>
            <w:r>
              <w:rPr>
                <w:color w:val="auto"/>
                <w:sz w:val="24"/>
                <w:szCs w:val="28"/>
              </w:rPr>
              <w:instrText xml:space="preserve"> = 2 \* GB3 </w:instrText>
            </w:r>
            <w:r>
              <w:rPr>
                <w:color w:val="auto"/>
                <w:sz w:val="24"/>
                <w:szCs w:val="28"/>
              </w:rPr>
              <w:fldChar w:fldCharType="separate"/>
            </w:r>
            <w:r>
              <w:rPr>
                <w:color w:val="auto"/>
                <w:sz w:val="24"/>
                <w:szCs w:val="28"/>
              </w:rPr>
              <w:t>②</w:t>
            </w:r>
            <w:r>
              <w:rPr>
                <w:color w:val="auto"/>
                <w:sz w:val="24"/>
                <w:szCs w:val="28"/>
              </w:rPr>
              <w:fldChar w:fldCharType="end"/>
            </w:r>
            <w:r>
              <w:rPr>
                <w:color w:val="auto"/>
                <w:sz w:val="24"/>
                <w:szCs w:val="28"/>
              </w:rPr>
              <w:t>危险废物收集</w:t>
            </w:r>
          </w:p>
          <w:p w14:paraId="641C4032">
            <w:pPr>
              <w:spacing w:line="360" w:lineRule="auto"/>
              <w:ind w:firstLine="480" w:firstLineChars="200"/>
              <w:rPr>
                <w:color w:val="auto"/>
                <w:sz w:val="24"/>
              </w:rPr>
            </w:pPr>
            <w:r>
              <w:rPr>
                <w:color w:val="auto"/>
                <w:sz w:val="24"/>
              </w:rPr>
              <w:t>厂区内危险废物收集过程中应做到以下几个方面：</w:t>
            </w:r>
          </w:p>
          <w:p w14:paraId="63F67A50">
            <w:pPr>
              <w:spacing w:line="360" w:lineRule="auto"/>
              <w:ind w:firstLine="480" w:firstLineChars="200"/>
              <w:rPr>
                <w:color w:val="auto"/>
                <w:sz w:val="24"/>
              </w:rPr>
            </w:pPr>
            <w:r>
              <w:rPr>
                <w:color w:val="auto"/>
                <w:sz w:val="24"/>
              </w:rPr>
              <w:t>a.危险废物在收集时，根据危险废物的性质和形态，采用不同大小和不同材质的容器进行安全包装，并在包装的明显位置附上危险废物标签。通过严格检查，严防在装载、搬迁或运输中出现渗漏、溢出、抛洒或挥发等不利情况。</w:t>
            </w:r>
          </w:p>
          <w:p w14:paraId="63FD5106">
            <w:pPr>
              <w:adjustRightInd w:val="0"/>
              <w:snapToGrid w:val="0"/>
              <w:spacing w:line="360" w:lineRule="auto"/>
              <w:ind w:firstLine="480" w:firstLineChars="200"/>
              <w:rPr>
                <w:b/>
                <w:color w:val="auto"/>
                <w:sz w:val="24"/>
              </w:rPr>
            </w:pPr>
            <w:r>
              <w:rPr>
                <w:color w:val="auto"/>
                <w:sz w:val="24"/>
              </w:rPr>
              <w:t>b.危险废物收集时应根据危险废物的种类、数量、危险特性、物理形态、运输要求等因素确定包装形式，具体包装应符合如下要求：</w:t>
            </w:r>
          </w:p>
          <w:p w14:paraId="33157BAA">
            <w:pPr>
              <w:spacing w:line="360" w:lineRule="auto"/>
              <w:ind w:firstLine="480" w:firstLineChars="200"/>
              <w:rPr>
                <w:color w:val="auto"/>
                <w:sz w:val="24"/>
              </w:rPr>
            </w:pPr>
            <w:r>
              <w:rPr>
                <w:color w:val="auto"/>
                <w:sz w:val="24"/>
              </w:rPr>
              <w:fldChar w:fldCharType="begin"/>
            </w:r>
            <w:r>
              <w:rPr>
                <w:color w:val="auto"/>
                <w:sz w:val="24"/>
              </w:rPr>
              <w:instrText xml:space="preserve"> = 1 \* roman </w:instrText>
            </w:r>
            <w:r>
              <w:rPr>
                <w:color w:val="auto"/>
                <w:sz w:val="24"/>
              </w:rPr>
              <w:fldChar w:fldCharType="separate"/>
            </w:r>
            <w:r>
              <w:rPr>
                <w:color w:val="auto"/>
                <w:sz w:val="24"/>
              </w:rPr>
              <w:t>i</w:t>
            </w:r>
            <w:r>
              <w:rPr>
                <w:color w:val="auto"/>
                <w:sz w:val="24"/>
              </w:rPr>
              <w:fldChar w:fldCharType="end"/>
            </w:r>
            <w:r>
              <w:rPr>
                <w:color w:val="auto"/>
                <w:sz w:val="24"/>
              </w:rPr>
              <w:t>.包装材质要与危险废物相容，可根据危险特性选择钢、铝、塑料等材质；</w:t>
            </w:r>
          </w:p>
          <w:p w14:paraId="799ACC53">
            <w:pPr>
              <w:spacing w:line="360" w:lineRule="auto"/>
              <w:ind w:firstLine="480" w:firstLineChars="200"/>
              <w:rPr>
                <w:color w:val="auto"/>
                <w:sz w:val="24"/>
              </w:rPr>
            </w:pPr>
            <w:r>
              <w:rPr>
                <w:color w:val="auto"/>
                <w:sz w:val="24"/>
              </w:rPr>
              <w:fldChar w:fldCharType="begin"/>
            </w:r>
            <w:r>
              <w:rPr>
                <w:color w:val="auto"/>
                <w:sz w:val="24"/>
              </w:rPr>
              <w:instrText xml:space="preserve"> = 2 \* roman </w:instrText>
            </w:r>
            <w:r>
              <w:rPr>
                <w:color w:val="auto"/>
                <w:sz w:val="24"/>
              </w:rPr>
              <w:fldChar w:fldCharType="separate"/>
            </w:r>
            <w:r>
              <w:rPr>
                <w:color w:val="auto"/>
                <w:sz w:val="24"/>
              </w:rPr>
              <w:t>ii</w:t>
            </w:r>
            <w:r>
              <w:rPr>
                <w:color w:val="auto"/>
                <w:sz w:val="24"/>
              </w:rPr>
              <w:fldChar w:fldCharType="end"/>
            </w:r>
            <w:r>
              <w:rPr>
                <w:color w:val="auto"/>
                <w:sz w:val="24"/>
              </w:rPr>
              <w:t>.性质类似的危废可收集到同一容器中，性质不相容的危险废物不应混合收集；</w:t>
            </w:r>
          </w:p>
          <w:p w14:paraId="1A7D41F2">
            <w:pPr>
              <w:spacing w:line="360" w:lineRule="auto"/>
              <w:ind w:firstLine="480" w:firstLineChars="200"/>
              <w:rPr>
                <w:color w:val="auto"/>
                <w:sz w:val="24"/>
              </w:rPr>
            </w:pPr>
            <w:r>
              <w:rPr>
                <w:color w:val="auto"/>
                <w:sz w:val="24"/>
              </w:rPr>
              <w:fldChar w:fldCharType="begin"/>
            </w:r>
            <w:r>
              <w:rPr>
                <w:color w:val="auto"/>
                <w:sz w:val="24"/>
              </w:rPr>
              <w:instrText xml:space="preserve"> = 3 \* roman </w:instrText>
            </w:r>
            <w:r>
              <w:rPr>
                <w:color w:val="auto"/>
                <w:sz w:val="24"/>
              </w:rPr>
              <w:fldChar w:fldCharType="separate"/>
            </w:r>
            <w:r>
              <w:rPr>
                <w:color w:val="auto"/>
                <w:sz w:val="24"/>
              </w:rPr>
              <w:t>iii</w:t>
            </w:r>
            <w:r>
              <w:rPr>
                <w:color w:val="auto"/>
                <w:sz w:val="24"/>
              </w:rPr>
              <w:fldChar w:fldCharType="end"/>
            </w:r>
            <w:r>
              <w:rPr>
                <w:color w:val="auto"/>
                <w:sz w:val="24"/>
              </w:rPr>
              <w:t>.危险废物包装应能有效隔断危险废物的迁移扩散途径，并达到防渗、防漏要求；</w:t>
            </w:r>
          </w:p>
          <w:p w14:paraId="290580DB">
            <w:pPr>
              <w:spacing w:line="360" w:lineRule="auto"/>
              <w:ind w:firstLine="480" w:firstLineChars="200"/>
              <w:rPr>
                <w:color w:val="auto"/>
                <w:sz w:val="24"/>
              </w:rPr>
            </w:pPr>
            <w:r>
              <w:rPr>
                <w:color w:val="auto"/>
                <w:sz w:val="24"/>
              </w:rPr>
              <w:fldChar w:fldCharType="begin"/>
            </w:r>
            <w:r>
              <w:rPr>
                <w:color w:val="auto"/>
                <w:sz w:val="24"/>
              </w:rPr>
              <w:instrText xml:space="preserve"> = 4 \* roman </w:instrText>
            </w:r>
            <w:r>
              <w:rPr>
                <w:color w:val="auto"/>
                <w:sz w:val="24"/>
              </w:rPr>
              <w:fldChar w:fldCharType="separate"/>
            </w:r>
            <w:r>
              <w:rPr>
                <w:color w:val="auto"/>
                <w:sz w:val="24"/>
              </w:rPr>
              <w:t>iv</w:t>
            </w:r>
            <w:r>
              <w:rPr>
                <w:color w:val="auto"/>
                <w:sz w:val="24"/>
              </w:rPr>
              <w:fldChar w:fldCharType="end"/>
            </w:r>
            <w:r>
              <w:rPr>
                <w:color w:val="auto"/>
                <w:sz w:val="24"/>
              </w:rPr>
              <w:t>.包装好的危险废物应设置相应的标签，标签信息应填写完整详实；</w:t>
            </w:r>
          </w:p>
          <w:p w14:paraId="1035CBDC">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6 \* roman </w:instrText>
            </w:r>
            <w:r>
              <w:rPr>
                <w:color w:val="auto"/>
                <w:sz w:val="24"/>
              </w:rPr>
              <w:fldChar w:fldCharType="separate"/>
            </w:r>
            <w:r>
              <w:rPr>
                <w:color w:val="auto"/>
                <w:sz w:val="24"/>
              </w:rPr>
              <w:t>vi</w:t>
            </w:r>
            <w:r>
              <w:rPr>
                <w:color w:val="auto"/>
                <w:sz w:val="24"/>
              </w:rPr>
              <w:fldChar w:fldCharType="end"/>
            </w:r>
            <w:r>
              <w:rPr>
                <w:color w:val="auto"/>
                <w:sz w:val="24"/>
              </w:rPr>
              <w:t>.盛装过危险废物的包装袋或包装容器破损后应按危险废物进行管理和处置。</w:t>
            </w:r>
          </w:p>
          <w:p w14:paraId="2AA4AA62">
            <w:pPr>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危险废物收集和转运作业人员应根据工作需要配备必要的个人防护装备，如手套、防护镜、防护服、防毒面具或口罩等。</w:t>
            </w:r>
          </w:p>
          <w:p w14:paraId="55843451">
            <w:pPr>
              <w:wordWrap w:val="0"/>
              <w:spacing w:line="360" w:lineRule="auto"/>
              <w:ind w:firstLine="480" w:firstLineChars="200"/>
              <w:jc w:val="left"/>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color w:val="auto"/>
                <w:sz w:val="24"/>
              </w:rPr>
              <w:t>④</w:t>
            </w:r>
            <w:r>
              <w:rPr>
                <w:color w:val="auto"/>
                <w:sz w:val="24"/>
              </w:rPr>
              <w:fldChar w:fldCharType="end"/>
            </w:r>
            <w:r>
              <w:rPr>
                <w:color w:val="auto"/>
                <w:sz w:val="24"/>
              </w:rPr>
              <w:t>在危险废物的收集和转运过程中，应采取相应的安全防护和污染防治措施，包括防爆、防火、防中毒、防泄漏、防雨或其他防止污染环境的措施。</w:t>
            </w:r>
          </w:p>
          <w:p w14:paraId="134A0868">
            <w:pPr>
              <w:spacing w:line="360" w:lineRule="auto"/>
              <w:ind w:firstLine="480" w:firstLineChars="200"/>
              <w:jc w:val="left"/>
              <w:rPr>
                <w:b/>
                <w:color w:val="auto"/>
                <w:sz w:val="24"/>
              </w:rPr>
            </w:pPr>
            <w:r>
              <w:rPr>
                <w:rFonts w:hint="eastAsia"/>
                <w:color w:val="auto"/>
                <w:sz w:val="24"/>
                <w:lang w:eastAsia="zh-CN"/>
              </w:rPr>
              <w:t>(2)</w:t>
            </w:r>
            <w:r>
              <w:rPr>
                <w:color w:val="auto"/>
                <w:sz w:val="24"/>
              </w:rPr>
              <w:t>一般固废处置可行性分析</w:t>
            </w:r>
          </w:p>
          <w:p w14:paraId="6B41DCB3">
            <w:pPr>
              <w:spacing w:line="360" w:lineRule="auto"/>
              <w:ind w:firstLine="480" w:firstLineChars="200"/>
              <w:jc w:val="left"/>
              <w:rPr>
                <w:bCs/>
                <w:color w:val="auto"/>
                <w:sz w:val="24"/>
              </w:rPr>
            </w:pPr>
            <w:r>
              <w:rPr>
                <w:bCs/>
                <w:color w:val="auto"/>
                <w:sz w:val="24"/>
              </w:rPr>
              <w:t>本项目一般固废产生量</w:t>
            </w:r>
            <w:r>
              <w:rPr>
                <w:rFonts w:hint="eastAsia"/>
                <w:bCs/>
                <w:color w:val="auto"/>
                <w:sz w:val="24"/>
                <w:lang w:val="en-US" w:eastAsia="zh-CN"/>
              </w:rPr>
              <w:t>23.8</w:t>
            </w:r>
            <w:r>
              <w:rPr>
                <w:rFonts w:hint="eastAsia"/>
                <w:bCs/>
                <w:color w:val="auto"/>
                <w:sz w:val="24"/>
              </w:rPr>
              <w:t>1514</w:t>
            </w:r>
            <w:r>
              <w:rPr>
                <w:bCs/>
                <w:color w:val="auto"/>
                <w:sz w:val="24"/>
              </w:rPr>
              <w:t>t/a，统一收集后</w:t>
            </w:r>
            <w:r>
              <w:rPr>
                <w:rFonts w:hint="eastAsia"/>
                <w:bCs/>
                <w:color w:val="auto"/>
                <w:sz w:val="24"/>
              </w:rPr>
              <w:t>外售</w:t>
            </w:r>
            <w:r>
              <w:rPr>
                <w:bCs/>
                <w:color w:val="auto"/>
                <w:sz w:val="24"/>
              </w:rPr>
              <w:t>。厂区内一般固废仓库为</w:t>
            </w:r>
            <w:r>
              <w:rPr>
                <w:rFonts w:hint="eastAsia"/>
                <w:bCs/>
                <w:color w:val="auto"/>
                <w:sz w:val="24"/>
              </w:rPr>
              <w:t>206</w:t>
            </w:r>
            <w:r>
              <w:rPr>
                <w:bCs/>
                <w:color w:val="auto"/>
                <w:sz w:val="24"/>
              </w:rPr>
              <w:t>m</w:t>
            </w:r>
            <w:r>
              <w:rPr>
                <w:bCs/>
                <w:color w:val="auto"/>
                <w:sz w:val="24"/>
                <w:vertAlign w:val="superscript"/>
              </w:rPr>
              <w:t>2</w:t>
            </w:r>
            <w:r>
              <w:rPr>
                <w:bCs/>
                <w:color w:val="auto"/>
                <w:sz w:val="24"/>
              </w:rPr>
              <w:t>，可以满足项目建成后固废堆放需要，因此一般固废仓库面积满足需求，是可行的。</w:t>
            </w:r>
          </w:p>
          <w:p w14:paraId="173DB8A8">
            <w:pPr>
              <w:adjustRightInd w:val="0"/>
              <w:snapToGrid w:val="0"/>
              <w:spacing w:line="360" w:lineRule="auto"/>
              <w:ind w:firstLine="480" w:firstLineChars="200"/>
              <w:rPr>
                <w:color w:val="auto"/>
                <w:sz w:val="32"/>
              </w:rPr>
            </w:pPr>
            <w:r>
              <w:rPr>
                <w:bCs/>
                <w:color w:val="auto"/>
                <w:sz w:val="24"/>
              </w:rPr>
              <w:t>一般固废暂存具体要求如下：</w:t>
            </w:r>
          </w:p>
          <w:p w14:paraId="30397397">
            <w:pPr>
              <w:spacing w:line="360" w:lineRule="auto"/>
              <w:ind w:firstLine="480" w:firstLineChars="200"/>
              <w:jc w:val="left"/>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bCs/>
                <w:color w:val="auto"/>
                <w:sz w:val="24"/>
              </w:rPr>
              <w:t>①</w:t>
            </w:r>
            <w:r>
              <w:rPr>
                <w:bCs/>
                <w:color w:val="auto"/>
                <w:sz w:val="24"/>
              </w:rPr>
              <w:fldChar w:fldCharType="end"/>
            </w:r>
            <w:r>
              <w:rPr>
                <w:bCs/>
                <w:color w:val="auto"/>
                <w:sz w:val="24"/>
              </w:rPr>
              <w:t>贮存、处置场的建设类型必须与将要堆放的一般工业固体废物的类别一致。</w:t>
            </w:r>
          </w:p>
          <w:p w14:paraId="157F8FBF">
            <w:pPr>
              <w:spacing w:line="360" w:lineRule="auto"/>
              <w:ind w:firstLine="480" w:firstLineChars="200"/>
              <w:jc w:val="left"/>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加强监督管理，采取防火、防扬散、防雨、防流失措施，贮存、处置场应按GB1552.2设置环境保护图形标志。</w:t>
            </w:r>
          </w:p>
          <w:p w14:paraId="02AF5760">
            <w:pPr>
              <w:adjustRightInd w:val="0"/>
              <w:snapToGrid w:val="0"/>
              <w:spacing w:line="360" w:lineRule="auto"/>
              <w:ind w:firstLine="480" w:firstLineChars="200"/>
              <w:rPr>
                <w:bCs/>
                <w:color w:val="auto"/>
                <w:sz w:val="24"/>
              </w:rPr>
            </w:pPr>
            <w:r>
              <w:rPr>
                <w:bCs/>
                <w:color w:val="auto"/>
                <w:sz w:val="24"/>
              </w:rPr>
              <w:t>综上所述，本项目一般固废处理措施是切实可行的，能够使一般固废得到妥善处置，不会对周边环境产生二次污染。</w:t>
            </w:r>
          </w:p>
          <w:p w14:paraId="32B2F2AF">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危险废物处置可行性分析</w:t>
            </w:r>
          </w:p>
          <w:p w14:paraId="6264C95F">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危险废物贮存场所选址可行性</w:t>
            </w:r>
          </w:p>
          <w:p w14:paraId="410DE9AE">
            <w:pPr>
              <w:spacing w:line="360" w:lineRule="auto"/>
              <w:ind w:firstLine="480" w:firstLineChars="200"/>
              <w:jc w:val="left"/>
              <w:rPr>
                <w:bCs/>
                <w:color w:val="auto"/>
                <w:sz w:val="24"/>
              </w:rPr>
            </w:pPr>
            <w:r>
              <w:rPr>
                <w:bCs/>
                <w:color w:val="auto"/>
                <w:sz w:val="24"/>
              </w:rPr>
              <w:t>项目所在地地质结构稳定，地震烈度为7度，符合要求。危废暂存仓库基础做防渗处理，防渗层为2毫米厚高密度聚乙烯，渗透系数≤10</w:t>
            </w:r>
            <w:r>
              <w:rPr>
                <w:rFonts w:hint="eastAsia"/>
                <w:bCs/>
                <w:color w:val="auto"/>
                <w:sz w:val="24"/>
                <w:lang w:eastAsia="zh-CN"/>
              </w:rPr>
              <w:t>—</w:t>
            </w:r>
            <w:r>
              <w:rPr>
                <w:bCs/>
                <w:color w:val="auto"/>
                <w:sz w:val="24"/>
                <w:vertAlign w:val="superscript"/>
              </w:rPr>
              <w:t>10</w:t>
            </w:r>
            <w:r>
              <w:rPr>
                <w:bCs/>
                <w:color w:val="auto"/>
                <w:sz w:val="24"/>
              </w:rPr>
              <w:t>厘米/秒。危废暂存仓库周围设置围堰防止有害物质泄漏对地下水及周边水环境造成破坏。危废暂存仓库建设地不在溶洞区或易遭受严重自然灾害如洪水、滑坡，泥石流、潮汐等影响的地区，在易燃、易爆等危险品仓库、高压输电线防护区区域以外，在居民中心区常年最大风频的下风向。故危险废物贮存场所选址具有可行性。</w:t>
            </w:r>
          </w:p>
          <w:p w14:paraId="203ED75A">
            <w:pPr>
              <w:spacing w:line="360" w:lineRule="auto"/>
              <w:ind w:firstLine="480" w:firstLineChars="200"/>
              <w:jc w:val="left"/>
              <w:rPr>
                <w:color w:val="auto"/>
                <w:sz w:val="24"/>
              </w:rPr>
            </w:pPr>
            <w:r>
              <w:rPr>
                <w:color w:val="auto"/>
                <w:sz w:val="24"/>
              </w:rPr>
              <w:t>本项目危险废物贮存场所（设施）情况见表4-</w:t>
            </w:r>
            <w:r>
              <w:rPr>
                <w:rFonts w:hint="eastAsia"/>
                <w:color w:val="auto"/>
                <w:sz w:val="24"/>
              </w:rPr>
              <w:t>30</w:t>
            </w:r>
            <w:r>
              <w:rPr>
                <w:color w:val="auto"/>
                <w:sz w:val="24"/>
              </w:rPr>
              <w:t>。</w:t>
            </w:r>
          </w:p>
          <w:p w14:paraId="3C803DCF">
            <w:pPr>
              <w:jc w:val="center"/>
              <w:rPr>
                <w:b/>
                <w:color w:val="auto"/>
                <w:sz w:val="24"/>
              </w:rPr>
            </w:pPr>
            <w:r>
              <w:rPr>
                <w:b/>
                <w:color w:val="auto"/>
                <w:sz w:val="24"/>
                <w:szCs w:val="32"/>
              </w:rPr>
              <w:t>表4-</w:t>
            </w:r>
            <w:r>
              <w:rPr>
                <w:rFonts w:hint="eastAsia"/>
                <w:b/>
                <w:color w:val="auto"/>
                <w:sz w:val="24"/>
                <w:szCs w:val="32"/>
              </w:rPr>
              <w:t>30</w:t>
            </w:r>
            <w:r>
              <w:rPr>
                <w:b/>
                <w:color w:val="auto"/>
                <w:sz w:val="24"/>
                <w:szCs w:val="32"/>
              </w:rPr>
              <w:t xml:space="preserve">  建设项目危险废物贮存场所（设施）基本情况</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 w:type="dxa"/>
                <w:bottom w:w="0" w:type="dxa"/>
                <w:right w:w="3" w:type="dxa"/>
              </w:tblCellMar>
            </w:tblPr>
            <w:tblGrid>
              <w:gridCol w:w="538"/>
              <w:gridCol w:w="1188"/>
              <w:gridCol w:w="1327"/>
              <w:gridCol w:w="765"/>
              <w:gridCol w:w="1174"/>
              <w:gridCol w:w="742"/>
              <w:gridCol w:w="750"/>
              <w:gridCol w:w="663"/>
              <w:gridCol w:w="672"/>
              <w:gridCol w:w="658"/>
            </w:tblGrid>
            <w:tr w14:paraId="10750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12" w:space="0"/>
                    <w:bottom w:val="single" w:color="auto" w:sz="12" w:space="0"/>
                  </w:tcBorders>
                  <w:vAlign w:val="center"/>
                </w:tcPr>
                <w:p w14:paraId="5DCBA87C">
                  <w:pPr>
                    <w:topLinePunct/>
                    <w:adjustRightInd w:val="0"/>
                    <w:snapToGrid w:val="0"/>
                    <w:jc w:val="center"/>
                    <w:rPr>
                      <w:b/>
                      <w:color w:val="auto"/>
                      <w:szCs w:val="21"/>
                    </w:rPr>
                  </w:pPr>
                  <w:r>
                    <w:rPr>
                      <w:b/>
                      <w:color w:val="auto"/>
                      <w:szCs w:val="21"/>
                    </w:rPr>
                    <w:t>序号</w:t>
                  </w:r>
                </w:p>
              </w:tc>
              <w:tc>
                <w:tcPr>
                  <w:tcW w:w="700" w:type="pct"/>
                  <w:tcBorders>
                    <w:top w:val="single" w:color="auto" w:sz="12" w:space="0"/>
                    <w:bottom w:val="single" w:color="auto" w:sz="12" w:space="0"/>
                  </w:tcBorders>
                  <w:vAlign w:val="center"/>
                </w:tcPr>
                <w:p w14:paraId="3FB4F8F2">
                  <w:pPr>
                    <w:topLinePunct/>
                    <w:adjustRightInd w:val="0"/>
                    <w:snapToGrid w:val="0"/>
                    <w:jc w:val="center"/>
                    <w:rPr>
                      <w:b/>
                      <w:color w:val="auto"/>
                      <w:szCs w:val="21"/>
                    </w:rPr>
                  </w:pPr>
                  <w:r>
                    <w:rPr>
                      <w:b/>
                      <w:color w:val="auto"/>
                      <w:szCs w:val="21"/>
                    </w:rPr>
                    <w:t>贮存场所（设施）名称</w:t>
                  </w:r>
                </w:p>
              </w:tc>
              <w:tc>
                <w:tcPr>
                  <w:tcW w:w="782" w:type="pct"/>
                  <w:tcBorders>
                    <w:top w:val="single" w:color="auto" w:sz="12" w:space="0"/>
                    <w:bottom w:val="single" w:color="auto" w:sz="12" w:space="0"/>
                  </w:tcBorders>
                  <w:vAlign w:val="center"/>
                </w:tcPr>
                <w:p w14:paraId="033A983E">
                  <w:pPr>
                    <w:topLinePunct/>
                    <w:adjustRightInd w:val="0"/>
                    <w:snapToGrid w:val="0"/>
                    <w:jc w:val="center"/>
                    <w:rPr>
                      <w:b/>
                      <w:color w:val="auto"/>
                      <w:szCs w:val="21"/>
                    </w:rPr>
                  </w:pPr>
                  <w:r>
                    <w:rPr>
                      <w:b/>
                      <w:color w:val="auto"/>
                      <w:szCs w:val="21"/>
                    </w:rPr>
                    <w:t>危险废物名称</w:t>
                  </w:r>
                </w:p>
              </w:tc>
              <w:tc>
                <w:tcPr>
                  <w:tcW w:w="451" w:type="pct"/>
                  <w:tcBorders>
                    <w:top w:val="single" w:color="auto" w:sz="12" w:space="0"/>
                    <w:bottom w:val="single" w:color="auto" w:sz="12" w:space="0"/>
                  </w:tcBorders>
                  <w:vAlign w:val="center"/>
                </w:tcPr>
                <w:p w14:paraId="1297F605">
                  <w:pPr>
                    <w:topLinePunct/>
                    <w:adjustRightInd w:val="0"/>
                    <w:snapToGrid w:val="0"/>
                    <w:jc w:val="center"/>
                    <w:rPr>
                      <w:b/>
                      <w:color w:val="auto"/>
                      <w:szCs w:val="21"/>
                    </w:rPr>
                  </w:pPr>
                  <w:r>
                    <w:rPr>
                      <w:b/>
                      <w:color w:val="auto"/>
                      <w:szCs w:val="21"/>
                    </w:rPr>
                    <w:t>危险废物类别</w:t>
                  </w:r>
                </w:p>
              </w:tc>
              <w:tc>
                <w:tcPr>
                  <w:tcW w:w="692" w:type="pct"/>
                  <w:tcBorders>
                    <w:top w:val="single" w:color="auto" w:sz="12" w:space="0"/>
                    <w:bottom w:val="single" w:color="auto" w:sz="12" w:space="0"/>
                  </w:tcBorders>
                  <w:vAlign w:val="center"/>
                </w:tcPr>
                <w:p w14:paraId="41BFCB19">
                  <w:pPr>
                    <w:topLinePunct/>
                    <w:adjustRightInd w:val="0"/>
                    <w:snapToGrid w:val="0"/>
                    <w:jc w:val="center"/>
                    <w:rPr>
                      <w:b/>
                      <w:color w:val="auto"/>
                      <w:szCs w:val="21"/>
                    </w:rPr>
                  </w:pPr>
                  <w:r>
                    <w:rPr>
                      <w:b/>
                      <w:color w:val="auto"/>
                      <w:szCs w:val="21"/>
                    </w:rPr>
                    <w:t>危险废物</w:t>
                  </w:r>
                </w:p>
                <w:p w14:paraId="12871599">
                  <w:pPr>
                    <w:topLinePunct/>
                    <w:adjustRightInd w:val="0"/>
                    <w:snapToGrid w:val="0"/>
                    <w:jc w:val="center"/>
                    <w:rPr>
                      <w:b/>
                      <w:color w:val="auto"/>
                      <w:szCs w:val="21"/>
                    </w:rPr>
                  </w:pPr>
                  <w:r>
                    <w:rPr>
                      <w:b/>
                      <w:color w:val="auto"/>
                      <w:szCs w:val="21"/>
                    </w:rPr>
                    <w:t>代码</w:t>
                  </w:r>
                </w:p>
              </w:tc>
              <w:tc>
                <w:tcPr>
                  <w:tcW w:w="437" w:type="pct"/>
                  <w:tcBorders>
                    <w:top w:val="single" w:color="auto" w:sz="12" w:space="0"/>
                    <w:bottom w:val="single" w:color="auto" w:sz="12" w:space="0"/>
                  </w:tcBorders>
                  <w:vAlign w:val="center"/>
                </w:tcPr>
                <w:p w14:paraId="38B303DB">
                  <w:pPr>
                    <w:topLinePunct/>
                    <w:adjustRightInd w:val="0"/>
                    <w:snapToGrid w:val="0"/>
                    <w:jc w:val="center"/>
                    <w:rPr>
                      <w:b/>
                      <w:color w:val="auto"/>
                      <w:szCs w:val="21"/>
                    </w:rPr>
                  </w:pPr>
                  <w:r>
                    <w:rPr>
                      <w:b/>
                      <w:color w:val="auto"/>
                      <w:szCs w:val="21"/>
                    </w:rPr>
                    <w:t>位置</w:t>
                  </w:r>
                </w:p>
              </w:tc>
              <w:tc>
                <w:tcPr>
                  <w:tcW w:w="442" w:type="pct"/>
                  <w:tcBorders>
                    <w:top w:val="single" w:color="auto" w:sz="12" w:space="0"/>
                    <w:bottom w:val="single" w:color="auto" w:sz="12" w:space="0"/>
                  </w:tcBorders>
                  <w:vAlign w:val="center"/>
                </w:tcPr>
                <w:p w14:paraId="541D9551">
                  <w:pPr>
                    <w:topLinePunct/>
                    <w:adjustRightInd w:val="0"/>
                    <w:snapToGrid w:val="0"/>
                    <w:jc w:val="center"/>
                    <w:rPr>
                      <w:b/>
                      <w:color w:val="auto"/>
                      <w:szCs w:val="21"/>
                    </w:rPr>
                  </w:pPr>
                  <w:r>
                    <w:rPr>
                      <w:b/>
                      <w:color w:val="auto"/>
                      <w:szCs w:val="21"/>
                    </w:rPr>
                    <w:t>占地</w:t>
                  </w:r>
                </w:p>
                <w:p w14:paraId="31544780">
                  <w:pPr>
                    <w:topLinePunct/>
                    <w:adjustRightInd w:val="0"/>
                    <w:snapToGrid w:val="0"/>
                    <w:jc w:val="center"/>
                    <w:rPr>
                      <w:b/>
                      <w:color w:val="auto"/>
                      <w:szCs w:val="21"/>
                    </w:rPr>
                  </w:pPr>
                  <w:r>
                    <w:rPr>
                      <w:b/>
                      <w:color w:val="auto"/>
                      <w:szCs w:val="21"/>
                    </w:rPr>
                    <w:t>面积</w:t>
                  </w:r>
                </w:p>
              </w:tc>
              <w:tc>
                <w:tcPr>
                  <w:tcW w:w="391" w:type="pct"/>
                  <w:tcBorders>
                    <w:top w:val="single" w:color="auto" w:sz="12" w:space="0"/>
                    <w:bottom w:val="single" w:color="auto" w:sz="12" w:space="0"/>
                  </w:tcBorders>
                  <w:vAlign w:val="center"/>
                </w:tcPr>
                <w:p w14:paraId="0A1A275F">
                  <w:pPr>
                    <w:topLinePunct/>
                    <w:adjustRightInd w:val="0"/>
                    <w:snapToGrid w:val="0"/>
                    <w:jc w:val="center"/>
                    <w:rPr>
                      <w:b/>
                      <w:color w:val="auto"/>
                      <w:szCs w:val="21"/>
                    </w:rPr>
                  </w:pPr>
                  <w:r>
                    <w:rPr>
                      <w:b/>
                      <w:color w:val="auto"/>
                      <w:szCs w:val="21"/>
                    </w:rPr>
                    <w:t>贮存</w:t>
                  </w:r>
                </w:p>
                <w:p w14:paraId="52008F40">
                  <w:pPr>
                    <w:topLinePunct/>
                    <w:adjustRightInd w:val="0"/>
                    <w:snapToGrid w:val="0"/>
                    <w:jc w:val="center"/>
                    <w:rPr>
                      <w:b/>
                      <w:color w:val="auto"/>
                      <w:szCs w:val="21"/>
                    </w:rPr>
                  </w:pPr>
                  <w:r>
                    <w:rPr>
                      <w:b/>
                      <w:color w:val="auto"/>
                      <w:szCs w:val="21"/>
                    </w:rPr>
                    <w:t>方式</w:t>
                  </w:r>
                </w:p>
              </w:tc>
              <w:tc>
                <w:tcPr>
                  <w:tcW w:w="396" w:type="pct"/>
                  <w:tcBorders>
                    <w:top w:val="single" w:color="auto" w:sz="12" w:space="0"/>
                    <w:bottom w:val="single" w:color="auto" w:sz="12" w:space="0"/>
                  </w:tcBorders>
                  <w:vAlign w:val="center"/>
                </w:tcPr>
                <w:p w14:paraId="46BA163D">
                  <w:pPr>
                    <w:topLinePunct/>
                    <w:adjustRightInd w:val="0"/>
                    <w:snapToGrid w:val="0"/>
                    <w:jc w:val="center"/>
                    <w:rPr>
                      <w:b/>
                      <w:color w:val="auto"/>
                      <w:szCs w:val="21"/>
                    </w:rPr>
                  </w:pPr>
                  <w:r>
                    <w:rPr>
                      <w:b/>
                      <w:color w:val="auto"/>
                      <w:szCs w:val="21"/>
                    </w:rPr>
                    <w:t>贮存</w:t>
                  </w:r>
                </w:p>
                <w:p w14:paraId="78634BB7">
                  <w:pPr>
                    <w:topLinePunct/>
                    <w:adjustRightInd w:val="0"/>
                    <w:snapToGrid w:val="0"/>
                    <w:jc w:val="center"/>
                    <w:rPr>
                      <w:b/>
                      <w:color w:val="auto"/>
                      <w:szCs w:val="21"/>
                    </w:rPr>
                  </w:pPr>
                  <w:r>
                    <w:rPr>
                      <w:b/>
                      <w:color w:val="auto"/>
                      <w:szCs w:val="21"/>
                    </w:rPr>
                    <w:t>能力</w:t>
                  </w:r>
                </w:p>
              </w:tc>
              <w:tc>
                <w:tcPr>
                  <w:tcW w:w="388" w:type="pct"/>
                  <w:tcBorders>
                    <w:top w:val="single" w:color="auto" w:sz="12" w:space="0"/>
                    <w:bottom w:val="single" w:color="auto" w:sz="12" w:space="0"/>
                  </w:tcBorders>
                  <w:vAlign w:val="center"/>
                </w:tcPr>
                <w:p w14:paraId="251B495A">
                  <w:pPr>
                    <w:topLinePunct/>
                    <w:adjustRightInd w:val="0"/>
                    <w:snapToGrid w:val="0"/>
                    <w:jc w:val="center"/>
                    <w:rPr>
                      <w:b/>
                      <w:color w:val="auto"/>
                      <w:szCs w:val="21"/>
                    </w:rPr>
                  </w:pPr>
                  <w:r>
                    <w:rPr>
                      <w:b/>
                      <w:color w:val="auto"/>
                      <w:szCs w:val="21"/>
                    </w:rPr>
                    <w:t>贮存</w:t>
                  </w:r>
                </w:p>
                <w:p w14:paraId="221742B8">
                  <w:pPr>
                    <w:topLinePunct/>
                    <w:adjustRightInd w:val="0"/>
                    <w:snapToGrid w:val="0"/>
                    <w:jc w:val="center"/>
                    <w:rPr>
                      <w:b/>
                      <w:color w:val="auto"/>
                      <w:szCs w:val="21"/>
                    </w:rPr>
                  </w:pPr>
                  <w:r>
                    <w:rPr>
                      <w:b/>
                      <w:color w:val="auto"/>
                      <w:szCs w:val="21"/>
                    </w:rPr>
                    <w:t>周期</w:t>
                  </w:r>
                </w:p>
              </w:tc>
            </w:tr>
            <w:tr w14:paraId="13839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12" w:space="0"/>
                    <w:bottom w:val="single" w:color="auto" w:sz="4" w:space="0"/>
                  </w:tcBorders>
                  <w:vAlign w:val="center"/>
                </w:tcPr>
                <w:p w14:paraId="53BED396">
                  <w:pPr>
                    <w:spacing w:line="200" w:lineRule="atLeast"/>
                    <w:jc w:val="center"/>
                    <w:rPr>
                      <w:color w:val="auto"/>
                      <w:szCs w:val="21"/>
                    </w:rPr>
                  </w:pPr>
                  <w:r>
                    <w:rPr>
                      <w:color w:val="auto"/>
                      <w:szCs w:val="21"/>
                    </w:rPr>
                    <w:t>1</w:t>
                  </w:r>
                </w:p>
              </w:tc>
              <w:tc>
                <w:tcPr>
                  <w:tcW w:w="700" w:type="pct"/>
                  <w:vMerge w:val="restart"/>
                  <w:tcBorders>
                    <w:top w:val="single" w:color="auto" w:sz="12" w:space="0"/>
                  </w:tcBorders>
                  <w:vAlign w:val="center"/>
                </w:tcPr>
                <w:p w14:paraId="2A785130">
                  <w:pPr>
                    <w:topLinePunct/>
                    <w:adjustRightInd w:val="0"/>
                    <w:snapToGrid w:val="0"/>
                    <w:jc w:val="center"/>
                    <w:rPr>
                      <w:color w:val="auto"/>
                      <w:szCs w:val="21"/>
                    </w:rPr>
                  </w:pPr>
                  <w:r>
                    <w:rPr>
                      <w:color w:val="auto"/>
                      <w:szCs w:val="21"/>
                    </w:rPr>
                    <w:t>危废仓库</w:t>
                  </w:r>
                </w:p>
              </w:tc>
              <w:tc>
                <w:tcPr>
                  <w:tcW w:w="1327" w:type="dxa"/>
                  <w:tcBorders>
                    <w:top w:val="single" w:color="auto" w:sz="12" w:space="0"/>
                    <w:bottom w:val="single" w:color="auto" w:sz="4" w:space="0"/>
                  </w:tcBorders>
                  <w:vAlign w:val="center"/>
                </w:tcPr>
                <w:p w14:paraId="14E2D0E0">
                  <w:pPr>
                    <w:spacing w:line="200" w:lineRule="atLeast"/>
                    <w:jc w:val="center"/>
                    <w:rPr>
                      <w:color w:val="auto"/>
                    </w:rPr>
                  </w:pPr>
                  <w:r>
                    <w:rPr>
                      <w:color w:val="auto"/>
                      <w:szCs w:val="21"/>
                    </w:rPr>
                    <w:t>废活性炭</w:t>
                  </w:r>
                </w:p>
              </w:tc>
              <w:tc>
                <w:tcPr>
                  <w:tcW w:w="765" w:type="dxa"/>
                  <w:tcBorders>
                    <w:top w:val="single" w:color="auto" w:sz="12" w:space="0"/>
                    <w:bottom w:val="single" w:color="auto" w:sz="4" w:space="0"/>
                  </w:tcBorders>
                  <w:vAlign w:val="center"/>
                </w:tcPr>
                <w:p w14:paraId="3449E9FB">
                  <w:pPr>
                    <w:spacing w:line="200" w:lineRule="atLeast"/>
                    <w:jc w:val="center"/>
                    <w:rPr>
                      <w:color w:val="auto"/>
                      <w:kern w:val="0"/>
                      <w:szCs w:val="21"/>
                      <w:lang w:val="zh-CN"/>
                    </w:rPr>
                  </w:pPr>
                  <w:r>
                    <w:rPr>
                      <w:color w:val="auto"/>
                      <w:szCs w:val="21"/>
                    </w:rPr>
                    <w:t>HW49</w:t>
                  </w:r>
                </w:p>
              </w:tc>
              <w:tc>
                <w:tcPr>
                  <w:tcW w:w="1174" w:type="dxa"/>
                  <w:tcBorders>
                    <w:top w:val="single" w:color="auto" w:sz="12" w:space="0"/>
                    <w:bottom w:val="single" w:color="auto" w:sz="4" w:space="0"/>
                  </w:tcBorders>
                  <w:vAlign w:val="center"/>
                </w:tcPr>
                <w:p w14:paraId="3DC1A2F2">
                  <w:pPr>
                    <w:spacing w:line="200" w:lineRule="atLeast"/>
                    <w:jc w:val="center"/>
                    <w:rPr>
                      <w:color w:val="auto"/>
                      <w:kern w:val="0"/>
                      <w:szCs w:val="21"/>
                      <w:lang w:val="zh-CN"/>
                    </w:rPr>
                  </w:pPr>
                  <w:r>
                    <w:rPr>
                      <w:color w:val="auto"/>
                      <w:szCs w:val="21"/>
                    </w:rPr>
                    <w:t>900-039-49</w:t>
                  </w:r>
                </w:p>
              </w:tc>
              <w:tc>
                <w:tcPr>
                  <w:tcW w:w="437" w:type="pct"/>
                  <w:vMerge w:val="restart"/>
                  <w:tcBorders>
                    <w:top w:val="single" w:color="auto" w:sz="12" w:space="0"/>
                  </w:tcBorders>
                  <w:vAlign w:val="center"/>
                </w:tcPr>
                <w:p w14:paraId="2B18B36D">
                  <w:pPr>
                    <w:topLinePunct/>
                    <w:adjustRightInd w:val="0"/>
                    <w:snapToGrid w:val="0"/>
                    <w:jc w:val="center"/>
                    <w:rPr>
                      <w:color w:val="auto"/>
                      <w:szCs w:val="21"/>
                    </w:rPr>
                  </w:pPr>
                  <w:r>
                    <w:rPr>
                      <w:rFonts w:hint="eastAsia"/>
                      <w:color w:val="auto"/>
                      <w:szCs w:val="21"/>
                    </w:rPr>
                    <w:t>厂房</w:t>
                  </w:r>
                </w:p>
                <w:p w14:paraId="0D64B318">
                  <w:pPr>
                    <w:topLinePunct/>
                    <w:adjustRightInd w:val="0"/>
                    <w:snapToGrid w:val="0"/>
                    <w:jc w:val="center"/>
                    <w:rPr>
                      <w:color w:val="auto"/>
                      <w:szCs w:val="21"/>
                    </w:rPr>
                  </w:pPr>
                  <w:r>
                    <w:rPr>
                      <w:rFonts w:hint="eastAsia"/>
                      <w:color w:val="auto"/>
                      <w:szCs w:val="21"/>
                    </w:rPr>
                    <w:t>西侧</w:t>
                  </w:r>
                </w:p>
              </w:tc>
              <w:tc>
                <w:tcPr>
                  <w:tcW w:w="442" w:type="pct"/>
                  <w:tcBorders>
                    <w:top w:val="single" w:color="auto" w:sz="12" w:space="0"/>
                  </w:tcBorders>
                  <w:vAlign w:val="center"/>
                </w:tcPr>
                <w:p w14:paraId="2DFBF7ED">
                  <w:pPr>
                    <w:pStyle w:val="477"/>
                    <w:spacing w:after="0"/>
                    <w:rPr>
                      <w:color w:val="auto"/>
                      <w:szCs w:val="21"/>
                    </w:rPr>
                  </w:pPr>
                  <w:r>
                    <w:rPr>
                      <w:rFonts w:hint="eastAsia"/>
                      <w:color w:val="auto"/>
                      <w:kern w:val="0"/>
                      <w:szCs w:val="21"/>
                      <w:lang w:val="en-US" w:eastAsia="zh-CN"/>
                    </w:rPr>
                    <w:t>14.</w:t>
                  </w:r>
                  <w:r>
                    <w:rPr>
                      <w:color w:val="auto"/>
                      <w:kern w:val="0"/>
                      <w:szCs w:val="21"/>
                      <w:lang w:val="zh-CN"/>
                    </w:rPr>
                    <w:t>m</w:t>
                  </w:r>
                  <w:r>
                    <w:rPr>
                      <w:color w:val="auto"/>
                      <w:kern w:val="0"/>
                      <w:szCs w:val="21"/>
                      <w:vertAlign w:val="superscript"/>
                      <w:lang w:val="zh-CN"/>
                    </w:rPr>
                    <w:t>2</w:t>
                  </w:r>
                </w:p>
              </w:tc>
              <w:tc>
                <w:tcPr>
                  <w:tcW w:w="391" w:type="pct"/>
                  <w:tcBorders>
                    <w:top w:val="single" w:color="auto" w:sz="12" w:space="0"/>
                    <w:bottom w:val="single" w:color="auto" w:sz="4" w:space="0"/>
                  </w:tcBorders>
                  <w:vAlign w:val="center"/>
                </w:tcPr>
                <w:p w14:paraId="022BEB75">
                  <w:pPr>
                    <w:topLinePunct/>
                    <w:adjustRightInd w:val="0"/>
                    <w:snapToGrid w:val="0"/>
                    <w:jc w:val="center"/>
                    <w:rPr>
                      <w:color w:val="auto"/>
                      <w:szCs w:val="21"/>
                    </w:rPr>
                  </w:pPr>
                  <w:r>
                    <w:rPr>
                      <w:rFonts w:hint="eastAsia"/>
                      <w:color w:val="auto"/>
                      <w:kern w:val="0"/>
                      <w:szCs w:val="21"/>
                      <w:lang w:val="zh-CN"/>
                    </w:rPr>
                    <w:t>袋</w:t>
                  </w:r>
                  <w:r>
                    <w:rPr>
                      <w:color w:val="auto"/>
                      <w:kern w:val="0"/>
                      <w:szCs w:val="21"/>
                      <w:lang w:val="zh-CN"/>
                    </w:rPr>
                    <w:t>装</w:t>
                  </w:r>
                </w:p>
              </w:tc>
              <w:tc>
                <w:tcPr>
                  <w:tcW w:w="396" w:type="pct"/>
                  <w:tcBorders>
                    <w:top w:val="single" w:color="auto" w:sz="12" w:space="0"/>
                  </w:tcBorders>
                  <w:vAlign w:val="center"/>
                </w:tcPr>
                <w:p w14:paraId="3F12DE12">
                  <w:pPr>
                    <w:pStyle w:val="477"/>
                    <w:spacing w:after="0"/>
                    <w:rPr>
                      <w:color w:val="auto"/>
                      <w:szCs w:val="21"/>
                    </w:rPr>
                  </w:pPr>
                  <w:r>
                    <w:rPr>
                      <w:rFonts w:hint="eastAsia"/>
                      <w:color w:val="auto"/>
                      <w:szCs w:val="21"/>
                      <w:lang w:val="en-US" w:eastAsia="zh-CN"/>
                    </w:rPr>
                    <w:t>7.</w:t>
                  </w:r>
                  <w:r>
                    <w:rPr>
                      <w:color w:val="auto"/>
                      <w:szCs w:val="21"/>
                    </w:rPr>
                    <w:t>t</w:t>
                  </w:r>
                </w:p>
              </w:tc>
              <w:tc>
                <w:tcPr>
                  <w:tcW w:w="388" w:type="pct"/>
                  <w:tcBorders>
                    <w:top w:val="single" w:color="auto" w:sz="12" w:space="0"/>
                  </w:tcBorders>
                  <w:vAlign w:val="center"/>
                </w:tcPr>
                <w:p w14:paraId="6BF4D3BD">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3个月</w:t>
                  </w:r>
                </w:p>
              </w:tc>
            </w:tr>
            <w:tr w14:paraId="3C12A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2510DD49">
                  <w:pPr>
                    <w:spacing w:line="200" w:lineRule="atLeast"/>
                    <w:jc w:val="center"/>
                    <w:rPr>
                      <w:color w:val="auto"/>
                      <w:szCs w:val="21"/>
                    </w:rPr>
                  </w:pPr>
                  <w:r>
                    <w:rPr>
                      <w:rFonts w:hint="eastAsia"/>
                      <w:color w:val="auto"/>
                      <w:szCs w:val="21"/>
                    </w:rPr>
                    <w:t>2</w:t>
                  </w:r>
                </w:p>
              </w:tc>
              <w:tc>
                <w:tcPr>
                  <w:tcW w:w="700" w:type="pct"/>
                  <w:vMerge w:val="continue"/>
                  <w:vAlign w:val="center"/>
                </w:tcPr>
                <w:p w14:paraId="21D913D3">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5777CFEE">
                  <w:pPr>
                    <w:spacing w:line="200" w:lineRule="atLeast"/>
                    <w:jc w:val="center"/>
                    <w:rPr>
                      <w:color w:val="auto"/>
                    </w:rPr>
                  </w:pPr>
                  <w:r>
                    <w:rPr>
                      <w:rFonts w:hint="eastAsia"/>
                      <w:color w:val="auto"/>
                      <w:szCs w:val="21"/>
                    </w:rPr>
                    <w:t>废液压油</w:t>
                  </w:r>
                </w:p>
              </w:tc>
              <w:tc>
                <w:tcPr>
                  <w:tcW w:w="765" w:type="dxa"/>
                  <w:tcBorders>
                    <w:top w:val="single" w:color="auto" w:sz="4" w:space="0"/>
                    <w:bottom w:val="single" w:color="auto" w:sz="4" w:space="0"/>
                  </w:tcBorders>
                  <w:vAlign w:val="center"/>
                </w:tcPr>
                <w:p w14:paraId="039D9716">
                  <w:pPr>
                    <w:spacing w:line="200" w:lineRule="atLeast"/>
                    <w:jc w:val="center"/>
                    <w:rPr>
                      <w:color w:val="auto"/>
                      <w:kern w:val="0"/>
                      <w:szCs w:val="21"/>
                      <w:lang w:val="zh-CN"/>
                    </w:rPr>
                  </w:pPr>
                  <w:r>
                    <w:rPr>
                      <w:rFonts w:hint="eastAsia"/>
                      <w:color w:val="auto"/>
                      <w:szCs w:val="21"/>
                    </w:rPr>
                    <w:t>HW08</w:t>
                  </w:r>
                </w:p>
              </w:tc>
              <w:tc>
                <w:tcPr>
                  <w:tcW w:w="1174" w:type="dxa"/>
                  <w:tcBorders>
                    <w:top w:val="single" w:color="auto" w:sz="4" w:space="0"/>
                    <w:bottom w:val="single" w:color="auto" w:sz="4" w:space="0"/>
                  </w:tcBorders>
                  <w:vAlign w:val="center"/>
                </w:tcPr>
                <w:p w14:paraId="191F4000">
                  <w:pPr>
                    <w:spacing w:line="200" w:lineRule="atLeast"/>
                    <w:jc w:val="center"/>
                    <w:rPr>
                      <w:color w:val="auto"/>
                      <w:kern w:val="0"/>
                      <w:szCs w:val="21"/>
                      <w:lang w:val="zh-CN"/>
                    </w:rPr>
                  </w:pPr>
                  <w:r>
                    <w:rPr>
                      <w:rFonts w:hint="eastAsia"/>
                      <w:color w:val="auto"/>
                      <w:szCs w:val="21"/>
                    </w:rPr>
                    <w:t>900-218-08</w:t>
                  </w:r>
                </w:p>
              </w:tc>
              <w:tc>
                <w:tcPr>
                  <w:tcW w:w="437" w:type="pct"/>
                  <w:vMerge w:val="continue"/>
                  <w:vAlign w:val="center"/>
                </w:tcPr>
                <w:p w14:paraId="2BF9B64C">
                  <w:pPr>
                    <w:topLinePunct/>
                    <w:adjustRightInd w:val="0"/>
                    <w:snapToGrid w:val="0"/>
                    <w:jc w:val="center"/>
                    <w:rPr>
                      <w:color w:val="auto"/>
                      <w:szCs w:val="21"/>
                    </w:rPr>
                  </w:pPr>
                </w:p>
              </w:tc>
              <w:tc>
                <w:tcPr>
                  <w:tcW w:w="442" w:type="pct"/>
                  <w:vAlign w:val="center"/>
                </w:tcPr>
                <w:p w14:paraId="69D3277B">
                  <w:pPr>
                    <w:pStyle w:val="477"/>
                    <w:spacing w:after="0"/>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4DEAA2EF">
                  <w:pPr>
                    <w:topLinePunct/>
                    <w:adjustRightInd w:val="0"/>
                    <w:snapToGrid w:val="0"/>
                    <w:jc w:val="center"/>
                    <w:rPr>
                      <w:color w:val="auto"/>
                      <w:kern w:val="0"/>
                      <w:szCs w:val="21"/>
                    </w:rPr>
                  </w:pPr>
                  <w:r>
                    <w:rPr>
                      <w:rFonts w:hint="eastAsia"/>
                      <w:color w:val="auto"/>
                      <w:kern w:val="0"/>
                      <w:szCs w:val="21"/>
                      <w:lang w:val="zh-CN"/>
                    </w:rPr>
                    <w:t>桶装</w:t>
                  </w:r>
                  <w:r>
                    <w:rPr>
                      <w:rFonts w:hint="eastAsia"/>
                      <w:color w:val="auto"/>
                      <w:kern w:val="0"/>
                      <w:szCs w:val="21"/>
                    </w:rPr>
                    <w:t xml:space="preserve">    </w:t>
                  </w:r>
                </w:p>
              </w:tc>
              <w:tc>
                <w:tcPr>
                  <w:tcW w:w="396" w:type="pct"/>
                  <w:vAlign w:val="center"/>
                </w:tcPr>
                <w:p w14:paraId="09FE646A">
                  <w:pPr>
                    <w:pStyle w:val="477"/>
                    <w:spacing w:after="0"/>
                    <w:rPr>
                      <w:color w:val="auto"/>
                      <w:szCs w:val="21"/>
                    </w:rPr>
                  </w:pPr>
                  <w:r>
                    <w:rPr>
                      <w:rFonts w:hint="eastAsia"/>
                      <w:color w:val="auto"/>
                      <w:szCs w:val="21"/>
                      <w:lang w:eastAsia="zh-CN"/>
                    </w:rPr>
                    <w:t>1.</w:t>
                  </w:r>
                  <w:r>
                    <w:rPr>
                      <w:rFonts w:hint="eastAsia"/>
                      <w:color w:val="auto"/>
                      <w:szCs w:val="21"/>
                    </w:rPr>
                    <w:t>t</w:t>
                  </w:r>
                </w:p>
              </w:tc>
              <w:tc>
                <w:tcPr>
                  <w:tcW w:w="388" w:type="pct"/>
                  <w:vAlign w:val="center"/>
                </w:tcPr>
                <w:p w14:paraId="04669B77">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6个月</w:t>
                  </w:r>
                </w:p>
              </w:tc>
            </w:tr>
            <w:tr w14:paraId="6792A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2A689218">
                  <w:pPr>
                    <w:spacing w:line="200" w:lineRule="atLeast"/>
                    <w:jc w:val="center"/>
                    <w:rPr>
                      <w:color w:val="auto"/>
                      <w:szCs w:val="21"/>
                    </w:rPr>
                  </w:pPr>
                  <w:r>
                    <w:rPr>
                      <w:rFonts w:hint="eastAsia"/>
                      <w:color w:val="auto"/>
                      <w:szCs w:val="21"/>
                    </w:rPr>
                    <w:t>3</w:t>
                  </w:r>
                </w:p>
              </w:tc>
              <w:tc>
                <w:tcPr>
                  <w:tcW w:w="700" w:type="pct"/>
                  <w:vMerge w:val="continue"/>
                  <w:vAlign w:val="center"/>
                </w:tcPr>
                <w:p w14:paraId="1A7D768C">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50CA4BEE">
                  <w:pPr>
                    <w:spacing w:line="200" w:lineRule="atLeast"/>
                    <w:jc w:val="center"/>
                    <w:rPr>
                      <w:color w:val="auto"/>
                    </w:rPr>
                  </w:pPr>
                  <w:r>
                    <w:rPr>
                      <w:rFonts w:hint="eastAsia"/>
                      <w:color w:val="auto"/>
                      <w:szCs w:val="21"/>
                    </w:rPr>
                    <w:t>废胶桶、废胶瓶</w:t>
                  </w:r>
                </w:p>
              </w:tc>
              <w:tc>
                <w:tcPr>
                  <w:tcW w:w="765" w:type="dxa"/>
                  <w:tcBorders>
                    <w:top w:val="single" w:color="auto" w:sz="4" w:space="0"/>
                    <w:bottom w:val="single" w:color="auto" w:sz="4" w:space="0"/>
                  </w:tcBorders>
                  <w:vAlign w:val="center"/>
                </w:tcPr>
                <w:p w14:paraId="3D85CA1A">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71182753">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7" w:type="pct"/>
                  <w:vMerge w:val="continue"/>
                  <w:vAlign w:val="center"/>
                </w:tcPr>
                <w:p w14:paraId="4DA592C1">
                  <w:pPr>
                    <w:topLinePunct/>
                    <w:adjustRightInd w:val="0"/>
                    <w:snapToGrid w:val="0"/>
                    <w:jc w:val="center"/>
                    <w:rPr>
                      <w:color w:val="auto"/>
                      <w:szCs w:val="21"/>
                    </w:rPr>
                  </w:pPr>
                </w:p>
              </w:tc>
              <w:tc>
                <w:tcPr>
                  <w:tcW w:w="442" w:type="pct"/>
                  <w:vAlign w:val="center"/>
                </w:tcPr>
                <w:p w14:paraId="4D003F0F">
                  <w:pPr>
                    <w:jc w:val="center"/>
                    <w:rPr>
                      <w:color w:val="auto"/>
                      <w:kern w:val="0"/>
                      <w:szCs w:val="21"/>
                    </w:rPr>
                  </w:pPr>
                  <w:r>
                    <w:rPr>
                      <w:rFonts w:hint="eastAsia"/>
                      <w:color w:val="auto"/>
                      <w:kern w:val="0"/>
                      <w:szCs w:val="21"/>
                      <w:lang w:val="en-US" w:eastAsia="zh-CN"/>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24527D72">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3F6B1624">
                  <w:pPr>
                    <w:pStyle w:val="477"/>
                    <w:spacing w:after="0"/>
                    <w:rPr>
                      <w:color w:val="auto"/>
                      <w:szCs w:val="21"/>
                    </w:rPr>
                  </w:pPr>
                  <w:r>
                    <w:rPr>
                      <w:rFonts w:hint="eastAsia"/>
                      <w:color w:val="auto"/>
                      <w:szCs w:val="21"/>
                      <w:lang w:val="en-US" w:eastAsia="zh-CN"/>
                    </w:rPr>
                    <w:t>1.</w:t>
                  </w:r>
                  <w:r>
                    <w:rPr>
                      <w:rFonts w:hint="eastAsia"/>
                      <w:color w:val="auto"/>
                      <w:szCs w:val="21"/>
                    </w:rPr>
                    <w:t>t</w:t>
                  </w:r>
                </w:p>
              </w:tc>
              <w:tc>
                <w:tcPr>
                  <w:tcW w:w="388" w:type="pct"/>
                  <w:vAlign w:val="center"/>
                </w:tcPr>
                <w:p w14:paraId="6E1D6CCE">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6个月</w:t>
                  </w:r>
                </w:p>
              </w:tc>
            </w:tr>
            <w:tr w14:paraId="46A2B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615EAF4C">
                  <w:pPr>
                    <w:spacing w:line="200" w:lineRule="atLeast"/>
                    <w:jc w:val="center"/>
                    <w:rPr>
                      <w:color w:val="auto"/>
                      <w:szCs w:val="21"/>
                    </w:rPr>
                  </w:pPr>
                  <w:r>
                    <w:rPr>
                      <w:rFonts w:hint="eastAsia"/>
                      <w:color w:val="auto"/>
                      <w:szCs w:val="21"/>
                    </w:rPr>
                    <w:t>4</w:t>
                  </w:r>
                </w:p>
              </w:tc>
              <w:tc>
                <w:tcPr>
                  <w:tcW w:w="700" w:type="pct"/>
                  <w:vMerge w:val="continue"/>
                  <w:vAlign w:val="center"/>
                </w:tcPr>
                <w:p w14:paraId="2DD313A8">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1E3AF7FE">
                  <w:pPr>
                    <w:spacing w:line="200" w:lineRule="atLeast"/>
                    <w:jc w:val="center"/>
                    <w:rPr>
                      <w:color w:val="auto"/>
                    </w:rPr>
                  </w:pPr>
                  <w:r>
                    <w:rPr>
                      <w:rFonts w:hint="eastAsia"/>
                      <w:color w:val="auto"/>
                      <w:szCs w:val="21"/>
                    </w:rPr>
                    <w:t>废灰桶、废漆桶</w:t>
                  </w:r>
                </w:p>
              </w:tc>
              <w:tc>
                <w:tcPr>
                  <w:tcW w:w="765" w:type="dxa"/>
                  <w:tcBorders>
                    <w:top w:val="single" w:color="auto" w:sz="4" w:space="0"/>
                    <w:bottom w:val="single" w:color="auto" w:sz="4" w:space="0"/>
                  </w:tcBorders>
                  <w:vAlign w:val="center"/>
                </w:tcPr>
                <w:p w14:paraId="5724507B">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61F69BE2">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7" w:type="pct"/>
                  <w:vMerge w:val="continue"/>
                  <w:vAlign w:val="center"/>
                </w:tcPr>
                <w:p w14:paraId="3434668D">
                  <w:pPr>
                    <w:topLinePunct/>
                    <w:adjustRightInd w:val="0"/>
                    <w:snapToGrid w:val="0"/>
                    <w:jc w:val="center"/>
                    <w:rPr>
                      <w:color w:val="auto"/>
                      <w:szCs w:val="21"/>
                    </w:rPr>
                  </w:pPr>
                </w:p>
              </w:tc>
              <w:tc>
                <w:tcPr>
                  <w:tcW w:w="442" w:type="pct"/>
                  <w:vAlign w:val="center"/>
                </w:tcPr>
                <w:p w14:paraId="0C4FB5DD">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7F34A834">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7336E1B8">
                  <w:pPr>
                    <w:pStyle w:val="477"/>
                    <w:spacing w:after="0"/>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38ECE4B9">
                  <w:pPr>
                    <w:topLinePunct/>
                    <w:adjustRightInd w:val="0"/>
                    <w:snapToGrid w:val="0"/>
                    <w:jc w:val="center"/>
                    <w:rPr>
                      <w:color w:val="auto"/>
                      <w:szCs w:val="21"/>
                    </w:rPr>
                  </w:pPr>
                  <w:r>
                    <w:rPr>
                      <w:rFonts w:hint="eastAsia"/>
                      <w:color w:val="auto"/>
                      <w:szCs w:val="21"/>
                      <w:lang w:val="en-US" w:eastAsia="zh-CN"/>
                    </w:rPr>
                    <w:t>6个月</w:t>
                  </w:r>
                </w:p>
              </w:tc>
            </w:tr>
            <w:tr w14:paraId="0A919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620045DC">
                  <w:pPr>
                    <w:spacing w:line="200" w:lineRule="atLeast"/>
                    <w:jc w:val="center"/>
                    <w:rPr>
                      <w:color w:val="auto"/>
                      <w:szCs w:val="21"/>
                    </w:rPr>
                  </w:pPr>
                  <w:r>
                    <w:rPr>
                      <w:rFonts w:hint="eastAsia"/>
                      <w:color w:val="auto"/>
                      <w:szCs w:val="21"/>
                    </w:rPr>
                    <w:t>5</w:t>
                  </w:r>
                </w:p>
              </w:tc>
              <w:tc>
                <w:tcPr>
                  <w:tcW w:w="700" w:type="pct"/>
                  <w:vMerge w:val="continue"/>
                  <w:vAlign w:val="center"/>
                </w:tcPr>
                <w:p w14:paraId="6BF71479">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18A43DDC">
                  <w:pPr>
                    <w:spacing w:line="200" w:lineRule="atLeast"/>
                    <w:jc w:val="center"/>
                    <w:rPr>
                      <w:color w:val="auto"/>
                    </w:rPr>
                  </w:pPr>
                  <w:r>
                    <w:rPr>
                      <w:rFonts w:hint="eastAsia"/>
                      <w:color w:val="auto"/>
                      <w:szCs w:val="21"/>
                    </w:rPr>
                    <w:t>废漆渣</w:t>
                  </w:r>
                </w:p>
              </w:tc>
              <w:tc>
                <w:tcPr>
                  <w:tcW w:w="765" w:type="dxa"/>
                  <w:tcBorders>
                    <w:top w:val="single" w:color="auto" w:sz="4" w:space="0"/>
                    <w:bottom w:val="single" w:color="auto" w:sz="4" w:space="0"/>
                  </w:tcBorders>
                  <w:vAlign w:val="center"/>
                </w:tcPr>
                <w:p w14:paraId="16108CCF">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4F33170F">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437" w:type="pct"/>
                  <w:vMerge w:val="continue"/>
                  <w:vAlign w:val="center"/>
                </w:tcPr>
                <w:p w14:paraId="6F96FACD">
                  <w:pPr>
                    <w:topLinePunct/>
                    <w:adjustRightInd w:val="0"/>
                    <w:snapToGrid w:val="0"/>
                    <w:jc w:val="center"/>
                    <w:rPr>
                      <w:color w:val="auto"/>
                      <w:szCs w:val="21"/>
                    </w:rPr>
                  </w:pPr>
                </w:p>
              </w:tc>
              <w:tc>
                <w:tcPr>
                  <w:tcW w:w="442" w:type="pct"/>
                  <w:vAlign w:val="center"/>
                </w:tcPr>
                <w:p w14:paraId="568A48AA">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25E23D82">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vAlign w:val="center"/>
                </w:tcPr>
                <w:p w14:paraId="2248AA52">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76102A3C">
                  <w:pPr>
                    <w:topLinePunct/>
                    <w:adjustRightInd w:val="0"/>
                    <w:snapToGrid w:val="0"/>
                    <w:jc w:val="center"/>
                    <w:rPr>
                      <w:color w:val="auto"/>
                      <w:szCs w:val="21"/>
                    </w:rPr>
                  </w:pPr>
                  <w:r>
                    <w:rPr>
                      <w:rFonts w:hint="eastAsia"/>
                      <w:color w:val="auto"/>
                      <w:szCs w:val="21"/>
                      <w:lang w:val="en-US" w:eastAsia="zh-CN"/>
                    </w:rPr>
                    <w:t>6个月</w:t>
                  </w:r>
                </w:p>
              </w:tc>
            </w:tr>
            <w:tr w14:paraId="4B852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5B6417F8">
                  <w:pPr>
                    <w:spacing w:line="200" w:lineRule="atLeast"/>
                    <w:jc w:val="center"/>
                    <w:rPr>
                      <w:color w:val="auto"/>
                      <w:szCs w:val="21"/>
                    </w:rPr>
                  </w:pPr>
                  <w:r>
                    <w:rPr>
                      <w:rFonts w:hint="eastAsia"/>
                      <w:color w:val="auto"/>
                      <w:szCs w:val="21"/>
                    </w:rPr>
                    <w:t>6</w:t>
                  </w:r>
                </w:p>
              </w:tc>
              <w:tc>
                <w:tcPr>
                  <w:tcW w:w="700" w:type="pct"/>
                  <w:vMerge w:val="continue"/>
                  <w:vAlign w:val="center"/>
                </w:tcPr>
                <w:p w14:paraId="5CF65374">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1FBB5E41">
                  <w:pPr>
                    <w:spacing w:line="200" w:lineRule="atLeast"/>
                    <w:jc w:val="center"/>
                    <w:rPr>
                      <w:color w:val="auto"/>
                    </w:rPr>
                  </w:pPr>
                  <w:r>
                    <w:rPr>
                      <w:rFonts w:hint="eastAsia"/>
                      <w:color w:val="auto"/>
                      <w:szCs w:val="21"/>
                    </w:rPr>
                    <w:t>废切削液</w:t>
                  </w:r>
                </w:p>
              </w:tc>
              <w:tc>
                <w:tcPr>
                  <w:tcW w:w="765" w:type="dxa"/>
                  <w:tcBorders>
                    <w:top w:val="single" w:color="auto" w:sz="4" w:space="0"/>
                    <w:bottom w:val="single" w:color="auto" w:sz="4" w:space="0"/>
                  </w:tcBorders>
                  <w:vAlign w:val="center"/>
                </w:tcPr>
                <w:p w14:paraId="6B9A283D">
                  <w:pPr>
                    <w:pStyle w:val="477"/>
                    <w:spacing w:after="0"/>
                    <w:rPr>
                      <w:color w:val="auto"/>
                      <w:szCs w:val="21"/>
                    </w:rPr>
                  </w:pPr>
                  <w:r>
                    <w:rPr>
                      <w:rFonts w:hint="eastAsia"/>
                      <w:color w:val="auto"/>
                      <w:kern w:val="0"/>
                      <w:szCs w:val="21"/>
                    </w:rPr>
                    <w:t>HW09</w:t>
                  </w:r>
                </w:p>
              </w:tc>
              <w:tc>
                <w:tcPr>
                  <w:tcW w:w="1174" w:type="dxa"/>
                  <w:tcBorders>
                    <w:top w:val="single" w:color="auto" w:sz="4" w:space="0"/>
                    <w:bottom w:val="single" w:color="auto" w:sz="4" w:space="0"/>
                  </w:tcBorders>
                  <w:vAlign w:val="center"/>
                </w:tcPr>
                <w:p w14:paraId="239AA8D6">
                  <w:pPr>
                    <w:pStyle w:val="477"/>
                    <w:spacing w:after="0"/>
                    <w:rPr>
                      <w:color w:val="auto"/>
                      <w:szCs w:val="21"/>
                    </w:rPr>
                  </w:pPr>
                  <w:r>
                    <w:rPr>
                      <w:rFonts w:hint="eastAsia"/>
                      <w:color w:val="auto"/>
                      <w:kern w:val="0"/>
                      <w:szCs w:val="21"/>
                    </w:rPr>
                    <w:t>900-006-09</w:t>
                  </w:r>
                </w:p>
              </w:tc>
              <w:tc>
                <w:tcPr>
                  <w:tcW w:w="437" w:type="pct"/>
                  <w:vMerge w:val="continue"/>
                  <w:vAlign w:val="center"/>
                </w:tcPr>
                <w:p w14:paraId="34E1D08D">
                  <w:pPr>
                    <w:topLinePunct/>
                    <w:adjustRightInd w:val="0"/>
                    <w:snapToGrid w:val="0"/>
                    <w:jc w:val="center"/>
                    <w:rPr>
                      <w:color w:val="auto"/>
                      <w:szCs w:val="21"/>
                    </w:rPr>
                  </w:pPr>
                </w:p>
              </w:tc>
              <w:tc>
                <w:tcPr>
                  <w:tcW w:w="442" w:type="pct"/>
                  <w:vAlign w:val="center"/>
                </w:tcPr>
                <w:p w14:paraId="62F21996">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23CCC6E">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3E616098">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3E231DA5">
                  <w:pPr>
                    <w:topLinePunct/>
                    <w:adjustRightInd w:val="0"/>
                    <w:snapToGrid w:val="0"/>
                    <w:jc w:val="center"/>
                    <w:rPr>
                      <w:color w:val="auto"/>
                      <w:szCs w:val="21"/>
                    </w:rPr>
                  </w:pPr>
                  <w:r>
                    <w:rPr>
                      <w:rFonts w:hint="eastAsia"/>
                      <w:color w:val="auto"/>
                      <w:szCs w:val="21"/>
                      <w:lang w:val="en-US" w:eastAsia="zh-CN"/>
                    </w:rPr>
                    <w:t>6个月</w:t>
                  </w:r>
                </w:p>
              </w:tc>
            </w:tr>
            <w:tr w14:paraId="515A6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jc w:val="center"/>
              </w:trPr>
              <w:tc>
                <w:tcPr>
                  <w:tcW w:w="538" w:type="dxa"/>
                  <w:tcBorders>
                    <w:top w:val="single" w:color="auto" w:sz="4" w:space="0"/>
                    <w:bottom w:val="single" w:color="auto" w:sz="4" w:space="0"/>
                  </w:tcBorders>
                  <w:vAlign w:val="center"/>
                </w:tcPr>
                <w:p w14:paraId="75F130DC">
                  <w:pPr>
                    <w:spacing w:line="200" w:lineRule="atLeast"/>
                    <w:jc w:val="center"/>
                    <w:rPr>
                      <w:color w:val="auto"/>
                      <w:szCs w:val="21"/>
                    </w:rPr>
                  </w:pPr>
                  <w:r>
                    <w:rPr>
                      <w:rFonts w:hint="eastAsia"/>
                      <w:color w:val="auto"/>
                      <w:szCs w:val="21"/>
                    </w:rPr>
                    <w:t>7</w:t>
                  </w:r>
                </w:p>
              </w:tc>
              <w:tc>
                <w:tcPr>
                  <w:tcW w:w="700" w:type="pct"/>
                  <w:vMerge w:val="continue"/>
                  <w:vAlign w:val="center"/>
                </w:tcPr>
                <w:p w14:paraId="61F1A34F">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7635749F">
                  <w:pPr>
                    <w:spacing w:line="200" w:lineRule="atLeast"/>
                    <w:jc w:val="center"/>
                    <w:rPr>
                      <w:color w:val="auto"/>
                    </w:rPr>
                  </w:pPr>
                  <w:r>
                    <w:rPr>
                      <w:rFonts w:hint="eastAsia"/>
                      <w:color w:val="auto"/>
                      <w:szCs w:val="21"/>
                    </w:rPr>
                    <w:t>喷涂渣</w:t>
                  </w:r>
                </w:p>
              </w:tc>
              <w:tc>
                <w:tcPr>
                  <w:tcW w:w="765" w:type="dxa"/>
                  <w:tcBorders>
                    <w:top w:val="single" w:color="auto" w:sz="4" w:space="0"/>
                    <w:bottom w:val="single" w:color="auto" w:sz="4" w:space="0"/>
                  </w:tcBorders>
                  <w:vAlign w:val="center"/>
                </w:tcPr>
                <w:p w14:paraId="74CD0615">
                  <w:pPr>
                    <w:pStyle w:val="477"/>
                    <w:spacing w:after="0"/>
                    <w:rPr>
                      <w:color w:val="auto"/>
                      <w:szCs w:val="21"/>
                    </w:rPr>
                  </w:pPr>
                  <w:r>
                    <w:rPr>
                      <w:rFonts w:hint="eastAsia"/>
                      <w:color w:val="auto"/>
                      <w:kern w:val="0"/>
                      <w:szCs w:val="21"/>
                    </w:rPr>
                    <w:t>HW12</w:t>
                  </w:r>
                </w:p>
              </w:tc>
              <w:tc>
                <w:tcPr>
                  <w:tcW w:w="1174" w:type="dxa"/>
                  <w:tcBorders>
                    <w:top w:val="single" w:color="auto" w:sz="4" w:space="0"/>
                    <w:bottom w:val="single" w:color="auto" w:sz="4" w:space="0"/>
                  </w:tcBorders>
                  <w:vAlign w:val="center"/>
                </w:tcPr>
                <w:p w14:paraId="7D0094D1">
                  <w:pPr>
                    <w:pStyle w:val="477"/>
                    <w:spacing w:after="0"/>
                    <w:rPr>
                      <w:color w:val="auto"/>
                      <w:szCs w:val="21"/>
                    </w:rPr>
                  </w:pPr>
                  <w:r>
                    <w:rPr>
                      <w:rFonts w:hint="eastAsia"/>
                      <w:color w:val="auto"/>
                      <w:kern w:val="0"/>
                      <w:szCs w:val="21"/>
                    </w:rPr>
                    <w:t>900-252-12</w:t>
                  </w:r>
                </w:p>
              </w:tc>
              <w:tc>
                <w:tcPr>
                  <w:tcW w:w="437" w:type="pct"/>
                  <w:vMerge w:val="continue"/>
                  <w:vAlign w:val="center"/>
                </w:tcPr>
                <w:p w14:paraId="11E5FA29">
                  <w:pPr>
                    <w:topLinePunct/>
                    <w:adjustRightInd w:val="0"/>
                    <w:snapToGrid w:val="0"/>
                    <w:jc w:val="center"/>
                    <w:rPr>
                      <w:color w:val="auto"/>
                      <w:szCs w:val="21"/>
                    </w:rPr>
                  </w:pPr>
                </w:p>
              </w:tc>
              <w:tc>
                <w:tcPr>
                  <w:tcW w:w="442" w:type="pct"/>
                  <w:vAlign w:val="center"/>
                </w:tcPr>
                <w:p w14:paraId="2ED85F3D">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12D5686">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vAlign w:val="center"/>
                </w:tcPr>
                <w:p w14:paraId="6A8A3C68">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458A423A">
                  <w:pPr>
                    <w:topLinePunct/>
                    <w:adjustRightInd w:val="0"/>
                    <w:snapToGrid w:val="0"/>
                    <w:jc w:val="center"/>
                    <w:rPr>
                      <w:color w:val="auto"/>
                      <w:szCs w:val="21"/>
                    </w:rPr>
                  </w:pPr>
                  <w:r>
                    <w:rPr>
                      <w:rFonts w:hint="eastAsia"/>
                      <w:color w:val="auto"/>
                      <w:szCs w:val="21"/>
                      <w:lang w:val="en-US" w:eastAsia="zh-CN"/>
                    </w:rPr>
                    <w:t>6个月</w:t>
                  </w:r>
                </w:p>
              </w:tc>
            </w:tr>
            <w:tr w14:paraId="7B8CC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2186E7E8">
                  <w:pPr>
                    <w:spacing w:line="200" w:lineRule="atLeast"/>
                    <w:jc w:val="center"/>
                    <w:rPr>
                      <w:color w:val="auto"/>
                      <w:szCs w:val="21"/>
                    </w:rPr>
                  </w:pPr>
                  <w:r>
                    <w:rPr>
                      <w:rFonts w:hint="eastAsia"/>
                      <w:color w:val="auto"/>
                      <w:szCs w:val="21"/>
                    </w:rPr>
                    <w:t>8</w:t>
                  </w:r>
                </w:p>
              </w:tc>
              <w:tc>
                <w:tcPr>
                  <w:tcW w:w="700" w:type="pct"/>
                  <w:vMerge w:val="continue"/>
                  <w:vAlign w:val="center"/>
                </w:tcPr>
                <w:p w14:paraId="78D0BC7B">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1D1E40DB">
                  <w:pPr>
                    <w:spacing w:line="200" w:lineRule="atLeast"/>
                    <w:jc w:val="center"/>
                    <w:rPr>
                      <w:color w:val="auto"/>
                    </w:rPr>
                  </w:pPr>
                  <w:r>
                    <w:rPr>
                      <w:rFonts w:hint="eastAsia"/>
                      <w:color w:val="auto"/>
                      <w:szCs w:val="21"/>
                    </w:rPr>
                    <w:t>废抹布</w:t>
                  </w:r>
                </w:p>
              </w:tc>
              <w:tc>
                <w:tcPr>
                  <w:tcW w:w="765" w:type="dxa"/>
                  <w:tcBorders>
                    <w:top w:val="single" w:color="auto" w:sz="4" w:space="0"/>
                    <w:bottom w:val="single" w:color="auto" w:sz="4" w:space="0"/>
                  </w:tcBorders>
                  <w:vAlign w:val="center"/>
                </w:tcPr>
                <w:p w14:paraId="557FA04D">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6921C6C2">
                  <w:pPr>
                    <w:pStyle w:val="477"/>
                    <w:spacing w:after="0"/>
                    <w:rPr>
                      <w:color w:val="auto"/>
                      <w:szCs w:val="21"/>
                    </w:rPr>
                  </w:pPr>
                  <w:r>
                    <w:rPr>
                      <w:rFonts w:hint="eastAsia"/>
                      <w:color w:val="auto"/>
                      <w:kern w:val="0"/>
                      <w:szCs w:val="21"/>
                      <w:lang w:val="zh-CN"/>
                    </w:rPr>
                    <w:t>900-</w:t>
                  </w:r>
                  <w:r>
                    <w:rPr>
                      <w:rFonts w:hint="eastAsia"/>
                      <w:color w:val="auto"/>
                      <w:kern w:val="0"/>
                      <w:szCs w:val="21"/>
                    </w:rPr>
                    <w:t>041-49</w:t>
                  </w:r>
                </w:p>
              </w:tc>
              <w:tc>
                <w:tcPr>
                  <w:tcW w:w="437" w:type="pct"/>
                  <w:vMerge w:val="continue"/>
                  <w:vAlign w:val="center"/>
                </w:tcPr>
                <w:p w14:paraId="5AB2680E">
                  <w:pPr>
                    <w:topLinePunct/>
                    <w:adjustRightInd w:val="0"/>
                    <w:snapToGrid w:val="0"/>
                    <w:jc w:val="center"/>
                    <w:rPr>
                      <w:color w:val="auto"/>
                      <w:szCs w:val="21"/>
                    </w:rPr>
                  </w:pPr>
                </w:p>
              </w:tc>
              <w:tc>
                <w:tcPr>
                  <w:tcW w:w="442" w:type="pct"/>
                  <w:vAlign w:val="center"/>
                </w:tcPr>
                <w:p w14:paraId="0814E9EB">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08ADEBF7">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vAlign w:val="center"/>
                </w:tcPr>
                <w:p w14:paraId="30A3D8A6">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4783FA31">
                  <w:pPr>
                    <w:topLinePunct/>
                    <w:adjustRightInd w:val="0"/>
                    <w:snapToGrid w:val="0"/>
                    <w:jc w:val="center"/>
                    <w:rPr>
                      <w:color w:val="auto"/>
                      <w:szCs w:val="21"/>
                    </w:rPr>
                  </w:pPr>
                  <w:r>
                    <w:rPr>
                      <w:rFonts w:hint="eastAsia"/>
                      <w:color w:val="auto"/>
                      <w:szCs w:val="21"/>
                      <w:lang w:val="en-US" w:eastAsia="zh-CN"/>
                    </w:rPr>
                    <w:t>6个月</w:t>
                  </w:r>
                </w:p>
              </w:tc>
            </w:tr>
            <w:tr w14:paraId="38B6B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1A4DCA0B">
                  <w:pPr>
                    <w:spacing w:line="200" w:lineRule="atLeast"/>
                    <w:jc w:val="center"/>
                    <w:rPr>
                      <w:color w:val="auto"/>
                      <w:szCs w:val="21"/>
                    </w:rPr>
                  </w:pPr>
                  <w:r>
                    <w:rPr>
                      <w:rFonts w:hint="eastAsia"/>
                      <w:color w:val="auto"/>
                      <w:szCs w:val="21"/>
                    </w:rPr>
                    <w:t>9</w:t>
                  </w:r>
                </w:p>
              </w:tc>
              <w:tc>
                <w:tcPr>
                  <w:tcW w:w="700" w:type="pct"/>
                  <w:vMerge w:val="continue"/>
                  <w:vAlign w:val="center"/>
                </w:tcPr>
                <w:p w14:paraId="7BB77E16">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4F5EA04B">
                  <w:pPr>
                    <w:spacing w:line="200" w:lineRule="atLeast"/>
                    <w:jc w:val="center"/>
                    <w:rPr>
                      <w:color w:val="auto"/>
                    </w:rPr>
                  </w:pPr>
                  <w:r>
                    <w:rPr>
                      <w:rFonts w:hint="eastAsia"/>
                      <w:color w:val="auto"/>
                      <w:szCs w:val="21"/>
                    </w:rPr>
                    <w:t>废油墨</w:t>
                  </w:r>
                </w:p>
              </w:tc>
              <w:tc>
                <w:tcPr>
                  <w:tcW w:w="765" w:type="dxa"/>
                  <w:tcBorders>
                    <w:top w:val="single" w:color="auto" w:sz="4" w:space="0"/>
                    <w:bottom w:val="single" w:color="auto" w:sz="4" w:space="0"/>
                  </w:tcBorders>
                  <w:vAlign w:val="center"/>
                </w:tcPr>
                <w:p w14:paraId="2B87915C">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74DF727D">
                  <w:pPr>
                    <w:pStyle w:val="477"/>
                    <w:spacing w:after="0"/>
                    <w:rPr>
                      <w:color w:val="auto"/>
                      <w:szCs w:val="21"/>
                    </w:rPr>
                  </w:pPr>
                  <w:r>
                    <w:rPr>
                      <w:rFonts w:hint="eastAsia"/>
                      <w:color w:val="auto"/>
                      <w:kern w:val="0"/>
                      <w:szCs w:val="21"/>
                      <w:lang w:val="zh-CN"/>
                    </w:rPr>
                    <w:t>900-</w:t>
                  </w:r>
                  <w:r>
                    <w:rPr>
                      <w:rFonts w:hint="eastAsia"/>
                      <w:color w:val="auto"/>
                      <w:kern w:val="0"/>
                      <w:szCs w:val="21"/>
                    </w:rPr>
                    <w:t>299-12</w:t>
                  </w:r>
                </w:p>
              </w:tc>
              <w:tc>
                <w:tcPr>
                  <w:tcW w:w="437" w:type="pct"/>
                  <w:vMerge w:val="continue"/>
                  <w:vAlign w:val="center"/>
                </w:tcPr>
                <w:p w14:paraId="5604811F">
                  <w:pPr>
                    <w:topLinePunct/>
                    <w:adjustRightInd w:val="0"/>
                    <w:snapToGrid w:val="0"/>
                    <w:jc w:val="center"/>
                    <w:rPr>
                      <w:color w:val="auto"/>
                      <w:szCs w:val="21"/>
                    </w:rPr>
                  </w:pPr>
                </w:p>
              </w:tc>
              <w:tc>
                <w:tcPr>
                  <w:tcW w:w="442" w:type="pct"/>
                  <w:vAlign w:val="center"/>
                </w:tcPr>
                <w:p w14:paraId="6D18CF87">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25E7925">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2DEA0AAA">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595651C8">
                  <w:pPr>
                    <w:topLinePunct/>
                    <w:adjustRightInd w:val="0"/>
                    <w:snapToGrid w:val="0"/>
                    <w:jc w:val="center"/>
                    <w:rPr>
                      <w:color w:val="auto"/>
                      <w:szCs w:val="21"/>
                    </w:rPr>
                  </w:pPr>
                  <w:r>
                    <w:rPr>
                      <w:rFonts w:hint="eastAsia"/>
                      <w:color w:val="auto"/>
                      <w:szCs w:val="21"/>
                      <w:lang w:val="en-US" w:eastAsia="zh-CN"/>
                    </w:rPr>
                    <w:t>6个月</w:t>
                  </w:r>
                </w:p>
              </w:tc>
            </w:tr>
            <w:tr w14:paraId="13F14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79DB2C38">
                  <w:pPr>
                    <w:spacing w:line="200" w:lineRule="atLeast"/>
                    <w:jc w:val="center"/>
                    <w:rPr>
                      <w:color w:val="auto"/>
                      <w:szCs w:val="21"/>
                    </w:rPr>
                  </w:pPr>
                  <w:r>
                    <w:rPr>
                      <w:rFonts w:hint="eastAsia"/>
                      <w:color w:val="auto"/>
                      <w:szCs w:val="21"/>
                    </w:rPr>
                    <w:t>10</w:t>
                  </w:r>
                </w:p>
              </w:tc>
              <w:tc>
                <w:tcPr>
                  <w:tcW w:w="700" w:type="pct"/>
                  <w:vMerge w:val="continue"/>
                  <w:vAlign w:val="center"/>
                </w:tcPr>
                <w:p w14:paraId="4B8A58BF">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03E478BE">
                  <w:pPr>
                    <w:spacing w:line="200" w:lineRule="atLeast"/>
                    <w:jc w:val="center"/>
                    <w:rPr>
                      <w:color w:val="auto"/>
                    </w:rPr>
                  </w:pPr>
                  <w:r>
                    <w:rPr>
                      <w:rFonts w:hint="eastAsia"/>
                      <w:color w:val="auto"/>
                      <w:szCs w:val="21"/>
                    </w:rPr>
                    <w:t>废油墨桶</w:t>
                  </w:r>
                </w:p>
              </w:tc>
              <w:tc>
                <w:tcPr>
                  <w:tcW w:w="765" w:type="dxa"/>
                  <w:tcBorders>
                    <w:top w:val="single" w:color="auto" w:sz="4" w:space="0"/>
                    <w:bottom w:val="single" w:color="auto" w:sz="4" w:space="0"/>
                  </w:tcBorders>
                  <w:vAlign w:val="center"/>
                </w:tcPr>
                <w:p w14:paraId="563D410C">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527AE353">
                  <w:pPr>
                    <w:pStyle w:val="477"/>
                    <w:spacing w:after="0"/>
                    <w:rPr>
                      <w:color w:val="auto"/>
                      <w:szCs w:val="21"/>
                    </w:rPr>
                  </w:pPr>
                  <w:r>
                    <w:rPr>
                      <w:rFonts w:hint="eastAsia"/>
                      <w:color w:val="auto"/>
                      <w:kern w:val="0"/>
                      <w:szCs w:val="21"/>
                      <w:lang w:val="zh-CN"/>
                    </w:rPr>
                    <w:t>900-047-49</w:t>
                  </w:r>
                </w:p>
              </w:tc>
              <w:tc>
                <w:tcPr>
                  <w:tcW w:w="437" w:type="pct"/>
                  <w:vMerge w:val="continue"/>
                  <w:vAlign w:val="center"/>
                </w:tcPr>
                <w:p w14:paraId="2D62D662">
                  <w:pPr>
                    <w:topLinePunct/>
                    <w:adjustRightInd w:val="0"/>
                    <w:snapToGrid w:val="0"/>
                    <w:jc w:val="center"/>
                    <w:rPr>
                      <w:color w:val="auto"/>
                      <w:szCs w:val="21"/>
                    </w:rPr>
                  </w:pPr>
                </w:p>
              </w:tc>
              <w:tc>
                <w:tcPr>
                  <w:tcW w:w="442" w:type="pct"/>
                  <w:vAlign w:val="center"/>
                </w:tcPr>
                <w:p w14:paraId="15AEDAE6">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3465DDDF">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576887D3">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60AE49E8">
                  <w:pPr>
                    <w:topLinePunct/>
                    <w:adjustRightInd w:val="0"/>
                    <w:snapToGrid w:val="0"/>
                    <w:jc w:val="center"/>
                    <w:rPr>
                      <w:color w:val="auto"/>
                      <w:szCs w:val="21"/>
                    </w:rPr>
                  </w:pPr>
                  <w:r>
                    <w:rPr>
                      <w:rFonts w:hint="eastAsia"/>
                      <w:color w:val="auto"/>
                      <w:szCs w:val="21"/>
                      <w:lang w:val="en-US" w:eastAsia="zh-CN"/>
                    </w:rPr>
                    <w:t>6个月</w:t>
                  </w:r>
                </w:p>
              </w:tc>
            </w:tr>
            <w:tr w14:paraId="61AE4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3DD1A7CF">
                  <w:pPr>
                    <w:spacing w:line="200" w:lineRule="atLeast"/>
                    <w:jc w:val="center"/>
                    <w:rPr>
                      <w:color w:val="auto"/>
                      <w:szCs w:val="21"/>
                    </w:rPr>
                  </w:pPr>
                  <w:r>
                    <w:rPr>
                      <w:rFonts w:hint="eastAsia"/>
                      <w:color w:val="auto"/>
                      <w:szCs w:val="21"/>
                    </w:rPr>
                    <w:t>11</w:t>
                  </w:r>
                </w:p>
              </w:tc>
              <w:tc>
                <w:tcPr>
                  <w:tcW w:w="700" w:type="pct"/>
                  <w:vMerge w:val="continue"/>
                  <w:vAlign w:val="center"/>
                </w:tcPr>
                <w:p w14:paraId="5C29C031">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014FF756">
                  <w:pPr>
                    <w:spacing w:line="200" w:lineRule="atLeast"/>
                    <w:jc w:val="center"/>
                    <w:rPr>
                      <w:color w:val="auto"/>
                    </w:rPr>
                  </w:pPr>
                  <w:r>
                    <w:rPr>
                      <w:rFonts w:hint="eastAsia"/>
                      <w:color w:val="auto"/>
                      <w:szCs w:val="21"/>
                    </w:rPr>
                    <w:t>废洗网水</w:t>
                  </w:r>
                </w:p>
              </w:tc>
              <w:tc>
                <w:tcPr>
                  <w:tcW w:w="765" w:type="dxa"/>
                  <w:tcBorders>
                    <w:top w:val="single" w:color="auto" w:sz="4" w:space="0"/>
                    <w:bottom w:val="single" w:color="auto" w:sz="4" w:space="0"/>
                  </w:tcBorders>
                  <w:vAlign w:val="center"/>
                </w:tcPr>
                <w:p w14:paraId="66411440">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60806178">
                  <w:pPr>
                    <w:pStyle w:val="477"/>
                    <w:spacing w:after="0"/>
                    <w:rPr>
                      <w:color w:val="auto"/>
                      <w:szCs w:val="21"/>
                    </w:rPr>
                  </w:pPr>
                  <w:r>
                    <w:rPr>
                      <w:rFonts w:hint="eastAsia"/>
                      <w:color w:val="auto"/>
                      <w:kern w:val="0"/>
                      <w:szCs w:val="21"/>
                      <w:lang w:val="zh-CN"/>
                    </w:rPr>
                    <w:t>900-</w:t>
                  </w:r>
                  <w:r>
                    <w:rPr>
                      <w:rFonts w:hint="eastAsia"/>
                      <w:color w:val="auto"/>
                      <w:kern w:val="0"/>
                      <w:szCs w:val="21"/>
                    </w:rPr>
                    <w:t>256</w:t>
                  </w:r>
                  <w:r>
                    <w:rPr>
                      <w:rFonts w:hint="eastAsia"/>
                      <w:color w:val="auto"/>
                      <w:kern w:val="0"/>
                      <w:szCs w:val="21"/>
                      <w:lang w:val="zh-CN"/>
                    </w:rPr>
                    <w:t>-</w:t>
                  </w:r>
                  <w:r>
                    <w:rPr>
                      <w:rFonts w:hint="eastAsia"/>
                      <w:color w:val="auto"/>
                      <w:kern w:val="0"/>
                      <w:szCs w:val="21"/>
                    </w:rPr>
                    <w:t>12</w:t>
                  </w:r>
                </w:p>
              </w:tc>
              <w:tc>
                <w:tcPr>
                  <w:tcW w:w="437" w:type="pct"/>
                  <w:vMerge w:val="continue"/>
                  <w:vAlign w:val="center"/>
                </w:tcPr>
                <w:p w14:paraId="79811B30">
                  <w:pPr>
                    <w:topLinePunct/>
                    <w:adjustRightInd w:val="0"/>
                    <w:snapToGrid w:val="0"/>
                    <w:jc w:val="center"/>
                    <w:rPr>
                      <w:color w:val="auto"/>
                      <w:szCs w:val="21"/>
                    </w:rPr>
                  </w:pPr>
                </w:p>
              </w:tc>
              <w:tc>
                <w:tcPr>
                  <w:tcW w:w="442" w:type="pct"/>
                  <w:vAlign w:val="center"/>
                </w:tcPr>
                <w:p w14:paraId="2FDCD279">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5672935F">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081FB036">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337039BE">
                  <w:pPr>
                    <w:topLinePunct/>
                    <w:adjustRightInd w:val="0"/>
                    <w:snapToGrid w:val="0"/>
                    <w:jc w:val="center"/>
                    <w:rPr>
                      <w:color w:val="auto"/>
                      <w:szCs w:val="21"/>
                    </w:rPr>
                  </w:pPr>
                  <w:r>
                    <w:rPr>
                      <w:rFonts w:hint="eastAsia"/>
                      <w:color w:val="auto"/>
                      <w:szCs w:val="21"/>
                      <w:lang w:val="en-US" w:eastAsia="zh-CN"/>
                    </w:rPr>
                    <w:t>6个月</w:t>
                  </w:r>
                </w:p>
              </w:tc>
            </w:tr>
            <w:tr w14:paraId="6F130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247D4380">
                  <w:pPr>
                    <w:spacing w:line="200" w:lineRule="atLeast"/>
                    <w:jc w:val="center"/>
                    <w:rPr>
                      <w:color w:val="auto"/>
                      <w:szCs w:val="21"/>
                    </w:rPr>
                  </w:pPr>
                  <w:r>
                    <w:rPr>
                      <w:rFonts w:hint="eastAsia"/>
                      <w:color w:val="auto"/>
                      <w:szCs w:val="21"/>
                    </w:rPr>
                    <w:t>12</w:t>
                  </w:r>
                </w:p>
              </w:tc>
              <w:tc>
                <w:tcPr>
                  <w:tcW w:w="700" w:type="pct"/>
                  <w:vMerge w:val="continue"/>
                  <w:vAlign w:val="center"/>
                </w:tcPr>
                <w:p w14:paraId="11EDEAAC">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1427EA8F">
                  <w:pPr>
                    <w:spacing w:line="200" w:lineRule="atLeast"/>
                    <w:jc w:val="center"/>
                    <w:rPr>
                      <w:color w:val="auto"/>
                    </w:rPr>
                  </w:pPr>
                  <w:r>
                    <w:rPr>
                      <w:rFonts w:hint="eastAsia"/>
                      <w:color w:val="auto"/>
                      <w:szCs w:val="21"/>
                    </w:rPr>
                    <w:t>废机油</w:t>
                  </w:r>
                </w:p>
              </w:tc>
              <w:tc>
                <w:tcPr>
                  <w:tcW w:w="765" w:type="dxa"/>
                  <w:tcBorders>
                    <w:top w:val="single" w:color="auto" w:sz="4" w:space="0"/>
                    <w:bottom w:val="single" w:color="auto" w:sz="4" w:space="0"/>
                  </w:tcBorders>
                  <w:vAlign w:val="center"/>
                </w:tcPr>
                <w:p w14:paraId="45E86DE2">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7F3BEAA1">
                  <w:pPr>
                    <w:pStyle w:val="477"/>
                    <w:spacing w:after="0"/>
                    <w:rPr>
                      <w:color w:val="auto"/>
                      <w:szCs w:val="21"/>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437" w:type="pct"/>
                  <w:vMerge w:val="continue"/>
                  <w:vAlign w:val="center"/>
                </w:tcPr>
                <w:p w14:paraId="346B4C58">
                  <w:pPr>
                    <w:topLinePunct/>
                    <w:adjustRightInd w:val="0"/>
                    <w:snapToGrid w:val="0"/>
                    <w:jc w:val="center"/>
                    <w:rPr>
                      <w:color w:val="auto"/>
                      <w:szCs w:val="21"/>
                    </w:rPr>
                  </w:pPr>
                </w:p>
              </w:tc>
              <w:tc>
                <w:tcPr>
                  <w:tcW w:w="442" w:type="pct"/>
                  <w:vAlign w:val="center"/>
                </w:tcPr>
                <w:p w14:paraId="0CEE0935">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032899AC">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44EEFAC1">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7A6A90D9">
                  <w:pPr>
                    <w:topLinePunct/>
                    <w:adjustRightInd w:val="0"/>
                    <w:snapToGrid w:val="0"/>
                    <w:jc w:val="center"/>
                    <w:rPr>
                      <w:color w:val="auto"/>
                      <w:szCs w:val="21"/>
                    </w:rPr>
                  </w:pPr>
                  <w:r>
                    <w:rPr>
                      <w:rFonts w:hint="eastAsia"/>
                      <w:color w:val="auto"/>
                      <w:szCs w:val="21"/>
                      <w:lang w:val="en-US" w:eastAsia="zh-CN"/>
                    </w:rPr>
                    <w:t>6个月</w:t>
                  </w:r>
                </w:p>
              </w:tc>
            </w:tr>
            <w:tr w14:paraId="0A067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9" w:hRule="atLeast"/>
                <w:jc w:val="center"/>
              </w:trPr>
              <w:tc>
                <w:tcPr>
                  <w:tcW w:w="538" w:type="dxa"/>
                  <w:tcBorders>
                    <w:top w:val="single" w:color="auto" w:sz="4" w:space="0"/>
                    <w:bottom w:val="single" w:color="auto" w:sz="4" w:space="0"/>
                  </w:tcBorders>
                  <w:vAlign w:val="center"/>
                </w:tcPr>
                <w:p w14:paraId="4C60D65C">
                  <w:pPr>
                    <w:spacing w:line="200" w:lineRule="atLeast"/>
                    <w:jc w:val="center"/>
                    <w:rPr>
                      <w:color w:val="auto"/>
                      <w:szCs w:val="21"/>
                    </w:rPr>
                  </w:pPr>
                  <w:r>
                    <w:rPr>
                      <w:rFonts w:hint="eastAsia"/>
                      <w:color w:val="auto"/>
                      <w:szCs w:val="21"/>
                    </w:rPr>
                    <w:t>13</w:t>
                  </w:r>
                </w:p>
              </w:tc>
              <w:tc>
                <w:tcPr>
                  <w:tcW w:w="700" w:type="pct"/>
                  <w:vMerge w:val="continue"/>
                  <w:vAlign w:val="center"/>
                </w:tcPr>
                <w:p w14:paraId="21B99D8F">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0B84D470">
                  <w:pPr>
                    <w:spacing w:line="200" w:lineRule="atLeast"/>
                    <w:jc w:val="center"/>
                    <w:rPr>
                      <w:color w:val="auto"/>
                    </w:rPr>
                  </w:pPr>
                  <w:r>
                    <w:rPr>
                      <w:rFonts w:hint="eastAsia"/>
                      <w:color w:val="auto"/>
                      <w:szCs w:val="21"/>
                    </w:rPr>
                    <w:t>废油桶</w:t>
                  </w:r>
                </w:p>
              </w:tc>
              <w:tc>
                <w:tcPr>
                  <w:tcW w:w="765" w:type="dxa"/>
                  <w:tcBorders>
                    <w:top w:val="single" w:color="auto" w:sz="4" w:space="0"/>
                    <w:bottom w:val="single" w:color="auto" w:sz="4" w:space="0"/>
                  </w:tcBorders>
                  <w:vAlign w:val="center"/>
                </w:tcPr>
                <w:p w14:paraId="6D380EF0">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09C47098">
                  <w:pPr>
                    <w:pStyle w:val="477"/>
                    <w:spacing w:after="0"/>
                    <w:rPr>
                      <w:color w:val="auto"/>
                      <w:szCs w:val="21"/>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437" w:type="pct"/>
                  <w:vMerge w:val="continue"/>
                  <w:vAlign w:val="center"/>
                </w:tcPr>
                <w:p w14:paraId="38B3AC88">
                  <w:pPr>
                    <w:topLinePunct/>
                    <w:adjustRightInd w:val="0"/>
                    <w:snapToGrid w:val="0"/>
                    <w:jc w:val="center"/>
                    <w:rPr>
                      <w:color w:val="auto"/>
                      <w:szCs w:val="21"/>
                    </w:rPr>
                  </w:pPr>
                </w:p>
              </w:tc>
              <w:tc>
                <w:tcPr>
                  <w:tcW w:w="442" w:type="pct"/>
                  <w:vAlign w:val="center"/>
                </w:tcPr>
                <w:p w14:paraId="78407DD4">
                  <w:pPr>
                    <w:jc w:val="center"/>
                    <w:rPr>
                      <w:color w:val="auto"/>
                      <w:kern w:val="0"/>
                      <w:szCs w:val="21"/>
                    </w:rPr>
                  </w:pPr>
                  <w:r>
                    <w:rPr>
                      <w:rFonts w:hint="eastAsia"/>
                      <w:color w:val="auto"/>
                      <w:kern w:val="0"/>
                      <w:szCs w:val="21"/>
                      <w:lang w:val="en-US" w:eastAsia="zh-CN"/>
                    </w:rPr>
                    <w:t>1</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47DDE718">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355BBB88">
                  <w:pPr>
                    <w:jc w:val="center"/>
                    <w:rPr>
                      <w:color w:val="auto"/>
                      <w:szCs w:val="21"/>
                    </w:rPr>
                  </w:pPr>
                  <w:r>
                    <w:rPr>
                      <w:rFonts w:hint="eastAsia"/>
                      <w:color w:val="auto"/>
                      <w:szCs w:val="21"/>
                      <w:lang w:val="en-US" w:eastAsia="zh-CN"/>
                    </w:rPr>
                    <w:t>0.5</w:t>
                  </w:r>
                  <w:r>
                    <w:rPr>
                      <w:rFonts w:hint="eastAsia"/>
                      <w:color w:val="auto"/>
                      <w:szCs w:val="21"/>
                    </w:rPr>
                    <w:t>t</w:t>
                  </w:r>
                </w:p>
              </w:tc>
              <w:tc>
                <w:tcPr>
                  <w:tcW w:w="388" w:type="pct"/>
                  <w:vAlign w:val="center"/>
                </w:tcPr>
                <w:p w14:paraId="1F6DF36F">
                  <w:pPr>
                    <w:topLinePunct/>
                    <w:adjustRightInd w:val="0"/>
                    <w:snapToGrid w:val="0"/>
                    <w:jc w:val="center"/>
                    <w:rPr>
                      <w:color w:val="auto"/>
                      <w:szCs w:val="21"/>
                    </w:rPr>
                  </w:pPr>
                  <w:r>
                    <w:rPr>
                      <w:rFonts w:hint="eastAsia"/>
                      <w:color w:val="auto"/>
                      <w:szCs w:val="21"/>
                      <w:lang w:val="en-US" w:eastAsia="zh-CN"/>
                    </w:rPr>
                    <w:t>6个月</w:t>
                  </w:r>
                </w:p>
              </w:tc>
            </w:tr>
            <w:tr w14:paraId="79DE6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24F3714B">
                  <w:pPr>
                    <w:spacing w:line="200" w:lineRule="atLeast"/>
                    <w:jc w:val="center"/>
                    <w:rPr>
                      <w:color w:val="auto"/>
                      <w:szCs w:val="21"/>
                    </w:rPr>
                  </w:pPr>
                  <w:r>
                    <w:rPr>
                      <w:rFonts w:hint="eastAsia"/>
                      <w:color w:val="auto"/>
                      <w:szCs w:val="21"/>
                    </w:rPr>
                    <w:t>14</w:t>
                  </w:r>
                </w:p>
              </w:tc>
              <w:tc>
                <w:tcPr>
                  <w:tcW w:w="700" w:type="pct"/>
                  <w:vMerge w:val="continue"/>
                  <w:vAlign w:val="center"/>
                </w:tcPr>
                <w:p w14:paraId="63C9A1E0">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3DECB917">
                  <w:pPr>
                    <w:spacing w:line="200" w:lineRule="atLeast"/>
                    <w:jc w:val="center"/>
                    <w:rPr>
                      <w:color w:val="auto"/>
                    </w:rPr>
                  </w:pPr>
                  <w:r>
                    <w:rPr>
                      <w:rFonts w:hint="eastAsia"/>
                      <w:color w:val="auto"/>
                      <w:szCs w:val="21"/>
                    </w:rPr>
                    <w:t>废过滤棉</w:t>
                  </w:r>
                </w:p>
              </w:tc>
              <w:tc>
                <w:tcPr>
                  <w:tcW w:w="765" w:type="dxa"/>
                  <w:tcBorders>
                    <w:top w:val="single" w:color="auto" w:sz="4" w:space="0"/>
                    <w:bottom w:val="single" w:color="auto" w:sz="4" w:space="0"/>
                  </w:tcBorders>
                  <w:vAlign w:val="center"/>
                </w:tcPr>
                <w:p w14:paraId="3B3D1EAE">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7F3F9BD8">
                  <w:pPr>
                    <w:pStyle w:val="477"/>
                    <w:spacing w:after="0"/>
                    <w:rPr>
                      <w:color w:val="auto"/>
                      <w:szCs w:val="21"/>
                    </w:rPr>
                  </w:pPr>
                  <w:r>
                    <w:rPr>
                      <w:rFonts w:hint="eastAsia"/>
                      <w:color w:val="auto"/>
                      <w:kern w:val="0"/>
                      <w:szCs w:val="21"/>
                      <w:lang w:val="zh-CN"/>
                    </w:rPr>
                    <w:t>900-</w:t>
                  </w:r>
                  <w:r>
                    <w:rPr>
                      <w:rFonts w:hint="eastAsia"/>
                      <w:color w:val="auto"/>
                      <w:kern w:val="0"/>
                      <w:szCs w:val="21"/>
                    </w:rPr>
                    <w:t>041-49</w:t>
                  </w:r>
                </w:p>
              </w:tc>
              <w:tc>
                <w:tcPr>
                  <w:tcW w:w="437" w:type="pct"/>
                  <w:vMerge w:val="continue"/>
                  <w:vAlign w:val="center"/>
                </w:tcPr>
                <w:p w14:paraId="574BB8EA">
                  <w:pPr>
                    <w:topLinePunct/>
                    <w:adjustRightInd w:val="0"/>
                    <w:snapToGrid w:val="0"/>
                    <w:jc w:val="center"/>
                    <w:rPr>
                      <w:color w:val="auto"/>
                      <w:szCs w:val="21"/>
                    </w:rPr>
                  </w:pPr>
                </w:p>
              </w:tc>
              <w:tc>
                <w:tcPr>
                  <w:tcW w:w="442" w:type="pct"/>
                  <w:vAlign w:val="center"/>
                </w:tcPr>
                <w:p w14:paraId="665D88D6">
                  <w:pPr>
                    <w:jc w:val="center"/>
                    <w:rPr>
                      <w:color w:val="auto"/>
                      <w:kern w:val="0"/>
                      <w:szCs w:val="21"/>
                    </w:rPr>
                  </w:pPr>
                  <w:r>
                    <w:rPr>
                      <w:rFonts w:hint="eastAsia"/>
                      <w:color w:val="auto"/>
                      <w:kern w:val="0"/>
                      <w:szCs w:val="21"/>
                      <w:lang w:val="en-US" w:eastAsia="zh-CN"/>
                    </w:rPr>
                    <w:t>3.</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3B6469D1">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vAlign w:val="center"/>
                </w:tcPr>
                <w:p w14:paraId="754C558C">
                  <w:pPr>
                    <w:jc w:val="center"/>
                    <w:rPr>
                      <w:color w:val="auto"/>
                      <w:szCs w:val="21"/>
                    </w:rPr>
                  </w:pPr>
                  <w:r>
                    <w:rPr>
                      <w:rFonts w:hint="eastAsia"/>
                      <w:color w:val="auto"/>
                      <w:szCs w:val="21"/>
                      <w:lang w:val="en-US" w:eastAsia="zh-CN"/>
                    </w:rPr>
                    <w:t>1.5</w:t>
                  </w:r>
                  <w:r>
                    <w:rPr>
                      <w:rFonts w:hint="eastAsia"/>
                      <w:color w:val="auto"/>
                      <w:szCs w:val="21"/>
                    </w:rPr>
                    <w:t>t</w:t>
                  </w:r>
                </w:p>
              </w:tc>
              <w:tc>
                <w:tcPr>
                  <w:tcW w:w="388" w:type="pct"/>
                  <w:vAlign w:val="center"/>
                </w:tcPr>
                <w:p w14:paraId="76746697">
                  <w:pPr>
                    <w:topLinePunct/>
                    <w:adjustRightInd w:val="0"/>
                    <w:snapToGrid w:val="0"/>
                    <w:jc w:val="center"/>
                    <w:rPr>
                      <w:color w:val="auto"/>
                      <w:szCs w:val="21"/>
                    </w:rPr>
                  </w:pPr>
                  <w:r>
                    <w:rPr>
                      <w:rFonts w:hint="eastAsia"/>
                      <w:color w:val="auto"/>
                      <w:szCs w:val="21"/>
                      <w:lang w:val="en-US" w:eastAsia="zh-CN"/>
                    </w:rPr>
                    <w:t>6个月</w:t>
                  </w:r>
                </w:p>
              </w:tc>
            </w:tr>
            <w:tr w14:paraId="314AA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bottom w:val="single" w:color="auto" w:sz="4" w:space="0"/>
                  </w:tcBorders>
                  <w:vAlign w:val="center"/>
                </w:tcPr>
                <w:p w14:paraId="4DBF8CE4">
                  <w:pPr>
                    <w:spacing w:line="200" w:lineRule="atLeast"/>
                    <w:jc w:val="center"/>
                    <w:rPr>
                      <w:color w:val="auto"/>
                      <w:szCs w:val="21"/>
                    </w:rPr>
                  </w:pPr>
                  <w:r>
                    <w:rPr>
                      <w:rFonts w:hint="eastAsia"/>
                      <w:color w:val="auto"/>
                      <w:szCs w:val="21"/>
                    </w:rPr>
                    <w:t>15</w:t>
                  </w:r>
                </w:p>
              </w:tc>
              <w:tc>
                <w:tcPr>
                  <w:tcW w:w="700" w:type="pct"/>
                  <w:vMerge w:val="continue"/>
                  <w:vAlign w:val="center"/>
                </w:tcPr>
                <w:p w14:paraId="36789FFC">
                  <w:pPr>
                    <w:topLinePunct/>
                    <w:adjustRightInd w:val="0"/>
                    <w:snapToGrid w:val="0"/>
                    <w:jc w:val="center"/>
                    <w:rPr>
                      <w:color w:val="auto"/>
                      <w:szCs w:val="21"/>
                    </w:rPr>
                  </w:pPr>
                </w:p>
              </w:tc>
              <w:tc>
                <w:tcPr>
                  <w:tcW w:w="1327" w:type="dxa"/>
                  <w:tcBorders>
                    <w:top w:val="single" w:color="auto" w:sz="4" w:space="0"/>
                    <w:bottom w:val="single" w:color="auto" w:sz="4" w:space="0"/>
                  </w:tcBorders>
                  <w:vAlign w:val="center"/>
                </w:tcPr>
                <w:p w14:paraId="23134777">
                  <w:pPr>
                    <w:spacing w:line="200" w:lineRule="atLeast"/>
                    <w:jc w:val="center"/>
                    <w:rPr>
                      <w:color w:val="auto"/>
                    </w:rPr>
                  </w:pPr>
                  <w:r>
                    <w:rPr>
                      <w:rFonts w:hint="eastAsia"/>
                      <w:color w:val="auto"/>
                      <w:szCs w:val="21"/>
                    </w:rPr>
                    <w:t>喷枪清洗废液</w:t>
                  </w:r>
                </w:p>
              </w:tc>
              <w:tc>
                <w:tcPr>
                  <w:tcW w:w="765" w:type="dxa"/>
                  <w:tcBorders>
                    <w:top w:val="single" w:color="auto" w:sz="4" w:space="0"/>
                    <w:bottom w:val="single" w:color="auto" w:sz="4" w:space="0"/>
                  </w:tcBorders>
                  <w:vAlign w:val="center"/>
                </w:tcPr>
                <w:p w14:paraId="4BCA8AC6">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64BE4C19">
                  <w:pPr>
                    <w:pStyle w:val="477"/>
                    <w:spacing w:after="0"/>
                    <w:rPr>
                      <w:color w:val="auto"/>
                      <w:szCs w:val="21"/>
                    </w:rPr>
                  </w:pPr>
                  <w:r>
                    <w:rPr>
                      <w:rFonts w:hint="eastAsia"/>
                      <w:color w:val="auto"/>
                      <w:kern w:val="0"/>
                      <w:szCs w:val="21"/>
                      <w:lang w:val="zh-CN"/>
                    </w:rPr>
                    <w:t>900-</w:t>
                  </w:r>
                  <w:r>
                    <w:rPr>
                      <w:rFonts w:hint="eastAsia"/>
                      <w:color w:val="auto"/>
                      <w:kern w:val="0"/>
                      <w:szCs w:val="21"/>
                    </w:rPr>
                    <w:t>252-12</w:t>
                  </w:r>
                </w:p>
              </w:tc>
              <w:tc>
                <w:tcPr>
                  <w:tcW w:w="437" w:type="pct"/>
                  <w:vMerge w:val="continue"/>
                  <w:vAlign w:val="center"/>
                </w:tcPr>
                <w:p w14:paraId="29CBBC94">
                  <w:pPr>
                    <w:topLinePunct/>
                    <w:adjustRightInd w:val="0"/>
                    <w:snapToGrid w:val="0"/>
                    <w:jc w:val="center"/>
                    <w:rPr>
                      <w:color w:val="auto"/>
                      <w:szCs w:val="21"/>
                    </w:rPr>
                  </w:pPr>
                </w:p>
              </w:tc>
              <w:tc>
                <w:tcPr>
                  <w:tcW w:w="442" w:type="pct"/>
                  <w:vAlign w:val="center"/>
                </w:tcPr>
                <w:p w14:paraId="306ECD61">
                  <w:pPr>
                    <w:jc w:val="center"/>
                    <w:rPr>
                      <w:color w:val="auto"/>
                      <w:kern w:val="0"/>
                      <w:szCs w:val="21"/>
                    </w:rPr>
                  </w:pPr>
                  <w:r>
                    <w:rPr>
                      <w:rFonts w:hint="eastAsia"/>
                      <w:color w:val="auto"/>
                      <w:kern w:val="0"/>
                      <w:szCs w:val="21"/>
                      <w:lang w:val="en-US" w:eastAsia="zh-CN"/>
                    </w:rPr>
                    <w:t>3.</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3E64E2D0">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14A82A84">
                  <w:pPr>
                    <w:jc w:val="center"/>
                    <w:rPr>
                      <w:color w:val="auto"/>
                      <w:szCs w:val="21"/>
                    </w:rPr>
                  </w:pPr>
                  <w:r>
                    <w:rPr>
                      <w:rFonts w:hint="eastAsia"/>
                      <w:color w:val="auto"/>
                      <w:szCs w:val="21"/>
                      <w:lang w:val="en-US" w:eastAsia="zh-CN"/>
                    </w:rPr>
                    <w:t>1.5</w:t>
                  </w:r>
                  <w:r>
                    <w:rPr>
                      <w:rFonts w:hint="eastAsia"/>
                      <w:color w:val="auto"/>
                      <w:szCs w:val="21"/>
                    </w:rPr>
                    <w:t>t</w:t>
                  </w:r>
                </w:p>
              </w:tc>
              <w:tc>
                <w:tcPr>
                  <w:tcW w:w="388" w:type="pct"/>
                  <w:vAlign w:val="center"/>
                </w:tcPr>
                <w:p w14:paraId="0A4FB713">
                  <w:pPr>
                    <w:topLinePunct/>
                    <w:adjustRightInd w:val="0"/>
                    <w:snapToGrid w:val="0"/>
                    <w:jc w:val="center"/>
                    <w:rPr>
                      <w:color w:val="auto"/>
                      <w:szCs w:val="21"/>
                    </w:rPr>
                  </w:pPr>
                  <w:r>
                    <w:rPr>
                      <w:rFonts w:hint="eastAsia"/>
                      <w:color w:val="auto"/>
                      <w:szCs w:val="21"/>
                      <w:lang w:val="en-US" w:eastAsia="zh-CN"/>
                    </w:rPr>
                    <w:t>6个月</w:t>
                  </w:r>
                </w:p>
              </w:tc>
            </w:tr>
            <w:tr w14:paraId="7D5EA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538" w:type="dxa"/>
                  <w:tcBorders>
                    <w:top w:val="single" w:color="auto" w:sz="4" w:space="0"/>
                  </w:tcBorders>
                  <w:vAlign w:val="center"/>
                </w:tcPr>
                <w:p w14:paraId="013C8FB9">
                  <w:pPr>
                    <w:spacing w:line="200" w:lineRule="atLeast"/>
                    <w:jc w:val="center"/>
                    <w:rPr>
                      <w:color w:val="auto"/>
                      <w:szCs w:val="21"/>
                    </w:rPr>
                  </w:pPr>
                  <w:r>
                    <w:rPr>
                      <w:rFonts w:hint="eastAsia"/>
                      <w:color w:val="auto"/>
                      <w:szCs w:val="21"/>
                    </w:rPr>
                    <w:t>16</w:t>
                  </w:r>
                </w:p>
              </w:tc>
              <w:tc>
                <w:tcPr>
                  <w:tcW w:w="700" w:type="pct"/>
                  <w:vMerge w:val="continue"/>
                  <w:vAlign w:val="center"/>
                </w:tcPr>
                <w:p w14:paraId="3D52E909">
                  <w:pPr>
                    <w:topLinePunct/>
                    <w:adjustRightInd w:val="0"/>
                    <w:snapToGrid w:val="0"/>
                    <w:jc w:val="center"/>
                    <w:rPr>
                      <w:color w:val="auto"/>
                      <w:szCs w:val="21"/>
                    </w:rPr>
                  </w:pPr>
                </w:p>
              </w:tc>
              <w:tc>
                <w:tcPr>
                  <w:tcW w:w="1327" w:type="dxa"/>
                  <w:tcBorders>
                    <w:top w:val="single" w:color="auto" w:sz="4" w:space="0"/>
                  </w:tcBorders>
                  <w:vAlign w:val="center"/>
                </w:tcPr>
                <w:p w14:paraId="153AD011">
                  <w:pPr>
                    <w:spacing w:line="200" w:lineRule="atLeast"/>
                    <w:jc w:val="center"/>
                    <w:rPr>
                      <w:color w:val="auto"/>
                    </w:rPr>
                  </w:pPr>
                  <w:r>
                    <w:rPr>
                      <w:rFonts w:hint="eastAsia"/>
                      <w:color w:val="auto"/>
                      <w:szCs w:val="21"/>
                    </w:rPr>
                    <w:t>水幕帘废液</w:t>
                  </w:r>
                </w:p>
              </w:tc>
              <w:tc>
                <w:tcPr>
                  <w:tcW w:w="765" w:type="dxa"/>
                  <w:tcBorders>
                    <w:top w:val="single" w:color="auto" w:sz="4" w:space="0"/>
                  </w:tcBorders>
                  <w:vAlign w:val="center"/>
                </w:tcPr>
                <w:p w14:paraId="6E7A6556">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tcBorders>
                  <w:vAlign w:val="center"/>
                </w:tcPr>
                <w:p w14:paraId="6C038435">
                  <w:pPr>
                    <w:pStyle w:val="477"/>
                    <w:spacing w:after="0"/>
                    <w:rPr>
                      <w:color w:val="auto"/>
                      <w:szCs w:val="21"/>
                    </w:rPr>
                  </w:pPr>
                  <w:r>
                    <w:rPr>
                      <w:rFonts w:hint="eastAsia"/>
                      <w:color w:val="auto"/>
                      <w:kern w:val="0"/>
                      <w:szCs w:val="21"/>
                      <w:lang w:val="zh-CN"/>
                    </w:rPr>
                    <w:t>900-</w:t>
                  </w:r>
                  <w:r>
                    <w:rPr>
                      <w:rFonts w:hint="eastAsia"/>
                      <w:color w:val="auto"/>
                      <w:kern w:val="0"/>
                      <w:szCs w:val="21"/>
                    </w:rPr>
                    <w:t>252-12</w:t>
                  </w:r>
                </w:p>
              </w:tc>
              <w:tc>
                <w:tcPr>
                  <w:tcW w:w="437" w:type="pct"/>
                  <w:vMerge w:val="continue"/>
                  <w:vAlign w:val="center"/>
                </w:tcPr>
                <w:p w14:paraId="5D5D1C15">
                  <w:pPr>
                    <w:topLinePunct/>
                    <w:adjustRightInd w:val="0"/>
                    <w:snapToGrid w:val="0"/>
                    <w:jc w:val="center"/>
                    <w:rPr>
                      <w:color w:val="auto"/>
                      <w:szCs w:val="21"/>
                    </w:rPr>
                  </w:pPr>
                </w:p>
              </w:tc>
              <w:tc>
                <w:tcPr>
                  <w:tcW w:w="442" w:type="pct"/>
                  <w:vAlign w:val="center"/>
                </w:tcPr>
                <w:p w14:paraId="152752B7">
                  <w:pPr>
                    <w:jc w:val="center"/>
                    <w:rPr>
                      <w:color w:val="auto"/>
                      <w:kern w:val="0"/>
                      <w:szCs w:val="21"/>
                    </w:rPr>
                  </w:pPr>
                  <w:r>
                    <w:rPr>
                      <w:rFonts w:hint="eastAsia"/>
                      <w:color w:val="auto"/>
                      <w:kern w:val="0"/>
                      <w:szCs w:val="21"/>
                      <w:lang w:val="en-US" w:eastAsia="zh-CN"/>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tcBorders>
                  <w:vAlign w:val="center"/>
                </w:tcPr>
                <w:p w14:paraId="4152F141">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vAlign w:val="center"/>
                </w:tcPr>
                <w:p w14:paraId="75A01BA3">
                  <w:pPr>
                    <w:jc w:val="center"/>
                    <w:rPr>
                      <w:color w:val="auto"/>
                      <w:szCs w:val="21"/>
                    </w:rPr>
                  </w:pPr>
                  <w:r>
                    <w:rPr>
                      <w:rFonts w:hint="eastAsia"/>
                      <w:color w:val="auto"/>
                      <w:szCs w:val="21"/>
                      <w:lang w:val="en-US" w:eastAsia="zh-CN"/>
                    </w:rPr>
                    <w:t>1.</w:t>
                  </w:r>
                  <w:r>
                    <w:rPr>
                      <w:rFonts w:hint="eastAsia"/>
                      <w:color w:val="auto"/>
                      <w:szCs w:val="21"/>
                    </w:rPr>
                    <w:t>t</w:t>
                  </w:r>
                </w:p>
              </w:tc>
              <w:tc>
                <w:tcPr>
                  <w:tcW w:w="388" w:type="pct"/>
                  <w:vAlign w:val="center"/>
                </w:tcPr>
                <w:p w14:paraId="34ACD370">
                  <w:pPr>
                    <w:topLinePunct/>
                    <w:adjustRightInd w:val="0"/>
                    <w:snapToGrid w:val="0"/>
                    <w:jc w:val="center"/>
                    <w:rPr>
                      <w:color w:val="auto"/>
                      <w:szCs w:val="21"/>
                    </w:rPr>
                  </w:pPr>
                  <w:r>
                    <w:rPr>
                      <w:rFonts w:hint="eastAsia"/>
                      <w:color w:val="auto"/>
                      <w:szCs w:val="21"/>
                      <w:lang w:val="en-US" w:eastAsia="zh-CN"/>
                    </w:rPr>
                    <w:t>6个月</w:t>
                  </w:r>
                </w:p>
              </w:tc>
            </w:tr>
          </w:tbl>
          <w:p w14:paraId="6B81C45E">
            <w:pPr>
              <w:adjustRightInd w:val="0"/>
              <w:snapToGrid w:val="0"/>
              <w:spacing w:line="360" w:lineRule="auto"/>
              <w:ind w:firstLine="480" w:firstLineChars="200"/>
              <w:rPr>
                <w:bCs/>
                <w:color w:val="auto"/>
                <w:sz w:val="24"/>
              </w:rPr>
            </w:pPr>
            <w:r>
              <w:rPr>
                <w:color w:val="auto"/>
                <w:sz w:val="24"/>
              </w:rPr>
              <w:t>本项目危险废物最大</w:t>
            </w:r>
            <w:r>
              <w:rPr>
                <w:rFonts w:hint="eastAsia"/>
                <w:color w:val="auto"/>
                <w:sz w:val="24"/>
              </w:rPr>
              <w:t>存</w:t>
            </w:r>
            <w:r>
              <w:rPr>
                <w:color w:val="auto"/>
                <w:sz w:val="24"/>
              </w:rPr>
              <w:t>量约为</w:t>
            </w:r>
            <w:r>
              <w:rPr>
                <w:rFonts w:hint="eastAsia"/>
                <w:color w:val="auto"/>
                <w:sz w:val="24"/>
                <w:lang w:val="en-US" w:eastAsia="zh-CN"/>
              </w:rPr>
              <w:t>12.2</w:t>
            </w:r>
            <w:r>
              <w:rPr>
                <w:color w:val="auto"/>
                <w:sz w:val="24"/>
              </w:rPr>
              <w:t>t/a</w:t>
            </w:r>
            <w:r>
              <w:rPr>
                <w:rStyle w:val="147"/>
                <w:rFonts w:hint="eastAsia"/>
                <w:color w:val="auto"/>
                <w:kern w:val="0"/>
                <w:sz w:val="24"/>
                <w:szCs w:val="22"/>
              </w:rPr>
              <w:t>（废活性炭</w:t>
            </w:r>
            <w:r>
              <w:rPr>
                <w:rStyle w:val="147"/>
                <w:rFonts w:hint="eastAsia"/>
                <w:color w:val="auto"/>
                <w:kern w:val="0"/>
                <w:sz w:val="24"/>
                <w:szCs w:val="22"/>
                <w:lang w:val="en-US" w:eastAsia="zh-CN"/>
              </w:rPr>
              <w:t>3个月</w:t>
            </w:r>
            <w:r>
              <w:rPr>
                <w:rStyle w:val="147"/>
                <w:rFonts w:hint="eastAsia"/>
                <w:color w:val="auto"/>
                <w:kern w:val="0"/>
                <w:sz w:val="24"/>
                <w:szCs w:val="22"/>
              </w:rPr>
              <w:t>清运一次，废活性炭最大存储量为</w:t>
            </w:r>
            <w:r>
              <w:rPr>
                <w:rStyle w:val="147"/>
                <w:rFonts w:hint="eastAsia"/>
                <w:color w:val="auto"/>
                <w:kern w:val="0"/>
                <w:sz w:val="24"/>
                <w:szCs w:val="22"/>
                <w:lang w:eastAsia="zh-CN"/>
              </w:rPr>
              <w:t>28.90703</w:t>
            </w:r>
            <w:r>
              <w:rPr>
                <w:rStyle w:val="147"/>
                <w:rFonts w:hint="eastAsia"/>
                <w:color w:val="auto"/>
                <w:kern w:val="0"/>
                <w:sz w:val="24"/>
                <w:szCs w:val="22"/>
              </w:rPr>
              <w:t>/</w:t>
            </w:r>
            <w:r>
              <w:rPr>
                <w:rStyle w:val="147"/>
                <w:rFonts w:hint="eastAsia"/>
                <w:color w:val="auto"/>
                <w:kern w:val="0"/>
                <w:sz w:val="24"/>
                <w:szCs w:val="22"/>
                <w:lang w:val="en-US" w:eastAsia="zh-CN"/>
              </w:rPr>
              <w:t>4</w:t>
            </w:r>
            <w:r>
              <w:rPr>
                <w:rStyle w:val="147"/>
                <w:rFonts w:hint="eastAsia"/>
                <w:color w:val="auto"/>
                <w:kern w:val="0"/>
                <w:sz w:val="24"/>
                <w:szCs w:val="22"/>
              </w:rPr>
              <w:t>=</w:t>
            </w:r>
            <w:r>
              <w:rPr>
                <w:rStyle w:val="147"/>
                <w:rFonts w:hint="eastAsia"/>
                <w:color w:val="auto"/>
                <w:kern w:val="0"/>
                <w:sz w:val="24"/>
                <w:szCs w:val="22"/>
                <w:lang w:val="en-US" w:eastAsia="zh-CN"/>
              </w:rPr>
              <w:t>7.2267575</w:t>
            </w:r>
            <w:r>
              <w:rPr>
                <w:rStyle w:val="147"/>
                <w:rFonts w:hint="eastAsia"/>
                <w:color w:val="auto"/>
                <w:kern w:val="0"/>
                <w:sz w:val="24"/>
                <w:szCs w:val="22"/>
              </w:rPr>
              <w:t>t，其余危废均</w:t>
            </w:r>
            <w:r>
              <w:rPr>
                <w:rStyle w:val="147"/>
                <w:rFonts w:hint="eastAsia"/>
                <w:color w:val="auto"/>
                <w:kern w:val="0"/>
                <w:sz w:val="24"/>
                <w:szCs w:val="22"/>
                <w:lang w:val="en-US" w:eastAsia="zh-CN"/>
              </w:rPr>
              <w:t>半年</w:t>
            </w:r>
            <w:r>
              <w:rPr>
                <w:rStyle w:val="147"/>
                <w:rFonts w:hint="eastAsia"/>
                <w:color w:val="auto"/>
                <w:kern w:val="0"/>
                <w:sz w:val="24"/>
                <w:szCs w:val="22"/>
              </w:rPr>
              <w:t>清运一次，计</w:t>
            </w:r>
            <w:r>
              <w:rPr>
                <w:rStyle w:val="147"/>
                <w:rFonts w:hint="eastAsia"/>
                <w:color w:val="auto"/>
                <w:kern w:val="0"/>
                <w:sz w:val="24"/>
                <w:szCs w:val="22"/>
                <w:lang w:val="en-US" w:eastAsia="zh-CN"/>
              </w:rPr>
              <w:t>4.98611</w:t>
            </w:r>
            <w:r>
              <w:rPr>
                <w:rStyle w:val="147"/>
                <w:rFonts w:hint="eastAsia"/>
                <w:color w:val="auto"/>
                <w:kern w:val="0"/>
                <w:sz w:val="24"/>
                <w:szCs w:val="22"/>
              </w:rPr>
              <w:t>t）</w:t>
            </w:r>
            <w:r>
              <w:rPr>
                <w:color w:val="auto"/>
                <w:sz w:val="24"/>
              </w:rPr>
              <w:t>，</w:t>
            </w:r>
            <w:r>
              <w:rPr>
                <w:rFonts w:hint="eastAsia"/>
                <w:color w:val="auto"/>
                <w:sz w:val="24"/>
              </w:rPr>
              <w:t>按照表格可见危废仓库最大贮存能力为</w:t>
            </w:r>
            <w:r>
              <w:rPr>
                <w:rFonts w:hint="eastAsia"/>
                <w:color w:val="auto"/>
                <w:sz w:val="24"/>
                <w:lang w:val="en-US" w:eastAsia="zh-CN"/>
              </w:rPr>
              <w:t>25</w:t>
            </w:r>
            <w:r>
              <w:rPr>
                <w:rFonts w:hint="eastAsia"/>
                <w:color w:val="auto"/>
                <w:sz w:val="24"/>
              </w:rPr>
              <w:t>t，</w:t>
            </w:r>
            <w:r>
              <w:rPr>
                <w:rFonts w:hint="eastAsia"/>
                <w:color w:val="auto"/>
                <w:sz w:val="24"/>
                <w:lang w:val="en-US" w:eastAsia="zh-CN"/>
              </w:rPr>
              <w:t>12.2</w:t>
            </w:r>
            <w:r>
              <w:rPr>
                <w:color w:val="auto"/>
                <w:sz w:val="24"/>
              </w:rPr>
              <w:t>＜</w:t>
            </w:r>
            <w:r>
              <w:rPr>
                <w:rFonts w:hint="eastAsia"/>
                <w:color w:val="auto"/>
                <w:sz w:val="24"/>
                <w:lang w:val="en-US" w:eastAsia="zh-CN"/>
              </w:rPr>
              <w:t>25</w:t>
            </w:r>
            <w:r>
              <w:rPr>
                <w:rFonts w:hint="eastAsia"/>
                <w:color w:val="auto"/>
                <w:sz w:val="24"/>
              </w:rPr>
              <w:t>，因此，在符合及时转移的前提下，企业新建的危废仓库可以满足正常情况下危废贮存需求。</w:t>
            </w:r>
            <w:r>
              <w:rPr>
                <w:bCs/>
                <w:color w:val="auto"/>
                <w:sz w:val="24"/>
              </w:rPr>
              <w:t>危险废物收集后均暂存于各自密封容器及危废仓库中，根据危废种类及时委外处理。</w:t>
            </w:r>
          </w:p>
          <w:p w14:paraId="3D2461B3">
            <w:pPr>
              <w:spacing w:line="360" w:lineRule="auto"/>
              <w:ind w:firstLine="480" w:firstLineChars="200"/>
              <w:jc w:val="left"/>
              <w:rPr>
                <w:b/>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危险废物贮存过程中对环境的影响</w:t>
            </w:r>
          </w:p>
          <w:p w14:paraId="679990C2">
            <w:pPr>
              <w:spacing w:line="360" w:lineRule="auto"/>
              <w:ind w:firstLine="480" w:firstLineChars="200"/>
              <w:jc w:val="left"/>
              <w:rPr>
                <w:b/>
                <w:bCs/>
                <w:color w:val="auto"/>
                <w:sz w:val="24"/>
              </w:rPr>
            </w:pPr>
            <w:r>
              <w:rPr>
                <w:bCs/>
                <w:color w:val="auto"/>
                <w:sz w:val="24"/>
              </w:rPr>
              <w:t>本项目</w:t>
            </w:r>
            <w:r>
              <w:rPr>
                <w:rFonts w:hint="eastAsia"/>
                <w:bCs/>
                <w:color w:val="auto"/>
                <w:sz w:val="24"/>
                <w:lang w:eastAsia="zh-CN"/>
              </w:rPr>
              <w:t>危险废物</w:t>
            </w:r>
            <w:r>
              <w:rPr>
                <w:bCs/>
                <w:color w:val="auto"/>
                <w:sz w:val="24"/>
              </w:rPr>
              <w:t>在常温常压下贮存稳定，用容器包装，盛装危险废物的容器上必须粘贴符合规定的标签。项目产生的各类危险废物在做好贮存措施的情况下，对周围环境影响不大。</w:t>
            </w:r>
          </w:p>
          <w:p w14:paraId="3F5E4E42">
            <w:pPr>
              <w:spacing w:line="360" w:lineRule="auto"/>
              <w:ind w:firstLine="480" w:firstLineChars="200"/>
              <w:jc w:val="left"/>
              <w:rPr>
                <w:b/>
                <w:bCs/>
                <w:color w:val="auto"/>
                <w:sz w:val="24"/>
              </w:rPr>
            </w:pPr>
            <w:r>
              <w:rPr>
                <w:bCs/>
                <w:color w:val="auto"/>
                <w:sz w:val="24"/>
              </w:rPr>
              <w:fldChar w:fldCharType="begin"/>
            </w:r>
            <w:r>
              <w:rPr>
                <w:bCs/>
                <w:color w:val="auto"/>
                <w:sz w:val="24"/>
              </w:rPr>
              <w:instrText xml:space="preserve"> = 3 \* GB3 </w:instrText>
            </w:r>
            <w:r>
              <w:rPr>
                <w:bCs/>
                <w:color w:val="auto"/>
                <w:sz w:val="24"/>
              </w:rPr>
              <w:fldChar w:fldCharType="separate"/>
            </w:r>
            <w:r>
              <w:rPr>
                <w:bCs/>
                <w:color w:val="auto"/>
                <w:sz w:val="24"/>
              </w:rPr>
              <w:t>③</w:t>
            </w:r>
            <w:r>
              <w:rPr>
                <w:bCs/>
                <w:color w:val="auto"/>
                <w:sz w:val="24"/>
              </w:rPr>
              <w:fldChar w:fldCharType="end"/>
            </w:r>
            <w:r>
              <w:rPr>
                <w:bCs/>
                <w:color w:val="auto"/>
                <w:sz w:val="24"/>
              </w:rPr>
              <w:t>运输过程的环境影响分析</w:t>
            </w:r>
          </w:p>
          <w:p w14:paraId="2C8F15D9">
            <w:pPr>
              <w:spacing w:line="360" w:lineRule="auto"/>
              <w:ind w:firstLine="480" w:firstLineChars="200"/>
              <w:jc w:val="left"/>
              <w:rPr>
                <w:b/>
                <w:bCs/>
                <w:color w:val="auto"/>
                <w:sz w:val="24"/>
              </w:rPr>
            </w:pPr>
            <w:r>
              <w:rPr>
                <w:bCs/>
                <w:color w:val="auto"/>
                <w:sz w:val="24"/>
              </w:rPr>
              <w:t>在运输过程中，如果管理不当或未采取适当的污染防治和安全防护措施，则极易造成污染。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项目应严格执行《危险废物收集贮存运输技术规范》（HJ2025-2012）和《危险废物转移联单管理办法》，同时危险废物装卸、运输应委托有资质的单位进行，编制《危险废物运输车辆事故应急预案》，杜绝包装、运输过程中危险废物散落、泄漏的环境影响。</w:t>
            </w:r>
          </w:p>
          <w:p w14:paraId="6A9061C2">
            <w:pPr>
              <w:spacing w:line="360" w:lineRule="auto"/>
              <w:ind w:firstLine="480" w:firstLineChars="200"/>
              <w:jc w:val="left"/>
              <w:rPr>
                <w:b/>
                <w:color w:val="auto"/>
                <w:sz w:val="24"/>
              </w:rPr>
            </w:pPr>
            <w:r>
              <w:rPr>
                <w:bCs/>
                <w:color w:val="auto"/>
                <w:sz w:val="24"/>
              </w:rPr>
              <w:fldChar w:fldCharType="begin"/>
            </w:r>
            <w:r>
              <w:rPr>
                <w:bCs/>
                <w:color w:val="auto"/>
                <w:sz w:val="24"/>
              </w:rPr>
              <w:instrText xml:space="preserve"> = 4 \* GB3 </w:instrText>
            </w:r>
            <w:r>
              <w:rPr>
                <w:bCs/>
                <w:color w:val="auto"/>
                <w:sz w:val="24"/>
              </w:rPr>
              <w:fldChar w:fldCharType="separate"/>
            </w:r>
            <w:r>
              <w:rPr>
                <w:bCs/>
                <w:color w:val="auto"/>
                <w:sz w:val="24"/>
              </w:rPr>
              <w:t>④</w:t>
            </w:r>
            <w:r>
              <w:rPr>
                <w:bCs/>
                <w:color w:val="auto"/>
                <w:sz w:val="24"/>
              </w:rPr>
              <w:fldChar w:fldCharType="end"/>
            </w:r>
            <w:r>
              <w:rPr>
                <w:bCs/>
                <w:color w:val="auto"/>
                <w:sz w:val="24"/>
              </w:rPr>
              <w:t>委托处置的环境影响分析</w:t>
            </w:r>
          </w:p>
          <w:p w14:paraId="1CEA298B">
            <w:pPr>
              <w:pStyle w:val="2"/>
              <w:spacing w:line="360" w:lineRule="auto"/>
              <w:ind w:firstLine="482"/>
              <w:rPr>
                <w:rFonts w:ascii="Times New Roman" w:cs="Times New Roman"/>
                <w:color w:val="auto"/>
              </w:rPr>
            </w:pPr>
            <w:r>
              <w:rPr>
                <w:rFonts w:ascii="Times New Roman" w:cs="Times New Roman"/>
                <w:color w:val="auto"/>
              </w:rPr>
              <w:t>本项目</w:t>
            </w:r>
            <w:r>
              <w:rPr>
                <w:rFonts w:hint="eastAsia" w:ascii="Times New Roman" w:cs="Times New Roman"/>
                <w:color w:val="auto"/>
              </w:rPr>
              <w:t>各类危废</w:t>
            </w:r>
            <w:r>
              <w:rPr>
                <w:rFonts w:ascii="Times New Roman" w:cs="Times New Roman"/>
                <w:color w:val="auto"/>
              </w:rPr>
              <w:t>拟委托</w:t>
            </w:r>
            <w:r>
              <w:rPr>
                <w:rFonts w:hint="eastAsia" w:ascii="Times New Roman" w:cs="Times New Roman"/>
                <w:color w:val="auto"/>
              </w:rPr>
              <w:t>有资质的</w:t>
            </w:r>
            <w:r>
              <w:rPr>
                <w:rFonts w:ascii="Times New Roman" w:cs="Times New Roman"/>
                <w:color w:val="auto"/>
              </w:rPr>
              <w:t>处置</w:t>
            </w:r>
            <w:r>
              <w:rPr>
                <w:rFonts w:hint="eastAsia" w:ascii="Times New Roman" w:cs="Times New Roman"/>
                <w:color w:val="auto"/>
              </w:rPr>
              <w:t>单位</w:t>
            </w:r>
            <w:r>
              <w:rPr>
                <w:rFonts w:ascii="Times New Roman" w:cs="Times New Roman"/>
                <w:color w:val="auto"/>
              </w:rPr>
              <w:t>处置。</w:t>
            </w:r>
            <w:r>
              <w:rPr>
                <w:rFonts w:hint="eastAsia" w:ascii="Times New Roman" w:cs="Times New Roman"/>
                <w:color w:val="auto"/>
              </w:rPr>
              <w:t>已签署危险废物处置承诺书见附件36</w:t>
            </w:r>
            <w:r>
              <w:rPr>
                <w:rFonts w:ascii="Times New Roman" w:cs="Times New Roman"/>
                <w:color w:val="auto"/>
              </w:rPr>
              <w:t>。</w:t>
            </w:r>
          </w:p>
          <w:p w14:paraId="231DC200">
            <w:pPr>
              <w:spacing w:line="360" w:lineRule="auto"/>
              <w:ind w:firstLine="480" w:firstLineChars="200"/>
              <w:jc w:val="left"/>
              <w:rPr>
                <w:color w:val="auto"/>
                <w:sz w:val="24"/>
              </w:rPr>
            </w:pPr>
            <w:r>
              <w:rPr>
                <w:color w:val="auto"/>
                <w:sz w:val="24"/>
              </w:rPr>
              <w:t>本项目固体废物在该单位处置能力范围内，均可得到合理处置，建议采取以下措施加强管理，尽量减少固体废物对环境的影响。</w:t>
            </w:r>
          </w:p>
          <w:p w14:paraId="4F07D2B3">
            <w:pPr>
              <w:spacing w:line="360" w:lineRule="auto"/>
              <w:ind w:firstLine="480" w:firstLineChars="200"/>
              <w:jc w:val="left"/>
              <w:rPr>
                <w:color w:val="auto"/>
                <w:sz w:val="24"/>
              </w:rPr>
            </w:pPr>
            <w:r>
              <w:rPr>
                <w:color w:val="auto"/>
                <w:sz w:val="24"/>
              </w:rPr>
              <w:t>a.对固体废物实行从产生、收集、运输、贮存直至最终处理实行全过程管理；</w:t>
            </w:r>
          </w:p>
          <w:p w14:paraId="02EB41D1">
            <w:pPr>
              <w:spacing w:line="360" w:lineRule="auto"/>
              <w:ind w:firstLine="480" w:firstLineChars="200"/>
              <w:jc w:val="left"/>
              <w:rPr>
                <w:color w:val="auto"/>
                <w:sz w:val="24"/>
              </w:rPr>
            </w:pPr>
            <w:r>
              <w:rPr>
                <w:color w:val="auto"/>
                <w:sz w:val="24"/>
              </w:rPr>
              <w:t>b.加强固体废物规范化管理，固体废物分类定点堆放，堆放场所远离办公区和周围环境敏感点。</w:t>
            </w:r>
          </w:p>
          <w:p w14:paraId="27764B72">
            <w:pPr>
              <w:spacing w:line="360" w:lineRule="auto"/>
              <w:ind w:firstLine="480" w:firstLineChars="200"/>
              <w:jc w:val="left"/>
              <w:rPr>
                <w:color w:val="auto"/>
                <w:sz w:val="24"/>
              </w:rPr>
            </w:pPr>
            <w:r>
              <w:rPr>
                <w:color w:val="auto"/>
                <w:sz w:val="24"/>
              </w:rPr>
              <w:t>c.固体废物及时清运，避免产生二次污染；</w:t>
            </w:r>
          </w:p>
          <w:p w14:paraId="78278FE5">
            <w:pPr>
              <w:spacing w:line="360" w:lineRule="auto"/>
              <w:ind w:firstLine="480" w:firstLineChars="200"/>
              <w:jc w:val="left"/>
              <w:rPr>
                <w:color w:val="auto"/>
                <w:sz w:val="24"/>
              </w:rPr>
            </w:pPr>
            <w:r>
              <w:rPr>
                <w:color w:val="auto"/>
                <w:sz w:val="24"/>
              </w:rPr>
              <w:t>d.固体废物运输过程中应做到密闭运输，</w:t>
            </w:r>
            <w:r>
              <w:rPr>
                <w:rFonts w:hint="eastAsia"/>
                <w:color w:val="auto"/>
                <w:sz w:val="24"/>
                <w:lang w:eastAsia="zh-CN"/>
              </w:rPr>
              <w:t>防止</w:t>
            </w:r>
            <w:r>
              <w:rPr>
                <w:color w:val="auto"/>
                <w:sz w:val="24"/>
              </w:rPr>
              <w:t>固体废物泄漏，减少污染。</w:t>
            </w:r>
          </w:p>
          <w:p w14:paraId="70A45E67">
            <w:pPr>
              <w:adjustRightInd w:val="0"/>
              <w:snapToGrid w:val="0"/>
              <w:spacing w:line="360" w:lineRule="auto"/>
              <w:ind w:firstLine="480" w:firstLineChars="200"/>
              <w:rPr>
                <w:b/>
                <w:color w:val="auto"/>
                <w:sz w:val="32"/>
              </w:rPr>
            </w:pPr>
            <w:r>
              <w:rPr>
                <w:color w:val="auto"/>
                <w:sz w:val="24"/>
              </w:rPr>
              <w:t>综上，本项目产生的各种固体废物均能够得到有效</w:t>
            </w:r>
            <w:r>
              <w:rPr>
                <w:rFonts w:hint="eastAsia"/>
                <w:color w:val="auto"/>
                <w:sz w:val="24"/>
                <w:lang w:eastAsia="zh-CN"/>
              </w:rPr>
              <w:t>地</w:t>
            </w:r>
            <w:r>
              <w:rPr>
                <w:color w:val="auto"/>
                <w:sz w:val="24"/>
              </w:rPr>
              <w:t>处理与处置，可以实现零排放，不会产生二次污染。</w:t>
            </w:r>
          </w:p>
          <w:p w14:paraId="6468FE59">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固体废物环境管理与监测</w:t>
            </w:r>
          </w:p>
          <w:p w14:paraId="222437C2">
            <w:pPr>
              <w:adjustRightInd w:val="0"/>
              <w:snapToGrid w:val="0"/>
              <w:spacing w:line="360" w:lineRule="auto"/>
              <w:ind w:firstLine="480" w:firstLineChars="200"/>
              <w:rPr>
                <w:color w:val="auto"/>
                <w:sz w:val="24"/>
              </w:rPr>
            </w:pPr>
            <w:r>
              <w:rPr>
                <w:color w:val="auto"/>
                <w:sz w:val="24"/>
              </w:rPr>
              <w:t>项目建成后，</w:t>
            </w:r>
            <w:r>
              <w:rPr>
                <w:rFonts w:hint="eastAsia"/>
                <w:color w:val="auto"/>
                <w:sz w:val="24"/>
              </w:rPr>
              <w:t>江苏柯德展示道具有限公司</w:t>
            </w:r>
            <w:r>
              <w:rPr>
                <w:color w:val="auto"/>
                <w:sz w:val="24"/>
              </w:rPr>
              <w:t>应通过江苏省污染源</w:t>
            </w:r>
            <w:r>
              <w:rPr>
                <w:rFonts w:hint="eastAsia"/>
                <w:color w:val="auto"/>
                <w:sz w:val="24"/>
              </w:rPr>
              <w:t>“</w:t>
            </w:r>
            <w:r>
              <w:rPr>
                <w:color w:val="auto"/>
                <w:sz w:val="24"/>
              </w:rPr>
              <w:t>一企一档</w:t>
            </w:r>
            <w:r>
              <w:rPr>
                <w:rFonts w:hint="eastAsia"/>
                <w:color w:val="auto"/>
                <w:sz w:val="24"/>
              </w:rPr>
              <w:t>”</w:t>
            </w:r>
            <w:r>
              <w:rPr>
                <w:color w:val="auto"/>
                <w:sz w:val="24"/>
              </w:rPr>
              <w:t>管理系统进行危险废物申报登记。将危险废物的实际产生、贮存、利用、处置等情况纳入生产记录，建立危险废物管理台账和企业内部产生和收集、贮存、转移等部门危险废物交接制度。</w:t>
            </w:r>
          </w:p>
          <w:p w14:paraId="2644CF95">
            <w:pPr>
              <w:adjustRightInd w:val="0"/>
              <w:snapToGrid w:val="0"/>
              <w:spacing w:line="360" w:lineRule="auto"/>
              <w:ind w:firstLine="480" w:firstLineChars="200"/>
              <w:rPr>
                <w:color w:val="auto"/>
                <w:sz w:val="24"/>
              </w:rPr>
            </w:pPr>
            <w:r>
              <w:rPr>
                <w:rFonts w:hint="eastAsia"/>
                <w:color w:val="auto"/>
                <w:sz w:val="24"/>
              </w:rPr>
              <w:t>江苏柯德展示道具有限公司</w:t>
            </w:r>
            <w:r>
              <w:rPr>
                <w:color w:val="auto"/>
                <w:sz w:val="24"/>
              </w:rPr>
              <w:t>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14:paraId="7F91B9F1">
            <w:pPr>
              <w:adjustRightInd w:val="0"/>
              <w:snapToGrid w:val="0"/>
              <w:spacing w:line="360" w:lineRule="auto"/>
              <w:ind w:firstLine="480" w:firstLineChars="200"/>
              <w:rPr>
                <w:color w:val="auto"/>
              </w:rPr>
            </w:pPr>
            <w:r>
              <w:rPr>
                <w:color w:val="auto"/>
                <w:sz w:val="24"/>
              </w:rPr>
              <w:t>规范建设危险废物贮存场所，按照《环境保护图形标志—固体废物贮存（处置场）》（GB15562.2-1995）及修改清单、《危险废物识别标志设置技术规范》（HJ1276-2022）设置标志，配备通讯设备、照明设施和消防设施，设置气体导出口及气体净化装置，确保废气达标排放，在仓库出入口、仓库内部、仓库围墙四周、装卸区域、危险废物运输车辆通道（含车辆出口和入口）等关键位置按照危险废物贮存设施视频监控布设要求设置视频监控，并与中控室联网。将生产过程中产生的废物及时收集，保持车间的整洁，收集后集中堆放。提高固体废物贮存场所的综合利用效率。</w:t>
            </w:r>
          </w:p>
          <w:p w14:paraId="0450C84C">
            <w:pPr>
              <w:adjustRightInd w:val="0"/>
              <w:snapToGrid w:val="0"/>
              <w:spacing w:line="360" w:lineRule="auto"/>
              <w:ind w:firstLine="482" w:firstLineChars="200"/>
              <w:rPr>
                <w:b/>
                <w:color w:val="auto"/>
                <w:sz w:val="24"/>
              </w:rPr>
            </w:pPr>
            <w:r>
              <w:rPr>
                <w:rFonts w:hint="eastAsia"/>
                <w:b/>
                <w:color w:val="auto"/>
                <w:sz w:val="24"/>
                <w:lang w:eastAsia="zh-CN"/>
              </w:rPr>
              <w:t>5.</w:t>
            </w:r>
            <w:r>
              <w:rPr>
                <w:b/>
                <w:color w:val="auto"/>
                <w:sz w:val="24"/>
              </w:rPr>
              <w:t>结论与建议</w:t>
            </w:r>
          </w:p>
          <w:p w14:paraId="063F90F0">
            <w:pPr>
              <w:adjustRightInd w:val="0"/>
              <w:snapToGrid w:val="0"/>
              <w:spacing w:line="360" w:lineRule="auto"/>
              <w:ind w:firstLine="480" w:firstLineChars="200"/>
              <w:jc w:val="left"/>
              <w:rPr>
                <w:b/>
                <w:color w:val="auto"/>
                <w:sz w:val="24"/>
              </w:rPr>
            </w:pPr>
            <w:r>
              <w:rPr>
                <w:color w:val="auto"/>
                <w:sz w:val="24"/>
              </w:rPr>
              <w:t>综上所述，本项目所产生的固体废物及危险废物通过以上方法处理处置后，将不会对周围的环境产生影响，亦不会造成二次污染。但必须指出的是，固体废物和危险废物处理处置前在厂内的堆放、贮存场所应按照国家固体废物贮存有关要求设置，避免其对周围环境产生二次污染。通过以上措施，建设项目产生的固体废物均得到了妥善处置和利用，对外环境的影响可减至</w:t>
            </w:r>
            <w:r>
              <w:rPr>
                <w:rFonts w:hint="eastAsia"/>
                <w:color w:val="auto"/>
                <w:sz w:val="24"/>
                <w:lang w:eastAsia="zh-CN"/>
              </w:rPr>
              <w:t>最低程度</w:t>
            </w:r>
            <w:r>
              <w:rPr>
                <w:color w:val="auto"/>
                <w:sz w:val="24"/>
              </w:rPr>
              <w:t>。</w:t>
            </w:r>
          </w:p>
          <w:p w14:paraId="5802F8D8">
            <w:pPr>
              <w:adjustRightInd w:val="0"/>
              <w:snapToGrid w:val="0"/>
              <w:spacing w:line="360" w:lineRule="auto"/>
              <w:ind w:firstLine="482" w:firstLineChars="200"/>
              <w:rPr>
                <w:b/>
                <w:color w:val="auto"/>
                <w:sz w:val="24"/>
              </w:rPr>
            </w:pPr>
            <w:r>
              <w:rPr>
                <w:b/>
                <w:color w:val="auto"/>
                <w:sz w:val="24"/>
              </w:rPr>
              <w:t>五、地下水和土壤</w:t>
            </w:r>
          </w:p>
          <w:p w14:paraId="54807771">
            <w:pPr>
              <w:adjustRightInd w:val="0"/>
              <w:snapToGrid w:val="0"/>
              <w:spacing w:line="360" w:lineRule="auto"/>
              <w:ind w:firstLine="482" w:firstLineChars="200"/>
              <w:rPr>
                <w:color w:val="auto"/>
                <w:sz w:val="24"/>
              </w:rPr>
            </w:pPr>
            <w:r>
              <w:rPr>
                <w:b/>
                <w:bCs/>
                <w:color w:val="auto"/>
                <w:sz w:val="24"/>
              </w:rPr>
              <w:t>1、地下水、土壤污染源分析</w:t>
            </w:r>
          </w:p>
          <w:p w14:paraId="13C33DC1">
            <w:pPr>
              <w:widowControl/>
              <w:adjustRightInd w:val="0"/>
              <w:snapToGrid w:val="0"/>
              <w:spacing w:line="360" w:lineRule="auto"/>
              <w:ind w:firstLine="480" w:firstLineChars="200"/>
              <w:rPr>
                <w:color w:val="auto"/>
                <w:sz w:val="24"/>
              </w:rPr>
            </w:pPr>
            <w:r>
              <w:rPr>
                <w:color w:val="auto"/>
                <w:sz w:val="24"/>
              </w:rPr>
              <w:t>项目生产对土壤和地下水环境的影响主要可以分为入渗和沉积。入渗影响主要源自废水及危险废物通过泄漏方式至土壤表面，然后渗入土壤之中，继而影响土壤和地下水的环境质量；沉积影响主要源自废气中污染因子沉降到土壤表面，部分又随着雨水下渗，继而影响土壤和地下水的环境质量。</w:t>
            </w:r>
          </w:p>
          <w:p w14:paraId="728A289C">
            <w:pPr>
              <w:widowControl/>
              <w:adjustRightInd w:val="0"/>
              <w:snapToGrid w:val="0"/>
              <w:spacing w:line="360" w:lineRule="auto"/>
              <w:ind w:firstLine="480" w:firstLineChars="200"/>
              <w:rPr>
                <w:color w:val="auto"/>
                <w:sz w:val="24"/>
              </w:rPr>
            </w:pPr>
            <w:r>
              <w:rPr>
                <w:color w:val="auto"/>
                <w:sz w:val="24"/>
              </w:rPr>
              <w:t>本项目不涉及废水排放，不会发生废水漫流并进入土壤和地下水环境的情况；本项目固体废物严格按照要求收集、贮存及处置，不会发生泄漏进入土壤和地下水环境的情况；本项目大气污染物主要为非甲烷总烃，经废气处理设施净化处理，大部分废气污染物被去除，少量通过排气筒排放，在大气扩散的作用下，沉积到土壤表面的极少，因此通过大气沉降对土壤和地下水环境造成的影响甚微。</w:t>
            </w:r>
          </w:p>
          <w:p w14:paraId="73D7081E">
            <w:pPr>
              <w:widowControl/>
              <w:adjustRightInd w:val="0"/>
              <w:snapToGrid w:val="0"/>
              <w:spacing w:line="360" w:lineRule="auto"/>
              <w:ind w:firstLine="480" w:firstLineChars="200"/>
              <w:rPr>
                <w:color w:val="auto"/>
                <w:sz w:val="24"/>
              </w:rPr>
            </w:pPr>
            <w:r>
              <w:rPr>
                <w:color w:val="auto"/>
                <w:sz w:val="24"/>
              </w:rPr>
              <w:t>为更好</w:t>
            </w:r>
            <w:r>
              <w:rPr>
                <w:rFonts w:hint="eastAsia"/>
                <w:color w:val="auto"/>
                <w:sz w:val="24"/>
                <w:lang w:eastAsia="zh-CN"/>
              </w:rPr>
              <w:t>地</w:t>
            </w:r>
            <w:r>
              <w:rPr>
                <w:color w:val="auto"/>
                <w:sz w:val="24"/>
              </w:rPr>
              <w:t>保护水和土壤资源，将项目的环境影响降至最低限度，建议企业加强管理，定期对防控设施及固废暂存设施进行维护，避免非正常工况排放及跑冒滴漏污染。</w:t>
            </w:r>
          </w:p>
          <w:p w14:paraId="4B3B6815">
            <w:pPr>
              <w:pStyle w:val="41"/>
              <w:spacing w:line="360" w:lineRule="auto"/>
              <w:ind w:left="0" w:leftChars="0" w:right="0"/>
              <w:rPr>
                <w:rFonts w:ascii="Times New Roman" w:hAnsi="Times New Roman" w:cs="Times New Roman"/>
                <w:color w:val="auto"/>
              </w:rPr>
            </w:pPr>
            <w:r>
              <w:rPr>
                <w:rFonts w:ascii="Times New Roman" w:hAnsi="Times New Roman" w:cs="Times New Roman"/>
                <w:b/>
                <w:bCs/>
                <w:color w:val="auto"/>
              </w:rPr>
              <w:t>2、分区防控措施</w:t>
            </w:r>
          </w:p>
          <w:p w14:paraId="33784EE7">
            <w:pPr>
              <w:widowControl/>
              <w:adjustRightInd w:val="0"/>
              <w:snapToGrid w:val="0"/>
              <w:spacing w:line="360" w:lineRule="auto"/>
              <w:ind w:firstLine="480" w:firstLineChars="200"/>
              <w:rPr>
                <w:color w:val="auto"/>
                <w:sz w:val="24"/>
              </w:rPr>
            </w:pPr>
            <w:r>
              <w:rPr>
                <w:color w:val="auto"/>
                <w:sz w:val="24"/>
              </w:rPr>
              <w:t>本项目防渗分区划分及防渗等级见表4-</w:t>
            </w:r>
            <w:r>
              <w:rPr>
                <w:rFonts w:hint="eastAsia"/>
                <w:color w:val="auto"/>
                <w:sz w:val="24"/>
              </w:rPr>
              <w:t>29</w:t>
            </w:r>
            <w:r>
              <w:rPr>
                <w:color w:val="auto"/>
                <w:sz w:val="24"/>
              </w:rPr>
              <w:t>。</w:t>
            </w:r>
          </w:p>
          <w:p w14:paraId="58D0AB28">
            <w:pPr>
              <w:adjustRightInd w:val="0"/>
              <w:snapToGrid w:val="0"/>
              <w:spacing w:line="360" w:lineRule="auto"/>
              <w:jc w:val="center"/>
              <w:rPr>
                <w:b/>
                <w:color w:val="auto"/>
                <w:sz w:val="24"/>
              </w:rPr>
            </w:pPr>
            <w:r>
              <w:rPr>
                <w:b/>
                <w:color w:val="auto"/>
                <w:szCs w:val="21"/>
              </w:rPr>
              <w:t>表4-</w:t>
            </w:r>
            <w:r>
              <w:rPr>
                <w:rFonts w:hint="eastAsia"/>
                <w:b/>
                <w:color w:val="auto"/>
                <w:szCs w:val="21"/>
              </w:rPr>
              <w:t>29</w:t>
            </w:r>
            <w:r>
              <w:rPr>
                <w:b/>
                <w:color w:val="auto"/>
                <w:szCs w:val="21"/>
              </w:rPr>
              <w:t xml:space="preserve"> 本项目污染防渗区划分</w:t>
            </w:r>
          </w:p>
          <w:tbl>
            <w:tblPr>
              <w:tblStyle w:val="89"/>
              <w:tblW w:w="850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645"/>
              <w:gridCol w:w="3135"/>
              <w:gridCol w:w="1131"/>
              <w:gridCol w:w="2593"/>
            </w:tblGrid>
            <w:tr w14:paraId="3AC9D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6C84C756">
                  <w:pPr>
                    <w:autoSpaceDE w:val="0"/>
                    <w:autoSpaceDN w:val="0"/>
                    <w:jc w:val="center"/>
                    <w:rPr>
                      <w:b/>
                      <w:bCs/>
                      <w:color w:val="auto"/>
                      <w:szCs w:val="21"/>
                    </w:rPr>
                  </w:pPr>
                  <w:r>
                    <w:rPr>
                      <w:b/>
                      <w:bCs/>
                      <w:color w:val="auto"/>
                      <w:szCs w:val="21"/>
                    </w:rPr>
                    <w:t>防控分区</w:t>
                  </w:r>
                </w:p>
              </w:tc>
              <w:tc>
                <w:tcPr>
                  <w:tcW w:w="3135" w:type="dxa"/>
                  <w:vAlign w:val="center"/>
                </w:tcPr>
                <w:p w14:paraId="21420F0D">
                  <w:pPr>
                    <w:autoSpaceDE w:val="0"/>
                    <w:autoSpaceDN w:val="0"/>
                    <w:jc w:val="center"/>
                    <w:rPr>
                      <w:b/>
                      <w:bCs/>
                      <w:color w:val="auto"/>
                      <w:szCs w:val="21"/>
                      <w:lang w:val="zh-CN"/>
                    </w:rPr>
                  </w:pPr>
                  <w:r>
                    <w:rPr>
                      <w:b/>
                      <w:bCs/>
                      <w:color w:val="auto"/>
                      <w:szCs w:val="21"/>
                    </w:rPr>
                    <w:t>装置、单元</w:t>
                  </w:r>
                  <w:r>
                    <w:rPr>
                      <w:b/>
                      <w:bCs/>
                      <w:color w:val="auto"/>
                      <w:szCs w:val="21"/>
                      <w:lang w:val="zh-CN"/>
                    </w:rPr>
                    <w:t>名称</w:t>
                  </w:r>
                </w:p>
              </w:tc>
              <w:tc>
                <w:tcPr>
                  <w:tcW w:w="1131" w:type="dxa"/>
                  <w:vAlign w:val="center"/>
                </w:tcPr>
                <w:p w14:paraId="2396FE92">
                  <w:pPr>
                    <w:autoSpaceDE w:val="0"/>
                    <w:autoSpaceDN w:val="0"/>
                    <w:jc w:val="center"/>
                    <w:rPr>
                      <w:b/>
                      <w:bCs/>
                      <w:color w:val="auto"/>
                      <w:szCs w:val="21"/>
                      <w:lang w:val="zh-CN"/>
                    </w:rPr>
                  </w:pPr>
                  <w:r>
                    <w:rPr>
                      <w:b/>
                      <w:bCs/>
                      <w:color w:val="auto"/>
                      <w:szCs w:val="21"/>
                      <w:lang w:val="zh-CN"/>
                    </w:rPr>
                    <w:t>防渗区域</w:t>
                  </w:r>
                </w:p>
              </w:tc>
              <w:tc>
                <w:tcPr>
                  <w:tcW w:w="2593" w:type="dxa"/>
                  <w:vAlign w:val="center"/>
                </w:tcPr>
                <w:p w14:paraId="7F18A69E">
                  <w:pPr>
                    <w:autoSpaceDE w:val="0"/>
                    <w:autoSpaceDN w:val="0"/>
                    <w:jc w:val="center"/>
                    <w:rPr>
                      <w:b/>
                      <w:bCs/>
                      <w:color w:val="auto"/>
                      <w:szCs w:val="21"/>
                    </w:rPr>
                  </w:pPr>
                  <w:r>
                    <w:rPr>
                      <w:b/>
                      <w:bCs/>
                      <w:color w:val="auto"/>
                      <w:szCs w:val="21"/>
                    </w:rPr>
                    <w:t>防渗要求</w:t>
                  </w:r>
                </w:p>
              </w:tc>
            </w:tr>
            <w:tr w14:paraId="5CE088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6B571CC4">
                  <w:pPr>
                    <w:widowControl/>
                    <w:autoSpaceDN w:val="0"/>
                    <w:jc w:val="center"/>
                    <w:rPr>
                      <w:color w:val="auto"/>
                      <w:szCs w:val="21"/>
                    </w:rPr>
                  </w:pPr>
                  <w:r>
                    <w:rPr>
                      <w:color w:val="auto"/>
                      <w:szCs w:val="21"/>
                    </w:rPr>
                    <w:t>重点防渗区</w:t>
                  </w:r>
                </w:p>
              </w:tc>
              <w:tc>
                <w:tcPr>
                  <w:tcW w:w="3135" w:type="dxa"/>
                  <w:vAlign w:val="center"/>
                </w:tcPr>
                <w:p w14:paraId="6A04B2C6">
                  <w:pPr>
                    <w:widowControl/>
                    <w:autoSpaceDN w:val="0"/>
                    <w:jc w:val="center"/>
                    <w:rPr>
                      <w:color w:val="auto"/>
                      <w:szCs w:val="21"/>
                    </w:rPr>
                  </w:pPr>
                  <w:r>
                    <w:rPr>
                      <w:color w:val="auto"/>
                      <w:szCs w:val="21"/>
                    </w:rPr>
                    <w:t>危险固废暂存仓库</w:t>
                  </w:r>
                  <w:r>
                    <w:rPr>
                      <w:rFonts w:hint="eastAsia"/>
                      <w:color w:val="auto"/>
                      <w:szCs w:val="21"/>
                    </w:rPr>
                    <w:t>、危化品仓库</w:t>
                  </w:r>
                </w:p>
              </w:tc>
              <w:tc>
                <w:tcPr>
                  <w:tcW w:w="1131" w:type="dxa"/>
                  <w:vAlign w:val="center"/>
                </w:tcPr>
                <w:p w14:paraId="6260D7E0">
                  <w:pPr>
                    <w:widowControl/>
                    <w:autoSpaceDN w:val="0"/>
                    <w:jc w:val="center"/>
                    <w:rPr>
                      <w:color w:val="auto"/>
                      <w:szCs w:val="21"/>
                      <w:lang w:val="zh-CN"/>
                    </w:rPr>
                  </w:pPr>
                  <w:r>
                    <w:rPr>
                      <w:color w:val="auto"/>
                      <w:szCs w:val="21"/>
                      <w:lang w:val="zh-CN"/>
                    </w:rPr>
                    <w:t>地面</w:t>
                  </w:r>
                </w:p>
              </w:tc>
              <w:tc>
                <w:tcPr>
                  <w:tcW w:w="2593" w:type="dxa"/>
                  <w:vAlign w:val="center"/>
                </w:tcPr>
                <w:p w14:paraId="5BA2D1B2">
                  <w:pPr>
                    <w:widowControl/>
                    <w:autoSpaceDN w:val="0"/>
                    <w:jc w:val="center"/>
                    <w:rPr>
                      <w:color w:val="auto"/>
                      <w:szCs w:val="21"/>
                    </w:rPr>
                  </w:pPr>
                  <w:r>
                    <w:rPr>
                      <w:color w:val="auto"/>
                      <w:szCs w:val="21"/>
                    </w:rPr>
                    <w:t>渗透系数达1.0×10</w:t>
                  </w:r>
                  <w:r>
                    <w:rPr>
                      <w:rFonts w:hint="eastAsia"/>
                      <w:color w:val="auto"/>
                      <w:szCs w:val="21"/>
                      <w:lang w:eastAsia="zh-CN"/>
                    </w:rPr>
                    <w:t>—</w:t>
                  </w:r>
                  <w:r>
                    <w:rPr>
                      <w:rFonts w:hint="eastAsia"/>
                      <w:color w:val="auto"/>
                      <w:szCs w:val="21"/>
                      <w:vertAlign w:val="superscript"/>
                    </w:rPr>
                    <w:t>7</w:t>
                  </w:r>
                  <w:r>
                    <w:rPr>
                      <w:color w:val="auto"/>
                      <w:szCs w:val="21"/>
                    </w:rPr>
                    <w:t>cm/s</w:t>
                  </w:r>
                </w:p>
              </w:tc>
            </w:tr>
            <w:tr w14:paraId="26F0CC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2" w:hRule="atLeast"/>
                <w:jc w:val="center"/>
              </w:trPr>
              <w:tc>
                <w:tcPr>
                  <w:tcW w:w="1645" w:type="dxa"/>
                  <w:vAlign w:val="center"/>
                </w:tcPr>
                <w:p w14:paraId="2E3D8DA0">
                  <w:pPr>
                    <w:autoSpaceDE w:val="0"/>
                    <w:autoSpaceDN w:val="0"/>
                    <w:jc w:val="center"/>
                    <w:rPr>
                      <w:color w:val="auto"/>
                      <w:szCs w:val="21"/>
                      <w:lang w:val="zh-CN"/>
                    </w:rPr>
                  </w:pPr>
                  <w:r>
                    <w:rPr>
                      <w:color w:val="auto"/>
                      <w:szCs w:val="21"/>
                      <w:lang w:val="zh-CN"/>
                    </w:rPr>
                    <w:t>一般防渗区</w:t>
                  </w:r>
                </w:p>
              </w:tc>
              <w:tc>
                <w:tcPr>
                  <w:tcW w:w="3135" w:type="dxa"/>
                  <w:vAlign w:val="center"/>
                </w:tcPr>
                <w:p w14:paraId="7B41BE52">
                  <w:pPr>
                    <w:autoSpaceDE w:val="0"/>
                    <w:autoSpaceDN w:val="0"/>
                    <w:jc w:val="center"/>
                    <w:rPr>
                      <w:color w:val="auto"/>
                      <w:szCs w:val="21"/>
                      <w:highlight w:val="green"/>
                    </w:rPr>
                  </w:pPr>
                  <w:r>
                    <w:rPr>
                      <w:color w:val="auto"/>
                      <w:szCs w:val="21"/>
                    </w:rPr>
                    <w:t>生产车间</w:t>
                  </w:r>
                  <w:r>
                    <w:rPr>
                      <w:rFonts w:hint="eastAsia"/>
                      <w:color w:val="auto"/>
                      <w:szCs w:val="21"/>
                    </w:rPr>
                    <w:t>、门卫室</w:t>
                  </w:r>
                </w:p>
              </w:tc>
              <w:tc>
                <w:tcPr>
                  <w:tcW w:w="1131" w:type="dxa"/>
                  <w:vAlign w:val="center"/>
                </w:tcPr>
                <w:p w14:paraId="59DFCCC0">
                  <w:pPr>
                    <w:autoSpaceDE w:val="0"/>
                    <w:autoSpaceDN w:val="0"/>
                    <w:jc w:val="center"/>
                    <w:rPr>
                      <w:color w:val="auto"/>
                      <w:szCs w:val="21"/>
                      <w:highlight w:val="green"/>
                      <w:lang w:val="zh-CN"/>
                    </w:rPr>
                  </w:pPr>
                  <w:r>
                    <w:rPr>
                      <w:color w:val="auto"/>
                      <w:szCs w:val="21"/>
                      <w:lang w:val="zh-CN"/>
                    </w:rPr>
                    <w:t>地面</w:t>
                  </w:r>
                </w:p>
              </w:tc>
              <w:tc>
                <w:tcPr>
                  <w:tcW w:w="2593" w:type="dxa"/>
                  <w:vAlign w:val="center"/>
                </w:tcPr>
                <w:p w14:paraId="2EEF5345">
                  <w:pPr>
                    <w:widowControl/>
                    <w:autoSpaceDN w:val="0"/>
                    <w:jc w:val="center"/>
                    <w:rPr>
                      <w:bCs/>
                      <w:color w:val="auto"/>
                      <w:szCs w:val="21"/>
                      <w:lang w:val="zh-CN"/>
                    </w:rPr>
                  </w:pPr>
                  <w:r>
                    <w:rPr>
                      <w:bCs/>
                      <w:color w:val="auto"/>
                      <w:kern w:val="0"/>
                      <w:szCs w:val="21"/>
                      <w:lang w:bidi="ar"/>
                    </w:rPr>
                    <w:t>渗透系数达1.0×10</w:t>
                  </w:r>
                  <w:r>
                    <w:rPr>
                      <w:rFonts w:hint="eastAsia"/>
                      <w:bCs/>
                      <w:color w:val="auto"/>
                      <w:kern w:val="0"/>
                      <w:szCs w:val="21"/>
                      <w:lang w:eastAsia="zh-CN" w:bidi="ar"/>
                    </w:rPr>
                    <w:t>—</w:t>
                  </w:r>
                  <w:r>
                    <w:rPr>
                      <w:rFonts w:hint="eastAsia"/>
                      <w:bCs/>
                      <w:color w:val="auto"/>
                      <w:kern w:val="0"/>
                      <w:szCs w:val="21"/>
                      <w:vertAlign w:val="superscript"/>
                      <w:lang w:bidi="ar"/>
                    </w:rPr>
                    <w:t>10</w:t>
                  </w:r>
                  <w:r>
                    <w:rPr>
                      <w:bCs/>
                      <w:color w:val="auto"/>
                      <w:kern w:val="0"/>
                      <w:szCs w:val="21"/>
                      <w:lang w:bidi="ar"/>
                    </w:rPr>
                    <w:t>cm/s</w:t>
                  </w:r>
                </w:p>
              </w:tc>
            </w:tr>
            <w:tr w14:paraId="0D7EE2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1DA592AC">
                  <w:pPr>
                    <w:autoSpaceDE w:val="0"/>
                    <w:autoSpaceDN w:val="0"/>
                    <w:jc w:val="center"/>
                    <w:rPr>
                      <w:color w:val="auto"/>
                      <w:szCs w:val="21"/>
                      <w:lang w:val="zh-CN"/>
                    </w:rPr>
                  </w:pPr>
                  <w:r>
                    <w:rPr>
                      <w:color w:val="auto"/>
                      <w:szCs w:val="21"/>
                    </w:rPr>
                    <w:t>简单防渗</w:t>
                  </w:r>
                  <w:r>
                    <w:rPr>
                      <w:color w:val="auto"/>
                      <w:szCs w:val="21"/>
                      <w:lang w:val="zh-CN"/>
                    </w:rPr>
                    <w:t>区</w:t>
                  </w:r>
                </w:p>
              </w:tc>
              <w:tc>
                <w:tcPr>
                  <w:tcW w:w="3135" w:type="dxa"/>
                  <w:vAlign w:val="center"/>
                </w:tcPr>
                <w:p w14:paraId="1C42A274">
                  <w:pPr>
                    <w:autoSpaceDE w:val="0"/>
                    <w:autoSpaceDN w:val="0"/>
                    <w:jc w:val="center"/>
                    <w:rPr>
                      <w:color w:val="auto"/>
                      <w:szCs w:val="21"/>
                    </w:rPr>
                  </w:pPr>
                  <w:r>
                    <w:rPr>
                      <w:color w:val="auto"/>
                      <w:szCs w:val="21"/>
                    </w:rPr>
                    <w:t>厂区其余区域</w:t>
                  </w:r>
                </w:p>
              </w:tc>
              <w:tc>
                <w:tcPr>
                  <w:tcW w:w="1131" w:type="dxa"/>
                  <w:vAlign w:val="center"/>
                </w:tcPr>
                <w:p w14:paraId="7CA0E60D">
                  <w:pPr>
                    <w:autoSpaceDE w:val="0"/>
                    <w:autoSpaceDN w:val="0"/>
                    <w:jc w:val="center"/>
                    <w:rPr>
                      <w:color w:val="auto"/>
                      <w:szCs w:val="21"/>
                      <w:lang w:val="zh-CN"/>
                    </w:rPr>
                  </w:pPr>
                  <w:r>
                    <w:rPr>
                      <w:color w:val="auto"/>
                      <w:szCs w:val="21"/>
                      <w:lang w:val="zh-CN"/>
                    </w:rPr>
                    <w:t>地面</w:t>
                  </w:r>
                </w:p>
              </w:tc>
              <w:tc>
                <w:tcPr>
                  <w:tcW w:w="2593" w:type="dxa"/>
                  <w:vAlign w:val="center"/>
                </w:tcPr>
                <w:p w14:paraId="1042A781">
                  <w:pPr>
                    <w:widowControl/>
                    <w:autoSpaceDN w:val="0"/>
                    <w:jc w:val="center"/>
                    <w:rPr>
                      <w:bCs/>
                      <w:color w:val="auto"/>
                      <w:szCs w:val="21"/>
                      <w:lang w:val="zh-CN"/>
                    </w:rPr>
                  </w:pPr>
                  <w:r>
                    <w:rPr>
                      <w:bCs/>
                      <w:color w:val="auto"/>
                      <w:kern w:val="0"/>
                      <w:szCs w:val="21"/>
                      <w:lang w:bidi="ar"/>
                    </w:rPr>
                    <w:t>一般地面硬化</w:t>
                  </w:r>
                </w:p>
              </w:tc>
            </w:tr>
          </w:tbl>
          <w:p w14:paraId="71440222">
            <w:pPr>
              <w:spacing w:line="360" w:lineRule="auto"/>
              <w:ind w:firstLine="482" w:firstLineChars="200"/>
              <w:rPr>
                <w:color w:val="auto"/>
              </w:rPr>
            </w:pPr>
            <w:r>
              <w:rPr>
                <w:b/>
                <w:color w:val="auto"/>
                <w:sz w:val="24"/>
              </w:rPr>
              <w:t>六、环境风险</w:t>
            </w:r>
            <w:r>
              <w:rPr>
                <w:color w:val="auto"/>
              </w:rPr>
              <w:t xml:space="preserve"> </w:t>
            </w:r>
          </w:p>
          <w:p w14:paraId="3A6689F8">
            <w:pPr>
              <w:adjustRightInd w:val="0"/>
              <w:snapToGrid w:val="0"/>
              <w:spacing w:line="360" w:lineRule="auto"/>
              <w:ind w:firstLine="482" w:firstLineChars="200"/>
              <w:rPr>
                <w:color w:val="auto"/>
                <w:sz w:val="24"/>
              </w:rPr>
            </w:pPr>
            <w:r>
              <w:rPr>
                <w:rFonts w:hint="eastAsia"/>
                <w:b/>
                <w:bCs/>
                <w:color w:val="auto"/>
                <w:sz w:val="24"/>
                <w:lang w:eastAsia="zh-CN"/>
              </w:rPr>
              <w:t>1.</w:t>
            </w:r>
            <w:r>
              <w:rPr>
                <w:b/>
                <w:bCs/>
                <w:color w:val="auto"/>
                <w:sz w:val="24"/>
              </w:rPr>
              <w:t>风险识别</w:t>
            </w:r>
          </w:p>
          <w:p w14:paraId="71671C2F">
            <w:pPr>
              <w:widowControl/>
              <w:adjustRightInd w:val="0"/>
              <w:snapToGrid w:val="0"/>
              <w:spacing w:line="360" w:lineRule="auto"/>
              <w:ind w:firstLine="480" w:firstLineChars="200"/>
              <w:rPr>
                <w:snapToGrid w:val="0"/>
                <w:color w:val="auto"/>
                <w:kern w:val="0"/>
                <w:sz w:val="24"/>
              </w:rPr>
            </w:pPr>
            <w:r>
              <w:rPr>
                <w:snapToGrid w:val="0"/>
                <w:color w:val="auto"/>
                <w:kern w:val="0"/>
                <w:sz w:val="24"/>
              </w:rPr>
              <w:t>根据《建设项目环境风险评价技术导则》（HJ169-2018），对照附录C，计算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66474F7A">
            <w:pPr>
              <w:adjustRightInd w:val="0"/>
              <w:snapToGrid w:val="0"/>
              <w:spacing w:line="360" w:lineRule="auto"/>
              <w:ind w:firstLine="420" w:firstLineChars="200"/>
              <w:jc w:val="center"/>
              <w:rPr>
                <w:color w:val="auto"/>
                <w:szCs w:val="21"/>
              </w:rPr>
            </w:pPr>
            <w:r>
              <w:rPr>
                <w:color w:val="auto"/>
                <w:szCs w:val="21"/>
              </w:rPr>
              <w:drawing>
                <wp:inline distT="0" distB="0" distL="114300" distR="114300">
                  <wp:extent cx="1441450" cy="488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stretch>
                            <a:fillRect/>
                          </a:stretch>
                        </pic:blipFill>
                        <pic:spPr>
                          <a:xfrm>
                            <a:off x="0" y="0"/>
                            <a:ext cx="1441450" cy="488950"/>
                          </a:xfrm>
                          <a:prstGeom prst="rect">
                            <a:avLst/>
                          </a:prstGeom>
                          <a:noFill/>
                          <a:ln>
                            <a:noFill/>
                          </a:ln>
                        </pic:spPr>
                      </pic:pic>
                    </a:graphicData>
                  </a:graphic>
                </wp:inline>
              </w:drawing>
            </w:r>
          </w:p>
          <w:p w14:paraId="1F89320B">
            <w:pPr>
              <w:widowControl/>
              <w:adjustRightInd w:val="0"/>
              <w:snapToGrid w:val="0"/>
              <w:spacing w:line="360" w:lineRule="auto"/>
              <w:ind w:firstLine="1200" w:firstLineChars="500"/>
              <w:rPr>
                <w:snapToGrid w:val="0"/>
                <w:color w:val="auto"/>
                <w:kern w:val="0"/>
                <w:sz w:val="24"/>
              </w:rPr>
            </w:pPr>
            <w:r>
              <w:rPr>
                <w:snapToGrid w:val="0"/>
                <w:color w:val="auto"/>
                <w:kern w:val="0"/>
                <w:sz w:val="24"/>
              </w:rPr>
              <w:t>式中：q1，q2</w:t>
            </w:r>
            <w:r>
              <w:rPr>
                <w:rFonts w:hint="eastAsia"/>
                <w:snapToGrid w:val="0"/>
                <w:color w:val="auto"/>
                <w:kern w:val="0"/>
                <w:sz w:val="24"/>
                <w:lang w:eastAsia="zh-CN"/>
              </w:rPr>
              <w:t>，</w:t>
            </w:r>
            <w:r>
              <w:rPr>
                <w:snapToGrid w:val="0"/>
                <w:color w:val="auto"/>
                <w:kern w:val="0"/>
                <w:sz w:val="24"/>
              </w:rPr>
              <w:t>qn——每种危险物质的最大存在总量，t；</w:t>
            </w:r>
          </w:p>
          <w:p w14:paraId="4813E6ED">
            <w:pPr>
              <w:widowControl/>
              <w:adjustRightInd w:val="0"/>
              <w:snapToGrid w:val="0"/>
              <w:spacing w:line="360" w:lineRule="auto"/>
              <w:ind w:firstLine="1920" w:firstLineChars="800"/>
              <w:rPr>
                <w:snapToGrid w:val="0"/>
                <w:color w:val="auto"/>
                <w:kern w:val="0"/>
                <w:sz w:val="24"/>
              </w:rPr>
            </w:pPr>
            <w:r>
              <w:rPr>
                <w:snapToGrid w:val="0"/>
                <w:color w:val="auto"/>
                <w:kern w:val="0"/>
                <w:sz w:val="24"/>
              </w:rPr>
              <w:t>Q1，Q2</w:t>
            </w:r>
            <w:r>
              <w:rPr>
                <w:rFonts w:hint="eastAsia"/>
                <w:snapToGrid w:val="0"/>
                <w:color w:val="auto"/>
                <w:kern w:val="0"/>
                <w:sz w:val="24"/>
                <w:lang w:eastAsia="zh-CN"/>
              </w:rPr>
              <w:t>，</w:t>
            </w:r>
            <w:r>
              <w:rPr>
                <w:snapToGrid w:val="0"/>
                <w:color w:val="auto"/>
                <w:kern w:val="0"/>
                <w:sz w:val="24"/>
              </w:rPr>
              <w:t>Qn——每种危险物质的临界量，t。</w:t>
            </w:r>
          </w:p>
          <w:p w14:paraId="2C9C8283">
            <w:pPr>
              <w:widowControl/>
              <w:adjustRightInd w:val="0"/>
              <w:snapToGrid w:val="0"/>
              <w:spacing w:line="360" w:lineRule="auto"/>
              <w:ind w:firstLine="1200" w:firstLineChars="500"/>
              <w:rPr>
                <w:snapToGrid w:val="0"/>
                <w:color w:val="auto"/>
                <w:kern w:val="0"/>
                <w:sz w:val="24"/>
              </w:rPr>
            </w:pPr>
            <w:r>
              <w:rPr>
                <w:snapToGrid w:val="0"/>
                <w:color w:val="auto"/>
                <w:kern w:val="0"/>
                <w:sz w:val="24"/>
              </w:rPr>
              <w:t>当Q＜1时，该项目环境风险潜势为1。</w:t>
            </w:r>
          </w:p>
          <w:p w14:paraId="4EE6B49F">
            <w:pPr>
              <w:adjustRightInd w:val="0"/>
              <w:snapToGrid w:val="0"/>
              <w:spacing w:line="360" w:lineRule="auto"/>
              <w:ind w:firstLine="480" w:firstLineChars="200"/>
              <w:rPr>
                <w:color w:val="auto"/>
                <w:sz w:val="24"/>
              </w:rPr>
            </w:pPr>
            <w:r>
              <w:rPr>
                <w:snapToGrid w:val="0"/>
                <w:color w:val="auto"/>
                <w:kern w:val="0"/>
                <w:sz w:val="24"/>
              </w:rPr>
              <w:t>当Q≥1时，将Q值划分为：（1）1≤Q＜10；（2）10≤Q＜100；（3）Q≥100。</w:t>
            </w:r>
          </w:p>
          <w:p w14:paraId="4BD188FA">
            <w:pPr>
              <w:autoSpaceDE w:val="0"/>
              <w:autoSpaceDN w:val="0"/>
              <w:adjustRightInd w:val="0"/>
              <w:snapToGrid w:val="0"/>
              <w:spacing w:line="360" w:lineRule="auto"/>
              <w:ind w:firstLine="480" w:firstLineChars="200"/>
              <w:rPr>
                <w:color w:val="auto"/>
                <w:sz w:val="24"/>
              </w:rPr>
            </w:pPr>
            <w:r>
              <w:rPr>
                <w:color w:val="auto"/>
                <w:sz w:val="24"/>
              </w:rPr>
              <w:t>根据项目所涉及的每种危险物质在厂界内的最大存在总量与其在附录B中对应临界量的比值计算Q，判定情况见表4-</w:t>
            </w:r>
            <w:r>
              <w:rPr>
                <w:rFonts w:hint="eastAsia"/>
                <w:color w:val="auto"/>
                <w:sz w:val="24"/>
              </w:rPr>
              <w:t>30</w:t>
            </w:r>
            <w:r>
              <w:rPr>
                <w:color w:val="auto"/>
                <w:sz w:val="24"/>
              </w:rPr>
              <w:t>。</w:t>
            </w:r>
          </w:p>
          <w:p w14:paraId="6F6C0EEC">
            <w:pPr>
              <w:autoSpaceDE w:val="0"/>
              <w:autoSpaceDN w:val="0"/>
              <w:adjustRightInd w:val="0"/>
              <w:snapToGrid w:val="0"/>
              <w:jc w:val="center"/>
              <w:rPr>
                <w:color w:val="auto"/>
                <w:sz w:val="24"/>
              </w:rPr>
            </w:pPr>
            <w:r>
              <w:rPr>
                <w:b/>
                <w:bCs/>
                <w:color w:val="auto"/>
                <w:szCs w:val="21"/>
              </w:rPr>
              <w:t>表4-</w:t>
            </w:r>
            <w:r>
              <w:rPr>
                <w:rFonts w:hint="eastAsia"/>
                <w:b/>
                <w:bCs/>
                <w:color w:val="auto"/>
                <w:szCs w:val="21"/>
              </w:rPr>
              <w:t>30</w:t>
            </w:r>
            <w:r>
              <w:rPr>
                <w:b/>
                <w:bCs/>
                <w:color w:val="auto"/>
                <w:szCs w:val="21"/>
              </w:rPr>
              <w:t xml:space="preserve">  建设项目Q值确定表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13"/>
              <w:gridCol w:w="353"/>
              <w:gridCol w:w="1152"/>
              <w:gridCol w:w="1124"/>
              <w:gridCol w:w="1641"/>
              <w:gridCol w:w="1530"/>
              <w:gridCol w:w="2161"/>
            </w:tblGrid>
            <w:tr w14:paraId="33F1A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1E83FD69">
                  <w:pPr>
                    <w:adjustRightInd w:val="0"/>
                    <w:snapToGrid w:val="0"/>
                    <w:jc w:val="center"/>
                    <w:rPr>
                      <w:b/>
                      <w:bCs/>
                      <w:color w:val="auto"/>
                      <w:szCs w:val="21"/>
                    </w:rPr>
                  </w:pPr>
                  <w:r>
                    <w:rPr>
                      <w:b/>
                      <w:bCs/>
                      <w:color w:val="auto"/>
                      <w:szCs w:val="21"/>
                    </w:rPr>
                    <w:t>序号</w:t>
                  </w:r>
                </w:p>
              </w:tc>
              <w:tc>
                <w:tcPr>
                  <w:tcW w:w="888" w:type="pct"/>
                  <w:gridSpan w:val="2"/>
                  <w:vAlign w:val="center"/>
                </w:tcPr>
                <w:p w14:paraId="3F4D00FB">
                  <w:pPr>
                    <w:adjustRightInd w:val="0"/>
                    <w:snapToGrid w:val="0"/>
                    <w:jc w:val="center"/>
                    <w:rPr>
                      <w:b/>
                      <w:bCs/>
                      <w:color w:val="auto"/>
                      <w:szCs w:val="21"/>
                    </w:rPr>
                  </w:pPr>
                  <w:r>
                    <w:rPr>
                      <w:b/>
                      <w:bCs/>
                      <w:color w:val="auto"/>
                      <w:szCs w:val="21"/>
                    </w:rPr>
                    <w:t>危险物质名称</w:t>
                  </w:r>
                </w:p>
              </w:tc>
              <w:tc>
                <w:tcPr>
                  <w:tcW w:w="663" w:type="pct"/>
                  <w:vAlign w:val="center"/>
                </w:tcPr>
                <w:p w14:paraId="4156695B">
                  <w:pPr>
                    <w:adjustRightInd w:val="0"/>
                    <w:snapToGrid w:val="0"/>
                    <w:jc w:val="center"/>
                    <w:rPr>
                      <w:b/>
                      <w:bCs/>
                      <w:color w:val="auto"/>
                      <w:szCs w:val="21"/>
                    </w:rPr>
                  </w:pPr>
                  <w:r>
                    <w:rPr>
                      <w:b/>
                      <w:bCs/>
                      <w:color w:val="auto"/>
                      <w:szCs w:val="21"/>
                    </w:rPr>
                    <w:t>CAS号</w:t>
                  </w:r>
                </w:p>
              </w:tc>
              <w:tc>
                <w:tcPr>
                  <w:tcW w:w="968" w:type="pct"/>
                  <w:vAlign w:val="center"/>
                </w:tcPr>
                <w:p w14:paraId="54BBF626">
                  <w:pPr>
                    <w:adjustRightInd w:val="0"/>
                    <w:snapToGrid w:val="0"/>
                    <w:jc w:val="center"/>
                    <w:rPr>
                      <w:b/>
                      <w:bCs/>
                      <w:color w:val="auto"/>
                      <w:szCs w:val="21"/>
                    </w:rPr>
                  </w:pPr>
                  <w:r>
                    <w:rPr>
                      <w:b/>
                      <w:bCs/>
                      <w:color w:val="auto"/>
                      <w:szCs w:val="21"/>
                    </w:rPr>
                    <w:t>最大存在总量t</w:t>
                  </w:r>
                </w:p>
              </w:tc>
              <w:tc>
                <w:tcPr>
                  <w:tcW w:w="902" w:type="pct"/>
                  <w:vAlign w:val="center"/>
                </w:tcPr>
                <w:p w14:paraId="48AF851D">
                  <w:pPr>
                    <w:adjustRightInd w:val="0"/>
                    <w:snapToGrid w:val="0"/>
                    <w:jc w:val="center"/>
                    <w:rPr>
                      <w:b/>
                      <w:bCs/>
                      <w:color w:val="auto"/>
                      <w:szCs w:val="21"/>
                    </w:rPr>
                  </w:pPr>
                  <w:r>
                    <w:rPr>
                      <w:b/>
                      <w:bCs/>
                      <w:color w:val="auto"/>
                      <w:szCs w:val="21"/>
                    </w:rPr>
                    <w:t>临界量t</w:t>
                  </w:r>
                </w:p>
              </w:tc>
              <w:tc>
                <w:tcPr>
                  <w:tcW w:w="1275" w:type="pct"/>
                  <w:vAlign w:val="center"/>
                </w:tcPr>
                <w:p w14:paraId="5CC45812">
                  <w:pPr>
                    <w:adjustRightInd w:val="0"/>
                    <w:snapToGrid w:val="0"/>
                    <w:jc w:val="center"/>
                    <w:rPr>
                      <w:b/>
                      <w:bCs/>
                      <w:color w:val="auto"/>
                      <w:szCs w:val="21"/>
                    </w:rPr>
                  </w:pPr>
                  <w:r>
                    <w:rPr>
                      <w:b/>
                      <w:bCs/>
                      <w:color w:val="auto"/>
                      <w:szCs w:val="21"/>
                    </w:rPr>
                    <w:t>该种危险物质Q值</w:t>
                  </w:r>
                </w:p>
              </w:tc>
            </w:tr>
            <w:tr w14:paraId="784EC5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78" w:hRule="atLeast"/>
                <w:jc w:val="center"/>
              </w:trPr>
              <w:tc>
                <w:tcPr>
                  <w:tcW w:w="303" w:type="pct"/>
                  <w:vAlign w:val="center"/>
                </w:tcPr>
                <w:p w14:paraId="0518F7D8">
                  <w:pPr>
                    <w:adjustRightInd w:val="0"/>
                    <w:snapToGrid w:val="0"/>
                    <w:jc w:val="center"/>
                    <w:rPr>
                      <w:bCs/>
                      <w:color w:val="auto"/>
                      <w:szCs w:val="21"/>
                    </w:rPr>
                  </w:pPr>
                  <w:r>
                    <w:rPr>
                      <w:bCs/>
                      <w:color w:val="auto"/>
                      <w:szCs w:val="21"/>
                    </w:rPr>
                    <w:t>1</w:t>
                  </w:r>
                </w:p>
              </w:tc>
              <w:tc>
                <w:tcPr>
                  <w:tcW w:w="888" w:type="pct"/>
                  <w:gridSpan w:val="2"/>
                  <w:vAlign w:val="center"/>
                </w:tcPr>
                <w:p w14:paraId="1327E2B1">
                  <w:pPr>
                    <w:spacing w:line="200" w:lineRule="atLeast"/>
                    <w:jc w:val="center"/>
                    <w:rPr>
                      <w:color w:val="auto"/>
                      <w:szCs w:val="21"/>
                    </w:rPr>
                  </w:pPr>
                  <w:r>
                    <w:rPr>
                      <w:color w:val="auto"/>
                      <w:szCs w:val="21"/>
                    </w:rPr>
                    <w:t>废活性炭</w:t>
                  </w:r>
                </w:p>
              </w:tc>
              <w:tc>
                <w:tcPr>
                  <w:tcW w:w="663" w:type="pct"/>
                  <w:vAlign w:val="center"/>
                </w:tcPr>
                <w:p w14:paraId="12079F14">
                  <w:pPr>
                    <w:adjustRightInd w:val="0"/>
                    <w:snapToGrid w:val="0"/>
                    <w:jc w:val="center"/>
                    <w:rPr>
                      <w:bCs/>
                      <w:color w:val="auto"/>
                      <w:szCs w:val="21"/>
                    </w:rPr>
                  </w:pPr>
                  <w:r>
                    <w:rPr>
                      <w:bCs/>
                      <w:color w:val="auto"/>
                      <w:szCs w:val="21"/>
                    </w:rPr>
                    <w:t>/</w:t>
                  </w:r>
                </w:p>
              </w:tc>
              <w:tc>
                <w:tcPr>
                  <w:tcW w:w="968" w:type="pct"/>
                  <w:shd w:val="clear" w:color="auto" w:fill="auto"/>
                  <w:vAlign w:val="center"/>
                </w:tcPr>
                <w:p w14:paraId="11A157D5">
                  <w:pPr>
                    <w:spacing w:line="200" w:lineRule="atLeast"/>
                    <w:jc w:val="center"/>
                    <w:rPr>
                      <w:rFonts w:hint="default" w:eastAsia="宋体"/>
                      <w:color w:val="auto"/>
                      <w:szCs w:val="21"/>
                      <w:lang w:val="en-US" w:eastAsia="zh-CN"/>
                    </w:rPr>
                  </w:pPr>
                  <w:r>
                    <w:rPr>
                      <w:rFonts w:hint="eastAsia"/>
                      <w:color w:val="auto"/>
                      <w:szCs w:val="21"/>
                      <w:lang w:val="en-US" w:eastAsia="zh-CN"/>
                    </w:rPr>
                    <w:t>7.2267575</w:t>
                  </w:r>
                </w:p>
              </w:tc>
              <w:tc>
                <w:tcPr>
                  <w:tcW w:w="902" w:type="pct"/>
                  <w:vAlign w:val="center"/>
                </w:tcPr>
                <w:p w14:paraId="0720143A">
                  <w:pPr>
                    <w:adjustRightInd w:val="0"/>
                    <w:snapToGrid w:val="0"/>
                    <w:jc w:val="center"/>
                    <w:rPr>
                      <w:bCs/>
                      <w:color w:val="auto"/>
                      <w:szCs w:val="21"/>
                    </w:rPr>
                  </w:pPr>
                  <w:r>
                    <w:rPr>
                      <w:bCs/>
                      <w:color w:val="auto"/>
                      <w:szCs w:val="21"/>
                    </w:rPr>
                    <w:t>50</w:t>
                  </w:r>
                </w:p>
              </w:tc>
              <w:tc>
                <w:tcPr>
                  <w:tcW w:w="1275" w:type="pct"/>
                  <w:vAlign w:val="center"/>
                </w:tcPr>
                <w:p w14:paraId="76128045">
                  <w:pPr>
                    <w:spacing w:line="200" w:lineRule="atLeast"/>
                    <w:jc w:val="center"/>
                    <w:rPr>
                      <w:rFonts w:hint="default" w:eastAsia="宋体"/>
                      <w:color w:val="auto"/>
                      <w:szCs w:val="21"/>
                      <w:lang w:val="en-US" w:eastAsia="zh-CN"/>
                    </w:rPr>
                  </w:pPr>
                  <w:r>
                    <w:rPr>
                      <w:rFonts w:hint="eastAsia"/>
                      <w:color w:val="auto"/>
                      <w:szCs w:val="21"/>
                      <w:lang w:val="en-US" w:eastAsia="zh-CN"/>
                    </w:rPr>
                    <w:t>0.14453515</w:t>
                  </w:r>
                </w:p>
              </w:tc>
            </w:tr>
            <w:tr w14:paraId="7052E3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29925267">
                  <w:pPr>
                    <w:adjustRightInd w:val="0"/>
                    <w:snapToGrid w:val="0"/>
                    <w:jc w:val="center"/>
                    <w:rPr>
                      <w:color w:val="auto"/>
                      <w:szCs w:val="21"/>
                    </w:rPr>
                  </w:pPr>
                  <w:r>
                    <w:rPr>
                      <w:rFonts w:hint="eastAsia"/>
                      <w:color w:val="auto"/>
                      <w:szCs w:val="21"/>
                    </w:rPr>
                    <w:t>2</w:t>
                  </w:r>
                </w:p>
              </w:tc>
              <w:tc>
                <w:tcPr>
                  <w:tcW w:w="888" w:type="pct"/>
                  <w:gridSpan w:val="2"/>
                  <w:vAlign w:val="center"/>
                </w:tcPr>
                <w:p w14:paraId="2FB00134">
                  <w:pPr>
                    <w:spacing w:line="200" w:lineRule="atLeast"/>
                    <w:jc w:val="center"/>
                    <w:rPr>
                      <w:color w:val="auto"/>
                    </w:rPr>
                  </w:pPr>
                  <w:r>
                    <w:rPr>
                      <w:rFonts w:hint="eastAsia"/>
                      <w:color w:val="auto"/>
                      <w:szCs w:val="21"/>
                    </w:rPr>
                    <w:t>废液压油</w:t>
                  </w:r>
                </w:p>
              </w:tc>
              <w:tc>
                <w:tcPr>
                  <w:tcW w:w="663" w:type="pct"/>
                  <w:vAlign w:val="center"/>
                </w:tcPr>
                <w:p w14:paraId="2C00EE7E">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2D682CBC">
                  <w:pPr>
                    <w:spacing w:line="200" w:lineRule="atLeast"/>
                    <w:jc w:val="center"/>
                    <w:rPr>
                      <w:color w:val="auto"/>
                      <w:szCs w:val="21"/>
                    </w:rPr>
                  </w:pPr>
                  <w:r>
                    <w:rPr>
                      <w:rFonts w:hint="eastAsia"/>
                      <w:color w:val="auto"/>
                      <w:szCs w:val="21"/>
                    </w:rPr>
                    <w:t>0.08</w:t>
                  </w:r>
                </w:p>
              </w:tc>
              <w:tc>
                <w:tcPr>
                  <w:tcW w:w="902" w:type="pct"/>
                  <w:vAlign w:val="center"/>
                </w:tcPr>
                <w:p w14:paraId="77711540">
                  <w:pPr>
                    <w:adjustRightInd w:val="0"/>
                    <w:snapToGrid w:val="0"/>
                    <w:jc w:val="center"/>
                    <w:rPr>
                      <w:color w:val="auto"/>
                      <w:szCs w:val="21"/>
                    </w:rPr>
                  </w:pPr>
                  <w:r>
                    <w:rPr>
                      <w:rFonts w:hint="eastAsia"/>
                      <w:color w:val="auto"/>
                      <w:szCs w:val="21"/>
                    </w:rPr>
                    <w:t>50</w:t>
                  </w:r>
                </w:p>
              </w:tc>
              <w:tc>
                <w:tcPr>
                  <w:tcW w:w="1275" w:type="pct"/>
                  <w:vAlign w:val="center"/>
                </w:tcPr>
                <w:p w14:paraId="335F56BE">
                  <w:pPr>
                    <w:spacing w:line="200" w:lineRule="atLeast"/>
                    <w:jc w:val="center"/>
                    <w:rPr>
                      <w:color w:val="auto"/>
                      <w:szCs w:val="21"/>
                    </w:rPr>
                  </w:pPr>
                  <w:r>
                    <w:rPr>
                      <w:rFonts w:hint="eastAsia"/>
                      <w:color w:val="auto"/>
                      <w:szCs w:val="21"/>
                    </w:rPr>
                    <w:t>0.0016</w:t>
                  </w:r>
                </w:p>
              </w:tc>
            </w:tr>
            <w:tr w14:paraId="1298F1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491F1787">
                  <w:pPr>
                    <w:adjustRightInd w:val="0"/>
                    <w:snapToGrid w:val="0"/>
                    <w:jc w:val="center"/>
                    <w:rPr>
                      <w:color w:val="auto"/>
                      <w:szCs w:val="21"/>
                    </w:rPr>
                  </w:pPr>
                  <w:r>
                    <w:rPr>
                      <w:rFonts w:hint="eastAsia"/>
                      <w:color w:val="auto"/>
                      <w:szCs w:val="21"/>
                    </w:rPr>
                    <w:t>3</w:t>
                  </w:r>
                </w:p>
              </w:tc>
              <w:tc>
                <w:tcPr>
                  <w:tcW w:w="888" w:type="pct"/>
                  <w:gridSpan w:val="2"/>
                  <w:vAlign w:val="center"/>
                </w:tcPr>
                <w:p w14:paraId="66A43071">
                  <w:pPr>
                    <w:spacing w:line="200" w:lineRule="atLeast"/>
                    <w:jc w:val="center"/>
                    <w:rPr>
                      <w:color w:val="auto"/>
                      <w:szCs w:val="21"/>
                    </w:rPr>
                  </w:pPr>
                  <w:r>
                    <w:rPr>
                      <w:rFonts w:hint="eastAsia"/>
                      <w:color w:val="auto"/>
                      <w:szCs w:val="21"/>
                    </w:rPr>
                    <w:t>废胶桶、废胶瓶</w:t>
                  </w:r>
                </w:p>
              </w:tc>
              <w:tc>
                <w:tcPr>
                  <w:tcW w:w="663" w:type="pct"/>
                  <w:vAlign w:val="center"/>
                </w:tcPr>
                <w:p w14:paraId="74FB45D4">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3F6605C4">
                  <w:pPr>
                    <w:pStyle w:val="477"/>
                    <w:spacing w:after="0"/>
                    <w:rPr>
                      <w:color w:val="auto"/>
                      <w:szCs w:val="21"/>
                    </w:rPr>
                  </w:pPr>
                  <w:r>
                    <w:rPr>
                      <w:rFonts w:hint="eastAsia"/>
                      <w:color w:val="auto"/>
                      <w:szCs w:val="21"/>
                    </w:rPr>
                    <w:t>1.28325</w:t>
                  </w:r>
                </w:p>
              </w:tc>
              <w:tc>
                <w:tcPr>
                  <w:tcW w:w="902" w:type="pct"/>
                  <w:vAlign w:val="center"/>
                </w:tcPr>
                <w:p w14:paraId="575B926B">
                  <w:pPr>
                    <w:adjustRightInd w:val="0"/>
                    <w:snapToGrid w:val="0"/>
                    <w:jc w:val="center"/>
                    <w:rPr>
                      <w:color w:val="auto"/>
                      <w:szCs w:val="21"/>
                    </w:rPr>
                  </w:pPr>
                  <w:r>
                    <w:rPr>
                      <w:rFonts w:hint="eastAsia"/>
                      <w:color w:val="auto"/>
                      <w:szCs w:val="21"/>
                    </w:rPr>
                    <w:t>50</w:t>
                  </w:r>
                </w:p>
              </w:tc>
              <w:tc>
                <w:tcPr>
                  <w:tcW w:w="1275" w:type="pct"/>
                  <w:vAlign w:val="center"/>
                </w:tcPr>
                <w:p w14:paraId="3E2122AB">
                  <w:pPr>
                    <w:spacing w:line="200" w:lineRule="atLeast"/>
                    <w:jc w:val="center"/>
                    <w:rPr>
                      <w:color w:val="auto"/>
                      <w:szCs w:val="21"/>
                    </w:rPr>
                  </w:pPr>
                  <w:r>
                    <w:rPr>
                      <w:rFonts w:hint="eastAsia"/>
                      <w:color w:val="auto"/>
                      <w:szCs w:val="21"/>
                    </w:rPr>
                    <w:t>0.025665</w:t>
                  </w:r>
                </w:p>
              </w:tc>
            </w:tr>
            <w:tr w14:paraId="2A3473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748E5A30">
                  <w:pPr>
                    <w:adjustRightInd w:val="0"/>
                    <w:snapToGrid w:val="0"/>
                    <w:jc w:val="center"/>
                    <w:rPr>
                      <w:color w:val="auto"/>
                      <w:szCs w:val="21"/>
                    </w:rPr>
                  </w:pPr>
                  <w:r>
                    <w:rPr>
                      <w:rFonts w:hint="eastAsia"/>
                      <w:color w:val="auto"/>
                      <w:szCs w:val="21"/>
                    </w:rPr>
                    <w:t>4</w:t>
                  </w:r>
                </w:p>
              </w:tc>
              <w:tc>
                <w:tcPr>
                  <w:tcW w:w="888" w:type="pct"/>
                  <w:gridSpan w:val="2"/>
                  <w:vAlign w:val="center"/>
                </w:tcPr>
                <w:p w14:paraId="08E746D0">
                  <w:pPr>
                    <w:spacing w:line="200" w:lineRule="atLeast"/>
                    <w:jc w:val="center"/>
                    <w:rPr>
                      <w:color w:val="auto"/>
                      <w:szCs w:val="21"/>
                    </w:rPr>
                  </w:pPr>
                  <w:r>
                    <w:rPr>
                      <w:rFonts w:hint="eastAsia"/>
                      <w:color w:val="auto"/>
                      <w:szCs w:val="21"/>
                    </w:rPr>
                    <w:t>废灰桶、废漆桶</w:t>
                  </w:r>
                </w:p>
              </w:tc>
              <w:tc>
                <w:tcPr>
                  <w:tcW w:w="663" w:type="pct"/>
                  <w:vAlign w:val="center"/>
                </w:tcPr>
                <w:p w14:paraId="56254CA1">
                  <w:pPr>
                    <w:adjustRightInd w:val="0"/>
                    <w:snapToGrid w:val="0"/>
                    <w:jc w:val="center"/>
                    <w:rPr>
                      <w:color w:val="auto"/>
                      <w:szCs w:val="21"/>
                    </w:rPr>
                  </w:pPr>
                  <w:r>
                    <w:rPr>
                      <w:bCs/>
                      <w:color w:val="auto"/>
                      <w:szCs w:val="21"/>
                    </w:rPr>
                    <w:t>/</w:t>
                  </w:r>
                </w:p>
              </w:tc>
              <w:tc>
                <w:tcPr>
                  <w:tcW w:w="968" w:type="pct"/>
                  <w:shd w:val="clear" w:color="auto" w:fill="auto"/>
                  <w:vAlign w:val="center"/>
                </w:tcPr>
                <w:p w14:paraId="676B9338">
                  <w:pPr>
                    <w:pStyle w:val="477"/>
                    <w:spacing w:after="0"/>
                    <w:rPr>
                      <w:color w:val="auto"/>
                      <w:szCs w:val="21"/>
                    </w:rPr>
                  </w:pPr>
                  <w:r>
                    <w:rPr>
                      <w:rFonts w:hint="eastAsia"/>
                      <w:color w:val="auto"/>
                      <w:szCs w:val="21"/>
                    </w:rPr>
                    <w:t>0.668</w:t>
                  </w:r>
                </w:p>
              </w:tc>
              <w:tc>
                <w:tcPr>
                  <w:tcW w:w="902" w:type="pct"/>
                  <w:vAlign w:val="center"/>
                </w:tcPr>
                <w:p w14:paraId="163E115F">
                  <w:pPr>
                    <w:adjustRightInd w:val="0"/>
                    <w:snapToGrid w:val="0"/>
                    <w:jc w:val="center"/>
                    <w:rPr>
                      <w:color w:val="auto"/>
                      <w:szCs w:val="21"/>
                    </w:rPr>
                  </w:pPr>
                  <w:r>
                    <w:rPr>
                      <w:bCs/>
                      <w:color w:val="auto"/>
                      <w:szCs w:val="21"/>
                    </w:rPr>
                    <w:t>50</w:t>
                  </w:r>
                </w:p>
              </w:tc>
              <w:tc>
                <w:tcPr>
                  <w:tcW w:w="1275" w:type="pct"/>
                  <w:vAlign w:val="center"/>
                </w:tcPr>
                <w:p w14:paraId="7D927533">
                  <w:pPr>
                    <w:spacing w:line="200" w:lineRule="atLeast"/>
                    <w:jc w:val="center"/>
                    <w:rPr>
                      <w:color w:val="auto"/>
                      <w:szCs w:val="21"/>
                    </w:rPr>
                  </w:pPr>
                  <w:r>
                    <w:rPr>
                      <w:rFonts w:hint="eastAsia"/>
                      <w:color w:val="auto"/>
                      <w:szCs w:val="21"/>
                    </w:rPr>
                    <w:t>0.01336</w:t>
                  </w:r>
                </w:p>
              </w:tc>
            </w:tr>
            <w:tr w14:paraId="51D201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194F25E1">
                  <w:pPr>
                    <w:adjustRightInd w:val="0"/>
                    <w:snapToGrid w:val="0"/>
                    <w:jc w:val="center"/>
                    <w:rPr>
                      <w:color w:val="auto"/>
                      <w:szCs w:val="21"/>
                    </w:rPr>
                  </w:pPr>
                  <w:r>
                    <w:rPr>
                      <w:rFonts w:hint="eastAsia"/>
                      <w:color w:val="auto"/>
                      <w:szCs w:val="21"/>
                    </w:rPr>
                    <w:t>5</w:t>
                  </w:r>
                </w:p>
              </w:tc>
              <w:tc>
                <w:tcPr>
                  <w:tcW w:w="888" w:type="pct"/>
                  <w:gridSpan w:val="2"/>
                  <w:vAlign w:val="center"/>
                </w:tcPr>
                <w:p w14:paraId="55F9280A">
                  <w:pPr>
                    <w:spacing w:line="200" w:lineRule="atLeast"/>
                    <w:jc w:val="center"/>
                    <w:rPr>
                      <w:color w:val="auto"/>
                      <w:szCs w:val="21"/>
                    </w:rPr>
                  </w:pPr>
                  <w:r>
                    <w:rPr>
                      <w:rFonts w:hint="eastAsia"/>
                      <w:color w:val="auto"/>
                      <w:szCs w:val="21"/>
                    </w:rPr>
                    <w:t>废漆渣</w:t>
                  </w:r>
                </w:p>
              </w:tc>
              <w:tc>
                <w:tcPr>
                  <w:tcW w:w="663" w:type="pct"/>
                  <w:vAlign w:val="center"/>
                </w:tcPr>
                <w:p w14:paraId="64EADC91">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6961C0F8">
                  <w:pPr>
                    <w:pStyle w:val="477"/>
                    <w:spacing w:after="0"/>
                    <w:rPr>
                      <w:rFonts w:hint="eastAsia" w:eastAsia="宋体"/>
                      <w:color w:val="auto"/>
                      <w:szCs w:val="21"/>
                      <w:lang w:eastAsia="zh-CN"/>
                    </w:rPr>
                  </w:pPr>
                  <w:r>
                    <w:rPr>
                      <w:rFonts w:hint="eastAsia"/>
                      <w:color w:val="auto"/>
                      <w:szCs w:val="21"/>
                      <w:lang w:eastAsia="zh-CN"/>
                    </w:rPr>
                    <w:t>0.2941</w:t>
                  </w:r>
                </w:p>
              </w:tc>
              <w:tc>
                <w:tcPr>
                  <w:tcW w:w="902" w:type="pct"/>
                  <w:vAlign w:val="center"/>
                </w:tcPr>
                <w:p w14:paraId="15DD3245">
                  <w:pPr>
                    <w:adjustRightInd w:val="0"/>
                    <w:snapToGrid w:val="0"/>
                    <w:jc w:val="center"/>
                    <w:rPr>
                      <w:color w:val="auto"/>
                      <w:szCs w:val="21"/>
                    </w:rPr>
                  </w:pPr>
                  <w:r>
                    <w:rPr>
                      <w:rFonts w:hint="eastAsia"/>
                      <w:color w:val="auto"/>
                      <w:szCs w:val="21"/>
                    </w:rPr>
                    <w:t>50</w:t>
                  </w:r>
                </w:p>
              </w:tc>
              <w:tc>
                <w:tcPr>
                  <w:tcW w:w="1275" w:type="pct"/>
                  <w:vAlign w:val="center"/>
                </w:tcPr>
                <w:p w14:paraId="4E21C568">
                  <w:pPr>
                    <w:spacing w:line="200" w:lineRule="atLeast"/>
                    <w:jc w:val="center"/>
                    <w:rPr>
                      <w:rFonts w:hint="default" w:eastAsia="宋体"/>
                      <w:color w:val="auto"/>
                      <w:szCs w:val="21"/>
                      <w:lang w:val="en-US" w:eastAsia="zh-CN"/>
                    </w:rPr>
                  </w:pPr>
                  <w:r>
                    <w:rPr>
                      <w:rFonts w:hint="eastAsia"/>
                      <w:color w:val="auto"/>
                      <w:szCs w:val="21"/>
                    </w:rPr>
                    <w:t>0.005</w:t>
                  </w:r>
                  <w:r>
                    <w:rPr>
                      <w:rFonts w:hint="eastAsia"/>
                      <w:color w:val="auto"/>
                      <w:szCs w:val="21"/>
                      <w:lang w:val="en-US" w:eastAsia="zh-CN"/>
                    </w:rPr>
                    <w:t>882</w:t>
                  </w:r>
                </w:p>
              </w:tc>
            </w:tr>
            <w:tr w14:paraId="7E197D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24D77590">
                  <w:pPr>
                    <w:adjustRightInd w:val="0"/>
                    <w:snapToGrid w:val="0"/>
                    <w:jc w:val="center"/>
                    <w:rPr>
                      <w:color w:val="auto"/>
                      <w:szCs w:val="21"/>
                    </w:rPr>
                  </w:pPr>
                  <w:r>
                    <w:rPr>
                      <w:rFonts w:hint="eastAsia"/>
                      <w:color w:val="auto"/>
                      <w:szCs w:val="21"/>
                    </w:rPr>
                    <w:t>6</w:t>
                  </w:r>
                </w:p>
              </w:tc>
              <w:tc>
                <w:tcPr>
                  <w:tcW w:w="888" w:type="pct"/>
                  <w:gridSpan w:val="2"/>
                  <w:vAlign w:val="center"/>
                </w:tcPr>
                <w:p w14:paraId="4C65180B">
                  <w:pPr>
                    <w:spacing w:line="200" w:lineRule="atLeast"/>
                    <w:jc w:val="center"/>
                    <w:rPr>
                      <w:color w:val="auto"/>
                      <w:szCs w:val="21"/>
                    </w:rPr>
                  </w:pPr>
                  <w:r>
                    <w:rPr>
                      <w:rFonts w:hint="eastAsia"/>
                      <w:color w:val="auto"/>
                      <w:szCs w:val="21"/>
                    </w:rPr>
                    <w:t>废切削液</w:t>
                  </w:r>
                </w:p>
              </w:tc>
              <w:tc>
                <w:tcPr>
                  <w:tcW w:w="663" w:type="pct"/>
                  <w:vAlign w:val="center"/>
                </w:tcPr>
                <w:p w14:paraId="42BBEEB3">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611BAA7">
                  <w:pPr>
                    <w:pStyle w:val="477"/>
                    <w:spacing w:after="0"/>
                    <w:rPr>
                      <w:color w:val="auto"/>
                      <w:szCs w:val="21"/>
                    </w:rPr>
                  </w:pPr>
                  <w:r>
                    <w:rPr>
                      <w:rFonts w:hint="eastAsia"/>
                      <w:color w:val="auto"/>
                      <w:szCs w:val="21"/>
                    </w:rPr>
                    <w:t>0.054</w:t>
                  </w:r>
                </w:p>
              </w:tc>
              <w:tc>
                <w:tcPr>
                  <w:tcW w:w="902" w:type="pct"/>
                  <w:vAlign w:val="center"/>
                </w:tcPr>
                <w:p w14:paraId="1DC5701A">
                  <w:pPr>
                    <w:adjustRightInd w:val="0"/>
                    <w:snapToGrid w:val="0"/>
                    <w:jc w:val="center"/>
                    <w:rPr>
                      <w:color w:val="auto"/>
                      <w:szCs w:val="21"/>
                    </w:rPr>
                  </w:pPr>
                  <w:r>
                    <w:rPr>
                      <w:rFonts w:hint="eastAsia"/>
                      <w:color w:val="auto"/>
                      <w:szCs w:val="21"/>
                    </w:rPr>
                    <w:t>50</w:t>
                  </w:r>
                </w:p>
              </w:tc>
              <w:tc>
                <w:tcPr>
                  <w:tcW w:w="1275" w:type="pct"/>
                  <w:vAlign w:val="center"/>
                </w:tcPr>
                <w:p w14:paraId="52C7D9BF">
                  <w:pPr>
                    <w:spacing w:line="200" w:lineRule="atLeast"/>
                    <w:jc w:val="center"/>
                    <w:rPr>
                      <w:color w:val="auto"/>
                      <w:szCs w:val="21"/>
                    </w:rPr>
                  </w:pPr>
                  <w:r>
                    <w:rPr>
                      <w:rFonts w:hint="eastAsia"/>
                      <w:color w:val="auto"/>
                      <w:szCs w:val="21"/>
                    </w:rPr>
                    <w:t>0.00108</w:t>
                  </w:r>
                </w:p>
              </w:tc>
            </w:tr>
            <w:tr w14:paraId="62659D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76B298B2">
                  <w:pPr>
                    <w:adjustRightInd w:val="0"/>
                    <w:snapToGrid w:val="0"/>
                    <w:jc w:val="center"/>
                    <w:rPr>
                      <w:color w:val="auto"/>
                      <w:szCs w:val="21"/>
                    </w:rPr>
                  </w:pPr>
                  <w:r>
                    <w:rPr>
                      <w:rFonts w:hint="eastAsia"/>
                      <w:color w:val="auto"/>
                      <w:szCs w:val="21"/>
                    </w:rPr>
                    <w:t>7</w:t>
                  </w:r>
                </w:p>
              </w:tc>
              <w:tc>
                <w:tcPr>
                  <w:tcW w:w="888" w:type="pct"/>
                  <w:gridSpan w:val="2"/>
                  <w:vAlign w:val="center"/>
                </w:tcPr>
                <w:p w14:paraId="1359CE20">
                  <w:pPr>
                    <w:spacing w:line="200" w:lineRule="atLeast"/>
                    <w:jc w:val="center"/>
                    <w:rPr>
                      <w:color w:val="auto"/>
                      <w:szCs w:val="21"/>
                    </w:rPr>
                  </w:pPr>
                  <w:r>
                    <w:rPr>
                      <w:rFonts w:hint="eastAsia"/>
                      <w:color w:val="auto"/>
                      <w:szCs w:val="21"/>
                    </w:rPr>
                    <w:t>喷涂渣</w:t>
                  </w:r>
                </w:p>
              </w:tc>
              <w:tc>
                <w:tcPr>
                  <w:tcW w:w="663" w:type="pct"/>
                  <w:vAlign w:val="center"/>
                </w:tcPr>
                <w:p w14:paraId="4C951C81">
                  <w:pPr>
                    <w:adjustRightInd w:val="0"/>
                    <w:snapToGrid w:val="0"/>
                    <w:jc w:val="center"/>
                    <w:rPr>
                      <w:color w:val="auto"/>
                      <w:szCs w:val="21"/>
                    </w:rPr>
                  </w:pPr>
                  <w:r>
                    <w:rPr>
                      <w:bCs/>
                      <w:color w:val="auto"/>
                      <w:szCs w:val="21"/>
                    </w:rPr>
                    <w:t>/</w:t>
                  </w:r>
                </w:p>
              </w:tc>
              <w:tc>
                <w:tcPr>
                  <w:tcW w:w="968" w:type="pct"/>
                  <w:shd w:val="clear" w:color="auto" w:fill="auto"/>
                  <w:vAlign w:val="center"/>
                </w:tcPr>
                <w:p w14:paraId="3F4A5110">
                  <w:pPr>
                    <w:pStyle w:val="477"/>
                    <w:spacing w:after="0"/>
                    <w:rPr>
                      <w:color w:val="auto"/>
                      <w:szCs w:val="21"/>
                    </w:rPr>
                  </w:pPr>
                  <w:r>
                    <w:rPr>
                      <w:rFonts w:hint="eastAsia"/>
                      <w:color w:val="auto"/>
                      <w:szCs w:val="21"/>
                    </w:rPr>
                    <w:t>0.037</w:t>
                  </w:r>
                </w:p>
              </w:tc>
              <w:tc>
                <w:tcPr>
                  <w:tcW w:w="902" w:type="pct"/>
                  <w:vAlign w:val="center"/>
                </w:tcPr>
                <w:p w14:paraId="4410F002">
                  <w:pPr>
                    <w:adjustRightInd w:val="0"/>
                    <w:snapToGrid w:val="0"/>
                    <w:jc w:val="center"/>
                    <w:rPr>
                      <w:color w:val="auto"/>
                      <w:szCs w:val="21"/>
                    </w:rPr>
                  </w:pPr>
                  <w:r>
                    <w:rPr>
                      <w:bCs/>
                      <w:color w:val="auto"/>
                      <w:szCs w:val="21"/>
                    </w:rPr>
                    <w:t>50</w:t>
                  </w:r>
                </w:p>
              </w:tc>
              <w:tc>
                <w:tcPr>
                  <w:tcW w:w="1275" w:type="pct"/>
                  <w:vAlign w:val="center"/>
                </w:tcPr>
                <w:p w14:paraId="3615D6FF">
                  <w:pPr>
                    <w:spacing w:line="200" w:lineRule="atLeast"/>
                    <w:jc w:val="center"/>
                    <w:rPr>
                      <w:color w:val="auto"/>
                      <w:szCs w:val="21"/>
                    </w:rPr>
                  </w:pPr>
                  <w:r>
                    <w:rPr>
                      <w:rFonts w:hint="eastAsia"/>
                      <w:color w:val="auto"/>
                      <w:szCs w:val="21"/>
                    </w:rPr>
                    <w:t>0.00074</w:t>
                  </w:r>
                </w:p>
              </w:tc>
            </w:tr>
            <w:tr w14:paraId="30596A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72651B94">
                  <w:pPr>
                    <w:adjustRightInd w:val="0"/>
                    <w:snapToGrid w:val="0"/>
                    <w:jc w:val="center"/>
                    <w:rPr>
                      <w:color w:val="auto"/>
                      <w:szCs w:val="21"/>
                    </w:rPr>
                  </w:pPr>
                  <w:r>
                    <w:rPr>
                      <w:rFonts w:hint="eastAsia"/>
                      <w:color w:val="auto"/>
                      <w:szCs w:val="21"/>
                    </w:rPr>
                    <w:t>8</w:t>
                  </w:r>
                </w:p>
              </w:tc>
              <w:tc>
                <w:tcPr>
                  <w:tcW w:w="888" w:type="pct"/>
                  <w:gridSpan w:val="2"/>
                  <w:vAlign w:val="center"/>
                </w:tcPr>
                <w:p w14:paraId="6D388E88">
                  <w:pPr>
                    <w:spacing w:line="200" w:lineRule="atLeast"/>
                    <w:jc w:val="center"/>
                    <w:rPr>
                      <w:color w:val="auto"/>
                      <w:szCs w:val="21"/>
                    </w:rPr>
                  </w:pPr>
                  <w:r>
                    <w:rPr>
                      <w:rFonts w:hint="eastAsia"/>
                      <w:color w:val="auto"/>
                      <w:szCs w:val="21"/>
                    </w:rPr>
                    <w:t>废抹布</w:t>
                  </w:r>
                </w:p>
              </w:tc>
              <w:tc>
                <w:tcPr>
                  <w:tcW w:w="663" w:type="pct"/>
                  <w:vAlign w:val="center"/>
                </w:tcPr>
                <w:p w14:paraId="50E818CA">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C22D44F">
                  <w:pPr>
                    <w:pStyle w:val="477"/>
                    <w:spacing w:after="0"/>
                    <w:rPr>
                      <w:color w:val="auto"/>
                      <w:szCs w:val="21"/>
                    </w:rPr>
                  </w:pPr>
                  <w:r>
                    <w:rPr>
                      <w:rFonts w:hint="eastAsia"/>
                      <w:color w:val="auto"/>
                      <w:szCs w:val="21"/>
                    </w:rPr>
                    <w:t>0.2</w:t>
                  </w:r>
                </w:p>
              </w:tc>
              <w:tc>
                <w:tcPr>
                  <w:tcW w:w="902" w:type="pct"/>
                  <w:vAlign w:val="center"/>
                </w:tcPr>
                <w:p w14:paraId="455EEB62">
                  <w:pPr>
                    <w:adjustRightInd w:val="0"/>
                    <w:snapToGrid w:val="0"/>
                    <w:jc w:val="center"/>
                    <w:rPr>
                      <w:color w:val="auto"/>
                      <w:szCs w:val="21"/>
                    </w:rPr>
                  </w:pPr>
                  <w:r>
                    <w:rPr>
                      <w:rFonts w:hint="eastAsia"/>
                      <w:color w:val="auto"/>
                      <w:szCs w:val="21"/>
                    </w:rPr>
                    <w:t>50</w:t>
                  </w:r>
                </w:p>
              </w:tc>
              <w:tc>
                <w:tcPr>
                  <w:tcW w:w="1275" w:type="pct"/>
                  <w:vAlign w:val="center"/>
                </w:tcPr>
                <w:p w14:paraId="55E0AC4E">
                  <w:pPr>
                    <w:spacing w:line="200" w:lineRule="atLeast"/>
                    <w:jc w:val="center"/>
                    <w:rPr>
                      <w:color w:val="auto"/>
                      <w:szCs w:val="21"/>
                    </w:rPr>
                  </w:pPr>
                  <w:r>
                    <w:rPr>
                      <w:rFonts w:hint="eastAsia"/>
                      <w:color w:val="auto"/>
                      <w:szCs w:val="21"/>
                    </w:rPr>
                    <w:t>0.004</w:t>
                  </w:r>
                </w:p>
              </w:tc>
            </w:tr>
            <w:tr w14:paraId="1799FC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7FECAC6F">
                  <w:pPr>
                    <w:adjustRightInd w:val="0"/>
                    <w:snapToGrid w:val="0"/>
                    <w:jc w:val="center"/>
                    <w:rPr>
                      <w:color w:val="auto"/>
                      <w:szCs w:val="21"/>
                    </w:rPr>
                  </w:pPr>
                  <w:r>
                    <w:rPr>
                      <w:rFonts w:hint="eastAsia"/>
                      <w:color w:val="auto"/>
                      <w:szCs w:val="21"/>
                    </w:rPr>
                    <w:t>9</w:t>
                  </w:r>
                </w:p>
              </w:tc>
              <w:tc>
                <w:tcPr>
                  <w:tcW w:w="888" w:type="pct"/>
                  <w:gridSpan w:val="2"/>
                  <w:vAlign w:val="center"/>
                </w:tcPr>
                <w:p w14:paraId="5C8C9E68">
                  <w:pPr>
                    <w:spacing w:line="200" w:lineRule="atLeast"/>
                    <w:jc w:val="center"/>
                    <w:rPr>
                      <w:color w:val="auto"/>
                      <w:szCs w:val="21"/>
                    </w:rPr>
                  </w:pPr>
                  <w:r>
                    <w:rPr>
                      <w:rFonts w:hint="eastAsia"/>
                      <w:color w:val="auto"/>
                      <w:szCs w:val="21"/>
                    </w:rPr>
                    <w:t>废油墨</w:t>
                  </w:r>
                </w:p>
              </w:tc>
              <w:tc>
                <w:tcPr>
                  <w:tcW w:w="663" w:type="pct"/>
                  <w:vAlign w:val="center"/>
                </w:tcPr>
                <w:p w14:paraId="0CFBD7BE">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6A0ADDD">
                  <w:pPr>
                    <w:pStyle w:val="477"/>
                    <w:spacing w:after="0"/>
                    <w:rPr>
                      <w:color w:val="auto"/>
                      <w:szCs w:val="21"/>
                    </w:rPr>
                  </w:pPr>
                  <w:r>
                    <w:rPr>
                      <w:rFonts w:hint="eastAsia"/>
                      <w:color w:val="auto"/>
                      <w:szCs w:val="21"/>
                    </w:rPr>
                    <w:t>0.00025</w:t>
                  </w:r>
                </w:p>
              </w:tc>
              <w:tc>
                <w:tcPr>
                  <w:tcW w:w="902" w:type="pct"/>
                  <w:vAlign w:val="center"/>
                </w:tcPr>
                <w:p w14:paraId="09B7860E">
                  <w:pPr>
                    <w:adjustRightInd w:val="0"/>
                    <w:snapToGrid w:val="0"/>
                    <w:jc w:val="center"/>
                    <w:rPr>
                      <w:color w:val="auto"/>
                      <w:szCs w:val="21"/>
                    </w:rPr>
                  </w:pPr>
                  <w:r>
                    <w:rPr>
                      <w:rFonts w:hint="eastAsia"/>
                      <w:color w:val="auto"/>
                      <w:szCs w:val="21"/>
                    </w:rPr>
                    <w:t>50</w:t>
                  </w:r>
                </w:p>
              </w:tc>
              <w:tc>
                <w:tcPr>
                  <w:tcW w:w="1275" w:type="pct"/>
                  <w:vAlign w:val="center"/>
                </w:tcPr>
                <w:p w14:paraId="25E71B89">
                  <w:pPr>
                    <w:spacing w:line="200" w:lineRule="atLeast"/>
                    <w:jc w:val="center"/>
                    <w:rPr>
                      <w:color w:val="auto"/>
                      <w:szCs w:val="21"/>
                    </w:rPr>
                  </w:pPr>
                  <w:r>
                    <w:rPr>
                      <w:rFonts w:hint="eastAsia"/>
                      <w:color w:val="auto"/>
                      <w:szCs w:val="21"/>
                    </w:rPr>
                    <w:t>0.000005</w:t>
                  </w:r>
                </w:p>
              </w:tc>
            </w:tr>
            <w:tr w14:paraId="219104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2DF563AE">
                  <w:pPr>
                    <w:adjustRightInd w:val="0"/>
                    <w:snapToGrid w:val="0"/>
                    <w:jc w:val="center"/>
                    <w:rPr>
                      <w:color w:val="auto"/>
                      <w:szCs w:val="21"/>
                    </w:rPr>
                  </w:pPr>
                  <w:r>
                    <w:rPr>
                      <w:rFonts w:hint="eastAsia"/>
                      <w:color w:val="auto"/>
                      <w:szCs w:val="21"/>
                    </w:rPr>
                    <w:t>10</w:t>
                  </w:r>
                </w:p>
              </w:tc>
              <w:tc>
                <w:tcPr>
                  <w:tcW w:w="888" w:type="pct"/>
                  <w:gridSpan w:val="2"/>
                  <w:vAlign w:val="center"/>
                </w:tcPr>
                <w:p w14:paraId="33135A13">
                  <w:pPr>
                    <w:spacing w:line="200" w:lineRule="atLeast"/>
                    <w:jc w:val="center"/>
                    <w:rPr>
                      <w:color w:val="auto"/>
                      <w:szCs w:val="21"/>
                    </w:rPr>
                  </w:pPr>
                  <w:r>
                    <w:rPr>
                      <w:rFonts w:hint="eastAsia"/>
                      <w:color w:val="auto"/>
                      <w:szCs w:val="21"/>
                    </w:rPr>
                    <w:t>废油墨桶</w:t>
                  </w:r>
                </w:p>
              </w:tc>
              <w:tc>
                <w:tcPr>
                  <w:tcW w:w="663" w:type="pct"/>
                  <w:vAlign w:val="center"/>
                </w:tcPr>
                <w:p w14:paraId="6E64D3CD">
                  <w:pPr>
                    <w:adjustRightInd w:val="0"/>
                    <w:snapToGrid w:val="0"/>
                    <w:jc w:val="center"/>
                    <w:rPr>
                      <w:color w:val="auto"/>
                      <w:szCs w:val="21"/>
                    </w:rPr>
                  </w:pPr>
                  <w:r>
                    <w:rPr>
                      <w:bCs/>
                      <w:color w:val="auto"/>
                      <w:szCs w:val="21"/>
                    </w:rPr>
                    <w:t>/</w:t>
                  </w:r>
                </w:p>
              </w:tc>
              <w:tc>
                <w:tcPr>
                  <w:tcW w:w="968" w:type="pct"/>
                  <w:shd w:val="clear" w:color="auto" w:fill="auto"/>
                  <w:vAlign w:val="center"/>
                </w:tcPr>
                <w:p w14:paraId="6E103D46">
                  <w:pPr>
                    <w:pStyle w:val="477"/>
                    <w:spacing w:after="0"/>
                    <w:rPr>
                      <w:color w:val="auto"/>
                      <w:szCs w:val="21"/>
                    </w:rPr>
                  </w:pPr>
                  <w:r>
                    <w:rPr>
                      <w:rFonts w:hint="eastAsia"/>
                      <w:color w:val="auto"/>
                      <w:szCs w:val="21"/>
                    </w:rPr>
                    <w:t>0.0025</w:t>
                  </w:r>
                </w:p>
              </w:tc>
              <w:tc>
                <w:tcPr>
                  <w:tcW w:w="902" w:type="pct"/>
                  <w:vAlign w:val="center"/>
                </w:tcPr>
                <w:p w14:paraId="06DF9AE2">
                  <w:pPr>
                    <w:adjustRightInd w:val="0"/>
                    <w:snapToGrid w:val="0"/>
                    <w:jc w:val="center"/>
                    <w:rPr>
                      <w:color w:val="auto"/>
                      <w:szCs w:val="21"/>
                    </w:rPr>
                  </w:pPr>
                  <w:r>
                    <w:rPr>
                      <w:bCs/>
                      <w:color w:val="auto"/>
                      <w:szCs w:val="21"/>
                    </w:rPr>
                    <w:t>50</w:t>
                  </w:r>
                </w:p>
              </w:tc>
              <w:tc>
                <w:tcPr>
                  <w:tcW w:w="1275" w:type="pct"/>
                  <w:vAlign w:val="center"/>
                </w:tcPr>
                <w:p w14:paraId="5F232923">
                  <w:pPr>
                    <w:spacing w:line="200" w:lineRule="atLeast"/>
                    <w:jc w:val="center"/>
                    <w:rPr>
                      <w:color w:val="auto"/>
                      <w:szCs w:val="21"/>
                    </w:rPr>
                  </w:pPr>
                  <w:r>
                    <w:rPr>
                      <w:rFonts w:hint="eastAsia"/>
                      <w:color w:val="auto"/>
                      <w:szCs w:val="21"/>
                    </w:rPr>
                    <w:t>0.00005</w:t>
                  </w:r>
                </w:p>
              </w:tc>
            </w:tr>
            <w:tr w14:paraId="1B84B9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6A525658">
                  <w:pPr>
                    <w:adjustRightInd w:val="0"/>
                    <w:snapToGrid w:val="0"/>
                    <w:jc w:val="center"/>
                    <w:rPr>
                      <w:color w:val="auto"/>
                      <w:szCs w:val="21"/>
                    </w:rPr>
                  </w:pPr>
                  <w:r>
                    <w:rPr>
                      <w:rFonts w:hint="eastAsia"/>
                      <w:color w:val="auto"/>
                      <w:szCs w:val="21"/>
                    </w:rPr>
                    <w:t>11</w:t>
                  </w:r>
                </w:p>
              </w:tc>
              <w:tc>
                <w:tcPr>
                  <w:tcW w:w="888" w:type="pct"/>
                  <w:gridSpan w:val="2"/>
                  <w:vAlign w:val="center"/>
                </w:tcPr>
                <w:p w14:paraId="3E50BC77">
                  <w:pPr>
                    <w:spacing w:line="200" w:lineRule="atLeast"/>
                    <w:jc w:val="center"/>
                    <w:rPr>
                      <w:color w:val="auto"/>
                      <w:szCs w:val="21"/>
                    </w:rPr>
                  </w:pPr>
                  <w:r>
                    <w:rPr>
                      <w:rFonts w:hint="eastAsia"/>
                      <w:color w:val="auto"/>
                      <w:szCs w:val="21"/>
                    </w:rPr>
                    <w:t>废洗网水</w:t>
                  </w:r>
                </w:p>
              </w:tc>
              <w:tc>
                <w:tcPr>
                  <w:tcW w:w="663" w:type="pct"/>
                  <w:vAlign w:val="center"/>
                </w:tcPr>
                <w:p w14:paraId="1A1E29B9">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5D956804">
                  <w:pPr>
                    <w:pStyle w:val="477"/>
                    <w:spacing w:after="0"/>
                    <w:rPr>
                      <w:color w:val="auto"/>
                      <w:szCs w:val="21"/>
                    </w:rPr>
                  </w:pPr>
                  <w:r>
                    <w:rPr>
                      <w:rFonts w:hint="eastAsia"/>
                      <w:color w:val="auto"/>
                      <w:szCs w:val="21"/>
                    </w:rPr>
                    <w:t>0.34</w:t>
                  </w:r>
                </w:p>
              </w:tc>
              <w:tc>
                <w:tcPr>
                  <w:tcW w:w="902" w:type="pct"/>
                  <w:vAlign w:val="center"/>
                </w:tcPr>
                <w:p w14:paraId="289D4549">
                  <w:pPr>
                    <w:adjustRightInd w:val="0"/>
                    <w:snapToGrid w:val="0"/>
                    <w:jc w:val="center"/>
                    <w:rPr>
                      <w:color w:val="auto"/>
                      <w:szCs w:val="21"/>
                    </w:rPr>
                  </w:pPr>
                  <w:r>
                    <w:rPr>
                      <w:rFonts w:hint="eastAsia"/>
                      <w:color w:val="auto"/>
                      <w:szCs w:val="21"/>
                    </w:rPr>
                    <w:t>50</w:t>
                  </w:r>
                </w:p>
              </w:tc>
              <w:tc>
                <w:tcPr>
                  <w:tcW w:w="1275" w:type="pct"/>
                  <w:vAlign w:val="center"/>
                </w:tcPr>
                <w:p w14:paraId="35AFC37E">
                  <w:pPr>
                    <w:spacing w:line="200" w:lineRule="atLeast"/>
                    <w:jc w:val="center"/>
                    <w:rPr>
                      <w:color w:val="auto"/>
                      <w:szCs w:val="21"/>
                    </w:rPr>
                  </w:pPr>
                  <w:r>
                    <w:rPr>
                      <w:rFonts w:hint="eastAsia"/>
                      <w:color w:val="auto"/>
                      <w:szCs w:val="21"/>
                    </w:rPr>
                    <w:t>0.0068</w:t>
                  </w:r>
                </w:p>
              </w:tc>
            </w:tr>
            <w:tr w14:paraId="39E6A1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398D614A">
                  <w:pPr>
                    <w:adjustRightInd w:val="0"/>
                    <w:snapToGrid w:val="0"/>
                    <w:jc w:val="center"/>
                    <w:rPr>
                      <w:color w:val="auto"/>
                      <w:szCs w:val="21"/>
                    </w:rPr>
                  </w:pPr>
                  <w:r>
                    <w:rPr>
                      <w:rFonts w:hint="eastAsia"/>
                      <w:color w:val="auto"/>
                      <w:szCs w:val="21"/>
                    </w:rPr>
                    <w:t>12</w:t>
                  </w:r>
                </w:p>
              </w:tc>
              <w:tc>
                <w:tcPr>
                  <w:tcW w:w="888" w:type="pct"/>
                  <w:gridSpan w:val="2"/>
                  <w:vAlign w:val="center"/>
                </w:tcPr>
                <w:p w14:paraId="34410C47">
                  <w:pPr>
                    <w:spacing w:line="200" w:lineRule="atLeast"/>
                    <w:jc w:val="center"/>
                    <w:rPr>
                      <w:color w:val="auto"/>
                      <w:szCs w:val="21"/>
                    </w:rPr>
                  </w:pPr>
                  <w:r>
                    <w:rPr>
                      <w:rFonts w:hint="eastAsia"/>
                      <w:color w:val="auto"/>
                      <w:szCs w:val="21"/>
                    </w:rPr>
                    <w:t>废机油</w:t>
                  </w:r>
                </w:p>
              </w:tc>
              <w:tc>
                <w:tcPr>
                  <w:tcW w:w="663" w:type="pct"/>
                  <w:vAlign w:val="center"/>
                </w:tcPr>
                <w:p w14:paraId="4452C1B3">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4BF6132B">
                  <w:pPr>
                    <w:pStyle w:val="477"/>
                    <w:spacing w:after="0"/>
                    <w:rPr>
                      <w:color w:val="auto"/>
                      <w:szCs w:val="21"/>
                    </w:rPr>
                  </w:pPr>
                  <w:r>
                    <w:rPr>
                      <w:rFonts w:hint="eastAsia"/>
                      <w:color w:val="auto"/>
                      <w:szCs w:val="21"/>
                    </w:rPr>
                    <w:t>0.01</w:t>
                  </w:r>
                </w:p>
              </w:tc>
              <w:tc>
                <w:tcPr>
                  <w:tcW w:w="902" w:type="pct"/>
                  <w:vAlign w:val="center"/>
                </w:tcPr>
                <w:p w14:paraId="34A6B67B">
                  <w:pPr>
                    <w:adjustRightInd w:val="0"/>
                    <w:snapToGrid w:val="0"/>
                    <w:jc w:val="center"/>
                    <w:rPr>
                      <w:color w:val="auto"/>
                      <w:szCs w:val="21"/>
                    </w:rPr>
                  </w:pPr>
                  <w:r>
                    <w:rPr>
                      <w:rFonts w:hint="eastAsia"/>
                      <w:color w:val="auto"/>
                      <w:szCs w:val="21"/>
                    </w:rPr>
                    <w:t>50</w:t>
                  </w:r>
                </w:p>
              </w:tc>
              <w:tc>
                <w:tcPr>
                  <w:tcW w:w="1275" w:type="pct"/>
                  <w:vAlign w:val="center"/>
                </w:tcPr>
                <w:p w14:paraId="5DD0C4DC">
                  <w:pPr>
                    <w:spacing w:line="200" w:lineRule="atLeast"/>
                    <w:jc w:val="center"/>
                    <w:rPr>
                      <w:color w:val="auto"/>
                      <w:szCs w:val="21"/>
                    </w:rPr>
                  </w:pPr>
                  <w:r>
                    <w:rPr>
                      <w:rFonts w:hint="eastAsia"/>
                      <w:color w:val="auto"/>
                      <w:szCs w:val="21"/>
                    </w:rPr>
                    <w:t>0.0002</w:t>
                  </w:r>
                </w:p>
              </w:tc>
            </w:tr>
            <w:tr w14:paraId="5ED5F2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0733D031">
                  <w:pPr>
                    <w:adjustRightInd w:val="0"/>
                    <w:snapToGrid w:val="0"/>
                    <w:jc w:val="center"/>
                    <w:rPr>
                      <w:color w:val="auto"/>
                      <w:szCs w:val="21"/>
                    </w:rPr>
                  </w:pPr>
                  <w:r>
                    <w:rPr>
                      <w:rFonts w:hint="eastAsia"/>
                      <w:color w:val="auto"/>
                      <w:szCs w:val="21"/>
                    </w:rPr>
                    <w:t>13</w:t>
                  </w:r>
                </w:p>
              </w:tc>
              <w:tc>
                <w:tcPr>
                  <w:tcW w:w="888" w:type="pct"/>
                  <w:gridSpan w:val="2"/>
                  <w:vAlign w:val="center"/>
                </w:tcPr>
                <w:p w14:paraId="627AE312">
                  <w:pPr>
                    <w:spacing w:line="200" w:lineRule="atLeast"/>
                    <w:jc w:val="center"/>
                    <w:rPr>
                      <w:color w:val="auto"/>
                      <w:szCs w:val="21"/>
                    </w:rPr>
                  </w:pPr>
                  <w:r>
                    <w:rPr>
                      <w:rFonts w:hint="eastAsia"/>
                      <w:color w:val="auto"/>
                      <w:szCs w:val="21"/>
                    </w:rPr>
                    <w:t>废油桶</w:t>
                  </w:r>
                </w:p>
              </w:tc>
              <w:tc>
                <w:tcPr>
                  <w:tcW w:w="663" w:type="pct"/>
                  <w:vAlign w:val="center"/>
                </w:tcPr>
                <w:p w14:paraId="6227D487">
                  <w:pPr>
                    <w:adjustRightInd w:val="0"/>
                    <w:snapToGrid w:val="0"/>
                    <w:jc w:val="center"/>
                    <w:rPr>
                      <w:color w:val="auto"/>
                      <w:szCs w:val="21"/>
                    </w:rPr>
                  </w:pPr>
                  <w:r>
                    <w:rPr>
                      <w:bCs/>
                      <w:color w:val="auto"/>
                      <w:szCs w:val="21"/>
                    </w:rPr>
                    <w:t>/</w:t>
                  </w:r>
                </w:p>
              </w:tc>
              <w:tc>
                <w:tcPr>
                  <w:tcW w:w="968" w:type="pct"/>
                  <w:shd w:val="clear" w:color="auto" w:fill="auto"/>
                  <w:vAlign w:val="center"/>
                </w:tcPr>
                <w:p w14:paraId="097995EF">
                  <w:pPr>
                    <w:pStyle w:val="477"/>
                    <w:spacing w:after="0"/>
                    <w:rPr>
                      <w:color w:val="auto"/>
                      <w:szCs w:val="21"/>
                    </w:rPr>
                  </w:pPr>
                  <w:r>
                    <w:rPr>
                      <w:rFonts w:hint="eastAsia"/>
                      <w:color w:val="auto"/>
                      <w:szCs w:val="21"/>
                    </w:rPr>
                    <w:t>0.028</w:t>
                  </w:r>
                </w:p>
              </w:tc>
              <w:tc>
                <w:tcPr>
                  <w:tcW w:w="902" w:type="pct"/>
                  <w:vAlign w:val="center"/>
                </w:tcPr>
                <w:p w14:paraId="35C69115">
                  <w:pPr>
                    <w:adjustRightInd w:val="0"/>
                    <w:snapToGrid w:val="0"/>
                    <w:jc w:val="center"/>
                    <w:rPr>
                      <w:color w:val="auto"/>
                      <w:szCs w:val="21"/>
                    </w:rPr>
                  </w:pPr>
                  <w:r>
                    <w:rPr>
                      <w:bCs/>
                      <w:color w:val="auto"/>
                      <w:szCs w:val="21"/>
                    </w:rPr>
                    <w:t>50</w:t>
                  </w:r>
                </w:p>
              </w:tc>
              <w:tc>
                <w:tcPr>
                  <w:tcW w:w="1275" w:type="pct"/>
                  <w:vAlign w:val="center"/>
                </w:tcPr>
                <w:p w14:paraId="34454A39">
                  <w:pPr>
                    <w:spacing w:line="200" w:lineRule="atLeast"/>
                    <w:jc w:val="center"/>
                    <w:rPr>
                      <w:color w:val="auto"/>
                      <w:szCs w:val="21"/>
                    </w:rPr>
                  </w:pPr>
                  <w:r>
                    <w:rPr>
                      <w:rFonts w:hint="eastAsia"/>
                      <w:color w:val="auto"/>
                      <w:szCs w:val="21"/>
                    </w:rPr>
                    <w:t>0.00056</w:t>
                  </w:r>
                </w:p>
              </w:tc>
            </w:tr>
            <w:tr w14:paraId="503D96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45312B12">
                  <w:pPr>
                    <w:adjustRightInd w:val="0"/>
                    <w:snapToGrid w:val="0"/>
                    <w:jc w:val="center"/>
                    <w:rPr>
                      <w:color w:val="auto"/>
                      <w:szCs w:val="21"/>
                    </w:rPr>
                  </w:pPr>
                  <w:r>
                    <w:rPr>
                      <w:rFonts w:hint="eastAsia"/>
                      <w:color w:val="auto"/>
                      <w:szCs w:val="21"/>
                    </w:rPr>
                    <w:t>14</w:t>
                  </w:r>
                </w:p>
              </w:tc>
              <w:tc>
                <w:tcPr>
                  <w:tcW w:w="888" w:type="pct"/>
                  <w:gridSpan w:val="2"/>
                  <w:vAlign w:val="center"/>
                </w:tcPr>
                <w:p w14:paraId="456029A3">
                  <w:pPr>
                    <w:spacing w:line="200" w:lineRule="atLeast"/>
                    <w:jc w:val="center"/>
                    <w:rPr>
                      <w:color w:val="auto"/>
                      <w:szCs w:val="21"/>
                    </w:rPr>
                  </w:pPr>
                  <w:r>
                    <w:rPr>
                      <w:rFonts w:hint="eastAsia"/>
                      <w:color w:val="auto"/>
                      <w:szCs w:val="21"/>
                    </w:rPr>
                    <w:t>废过滤棉</w:t>
                  </w:r>
                </w:p>
              </w:tc>
              <w:tc>
                <w:tcPr>
                  <w:tcW w:w="663" w:type="pct"/>
                  <w:vAlign w:val="center"/>
                </w:tcPr>
                <w:p w14:paraId="0283D3BF">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2070539E">
                  <w:pPr>
                    <w:pStyle w:val="477"/>
                    <w:spacing w:after="0"/>
                    <w:rPr>
                      <w:color w:val="auto"/>
                      <w:szCs w:val="21"/>
                    </w:rPr>
                  </w:pPr>
                  <w:r>
                    <w:rPr>
                      <w:rFonts w:hint="eastAsia"/>
                      <w:color w:val="auto"/>
                      <w:szCs w:val="21"/>
                    </w:rPr>
                    <w:t>2.80442</w:t>
                  </w:r>
                </w:p>
              </w:tc>
              <w:tc>
                <w:tcPr>
                  <w:tcW w:w="902" w:type="pct"/>
                  <w:vAlign w:val="center"/>
                </w:tcPr>
                <w:p w14:paraId="307C0025">
                  <w:pPr>
                    <w:adjustRightInd w:val="0"/>
                    <w:snapToGrid w:val="0"/>
                    <w:jc w:val="center"/>
                    <w:rPr>
                      <w:color w:val="auto"/>
                      <w:szCs w:val="21"/>
                    </w:rPr>
                  </w:pPr>
                  <w:r>
                    <w:rPr>
                      <w:rFonts w:hint="eastAsia"/>
                      <w:color w:val="auto"/>
                      <w:szCs w:val="21"/>
                    </w:rPr>
                    <w:t>50</w:t>
                  </w:r>
                </w:p>
              </w:tc>
              <w:tc>
                <w:tcPr>
                  <w:tcW w:w="1275" w:type="pct"/>
                  <w:vAlign w:val="center"/>
                </w:tcPr>
                <w:p w14:paraId="761862FF">
                  <w:pPr>
                    <w:spacing w:line="200" w:lineRule="atLeast"/>
                    <w:jc w:val="center"/>
                    <w:rPr>
                      <w:color w:val="auto"/>
                      <w:szCs w:val="21"/>
                    </w:rPr>
                  </w:pPr>
                  <w:r>
                    <w:rPr>
                      <w:rFonts w:hint="eastAsia"/>
                      <w:color w:val="auto"/>
                      <w:szCs w:val="21"/>
                    </w:rPr>
                    <w:t>0.0560884</w:t>
                  </w:r>
                </w:p>
              </w:tc>
            </w:tr>
            <w:tr w14:paraId="38F74A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4DEE5078">
                  <w:pPr>
                    <w:adjustRightInd w:val="0"/>
                    <w:snapToGrid w:val="0"/>
                    <w:jc w:val="center"/>
                    <w:rPr>
                      <w:color w:val="auto"/>
                      <w:szCs w:val="21"/>
                    </w:rPr>
                  </w:pPr>
                  <w:r>
                    <w:rPr>
                      <w:rFonts w:hint="eastAsia"/>
                      <w:color w:val="auto"/>
                      <w:szCs w:val="21"/>
                    </w:rPr>
                    <w:t>15</w:t>
                  </w:r>
                </w:p>
              </w:tc>
              <w:tc>
                <w:tcPr>
                  <w:tcW w:w="888" w:type="pct"/>
                  <w:gridSpan w:val="2"/>
                  <w:vAlign w:val="center"/>
                </w:tcPr>
                <w:p w14:paraId="0DE43591">
                  <w:pPr>
                    <w:spacing w:line="200" w:lineRule="atLeast"/>
                    <w:jc w:val="center"/>
                    <w:rPr>
                      <w:color w:val="auto"/>
                      <w:szCs w:val="21"/>
                    </w:rPr>
                  </w:pPr>
                  <w:r>
                    <w:rPr>
                      <w:rFonts w:hint="eastAsia"/>
                      <w:color w:val="auto"/>
                      <w:szCs w:val="21"/>
                    </w:rPr>
                    <w:t>喷枪清洗废液</w:t>
                  </w:r>
                </w:p>
              </w:tc>
              <w:tc>
                <w:tcPr>
                  <w:tcW w:w="663" w:type="pct"/>
                  <w:vAlign w:val="center"/>
                </w:tcPr>
                <w:p w14:paraId="02D1A97F">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7B13B2EA">
                  <w:pPr>
                    <w:pStyle w:val="477"/>
                    <w:spacing w:after="0"/>
                    <w:rPr>
                      <w:color w:val="auto"/>
                      <w:szCs w:val="21"/>
                    </w:rPr>
                  </w:pPr>
                  <w:r>
                    <w:rPr>
                      <w:rFonts w:hint="eastAsia"/>
                      <w:color w:val="auto"/>
                      <w:szCs w:val="21"/>
                    </w:rPr>
                    <w:t>2.4</w:t>
                  </w:r>
                </w:p>
              </w:tc>
              <w:tc>
                <w:tcPr>
                  <w:tcW w:w="902" w:type="pct"/>
                  <w:vAlign w:val="center"/>
                </w:tcPr>
                <w:p w14:paraId="26E9E425">
                  <w:pPr>
                    <w:adjustRightInd w:val="0"/>
                    <w:snapToGrid w:val="0"/>
                    <w:jc w:val="center"/>
                    <w:rPr>
                      <w:color w:val="auto"/>
                      <w:szCs w:val="21"/>
                    </w:rPr>
                  </w:pPr>
                  <w:r>
                    <w:rPr>
                      <w:rFonts w:hint="eastAsia"/>
                      <w:color w:val="auto"/>
                      <w:szCs w:val="21"/>
                    </w:rPr>
                    <w:t>50</w:t>
                  </w:r>
                </w:p>
              </w:tc>
              <w:tc>
                <w:tcPr>
                  <w:tcW w:w="1275" w:type="pct"/>
                  <w:vAlign w:val="center"/>
                </w:tcPr>
                <w:p w14:paraId="74FD112B">
                  <w:pPr>
                    <w:spacing w:line="200" w:lineRule="atLeast"/>
                    <w:jc w:val="center"/>
                    <w:rPr>
                      <w:color w:val="auto"/>
                      <w:szCs w:val="21"/>
                    </w:rPr>
                  </w:pPr>
                  <w:r>
                    <w:rPr>
                      <w:rFonts w:hint="eastAsia"/>
                      <w:color w:val="auto"/>
                      <w:szCs w:val="21"/>
                    </w:rPr>
                    <w:t>0.048</w:t>
                  </w:r>
                </w:p>
              </w:tc>
            </w:tr>
            <w:tr w14:paraId="5C306C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3E891AA1">
                  <w:pPr>
                    <w:adjustRightInd w:val="0"/>
                    <w:snapToGrid w:val="0"/>
                    <w:jc w:val="center"/>
                    <w:rPr>
                      <w:bCs/>
                      <w:color w:val="auto"/>
                      <w:szCs w:val="21"/>
                    </w:rPr>
                  </w:pPr>
                  <w:r>
                    <w:rPr>
                      <w:rFonts w:hint="eastAsia"/>
                      <w:bCs/>
                      <w:color w:val="auto"/>
                      <w:szCs w:val="21"/>
                    </w:rPr>
                    <w:t>16</w:t>
                  </w:r>
                </w:p>
              </w:tc>
              <w:tc>
                <w:tcPr>
                  <w:tcW w:w="888" w:type="pct"/>
                  <w:gridSpan w:val="2"/>
                  <w:vAlign w:val="center"/>
                </w:tcPr>
                <w:p w14:paraId="762085EE">
                  <w:pPr>
                    <w:spacing w:line="200" w:lineRule="atLeast"/>
                    <w:jc w:val="center"/>
                    <w:rPr>
                      <w:color w:val="auto"/>
                      <w:szCs w:val="21"/>
                    </w:rPr>
                  </w:pPr>
                  <w:r>
                    <w:rPr>
                      <w:rFonts w:hint="eastAsia"/>
                      <w:color w:val="auto"/>
                      <w:szCs w:val="21"/>
                    </w:rPr>
                    <w:t>水幕帘废液</w:t>
                  </w:r>
                </w:p>
              </w:tc>
              <w:tc>
                <w:tcPr>
                  <w:tcW w:w="663" w:type="pct"/>
                  <w:vAlign w:val="center"/>
                </w:tcPr>
                <w:p w14:paraId="1DD16A83">
                  <w:pPr>
                    <w:adjustRightInd w:val="0"/>
                    <w:snapToGrid w:val="0"/>
                    <w:jc w:val="center"/>
                    <w:rPr>
                      <w:color w:val="auto"/>
                      <w:szCs w:val="21"/>
                    </w:rPr>
                  </w:pPr>
                  <w:r>
                    <w:rPr>
                      <w:bCs/>
                      <w:color w:val="auto"/>
                      <w:szCs w:val="21"/>
                    </w:rPr>
                    <w:t>/</w:t>
                  </w:r>
                </w:p>
              </w:tc>
              <w:tc>
                <w:tcPr>
                  <w:tcW w:w="968" w:type="pct"/>
                  <w:shd w:val="clear" w:color="auto" w:fill="auto"/>
                  <w:vAlign w:val="center"/>
                </w:tcPr>
                <w:p w14:paraId="58DA016E">
                  <w:pPr>
                    <w:pStyle w:val="477"/>
                    <w:spacing w:after="0"/>
                    <w:rPr>
                      <w:color w:val="auto"/>
                      <w:szCs w:val="21"/>
                    </w:rPr>
                  </w:pPr>
                  <w:r>
                    <w:rPr>
                      <w:rFonts w:hint="eastAsia"/>
                      <w:color w:val="auto"/>
                      <w:szCs w:val="21"/>
                    </w:rPr>
                    <w:t>1.8</w:t>
                  </w:r>
                </w:p>
              </w:tc>
              <w:tc>
                <w:tcPr>
                  <w:tcW w:w="902" w:type="pct"/>
                  <w:vAlign w:val="center"/>
                </w:tcPr>
                <w:p w14:paraId="3AB27C8C">
                  <w:pPr>
                    <w:adjustRightInd w:val="0"/>
                    <w:snapToGrid w:val="0"/>
                    <w:jc w:val="center"/>
                    <w:rPr>
                      <w:color w:val="auto"/>
                      <w:szCs w:val="21"/>
                    </w:rPr>
                  </w:pPr>
                  <w:r>
                    <w:rPr>
                      <w:bCs/>
                      <w:color w:val="auto"/>
                      <w:szCs w:val="21"/>
                    </w:rPr>
                    <w:t>50</w:t>
                  </w:r>
                </w:p>
              </w:tc>
              <w:tc>
                <w:tcPr>
                  <w:tcW w:w="1275" w:type="pct"/>
                  <w:vAlign w:val="center"/>
                </w:tcPr>
                <w:p w14:paraId="013EACF6">
                  <w:pPr>
                    <w:spacing w:line="200" w:lineRule="atLeast"/>
                    <w:jc w:val="center"/>
                    <w:rPr>
                      <w:color w:val="auto"/>
                      <w:szCs w:val="21"/>
                    </w:rPr>
                  </w:pPr>
                  <w:r>
                    <w:rPr>
                      <w:rFonts w:hint="eastAsia"/>
                      <w:color w:val="auto"/>
                      <w:szCs w:val="21"/>
                    </w:rPr>
                    <w:t>0.036</w:t>
                  </w:r>
                </w:p>
              </w:tc>
            </w:tr>
            <w:tr w14:paraId="300C13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71AD57F1">
                  <w:pPr>
                    <w:adjustRightInd w:val="0"/>
                    <w:snapToGrid w:val="0"/>
                    <w:jc w:val="center"/>
                    <w:rPr>
                      <w:bCs/>
                      <w:color w:val="auto"/>
                      <w:szCs w:val="21"/>
                    </w:rPr>
                  </w:pPr>
                  <w:r>
                    <w:rPr>
                      <w:rFonts w:hint="eastAsia"/>
                      <w:bCs/>
                      <w:color w:val="auto"/>
                      <w:szCs w:val="21"/>
                    </w:rPr>
                    <w:t>17</w:t>
                  </w:r>
                </w:p>
              </w:tc>
              <w:tc>
                <w:tcPr>
                  <w:tcW w:w="888" w:type="pct"/>
                  <w:gridSpan w:val="2"/>
                  <w:vAlign w:val="center"/>
                </w:tcPr>
                <w:p w14:paraId="16E21EF6">
                  <w:pPr>
                    <w:spacing w:line="200" w:lineRule="atLeast"/>
                    <w:jc w:val="center"/>
                    <w:rPr>
                      <w:color w:val="auto"/>
                      <w:szCs w:val="21"/>
                    </w:rPr>
                  </w:pPr>
                  <w:r>
                    <w:rPr>
                      <w:rFonts w:hint="eastAsia"/>
                      <w:color w:val="auto"/>
                      <w:szCs w:val="21"/>
                    </w:rPr>
                    <w:t>水性漆</w:t>
                  </w:r>
                </w:p>
              </w:tc>
              <w:tc>
                <w:tcPr>
                  <w:tcW w:w="663" w:type="pct"/>
                  <w:vAlign w:val="center"/>
                </w:tcPr>
                <w:p w14:paraId="5311DC63">
                  <w:pPr>
                    <w:adjustRightInd w:val="0"/>
                    <w:snapToGrid w:val="0"/>
                    <w:jc w:val="center"/>
                    <w:rPr>
                      <w:bCs/>
                      <w:color w:val="auto"/>
                      <w:szCs w:val="21"/>
                    </w:rPr>
                  </w:pPr>
                  <w:r>
                    <w:rPr>
                      <w:rFonts w:hint="eastAsia"/>
                      <w:bCs/>
                      <w:color w:val="auto"/>
                      <w:szCs w:val="21"/>
                    </w:rPr>
                    <w:t>/</w:t>
                  </w:r>
                </w:p>
              </w:tc>
              <w:tc>
                <w:tcPr>
                  <w:tcW w:w="968" w:type="pct"/>
                  <w:vAlign w:val="center"/>
                </w:tcPr>
                <w:p w14:paraId="69D4A83B">
                  <w:pPr>
                    <w:widowControl/>
                    <w:jc w:val="center"/>
                    <w:textAlignment w:val="center"/>
                    <w:rPr>
                      <w:color w:val="auto"/>
                      <w:kern w:val="0"/>
                      <w:szCs w:val="21"/>
                      <w:lang w:bidi="ar"/>
                    </w:rPr>
                  </w:pPr>
                  <w:r>
                    <w:rPr>
                      <w:rFonts w:hint="eastAsia"/>
                      <w:color w:val="auto"/>
                      <w:kern w:val="0"/>
                      <w:szCs w:val="21"/>
                      <w:lang w:bidi="ar"/>
                    </w:rPr>
                    <w:t>0.1</w:t>
                  </w:r>
                </w:p>
              </w:tc>
              <w:tc>
                <w:tcPr>
                  <w:tcW w:w="902" w:type="pct"/>
                  <w:vAlign w:val="center"/>
                </w:tcPr>
                <w:p w14:paraId="2216B3A6">
                  <w:pPr>
                    <w:adjustRightInd w:val="0"/>
                    <w:snapToGrid w:val="0"/>
                    <w:jc w:val="center"/>
                    <w:rPr>
                      <w:bCs/>
                      <w:color w:val="auto"/>
                      <w:szCs w:val="21"/>
                    </w:rPr>
                  </w:pPr>
                  <w:r>
                    <w:rPr>
                      <w:rFonts w:hint="eastAsia"/>
                      <w:bCs/>
                      <w:color w:val="auto"/>
                      <w:szCs w:val="21"/>
                    </w:rPr>
                    <w:t>50</w:t>
                  </w:r>
                </w:p>
              </w:tc>
              <w:tc>
                <w:tcPr>
                  <w:tcW w:w="1275" w:type="pct"/>
                  <w:vAlign w:val="center"/>
                </w:tcPr>
                <w:p w14:paraId="2AEC0C8C">
                  <w:pPr>
                    <w:spacing w:line="200" w:lineRule="atLeast"/>
                    <w:jc w:val="center"/>
                    <w:rPr>
                      <w:color w:val="auto"/>
                      <w:szCs w:val="21"/>
                    </w:rPr>
                  </w:pPr>
                  <w:r>
                    <w:rPr>
                      <w:rFonts w:hint="eastAsia"/>
                      <w:color w:val="auto"/>
                      <w:szCs w:val="21"/>
                    </w:rPr>
                    <w:t>0.002</w:t>
                  </w:r>
                </w:p>
              </w:tc>
            </w:tr>
            <w:tr w14:paraId="547157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3B2761A4">
                  <w:pPr>
                    <w:adjustRightInd w:val="0"/>
                    <w:snapToGrid w:val="0"/>
                    <w:jc w:val="center"/>
                    <w:rPr>
                      <w:bCs/>
                      <w:color w:val="auto"/>
                      <w:szCs w:val="21"/>
                    </w:rPr>
                  </w:pPr>
                  <w:r>
                    <w:rPr>
                      <w:rFonts w:hint="eastAsia"/>
                      <w:bCs/>
                      <w:color w:val="auto"/>
                      <w:szCs w:val="21"/>
                    </w:rPr>
                    <w:t>18</w:t>
                  </w:r>
                </w:p>
              </w:tc>
              <w:tc>
                <w:tcPr>
                  <w:tcW w:w="888" w:type="pct"/>
                  <w:gridSpan w:val="2"/>
                  <w:vAlign w:val="center"/>
                </w:tcPr>
                <w:p w14:paraId="77B9F1C7">
                  <w:pPr>
                    <w:spacing w:line="200" w:lineRule="atLeast"/>
                    <w:jc w:val="center"/>
                    <w:rPr>
                      <w:color w:val="auto"/>
                      <w:szCs w:val="21"/>
                    </w:rPr>
                  </w:pPr>
                  <w:r>
                    <w:rPr>
                      <w:rFonts w:hint="eastAsia"/>
                      <w:color w:val="auto"/>
                      <w:szCs w:val="21"/>
                    </w:rPr>
                    <w:t>油性漆</w:t>
                  </w:r>
                </w:p>
              </w:tc>
              <w:tc>
                <w:tcPr>
                  <w:tcW w:w="663" w:type="pct"/>
                  <w:vAlign w:val="center"/>
                </w:tcPr>
                <w:p w14:paraId="14DACC41">
                  <w:pPr>
                    <w:adjustRightInd w:val="0"/>
                    <w:snapToGrid w:val="0"/>
                    <w:jc w:val="center"/>
                    <w:rPr>
                      <w:bCs/>
                      <w:color w:val="auto"/>
                      <w:szCs w:val="21"/>
                    </w:rPr>
                  </w:pPr>
                  <w:r>
                    <w:rPr>
                      <w:rFonts w:hint="eastAsia"/>
                      <w:bCs/>
                      <w:color w:val="auto"/>
                      <w:szCs w:val="21"/>
                    </w:rPr>
                    <w:t>/</w:t>
                  </w:r>
                </w:p>
              </w:tc>
              <w:tc>
                <w:tcPr>
                  <w:tcW w:w="968" w:type="pct"/>
                  <w:vAlign w:val="center"/>
                </w:tcPr>
                <w:p w14:paraId="365338C6">
                  <w:pPr>
                    <w:widowControl/>
                    <w:jc w:val="center"/>
                    <w:textAlignment w:val="center"/>
                    <w:rPr>
                      <w:color w:val="auto"/>
                      <w:kern w:val="0"/>
                      <w:szCs w:val="21"/>
                      <w:lang w:bidi="ar"/>
                    </w:rPr>
                  </w:pPr>
                  <w:r>
                    <w:rPr>
                      <w:rFonts w:hint="eastAsia"/>
                      <w:color w:val="auto"/>
                      <w:kern w:val="0"/>
                      <w:szCs w:val="21"/>
                      <w:lang w:bidi="ar"/>
                    </w:rPr>
                    <w:t>0.6</w:t>
                  </w:r>
                </w:p>
              </w:tc>
              <w:tc>
                <w:tcPr>
                  <w:tcW w:w="902" w:type="pct"/>
                  <w:vAlign w:val="center"/>
                </w:tcPr>
                <w:p w14:paraId="4FE2A505">
                  <w:pPr>
                    <w:adjustRightInd w:val="0"/>
                    <w:snapToGrid w:val="0"/>
                    <w:jc w:val="center"/>
                    <w:rPr>
                      <w:bCs/>
                      <w:color w:val="auto"/>
                      <w:szCs w:val="21"/>
                    </w:rPr>
                  </w:pPr>
                  <w:r>
                    <w:rPr>
                      <w:rFonts w:hint="eastAsia"/>
                      <w:bCs/>
                      <w:color w:val="auto"/>
                      <w:szCs w:val="21"/>
                    </w:rPr>
                    <w:t>50</w:t>
                  </w:r>
                </w:p>
              </w:tc>
              <w:tc>
                <w:tcPr>
                  <w:tcW w:w="1275" w:type="pct"/>
                  <w:vAlign w:val="center"/>
                </w:tcPr>
                <w:p w14:paraId="1C2D8DB6">
                  <w:pPr>
                    <w:spacing w:line="200" w:lineRule="atLeast"/>
                    <w:jc w:val="center"/>
                    <w:rPr>
                      <w:color w:val="auto"/>
                      <w:szCs w:val="21"/>
                    </w:rPr>
                  </w:pPr>
                  <w:r>
                    <w:rPr>
                      <w:rFonts w:hint="eastAsia"/>
                      <w:color w:val="auto"/>
                      <w:szCs w:val="21"/>
                    </w:rPr>
                    <w:t>0.012</w:t>
                  </w:r>
                </w:p>
              </w:tc>
            </w:tr>
            <w:tr w14:paraId="691BB2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47F47769">
                  <w:pPr>
                    <w:adjustRightInd w:val="0"/>
                    <w:snapToGrid w:val="0"/>
                    <w:jc w:val="center"/>
                    <w:rPr>
                      <w:bCs/>
                      <w:color w:val="auto"/>
                      <w:szCs w:val="21"/>
                    </w:rPr>
                  </w:pPr>
                  <w:r>
                    <w:rPr>
                      <w:rFonts w:hint="eastAsia"/>
                      <w:bCs/>
                      <w:color w:val="auto"/>
                      <w:szCs w:val="21"/>
                    </w:rPr>
                    <w:t>19</w:t>
                  </w:r>
                </w:p>
              </w:tc>
              <w:tc>
                <w:tcPr>
                  <w:tcW w:w="888" w:type="pct"/>
                  <w:gridSpan w:val="2"/>
                  <w:vAlign w:val="center"/>
                </w:tcPr>
                <w:p w14:paraId="003DF24F">
                  <w:pPr>
                    <w:spacing w:line="200" w:lineRule="atLeast"/>
                    <w:jc w:val="center"/>
                    <w:rPr>
                      <w:color w:val="auto"/>
                      <w:szCs w:val="21"/>
                    </w:rPr>
                  </w:pPr>
                  <w:r>
                    <w:rPr>
                      <w:rFonts w:hint="eastAsia"/>
                      <w:color w:val="auto"/>
                      <w:szCs w:val="21"/>
                    </w:rPr>
                    <w:t>机油</w:t>
                  </w:r>
                </w:p>
              </w:tc>
              <w:tc>
                <w:tcPr>
                  <w:tcW w:w="663" w:type="pct"/>
                  <w:vAlign w:val="center"/>
                </w:tcPr>
                <w:p w14:paraId="7444130A">
                  <w:pPr>
                    <w:adjustRightInd w:val="0"/>
                    <w:snapToGrid w:val="0"/>
                    <w:jc w:val="center"/>
                    <w:rPr>
                      <w:bCs/>
                      <w:color w:val="auto"/>
                      <w:szCs w:val="21"/>
                    </w:rPr>
                  </w:pPr>
                  <w:r>
                    <w:rPr>
                      <w:rFonts w:hint="eastAsia"/>
                      <w:bCs/>
                      <w:color w:val="auto"/>
                      <w:szCs w:val="21"/>
                    </w:rPr>
                    <w:t>/</w:t>
                  </w:r>
                </w:p>
              </w:tc>
              <w:tc>
                <w:tcPr>
                  <w:tcW w:w="968" w:type="pct"/>
                  <w:vAlign w:val="center"/>
                </w:tcPr>
                <w:p w14:paraId="20FCF7A4">
                  <w:pPr>
                    <w:widowControl/>
                    <w:jc w:val="center"/>
                    <w:textAlignment w:val="center"/>
                    <w:rPr>
                      <w:color w:val="auto"/>
                      <w:kern w:val="0"/>
                      <w:szCs w:val="21"/>
                      <w:lang w:bidi="ar"/>
                    </w:rPr>
                  </w:pPr>
                  <w:r>
                    <w:rPr>
                      <w:rFonts w:hint="eastAsia"/>
                      <w:color w:val="auto"/>
                      <w:kern w:val="0"/>
                      <w:szCs w:val="21"/>
                      <w:lang w:bidi="ar"/>
                    </w:rPr>
                    <w:t>0.01</w:t>
                  </w:r>
                </w:p>
              </w:tc>
              <w:tc>
                <w:tcPr>
                  <w:tcW w:w="902" w:type="pct"/>
                  <w:vAlign w:val="center"/>
                </w:tcPr>
                <w:p w14:paraId="6111736D">
                  <w:pPr>
                    <w:adjustRightInd w:val="0"/>
                    <w:snapToGrid w:val="0"/>
                    <w:jc w:val="center"/>
                    <w:rPr>
                      <w:bCs/>
                      <w:color w:val="auto"/>
                      <w:szCs w:val="21"/>
                    </w:rPr>
                  </w:pPr>
                  <w:r>
                    <w:rPr>
                      <w:rFonts w:hint="eastAsia"/>
                      <w:bCs/>
                      <w:color w:val="auto"/>
                      <w:szCs w:val="21"/>
                    </w:rPr>
                    <w:t>2500</w:t>
                  </w:r>
                </w:p>
              </w:tc>
              <w:tc>
                <w:tcPr>
                  <w:tcW w:w="1275" w:type="pct"/>
                  <w:vAlign w:val="center"/>
                </w:tcPr>
                <w:p w14:paraId="4FAE5C18">
                  <w:pPr>
                    <w:spacing w:line="200" w:lineRule="atLeast"/>
                    <w:jc w:val="center"/>
                    <w:rPr>
                      <w:color w:val="auto"/>
                      <w:szCs w:val="21"/>
                    </w:rPr>
                  </w:pPr>
                  <w:r>
                    <w:rPr>
                      <w:rFonts w:hint="eastAsia"/>
                      <w:color w:val="auto"/>
                      <w:szCs w:val="21"/>
                    </w:rPr>
                    <w:t>0.000004</w:t>
                  </w:r>
                </w:p>
              </w:tc>
            </w:tr>
            <w:tr w14:paraId="684F37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5FD853B3">
                  <w:pPr>
                    <w:adjustRightInd w:val="0"/>
                    <w:snapToGrid w:val="0"/>
                    <w:jc w:val="center"/>
                    <w:rPr>
                      <w:bCs/>
                      <w:color w:val="auto"/>
                      <w:szCs w:val="21"/>
                    </w:rPr>
                  </w:pPr>
                  <w:r>
                    <w:rPr>
                      <w:rFonts w:hint="eastAsia"/>
                      <w:bCs/>
                      <w:color w:val="auto"/>
                      <w:szCs w:val="21"/>
                    </w:rPr>
                    <w:t>20</w:t>
                  </w:r>
                </w:p>
              </w:tc>
              <w:tc>
                <w:tcPr>
                  <w:tcW w:w="888" w:type="pct"/>
                  <w:gridSpan w:val="2"/>
                  <w:vAlign w:val="center"/>
                </w:tcPr>
                <w:p w14:paraId="4626EF61">
                  <w:pPr>
                    <w:spacing w:line="200" w:lineRule="atLeast"/>
                    <w:jc w:val="center"/>
                    <w:rPr>
                      <w:color w:val="auto"/>
                      <w:szCs w:val="21"/>
                    </w:rPr>
                  </w:pPr>
                  <w:r>
                    <w:rPr>
                      <w:rFonts w:hint="eastAsia"/>
                      <w:color w:val="auto"/>
                      <w:szCs w:val="21"/>
                    </w:rPr>
                    <w:t>液压油</w:t>
                  </w:r>
                </w:p>
              </w:tc>
              <w:tc>
                <w:tcPr>
                  <w:tcW w:w="663" w:type="pct"/>
                  <w:vAlign w:val="center"/>
                </w:tcPr>
                <w:p w14:paraId="0AAE4AE7">
                  <w:pPr>
                    <w:adjustRightInd w:val="0"/>
                    <w:snapToGrid w:val="0"/>
                    <w:jc w:val="center"/>
                    <w:rPr>
                      <w:bCs/>
                      <w:color w:val="auto"/>
                      <w:szCs w:val="21"/>
                    </w:rPr>
                  </w:pPr>
                  <w:r>
                    <w:rPr>
                      <w:rFonts w:hint="eastAsia"/>
                      <w:bCs/>
                      <w:color w:val="auto"/>
                      <w:szCs w:val="21"/>
                    </w:rPr>
                    <w:t>/</w:t>
                  </w:r>
                </w:p>
              </w:tc>
              <w:tc>
                <w:tcPr>
                  <w:tcW w:w="968" w:type="pct"/>
                  <w:vAlign w:val="center"/>
                </w:tcPr>
                <w:p w14:paraId="6F134562">
                  <w:pPr>
                    <w:widowControl/>
                    <w:jc w:val="center"/>
                    <w:textAlignment w:val="center"/>
                    <w:rPr>
                      <w:color w:val="auto"/>
                      <w:kern w:val="0"/>
                      <w:szCs w:val="21"/>
                      <w:lang w:bidi="ar"/>
                    </w:rPr>
                  </w:pPr>
                  <w:r>
                    <w:rPr>
                      <w:rFonts w:hint="eastAsia"/>
                      <w:color w:val="auto"/>
                      <w:kern w:val="0"/>
                      <w:szCs w:val="21"/>
                      <w:lang w:bidi="ar"/>
                    </w:rPr>
                    <w:t>0.01</w:t>
                  </w:r>
                </w:p>
              </w:tc>
              <w:tc>
                <w:tcPr>
                  <w:tcW w:w="902" w:type="pct"/>
                  <w:vAlign w:val="center"/>
                </w:tcPr>
                <w:p w14:paraId="4F95EF70">
                  <w:pPr>
                    <w:adjustRightInd w:val="0"/>
                    <w:snapToGrid w:val="0"/>
                    <w:jc w:val="center"/>
                    <w:rPr>
                      <w:bCs/>
                      <w:color w:val="auto"/>
                      <w:szCs w:val="21"/>
                    </w:rPr>
                  </w:pPr>
                  <w:r>
                    <w:rPr>
                      <w:rFonts w:hint="eastAsia"/>
                      <w:bCs/>
                      <w:color w:val="auto"/>
                      <w:szCs w:val="21"/>
                    </w:rPr>
                    <w:t>2500</w:t>
                  </w:r>
                </w:p>
              </w:tc>
              <w:tc>
                <w:tcPr>
                  <w:tcW w:w="1275" w:type="pct"/>
                  <w:vAlign w:val="center"/>
                </w:tcPr>
                <w:p w14:paraId="2898F57F">
                  <w:pPr>
                    <w:spacing w:line="200" w:lineRule="atLeast"/>
                    <w:jc w:val="center"/>
                    <w:rPr>
                      <w:color w:val="auto"/>
                      <w:szCs w:val="21"/>
                    </w:rPr>
                  </w:pPr>
                  <w:r>
                    <w:rPr>
                      <w:rFonts w:hint="eastAsia"/>
                      <w:color w:val="auto"/>
                      <w:szCs w:val="21"/>
                    </w:rPr>
                    <w:t>0.000004</w:t>
                  </w:r>
                </w:p>
              </w:tc>
            </w:tr>
            <w:tr w14:paraId="7BE191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03" w:type="pct"/>
                  <w:vAlign w:val="center"/>
                </w:tcPr>
                <w:p w14:paraId="035D8E76">
                  <w:pPr>
                    <w:adjustRightInd w:val="0"/>
                    <w:snapToGrid w:val="0"/>
                    <w:jc w:val="center"/>
                    <w:rPr>
                      <w:bCs/>
                      <w:color w:val="auto"/>
                      <w:szCs w:val="21"/>
                    </w:rPr>
                  </w:pPr>
                  <w:r>
                    <w:rPr>
                      <w:rFonts w:hint="eastAsia"/>
                      <w:bCs/>
                      <w:color w:val="auto"/>
                      <w:szCs w:val="21"/>
                    </w:rPr>
                    <w:t>21</w:t>
                  </w:r>
                </w:p>
              </w:tc>
              <w:tc>
                <w:tcPr>
                  <w:tcW w:w="888" w:type="pct"/>
                  <w:gridSpan w:val="2"/>
                  <w:vAlign w:val="center"/>
                </w:tcPr>
                <w:p w14:paraId="247720CD">
                  <w:pPr>
                    <w:spacing w:line="200" w:lineRule="atLeast"/>
                    <w:jc w:val="center"/>
                    <w:rPr>
                      <w:color w:val="auto"/>
                      <w:szCs w:val="21"/>
                    </w:rPr>
                  </w:pPr>
                  <w:r>
                    <w:rPr>
                      <w:rFonts w:hint="eastAsia"/>
                      <w:color w:val="auto"/>
                      <w:szCs w:val="21"/>
                    </w:rPr>
                    <w:t>切削液</w:t>
                  </w:r>
                </w:p>
              </w:tc>
              <w:tc>
                <w:tcPr>
                  <w:tcW w:w="663" w:type="pct"/>
                  <w:vAlign w:val="center"/>
                </w:tcPr>
                <w:p w14:paraId="118EDDD2">
                  <w:pPr>
                    <w:adjustRightInd w:val="0"/>
                    <w:snapToGrid w:val="0"/>
                    <w:jc w:val="center"/>
                    <w:rPr>
                      <w:bCs/>
                      <w:color w:val="auto"/>
                      <w:szCs w:val="21"/>
                    </w:rPr>
                  </w:pPr>
                  <w:r>
                    <w:rPr>
                      <w:rFonts w:hint="eastAsia"/>
                      <w:bCs/>
                      <w:color w:val="auto"/>
                      <w:szCs w:val="21"/>
                    </w:rPr>
                    <w:t>/</w:t>
                  </w:r>
                </w:p>
              </w:tc>
              <w:tc>
                <w:tcPr>
                  <w:tcW w:w="968" w:type="pct"/>
                  <w:vAlign w:val="center"/>
                </w:tcPr>
                <w:p w14:paraId="4B820F25">
                  <w:pPr>
                    <w:widowControl/>
                    <w:jc w:val="center"/>
                    <w:textAlignment w:val="center"/>
                    <w:rPr>
                      <w:color w:val="auto"/>
                      <w:kern w:val="0"/>
                      <w:szCs w:val="21"/>
                      <w:lang w:bidi="ar"/>
                    </w:rPr>
                  </w:pPr>
                  <w:r>
                    <w:rPr>
                      <w:rFonts w:hint="eastAsia"/>
                      <w:color w:val="auto"/>
                      <w:kern w:val="0"/>
                      <w:szCs w:val="21"/>
                      <w:lang w:bidi="ar"/>
                    </w:rPr>
                    <w:t>0.01</w:t>
                  </w:r>
                </w:p>
              </w:tc>
              <w:tc>
                <w:tcPr>
                  <w:tcW w:w="902" w:type="pct"/>
                  <w:vAlign w:val="center"/>
                </w:tcPr>
                <w:p w14:paraId="7C0E85E8">
                  <w:pPr>
                    <w:adjustRightInd w:val="0"/>
                    <w:snapToGrid w:val="0"/>
                    <w:jc w:val="center"/>
                    <w:rPr>
                      <w:bCs/>
                      <w:color w:val="auto"/>
                      <w:szCs w:val="21"/>
                    </w:rPr>
                  </w:pPr>
                  <w:r>
                    <w:rPr>
                      <w:rFonts w:hint="eastAsia"/>
                      <w:bCs/>
                      <w:color w:val="auto"/>
                      <w:szCs w:val="21"/>
                    </w:rPr>
                    <w:t>2500</w:t>
                  </w:r>
                </w:p>
              </w:tc>
              <w:tc>
                <w:tcPr>
                  <w:tcW w:w="1275" w:type="pct"/>
                  <w:vAlign w:val="center"/>
                </w:tcPr>
                <w:p w14:paraId="355D0C44">
                  <w:pPr>
                    <w:spacing w:line="200" w:lineRule="atLeast"/>
                    <w:jc w:val="center"/>
                    <w:rPr>
                      <w:color w:val="auto"/>
                      <w:szCs w:val="21"/>
                    </w:rPr>
                  </w:pPr>
                  <w:r>
                    <w:rPr>
                      <w:rFonts w:hint="eastAsia"/>
                      <w:color w:val="auto"/>
                      <w:szCs w:val="21"/>
                    </w:rPr>
                    <w:t>0.000004</w:t>
                  </w:r>
                </w:p>
              </w:tc>
            </w:tr>
            <w:tr w14:paraId="032CC1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restart"/>
                  <w:vAlign w:val="center"/>
                </w:tcPr>
                <w:p w14:paraId="43651195">
                  <w:pPr>
                    <w:adjustRightInd w:val="0"/>
                    <w:snapToGrid w:val="0"/>
                    <w:jc w:val="center"/>
                    <w:rPr>
                      <w:bCs/>
                      <w:color w:val="auto"/>
                      <w:szCs w:val="21"/>
                    </w:rPr>
                  </w:pPr>
                  <w:r>
                    <w:rPr>
                      <w:rFonts w:hint="eastAsia"/>
                      <w:bCs/>
                      <w:color w:val="auto"/>
                      <w:szCs w:val="21"/>
                    </w:rPr>
                    <w:t>22</w:t>
                  </w:r>
                </w:p>
              </w:tc>
              <w:tc>
                <w:tcPr>
                  <w:tcW w:w="208" w:type="pct"/>
                  <w:vMerge w:val="restart"/>
                  <w:vAlign w:val="center"/>
                </w:tcPr>
                <w:p w14:paraId="30070EB2">
                  <w:pPr>
                    <w:spacing w:line="200" w:lineRule="atLeast"/>
                    <w:jc w:val="center"/>
                    <w:rPr>
                      <w:color w:val="auto"/>
                      <w:szCs w:val="21"/>
                    </w:rPr>
                  </w:pPr>
                  <w:r>
                    <w:rPr>
                      <w:rFonts w:hint="eastAsia"/>
                      <w:color w:val="auto"/>
                      <w:szCs w:val="21"/>
                    </w:rPr>
                    <w:t>稀释剂</w:t>
                  </w:r>
                </w:p>
              </w:tc>
              <w:tc>
                <w:tcPr>
                  <w:tcW w:w="679" w:type="pct"/>
                  <w:vAlign w:val="center"/>
                </w:tcPr>
                <w:p w14:paraId="4105141C">
                  <w:pPr>
                    <w:spacing w:line="200" w:lineRule="atLeast"/>
                    <w:jc w:val="center"/>
                    <w:rPr>
                      <w:color w:val="auto"/>
                      <w:szCs w:val="21"/>
                    </w:rPr>
                  </w:pPr>
                  <w:r>
                    <w:rPr>
                      <w:rFonts w:hint="eastAsia"/>
                      <w:color w:val="auto"/>
                      <w:szCs w:val="21"/>
                    </w:rPr>
                    <w:t>醋酸丁酯</w:t>
                  </w:r>
                </w:p>
              </w:tc>
              <w:tc>
                <w:tcPr>
                  <w:tcW w:w="663" w:type="pct"/>
                  <w:vAlign w:val="center"/>
                </w:tcPr>
                <w:p w14:paraId="3886D9AA">
                  <w:pPr>
                    <w:adjustRightInd w:val="0"/>
                    <w:snapToGrid w:val="0"/>
                    <w:jc w:val="center"/>
                    <w:rPr>
                      <w:bCs/>
                      <w:color w:val="auto"/>
                      <w:szCs w:val="21"/>
                    </w:rPr>
                  </w:pPr>
                  <w:r>
                    <w:rPr>
                      <w:rFonts w:hint="eastAsia"/>
                      <w:bCs/>
                      <w:color w:val="auto"/>
                      <w:szCs w:val="21"/>
                    </w:rPr>
                    <w:t>/</w:t>
                  </w:r>
                </w:p>
              </w:tc>
              <w:tc>
                <w:tcPr>
                  <w:tcW w:w="968" w:type="pct"/>
                  <w:vAlign w:val="center"/>
                </w:tcPr>
                <w:p w14:paraId="573DB256">
                  <w:pPr>
                    <w:adjustRightInd w:val="0"/>
                    <w:snapToGrid w:val="0"/>
                    <w:jc w:val="center"/>
                    <w:rPr>
                      <w:color w:val="auto"/>
                      <w:kern w:val="0"/>
                      <w:szCs w:val="21"/>
                      <w:lang w:bidi="ar"/>
                    </w:rPr>
                  </w:pPr>
                  <w:r>
                    <w:rPr>
                      <w:rFonts w:hint="eastAsia"/>
                      <w:color w:val="auto"/>
                      <w:kern w:val="0"/>
                      <w:szCs w:val="21"/>
                      <w:lang w:bidi="ar"/>
                    </w:rPr>
                    <w:t>/</w:t>
                  </w:r>
                </w:p>
              </w:tc>
              <w:tc>
                <w:tcPr>
                  <w:tcW w:w="902" w:type="pct"/>
                  <w:vAlign w:val="center"/>
                </w:tcPr>
                <w:p w14:paraId="15453DEA">
                  <w:pPr>
                    <w:adjustRightInd w:val="0"/>
                    <w:snapToGrid w:val="0"/>
                    <w:jc w:val="center"/>
                    <w:rPr>
                      <w:bCs/>
                      <w:color w:val="auto"/>
                      <w:szCs w:val="21"/>
                    </w:rPr>
                  </w:pPr>
                  <w:r>
                    <w:rPr>
                      <w:rFonts w:hint="eastAsia"/>
                      <w:bCs/>
                      <w:color w:val="auto"/>
                      <w:szCs w:val="21"/>
                    </w:rPr>
                    <w:t>/</w:t>
                  </w:r>
                </w:p>
              </w:tc>
              <w:tc>
                <w:tcPr>
                  <w:tcW w:w="1275" w:type="pct"/>
                  <w:vAlign w:val="center"/>
                </w:tcPr>
                <w:p w14:paraId="52ABDC65">
                  <w:pPr>
                    <w:adjustRightInd w:val="0"/>
                    <w:snapToGrid w:val="0"/>
                    <w:jc w:val="center"/>
                    <w:rPr>
                      <w:color w:val="auto"/>
                      <w:szCs w:val="21"/>
                    </w:rPr>
                  </w:pPr>
                  <w:r>
                    <w:rPr>
                      <w:rFonts w:hint="eastAsia"/>
                      <w:color w:val="auto"/>
                      <w:szCs w:val="21"/>
                    </w:rPr>
                    <w:t>/</w:t>
                  </w:r>
                </w:p>
              </w:tc>
            </w:tr>
            <w:tr w14:paraId="017B7F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0D2BF001">
                  <w:pPr>
                    <w:spacing w:line="200" w:lineRule="atLeast"/>
                    <w:jc w:val="center"/>
                    <w:rPr>
                      <w:color w:val="auto"/>
                    </w:rPr>
                  </w:pPr>
                </w:p>
              </w:tc>
              <w:tc>
                <w:tcPr>
                  <w:tcW w:w="208" w:type="pct"/>
                  <w:vMerge w:val="continue"/>
                  <w:vAlign w:val="center"/>
                </w:tcPr>
                <w:p w14:paraId="13F723D8">
                  <w:pPr>
                    <w:spacing w:line="200" w:lineRule="atLeast"/>
                    <w:jc w:val="center"/>
                    <w:rPr>
                      <w:color w:val="auto"/>
                    </w:rPr>
                  </w:pPr>
                </w:p>
              </w:tc>
              <w:tc>
                <w:tcPr>
                  <w:tcW w:w="679" w:type="pct"/>
                  <w:vAlign w:val="center"/>
                </w:tcPr>
                <w:p w14:paraId="21ED59C5">
                  <w:pPr>
                    <w:spacing w:line="200" w:lineRule="atLeast"/>
                    <w:jc w:val="center"/>
                    <w:rPr>
                      <w:color w:val="auto"/>
                      <w:szCs w:val="21"/>
                    </w:rPr>
                  </w:pPr>
                  <w:r>
                    <w:rPr>
                      <w:rFonts w:hint="eastAsia"/>
                      <w:color w:val="auto"/>
                      <w:szCs w:val="21"/>
                    </w:rPr>
                    <w:t>丙二醇甲醚醋酸酯</w:t>
                  </w:r>
                </w:p>
              </w:tc>
              <w:tc>
                <w:tcPr>
                  <w:tcW w:w="663" w:type="pct"/>
                  <w:vAlign w:val="center"/>
                </w:tcPr>
                <w:p w14:paraId="66B0CCCD">
                  <w:pPr>
                    <w:spacing w:line="200" w:lineRule="atLeast"/>
                    <w:jc w:val="center"/>
                    <w:rPr>
                      <w:color w:val="auto"/>
                      <w:szCs w:val="21"/>
                    </w:rPr>
                  </w:pPr>
                  <w:r>
                    <w:rPr>
                      <w:rFonts w:hint="eastAsia"/>
                      <w:color w:val="auto"/>
                      <w:szCs w:val="21"/>
                    </w:rPr>
                    <w:t>/</w:t>
                  </w:r>
                </w:p>
              </w:tc>
              <w:tc>
                <w:tcPr>
                  <w:tcW w:w="968" w:type="pct"/>
                  <w:vAlign w:val="center"/>
                </w:tcPr>
                <w:p w14:paraId="1D8A68C9">
                  <w:pPr>
                    <w:spacing w:line="200" w:lineRule="atLeast"/>
                    <w:jc w:val="center"/>
                    <w:rPr>
                      <w:color w:val="auto"/>
                      <w:szCs w:val="21"/>
                    </w:rPr>
                  </w:pPr>
                  <w:r>
                    <w:rPr>
                      <w:rFonts w:hint="eastAsia"/>
                      <w:color w:val="auto"/>
                      <w:szCs w:val="21"/>
                    </w:rPr>
                    <w:t>/</w:t>
                  </w:r>
                </w:p>
              </w:tc>
              <w:tc>
                <w:tcPr>
                  <w:tcW w:w="902" w:type="pct"/>
                  <w:vAlign w:val="center"/>
                </w:tcPr>
                <w:p w14:paraId="683F480B">
                  <w:pPr>
                    <w:spacing w:line="200" w:lineRule="atLeast"/>
                    <w:jc w:val="center"/>
                    <w:rPr>
                      <w:color w:val="auto"/>
                      <w:szCs w:val="21"/>
                    </w:rPr>
                  </w:pPr>
                  <w:r>
                    <w:rPr>
                      <w:rFonts w:hint="eastAsia"/>
                      <w:color w:val="auto"/>
                      <w:szCs w:val="21"/>
                    </w:rPr>
                    <w:t>/</w:t>
                  </w:r>
                </w:p>
              </w:tc>
              <w:tc>
                <w:tcPr>
                  <w:tcW w:w="1275" w:type="pct"/>
                  <w:vAlign w:val="center"/>
                </w:tcPr>
                <w:p w14:paraId="53299913">
                  <w:pPr>
                    <w:spacing w:line="200" w:lineRule="atLeast"/>
                    <w:jc w:val="center"/>
                    <w:rPr>
                      <w:color w:val="auto"/>
                      <w:szCs w:val="21"/>
                    </w:rPr>
                  </w:pPr>
                  <w:r>
                    <w:rPr>
                      <w:rFonts w:hint="eastAsia"/>
                      <w:color w:val="auto"/>
                      <w:szCs w:val="21"/>
                    </w:rPr>
                    <w:t>/</w:t>
                  </w:r>
                </w:p>
              </w:tc>
            </w:tr>
            <w:tr w14:paraId="105EC1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03" w:type="pct"/>
                  <w:vMerge w:val="continue"/>
                  <w:vAlign w:val="center"/>
                </w:tcPr>
                <w:p w14:paraId="5A5D264B">
                  <w:pPr>
                    <w:spacing w:line="200" w:lineRule="atLeast"/>
                    <w:jc w:val="center"/>
                    <w:rPr>
                      <w:color w:val="auto"/>
                      <w:szCs w:val="21"/>
                    </w:rPr>
                  </w:pPr>
                </w:p>
              </w:tc>
              <w:tc>
                <w:tcPr>
                  <w:tcW w:w="208" w:type="pct"/>
                  <w:vMerge w:val="continue"/>
                  <w:vAlign w:val="center"/>
                </w:tcPr>
                <w:p w14:paraId="5F7B0BCD">
                  <w:pPr>
                    <w:spacing w:line="200" w:lineRule="atLeast"/>
                    <w:jc w:val="center"/>
                    <w:rPr>
                      <w:color w:val="auto"/>
                      <w:szCs w:val="21"/>
                    </w:rPr>
                  </w:pPr>
                </w:p>
              </w:tc>
              <w:tc>
                <w:tcPr>
                  <w:tcW w:w="679" w:type="pct"/>
                  <w:vAlign w:val="center"/>
                </w:tcPr>
                <w:p w14:paraId="063887C0">
                  <w:pPr>
                    <w:spacing w:line="200" w:lineRule="atLeast"/>
                    <w:jc w:val="center"/>
                    <w:rPr>
                      <w:color w:val="auto"/>
                      <w:szCs w:val="21"/>
                    </w:rPr>
                  </w:pPr>
                  <w:r>
                    <w:rPr>
                      <w:rFonts w:hint="eastAsia"/>
                      <w:color w:val="auto"/>
                      <w:szCs w:val="21"/>
                      <w:lang w:eastAsia="zh-CN"/>
                    </w:rPr>
                    <w:t>二、</w:t>
                  </w:r>
                  <w:r>
                    <w:rPr>
                      <w:rFonts w:hint="eastAsia"/>
                      <w:color w:val="auto"/>
                      <w:szCs w:val="21"/>
                    </w:rPr>
                    <w:t>甲苯</w:t>
                  </w:r>
                </w:p>
              </w:tc>
              <w:tc>
                <w:tcPr>
                  <w:tcW w:w="663" w:type="pct"/>
                  <w:vAlign w:val="center"/>
                </w:tcPr>
                <w:p w14:paraId="5E912E1D">
                  <w:pPr>
                    <w:spacing w:line="200" w:lineRule="atLeast"/>
                    <w:jc w:val="center"/>
                    <w:rPr>
                      <w:color w:val="auto"/>
                      <w:szCs w:val="21"/>
                    </w:rPr>
                  </w:pPr>
                  <w:r>
                    <w:rPr>
                      <w:rFonts w:hint="eastAsia"/>
                      <w:color w:val="auto"/>
                      <w:szCs w:val="21"/>
                    </w:rPr>
                    <w:t>1330-20-7</w:t>
                  </w:r>
                </w:p>
              </w:tc>
              <w:tc>
                <w:tcPr>
                  <w:tcW w:w="968" w:type="pct"/>
                  <w:vAlign w:val="center"/>
                </w:tcPr>
                <w:p w14:paraId="733B647F">
                  <w:pPr>
                    <w:spacing w:line="200" w:lineRule="atLeast"/>
                    <w:jc w:val="center"/>
                    <w:rPr>
                      <w:color w:val="auto"/>
                      <w:szCs w:val="21"/>
                    </w:rPr>
                  </w:pPr>
                  <w:r>
                    <w:rPr>
                      <w:rFonts w:hint="eastAsia"/>
                      <w:color w:val="auto"/>
                      <w:szCs w:val="21"/>
                    </w:rPr>
                    <w:t>0.015</w:t>
                  </w:r>
                </w:p>
              </w:tc>
              <w:tc>
                <w:tcPr>
                  <w:tcW w:w="902" w:type="pct"/>
                  <w:vAlign w:val="center"/>
                </w:tcPr>
                <w:p w14:paraId="008B9651">
                  <w:pPr>
                    <w:spacing w:line="200" w:lineRule="atLeast"/>
                    <w:jc w:val="center"/>
                    <w:rPr>
                      <w:color w:val="auto"/>
                      <w:szCs w:val="21"/>
                    </w:rPr>
                  </w:pPr>
                  <w:r>
                    <w:rPr>
                      <w:rFonts w:hint="eastAsia"/>
                      <w:color w:val="auto"/>
                      <w:szCs w:val="21"/>
                    </w:rPr>
                    <w:t>10</w:t>
                  </w:r>
                </w:p>
              </w:tc>
              <w:tc>
                <w:tcPr>
                  <w:tcW w:w="1275" w:type="pct"/>
                  <w:vAlign w:val="center"/>
                </w:tcPr>
                <w:p w14:paraId="5650394A">
                  <w:pPr>
                    <w:spacing w:line="200" w:lineRule="atLeast"/>
                    <w:jc w:val="center"/>
                    <w:rPr>
                      <w:color w:val="auto"/>
                      <w:szCs w:val="21"/>
                    </w:rPr>
                  </w:pPr>
                  <w:r>
                    <w:rPr>
                      <w:rFonts w:hint="eastAsia"/>
                      <w:color w:val="auto"/>
                      <w:szCs w:val="21"/>
                    </w:rPr>
                    <w:t>0.0015</w:t>
                  </w:r>
                </w:p>
              </w:tc>
            </w:tr>
            <w:tr w14:paraId="76969A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3DE1D0FC">
                  <w:pPr>
                    <w:spacing w:line="200" w:lineRule="atLeast"/>
                    <w:jc w:val="center"/>
                    <w:rPr>
                      <w:color w:val="auto"/>
                      <w:szCs w:val="21"/>
                    </w:rPr>
                  </w:pPr>
                </w:p>
              </w:tc>
              <w:tc>
                <w:tcPr>
                  <w:tcW w:w="208" w:type="pct"/>
                  <w:vMerge w:val="continue"/>
                  <w:vAlign w:val="center"/>
                </w:tcPr>
                <w:p w14:paraId="0695A470">
                  <w:pPr>
                    <w:spacing w:line="200" w:lineRule="atLeast"/>
                    <w:jc w:val="center"/>
                    <w:rPr>
                      <w:color w:val="auto"/>
                      <w:szCs w:val="21"/>
                    </w:rPr>
                  </w:pPr>
                </w:p>
              </w:tc>
              <w:tc>
                <w:tcPr>
                  <w:tcW w:w="679" w:type="pct"/>
                  <w:vAlign w:val="center"/>
                </w:tcPr>
                <w:p w14:paraId="43F7AABF">
                  <w:pPr>
                    <w:spacing w:line="200" w:lineRule="atLeast"/>
                    <w:jc w:val="center"/>
                    <w:rPr>
                      <w:color w:val="auto"/>
                      <w:szCs w:val="21"/>
                    </w:rPr>
                  </w:pPr>
                  <w:r>
                    <w:rPr>
                      <w:rFonts w:hint="eastAsia"/>
                      <w:color w:val="auto"/>
                      <w:szCs w:val="21"/>
                    </w:rPr>
                    <w:t>环已酮</w:t>
                  </w:r>
                </w:p>
              </w:tc>
              <w:tc>
                <w:tcPr>
                  <w:tcW w:w="663" w:type="pct"/>
                  <w:vAlign w:val="center"/>
                </w:tcPr>
                <w:p w14:paraId="05221D5E">
                  <w:pPr>
                    <w:spacing w:line="200" w:lineRule="atLeast"/>
                    <w:jc w:val="center"/>
                    <w:rPr>
                      <w:color w:val="auto"/>
                      <w:szCs w:val="21"/>
                    </w:rPr>
                  </w:pPr>
                  <w:r>
                    <w:rPr>
                      <w:rFonts w:hint="eastAsia"/>
                      <w:color w:val="auto"/>
                      <w:szCs w:val="21"/>
                    </w:rPr>
                    <w:t>/</w:t>
                  </w:r>
                </w:p>
              </w:tc>
              <w:tc>
                <w:tcPr>
                  <w:tcW w:w="968" w:type="pct"/>
                  <w:vAlign w:val="center"/>
                </w:tcPr>
                <w:p w14:paraId="618522AA">
                  <w:pPr>
                    <w:spacing w:line="200" w:lineRule="atLeast"/>
                    <w:jc w:val="center"/>
                    <w:rPr>
                      <w:color w:val="auto"/>
                      <w:szCs w:val="21"/>
                    </w:rPr>
                  </w:pPr>
                  <w:r>
                    <w:rPr>
                      <w:rFonts w:hint="eastAsia"/>
                      <w:color w:val="auto"/>
                      <w:szCs w:val="21"/>
                    </w:rPr>
                    <w:t>/</w:t>
                  </w:r>
                </w:p>
              </w:tc>
              <w:tc>
                <w:tcPr>
                  <w:tcW w:w="902" w:type="pct"/>
                  <w:vAlign w:val="center"/>
                </w:tcPr>
                <w:p w14:paraId="0DF3626F">
                  <w:pPr>
                    <w:spacing w:line="200" w:lineRule="atLeast"/>
                    <w:jc w:val="center"/>
                    <w:rPr>
                      <w:color w:val="auto"/>
                      <w:szCs w:val="21"/>
                    </w:rPr>
                  </w:pPr>
                  <w:r>
                    <w:rPr>
                      <w:rFonts w:hint="eastAsia"/>
                      <w:color w:val="auto"/>
                      <w:szCs w:val="21"/>
                    </w:rPr>
                    <w:t>/</w:t>
                  </w:r>
                </w:p>
              </w:tc>
              <w:tc>
                <w:tcPr>
                  <w:tcW w:w="1275" w:type="pct"/>
                  <w:vAlign w:val="center"/>
                </w:tcPr>
                <w:p w14:paraId="282C271B">
                  <w:pPr>
                    <w:spacing w:line="200" w:lineRule="atLeast"/>
                    <w:jc w:val="center"/>
                    <w:rPr>
                      <w:color w:val="auto"/>
                      <w:szCs w:val="21"/>
                    </w:rPr>
                  </w:pPr>
                  <w:r>
                    <w:rPr>
                      <w:rFonts w:hint="eastAsia"/>
                      <w:color w:val="auto"/>
                      <w:szCs w:val="21"/>
                    </w:rPr>
                    <w:t>/</w:t>
                  </w:r>
                </w:p>
              </w:tc>
            </w:tr>
            <w:tr w14:paraId="6C585B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3C21B4FF">
                  <w:pPr>
                    <w:spacing w:line="200" w:lineRule="atLeast"/>
                    <w:jc w:val="center"/>
                    <w:rPr>
                      <w:color w:val="auto"/>
                      <w:szCs w:val="21"/>
                    </w:rPr>
                  </w:pPr>
                </w:p>
              </w:tc>
              <w:tc>
                <w:tcPr>
                  <w:tcW w:w="208" w:type="pct"/>
                  <w:vMerge w:val="continue"/>
                  <w:vAlign w:val="center"/>
                </w:tcPr>
                <w:p w14:paraId="0A791814">
                  <w:pPr>
                    <w:spacing w:line="200" w:lineRule="atLeast"/>
                    <w:jc w:val="center"/>
                    <w:rPr>
                      <w:color w:val="auto"/>
                      <w:szCs w:val="21"/>
                    </w:rPr>
                  </w:pPr>
                </w:p>
              </w:tc>
              <w:tc>
                <w:tcPr>
                  <w:tcW w:w="679" w:type="pct"/>
                  <w:vAlign w:val="center"/>
                </w:tcPr>
                <w:p w14:paraId="0EB947AD">
                  <w:pPr>
                    <w:spacing w:line="200" w:lineRule="atLeast"/>
                    <w:jc w:val="center"/>
                    <w:rPr>
                      <w:color w:val="auto"/>
                      <w:szCs w:val="21"/>
                    </w:rPr>
                  </w:pPr>
                  <w:r>
                    <w:rPr>
                      <w:rFonts w:hint="eastAsia"/>
                      <w:color w:val="auto"/>
                      <w:szCs w:val="21"/>
                    </w:rPr>
                    <w:t>碳酸二甲酯</w:t>
                  </w:r>
                </w:p>
              </w:tc>
              <w:tc>
                <w:tcPr>
                  <w:tcW w:w="663" w:type="pct"/>
                  <w:vAlign w:val="center"/>
                </w:tcPr>
                <w:p w14:paraId="71DE7BCF">
                  <w:pPr>
                    <w:spacing w:line="200" w:lineRule="atLeast"/>
                    <w:jc w:val="center"/>
                    <w:rPr>
                      <w:color w:val="auto"/>
                      <w:szCs w:val="21"/>
                    </w:rPr>
                  </w:pPr>
                  <w:r>
                    <w:rPr>
                      <w:rFonts w:hint="eastAsia"/>
                      <w:color w:val="auto"/>
                      <w:szCs w:val="21"/>
                    </w:rPr>
                    <w:t>/</w:t>
                  </w:r>
                </w:p>
              </w:tc>
              <w:tc>
                <w:tcPr>
                  <w:tcW w:w="968" w:type="pct"/>
                  <w:vAlign w:val="center"/>
                </w:tcPr>
                <w:p w14:paraId="1325B0B6">
                  <w:pPr>
                    <w:spacing w:line="200" w:lineRule="atLeast"/>
                    <w:jc w:val="center"/>
                    <w:rPr>
                      <w:color w:val="auto"/>
                      <w:szCs w:val="21"/>
                    </w:rPr>
                  </w:pPr>
                  <w:r>
                    <w:rPr>
                      <w:rFonts w:hint="eastAsia"/>
                      <w:color w:val="auto"/>
                      <w:szCs w:val="21"/>
                    </w:rPr>
                    <w:t>/</w:t>
                  </w:r>
                </w:p>
              </w:tc>
              <w:tc>
                <w:tcPr>
                  <w:tcW w:w="902" w:type="pct"/>
                  <w:vAlign w:val="center"/>
                </w:tcPr>
                <w:p w14:paraId="7BE8D65B">
                  <w:pPr>
                    <w:spacing w:line="200" w:lineRule="atLeast"/>
                    <w:jc w:val="center"/>
                    <w:rPr>
                      <w:color w:val="auto"/>
                      <w:szCs w:val="21"/>
                    </w:rPr>
                  </w:pPr>
                  <w:r>
                    <w:rPr>
                      <w:rFonts w:hint="eastAsia"/>
                      <w:color w:val="auto"/>
                      <w:szCs w:val="21"/>
                    </w:rPr>
                    <w:t>/</w:t>
                  </w:r>
                </w:p>
              </w:tc>
              <w:tc>
                <w:tcPr>
                  <w:tcW w:w="1275" w:type="pct"/>
                  <w:vAlign w:val="center"/>
                </w:tcPr>
                <w:p w14:paraId="07875031">
                  <w:pPr>
                    <w:spacing w:line="200" w:lineRule="atLeast"/>
                    <w:jc w:val="center"/>
                    <w:rPr>
                      <w:color w:val="auto"/>
                      <w:szCs w:val="21"/>
                    </w:rPr>
                  </w:pPr>
                  <w:r>
                    <w:rPr>
                      <w:rFonts w:hint="eastAsia"/>
                      <w:color w:val="auto"/>
                      <w:szCs w:val="21"/>
                    </w:rPr>
                    <w:t>/</w:t>
                  </w:r>
                </w:p>
              </w:tc>
            </w:tr>
            <w:tr w14:paraId="4D7CEC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restart"/>
                  <w:vAlign w:val="center"/>
                </w:tcPr>
                <w:p w14:paraId="21ED3680">
                  <w:pPr>
                    <w:adjustRightInd w:val="0"/>
                    <w:snapToGrid w:val="0"/>
                    <w:jc w:val="center"/>
                    <w:rPr>
                      <w:bCs/>
                      <w:color w:val="auto"/>
                      <w:szCs w:val="21"/>
                    </w:rPr>
                  </w:pPr>
                  <w:r>
                    <w:rPr>
                      <w:rFonts w:hint="eastAsia"/>
                      <w:bCs/>
                      <w:color w:val="auto"/>
                      <w:szCs w:val="21"/>
                    </w:rPr>
                    <w:t>23</w:t>
                  </w:r>
                </w:p>
              </w:tc>
              <w:tc>
                <w:tcPr>
                  <w:tcW w:w="208" w:type="pct"/>
                  <w:vMerge w:val="restart"/>
                  <w:vAlign w:val="center"/>
                </w:tcPr>
                <w:p w14:paraId="25EFCB80">
                  <w:pPr>
                    <w:spacing w:line="200" w:lineRule="atLeast"/>
                    <w:jc w:val="center"/>
                    <w:rPr>
                      <w:color w:val="auto"/>
                      <w:szCs w:val="21"/>
                    </w:rPr>
                  </w:pPr>
                  <w:r>
                    <w:rPr>
                      <w:rFonts w:hint="eastAsia"/>
                      <w:color w:val="auto"/>
                      <w:szCs w:val="21"/>
                    </w:rPr>
                    <w:t>原子灰</w:t>
                  </w:r>
                </w:p>
              </w:tc>
              <w:tc>
                <w:tcPr>
                  <w:tcW w:w="679" w:type="pct"/>
                  <w:vAlign w:val="center"/>
                </w:tcPr>
                <w:p w14:paraId="48021146">
                  <w:pPr>
                    <w:spacing w:line="200" w:lineRule="atLeast"/>
                    <w:jc w:val="center"/>
                    <w:rPr>
                      <w:color w:val="auto"/>
                      <w:szCs w:val="21"/>
                    </w:rPr>
                  </w:pPr>
                  <w:r>
                    <w:rPr>
                      <w:rFonts w:hint="eastAsia"/>
                      <w:color w:val="auto"/>
                      <w:szCs w:val="21"/>
                    </w:rPr>
                    <w:t>苯乙烯</w:t>
                  </w:r>
                </w:p>
              </w:tc>
              <w:tc>
                <w:tcPr>
                  <w:tcW w:w="663" w:type="pct"/>
                  <w:vAlign w:val="center"/>
                </w:tcPr>
                <w:p w14:paraId="28D433FC">
                  <w:pPr>
                    <w:adjustRightInd w:val="0"/>
                    <w:snapToGrid w:val="0"/>
                    <w:jc w:val="center"/>
                    <w:rPr>
                      <w:bCs/>
                      <w:color w:val="auto"/>
                      <w:szCs w:val="21"/>
                    </w:rPr>
                  </w:pPr>
                  <w:r>
                    <w:rPr>
                      <w:rFonts w:hint="eastAsia"/>
                      <w:bCs/>
                      <w:color w:val="auto"/>
                      <w:szCs w:val="21"/>
                    </w:rPr>
                    <w:t>100-42-5</w:t>
                  </w:r>
                </w:p>
              </w:tc>
              <w:tc>
                <w:tcPr>
                  <w:tcW w:w="968" w:type="pct"/>
                  <w:vAlign w:val="center"/>
                </w:tcPr>
                <w:p w14:paraId="763530E5">
                  <w:pPr>
                    <w:widowControl/>
                    <w:jc w:val="center"/>
                    <w:textAlignment w:val="center"/>
                    <w:rPr>
                      <w:color w:val="auto"/>
                      <w:kern w:val="0"/>
                      <w:szCs w:val="21"/>
                      <w:lang w:bidi="ar"/>
                    </w:rPr>
                  </w:pPr>
                  <w:r>
                    <w:rPr>
                      <w:rFonts w:hint="eastAsia"/>
                      <w:color w:val="auto"/>
                      <w:kern w:val="0"/>
                      <w:szCs w:val="21"/>
                      <w:lang w:bidi="ar"/>
                    </w:rPr>
                    <w:t>0.04</w:t>
                  </w:r>
                </w:p>
              </w:tc>
              <w:tc>
                <w:tcPr>
                  <w:tcW w:w="902" w:type="pct"/>
                  <w:vAlign w:val="center"/>
                </w:tcPr>
                <w:p w14:paraId="5366642C">
                  <w:pPr>
                    <w:adjustRightInd w:val="0"/>
                    <w:snapToGrid w:val="0"/>
                    <w:jc w:val="center"/>
                    <w:rPr>
                      <w:bCs/>
                      <w:color w:val="auto"/>
                      <w:szCs w:val="21"/>
                    </w:rPr>
                  </w:pPr>
                  <w:r>
                    <w:rPr>
                      <w:rFonts w:hint="eastAsia"/>
                      <w:bCs/>
                      <w:color w:val="auto"/>
                      <w:szCs w:val="21"/>
                    </w:rPr>
                    <w:t>10</w:t>
                  </w:r>
                </w:p>
              </w:tc>
              <w:tc>
                <w:tcPr>
                  <w:tcW w:w="1275" w:type="pct"/>
                  <w:vAlign w:val="center"/>
                </w:tcPr>
                <w:p w14:paraId="54EDB0C7">
                  <w:pPr>
                    <w:spacing w:line="200" w:lineRule="atLeast"/>
                    <w:jc w:val="center"/>
                    <w:rPr>
                      <w:color w:val="auto"/>
                      <w:szCs w:val="21"/>
                    </w:rPr>
                  </w:pPr>
                  <w:r>
                    <w:rPr>
                      <w:rFonts w:hint="eastAsia"/>
                      <w:color w:val="auto"/>
                      <w:szCs w:val="21"/>
                    </w:rPr>
                    <w:t>0.004</w:t>
                  </w:r>
                </w:p>
              </w:tc>
            </w:tr>
            <w:tr w14:paraId="2426C1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34B99205">
                  <w:pPr>
                    <w:spacing w:line="200" w:lineRule="atLeast"/>
                    <w:jc w:val="center"/>
                    <w:rPr>
                      <w:color w:val="auto"/>
                    </w:rPr>
                  </w:pPr>
                </w:p>
              </w:tc>
              <w:tc>
                <w:tcPr>
                  <w:tcW w:w="208" w:type="pct"/>
                  <w:vMerge w:val="continue"/>
                  <w:vAlign w:val="center"/>
                </w:tcPr>
                <w:p w14:paraId="6D5225F5">
                  <w:pPr>
                    <w:spacing w:line="200" w:lineRule="atLeast"/>
                    <w:jc w:val="center"/>
                    <w:rPr>
                      <w:color w:val="auto"/>
                    </w:rPr>
                  </w:pPr>
                </w:p>
              </w:tc>
              <w:tc>
                <w:tcPr>
                  <w:tcW w:w="679" w:type="pct"/>
                  <w:vAlign w:val="center"/>
                </w:tcPr>
                <w:p w14:paraId="6027A8D4">
                  <w:pPr>
                    <w:spacing w:line="200" w:lineRule="atLeast"/>
                    <w:jc w:val="center"/>
                    <w:rPr>
                      <w:color w:val="auto"/>
                      <w:szCs w:val="21"/>
                    </w:rPr>
                  </w:pPr>
                  <w:r>
                    <w:rPr>
                      <w:rFonts w:hint="eastAsia"/>
                      <w:color w:val="auto"/>
                      <w:szCs w:val="21"/>
                      <w:lang w:eastAsia="zh-CN"/>
                    </w:rPr>
                    <w:t>二、</w:t>
                  </w:r>
                  <w:r>
                    <w:rPr>
                      <w:rFonts w:hint="eastAsia"/>
                      <w:color w:val="auto"/>
                      <w:szCs w:val="21"/>
                    </w:rPr>
                    <w:t>氧化钛</w:t>
                  </w:r>
                </w:p>
              </w:tc>
              <w:tc>
                <w:tcPr>
                  <w:tcW w:w="663" w:type="pct"/>
                  <w:vAlign w:val="center"/>
                </w:tcPr>
                <w:p w14:paraId="35C1385B">
                  <w:pPr>
                    <w:spacing w:line="200" w:lineRule="atLeast"/>
                    <w:jc w:val="center"/>
                    <w:rPr>
                      <w:color w:val="auto"/>
                      <w:szCs w:val="21"/>
                    </w:rPr>
                  </w:pPr>
                  <w:r>
                    <w:rPr>
                      <w:rFonts w:hint="eastAsia"/>
                      <w:color w:val="auto"/>
                      <w:szCs w:val="21"/>
                    </w:rPr>
                    <w:t>/</w:t>
                  </w:r>
                </w:p>
              </w:tc>
              <w:tc>
                <w:tcPr>
                  <w:tcW w:w="968" w:type="pct"/>
                  <w:vAlign w:val="center"/>
                </w:tcPr>
                <w:p w14:paraId="3856AC4B">
                  <w:pPr>
                    <w:spacing w:line="200" w:lineRule="atLeast"/>
                    <w:jc w:val="center"/>
                    <w:rPr>
                      <w:color w:val="auto"/>
                      <w:szCs w:val="21"/>
                    </w:rPr>
                  </w:pPr>
                  <w:r>
                    <w:rPr>
                      <w:rFonts w:hint="eastAsia"/>
                      <w:color w:val="auto"/>
                      <w:szCs w:val="21"/>
                    </w:rPr>
                    <w:t>/</w:t>
                  </w:r>
                </w:p>
              </w:tc>
              <w:tc>
                <w:tcPr>
                  <w:tcW w:w="902" w:type="pct"/>
                  <w:vAlign w:val="center"/>
                </w:tcPr>
                <w:p w14:paraId="2E092F9F">
                  <w:pPr>
                    <w:spacing w:line="200" w:lineRule="atLeast"/>
                    <w:jc w:val="center"/>
                    <w:rPr>
                      <w:color w:val="auto"/>
                      <w:szCs w:val="21"/>
                    </w:rPr>
                  </w:pPr>
                  <w:r>
                    <w:rPr>
                      <w:rFonts w:hint="eastAsia"/>
                      <w:color w:val="auto"/>
                      <w:szCs w:val="21"/>
                    </w:rPr>
                    <w:t>/</w:t>
                  </w:r>
                </w:p>
              </w:tc>
              <w:tc>
                <w:tcPr>
                  <w:tcW w:w="1275" w:type="pct"/>
                  <w:vAlign w:val="center"/>
                </w:tcPr>
                <w:p w14:paraId="76041548">
                  <w:pPr>
                    <w:spacing w:line="200" w:lineRule="atLeast"/>
                    <w:jc w:val="center"/>
                    <w:rPr>
                      <w:color w:val="auto"/>
                      <w:szCs w:val="21"/>
                    </w:rPr>
                  </w:pPr>
                  <w:r>
                    <w:rPr>
                      <w:rFonts w:hint="eastAsia"/>
                      <w:color w:val="auto"/>
                      <w:szCs w:val="21"/>
                    </w:rPr>
                    <w:t>/</w:t>
                  </w:r>
                </w:p>
              </w:tc>
            </w:tr>
            <w:tr w14:paraId="43E0ED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71616FEF">
                  <w:pPr>
                    <w:spacing w:line="200" w:lineRule="atLeast"/>
                    <w:jc w:val="center"/>
                    <w:rPr>
                      <w:color w:val="auto"/>
                      <w:szCs w:val="21"/>
                    </w:rPr>
                  </w:pPr>
                </w:p>
              </w:tc>
              <w:tc>
                <w:tcPr>
                  <w:tcW w:w="208" w:type="pct"/>
                  <w:vMerge w:val="continue"/>
                  <w:vAlign w:val="center"/>
                </w:tcPr>
                <w:p w14:paraId="1A14AF15">
                  <w:pPr>
                    <w:spacing w:line="200" w:lineRule="atLeast"/>
                    <w:jc w:val="center"/>
                    <w:rPr>
                      <w:color w:val="auto"/>
                      <w:szCs w:val="21"/>
                    </w:rPr>
                  </w:pPr>
                </w:p>
              </w:tc>
              <w:tc>
                <w:tcPr>
                  <w:tcW w:w="679" w:type="pct"/>
                  <w:vAlign w:val="center"/>
                </w:tcPr>
                <w:p w14:paraId="7360FC54">
                  <w:pPr>
                    <w:spacing w:line="200" w:lineRule="atLeast"/>
                    <w:jc w:val="center"/>
                    <w:rPr>
                      <w:color w:val="auto"/>
                      <w:szCs w:val="21"/>
                    </w:rPr>
                  </w:pPr>
                  <w:r>
                    <w:rPr>
                      <w:rFonts w:hint="eastAsia"/>
                      <w:color w:val="auto"/>
                      <w:szCs w:val="21"/>
                    </w:rPr>
                    <w:t>滑石粉</w:t>
                  </w:r>
                </w:p>
              </w:tc>
              <w:tc>
                <w:tcPr>
                  <w:tcW w:w="663" w:type="pct"/>
                  <w:vAlign w:val="center"/>
                </w:tcPr>
                <w:p w14:paraId="2179958B">
                  <w:pPr>
                    <w:spacing w:line="200" w:lineRule="atLeast"/>
                    <w:jc w:val="center"/>
                    <w:rPr>
                      <w:color w:val="auto"/>
                      <w:szCs w:val="21"/>
                    </w:rPr>
                  </w:pPr>
                  <w:r>
                    <w:rPr>
                      <w:rFonts w:hint="eastAsia"/>
                      <w:color w:val="auto"/>
                      <w:szCs w:val="21"/>
                    </w:rPr>
                    <w:t>/</w:t>
                  </w:r>
                </w:p>
              </w:tc>
              <w:tc>
                <w:tcPr>
                  <w:tcW w:w="968" w:type="pct"/>
                  <w:vAlign w:val="center"/>
                </w:tcPr>
                <w:p w14:paraId="043556FA">
                  <w:pPr>
                    <w:spacing w:line="200" w:lineRule="atLeast"/>
                    <w:jc w:val="center"/>
                    <w:rPr>
                      <w:color w:val="auto"/>
                      <w:szCs w:val="21"/>
                    </w:rPr>
                  </w:pPr>
                  <w:r>
                    <w:rPr>
                      <w:rFonts w:hint="eastAsia"/>
                      <w:color w:val="auto"/>
                      <w:szCs w:val="21"/>
                    </w:rPr>
                    <w:t>/</w:t>
                  </w:r>
                </w:p>
              </w:tc>
              <w:tc>
                <w:tcPr>
                  <w:tcW w:w="902" w:type="pct"/>
                  <w:vAlign w:val="center"/>
                </w:tcPr>
                <w:p w14:paraId="12C0F6E9">
                  <w:pPr>
                    <w:spacing w:line="200" w:lineRule="atLeast"/>
                    <w:jc w:val="center"/>
                    <w:rPr>
                      <w:color w:val="auto"/>
                      <w:szCs w:val="21"/>
                    </w:rPr>
                  </w:pPr>
                  <w:r>
                    <w:rPr>
                      <w:rFonts w:hint="eastAsia"/>
                      <w:color w:val="auto"/>
                      <w:szCs w:val="21"/>
                    </w:rPr>
                    <w:t>/</w:t>
                  </w:r>
                </w:p>
              </w:tc>
              <w:tc>
                <w:tcPr>
                  <w:tcW w:w="1275" w:type="pct"/>
                  <w:vAlign w:val="center"/>
                </w:tcPr>
                <w:p w14:paraId="346E29A3">
                  <w:pPr>
                    <w:spacing w:line="200" w:lineRule="atLeast"/>
                    <w:jc w:val="center"/>
                    <w:rPr>
                      <w:color w:val="auto"/>
                      <w:szCs w:val="21"/>
                    </w:rPr>
                  </w:pPr>
                  <w:r>
                    <w:rPr>
                      <w:rFonts w:hint="eastAsia"/>
                      <w:color w:val="auto"/>
                      <w:szCs w:val="21"/>
                    </w:rPr>
                    <w:t>/</w:t>
                  </w:r>
                </w:p>
              </w:tc>
            </w:tr>
            <w:tr w14:paraId="5F55A5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303" w:type="pct"/>
                  <w:vMerge w:val="continue"/>
                  <w:vAlign w:val="center"/>
                </w:tcPr>
                <w:p w14:paraId="67BF5715">
                  <w:pPr>
                    <w:spacing w:line="200" w:lineRule="atLeast"/>
                    <w:jc w:val="center"/>
                    <w:rPr>
                      <w:color w:val="auto"/>
                      <w:szCs w:val="21"/>
                    </w:rPr>
                  </w:pPr>
                </w:p>
              </w:tc>
              <w:tc>
                <w:tcPr>
                  <w:tcW w:w="208" w:type="pct"/>
                  <w:vMerge w:val="continue"/>
                  <w:vAlign w:val="center"/>
                </w:tcPr>
                <w:p w14:paraId="5BE3F8E7">
                  <w:pPr>
                    <w:spacing w:line="200" w:lineRule="atLeast"/>
                    <w:jc w:val="center"/>
                    <w:rPr>
                      <w:color w:val="auto"/>
                      <w:szCs w:val="21"/>
                    </w:rPr>
                  </w:pPr>
                </w:p>
              </w:tc>
              <w:tc>
                <w:tcPr>
                  <w:tcW w:w="679" w:type="pct"/>
                  <w:vAlign w:val="center"/>
                </w:tcPr>
                <w:p w14:paraId="6427CC77">
                  <w:pPr>
                    <w:spacing w:line="200" w:lineRule="atLeast"/>
                    <w:jc w:val="center"/>
                    <w:rPr>
                      <w:color w:val="auto"/>
                      <w:szCs w:val="21"/>
                    </w:rPr>
                  </w:pPr>
                  <w:r>
                    <w:rPr>
                      <w:rFonts w:hint="eastAsia"/>
                      <w:color w:val="auto"/>
                      <w:szCs w:val="21"/>
                    </w:rPr>
                    <w:t>碳酸钙</w:t>
                  </w:r>
                </w:p>
              </w:tc>
              <w:tc>
                <w:tcPr>
                  <w:tcW w:w="663" w:type="pct"/>
                  <w:vAlign w:val="center"/>
                </w:tcPr>
                <w:p w14:paraId="5147FEB9">
                  <w:pPr>
                    <w:spacing w:line="200" w:lineRule="atLeast"/>
                    <w:jc w:val="center"/>
                    <w:rPr>
                      <w:color w:val="auto"/>
                      <w:szCs w:val="21"/>
                    </w:rPr>
                  </w:pPr>
                  <w:r>
                    <w:rPr>
                      <w:rFonts w:hint="eastAsia"/>
                      <w:color w:val="auto"/>
                      <w:szCs w:val="21"/>
                    </w:rPr>
                    <w:t>/</w:t>
                  </w:r>
                </w:p>
              </w:tc>
              <w:tc>
                <w:tcPr>
                  <w:tcW w:w="968" w:type="pct"/>
                  <w:vAlign w:val="center"/>
                </w:tcPr>
                <w:p w14:paraId="387E0350">
                  <w:pPr>
                    <w:spacing w:line="200" w:lineRule="atLeast"/>
                    <w:jc w:val="center"/>
                    <w:rPr>
                      <w:color w:val="auto"/>
                      <w:szCs w:val="21"/>
                    </w:rPr>
                  </w:pPr>
                  <w:r>
                    <w:rPr>
                      <w:rFonts w:hint="eastAsia"/>
                      <w:color w:val="auto"/>
                      <w:szCs w:val="21"/>
                    </w:rPr>
                    <w:t>/</w:t>
                  </w:r>
                </w:p>
              </w:tc>
              <w:tc>
                <w:tcPr>
                  <w:tcW w:w="902" w:type="pct"/>
                  <w:vAlign w:val="center"/>
                </w:tcPr>
                <w:p w14:paraId="5BB62771">
                  <w:pPr>
                    <w:spacing w:line="200" w:lineRule="atLeast"/>
                    <w:jc w:val="center"/>
                    <w:rPr>
                      <w:color w:val="auto"/>
                      <w:szCs w:val="21"/>
                    </w:rPr>
                  </w:pPr>
                  <w:r>
                    <w:rPr>
                      <w:rFonts w:hint="eastAsia"/>
                      <w:color w:val="auto"/>
                      <w:szCs w:val="21"/>
                    </w:rPr>
                    <w:t>/</w:t>
                  </w:r>
                </w:p>
              </w:tc>
              <w:tc>
                <w:tcPr>
                  <w:tcW w:w="1275" w:type="pct"/>
                  <w:vAlign w:val="center"/>
                </w:tcPr>
                <w:p w14:paraId="03413D7D">
                  <w:pPr>
                    <w:spacing w:line="200" w:lineRule="atLeast"/>
                    <w:jc w:val="center"/>
                    <w:rPr>
                      <w:color w:val="auto"/>
                      <w:szCs w:val="21"/>
                    </w:rPr>
                  </w:pPr>
                  <w:r>
                    <w:rPr>
                      <w:rFonts w:hint="eastAsia"/>
                      <w:color w:val="auto"/>
                      <w:szCs w:val="21"/>
                    </w:rPr>
                    <w:t>/</w:t>
                  </w:r>
                </w:p>
              </w:tc>
            </w:tr>
            <w:tr w14:paraId="74D6AA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724" w:type="pct"/>
                  <w:gridSpan w:val="6"/>
                  <w:vAlign w:val="center"/>
                </w:tcPr>
                <w:p w14:paraId="7A3D20E3">
                  <w:pPr>
                    <w:adjustRightInd w:val="0"/>
                    <w:snapToGrid w:val="0"/>
                    <w:jc w:val="center"/>
                    <w:rPr>
                      <w:bCs/>
                      <w:color w:val="auto"/>
                      <w:szCs w:val="21"/>
                    </w:rPr>
                  </w:pPr>
                  <w:r>
                    <w:rPr>
                      <w:bCs/>
                      <w:color w:val="auto"/>
                      <w:szCs w:val="21"/>
                    </w:rPr>
                    <w:t>合计</w:t>
                  </w:r>
                </w:p>
              </w:tc>
              <w:tc>
                <w:tcPr>
                  <w:tcW w:w="1275" w:type="pct"/>
                  <w:vAlign w:val="center"/>
                </w:tcPr>
                <w:p w14:paraId="3E0443DE">
                  <w:pPr>
                    <w:adjustRightInd w:val="0"/>
                    <w:snapToGrid w:val="0"/>
                    <w:jc w:val="center"/>
                    <w:rPr>
                      <w:rFonts w:hint="default" w:eastAsia="宋体"/>
                      <w:bCs/>
                      <w:color w:val="auto"/>
                      <w:szCs w:val="21"/>
                      <w:lang w:val="en-US" w:eastAsia="zh-CN"/>
                    </w:rPr>
                  </w:pPr>
                  <w:r>
                    <w:rPr>
                      <w:rFonts w:hint="eastAsia"/>
                      <w:bCs/>
                      <w:color w:val="auto"/>
                      <w:szCs w:val="21"/>
                    </w:rPr>
                    <w:t>0.</w:t>
                  </w:r>
                  <w:r>
                    <w:rPr>
                      <w:rFonts w:hint="eastAsia"/>
                      <w:bCs/>
                      <w:color w:val="auto"/>
                      <w:szCs w:val="21"/>
                      <w:lang w:val="en-US" w:eastAsia="zh-CN"/>
                    </w:rPr>
                    <w:t>36407755</w:t>
                  </w:r>
                </w:p>
              </w:tc>
            </w:tr>
          </w:tbl>
          <w:p w14:paraId="5A9176A9">
            <w:pPr>
              <w:autoSpaceDE w:val="0"/>
              <w:autoSpaceDN w:val="0"/>
              <w:adjustRightInd w:val="0"/>
              <w:snapToGrid w:val="0"/>
              <w:spacing w:before="120" w:beforeLines="50" w:line="360" w:lineRule="auto"/>
              <w:ind w:firstLine="480" w:firstLineChars="200"/>
              <w:rPr>
                <w:bCs/>
                <w:color w:val="auto"/>
                <w:sz w:val="24"/>
              </w:rPr>
            </w:pPr>
            <w:r>
              <w:rPr>
                <w:bCs/>
                <w:color w:val="auto"/>
                <w:sz w:val="24"/>
              </w:rPr>
              <w:t>经核算本项目物质总量与其临界量比值</w:t>
            </w:r>
            <w:r>
              <w:rPr>
                <w:rFonts w:hint="eastAsia"/>
                <w:color w:val="auto"/>
                <w:sz w:val="24"/>
              </w:rPr>
              <w:t>0.</w:t>
            </w:r>
            <w:r>
              <w:rPr>
                <w:rFonts w:hint="eastAsia"/>
                <w:color w:val="auto"/>
                <w:sz w:val="24"/>
                <w:lang w:val="en-US" w:eastAsia="zh-CN"/>
              </w:rPr>
              <w:t>36407755</w:t>
            </w:r>
            <w:r>
              <w:rPr>
                <w:color w:val="auto"/>
                <w:sz w:val="24"/>
              </w:rPr>
              <w:t>（Q＜1</w:t>
            </w:r>
            <w:r>
              <w:rPr>
                <w:bCs/>
                <w:color w:val="auto"/>
                <w:sz w:val="24"/>
              </w:rPr>
              <w:t>）。因此本项目环境风险潜势为Ⅰ。</w:t>
            </w:r>
          </w:p>
          <w:p w14:paraId="1241CD22">
            <w:pPr>
              <w:autoSpaceDE w:val="0"/>
              <w:autoSpaceDN w:val="0"/>
              <w:adjustRightInd w:val="0"/>
              <w:snapToGrid w:val="0"/>
              <w:spacing w:line="360" w:lineRule="auto"/>
              <w:ind w:firstLine="482" w:firstLineChars="200"/>
              <w:rPr>
                <w:b/>
                <w:color w:val="auto"/>
                <w:sz w:val="24"/>
              </w:rPr>
            </w:pPr>
            <w:r>
              <w:rPr>
                <w:rFonts w:hint="eastAsia"/>
                <w:b/>
                <w:color w:val="auto"/>
                <w:sz w:val="24"/>
                <w:lang w:eastAsia="zh-CN"/>
              </w:rPr>
              <w:t>2.</w:t>
            </w:r>
            <w:r>
              <w:rPr>
                <w:b/>
                <w:color w:val="auto"/>
                <w:sz w:val="24"/>
              </w:rPr>
              <w:t>评价等级</w:t>
            </w:r>
          </w:p>
          <w:p w14:paraId="006CC67A">
            <w:pPr>
              <w:autoSpaceDE w:val="0"/>
              <w:autoSpaceDN w:val="0"/>
              <w:adjustRightInd w:val="0"/>
              <w:snapToGrid w:val="0"/>
              <w:spacing w:line="360" w:lineRule="auto"/>
              <w:ind w:firstLine="480" w:firstLineChars="200"/>
              <w:rPr>
                <w:color w:val="auto"/>
                <w:sz w:val="24"/>
              </w:rPr>
            </w:pPr>
            <w:r>
              <w:rPr>
                <w:color w:val="auto"/>
                <w:sz w:val="24"/>
              </w:rPr>
              <w:t>项目环境风险等级划分情况见表4-</w:t>
            </w:r>
            <w:r>
              <w:rPr>
                <w:rFonts w:hint="eastAsia"/>
                <w:color w:val="auto"/>
                <w:sz w:val="24"/>
              </w:rPr>
              <w:t>31</w:t>
            </w:r>
            <w:r>
              <w:rPr>
                <w:color w:val="auto"/>
                <w:sz w:val="24"/>
              </w:rPr>
              <w:t>。</w:t>
            </w:r>
          </w:p>
          <w:p w14:paraId="105B74DE">
            <w:pPr>
              <w:autoSpaceDE w:val="0"/>
              <w:autoSpaceDN w:val="0"/>
              <w:adjustRightInd w:val="0"/>
              <w:snapToGrid w:val="0"/>
              <w:jc w:val="center"/>
              <w:rPr>
                <w:color w:val="auto"/>
                <w:sz w:val="24"/>
              </w:rPr>
            </w:pPr>
            <w:r>
              <w:rPr>
                <w:b/>
                <w:bCs/>
                <w:color w:val="auto"/>
                <w:szCs w:val="21"/>
              </w:rPr>
              <w:t>表4-</w:t>
            </w:r>
            <w:r>
              <w:rPr>
                <w:rFonts w:hint="eastAsia"/>
                <w:b/>
                <w:bCs/>
                <w:color w:val="auto"/>
                <w:szCs w:val="21"/>
              </w:rPr>
              <w:t>31</w:t>
            </w:r>
            <w:r>
              <w:rPr>
                <w:b/>
                <w:bCs/>
                <w:color w:val="auto"/>
                <w:szCs w:val="21"/>
              </w:rPr>
              <w:t xml:space="preserve">  项目环境风险综合评级工作等级划分</w:t>
            </w:r>
          </w:p>
          <w:tbl>
            <w:tblPr>
              <w:tblStyle w:val="89"/>
              <w:tblW w:w="878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354"/>
              <w:gridCol w:w="1399"/>
              <w:gridCol w:w="1659"/>
              <w:gridCol w:w="1677"/>
              <w:gridCol w:w="1691"/>
            </w:tblGrid>
            <w:tr w14:paraId="3908D1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54" w:type="dxa"/>
                  <w:shd w:val="clear" w:color="auto" w:fill="auto"/>
                  <w:vAlign w:val="center"/>
                </w:tcPr>
                <w:p w14:paraId="602D34D3">
                  <w:pPr>
                    <w:jc w:val="center"/>
                    <w:rPr>
                      <w:b/>
                      <w:color w:val="auto"/>
                      <w:szCs w:val="21"/>
                    </w:rPr>
                  </w:pPr>
                  <w:r>
                    <w:rPr>
                      <w:b/>
                      <w:color w:val="auto"/>
                      <w:szCs w:val="21"/>
                    </w:rPr>
                    <w:t>环境风险潜势</w:t>
                  </w:r>
                </w:p>
              </w:tc>
              <w:tc>
                <w:tcPr>
                  <w:tcW w:w="1399" w:type="dxa"/>
                  <w:shd w:val="clear" w:color="auto" w:fill="auto"/>
                  <w:vAlign w:val="center"/>
                </w:tcPr>
                <w:p w14:paraId="7EB99F5E">
                  <w:pPr>
                    <w:jc w:val="center"/>
                    <w:rPr>
                      <w:b/>
                      <w:color w:val="auto"/>
                      <w:szCs w:val="21"/>
                    </w:rPr>
                  </w:pPr>
                  <w:r>
                    <w:rPr>
                      <w:b/>
                      <w:color w:val="auto"/>
                      <w:szCs w:val="21"/>
                    </w:rPr>
                    <w:t>Ⅳ、Ⅳ+</w:t>
                  </w:r>
                </w:p>
              </w:tc>
              <w:tc>
                <w:tcPr>
                  <w:tcW w:w="1659" w:type="dxa"/>
                  <w:shd w:val="clear" w:color="auto" w:fill="auto"/>
                  <w:vAlign w:val="center"/>
                </w:tcPr>
                <w:p w14:paraId="03104481">
                  <w:pPr>
                    <w:jc w:val="center"/>
                    <w:rPr>
                      <w:b/>
                      <w:color w:val="auto"/>
                      <w:szCs w:val="21"/>
                    </w:rPr>
                  </w:pPr>
                  <w:r>
                    <w:rPr>
                      <w:b/>
                      <w:color w:val="auto"/>
                      <w:szCs w:val="21"/>
                    </w:rPr>
                    <w:t>Ⅲ</w:t>
                  </w:r>
                </w:p>
              </w:tc>
              <w:tc>
                <w:tcPr>
                  <w:tcW w:w="1677" w:type="dxa"/>
                  <w:shd w:val="clear" w:color="auto" w:fill="auto"/>
                  <w:vAlign w:val="center"/>
                </w:tcPr>
                <w:p w14:paraId="6EF2A1FD">
                  <w:pPr>
                    <w:jc w:val="center"/>
                    <w:rPr>
                      <w:b/>
                      <w:color w:val="auto"/>
                      <w:szCs w:val="21"/>
                    </w:rPr>
                  </w:pPr>
                  <w:r>
                    <w:rPr>
                      <w:b/>
                      <w:color w:val="auto"/>
                      <w:szCs w:val="21"/>
                    </w:rPr>
                    <w:t>Ⅱ</w:t>
                  </w:r>
                </w:p>
              </w:tc>
              <w:tc>
                <w:tcPr>
                  <w:tcW w:w="1691" w:type="dxa"/>
                  <w:tcBorders>
                    <w:top w:val="single" w:color="000000" w:sz="12" w:space="0"/>
                    <w:bottom w:val="single" w:color="000000" w:sz="2" w:space="0"/>
                  </w:tcBorders>
                  <w:shd w:val="pct10" w:color="auto" w:fill="auto"/>
                  <w:vAlign w:val="center"/>
                </w:tcPr>
                <w:p w14:paraId="577697CB">
                  <w:pPr>
                    <w:jc w:val="center"/>
                    <w:rPr>
                      <w:b/>
                      <w:color w:val="auto"/>
                      <w:szCs w:val="21"/>
                    </w:rPr>
                  </w:pPr>
                  <w:r>
                    <w:rPr>
                      <w:b/>
                      <w:color w:val="auto"/>
                      <w:szCs w:val="21"/>
                    </w:rPr>
                    <w:t>Ⅰ</w:t>
                  </w:r>
                </w:p>
              </w:tc>
            </w:tr>
            <w:tr w14:paraId="57CD0E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54" w:type="dxa"/>
                  <w:shd w:val="clear" w:color="auto" w:fill="auto"/>
                  <w:vAlign w:val="center"/>
                </w:tcPr>
                <w:p w14:paraId="334DA2C0">
                  <w:pPr>
                    <w:jc w:val="center"/>
                    <w:rPr>
                      <w:color w:val="auto"/>
                      <w:szCs w:val="21"/>
                    </w:rPr>
                  </w:pPr>
                  <w:r>
                    <w:rPr>
                      <w:color w:val="auto"/>
                      <w:szCs w:val="21"/>
                    </w:rPr>
                    <w:t>评价工作等级</w:t>
                  </w:r>
                </w:p>
              </w:tc>
              <w:tc>
                <w:tcPr>
                  <w:tcW w:w="1399" w:type="dxa"/>
                  <w:shd w:val="clear" w:color="auto" w:fill="auto"/>
                  <w:vAlign w:val="center"/>
                </w:tcPr>
                <w:p w14:paraId="384B513D">
                  <w:pPr>
                    <w:jc w:val="center"/>
                    <w:rPr>
                      <w:color w:val="auto"/>
                      <w:szCs w:val="21"/>
                    </w:rPr>
                  </w:pPr>
                  <w:r>
                    <w:rPr>
                      <w:color w:val="auto"/>
                      <w:szCs w:val="21"/>
                    </w:rPr>
                    <w:t>一</w:t>
                  </w:r>
                </w:p>
              </w:tc>
              <w:tc>
                <w:tcPr>
                  <w:tcW w:w="1659" w:type="dxa"/>
                  <w:shd w:val="clear" w:color="auto" w:fill="auto"/>
                  <w:vAlign w:val="center"/>
                </w:tcPr>
                <w:p w14:paraId="4F1A8DB3">
                  <w:pPr>
                    <w:jc w:val="center"/>
                    <w:rPr>
                      <w:b/>
                      <w:color w:val="auto"/>
                      <w:szCs w:val="21"/>
                    </w:rPr>
                  </w:pPr>
                  <w:r>
                    <w:rPr>
                      <w:b/>
                      <w:color w:val="auto"/>
                      <w:szCs w:val="21"/>
                    </w:rPr>
                    <w:t>二</w:t>
                  </w:r>
                </w:p>
              </w:tc>
              <w:tc>
                <w:tcPr>
                  <w:tcW w:w="1677" w:type="dxa"/>
                  <w:shd w:val="clear" w:color="auto" w:fill="auto"/>
                  <w:vAlign w:val="center"/>
                </w:tcPr>
                <w:p w14:paraId="5D857D42">
                  <w:pPr>
                    <w:jc w:val="center"/>
                    <w:rPr>
                      <w:color w:val="auto"/>
                      <w:szCs w:val="21"/>
                    </w:rPr>
                  </w:pPr>
                  <w:r>
                    <w:rPr>
                      <w:color w:val="auto"/>
                      <w:szCs w:val="21"/>
                    </w:rPr>
                    <w:t>三</w:t>
                  </w:r>
                </w:p>
              </w:tc>
              <w:tc>
                <w:tcPr>
                  <w:tcW w:w="1691" w:type="dxa"/>
                  <w:tcBorders>
                    <w:top w:val="single" w:color="000000" w:sz="2" w:space="0"/>
                    <w:bottom w:val="single" w:color="000000" w:sz="12" w:space="0"/>
                  </w:tcBorders>
                  <w:shd w:val="pct10" w:color="auto" w:fill="auto"/>
                  <w:vAlign w:val="center"/>
                </w:tcPr>
                <w:p w14:paraId="50C66D4B">
                  <w:pPr>
                    <w:jc w:val="center"/>
                    <w:rPr>
                      <w:color w:val="auto"/>
                      <w:szCs w:val="21"/>
                    </w:rPr>
                  </w:pPr>
                  <w:r>
                    <w:rPr>
                      <w:color w:val="auto"/>
                      <w:szCs w:val="21"/>
                    </w:rPr>
                    <w:t>简单分析</w:t>
                  </w:r>
                </w:p>
              </w:tc>
            </w:tr>
          </w:tbl>
          <w:p w14:paraId="55130EAF">
            <w:pPr>
              <w:adjustRightInd w:val="0"/>
              <w:snapToGrid w:val="0"/>
              <w:spacing w:line="360" w:lineRule="auto"/>
              <w:ind w:firstLine="480" w:firstLineChars="200"/>
              <w:rPr>
                <w:color w:val="auto"/>
                <w:sz w:val="24"/>
              </w:rPr>
            </w:pPr>
            <w:r>
              <w:rPr>
                <w:color w:val="auto"/>
                <w:sz w:val="24"/>
              </w:rPr>
              <w:t>项目风险潜势为Ⅰ，可开展简单分析，参照附录A，在描述危险物质、环境影响途径、环境危害后果、风险防范措施等方面给出定性的说明。</w:t>
            </w:r>
          </w:p>
          <w:p w14:paraId="65ED92E9">
            <w:pPr>
              <w:adjustRightInd w:val="0"/>
              <w:snapToGrid w:val="0"/>
              <w:spacing w:line="360" w:lineRule="auto"/>
              <w:ind w:firstLine="482" w:firstLineChars="200"/>
              <w:rPr>
                <w:b/>
                <w:bCs/>
                <w:color w:val="auto"/>
                <w:sz w:val="24"/>
              </w:rPr>
            </w:pPr>
            <w:r>
              <w:rPr>
                <w:rFonts w:hint="eastAsia"/>
                <w:b/>
                <w:bCs/>
                <w:color w:val="auto"/>
                <w:sz w:val="24"/>
                <w:lang w:eastAsia="zh-CN"/>
              </w:rPr>
              <w:t>3.</w:t>
            </w:r>
            <w:r>
              <w:rPr>
                <w:rFonts w:hint="eastAsia"/>
                <w:b/>
                <w:bCs/>
                <w:color w:val="auto"/>
                <w:sz w:val="24"/>
              </w:rPr>
              <w:t>环境风险识别</w:t>
            </w:r>
          </w:p>
          <w:p w14:paraId="0728C46E">
            <w:pPr>
              <w:adjustRightInd w:val="0"/>
              <w:snapToGrid w:val="0"/>
              <w:spacing w:line="360" w:lineRule="auto"/>
              <w:ind w:firstLine="480" w:firstLineChars="200"/>
              <w:rPr>
                <w:color w:val="auto"/>
                <w:sz w:val="24"/>
              </w:rPr>
            </w:pPr>
            <w:r>
              <w:rPr>
                <w:rFonts w:hint="eastAsia"/>
                <w:color w:val="auto"/>
                <w:sz w:val="24"/>
              </w:rPr>
              <w:t>根据风险调查结果，企业环境风险识别如下表。</w:t>
            </w:r>
          </w:p>
          <w:p w14:paraId="43000FD2">
            <w:pPr>
              <w:widowControl/>
              <w:adjustRightInd w:val="0"/>
              <w:snapToGrid w:val="0"/>
              <w:ind w:firstLine="422" w:firstLineChars="200"/>
              <w:jc w:val="center"/>
              <w:rPr>
                <w:b/>
                <w:bCs/>
                <w:color w:val="auto"/>
                <w:kern w:val="0"/>
                <w:szCs w:val="21"/>
              </w:rPr>
            </w:pPr>
            <w:r>
              <w:rPr>
                <w:rFonts w:hAnsi="宋体"/>
                <w:b/>
                <w:bCs/>
                <w:color w:val="auto"/>
                <w:kern w:val="0"/>
                <w:szCs w:val="21"/>
              </w:rPr>
              <w:t>表</w:t>
            </w:r>
            <w:r>
              <w:rPr>
                <w:rFonts w:hint="eastAsia"/>
                <w:b/>
                <w:bCs/>
                <w:color w:val="auto"/>
                <w:kern w:val="0"/>
                <w:szCs w:val="21"/>
                <w:lang w:bidi="en-US"/>
              </w:rPr>
              <w:t>4-32</w:t>
            </w:r>
            <w:r>
              <w:rPr>
                <w:rFonts w:hint="eastAsia" w:hAnsi="宋体"/>
                <w:b/>
                <w:color w:val="auto"/>
                <w:szCs w:val="21"/>
              </w:rPr>
              <w:t>建设项目</w:t>
            </w:r>
            <w:r>
              <w:rPr>
                <w:rFonts w:hAnsi="宋体"/>
                <w:b/>
                <w:bCs/>
                <w:color w:val="auto"/>
                <w:kern w:val="0"/>
                <w:szCs w:val="21"/>
              </w:rPr>
              <w:t>环境风险识别汇总表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72"/>
              <w:gridCol w:w="1621"/>
              <w:gridCol w:w="1504"/>
              <w:gridCol w:w="1504"/>
              <w:gridCol w:w="1369"/>
              <w:gridCol w:w="1807"/>
            </w:tblGrid>
            <w:tr w14:paraId="62524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4AB161D1">
                  <w:pPr>
                    <w:adjustRightInd w:val="0"/>
                    <w:snapToGrid w:val="0"/>
                    <w:jc w:val="center"/>
                    <w:rPr>
                      <w:rFonts w:hint="eastAsia" w:ascii="宋体" w:hAnsi="宋体" w:cs="宋体"/>
                      <w:b/>
                      <w:color w:val="auto"/>
                      <w:szCs w:val="21"/>
                    </w:rPr>
                  </w:pPr>
                  <w:r>
                    <w:rPr>
                      <w:rFonts w:hint="eastAsia" w:ascii="宋体" w:hAnsi="宋体" w:cs="宋体"/>
                      <w:b/>
                      <w:color w:val="auto"/>
                      <w:szCs w:val="21"/>
                    </w:rPr>
                    <w:t>序号</w:t>
                  </w:r>
                </w:p>
              </w:tc>
              <w:tc>
                <w:tcPr>
                  <w:tcW w:w="956" w:type="pct"/>
                  <w:vAlign w:val="center"/>
                </w:tcPr>
                <w:p w14:paraId="40D2C254">
                  <w:pPr>
                    <w:adjustRightInd w:val="0"/>
                    <w:snapToGrid w:val="0"/>
                    <w:jc w:val="center"/>
                    <w:rPr>
                      <w:rFonts w:hint="eastAsia" w:ascii="宋体" w:hAnsi="宋体" w:cs="宋体"/>
                      <w:b/>
                      <w:color w:val="auto"/>
                      <w:szCs w:val="21"/>
                    </w:rPr>
                  </w:pPr>
                  <w:r>
                    <w:rPr>
                      <w:rFonts w:hint="eastAsia" w:ascii="宋体" w:hAnsi="宋体" w:cs="宋体"/>
                      <w:b/>
                      <w:color w:val="auto"/>
                      <w:szCs w:val="21"/>
                    </w:rPr>
                    <w:t>危险单元</w:t>
                  </w:r>
                </w:p>
              </w:tc>
              <w:tc>
                <w:tcPr>
                  <w:tcW w:w="887" w:type="pct"/>
                  <w:vAlign w:val="center"/>
                </w:tcPr>
                <w:p w14:paraId="6E7E1EEF">
                  <w:pPr>
                    <w:adjustRightInd w:val="0"/>
                    <w:snapToGrid w:val="0"/>
                    <w:jc w:val="center"/>
                    <w:rPr>
                      <w:rFonts w:hint="eastAsia" w:ascii="宋体" w:hAnsi="宋体" w:cs="宋体"/>
                      <w:b/>
                      <w:color w:val="auto"/>
                      <w:szCs w:val="21"/>
                    </w:rPr>
                  </w:pPr>
                  <w:r>
                    <w:rPr>
                      <w:rFonts w:hint="eastAsia" w:ascii="宋体" w:hAnsi="宋体" w:cs="宋体"/>
                      <w:b/>
                      <w:color w:val="auto"/>
                      <w:szCs w:val="21"/>
                    </w:rPr>
                    <w:t>主要危险</w:t>
                  </w:r>
                </w:p>
                <w:p w14:paraId="249867D7">
                  <w:pPr>
                    <w:adjustRightInd w:val="0"/>
                    <w:snapToGrid w:val="0"/>
                    <w:jc w:val="center"/>
                    <w:rPr>
                      <w:rFonts w:hint="eastAsia" w:ascii="宋体" w:hAnsi="宋体" w:cs="宋体"/>
                      <w:b/>
                      <w:color w:val="auto"/>
                      <w:szCs w:val="21"/>
                    </w:rPr>
                  </w:pPr>
                  <w:r>
                    <w:rPr>
                      <w:rFonts w:hint="eastAsia" w:ascii="宋体" w:hAnsi="宋体" w:cs="宋体"/>
                      <w:b/>
                      <w:color w:val="auto"/>
                      <w:szCs w:val="21"/>
                    </w:rPr>
                    <w:t>物质</w:t>
                  </w:r>
                </w:p>
              </w:tc>
              <w:tc>
                <w:tcPr>
                  <w:tcW w:w="887" w:type="pct"/>
                  <w:vAlign w:val="center"/>
                </w:tcPr>
                <w:p w14:paraId="355B6DA1">
                  <w:pPr>
                    <w:adjustRightInd w:val="0"/>
                    <w:snapToGrid w:val="0"/>
                    <w:jc w:val="center"/>
                    <w:rPr>
                      <w:rFonts w:hint="eastAsia" w:ascii="宋体" w:hAnsi="宋体" w:cs="宋体"/>
                      <w:b/>
                      <w:color w:val="auto"/>
                      <w:szCs w:val="21"/>
                    </w:rPr>
                  </w:pPr>
                  <w:r>
                    <w:rPr>
                      <w:rFonts w:hint="eastAsia" w:ascii="宋体" w:hAnsi="宋体" w:cs="宋体"/>
                      <w:b/>
                      <w:color w:val="auto"/>
                      <w:szCs w:val="21"/>
                    </w:rPr>
                    <w:t>环境风险类型</w:t>
                  </w:r>
                </w:p>
              </w:tc>
              <w:tc>
                <w:tcPr>
                  <w:tcW w:w="807" w:type="pct"/>
                  <w:vAlign w:val="center"/>
                </w:tcPr>
                <w:p w14:paraId="3F4E361B">
                  <w:pPr>
                    <w:adjustRightInd w:val="0"/>
                    <w:snapToGrid w:val="0"/>
                    <w:jc w:val="center"/>
                    <w:rPr>
                      <w:rFonts w:hint="eastAsia" w:ascii="宋体" w:hAnsi="宋体" w:cs="宋体"/>
                      <w:b/>
                      <w:color w:val="auto"/>
                      <w:szCs w:val="21"/>
                    </w:rPr>
                  </w:pPr>
                  <w:r>
                    <w:rPr>
                      <w:rFonts w:hint="eastAsia" w:ascii="宋体" w:hAnsi="宋体" w:cs="宋体"/>
                      <w:b/>
                      <w:color w:val="auto"/>
                      <w:szCs w:val="21"/>
                    </w:rPr>
                    <w:t>环境影响途径</w:t>
                  </w:r>
                </w:p>
              </w:tc>
              <w:tc>
                <w:tcPr>
                  <w:tcW w:w="1065" w:type="pct"/>
                  <w:vAlign w:val="center"/>
                </w:tcPr>
                <w:p w14:paraId="591B7C4E">
                  <w:pPr>
                    <w:adjustRightInd w:val="0"/>
                    <w:snapToGrid w:val="0"/>
                    <w:jc w:val="center"/>
                    <w:rPr>
                      <w:rFonts w:hint="eastAsia" w:ascii="宋体" w:hAnsi="宋体" w:cs="宋体"/>
                      <w:b/>
                      <w:color w:val="auto"/>
                      <w:szCs w:val="21"/>
                    </w:rPr>
                  </w:pPr>
                  <w:r>
                    <w:rPr>
                      <w:rFonts w:hint="eastAsia" w:ascii="宋体" w:hAnsi="宋体" w:cs="宋体"/>
                      <w:b/>
                      <w:color w:val="auto"/>
                      <w:szCs w:val="21"/>
                    </w:rPr>
                    <w:t>可能受影响的环境敏感目标</w:t>
                  </w:r>
                </w:p>
              </w:tc>
            </w:tr>
            <w:tr w14:paraId="1921D0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06" w:hRule="atLeast"/>
                <w:jc w:val="center"/>
              </w:trPr>
              <w:tc>
                <w:tcPr>
                  <w:tcW w:w="396" w:type="pct"/>
                  <w:vAlign w:val="center"/>
                </w:tcPr>
                <w:p w14:paraId="24FD017D">
                  <w:pPr>
                    <w:adjustRightInd w:val="0"/>
                    <w:snapToGrid w:val="0"/>
                    <w:jc w:val="center"/>
                    <w:rPr>
                      <w:rFonts w:hint="eastAsia" w:ascii="宋体" w:hAnsi="宋体" w:cs="宋体"/>
                      <w:color w:val="auto"/>
                      <w:szCs w:val="21"/>
                    </w:rPr>
                  </w:pPr>
                  <w:r>
                    <w:rPr>
                      <w:rFonts w:hint="eastAsia" w:ascii="宋体" w:hAnsi="宋体" w:cs="宋体"/>
                      <w:color w:val="auto"/>
                      <w:szCs w:val="21"/>
                    </w:rPr>
                    <w:t>1</w:t>
                  </w:r>
                </w:p>
              </w:tc>
              <w:tc>
                <w:tcPr>
                  <w:tcW w:w="956" w:type="pct"/>
                  <w:vAlign w:val="center"/>
                </w:tcPr>
                <w:p w14:paraId="79F7BABF">
                  <w:pPr>
                    <w:adjustRightInd w:val="0"/>
                    <w:snapToGrid w:val="0"/>
                    <w:jc w:val="center"/>
                    <w:rPr>
                      <w:rFonts w:hint="eastAsia" w:ascii="宋体" w:hAnsi="宋体" w:cs="宋体"/>
                      <w:color w:val="auto"/>
                      <w:szCs w:val="21"/>
                    </w:rPr>
                  </w:pPr>
                  <w:r>
                    <w:rPr>
                      <w:rFonts w:hint="eastAsia" w:ascii="宋体" w:hAnsi="宋体" w:cs="宋体"/>
                      <w:color w:val="auto"/>
                      <w:szCs w:val="21"/>
                    </w:rPr>
                    <w:t>原料仓库</w:t>
                  </w:r>
                </w:p>
              </w:tc>
              <w:tc>
                <w:tcPr>
                  <w:tcW w:w="887" w:type="pct"/>
                  <w:tcBorders>
                    <w:bottom w:val="single" w:color="auto" w:sz="4" w:space="0"/>
                  </w:tcBorders>
                  <w:vAlign w:val="center"/>
                </w:tcPr>
                <w:p w14:paraId="591452A0">
                  <w:pPr>
                    <w:adjustRightInd w:val="0"/>
                    <w:snapToGrid w:val="0"/>
                    <w:jc w:val="center"/>
                    <w:rPr>
                      <w:rFonts w:hint="eastAsia" w:ascii="宋体" w:hAnsi="宋体" w:cs="宋体"/>
                      <w:color w:val="auto"/>
                      <w:szCs w:val="21"/>
                    </w:rPr>
                  </w:pPr>
                  <w:r>
                    <w:rPr>
                      <w:rFonts w:hint="eastAsia" w:ascii="宋体" w:hAnsi="宋体" w:cs="宋体"/>
                      <w:color w:val="auto"/>
                      <w:szCs w:val="21"/>
                    </w:rPr>
                    <w:t>机油</w:t>
                  </w:r>
                </w:p>
              </w:tc>
              <w:tc>
                <w:tcPr>
                  <w:tcW w:w="887" w:type="pct"/>
                  <w:tcBorders>
                    <w:bottom w:val="single" w:color="auto" w:sz="4" w:space="0"/>
                  </w:tcBorders>
                  <w:vAlign w:val="center"/>
                </w:tcPr>
                <w:p w14:paraId="6F33CA7C">
                  <w:pPr>
                    <w:adjustRightInd w:val="0"/>
                    <w:snapToGrid w:val="0"/>
                    <w:jc w:val="center"/>
                    <w:rPr>
                      <w:rFonts w:hint="eastAsia" w:ascii="宋体" w:hAnsi="宋体" w:cs="宋体"/>
                      <w:color w:val="auto"/>
                      <w:szCs w:val="21"/>
                    </w:rPr>
                  </w:pPr>
                  <w:r>
                    <w:rPr>
                      <w:rFonts w:hint="eastAsia" w:ascii="宋体" w:hAnsi="宋体" w:cs="宋体"/>
                      <w:color w:val="auto"/>
                      <w:szCs w:val="21"/>
                    </w:rPr>
                    <w:t>泄漏、火灾</w:t>
                  </w:r>
                </w:p>
              </w:tc>
              <w:tc>
                <w:tcPr>
                  <w:tcW w:w="807" w:type="pct"/>
                  <w:tcBorders>
                    <w:bottom w:val="single" w:color="auto" w:sz="4" w:space="0"/>
                  </w:tcBorders>
                  <w:vAlign w:val="center"/>
                </w:tcPr>
                <w:p w14:paraId="38CC95BC">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tcBorders>
                    <w:bottom w:val="single" w:color="auto" w:sz="4" w:space="0"/>
                  </w:tcBorders>
                  <w:vAlign w:val="center"/>
                </w:tcPr>
                <w:p w14:paraId="69E7C169">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r w14:paraId="7A90CC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45996D1B">
                  <w:pPr>
                    <w:adjustRightInd w:val="0"/>
                    <w:snapToGrid w:val="0"/>
                    <w:jc w:val="center"/>
                    <w:rPr>
                      <w:rFonts w:hint="eastAsia" w:ascii="宋体" w:hAnsi="宋体" w:cs="宋体"/>
                      <w:color w:val="auto"/>
                      <w:szCs w:val="21"/>
                    </w:rPr>
                  </w:pPr>
                  <w:r>
                    <w:rPr>
                      <w:rFonts w:hint="eastAsia" w:ascii="宋体" w:hAnsi="宋体" w:cs="宋体"/>
                      <w:color w:val="auto"/>
                      <w:szCs w:val="21"/>
                    </w:rPr>
                    <w:t>2</w:t>
                  </w:r>
                </w:p>
              </w:tc>
              <w:tc>
                <w:tcPr>
                  <w:tcW w:w="956" w:type="pct"/>
                  <w:vAlign w:val="center"/>
                </w:tcPr>
                <w:p w14:paraId="6D58005B">
                  <w:pPr>
                    <w:adjustRightInd w:val="0"/>
                    <w:snapToGrid w:val="0"/>
                    <w:jc w:val="center"/>
                    <w:rPr>
                      <w:rFonts w:hint="eastAsia" w:ascii="宋体" w:hAnsi="宋体" w:cs="宋体"/>
                      <w:color w:val="auto"/>
                      <w:szCs w:val="21"/>
                    </w:rPr>
                  </w:pPr>
                  <w:r>
                    <w:rPr>
                      <w:rFonts w:hint="eastAsia" w:ascii="宋体" w:hAnsi="宋体" w:cs="宋体"/>
                      <w:color w:val="auto"/>
                      <w:szCs w:val="21"/>
                    </w:rPr>
                    <w:t>危险废物暂存场所</w:t>
                  </w:r>
                </w:p>
              </w:tc>
              <w:tc>
                <w:tcPr>
                  <w:tcW w:w="887" w:type="pct"/>
                  <w:vAlign w:val="center"/>
                </w:tcPr>
                <w:p w14:paraId="352392BE">
                  <w:pPr>
                    <w:adjustRightInd w:val="0"/>
                    <w:snapToGrid w:val="0"/>
                    <w:jc w:val="center"/>
                    <w:rPr>
                      <w:rFonts w:hint="eastAsia" w:ascii="宋体" w:hAnsi="宋体" w:cs="宋体"/>
                      <w:color w:val="auto"/>
                      <w:szCs w:val="21"/>
                    </w:rPr>
                  </w:pPr>
                  <w:r>
                    <w:rPr>
                      <w:rFonts w:hint="eastAsia" w:ascii="宋体" w:hAnsi="宋体" w:cs="宋体"/>
                      <w:color w:val="auto"/>
                      <w:szCs w:val="21"/>
                    </w:rPr>
                    <w:t>危险废物等</w:t>
                  </w:r>
                </w:p>
              </w:tc>
              <w:tc>
                <w:tcPr>
                  <w:tcW w:w="887" w:type="pct"/>
                  <w:vAlign w:val="center"/>
                </w:tcPr>
                <w:p w14:paraId="5F0D9D23">
                  <w:pPr>
                    <w:adjustRightInd w:val="0"/>
                    <w:snapToGrid w:val="0"/>
                    <w:jc w:val="center"/>
                    <w:rPr>
                      <w:rFonts w:hint="eastAsia" w:ascii="宋体" w:hAnsi="宋体" w:cs="宋体"/>
                      <w:color w:val="auto"/>
                      <w:szCs w:val="21"/>
                    </w:rPr>
                  </w:pPr>
                  <w:r>
                    <w:rPr>
                      <w:rFonts w:hint="eastAsia" w:ascii="宋体" w:hAnsi="宋体" w:cs="宋体"/>
                      <w:color w:val="auto"/>
                      <w:szCs w:val="21"/>
                    </w:rPr>
                    <w:t>泄漏、火灾</w:t>
                  </w:r>
                </w:p>
              </w:tc>
              <w:tc>
                <w:tcPr>
                  <w:tcW w:w="807" w:type="pct"/>
                  <w:vAlign w:val="center"/>
                </w:tcPr>
                <w:p w14:paraId="6C698425">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2D74E33D">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居民区、土壤及地下水、附近水体等</w:t>
                  </w:r>
                </w:p>
              </w:tc>
            </w:tr>
            <w:tr w14:paraId="080ED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07C244BA">
                  <w:pPr>
                    <w:adjustRightInd w:val="0"/>
                    <w:snapToGrid w:val="0"/>
                    <w:jc w:val="center"/>
                    <w:rPr>
                      <w:rFonts w:hint="eastAsia" w:ascii="宋体" w:hAnsi="宋体" w:cs="宋体"/>
                      <w:color w:val="auto"/>
                      <w:szCs w:val="21"/>
                    </w:rPr>
                  </w:pPr>
                  <w:r>
                    <w:rPr>
                      <w:rFonts w:hint="eastAsia" w:ascii="宋体" w:hAnsi="宋体" w:cs="宋体"/>
                      <w:color w:val="auto"/>
                      <w:szCs w:val="21"/>
                    </w:rPr>
                    <w:t>3</w:t>
                  </w:r>
                </w:p>
              </w:tc>
              <w:tc>
                <w:tcPr>
                  <w:tcW w:w="956" w:type="pct"/>
                  <w:vAlign w:val="center"/>
                </w:tcPr>
                <w:p w14:paraId="380448EC">
                  <w:pPr>
                    <w:adjustRightInd w:val="0"/>
                    <w:snapToGrid w:val="0"/>
                    <w:jc w:val="center"/>
                    <w:rPr>
                      <w:rFonts w:hint="eastAsia" w:ascii="宋体" w:hAnsi="宋体" w:cs="宋体"/>
                      <w:color w:val="auto"/>
                      <w:szCs w:val="21"/>
                    </w:rPr>
                  </w:pPr>
                  <w:r>
                    <w:rPr>
                      <w:rFonts w:hint="eastAsia" w:ascii="宋体" w:hAnsi="宋体" w:cs="宋体"/>
                      <w:color w:val="auto"/>
                      <w:szCs w:val="21"/>
                    </w:rPr>
                    <w:t>厂房</w:t>
                  </w:r>
                </w:p>
              </w:tc>
              <w:tc>
                <w:tcPr>
                  <w:tcW w:w="887" w:type="pct"/>
                  <w:vAlign w:val="center"/>
                </w:tcPr>
                <w:p w14:paraId="2F5C57B3">
                  <w:pPr>
                    <w:adjustRightInd w:val="0"/>
                    <w:snapToGrid w:val="0"/>
                    <w:jc w:val="center"/>
                    <w:rPr>
                      <w:rFonts w:hint="eastAsia" w:ascii="宋体" w:hAnsi="宋体" w:cs="宋体"/>
                      <w:color w:val="auto"/>
                      <w:szCs w:val="21"/>
                    </w:rPr>
                  </w:pPr>
                  <w:r>
                    <w:rPr>
                      <w:rFonts w:hint="eastAsia" w:ascii="宋体" w:hAnsi="宋体" w:cs="宋体"/>
                      <w:color w:val="auto"/>
                      <w:szCs w:val="21"/>
                    </w:rPr>
                    <w:t>机油</w:t>
                  </w:r>
                </w:p>
              </w:tc>
              <w:tc>
                <w:tcPr>
                  <w:tcW w:w="887" w:type="pct"/>
                  <w:vAlign w:val="center"/>
                </w:tcPr>
                <w:p w14:paraId="2CDACB1B">
                  <w:pPr>
                    <w:adjustRightInd w:val="0"/>
                    <w:snapToGrid w:val="0"/>
                    <w:jc w:val="center"/>
                    <w:rPr>
                      <w:rFonts w:hint="eastAsia" w:ascii="宋体" w:hAnsi="宋体" w:cs="宋体"/>
                      <w:color w:val="auto"/>
                      <w:szCs w:val="21"/>
                    </w:rPr>
                  </w:pPr>
                  <w:r>
                    <w:rPr>
                      <w:rFonts w:hint="eastAsia" w:ascii="宋体" w:hAnsi="宋体" w:cs="宋体"/>
                      <w:color w:val="auto"/>
                      <w:szCs w:val="21"/>
                    </w:rPr>
                    <w:t>火灾、泄漏</w:t>
                  </w:r>
                </w:p>
              </w:tc>
              <w:tc>
                <w:tcPr>
                  <w:tcW w:w="807" w:type="pct"/>
                  <w:vAlign w:val="center"/>
                </w:tcPr>
                <w:p w14:paraId="0FCD3B8C">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09C706FD">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r w14:paraId="523F9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582DDB14">
                  <w:pPr>
                    <w:adjustRightInd w:val="0"/>
                    <w:snapToGrid w:val="0"/>
                    <w:jc w:val="center"/>
                    <w:rPr>
                      <w:rFonts w:hint="eastAsia" w:ascii="宋体" w:hAnsi="宋体" w:cs="宋体"/>
                      <w:color w:val="auto"/>
                      <w:szCs w:val="21"/>
                    </w:rPr>
                  </w:pPr>
                  <w:r>
                    <w:rPr>
                      <w:rFonts w:hint="eastAsia" w:ascii="宋体" w:hAnsi="宋体" w:cs="宋体"/>
                      <w:color w:val="auto"/>
                      <w:szCs w:val="21"/>
                    </w:rPr>
                    <w:t>4</w:t>
                  </w:r>
                </w:p>
              </w:tc>
              <w:tc>
                <w:tcPr>
                  <w:tcW w:w="956" w:type="pct"/>
                  <w:vAlign w:val="center"/>
                </w:tcPr>
                <w:p w14:paraId="167FBF4A">
                  <w:pPr>
                    <w:adjustRightInd w:val="0"/>
                    <w:snapToGrid w:val="0"/>
                    <w:jc w:val="center"/>
                    <w:rPr>
                      <w:rFonts w:hint="eastAsia" w:ascii="宋体" w:hAnsi="宋体" w:cs="宋体"/>
                      <w:color w:val="auto"/>
                      <w:szCs w:val="21"/>
                    </w:rPr>
                  </w:pPr>
                  <w:r>
                    <w:rPr>
                      <w:rFonts w:hint="eastAsia" w:ascii="宋体" w:hAnsi="宋体" w:cs="宋体"/>
                      <w:color w:val="auto"/>
                      <w:szCs w:val="21"/>
                    </w:rPr>
                    <w:t>废气处理装置</w:t>
                  </w:r>
                </w:p>
              </w:tc>
              <w:tc>
                <w:tcPr>
                  <w:tcW w:w="887" w:type="pct"/>
                  <w:vAlign w:val="center"/>
                </w:tcPr>
                <w:p w14:paraId="3F0C02A7">
                  <w:pPr>
                    <w:adjustRightInd w:val="0"/>
                    <w:snapToGrid w:val="0"/>
                    <w:jc w:val="center"/>
                    <w:rPr>
                      <w:rFonts w:hint="eastAsia" w:ascii="宋体" w:hAnsi="宋体" w:cs="宋体"/>
                      <w:color w:val="auto"/>
                      <w:szCs w:val="21"/>
                    </w:rPr>
                  </w:pPr>
                  <w:r>
                    <w:rPr>
                      <w:rFonts w:hint="eastAsia" w:ascii="宋体" w:hAnsi="宋体" w:cs="宋体"/>
                      <w:color w:val="auto"/>
                      <w:szCs w:val="21"/>
                    </w:rPr>
                    <w:t>非甲烷总烃</w:t>
                  </w:r>
                </w:p>
              </w:tc>
              <w:tc>
                <w:tcPr>
                  <w:tcW w:w="887" w:type="pct"/>
                  <w:vAlign w:val="center"/>
                </w:tcPr>
                <w:p w14:paraId="0EAA6E8F">
                  <w:pPr>
                    <w:adjustRightInd w:val="0"/>
                    <w:snapToGrid w:val="0"/>
                    <w:jc w:val="center"/>
                    <w:rPr>
                      <w:rFonts w:hint="eastAsia" w:ascii="宋体" w:hAnsi="宋体" w:cs="宋体"/>
                      <w:color w:val="auto"/>
                      <w:szCs w:val="21"/>
                    </w:rPr>
                  </w:pPr>
                  <w:r>
                    <w:rPr>
                      <w:rFonts w:hint="eastAsia" w:ascii="宋体" w:hAnsi="宋体" w:cs="宋体"/>
                      <w:color w:val="auto"/>
                      <w:szCs w:val="21"/>
                    </w:rPr>
                    <w:t>火灾、超标排放</w:t>
                  </w:r>
                </w:p>
              </w:tc>
              <w:tc>
                <w:tcPr>
                  <w:tcW w:w="807" w:type="pct"/>
                  <w:vAlign w:val="center"/>
                </w:tcPr>
                <w:p w14:paraId="5B9997FD">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4C7F8533">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bl>
          <w:p w14:paraId="0FD5A3AC">
            <w:pPr>
              <w:adjustRightInd w:val="0"/>
              <w:snapToGrid w:val="0"/>
              <w:spacing w:line="360" w:lineRule="auto"/>
              <w:ind w:firstLine="482" w:firstLineChars="200"/>
              <w:rPr>
                <w:b/>
                <w:bCs/>
                <w:color w:val="auto"/>
                <w:sz w:val="24"/>
              </w:rPr>
            </w:pPr>
            <w:r>
              <w:rPr>
                <w:rFonts w:hint="eastAsia"/>
                <w:b/>
                <w:bCs/>
                <w:color w:val="auto"/>
                <w:sz w:val="24"/>
                <w:lang w:eastAsia="zh-CN"/>
              </w:rPr>
              <w:t>4.</w:t>
            </w:r>
            <w:r>
              <w:rPr>
                <w:b/>
                <w:bCs/>
                <w:color w:val="auto"/>
                <w:sz w:val="24"/>
              </w:rPr>
              <w:t>风险防范措施</w:t>
            </w:r>
          </w:p>
          <w:p w14:paraId="77ACCDEF">
            <w:pPr>
              <w:widowControl/>
              <w:autoSpaceDE w:val="0"/>
              <w:autoSpaceDN w:val="0"/>
              <w:adjustRightInd w:val="0"/>
              <w:snapToGrid w:val="0"/>
              <w:spacing w:line="360" w:lineRule="auto"/>
              <w:ind w:firstLine="480" w:firstLineChars="200"/>
              <w:jc w:val="left"/>
              <w:rPr>
                <w:color w:val="auto"/>
                <w:kern w:val="0"/>
                <w:sz w:val="24"/>
              </w:rPr>
            </w:pPr>
            <w:r>
              <w:rPr>
                <w:rFonts w:hint="eastAsia" w:hAnsi="宋体"/>
                <w:color w:val="auto"/>
                <w:kern w:val="0"/>
                <w:sz w:val="24"/>
                <w:lang w:eastAsia="zh-CN"/>
              </w:rPr>
              <w:t>(1)</w:t>
            </w:r>
            <w:r>
              <w:rPr>
                <w:rFonts w:hAnsi="宋体"/>
                <w:color w:val="auto"/>
                <w:kern w:val="0"/>
                <w:sz w:val="24"/>
              </w:rPr>
              <w:t>泄漏</w:t>
            </w:r>
          </w:p>
          <w:p w14:paraId="3A0D22C2">
            <w:pPr>
              <w:adjustRightInd w:val="0"/>
              <w:snapToGrid w:val="0"/>
              <w:spacing w:line="360" w:lineRule="auto"/>
              <w:ind w:firstLine="480" w:firstLineChars="200"/>
              <w:jc w:val="left"/>
              <w:rPr>
                <w:color w:val="auto"/>
                <w:sz w:val="24"/>
              </w:rPr>
            </w:pPr>
            <w:r>
              <w:rPr>
                <w:rFonts w:hint="eastAsia" w:hAnsi="宋体"/>
                <w:color w:val="auto"/>
                <w:kern w:val="0"/>
                <w:sz w:val="24"/>
              </w:rPr>
              <w:t>原料仓库</w:t>
            </w:r>
            <w:r>
              <w:rPr>
                <w:color w:val="auto"/>
                <w:sz w:val="24"/>
              </w:rPr>
              <w:t>必须防渗、防漏、防雨</w:t>
            </w:r>
            <w:r>
              <w:rPr>
                <w:rFonts w:hint="eastAsia"/>
                <w:color w:val="auto"/>
                <w:sz w:val="24"/>
              </w:rPr>
              <w:t>，</w:t>
            </w:r>
            <w:r>
              <w:rPr>
                <w:color w:val="auto"/>
                <w:sz w:val="24"/>
              </w:rPr>
              <w:t>禁止使用易产生火花的机械设备和工具</w:t>
            </w:r>
            <w:r>
              <w:rPr>
                <w:rFonts w:hint="eastAsia"/>
                <w:color w:val="auto"/>
                <w:sz w:val="24"/>
              </w:rPr>
              <w:t>；</w:t>
            </w:r>
            <w:r>
              <w:rPr>
                <w:rFonts w:hAnsi="宋体"/>
                <w:color w:val="auto"/>
                <w:kern w:val="0"/>
                <w:sz w:val="24"/>
              </w:rPr>
              <w:t>危险废物贮存场所设置导流沟及收集槽收集泄漏物料，配备</w:t>
            </w:r>
            <w:r>
              <w:rPr>
                <w:rFonts w:hint="eastAsia" w:hAnsi="宋体"/>
                <w:color w:val="auto"/>
                <w:kern w:val="0"/>
                <w:sz w:val="24"/>
                <w:lang w:eastAsia="zh-CN"/>
              </w:rPr>
              <w:t>消防砂</w:t>
            </w:r>
            <w:r>
              <w:rPr>
                <w:rFonts w:hAnsi="宋体"/>
                <w:color w:val="auto"/>
                <w:kern w:val="0"/>
                <w:sz w:val="24"/>
              </w:rPr>
              <w:t>覆盖泄漏物减少蒸发，配备无火花收容工具收纳泄漏物料。</w:t>
            </w:r>
            <w:r>
              <w:rPr>
                <w:rFonts w:hAnsi="宋体"/>
                <w:color w:val="auto"/>
                <w:sz w:val="24"/>
              </w:rPr>
              <w:t>危险废物运输过程中注意不同类别的危险废物单独运输，固废的包装容器注意密闭，以免在运输途中发生危险废物的泄漏，从而产生二次污染。</w:t>
            </w:r>
          </w:p>
          <w:p w14:paraId="58E97693">
            <w:pPr>
              <w:widowControl/>
              <w:autoSpaceDE w:val="0"/>
              <w:autoSpaceDN w:val="0"/>
              <w:adjustRightInd w:val="0"/>
              <w:snapToGrid w:val="0"/>
              <w:spacing w:line="360" w:lineRule="auto"/>
              <w:ind w:firstLine="480" w:firstLineChars="200"/>
              <w:jc w:val="left"/>
              <w:rPr>
                <w:color w:val="auto"/>
                <w:kern w:val="0"/>
                <w:sz w:val="24"/>
              </w:rPr>
            </w:pPr>
            <w:r>
              <w:rPr>
                <w:rFonts w:hint="eastAsia" w:hAnsi="宋体"/>
                <w:color w:val="auto"/>
                <w:kern w:val="0"/>
                <w:sz w:val="24"/>
                <w:lang w:eastAsia="zh-CN"/>
              </w:rPr>
              <w:t>(2)</w:t>
            </w:r>
            <w:r>
              <w:rPr>
                <w:rFonts w:hAnsi="宋体"/>
                <w:color w:val="auto"/>
                <w:kern w:val="0"/>
                <w:sz w:val="24"/>
              </w:rPr>
              <w:t>火灾</w:t>
            </w:r>
          </w:p>
          <w:p w14:paraId="75AF616C">
            <w:pPr>
              <w:widowControl/>
              <w:autoSpaceDE w:val="0"/>
              <w:autoSpaceDN w:val="0"/>
              <w:adjustRightInd w:val="0"/>
              <w:snapToGrid w:val="0"/>
              <w:spacing w:line="360" w:lineRule="auto"/>
              <w:ind w:firstLine="480" w:firstLineChars="200"/>
              <w:rPr>
                <w:color w:val="auto"/>
                <w:kern w:val="0"/>
                <w:sz w:val="24"/>
              </w:rPr>
            </w:pPr>
            <w:r>
              <w:rPr>
                <w:rFonts w:hAnsi="宋体"/>
                <w:color w:val="auto"/>
                <w:kern w:val="0"/>
                <w:sz w:val="24"/>
              </w:rPr>
              <w:t>各区域按规范设置灭火器、消防设施并定期检查维护。发生火灾事故险情时，第一发现人应立即报告主管，根据事故险情和扑救具体情况采取适当措施，如需外援应立即拨打火警</w:t>
            </w:r>
            <w:r>
              <w:rPr>
                <w:color w:val="auto"/>
                <w:kern w:val="0"/>
                <w:sz w:val="24"/>
              </w:rPr>
              <w:t>119</w:t>
            </w:r>
            <w:r>
              <w:rPr>
                <w:rFonts w:hAnsi="宋体"/>
                <w:color w:val="auto"/>
                <w:kern w:val="0"/>
                <w:sz w:val="24"/>
              </w:rPr>
              <w:t>告知火灾危险严重程度。</w:t>
            </w:r>
          </w:p>
          <w:p w14:paraId="72285986">
            <w:pPr>
              <w:widowControl/>
              <w:autoSpaceDE w:val="0"/>
              <w:autoSpaceDN w:val="0"/>
              <w:adjustRightInd w:val="0"/>
              <w:snapToGrid w:val="0"/>
              <w:spacing w:line="360" w:lineRule="auto"/>
              <w:ind w:firstLine="480" w:firstLineChars="200"/>
              <w:rPr>
                <w:color w:val="auto"/>
                <w:kern w:val="0"/>
                <w:sz w:val="24"/>
              </w:rPr>
            </w:pPr>
            <w:r>
              <w:rPr>
                <w:rFonts w:hint="eastAsia" w:hAnsi="宋体"/>
                <w:color w:val="auto"/>
                <w:kern w:val="0"/>
                <w:sz w:val="24"/>
                <w:lang w:eastAsia="zh-CN"/>
              </w:rPr>
              <w:t>(3)</w:t>
            </w:r>
            <w:r>
              <w:rPr>
                <w:rFonts w:hAnsi="宋体"/>
                <w:color w:val="auto"/>
                <w:sz w:val="24"/>
              </w:rPr>
              <w:t>固废（危废）事故风险防范措施</w:t>
            </w:r>
          </w:p>
          <w:p w14:paraId="581F605D">
            <w:pPr>
              <w:adjustRightInd w:val="0"/>
              <w:spacing w:line="355" w:lineRule="auto"/>
              <w:ind w:firstLine="480" w:firstLineChars="200"/>
              <w:rPr>
                <w:color w:val="auto"/>
                <w:sz w:val="24"/>
              </w:rPr>
            </w:pPr>
            <w:r>
              <w:rPr>
                <w:rFonts w:hAnsi="宋体"/>
                <w:color w:val="auto"/>
                <w:sz w:val="24"/>
              </w:rPr>
              <w:t>厂内各种固废分类收集，盛放，临时存放室内固定场所，不被雨淋、风吹、专车运送，所有固废都得到合适的处置或综合利用，危险废物委托有资质的单位处置，生活垃圾由环卫部门统一收集处理，固废实现</w:t>
            </w:r>
            <w:r>
              <w:rPr>
                <w:rFonts w:hint="eastAsia"/>
                <w:color w:val="auto"/>
                <w:sz w:val="24"/>
              </w:rPr>
              <w:t>“</w:t>
            </w:r>
            <w:r>
              <w:rPr>
                <w:rFonts w:hAnsi="宋体"/>
                <w:color w:val="auto"/>
                <w:sz w:val="24"/>
              </w:rPr>
              <w:t>零排放</w:t>
            </w:r>
            <w:r>
              <w:rPr>
                <w:rFonts w:hint="eastAsia"/>
                <w:color w:val="auto"/>
                <w:sz w:val="24"/>
              </w:rPr>
              <w:t>”</w:t>
            </w:r>
            <w:r>
              <w:rPr>
                <w:rFonts w:hAnsi="宋体"/>
                <w:color w:val="auto"/>
                <w:sz w:val="24"/>
              </w:rPr>
              <w:t>。为避免危险废物对环境的危害，建议采用以下措施：</w:t>
            </w:r>
          </w:p>
          <w:p w14:paraId="057499FF">
            <w:pPr>
              <w:adjustRightInd w:val="0"/>
              <w:spacing w:line="355" w:lineRule="auto"/>
              <w:ind w:firstLine="480" w:firstLineChars="200"/>
              <w:rPr>
                <w:color w:val="auto"/>
                <w:sz w:val="24"/>
              </w:rPr>
            </w:pPr>
            <w:r>
              <w:rPr>
                <w:color w:val="auto"/>
                <w:sz w:val="24"/>
              </w:rPr>
              <w:fldChar w:fldCharType="begin"/>
            </w:r>
            <w:r>
              <w:rPr>
                <w:color w:val="auto"/>
                <w:sz w:val="24"/>
              </w:rPr>
              <w:instrText xml:space="preserve">= 1 \* GB3</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收集过程中要根据各种危险废物的性质进行分类、分别收集和临时贮存。</w:t>
            </w:r>
          </w:p>
          <w:p w14:paraId="7CA08EC7">
            <w:pPr>
              <w:adjustRightInd w:val="0"/>
              <w:spacing w:line="355" w:lineRule="auto"/>
              <w:ind w:firstLine="480" w:firstLineChars="200"/>
              <w:rPr>
                <w:color w:val="auto"/>
                <w:sz w:val="24"/>
              </w:rPr>
            </w:pPr>
            <w:r>
              <w:rPr>
                <w:color w:val="auto"/>
                <w:sz w:val="24"/>
              </w:rPr>
              <w:fldChar w:fldCharType="begin"/>
            </w:r>
            <w:r>
              <w:rPr>
                <w:color w:val="auto"/>
                <w:sz w:val="24"/>
              </w:rPr>
              <w:instrText xml:space="preserve">= 2 \* GB3</w:instrText>
            </w:r>
            <w:r>
              <w:rPr>
                <w:color w:val="auto"/>
                <w:sz w:val="24"/>
              </w:rPr>
              <w:fldChar w:fldCharType="separate"/>
            </w:r>
            <w:r>
              <w:rPr>
                <w:rFonts w:ascii="宋体" w:hAnsi="宋体"/>
                <w:color w:val="auto"/>
                <w:sz w:val="24"/>
              </w:rPr>
              <w:t>②</w:t>
            </w:r>
            <w:r>
              <w:rPr>
                <w:color w:val="auto"/>
                <w:sz w:val="24"/>
              </w:rPr>
              <w:fldChar w:fldCharType="end"/>
            </w:r>
            <w:r>
              <w:rPr>
                <w:rFonts w:hAnsi="宋体"/>
                <w:color w:val="auto"/>
                <w:sz w:val="24"/>
              </w:rPr>
              <w:t>厂内应设置专门的废物暂存场所、以便贮存不能及时送出处理的固废，避免在露天堆放中产生的泄漏、渗透、蒸发、雨水淋溶以及大风吹扬等产生二次污染；各种危险废物要有单独的贮存空间，并贴上标签；装载液体、半固体危险废物的容器顶与液面间需要保留</w:t>
            </w:r>
            <w:r>
              <w:rPr>
                <w:color w:val="auto"/>
                <w:sz w:val="24"/>
              </w:rPr>
              <w:t>100mm</w:t>
            </w:r>
            <w:r>
              <w:rPr>
                <w:rFonts w:hAnsi="宋体"/>
                <w:color w:val="auto"/>
                <w:sz w:val="24"/>
              </w:rPr>
              <w:t>以上的空间，容器及容器的材质要满足相应强度要求，并必须完整无损。</w:t>
            </w:r>
          </w:p>
          <w:p w14:paraId="3CBDBEEB">
            <w:pPr>
              <w:adjustRightInd w:val="0"/>
              <w:spacing w:line="355" w:lineRule="auto"/>
              <w:ind w:firstLine="480" w:firstLineChars="200"/>
              <w:rPr>
                <w:color w:val="auto"/>
                <w:sz w:val="24"/>
              </w:rPr>
            </w:pPr>
            <w:r>
              <w:rPr>
                <w:color w:val="auto"/>
                <w:sz w:val="24"/>
              </w:rPr>
              <w:fldChar w:fldCharType="begin"/>
            </w:r>
            <w:r>
              <w:rPr>
                <w:color w:val="auto"/>
                <w:sz w:val="24"/>
              </w:rPr>
              <w:instrText xml:space="preserve">= 3 \* GB3</w:instrText>
            </w:r>
            <w:r>
              <w:rPr>
                <w:color w:val="auto"/>
                <w:sz w:val="24"/>
              </w:rPr>
              <w:fldChar w:fldCharType="separate"/>
            </w:r>
            <w:r>
              <w:rPr>
                <w:rFonts w:ascii="宋体" w:hAnsi="宋体"/>
                <w:color w:val="auto"/>
                <w:sz w:val="24"/>
              </w:rPr>
              <w:t>③</w:t>
            </w:r>
            <w:r>
              <w:rPr>
                <w:color w:val="auto"/>
                <w:sz w:val="24"/>
              </w:rPr>
              <w:fldChar w:fldCharType="end"/>
            </w:r>
            <w:r>
              <w:rPr>
                <w:rFonts w:hAnsi="宋体"/>
                <w:color w:val="auto"/>
                <w:sz w:val="24"/>
              </w:rPr>
              <w:t>运输过程中要注意不同的危险废物要单独运输，固废的包装容器要注意密闭，以免在运输途中发生危险废物的泄漏，从而产生二次污染。</w:t>
            </w:r>
          </w:p>
          <w:p w14:paraId="2E60BCA7">
            <w:pPr>
              <w:adjustRightInd w:val="0"/>
              <w:spacing w:line="355" w:lineRule="auto"/>
              <w:ind w:firstLine="480" w:firstLineChars="200"/>
              <w:rPr>
                <w:color w:val="auto"/>
                <w:sz w:val="24"/>
              </w:rPr>
            </w:pPr>
            <w:r>
              <w:rPr>
                <w:rFonts w:hint="eastAsia" w:hAnsi="宋体"/>
                <w:color w:val="auto"/>
                <w:sz w:val="24"/>
                <w:lang w:eastAsia="zh-CN"/>
              </w:rPr>
              <w:t>(4)</w:t>
            </w:r>
            <w:r>
              <w:rPr>
                <w:rFonts w:hAnsi="宋体"/>
                <w:color w:val="auto"/>
                <w:sz w:val="24"/>
              </w:rPr>
              <w:t>废气风险防范措施</w:t>
            </w:r>
          </w:p>
          <w:p w14:paraId="0AA2E609">
            <w:pPr>
              <w:adjustRightInd w:val="0"/>
              <w:spacing w:line="355" w:lineRule="auto"/>
              <w:ind w:firstLine="480" w:firstLineChars="200"/>
              <w:rPr>
                <w:color w:val="auto"/>
                <w:sz w:val="24"/>
              </w:rPr>
            </w:pPr>
            <w:r>
              <w:rPr>
                <w:color w:val="auto"/>
                <w:sz w:val="24"/>
              </w:rPr>
              <w:fldChar w:fldCharType="begin"/>
            </w:r>
            <w:r>
              <w:rPr>
                <w:color w:val="auto"/>
                <w:sz w:val="24"/>
              </w:rPr>
              <w:instrText xml:space="preserve">= 1 \* GB3</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平时加强废气处理设施的维护保养，定期检查废气处理装置，及时发现处理设备的隐患，并及时进行维修，确保废气处理系统正常运行；</w:t>
            </w:r>
          </w:p>
          <w:p w14:paraId="48EEEFC5">
            <w:pPr>
              <w:adjustRightInd w:val="0"/>
              <w:spacing w:line="355" w:lineRule="auto"/>
              <w:ind w:firstLine="480" w:firstLineChars="200"/>
              <w:rPr>
                <w:color w:val="auto"/>
                <w:sz w:val="24"/>
              </w:rPr>
            </w:pPr>
            <w:r>
              <w:rPr>
                <w:color w:val="auto"/>
                <w:sz w:val="24"/>
              </w:rPr>
              <w:fldChar w:fldCharType="begin"/>
            </w:r>
            <w:r>
              <w:rPr>
                <w:color w:val="auto"/>
                <w:sz w:val="24"/>
              </w:rPr>
              <w:instrText xml:space="preserve">= 2 \* GB3</w:instrText>
            </w:r>
            <w:r>
              <w:rPr>
                <w:color w:val="auto"/>
                <w:sz w:val="24"/>
              </w:rPr>
              <w:fldChar w:fldCharType="separate"/>
            </w:r>
            <w:r>
              <w:rPr>
                <w:rFonts w:ascii="宋体" w:hAnsi="宋体"/>
                <w:color w:val="auto"/>
                <w:sz w:val="24"/>
              </w:rPr>
              <w:t>②</w:t>
            </w:r>
            <w:r>
              <w:rPr>
                <w:color w:val="auto"/>
                <w:sz w:val="24"/>
              </w:rPr>
              <w:fldChar w:fldCharType="end"/>
            </w:r>
            <w:r>
              <w:rPr>
                <w:rFonts w:hAnsi="宋体"/>
                <w:color w:val="auto"/>
                <w:sz w:val="24"/>
              </w:rPr>
              <w:t>建立健全的环保机构，对管理人员和技术人员进行岗位培训，对废气处理实行全过程跟踪控制。</w:t>
            </w:r>
          </w:p>
          <w:p w14:paraId="5EEB5373">
            <w:pPr>
              <w:adjustRightInd w:val="0"/>
              <w:spacing w:line="360" w:lineRule="auto"/>
              <w:ind w:firstLine="480" w:firstLineChars="200"/>
              <w:rPr>
                <w:color w:val="auto"/>
                <w:sz w:val="24"/>
              </w:rPr>
            </w:pPr>
            <w:r>
              <w:rPr>
                <w:rFonts w:hint="eastAsia" w:hAnsi="宋体"/>
                <w:color w:val="auto"/>
                <w:sz w:val="24"/>
                <w:lang w:eastAsia="zh-CN"/>
              </w:rPr>
              <w:t>(5)</w:t>
            </w:r>
            <w:r>
              <w:rPr>
                <w:rFonts w:hAnsi="宋体"/>
                <w:color w:val="auto"/>
                <w:sz w:val="24"/>
              </w:rPr>
              <w:t>环境应急要求</w:t>
            </w:r>
          </w:p>
          <w:p w14:paraId="0B366EA9">
            <w:pPr>
              <w:widowControl/>
              <w:adjustRightInd w:val="0"/>
              <w:snapToGrid w:val="0"/>
              <w:spacing w:line="360" w:lineRule="auto"/>
              <w:ind w:firstLine="480" w:firstLineChars="200"/>
              <w:rPr>
                <w:rFonts w:hint="eastAsia" w:hAnsi="宋体"/>
                <w:color w:val="auto"/>
                <w:sz w:val="24"/>
              </w:rPr>
            </w:pPr>
            <w:r>
              <w:rPr>
                <w:rFonts w:hAnsi="宋体"/>
                <w:color w:val="auto"/>
                <w:sz w:val="24"/>
              </w:rPr>
              <w:t>企业应配备满足突发环境事件应急要求的应急人员、设施、应急照明系统，制定突发环境应急处置的操作流程或预案，定期开展必要的培训和环境应急演练，并做好培训、演练记录。</w:t>
            </w:r>
          </w:p>
          <w:p w14:paraId="74711BF4">
            <w:pPr>
              <w:widowControl/>
              <w:adjustRightInd w:val="0"/>
              <w:snapToGrid w:val="0"/>
              <w:spacing w:line="360" w:lineRule="auto"/>
              <w:ind w:firstLine="480" w:firstLineChars="200"/>
              <w:rPr>
                <w:color w:val="auto"/>
                <w:sz w:val="24"/>
              </w:rPr>
            </w:pPr>
            <w:r>
              <w:rPr>
                <w:rFonts w:hint="eastAsia"/>
                <w:color w:val="auto"/>
                <w:sz w:val="24"/>
              </w:rPr>
              <w:t>综上：</w:t>
            </w:r>
            <w:r>
              <w:rPr>
                <w:color w:val="auto"/>
                <w:sz w:val="24"/>
              </w:rPr>
              <w:t>建设单位应根据《企业事业单位突发环境事件应急预案备案管理办法（试行）》（环发</w:t>
            </w:r>
            <w:r>
              <w:rPr>
                <w:rFonts w:hint="eastAsia"/>
                <w:color w:val="auto"/>
                <w:sz w:val="24"/>
                <w:lang w:eastAsia="zh-CN"/>
              </w:rPr>
              <w:t>〔2015〕4号</w:t>
            </w:r>
            <w:r>
              <w:rPr>
                <w:color w:val="auto"/>
                <w:sz w:val="24"/>
              </w:rPr>
              <w:t>）文件要求，及时更新应急预案，并按应急预案实施各项风险防范措施，并加强项目运营阶段的环境管理前提下，本项目环境风险是可以防控的。</w:t>
            </w:r>
          </w:p>
          <w:p w14:paraId="3509A15F">
            <w:pPr>
              <w:widowControl/>
              <w:adjustRightInd w:val="0"/>
              <w:snapToGrid w:val="0"/>
              <w:spacing w:line="360" w:lineRule="auto"/>
              <w:ind w:firstLine="482" w:firstLineChars="200"/>
              <w:rPr>
                <w:rFonts w:eastAsiaTheme="minorEastAsia"/>
                <w:b/>
                <w:color w:val="auto"/>
                <w:kern w:val="0"/>
                <w:sz w:val="24"/>
              </w:rPr>
            </w:pPr>
            <w:r>
              <w:rPr>
                <w:rFonts w:hint="eastAsia" w:eastAsiaTheme="minorEastAsia"/>
                <w:b/>
                <w:color w:val="auto"/>
                <w:kern w:val="0"/>
                <w:sz w:val="24"/>
                <w:lang w:eastAsia="zh-CN"/>
              </w:rPr>
              <w:t>七、</w:t>
            </w:r>
            <w:r>
              <w:rPr>
                <w:rFonts w:hAnsiTheme="minorEastAsia" w:eastAsiaTheme="minorEastAsia"/>
                <w:b/>
                <w:color w:val="auto"/>
                <w:kern w:val="0"/>
                <w:sz w:val="24"/>
              </w:rPr>
              <w:t>电磁辐射</w:t>
            </w:r>
          </w:p>
          <w:p w14:paraId="28CC80CA">
            <w:pPr>
              <w:widowControl/>
              <w:adjustRightInd w:val="0"/>
              <w:snapToGrid w:val="0"/>
              <w:spacing w:line="360" w:lineRule="auto"/>
              <w:ind w:firstLine="480" w:firstLineChars="200"/>
              <w:jc w:val="left"/>
              <w:rPr>
                <w:rFonts w:hint="eastAsia" w:hAnsiTheme="minorEastAsia" w:eastAsiaTheme="minorEastAsia"/>
                <w:color w:val="auto"/>
                <w:kern w:val="0"/>
                <w:sz w:val="24"/>
              </w:rPr>
            </w:pPr>
            <w:r>
              <w:rPr>
                <w:rFonts w:hint="eastAsia" w:hAnsiTheme="minorEastAsia" w:eastAsiaTheme="minorEastAsia"/>
                <w:color w:val="auto"/>
                <w:kern w:val="0"/>
                <w:sz w:val="24"/>
              </w:rPr>
              <w:t>拟建</w:t>
            </w:r>
            <w:r>
              <w:rPr>
                <w:rFonts w:hAnsiTheme="minorEastAsia" w:eastAsiaTheme="minorEastAsia"/>
                <w:color w:val="auto"/>
                <w:kern w:val="0"/>
                <w:sz w:val="24"/>
              </w:rPr>
              <w:t>项目不涉及电磁辐射环境影响。</w:t>
            </w:r>
          </w:p>
          <w:p w14:paraId="0033167B">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eastAsia="zh-CN"/>
              </w:rPr>
              <w:t>八、</w:t>
            </w:r>
            <w:r>
              <w:rPr>
                <w:b/>
                <w:color w:val="auto"/>
                <w:kern w:val="0"/>
                <w:sz w:val="24"/>
              </w:rPr>
              <w:t>污染源头控制措施</w:t>
            </w:r>
          </w:p>
          <w:p w14:paraId="741D0FB4">
            <w:pPr>
              <w:adjustRightInd w:val="0"/>
              <w:snapToGrid w:val="0"/>
              <w:spacing w:line="360" w:lineRule="auto"/>
              <w:ind w:firstLine="480" w:firstLineChars="200"/>
              <w:rPr>
                <w:color w:val="auto"/>
                <w:kern w:val="0"/>
                <w:sz w:val="24"/>
              </w:rPr>
            </w:pPr>
            <w:r>
              <w:rPr>
                <w:color w:val="auto"/>
                <w:kern w:val="0"/>
                <w:sz w:val="24"/>
              </w:rPr>
              <w:t>清洁生产是指不断采取改进设计、使用清洁的能源和原料、采用先进的工艺技术与设备、改善管理、综合利用等措施，从源头削减污染，提高资源利用效率，减少或避免生产、服务和产品使用过程中污染物的产生和排放，以减轻或消除对人类健康和环境的危害。它包括清洁的能源及原材料、清洁的生产过程和清洁的产品三方面的内容。</w:t>
            </w:r>
          </w:p>
          <w:p w14:paraId="19BB2694">
            <w:pPr>
              <w:adjustRightInd w:val="0"/>
              <w:snapToGrid w:val="0"/>
              <w:spacing w:line="360" w:lineRule="auto"/>
              <w:ind w:firstLine="480" w:firstLineChars="200"/>
              <w:rPr>
                <w:color w:val="auto"/>
                <w:kern w:val="0"/>
                <w:sz w:val="24"/>
              </w:rPr>
            </w:pPr>
            <w:r>
              <w:rPr>
                <w:color w:val="auto"/>
                <w:kern w:val="0"/>
                <w:sz w:val="24"/>
              </w:rPr>
              <w:t>1.能源及原料控制措施</w:t>
            </w:r>
          </w:p>
          <w:p w14:paraId="3199676C">
            <w:pPr>
              <w:adjustRightInd w:val="0"/>
              <w:snapToGrid w:val="0"/>
              <w:spacing w:line="360" w:lineRule="auto"/>
              <w:ind w:firstLine="480" w:firstLineChars="200"/>
              <w:rPr>
                <w:color w:val="auto"/>
                <w:kern w:val="0"/>
                <w:sz w:val="24"/>
              </w:rPr>
            </w:pPr>
            <w:r>
              <w:rPr>
                <w:color w:val="auto"/>
                <w:kern w:val="0"/>
                <w:sz w:val="24"/>
              </w:rPr>
              <w:t>报批项目使用原料均不涉及重点重金属，采用</w:t>
            </w:r>
            <w:r>
              <w:rPr>
                <w:rFonts w:hint="eastAsia"/>
                <w:color w:val="auto"/>
                <w:kern w:val="0"/>
                <w:sz w:val="24"/>
              </w:rPr>
              <w:t>符合要求</w:t>
            </w:r>
            <w:r>
              <w:rPr>
                <w:color w:val="auto"/>
                <w:kern w:val="0"/>
                <w:sz w:val="24"/>
              </w:rPr>
              <w:t>的</w:t>
            </w:r>
            <w:r>
              <w:rPr>
                <w:rFonts w:hint="eastAsia"/>
                <w:color w:val="auto"/>
                <w:kern w:val="0"/>
                <w:sz w:val="24"/>
              </w:rPr>
              <w:t>漆类、胶水类、塑粉、油墨、洗网水</w:t>
            </w:r>
            <w:r>
              <w:rPr>
                <w:color w:val="auto"/>
                <w:kern w:val="0"/>
                <w:sz w:val="24"/>
              </w:rPr>
              <w:t>及</w:t>
            </w:r>
            <w:r>
              <w:rPr>
                <w:rFonts w:hint="eastAsia"/>
                <w:color w:val="auto"/>
                <w:kern w:val="0"/>
                <w:sz w:val="24"/>
              </w:rPr>
              <w:t>碳氢</w:t>
            </w:r>
            <w:r>
              <w:rPr>
                <w:color w:val="auto"/>
                <w:kern w:val="0"/>
                <w:sz w:val="24"/>
              </w:rPr>
              <w:t>清洗剂</w:t>
            </w:r>
            <w:r>
              <w:rPr>
                <w:rFonts w:hint="eastAsia"/>
                <w:color w:val="auto"/>
                <w:kern w:val="0"/>
                <w:sz w:val="24"/>
              </w:rPr>
              <w:t>等原辅料</w:t>
            </w:r>
            <w:r>
              <w:rPr>
                <w:color w:val="auto"/>
                <w:kern w:val="0"/>
                <w:sz w:val="24"/>
              </w:rPr>
              <w:t>，从源头减少原辅料污染的产生。项目烘干工序使用电加热</w:t>
            </w:r>
            <w:r>
              <w:rPr>
                <w:rFonts w:hint="eastAsia"/>
                <w:color w:val="auto"/>
                <w:kern w:val="0"/>
                <w:sz w:val="24"/>
              </w:rPr>
              <w:t>和天然气加热</w:t>
            </w:r>
            <w:r>
              <w:rPr>
                <w:color w:val="auto"/>
                <w:kern w:val="0"/>
                <w:sz w:val="24"/>
              </w:rPr>
              <w:t>，</w:t>
            </w:r>
            <w:r>
              <w:rPr>
                <w:rFonts w:hint="eastAsia"/>
                <w:color w:val="auto"/>
                <w:kern w:val="0"/>
                <w:sz w:val="24"/>
              </w:rPr>
              <w:t>均</w:t>
            </w:r>
            <w:r>
              <w:rPr>
                <w:color w:val="auto"/>
                <w:kern w:val="0"/>
                <w:sz w:val="24"/>
              </w:rPr>
              <w:t>属于清洁能源。</w:t>
            </w:r>
          </w:p>
          <w:p w14:paraId="34FEF84F">
            <w:pPr>
              <w:adjustRightInd w:val="0"/>
              <w:snapToGrid w:val="0"/>
              <w:spacing w:line="360" w:lineRule="auto"/>
              <w:ind w:firstLine="480" w:firstLineChars="200"/>
              <w:rPr>
                <w:color w:val="auto"/>
                <w:kern w:val="0"/>
                <w:sz w:val="24"/>
              </w:rPr>
            </w:pPr>
            <w:r>
              <w:rPr>
                <w:color w:val="auto"/>
                <w:kern w:val="0"/>
                <w:sz w:val="24"/>
              </w:rPr>
              <w:t>2.生产过程控制措施</w:t>
            </w:r>
          </w:p>
          <w:p w14:paraId="2FA58B44">
            <w:pPr>
              <w:adjustRightInd w:val="0"/>
              <w:snapToGrid w:val="0"/>
              <w:spacing w:line="360" w:lineRule="auto"/>
              <w:ind w:firstLine="480" w:firstLineChars="200"/>
              <w:rPr>
                <w:color w:val="auto"/>
                <w:kern w:val="0"/>
                <w:sz w:val="24"/>
              </w:rPr>
            </w:pPr>
            <w:r>
              <w:rPr>
                <w:color w:val="auto"/>
                <w:kern w:val="0"/>
                <w:sz w:val="24"/>
              </w:rPr>
              <w:t>项目</w:t>
            </w:r>
            <w:r>
              <w:rPr>
                <w:rFonts w:hint="eastAsia"/>
                <w:color w:val="auto"/>
                <w:spacing w:val="4"/>
                <w:sz w:val="24"/>
              </w:rPr>
              <w:t>使用</w:t>
            </w:r>
            <w:r>
              <w:rPr>
                <w:color w:val="auto"/>
                <w:spacing w:val="4"/>
                <w:sz w:val="24"/>
              </w:rPr>
              <w:t>设备</w:t>
            </w:r>
            <w:r>
              <w:rPr>
                <w:color w:val="auto"/>
                <w:kern w:val="0"/>
                <w:sz w:val="24"/>
              </w:rPr>
              <w:t>主要特点为：</w:t>
            </w:r>
          </w:p>
          <w:p w14:paraId="2BCEB0BC">
            <w:pPr>
              <w:adjustRightInd w:val="0"/>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1 \* GB3 </w:instrText>
            </w:r>
            <w:r>
              <w:rPr>
                <w:color w:val="auto"/>
                <w:kern w:val="0"/>
                <w:sz w:val="24"/>
              </w:rPr>
              <w:fldChar w:fldCharType="separate"/>
            </w:r>
            <w:r>
              <w:rPr>
                <w:rFonts w:hint="eastAsia" w:ascii="宋体" w:hAnsi="宋体" w:cs="宋体"/>
                <w:color w:val="auto"/>
                <w:kern w:val="0"/>
                <w:sz w:val="24"/>
              </w:rPr>
              <w:t>①</w:t>
            </w:r>
            <w:r>
              <w:rPr>
                <w:color w:val="auto"/>
                <w:kern w:val="0"/>
                <w:sz w:val="24"/>
              </w:rPr>
              <w:fldChar w:fldCharType="end"/>
            </w:r>
            <w:r>
              <w:rPr>
                <w:rFonts w:hint="eastAsia"/>
                <w:color w:val="auto"/>
                <w:kern w:val="0"/>
                <w:sz w:val="24"/>
              </w:rPr>
              <w:t>节能型</w:t>
            </w:r>
            <w:r>
              <w:rPr>
                <w:color w:val="auto"/>
                <w:kern w:val="0"/>
                <w:sz w:val="24"/>
              </w:rPr>
              <w:t>：报批项目采用</w:t>
            </w:r>
            <w:r>
              <w:rPr>
                <w:rFonts w:hint="eastAsia"/>
                <w:color w:val="auto"/>
                <w:kern w:val="0"/>
                <w:sz w:val="24"/>
              </w:rPr>
              <w:t>的</w:t>
            </w:r>
            <w:r>
              <w:rPr>
                <w:color w:val="auto"/>
                <w:kern w:val="0"/>
                <w:sz w:val="24"/>
              </w:rPr>
              <w:t>生产设备</w:t>
            </w:r>
            <w:r>
              <w:rPr>
                <w:rFonts w:hint="eastAsia"/>
                <w:color w:val="auto"/>
                <w:kern w:val="0"/>
                <w:sz w:val="24"/>
              </w:rPr>
              <w:t>均为节能型设备，搭配企业生产工艺，能有效</w:t>
            </w:r>
            <w:r>
              <w:rPr>
                <w:rFonts w:hint="eastAsia"/>
                <w:color w:val="auto"/>
                <w:kern w:val="0"/>
                <w:sz w:val="24"/>
                <w:lang w:eastAsia="zh-CN"/>
              </w:rPr>
              <w:t>地</w:t>
            </w:r>
            <w:r>
              <w:rPr>
                <w:rFonts w:hint="eastAsia"/>
                <w:color w:val="auto"/>
                <w:kern w:val="0"/>
                <w:sz w:val="24"/>
              </w:rPr>
              <w:t>降低设备运行能耗，同时，优化生产布局和工艺流程，减少物料搬运和能源输送过程中的能耗损失</w:t>
            </w:r>
            <w:r>
              <w:rPr>
                <w:color w:val="auto"/>
                <w:kern w:val="0"/>
                <w:sz w:val="24"/>
              </w:rPr>
              <w:t>。</w:t>
            </w:r>
          </w:p>
          <w:p w14:paraId="05B25DD2">
            <w:pPr>
              <w:adjustRightInd w:val="0"/>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2 \* GB3 </w:instrText>
            </w:r>
            <w:r>
              <w:rPr>
                <w:color w:val="auto"/>
                <w:kern w:val="0"/>
                <w:sz w:val="24"/>
              </w:rPr>
              <w:fldChar w:fldCharType="separate"/>
            </w:r>
            <w:r>
              <w:rPr>
                <w:rFonts w:hint="eastAsia" w:ascii="宋体" w:hAnsi="宋体" w:cs="宋体"/>
                <w:color w:val="auto"/>
                <w:kern w:val="0"/>
                <w:sz w:val="24"/>
              </w:rPr>
              <w:t>②</w:t>
            </w:r>
            <w:r>
              <w:rPr>
                <w:color w:val="auto"/>
                <w:kern w:val="0"/>
                <w:sz w:val="24"/>
              </w:rPr>
              <w:fldChar w:fldCharType="end"/>
            </w:r>
            <w:r>
              <w:rPr>
                <w:color w:val="auto"/>
                <w:kern w:val="0"/>
                <w:sz w:val="24"/>
              </w:rPr>
              <w:t>密封性高：使用的大部分设备采用半密封</w:t>
            </w:r>
            <w:r>
              <w:rPr>
                <w:rFonts w:hint="eastAsia"/>
                <w:color w:val="auto"/>
                <w:kern w:val="0"/>
                <w:sz w:val="24"/>
              </w:rPr>
              <w:t>方式或密闭方式</w:t>
            </w:r>
            <w:r>
              <w:rPr>
                <w:color w:val="auto"/>
                <w:kern w:val="0"/>
                <w:sz w:val="24"/>
              </w:rPr>
              <w:t>，进料</w:t>
            </w:r>
            <w:r>
              <w:rPr>
                <w:rFonts w:hint="eastAsia"/>
                <w:color w:val="auto"/>
                <w:kern w:val="0"/>
                <w:sz w:val="24"/>
              </w:rPr>
              <w:t>大多</w:t>
            </w:r>
            <w:r>
              <w:rPr>
                <w:color w:val="auto"/>
                <w:kern w:val="0"/>
                <w:sz w:val="24"/>
              </w:rPr>
              <w:t>采用管道进料，且各设备间大都采用管道连接，封闭性较强，可有效减少泄漏及挥发，报批项目生产技术和装备处于</w:t>
            </w:r>
            <w:r>
              <w:rPr>
                <w:rFonts w:hint="eastAsia"/>
                <w:color w:val="auto"/>
                <w:kern w:val="0"/>
                <w:sz w:val="24"/>
              </w:rPr>
              <w:t>国内领先水平</w:t>
            </w:r>
            <w:r>
              <w:rPr>
                <w:color w:val="auto"/>
                <w:kern w:val="0"/>
                <w:sz w:val="24"/>
              </w:rPr>
              <w:t>。</w:t>
            </w:r>
          </w:p>
          <w:p w14:paraId="4BEDEF2F">
            <w:pPr>
              <w:adjustRightInd w:val="0"/>
              <w:snapToGrid w:val="0"/>
              <w:spacing w:line="360" w:lineRule="auto"/>
              <w:ind w:firstLine="480" w:firstLineChars="200"/>
              <w:rPr>
                <w:color w:val="auto"/>
                <w:kern w:val="0"/>
                <w:sz w:val="24"/>
              </w:rPr>
            </w:pPr>
            <w:r>
              <w:rPr>
                <w:color w:val="auto"/>
                <w:kern w:val="0"/>
                <w:sz w:val="24"/>
              </w:rPr>
              <w:t>3.产品控制措施</w:t>
            </w:r>
          </w:p>
          <w:p w14:paraId="56D6C1B2">
            <w:pPr>
              <w:adjustRightInd w:val="0"/>
              <w:snapToGrid w:val="0"/>
              <w:spacing w:line="360" w:lineRule="auto"/>
              <w:ind w:firstLine="480" w:firstLineChars="200"/>
              <w:rPr>
                <w:color w:val="auto"/>
                <w:kern w:val="0"/>
                <w:sz w:val="24"/>
              </w:rPr>
            </w:pPr>
            <w:r>
              <w:rPr>
                <w:color w:val="auto"/>
                <w:kern w:val="0"/>
                <w:sz w:val="24"/>
              </w:rPr>
              <w:t>报批项目产品为</w:t>
            </w:r>
            <w:r>
              <w:rPr>
                <w:rFonts w:hint="eastAsia"/>
                <w:color w:val="auto"/>
                <w:kern w:val="0"/>
                <w:sz w:val="24"/>
              </w:rPr>
              <w:t>高端展示道具</w:t>
            </w:r>
            <w:r>
              <w:rPr>
                <w:color w:val="auto"/>
                <w:kern w:val="0"/>
                <w:sz w:val="24"/>
              </w:rPr>
              <w:t>，产品本身不对环境造成任何危害，正常使用也不产生污染。产品报废后有专门的回收单位回收处理，不直接排放到周围环境中，不会对周围环境产生影响。</w:t>
            </w:r>
          </w:p>
          <w:p w14:paraId="38F7556D">
            <w:pPr>
              <w:adjustRightInd w:val="0"/>
              <w:snapToGrid w:val="0"/>
              <w:spacing w:line="360" w:lineRule="auto"/>
              <w:ind w:firstLine="480" w:firstLineChars="200"/>
              <w:rPr>
                <w:color w:val="auto"/>
                <w:kern w:val="0"/>
                <w:sz w:val="24"/>
              </w:rPr>
            </w:pPr>
            <w:r>
              <w:rPr>
                <w:color w:val="auto"/>
                <w:kern w:val="0"/>
                <w:sz w:val="24"/>
              </w:rPr>
              <w:t>4.生产管理</w:t>
            </w:r>
          </w:p>
          <w:p w14:paraId="35412A11">
            <w:pPr>
              <w:adjustRightInd w:val="0"/>
              <w:snapToGrid w:val="0"/>
              <w:spacing w:line="360" w:lineRule="auto"/>
              <w:ind w:firstLine="480" w:firstLineChars="200"/>
              <w:rPr>
                <w:color w:val="auto"/>
                <w:kern w:val="0"/>
                <w:sz w:val="24"/>
              </w:rPr>
            </w:pPr>
            <w:r>
              <w:rPr>
                <w:color w:val="auto"/>
                <w:kern w:val="0"/>
                <w:sz w:val="24"/>
              </w:rPr>
              <w:t>清洁生产时全过程的污染控制，因此，它不仅是生态环境部门的事，也是车间负责人和工程技术人员应负担的职责。产品的生产工艺设计与改造应充分考虑环境保护和清洁生产的要求，从源头控制污染。</w:t>
            </w:r>
          </w:p>
          <w:p w14:paraId="7570A3B6">
            <w:pPr>
              <w:adjustRightInd w:val="0"/>
              <w:snapToGrid w:val="0"/>
              <w:spacing w:line="360" w:lineRule="auto"/>
              <w:ind w:firstLine="480" w:firstLineChars="200"/>
              <w:rPr>
                <w:color w:val="auto"/>
                <w:sz w:val="24"/>
              </w:rPr>
            </w:pPr>
            <w:r>
              <w:rPr>
                <w:color w:val="auto"/>
                <w:sz w:val="24"/>
              </w:rPr>
              <w:t>在生产管理中要充分考虑清洁生产要素：</w:t>
            </w:r>
          </w:p>
          <w:p w14:paraId="052AAF1B">
            <w:pPr>
              <w:adjustRightInd w:val="0"/>
              <w:snapToGrid w:val="0"/>
              <w:spacing w:line="360" w:lineRule="auto"/>
              <w:ind w:firstLine="480" w:firstLineChars="200"/>
              <w:rPr>
                <w:color w:val="auto"/>
                <w:sz w:val="24"/>
              </w:rPr>
            </w:pPr>
            <w:r>
              <w:rPr>
                <w:rFonts w:hint="eastAsia"/>
                <w:color w:val="auto"/>
                <w:sz w:val="24"/>
                <w:lang w:eastAsia="zh-CN"/>
              </w:rPr>
              <w:t>(1)</w:t>
            </w:r>
            <w:r>
              <w:rPr>
                <w:color w:val="auto"/>
                <w:sz w:val="24"/>
              </w:rPr>
              <w:t>制定生产工艺规程、岗位操作手法和标准操作规程，不得任意更改。如需要更改时，应按</w:t>
            </w:r>
            <w:r>
              <w:rPr>
                <w:rFonts w:hint="eastAsia"/>
                <w:color w:val="auto"/>
                <w:sz w:val="24"/>
                <w:lang w:eastAsia="zh-CN"/>
              </w:rPr>
              <w:t>指定</w:t>
            </w:r>
            <w:r>
              <w:rPr>
                <w:color w:val="auto"/>
                <w:sz w:val="24"/>
              </w:rPr>
              <w:t>的程序办理修订、审批手续。</w:t>
            </w:r>
          </w:p>
          <w:p w14:paraId="66119777">
            <w:pPr>
              <w:adjustRightInd w:val="0"/>
              <w:snapToGrid w:val="0"/>
              <w:spacing w:line="360" w:lineRule="auto"/>
              <w:ind w:firstLine="480" w:firstLineChars="200"/>
              <w:rPr>
                <w:color w:val="auto"/>
                <w:sz w:val="24"/>
              </w:rPr>
            </w:pPr>
            <w:r>
              <w:rPr>
                <w:rFonts w:hint="eastAsia"/>
                <w:color w:val="auto"/>
                <w:sz w:val="24"/>
                <w:lang w:eastAsia="zh-CN"/>
              </w:rPr>
              <w:t>(2)</w:t>
            </w:r>
            <w:r>
              <w:rPr>
                <w:color w:val="auto"/>
                <w:sz w:val="24"/>
              </w:rPr>
              <w:t>每批产品应按产品产量和数量的物料平衡进行检查。如有显著差异，必须查明原因，在得出合理解释，确认无潜在质量事故后，方可按正常产品处理。</w:t>
            </w:r>
          </w:p>
          <w:p w14:paraId="0290F78A">
            <w:pPr>
              <w:adjustRightInd w:val="0"/>
              <w:snapToGrid w:val="0"/>
              <w:spacing w:line="360" w:lineRule="auto"/>
              <w:ind w:firstLine="480" w:firstLineChars="200"/>
              <w:rPr>
                <w:color w:val="auto"/>
                <w:sz w:val="24"/>
              </w:rPr>
            </w:pPr>
            <w:r>
              <w:rPr>
                <w:rFonts w:hint="eastAsia"/>
                <w:color w:val="auto"/>
                <w:sz w:val="24"/>
                <w:lang w:eastAsia="zh-CN"/>
              </w:rPr>
              <w:t>(3)</w:t>
            </w:r>
            <w:r>
              <w:rPr>
                <w:color w:val="auto"/>
                <w:sz w:val="24"/>
              </w:rPr>
              <w:t>每批生产记录应字迹清楚、内容真实，数据完整，并由操作人员及复核</w:t>
            </w:r>
            <w:r>
              <w:rPr>
                <w:rFonts w:hint="eastAsia"/>
                <w:color w:val="auto"/>
                <w:sz w:val="24"/>
                <w:lang w:eastAsia="zh-CN"/>
              </w:rPr>
              <w:t>人员</w:t>
            </w:r>
            <w:r>
              <w:rPr>
                <w:color w:val="auto"/>
                <w:sz w:val="24"/>
              </w:rPr>
              <w:t>签字。记录应保持整洁，不得撕毁和任意涂改，更改时，在更改处签名，并使原始数据仍可辨认，批生产记录应按批号归档，保存至有效期后一年。</w:t>
            </w:r>
          </w:p>
          <w:p w14:paraId="23EBBF6E">
            <w:pPr>
              <w:adjustRightInd w:val="0"/>
              <w:snapToGrid w:val="0"/>
              <w:spacing w:line="360" w:lineRule="auto"/>
              <w:ind w:firstLine="480" w:firstLineChars="200"/>
              <w:rPr>
                <w:color w:val="auto"/>
                <w:sz w:val="24"/>
              </w:rPr>
            </w:pPr>
            <w:r>
              <w:rPr>
                <w:color w:val="auto"/>
                <w:sz w:val="24"/>
              </w:rPr>
              <w:t>（4）在规定限度内具有同一性质和质量，并在同一连续生产周期中生产出来的一定数量的产品为一批。每批产品均应编制生产批号。</w:t>
            </w:r>
          </w:p>
          <w:p w14:paraId="7954FD85">
            <w:pPr>
              <w:adjustRightInd w:val="0"/>
              <w:snapToGrid w:val="0"/>
              <w:spacing w:line="360" w:lineRule="auto"/>
              <w:ind w:firstLine="480" w:firstLineChars="200"/>
              <w:rPr>
                <w:color w:val="auto"/>
                <w:sz w:val="24"/>
              </w:rPr>
            </w:pPr>
            <w:r>
              <w:rPr>
                <w:rFonts w:hint="eastAsia"/>
                <w:color w:val="auto"/>
                <w:sz w:val="24"/>
                <w:lang w:eastAsia="zh-CN"/>
              </w:rPr>
              <w:t>(5)</w:t>
            </w:r>
            <w:r>
              <w:rPr>
                <w:color w:val="auto"/>
                <w:sz w:val="24"/>
              </w:rPr>
              <w:t>建立各种单位质量的能耗（如水、电等），并将指标分解到公司内部各单元，实行经济考核，最大限度</w:t>
            </w:r>
            <w:r>
              <w:rPr>
                <w:rFonts w:hint="eastAsia"/>
                <w:color w:val="auto"/>
                <w:sz w:val="24"/>
                <w:lang w:eastAsia="zh-CN"/>
              </w:rPr>
              <w:t>地</w:t>
            </w:r>
            <w:r>
              <w:rPr>
                <w:color w:val="auto"/>
                <w:sz w:val="24"/>
              </w:rPr>
              <w:t>减少水、电、原辅料的消耗。</w:t>
            </w:r>
          </w:p>
          <w:p w14:paraId="244D7399">
            <w:pPr>
              <w:adjustRightInd w:val="0"/>
              <w:snapToGrid w:val="0"/>
              <w:spacing w:line="360" w:lineRule="auto"/>
              <w:ind w:firstLine="480" w:firstLineChars="200"/>
              <w:rPr>
                <w:color w:val="auto"/>
                <w:sz w:val="24"/>
              </w:rPr>
            </w:pPr>
            <w:r>
              <w:rPr>
                <w:rFonts w:hint="eastAsia"/>
                <w:color w:val="auto"/>
                <w:sz w:val="24"/>
                <w:lang w:eastAsia="zh-CN"/>
              </w:rPr>
              <w:t>(6)</w:t>
            </w:r>
            <w:r>
              <w:rPr>
                <w:color w:val="auto"/>
                <w:sz w:val="24"/>
              </w:rPr>
              <w:t>督促全厂和各车间做好环保工作，并赋予相应的</w:t>
            </w:r>
            <w:r>
              <w:rPr>
                <w:rFonts w:hint="eastAsia"/>
                <w:color w:val="auto"/>
                <w:sz w:val="24"/>
                <w:lang w:eastAsia="zh-CN"/>
              </w:rPr>
              <w:t>权力</w:t>
            </w:r>
            <w:r>
              <w:rPr>
                <w:color w:val="auto"/>
                <w:sz w:val="24"/>
              </w:rPr>
              <w:t>和职权。</w:t>
            </w:r>
          </w:p>
          <w:p w14:paraId="08F8D052">
            <w:pPr>
              <w:spacing w:line="360" w:lineRule="auto"/>
              <w:ind w:firstLine="380" w:firstLineChars="200"/>
              <w:rPr>
                <w:bCs/>
                <w:color w:val="auto"/>
                <w:spacing w:val="-10"/>
                <w:szCs w:val="21"/>
              </w:rPr>
            </w:pPr>
          </w:p>
        </w:tc>
      </w:tr>
    </w:tbl>
    <w:p w14:paraId="754967C7">
      <w:pPr>
        <w:adjustRightInd w:val="0"/>
        <w:snapToGrid w:val="0"/>
        <w:spacing w:line="360" w:lineRule="auto"/>
        <w:rPr>
          <w:b/>
          <w:color w:val="auto"/>
          <w:kern w:val="0"/>
          <w:sz w:val="28"/>
          <w:szCs w:val="28"/>
        </w:rPr>
      </w:pPr>
    </w:p>
    <w:p w14:paraId="09A590DB">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C06BE57">
      <w:pPr>
        <w:pStyle w:val="84"/>
        <w:jc w:val="center"/>
        <w:outlineLvl w:val="0"/>
        <w:rPr>
          <w:rFonts w:ascii="Times New Roman" w:hAnsi="Times New Roman"/>
          <w:snapToGrid w:val="0"/>
          <w:color w:val="auto"/>
          <w:sz w:val="30"/>
          <w:szCs w:val="30"/>
        </w:rPr>
      </w:pPr>
      <w:bookmarkStart w:id="9" w:name="_Toc116313306"/>
      <w:r>
        <w:rPr>
          <w:rFonts w:ascii="Times New Roman" w:hAnsi="Times New Roman"/>
          <w:snapToGrid w:val="0"/>
          <w:color w:val="auto"/>
          <w:sz w:val="30"/>
          <w:szCs w:val="30"/>
        </w:rPr>
        <w:t>五、</w:t>
      </w:r>
      <w:bookmarkStart w:id="10" w:name="_Hlk54167917"/>
      <w:r>
        <w:rPr>
          <w:rFonts w:ascii="Times New Roman" w:hAnsi="Times New Roman"/>
          <w:snapToGrid w:val="0"/>
          <w:color w:val="auto"/>
          <w:sz w:val="30"/>
          <w:szCs w:val="30"/>
        </w:rPr>
        <w:t>环境保护措施监督检查清单</w:t>
      </w:r>
      <w:bookmarkEnd w:id="9"/>
      <w:bookmarkEnd w:id="10"/>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71"/>
        <w:gridCol w:w="850"/>
        <w:gridCol w:w="851"/>
        <w:gridCol w:w="1559"/>
        <w:gridCol w:w="1701"/>
        <w:gridCol w:w="2868"/>
      </w:tblGrid>
      <w:tr w14:paraId="7BB1B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tcBorders>
              <w:tl2br w:val="single" w:color="auto" w:sz="4" w:space="0"/>
            </w:tcBorders>
          </w:tcPr>
          <w:p w14:paraId="08D3D73F">
            <w:pPr>
              <w:adjustRightInd w:val="0"/>
              <w:snapToGrid w:val="0"/>
              <w:jc w:val="right"/>
              <w:rPr>
                <w:b/>
                <w:color w:val="auto"/>
                <w:szCs w:val="21"/>
              </w:rPr>
            </w:pPr>
            <w:r>
              <w:rPr>
                <w:b/>
                <w:color w:val="auto"/>
                <w:szCs w:val="21"/>
              </w:rPr>
              <w:t>内容</w:t>
            </w:r>
          </w:p>
          <w:p w14:paraId="66FAC23D">
            <w:pPr>
              <w:adjustRightInd w:val="0"/>
              <w:snapToGrid w:val="0"/>
              <w:jc w:val="left"/>
              <w:rPr>
                <w:b/>
                <w:color w:val="auto"/>
                <w:szCs w:val="21"/>
              </w:rPr>
            </w:pPr>
            <w:r>
              <w:rPr>
                <w:b/>
                <w:color w:val="auto"/>
                <w:szCs w:val="21"/>
              </w:rPr>
              <w:t>要素</w:t>
            </w:r>
          </w:p>
        </w:tc>
        <w:tc>
          <w:tcPr>
            <w:tcW w:w="1701" w:type="dxa"/>
            <w:gridSpan w:val="2"/>
            <w:tcBorders>
              <w:top w:val="single" w:color="auto" w:sz="8" w:space="0"/>
              <w:bottom w:val="single" w:color="auto" w:sz="8" w:space="0"/>
            </w:tcBorders>
            <w:vAlign w:val="center"/>
          </w:tcPr>
          <w:p w14:paraId="4B0DF319">
            <w:pPr>
              <w:adjustRightInd w:val="0"/>
              <w:snapToGrid w:val="0"/>
              <w:jc w:val="center"/>
              <w:rPr>
                <w:b/>
                <w:color w:val="auto"/>
                <w:szCs w:val="21"/>
              </w:rPr>
            </w:pPr>
            <w:r>
              <w:rPr>
                <w:b/>
                <w:color w:val="auto"/>
                <w:szCs w:val="21"/>
              </w:rPr>
              <w:t>排放口</w:t>
            </w:r>
            <w:r>
              <w:rPr>
                <w:rFonts w:hint="eastAsia"/>
                <w:b/>
                <w:color w:val="auto"/>
                <w:szCs w:val="21"/>
                <w:lang w:eastAsia="zh-CN"/>
              </w:rPr>
              <w:t>（</w:t>
            </w:r>
            <w:r>
              <w:rPr>
                <w:b/>
                <w:color w:val="auto"/>
                <w:szCs w:val="21"/>
              </w:rPr>
              <w:t>编号、名称</w:t>
            </w:r>
            <w:r>
              <w:rPr>
                <w:rFonts w:hint="eastAsia"/>
                <w:b/>
                <w:color w:val="auto"/>
                <w:szCs w:val="21"/>
                <w:lang w:eastAsia="zh-CN"/>
              </w:rPr>
              <w:t>）</w:t>
            </w:r>
            <w:r>
              <w:rPr>
                <w:b/>
                <w:color w:val="auto"/>
                <w:szCs w:val="21"/>
              </w:rPr>
              <w:t>/污染源</w:t>
            </w:r>
          </w:p>
        </w:tc>
        <w:tc>
          <w:tcPr>
            <w:tcW w:w="1559" w:type="dxa"/>
            <w:tcBorders>
              <w:top w:val="single" w:color="auto" w:sz="8" w:space="0"/>
              <w:bottom w:val="single" w:color="auto" w:sz="8" w:space="0"/>
            </w:tcBorders>
            <w:vAlign w:val="center"/>
          </w:tcPr>
          <w:p w14:paraId="47A3CF78">
            <w:pPr>
              <w:adjustRightInd w:val="0"/>
              <w:snapToGrid w:val="0"/>
              <w:jc w:val="center"/>
              <w:rPr>
                <w:b/>
                <w:color w:val="auto"/>
                <w:szCs w:val="21"/>
              </w:rPr>
            </w:pPr>
            <w:r>
              <w:rPr>
                <w:b/>
                <w:color w:val="auto"/>
                <w:szCs w:val="21"/>
              </w:rPr>
              <w:t>污染物项目</w:t>
            </w:r>
          </w:p>
        </w:tc>
        <w:tc>
          <w:tcPr>
            <w:tcW w:w="1701" w:type="dxa"/>
            <w:tcBorders>
              <w:top w:val="single" w:color="auto" w:sz="8" w:space="0"/>
              <w:bottom w:val="single" w:color="auto" w:sz="8" w:space="0"/>
            </w:tcBorders>
            <w:vAlign w:val="center"/>
          </w:tcPr>
          <w:p w14:paraId="0501C7E6">
            <w:pPr>
              <w:adjustRightInd w:val="0"/>
              <w:snapToGrid w:val="0"/>
              <w:jc w:val="center"/>
              <w:rPr>
                <w:b/>
                <w:color w:val="auto"/>
                <w:szCs w:val="21"/>
              </w:rPr>
            </w:pPr>
            <w:r>
              <w:rPr>
                <w:b/>
                <w:color w:val="auto"/>
                <w:szCs w:val="21"/>
              </w:rPr>
              <w:t>环境保护措施</w:t>
            </w:r>
          </w:p>
        </w:tc>
        <w:tc>
          <w:tcPr>
            <w:tcW w:w="2868" w:type="dxa"/>
            <w:tcBorders>
              <w:top w:val="single" w:color="auto" w:sz="8" w:space="0"/>
              <w:bottom w:val="single" w:color="auto" w:sz="8" w:space="0"/>
            </w:tcBorders>
            <w:vAlign w:val="center"/>
          </w:tcPr>
          <w:p w14:paraId="468A47CE">
            <w:pPr>
              <w:adjustRightInd w:val="0"/>
              <w:snapToGrid w:val="0"/>
              <w:jc w:val="center"/>
              <w:rPr>
                <w:b/>
                <w:color w:val="auto"/>
                <w:szCs w:val="21"/>
              </w:rPr>
            </w:pPr>
            <w:r>
              <w:rPr>
                <w:b/>
                <w:color w:val="auto"/>
                <w:szCs w:val="21"/>
              </w:rPr>
              <w:t>执行标准</w:t>
            </w:r>
          </w:p>
        </w:tc>
      </w:tr>
      <w:tr w14:paraId="25A47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6AFDC0DD">
            <w:pPr>
              <w:pStyle w:val="477"/>
              <w:spacing w:after="0"/>
              <w:rPr>
                <w:color w:val="auto"/>
                <w:szCs w:val="21"/>
              </w:rPr>
            </w:pPr>
            <w:r>
              <w:rPr>
                <w:color w:val="auto"/>
                <w:szCs w:val="21"/>
              </w:rPr>
              <w:t>大气环境</w:t>
            </w:r>
          </w:p>
        </w:tc>
        <w:tc>
          <w:tcPr>
            <w:tcW w:w="850" w:type="dxa"/>
            <w:vMerge w:val="restart"/>
            <w:tcBorders>
              <w:top w:val="single" w:color="auto" w:sz="8" w:space="0"/>
            </w:tcBorders>
            <w:vAlign w:val="center"/>
          </w:tcPr>
          <w:p w14:paraId="5C6B61A0">
            <w:pPr>
              <w:adjustRightInd w:val="0"/>
              <w:snapToGrid w:val="0"/>
              <w:jc w:val="center"/>
              <w:rPr>
                <w:b/>
                <w:color w:val="auto"/>
                <w:szCs w:val="21"/>
              </w:rPr>
            </w:pPr>
            <w:r>
              <w:rPr>
                <w:color w:val="auto"/>
                <w:szCs w:val="21"/>
              </w:rPr>
              <w:t>有组织</w:t>
            </w:r>
          </w:p>
        </w:tc>
        <w:tc>
          <w:tcPr>
            <w:tcW w:w="851" w:type="dxa"/>
            <w:tcBorders>
              <w:top w:val="single" w:color="auto" w:sz="8" w:space="0"/>
              <w:bottom w:val="single" w:color="auto" w:sz="8" w:space="0"/>
            </w:tcBorders>
            <w:vAlign w:val="center"/>
          </w:tcPr>
          <w:p w14:paraId="576D223B">
            <w:pPr>
              <w:adjustRightInd w:val="0"/>
              <w:snapToGrid w:val="0"/>
              <w:jc w:val="center"/>
              <w:rPr>
                <w:color w:val="auto"/>
                <w:szCs w:val="21"/>
              </w:rPr>
            </w:pPr>
            <w:r>
              <w:rPr>
                <w:color w:val="auto"/>
                <w:szCs w:val="21"/>
              </w:rPr>
              <w:t>DA001</w:t>
            </w:r>
          </w:p>
        </w:tc>
        <w:tc>
          <w:tcPr>
            <w:tcW w:w="1559" w:type="dxa"/>
            <w:tcBorders>
              <w:top w:val="single" w:color="auto" w:sz="8" w:space="0"/>
              <w:bottom w:val="single" w:color="auto" w:sz="8" w:space="0"/>
            </w:tcBorders>
            <w:vAlign w:val="center"/>
          </w:tcPr>
          <w:p w14:paraId="7FCA9A4D">
            <w:pPr>
              <w:pStyle w:val="906"/>
              <w:spacing w:line="240" w:lineRule="auto"/>
              <w:rPr>
                <w:rFonts w:cs="Times New Roman"/>
                <w:color w:val="auto"/>
                <w:sz w:val="21"/>
              </w:rPr>
            </w:pPr>
            <w:r>
              <w:rPr>
                <w:rFonts w:hint="eastAsia" w:cs="Times New Roman"/>
                <w:color w:val="auto"/>
                <w:sz w:val="21"/>
                <w:lang w:val="en-US"/>
              </w:rPr>
              <w:t>颗粒物、非甲烷总烃</w:t>
            </w:r>
          </w:p>
        </w:tc>
        <w:tc>
          <w:tcPr>
            <w:tcW w:w="1701" w:type="dxa"/>
            <w:tcBorders>
              <w:top w:val="single" w:color="auto" w:sz="8" w:space="0"/>
              <w:bottom w:val="single" w:color="auto" w:sz="8" w:space="0"/>
            </w:tcBorders>
            <w:vAlign w:val="center"/>
          </w:tcPr>
          <w:p w14:paraId="467BE519">
            <w:pPr>
              <w:pStyle w:val="906"/>
              <w:spacing w:line="240" w:lineRule="auto"/>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36C36FDC">
            <w:pPr>
              <w:pStyle w:val="906"/>
              <w:spacing w:line="240" w:lineRule="auto"/>
              <w:rPr>
                <w:rFonts w:cs="Times New Roman"/>
                <w:color w:val="auto"/>
                <w:sz w:val="21"/>
              </w:rPr>
            </w:pPr>
            <w:r>
              <w:rPr>
                <w:rFonts w:cs="Times New Roman"/>
                <w:color w:val="auto"/>
                <w:sz w:val="21"/>
              </w:rPr>
              <w:t>NMHC执行《大气污染物综合排放标准》(DB32/4041-2021</w:t>
            </w:r>
            <w:r>
              <w:rPr>
                <w:rFonts w:hint="eastAsia" w:cs="Times New Roman"/>
                <w:color w:val="auto"/>
                <w:sz w:val="21"/>
                <w:lang w:eastAsia="zh-CN"/>
              </w:rPr>
              <w:t>）</w:t>
            </w:r>
            <w:r>
              <w:rPr>
                <w:rFonts w:cs="Times New Roman"/>
                <w:color w:val="auto"/>
                <w:sz w:val="21"/>
              </w:rPr>
              <w:t>表1、表3标准</w:t>
            </w:r>
          </w:p>
        </w:tc>
      </w:tr>
      <w:tr w14:paraId="0063A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09" w:hRule="atLeast"/>
          <w:jc w:val="center"/>
        </w:trPr>
        <w:tc>
          <w:tcPr>
            <w:tcW w:w="971" w:type="dxa"/>
            <w:vMerge w:val="continue"/>
            <w:vAlign w:val="center"/>
          </w:tcPr>
          <w:p w14:paraId="7B04D370">
            <w:pPr>
              <w:pStyle w:val="477"/>
              <w:spacing w:after="0"/>
              <w:rPr>
                <w:color w:val="auto"/>
                <w:szCs w:val="21"/>
              </w:rPr>
            </w:pPr>
          </w:p>
        </w:tc>
        <w:tc>
          <w:tcPr>
            <w:tcW w:w="850" w:type="dxa"/>
            <w:vMerge w:val="continue"/>
            <w:vAlign w:val="center"/>
          </w:tcPr>
          <w:p w14:paraId="46A2DE38">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1F7909B6">
            <w:pPr>
              <w:adjustRightInd w:val="0"/>
              <w:snapToGrid w:val="0"/>
              <w:jc w:val="center"/>
              <w:rPr>
                <w:color w:val="auto"/>
                <w:szCs w:val="21"/>
              </w:rPr>
            </w:pPr>
            <w:r>
              <w:rPr>
                <w:rFonts w:hint="eastAsia"/>
                <w:color w:val="auto"/>
                <w:szCs w:val="21"/>
              </w:rPr>
              <w:t>DA002</w:t>
            </w:r>
          </w:p>
        </w:tc>
        <w:tc>
          <w:tcPr>
            <w:tcW w:w="1559" w:type="dxa"/>
            <w:tcBorders>
              <w:top w:val="single" w:color="auto" w:sz="8" w:space="0"/>
              <w:bottom w:val="single" w:color="auto" w:sz="8" w:space="0"/>
            </w:tcBorders>
            <w:vAlign w:val="center"/>
          </w:tcPr>
          <w:p w14:paraId="45DE30E2">
            <w:pPr>
              <w:pStyle w:val="906"/>
              <w:spacing w:line="240" w:lineRule="auto"/>
              <w:rPr>
                <w:rFonts w:cs="Times New Roman"/>
                <w:color w:val="auto"/>
                <w:sz w:val="21"/>
              </w:rPr>
            </w:pPr>
            <w:r>
              <w:rPr>
                <w:rFonts w:hint="eastAsia" w:cs="Times New Roman"/>
                <w:color w:val="auto"/>
                <w:sz w:val="21"/>
                <w:lang w:val="en-US"/>
              </w:rPr>
              <w:t>颗粒物</w:t>
            </w:r>
          </w:p>
        </w:tc>
        <w:tc>
          <w:tcPr>
            <w:tcW w:w="1701" w:type="dxa"/>
            <w:tcBorders>
              <w:top w:val="single" w:color="auto" w:sz="8" w:space="0"/>
              <w:bottom w:val="single" w:color="auto" w:sz="8" w:space="0"/>
            </w:tcBorders>
            <w:vAlign w:val="center"/>
          </w:tcPr>
          <w:p w14:paraId="1E330D2D">
            <w:pPr>
              <w:pStyle w:val="906"/>
              <w:spacing w:line="240" w:lineRule="auto"/>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”装置，设计风量</w:t>
            </w:r>
            <w:r>
              <w:rPr>
                <w:rFonts w:hint="eastAsia" w:cs="Times New Roman"/>
                <w:color w:val="auto"/>
                <w:sz w:val="21"/>
                <w:lang w:val="en-US"/>
              </w:rPr>
              <w:t>6000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D692B37">
            <w:pPr>
              <w:pStyle w:val="906"/>
              <w:spacing w:line="240" w:lineRule="auto"/>
              <w:rPr>
                <w:rFonts w:cs="Times New Roman"/>
                <w:color w:val="auto"/>
                <w:sz w:val="21"/>
              </w:rPr>
            </w:pPr>
            <w:r>
              <w:rPr>
                <w:rFonts w:hint="eastAsia"/>
                <w:bCs/>
                <w:color w:val="auto"/>
                <w:sz w:val="21"/>
              </w:rPr>
              <w:t>《大气污染物综合排放标准》（DB32/4041-2021）表1、表3</w:t>
            </w:r>
          </w:p>
        </w:tc>
      </w:tr>
      <w:tr w14:paraId="4DBF1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A15E278">
            <w:pPr>
              <w:pStyle w:val="477"/>
              <w:spacing w:after="0"/>
              <w:rPr>
                <w:color w:val="auto"/>
                <w:szCs w:val="21"/>
              </w:rPr>
            </w:pPr>
          </w:p>
        </w:tc>
        <w:tc>
          <w:tcPr>
            <w:tcW w:w="850" w:type="dxa"/>
            <w:vMerge w:val="continue"/>
            <w:vAlign w:val="center"/>
          </w:tcPr>
          <w:p w14:paraId="2CE7D853">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4CEB7C9B">
            <w:pPr>
              <w:adjustRightInd w:val="0"/>
              <w:snapToGrid w:val="0"/>
              <w:jc w:val="center"/>
              <w:rPr>
                <w:color w:val="auto"/>
                <w:szCs w:val="21"/>
              </w:rPr>
            </w:pPr>
            <w:r>
              <w:rPr>
                <w:rFonts w:hint="eastAsia"/>
                <w:color w:val="auto"/>
                <w:szCs w:val="21"/>
              </w:rPr>
              <w:t>DA003</w:t>
            </w:r>
          </w:p>
        </w:tc>
        <w:tc>
          <w:tcPr>
            <w:tcW w:w="1559" w:type="dxa"/>
            <w:tcBorders>
              <w:top w:val="single" w:color="auto" w:sz="8" w:space="0"/>
              <w:bottom w:val="single" w:color="auto" w:sz="8" w:space="0"/>
            </w:tcBorders>
            <w:vAlign w:val="center"/>
          </w:tcPr>
          <w:p w14:paraId="08FC12D1">
            <w:pPr>
              <w:pStyle w:val="906"/>
              <w:spacing w:line="240" w:lineRule="auto"/>
              <w:rPr>
                <w:rFonts w:cs="Times New Roman"/>
                <w:color w:val="auto"/>
                <w:sz w:val="21"/>
                <w:lang w:val="en-US"/>
              </w:rPr>
            </w:pPr>
            <w:r>
              <w:rPr>
                <w:rFonts w:hint="eastAsia" w:cs="Times New Roman"/>
                <w:color w:val="auto"/>
                <w:sz w:val="21"/>
                <w:lang w:val="en-US"/>
              </w:rPr>
              <w:t>非甲烷总烃、颗粒物、苯乙烯、二甲苯</w:t>
            </w:r>
          </w:p>
        </w:tc>
        <w:tc>
          <w:tcPr>
            <w:tcW w:w="1701" w:type="dxa"/>
            <w:tcBorders>
              <w:top w:val="single" w:color="auto" w:sz="8" w:space="0"/>
              <w:bottom w:val="single" w:color="auto" w:sz="8" w:space="0"/>
            </w:tcBorders>
            <w:vAlign w:val="center"/>
          </w:tcPr>
          <w:p w14:paraId="3E9E385B">
            <w:pPr>
              <w:pStyle w:val="906"/>
              <w:spacing w:line="240" w:lineRule="auto"/>
              <w:rPr>
                <w:rFonts w:cs="Times New Roman"/>
                <w:color w:val="auto"/>
                <w:sz w:val="21"/>
                <w:lang w:val="en-US"/>
              </w:rPr>
            </w:pPr>
            <w:r>
              <w:rPr>
                <w:rFonts w:hint="eastAsia"/>
                <w:color w:val="auto"/>
                <w:sz w:val="21"/>
              </w:rPr>
              <w:t>干式过滤器</w:t>
            </w:r>
            <w:r>
              <w:rPr>
                <w:color w:val="auto"/>
                <w:sz w:val="21"/>
              </w:rPr>
              <w:t>+二级活性炭</w:t>
            </w:r>
            <w:r>
              <w:rPr>
                <w:rFonts w:hint="eastAsia"/>
                <w:color w:val="auto"/>
                <w:sz w:val="21"/>
              </w:rPr>
              <w:t>，</w:t>
            </w:r>
            <w:r>
              <w:rPr>
                <w:rFonts w:cs="Times New Roman"/>
                <w:color w:val="auto"/>
                <w:sz w:val="21"/>
              </w:rPr>
              <w:t>设计风量</w:t>
            </w:r>
            <w:r>
              <w:rPr>
                <w:rFonts w:hint="eastAsia" w:cs="Times New Roman"/>
                <w:color w:val="auto"/>
                <w:sz w:val="21"/>
                <w:lang w:val="en-US"/>
              </w:rPr>
              <w:t>15000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36F1FCE">
            <w:pPr>
              <w:pStyle w:val="906"/>
              <w:spacing w:line="240" w:lineRule="auto"/>
              <w:rPr>
                <w:rFonts w:cs="Times New Roman"/>
                <w:color w:val="auto"/>
                <w:sz w:val="21"/>
              </w:rPr>
            </w:pPr>
            <w:r>
              <w:rPr>
                <w:rFonts w:hint="eastAsia"/>
                <w:color w:val="auto"/>
                <w:sz w:val="21"/>
              </w:rPr>
              <w:t>《工业涂装工序大气污染物排放标准》（</w:t>
            </w:r>
            <w:r>
              <w:rPr>
                <w:color w:val="auto"/>
                <w:sz w:val="21"/>
              </w:rPr>
              <w:t>DB32/4439-2022</w:t>
            </w:r>
            <w:r>
              <w:rPr>
                <w:rFonts w:hint="eastAsia"/>
                <w:color w:val="auto"/>
                <w:sz w:val="21"/>
              </w:rPr>
              <w:t>）表1和表3标准</w:t>
            </w:r>
            <w:r>
              <w:rPr>
                <w:rFonts w:hint="eastAsia"/>
                <w:color w:val="auto"/>
                <w:sz w:val="21"/>
                <w:lang w:eastAsia="zh-CN"/>
              </w:rPr>
              <w:t>，</w:t>
            </w:r>
            <w:r>
              <w:rPr>
                <w:rFonts w:hint="eastAsia"/>
                <w:color w:val="auto"/>
                <w:sz w:val="21"/>
                <w:lang w:val="en-US" w:eastAsia="zh-CN"/>
              </w:rPr>
              <w:t>苯乙烯排放速率和厂界标准参照《恶臭污染物排放标准》GB 14554-93</w:t>
            </w:r>
            <w:r>
              <w:rPr>
                <w:rFonts w:hint="eastAsia"/>
                <w:color w:val="auto"/>
                <w:sz w:val="21"/>
              </w:rPr>
              <w:t>表1和表</w:t>
            </w:r>
            <w:r>
              <w:rPr>
                <w:rFonts w:hint="eastAsia"/>
                <w:color w:val="auto"/>
                <w:sz w:val="21"/>
                <w:lang w:val="en-US" w:eastAsia="zh-CN"/>
              </w:rPr>
              <w:t>2</w:t>
            </w:r>
            <w:r>
              <w:rPr>
                <w:rFonts w:hint="eastAsia"/>
                <w:color w:val="auto"/>
                <w:sz w:val="21"/>
              </w:rPr>
              <w:t>标准</w:t>
            </w:r>
          </w:p>
        </w:tc>
      </w:tr>
      <w:tr w14:paraId="30784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5BDCC1C0">
            <w:pPr>
              <w:pStyle w:val="477"/>
              <w:spacing w:after="0"/>
              <w:rPr>
                <w:color w:val="auto"/>
                <w:szCs w:val="21"/>
              </w:rPr>
            </w:pPr>
          </w:p>
        </w:tc>
        <w:tc>
          <w:tcPr>
            <w:tcW w:w="850" w:type="dxa"/>
            <w:vMerge w:val="continue"/>
            <w:vAlign w:val="center"/>
          </w:tcPr>
          <w:p w14:paraId="563A4166">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68CD19D9">
            <w:pPr>
              <w:adjustRightInd w:val="0"/>
              <w:snapToGrid w:val="0"/>
              <w:jc w:val="center"/>
              <w:rPr>
                <w:color w:val="auto"/>
                <w:szCs w:val="21"/>
              </w:rPr>
            </w:pPr>
            <w:r>
              <w:rPr>
                <w:rFonts w:hint="eastAsia"/>
                <w:color w:val="auto"/>
                <w:szCs w:val="21"/>
              </w:rPr>
              <w:t>DA004</w:t>
            </w:r>
          </w:p>
        </w:tc>
        <w:tc>
          <w:tcPr>
            <w:tcW w:w="1559" w:type="dxa"/>
            <w:tcBorders>
              <w:top w:val="single" w:color="auto" w:sz="8" w:space="0"/>
              <w:bottom w:val="single" w:color="auto" w:sz="8" w:space="0"/>
            </w:tcBorders>
            <w:vAlign w:val="center"/>
          </w:tcPr>
          <w:p w14:paraId="442D8F44">
            <w:pPr>
              <w:pStyle w:val="906"/>
              <w:spacing w:line="240" w:lineRule="auto"/>
              <w:rPr>
                <w:rFonts w:cs="Times New Roman"/>
                <w:color w:val="auto"/>
                <w:sz w:val="21"/>
              </w:rPr>
            </w:pPr>
            <w:r>
              <w:rPr>
                <w:rFonts w:hint="eastAsia" w:cs="Times New Roman"/>
                <w:color w:val="auto"/>
                <w:sz w:val="21"/>
                <w:lang w:val="en-US"/>
              </w:rPr>
              <w:t>颗粒物</w:t>
            </w:r>
          </w:p>
        </w:tc>
        <w:tc>
          <w:tcPr>
            <w:tcW w:w="1701" w:type="dxa"/>
            <w:tcBorders>
              <w:top w:val="single" w:color="auto" w:sz="8" w:space="0"/>
              <w:bottom w:val="single" w:color="auto" w:sz="8" w:space="0"/>
            </w:tcBorders>
            <w:vAlign w:val="center"/>
          </w:tcPr>
          <w:p w14:paraId="4D2DDE88">
            <w:pPr>
              <w:pStyle w:val="906"/>
              <w:spacing w:line="240" w:lineRule="auto"/>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”装置，设计风量</w:t>
            </w:r>
            <w:r>
              <w:rPr>
                <w:rFonts w:hint="eastAsia" w:cs="Times New Roman"/>
                <w:color w:val="auto"/>
                <w:sz w:val="21"/>
                <w:lang w:val="en-US"/>
              </w:rPr>
              <w:t>4000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B5ECE81">
            <w:pPr>
              <w:pStyle w:val="906"/>
              <w:spacing w:line="240" w:lineRule="auto"/>
              <w:rPr>
                <w:rFonts w:cs="Times New Roman"/>
                <w:color w:val="auto"/>
                <w:sz w:val="21"/>
              </w:rPr>
            </w:pPr>
            <w:r>
              <w:rPr>
                <w:rFonts w:hint="eastAsia"/>
                <w:bCs/>
                <w:color w:val="auto"/>
                <w:sz w:val="21"/>
              </w:rPr>
              <w:t>《大气污染物综合排放标准》（DB32/4041-2021）表1、表3</w:t>
            </w:r>
          </w:p>
        </w:tc>
      </w:tr>
      <w:tr w14:paraId="54BE0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01DBAAF">
            <w:pPr>
              <w:pStyle w:val="477"/>
              <w:spacing w:after="0"/>
              <w:rPr>
                <w:color w:val="auto"/>
                <w:szCs w:val="21"/>
              </w:rPr>
            </w:pPr>
          </w:p>
        </w:tc>
        <w:tc>
          <w:tcPr>
            <w:tcW w:w="850" w:type="dxa"/>
            <w:vMerge w:val="continue"/>
            <w:vAlign w:val="center"/>
          </w:tcPr>
          <w:p w14:paraId="02E1480B">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7F7375D8">
            <w:pPr>
              <w:adjustRightInd w:val="0"/>
              <w:snapToGrid w:val="0"/>
              <w:jc w:val="center"/>
              <w:rPr>
                <w:color w:val="auto"/>
                <w:szCs w:val="21"/>
              </w:rPr>
            </w:pPr>
            <w:r>
              <w:rPr>
                <w:rFonts w:hint="eastAsia"/>
                <w:color w:val="auto"/>
                <w:szCs w:val="21"/>
              </w:rPr>
              <w:t>DA005</w:t>
            </w:r>
          </w:p>
        </w:tc>
        <w:tc>
          <w:tcPr>
            <w:tcW w:w="1559" w:type="dxa"/>
            <w:tcBorders>
              <w:top w:val="single" w:color="auto" w:sz="8" w:space="0"/>
              <w:bottom w:val="single" w:color="auto" w:sz="8" w:space="0"/>
            </w:tcBorders>
            <w:vAlign w:val="center"/>
          </w:tcPr>
          <w:p w14:paraId="66D088A4">
            <w:pPr>
              <w:pStyle w:val="906"/>
              <w:spacing w:line="240" w:lineRule="auto"/>
              <w:rPr>
                <w:rFonts w:cs="Times New Roman"/>
                <w:color w:val="auto"/>
                <w:sz w:val="21"/>
                <w:lang w:val="en-US"/>
              </w:rPr>
            </w:pPr>
            <w:r>
              <w:rPr>
                <w:rFonts w:hint="eastAsia" w:cs="Times New Roman"/>
                <w:color w:val="auto"/>
                <w:sz w:val="21"/>
                <w:lang w:val="en-US"/>
              </w:rPr>
              <w:t>非甲烷总烃、颗粒物</w:t>
            </w:r>
            <w:r>
              <w:rPr>
                <w:rFonts w:hint="eastAsia"/>
                <w:color w:val="auto"/>
              </w:rPr>
              <w:t>、</w:t>
            </w:r>
            <w:r>
              <w:rPr>
                <w:rFonts w:hint="eastAsia" w:cs="Times New Roman"/>
                <w:color w:val="auto"/>
                <w:sz w:val="21"/>
                <w:lang w:val="en-US"/>
              </w:rPr>
              <w:t>二氧化硫、氮氧化物</w:t>
            </w:r>
          </w:p>
        </w:tc>
        <w:tc>
          <w:tcPr>
            <w:tcW w:w="1701" w:type="dxa"/>
            <w:tcBorders>
              <w:top w:val="single" w:color="auto" w:sz="8" w:space="0"/>
              <w:bottom w:val="single" w:color="auto" w:sz="8" w:space="0"/>
            </w:tcBorders>
            <w:vAlign w:val="center"/>
          </w:tcPr>
          <w:p w14:paraId="0C3E3731">
            <w:pPr>
              <w:pStyle w:val="906"/>
              <w:spacing w:line="240" w:lineRule="auto"/>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w:t>
            </w:r>
            <w:r>
              <w:rPr>
                <w:rFonts w:hint="eastAsia" w:cs="Times New Roman"/>
                <w:color w:val="auto"/>
                <w:sz w:val="21"/>
                <w:lang w:val="en-US"/>
              </w:rPr>
              <w:t>二级活性炭</w:t>
            </w:r>
            <w:r>
              <w:rPr>
                <w:rFonts w:cs="Times New Roman"/>
                <w:color w:val="auto"/>
                <w:sz w:val="21"/>
              </w:rPr>
              <w:t>”装置</w:t>
            </w:r>
            <w:r>
              <w:rPr>
                <w:rFonts w:hint="eastAsia" w:cs="Times New Roman"/>
                <w:color w:val="auto"/>
                <w:sz w:val="21"/>
              </w:rPr>
              <w:t>，</w:t>
            </w:r>
            <w:r>
              <w:rPr>
                <w:rFonts w:cs="Times New Roman"/>
                <w:color w:val="auto"/>
                <w:sz w:val="21"/>
              </w:rPr>
              <w:t>设计风量</w:t>
            </w:r>
            <w:r>
              <w:rPr>
                <w:rFonts w:hint="eastAsia" w:cs="Times New Roman"/>
                <w:color w:val="auto"/>
                <w:sz w:val="21"/>
                <w:lang w:val="en-US"/>
              </w:rPr>
              <w:t>13555</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15F91BA">
            <w:pPr>
              <w:pStyle w:val="906"/>
              <w:spacing w:line="240" w:lineRule="auto"/>
              <w:rPr>
                <w:rFonts w:cs="Times New Roman"/>
                <w:color w:val="auto"/>
                <w:sz w:val="21"/>
              </w:rPr>
            </w:pPr>
            <w:r>
              <w:rPr>
                <w:rFonts w:hint="eastAsia"/>
                <w:color w:val="auto"/>
                <w:sz w:val="21"/>
              </w:rPr>
              <w:t>《工业炉窑大气污染物排放标准》（DB32/3728—2020）表1</w:t>
            </w:r>
          </w:p>
        </w:tc>
      </w:tr>
      <w:tr w14:paraId="3DF7D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27F522C1">
            <w:pPr>
              <w:pStyle w:val="477"/>
              <w:spacing w:after="0"/>
              <w:rPr>
                <w:color w:val="auto"/>
                <w:szCs w:val="21"/>
              </w:rPr>
            </w:pPr>
          </w:p>
        </w:tc>
        <w:tc>
          <w:tcPr>
            <w:tcW w:w="850" w:type="dxa"/>
            <w:vMerge w:val="continue"/>
            <w:vAlign w:val="center"/>
          </w:tcPr>
          <w:p w14:paraId="06F53AA4">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673CBCB0">
            <w:pPr>
              <w:adjustRightInd w:val="0"/>
              <w:snapToGrid w:val="0"/>
              <w:jc w:val="center"/>
              <w:rPr>
                <w:color w:val="auto"/>
                <w:szCs w:val="21"/>
              </w:rPr>
            </w:pPr>
            <w:r>
              <w:rPr>
                <w:rFonts w:hint="eastAsia"/>
                <w:color w:val="auto"/>
                <w:szCs w:val="21"/>
              </w:rPr>
              <w:t>DA006</w:t>
            </w:r>
          </w:p>
        </w:tc>
        <w:tc>
          <w:tcPr>
            <w:tcW w:w="1559" w:type="dxa"/>
            <w:tcBorders>
              <w:top w:val="single" w:color="auto" w:sz="8" w:space="0"/>
              <w:bottom w:val="single" w:color="auto" w:sz="8" w:space="0"/>
            </w:tcBorders>
            <w:vAlign w:val="center"/>
          </w:tcPr>
          <w:p w14:paraId="7F0FA952">
            <w:pPr>
              <w:pStyle w:val="906"/>
              <w:spacing w:line="240" w:lineRule="auto"/>
              <w:rPr>
                <w:rFonts w:cs="Times New Roman"/>
                <w:color w:val="auto"/>
                <w:sz w:val="21"/>
              </w:rPr>
            </w:pPr>
            <w:r>
              <w:rPr>
                <w:rFonts w:hint="eastAsia" w:cs="Times New Roman"/>
                <w:color w:val="auto"/>
                <w:sz w:val="21"/>
                <w:lang w:val="en-US"/>
              </w:rPr>
              <w:t>非甲烷总烃、颗粒物</w:t>
            </w:r>
          </w:p>
        </w:tc>
        <w:tc>
          <w:tcPr>
            <w:tcW w:w="1701" w:type="dxa"/>
            <w:tcBorders>
              <w:top w:val="single" w:color="auto" w:sz="8" w:space="0"/>
              <w:bottom w:val="single" w:color="auto" w:sz="8" w:space="0"/>
            </w:tcBorders>
            <w:vAlign w:val="center"/>
          </w:tcPr>
          <w:p w14:paraId="750B043D">
            <w:pPr>
              <w:pStyle w:val="906"/>
              <w:spacing w:line="240" w:lineRule="auto"/>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w:t>
            </w:r>
            <w:r>
              <w:rPr>
                <w:rFonts w:hint="eastAsia" w:cs="Times New Roman"/>
                <w:color w:val="auto"/>
                <w:sz w:val="21"/>
                <w:lang w:val="en-US"/>
              </w:rPr>
              <w:t>二级活性炭</w:t>
            </w:r>
            <w:r>
              <w:rPr>
                <w:rFonts w:cs="Times New Roman"/>
                <w:color w:val="auto"/>
                <w:sz w:val="21"/>
              </w:rPr>
              <w:t>”装置</w:t>
            </w:r>
            <w:r>
              <w:rPr>
                <w:rFonts w:hint="eastAsia" w:cs="Times New Roman"/>
                <w:color w:val="auto"/>
                <w:sz w:val="21"/>
              </w:rPr>
              <w:t>，</w:t>
            </w:r>
            <w:r>
              <w:rPr>
                <w:rFonts w:cs="Times New Roman"/>
                <w:color w:val="auto"/>
                <w:sz w:val="21"/>
              </w:rPr>
              <w:t>设计风量</w:t>
            </w:r>
            <w:r>
              <w:rPr>
                <w:rFonts w:hint="eastAsia" w:cs="Times New Roman"/>
                <w:color w:val="auto"/>
                <w:sz w:val="21"/>
                <w:lang w:val="en-US"/>
              </w:rPr>
              <w:t>17000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1BC1CBF">
            <w:pPr>
              <w:pStyle w:val="906"/>
              <w:spacing w:line="240" w:lineRule="auto"/>
              <w:rPr>
                <w:rFonts w:cs="Times New Roman"/>
                <w:color w:val="auto"/>
                <w:sz w:val="21"/>
              </w:rPr>
            </w:pPr>
            <w:r>
              <w:rPr>
                <w:rFonts w:hint="eastAsia" w:cs="Times New Roman"/>
                <w:color w:val="auto"/>
                <w:sz w:val="21"/>
                <w:lang w:val="en-US"/>
              </w:rPr>
              <w:t>《印刷工业大气污染物排放标准》（DB32/4438-2022）表1限值及表3限值</w:t>
            </w:r>
          </w:p>
        </w:tc>
      </w:tr>
      <w:tr w14:paraId="600F4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3D9461A4">
            <w:pPr>
              <w:pStyle w:val="477"/>
              <w:spacing w:after="0"/>
              <w:rPr>
                <w:color w:val="auto"/>
                <w:szCs w:val="21"/>
              </w:rPr>
            </w:pPr>
          </w:p>
        </w:tc>
        <w:tc>
          <w:tcPr>
            <w:tcW w:w="850" w:type="dxa"/>
            <w:tcBorders>
              <w:top w:val="single" w:color="auto" w:sz="4" w:space="0"/>
            </w:tcBorders>
            <w:vAlign w:val="center"/>
          </w:tcPr>
          <w:p w14:paraId="6837F65C">
            <w:pPr>
              <w:adjustRightInd w:val="0"/>
              <w:snapToGrid w:val="0"/>
              <w:jc w:val="center"/>
              <w:rPr>
                <w:color w:val="auto"/>
                <w:szCs w:val="21"/>
              </w:rPr>
            </w:pPr>
            <w:r>
              <w:rPr>
                <w:color w:val="auto"/>
                <w:szCs w:val="21"/>
              </w:rPr>
              <w:t>无组织</w:t>
            </w:r>
          </w:p>
        </w:tc>
        <w:tc>
          <w:tcPr>
            <w:tcW w:w="851" w:type="dxa"/>
            <w:tcBorders>
              <w:top w:val="single" w:color="auto" w:sz="4" w:space="0"/>
            </w:tcBorders>
            <w:vAlign w:val="center"/>
          </w:tcPr>
          <w:p w14:paraId="73922C69">
            <w:pPr>
              <w:adjustRightInd w:val="0"/>
              <w:snapToGrid w:val="0"/>
              <w:jc w:val="center"/>
              <w:rPr>
                <w:color w:val="auto"/>
                <w:szCs w:val="21"/>
              </w:rPr>
            </w:pPr>
            <w:r>
              <w:rPr>
                <w:rFonts w:hint="eastAsia"/>
                <w:color w:val="auto"/>
                <w:szCs w:val="21"/>
              </w:rPr>
              <w:t>焊接烟尘</w:t>
            </w:r>
          </w:p>
        </w:tc>
        <w:tc>
          <w:tcPr>
            <w:tcW w:w="1559" w:type="dxa"/>
            <w:tcBorders>
              <w:top w:val="single" w:color="auto" w:sz="4" w:space="0"/>
            </w:tcBorders>
            <w:vAlign w:val="center"/>
          </w:tcPr>
          <w:p w14:paraId="133F535C">
            <w:pPr>
              <w:adjustRightInd w:val="0"/>
              <w:snapToGrid w:val="0"/>
              <w:jc w:val="center"/>
              <w:rPr>
                <w:color w:val="auto"/>
                <w:szCs w:val="21"/>
              </w:rPr>
            </w:pPr>
            <w:r>
              <w:rPr>
                <w:rFonts w:hint="eastAsia"/>
                <w:color w:val="auto"/>
                <w:szCs w:val="21"/>
              </w:rPr>
              <w:t>颗粒物</w:t>
            </w:r>
          </w:p>
        </w:tc>
        <w:tc>
          <w:tcPr>
            <w:tcW w:w="1701" w:type="dxa"/>
            <w:tcBorders>
              <w:top w:val="single" w:color="auto" w:sz="4" w:space="0"/>
            </w:tcBorders>
            <w:vAlign w:val="center"/>
          </w:tcPr>
          <w:p w14:paraId="086F58EB">
            <w:pPr>
              <w:adjustRightInd w:val="0"/>
              <w:snapToGrid w:val="0"/>
              <w:jc w:val="center"/>
              <w:rPr>
                <w:color w:val="auto"/>
                <w:szCs w:val="21"/>
              </w:rPr>
            </w:pPr>
            <w:r>
              <w:rPr>
                <w:color w:val="auto"/>
                <w:szCs w:val="21"/>
              </w:rPr>
              <w:t>移动式焊烟净化器</w:t>
            </w:r>
          </w:p>
        </w:tc>
        <w:tc>
          <w:tcPr>
            <w:tcW w:w="2868" w:type="dxa"/>
            <w:tcBorders>
              <w:top w:val="single" w:color="auto" w:sz="4" w:space="0"/>
            </w:tcBorders>
            <w:vAlign w:val="center"/>
          </w:tcPr>
          <w:p w14:paraId="7B0B3481">
            <w:pPr>
              <w:adjustRightInd w:val="0"/>
              <w:snapToGrid w:val="0"/>
              <w:jc w:val="center"/>
              <w:rPr>
                <w:color w:val="auto"/>
                <w:szCs w:val="21"/>
              </w:rPr>
            </w:pPr>
            <w:r>
              <w:rPr>
                <w:color w:val="auto"/>
                <w:kern w:val="0"/>
                <w:szCs w:val="21"/>
              </w:rPr>
              <w:t>江苏省地方标准《大气污染物综合排放标准》（</w:t>
            </w:r>
            <w:r>
              <w:rPr>
                <w:color w:val="auto"/>
                <w:szCs w:val="21"/>
              </w:rPr>
              <w:t>DB32/4041-2021</w:t>
            </w:r>
            <w:r>
              <w:rPr>
                <w:color w:val="auto"/>
                <w:kern w:val="0"/>
                <w:szCs w:val="21"/>
              </w:rPr>
              <w:t>）表</w:t>
            </w:r>
            <w:r>
              <w:rPr>
                <w:rFonts w:hint="eastAsia"/>
                <w:color w:val="auto"/>
                <w:kern w:val="0"/>
                <w:szCs w:val="21"/>
              </w:rPr>
              <w:t>3</w:t>
            </w:r>
          </w:p>
        </w:tc>
      </w:tr>
      <w:tr w14:paraId="332B9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7EA9A26C">
            <w:pPr>
              <w:pStyle w:val="477"/>
              <w:spacing w:after="0"/>
              <w:rPr>
                <w:color w:val="auto"/>
                <w:szCs w:val="21"/>
              </w:rPr>
            </w:pPr>
          </w:p>
        </w:tc>
        <w:tc>
          <w:tcPr>
            <w:tcW w:w="850" w:type="dxa"/>
            <w:tcBorders>
              <w:top w:val="single" w:color="auto" w:sz="4" w:space="0"/>
            </w:tcBorders>
            <w:vAlign w:val="center"/>
          </w:tcPr>
          <w:p w14:paraId="6E7EB990">
            <w:pPr>
              <w:adjustRightInd w:val="0"/>
              <w:snapToGrid w:val="0"/>
              <w:jc w:val="center"/>
              <w:rPr>
                <w:color w:val="auto"/>
                <w:szCs w:val="21"/>
              </w:rPr>
            </w:pPr>
            <w:r>
              <w:rPr>
                <w:color w:val="auto"/>
                <w:szCs w:val="21"/>
              </w:rPr>
              <w:t>无组织</w:t>
            </w:r>
          </w:p>
        </w:tc>
        <w:tc>
          <w:tcPr>
            <w:tcW w:w="851" w:type="dxa"/>
            <w:tcBorders>
              <w:top w:val="single" w:color="auto" w:sz="4" w:space="0"/>
            </w:tcBorders>
            <w:vAlign w:val="center"/>
          </w:tcPr>
          <w:p w14:paraId="12F531BC">
            <w:pPr>
              <w:adjustRightInd w:val="0"/>
              <w:snapToGrid w:val="0"/>
              <w:jc w:val="center"/>
              <w:rPr>
                <w:color w:val="auto"/>
                <w:szCs w:val="21"/>
              </w:rPr>
            </w:pPr>
            <w:r>
              <w:rPr>
                <w:rFonts w:hint="eastAsia"/>
                <w:color w:val="auto"/>
                <w:szCs w:val="21"/>
              </w:rPr>
              <w:t>厂界</w:t>
            </w:r>
          </w:p>
        </w:tc>
        <w:tc>
          <w:tcPr>
            <w:tcW w:w="1559" w:type="dxa"/>
            <w:tcBorders>
              <w:top w:val="single" w:color="auto" w:sz="4" w:space="0"/>
            </w:tcBorders>
            <w:vAlign w:val="center"/>
          </w:tcPr>
          <w:p w14:paraId="724B256D">
            <w:pPr>
              <w:adjustRightInd w:val="0"/>
              <w:snapToGrid w:val="0"/>
              <w:jc w:val="center"/>
              <w:rPr>
                <w:color w:val="auto"/>
                <w:szCs w:val="21"/>
              </w:rPr>
            </w:pPr>
            <w:r>
              <w:rPr>
                <w:rFonts w:hint="eastAsia"/>
                <w:color w:val="auto"/>
                <w:szCs w:val="21"/>
              </w:rPr>
              <w:t>非甲烷总烃、颗粒物</w:t>
            </w:r>
          </w:p>
        </w:tc>
        <w:tc>
          <w:tcPr>
            <w:tcW w:w="1701" w:type="dxa"/>
            <w:tcBorders>
              <w:top w:val="single" w:color="auto" w:sz="4" w:space="0"/>
            </w:tcBorders>
            <w:vAlign w:val="center"/>
          </w:tcPr>
          <w:p w14:paraId="7D95B2C2">
            <w:pPr>
              <w:adjustRightInd w:val="0"/>
              <w:snapToGrid w:val="0"/>
              <w:jc w:val="center"/>
              <w:rPr>
                <w:color w:val="auto"/>
                <w:szCs w:val="21"/>
              </w:rPr>
            </w:pPr>
            <w:r>
              <w:rPr>
                <w:rFonts w:hint="eastAsia"/>
                <w:color w:val="auto"/>
                <w:szCs w:val="21"/>
              </w:rPr>
              <w:t>/</w:t>
            </w:r>
          </w:p>
        </w:tc>
        <w:tc>
          <w:tcPr>
            <w:tcW w:w="2868" w:type="dxa"/>
            <w:tcBorders>
              <w:top w:val="single" w:color="auto" w:sz="4" w:space="0"/>
            </w:tcBorders>
            <w:vAlign w:val="center"/>
          </w:tcPr>
          <w:p w14:paraId="47497779">
            <w:pPr>
              <w:adjustRightInd w:val="0"/>
              <w:snapToGrid w:val="0"/>
              <w:jc w:val="center"/>
              <w:rPr>
                <w:color w:val="auto"/>
                <w:kern w:val="0"/>
                <w:szCs w:val="21"/>
              </w:rPr>
            </w:pPr>
            <w:r>
              <w:rPr>
                <w:color w:val="auto"/>
                <w:kern w:val="0"/>
                <w:szCs w:val="21"/>
              </w:rPr>
              <w:t>江苏省地方标准《大气污染物综合排放标准》（</w:t>
            </w:r>
            <w:r>
              <w:rPr>
                <w:color w:val="auto"/>
                <w:szCs w:val="21"/>
              </w:rPr>
              <w:t>DB32/4041-2021</w:t>
            </w:r>
            <w:r>
              <w:rPr>
                <w:color w:val="auto"/>
                <w:kern w:val="0"/>
                <w:szCs w:val="21"/>
              </w:rPr>
              <w:t>）表</w:t>
            </w:r>
            <w:r>
              <w:rPr>
                <w:rFonts w:hint="eastAsia"/>
                <w:color w:val="auto"/>
                <w:kern w:val="0"/>
                <w:szCs w:val="21"/>
              </w:rPr>
              <w:t>3</w:t>
            </w:r>
          </w:p>
        </w:tc>
      </w:tr>
      <w:tr w14:paraId="605D9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4F03DFFE">
            <w:pPr>
              <w:pStyle w:val="477"/>
              <w:spacing w:after="0"/>
              <w:rPr>
                <w:color w:val="auto"/>
                <w:szCs w:val="21"/>
              </w:rPr>
            </w:pPr>
          </w:p>
        </w:tc>
        <w:tc>
          <w:tcPr>
            <w:tcW w:w="1701" w:type="dxa"/>
            <w:gridSpan w:val="2"/>
            <w:tcBorders>
              <w:top w:val="single" w:color="auto" w:sz="4" w:space="0"/>
            </w:tcBorders>
            <w:vAlign w:val="center"/>
          </w:tcPr>
          <w:p w14:paraId="10B591E3">
            <w:pPr>
              <w:adjustRightInd w:val="0"/>
              <w:snapToGrid w:val="0"/>
              <w:jc w:val="center"/>
              <w:rPr>
                <w:color w:val="auto"/>
                <w:szCs w:val="21"/>
              </w:rPr>
            </w:pPr>
            <w:r>
              <w:rPr>
                <w:rFonts w:hint="eastAsia"/>
                <w:color w:val="auto"/>
                <w:szCs w:val="21"/>
              </w:rPr>
              <w:t>厂房外</w:t>
            </w:r>
          </w:p>
        </w:tc>
        <w:tc>
          <w:tcPr>
            <w:tcW w:w="1559" w:type="dxa"/>
            <w:tcBorders>
              <w:top w:val="single" w:color="auto" w:sz="4" w:space="0"/>
            </w:tcBorders>
            <w:vAlign w:val="center"/>
          </w:tcPr>
          <w:p w14:paraId="5EB0AADA">
            <w:pPr>
              <w:adjustRightInd w:val="0"/>
              <w:snapToGrid w:val="0"/>
              <w:jc w:val="center"/>
              <w:rPr>
                <w:color w:val="auto"/>
                <w:szCs w:val="21"/>
              </w:rPr>
            </w:pPr>
            <w:r>
              <w:rPr>
                <w:rFonts w:hint="eastAsia"/>
                <w:color w:val="auto"/>
                <w:szCs w:val="21"/>
              </w:rPr>
              <w:t>非甲烷总烃</w:t>
            </w:r>
          </w:p>
        </w:tc>
        <w:tc>
          <w:tcPr>
            <w:tcW w:w="1701" w:type="dxa"/>
            <w:tcBorders>
              <w:top w:val="single" w:color="auto" w:sz="4" w:space="0"/>
            </w:tcBorders>
            <w:vAlign w:val="center"/>
          </w:tcPr>
          <w:p w14:paraId="3B3E0A24">
            <w:pPr>
              <w:adjustRightInd w:val="0"/>
              <w:snapToGrid w:val="0"/>
              <w:jc w:val="center"/>
              <w:rPr>
                <w:color w:val="auto"/>
                <w:szCs w:val="21"/>
              </w:rPr>
            </w:pPr>
            <w:r>
              <w:rPr>
                <w:rFonts w:hint="eastAsia"/>
                <w:color w:val="auto"/>
                <w:szCs w:val="21"/>
              </w:rPr>
              <w:t>/</w:t>
            </w:r>
          </w:p>
        </w:tc>
        <w:tc>
          <w:tcPr>
            <w:tcW w:w="2868" w:type="dxa"/>
            <w:tcBorders>
              <w:top w:val="single" w:color="auto" w:sz="4" w:space="0"/>
            </w:tcBorders>
            <w:vAlign w:val="center"/>
          </w:tcPr>
          <w:p w14:paraId="0FD28DD6">
            <w:pPr>
              <w:adjustRightInd w:val="0"/>
              <w:snapToGrid w:val="0"/>
              <w:jc w:val="center"/>
              <w:rPr>
                <w:color w:val="auto"/>
                <w:kern w:val="0"/>
                <w:szCs w:val="21"/>
              </w:rPr>
            </w:pPr>
            <w:r>
              <w:rPr>
                <w:color w:val="auto"/>
                <w:kern w:val="0"/>
                <w:szCs w:val="21"/>
              </w:rPr>
              <w:t>江苏省地方标准《大气污染物综合排放标准》（</w:t>
            </w:r>
            <w:r>
              <w:rPr>
                <w:color w:val="auto"/>
                <w:szCs w:val="21"/>
              </w:rPr>
              <w:t>DB32/4041-2021</w:t>
            </w:r>
            <w:r>
              <w:rPr>
                <w:color w:val="auto"/>
                <w:kern w:val="0"/>
                <w:szCs w:val="21"/>
              </w:rPr>
              <w:t>）表2</w:t>
            </w:r>
          </w:p>
        </w:tc>
      </w:tr>
      <w:tr w14:paraId="2AD2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299C35ED">
            <w:pPr>
              <w:pStyle w:val="477"/>
              <w:spacing w:after="0"/>
              <w:rPr>
                <w:color w:val="auto"/>
                <w:szCs w:val="21"/>
              </w:rPr>
            </w:pPr>
            <w:r>
              <w:rPr>
                <w:color w:val="auto"/>
                <w:szCs w:val="21"/>
              </w:rPr>
              <w:t>地表水环境</w:t>
            </w:r>
          </w:p>
        </w:tc>
        <w:tc>
          <w:tcPr>
            <w:tcW w:w="1701" w:type="dxa"/>
            <w:gridSpan w:val="2"/>
            <w:vAlign w:val="center"/>
          </w:tcPr>
          <w:p w14:paraId="30D37AEC">
            <w:pPr>
              <w:pStyle w:val="906"/>
              <w:spacing w:line="240" w:lineRule="auto"/>
              <w:rPr>
                <w:rFonts w:cs="Times New Roman"/>
                <w:color w:val="auto"/>
                <w:sz w:val="21"/>
                <w:lang w:val="en-US"/>
              </w:rPr>
            </w:pPr>
            <w:r>
              <w:rPr>
                <w:rFonts w:hint="eastAsia" w:cs="Times New Roman"/>
                <w:color w:val="auto"/>
                <w:sz w:val="21"/>
                <w:lang w:val="en-US"/>
              </w:rPr>
              <w:t>生产废水</w:t>
            </w:r>
          </w:p>
        </w:tc>
        <w:tc>
          <w:tcPr>
            <w:tcW w:w="1559" w:type="dxa"/>
            <w:vAlign w:val="center"/>
          </w:tcPr>
          <w:p w14:paraId="0E93CA13">
            <w:pPr>
              <w:pStyle w:val="906"/>
              <w:spacing w:line="240" w:lineRule="auto"/>
              <w:rPr>
                <w:rFonts w:cs="Times New Roman"/>
                <w:color w:val="auto"/>
                <w:sz w:val="21"/>
              </w:rPr>
            </w:pPr>
            <w:r>
              <w:rPr>
                <w:bCs/>
                <w:color w:val="auto"/>
                <w:sz w:val="21"/>
              </w:rPr>
              <w:t>pH、COD、SS、</w:t>
            </w:r>
            <w:r>
              <w:rPr>
                <w:rFonts w:hint="eastAsia"/>
                <w:bCs/>
                <w:color w:val="auto"/>
                <w:sz w:val="21"/>
                <w:lang w:val="en-US"/>
              </w:rPr>
              <w:t>氨氮、</w:t>
            </w:r>
            <w:r>
              <w:rPr>
                <w:bCs/>
                <w:color w:val="auto"/>
                <w:sz w:val="21"/>
              </w:rPr>
              <w:t>总磷、</w:t>
            </w:r>
            <w:r>
              <w:rPr>
                <w:rFonts w:hint="eastAsia"/>
                <w:bCs/>
                <w:color w:val="auto"/>
                <w:sz w:val="21"/>
                <w:lang w:val="en-US"/>
              </w:rPr>
              <w:t>石油类、LAS</w:t>
            </w:r>
          </w:p>
        </w:tc>
        <w:tc>
          <w:tcPr>
            <w:tcW w:w="1701" w:type="dxa"/>
            <w:vAlign w:val="center"/>
          </w:tcPr>
          <w:p w14:paraId="6678FC7B">
            <w:pPr>
              <w:pStyle w:val="906"/>
              <w:spacing w:line="240" w:lineRule="auto"/>
              <w:rPr>
                <w:rFonts w:cs="Times New Roman"/>
                <w:color w:val="auto"/>
                <w:sz w:val="21"/>
              </w:rPr>
            </w:pPr>
            <w:r>
              <w:rPr>
                <w:rFonts w:hint="eastAsia"/>
                <w:color w:val="auto"/>
                <w:sz w:val="21"/>
              </w:rPr>
              <w:t>调节+混凝沉淀+pH调节</w:t>
            </w:r>
          </w:p>
        </w:tc>
        <w:tc>
          <w:tcPr>
            <w:tcW w:w="2868" w:type="dxa"/>
            <w:vAlign w:val="center"/>
          </w:tcPr>
          <w:p w14:paraId="48DB40BF">
            <w:pPr>
              <w:pStyle w:val="477"/>
              <w:spacing w:after="0"/>
              <w:rPr>
                <w:color w:val="auto"/>
                <w:szCs w:val="21"/>
              </w:rPr>
            </w:pPr>
            <w:r>
              <w:rPr>
                <w:color w:val="auto"/>
                <w:kern w:val="0"/>
                <w:szCs w:val="21"/>
              </w:rPr>
              <w:t>涟水县空港产业园污水处理厂</w:t>
            </w:r>
            <w:r>
              <w:rPr>
                <w:rFonts w:hint="eastAsia"/>
                <w:color w:val="auto"/>
                <w:kern w:val="0"/>
                <w:szCs w:val="21"/>
              </w:rPr>
              <w:t>接管标准、《污水综合排放标准》（GB8978-1996）表4三级标准</w:t>
            </w:r>
          </w:p>
        </w:tc>
      </w:tr>
      <w:tr w14:paraId="7534A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9D3116B">
            <w:pPr>
              <w:pStyle w:val="477"/>
              <w:spacing w:after="0"/>
              <w:rPr>
                <w:color w:val="auto"/>
                <w:szCs w:val="21"/>
              </w:rPr>
            </w:pPr>
          </w:p>
        </w:tc>
        <w:tc>
          <w:tcPr>
            <w:tcW w:w="1701" w:type="dxa"/>
            <w:gridSpan w:val="2"/>
            <w:vAlign w:val="center"/>
          </w:tcPr>
          <w:p w14:paraId="3E3F60A8">
            <w:pPr>
              <w:pStyle w:val="906"/>
              <w:spacing w:line="240" w:lineRule="auto"/>
              <w:rPr>
                <w:rFonts w:cs="Times New Roman"/>
                <w:color w:val="auto"/>
                <w:sz w:val="21"/>
                <w:lang w:val="en-US"/>
              </w:rPr>
            </w:pPr>
            <w:r>
              <w:rPr>
                <w:rFonts w:hint="eastAsia" w:cs="Times New Roman"/>
                <w:color w:val="auto"/>
                <w:sz w:val="21"/>
                <w:lang w:val="en-US"/>
              </w:rPr>
              <w:t>生活污水</w:t>
            </w:r>
          </w:p>
        </w:tc>
        <w:tc>
          <w:tcPr>
            <w:tcW w:w="1559" w:type="dxa"/>
            <w:vAlign w:val="center"/>
          </w:tcPr>
          <w:p w14:paraId="0F078398">
            <w:pPr>
              <w:pStyle w:val="906"/>
              <w:spacing w:line="240" w:lineRule="auto"/>
              <w:rPr>
                <w:rFonts w:cs="Times New Roman"/>
                <w:color w:val="auto"/>
                <w:sz w:val="21"/>
              </w:rPr>
            </w:pPr>
            <w:r>
              <w:rPr>
                <w:bCs/>
                <w:color w:val="auto"/>
                <w:sz w:val="21"/>
              </w:rPr>
              <w:t>pH、COD、SS、氨氮、总磷、</w:t>
            </w:r>
            <w:r>
              <w:rPr>
                <w:rFonts w:hint="eastAsia"/>
                <w:bCs/>
                <w:color w:val="auto"/>
                <w:sz w:val="21"/>
              </w:rPr>
              <w:t>总氮、</w:t>
            </w:r>
            <w:r>
              <w:rPr>
                <w:rFonts w:hint="eastAsia"/>
                <w:bCs/>
                <w:color w:val="auto"/>
                <w:sz w:val="21"/>
                <w:lang w:val="en-US"/>
              </w:rPr>
              <w:t>动植物油</w:t>
            </w:r>
          </w:p>
        </w:tc>
        <w:tc>
          <w:tcPr>
            <w:tcW w:w="1701" w:type="dxa"/>
            <w:vAlign w:val="center"/>
          </w:tcPr>
          <w:p w14:paraId="6A1CA744">
            <w:pPr>
              <w:pStyle w:val="906"/>
              <w:spacing w:line="240" w:lineRule="auto"/>
              <w:rPr>
                <w:rFonts w:cs="Times New Roman"/>
                <w:color w:val="auto"/>
                <w:sz w:val="21"/>
              </w:rPr>
            </w:pPr>
            <w:r>
              <w:rPr>
                <w:rFonts w:hint="eastAsia"/>
                <w:color w:val="auto"/>
                <w:sz w:val="21"/>
                <w:lang w:val="en-US"/>
              </w:rPr>
              <w:t>隔油池+</w:t>
            </w:r>
            <w:r>
              <w:rPr>
                <w:color w:val="auto"/>
                <w:sz w:val="21"/>
              </w:rPr>
              <w:t>化粪池</w:t>
            </w:r>
          </w:p>
        </w:tc>
        <w:tc>
          <w:tcPr>
            <w:tcW w:w="2868" w:type="dxa"/>
            <w:vAlign w:val="center"/>
          </w:tcPr>
          <w:p w14:paraId="3FC07A9A">
            <w:pPr>
              <w:pStyle w:val="477"/>
              <w:spacing w:after="0"/>
              <w:rPr>
                <w:color w:val="auto"/>
                <w:szCs w:val="21"/>
              </w:rPr>
            </w:pPr>
            <w:r>
              <w:rPr>
                <w:color w:val="auto"/>
                <w:kern w:val="0"/>
                <w:szCs w:val="21"/>
              </w:rPr>
              <w:t>涟水县空港产业园污水处理厂</w:t>
            </w:r>
            <w:r>
              <w:rPr>
                <w:rFonts w:hint="eastAsia"/>
                <w:color w:val="auto"/>
                <w:kern w:val="0"/>
                <w:szCs w:val="21"/>
              </w:rPr>
              <w:t>接管标准、《污水综合排放标准》（GB8978-1996）表4三级标准</w:t>
            </w:r>
          </w:p>
        </w:tc>
      </w:tr>
      <w:tr w14:paraId="284A4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Align w:val="center"/>
          </w:tcPr>
          <w:p w14:paraId="6B1D576C">
            <w:pPr>
              <w:pStyle w:val="477"/>
              <w:spacing w:after="0"/>
              <w:rPr>
                <w:color w:val="auto"/>
                <w:szCs w:val="21"/>
              </w:rPr>
            </w:pPr>
            <w:r>
              <w:rPr>
                <w:color w:val="auto"/>
                <w:szCs w:val="21"/>
              </w:rPr>
              <w:t>声环境</w:t>
            </w:r>
          </w:p>
        </w:tc>
        <w:tc>
          <w:tcPr>
            <w:tcW w:w="1701" w:type="dxa"/>
            <w:gridSpan w:val="2"/>
            <w:vAlign w:val="center"/>
          </w:tcPr>
          <w:p w14:paraId="15F14042">
            <w:pPr>
              <w:pStyle w:val="906"/>
              <w:spacing w:line="240" w:lineRule="auto"/>
              <w:rPr>
                <w:rFonts w:cs="Times New Roman"/>
                <w:color w:val="auto"/>
                <w:sz w:val="21"/>
              </w:rPr>
            </w:pPr>
            <w:r>
              <w:rPr>
                <w:rFonts w:hint="eastAsia" w:cs="Times New Roman"/>
                <w:color w:val="auto"/>
                <w:sz w:val="21"/>
                <w:lang w:val="en-US"/>
              </w:rPr>
              <w:t>各类</w:t>
            </w:r>
            <w:r>
              <w:rPr>
                <w:rFonts w:cs="Times New Roman"/>
                <w:color w:val="auto"/>
                <w:sz w:val="21"/>
              </w:rPr>
              <w:t>生产设备及风机等辅助设备</w:t>
            </w:r>
          </w:p>
        </w:tc>
        <w:tc>
          <w:tcPr>
            <w:tcW w:w="1559" w:type="dxa"/>
            <w:vAlign w:val="center"/>
          </w:tcPr>
          <w:p w14:paraId="37FAED7B">
            <w:pPr>
              <w:pStyle w:val="906"/>
              <w:spacing w:line="240" w:lineRule="auto"/>
              <w:rPr>
                <w:rFonts w:cs="Times New Roman"/>
                <w:color w:val="auto"/>
                <w:sz w:val="21"/>
              </w:rPr>
            </w:pPr>
            <w:r>
              <w:rPr>
                <w:rFonts w:cs="Times New Roman"/>
                <w:color w:val="auto"/>
                <w:sz w:val="21"/>
              </w:rPr>
              <w:t>噪声</w:t>
            </w:r>
          </w:p>
        </w:tc>
        <w:tc>
          <w:tcPr>
            <w:tcW w:w="1701" w:type="dxa"/>
            <w:vAlign w:val="center"/>
          </w:tcPr>
          <w:p w14:paraId="4B9973DB">
            <w:pPr>
              <w:pStyle w:val="906"/>
              <w:spacing w:line="240" w:lineRule="auto"/>
              <w:rPr>
                <w:rFonts w:cs="Times New Roman"/>
                <w:color w:val="auto"/>
                <w:sz w:val="21"/>
              </w:rPr>
            </w:pPr>
            <w:r>
              <w:rPr>
                <w:rFonts w:cs="Times New Roman"/>
                <w:color w:val="auto"/>
                <w:sz w:val="21"/>
              </w:rPr>
              <w:t>优先选用低噪声设备，设备置于室内，车间厂房隔声，距离衰减</w:t>
            </w:r>
          </w:p>
        </w:tc>
        <w:tc>
          <w:tcPr>
            <w:tcW w:w="2868" w:type="dxa"/>
            <w:vAlign w:val="center"/>
          </w:tcPr>
          <w:p w14:paraId="4DCD84BF">
            <w:pPr>
              <w:pStyle w:val="906"/>
              <w:spacing w:line="240" w:lineRule="auto"/>
              <w:rPr>
                <w:rFonts w:cs="Times New Roman"/>
                <w:color w:val="auto"/>
                <w:sz w:val="21"/>
              </w:rPr>
            </w:pPr>
            <w:r>
              <w:rPr>
                <w:rFonts w:cs="Times New Roman"/>
                <w:color w:val="auto"/>
                <w:sz w:val="21"/>
              </w:rPr>
              <w:t>厂界噪声达《工业企业厂界环境噪声排放标准》（GB12348-2008）3类标准</w:t>
            </w:r>
          </w:p>
        </w:tc>
      </w:tr>
      <w:tr w14:paraId="7F14C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Align w:val="center"/>
          </w:tcPr>
          <w:p w14:paraId="1A4D044D">
            <w:pPr>
              <w:pStyle w:val="477"/>
              <w:spacing w:after="0"/>
              <w:rPr>
                <w:color w:val="auto"/>
                <w:szCs w:val="21"/>
              </w:rPr>
            </w:pPr>
            <w:r>
              <w:rPr>
                <w:color w:val="auto"/>
                <w:szCs w:val="21"/>
              </w:rPr>
              <w:t>电磁辐射</w:t>
            </w:r>
          </w:p>
        </w:tc>
        <w:tc>
          <w:tcPr>
            <w:tcW w:w="1701" w:type="dxa"/>
            <w:gridSpan w:val="2"/>
            <w:vAlign w:val="center"/>
          </w:tcPr>
          <w:p w14:paraId="171DD2BD">
            <w:pPr>
              <w:pStyle w:val="477"/>
              <w:spacing w:after="0"/>
              <w:rPr>
                <w:color w:val="auto"/>
                <w:szCs w:val="21"/>
              </w:rPr>
            </w:pPr>
            <w:r>
              <w:rPr>
                <w:color w:val="auto"/>
                <w:szCs w:val="21"/>
              </w:rPr>
              <w:t>/</w:t>
            </w:r>
          </w:p>
        </w:tc>
        <w:tc>
          <w:tcPr>
            <w:tcW w:w="1559" w:type="dxa"/>
            <w:vAlign w:val="center"/>
          </w:tcPr>
          <w:p w14:paraId="6C54A303">
            <w:pPr>
              <w:pStyle w:val="477"/>
              <w:spacing w:after="0"/>
              <w:rPr>
                <w:color w:val="auto"/>
                <w:szCs w:val="21"/>
              </w:rPr>
            </w:pPr>
            <w:r>
              <w:rPr>
                <w:color w:val="auto"/>
                <w:szCs w:val="21"/>
              </w:rPr>
              <w:t>/</w:t>
            </w:r>
          </w:p>
        </w:tc>
        <w:tc>
          <w:tcPr>
            <w:tcW w:w="1701" w:type="dxa"/>
            <w:vAlign w:val="center"/>
          </w:tcPr>
          <w:p w14:paraId="6CC565F7">
            <w:pPr>
              <w:pStyle w:val="477"/>
              <w:spacing w:after="0"/>
              <w:rPr>
                <w:color w:val="auto"/>
                <w:szCs w:val="21"/>
              </w:rPr>
            </w:pPr>
            <w:r>
              <w:rPr>
                <w:color w:val="auto"/>
                <w:szCs w:val="21"/>
              </w:rPr>
              <w:t>/</w:t>
            </w:r>
          </w:p>
        </w:tc>
        <w:tc>
          <w:tcPr>
            <w:tcW w:w="2868" w:type="dxa"/>
            <w:vAlign w:val="center"/>
          </w:tcPr>
          <w:p w14:paraId="0C20999A">
            <w:pPr>
              <w:pStyle w:val="477"/>
              <w:spacing w:after="0"/>
              <w:rPr>
                <w:color w:val="auto"/>
                <w:szCs w:val="21"/>
              </w:rPr>
            </w:pPr>
            <w:r>
              <w:rPr>
                <w:color w:val="auto"/>
                <w:szCs w:val="21"/>
              </w:rPr>
              <w:t>/</w:t>
            </w:r>
          </w:p>
        </w:tc>
      </w:tr>
      <w:tr w14:paraId="43ACD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026E7C19">
            <w:pPr>
              <w:pStyle w:val="477"/>
              <w:spacing w:after="0"/>
              <w:rPr>
                <w:color w:val="auto"/>
                <w:szCs w:val="21"/>
              </w:rPr>
            </w:pPr>
            <w:r>
              <w:rPr>
                <w:color w:val="auto"/>
                <w:szCs w:val="21"/>
              </w:rPr>
              <w:t>固体废物</w:t>
            </w:r>
          </w:p>
        </w:tc>
        <w:tc>
          <w:tcPr>
            <w:tcW w:w="1701" w:type="dxa"/>
            <w:gridSpan w:val="2"/>
            <w:vAlign w:val="center"/>
          </w:tcPr>
          <w:p w14:paraId="2C78D6BE">
            <w:pPr>
              <w:pStyle w:val="906"/>
              <w:spacing w:line="240" w:lineRule="auto"/>
              <w:rPr>
                <w:rFonts w:cs="Times New Roman"/>
                <w:color w:val="auto"/>
                <w:sz w:val="21"/>
              </w:rPr>
            </w:pPr>
            <w:r>
              <w:rPr>
                <w:rFonts w:cs="Times New Roman"/>
                <w:color w:val="auto"/>
                <w:sz w:val="21"/>
              </w:rPr>
              <w:t>一般工业固废</w:t>
            </w:r>
          </w:p>
        </w:tc>
        <w:tc>
          <w:tcPr>
            <w:tcW w:w="1559" w:type="dxa"/>
            <w:vAlign w:val="center"/>
          </w:tcPr>
          <w:p w14:paraId="59D63051">
            <w:pPr>
              <w:pStyle w:val="477"/>
              <w:spacing w:after="0"/>
              <w:rPr>
                <w:color w:val="auto"/>
                <w:szCs w:val="21"/>
              </w:rPr>
            </w:pPr>
            <w:r>
              <w:rPr>
                <w:rFonts w:hint="eastAsia"/>
                <w:color w:val="auto"/>
                <w:szCs w:val="21"/>
              </w:rPr>
              <w:t>木材边角料、不合格品、废刀头</w:t>
            </w:r>
          </w:p>
          <w:p w14:paraId="158C305F">
            <w:pPr>
              <w:pStyle w:val="477"/>
              <w:spacing w:after="0"/>
              <w:rPr>
                <w:color w:val="auto"/>
                <w:szCs w:val="21"/>
              </w:rPr>
            </w:pPr>
            <w:r>
              <w:rPr>
                <w:rFonts w:hint="eastAsia"/>
                <w:color w:val="auto"/>
                <w:szCs w:val="21"/>
              </w:rPr>
              <w:t>废封边条、废木皮、废砂纸、大理石废料、废切割片、金属废边角料、碎屑、不合格品、废焊渣、废焊丝、</w:t>
            </w:r>
            <w:r>
              <w:rPr>
                <w:rFonts w:hint="eastAsia"/>
                <w:color w:val="auto"/>
                <w:szCs w:val="21"/>
                <w:lang w:val="en-US" w:eastAsia="zh-CN"/>
              </w:rPr>
              <w:t>废钢丸、</w:t>
            </w:r>
            <w:r>
              <w:rPr>
                <w:rFonts w:hint="eastAsia"/>
                <w:color w:val="auto"/>
                <w:szCs w:val="21"/>
              </w:rPr>
              <w:t>废布轮</w:t>
            </w:r>
          </w:p>
        </w:tc>
        <w:tc>
          <w:tcPr>
            <w:tcW w:w="1701" w:type="dxa"/>
            <w:vAlign w:val="center"/>
          </w:tcPr>
          <w:p w14:paraId="0D6F0845">
            <w:pPr>
              <w:pStyle w:val="906"/>
              <w:spacing w:line="240" w:lineRule="auto"/>
              <w:rPr>
                <w:rFonts w:cs="Times New Roman"/>
                <w:color w:val="auto"/>
                <w:sz w:val="21"/>
              </w:rPr>
            </w:pPr>
            <w:r>
              <w:rPr>
                <w:rFonts w:hint="eastAsia" w:cs="Times New Roman"/>
                <w:color w:val="auto"/>
                <w:sz w:val="21"/>
                <w:lang w:val="en-US"/>
              </w:rPr>
              <w:t>206</w:t>
            </w:r>
            <w:r>
              <w:rPr>
                <w:rFonts w:cs="Times New Roman"/>
                <w:color w:val="auto"/>
                <w:sz w:val="21"/>
              </w:rPr>
              <w:t>m</w:t>
            </w:r>
            <w:r>
              <w:rPr>
                <w:rFonts w:cs="Times New Roman"/>
                <w:color w:val="auto"/>
                <w:sz w:val="21"/>
                <w:vertAlign w:val="superscript"/>
              </w:rPr>
              <w:t>2</w:t>
            </w:r>
            <w:r>
              <w:rPr>
                <w:rFonts w:cs="Times New Roman"/>
                <w:color w:val="auto"/>
                <w:sz w:val="21"/>
              </w:rPr>
              <w:t>一般固废仓库，固废暂存，分类收集处置</w:t>
            </w:r>
          </w:p>
        </w:tc>
        <w:tc>
          <w:tcPr>
            <w:tcW w:w="2868" w:type="dxa"/>
            <w:vMerge w:val="restart"/>
            <w:vAlign w:val="center"/>
          </w:tcPr>
          <w:p w14:paraId="0720C491">
            <w:pPr>
              <w:pStyle w:val="477"/>
              <w:spacing w:after="0"/>
              <w:rPr>
                <w:color w:val="auto"/>
                <w:szCs w:val="21"/>
              </w:rPr>
            </w:pPr>
            <w:r>
              <w:rPr>
                <w:color w:val="auto"/>
                <w:szCs w:val="21"/>
              </w:rPr>
              <w:t>零排放</w:t>
            </w:r>
          </w:p>
        </w:tc>
      </w:tr>
      <w:tr w14:paraId="6DC26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BB5DABE">
            <w:pPr>
              <w:pStyle w:val="477"/>
              <w:spacing w:after="0"/>
              <w:rPr>
                <w:color w:val="auto"/>
                <w:szCs w:val="21"/>
              </w:rPr>
            </w:pPr>
          </w:p>
        </w:tc>
        <w:tc>
          <w:tcPr>
            <w:tcW w:w="1701" w:type="dxa"/>
            <w:gridSpan w:val="2"/>
            <w:vAlign w:val="center"/>
          </w:tcPr>
          <w:p w14:paraId="44B8D6B4">
            <w:pPr>
              <w:pStyle w:val="906"/>
              <w:spacing w:line="240" w:lineRule="auto"/>
              <w:rPr>
                <w:rFonts w:cs="Times New Roman"/>
                <w:color w:val="auto"/>
                <w:sz w:val="21"/>
              </w:rPr>
            </w:pPr>
            <w:r>
              <w:rPr>
                <w:rFonts w:cs="Times New Roman"/>
                <w:color w:val="auto"/>
                <w:sz w:val="21"/>
              </w:rPr>
              <w:t>危险废物</w:t>
            </w:r>
          </w:p>
        </w:tc>
        <w:tc>
          <w:tcPr>
            <w:tcW w:w="1559" w:type="dxa"/>
            <w:vAlign w:val="center"/>
          </w:tcPr>
          <w:p w14:paraId="43EE94FB">
            <w:pPr>
              <w:pStyle w:val="477"/>
              <w:spacing w:after="0"/>
              <w:rPr>
                <w:color w:val="auto"/>
                <w:szCs w:val="21"/>
              </w:rPr>
            </w:pPr>
            <w:r>
              <w:rPr>
                <w:rFonts w:hint="eastAsia"/>
                <w:color w:val="auto"/>
                <w:szCs w:val="21"/>
              </w:rPr>
              <w:t>废活性炭、废液压油、废胶桶、废胶瓶、废灰桶、废漆桶、废漆渣、废切削液、喷涂渣、废抹布、废油墨、废油墨桶、废洗网水、废机油、废油桶、废过滤棉、喷枪清洗废液、水幕帘废液</w:t>
            </w:r>
          </w:p>
        </w:tc>
        <w:tc>
          <w:tcPr>
            <w:tcW w:w="1701" w:type="dxa"/>
            <w:vAlign w:val="center"/>
          </w:tcPr>
          <w:p w14:paraId="2B7765E6">
            <w:pPr>
              <w:pStyle w:val="906"/>
              <w:spacing w:line="240" w:lineRule="auto"/>
              <w:rPr>
                <w:rFonts w:cs="Times New Roman"/>
                <w:color w:val="auto"/>
                <w:sz w:val="21"/>
              </w:rPr>
            </w:pPr>
            <w:r>
              <w:rPr>
                <w:rFonts w:hint="eastAsia" w:cs="Times New Roman"/>
                <w:color w:val="auto"/>
                <w:sz w:val="21"/>
                <w:lang w:val="en-US" w:eastAsia="zh-CN"/>
              </w:rPr>
              <w:t>32.3</w:t>
            </w:r>
            <w:r>
              <w:rPr>
                <w:rFonts w:cs="Times New Roman"/>
                <w:color w:val="auto"/>
                <w:sz w:val="21"/>
              </w:rPr>
              <w:t>m</w:t>
            </w:r>
            <w:r>
              <w:rPr>
                <w:rFonts w:cs="Times New Roman"/>
                <w:color w:val="auto"/>
                <w:sz w:val="21"/>
                <w:vertAlign w:val="superscript"/>
              </w:rPr>
              <w:t>2</w:t>
            </w:r>
            <w:r>
              <w:rPr>
                <w:rFonts w:cs="Times New Roman"/>
                <w:color w:val="auto"/>
                <w:sz w:val="21"/>
              </w:rPr>
              <w:t>危废仓库，固废暂存，分类收集处置</w:t>
            </w:r>
          </w:p>
        </w:tc>
        <w:tc>
          <w:tcPr>
            <w:tcW w:w="2868" w:type="dxa"/>
            <w:vMerge w:val="continue"/>
            <w:vAlign w:val="center"/>
          </w:tcPr>
          <w:p w14:paraId="38E18B77">
            <w:pPr>
              <w:pStyle w:val="477"/>
              <w:spacing w:after="0"/>
              <w:rPr>
                <w:color w:val="auto"/>
                <w:szCs w:val="21"/>
              </w:rPr>
            </w:pPr>
          </w:p>
        </w:tc>
      </w:tr>
      <w:tr w14:paraId="7B4FD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093AD43">
            <w:pPr>
              <w:pStyle w:val="477"/>
              <w:spacing w:after="0"/>
              <w:rPr>
                <w:color w:val="auto"/>
                <w:szCs w:val="21"/>
              </w:rPr>
            </w:pPr>
          </w:p>
        </w:tc>
        <w:tc>
          <w:tcPr>
            <w:tcW w:w="1701" w:type="dxa"/>
            <w:gridSpan w:val="2"/>
            <w:vAlign w:val="center"/>
          </w:tcPr>
          <w:p w14:paraId="482BDECB">
            <w:pPr>
              <w:pStyle w:val="906"/>
              <w:spacing w:line="240" w:lineRule="auto"/>
              <w:rPr>
                <w:rFonts w:cs="Times New Roman"/>
                <w:color w:val="auto"/>
                <w:sz w:val="21"/>
                <w:lang w:val="en-US"/>
              </w:rPr>
            </w:pPr>
            <w:r>
              <w:rPr>
                <w:rFonts w:hint="eastAsia" w:cs="Times New Roman"/>
                <w:color w:val="auto"/>
                <w:sz w:val="21"/>
                <w:lang w:val="en-US"/>
              </w:rPr>
              <w:t>生活垃圾</w:t>
            </w:r>
          </w:p>
        </w:tc>
        <w:tc>
          <w:tcPr>
            <w:tcW w:w="1559" w:type="dxa"/>
            <w:vAlign w:val="center"/>
          </w:tcPr>
          <w:p w14:paraId="08567422">
            <w:pPr>
              <w:pStyle w:val="477"/>
              <w:spacing w:after="0"/>
              <w:rPr>
                <w:color w:val="auto"/>
                <w:szCs w:val="21"/>
              </w:rPr>
            </w:pPr>
            <w:r>
              <w:rPr>
                <w:rFonts w:hint="eastAsia"/>
                <w:color w:val="auto"/>
                <w:szCs w:val="21"/>
              </w:rPr>
              <w:t>生活垃圾、化粪池污泥</w:t>
            </w:r>
          </w:p>
        </w:tc>
        <w:tc>
          <w:tcPr>
            <w:tcW w:w="1701" w:type="dxa"/>
            <w:vAlign w:val="center"/>
          </w:tcPr>
          <w:p w14:paraId="0DA13B94">
            <w:pPr>
              <w:pStyle w:val="906"/>
              <w:spacing w:line="240" w:lineRule="auto"/>
              <w:rPr>
                <w:rFonts w:cs="Times New Roman"/>
                <w:color w:val="auto"/>
                <w:sz w:val="21"/>
                <w:lang w:val="en-US"/>
              </w:rPr>
            </w:pPr>
            <w:r>
              <w:rPr>
                <w:rFonts w:hint="eastAsia" w:cs="Times New Roman"/>
                <w:color w:val="auto"/>
                <w:sz w:val="21"/>
                <w:lang w:val="en-US"/>
              </w:rPr>
              <w:t>垃圾桶、化粪池</w:t>
            </w:r>
          </w:p>
        </w:tc>
        <w:tc>
          <w:tcPr>
            <w:tcW w:w="2868" w:type="dxa"/>
            <w:vAlign w:val="center"/>
          </w:tcPr>
          <w:p w14:paraId="2A843F76">
            <w:pPr>
              <w:pStyle w:val="477"/>
              <w:spacing w:after="0"/>
              <w:rPr>
                <w:color w:val="auto"/>
                <w:szCs w:val="21"/>
              </w:rPr>
            </w:pPr>
            <w:r>
              <w:rPr>
                <w:rFonts w:hint="eastAsia"/>
                <w:color w:val="auto"/>
                <w:szCs w:val="21"/>
              </w:rPr>
              <w:t>《</w:t>
            </w:r>
            <w:r>
              <w:rPr>
                <w:color w:val="auto"/>
                <w:szCs w:val="21"/>
              </w:rPr>
              <w:t>城市生活垃圾管理办法</w:t>
            </w:r>
            <w:r>
              <w:rPr>
                <w:rFonts w:hint="eastAsia"/>
                <w:color w:val="auto"/>
                <w:szCs w:val="21"/>
              </w:rPr>
              <w:t>》</w:t>
            </w:r>
            <w:r>
              <w:rPr>
                <w:color w:val="auto"/>
                <w:szCs w:val="21"/>
              </w:rPr>
              <w:t>（住房和城乡建设部令第24号，2015年5月4日修正）</w:t>
            </w:r>
          </w:p>
        </w:tc>
      </w:tr>
      <w:tr w14:paraId="00EF5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05601450">
            <w:pPr>
              <w:adjustRightInd w:val="0"/>
              <w:snapToGrid w:val="0"/>
              <w:jc w:val="center"/>
              <w:rPr>
                <w:color w:val="auto"/>
                <w:szCs w:val="21"/>
              </w:rPr>
            </w:pPr>
            <w:r>
              <w:rPr>
                <w:color w:val="auto"/>
                <w:szCs w:val="21"/>
              </w:rPr>
              <w:t>土壤及地下水污染防治措施</w:t>
            </w:r>
          </w:p>
        </w:tc>
        <w:tc>
          <w:tcPr>
            <w:tcW w:w="7829" w:type="dxa"/>
            <w:gridSpan w:val="5"/>
            <w:vAlign w:val="center"/>
          </w:tcPr>
          <w:p w14:paraId="063AD7CB">
            <w:pPr>
              <w:adjustRightInd w:val="0"/>
              <w:snapToGrid w:val="0"/>
              <w:jc w:val="center"/>
              <w:rPr>
                <w:color w:val="auto"/>
                <w:szCs w:val="21"/>
              </w:rPr>
            </w:pPr>
            <w:r>
              <w:rPr>
                <w:color w:val="auto"/>
                <w:szCs w:val="21"/>
              </w:rPr>
              <w:t>对厂区及各装置设施采取严格的分区防渗措施。</w:t>
            </w:r>
          </w:p>
        </w:tc>
      </w:tr>
      <w:tr w14:paraId="247A3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0F80E4D4">
            <w:pPr>
              <w:adjustRightInd w:val="0"/>
              <w:snapToGrid w:val="0"/>
              <w:jc w:val="center"/>
              <w:rPr>
                <w:color w:val="auto"/>
                <w:szCs w:val="21"/>
              </w:rPr>
            </w:pPr>
            <w:r>
              <w:rPr>
                <w:color w:val="auto"/>
                <w:szCs w:val="21"/>
              </w:rPr>
              <w:t>生态保护措施</w:t>
            </w:r>
          </w:p>
        </w:tc>
        <w:tc>
          <w:tcPr>
            <w:tcW w:w="7829" w:type="dxa"/>
            <w:gridSpan w:val="5"/>
            <w:vAlign w:val="center"/>
          </w:tcPr>
          <w:p w14:paraId="1415F4E3">
            <w:pPr>
              <w:adjustRightInd w:val="0"/>
              <w:snapToGrid w:val="0"/>
              <w:jc w:val="center"/>
              <w:rPr>
                <w:color w:val="auto"/>
                <w:szCs w:val="21"/>
              </w:rPr>
            </w:pPr>
            <w:r>
              <w:rPr>
                <w:color w:val="auto"/>
                <w:szCs w:val="21"/>
              </w:rPr>
              <w:t>加强绿化</w:t>
            </w:r>
          </w:p>
        </w:tc>
      </w:tr>
      <w:tr w14:paraId="4BDFF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31EBA93D">
            <w:pPr>
              <w:adjustRightInd w:val="0"/>
              <w:snapToGrid w:val="0"/>
              <w:jc w:val="center"/>
              <w:rPr>
                <w:color w:val="auto"/>
                <w:spacing w:val="-8"/>
                <w:szCs w:val="21"/>
              </w:rPr>
            </w:pPr>
            <w:r>
              <w:rPr>
                <w:color w:val="auto"/>
                <w:spacing w:val="-8"/>
                <w:szCs w:val="21"/>
              </w:rPr>
              <w:t>环境风险防范措施</w:t>
            </w:r>
          </w:p>
        </w:tc>
        <w:tc>
          <w:tcPr>
            <w:tcW w:w="7829" w:type="dxa"/>
            <w:gridSpan w:val="5"/>
            <w:vAlign w:val="center"/>
          </w:tcPr>
          <w:p w14:paraId="19E26FC2">
            <w:pPr>
              <w:adjustRightInd w:val="0"/>
              <w:snapToGrid w:val="0"/>
              <w:jc w:val="center"/>
              <w:rPr>
                <w:color w:val="auto"/>
                <w:szCs w:val="21"/>
              </w:rPr>
            </w:pPr>
            <w:r>
              <w:rPr>
                <w:rFonts w:hint="eastAsia"/>
                <w:color w:val="auto"/>
                <w:szCs w:val="21"/>
              </w:rPr>
              <w:t>泄漏：原料仓库必须防渗、防漏、防雨，禁止使用易产生火花的机械设备和工具；危险废物贮存场所设置导流沟及收集槽收集泄漏物料，配备</w:t>
            </w:r>
            <w:r>
              <w:rPr>
                <w:rFonts w:hint="eastAsia"/>
                <w:color w:val="auto"/>
                <w:szCs w:val="21"/>
                <w:lang w:eastAsia="zh-CN"/>
              </w:rPr>
              <w:t>消防砂</w:t>
            </w:r>
            <w:r>
              <w:rPr>
                <w:rFonts w:hint="eastAsia"/>
                <w:color w:val="auto"/>
                <w:szCs w:val="21"/>
              </w:rPr>
              <w:t>覆盖泄漏物减少蒸发，配备无火花收容工具收纳泄漏物料。危险废物运输过程中注意不同类别的危险废物单独运输，固废的包装容器注意密闭，以免在运输途中发生危险废物的泄漏，从而产生二次污染</w:t>
            </w:r>
            <w:r>
              <w:rPr>
                <w:color w:val="auto"/>
                <w:szCs w:val="21"/>
              </w:rPr>
              <w:t>。</w:t>
            </w:r>
          </w:p>
          <w:p w14:paraId="02073E7A">
            <w:pPr>
              <w:adjustRightInd w:val="0"/>
              <w:snapToGrid w:val="0"/>
              <w:jc w:val="center"/>
              <w:rPr>
                <w:color w:val="auto"/>
                <w:szCs w:val="21"/>
              </w:rPr>
            </w:pPr>
            <w:r>
              <w:rPr>
                <w:rFonts w:hint="eastAsia"/>
                <w:color w:val="auto"/>
                <w:szCs w:val="21"/>
              </w:rPr>
              <w:t>火灾：各区域按规范设置灭火器、消防设施并定期检查维护。发生火灾事故险情时，第一发现人应立即报告主管，根据事故险情和扑救具体情况采取适当措施，如需外援应立即拨打火警119告知火灾危险严重程度。</w:t>
            </w:r>
          </w:p>
        </w:tc>
      </w:tr>
      <w:tr w14:paraId="6A62B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02" w:hRule="atLeast"/>
          <w:jc w:val="center"/>
        </w:trPr>
        <w:tc>
          <w:tcPr>
            <w:tcW w:w="971" w:type="dxa"/>
            <w:vAlign w:val="center"/>
          </w:tcPr>
          <w:p w14:paraId="796767AA">
            <w:pPr>
              <w:adjustRightInd w:val="0"/>
              <w:snapToGrid w:val="0"/>
              <w:jc w:val="center"/>
              <w:rPr>
                <w:color w:val="auto"/>
                <w:spacing w:val="-8"/>
                <w:szCs w:val="21"/>
              </w:rPr>
            </w:pPr>
            <w:r>
              <w:rPr>
                <w:color w:val="auto"/>
                <w:spacing w:val="-8"/>
                <w:szCs w:val="21"/>
              </w:rPr>
              <w:t>其他环境管理要求</w:t>
            </w:r>
          </w:p>
        </w:tc>
        <w:tc>
          <w:tcPr>
            <w:tcW w:w="7829" w:type="dxa"/>
            <w:gridSpan w:val="5"/>
            <w:vAlign w:val="center"/>
          </w:tcPr>
          <w:p w14:paraId="15135EBA">
            <w:pPr>
              <w:adjustRightInd w:val="0"/>
              <w:snapToGrid w:val="0"/>
              <w:jc w:val="center"/>
              <w:rPr>
                <w:color w:val="auto"/>
                <w:szCs w:val="21"/>
              </w:rPr>
            </w:pPr>
            <w:r>
              <w:rPr>
                <w:color w:val="auto"/>
                <w:szCs w:val="21"/>
              </w:rPr>
              <w:t>建立体制完善的环保机构，并制定相关的规章制度。</w:t>
            </w:r>
          </w:p>
          <w:p w14:paraId="75A59FBC">
            <w:pPr>
              <w:adjustRightInd w:val="0"/>
              <w:snapToGrid w:val="0"/>
              <w:jc w:val="center"/>
              <w:rPr>
                <w:color w:val="auto"/>
                <w:szCs w:val="21"/>
              </w:rPr>
            </w:pPr>
            <w:r>
              <w:rPr>
                <w:color w:val="auto"/>
                <w:szCs w:val="21"/>
              </w:rPr>
              <w:t>若企业不具备监测条件，需委托当地环境监测站监测，监测结果以报告的形式上报当地环保部门。</w:t>
            </w:r>
          </w:p>
        </w:tc>
      </w:tr>
    </w:tbl>
    <w:p w14:paraId="3967903F">
      <w:pPr>
        <w:pStyle w:val="84"/>
        <w:jc w:val="center"/>
        <w:outlineLvl w:val="0"/>
        <w:rPr>
          <w:rFonts w:ascii="Times New Roman" w:hAnsi="Times New Roman"/>
          <w:snapToGrid w:val="0"/>
          <w:color w:val="auto"/>
          <w:sz w:val="30"/>
          <w:szCs w:val="30"/>
        </w:rPr>
      </w:pPr>
      <w:r>
        <w:rPr>
          <w:rFonts w:ascii="Times New Roman" w:hAnsi="Times New Roman"/>
          <w:snapToGrid w:val="0"/>
          <w:color w:val="auto"/>
        </w:rPr>
        <w:br w:type="page"/>
      </w:r>
      <w:bookmarkStart w:id="11" w:name="_Toc116313307"/>
      <w:r>
        <w:rPr>
          <w:rFonts w:ascii="Times New Roman" w:hAnsi="Times New Roman"/>
          <w:snapToGrid w:val="0"/>
          <w:color w:val="auto"/>
          <w:sz w:val="30"/>
          <w:szCs w:val="30"/>
        </w:rPr>
        <w:t>六、结论</w:t>
      </w:r>
      <w:bookmarkEnd w:id="1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7E58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C642B08">
            <w:pPr>
              <w:adjustRightInd w:val="0"/>
              <w:snapToGrid w:val="0"/>
              <w:spacing w:line="360" w:lineRule="auto"/>
              <w:ind w:firstLine="480" w:firstLineChars="200"/>
              <w:rPr>
                <w:color w:val="auto"/>
                <w:sz w:val="24"/>
              </w:rPr>
            </w:pPr>
            <w:r>
              <w:rPr>
                <w:color w:val="auto"/>
                <w:sz w:val="24"/>
              </w:rPr>
              <w:t>本项目的建设符合国家产业政策，项目选址基本可行；拟采用的各项环保设施合理、可靠、有效，废气污染物、噪声可基本实现达标排放；本项目污水接管至涟水</w:t>
            </w:r>
            <w:r>
              <w:rPr>
                <w:rFonts w:hint="eastAsia"/>
                <w:color w:val="auto"/>
                <w:sz w:val="24"/>
              </w:rPr>
              <w:t>空港产业园</w:t>
            </w:r>
            <w:r>
              <w:rPr>
                <w:color w:val="auto"/>
                <w:sz w:val="24"/>
              </w:rPr>
              <w:t>污水处理厂统一处理；固体废物分类收集，妥善处置，零排放。项目建成投产后，对评价区域环境污染影响可接受；环保投资可基本满足环保设施建设的需要，能实现环境效益与经济效益的统一。因此在下一步工程设计和建设中，如能严格落实建设单位既定的污染控制措施和本报告中提出的各项环境保护对策建议，因此，从环保角度本项目是可行的。</w:t>
            </w:r>
          </w:p>
          <w:p w14:paraId="24B5B127">
            <w:pPr>
              <w:adjustRightInd w:val="0"/>
              <w:snapToGrid w:val="0"/>
              <w:spacing w:line="360" w:lineRule="auto"/>
              <w:ind w:firstLine="482" w:firstLineChars="200"/>
              <w:rPr>
                <w:b/>
                <w:color w:val="auto"/>
                <w:sz w:val="24"/>
              </w:rPr>
            </w:pPr>
          </w:p>
        </w:tc>
      </w:tr>
    </w:tbl>
    <w:p w14:paraId="62304BF3">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2D43FB0">
      <w:pPr>
        <w:pStyle w:val="84"/>
        <w:adjustRightInd w:val="0"/>
        <w:snapToGrid w:val="0"/>
        <w:spacing w:before="0" w:beforeAutospacing="0" w:after="0" w:afterAutospacing="0" w:line="360" w:lineRule="auto"/>
        <w:outlineLvl w:val="0"/>
        <w:rPr>
          <w:rFonts w:ascii="Times New Roman" w:hAnsi="Times New Roman"/>
          <w:snapToGrid w:val="0"/>
          <w:color w:val="auto"/>
          <w:sz w:val="32"/>
          <w:szCs w:val="32"/>
        </w:rPr>
      </w:pPr>
      <w:bookmarkStart w:id="12" w:name="_Toc116313308"/>
      <w:r>
        <w:rPr>
          <w:rFonts w:ascii="Times New Roman" w:hAnsi="Times New Roman"/>
          <w:snapToGrid w:val="0"/>
          <w:color w:val="auto"/>
          <w:sz w:val="32"/>
          <w:szCs w:val="32"/>
        </w:rPr>
        <w:t>附表</w:t>
      </w:r>
      <w:bookmarkEnd w:id="12"/>
    </w:p>
    <w:p w14:paraId="4E2CE557">
      <w:pPr>
        <w:adjustRightInd w:val="0"/>
        <w:snapToGrid w:val="0"/>
        <w:spacing w:line="288" w:lineRule="auto"/>
        <w:jc w:val="center"/>
        <w:rPr>
          <w:color w:val="auto"/>
          <w:sz w:val="36"/>
          <w:szCs w:val="36"/>
        </w:rPr>
      </w:pPr>
      <w:r>
        <w:rPr>
          <w:color w:val="auto"/>
          <w:sz w:val="36"/>
          <w:szCs w:val="36"/>
        </w:rPr>
        <w:t>建设项目污染物排放量汇总表（单位：t/a）</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581"/>
        <w:gridCol w:w="1701"/>
        <w:gridCol w:w="1276"/>
        <w:gridCol w:w="1701"/>
        <w:gridCol w:w="1559"/>
        <w:gridCol w:w="1537"/>
        <w:gridCol w:w="1418"/>
        <w:gridCol w:w="1591"/>
      </w:tblGrid>
      <w:tr w14:paraId="4E270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8" w:space="0"/>
              <w:bottom w:val="single" w:color="auto" w:sz="4" w:space="0"/>
              <w:right w:val="single" w:color="auto" w:sz="4" w:space="0"/>
              <w:tl2br w:val="single" w:color="auto" w:sz="4" w:space="0"/>
            </w:tcBorders>
            <w:tcMar>
              <w:left w:w="28" w:type="dxa"/>
              <w:right w:w="28" w:type="dxa"/>
            </w:tcMar>
            <w:vAlign w:val="center"/>
          </w:tcPr>
          <w:p w14:paraId="3C36AFA1">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项目</w:t>
            </w:r>
          </w:p>
          <w:p w14:paraId="200C4D56">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分类</w:t>
            </w:r>
          </w:p>
        </w:tc>
        <w:tc>
          <w:tcPr>
            <w:tcW w:w="158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8A2ED4E">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70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6E08F195">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0D56EDDE">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E940D7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1C44655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7B85A5DF">
            <w:pPr>
              <w:pStyle w:val="198"/>
              <w:spacing w:beforeLines="0" w:afterLines="0"/>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6A58060">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14:paraId="650D88D8">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F3A0E83">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14:paraId="41E4161A">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537"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6529882">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5F85E3B9">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418"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ABE7D8D">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3F7C2414">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591" w:type="dxa"/>
            <w:tcBorders>
              <w:top w:val="single" w:color="auto" w:sz="8" w:space="0"/>
              <w:left w:val="single" w:color="auto" w:sz="4" w:space="0"/>
              <w:bottom w:val="single" w:color="auto" w:sz="4" w:space="0"/>
            </w:tcBorders>
            <w:tcMar>
              <w:left w:w="28" w:type="dxa"/>
              <w:right w:w="28" w:type="dxa"/>
            </w:tcMar>
            <w:vAlign w:val="center"/>
          </w:tcPr>
          <w:p w14:paraId="72C2E02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118F9BC5">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14:paraId="05ED6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7DBB5E5D">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废气（有组织）</w:t>
            </w:r>
          </w:p>
        </w:tc>
        <w:tc>
          <w:tcPr>
            <w:tcW w:w="1581" w:type="dxa"/>
            <w:tcBorders>
              <w:top w:val="single" w:color="auto" w:sz="4" w:space="0"/>
              <w:left w:val="single" w:color="auto" w:sz="4" w:space="0"/>
              <w:bottom w:val="single" w:color="auto" w:sz="4" w:space="0"/>
              <w:right w:val="single" w:color="auto" w:sz="4" w:space="0"/>
            </w:tcBorders>
            <w:vAlign w:val="center"/>
          </w:tcPr>
          <w:p w14:paraId="03C7ED8A">
            <w:pPr>
              <w:adjustRightInd w:val="0"/>
              <w:snapToGrid w:val="0"/>
              <w:jc w:val="center"/>
              <w:rPr>
                <w:color w:val="auto"/>
                <w:szCs w:val="21"/>
              </w:rPr>
            </w:pPr>
            <w:r>
              <w:rPr>
                <w:color w:val="auto"/>
                <w:szCs w:val="21"/>
              </w:rPr>
              <w:t>NMHC</w:t>
            </w:r>
          </w:p>
        </w:tc>
        <w:tc>
          <w:tcPr>
            <w:tcW w:w="1701" w:type="dxa"/>
            <w:tcBorders>
              <w:top w:val="single" w:color="auto" w:sz="4" w:space="0"/>
              <w:left w:val="single" w:color="auto" w:sz="4" w:space="0"/>
              <w:bottom w:val="single" w:color="auto" w:sz="4" w:space="0"/>
              <w:right w:val="single" w:color="auto" w:sz="4" w:space="0"/>
            </w:tcBorders>
            <w:vAlign w:val="center"/>
          </w:tcPr>
          <w:p w14:paraId="12BAA8DE">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85CC5">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F3FC180">
            <w:pPr>
              <w:pStyle w:val="198"/>
              <w:spacing w:beforeLines="0" w:afterLines="0" w:line="240" w:lineRule="auto"/>
              <w:rPr>
                <w:rFonts w:ascii="Times New Roman"/>
                <w:snapToGrid w:val="0"/>
                <w:color w:val="auto"/>
                <w:kern w:val="21"/>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265B605E">
            <w:pPr>
              <w:adjustRightInd w:val="0"/>
              <w:snapToGrid w:val="0"/>
              <w:jc w:val="center"/>
              <w:rPr>
                <w:rFonts w:hint="eastAsia" w:eastAsia="宋体"/>
                <w:color w:val="auto"/>
                <w:szCs w:val="21"/>
                <w:lang w:eastAsia="zh-CN"/>
              </w:rPr>
            </w:pPr>
            <w:r>
              <w:rPr>
                <w:rFonts w:hint="eastAsia"/>
                <w:color w:val="auto"/>
                <w:szCs w:val="21"/>
                <w:lang w:eastAsia="zh-CN"/>
              </w:rPr>
              <w:t>0.28075</w:t>
            </w:r>
          </w:p>
        </w:tc>
        <w:tc>
          <w:tcPr>
            <w:tcW w:w="1537" w:type="dxa"/>
            <w:tcBorders>
              <w:top w:val="single" w:color="auto" w:sz="4" w:space="0"/>
              <w:left w:val="single" w:color="auto" w:sz="4" w:space="0"/>
              <w:bottom w:val="single" w:color="auto" w:sz="4" w:space="0"/>
              <w:right w:val="single" w:color="auto" w:sz="4" w:space="0"/>
            </w:tcBorders>
            <w:vAlign w:val="center"/>
          </w:tcPr>
          <w:p w14:paraId="28B1883B">
            <w:pPr>
              <w:adjustRightInd w:val="0"/>
              <w:snapToGrid w:val="0"/>
              <w:jc w:val="center"/>
              <w:rPr>
                <w:color w:val="auto"/>
                <w:szCs w:val="21"/>
              </w:rPr>
            </w:pPr>
            <w:r>
              <w:rPr>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67C7735A">
            <w:pPr>
              <w:adjustRightInd w:val="0"/>
              <w:snapToGrid w:val="0"/>
              <w:jc w:val="center"/>
              <w:rPr>
                <w:rFonts w:hint="eastAsia" w:eastAsia="宋体"/>
                <w:color w:val="auto"/>
                <w:szCs w:val="21"/>
                <w:lang w:eastAsia="zh-CN"/>
              </w:rPr>
            </w:pPr>
            <w:r>
              <w:rPr>
                <w:rFonts w:hint="eastAsia"/>
                <w:color w:val="auto"/>
                <w:szCs w:val="21"/>
                <w:lang w:eastAsia="zh-CN"/>
              </w:rPr>
              <w:t>0.28075</w:t>
            </w:r>
          </w:p>
        </w:tc>
        <w:tc>
          <w:tcPr>
            <w:tcW w:w="1591" w:type="dxa"/>
            <w:tcBorders>
              <w:top w:val="single" w:color="auto" w:sz="4" w:space="0"/>
              <w:left w:val="single" w:color="auto" w:sz="4" w:space="0"/>
              <w:bottom w:val="single" w:color="auto" w:sz="4" w:space="0"/>
            </w:tcBorders>
            <w:vAlign w:val="center"/>
          </w:tcPr>
          <w:p w14:paraId="387A2960">
            <w:pPr>
              <w:adjustRightInd w:val="0"/>
              <w:snapToGrid w:val="0"/>
              <w:jc w:val="center"/>
              <w:rPr>
                <w:rFonts w:hint="eastAsia" w:eastAsia="宋体"/>
                <w:color w:val="auto"/>
                <w:szCs w:val="21"/>
                <w:lang w:eastAsia="zh-CN"/>
              </w:rPr>
            </w:pPr>
            <w:r>
              <w:rPr>
                <w:rFonts w:hint="eastAsia"/>
                <w:color w:val="auto"/>
                <w:szCs w:val="21"/>
              </w:rPr>
              <w:t>+</w:t>
            </w:r>
            <w:r>
              <w:rPr>
                <w:rFonts w:hint="eastAsia"/>
                <w:color w:val="auto"/>
                <w:szCs w:val="21"/>
                <w:lang w:eastAsia="zh-CN"/>
              </w:rPr>
              <w:t>0.28075</w:t>
            </w:r>
          </w:p>
        </w:tc>
      </w:tr>
      <w:tr w14:paraId="1F082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7A7279A1">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A163C81">
            <w:pPr>
              <w:adjustRightInd w:val="0"/>
              <w:snapToGrid w:val="0"/>
              <w:jc w:val="center"/>
              <w:rPr>
                <w:color w:val="auto"/>
                <w:szCs w:val="21"/>
              </w:rPr>
            </w:pPr>
            <w:r>
              <w:rPr>
                <w:rFonts w:hint="eastAsia"/>
                <w:color w:val="auto"/>
                <w:szCs w:val="21"/>
              </w:rPr>
              <w:t>苯乙烯</w:t>
            </w:r>
          </w:p>
        </w:tc>
        <w:tc>
          <w:tcPr>
            <w:tcW w:w="1701" w:type="dxa"/>
            <w:tcBorders>
              <w:top w:val="single" w:color="auto" w:sz="4" w:space="0"/>
              <w:left w:val="single" w:color="auto" w:sz="4" w:space="0"/>
              <w:bottom w:val="single" w:color="auto" w:sz="4" w:space="0"/>
              <w:right w:val="single" w:color="auto" w:sz="4" w:space="0"/>
            </w:tcBorders>
            <w:vAlign w:val="center"/>
          </w:tcPr>
          <w:p w14:paraId="72A53561">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1101D161">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EB1A75F">
            <w:pPr>
              <w:pStyle w:val="198"/>
              <w:spacing w:beforeLines="0" w:afterLines="0" w:line="240" w:lineRule="auto"/>
              <w:rPr>
                <w:rFonts w:ascii="Times New Roman"/>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DACFD5E">
            <w:pPr>
              <w:adjustRightInd w:val="0"/>
              <w:snapToGrid w:val="0"/>
              <w:jc w:val="center"/>
              <w:rPr>
                <w:color w:val="auto"/>
                <w:szCs w:val="21"/>
              </w:rPr>
            </w:pPr>
            <w:r>
              <w:rPr>
                <w:rFonts w:hint="eastAsia"/>
                <w:color w:val="auto"/>
                <w:szCs w:val="21"/>
              </w:rPr>
              <w:t>0.0151</w:t>
            </w:r>
          </w:p>
        </w:tc>
        <w:tc>
          <w:tcPr>
            <w:tcW w:w="1537" w:type="dxa"/>
            <w:tcBorders>
              <w:top w:val="single" w:color="auto" w:sz="4" w:space="0"/>
              <w:left w:val="single" w:color="auto" w:sz="4" w:space="0"/>
              <w:bottom w:val="single" w:color="auto" w:sz="4" w:space="0"/>
              <w:right w:val="single" w:color="auto" w:sz="4" w:space="0"/>
            </w:tcBorders>
            <w:vAlign w:val="center"/>
          </w:tcPr>
          <w:p w14:paraId="31441223">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CA5E7FB">
            <w:pPr>
              <w:adjustRightInd w:val="0"/>
              <w:snapToGrid w:val="0"/>
              <w:jc w:val="center"/>
              <w:rPr>
                <w:color w:val="auto"/>
                <w:szCs w:val="21"/>
              </w:rPr>
            </w:pPr>
            <w:r>
              <w:rPr>
                <w:rFonts w:hint="eastAsia"/>
                <w:color w:val="auto"/>
                <w:szCs w:val="21"/>
              </w:rPr>
              <w:t>0.0151</w:t>
            </w:r>
          </w:p>
        </w:tc>
        <w:tc>
          <w:tcPr>
            <w:tcW w:w="1591" w:type="dxa"/>
            <w:tcBorders>
              <w:top w:val="single" w:color="auto" w:sz="4" w:space="0"/>
              <w:left w:val="single" w:color="auto" w:sz="4" w:space="0"/>
              <w:bottom w:val="single" w:color="auto" w:sz="4" w:space="0"/>
            </w:tcBorders>
            <w:vAlign w:val="center"/>
          </w:tcPr>
          <w:p w14:paraId="16117B9C">
            <w:pPr>
              <w:adjustRightInd w:val="0"/>
              <w:snapToGrid w:val="0"/>
              <w:jc w:val="center"/>
              <w:rPr>
                <w:color w:val="auto"/>
                <w:szCs w:val="21"/>
              </w:rPr>
            </w:pPr>
            <w:r>
              <w:rPr>
                <w:rFonts w:hint="eastAsia"/>
                <w:color w:val="auto"/>
                <w:szCs w:val="21"/>
              </w:rPr>
              <w:t>+0.0151</w:t>
            </w:r>
          </w:p>
        </w:tc>
      </w:tr>
      <w:tr w14:paraId="55EC8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53C460A6">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2804393">
            <w:pPr>
              <w:adjustRightInd w:val="0"/>
              <w:snapToGrid w:val="0"/>
              <w:jc w:val="center"/>
              <w:rPr>
                <w:color w:val="auto"/>
                <w:szCs w:val="21"/>
              </w:rPr>
            </w:pPr>
            <w:r>
              <w:rPr>
                <w:rFonts w:hint="eastAsia"/>
                <w:color w:val="auto"/>
                <w:szCs w:val="21"/>
                <w:lang w:eastAsia="zh-CN"/>
              </w:rPr>
              <w:t>二、</w:t>
            </w:r>
            <w:r>
              <w:rPr>
                <w:rFonts w:hint="eastAsia"/>
                <w:color w:val="auto"/>
                <w:szCs w:val="21"/>
              </w:rPr>
              <w:t>甲苯</w:t>
            </w:r>
          </w:p>
        </w:tc>
        <w:tc>
          <w:tcPr>
            <w:tcW w:w="1701" w:type="dxa"/>
            <w:tcBorders>
              <w:top w:val="single" w:color="auto" w:sz="4" w:space="0"/>
              <w:left w:val="single" w:color="auto" w:sz="4" w:space="0"/>
              <w:bottom w:val="single" w:color="auto" w:sz="4" w:space="0"/>
              <w:right w:val="single" w:color="auto" w:sz="4" w:space="0"/>
            </w:tcBorders>
            <w:vAlign w:val="center"/>
          </w:tcPr>
          <w:p w14:paraId="70ADD6B6">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0B15129F">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3B3D706C">
            <w:pPr>
              <w:pStyle w:val="198"/>
              <w:spacing w:beforeLines="0" w:afterLines="0" w:line="240" w:lineRule="auto"/>
              <w:rPr>
                <w:rFonts w:ascii="Times New Roman"/>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40F5E08">
            <w:pPr>
              <w:adjustRightInd w:val="0"/>
              <w:snapToGrid w:val="0"/>
              <w:jc w:val="center"/>
              <w:rPr>
                <w:color w:val="auto"/>
                <w:szCs w:val="21"/>
              </w:rPr>
            </w:pPr>
            <w:r>
              <w:rPr>
                <w:rFonts w:hint="eastAsia"/>
                <w:color w:val="auto"/>
                <w:szCs w:val="21"/>
              </w:rPr>
              <w:t>0.0057</w:t>
            </w:r>
          </w:p>
        </w:tc>
        <w:tc>
          <w:tcPr>
            <w:tcW w:w="1537" w:type="dxa"/>
            <w:tcBorders>
              <w:top w:val="single" w:color="auto" w:sz="4" w:space="0"/>
              <w:left w:val="single" w:color="auto" w:sz="4" w:space="0"/>
              <w:bottom w:val="single" w:color="auto" w:sz="4" w:space="0"/>
              <w:right w:val="single" w:color="auto" w:sz="4" w:space="0"/>
            </w:tcBorders>
            <w:vAlign w:val="center"/>
          </w:tcPr>
          <w:p w14:paraId="3ABFD696">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6C76357C">
            <w:pPr>
              <w:adjustRightInd w:val="0"/>
              <w:snapToGrid w:val="0"/>
              <w:jc w:val="center"/>
              <w:rPr>
                <w:color w:val="auto"/>
                <w:szCs w:val="21"/>
              </w:rPr>
            </w:pPr>
            <w:r>
              <w:rPr>
                <w:rFonts w:hint="eastAsia"/>
                <w:color w:val="auto"/>
                <w:szCs w:val="21"/>
              </w:rPr>
              <w:t>0.0057</w:t>
            </w:r>
          </w:p>
        </w:tc>
        <w:tc>
          <w:tcPr>
            <w:tcW w:w="1591" w:type="dxa"/>
            <w:tcBorders>
              <w:top w:val="single" w:color="auto" w:sz="4" w:space="0"/>
              <w:left w:val="single" w:color="auto" w:sz="4" w:space="0"/>
              <w:bottom w:val="single" w:color="auto" w:sz="4" w:space="0"/>
            </w:tcBorders>
            <w:vAlign w:val="center"/>
          </w:tcPr>
          <w:p w14:paraId="58072181">
            <w:pPr>
              <w:adjustRightInd w:val="0"/>
              <w:snapToGrid w:val="0"/>
              <w:jc w:val="center"/>
              <w:rPr>
                <w:color w:val="auto"/>
                <w:szCs w:val="21"/>
              </w:rPr>
            </w:pPr>
            <w:r>
              <w:rPr>
                <w:rFonts w:hint="eastAsia"/>
                <w:color w:val="auto"/>
                <w:szCs w:val="21"/>
              </w:rPr>
              <w:t>+0.0057</w:t>
            </w:r>
          </w:p>
        </w:tc>
      </w:tr>
      <w:tr w14:paraId="77A22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37B91EB4">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4F531F1">
            <w:pPr>
              <w:adjustRightInd w:val="0"/>
              <w:snapToGrid w:val="0"/>
              <w:jc w:val="center"/>
              <w:rPr>
                <w:color w:val="auto"/>
                <w:szCs w:val="21"/>
              </w:rPr>
            </w:pPr>
            <w:r>
              <w:rPr>
                <w:rFonts w:hint="eastAsia"/>
                <w:color w:val="auto"/>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29B4FF00">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1D1A59C5">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6B7A9C5">
            <w:pPr>
              <w:pStyle w:val="198"/>
              <w:spacing w:beforeLines="0" w:afterLines="0" w:line="240" w:lineRule="auto"/>
              <w:rPr>
                <w:rFonts w:ascii="Times New Roman"/>
                <w:color w:val="auto"/>
                <w:szCs w:val="21"/>
              </w:rPr>
            </w:pPr>
            <w:r>
              <w:rPr>
                <w:rFonts w:hint="eastAsia"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76A4277">
            <w:pPr>
              <w:adjustRightInd w:val="0"/>
              <w:snapToGrid w:val="0"/>
              <w:jc w:val="center"/>
              <w:rPr>
                <w:rFonts w:hint="eastAsia" w:eastAsia="宋体"/>
                <w:color w:val="auto"/>
                <w:szCs w:val="21"/>
                <w:lang w:eastAsia="zh-CN"/>
              </w:rPr>
            </w:pPr>
            <w:r>
              <w:rPr>
                <w:rFonts w:hint="eastAsia"/>
                <w:color w:val="auto"/>
                <w:szCs w:val="21"/>
                <w:lang w:eastAsia="zh-CN"/>
              </w:rPr>
              <w:t>0.4621</w:t>
            </w:r>
          </w:p>
        </w:tc>
        <w:tc>
          <w:tcPr>
            <w:tcW w:w="1537" w:type="dxa"/>
            <w:tcBorders>
              <w:top w:val="single" w:color="auto" w:sz="4" w:space="0"/>
              <w:left w:val="single" w:color="auto" w:sz="4" w:space="0"/>
              <w:bottom w:val="single" w:color="auto" w:sz="4" w:space="0"/>
              <w:right w:val="single" w:color="auto" w:sz="4" w:space="0"/>
            </w:tcBorders>
            <w:vAlign w:val="center"/>
          </w:tcPr>
          <w:p w14:paraId="1E1DD226">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3C72BEC6">
            <w:pPr>
              <w:adjustRightInd w:val="0"/>
              <w:snapToGrid w:val="0"/>
              <w:jc w:val="center"/>
              <w:rPr>
                <w:rFonts w:hint="eastAsia" w:eastAsia="宋体"/>
                <w:color w:val="auto"/>
                <w:szCs w:val="21"/>
                <w:lang w:eastAsia="zh-CN"/>
              </w:rPr>
            </w:pPr>
            <w:r>
              <w:rPr>
                <w:rFonts w:hint="eastAsia"/>
                <w:color w:val="auto"/>
                <w:szCs w:val="21"/>
                <w:lang w:eastAsia="zh-CN"/>
              </w:rPr>
              <w:t>0.4621</w:t>
            </w:r>
          </w:p>
        </w:tc>
        <w:tc>
          <w:tcPr>
            <w:tcW w:w="1591" w:type="dxa"/>
            <w:tcBorders>
              <w:top w:val="single" w:color="auto" w:sz="4" w:space="0"/>
              <w:left w:val="single" w:color="auto" w:sz="4" w:space="0"/>
              <w:bottom w:val="single" w:color="auto" w:sz="4" w:space="0"/>
            </w:tcBorders>
            <w:vAlign w:val="center"/>
          </w:tcPr>
          <w:p w14:paraId="54764692">
            <w:pPr>
              <w:adjustRightInd w:val="0"/>
              <w:snapToGrid w:val="0"/>
              <w:jc w:val="center"/>
              <w:rPr>
                <w:rFonts w:hint="eastAsia" w:eastAsia="宋体"/>
                <w:color w:val="auto"/>
                <w:szCs w:val="21"/>
                <w:lang w:eastAsia="zh-CN"/>
              </w:rPr>
            </w:pPr>
            <w:r>
              <w:rPr>
                <w:rFonts w:hint="eastAsia"/>
                <w:color w:val="auto"/>
                <w:szCs w:val="21"/>
              </w:rPr>
              <w:t>+</w:t>
            </w:r>
            <w:r>
              <w:rPr>
                <w:rFonts w:hint="eastAsia"/>
                <w:color w:val="auto"/>
                <w:szCs w:val="21"/>
                <w:lang w:eastAsia="zh-CN"/>
              </w:rPr>
              <w:t>0.4621</w:t>
            </w:r>
          </w:p>
        </w:tc>
      </w:tr>
      <w:tr w14:paraId="0A1A8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17260E32">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4B36F91A">
            <w:pPr>
              <w:adjustRightInd w:val="0"/>
              <w:snapToGrid w:val="0"/>
              <w:jc w:val="center"/>
              <w:rPr>
                <w:color w:val="auto"/>
                <w:szCs w:val="21"/>
              </w:rPr>
            </w:pPr>
            <w:r>
              <w:rPr>
                <w:rFonts w:hint="eastAsia"/>
                <w:color w:val="auto"/>
                <w:szCs w:val="21"/>
              </w:rPr>
              <w:t>氮氧化物</w:t>
            </w:r>
          </w:p>
        </w:tc>
        <w:tc>
          <w:tcPr>
            <w:tcW w:w="1701" w:type="dxa"/>
            <w:tcBorders>
              <w:top w:val="single" w:color="auto" w:sz="4" w:space="0"/>
              <w:left w:val="single" w:color="auto" w:sz="4" w:space="0"/>
              <w:bottom w:val="single" w:color="auto" w:sz="4" w:space="0"/>
              <w:right w:val="single" w:color="auto" w:sz="4" w:space="0"/>
            </w:tcBorders>
            <w:vAlign w:val="center"/>
          </w:tcPr>
          <w:p w14:paraId="2D2EAB03">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D1C1D8E">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6EE682E">
            <w:pPr>
              <w:pStyle w:val="198"/>
              <w:spacing w:beforeLines="0" w:afterLines="0" w:line="240" w:lineRule="auto"/>
              <w:rPr>
                <w:rFonts w:ascii="Times New Roman"/>
                <w:color w:val="auto"/>
                <w:szCs w:val="21"/>
              </w:rPr>
            </w:pPr>
            <w:r>
              <w:rPr>
                <w:rFonts w:hint="eastAsia"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C31ADA8">
            <w:pPr>
              <w:adjustRightInd w:val="0"/>
              <w:snapToGrid w:val="0"/>
              <w:jc w:val="center"/>
              <w:rPr>
                <w:color w:val="auto"/>
                <w:szCs w:val="21"/>
              </w:rPr>
            </w:pPr>
            <w:r>
              <w:rPr>
                <w:rFonts w:hint="eastAsia"/>
                <w:color w:val="auto"/>
                <w:szCs w:val="21"/>
              </w:rPr>
              <w:t>0.27489</w:t>
            </w:r>
          </w:p>
        </w:tc>
        <w:tc>
          <w:tcPr>
            <w:tcW w:w="1537" w:type="dxa"/>
            <w:tcBorders>
              <w:top w:val="single" w:color="auto" w:sz="4" w:space="0"/>
              <w:left w:val="single" w:color="auto" w:sz="4" w:space="0"/>
              <w:bottom w:val="single" w:color="auto" w:sz="4" w:space="0"/>
              <w:right w:val="single" w:color="auto" w:sz="4" w:space="0"/>
            </w:tcBorders>
            <w:vAlign w:val="center"/>
          </w:tcPr>
          <w:p w14:paraId="7614E0A0">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2AD5B811">
            <w:pPr>
              <w:adjustRightInd w:val="0"/>
              <w:snapToGrid w:val="0"/>
              <w:jc w:val="center"/>
              <w:rPr>
                <w:color w:val="auto"/>
                <w:szCs w:val="21"/>
              </w:rPr>
            </w:pPr>
            <w:r>
              <w:rPr>
                <w:rFonts w:hint="eastAsia"/>
                <w:color w:val="auto"/>
                <w:szCs w:val="21"/>
              </w:rPr>
              <w:t>0.27489</w:t>
            </w:r>
          </w:p>
        </w:tc>
        <w:tc>
          <w:tcPr>
            <w:tcW w:w="1591" w:type="dxa"/>
            <w:tcBorders>
              <w:top w:val="single" w:color="auto" w:sz="4" w:space="0"/>
              <w:left w:val="single" w:color="auto" w:sz="4" w:space="0"/>
              <w:bottom w:val="single" w:color="auto" w:sz="4" w:space="0"/>
            </w:tcBorders>
            <w:vAlign w:val="center"/>
          </w:tcPr>
          <w:p w14:paraId="78F87049">
            <w:pPr>
              <w:adjustRightInd w:val="0"/>
              <w:snapToGrid w:val="0"/>
              <w:jc w:val="center"/>
              <w:rPr>
                <w:color w:val="auto"/>
                <w:szCs w:val="21"/>
              </w:rPr>
            </w:pPr>
            <w:r>
              <w:rPr>
                <w:rFonts w:hint="eastAsia"/>
                <w:color w:val="auto"/>
                <w:szCs w:val="21"/>
              </w:rPr>
              <w:t>+0.27489</w:t>
            </w:r>
          </w:p>
        </w:tc>
      </w:tr>
      <w:tr w14:paraId="01306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24" w:type="dxa"/>
            <w:vMerge w:val="continue"/>
            <w:tcBorders>
              <w:bottom w:val="single" w:color="auto" w:sz="4" w:space="0"/>
              <w:right w:val="single" w:color="auto" w:sz="4" w:space="0"/>
            </w:tcBorders>
            <w:vAlign w:val="center"/>
          </w:tcPr>
          <w:p w14:paraId="2ECAEED8">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0CB5C3B2">
            <w:pPr>
              <w:adjustRightInd w:val="0"/>
              <w:snapToGrid w:val="0"/>
              <w:jc w:val="center"/>
              <w:rPr>
                <w:color w:val="auto"/>
                <w:szCs w:val="21"/>
              </w:rPr>
            </w:pPr>
            <w:r>
              <w:rPr>
                <w:rFonts w:hint="eastAsia"/>
                <w:color w:val="auto"/>
                <w:szCs w:val="21"/>
                <w:lang w:eastAsia="zh-CN"/>
              </w:rPr>
              <w:t>二、</w:t>
            </w:r>
            <w:r>
              <w:rPr>
                <w:rFonts w:hint="eastAsia"/>
                <w:color w:val="auto"/>
                <w:szCs w:val="21"/>
              </w:rPr>
              <w:t>氧化硫</w:t>
            </w:r>
          </w:p>
        </w:tc>
        <w:tc>
          <w:tcPr>
            <w:tcW w:w="1701" w:type="dxa"/>
            <w:tcBorders>
              <w:top w:val="single" w:color="auto" w:sz="4" w:space="0"/>
              <w:left w:val="single" w:color="auto" w:sz="4" w:space="0"/>
              <w:bottom w:val="single" w:color="auto" w:sz="4" w:space="0"/>
              <w:right w:val="single" w:color="auto" w:sz="4" w:space="0"/>
            </w:tcBorders>
            <w:vAlign w:val="center"/>
          </w:tcPr>
          <w:p w14:paraId="3630EE16">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2D392A88">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EF1DB7D">
            <w:pPr>
              <w:pStyle w:val="198"/>
              <w:spacing w:beforeLines="0" w:afterLines="0" w:line="240" w:lineRule="auto"/>
              <w:rPr>
                <w:rFonts w:ascii="Times New Roman"/>
                <w:color w:val="auto"/>
                <w:szCs w:val="21"/>
              </w:rPr>
            </w:pPr>
            <w:r>
              <w:rPr>
                <w:rFonts w:hint="eastAsia"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5AC80A6">
            <w:pPr>
              <w:adjustRightInd w:val="0"/>
              <w:snapToGrid w:val="0"/>
              <w:jc w:val="center"/>
              <w:rPr>
                <w:color w:val="auto"/>
                <w:szCs w:val="21"/>
              </w:rPr>
            </w:pPr>
            <w:r>
              <w:rPr>
                <w:rFonts w:hint="eastAsia"/>
                <w:color w:val="auto"/>
                <w:szCs w:val="21"/>
              </w:rPr>
              <w:t>0.00588</w:t>
            </w:r>
          </w:p>
        </w:tc>
        <w:tc>
          <w:tcPr>
            <w:tcW w:w="1537" w:type="dxa"/>
            <w:tcBorders>
              <w:top w:val="single" w:color="auto" w:sz="4" w:space="0"/>
              <w:left w:val="single" w:color="auto" w:sz="4" w:space="0"/>
              <w:bottom w:val="single" w:color="auto" w:sz="4" w:space="0"/>
              <w:right w:val="single" w:color="auto" w:sz="4" w:space="0"/>
            </w:tcBorders>
            <w:vAlign w:val="center"/>
          </w:tcPr>
          <w:p w14:paraId="3807EE70">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4CAC41FA">
            <w:pPr>
              <w:adjustRightInd w:val="0"/>
              <w:snapToGrid w:val="0"/>
              <w:jc w:val="center"/>
              <w:rPr>
                <w:color w:val="auto"/>
                <w:szCs w:val="21"/>
              </w:rPr>
            </w:pPr>
            <w:r>
              <w:rPr>
                <w:rFonts w:hint="eastAsia"/>
                <w:color w:val="auto"/>
                <w:szCs w:val="21"/>
              </w:rPr>
              <w:t>0.00588</w:t>
            </w:r>
          </w:p>
        </w:tc>
        <w:tc>
          <w:tcPr>
            <w:tcW w:w="1591" w:type="dxa"/>
            <w:tcBorders>
              <w:top w:val="single" w:color="auto" w:sz="4" w:space="0"/>
              <w:left w:val="single" w:color="auto" w:sz="4" w:space="0"/>
              <w:bottom w:val="single" w:color="auto" w:sz="4" w:space="0"/>
            </w:tcBorders>
            <w:vAlign w:val="center"/>
          </w:tcPr>
          <w:p w14:paraId="3E4612B3">
            <w:pPr>
              <w:adjustRightInd w:val="0"/>
              <w:snapToGrid w:val="0"/>
              <w:jc w:val="center"/>
              <w:rPr>
                <w:color w:val="auto"/>
                <w:szCs w:val="21"/>
              </w:rPr>
            </w:pPr>
            <w:r>
              <w:rPr>
                <w:rFonts w:hint="eastAsia"/>
                <w:color w:val="auto"/>
                <w:szCs w:val="21"/>
              </w:rPr>
              <w:t>+0.00588</w:t>
            </w:r>
          </w:p>
        </w:tc>
      </w:tr>
      <w:tr w14:paraId="124CD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4BBA00FE">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废气（无组织）</w:t>
            </w:r>
          </w:p>
        </w:tc>
        <w:tc>
          <w:tcPr>
            <w:tcW w:w="1581" w:type="dxa"/>
            <w:tcBorders>
              <w:top w:val="single" w:color="auto" w:sz="4" w:space="0"/>
              <w:left w:val="single" w:color="auto" w:sz="4" w:space="0"/>
              <w:right w:val="single" w:color="auto" w:sz="4" w:space="0"/>
            </w:tcBorders>
            <w:vAlign w:val="center"/>
          </w:tcPr>
          <w:p w14:paraId="44614AEC">
            <w:pPr>
              <w:adjustRightInd w:val="0"/>
              <w:snapToGrid w:val="0"/>
              <w:jc w:val="center"/>
              <w:rPr>
                <w:color w:val="auto"/>
                <w:szCs w:val="21"/>
              </w:rPr>
            </w:pPr>
            <w:r>
              <w:rPr>
                <w:color w:val="auto"/>
                <w:szCs w:val="21"/>
              </w:rPr>
              <w:t>NMHC</w:t>
            </w:r>
          </w:p>
        </w:tc>
        <w:tc>
          <w:tcPr>
            <w:tcW w:w="1701" w:type="dxa"/>
            <w:vAlign w:val="center"/>
          </w:tcPr>
          <w:p w14:paraId="0733BCC6">
            <w:pPr>
              <w:adjustRightInd w:val="0"/>
              <w:snapToGrid w:val="0"/>
              <w:jc w:val="center"/>
              <w:rPr>
                <w:color w:val="auto"/>
                <w:szCs w:val="21"/>
              </w:rPr>
            </w:pPr>
            <w:r>
              <w:rPr>
                <w:color w:val="auto"/>
                <w:szCs w:val="21"/>
              </w:rPr>
              <w:t>/</w:t>
            </w:r>
          </w:p>
        </w:tc>
        <w:tc>
          <w:tcPr>
            <w:tcW w:w="1276" w:type="dxa"/>
            <w:vAlign w:val="center"/>
          </w:tcPr>
          <w:p w14:paraId="35381194">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12486E68">
            <w:pPr>
              <w:jc w:val="center"/>
              <w:rPr>
                <w:snapToGrid w:val="0"/>
                <w:color w:val="auto"/>
                <w:kern w:val="21"/>
                <w:szCs w:val="21"/>
              </w:rPr>
            </w:pPr>
            <w:r>
              <w:rPr>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3B213AE">
            <w:pPr>
              <w:jc w:val="center"/>
              <w:rPr>
                <w:rFonts w:hint="eastAsia" w:eastAsia="宋体"/>
                <w:color w:val="auto"/>
                <w:szCs w:val="21"/>
                <w:lang w:eastAsia="zh-CN"/>
              </w:rPr>
            </w:pPr>
            <w:r>
              <w:rPr>
                <w:rFonts w:hint="eastAsia"/>
                <w:color w:val="auto"/>
                <w:szCs w:val="21"/>
                <w:lang w:eastAsia="zh-CN"/>
              </w:rPr>
              <w:t>0.418</w:t>
            </w:r>
          </w:p>
        </w:tc>
        <w:tc>
          <w:tcPr>
            <w:tcW w:w="1537" w:type="dxa"/>
            <w:tcBorders>
              <w:top w:val="single" w:color="auto" w:sz="4" w:space="0"/>
              <w:left w:val="single" w:color="auto" w:sz="4" w:space="0"/>
              <w:bottom w:val="single" w:color="auto" w:sz="4" w:space="0"/>
              <w:right w:val="single" w:color="auto" w:sz="4" w:space="0"/>
            </w:tcBorders>
            <w:vAlign w:val="center"/>
          </w:tcPr>
          <w:p w14:paraId="3A97DAF9">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1D04FABF">
            <w:pPr>
              <w:jc w:val="center"/>
              <w:rPr>
                <w:rFonts w:hint="eastAsia" w:eastAsia="宋体"/>
                <w:color w:val="auto"/>
                <w:szCs w:val="21"/>
                <w:lang w:eastAsia="zh-CN"/>
              </w:rPr>
            </w:pPr>
            <w:r>
              <w:rPr>
                <w:rFonts w:hint="eastAsia"/>
                <w:color w:val="auto"/>
                <w:szCs w:val="21"/>
                <w:lang w:eastAsia="zh-CN"/>
              </w:rPr>
              <w:t>0.418</w:t>
            </w:r>
          </w:p>
        </w:tc>
        <w:tc>
          <w:tcPr>
            <w:tcW w:w="1591" w:type="dxa"/>
            <w:tcBorders>
              <w:top w:val="single" w:color="auto" w:sz="4" w:space="0"/>
              <w:left w:val="single" w:color="auto" w:sz="4" w:space="0"/>
              <w:bottom w:val="single" w:color="auto" w:sz="4" w:space="0"/>
            </w:tcBorders>
            <w:vAlign w:val="center"/>
          </w:tcPr>
          <w:p w14:paraId="2AC89A2C">
            <w:pPr>
              <w:jc w:val="center"/>
              <w:rPr>
                <w:rFonts w:hint="eastAsia" w:eastAsia="宋体"/>
                <w:color w:val="auto"/>
                <w:szCs w:val="21"/>
                <w:lang w:eastAsia="zh-CN"/>
              </w:rPr>
            </w:pPr>
            <w:r>
              <w:rPr>
                <w:rFonts w:hint="eastAsia"/>
                <w:color w:val="auto"/>
                <w:szCs w:val="21"/>
              </w:rPr>
              <w:t>+</w:t>
            </w:r>
            <w:r>
              <w:rPr>
                <w:rFonts w:hint="eastAsia"/>
                <w:color w:val="auto"/>
                <w:szCs w:val="21"/>
                <w:lang w:eastAsia="zh-CN"/>
              </w:rPr>
              <w:t>0.418</w:t>
            </w:r>
          </w:p>
        </w:tc>
      </w:tr>
      <w:tr w14:paraId="028D2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7480BF7D">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right w:val="single" w:color="auto" w:sz="4" w:space="0"/>
            </w:tcBorders>
            <w:vAlign w:val="center"/>
          </w:tcPr>
          <w:p w14:paraId="37727031">
            <w:pPr>
              <w:adjustRightInd w:val="0"/>
              <w:snapToGrid w:val="0"/>
              <w:jc w:val="center"/>
              <w:rPr>
                <w:color w:val="auto"/>
                <w:szCs w:val="21"/>
              </w:rPr>
            </w:pPr>
            <w:r>
              <w:rPr>
                <w:rFonts w:hint="eastAsia"/>
                <w:color w:val="auto"/>
                <w:szCs w:val="21"/>
              </w:rPr>
              <w:t>苯乙烯</w:t>
            </w:r>
          </w:p>
        </w:tc>
        <w:tc>
          <w:tcPr>
            <w:tcW w:w="1701" w:type="dxa"/>
            <w:vAlign w:val="center"/>
          </w:tcPr>
          <w:p w14:paraId="030E10BD">
            <w:pPr>
              <w:adjustRightInd w:val="0"/>
              <w:snapToGrid w:val="0"/>
              <w:jc w:val="center"/>
              <w:rPr>
                <w:color w:val="auto"/>
                <w:szCs w:val="21"/>
              </w:rPr>
            </w:pPr>
            <w:r>
              <w:rPr>
                <w:color w:val="auto"/>
                <w:szCs w:val="21"/>
              </w:rPr>
              <w:t>/</w:t>
            </w:r>
          </w:p>
        </w:tc>
        <w:tc>
          <w:tcPr>
            <w:tcW w:w="1276" w:type="dxa"/>
            <w:vAlign w:val="center"/>
          </w:tcPr>
          <w:p w14:paraId="3ACD482B">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17BF3389">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875A1C0">
            <w:pPr>
              <w:jc w:val="center"/>
              <w:rPr>
                <w:color w:val="auto"/>
                <w:szCs w:val="21"/>
              </w:rPr>
            </w:pPr>
            <w:r>
              <w:rPr>
                <w:rFonts w:hint="eastAsia"/>
                <w:color w:val="auto"/>
                <w:szCs w:val="21"/>
              </w:rPr>
              <w:t>0.0379</w:t>
            </w:r>
          </w:p>
        </w:tc>
        <w:tc>
          <w:tcPr>
            <w:tcW w:w="1537" w:type="dxa"/>
            <w:tcBorders>
              <w:top w:val="single" w:color="auto" w:sz="4" w:space="0"/>
              <w:left w:val="single" w:color="auto" w:sz="4" w:space="0"/>
              <w:bottom w:val="single" w:color="auto" w:sz="4" w:space="0"/>
              <w:right w:val="single" w:color="auto" w:sz="4" w:space="0"/>
            </w:tcBorders>
            <w:vAlign w:val="center"/>
          </w:tcPr>
          <w:p w14:paraId="0A6C9456">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6CFA5F80">
            <w:pPr>
              <w:jc w:val="center"/>
              <w:rPr>
                <w:color w:val="auto"/>
                <w:szCs w:val="21"/>
              </w:rPr>
            </w:pPr>
            <w:r>
              <w:rPr>
                <w:rFonts w:hint="eastAsia"/>
                <w:color w:val="auto"/>
                <w:szCs w:val="21"/>
              </w:rPr>
              <w:t>0.0379</w:t>
            </w:r>
          </w:p>
        </w:tc>
        <w:tc>
          <w:tcPr>
            <w:tcW w:w="1591" w:type="dxa"/>
            <w:tcBorders>
              <w:top w:val="single" w:color="auto" w:sz="4" w:space="0"/>
              <w:left w:val="single" w:color="auto" w:sz="4" w:space="0"/>
              <w:bottom w:val="single" w:color="auto" w:sz="4" w:space="0"/>
            </w:tcBorders>
            <w:vAlign w:val="center"/>
          </w:tcPr>
          <w:p w14:paraId="6215F19D">
            <w:pPr>
              <w:jc w:val="center"/>
              <w:rPr>
                <w:color w:val="auto"/>
                <w:szCs w:val="21"/>
              </w:rPr>
            </w:pPr>
            <w:r>
              <w:rPr>
                <w:rFonts w:hint="eastAsia"/>
                <w:color w:val="auto"/>
                <w:szCs w:val="21"/>
              </w:rPr>
              <w:t>+0.0379</w:t>
            </w:r>
          </w:p>
        </w:tc>
      </w:tr>
      <w:tr w14:paraId="6D823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6E1F1DA2">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right w:val="single" w:color="auto" w:sz="4" w:space="0"/>
            </w:tcBorders>
            <w:vAlign w:val="center"/>
          </w:tcPr>
          <w:p w14:paraId="43347553">
            <w:pPr>
              <w:adjustRightInd w:val="0"/>
              <w:snapToGrid w:val="0"/>
              <w:jc w:val="center"/>
              <w:rPr>
                <w:color w:val="auto"/>
                <w:szCs w:val="21"/>
              </w:rPr>
            </w:pPr>
            <w:r>
              <w:rPr>
                <w:rFonts w:hint="eastAsia"/>
                <w:color w:val="auto"/>
                <w:szCs w:val="21"/>
                <w:lang w:eastAsia="zh-CN"/>
              </w:rPr>
              <w:t>二、</w:t>
            </w:r>
            <w:r>
              <w:rPr>
                <w:rFonts w:hint="eastAsia"/>
                <w:color w:val="auto"/>
                <w:szCs w:val="21"/>
              </w:rPr>
              <w:t>甲苯</w:t>
            </w:r>
          </w:p>
        </w:tc>
        <w:tc>
          <w:tcPr>
            <w:tcW w:w="1701" w:type="dxa"/>
            <w:vAlign w:val="center"/>
          </w:tcPr>
          <w:p w14:paraId="29FC811B">
            <w:pPr>
              <w:adjustRightInd w:val="0"/>
              <w:snapToGrid w:val="0"/>
              <w:jc w:val="center"/>
              <w:rPr>
                <w:color w:val="auto"/>
                <w:szCs w:val="21"/>
              </w:rPr>
            </w:pPr>
            <w:r>
              <w:rPr>
                <w:color w:val="auto"/>
                <w:szCs w:val="21"/>
              </w:rPr>
              <w:t>/</w:t>
            </w:r>
          </w:p>
        </w:tc>
        <w:tc>
          <w:tcPr>
            <w:tcW w:w="1276" w:type="dxa"/>
            <w:vAlign w:val="center"/>
          </w:tcPr>
          <w:p w14:paraId="72F33114">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D2E3193">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15469B6">
            <w:pPr>
              <w:jc w:val="center"/>
              <w:rPr>
                <w:color w:val="auto"/>
                <w:szCs w:val="21"/>
              </w:rPr>
            </w:pPr>
            <w:r>
              <w:rPr>
                <w:rFonts w:hint="eastAsia"/>
                <w:color w:val="auto"/>
                <w:szCs w:val="21"/>
              </w:rPr>
              <w:t>0.003</w:t>
            </w:r>
          </w:p>
        </w:tc>
        <w:tc>
          <w:tcPr>
            <w:tcW w:w="1537" w:type="dxa"/>
            <w:tcBorders>
              <w:top w:val="single" w:color="auto" w:sz="4" w:space="0"/>
              <w:left w:val="single" w:color="auto" w:sz="4" w:space="0"/>
              <w:bottom w:val="single" w:color="auto" w:sz="4" w:space="0"/>
              <w:right w:val="single" w:color="auto" w:sz="4" w:space="0"/>
            </w:tcBorders>
            <w:vAlign w:val="center"/>
          </w:tcPr>
          <w:p w14:paraId="39ABD1E0">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8D674AD">
            <w:pPr>
              <w:jc w:val="center"/>
              <w:rPr>
                <w:color w:val="auto"/>
                <w:szCs w:val="21"/>
              </w:rPr>
            </w:pPr>
            <w:r>
              <w:rPr>
                <w:rFonts w:hint="eastAsia"/>
                <w:color w:val="auto"/>
                <w:szCs w:val="21"/>
              </w:rPr>
              <w:t>0.003</w:t>
            </w:r>
          </w:p>
        </w:tc>
        <w:tc>
          <w:tcPr>
            <w:tcW w:w="1591" w:type="dxa"/>
            <w:tcBorders>
              <w:top w:val="single" w:color="auto" w:sz="4" w:space="0"/>
              <w:left w:val="single" w:color="auto" w:sz="4" w:space="0"/>
              <w:bottom w:val="single" w:color="auto" w:sz="4" w:space="0"/>
            </w:tcBorders>
            <w:vAlign w:val="center"/>
          </w:tcPr>
          <w:p w14:paraId="11562821">
            <w:pPr>
              <w:jc w:val="center"/>
              <w:rPr>
                <w:color w:val="auto"/>
                <w:szCs w:val="21"/>
              </w:rPr>
            </w:pPr>
            <w:r>
              <w:rPr>
                <w:rFonts w:hint="eastAsia"/>
                <w:color w:val="auto"/>
                <w:szCs w:val="21"/>
              </w:rPr>
              <w:t>+0.003</w:t>
            </w:r>
          </w:p>
        </w:tc>
      </w:tr>
      <w:tr w14:paraId="08361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bottom w:val="single" w:color="auto" w:sz="4" w:space="0"/>
              <w:right w:val="single" w:color="auto" w:sz="4" w:space="0"/>
            </w:tcBorders>
            <w:vAlign w:val="center"/>
          </w:tcPr>
          <w:p w14:paraId="5A48AF7D">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right w:val="single" w:color="auto" w:sz="4" w:space="0"/>
            </w:tcBorders>
            <w:vAlign w:val="center"/>
          </w:tcPr>
          <w:p w14:paraId="24F3D944">
            <w:pPr>
              <w:adjustRightInd w:val="0"/>
              <w:snapToGrid w:val="0"/>
              <w:jc w:val="center"/>
              <w:rPr>
                <w:color w:val="auto"/>
                <w:szCs w:val="21"/>
              </w:rPr>
            </w:pPr>
            <w:r>
              <w:rPr>
                <w:rFonts w:hint="eastAsia"/>
                <w:color w:val="auto"/>
                <w:szCs w:val="21"/>
              </w:rPr>
              <w:t>颗粒物</w:t>
            </w:r>
          </w:p>
        </w:tc>
        <w:tc>
          <w:tcPr>
            <w:tcW w:w="1701" w:type="dxa"/>
            <w:vAlign w:val="center"/>
          </w:tcPr>
          <w:p w14:paraId="71BC26FB">
            <w:pPr>
              <w:adjustRightInd w:val="0"/>
              <w:snapToGrid w:val="0"/>
              <w:jc w:val="center"/>
              <w:rPr>
                <w:color w:val="auto"/>
                <w:szCs w:val="21"/>
              </w:rPr>
            </w:pPr>
            <w:r>
              <w:rPr>
                <w:color w:val="auto"/>
                <w:szCs w:val="21"/>
              </w:rPr>
              <w:t>/</w:t>
            </w:r>
          </w:p>
        </w:tc>
        <w:tc>
          <w:tcPr>
            <w:tcW w:w="1276" w:type="dxa"/>
            <w:vAlign w:val="center"/>
          </w:tcPr>
          <w:p w14:paraId="613D71AB">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4FAB942">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E22A8F4">
            <w:pPr>
              <w:jc w:val="center"/>
              <w:rPr>
                <w:rFonts w:hint="eastAsia" w:eastAsia="宋体"/>
                <w:color w:val="auto"/>
                <w:szCs w:val="21"/>
                <w:lang w:eastAsia="zh-CN"/>
              </w:rPr>
            </w:pPr>
            <w:r>
              <w:rPr>
                <w:rFonts w:hint="eastAsia"/>
                <w:color w:val="auto"/>
                <w:szCs w:val="21"/>
                <w:lang w:eastAsia="zh-CN"/>
              </w:rPr>
              <w:t>0.6678</w:t>
            </w:r>
          </w:p>
        </w:tc>
        <w:tc>
          <w:tcPr>
            <w:tcW w:w="1537" w:type="dxa"/>
            <w:tcBorders>
              <w:top w:val="single" w:color="auto" w:sz="4" w:space="0"/>
              <w:left w:val="single" w:color="auto" w:sz="4" w:space="0"/>
              <w:bottom w:val="single" w:color="auto" w:sz="4" w:space="0"/>
              <w:right w:val="single" w:color="auto" w:sz="4" w:space="0"/>
            </w:tcBorders>
            <w:vAlign w:val="center"/>
          </w:tcPr>
          <w:p w14:paraId="4FC02D77">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6A459A3B">
            <w:pPr>
              <w:jc w:val="center"/>
              <w:rPr>
                <w:rFonts w:hint="eastAsia" w:eastAsia="宋体"/>
                <w:color w:val="auto"/>
                <w:szCs w:val="21"/>
                <w:lang w:eastAsia="zh-CN"/>
              </w:rPr>
            </w:pPr>
            <w:r>
              <w:rPr>
                <w:rFonts w:hint="eastAsia"/>
                <w:color w:val="auto"/>
                <w:szCs w:val="21"/>
                <w:lang w:eastAsia="zh-CN"/>
              </w:rPr>
              <w:t>0.6678</w:t>
            </w:r>
          </w:p>
        </w:tc>
        <w:tc>
          <w:tcPr>
            <w:tcW w:w="1591" w:type="dxa"/>
            <w:tcBorders>
              <w:top w:val="single" w:color="auto" w:sz="4" w:space="0"/>
              <w:left w:val="single" w:color="auto" w:sz="4" w:space="0"/>
              <w:bottom w:val="single" w:color="auto" w:sz="4" w:space="0"/>
            </w:tcBorders>
            <w:vAlign w:val="center"/>
          </w:tcPr>
          <w:p w14:paraId="35BB358B">
            <w:pPr>
              <w:jc w:val="center"/>
              <w:rPr>
                <w:rFonts w:hint="eastAsia" w:eastAsia="宋体"/>
                <w:color w:val="auto"/>
                <w:szCs w:val="21"/>
                <w:lang w:eastAsia="zh-CN"/>
              </w:rPr>
            </w:pPr>
            <w:r>
              <w:rPr>
                <w:rFonts w:hint="eastAsia"/>
                <w:color w:val="auto"/>
                <w:szCs w:val="21"/>
              </w:rPr>
              <w:t>+</w:t>
            </w:r>
            <w:r>
              <w:rPr>
                <w:rFonts w:hint="eastAsia"/>
                <w:color w:val="auto"/>
                <w:szCs w:val="21"/>
                <w:lang w:eastAsia="zh-CN"/>
              </w:rPr>
              <w:t>0.6678</w:t>
            </w:r>
          </w:p>
        </w:tc>
      </w:tr>
      <w:tr w14:paraId="24C82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18ED7409">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废气（有组织+无组织）</w:t>
            </w:r>
          </w:p>
        </w:tc>
        <w:tc>
          <w:tcPr>
            <w:tcW w:w="1581" w:type="dxa"/>
            <w:tcBorders>
              <w:top w:val="single" w:color="auto" w:sz="4" w:space="0"/>
              <w:left w:val="single" w:color="auto" w:sz="4" w:space="0"/>
              <w:bottom w:val="single" w:color="auto" w:sz="4" w:space="0"/>
              <w:right w:val="single" w:color="auto" w:sz="4" w:space="0"/>
            </w:tcBorders>
            <w:vAlign w:val="center"/>
          </w:tcPr>
          <w:p w14:paraId="77B89098">
            <w:pPr>
              <w:adjustRightInd w:val="0"/>
              <w:snapToGrid w:val="0"/>
              <w:jc w:val="center"/>
              <w:rPr>
                <w:color w:val="auto"/>
                <w:szCs w:val="21"/>
              </w:rPr>
            </w:pPr>
            <w:r>
              <w:rPr>
                <w:color w:val="auto"/>
                <w:szCs w:val="21"/>
              </w:rPr>
              <w:t>NMHC</w:t>
            </w:r>
          </w:p>
        </w:tc>
        <w:tc>
          <w:tcPr>
            <w:tcW w:w="1701" w:type="dxa"/>
            <w:tcBorders>
              <w:top w:val="single" w:color="auto" w:sz="4" w:space="0"/>
              <w:left w:val="single" w:color="auto" w:sz="4" w:space="0"/>
              <w:bottom w:val="single" w:color="auto" w:sz="4" w:space="0"/>
              <w:right w:val="single" w:color="auto" w:sz="4" w:space="0"/>
            </w:tcBorders>
            <w:vAlign w:val="center"/>
          </w:tcPr>
          <w:p w14:paraId="27F83458">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7511BB19">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A4C750F">
            <w:pPr>
              <w:jc w:val="center"/>
              <w:rPr>
                <w:color w:val="auto"/>
                <w:szCs w:val="21"/>
              </w:rPr>
            </w:pPr>
            <w:r>
              <w:rPr>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739F1C8">
            <w:pPr>
              <w:jc w:val="center"/>
              <w:rPr>
                <w:rFonts w:hint="eastAsia" w:eastAsia="宋体"/>
                <w:color w:val="auto"/>
                <w:szCs w:val="21"/>
                <w:lang w:eastAsia="zh-CN"/>
              </w:rPr>
            </w:pPr>
            <w:r>
              <w:rPr>
                <w:rFonts w:hint="eastAsia"/>
                <w:color w:val="auto"/>
                <w:szCs w:val="21"/>
                <w:lang w:eastAsia="zh-CN"/>
              </w:rPr>
              <w:t>0.69875</w:t>
            </w:r>
          </w:p>
        </w:tc>
        <w:tc>
          <w:tcPr>
            <w:tcW w:w="1537" w:type="dxa"/>
            <w:tcBorders>
              <w:top w:val="single" w:color="auto" w:sz="4" w:space="0"/>
              <w:left w:val="single" w:color="auto" w:sz="4" w:space="0"/>
              <w:bottom w:val="single" w:color="auto" w:sz="4" w:space="0"/>
              <w:right w:val="single" w:color="auto" w:sz="4" w:space="0"/>
            </w:tcBorders>
            <w:vAlign w:val="center"/>
          </w:tcPr>
          <w:p w14:paraId="56CBF7BA">
            <w:pPr>
              <w:adjustRightInd w:val="0"/>
              <w:snapToGrid w:val="0"/>
              <w:jc w:val="center"/>
              <w:rPr>
                <w:color w:val="auto"/>
                <w:szCs w:val="21"/>
              </w:rPr>
            </w:pPr>
            <w:r>
              <w:rPr>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1B735B66">
            <w:pPr>
              <w:jc w:val="center"/>
              <w:rPr>
                <w:rFonts w:hint="eastAsia" w:eastAsia="宋体"/>
                <w:color w:val="auto"/>
                <w:szCs w:val="21"/>
                <w:lang w:eastAsia="zh-CN"/>
              </w:rPr>
            </w:pPr>
            <w:r>
              <w:rPr>
                <w:rFonts w:hint="eastAsia"/>
                <w:color w:val="auto"/>
                <w:szCs w:val="21"/>
                <w:lang w:eastAsia="zh-CN"/>
              </w:rPr>
              <w:t>0.69875</w:t>
            </w:r>
          </w:p>
        </w:tc>
        <w:tc>
          <w:tcPr>
            <w:tcW w:w="1591" w:type="dxa"/>
            <w:tcBorders>
              <w:top w:val="single" w:color="auto" w:sz="4" w:space="0"/>
              <w:left w:val="single" w:color="auto" w:sz="4" w:space="0"/>
              <w:bottom w:val="single" w:color="auto" w:sz="4" w:space="0"/>
              <w:right w:val="single" w:color="auto" w:sz="8" w:space="0"/>
            </w:tcBorders>
            <w:vAlign w:val="center"/>
          </w:tcPr>
          <w:p w14:paraId="272C697D">
            <w:pPr>
              <w:jc w:val="center"/>
              <w:rPr>
                <w:rFonts w:hint="eastAsia" w:eastAsia="宋体"/>
                <w:color w:val="auto"/>
                <w:szCs w:val="21"/>
                <w:lang w:eastAsia="zh-CN"/>
              </w:rPr>
            </w:pPr>
            <w:r>
              <w:rPr>
                <w:rFonts w:hint="eastAsia"/>
                <w:color w:val="auto"/>
                <w:szCs w:val="21"/>
              </w:rPr>
              <w:t>+</w:t>
            </w:r>
            <w:r>
              <w:rPr>
                <w:rFonts w:hint="eastAsia"/>
                <w:color w:val="auto"/>
                <w:szCs w:val="21"/>
                <w:lang w:eastAsia="zh-CN"/>
              </w:rPr>
              <w:t>0.69875</w:t>
            </w:r>
          </w:p>
        </w:tc>
      </w:tr>
      <w:tr w14:paraId="77821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1160BA7C">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2E3AD3E2">
            <w:pPr>
              <w:adjustRightInd w:val="0"/>
              <w:snapToGrid w:val="0"/>
              <w:jc w:val="center"/>
              <w:rPr>
                <w:color w:val="auto"/>
                <w:szCs w:val="21"/>
              </w:rPr>
            </w:pPr>
            <w:r>
              <w:rPr>
                <w:rFonts w:hint="eastAsia"/>
                <w:color w:val="auto"/>
                <w:szCs w:val="21"/>
              </w:rPr>
              <w:t>苯乙烯</w:t>
            </w:r>
          </w:p>
        </w:tc>
        <w:tc>
          <w:tcPr>
            <w:tcW w:w="1701" w:type="dxa"/>
            <w:tcBorders>
              <w:top w:val="single" w:color="auto" w:sz="4" w:space="0"/>
              <w:left w:val="single" w:color="auto" w:sz="4" w:space="0"/>
              <w:bottom w:val="single" w:color="auto" w:sz="4" w:space="0"/>
              <w:right w:val="single" w:color="auto" w:sz="4" w:space="0"/>
            </w:tcBorders>
            <w:vAlign w:val="center"/>
          </w:tcPr>
          <w:p w14:paraId="0FF38AE0">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DA20E02">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0B1AF758">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27341E94">
            <w:pPr>
              <w:jc w:val="center"/>
              <w:rPr>
                <w:color w:val="auto"/>
                <w:szCs w:val="21"/>
              </w:rPr>
            </w:pPr>
            <w:r>
              <w:rPr>
                <w:rFonts w:hint="eastAsia"/>
                <w:color w:val="auto"/>
                <w:szCs w:val="21"/>
              </w:rPr>
              <w:t>0.053</w:t>
            </w:r>
          </w:p>
        </w:tc>
        <w:tc>
          <w:tcPr>
            <w:tcW w:w="1537" w:type="dxa"/>
            <w:tcBorders>
              <w:top w:val="single" w:color="auto" w:sz="4" w:space="0"/>
              <w:left w:val="single" w:color="auto" w:sz="4" w:space="0"/>
              <w:bottom w:val="single" w:color="auto" w:sz="4" w:space="0"/>
              <w:right w:val="single" w:color="auto" w:sz="4" w:space="0"/>
            </w:tcBorders>
            <w:vAlign w:val="center"/>
          </w:tcPr>
          <w:p w14:paraId="49A98209">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10D6889">
            <w:pPr>
              <w:jc w:val="center"/>
              <w:rPr>
                <w:color w:val="auto"/>
                <w:szCs w:val="21"/>
              </w:rPr>
            </w:pPr>
            <w:r>
              <w:rPr>
                <w:rFonts w:hint="eastAsia"/>
                <w:color w:val="auto"/>
                <w:szCs w:val="21"/>
              </w:rPr>
              <w:t>0.053</w:t>
            </w:r>
          </w:p>
        </w:tc>
        <w:tc>
          <w:tcPr>
            <w:tcW w:w="1591" w:type="dxa"/>
            <w:tcBorders>
              <w:top w:val="single" w:color="auto" w:sz="4" w:space="0"/>
              <w:left w:val="single" w:color="auto" w:sz="4" w:space="0"/>
              <w:bottom w:val="single" w:color="auto" w:sz="4" w:space="0"/>
              <w:right w:val="single" w:color="auto" w:sz="8" w:space="0"/>
            </w:tcBorders>
            <w:vAlign w:val="center"/>
          </w:tcPr>
          <w:p w14:paraId="3F849FB6">
            <w:pPr>
              <w:jc w:val="center"/>
              <w:rPr>
                <w:color w:val="auto"/>
                <w:szCs w:val="21"/>
              </w:rPr>
            </w:pPr>
            <w:r>
              <w:rPr>
                <w:rFonts w:hint="eastAsia"/>
                <w:color w:val="auto"/>
                <w:szCs w:val="21"/>
              </w:rPr>
              <w:t>+0.053</w:t>
            </w:r>
          </w:p>
        </w:tc>
      </w:tr>
      <w:tr w14:paraId="7487D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627CC336">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1007957">
            <w:pPr>
              <w:adjustRightInd w:val="0"/>
              <w:snapToGrid w:val="0"/>
              <w:jc w:val="center"/>
              <w:rPr>
                <w:color w:val="auto"/>
                <w:szCs w:val="21"/>
              </w:rPr>
            </w:pPr>
            <w:r>
              <w:rPr>
                <w:rFonts w:hint="eastAsia"/>
                <w:color w:val="auto"/>
                <w:szCs w:val="21"/>
                <w:lang w:eastAsia="zh-CN"/>
              </w:rPr>
              <w:t>二、</w:t>
            </w:r>
            <w:r>
              <w:rPr>
                <w:rFonts w:hint="eastAsia"/>
                <w:color w:val="auto"/>
                <w:szCs w:val="21"/>
              </w:rPr>
              <w:t>甲苯</w:t>
            </w:r>
          </w:p>
        </w:tc>
        <w:tc>
          <w:tcPr>
            <w:tcW w:w="1701" w:type="dxa"/>
            <w:tcBorders>
              <w:top w:val="single" w:color="auto" w:sz="4" w:space="0"/>
              <w:left w:val="single" w:color="auto" w:sz="4" w:space="0"/>
              <w:bottom w:val="single" w:color="auto" w:sz="4" w:space="0"/>
              <w:right w:val="single" w:color="auto" w:sz="4" w:space="0"/>
            </w:tcBorders>
            <w:vAlign w:val="center"/>
          </w:tcPr>
          <w:p w14:paraId="13B67A4B">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3AAF8725">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4C565A5">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F7D48AD">
            <w:pPr>
              <w:jc w:val="center"/>
              <w:rPr>
                <w:color w:val="auto"/>
                <w:szCs w:val="21"/>
              </w:rPr>
            </w:pPr>
            <w:r>
              <w:rPr>
                <w:rFonts w:hint="eastAsia"/>
                <w:color w:val="auto"/>
                <w:szCs w:val="21"/>
              </w:rPr>
              <w:t>0.0087</w:t>
            </w:r>
          </w:p>
        </w:tc>
        <w:tc>
          <w:tcPr>
            <w:tcW w:w="1537" w:type="dxa"/>
            <w:tcBorders>
              <w:top w:val="single" w:color="auto" w:sz="4" w:space="0"/>
              <w:left w:val="single" w:color="auto" w:sz="4" w:space="0"/>
              <w:bottom w:val="single" w:color="auto" w:sz="4" w:space="0"/>
              <w:right w:val="single" w:color="auto" w:sz="4" w:space="0"/>
            </w:tcBorders>
            <w:vAlign w:val="center"/>
          </w:tcPr>
          <w:p w14:paraId="7E742797">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53A6078">
            <w:pPr>
              <w:jc w:val="center"/>
              <w:rPr>
                <w:color w:val="auto"/>
                <w:szCs w:val="21"/>
              </w:rPr>
            </w:pPr>
            <w:r>
              <w:rPr>
                <w:rFonts w:hint="eastAsia"/>
                <w:color w:val="auto"/>
                <w:szCs w:val="21"/>
              </w:rPr>
              <w:t>0.0087</w:t>
            </w:r>
          </w:p>
        </w:tc>
        <w:tc>
          <w:tcPr>
            <w:tcW w:w="1591" w:type="dxa"/>
            <w:tcBorders>
              <w:top w:val="single" w:color="auto" w:sz="4" w:space="0"/>
              <w:left w:val="single" w:color="auto" w:sz="4" w:space="0"/>
              <w:bottom w:val="single" w:color="auto" w:sz="4" w:space="0"/>
              <w:right w:val="single" w:color="auto" w:sz="8" w:space="0"/>
            </w:tcBorders>
            <w:vAlign w:val="center"/>
          </w:tcPr>
          <w:p w14:paraId="03F2A517">
            <w:pPr>
              <w:jc w:val="center"/>
              <w:rPr>
                <w:color w:val="auto"/>
                <w:szCs w:val="21"/>
              </w:rPr>
            </w:pPr>
            <w:r>
              <w:rPr>
                <w:rFonts w:hint="eastAsia"/>
                <w:color w:val="auto"/>
                <w:szCs w:val="21"/>
              </w:rPr>
              <w:t>+0.0087</w:t>
            </w:r>
          </w:p>
        </w:tc>
      </w:tr>
      <w:tr w14:paraId="7353B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181BFD70">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7C69B2D5">
            <w:pPr>
              <w:adjustRightInd w:val="0"/>
              <w:snapToGrid w:val="0"/>
              <w:jc w:val="center"/>
              <w:rPr>
                <w:color w:val="auto"/>
                <w:szCs w:val="21"/>
              </w:rPr>
            </w:pPr>
            <w:r>
              <w:rPr>
                <w:rFonts w:hint="eastAsia"/>
                <w:color w:val="auto"/>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64F7565C">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0437D49F">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DF37325">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4C2BB25">
            <w:pPr>
              <w:jc w:val="center"/>
              <w:rPr>
                <w:rFonts w:hint="eastAsia" w:eastAsia="宋体"/>
                <w:color w:val="auto"/>
                <w:szCs w:val="21"/>
                <w:lang w:eastAsia="zh-CN"/>
              </w:rPr>
            </w:pPr>
            <w:r>
              <w:rPr>
                <w:rFonts w:hint="eastAsia"/>
                <w:color w:val="auto"/>
                <w:szCs w:val="21"/>
                <w:lang w:eastAsia="zh-CN"/>
              </w:rPr>
              <w:t>1.1299</w:t>
            </w:r>
          </w:p>
        </w:tc>
        <w:tc>
          <w:tcPr>
            <w:tcW w:w="1537" w:type="dxa"/>
            <w:tcBorders>
              <w:top w:val="single" w:color="auto" w:sz="4" w:space="0"/>
              <w:left w:val="single" w:color="auto" w:sz="4" w:space="0"/>
              <w:bottom w:val="single" w:color="auto" w:sz="4" w:space="0"/>
              <w:right w:val="single" w:color="auto" w:sz="4" w:space="0"/>
            </w:tcBorders>
            <w:vAlign w:val="center"/>
          </w:tcPr>
          <w:p w14:paraId="5F899592">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08FB6042">
            <w:pPr>
              <w:jc w:val="center"/>
              <w:rPr>
                <w:rFonts w:hint="eastAsia" w:eastAsia="宋体"/>
                <w:color w:val="auto"/>
                <w:szCs w:val="21"/>
                <w:lang w:eastAsia="zh-CN"/>
              </w:rPr>
            </w:pPr>
            <w:r>
              <w:rPr>
                <w:rFonts w:hint="eastAsia"/>
                <w:color w:val="auto"/>
                <w:szCs w:val="21"/>
                <w:lang w:eastAsia="zh-CN"/>
              </w:rPr>
              <w:t>1.1299</w:t>
            </w:r>
          </w:p>
        </w:tc>
        <w:tc>
          <w:tcPr>
            <w:tcW w:w="1591" w:type="dxa"/>
            <w:tcBorders>
              <w:top w:val="single" w:color="auto" w:sz="4" w:space="0"/>
              <w:left w:val="single" w:color="auto" w:sz="4" w:space="0"/>
              <w:bottom w:val="single" w:color="auto" w:sz="4" w:space="0"/>
              <w:right w:val="single" w:color="auto" w:sz="8" w:space="0"/>
            </w:tcBorders>
            <w:vAlign w:val="center"/>
          </w:tcPr>
          <w:p w14:paraId="3E6D8863">
            <w:pPr>
              <w:jc w:val="center"/>
              <w:rPr>
                <w:rFonts w:hint="eastAsia" w:eastAsia="宋体"/>
                <w:color w:val="auto"/>
                <w:szCs w:val="21"/>
                <w:lang w:eastAsia="zh-CN"/>
              </w:rPr>
            </w:pPr>
            <w:r>
              <w:rPr>
                <w:rFonts w:hint="eastAsia"/>
                <w:color w:val="auto"/>
                <w:szCs w:val="21"/>
              </w:rPr>
              <w:t>+</w:t>
            </w:r>
            <w:r>
              <w:rPr>
                <w:rFonts w:hint="eastAsia"/>
                <w:color w:val="auto"/>
                <w:szCs w:val="21"/>
                <w:lang w:eastAsia="zh-CN"/>
              </w:rPr>
              <w:t>1.1299</w:t>
            </w:r>
          </w:p>
        </w:tc>
      </w:tr>
      <w:tr w14:paraId="303EA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53C23BB8">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398341CB">
            <w:pPr>
              <w:adjustRightInd w:val="0"/>
              <w:snapToGrid w:val="0"/>
              <w:jc w:val="center"/>
              <w:rPr>
                <w:color w:val="auto"/>
                <w:szCs w:val="21"/>
              </w:rPr>
            </w:pPr>
            <w:r>
              <w:rPr>
                <w:rFonts w:hint="eastAsia"/>
                <w:color w:val="auto"/>
                <w:szCs w:val="21"/>
              </w:rPr>
              <w:t>氮氧化物</w:t>
            </w:r>
          </w:p>
        </w:tc>
        <w:tc>
          <w:tcPr>
            <w:tcW w:w="1701" w:type="dxa"/>
            <w:tcBorders>
              <w:top w:val="single" w:color="auto" w:sz="4" w:space="0"/>
              <w:left w:val="single" w:color="auto" w:sz="4" w:space="0"/>
              <w:bottom w:val="single" w:color="auto" w:sz="4" w:space="0"/>
              <w:right w:val="single" w:color="auto" w:sz="4" w:space="0"/>
            </w:tcBorders>
            <w:vAlign w:val="center"/>
          </w:tcPr>
          <w:p w14:paraId="394F2A66">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7B93F1B">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26C745E">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52868C5">
            <w:pPr>
              <w:adjustRightInd w:val="0"/>
              <w:snapToGrid w:val="0"/>
              <w:jc w:val="center"/>
              <w:rPr>
                <w:color w:val="auto"/>
                <w:szCs w:val="21"/>
              </w:rPr>
            </w:pPr>
            <w:r>
              <w:rPr>
                <w:rFonts w:hint="eastAsia"/>
                <w:color w:val="auto"/>
                <w:szCs w:val="21"/>
              </w:rPr>
              <w:t>0.27489</w:t>
            </w:r>
          </w:p>
        </w:tc>
        <w:tc>
          <w:tcPr>
            <w:tcW w:w="1537" w:type="dxa"/>
            <w:tcBorders>
              <w:top w:val="single" w:color="auto" w:sz="4" w:space="0"/>
              <w:left w:val="single" w:color="auto" w:sz="4" w:space="0"/>
              <w:bottom w:val="single" w:color="auto" w:sz="4" w:space="0"/>
              <w:right w:val="single" w:color="auto" w:sz="4" w:space="0"/>
            </w:tcBorders>
            <w:vAlign w:val="center"/>
          </w:tcPr>
          <w:p w14:paraId="043D5195">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2135B319">
            <w:pPr>
              <w:adjustRightInd w:val="0"/>
              <w:snapToGrid w:val="0"/>
              <w:jc w:val="center"/>
              <w:rPr>
                <w:color w:val="auto"/>
                <w:szCs w:val="21"/>
              </w:rPr>
            </w:pPr>
            <w:r>
              <w:rPr>
                <w:rFonts w:hint="eastAsia"/>
                <w:color w:val="auto"/>
                <w:szCs w:val="21"/>
              </w:rPr>
              <w:t>0.27489</w:t>
            </w:r>
          </w:p>
        </w:tc>
        <w:tc>
          <w:tcPr>
            <w:tcW w:w="1591" w:type="dxa"/>
            <w:tcBorders>
              <w:top w:val="single" w:color="auto" w:sz="4" w:space="0"/>
              <w:left w:val="single" w:color="auto" w:sz="4" w:space="0"/>
              <w:bottom w:val="single" w:color="auto" w:sz="4" w:space="0"/>
              <w:right w:val="single" w:color="auto" w:sz="8" w:space="0"/>
            </w:tcBorders>
            <w:vAlign w:val="center"/>
          </w:tcPr>
          <w:p w14:paraId="7880517D">
            <w:pPr>
              <w:adjustRightInd w:val="0"/>
              <w:snapToGrid w:val="0"/>
              <w:jc w:val="center"/>
              <w:rPr>
                <w:color w:val="auto"/>
                <w:szCs w:val="21"/>
              </w:rPr>
            </w:pPr>
            <w:r>
              <w:rPr>
                <w:rFonts w:hint="eastAsia"/>
                <w:color w:val="auto"/>
                <w:szCs w:val="21"/>
              </w:rPr>
              <w:t>+0.27489</w:t>
            </w:r>
          </w:p>
        </w:tc>
      </w:tr>
      <w:tr w14:paraId="2CF14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bottom w:val="single" w:color="auto" w:sz="4" w:space="0"/>
              <w:right w:val="single" w:color="auto" w:sz="4" w:space="0"/>
            </w:tcBorders>
            <w:vAlign w:val="center"/>
          </w:tcPr>
          <w:p w14:paraId="6E59A77E">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27BE5BCF">
            <w:pPr>
              <w:adjustRightInd w:val="0"/>
              <w:snapToGrid w:val="0"/>
              <w:jc w:val="center"/>
              <w:rPr>
                <w:color w:val="auto"/>
                <w:szCs w:val="21"/>
              </w:rPr>
            </w:pPr>
            <w:r>
              <w:rPr>
                <w:rFonts w:hint="eastAsia"/>
                <w:color w:val="auto"/>
                <w:szCs w:val="21"/>
                <w:lang w:eastAsia="zh-CN"/>
              </w:rPr>
              <w:t>二、</w:t>
            </w:r>
            <w:r>
              <w:rPr>
                <w:rFonts w:hint="eastAsia"/>
                <w:color w:val="auto"/>
                <w:szCs w:val="21"/>
              </w:rPr>
              <w:t>氧化硫</w:t>
            </w:r>
          </w:p>
        </w:tc>
        <w:tc>
          <w:tcPr>
            <w:tcW w:w="1701" w:type="dxa"/>
            <w:tcBorders>
              <w:top w:val="single" w:color="auto" w:sz="4" w:space="0"/>
              <w:left w:val="single" w:color="auto" w:sz="4" w:space="0"/>
              <w:bottom w:val="single" w:color="auto" w:sz="4" w:space="0"/>
              <w:right w:val="single" w:color="auto" w:sz="4" w:space="0"/>
            </w:tcBorders>
            <w:vAlign w:val="center"/>
          </w:tcPr>
          <w:p w14:paraId="72F075DE">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358CA394">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FAC7A34">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B74B814">
            <w:pPr>
              <w:adjustRightInd w:val="0"/>
              <w:snapToGrid w:val="0"/>
              <w:jc w:val="center"/>
              <w:rPr>
                <w:color w:val="auto"/>
                <w:szCs w:val="21"/>
              </w:rPr>
            </w:pPr>
            <w:r>
              <w:rPr>
                <w:rFonts w:hint="eastAsia"/>
                <w:color w:val="auto"/>
                <w:szCs w:val="21"/>
              </w:rPr>
              <w:t>0.00588</w:t>
            </w:r>
          </w:p>
        </w:tc>
        <w:tc>
          <w:tcPr>
            <w:tcW w:w="1537" w:type="dxa"/>
            <w:tcBorders>
              <w:top w:val="single" w:color="auto" w:sz="4" w:space="0"/>
              <w:left w:val="single" w:color="auto" w:sz="4" w:space="0"/>
              <w:bottom w:val="single" w:color="auto" w:sz="4" w:space="0"/>
              <w:right w:val="single" w:color="auto" w:sz="4" w:space="0"/>
            </w:tcBorders>
            <w:vAlign w:val="center"/>
          </w:tcPr>
          <w:p w14:paraId="0758561A">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30496FDE">
            <w:pPr>
              <w:adjustRightInd w:val="0"/>
              <w:snapToGrid w:val="0"/>
              <w:jc w:val="center"/>
              <w:rPr>
                <w:color w:val="auto"/>
                <w:szCs w:val="21"/>
              </w:rPr>
            </w:pPr>
            <w:r>
              <w:rPr>
                <w:rFonts w:hint="eastAsia"/>
                <w:color w:val="auto"/>
                <w:szCs w:val="21"/>
              </w:rPr>
              <w:t>0.00588</w:t>
            </w:r>
          </w:p>
        </w:tc>
        <w:tc>
          <w:tcPr>
            <w:tcW w:w="1591" w:type="dxa"/>
            <w:tcBorders>
              <w:top w:val="single" w:color="auto" w:sz="4" w:space="0"/>
              <w:left w:val="single" w:color="auto" w:sz="4" w:space="0"/>
              <w:bottom w:val="single" w:color="auto" w:sz="4" w:space="0"/>
              <w:right w:val="single" w:color="auto" w:sz="8" w:space="0"/>
            </w:tcBorders>
            <w:vAlign w:val="center"/>
          </w:tcPr>
          <w:p w14:paraId="43D4B2C9">
            <w:pPr>
              <w:adjustRightInd w:val="0"/>
              <w:snapToGrid w:val="0"/>
              <w:jc w:val="center"/>
              <w:rPr>
                <w:color w:val="auto"/>
                <w:szCs w:val="21"/>
              </w:rPr>
            </w:pPr>
            <w:r>
              <w:rPr>
                <w:rFonts w:hint="eastAsia"/>
                <w:color w:val="auto"/>
                <w:szCs w:val="21"/>
              </w:rPr>
              <w:t>+0.00588</w:t>
            </w:r>
          </w:p>
        </w:tc>
      </w:tr>
      <w:tr w14:paraId="132AE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bottom w:val="single" w:color="auto" w:sz="4" w:space="0"/>
              <w:right w:val="single" w:color="auto" w:sz="4" w:space="0"/>
            </w:tcBorders>
            <w:vAlign w:val="center"/>
          </w:tcPr>
          <w:p w14:paraId="75964568">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废水</w:t>
            </w:r>
          </w:p>
        </w:tc>
        <w:tc>
          <w:tcPr>
            <w:tcW w:w="1581" w:type="dxa"/>
            <w:vAlign w:val="center"/>
          </w:tcPr>
          <w:p w14:paraId="4B99AD79">
            <w:pPr>
              <w:autoSpaceDE w:val="0"/>
              <w:autoSpaceDN w:val="0"/>
              <w:adjustRightInd w:val="0"/>
              <w:jc w:val="center"/>
              <w:rPr>
                <w:color w:val="auto"/>
                <w:szCs w:val="21"/>
              </w:rPr>
            </w:pPr>
            <w:r>
              <w:rPr>
                <w:color w:val="auto"/>
                <w:szCs w:val="21"/>
              </w:rPr>
              <w:t>废水</w:t>
            </w:r>
            <w:r>
              <w:rPr>
                <w:rFonts w:hint="eastAsia"/>
                <w:color w:val="auto"/>
                <w:szCs w:val="21"/>
              </w:rPr>
              <w:t>总</w:t>
            </w:r>
            <w:r>
              <w:rPr>
                <w:color w:val="auto"/>
                <w:szCs w:val="21"/>
              </w:rPr>
              <w:t>量</w:t>
            </w:r>
          </w:p>
        </w:tc>
        <w:tc>
          <w:tcPr>
            <w:tcW w:w="1701" w:type="dxa"/>
            <w:vAlign w:val="center"/>
          </w:tcPr>
          <w:p w14:paraId="33C78A49">
            <w:pPr>
              <w:adjustRightInd w:val="0"/>
              <w:snapToGrid w:val="0"/>
              <w:jc w:val="center"/>
              <w:rPr>
                <w:color w:val="auto"/>
                <w:szCs w:val="21"/>
              </w:rPr>
            </w:pPr>
            <w:r>
              <w:rPr>
                <w:color w:val="auto"/>
                <w:szCs w:val="21"/>
              </w:rPr>
              <w:t>/</w:t>
            </w:r>
          </w:p>
        </w:tc>
        <w:tc>
          <w:tcPr>
            <w:tcW w:w="1276" w:type="dxa"/>
            <w:vAlign w:val="center"/>
          </w:tcPr>
          <w:p w14:paraId="57585453">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E17C8B4">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CEF1B89">
            <w:pPr>
              <w:adjustRightInd w:val="0"/>
              <w:snapToGrid w:val="0"/>
              <w:jc w:val="center"/>
              <w:rPr>
                <w:color w:val="auto"/>
                <w:szCs w:val="21"/>
              </w:rPr>
            </w:pPr>
            <w:r>
              <w:rPr>
                <w:rFonts w:hint="eastAsia"/>
                <w:color w:val="auto"/>
                <w:szCs w:val="21"/>
              </w:rPr>
              <w:t>12015</w:t>
            </w:r>
          </w:p>
        </w:tc>
        <w:tc>
          <w:tcPr>
            <w:tcW w:w="1537" w:type="dxa"/>
            <w:tcBorders>
              <w:top w:val="single" w:color="auto" w:sz="4" w:space="0"/>
              <w:left w:val="single" w:color="auto" w:sz="4" w:space="0"/>
              <w:bottom w:val="single" w:color="auto" w:sz="4" w:space="0"/>
              <w:right w:val="single" w:color="auto" w:sz="4" w:space="0"/>
            </w:tcBorders>
            <w:vAlign w:val="center"/>
          </w:tcPr>
          <w:p w14:paraId="3CB9B7BF">
            <w:pPr>
              <w:adjustRightInd w:val="0"/>
              <w:snapToGrid w:val="0"/>
              <w:jc w:val="center"/>
              <w:rPr>
                <w:color w:val="auto"/>
                <w:szCs w:val="21"/>
              </w:rPr>
            </w:pPr>
            <w:r>
              <w:rPr>
                <w:rFonts w:hint="eastAsia"/>
                <w:color w:val="auto"/>
                <w:szCs w:val="21"/>
              </w:rPr>
              <w:t>/</w:t>
            </w:r>
          </w:p>
        </w:tc>
        <w:tc>
          <w:tcPr>
            <w:tcW w:w="1418" w:type="dxa"/>
            <w:vAlign w:val="center"/>
          </w:tcPr>
          <w:p w14:paraId="391F94A6">
            <w:pPr>
              <w:adjustRightInd w:val="0"/>
              <w:snapToGrid w:val="0"/>
              <w:jc w:val="center"/>
              <w:rPr>
                <w:color w:val="auto"/>
                <w:szCs w:val="21"/>
              </w:rPr>
            </w:pPr>
            <w:r>
              <w:rPr>
                <w:rFonts w:hint="eastAsia"/>
                <w:color w:val="auto"/>
                <w:szCs w:val="21"/>
              </w:rPr>
              <w:t>12015</w:t>
            </w:r>
          </w:p>
        </w:tc>
        <w:tc>
          <w:tcPr>
            <w:tcW w:w="1591" w:type="dxa"/>
            <w:vAlign w:val="center"/>
          </w:tcPr>
          <w:p w14:paraId="66924AD1">
            <w:pPr>
              <w:adjustRightInd w:val="0"/>
              <w:snapToGrid w:val="0"/>
              <w:jc w:val="center"/>
              <w:rPr>
                <w:color w:val="auto"/>
                <w:szCs w:val="21"/>
              </w:rPr>
            </w:pPr>
            <w:r>
              <w:rPr>
                <w:rFonts w:hint="eastAsia"/>
                <w:color w:val="auto"/>
                <w:szCs w:val="21"/>
              </w:rPr>
              <w:t>+12015</w:t>
            </w:r>
          </w:p>
        </w:tc>
      </w:tr>
      <w:tr w14:paraId="359F7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08416D0E">
            <w:pPr>
              <w:pStyle w:val="198"/>
              <w:spacing w:beforeLines="0" w:afterLines="0" w:line="240" w:lineRule="auto"/>
              <w:rPr>
                <w:rFonts w:ascii="Times New Roman"/>
                <w:snapToGrid w:val="0"/>
                <w:color w:val="auto"/>
                <w:kern w:val="21"/>
                <w:szCs w:val="21"/>
              </w:rPr>
            </w:pPr>
          </w:p>
        </w:tc>
        <w:tc>
          <w:tcPr>
            <w:tcW w:w="1581" w:type="dxa"/>
            <w:vAlign w:val="center"/>
          </w:tcPr>
          <w:p w14:paraId="5E733328">
            <w:pPr>
              <w:autoSpaceDE w:val="0"/>
              <w:autoSpaceDN w:val="0"/>
              <w:adjustRightInd w:val="0"/>
              <w:jc w:val="center"/>
              <w:rPr>
                <w:color w:val="auto"/>
                <w:szCs w:val="21"/>
              </w:rPr>
            </w:pPr>
            <w:r>
              <w:rPr>
                <w:color w:val="auto"/>
                <w:szCs w:val="21"/>
              </w:rPr>
              <w:t>COD</w:t>
            </w:r>
          </w:p>
        </w:tc>
        <w:tc>
          <w:tcPr>
            <w:tcW w:w="1701" w:type="dxa"/>
            <w:vAlign w:val="center"/>
          </w:tcPr>
          <w:p w14:paraId="2F759ACA">
            <w:pPr>
              <w:adjustRightInd w:val="0"/>
              <w:snapToGrid w:val="0"/>
              <w:jc w:val="center"/>
              <w:rPr>
                <w:color w:val="auto"/>
                <w:szCs w:val="21"/>
              </w:rPr>
            </w:pPr>
            <w:r>
              <w:rPr>
                <w:color w:val="auto"/>
                <w:szCs w:val="21"/>
              </w:rPr>
              <w:t>/</w:t>
            </w:r>
          </w:p>
        </w:tc>
        <w:tc>
          <w:tcPr>
            <w:tcW w:w="1276" w:type="dxa"/>
            <w:vAlign w:val="center"/>
          </w:tcPr>
          <w:p w14:paraId="3BCAC092">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4A593C89">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77ABCB9">
            <w:pPr>
              <w:adjustRightInd w:val="0"/>
              <w:snapToGrid w:val="0"/>
              <w:jc w:val="center"/>
              <w:rPr>
                <w:color w:val="auto"/>
                <w:szCs w:val="21"/>
              </w:rPr>
            </w:pPr>
            <w:r>
              <w:rPr>
                <w:rFonts w:hint="eastAsia"/>
                <w:color w:val="auto"/>
                <w:szCs w:val="21"/>
              </w:rPr>
              <w:t>3.0152</w:t>
            </w:r>
          </w:p>
        </w:tc>
        <w:tc>
          <w:tcPr>
            <w:tcW w:w="1537" w:type="dxa"/>
            <w:tcBorders>
              <w:top w:val="single" w:color="auto" w:sz="4" w:space="0"/>
              <w:left w:val="single" w:color="auto" w:sz="4" w:space="0"/>
              <w:bottom w:val="single" w:color="auto" w:sz="4" w:space="0"/>
              <w:right w:val="single" w:color="auto" w:sz="4" w:space="0"/>
            </w:tcBorders>
            <w:vAlign w:val="center"/>
          </w:tcPr>
          <w:p w14:paraId="0D15E5A9">
            <w:pPr>
              <w:adjustRightInd w:val="0"/>
              <w:snapToGrid w:val="0"/>
              <w:jc w:val="center"/>
              <w:rPr>
                <w:color w:val="auto"/>
                <w:szCs w:val="21"/>
              </w:rPr>
            </w:pPr>
            <w:r>
              <w:rPr>
                <w:rFonts w:hint="eastAsia"/>
                <w:color w:val="auto"/>
                <w:szCs w:val="21"/>
              </w:rPr>
              <w:t>/</w:t>
            </w:r>
          </w:p>
        </w:tc>
        <w:tc>
          <w:tcPr>
            <w:tcW w:w="1418" w:type="dxa"/>
            <w:vAlign w:val="center"/>
          </w:tcPr>
          <w:p w14:paraId="1584D63C">
            <w:pPr>
              <w:adjustRightInd w:val="0"/>
              <w:snapToGrid w:val="0"/>
              <w:jc w:val="center"/>
              <w:rPr>
                <w:color w:val="auto"/>
                <w:szCs w:val="21"/>
              </w:rPr>
            </w:pPr>
            <w:r>
              <w:rPr>
                <w:rFonts w:hint="eastAsia"/>
                <w:color w:val="auto"/>
                <w:szCs w:val="21"/>
              </w:rPr>
              <w:t>3.0152</w:t>
            </w:r>
          </w:p>
        </w:tc>
        <w:tc>
          <w:tcPr>
            <w:tcW w:w="1591" w:type="dxa"/>
            <w:vAlign w:val="center"/>
          </w:tcPr>
          <w:p w14:paraId="060EC1DD">
            <w:pPr>
              <w:adjustRightInd w:val="0"/>
              <w:snapToGrid w:val="0"/>
              <w:jc w:val="center"/>
              <w:rPr>
                <w:color w:val="auto"/>
                <w:szCs w:val="21"/>
              </w:rPr>
            </w:pPr>
            <w:r>
              <w:rPr>
                <w:rFonts w:hint="eastAsia"/>
                <w:color w:val="auto"/>
                <w:szCs w:val="21"/>
              </w:rPr>
              <w:t>+3.0152</w:t>
            </w:r>
          </w:p>
        </w:tc>
      </w:tr>
      <w:tr w14:paraId="7D2A7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49214917">
            <w:pPr>
              <w:pStyle w:val="198"/>
              <w:spacing w:beforeLines="0" w:afterLines="0" w:line="240" w:lineRule="auto"/>
              <w:rPr>
                <w:rFonts w:ascii="Times New Roman"/>
                <w:snapToGrid w:val="0"/>
                <w:color w:val="auto"/>
                <w:kern w:val="21"/>
                <w:szCs w:val="21"/>
              </w:rPr>
            </w:pPr>
          </w:p>
        </w:tc>
        <w:tc>
          <w:tcPr>
            <w:tcW w:w="1581" w:type="dxa"/>
            <w:vAlign w:val="center"/>
          </w:tcPr>
          <w:p w14:paraId="280E4D1A">
            <w:pPr>
              <w:autoSpaceDE w:val="0"/>
              <w:autoSpaceDN w:val="0"/>
              <w:adjustRightInd w:val="0"/>
              <w:jc w:val="center"/>
              <w:rPr>
                <w:color w:val="auto"/>
                <w:szCs w:val="21"/>
              </w:rPr>
            </w:pPr>
            <w:r>
              <w:rPr>
                <w:color w:val="auto"/>
                <w:szCs w:val="21"/>
              </w:rPr>
              <w:t>SS</w:t>
            </w:r>
          </w:p>
        </w:tc>
        <w:tc>
          <w:tcPr>
            <w:tcW w:w="1701" w:type="dxa"/>
            <w:vAlign w:val="center"/>
          </w:tcPr>
          <w:p w14:paraId="3A814D4F">
            <w:pPr>
              <w:jc w:val="center"/>
              <w:rPr>
                <w:snapToGrid w:val="0"/>
                <w:color w:val="auto"/>
                <w:kern w:val="21"/>
                <w:szCs w:val="21"/>
              </w:rPr>
            </w:pPr>
            <w:r>
              <w:rPr>
                <w:color w:val="auto"/>
                <w:szCs w:val="21"/>
              </w:rPr>
              <w:t>/</w:t>
            </w:r>
          </w:p>
        </w:tc>
        <w:tc>
          <w:tcPr>
            <w:tcW w:w="1276" w:type="dxa"/>
            <w:vAlign w:val="center"/>
          </w:tcPr>
          <w:p w14:paraId="7004B3D4">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37032DD6">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4897F3A">
            <w:pPr>
              <w:adjustRightInd w:val="0"/>
              <w:snapToGrid w:val="0"/>
              <w:jc w:val="center"/>
              <w:rPr>
                <w:color w:val="auto"/>
                <w:szCs w:val="21"/>
              </w:rPr>
            </w:pPr>
            <w:r>
              <w:rPr>
                <w:rFonts w:hint="eastAsia"/>
                <w:color w:val="auto"/>
                <w:szCs w:val="21"/>
              </w:rPr>
              <w:t>1.3284</w:t>
            </w:r>
          </w:p>
        </w:tc>
        <w:tc>
          <w:tcPr>
            <w:tcW w:w="1537" w:type="dxa"/>
            <w:tcBorders>
              <w:top w:val="single" w:color="auto" w:sz="4" w:space="0"/>
              <w:left w:val="single" w:color="auto" w:sz="4" w:space="0"/>
              <w:bottom w:val="single" w:color="auto" w:sz="4" w:space="0"/>
              <w:right w:val="single" w:color="auto" w:sz="4" w:space="0"/>
            </w:tcBorders>
            <w:vAlign w:val="center"/>
          </w:tcPr>
          <w:p w14:paraId="2E1143BB">
            <w:pPr>
              <w:adjustRightInd w:val="0"/>
              <w:snapToGrid w:val="0"/>
              <w:jc w:val="center"/>
              <w:rPr>
                <w:color w:val="auto"/>
                <w:szCs w:val="21"/>
              </w:rPr>
            </w:pPr>
            <w:r>
              <w:rPr>
                <w:rFonts w:hint="eastAsia"/>
                <w:color w:val="auto"/>
                <w:szCs w:val="21"/>
              </w:rPr>
              <w:t>/</w:t>
            </w:r>
          </w:p>
        </w:tc>
        <w:tc>
          <w:tcPr>
            <w:tcW w:w="1418" w:type="dxa"/>
            <w:vAlign w:val="center"/>
          </w:tcPr>
          <w:p w14:paraId="2D3FAC4E">
            <w:pPr>
              <w:adjustRightInd w:val="0"/>
              <w:snapToGrid w:val="0"/>
              <w:jc w:val="center"/>
              <w:rPr>
                <w:color w:val="auto"/>
                <w:szCs w:val="21"/>
              </w:rPr>
            </w:pPr>
            <w:r>
              <w:rPr>
                <w:rFonts w:hint="eastAsia"/>
                <w:color w:val="auto"/>
                <w:szCs w:val="21"/>
              </w:rPr>
              <w:t>1.3284</w:t>
            </w:r>
          </w:p>
        </w:tc>
        <w:tc>
          <w:tcPr>
            <w:tcW w:w="1591" w:type="dxa"/>
            <w:vAlign w:val="center"/>
          </w:tcPr>
          <w:p w14:paraId="3993A0C8">
            <w:pPr>
              <w:adjustRightInd w:val="0"/>
              <w:snapToGrid w:val="0"/>
              <w:jc w:val="center"/>
              <w:rPr>
                <w:color w:val="auto"/>
                <w:szCs w:val="21"/>
              </w:rPr>
            </w:pPr>
            <w:r>
              <w:rPr>
                <w:rFonts w:hint="eastAsia"/>
                <w:color w:val="auto"/>
                <w:szCs w:val="21"/>
              </w:rPr>
              <w:t>+1.3284</w:t>
            </w:r>
          </w:p>
        </w:tc>
      </w:tr>
      <w:tr w14:paraId="5D8CD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760B418D">
            <w:pPr>
              <w:pStyle w:val="198"/>
              <w:spacing w:beforeLines="0" w:afterLines="0" w:line="240" w:lineRule="auto"/>
              <w:rPr>
                <w:rFonts w:ascii="Times New Roman"/>
                <w:snapToGrid w:val="0"/>
                <w:color w:val="auto"/>
                <w:kern w:val="21"/>
                <w:szCs w:val="21"/>
              </w:rPr>
            </w:pPr>
          </w:p>
        </w:tc>
        <w:tc>
          <w:tcPr>
            <w:tcW w:w="1581" w:type="dxa"/>
            <w:vAlign w:val="center"/>
          </w:tcPr>
          <w:p w14:paraId="576C2BDA">
            <w:pPr>
              <w:autoSpaceDE w:val="0"/>
              <w:autoSpaceDN w:val="0"/>
              <w:adjustRightInd w:val="0"/>
              <w:jc w:val="center"/>
              <w:rPr>
                <w:color w:val="auto"/>
                <w:szCs w:val="21"/>
              </w:rPr>
            </w:pPr>
            <w:r>
              <w:rPr>
                <w:color w:val="auto"/>
                <w:szCs w:val="21"/>
              </w:rPr>
              <w:t>TP</w:t>
            </w:r>
          </w:p>
        </w:tc>
        <w:tc>
          <w:tcPr>
            <w:tcW w:w="1701" w:type="dxa"/>
            <w:vAlign w:val="center"/>
          </w:tcPr>
          <w:p w14:paraId="3A7F6BC5">
            <w:pPr>
              <w:jc w:val="center"/>
              <w:rPr>
                <w:snapToGrid w:val="0"/>
                <w:color w:val="auto"/>
                <w:kern w:val="21"/>
                <w:szCs w:val="21"/>
              </w:rPr>
            </w:pPr>
            <w:r>
              <w:rPr>
                <w:color w:val="auto"/>
                <w:szCs w:val="21"/>
              </w:rPr>
              <w:t>/</w:t>
            </w:r>
          </w:p>
        </w:tc>
        <w:tc>
          <w:tcPr>
            <w:tcW w:w="1276" w:type="dxa"/>
            <w:vAlign w:val="center"/>
          </w:tcPr>
          <w:p w14:paraId="45DE64CA">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C579FE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364423A">
            <w:pPr>
              <w:adjustRightInd w:val="0"/>
              <w:snapToGrid w:val="0"/>
              <w:jc w:val="center"/>
              <w:rPr>
                <w:color w:val="auto"/>
                <w:szCs w:val="21"/>
              </w:rPr>
            </w:pPr>
            <w:r>
              <w:rPr>
                <w:rFonts w:hint="eastAsia"/>
                <w:color w:val="auto"/>
                <w:szCs w:val="21"/>
              </w:rPr>
              <w:t>0.0322</w:t>
            </w:r>
          </w:p>
        </w:tc>
        <w:tc>
          <w:tcPr>
            <w:tcW w:w="1537" w:type="dxa"/>
            <w:tcBorders>
              <w:top w:val="single" w:color="auto" w:sz="4" w:space="0"/>
              <w:left w:val="single" w:color="auto" w:sz="4" w:space="0"/>
              <w:bottom w:val="single" w:color="auto" w:sz="4" w:space="0"/>
              <w:right w:val="single" w:color="auto" w:sz="4" w:space="0"/>
            </w:tcBorders>
            <w:vAlign w:val="center"/>
          </w:tcPr>
          <w:p w14:paraId="766785C2">
            <w:pPr>
              <w:adjustRightInd w:val="0"/>
              <w:snapToGrid w:val="0"/>
              <w:jc w:val="center"/>
              <w:rPr>
                <w:color w:val="auto"/>
                <w:szCs w:val="21"/>
              </w:rPr>
            </w:pPr>
            <w:r>
              <w:rPr>
                <w:rFonts w:hint="eastAsia"/>
                <w:color w:val="auto"/>
                <w:szCs w:val="21"/>
              </w:rPr>
              <w:t>/</w:t>
            </w:r>
          </w:p>
        </w:tc>
        <w:tc>
          <w:tcPr>
            <w:tcW w:w="1418" w:type="dxa"/>
            <w:vAlign w:val="center"/>
          </w:tcPr>
          <w:p w14:paraId="69BAB56A">
            <w:pPr>
              <w:adjustRightInd w:val="0"/>
              <w:snapToGrid w:val="0"/>
              <w:jc w:val="center"/>
              <w:rPr>
                <w:color w:val="auto"/>
                <w:szCs w:val="21"/>
              </w:rPr>
            </w:pPr>
            <w:r>
              <w:rPr>
                <w:rFonts w:hint="eastAsia"/>
                <w:color w:val="auto"/>
                <w:szCs w:val="21"/>
              </w:rPr>
              <w:t>0.0322</w:t>
            </w:r>
          </w:p>
        </w:tc>
        <w:tc>
          <w:tcPr>
            <w:tcW w:w="1591" w:type="dxa"/>
            <w:vAlign w:val="center"/>
          </w:tcPr>
          <w:p w14:paraId="3F9C1E0A">
            <w:pPr>
              <w:adjustRightInd w:val="0"/>
              <w:snapToGrid w:val="0"/>
              <w:jc w:val="center"/>
              <w:rPr>
                <w:color w:val="auto"/>
                <w:szCs w:val="21"/>
              </w:rPr>
            </w:pPr>
            <w:r>
              <w:rPr>
                <w:rFonts w:hint="eastAsia"/>
                <w:color w:val="auto"/>
                <w:szCs w:val="21"/>
              </w:rPr>
              <w:t>+0.0322</w:t>
            </w:r>
          </w:p>
        </w:tc>
      </w:tr>
      <w:tr w14:paraId="13F7F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440BA8C2">
            <w:pPr>
              <w:pStyle w:val="198"/>
              <w:spacing w:beforeLines="0" w:afterLines="0" w:line="240" w:lineRule="auto"/>
              <w:rPr>
                <w:rFonts w:ascii="Times New Roman"/>
                <w:snapToGrid w:val="0"/>
                <w:color w:val="auto"/>
                <w:kern w:val="21"/>
                <w:szCs w:val="21"/>
              </w:rPr>
            </w:pPr>
          </w:p>
        </w:tc>
        <w:tc>
          <w:tcPr>
            <w:tcW w:w="1581" w:type="dxa"/>
            <w:vAlign w:val="center"/>
          </w:tcPr>
          <w:p w14:paraId="03CBF5F7">
            <w:pPr>
              <w:autoSpaceDE w:val="0"/>
              <w:autoSpaceDN w:val="0"/>
              <w:adjustRightInd w:val="0"/>
              <w:jc w:val="center"/>
              <w:rPr>
                <w:color w:val="auto"/>
                <w:szCs w:val="21"/>
              </w:rPr>
            </w:pPr>
            <w:r>
              <w:rPr>
                <w:rFonts w:hint="eastAsia"/>
                <w:color w:val="auto"/>
                <w:szCs w:val="21"/>
              </w:rPr>
              <w:t>石油类</w:t>
            </w:r>
          </w:p>
        </w:tc>
        <w:tc>
          <w:tcPr>
            <w:tcW w:w="1701" w:type="dxa"/>
            <w:vAlign w:val="center"/>
          </w:tcPr>
          <w:p w14:paraId="2BB8B386">
            <w:pPr>
              <w:jc w:val="center"/>
              <w:rPr>
                <w:snapToGrid w:val="0"/>
                <w:color w:val="auto"/>
                <w:kern w:val="21"/>
                <w:szCs w:val="21"/>
              </w:rPr>
            </w:pPr>
            <w:r>
              <w:rPr>
                <w:color w:val="auto"/>
                <w:szCs w:val="21"/>
              </w:rPr>
              <w:t>/</w:t>
            </w:r>
          </w:p>
        </w:tc>
        <w:tc>
          <w:tcPr>
            <w:tcW w:w="1276" w:type="dxa"/>
            <w:vAlign w:val="center"/>
          </w:tcPr>
          <w:p w14:paraId="79FADB23">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CFA7524">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A00A305">
            <w:pPr>
              <w:adjustRightInd w:val="0"/>
              <w:snapToGrid w:val="0"/>
              <w:jc w:val="center"/>
              <w:rPr>
                <w:color w:val="auto"/>
                <w:szCs w:val="21"/>
              </w:rPr>
            </w:pPr>
            <w:r>
              <w:rPr>
                <w:rFonts w:hint="eastAsia"/>
                <w:color w:val="auto"/>
                <w:szCs w:val="21"/>
              </w:rPr>
              <w:t>0.1269</w:t>
            </w:r>
          </w:p>
        </w:tc>
        <w:tc>
          <w:tcPr>
            <w:tcW w:w="1537" w:type="dxa"/>
            <w:tcBorders>
              <w:top w:val="single" w:color="auto" w:sz="4" w:space="0"/>
              <w:left w:val="single" w:color="auto" w:sz="4" w:space="0"/>
              <w:bottom w:val="single" w:color="auto" w:sz="4" w:space="0"/>
              <w:right w:val="single" w:color="auto" w:sz="4" w:space="0"/>
            </w:tcBorders>
            <w:vAlign w:val="center"/>
          </w:tcPr>
          <w:p w14:paraId="58E64E2F">
            <w:pPr>
              <w:adjustRightInd w:val="0"/>
              <w:snapToGrid w:val="0"/>
              <w:jc w:val="center"/>
              <w:rPr>
                <w:color w:val="auto"/>
                <w:szCs w:val="21"/>
              </w:rPr>
            </w:pPr>
            <w:r>
              <w:rPr>
                <w:rFonts w:hint="eastAsia"/>
                <w:color w:val="auto"/>
                <w:szCs w:val="21"/>
              </w:rPr>
              <w:t>/</w:t>
            </w:r>
          </w:p>
        </w:tc>
        <w:tc>
          <w:tcPr>
            <w:tcW w:w="1418" w:type="dxa"/>
            <w:vAlign w:val="center"/>
          </w:tcPr>
          <w:p w14:paraId="0BE88245">
            <w:pPr>
              <w:adjustRightInd w:val="0"/>
              <w:snapToGrid w:val="0"/>
              <w:jc w:val="center"/>
              <w:rPr>
                <w:color w:val="auto"/>
                <w:szCs w:val="21"/>
              </w:rPr>
            </w:pPr>
            <w:r>
              <w:rPr>
                <w:rFonts w:hint="eastAsia"/>
                <w:color w:val="auto"/>
                <w:szCs w:val="21"/>
              </w:rPr>
              <w:t>0.1269</w:t>
            </w:r>
          </w:p>
        </w:tc>
        <w:tc>
          <w:tcPr>
            <w:tcW w:w="1591" w:type="dxa"/>
            <w:vAlign w:val="center"/>
          </w:tcPr>
          <w:p w14:paraId="4CB65EA8">
            <w:pPr>
              <w:adjustRightInd w:val="0"/>
              <w:snapToGrid w:val="0"/>
              <w:jc w:val="center"/>
              <w:rPr>
                <w:color w:val="auto"/>
                <w:szCs w:val="21"/>
              </w:rPr>
            </w:pPr>
            <w:r>
              <w:rPr>
                <w:rFonts w:hint="eastAsia"/>
                <w:color w:val="auto"/>
                <w:szCs w:val="21"/>
              </w:rPr>
              <w:t>+0.1269</w:t>
            </w:r>
          </w:p>
        </w:tc>
      </w:tr>
      <w:tr w14:paraId="41833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1F3C0797">
            <w:pPr>
              <w:pStyle w:val="198"/>
              <w:spacing w:beforeLines="0" w:afterLines="0" w:line="240" w:lineRule="auto"/>
              <w:rPr>
                <w:rFonts w:ascii="Times New Roman"/>
                <w:snapToGrid w:val="0"/>
                <w:color w:val="auto"/>
                <w:kern w:val="21"/>
                <w:szCs w:val="21"/>
              </w:rPr>
            </w:pPr>
          </w:p>
        </w:tc>
        <w:tc>
          <w:tcPr>
            <w:tcW w:w="1581" w:type="dxa"/>
            <w:vAlign w:val="center"/>
          </w:tcPr>
          <w:p w14:paraId="484641A6">
            <w:pPr>
              <w:autoSpaceDE w:val="0"/>
              <w:autoSpaceDN w:val="0"/>
              <w:adjustRightInd w:val="0"/>
              <w:jc w:val="center"/>
              <w:rPr>
                <w:color w:val="auto"/>
                <w:szCs w:val="21"/>
              </w:rPr>
            </w:pPr>
            <w:r>
              <w:rPr>
                <w:rFonts w:hint="eastAsia"/>
                <w:color w:val="auto"/>
                <w:kern w:val="0"/>
                <w:szCs w:val="21"/>
                <w:lang w:bidi="ar"/>
              </w:rPr>
              <w:t>LAS</w:t>
            </w:r>
          </w:p>
        </w:tc>
        <w:tc>
          <w:tcPr>
            <w:tcW w:w="1701" w:type="dxa"/>
            <w:vAlign w:val="center"/>
          </w:tcPr>
          <w:p w14:paraId="14018106">
            <w:pPr>
              <w:jc w:val="center"/>
              <w:rPr>
                <w:color w:val="auto"/>
                <w:szCs w:val="21"/>
              </w:rPr>
            </w:pPr>
            <w:r>
              <w:rPr>
                <w:rFonts w:hint="eastAsia"/>
                <w:color w:val="auto"/>
                <w:szCs w:val="21"/>
              </w:rPr>
              <w:t>/</w:t>
            </w:r>
          </w:p>
        </w:tc>
        <w:tc>
          <w:tcPr>
            <w:tcW w:w="1276" w:type="dxa"/>
            <w:vAlign w:val="center"/>
          </w:tcPr>
          <w:p w14:paraId="4817E1E3">
            <w:pPr>
              <w:jc w:val="center"/>
              <w:rPr>
                <w:snapToGrid w:val="0"/>
                <w:color w:val="auto"/>
                <w:kern w:val="21"/>
                <w:szCs w:val="21"/>
              </w:rPr>
            </w:pPr>
            <w:r>
              <w:rPr>
                <w:rFonts w:hint="eastAsia"/>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C5B1B86">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772AF51">
            <w:pPr>
              <w:adjustRightInd w:val="0"/>
              <w:snapToGrid w:val="0"/>
              <w:jc w:val="center"/>
              <w:rPr>
                <w:color w:val="auto"/>
                <w:szCs w:val="21"/>
              </w:rPr>
            </w:pPr>
            <w:r>
              <w:rPr>
                <w:rFonts w:hint="eastAsia"/>
                <w:color w:val="auto"/>
                <w:szCs w:val="21"/>
              </w:rPr>
              <w:t>0.0952</w:t>
            </w:r>
          </w:p>
        </w:tc>
        <w:tc>
          <w:tcPr>
            <w:tcW w:w="1537" w:type="dxa"/>
            <w:tcBorders>
              <w:top w:val="single" w:color="auto" w:sz="4" w:space="0"/>
              <w:left w:val="single" w:color="auto" w:sz="4" w:space="0"/>
              <w:bottom w:val="single" w:color="auto" w:sz="4" w:space="0"/>
              <w:right w:val="single" w:color="auto" w:sz="4" w:space="0"/>
            </w:tcBorders>
            <w:vAlign w:val="center"/>
          </w:tcPr>
          <w:p w14:paraId="265D2C9E">
            <w:pPr>
              <w:adjustRightInd w:val="0"/>
              <w:snapToGrid w:val="0"/>
              <w:jc w:val="center"/>
              <w:rPr>
                <w:color w:val="auto"/>
                <w:szCs w:val="21"/>
              </w:rPr>
            </w:pPr>
          </w:p>
        </w:tc>
        <w:tc>
          <w:tcPr>
            <w:tcW w:w="1418" w:type="dxa"/>
            <w:vAlign w:val="center"/>
          </w:tcPr>
          <w:p w14:paraId="57F5C950">
            <w:pPr>
              <w:adjustRightInd w:val="0"/>
              <w:snapToGrid w:val="0"/>
              <w:jc w:val="center"/>
              <w:rPr>
                <w:color w:val="auto"/>
                <w:szCs w:val="21"/>
              </w:rPr>
            </w:pPr>
            <w:r>
              <w:rPr>
                <w:rFonts w:hint="eastAsia"/>
                <w:color w:val="auto"/>
                <w:szCs w:val="21"/>
              </w:rPr>
              <w:t>0.0952</w:t>
            </w:r>
          </w:p>
        </w:tc>
        <w:tc>
          <w:tcPr>
            <w:tcW w:w="1591" w:type="dxa"/>
            <w:vAlign w:val="center"/>
          </w:tcPr>
          <w:p w14:paraId="68570996">
            <w:pPr>
              <w:adjustRightInd w:val="0"/>
              <w:snapToGrid w:val="0"/>
              <w:jc w:val="center"/>
              <w:rPr>
                <w:color w:val="auto"/>
                <w:szCs w:val="21"/>
              </w:rPr>
            </w:pPr>
            <w:r>
              <w:rPr>
                <w:rFonts w:hint="eastAsia"/>
                <w:color w:val="auto"/>
                <w:szCs w:val="21"/>
              </w:rPr>
              <w:t>+0.0952</w:t>
            </w:r>
          </w:p>
        </w:tc>
      </w:tr>
      <w:tr w14:paraId="24780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106D24F4">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00D4479B">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1701" w:type="dxa"/>
            <w:vAlign w:val="center"/>
          </w:tcPr>
          <w:p w14:paraId="4B26E99E">
            <w:pPr>
              <w:jc w:val="center"/>
              <w:rPr>
                <w:color w:val="auto"/>
                <w:szCs w:val="21"/>
              </w:rPr>
            </w:pPr>
            <w:r>
              <w:rPr>
                <w:rFonts w:hint="eastAsia"/>
                <w:color w:val="auto"/>
                <w:szCs w:val="21"/>
              </w:rPr>
              <w:t>/</w:t>
            </w:r>
          </w:p>
        </w:tc>
        <w:tc>
          <w:tcPr>
            <w:tcW w:w="1276" w:type="dxa"/>
            <w:vAlign w:val="center"/>
          </w:tcPr>
          <w:p w14:paraId="0CDDFB20">
            <w:pPr>
              <w:jc w:val="center"/>
              <w:rPr>
                <w:snapToGrid w:val="0"/>
                <w:color w:val="auto"/>
                <w:kern w:val="21"/>
                <w:szCs w:val="21"/>
              </w:rPr>
            </w:pPr>
            <w:r>
              <w:rPr>
                <w:rFonts w:hint="eastAsia"/>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CB589DF">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ECF515C">
            <w:pPr>
              <w:adjustRightInd w:val="0"/>
              <w:snapToGrid w:val="0"/>
              <w:jc w:val="center"/>
              <w:rPr>
                <w:color w:val="auto"/>
                <w:szCs w:val="21"/>
              </w:rPr>
            </w:pPr>
            <w:r>
              <w:rPr>
                <w:rFonts w:hint="eastAsia"/>
                <w:color w:val="auto"/>
                <w:szCs w:val="21"/>
              </w:rPr>
              <w:t>0.3357</w:t>
            </w:r>
          </w:p>
        </w:tc>
        <w:tc>
          <w:tcPr>
            <w:tcW w:w="1537" w:type="dxa"/>
            <w:tcBorders>
              <w:top w:val="single" w:color="auto" w:sz="4" w:space="0"/>
              <w:left w:val="single" w:color="auto" w:sz="4" w:space="0"/>
              <w:bottom w:val="single" w:color="auto" w:sz="4" w:space="0"/>
              <w:right w:val="single" w:color="auto" w:sz="4" w:space="0"/>
            </w:tcBorders>
            <w:vAlign w:val="center"/>
          </w:tcPr>
          <w:p w14:paraId="4601A82E">
            <w:pPr>
              <w:adjustRightInd w:val="0"/>
              <w:snapToGrid w:val="0"/>
              <w:jc w:val="center"/>
              <w:rPr>
                <w:color w:val="auto"/>
                <w:szCs w:val="21"/>
              </w:rPr>
            </w:pPr>
          </w:p>
        </w:tc>
        <w:tc>
          <w:tcPr>
            <w:tcW w:w="1418" w:type="dxa"/>
            <w:vAlign w:val="center"/>
          </w:tcPr>
          <w:p w14:paraId="617B54B2">
            <w:pPr>
              <w:adjustRightInd w:val="0"/>
              <w:snapToGrid w:val="0"/>
              <w:jc w:val="center"/>
              <w:rPr>
                <w:color w:val="auto"/>
                <w:szCs w:val="21"/>
              </w:rPr>
            </w:pPr>
            <w:r>
              <w:rPr>
                <w:rFonts w:hint="eastAsia"/>
                <w:color w:val="auto"/>
                <w:szCs w:val="21"/>
              </w:rPr>
              <w:t>0.3357</w:t>
            </w:r>
          </w:p>
        </w:tc>
        <w:tc>
          <w:tcPr>
            <w:tcW w:w="1591" w:type="dxa"/>
            <w:vAlign w:val="center"/>
          </w:tcPr>
          <w:p w14:paraId="400548C7">
            <w:pPr>
              <w:adjustRightInd w:val="0"/>
              <w:snapToGrid w:val="0"/>
              <w:jc w:val="center"/>
              <w:rPr>
                <w:color w:val="auto"/>
                <w:szCs w:val="21"/>
              </w:rPr>
            </w:pPr>
            <w:r>
              <w:rPr>
                <w:rFonts w:hint="eastAsia"/>
                <w:color w:val="auto"/>
                <w:szCs w:val="21"/>
              </w:rPr>
              <w:t>+0.3357</w:t>
            </w:r>
          </w:p>
        </w:tc>
      </w:tr>
      <w:tr w14:paraId="7685B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32869F72">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572EB5B6">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1701" w:type="dxa"/>
            <w:vAlign w:val="center"/>
          </w:tcPr>
          <w:p w14:paraId="190C9EA3">
            <w:pPr>
              <w:jc w:val="center"/>
              <w:rPr>
                <w:color w:val="auto"/>
                <w:szCs w:val="21"/>
              </w:rPr>
            </w:pPr>
            <w:r>
              <w:rPr>
                <w:rFonts w:hint="eastAsia"/>
                <w:color w:val="auto"/>
                <w:szCs w:val="21"/>
              </w:rPr>
              <w:t>/</w:t>
            </w:r>
          </w:p>
        </w:tc>
        <w:tc>
          <w:tcPr>
            <w:tcW w:w="1276" w:type="dxa"/>
            <w:vAlign w:val="center"/>
          </w:tcPr>
          <w:p w14:paraId="3ABE5EE6">
            <w:pPr>
              <w:jc w:val="center"/>
              <w:rPr>
                <w:snapToGrid w:val="0"/>
                <w:color w:val="auto"/>
                <w:kern w:val="21"/>
                <w:szCs w:val="21"/>
              </w:rPr>
            </w:pPr>
            <w:r>
              <w:rPr>
                <w:rFonts w:hint="eastAsia"/>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43986760">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0C2541C">
            <w:pPr>
              <w:adjustRightInd w:val="0"/>
              <w:snapToGrid w:val="0"/>
              <w:jc w:val="center"/>
              <w:rPr>
                <w:color w:val="auto"/>
                <w:szCs w:val="21"/>
              </w:rPr>
            </w:pPr>
            <w:r>
              <w:rPr>
                <w:rFonts w:hint="eastAsia"/>
                <w:color w:val="auto"/>
                <w:szCs w:val="21"/>
              </w:rPr>
              <w:t>0.2268</w:t>
            </w:r>
          </w:p>
        </w:tc>
        <w:tc>
          <w:tcPr>
            <w:tcW w:w="1537" w:type="dxa"/>
            <w:tcBorders>
              <w:top w:val="single" w:color="auto" w:sz="4" w:space="0"/>
              <w:left w:val="single" w:color="auto" w:sz="4" w:space="0"/>
              <w:bottom w:val="single" w:color="auto" w:sz="4" w:space="0"/>
              <w:right w:val="single" w:color="auto" w:sz="4" w:space="0"/>
            </w:tcBorders>
            <w:vAlign w:val="center"/>
          </w:tcPr>
          <w:p w14:paraId="2E4E6F61">
            <w:pPr>
              <w:adjustRightInd w:val="0"/>
              <w:snapToGrid w:val="0"/>
              <w:jc w:val="center"/>
              <w:rPr>
                <w:color w:val="auto"/>
                <w:szCs w:val="21"/>
              </w:rPr>
            </w:pPr>
          </w:p>
        </w:tc>
        <w:tc>
          <w:tcPr>
            <w:tcW w:w="1418" w:type="dxa"/>
            <w:vAlign w:val="center"/>
          </w:tcPr>
          <w:p w14:paraId="006ED2DD">
            <w:pPr>
              <w:adjustRightInd w:val="0"/>
              <w:snapToGrid w:val="0"/>
              <w:jc w:val="center"/>
              <w:rPr>
                <w:color w:val="auto"/>
                <w:szCs w:val="21"/>
              </w:rPr>
            </w:pPr>
            <w:r>
              <w:rPr>
                <w:rFonts w:hint="eastAsia"/>
                <w:color w:val="auto"/>
                <w:szCs w:val="21"/>
              </w:rPr>
              <w:t>0.2268</w:t>
            </w:r>
          </w:p>
        </w:tc>
        <w:tc>
          <w:tcPr>
            <w:tcW w:w="1591" w:type="dxa"/>
            <w:vAlign w:val="center"/>
          </w:tcPr>
          <w:p w14:paraId="7737B5BE">
            <w:pPr>
              <w:adjustRightInd w:val="0"/>
              <w:snapToGrid w:val="0"/>
              <w:jc w:val="center"/>
              <w:rPr>
                <w:color w:val="auto"/>
                <w:szCs w:val="21"/>
              </w:rPr>
            </w:pPr>
            <w:r>
              <w:rPr>
                <w:rFonts w:hint="eastAsia"/>
                <w:color w:val="auto"/>
                <w:szCs w:val="21"/>
              </w:rPr>
              <w:t>+0.2268</w:t>
            </w:r>
          </w:p>
        </w:tc>
      </w:tr>
      <w:tr w14:paraId="345A8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2990193B">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6DF50C50">
            <w:pPr>
              <w:widowControl/>
              <w:adjustRightInd w:val="0"/>
              <w:snapToGrid w:val="0"/>
              <w:spacing w:line="240" w:lineRule="atLeast"/>
              <w:jc w:val="center"/>
              <w:textAlignment w:val="center"/>
              <w:rPr>
                <w:color w:val="auto"/>
                <w:kern w:val="0"/>
                <w:szCs w:val="21"/>
                <w:lang w:bidi="ar"/>
              </w:rPr>
            </w:pPr>
            <w:r>
              <w:rPr>
                <w:color w:val="auto"/>
                <w:kern w:val="0"/>
                <w:szCs w:val="21"/>
                <w:lang w:bidi="ar"/>
              </w:rPr>
              <w:t>动植物油</w:t>
            </w:r>
          </w:p>
        </w:tc>
        <w:tc>
          <w:tcPr>
            <w:tcW w:w="1701" w:type="dxa"/>
            <w:vAlign w:val="center"/>
          </w:tcPr>
          <w:p w14:paraId="6745B163">
            <w:pPr>
              <w:jc w:val="center"/>
              <w:rPr>
                <w:snapToGrid w:val="0"/>
                <w:color w:val="auto"/>
                <w:kern w:val="21"/>
                <w:szCs w:val="21"/>
              </w:rPr>
            </w:pPr>
            <w:r>
              <w:rPr>
                <w:color w:val="auto"/>
                <w:szCs w:val="21"/>
              </w:rPr>
              <w:t>/</w:t>
            </w:r>
          </w:p>
        </w:tc>
        <w:tc>
          <w:tcPr>
            <w:tcW w:w="1276" w:type="dxa"/>
            <w:vAlign w:val="center"/>
          </w:tcPr>
          <w:p w14:paraId="6E69FF53">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62180C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A46B7D7">
            <w:pPr>
              <w:jc w:val="center"/>
              <w:rPr>
                <w:color w:val="auto"/>
                <w:szCs w:val="21"/>
              </w:rPr>
            </w:pPr>
            <w:r>
              <w:rPr>
                <w:rFonts w:hint="eastAsia"/>
                <w:color w:val="auto"/>
                <w:szCs w:val="21"/>
              </w:rPr>
              <w:t>0.1296</w:t>
            </w:r>
          </w:p>
        </w:tc>
        <w:tc>
          <w:tcPr>
            <w:tcW w:w="1537" w:type="dxa"/>
            <w:tcBorders>
              <w:top w:val="single" w:color="auto" w:sz="4" w:space="0"/>
              <w:left w:val="single" w:color="auto" w:sz="4" w:space="0"/>
              <w:bottom w:val="single" w:color="auto" w:sz="4" w:space="0"/>
              <w:right w:val="single" w:color="auto" w:sz="4" w:space="0"/>
            </w:tcBorders>
            <w:vAlign w:val="center"/>
          </w:tcPr>
          <w:p w14:paraId="1C878ABD">
            <w:pPr>
              <w:adjustRightInd w:val="0"/>
              <w:snapToGrid w:val="0"/>
              <w:jc w:val="center"/>
              <w:rPr>
                <w:color w:val="auto"/>
                <w:szCs w:val="21"/>
              </w:rPr>
            </w:pPr>
            <w:r>
              <w:rPr>
                <w:color w:val="auto"/>
                <w:szCs w:val="21"/>
              </w:rPr>
              <w:t>/</w:t>
            </w:r>
          </w:p>
        </w:tc>
        <w:tc>
          <w:tcPr>
            <w:tcW w:w="1418" w:type="dxa"/>
            <w:vAlign w:val="center"/>
          </w:tcPr>
          <w:p w14:paraId="7FEED4E9">
            <w:pPr>
              <w:jc w:val="center"/>
              <w:rPr>
                <w:color w:val="auto"/>
                <w:szCs w:val="21"/>
              </w:rPr>
            </w:pPr>
            <w:r>
              <w:rPr>
                <w:rFonts w:hint="eastAsia"/>
                <w:color w:val="auto"/>
                <w:szCs w:val="21"/>
              </w:rPr>
              <w:t>0.1296</w:t>
            </w:r>
          </w:p>
        </w:tc>
        <w:tc>
          <w:tcPr>
            <w:tcW w:w="1591" w:type="dxa"/>
            <w:vAlign w:val="center"/>
          </w:tcPr>
          <w:p w14:paraId="37818CA0">
            <w:pPr>
              <w:jc w:val="center"/>
              <w:rPr>
                <w:color w:val="auto"/>
                <w:szCs w:val="21"/>
              </w:rPr>
            </w:pPr>
            <w:r>
              <w:rPr>
                <w:rFonts w:hint="eastAsia"/>
                <w:color w:val="auto"/>
                <w:szCs w:val="21"/>
              </w:rPr>
              <w:t>+0.1296</w:t>
            </w:r>
          </w:p>
        </w:tc>
      </w:tr>
      <w:tr w14:paraId="4CEBA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4" w:space="0"/>
              <w:right w:val="single" w:color="auto" w:sz="4" w:space="0"/>
            </w:tcBorders>
            <w:vAlign w:val="center"/>
          </w:tcPr>
          <w:p w14:paraId="4B3F9E9C">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一般工业固体废物</w:t>
            </w:r>
          </w:p>
        </w:tc>
        <w:tc>
          <w:tcPr>
            <w:tcW w:w="1581" w:type="dxa"/>
            <w:tcBorders>
              <w:top w:val="single" w:color="auto" w:sz="4" w:space="0"/>
              <w:left w:val="single" w:color="auto" w:sz="4" w:space="0"/>
              <w:bottom w:val="single" w:color="auto" w:sz="4" w:space="0"/>
              <w:right w:val="single" w:color="auto" w:sz="4" w:space="0"/>
            </w:tcBorders>
            <w:vAlign w:val="center"/>
          </w:tcPr>
          <w:p w14:paraId="42A6FD0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一般工业固体废物</w:t>
            </w:r>
          </w:p>
        </w:tc>
        <w:tc>
          <w:tcPr>
            <w:tcW w:w="1701" w:type="dxa"/>
            <w:tcBorders>
              <w:top w:val="single" w:color="auto" w:sz="4" w:space="0"/>
              <w:left w:val="single" w:color="auto" w:sz="4" w:space="0"/>
              <w:bottom w:val="single" w:color="auto" w:sz="4" w:space="0"/>
              <w:right w:val="single" w:color="auto" w:sz="4" w:space="0"/>
            </w:tcBorders>
            <w:vAlign w:val="center"/>
          </w:tcPr>
          <w:p w14:paraId="283490C0">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6C7B0B23">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0EC016A">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14:paraId="3E49BBFA">
            <w:pPr>
              <w:adjustRightInd w:val="0"/>
              <w:snapToGrid w:val="0"/>
              <w:jc w:val="center"/>
              <w:rPr>
                <w:color w:val="auto"/>
                <w:szCs w:val="21"/>
              </w:rPr>
            </w:pPr>
            <w:r>
              <w:rPr>
                <w:rFonts w:hint="eastAsia"/>
                <w:color w:val="auto"/>
                <w:szCs w:val="21"/>
                <w:lang w:val="en-US" w:eastAsia="zh-CN"/>
              </w:rPr>
              <w:t>23.8</w:t>
            </w:r>
            <w:r>
              <w:rPr>
                <w:rFonts w:hint="eastAsia"/>
                <w:color w:val="auto"/>
                <w:szCs w:val="21"/>
              </w:rPr>
              <w:t>1514</w:t>
            </w:r>
          </w:p>
        </w:tc>
        <w:tc>
          <w:tcPr>
            <w:tcW w:w="1537" w:type="dxa"/>
            <w:tcBorders>
              <w:top w:val="single" w:color="auto" w:sz="4" w:space="0"/>
              <w:left w:val="single" w:color="auto" w:sz="4" w:space="0"/>
              <w:bottom w:val="single" w:color="auto" w:sz="4" w:space="0"/>
              <w:right w:val="single" w:color="auto" w:sz="4" w:space="0"/>
            </w:tcBorders>
            <w:vAlign w:val="center"/>
          </w:tcPr>
          <w:p w14:paraId="347FC906">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531766B1">
            <w:pPr>
              <w:pStyle w:val="73"/>
              <w:adjustRightInd w:val="0"/>
              <w:snapToGrid w:val="0"/>
              <w:spacing w:line="240" w:lineRule="auto"/>
              <w:ind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0</w:t>
            </w:r>
          </w:p>
        </w:tc>
        <w:tc>
          <w:tcPr>
            <w:tcW w:w="1591" w:type="dxa"/>
            <w:vAlign w:val="center"/>
          </w:tcPr>
          <w:p w14:paraId="7F0CD11B">
            <w:pPr>
              <w:adjustRightInd w:val="0"/>
              <w:snapToGrid w:val="0"/>
              <w:jc w:val="center"/>
              <w:rPr>
                <w:color w:val="auto"/>
                <w:szCs w:val="21"/>
              </w:rPr>
            </w:pPr>
            <w:r>
              <w:rPr>
                <w:color w:val="auto"/>
                <w:szCs w:val="21"/>
              </w:rPr>
              <w:t>0</w:t>
            </w:r>
          </w:p>
        </w:tc>
      </w:tr>
      <w:tr w14:paraId="1C7D1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4" w:space="0"/>
              <w:right w:val="single" w:color="auto" w:sz="4" w:space="0"/>
            </w:tcBorders>
            <w:vAlign w:val="center"/>
          </w:tcPr>
          <w:p w14:paraId="13A90EFA">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581" w:type="dxa"/>
            <w:tcBorders>
              <w:top w:val="single" w:color="auto" w:sz="4" w:space="0"/>
              <w:left w:val="single" w:color="auto" w:sz="4" w:space="0"/>
              <w:bottom w:val="single" w:color="auto" w:sz="4" w:space="0"/>
              <w:right w:val="single" w:color="auto" w:sz="4" w:space="0"/>
            </w:tcBorders>
            <w:vAlign w:val="center"/>
          </w:tcPr>
          <w:p w14:paraId="160BD7A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701" w:type="dxa"/>
            <w:tcBorders>
              <w:top w:val="single" w:color="auto" w:sz="4" w:space="0"/>
              <w:left w:val="single" w:color="auto" w:sz="4" w:space="0"/>
              <w:bottom w:val="single" w:color="auto" w:sz="4" w:space="0"/>
              <w:right w:val="single" w:color="auto" w:sz="4" w:space="0"/>
            </w:tcBorders>
            <w:vAlign w:val="center"/>
          </w:tcPr>
          <w:p w14:paraId="210AFAA4">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23801398">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F2C3010">
            <w:pPr>
              <w:adjustRightInd w:val="0"/>
              <w:snapToGrid w:val="0"/>
              <w:jc w:val="center"/>
              <w:rPr>
                <w:color w:val="auto"/>
                <w:szCs w:val="21"/>
              </w:rPr>
            </w:pPr>
            <w:r>
              <w:rPr>
                <w:color w:val="auto"/>
                <w:szCs w:val="21"/>
              </w:rPr>
              <w:t>/</w:t>
            </w:r>
          </w:p>
        </w:tc>
        <w:tc>
          <w:tcPr>
            <w:tcW w:w="1559" w:type="dxa"/>
            <w:vAlign w:val="center"/>
          </w:tcPr>
          <w:p w14:paraId="0CC92692">
            <w:pPr>
              <w:adjustRightInd w:val="0"/>
              <w:snapToGrid w:val="0"/>
              <w:jc w:val="center"/>
              <w:rPr>
                <w:rFonts w:hint="eastAsia" w:eastAsia="宋体"/>
                <w:color w:val="auto"/>
                <w:szCs w:val="21"/>
                <w:lang w:eastAsia="zh-CN"/>
              </w:rPr>
            </w:pPr>
            <w:r>
              <w:rPr>
                <w:rFonts w:hint="eastAsia"/>
                <w:color w:val="auto"/>
                <w:szCs w:val="21"/>
                <w:lang w:eastAsia="zh-CN"/>
              </w:rPr>
              <w:t>38.90855</w:t>
            </w:r>
          </w:p>
        </w:tc>
        <w:tc>
          <w:tcPr>
            <w:tcW w:w="1537" w:type="dxa"/>
            <w:tcBorders>
              <w:top w:val="single" w:color="auto" w:sz="4" w:space="0"/>
              <w:left w:val="single" w:color="auto" w:sz="4" w:space="0"/>
              <w:bottom w:val="single" w:color="auto" w:sz="4" w:space="0"/>
              <w:right w:val="single" w:color="auto" w:sz="4" w:space="0"/>
            </w:tcBorders>
            <w:vAlign w:val="center"/>
          </w:tcPr>
          <w:p w14:paraId="2A74DCEB">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257A544C">
            <w:pPr>
              <w:adjustRightInd w:val="0"/>
              <w:snapToGrid w:val="0"/>
              <w:jc w:val="center"/>
              <w:rPr>
                <w:color w:val="auto"/>
                <w:szCs w:val="21"/>
              </w:rPr>
            </w:pPr>
            <w:r>
              <w:rPr>
                <w:color w:val="auto"/>
                <w:szCs w:val="21"/>
              </w:rPr>
              <w:t>0</w:t>
            </w:r>
          </w:p>
        </w:tc>
        <w:tc>
          <w:tcPr>
            <w:tcW w:w="1591" w:type="dxa"/>
            <w:vAlign w:val="center"/>
          </w:tcPr>
          <w:p w14:paraId="29B8BD0A">
            <w:pPr>
              <w:adjustRightInd w:val="0"/>
              <w:snapToGrid w:val="0"/>
              <w:jc w:val="center"/>
              <w:rPr>
                <w:color w:val="auto"/>
                <w:szCs w:val="21"/>
              </w:rPr>
            </w:pPr>
            <w:r>
              <w:rPr>
                <w:color w:val="auto"/>
                <w:szCs w:val="21"/>
              </w:rPr>
              <w:t>0</w:t>
            </w:r>
          </w:p>
        </w:tc>
      </w:tr>
      <w:tr w14:paraId="67922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8" w:space="0"/>
              <w:right w:val="single" w:color="auto" w:sz="4" w:space="0"/>
            </w:tcBorders>
            <w:vAlign w:val="center"/>
          </w:tcPr>
          <w:p w14:paraId="5F5F7C61">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生活垃圾</w:t>
            </w:r>
          </w:p>
        </w:tc>
        <w:tc>
          <w:tcPr>
            <w:tcW w:w="1581" w:type="dxa"/>
            <w:tcBorders>
              <w:top w:val="single" w:color="auto" w:sz="4" w:space="0"/>
              <w:left w:val="single" w:color="auto" w:sz="4" w:space="0"/>
              <w:bottom w:val="single" w:color="auto" w:sz="8" w:space="0"/>
              <w:right w:val="single" w:color="auto" w:sz="4" w:space="0"/>
            </w:tcBorders>
            <w:vAlign w:val="center"/>
          </w:tcPr>
          <w:p w14:paraId="099F35BE">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生活垃圾</w:t>
            </w:r>
          </w:p>
        </w:tc>
        <w:tc>
          <w:tcPr>
            <w:tcW w:w="1701" w:type="dxa"/>
            <w:tcBorders>
              <w:top w:val="single" w:color="auto" w:sz="4" w:space="0"/>
              <w:left w:val="single" w:color="auto" w:sz="4" w:space="0"/>
              <w:bottom w:val="single" w:color="auto" w:sz="8" w:space="0"/>
              <w:right w:val="single" w:color="auto" w:sz="4" w:space="0"/>
            </w:tcBorders>
            <w:vAlign w:val="center"/>
          </w:tcPr>
          <w:p w14:paraId="251504F3">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8" w:space="0"/>
              <w:right w:val="single" w:color="auto" w:sz="4" w:space="0"/>
            </w:tcBorders>
            <w:vAlign w:val="center"/>
          </w:tcPr>
          <w:p w14:paraId="40C0D9A1">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8" w:space="0"/>
              <w:right w:val="single" w:color="auto" w:sz="4" w:space="0"/>
            </w:tcBorders>
            <w:vAlign w:val="center"/>
          </w:tcPr>
          <w:p w14:paraId="153A8B3C">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8" w:space="0"/>
              <w:right w:val="single" w:color="auto" w:sz="4" w:space="0"/>
            </w:tcBorders>
            <w:vAlign w:val="center"/>
          </w:tcPr>
          <w:p w14:paraId="57D1A656">
            <w:pPr>
              <w:jc w:val="center"/>
              <w:rPr>
                <w:color w:val="auto"/>
                <w:szCs w:val="21"/>
              </w:rPr>
            </w:pPr>
            <w:r>
              <w:rPr>
                <w:rFonts w:hint="eastAsia"/>
                <w:color w:val="auto"/>
                <w:szCs w:val="21"/>
              </w:rPr>
              <w:t>64.8</w:t>
            </w:r>
          </w:p>
        </w:tc>
        <w:tc>
          <w:tcPr>
            <w:tcW w:w="1537" w:type="dxa"/>
            <w:tcBorders>
              <w:top w:val="single" w:color="auto" w:sz="4" w:space="0"/>
              <w:left w:val="single" w:color="auto" w:sz="4" w:space="0"/>
              <w:bottom w:val="single" w:color="auto" w:sz="8" w:space="0"/>
              <w:right w:val="single" w:color="auto" w:sz="4" w:space="0"/>
            </w:tcBorders>
            <w:vAlign w:val="center"/>
          </w:tcPr>
          <w:p w14:paraId="1B76BF98">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8" w:space="0"/>
              <w:right w:val="single" w:color="auto" w:sz="4" w:space="0"/>
            </w:tcBorders>
            <w:vAlign w:val="center"/>
          </w:tcPr>
          <w:p w14:paraId="300B7304">
            <w:pPr>
              <w:adjustRightInd w:val="0"/>
              <w:snapToGrid w:val="0"/>
              <w:jc w:val="center"/>
              <w:rPr>
                <w:snapToGrid w:val="0"/>
                <w:color w:val="auto"/>
                <w:kern w:val="21"/>
                <w:szCs w:val="21"/>
              </w:rPr>
            </w:pPr>
            <w:r>
              <w:rPr>
                <w:snapToGrid w:val="0"/>
                <w:color w:val="auto"/>
                <w:kern w:val="21"/>
                <w:szCs w:val="21"/>
              </w:rPr>
              <w:t>0</w:t>
            </w:r>
          </w:p>
        </w:tc>
        <w:tc>
          <w:tcPr>
            <w:tcW w:w="1591" w:type="dxa"/>
            <w:tcBorders>
              <w:top w:val="single" w:color="auto" w:sz="4" w:space="0"/>
              <w:left w:val="single" w:color="auto" w:sz="4" w:space="0"/>
              <w:bottom w:val="single" w:color="auto" w:sz="8" w:space="0"/>
              <w:right w:val="single" w:color="auto" w:sz="8" w:space="0"/>
            </w:tcBorders>
            <w:vAlign w:val="center"/>
          </w:tcPr>
          <w:p w14:paraId="2BD803CE">
            <w:pPr>
              <w:jc w:val="center"/>
              <w:rPr>
                <w:color w:val="auto"/>
                <w:szCs w:val="21"/>
              </w:rPr>
            </w:pPr>
            <w:r>
              <w:rPr>
                <w:color w:val="auto"/>
                <w:szCs w:val="21"/>
              </w:rPr>
              <w:t>0</w:t>
            </w:r>
          </w:p>
        </w:tc>
      </w:tr>
    </w:tbl>
    <w:p w14:paraId="446DD80E">
      <w:pPr>
        <w:pStyle w:val="198"/>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t>废气、废水</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t>②+</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t>②；固废</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77FF49FB">
      <w:pPr>
        <w:rPr>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BBCC1C">
      <w:pPr>
        <w:pStyle w:val="84"/>
        <w:adjustRightInd w:val="0"/>
        <w:snapToGrid w:val="0"/>
        <w:spacing w:before="240" w:beforeLines="100" w:beforeAutospacing="0" w:after="240" w:afterLines="100" w:afterAutospacing="0"/>
        <w:jc w:val="both"/>
        <w:outlineLvl w:val="0"/>
        <w:rPr>
          <w:rFonts w:ascii="Times New Roman" w:hAnsi="Times New Roman"/>
          <w:b/>
          <w:color w:val="auto"/>
        </w:rPr>
      </w:pPr>
      <w:bookmarkStart w:id="13" w:name="_Toc116313309"/>
      <w:r>
        <w:rPr>
          <w:rFonts w:ascii="Times New Roman" w:hAnsi="Times New Roman"/>
          <w:b/>
          <w:color w:val="auto"/>
        </w:rPr>
        <w:t>附图</w:t>
      </w:r>
      <w:bookmarkEnd w:id="13"/>
    </w:p>
    <w:p w14:paraId="37DD82FF">
      <w:pPr>
        <w:adjustRightInd w:val="0"/>
        <w:snapToGrid w:val="0"/>
        <w:spacing w:line="360" w:lineRule="auto"/>
        <w:ind w:firstLine="420" w:firstLineChars="200"/>
        <w:rPr>
          <w:color w:val="auto"/>
        </w:rPr>
      </w:pPr>
      <w:r>
        <w:rPr>
          <w:color w:val="auto"/>
        </w:rPr>
        <w:t xml:space="preserve">附图1 </w:t>
      </w:r>
      <w:r>
        <w:rPr>
          <w:rFonts w:hint="eastAsia"/>
          <w:color w:val="auto"/>
        </w:rPr>
        <w:t>项目</w:t>
      </w:r>
      <w:r>
        <w:rPr>
          <w:color w:val="auto"/>
        </w:rPr>
        <w:t>地理位置图</w:t>
      </w:r>
    </w:p>
    <w:p w14:paraId="5BB79BF1">
      <w:pPr>
        <w:adjustRightInd w:val="0"/>
        <w:snapToGrid w:val="0"/>
        <w:spacing w:line="360" w:lineRule="auto"/>
        <w:ind w:firstLine="420" w:firstLineChars="200"/>
        <w:rPr>
          <w:color w:val="auto"/>
        </w:rPr>
      </w:pPr>
      <w:r>
        <w:rPr>
          <w:color w:val="auto"/>
        </w:rPr>
        <w:t xml:space="preserve">附图2 </w:t>
      </w:r>
      <w:r>
        <w:rPr>
          <w:rFonts w:hint="eastAsia"/>
          <w:color w:val="auto"/>
        </w:rPr>
        <w:t>厂</w:t>
      </w:r>
      <w:r>
        <w:rPr>
          <w:color w:val="auto"/>
        </w:rPr>
        <w:t>区平面布置图</w:t>
      </w:r>
    </w:p>
    <w:p w14:paraId="2FF04373">
      <w:pPr>
        <w:adjustRightInd w:val="0"/>
        <w:snapToGrid w:val="0"/>
        <w:spacing w:line="360" w:lineRule="auto"/>
        <w:ind w:firstLine="420" w:firstLineChars="200"/>
        <w:rPr>
          <w:color w:val="auto"/>
        </w:rPr>
      </w:pPr>
      <w:r>
        <w:rPr>
          <w:color w:val="auto"/>
        </w:rPr>
        <w:t>附图3 周边</w:t>
      </w:r>
      <w:r>
        <w:rPr>
          <w:rFonts w:hint="eastAsia"/>
          <w:color w:val="auto"/>
        </w:rPr>
        <w:t>500米范围</w:t>
      </w:r>
      <w:r>
        <w:rPr>
          <w:color w:val="auto"/>
        </w:rPr>
        <w:t>概况图</w:t>
      </w:r>
    </w:p>
    <w:p w14:paraId="7F28C95D">
      <w:pPr>
        <w:adjustRightInd w:val="0"/>
        <w:snapToGrid w:val="0"/>
        <w:spacing w:line="360" w:lineRule="auto"/>
        <w:ind w:firstLine="420" w:firstLineChars="200"/>
        <w:rPr>
          <w:color w:val="auto"/>
        </w:rPr>
      </w:pPr>
      <w:r>
        <w:rPr>
          <w:color w:val="auto"/>
        </w:rPr>
        <w:t>附图4 生态空间管控区域图</w:t>
      </w:r>
    </w:p>
    <w:p w14:paraId="44CB53DC">
      <w:pPr>
        <w:adjustRightInd w:val="0"/>
        <w:snapToGrid w:val="0"/>
        <w:spacing w:line="360" w:lineRule="auto"/>
        <w:ind w:firstLine="420" w:firstLineChars="200"/>
        <w:rPr>
          <w:color w:val="auto"/>
        </w:rPr>
      </w:pPr>
      <w:r>
        <w:rPr>
          <w:color w:val="auto"/>
        </w:rPr>
        <w:t xml:space="preserve">附图5 </w:t>
      </w:r>
      <w:r>
        <w:rPr>
          <w:rFonts w:hint="eastAsia"/>
          <w:color w:val="auto"/>
        </w:rPr>
        <w:t>厂</w:t>
      </w:r>
      <w:r>
        <w:rPr>
          <w:color w:val="auto"/>
        </w:rPr>
        <w:t>区防渗图</w:t>
      </w:r>
    </w:p>
    <w:p w14:paraId="7CAA61AE">
      <w:pPr>
        <w:adjustRightInd w:val="0"/>
        <w:snapToGrid w:val="0"/>
        <w:spacing w:line="360" w:lineRule="auto"/>
        <w:ind w:firstLine="420" w:firstLineChars="200"/>
        <w:rPr>
          <w:color w:val="auto"/>
        </w:rPr>
      </w:pPr>
      <w:r>
        <w:rPr>
          <w:color w:val="auto"/>
        </w:rPr>
        <w:t>附图6 淮安市三线一单生态环境分区管控图</w:t>
      </w:r>
    </w:p>
    <w:p w14:paraId="71B37D27">
      <w:pPr>
        <w:adjustRightInd w:val="0"/>
        <w:snapToGrid w:val="0"/>
        <w:spacing w:line="360" w:lineRule="auto"/>
        <w:ind w:firstLine="420" w:firstLineChars="200"/>
        <w:rPr>
          <w:color w:val="auto"/>
        </w:rPr>
      </w:pPr>
      <w:r>
        <w:rPr>
          <w:color w:val="auto"/>
        </w:rPr>
        <w:t>附图7</w:t>
      </w:r>
      <w:r>
        <w:rPr>
          <w:rFonts w:hint="eastAsia"/>
          <w:color w:val="auto"/>
        </w:rPr>
        <w:t xml:space="preserve"> </w:t>
      </w:r>
      <w:r>
        <w:rPr>
          <w:color w:val="auto"/>
        </w:rPr>
        <w:t>建设项目与江苏省生态保护红线位置关系图</w:t>
      </w:r>
    </w:p>
    <w:p w14:paraId="43DE093F">
      <w:pPr>
        <w:pStyle w:val="84"/>
        <w:adjustRightInd w:val="0"/>
        <w:snapToGrid w:val="0"/>
        <w:spacing w:before="240" w:beforeLines="100" w:beforeAutospacing="0" w:after="240" w:afterLines="100" w:afterAutospacing="0"/>
        <w:jc w:val="both"/>
        <w:outlineLvl w:val="0"/>
        <w:rPr>
          <w:rFonts w:ascii="Times New Roman" w:hAnsi="Times New Roman"/>
          <w:b/>
          <w:color w:val="auto"/>
        </w:rPr>
      </w:pPr>
      <w:bookmarkStart w:id="14" w:name="_Toc116313310"/>
      <w:r>
        <w:rPr>
          <w:rFonts w:ascii="Times New Roman" w:hAnsi="Times New Roman"/>
          <w:b/>
          <w:color w:val="auto"/>
        </w:rPr>
        <w:t>附件</w:t>
      </w:r>
      <w:bookmarkEnd w:id="14"/>
    </w:p>
    <w:p w14:paraId="7D0F914B">
      <w:pPr>
        <w:adjustRightInd w:val="0"/>
        <w:snapToGrid w:val="0"/>
        <w:spacing w:line="360" w:lineRule="auto"/>
        <w:ind w:firstLine="420" w:firstLineChars="200"/>
        <w:rPr>
          <w:color w:val="auto"/>
        </w:rPr>
      </w:pPr>
      <w:r>
        <w:rPr>
          <w:rFonts w:hint="eastAsia"/>
          <w:color w:val="auto"/>
        </w:rPr>
        <w:t>附件1 江苏省生态环境分区管控综合查询报告书</w:t>
      </w:r>
      <w:r>
        <w:rPr>
          <w:color w:val="auto"/>
        </w:rPr>
        <w:t>备案证</w:t>
      </w:r>
    </w:p>
    <w:p w14:paraId="65966173">
      <w:pPr>
        <w:adjustRightInd w:val="0"/>
        <w:snapToGrid w:val="0"/>
        <w:spacing w:line="360" w:lineRule="auto"/>
        <w:ind w:firstLine="420" w:firstLineChars="200"/>
        <w:rPr>
          <w:color w:val="auto"/>
        </w:rPr>
      </w:pPr>
      <w:r>
        <w:rPr>
          <w:color w:val="auto"/>
        </w:rPr>
        <w:t xml:space="preserve">附件2 </w:t>
      </w:r>
      <w:r>
        <w:rPr>
          <w:rFonts w:hint="eastAsia"/>
          <w:color w:val="auto"/>
        </w:rPr>
        <w:t>备案证</w:t>
      </w:r>
    </w:p>
    <w:p w14:paraId="7EF0F42E">
      <w:pPr>
        <w:adjustRightInd w:val="0"/>
        <w:snapToGrid w:val="0"/>
        <w:spacing w:line="360" w:lineRule="auto"/>
        <w:ind w:firstLine="420" w:firstLineChars="200"/>
        <w:rPr>
          <w:color w:val="auto"/>
        </w:rPr>
      </w:pPr>
      <w:r>
        <w:rPr>
          <w:color w:val="auto"/>
        </w:rPr>
        <w:t>附件3 营业执照</w:t>
      </w:r>
    </w:p>
    <w:p w14:paraId="7B0B1B3B">
      <w:pPr>
        <w:adjustRightInd w:val="0"/>
        <w:snapToGrid w:val="0"/>
        <w:spacing w:line="360" w:lineRule="auto"/>
        <w:ind w:firstLine="420" w:firstLineChars="200"/>
        <w:rPr>
          <w:color w:val="auto"/>
        </w:rPr>
      </w:pPr>
      <w:r>
        <w:rPr>
          <w:color w:val="auto"/>
        </w:rPr>
        <w:t>附件</w:t>
      </w:r>
      <w:r>
        <w:rPr>
          <w:rFonts w:hint="eastAsia"/>
          <w:color w:val="auto"/>
        </w:rPr>
        <w:t>4</w:t>
      </w:r>
      <w:r>
        <w:rPr>
          <w:color w:val="auto"/>
        </w:rPr>
        <w:t xml:space="preserve"> 法人身份证复印件</w:t>
      </w:r>
    </w:p>
    <w:p w14:paraId="129C626C">
      <w:pPr>
        <w:adjustRightInd w:val="0"/>
        <w:snapToGrid w:val="0"/>
        <w:spacing w:line="360" w:lineRule="auto"/>
        <w:ind w:firstLine="420" w:firstLineChars="200"/>
        <w:rPr>
          <w:color w:val="auto"/>
        </w:rPr>
      </w:pPr>
      <w:r>
        <w:rPr>
          <w:color w:val="auto"/>
        </w:rPr>
        <w:t>附件</w:t>
      </w:r>
      <w:r>
        <w:rPr>
          <w:rFonts w:hint="eastAsia"/>
          <w:color w:val="auto"/>
        </w:rPr>
        <w:t>5</w:t>
      </w:r>
      <w:r>
        <w:rPr>
          <w:color w:val="auto"/>
        </w:rPr>
        <w:t xml:space="preserve"> </w:t>
      </w:r>
      <w:r>
        <w:rPr>
          <w:rFonts w:hint="eastAsia"/>
          <w:color w:val="auto"/>
        </w:rPr>
        <w:t>土地红线图</w:t>
      </w:r>
    </w:p>
    <w:p w14:paraId="4530FE3A">
      <w:pPr>
        <w:adjustRightInd w:val="0"/>
        <w:snapToGrid w:val="0"/>
        <w:spacing w:line="360" w:lineRule="auto"/>
        <w:ind w:firstLine="420" w:firstLineChars="200"/>
        <w:rPr>
          <w:color w:val="auto"/>
        </w:rPr>
      </w:pPr>
      <w:r>
        <w:rPr>
          <w:color w:val="auto"/>
        </w:rPr>
        <w:t>附件</w:t>
      </w:r>
      <w:r>
        <w:rPr>
          <w:rFonts w:hint="eastAsia"/>
          <w:color w:val="auto"/>
        </w:rPr>
        <w:t>6 溶剂</w:t>
      </w:r>
      <w:r>
        <w:rPr>
          <w:rFonts w:hint="eastAsia"/>
          <w:color w:val="auto"/>
          <w:lang w:eastAsia="zh-CN"/>
        </w:rPr>
        <w:t>性</w:t>
      </w:r>
      <w:r>
        <w:rPr>
          <w:rFonts w:hint="eastAsia"/>
          <w:color w:val="auto"/>
        </w:rPr>
        <w:t>油漆不可替代证明</w:t>
      </w:r>
    </w:p>
    <w:p w14:paraId="2FAF9CB4">
      <w:pPr>
        <w:adjustRightInd w:val="0"/>
        <w:snapToGrid w:val="0"/>
        <w:spacing w:line="360" w:lineRule="auto"/>
        <w:ind w:firstLine="420" w:firstLineChars="200"/>
        <w:rPr>
          <w:color w:val="auto"/>
        </w:rPr>
      </w:pPr>
      <w:r>
        <w:rPr>
          <w:color w:val="auto"/>
        </w:rPr>
        <w:t>附件</w:t>
      </w:r>
      <w:r>
        <w:rPr>
          <w:rFonts w:hint="eastAsia"/>
          <w:color w:val="auto"/>
        </w:rPr>
        <w:t>7</w:t>
      </w:r>
      <w:r>
        <w:rPr>
          <w:color w:val="auto"/>
        </w:rPr>
        <w:t xml:space="preserve"> </w:t>
      </w:r>
      <w:r>
        <w:rPr>
          <w:rFonts w:hint="eastAsia"/>
          <w:color w:val="auto"/>
        </w:rPr>
        <w:t>碳氢清洗剂、洗网水不可替代证明</w:t>
      </w:r>
    </w:p>
    <w:p w14:paraId="34620936">
      <w:pPr>
        <w:adjustRightInd w:val="0"/>
        <w:snapToGrid w:val="0"/>
        <w:spacing w:line="360" w:lineRule="auto"/>
        <w:ind w:firstLine="420" w:firstLineChars="200"/>
        <w:rPr>
          <w:color w:val="auto"/>
        </w:rPr>
      </w:pPr>
      <w:r>
        <w:rPr>
          <w:color w:val="auto"/>
        </w:rPr>
        <w:t>附件</w:t>
      </w:r>
      <w:r>
        <w:rPr>
          <w:rFonts w:hint="eastAsia"/>
          <w:color w:val="auto"/>
        </w:rPr>
        <w:t>8</w:t>
      </w:r>
      <w:r>
        <w:rPr>
          <w:color w:val="auto"/>
        </w:rPr>
        <w:t xml:space="preserve"> </w:t>
      </w:r>
      <w:r>
        <w:rPr>
          <w:rFonts w:hint="eastAsia"/>
          <w:color w:val="auto"/>
        </w:rPr>
        <w:t>白乳胶MSDS</w:t>
      </w:r>
    </w:p>
    <w:p w14:paraId="21FAF665">
      <w:pPr>
        <w:adjustRightInd w:val="0"/>
        <w:snapToGrid w:val="0"/>
        <w:spacing w:line="360" w:lineRule="auto"/>
        <w:ind w:firstLine="420" w:firstLineChars="200"/>
        <w:rPr>
          <w:color w:val="auto"/>
        </w:rPr>
      </w:pPr>
      <w:r>
        <w:rPr>
          <w:rFonts w:hint="eastAsia"/>
          <w:color w:val="auto"/>
        </w:rPr>
        <w:t>附件9 白乳胶VOC检测报告</w:t>
      </w:r>
    </w:p>
    <w:p w14:paraId="153F2E5A">
      <w:pPr>
        <w:snapToGrid w:val="0"/>
        <w:spacing w:line="360" w:lineRule="auto"/>
        <w:ind w:firstLine="420" w:firstLineChars="200"/>
        <w:rPr>
          <w:color w:val="auto"/>
        </w:rPr>
      </w:pPr>
      <w:r>
        <w:rPr>
          <w:color w:val="auto"/>
        </w:rPr>
        <w:t>附件1</w:t>
      </w:r>
      <w:r>
        <w:rPr>
          <w:rFonts w:hint="eastAsia"/>
          <w:color w:val="auto"/>
        </w:rPr>
        <w:t>0 石材胶粘剂MSDS</w:t>
      </w:r>
    </w:p>
    <w:p w14:paraId="61F56020">
      <w:pPr>
        <w:snapToGrid w:val="0"/>
        <w:spacing w:line="360" w:lineRule="auto"/>
        <w:ind w:firstLine="420" w:firstLineChars="200"/>
        <w:rPr>
          <w:color w:val="auto"/>
        </w:rPr>
      </w:pPr>
      <w:r>
        <w:rPr>
          <w:color w:val="auto"/>
        </w:rPr>
        <w:t>附件1</w:t>
      </w:r>
      <w:r>
        <w:rPr>
          <w:rFonts w:hint="eastAsia"/>
          <w:color w:val="auto"/>
        </w:rPr>
        <w:t>1 石材胶粘剂VOC检测报告</w:t>
      </w:r>
    </w:p>
    <w:p w14:paraId="2A9D4B89">
      <w:pPr>
        <w:adjustRightInd w:val="0"/>
        <w:snapToGrid w:val="0"/>
        <w:spacing w:line="360" w:lineRule="auto"/>
        <w:ind w:firstLine="420" w:firstLineChars="200"/>
        <w:rPr>
          <w:color w:val="auto"/>
        </w:rPr>
      </w:pPr>
      <w:r>
        <w:rPr>
          <w:rFonts w:hint="eastAsia"/>
          <w:color w:val="auto"/>
        </w:rPr>
        <w:t>附件12 聚氨酯胶MSDS</w:t>
      </w:r>
    </w:p>
    <w:p w14:paraId="0BF088F4">
      <w:pPr>
        <w:adjustRightInd w:val="0"/>
        <w:snapToGrid w:val="0"/>
        <w:spacing w:line="360" w:lineRule="auto"/>
        <w:ind w:firstLine="420" w:firstLineChars="200"/>
        <w:rPr>
          <w:color w:val="auto"/>
        </w:rPr>
      </w:pPr>
      <w:r>
        <w:rPr>
          <w:rFonts w:hint="eastAsia"/>
          <w:color w:val="auto"/>
        </w:rPr>
        <w:t>附件13 聚氨酯胶VOC检测报告</w:t>
      </w:r>
    </w:p>
    <w:p w14:paraId="0CD5FAD3">
      <w:pPr>
        <w:adjustRightInd w:val="0"/>
        <w:snapToGrid w:val="0"/>
        <w:spacing w:line="360" w:lineRule="auto"/>
        <w:ind w:firstLine="420" w:firstLineChars="200"/>
        <w:rPr>
          <w:color w:val="auto"/>
        </w:rPr>
      </w:pPr>
      <w:r>
        <w:rPr>
          <w:rFonts w:hint="eastAsia"/>
          <w:color w:val="auto"/>
        </w:rPr>
        <w:t>附件14 封边胶MSDS</w:t>
      </w:r>
    </w:p>
    <w:p w14:paraId="0D7F2E3D">
      <w:pPr>
        <w:adjustRightInd w:val="0"/>
        <w:snapToGrid w:val="0"/>
        <w:spacing w:line="360" w:lineRule="auto"/>
        <w:ind w:firstLine="420" w:firstLineChars="200"/>
        <w:rPr>
          <w:color w:val="auto"/>
        </w:rPr>
      </w:pPr>
      <w:r>
        <w:rPr>
          <w:rFonts w:hint="eastAsia"/>
          <w:color w:val="auto"/>
        </w:rPr>
        <w:t>附件15 封边胶VOC检测报告</w:t>
      </w:r>
    </w:p>
    <w:p w14:paraId="706A83B9">
      <w:pPr>
        <w:adjustRightInd w:val="0"/>
        <w:snapToGrid w:val="0"/>
        <w:spacing w:line="360" w:lineRule="auto"/>
        <w:ind w:firstLine="420" w:firstLineChars="200"/>
        <w:rPr>
          <w:color w:val="auto"/>
        </w:rPr>
      </w:pPr>
      <w:r>
        <w:rPr>
          <w:rFonts w:hint="eastAsia"/>
          <w:color w:val="auto"/>
        </w:rPr>
        <w:t>附件16 油墨MSDS</w:t>
      </w:r>
    </w:p>
    <w:p w14:paraId="168BAD4B">
      <w:pPr>
        <w:adjustRightInd w:val="0"/>
        <w:snapToGrid w:val="0"/>
        <w:spacing w:line="360" w:lineRule="auto"/>
        <w:ind w:firstLine="420" w:firstLineChars="200"/>
        <w:rPr>
          <w:color w:val="auto"/>
        </w:rPr>
      </w:pPr>
      <w:r>
        <w:rPr>
          <w:rFonts w:hint="eastAsia"/>
          <w:color w:val="auto"/>
        </w:rPr>
        <w:t>附件17 油墨VOC检测报告</w:t>
      </w:r>
    </w:p>
    <w:p w14:paraId="1B99BC16">
      <w:pPr>
        <w:adjustRightInd w:val="0"/>
        <w:snapToGrid w:val="0"/>
        <w:spacing w:line="360" w:lineRule="auto"/>
        <w:ind w:firstLine="420" w:firstLineChars="200"/>
        <w:rPr>
          <w:color w:val="auto"/>
        </w:rPr>
      </w:pPr>
      <w:r>
        <w:rPr>
          <w:rFonts w:hint="eastAsia"/>
          <w:color w:val="auto"/>
        </w:rPr>
        <w:t>附件18 塑粉MSDS</w:t>
      </w:r>
    </w:p>
    <w:p w14:paraId="20793C67">
      <w:pPr>
        <w:adjustRightInd w:val="0"/>
        <w:snapToGrid w:val="0"/>
        <w:spacing w:line="360" w:lineRule="auto"/>
        <w:ind w:firstLine="420" w:firstLineChars="200"/>
        <w:rPr>
          <w:color w:val="auto"/>
        </w:rPr>
      </w:pPr>
      <w:r>
        <w:rPr>
          <w:rFonts w:hint="eastAsia"/>
          <w:color w:val="auto"/>
        </w:rPr>
        <w:t>附件19 塑粉VOC检测报告</w:t>
      </w:r>
    </w:p>
    <w:p w14:paraId="2D51841F">
      <w:pPr>
        <w:adjustRightInd w:val="0"/>
        <w:snapToGrid w:val="0"/>
        <w:spacing w:line="360" w:lineRule="auto"/>
        <w:ind w:firstLine="420" w:firstLineChars="200"/>
        <w:rPr>
          <w:color w:val="auto"/>
        </w:rPr>
      </w:pPr>
      <w:r>
        <w:rPr>
          <w:rFonts w:hint="eastAsia"/>
          <w:color w:val="auto"/>
        </w:rPr>
        <w:t>附件20 碳氢清洗剂MSDS</w:t>
      </w:r>
    </w:p>
    <w:p w14:paraId="498B1993">
      <w:pPr>
        <w:adjustRightInd w:val="0"/>
        <w:snapToGrid w:val="0"/>
        <w:spacing w:line="360" w:lineRule="auto"/>
        <w:ind w:firstLine="420" w:firstLineChars="200"/>
        <w:rPr>
          <w:color w:val="auto"/>
        </w:rPr>
      </w:pPr>
      <w:r>
        <w:rPr>
          <w:rFonts w:hint="eastAsia"/>
          <w:color w:val="auto"/>
        </w:rPr>
        <w:t>附件21 碳氢清洗剂VOC检测报告</w:t>
      </w:r>
    </w:p>
    <w:p w14:paraId="73CAA7DC">
      <w:pPr>
        <w:adjustRightInd w:val="0"/>
        <w:snapToGrid w:val="0"/>
        <w:spacing w:line="360" w:lineRule="auto"/>
        <w:ind w:firstLine="420" w:firstLineChars="200"/>
        <w:rPr>
          <w:color w:val="auto"/>
        </w:rPr>
      </w:pPr>
      <w:r>
        <w:rPr>
          <w:rFonts w:hint="eastAsia"/>
          <w:color w:val="auto"/>
        </w:rPr>
        <w:t>附件22 洗网水MSDS</w:t>
      </w:r>
    </w:p>
    <w:p w14:paraId="589DD211">
      <w:pPr>
        <w:adjustRightInd w:val="0"/>
        <w:snapToGrid w:val="0"/>
        <w:spacing w:line="360" w:lineRule="auto"/>
        <w:ind w:firstLine="420" w:firstLineChars="200"/>
        <w:rPr>
          <w:color w:val="auto"/>
        </w:rPr>
      </w:pPr>
      <w:r>
        <w:rPr>
          <w:rFonts w:hint="eastAsia"/>
          <w:color w:val="auto"/>
        </w:rPr>
        <w:t>附件23 洗网水VOC检测报告</w:t>
      </w:r>
    </w:p>
    <w:p w14:paraId="7C1C1C17">
      <w:pPr>
        <w:adjustRightInd w:val="0"/>
        <w:snapToGrid w:val="0"/>
        <w:spacing w:line="360" w:lineRule="auto"/>
        <w:ind w:firstLine="420" w:firstLineChars="200"/>
        <w:rPr>
          <w:color w:val="auto"/>
        </w:rPr>
      </w:pPr>
      <w:r>
        <w:rPr>
          <w:rFonts w:hint="eastAsia"/>
          <w:color w:val="auto"/>
        </w:rPr>
        <w:t>附件24 亚克力胶MSDS</w:t>
      </w:r>
    </w:p>
    <w:p w14:paraId="219B2556">
      <w:pPr>
        <w:adjustRightInd w:val="0"/>
        <w:snapToGrid w:val="0"/>
        <w:spacing w:line="360" w:lineRule="auto"/>
        <w:ind w:firstLine="420" w:firstLineChars="200"/>
        <w:rPr>
          <w:color w:val="auto"/>
        </w:rPr>
      </w:pPr>
      <w:r>
        <w:rPr>
          <w:rFonts w:hint="eastAsia"/>
          <w:color w:val="auto"/>
        </w:rPr>
        <w:t>附件25 亚克力胶VOC检测报告</w:t>
      </w:r>
    </w:p>
    <w:p w14:paraId="396EBBD8">
      <w:pPr>
        <w:adjustRightInd w:val="0"/>
        <w:snapToGrid w:val="0"/>
        <w:spacing w:line="360" w:lineRule="auto"/>
        <w:ind w:firstLine="420" w:firstLineChars="200"/>
        <w:rPr>
          <w:color w:val="auto"/>
        </w:rPr>
      </w:pPr>
      <w:r>
        <w:rPr>
          <w:rFonts w:hint="eastAsia"/>
          <w:color w:val="auto"/>
        </w:rPr>
        <w:t>附件26 水性漆MSDS</w:t>
      </w:r>
    </w:p>
    <w:p w14:paraId="0095DE86">
      <w:pPr>
        <w:adjustRightInd w:val="0"/>
        <w:snapToGrid w:val="0"/>
        <w:spacing w:line="360" w:lineRule="auto"/>
        <w:ind w:firstLine="420" w:firstLineChars="200"/>
        <w:rPr>
          <w:color w:val="auto"/>
        </w:rPr>
      </w:pPr>
      <w:r>
        <w:rPr>
          <w:rFonts w:hint="eastAsia"/>
          <w:color w:val="auto"/>
        </w:rPr>
        <w:t>附件27 水性漆VOC检测报告</w:t>
      </w:r>
    </w:p>
    <w:p w14:paraId="6D175D3F">
      <w:pPr>
        <w:adjustRightInd w:val="0"/>
        <w:snapToGrid w:val="0"/>
        <w:spacing w:line="360" w:lineRule="auto"/>
        <w:ind w:firstLine="420" w:firstLineChars="200"/>
        <w:rPr>
          <w:color w:val="auto"/>
        </w:rPr>
      </w:pPr>
      <w:r>
        <w:rPr>
          <w:rFonts w:hint="eastAsia"/>
          <w:color w:val="auto"/>
        </w:rPr>
        <w:t>附件28 油性漆MSDS</w:t>
      </w:r>
    </w:p>
    <w:p w14:paraId="27C8171E">
      <w:pPr>
        <w:adjustRightInd w:val="0"/>
        <w:snapToGrid w:val="0"/>
        <w:spacing w:line="360" w:lineRule="auto"/>
        <w:ind w:firstLine="420" w:firstLineChars="200"/>
        <w:rPr>
          <w:color w:val="auto"/>
        </w:rPr>
      </w:pPr>
      <w:r>
        <w:rPr>
          <w:rFonts w:hint="eastAsia"/>
          <w:color w:val="auto"/>
        </w:rPr>
        <w:t>附件29 油性漆VOC检测报告</w:t>
      </w:r>
    </w:p>
    <w:p w14:paraId="21EF2C1C">
      <w:pPr>
        <w:adjustRightInd w:val="0"/>
        <w:snapToGrid w:val="0"/>
        <w:spacing w:line="360" w:lineRule="auto"/>
        <w:ind w:firstLine="420" w:firstLineChars="200"/>
        <w:rPr>
          <w:color w:val="auto"/>
        </w:rPr>
      </w:pPr>
      <w:r>
        <w:rPr>
          <w:rFonts w:hint="eastAsia"/>
          <w:color w:val="auto"/>
        </w:rPr>
        <w:t>附件30 稀释剂MSDS</w:t>
      </w:r>
    </w:p>
    <w:p w14:paraId="72E279B2">
      <w:pPr>
        <w:adjustRightInd w:val="0"/>
        <w:snapToGrid w:val="0"/>
        <w:spacing w:line="360" w:lineRule="auto"/>
        <w:ind w:firstLine="420" w:firstLineChars="200"/>
        <w:rPr>
          <w:color w:val="auto"/>
        </w:rPr>
      </w:pPr>
      <w:r>
        <w:rPr>
          <w:rFonts w:hint="eastAsia"/>
          <w:color w:val="auto"/>
        </w:rPr>
        <w:t>附件31 原子灰MSDS</w:t>
      </w:r>
    </w:p>
    <w:p w14:paraId="5473116B">
      <w:pPr>
        <w:adjustRightInd w:val="0"/>
        <w:snapToGrid w:val="0"/>
        <w:spacing w:line="360" w:lineRule="auto"/>
        <w:ind w:firstLine="420" w:firstLineChars="200"/>
        <w:rPr>
          <w:color w:val="auto"/>
        </w:rPr>
      </w:pPr>
      <w:r>
        <w:rPr>
          <w:rFonts w:hint="eastAsia"/>
          <w:color w:val="auto"/>
        </w:rPr>
        <w:t>附件32 原子灰VOC检测报告</w:t>
      </w:r>
    </w:p>
    <w:p w14:paraId="2495508C">
      <w:pPr>
        <w:adjustRightInd w:val="0"/>
        <w:snapToGrid w:val="0"/>
        <w:spacing w:line="360" w:lineRule="auto"/>
        <w:ind w:firstLine="420" w:firstLineChars="200"/>
        <w:rPr>
          <w:color w:val="auto"/>
        </w:rPr>
      </w:pPr>
      <w:r>
        <w:rPr>
          <w:rFonts w:hint="eastAsia"/>
          <w:color w:val="auto"/>
        </w:rPr>
        <w:t>附件33 脱脂剂MSDS</w:t>
      </w:r>
    </w:p>
    <w:p w14:paraId="60E50AA4">
      <w:pPr>
        <w:adjustRightInd w:val="0"/>
        <w:snapToGrid w:val="0"/>
        <w:spacing w:line="360" w:lineRule="auto"/>
        <w:ind w:firstLine="420" w:firstLineChars="200"/>
        <w:rPr>
          <w:color w:val="auto"/>
        </w:rPr>
      </w:pPr>
      <w:r>
        <w:rPr>
          <w:rFonts w:hint="eastAsia"/>
          <w:color w:val="auto"/>
        </w:rPr>
        <w:t>附件34 防锈剂MSDS</w:t>
      </w:r>
    </w:p>
    <w:p w14:paraId="6582D8B7">
      <w:pPr>
        <w:adjustRightInd w:val="0"/>
        <w:snapToGrid w:val="0"/>
        <w:spacing w:line="360" w:lineRule="auto"/>
        <w:ind w:firstLine="420" w:firstLineChars="200"/>
        <w:rPr>
          <w:color w:val="auto"/>
        </w:rPr>
      </w:pPr>
      <w:r>
        <w:rPr>
          <w:rFonts w:hint="eastAsia"/>
          <w:color w:val="auto"/>
        </w:rPr>
        <w:t>附件35 陶化剂MSDS</w:t>
      </w:r>
    </w:p>
    <w:p w14:paraId="2DFEC453">
      <w:pPr>
        <w:adjustRightInd w:val="0"/>
        <w:snapToGrid w:val="0"/>
        <w:spacing w:line="360" w:lineRule="auto"/>
        <w:ind w:firstLine="420" w:firstLineChars="200"/>
        <w:rPr>
          <w:color w:val="auto"/>
        </w:rPr>
      </w:pPr>
      <w:r>
        <w:rPr>
          <w:rFonts w:hint="eastAsia"/>
          <w:color w:val="auto"/>
        </w:rPr>
        <w:t>附件36 危险废物处置承诺书</w:t>
      </w:r>
    </w:p>
    <w:p w14:paraId="7D1F953D">
      <w:pPr>
        <w:adjustRightInd w:val="0"/>
        <w:snapToGrid w:val="0"/>
        <w:spacing w:line="360" w:lineRule="auto"/>
        <w:ind w:firstLine="420" w:firstLineChars="200"/>
        <w:rPr>
          <w:color w:val="auto"/>
        </w:rPr>
      </w:pPr>
      <w:r>
        <w:rPr>
          <w:rFonts w:hint="eastAsia"/>
          <w:color w:val="auto"/>
        </w:rPr>
        <w:t>附件37 委托书</w:t>
      </w:r>
    </w:p>
    <w:p w14:paraId="52094343">
      <w:pPr>
        <w:adjustRightInd w:val="0"/>
        <w:snapToGrid w:val="0"/>
        <w:spacing w:line="360" w:lineRule="auto"/>
        <w:ind w:firstLine="420" w:firstLineChars="200"/>
        <w:rPr>
          <w:color w:val="auto"/>
        </w:rPr>
      </w:pPr>
      <w:r>
        <w:rPr>
          <w:rFonts w:hint="eastAsia"/>
          <w:color w:val="auto"/>
        </w:rPr>
        <w:t>附件38 承诺书</w:t>
      </w:r>
    </w:p>
    <w:p w14:paraId="356A0339">
      <w:pPr>
        <w:adjustRightInd w:val="0"/>
        <w:snapToGrid w:val="0"/>
        <w:spacing w:line="360" w:lineRule="auto"/>
        <w:ind w:firstLine="420" w:firstLineChars="200"/>
        <w:rPr>
          <w:color w:val="auto"/>
        </w:rPr>
      </w:pPr>
      <w:r>
        <w:rPr>
          <w:rFonts w:hint="eastAsia"/>
          <w:color w:val="auto"/>
        </w:rPr>
        <w:t>附件39 政府信息公开删除内容申请表</w:t>
      </w:r>
    </w:p>
    <w:p w14:paraId="40DD3BCC">
      <w:pPr>
        <w:adjustRightInd w:val="0"/>
        <w:snapToGrid w:val="0"/>
        <w:spacing w:line="360" w:lineRule="auto"/>
        <w:ind w:firstLine="420" w:firstLineChars="200"/>
        <w:rPr>
          <w:color w:val="auto"/>
        </w:rPr>
      </w:pPr>
      <w:r>
        <w:rPr>
          <w:rFonts w:hint="eastAsia"/>
          <w:color w:val="auto"/>
        </w:rPr>
        <w:t>附件40 工程师现场踏勘照片</w:t>
      </w:r>
    </w:p>
    <w:p w14:paraId="3117FE14">
      <w:pPr>
        <w:adjustRightInd w:val="0"/>
        <w:snapToGrid w:val="0"/>
        <w:spacing w:line="360" w:lineRule="auto"/>
        <w:ind w:firstLine="420" w:firstLineChars="200"/>
        <w:rPr>
          <w:rFonts w:hint="eastAsia"/>
          <w:color w:val="auto"/>
          <w:lang w:val="en-US" w:eastAsia="zh-CN"/>
        </w:rPr>
      </w:pPr>
      <w:r>
        <w:rPr>
          <w:rFonts w:hint="eastAsia"/>
          <w:color w:val="auto"/>
          <w:lang w:val="en-US" w:eastAsia="zh-CN"/>
        </w:rPr>
        <w:t>附件41 江苏省大气排污权交易凭证</w:t>
      </w:r>
    </w:p>
    <w:p w14:paraId="0D7971B2">
      <w:pPr>
        <w:adjustRightInd w:val="0"/>
        <w:snapToGrid w:val="0"/>
        <w:spacing w:line="360" w:lineRule="auto"/>
        <w:ind w:firstLine="420" w:firstLineChars="200"/>
        <w:rPr>
          <w:rFonts w:hint="eastAsia"/>
          <w:color w:val="auto"/>
          <w:lang w:val="en-US" w:eastAsia="zh-CN"/>
        </w:rPr>
      </w:pPr>
      <w:r>
        <w:rPr>
          <w:rFonts w:hint="eastAsia"/>
          <w:color w:val="auto"/>
          <w:lang w:val="en-US" w:eastAsia="zh-CN"/>
        </w:rPr>
        <w:t>附件42 水量申请表</w:t>
      </w:r>
    </w:p>
    <w:p w14:paraId="5FF0AFC7">
      <w:pPr>
        <w:adjustRightInd w:val="0"/>
        <w:snapToGrid w:val="0"/>
        <w:spacing w:line="360" w:lineRule="auto"/>
        <w:ind w:firstLine="420" w:firstLineChars="200"/>
        <w:rPr>
          <w:rFonts w:hint="default"/>
          <w:color w:val="auto"/>
          <w:lang w:val="en-US" w:eastAsia="zh-CN"/>
        </w:rPr>
      </w:pPr>
      <w:r>
        <w:rPr>
          <w:rFonts w:hint="eastAsia"/>
          <w:color w:val="auto"/>
          <w:lang w:val="en-US" w:eastAsia="zh-CN"/>
        </w:rPr>
        <w:t>附件43 现场监察记录</w:t>
      </w:r>
    </w:p>
    <w:p w14:paraId="7A861AB7">
      <w:pPr>
        <w:pStyle w:val="2"/>
        <w:rPr>
          <w:rFonts w:hint="default"/>
          <w:lang w:val="en-US" w:eastAsia="zh-CN"/>
        </w:rPr>
      </w:pPr>
    </w:p>
    <w:p w14:paraId="26FD689A">
      <w:pPr>
        <w:pStyle w:val="37"/>
        <w:rPr>
          <w:color w:val="auto"/>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创艺简宋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宋">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汉鼎简长宋">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方正楷体_GBK">
    <w:panose1 w:val="02000000000000000000"/>
    <w:charset w:val="86"/>
    <w:family w:val="script"/>
    <w:pitch w:val="default"/>
    <w:sig w:usb0="800002BF" w:usb1="38CF7CFA" w:usb2="00000016"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黑体_GBK">
    <w:panose1 w:val="02010600010101010101"/>
    <w:charset w:val="86"/>
    <w:family w:val="script"/>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华文中宋">
    <w:panose1 w:val="02010600040101010101"/>
    <w:charset w:val="86"/>
    <w:family w:val="auto"/>
    <w:pitch w:val="default"/>
    <w:sig w:usb0="00000287" w:usb1="080F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70409020205020404"/>
    <w:charset w:val="00"/>
    <w:family w:val="moder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文鼎CS细等线">
    <w:altName w:val="宋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CG Times (W1)">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方正黑体简体">
    <w:altName w:val="微软雅黑"/>
    <w:panose1 w:val="00000000000000000000"/>
    <w:charset w:val="86"/>
    <w:family w:val="script"/>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方正仿宋_GBK">
    <w:panose1 w:val="02000000000000000000"/>
    <w:charset w:val="86"/>
    <w:family w:val="script"/>
    <w:pitch w:val="default"/>
    <w:sig w:usb0="A00002BF" w:usb1="38CF7CFA" w:usb2="00082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Impact">
    <w:panose1 w:val="020B0806030902050204"/>
    <w:charset w:val="00"/>
    <w:family w:val="swiss"/>
    <w:pitch w:val="default"/>
    <w:sig w:usb0="00000287" w:usb1="00000000" w:usb2="00000000" w:usb3="00000000" w:csb0="2000009F" w:csb1="DFD70000"/>
  </w:font>
  <w:font w:name="Arial Rounded MT Bold">
    <w:altName w:val="Arial"/>
    <w:panose1 w:val="020F0704030504030204"/>
    <w:charset w:val="00"/>
    <w:family w:val="swiss"/>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DFD70000"/>
  </w:font>
  <w:font w:name="Alaska">
    <w:altName w:val="Lucida Sans Unicode"/>
    <w:panose1 w:val="00000000000000000000"/>
    <w:charset w:val="00"/>
    <w:family w:val="swiss"/>
    <w:pitch w:val="default"/>
    <w:sig w:usb0="00000000" w:usb1="00000000"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汉鼎简黑体">
    <w:altName w:val="宋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Century Gothic">
    <w:altName w:val="Yu Gothic UI"/>
    <w:panose1 w:val="020B0502020202020204"/>
    <w:charset w:val="00"/>
    <w:family w:val="swiss"/>
    <w:pitch w:val="default"/>
    <w:sig w:usb0="00000000" w:usb1="00000000" w:usb2="00000000" w:usb3="00000000" w:csb0="2000009F" w:csb1="DFD70000"/>
  </w:font>
  <w:font w:name="Century">
    <w:altName w:val="Times New Roman"/>
    <w:panose1 w:val="02040604050505020304"/>
    <w:charset w:val="00"/>
    <w:family w:val="auto"/>
    <w:pitch w:val="default"/>
    <w:sig w:usb0="00000000" w:usb1="00000000" w:usb2="00000000" w:usb3="00000000" w:csb0="2000009F" w:csb1="DFD70000"/>
  </w:font>
  <w:font w:name="方正粗宋简体">
    <w:altName w:val="宋体"/>
    <w:panose1 w:val="00000000000000000000"/>
    <w:charset w:val="86"/>
    <w:family w:val="script"/>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方正宋三简体">
    <w:altName w:val="黑体"/>
    <w:panose1 w:val="00000000000000000000"/>
    <w:charset w:val="86"/>
    <w:family w:val="script"/>
    <w:pitch w:val="default"/>
    <w:sig w:usb0="00000000" w:usb1="00000000" w:usb2="00000010" w:usb3="00000000" w:csb0="00040000" w:csb1="00000000"/>
  </w:font>
  <w:font w:name="汉鼎简大宋">
    <w:altName w:val="新宋体"/>
    <w:panose1 w:val="00000000000000000000"/>
    <w:charset w:val="86"/>
    <w:family w:val="modern"/>
    <w:pitch w:val="default"/>
    <w:sig w:usb0="00000000" w:usb1="00000000" w:usb2="0000001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FangSong_GB2312-Identity-H">
    <w:altName w:val="宋体"/>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85F4">
    <w:pPr>
      <w:pStyle w:val="5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687D">
    <w:pPr>
      <w:pStyle w:val="58"/>
      <w:framePr w:wrap="around" w:vAnchor="text" w:hAnchor="margin" w:xAlign="center" w:y="1"/>
      <w:rPr>
        <w:rStyle w:val="137"/>
      </w:rPr>
    </w:pPr>
    <w:r>
      <w:fldChar w:fldCharType="begin"/>
    </w:r>
    <w:r>
      <w:rPr>
        <w:rStyle w:val="137"/>
      </w:rPr>
      <w:instrText xml:space="preserve">PAGE  </w:instrText>
    </w:r>
    <w:r>
      <w:fldChar w:fldCharType="separate"/>
    </w:r>
    <w:r>
      <w:rPr>
        <w:rStyle w:val="137"/>
      </w:rPr>
      <w:t>21</w:t>
    </w:r>
    <w:r>
      <w:fldChar w:fldCharType="end"/>
    </w:r>
  </w:p>
  <w:p w14:paraId="5BC6199B">
    <w:pPr>
      <w:pStyle w:val="5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933E">
    <w:pPr>
      <w:pStyle w:val="5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C477FC">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yVSG8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UBJHLc48cvPH5dffy6/v5Nl&#10;1qcPUGPafcDENLzzA+bOfkBnpj2oaPMXCRGMI9T5qq4cEhH50Xq1XlcYEhibL4jPHp6HCOm99JZk&#10;o6ERx1dU5aePkMbUOSVXc/5OG1NGaNw/DsTMHpZ7H3vMVhr2w0Ro79sz8ulx8g11uOiUmA8OhcX+&#10;0mzE2dhPRq4B4faYsHDpJ6OOUFMxHFNhNK1U3oPH95L18Bt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7yVSG8EBAACOAwAADgAAAAAAAAABACAAAAAeAQAAZHJzL2Uyb0RvYy54bWxQSwUG&#10;AAAAAAYABgBZAQAAUQUAAAAA&#10;">
              <v:fill on="f" focussize="0,0"/>
              <v:stroke on="f"/>
              <v:imagedata o:title=""/>
              <o:lock v:ext="edit" aspectratio="f"/>
              <v:textbox inset="0mm,0mm,0mm,0mm" style="mso-fit-shape-to-text:t;">
                <w:txbxContent>
                  <w:p w14:paraId="50C477FC">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DDC5">
    <w:pPr>
      <w:pStyle w:val="5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6C553">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109</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ihQUM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MnINCLfHhIVLPxl1hJqK4ZgKo2ml8h48vpesh99o+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8ihQUMEBAACOAwAADgAAAAAAAAABACAAAAAeAQAAZHJzL2Uyb0RvYy54bWxQSwUG&#10;AAAAAAYABgBZAQAAUQUAAAAA&#10;">
              <v:fill on="f" focussize="0,0"/>
              <v:stroke on="f"/>
              <v:imagedata o:title=""/>
              <o:lock v:ext="edit" aspectratio="f"/>
              <v:textbox inset="0mm,0mm,0mm,0mm" style="mso-fit-shape-to-text:t;">
                <w:txbxContent>
                  <w:p w14:paraId="21A6C553">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109</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56A">
    <w:pPr>
      <w:pStyle w:val="5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4E79B4">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110</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Z5MasIBAACO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TUauAeHdIWHh0k9GHaGmYjimwmhaqbwHf95L1tNv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GeTGrCAQAAjgMAAA4AAAAAAAAAAQAgAAAAHgEAAGRycy9lMm9Eb2MueG1sUEsF&#10;BgAAAAAGAAYAWQEAAFIFAAAAAA==&#10;">
              <v:fill on="f" focussize="0,0"/>
              <v:stroke on="f"/>
              <v:imagedata o:title=""/>
              <o:lock v:ext="edit" aspectratio="f"/>
              <v:textbox inset="0mm,0mm,0mm,0mm" style="mso-fit-shape-to-text:t;">
                <w:txbxContent>
                  <w:p w14:paraId="474E79B4">
                    <w:pPr>
                      <w:pStyle w:val="58"/>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110</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CE91DFA8"/>
    <w:multiLevelType w:val="singleLevel"/>
    <w:tmpl w:val="CE91DFA8"/>
    <w:lvl w:ilvl="0" w:tentative="0">
      <w:start w:val="3"/>
      <w:numFmt w:val="decimal"/>
      <w:suff w:val="nothing"/>
      <w:lvlText w:val="（%1）"/>
      <w:lvlJc w:val="left"/>
    </w:lvl>
  </w:abstractNum>
  <w:abstractNum w:abstractNumId="1">
    <w:nsid w:val="00000003"/>
    <w:multiLevelType w:val="multilevel"/>
    <w:tmpl w:val="00000003"/>
    <w:lvl w:ilvl="0" w:tentative="0">
      <w:start w:val="1"/>
      <w:numFmt w:val="decimal"/>
      <w:pStyle w:val="2272"/>
      <w:lvlText w:val="%1"/>
      <w:lvlJc w:val="left"/>
      <w:pPr>
        <w:tabs>
          <w:tab w:val="left" w:pos="3792"/>
        </w:tabs>
        <w:ind w:left="3792" w:hanging="432"/>
      </w:pPr>
      <w:rPr>
        <w:rFonts w:hint="eastAsia"/>
      </w:rPr>
    </w:lvl>
    <w:lvl w:ilvl="1" w:tentative="0">
      <w:start w:val="1"/>
      <w:numFmt w:val="decimal"/>
      <w:lvlText w:val="%1.%2"/>
      <w:lvlJc w:val="left"/>
      <w:pPr>
        <w:tabs>
          <w:tab w:val="left" w:pos="576"/>
        </w:tabs>
        <w:ind w:left="576" w:hanging="576"/>
      </w:pPr>
      <w:rPr>
        <w:rFonts w:hint="eastAsia"/>
        <w:color w:val="auto"/>
      </w:rPr>
    </w:lvl>
    <w:lvl w:ilvl="2" w:tentative="0">
      <w:start w:val="1"/>
      <w:numFmt w:val="decimal"/>
      <w:lvlText w:val="%1.%2.%3"/>
      <w:lvlJc w:val="left"/>
      <w:pPr>
        <w:tabs>
          <w:tab w:val="left" w:pos="601"/>
        </w:tabs>
        <w:ind w:left="0" w:firstLine="0"/>
      </w:pPr>
      <w:rPr>
        <w:rFonts w:hint="eastAsia" w:ascii="宋体" w:hAnsi="宋体" w:eastAsia="宋体"/>
        <w:color w:val="auto"/>
        <w:sz w:val="28"/>
      </w:rPr>
    </w:lvl>
    <w:lvl w:ilvl="3" w:tentative="0">
      <w:start w:val="1"/>
      <w:numFmt w:val="decimal"/>
      <w:lvlText w:val="%1.%2.%3.%4"/>
      <w:lvlJc w:val="left"/>
      <w:pPr>
        <w:tabs>
          <w:tab w:val="left" w:pos="864"/>
        </w:tabs>
        <w:ind w:left="864" w:hanging="864"/>
      </w:pPr>
      <w:rPr>
        <w:rFonts w:hint="eastAsia" w:ascii="宋体" w:hAnsi="宋体" w:eastAsia="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000000C"/>
    <w:multiLevelType w:val="multilevel"/>
    <w:tmpl w:val="0000000C"/>
    <w:lvl w:ilvl="0" w:tentative="0">
      <w:start w:val="1"/>
      <w:numFmt w:val="decimalEnclosedCircle"/>
      <w:pStyle w:val="2427"/>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402"/>
    <w:multiLevelType w:val="multilevel"/>
    <w:tmpl w:val="00000402"/>
    <w:lvl w:ilvl="0" w:tentative="0">
      <w:start w:val="0"/>
      <w:numFmt w:val="bullet"/>
      <w:pStyle w:val="3655"/>
      <w:lvlText w:val=""/>
      <w:lvlJc w:val="left"/>
      <w:pPr>
        <w:ind w:left="252" w:hanging="188"/>
      </w:pPr>
      <w:rPr>
        <w:rFonts w:ascii="Symbol" w:hAnsi="Symbol" w:cs="Symbol"/>
        <w:b w:val="0"/>
        <w:bCs w:val="0"/>
        <w:w w:val="99"/>
        <w:sz w:val="24"/>
        <w:szCs w:val="24"/>
      </w:rPr>
    </w:lvl>
    <w:lvl w:ilvl="1" w:tentative="0">
      <w:start w:val="0"/>
      <w:numFmt w:val="bullet"/>
      <w:lvlText w:val="•"/>
      <w:lvlJc w:val="left"/>
      <w:pPr>
        <w:ind w:left="631" w:hanging="188"/>
      </w:pPr>
    </w:lvl>
    <w:lvl w:ilvl="2" w:tentative="0">
      <w:start w:val="0"/>
      <w:numFmt w:val="bullet"/>
      <w:lvlText w:val="•"/>
      <w:lvlJc w:val="left"/>
      <w:pPr>
        <w:ind w:left="1010" w:hanging="188"/>
      </w:pPr>
    </w:lvl>
    <w:lvl w:ilvl="3" w:tentative="0">
      <w:start w:val="0"/>
      <w:numFmt w:val="bullet"/>
      <w:lvlText w:val="•"/>
      <w:lvlJc w:val="left"/>
      <w:pPr>
        <w:ind w:left="1390" w:hanging="188"/>
      </w:pPr>
    </w:lvl>
    <w:lvl w:ilvl="4" w:tentative="0">
      <w:start w:val="0"/>
      <w:numFmt w:val="bullet"/>
      <w:lvlText w:val="•"/>
      <w:lvlJc w:val="left"/>
      <w:pPr>
        <w:ind w:left="1769" w:hanging="188"/>
      </w:pPr>
    </w:lvl>
    <w:lvl w:ilvl="5" w:tentative="0">
      <w:start w:val="0"/>
      <w:numFmt w:val="bullet"/>
      <w:lvlText w:val="•"/>
      <w:lvlJc w:val="left"/>
      <w:pPr>
        <w:ind w:left="2148" w:hanging="188"/>
      </w:pPr>
    </w:lvl>
    <w:lvl w:ilvl="6" w:tentative="0">
      <w:start w:val="0"/>
      <w:numFmt w:val="bullet"/>
      <w:lvlText w:val="•"/>
      <w:lvlJc w:val="left"/>
      <w:pPr>
        <w:ind w:left="2527" w:hanging="188"/>
      </w:pPr>
    </w:lvl>
    <w:lvl w:ilvl="7" w:tentative="0">
      <w:start w:val="0"/>
      <w:numFmt w:val="bullet"/>
      <w:lvlText w:val="•"/>
      <w:lvlJc w:val="left"/>
      <w:pPr>
        <w:ind w:left="2906" w:hanging="188"/>
      </w:pPr>
    </w:lvl>
    <w:lvl w:ilvl="8" w:tentative="0">
      <w:start w:val="0"/>
      <w:numFmt w:val="bullet"/>
      <w:lvlText w:val="•"/>
      <w:lvlJc w:val="left"/>
      <w:pPr>
        <w:ind w:left="3286" w:hanging="188"/>
      </w:pPr>
    </w:lvl>
  </w:abstractNum>
  <w:abstractNum w:abstractNumId="4">
    <w:nsid w:val="000616F9"/>
    <w:multiLevelType w:val="multilevel"/>
    <w:tmpl w:val="000616F9"/>
    <w:lvl w:ilvl="0" w:tentative="0">
      <w:start w:val="1"/>
      <w:numFmt w:val="decimal"/>
      <w:pStyle w:val="366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40A15CD"/>
    <w:multiLevelType w:val="multilevel"/>
    <w:tmpl w:val="040A15CD"/>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3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890E2A"/>
    <w:multiLevelType w:val="multilevel"/>
    <w:tmpl w:val="05890E2A"/>
    <w:lvl w:ilvl="0" w:tentative="0">
      <w:start w:val="1"/>
      <w:numFmt w:val="decimal"/>
      <w:pStyle w:val="167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6132F76"/>
    <w:multiLevelType w:val="multilevel"/>
    <w:tmpl w:val="06132F76"/>
    <w:lvl w:ilvl="0" w:tentative="0">
      <w:start w:val="1"/>
      <w:numFmt w:val="decimalEnclosedCircle"/>
      <w:pStyle w:val="2749"/>
      <w:lvlText w:val="%1"/>
      <w:lvlJc w:val="left"/>
      <w:pPr>
        <w:tabs>
          <w:tab w:val="left" w:pos="795"/>
        </w:tabs>
        <w:ind w:left="795" w:hanging="360"/>
      </w:pPr>
      <w:rPr>
        <w:rFonts w:hint="default" w:ascii="宋体" w:hAnsi="宋体"/>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06243E8C"/>
    <w:multiLevelType w:val="multilevel"/>
    <w:tmpl w:val="06243E8C"/>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3770"/>
      <w:lvlText w:val="%2)"/>
      <w:lvlJc w:val="left"/>
      <w:pPr>
        <w:tabs>
          <w:tab w:val="left" w:pos="840"/>
        </w:tabs>
        <w:ind w:left="840" w:hanging="420"/>
      </w:pPr>
    </w:lvl>
    <w:lvl w:ilvl="2" w:tentative="0">
      <w:start w:val="1"/>
      <w:numFmt w:val="lowerRoman"/>
      <w:pStyle w:val="1902"/>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83E6BB7"/>
    <w:multiLevelType w:val="multilevel"/>
    <w:tmpl w:val="083E6BB7"/>
    <w:lvl w:ilvl="0" w:tentative="0">
      <w:start w:val="1"/>
      <w:numFmt w:val="decimal"/>
      <w:pStyle w:val="34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EA2639"/>
    <w:multiLevelType w:val="multilevel"/>
    <w:tmpl w:val="08EA2639"/>
    <w:lvl w:ilvl="0" w:tentative="0">
      <w:start w:val="1"/>
      <w:numFmt w:val="decimal"/>
      <w:pStyle w:val="299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BCC51C3"/>
    <w:multiLevelType w:val="multilevel"/>
    <w:tmpl w:val="0BCC51C3"/>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3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CE56A07"/>
    <w:multiLevelType w:val="multilevel"/>
    <w:tmpl w:val="0CE56A07"/>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2186"/>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0E6159ED"/>
    <w:multiLevelType w:val="multilevel"/>
    <w:tmpl w:val="0E6159ED"/>
    <w:lvl w:ilvl="0" w:tentative="0">
      <w:start w:val="1"/>
      <w:numFmt w:val="decimal"/>
      <w:pStyle w:val="280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F7E16BB"/>
    <w:multiLevelType w:val="multilevel"/>
    <w:tmpl w:val="0F7E16BB"/>
    <w:lvl w:ilvl="0" w:tentative="0">
      <w:start w:val="1"/>
      <w:numFmt w:val="decimal"/>
      <w:pStyle w:val="3217"/>
      <w:lvlText w:val="%1."/>
      <w:lvlJc w:val="left"/>
      <w:pPr>
        <w:tabs>
          <w:tab w:val="left" w:pos="425"/>
        </w:tabs>
        <w:ind w:left="425" w:hanging="425"/>
      </w:pPr>
      <w:rPr>
        <w:rFonts w:cs="Times New Roman"/>
      </w:rPr>
    </w:lvl>
    <w:lvl w:ilvl="1" w:tentative="0">
      <w:start w:val="1"/>
      <w:numFmt w:val="decimal"/>
      <w:lvlText w:val="%1.%2."/>
      <w:lvlJc w:val="left"/>
      <w:pPr>
        <w:tabs>
          <w:tab w:val="left" w:pos="567"/>
        </w:tabs>
        <w:ind w:left="56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15">
    <w:nsid w:val="0FBF3265"/>
    <w:multiLevelType w:val="multilevel"/>
    <w:tmpl w:val="0FBF3265"/>
    <w:lvl w:ilvl="0" w:tentative="0">
      <w:start w:val="1"/>
      <w:numFmt w:val="decimal"/>
      <w:pStyle w:val="2225"/>
      <w:lvlText w:val="%1、"/>
      <w:lvlJc w:val="left"/>
      <w:pPr>
        <w:tabs>
          <w:tab w:val="left" w:pos="810"/>
        </w:tabs>
        <w:ind w:left="810" w:hanging="360"/>
      </w:pPr>
      <w:rPr>
        <w:rFonts w:hint="default"/>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16">
    <w:nsid w:val="11953967"/>
    <w:multiLevelType w:val="multilevel"/>
    <w:tmpl w:val="11953967"/>
    <w:lvl w:ilvl="0" w:tentative="0">
      <w:start w:val="1"/>
      <w:numFmt w:val="decimal"/>
      <w:pStyle w:val="3173"/>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4A22F4F"/>
    <w:multiLevelType w:val="multilevel"/>
    <w:tmpl w:val="14A22F4F"/>
    <w:lvl w:ilvl="0" w:tentative="0">
      <w:start w:val="1"/>
      <w:numFmt w:val="decimal"/>
      <w:pStyle w:val="178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4CB681D"/>
    <w:multiLevelType w:val="multilevel"/>
    <w:tmpl w:val="14CB681D"/>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2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4FB26B7"/>
    <w:multiLevelType w:val="multilevel"/>
    <w:tmpl w:val="14FB26B7"/>
    <w:lvl w:ilvl="0" w:tentative="0">
      <w:start w:val="1"/>
      <w:numFmt w:val="decimal"/>
      <w:pStyle w:val="19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5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8EB23C4"/>
    <w:multiLevelType w:val="multilevel"/>
    <w:tmpl w:val="18EB23C4"/>
    <w:lvl w:ilvl="0" w:tentative="0">
      <w:start w:val="1"/>
      <w:numFmt w:val="decimal"/>
      <w:pStyle w:val="3059"/>
      <w:lvlText w:val="%1."/>
      <w:lvlJc w:val="left"/>
      <w:pPr>
        <w:tabs>
          <w:tab w:val="left" w:pos="1637"/>
        </w:tabs>
        <w:ind w:left="1637" w:hanging="737"/>
      </w:pPr>
      <w:rPr>
        <w:rFonts w:hint="default"/>
      </w:rPr>
    </w:lvl>
    <w:lvl w:ilvl="1" w:tentative="0">
      <w:start w:val="3"/>
      <w:numFmt w:val="decimal"/>
      <w:lvlText w:val="%2．"/>
      <w:lvlJc w:val="left"/>
      <w:pPr>
        <w:tabs>
          <w:tab w:val="left" w:pos="840"/>
        </w:tabs>
        <w:ind w:left="840" w:hanging="360"/>
      </w:pPr>
      <w:rPr>
        <w:rFonts w:hint="eastAsia"/>
      </w:rPr>
    </w:lvl>
    <w:lvl w:ilvl="2" w:tentative="0">
      <w:start w:val="1"/>
      <w:numFmt w:val="decimal"/>
      <w:lvlText w:val="%3．"/>
      <w:lvlJc w:val="left"/>
      <w:pPr>
        <w:tabs>
          <w:tab w:val="left" w:pos="1260"/>
        </w:tabs>
        <w:ind w:left="1260" w:hanging="360"/>
      </w:pPr>
      <w:rPr>
        <w:rFonts w:hint="eastAsia"/>
      </w:r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21">
    <w:nsid w:val="18F64F0F"/>
    <w:multiLevelType w:val="multilevel"/>
    <w:tmpl w:val="18F64F0F"/>
    <w:lvl w:ilvl="0" w:tentative="0">
      <w:start w:val="1"/>
      <w:numFmt w:val="decimal"/>
      <w:pStyle w:val="3715"/>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92A0958"/>
    <w:multiLevelType w:val="multilevel"/>
    <w:tmpl w:val="192A0958"/>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743"/>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3">
    <w:nsid w:val="1B316B28"/>
    <w:multiLevelType w:val="multilevel"/>
    <w:tmpl w:val="1B316B28"/>
    <w:lvl w:ilvl="0" w:tentative="0">
      <w:start w:val="1"/>
      <w:numFmt w:val="decimal"/>
      <w:pStyle w:val="278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D40588D"/>
    <w:multiLevelType w:val="multilevel"/>
    <w:tmpl w:val="1D40588D"/>
    <w:lvl w:ilvl="0" w:tentative="0">
      <w:start w:val="1"/>
      <w:numFmt w:val="decimal"/>
      <w:pStyle w:val="270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052290A"/>
    <w:multiLevelType w:val="multilevel"/>
    <w:tmpl w:val="2052290A"/>
    <w:lvl w:ilvl="0" w:tentative="0">
      <w:start w:val="1"/>
      <w:numFmt w:val="decimal"/>
      <w:pStyle w:val="193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182326B"/>
    <w:multiLevelType w:val="multilevel"/>
    <w:tmpl w:val="2182326B"/>
    <w:lvl w:ilvl="0" w:tentative="0">
      <w:start w:val="1"/>
      <w:numFmt w:val="bullet"/>
      <w:pStyle w:val="2601"/>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21A33291"/>
    <w:multiLevelType w:val="multilevel"/>
    <w:tmpl w:val="21A33291"/>
    <w:lvl w:ilvl="0" w:tentative="0">
      <w:start w:val="1"/>
      <w:numFmt w:val="decimal"/>
      <w:pStyle w:val="3619"/>
      <w:lvlText w:val="%1"/>
      <w:lvlJc w:val="left"/>
      <w:pPr>
        <w:ind w:left="705" w:hanging="705"/>
      </w:pPr>
      <w:rPr>
        <w:rFonts w:hint="default"/>
      </w:rPr>
    </w:lvl>
    <w:lvl w:ilvl="1" w:tentative="0">
      <w:start w:val="1"/>
      <w:numFmt w:val="decimal"/>
      <w:lvlText w:val="%1.%2"/>
      <w:lvlJc w:val="left"/>
      <w:pPr>
        <w:ind w:left="986" w:hanging="705"/>
      </w:pPr>
      <w:rPr>
        <w:rFonts w:hint="default"/>
      </w:rPr>
    </w:lvl>
    <w:lvl w:ilvl="2" w:tentative="0">
      <w:start w:val="1"/>
      <w:numFmt w:val="decimal"/>
      <w:lvlText w:val="%1.%2.%3"/>
      <w:lvlJc w:val="left"/>
      <w:pPr>
        <w:ind w:left="1282" w:hanging="720"/>
      </w:pPr>
      <w:rPr>
        <w:rFonts w:hint="default"/>
      </w:rPr>
    </w:lvl>
    <w:lvl w:ilvl="3" w:tentative="0">
      <w:start w:val="1"/>
      <w:numFmt w:val="decimal"/>
      <w:lvlText w:val="%1.%2.%3.%4"/>
      <w:lvlJc w:val="left"/>
      <w:pPr>
        <w:ind w:left="1563" w:hanging="720"/>
      </w:pPr>
      <w:rPr>
        <w:rFonts w:hint="default"/>
      </w:rPr>
    </w:lvl>
    <w:lvl w:ilvl="4" w:tentative="0">
      <w:start w:val="1"/>
      <w:numFmt w:val="decimal"/>
      <w:lvlText w:val="%1.%2.%3.%4.%5"/>
      <w:lvlJc w:val="left"/>
      <w:pPr>
        <w:ind w:left="2204" w:hanging="1080"/>
      </w:pPr>
      <w:rPr>
        <w:rFonts w:hint="default"/>
      </w:rPr>
    </w:lvl>
    <w:lvl w:ilvl="5" w:tentative="0">
      <w:start w:val="1"/>
      <w:numFmt w:val="decimal"/>
      <w:lvlText w:val="%1.%2.%3.%4.%5.%6"/>
      <w:lvlJc w:val="left"/>
      <w:pPr>
        <w:ind w:left="2485" w:hanging="1080"/>
      </w:pPr>
      <w:rPr>
        <w:rFonts w:hint="default"/>
      </w:rPr>
    </w:lvl>
    <w:lvl w:ilvl="6" w:tentative="0">
      <w:start w:val="1"/>
      <w:numFmt w:val="decimal"/>
      <w:lvlText w:val="%1.%2.%3.%4.%5.%6.%7"/>
      <w:lvlJc w:val="left"/>
      <w:pPr>
        <w:ind w:left="3126" w:hanging="1440"/>
      </w:pPr>
      <w:rPr>
        <w:rFonts w:hint="default"/>
      </w:rPr>
    </w:lvl>
    <w:lvl w:ilvl="7" w:tentative="0">
      <w:start w:val="1"/>
      <w:numFmt w:val="decimal"/>
      <w:lvlText w:val="%1.%2.%3.%4.%5.%6.%7.%8"/>
      <w:lvlJc w:val="left"/>
      <w:pPr>
        <w:ind w:left="3407" w:hanging="1440"/>
      </w:pPr>
      <w:rPr>
        <w:rFonts w:hint="default"/>
      </w:rPr>
    </w:lvl>
    <w:lvl w:ilvl="8" w:tentative="0">
      <w:start w:val="1"/>
      <w:numFmt w:val="decimal"/>
      <w:lvlText w:val="%1.%2.%3.%4.%5.%6.%7.%8.%9"/>
      <w:lvlJc w:val="left"/>
      <w:pPr>
        <w:ind w:left="4048" w:hanging="1800"/>
      </w:pPr>
      <w:rPr>
        <w:rFonts w:hint="default"/>
      </w:rPr>
    </w:lvl>
  </w:abstractNum>
  <w:abstractNum w:abstractNumId="28">
    <w:nsid w:val="21C071A9"/>
    <w:multiLevelType w:val="multilevel"/>
    <w:tmpl w:val="21C071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pStyle w:val="653"/>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26D5B92"/>
    <w:multiLevelType w:val="multilevel"/>
    <w:tmpl w:val="226D5B92"/>
    <w:lvl w:ilvl="0" w:tentative="0">
      <w:start w:val="1"/>
      <w:numFmt w:val="chineseCountingThousand"/>
      <w:pStyle w:val="3816"/>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0">
    <w:nsid w:val="22B70EB1"/>
    <w:multiLevelType w:val="multilevel"/>
    <w:tmpl w:val="22B70EB1"/>
    <w:lvl w:ilvl="0" w:tentative="0">
      <w:start w:val="1"/>
      <w:numFmt w:val="decimal"/>
      <w:pStyle w:val="223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3A05CD2"/>
    <w:multiLevelType w:val="multilevel"/>
    <w:tmpl w:val="23A05CD2"/>
    <w:lvl w:ilvl="0" w:tentative="0">
      <w:start w:val="1"/>
      <w:numFmt w:val="decimal"/>
      <w:pStyle w:val="3385"/>
      <w:lvlText w:val="%1"/>
      <w:lvlJc w:val="left"/>
      <w:pPr>
        <w:tabs>
          <w:tab w:val="left" w:pos="425"/>
        </w:tabs>
        <w:ind w:left="425" w:hanging="425"/>
      </w:pPr>
      <w:rPr>
        <w:rFonts w:hint="eastAsia"/>
        <w:b w:val="0"/>
        <w:i w:val="0"/>
        <w:color w:val="FFFFFF"/>
        <w:sz w:val="21"/>
      </w:rPr>
    </w:lvl>
    <w:lvl w:ilvl="1" w:tentative="0">
      <w:start w:val="1"/>
      <w:numFmt w:val="decimal"/>
      <w:lvlText w:val="%1.%2"/>
      <w:lvlJc w:val="left"/>
      <w:pPr>
        <w:tabs>
          <w:tab w:val="left" w:pos="747"/>
        </w:tabs>
        <w:ind w:left="747" w:hanging="567"/>
      </w:pPr>
      <w:rPr>
        <w:rFonts w:hint="eastAsia"/>
      </w:rPr>
    </w:lvl>
    <w:lvl w:ilvl="2" w:tentative="0">
      <w:start w:val="1"/>
      <w:numFmt w:val="none"/>
      <w:lvlText w:val="%1.%2.1"/>
      <w:lvlJc w:val="left"/>
      <w:pPr>
        <w:tabs>
          <w:tab w:val="left" w:pos="0"/>
        </w:tabs>
        <w:ind w:left="0" w:firstLine="0"/>
      </w:pPr>
      <w:rPr>
        <w:rFonts w:hint="eastAsia"/>
        <w:color w:val="000000"/>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2">
    <w:nsid w:val="25013FB6"/>
    <w:multiLevelType w:val="multilevel"/>
    <w:tmpl w:val="25013FB6"/>
    <w:lvl w:ilvl="0" w:tentative="0">
      <w:start w:val="1"/>
      <w:numFmt w:val="decimal"/>
      <w:pStyle w:val="321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25C94337"/>
    <w:multiLevelType w:val="multilevel"/>
    <w:tmpl w:val="25C94337"/>
    <w:lvl w:ilvl="0" w:tentative="0">
      <w:start w:val="1"/>
      <w:numFmt w:val="bullet"/>
      <w:pStyle w:val="43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4">
    <w:nsid w:val="28AB543D"/>
    <w:multiLevelType w:val="multilevel"/>
    <w:tmpl w:val="28AB543D"/>
    <w:lvl w:ilvl="0" w:tentative="0">
      <w:start w:val="1"/>
      <w:numFmt w:val="decimal"/>
      <w:pStyle w:val="3011"/>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2953"/>
      <w:lvlText w:val="%2)"/>
      <w:lvlJc w:val="left"/>
      <w:pPr>
        <w:tabs>
          <w:tab w:val="left" w:pos="840"/>
        </w:tabs>
        <w:ind w:left="840" w:hanging="420"/>
      </w:pPr>
    </w:lvl>
    <w:lvl w:ilvl="2" w:tentative="0">
      <w:start w:val="1"/>
      <w:numFmt w:val="lowerRoman"/>
      <w:pStyle w:val="2152"/>
      <w:lvlText w:val="%3."/>
      <w:lvlJc w:val="right"/>
      <w:pPr>
        <w:tabs>
          <w:tab w:val="left" w:pos="1260"/>
        </w:tabs>
        <w:ind w:left="1260" w:hanging="420"/>
      </w:pPr>
    </w:lvl>
    <w:lvl w:ilvl="3" w:tentative="0">
      <w:start w:val="1"/>
      <w:numFmt w:val="decimal"/>
      <w:pStyle w:val="215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28B5700C"/>
    <w:multiLevelType w:val="multilevel"/>
    <w:tmpl w:val="28B5700C"/>
    <w:lvl w:ilvl="0" w:tentative="0">
      <w:start w:val="5"/>
      <w:numFmt w:val="decimal"/>
      <w:pStyle w:val="3632"/>
      <w:lvlText w:val="%1"/>
      <w:lvlJc w:val="left"/>
      <w:pPr>
        <w:tabs>
          <w:tab w:val="left" w:pos="840"/>
        </w:tabs>
        <w:ind w:left="840" w:hanging="840"/>
      </w:pPr>
      <w:rPr>
        <w:rFonts w:hint="default"/>
      </w:rPr>
    </w:lvl>
    <w:lvl w:ilvl="1" w:tentative="0">
      <w:start w:val="3"/>
      <w:numFmt w:val="decimal"/>
      <w:lvlText w:val="%1.%2"/>
      <w:lvlJc w:val="left"/>
      <w:pPr>
        <w:tabs>
          <w:tab w:val="left" w:pos="840"/>
        </w:tabs>
        <w:ind w:left="840" w:hanging="840"/>
      </w:pPr>
      <w:rPr>
        <w:rFonts w:hint="default"/>
      </w:rPr>
    </w:lvl>
    <w:lvl w:ilvl="2" w:tentative="0">
      <w:start w:val="11"/>
      <w:numFmt w:val="decimal"/>
      <w:lvlText w:val="%1.%2-%3"/>
      <w:lvlJc w:val="left"/>
      <w:pPr>
        <w:tabs>
          <w:tab w:val="left" w:pos="840"/>
        </w:tabs>
        <w:ind w:left="840" w:hanging="840"/>
      </w:pPr>
      <w:rPr>
        <w:rFonts w:hint="default"/>
      </w:rPr>
    </w:lvl>
    <w:lvl w:ilvl="3" w:tentative="0">
      <w:start w:val="1"/>
      <w:numFmt w:val="decimal"/>
      <w:lvlText w:val="%1.%2-%3.%4"/>
      <w:lvlJc w:val="left"/>
      <w:pPr>
        <w:tabs>
          <w:tab w:val="left" w:pos="840"/>
        </w:tabs>
        <w:ind w:left="840" w:hanging="84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6">
    <w:nsid w:val="294C1627"/>
    <w:multiLevelType w:val="multilevel"/>
    <w:tmpl w:val="294C1627"/>
    <w:lvl w:ilvl="0" w:tentative="0">
      <w:start w:val="1"/>
      <w:numFmt w:val="decimal"/>
      <w:pStyle w:val="278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29752093"/>
    <w:multiLevelType w:val="multilevel"/>
    <w:tmpl w:val="29752093"/>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60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2F1628AA"/>
    <w:multiLevelType w:val="multilevel"/>
    <w:tmpl w:val="2F1628AA"/>
    <w:lvl w:ilvl="0" w:tentative="0">
      <w:start w:val="1"/>
      <w:numFmt w:val="decimal"/>
      <w:pStyle w:val="204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30C35D86"/>
    <w:multiLevelType w:val="multilevel"/>
    <w:tmpl w:val="30C35D86"/>
    <w:lvl w:ilvl="0" w:tentative="0">
      <w:start w:val="1"/>
      <w:numFmt w:val="decimal"/>
      <w:lvlText w:val="%1"/>
      <w:lvlJc w:val="left"/>
      <w:pPr>
        <w:tabs>
          <w:tab w:val="left" w:pos="432"/>
        </w:tabs>
        <w:ind w:left="432" w:hanging="432"/>
      </w:pPr>
      <w:rPr>
        <w:rFonts w:hint="eastAsia"/>
      </w:rPr>
    </w:lvl>
    <w:lvl w:ilvl="1" w:tentative="0">
      <w:start w:val="1"/>
      <w:numFmt w:val="decimal"/>
      <w:pStyle w:val="3313"/>
      <w:lvlText w:val="%1.%2"/>
      <w:lvlJc w:val="left"/>
      <w:pPr>
        <w:tabs>
          <w:tab w:val="left" w:pos="576"/>
        </w:tabs>
        <w:ind w:left="576" w:hanging="576"/>
      </w:pPr>
      <w:rPr>
        <w:rFonts w:hint="eastAsia"/>
        <w:lang w:eastAsia="zh-CN"/>
      </w:rPr>
    </w:lvl>
    <w:lvl w:ilvl="2" w:tentative="0">
      <w:start w:val="1"/>
      <w:numFmt w:val="decimal"/>
      <w:lvlText w:val="3.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0">
    <w:nsid w:val="30DF19DB"/>
    <w:multiLevelType w:val="multilevel"/>
    <w:tmpl w:val="30DF19DB"/>
    <w:lvl w:ilvl="0" w:tentative="0">
      <w:start w:val="1"/>
      <w:numFmt w:val="bullet"/>
      <w:lvlText w:val=""/>
      <w:lvlPicBulletId w:val="0"/>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321A4476"/>
    <w:multiLevelType w:val="multilevel"/>
    <w:tmpl w:val="321A4476"/>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pStyle w:val="286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32C457ED"/>
    <w:multiLevelType w:val="multilevel"/>
    <w:tmpl w:val="32C457ED"/>
    <w:lvl w:ilvl="0" w:tentative="0">
      <w:start w:val="1"/>
      <w:numFmt w:val="decimal"/>
      <w:pStyle w:val="2893"/>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38CE6FFF"/>
    <w:multiLevelType w:val="multilevel"/>
    <w:tmpl w:val="38CE6FFF"/>
    <w:lvl w:ilvl="0" w:tentative="0">
      <w:start w:val="1"/>
      <w:numFmt w:val="decimal"/>
      <w:pStyle w:val="2466"/>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900"/>
        </w:tabs>
        <w:ind w:left="90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44">
    <w:nsid w:val="39E30239"/>
    <w:multiLevelType w:val="multilevel"/>
    <w:tmpl w:val="39E30239"/>
    <w:lvl w:ilvl="0" w:tentative="0">
      <w:start w:val="1"/>
      <w:numFmt w:val="bullet"/>
      <w:pStyle w:val="652"/>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5">
    <w:nsid w:val="3D7D29B0"/>
    <w:multiLevelType w:val="multilevel"/>
    <w:tmpl w:val="3D7D29B0"/>
    <w:lvl w:ilvl="0" w:tentative="0">
      <w:start w:val="1"/>
      <w:numFmt w:val="decimal"/>
      <w:pStyle w:val="237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3E4E08A9"/>
    <w:multiLevelType w:val="multilevel"/>
    <w:tmpl w:val="3E4E08A9"/>
    <w:lvl w:ilvl="0" w:tentative="0">
      <w:start w:val="1"/>
      <w:numFmt w:val="bullet"/>
      <w:pStyle w:val="3038"/>
      <w:lvlText w:val=""/>
      <w:lvlJc w:val="left"/>
      <w:pPr>
        <w:ind w:left="840" w:hanging="420"/>
      </w:pPr>
      <w:rPr>
        <w:rFonts w:hint="default" w:ascii="Wingdings" w:hAnsi="Wingdings"/>
      </w:rPr>
    </w:lvl>
    <w:lvl w:ilvl="1" w:tentative="0">
      <w:start w:val="1"/>
      <w:numFmt w:val="bullet"/>
      <w:pStyle w:val="2231"/>
      <w:lvlText w:val=""/>
      <w:lvlJc w:val="left"/>
      <w:pPr>
        <w:ind w:left="1260" w:hanging="420"/>
      </w:pPr>
      <w:rPr>
        <w:rFonts w:hint="default" w:ascii="Wingdings" w:hAnsi="Wingdings"/>
      </w:rPr>
    </w:lvl>
    <w:lvl w:ilvl="2" w:tentative="0">
      <w:start w:val="1"/>
      <w:numFmt w:val="bullet"/>
      <w:pStyle w:val="683"/>
      <w:lvlText w:val=""/>
      <w:lvlJc w:val="left"/>
      <w:pPr>
        <w:ind w:left="1680" w:hanging="420"/>
      </w:pPr>
      <w:rPr>
        <w:rFonts w:hint="default" w:ascii="Wingdings" w:hAnsi="Wingdings"/>
      </w:rPr>
    </w:lvl>
    <w:lvl w:ilvl="3" w:tentative="0">
      <w:start w:val="1"/>
      <w:numFmt w:val="bullet"/>
      <w:pStyle w:val="2010"/>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7">
    <w:nsid w:val="3E5A5500"/>
    <w:multiLevelType w:val="multilevel"/>
    <w:tmpl w:val="3E5A5500"/>
    <w:lvl w:ilvl="0" w:tentative="0">
      <w:start w:val="1"/>
      <w:numFmt w:val="decimal"/>
      <w:pStyle w:val="2170"/>
      <w:lvlText w:val="表6－%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3F3A5F25"/>
    <w:multiLevelType w:val="multilevel"/>
    <w:tmpl w:val="3F3A5F2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pStyle w:val="2727"/>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9">
    <w:nsid w:val="40570932"/>
    <w:multiLevelType w:val="multilevel"/>
    <w:tmpl w:val="40570932"/>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336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414A71FA"/>
    <w:multiLevelType w:val="multilevel"/>
    <w:tmpl w:val="414A71FA"/>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39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42770021"/>
    <w:multiLevelType w:val="multilevel"/>
    <w:tmpl w:val="42770021"/>
    <w:lvl w:ilvl="0" w:tentative="0">
      <w:start w:val="1"/>
      <w:numFmt w:val="decimalEnclosedCircle"/>
      <w:pStyle w:val="1388"/>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435E3DDC"/>
    <w:multiLevelType w:val="multilevel"/>
    <w:tmpl w:val="435E3DDC"/>
    <w:lvl w:ilvl="0" w:tentative="0">
      <w:start w:val="1"/>
      <w:numFmt w:val="decimal"/>
      <w:pStyle w:val="200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438451F4"/>
    <w:multiLevelType w:val="multilevel"/>
    <w:tmpl w:val="438451F4"/>
    <w:lvl w:ilvl="0" w:tentative="0">
      <w:start w:val="1"/>
      <w:numFmt w:val="decimal"/>
      <w:pStyle w:val="2191"/>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4">
    <w:nsid w:val="44286D60"/>
    <w:multiLevelType w:val="multilevel"/>
    <w:tmpl w:val="44286D60"/>
    <w:lvl w:ilvl="0" w:tentative="0">
      <w:start w:val="1"/>
      <w:numFmt w:val="decimal"/>
      <w:pStyle w:val="1898"/>
      <w:suff w:val="space"/>
      <w:lvlText w:val="(%1)"/>
      <w:lvlJc w:val="left"/>
      <w:pPr>
        <w:ind w:left="0" w:firstLine="567"/>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8300E2A"/>
    <w:multiLevelType w:val="multilevel"/>
    <w:tmpl w:val="48300E2A"/>
    <w:lvl w:ilvl="0" w:tentative="0">
      <w:start w:val="1"/>
      <w:numFmt w:val="bullet"/>
      <w:pStyle w:val="3829"/>
      <w:lvlText w:val=""/>
      <w:lvlJc w:val="left"/>
      <w:pPr>
        <w:tabs>
          <w:tab w:val="left" w:pos="480"/>
        </w:tabs>
        <w:ind w:left="48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49C60472"/>
    <w:multiLevelType w:val="multilevel"/>
    <w:tmpl w:val="49C60472"/>
    <w:lvl w:ilvl="0" w:tentative="0">
      <w:start w:val="1"/>
      <w:numFmt w:val="decimal"/>
      <w:pStyle w:val="344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7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4A987D9C"/>
    <w:multiLevelType w:val="multilevel"/>
    <w:tmpl w:val="4A987D9C"/>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7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4C6915EE"/>
    <w:multiLevelType w:val="multilevel"/>
    <w:tmpl w:val="4C6915EE"/>
    <w:lvl w:ilvl="0" w:tentative="0">
      <w:start w:val="1"/>
      <w:numFmt w:val="decimal"/>
      <w:pStyle w:val="288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4DCE25FD"/>
    <w:multiLevelType w:val="multilevel"/>
    <w:tmpl w:val="4DCE25FD"/>
    <w:lvl w:ilvl="0" w:tentative="0">
      <w:start w:val="1"/>
      <w:numFmt w:val="decimal"/>
      <w:pStyle w:val="3072"/>
      <w:lvlText w:val="%1"/>
      <w:lvlJc w:val="left"/>
      <w:pPr>
        <w:tabs>
          <w:tab w:val="left" w:pos="425"/>
        </w:tabs>
        <w:ind w:left="425" w:hanging="425"/>
      </w:pPr>
    </w:lvl>
    <w:lvl w:ilvl="1" w:tentative="0">
      <w:start w:val="1"/>
      <w:numFmt w:val="decimal"/>
      <w:lvlText w:val="%1.%2"/>
      <w:lvlJc w:val="left"/>
      <w:pPr>
        <w:tabs>
          <w:tab w:val="left" w:pos="1505"/>
        </w:tabs>
        <w:ind w:left="992" w:hanging="567"/>
      </w:pPr>
    </w:lvl>
    <w:lvl w:ilvl="2" w:tentative="0">
      <w:start w:val="1"/>
      <w:numFmt w:val="decimal"/>
      <w:lvlText w:val="%1.%2.%3"/>
      <w:lvlJc w:val="left"/>
      <w:pPr>
        <w:tabs>
          <w:tab w:val="left" w:pos="2291"/>
        </w:tabs>
        <w:ind w:left="1418" w:hanging="567"/>
      </w:pPr>
    </w:lvl>
    <w:lvl w:ilvl="3" w:tentative="0">
      <w:start w:val="1"/>
      <w:numFmt w:val="decimal"/>
      <w:lvlText w:val="%1.%2.%3.%4"/>
      <w:lvlJc w:val="left"/>
      <w:pPr>
        <w:tabs>
          <w:tab w:val="left" w:pos="3436"/>
        </w:tabs>
        <w:ind w:left="1984" w:hanging="708"/>
      </w:pPr>
    </w:lvl>
    <w:lvl w:ilvl="4" w:tentative="0">
      <w:start w:val="1"/>
      <w:numFmt w:val="decimal"/>
      <w:lvlText w:val="%1.%2.%3.%4.%5"/>
      <w:lvlJc w:val="left"/>
      <w:pPr>
        <w:tabs>
          <w:tab w:val="left" w:pos="4221"/>
        </w:tabs>
        <w:ind w:left="2551" w:hanging="850"/>
      </w:pPr>
    </w:lvl>
    <w:lvl w:ilvl="5" w:tentative="0">
      <w:start w:val="1"/>
      <w:numFmt w:val="decimal"/>
      <w:lvlText w:val="%1.%2.%3.%4.%5.%6"/>
      <w:lvlJc w:val="left"/>
      <w:pPr>
        <w:tabs>
          <w:tab w:val="left" w:pos="5006"/>
        </w:tabs>
        <w:ind w:left="3260" w:hanging="1134"/>
      </w:pPr>
    </w:lvl>
    <w:lvl w:ilvl="6" w:tentative="0">
      <w:start w:val="1"/>
      <w:numFmt w:val="decimal"/>
      <w:lvlText w:val="%1.%2.%3.%4.%5.%6.%7"/>
      <w:lvlJc w:val="left"/>
      <w:pPr>
        <w:tabs>
          <w:tab w:val="left" w:pos="6151"/>
        </w:tabs>
        <w:ind w:left="3827" w:hanging="1276"/>
      </w:pPr>
    </w:lvl>
    <w:lvl w:ilvl="7" w:tentative="0">
      <w:start w:val="1"/>
      <w:numFmt w:val="decimal"/>
      <w:lvlText w:val="%1.%2.%3.%4.%5.%6.%7.%8"/>
      <w:lvlJc w:val="left"/>
      <w:pPr>
        <w:tabs>
          <w:tab w:val="left" w:pos="6936"/>
        </w:tabs>
        <w:ind w:left="4394" w:hanging="1418"/>
      </w:pPr>
    </w:lvl>
    <w:lvl w:ilvl="8" w:tentative="0">
      <w:start w:val="1"/>
      <w:numFmt w:val="decimal"/>
      <w:lvlText w:val="%1.%2.%3.%4.%5.%6.%7.%8.%9"/>
      <w:lvlJc w:val="left"/>
      <w:pPr>
        <w:tabs>
          <w:tab w:val="left" w:pos="8082"/>
        </w:tabs>
        <w:ind w:left="5102" w:hanging="1700"/>
      </w:pPr>
    </w:lvl>
  </w:abstractNum>
  <w:abstractNum w:abstractNumId="60">
    <w:nsid w:val="50BB63B1"/>
    <w:multiLevelType w:val="multilevel"/>
    <w:tmpl w:val="50BB63B1"/>
    <w:lvl w:ilvl="0" w:tentative="0">
      <w:start w:val="1"/>
      <w:numFmt w:val="decimalEnclosedCircle"/>
      <w:pStyle w:val="36"/>
      <w:lvlText w:val="%1"/>
      <w:lvlJc w:val="left"/>
      <w:pPr>
        <w:ind w:left="900" w:hanging="420"/>
      </w:pPr>
      <w:rPr>
        <w:rFonts w:hint="default" w:ascii="Times New Roman" w:hAnsi="Times New Roman" w:eastAsia="宋体" w:cs="Times New Roman"/>
        <w:b w:val="0"/>
      </w:rPr>
    </w:lvl>
    <w:lvl w:ilvl="1" w:tentative="0">
      <w:start w:val="1"/>
      <w:numFmt w:val="lowerLetter"/>
      <w:lvlText w:val="%2)"/>
      <w:lvlJc w:val="left"/>
      <w:pPr>
        <w:ind w:left="1320" w:hanging="420"/>
      </w:pPr>
    </w:lvl>
    <w:lvl w:ilvl="2" w:tentative="0">
      <w:start w:val="1"/>
      <w:numFmt w:val="lowerRoman"/>
      <w:pStyle w:val="2668"/>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2987"/>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53442ED9"/>
    <w:multiLevelType w:val="multilevel"/>
    <w:tmpl w:val="53442ED9"/>
    <w:lvl w:ilvl="0" w:tentative="0">
      <w:start w:val="1"/>
      <w:numFmt w:val="bullet"/>
      <w:pStyle w:val="2340"/>
      <w:lvlText w:val=""/>
      <w:lvlJc w:val="left"/>
      <w:pPr>
        <w:ind w:left="1015" w:hanging="420"/>
      </w:pPr>
      <w:rPr>
        <w:rFonts w:hint="default" w:ascii="Wingdings" w:hAnsi="Wingdings"/>
      </w:rPr>
    </w:lvl>
    <w:lvl w:ilvl="1" w:tentative="0">
      <w:start w:val="1"/>
      <w:numFmt w:val="bullet"/>
      <w:lvlText w:val=""/>
      <w:lvlJc w:val="left"/>
      <w:pPr>
        <w:ind w:left="1435" w:hanging="420"/>
      </w:pPr>
      <w:rPr>
        <w:rFonts w:hint="default" w:ascii="Wingdings" w:hAnsi="Wingdings"/>
      </w:rPr>
    </w:lvl>
    <w:lvl w:ilvl="2" w:tentative="0">
      <w:start w:val="1"/>
      <w:numFmt w:val="bullet"/>
      <w:lvlText w:val=""/>
      <w:lvlJc w:val="left"/>
      <w:pPr>
        <w:ind w:left="1855" w:hanging="420"/>
      </w:pPr>
      <w:rPr>
        <w:rFonts w:hint="default" w:ascii="Wingdings" w:hAnsi="Wingdings"/>
      </w:rPr>
    </w:lvl>
    <w:lvl w:ilvl="3" w:tentative="0">
      <w:start w:val="1"/>
      <w:numFmt w:val="bullet"/>
      <w:lvlText w:val=""/>
      <w:lvlJc w:val="left"/>
      <w:pPr>
        <w:ind w:left="2275" w:hanging="420"/>
      </w:pPr>
      <w:rPr>
        <w:rFonts w:hint="default" w:ascii="Wingdings" w:hAnsi="Wingdings"/>
      </w:rPr>
    </w:lvl>
    <w:lvl w:ilvl="4" w:tentative="0">
      <w:start w:val="1"/>
      <w:numFmt w:val="bullet"/>
      <w:lvlText w:val=""/>
      <w:lvlJc w:val="left"/>
      <w:pPr>
        <w:ind w:left="2695" w:hanging="420"/>
      </w:pPr>
      <w:rPr>
        <w:rFonts w:hint="default" w:ascii="Wingdings" w:hAnsi="Wingdings"/>
      </w:rPr>
    </w:lvl>
    <w:lvl w:ilvl="5" w:tentative="0">
      <w:start w:val="1"/>
      <w:numFmt w:val="bullet"/>
      <w:lvlText w:val=""/>
      <w:lvlJc w:val="left"/>
      <w:pPr>
        <w:ind w:left="3115" w:hanging="420"/>
      </w:pPr>
      <w:rPr>
        <w:rFonts w:hint="default" w:ascii="Wingdings" w:hAnsi="Wingdings"/>
      </w:rPr>
    </w:lvl>
    <w:lvl w:ilvl="6" w:tentative="0">
      <w:start w:val="1"/>
      <w:numFmt w:val="bullet"/>
      <w:lvlText w:val=""/>
      <w:lvlJc w:val="left"/>
      <w:pPr>
        <w:ind w:left="3535" w:hanging="420"/>
      </w:pPr>
      <w:rPr>
        <w:rFonts w:hint="default" w:ascii="Wingdings" w:hAnsi="Wingdings"/>
      </w:rPr>
    </w:lvl>
    <w:lvl w:ilvl="7" w:tentative="0">
      <w:start w:val="1"/>
      <w:numFmt w:val="bullet"/>
      <w:lvlText w:val=""/>
      <w:lvlJc w:val="left"/>
      <w:pPr>
        <w:ind w:left="3955" w:hanging="420"/>
      </w:pPr>
      <w:rPr>
        <w:rFonts w:hint="default" w:ascii="Wingdings" w:hAnsi="Wingdings"/>
      </w:rPr>
    </w:lvl>
    <w:lvl w:ilvl="8" w:tentative="0">
      <w:start w:val="1"/>
      <w:numFmt w:val="bullet"/>
      <w:lvlText w:val=""/>
      <w:lvlJc w:val="left"/>
      <w:pPr>
        <w:ind w:left="4375" w:hanging="420"/>
      </w:pPr>
      <w:rPr>
        <w:rFonts w:hint="default" w:ascii="Wingdings" w:hAnsi="Wingdings"/>
      </w:rPr>
    </w:lvl>
  </w:abstractNum>
  <w:abstractNum w:abstractNumId="62">
    <w:nsid w:val="53983365"/>
    <w:multiLevelType w:val="multilevel"/>
    <w:tmpl w:val="53983365"/>
    <w:lvl w:ilvl="0" w:tentative="0">
      <w:start w:val="1"/>
      <w:numFmt w:val="decimal"/>
      <w:pStyle w:val="3348"/>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53EC3BE5"/>
    <w:multiLevelType w:val="multilevel"/>
    <w:tmpl w:val="53EC3BE5"/>
    <w:lvl w:ilvl="0" w:tentative="0">
      <w:start w:val="1"/>
      <w:numFmt w:val="upperRoman"/>
      <w:pStyle w:val="21"/>
      <w:lvlText w:val="%1"/>
      <w:lvlJc w:val="left"/>
      <w:pPr>
        <w:ind w:left="900" w:hanging="420"/>
      </w:pPr>
      <w:rPr>
        <w:rFonts w:hint="default" w:ascii="Times New Roman" w:hAnsi="Times New Roman" w:eastAsia="宋体" w:cs="Times New Roman"/>
      </w:rPr>
    </w:lvl>
    <w:lvl w:ilvl="1" w:tentative="0">
      <w:start w:val="1"/>
      <w:numFmt w:val="upperRoman"/>
      <w:lvlText w:val="%2"/>
      <w:lvlJc w:val="left"/>
      <w:pPr>
        <w:ind w:left="840" w:hanging="420"/>
      </w:pPr>
      <w:rPr>
        <w:rFonts w:hint="default" w:ascii="Times New Roman" w:hAnsi="Times New Roman" w:eastAsia="宋体" w:cs="Times New Roman"/>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44646F5"/>
    <w:multiLevelType w:val="multilevel"/>
    <w:tmpl w:val="544646F5"/>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84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550E4538"/>
    <w:multiLevelType w:val="multilevel"/>
    <w:tmpl w:val="550E4538"/>
    <w:lvl w:ilvl="0" w:tentative="0">
      <w:start w:val="1"/>
      <w:numFmt w:val="chineseCountingThousand"/>
      <w:pStyle w:val="1482"/>
      <w:suff w:val="nothing"/>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6">
    <w:nsid w:val="565D7289"/>
    <w:multiLevelType w:val="multilevel"/>
    <w:tmpl w:val="565D7289"/>
    <w:lvl w:ilvl="0" w:tentative="0">
      <w:start w:val="4"/>
      <w:numFmt w:val="decimal"/>
      <w:pStyle w:val="2257"/>
      <w:lvlText w:val="%1."/>
      <w:lvlJc w:val="left"/>
      <w:pPr>
        <w:ind w:left="425" w:hanging="425"/>
      </w:pPr>
      <w:rPr>
        <w:rFonts w:hint="eastAsia"/>
      </w:rPr>
    </w:lvl>
    <w:lvl w:ilvl="1" w:tentative="0">
      <w:start w:val="4"/>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7">
    <w:nsid w:val="571C150E"/>
    <w:multiLevelType w:val="multilevel"/>
    <w:tmpl w:val="571C150E"/>
    <w:lvl w:ilvl="0" w:tentative="0">
      <w:start w:val="1"/>
      <w:numFmt w:val="decimal"/>
      <w:pStyle w:val="201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57645893"/>
    <w:multiLevelType w:val="multilevel"/>
    <w:tmpl w:val="57645893"/>
    <w:lvl w:ilvl="0" w:tentative="0">
      <w:start w:val="1"/>
      <w:numFmt w:val="decimal"/>
      <w:pStyle w:val="2288"/>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57C13D3F"/>
    <w:multiLevelType w:val="multilevel"/>
    <w:tmpl w:val="57C13D3F"/>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6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598A5572"/>
    <w:multiLevelType w:val="multilevel"/>
    <w:tmpl w:val="598A5572"/>
    <w:lvl w:ilvl="0" w:tentative="0">
      <w:start w:val="1"/>
      <w:numFmt w:val="decimal"/>
      <w:pStyle w:val="315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799"/>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5DDA2DC4"/>
    <w:multiLevelType w:val="multilevel"/>
    <w:tmpl w:val="5DDA2DC4"/>
    <w:lvl w:ilvl="0" w:tentative="0">
      <w:start w:val="1"/>
      <w:numFmt w:val="decimal"/>
      <w:lvlText w:val="表8－%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2647"/>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2">
    <w:nsid w:val="5E7F67F7"/>
    <w:multiLevelType w:val="multilevel"/>
    <w:tmpl w:val="5E7F67F7"/>
    <w:lvl w:ilvl="0" w:tentative="0">
      <w:start w:val="1"/>
      <w:numFmt w:val="decimal"/>
      <w:pStyle w:val="2860"/>
      <w:lvlText w:val="表11－%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3">
    <w:nsid w:val="61CD5155"/>
    <w:multiLevelType w:val="multilevel"/>
    <w:tmpl w:val="61CD5155"/>
    <w:lvl w:ilvl="0" w:tentative="0">
      <w:start w:val="1"/>
      <w:numFmt w:val="decimal"/>
      <w:pStyle w:val="302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628A14E2"/>
    <w:multiLevelType w:val="multilevel"/>
    <w:tmpl w:val="628A14E2"/>
    <w:lvl w:ilvl="0" w:tentative="0">
      <w:start w:val="1"/>
      <w:numFmt w:val="decimal"/>
      <w:lvlText w:val="表%1"/>
      <w:lvlJc w:val="left"/>
      <w:pPr>
        <w:ind w:left="574" w:hanging="432"/>
      </w:pPr>
      <w:rPr>
        <w:rFonts w:hint="eastAsia"/>
      </w:rPr>
    </w:lvl>
    <w:lvl w:ilvl="1" w:tentative="0">
      <w:start w:val="1"/>
      <w:numFmt w:val="decimal"/>
      <w:pStyle w:val="8"/>
      <w:lvlText w:val="%1.%2"/>
      <w:lvlJc w:val="left"/>
      <w:pPr>
        <w:ind w:left="576" w:hanging="576"/>
      </w:pPr>
    </w:lvl>
    <w:lvl w:ilvl="2" w:tentative="0">
      <w:start w:val="1"/>
      <w:numFmt w:val="decimal"/>
      <w:pStyle w:val="9"/>
      <w:lvlText w:val="%1.%2.%3"/>
      <w:lvlJc w:val="left"/>
      <w:pPr>
        <w:ind w:left="720" w:hanging="720"/>
      </w:pPr>
    </w:lvl>
    <w:lvl w:ilvl="3" w:tentative="0">
      <w:start w:val="1"/>
      <w:numFmt w:val="decimal"/>
      <w:pStyle w:val="10"/>
      <w:lvlText w:val="%1.%2.%3.%4"/>
      <w:lvlJc w:val="left"/>
      <w:pPr>
        <w:ind w:left="864" w:hanging="864"/>
      </w:pPr>
    </w:lvl>
    <w:lvl w:ilvl="4" w:tentative="0">
      <w:start w:val="1"/>
      <w:numFmt w:val="decimal"/>
      <w:pStyle w:val="11"/>
      <w:lvlText w:val="%1.%2.%3.%4.%5"/>
      <w:lvlJc w:val="left"/>
      <w:pPr>
        <w:ind w:left="1008" w:hanging="1008"/>
      </w:pPr>
    </w:lvl>
    <w:lvl w:ilvl="5" w:tentative="0">
      <w:start w:val="1"/>
      <w:numFmt w:val="decimal"/>
      <w:pStyle w:val="12"/>
      <w:lvlText w:val="%1.%2.%3.%4.%5.%6"/>
      <w:lvlJc w:val="left"/>
      <w:pPr>
        <w:ind w:left="1152" w:hanging="1152"/>
      </w:pPr>
    </w:lvl>
    <w:lvl w:ilvl="6" w:tentative="0">
      <w:start w:val="1"/>
      <w:numFmt w:val="decimal"/>
      <w:pStyle w:val="13"/>
      <w:lvlText w:val="%1.%2.%3.%4.%5.%6.%7"/>
      <w:lvlJc w:val="left"/>
      <w:pPr>
        <w:ind w:left="1296" w:hanging="1296"/>
      </w:pPr>
    </w:lvl>
    <w:lvl w:ilvl="7" w:tentative="0">
      <w:start w:val="1"/>
      <w:numFmt w:val="decimal"/>
      <w:pStyle w:val="14"/>
      <w:lvlText w:val="%1.%2.%3.%4.%5.%6.%7.%8"/>
      <w:lvlJc w:val="left"/>
      <w:pPr>
        <w:ind w:left="1440" w:hanging="1440"/>
      </w:pPr>
    </w:lvl>
    <w:lvl w:ilvl="8" w:tentative="0">
      <w:start w:val="1"/>
      <w:numFmt w:val="decimal"/>
      <w:pStyle w:val="15"/>
      <w:lvlText w:val="%1.%2.%3.%4.%5.%6.%7.%8.%9"/>
      <w:lvlJc w:val="left"/>
      <w:pPr>
        <w:ind w:left="1584" w:hanging="1584"/>
      </w:pPr>
    </w:lvl>
  </w:abstractNum>
  <w:abstractNum w:abstractNumId="75">
    <w:nsid w:val="628F63C3"/>
    <w:multiLevelType w:val="multilevel"/>
    <w:tmpl w:val="628F63C3"/>
    <w:lvl w:ilvl="0" w:tentative="0">
      <w:start w:val="1"/>
      <w:numFmt w:val="decimal"/>
      <w:pStyle w:val="3070"/>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2A10C16"/>
    <w:multiLevelType w:val="multilevel"/>
    <w:tmpl w:val="62A10C16"/>
    <w:lvl w:ilvl="0" w:tentative="0">
      <w:start w:val="1"/>
      <w:numFmt w:val="decimal"/>
      <w:pStyle w:val="3365"/>
      <w:lvlText w:val="表7－%1"/>
      <w:lvlJc w:val="center"/>
      <w:pPr>
        <w:tabs>
          <w:tab w:val="left" w:pos="0"/>
        </w:tabs>
        <w:ind w:left="0" w:firstLine="0"/>
      </w:pPr>
    </w:lvl>
    <w:lvl w:ilvl="1" w:tentative="0">
      <w:start w:val="1"/>
      <w:numFmt w:val="decimal"/>
      <w:pStyle w:val="3201"/>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7">
    <w:nsid w:val="62E7A36B"/>
    <w:multiLevelType w:val="singleLevel"/>
    <w:tmpl w:val="62E7A36B"/>
    <w:lvl w:ilvl="0" w:tentative="0">
      <w:start w:val="1"/>
      <w:numFmt w:val="decimal"/>
      <w:lvlText w:val="(%1)"/>
      <w:lvlJc w:val="left"/>
      <w:pPr>
        <w:tabs>
          <w:tab w:val="left" w:pos="312"/>
        </w:tabs>
      </w:pPr>
    </w:lvl>
  </w:abstractNum>
  <w:abstractNum w:abstractNumId="78">
    <w:nsid w:val="62F514A4"/>
    <w:multiLevelType w:val="multilevel"/>
    <w:tmpl w:val="62F514A4"/>
    <w:lvl w:ilvl="0" w:tentative="0">
      <w:start w:val="1"/>
      <w:numFmt w:val="decimalEnclosedCircle"/>
      <w:pStyle w:val="80"/>
      <w:lvlText w:val="%1"/>
      <w:lvlJc w:val="left"/>
      <w:pPr>
        <w:ind w:left="900" w:hanging="420"/>
      </w:pPr>
      <w:rPr>
        <w:rFonts w:hint="default" w:ascii="Times New Roman" w:hAnsi="Times New Roman"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63F61AE4"/>
    <w:multiLevelType w:val="multilevel"/>
    <w:tmpl w:val="63F61AE4"/>
    <w:lvl w:ilvl="0" w:tentative="0">
      <w:start w:val="1"/>
      <w:numFmt w:val="decimal"/>
      <w:pStyle w:val="2200"/>
      <w:lvlText w:val="%1.1"/>
      <w:lvlJc w:val="left"/>
      <w:pPr>
        <w:tabs>
          <w:tab w:val="left" w:pos="0"/>
        </w:tabs>
        <w:ind w:left="0" w:firstLine="0"/>
      </w:pPr>
      <w:rPr>
        <w:rFonts w:hint="eastAsia"/>
      </w:rPr>
    </w:lvl>
    <w:lvl w:ilvl="1" w:tentative="0">
      <w:start w:val="1"/>
      <w:numFmt w:val="decimal"/>
      <w:lvlText w:val="%1.%2"/>
      <w:lvlJc w:val="left"/>
      <w:pPr>
        <w:tabs>
          <w:tab w:val="left" w:pos="567"/>
        </w:tabs>
        <w:ind w:left="567" w:hanging="567"/>
      </w:pPr>
      <w:rPr>
        <w:rFonts w:hint="eastAsia"/>
        <w:sz w:val="28"/>
        <w:szCs w:val="28"/>
      </w:rPr>
    </w:lvl>
    <w:lvl w:ilvl="2" w:tentative="0">
      <w:start w:val="1"/>
      <w:numFmt w:val="decimal"/>
      <w:lvlText w:val="%1.%2.%3."/>
      <w:lvlJc w:val="left"/>
      <w:pPr>
        <w:tabs>
          <w:tab w:val="left" w:pos="-38"/>
        </w:tabs>
        <w:ind w:left="-38" w:hanging="709"/>
      </w:pPr>
      <w:rPr>
        <w:rFonts w:hint="eastAsia"/>
      </w:rPr>
    </w:lvl>
    <w:lvl w:ilvl="3" w:tentative="0">
      <w:start w:val="1"/>
      <w:numFmt w:val="decimal"/>
      <w:lvlText w:val="%1.%2.%3.%4."/>
      <w:lvlJc w:val="left"/>
      <w:pPr>
        <w:tabs>
          <w:tab w:val="left" w:pos="104"/>
        </w:tabs>
        <w:ind w:left="104" w:hanging="851"/>
      </w:pPr>
      <w:rPr>
        <w:rFonts w:hint="eastAsia"/>
      </w:rPr>
    </w:lvl>
    <w:lvl w:ilvl="4" w:tentative="0">
      <w:start w:val="1"/>
      <w:numFmt w:val="decimal"/>
      <w:lvlText w:val="%1.%2.%3.%4.%5."/>
      <w:lvlJc w:val="left"/>
      <w:pPr>
        <w:tabs>
          <w:tab w:val="left" w:pos="245"/>
        </w:tabs>
        <w:ind w:left="245" w:hanging="992"/>
      </w:pPr>
      <w:rPr>
        <w:rFonts w:hint="eastAsia"/>
      </w:rPr>
    </w:lvl>
    <w:lvl w:ilvl="5" w:tentative="0">
      <w:start w:val="1"/>
      <w:numFmt w:val="decimal"/>
      <w:lvlText w:val="%1.%2.%3.%4.%5.%6."/>
      <w:lvlJc w:val="left"/>
      <w:pPr>
        <w:tabs>
          <w:tab w:val="left" w:pos="387"/>
        </w:tabs>
        <w:ind w:left="387" w:hanging="1134"/>
      </w:pPr>
      <w:rPr>
        <w:rFonts w:hint="eastAsia"/>
      </w:rPr>
    </w:lvl>
    <w:lvl w:ilvl="6" w:tentative="0">
      <w:start w:val="1"/>
      <w:numFmt w:val="decimal"/>
      <w:lvlText w:val="%1.%2.%3.%4.%5.%6.%7."/>
      <w:lvlJc w:val="left"/>
      <w:pPr>
        <w:tabs>
          <w:tab w:val="left" w:pos="529"/>
        </w:tabs>
        <w:ind w:left="529" w:hanging="1276"/>
      </w:pPr>
      <w:rPr>
        <w:rFonts w:hint="eastAsia"/>
      </w:rPr>
    </w:lvl>
    <w:lvl w:ilvl="7" w:tentative="0">
      <w:start w:val="1"/>
      <w:numFmt w:val="decimal"/>
      <w:lvlText w:val="%1.%2.%3.%4.%5.%6.%7.%8."/>
      <w:lvlJc w:val="left"/>
      <w:pPr>
        <w:tabs>
          <w:tab w:val="left" w:pos="671"/>
        </w:tabs>
        <w:ind w:left="671" w:hanging="1418"/>
      </w:pPr>
      <w:rPr>
        <w:rFonts w:hint="eastAsia"/>
      </w:rPr>
    </w:lvl>
    <w:lvl w:ilvl="8" w:tentative="0">
      <w:start w:val="1"/>
      <w:numFmt w:val="decimal"/>
      <w:lvlText w:val="%1.%2.%3.%4.%5.%6.%7.%8.%9."/>
      <w:lvlJc w:val="left"/>
      <w:pPr>
        <w:tabs>
          <w:tab w:val="left" w:pos="812"/>
        </w:tabs>
        <w:ind w:left="812" w:hanging="1559"/>
      </w:pPr>
      <w:rPr>
        <w:rFonts w:hint="eastAsia"/>
      </w:rPr>
    </w:lvl>
  </w:abstractNum>
  <w:abstractNum w:abstractNumId="80">
    <w:nsid w:val="64793687"/>
    <w:multiLevelType w:val="multilevel"/>
    <w:tmpl w:val="64793687"/>
    <w:lvl w:ilvl="0" w:tentative="0">
      <w:start w:val="1"/>
      <w:numFmt w:val="decimal"/>
      <w:pStyle w:val="376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1735"/>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1">
    <w:nsid w:val="64892DBD"/>
    <w:multiLevelType w:val="multilevel"/>
    <w:tmpl w:val="64892DBD"/>
    <w:lvl w:ilvl="0" w:tentative="0">
      <w:start w:val="1"/>
      <w:numFmt w:val="decimal"/>
      <w:pStyle w:val="3726"/>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2">
    <w:nsid w:val="65134DCF"/>
    <w:multiLevelType w:val="multilevel"/>
    <w:tmpl w:val="65134DCF"/>
    <w:lvl w:ilvl="0" w:tentative="0">
      <w:start w:val="1"/>
      <w:numFmt w:val="decimal"/>
      <w:pStyle w:val="263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5DD160D"/>
    <w:multiLevelType w:val="multilevel"/>
    <w:tmpl w:val="65DD160D"/>
    <w:lvl w:ilvl="0" w:tentative="0">
      <w:start w:val="1"/>
      <w:numFmt w:val="decimalEnclosedCircle"/>
      <w:pStyle w:val="68"/>
      <w:lvlText w:val="%1"/>
      <w:lvlJc w:val="left"/>
      <w:pPr>
        <w:ind w:left="900" w:hanging="420"/>
      </w:pPr>
      <w:rPr>
        <w:rFonts w:hint="default" w:ascii="Times New Roman" w:hAnsi="Times New Roman"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4">
    <w:nsid w:val="666F0C6F"/>
    <w:multiLevelType w:val="multilevel"/>
    <w:tmpl w:val="666F0C6F"/>
    <w:lvl w:ilvl="0" w:tentative="0">
      <w:start w:val="1"/>
      <w:numFmt w:val="decimal"/>
      <w:pStyle w:val="365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5">
    <w:nsid w:val="68FB2E5C"/>
    <w:multiLevelType w:val="multilevel"/>
    <w:tmpl w:val="68FB2E5C"/>
    <w:lvl w:ilvl="0" w:tentative="0">
      <w:start w:val="1"/>
      <w:numFmt w:val="decimal"/>
      <w:lvlText w:val="表12－%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3484"/>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6">
    <w:nsid w:val="69F10199"/>
    <w:multiLevelType w:val="multilevel"/>
    <w:tmpl w:val="69F10199"/>
    <w:lvl w:ilvl="0" w:tentative="0">
      <w:start w:val="4"/>
      <w:numFmt w:val="decimal"/>
      <w:pStyle w:val="3136"/>
      <w:lvlText w:val="%1."/>
      <w:lvlJc w:val="left"/>
      <w:pPr>
        <w:ind w:left="425" w:hanging="425"/>
      </w:pPr>
      <w:rPr>
        <w:rFonts w:hint="eastAsia"/>
      </w:rPr>
    </w:lvl>
    <w:lvl w:ilvl="1" w:tentative="0">
      <w:start w:val="2"/>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6AE235D6"/>
    <w:multiLevelType w:val="multilevel"/>
    <w:tmpl w:val="6AE235D6"/>
    <w:lvl w:ilvl="0" w:tentative="0">
      <w:start w:val="1"/>
      <w:numFmt w:val="decimal"/>
      <w:pStyle w:val="380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6BDC2E65"/>
    <w:multiLevelType w:val="multilevel"/>
    <w:tmpl w:val="6BDC2E65"/>
    <w:lvl w:ilvl="0" w:tentative="0">
      <w:start w:val="1"/>
      <w:numFmt w:val="decimal"/>
      <w:pStyle w:val="282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6D814E45"/>
    <w:multiLevelType w:val="multilevel"/>
    <w:tmpl w:val="6D814E45"/>
    <w:lvl w:ilvl="0" w:tentative="0">
      <w:start w:val="1"/>
      <w:numFmt w:val="decimal"/>
      <w:pStyle w:val="233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6DBF04F4"/>
    <w:multiLevelType w:val="multilevel"/>
    <w:tmpl w:val="6DBF04F4"/>
    <w:lvl w:ilvl="0" w:tentative="0">
      <w:start w:val="1"/>
      <w:numFmt w:val="decimal"/>
      <w:pStyle w:val="17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6E434A9E"/>
    <w:multiLevelType w:val="multilevel"/>
    <w:tmpl w:val="6E434A9E"/>
    <w:lvl w:ilvl="0" w:tentative="0">
      <w:start w:val="1"/>
      <w:numFmt w:val="decimal"/>
      <w:pStyle w:val="2423"/>
      <w:lvlText w:val="表9－%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2">
    <w:nsid w:val="70D27049"/>
    <w:multiLevelType w:val="multilevel"/>
    <w:tmpl w:val="70D27049"/>
    <w:lvl w:ilvl="0" w:tentative="0">
      <w:start w:val="1"/>
      <w:numFmt w:val="bullet"/>
      <w:lvlText w:val=""/>
      <w:lvlJc w:val="left"/>
      <w:pPr>
        <w:tabs>
          <w:tab w:val="left" w:pos="1260"/>
        </w:tabs>
        <w:ind w:left="1260" w:hanging="360"/>
      </w:pPr>
      <w:rPr>
        <w:rFonts w:hint="default" w:ascii="Wingdings" w:hAnsi="Wingdings"/>
        <w:lang w:val="en-GB"/>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pStyle w:val="3603"/>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3">
    <w:nsid w:val="713E371E"/>
    <w:multiLevelType w:val="multilevel"/>
    <w:tmpl w:val="713E371E"/>
    <w:lvl w:ilvl="0" w:tentative="0">
      <w:start w:val="1"/>
      <w:numFmt w:val="chineseCountingThousand"/>
      <w:pStyle w:val="2884"/>
      <w:suff w:val="space"/>
      <w:lvlText w:val="%1、"/>
      <w:lvlJc w:val="left"/>
      <w:pPr>
        <w:ind w:left="0" w:firstLine="454"/>
      </w:pPr>
      <w:rPr>
        <w:rFonts w:hint="eastAsia"/>
      </w:rPr>
    </w:lvl>
    <w:lvl w:ilvl="1" w:tentative="0">
      <w:start w:val="1"/>
      <w:numFmt w:val="decimal"/>
      <w:lvlText w:val="%2、"/>
      <w:lvlJc w:val="left"/>
      <w:pPr>
        <w:tabs>
          <w:tab w:val="left" w:pos="720"/>
        </w:tabs>
        <w:ind w:left="0" w:firstLine="0"/>
      </w:pPr>
      <w:rPr>
        <w:rFonts w:hint="eastAsia"/>
      </w:rPr>
    </w:lvl>
    <w:lvl w:ilvl="2" w:tentative="0">
      <w:start w:val="1"/>
      <w:numFmt w:val="decimal"/>
      <w:suff w:val="space"/>
      <w:lvlText w:val="（%3）"/>
      <w:lvlJc w:val="left"/>
      <w:pPr>
        <w:ind w:left="0" w:firstLine="0"/>
      </w:pPr>
      <w:rPr>
        <w:rFonts w:hint="eastAsia"/>
      </w:rPr>
    </w:lvl>
    <w:lvl w:ilvl="3" w:tentative="0">
      <w:start w:val="1"/>
      <w:numFmt w:val="decimal"/>
      <w:suff w:val="space"/>
      <w:lvlText w:val="%4、"/>
      <w:lvlJc w:val="left"/>
      <w:pPr>
        <w:ind w:left="0" w:firstLine="454"/>
      </w:pPr>
      <w:rPr>
        <w:rFonts w:hint="eastAsia"/>
      </w:rPr>
    </w:lvl>
    <w:lvl w:ilvl="4" w:tentative="0">
      <w:start w:val="1"/>
      <w:numFmt w:val="decimal"/>
      <w:suff w:val="space"/>
      <w:lvlText w:val="（%5）、"/>
      <w:lvlJc w:val="left"/>
      <w:pPr>
        <w:ind w:left="0" w:firstLine="454"/>
      </w:pPr>
      <w:rPr>
        <w:rFonts w:hint="eastAsia"/>
      </w:rPr>
    </w:lvl>
    <w:lvl w:ilvl="5" w:tentative="0">
      <w:start w:val="1"/>
      <w:numFmt w:val="none"/>
      <w:suff w:val="nothing"/>
      <w:lvlText w:val=""/>
      <w:lvlJc w:val="left"/>
      <w:pPr>
        <w:ind w:left="800" w:firstLine="0"/>
      </w:pPr>
      <w:rPr>
        <w:rFonts w:hint="eastAsia"/>
      </w:rPr>
    </w:lvl>
    <w:lvl w:ilvl="6" w:tentative="0">
      <w:start w:val="1"/>
      <w:numFmt w:val="none"/>
      <w:suff w:val="nothing"/>
      <w:lvlText w:val=""/>
      <w:lvlJc w:val="left"/>
      <w:pPr>
        <w:ind w:left="800" w:firstLine="0"/>
      </w:pPr>
      <w:rPr>
        <w:rFonts w:hint="eastAsia"/>
      </w:rPr>
    </w:lvl>
    <w:lvl w:ilvl="7" w:tentative="0">
      <w:start w:val="1"/>
      <w:numFmt w:val="none"/>
      <w:suff w:val="nothing"/>
      <w:lvlText w:val=""/>
      <w:lvlJc w:val="left"/>
      <w:pPr>
        <w:ind w:left="800" w:firstLine="0"/>
      </w:pPr>
      <w:rPr>
        <w:rFonts w:hint="eastAsia"/>
      </w:rPr>
    </w:lvl>
    <w:lvl w:ilvl="8" w:tentative="0">
      <w:start w:val="1"/>
      <w:numFmt w:val="none"/>
      <w:suff w:val="nothing"/>
      <w:lvlText w:val=""/>
      <w:lvlJc w:val="left"/>
      <w:pPr>
        <w:ind w:left="800" w:firstLine="0"/>
      </w:pPr>
      <w:rPr>
        <w:rFonts w:hint="eastAsia"/>
      </w:rPr>
    </w:lvl>
  </w:abstractNum>
  <w:abstractNum w:abstractNumId="94">
    <w:nsid w:val="71AC1274"/>
    <w:multiLevelType w:val="multilevel"/>
    <w:tmpl w:val="71AC1274"/>
    <w:lvl w:ilvl="0" w:tentative="0">
      <w:start w:val="1"/>
      <w:numFmt w:val="decimal"/>
      <w:pStyle w:val="281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71E94800"/>
    <w:multiLevelType w:val="multilevel"/>
    <w:tmpl w:val="71E94800"/>
    <w:lvl w:ilvl="0" w:tentative="0">
      <w:start w:val="1"/>
      <w:numFmt w:val="upperRoman"/>
      <w:pStyle w:val="1151"/>
      <w:lvlText w:val="%1."/>
      <w:lvlJc w:val="left"/>
      <w:pPr>
        <w:ind w:left="840" w:hanging="420"/>
      </w:pPr>
      <w:rPr>
        <w:rFonts w:hint="eastAsia"/>
      </w:rPr>
    </w:lvl>
    <w:lvl w:ilvl="1" w:tentative="0">
      <w:start w:val="1"/>
      <w:numFmt w:val="upperRoman"/>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75D52B5E"/>
    <w:multiLevelType w:val="multilevel"/>
    <w:tmpl w:val="75D52B5E"/>
    <w:lvl w:ilvl="0" w:tentative="0">
      <w:start w:val="4"/>
      <w:numFmt w:val="decimal"/>
      <w:lvlText w:val="%1."/>
      <w:lvlJc w:val="left"/>
      <w:pPr>
        <w:ind w:left="425" w:hanging="425"/>
      </w:pPr>
      <w:rPr>
        <w:rFonts w:hint="eastAsia"/>
      </w:rPr>
    </w:lvl>
    <w:lvl w:ilvl="1" w:tentative="0">
      <w:start w:val="1"/>
      <w:numFmt w:val="decimal"/>
      <w:pStyle w:val="3767"/>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7">
    <w:nsid w:val="762A71A4"/>
    <w:multiLevelType w:val="multilevel"/>
    <w:tmpl w:val="762A71A4"/>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64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8">
    <w:nsid w:val="767C5471"/>
    <w:multiLevelType w:val="multilevel"/>
    <w:tmpl w:val="767C5471"/>
    <w:lvl w:ilvl="0" w:tentative="0">
      <w:start w:val="4"/>
      <w:numFmt w:val="decimal"/>
      <w:pStyle w:val="1951"/>
      <w:lvlText w:val="%1."/>
      <w:lvlJc w:val="left"/>
      <w:pPr>
        <w:ind w:left="425" w:hanging="425"/>
      </w:pPr>
      <w:rPr>
        <w:rFonts w:hint="eastAsia"/>
      </w:rPr>
    </w:lvl>
    <w:lvl w:ilvl="1" w:tentative="0">
      <w:start w:val="3"/>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76D63FC1"/>
    <w:multiLevelType w:val="multilevel"/>
    <w:tmpl w:val="76D63FC1"/>
    <w:lvl w:ilvl="0" w:tentative="0">
      <w:start w:val="1"/>
      <w:numFmt w:val="decimal"/>
      <w:pStyle w:val="3407"/>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571"/>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5136"/>
        </w:tabs>
        <w:ind w:left="4394" w:hanging="1418"/>
      </w:pPr>
    </w:lvl>
    <w:lvl w:ilvl="8" w:tentative="0">
      <w:start w:val="1"/>
      <w:numFmt w:val="decimal"/>
      <w:lvlText w:val="%1.%2.%3.%4.%5.%6.%7.%8.%9"/>
      <w:lvlJc w:val="left"/>
      <w:pPr>
        <w:tabs>
          <w:tab w:val="left" w:pos="5562"/>
        </w:tabs>
        <w:ind w:left="5102" w:hanging="1700"/>
      </w:pPr>
    </w:lvl>
  </w:abstractNum>
  <w:abstractNum w:abstractNumId="100">
    <w:nsid w:val="78AC367B"/>
    <w:multiLevelType w:val="multilevel"/>
    <w:tmpl w:val="78AC367B"/>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9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1">
    <w:nsid w:val="7CD24886"/>
    <w:multiLevelType w:val="multilevel"/>
    <w:tmpl w:val="7CD24886"/>
    <w:lvl w:ilvl="0" w:tentative="0">
      <w:start w:val="8"/>
      <w:numFmt w:val="decimal"/>
      <w:lvlText w:val="%1"/>
      <w:lvlJc w:val="left"/>
      <w:pPr>
        <w:tabs>
          <w:tab w:val="left" w:pos="360"/>
        </w:tabs>
        <w:ind w:left="0" w:firstLine="0"/>
      </w:pPr>
      <w:rPr>
        <w:rFonts w:hint="default" w:ascii="Times New Roman" w:hAnsi="Times New Roman" w:eastAsia="黑体" w:cs="Times New Roman"/>
        <w:b/>
        <w:i w:val="0"/>
        <w:spacing w:val="0"/>
        <w:w w:val="100"/>
        <w:position w:val="0"/>
        <w:sz w:val="44"/>
        <w:szCs w:val="44"/>
      </w:rPr>
    </w:lvl>
    <w:lvl w:ilvl="1" w:tentative="0">
      <w:start w:val="1"/>
      <w:numFmt w:val="decimal"/>
      <w:lvlText w:val="%1.%2"/>
      <w:lvlJc w:val="left"/>
      <w:pPr>
        <w:tabs>
          <w:tab w:val="left" w:pos="0"/>
        </w:tabs>
        <w:ind w:left="0" w:firstLine="0"/>
      </w:pPr>
      <w:rPr>
        <w:rFonts w:hint="default" w:ascii="Times New Roman" w:hAnsi="Times New Roman" w:cs="Times New Roman"/>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color w:val="auto"/>
      </w:rPr>
    </w:lvl>
    <w:lvl w:ilvl="3" w:tentative="0">
      <w:start w:val="1"/>
      <w:numFmt w:val="decimal"/>
      <w:pStyle w:val="3523"/>
      <w:lvlText w:val="%1.%2.%3.%4"/>
      <w:lvlJc w:val="left"/>
      <w:pPr>
        <w:tabs>
          <w:tab w:val="left" w:pos="1680"/>
        </w:tabs>
        <w:ind w:left="1680" w:firstLine="0"/>
      </w:pPr>
      <w:rPr>
        <w:rFonts w:hint="default" w:ascii="Times New Roman" w:hAnsi="Times New Roman" w:cs="Times New Roman"/>
      </w:r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102">
    <w:nsid w:val="7F8F5B0D"/>
    <w:multiLevelType w:val="multilevel"/>
    <w:tmpl w:val="7F8F5B0D"/>
    <w:lvl w:ilvl="0" w:tentative="0">
      <w:start w:val="1"/>
      <w:numFmt w:val="chineseCountingThousand"/>
      <w:pStyle w:val="3548"/>
      <w:lvlText w:val="第%1条."/>
      <w:lvlJc w:val="right"/>
      <w:pPr>
        <w:tabs>
          <w:tab w:val="left" w:pos="1260"/>
        </w:tabs>
        <w:ind w:left="1260" w:hanging="420"/>
      </w:pPr>
      <w:rPr>
        <w:rFonts w:hint="eastAsia"/>
        <w:b/>
        <w:i w:val="0"/>
      </w:rPr>
    </w:lvl>
    <w:lvl w:ilvl="1" w:tentative="0">
      <w:start w:val="1"/>
      <w:numFmt w:val="decimal"/>
      <w:lvlText w:val="%2."/>
      <w:lvlJc w:val="left"/>
      <w:pPr>
        <w:tabs>
          <w:tab w:val="left" w:pos="1304"/>
        </w:tabs>
        <w:ind w:left="1304" w:hanging="737"/>
      </w:pPr>
      <w:rPr>
        <w:rFonts w:hint="default"/>
        <w:b/>
        <w:i w:val="0"/>
      </w:rPr>
    </w:lvl>
    <w:lvl w:ilvl="2" w:tentative="0">
      <w:start w:val="1"/>
      <w:numFmt w:val="lowerRoman"/>
      <w:lvlText w:val="%3."/>
      <w:lvlJc w:val="right"/>
      <w:pPr>
        <w:tabs>
          <w:tab w:val="left" w:pos="1200"/>
        </w:tabs>
        <w:ind w:left="1200" w:hanging="420"/>
      </w:pPr>
    </w:lvl>
    <w:lvl w:ilvl="3" w:tentative="0">
      <w:start w:val="1"/>
      <w:numFmt w:val="decimal"/>
      <w:lvlText w:val="%4．"/>
      <w:lvlJc w:val="left"/>
      <w:pPr>
        <w:tabs>
          <w:tab w:val="left" w:pos="1560"/>
        </w:tabs>
        <w:ind w:left="1560" w:hanging="360"/>
      </w:pPr>
      <w:rPr>
        <w:rFonts w:hint="eastAsia"/>
      </w:rPr>
    </w:lvl>
    <w:lvl w:ilvl="4" w:tentative="0">
      <w:start w:val="1"/>
      <w:numFmt w:val="lowerLetter"/>
      <w:lvlText w:val="%5)"/>
      <w:lvlJc w:val="left"/>
      <w:pPr>
        <w:tabs>
          <w:tab w:val="left" w:pos="2040"/>
        </w:tabs>
        <w:ind w:left="204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880"/>
        </w:tabs>
        <w:ind w:left="2880" w:hanging="420"/>
      </w:pPr>
    </w:lvl>
    <w:lvl w:ilvl="7" w:tentative="0">
      <w:start w:val="1"/>
      <w:numFmt w:val="lowerLetter"/>
      <w:lvlText w:val="%8)"/>
      <w:lvlJc w:val="left"/>
      <w:pPr>
        <w:tabs>
          <w:tab w:val="left" w:pos="3300"/>
        </w:tabs>
        <w:ind w:left="3300" w:hanging="420"/>
      </w:pPr>
    </w:lvl>
    <w:lvl w:ilvl="8" w:tentative="0">
      <w:start w:val="1"/>
      <w:numFmt w:val="lowerRoman"/>
      <w:lvlText w:val="%9."/>
      <w:lvlJc w:val="right"/>
      <w:pPr>
        <w:tabs>
          <w:tab w:val="left" w:pos="3720"/>
        </w:tabs>
        <w:ind w:left="3720" w:hanging="420"/>
      </w:pPr>
    </w:lvl>
  </w:abstractNum>
  <w:num w:numId="1">
    <w:abstractNumId w:val="74"/>
  </w:num>
  <w:num w:numId="2">
    <w:abstractNumId w:val="63"/>
  </w:num>
  <w:num w:numId="3">
    <w:abstractNumId w:val="60"/>
  </w:num>
  <w:num w:numId="4">
    <w:abstractNumId w:val="83"/>
  </w:num>
  <w:num w:numId="5">
    <w:abstractNumId w:val="78"/>
  </w:num>
  <w:num w:numId="6">
    <w:abstractNumId w:val="33"/>
  </w:num>
  <w:num w:numId="7">
    <w:abstractNumId w:val="44"/>
  </w:num>
  <w:num w:numId="8">
    <w:abstractNumId w:val="28"/>
  </w:num>
  <w:num w:numId="9">
    <w:abstractNumId w:val="46"/>
  </w:num>
  <w:num w:numId="10">
    <w:abstractNumId w:val="95"/>
  </w:num>
  <w:num w:numId="11">
    <w:abstractNumId w:val="51"/>
  </w:num>
  <w:num w:numId="12">
    <w:abstractNumId w:val="65"/>
  </w:num>
  <w:num w:numId="13">
    <w:abstractNumId w:val="6"/>
  </w:num>
  <w:num w:numId="14">
    <w:abstractNumId w:val="80"/>
  </w:num>
  <w:num w:numId="15">
    <w:abstractNumId w:val="17"/>
  </w:num>
  <w:num w:numId="16">
    <w:abstractNumId w:val="90"/>
  </w:num>
  <w:num w:numId="17">
    <w:abstractNumId w:val="18"/>
  </w:num>
  <w:num w:numId="18">
    <w:abstractNumId w:val="57"/>
  </w:num>
  <w:num w:numId="19">
    <w:abstractNumId w:val="54"/>
  </w:num>
  <w:num w:numId="20">
    <w:abstractNumId w:val="8"/>
  </w:num>
  <w:num w:numId="21">
    <w:abstractNumId w:val="25"/>
  </w:num>
  <w:num w:numId="22">
    <w:abstractNumId w:val="98"/>
  </w:num>
  <w:num w:numId="23">
    <w:abstractNumId w:val="19"/>
  </w:num>
  <w:num w:numId="24">
    <w:abstractNumId w:val="52"/>
  </w:num>
  <w:num w:numId="25">
    <w:abstractNumId w:val="67"/>
  </w:num>
  <w:num w:numId="26">
    <w:abstractNumId w:val="38"/>
  </w:num>
  <w:num w:numId="27">
    <w:abstractNumId w:val="34"/>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53"/>
  </w:num>
  <w:num w:numId="31">
    <w:abstractNumId w:val="79"/>
  </w:num>
  <w:num w:numId="32">
    <w:abstractNumId w:val="15"/>
  </w:num>
  <w:num w:numId="33">
    <w:abstractNumId w:val="30"/>
  </w:num>
  <w:num w:numId="34">
    <w:abstractNumId w:val="66"/>
  </w:num>
  <w:num w:numId="35">
    <w:abstractNumId w:val="1"/>
  </w:num>
  <w:num w:numId="36">
    <w:abstractNumId w:val="68"/>
  </w:num>
  <w:num w:numId="37">
    <w:abstractNumId w:val="89"/>
  </w:num>
  <w:num w:numId="38">
    <w:abstractNumId w:val="61"/>
  </w:num>
  <w:num w:numId="39">
    <w:abstractNumId w:val="45"/>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3"/>
  </w:num>
  <w:num w:numId="43">
    <w:abstractNumId w:val="5"/>
  </w:num>
  <w:num w:numId="44">
    <w:abstractNumId w:val="11"/>
  </w:num>
  <w:num w:numId="45">
    <w:abstractNumId w:val="100"/>
  </w:num>
  <w:num w:numId="46">
    <w:abstractNumId w:val="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48"/>
  </w:num>
  <w:num w:numId="51">
    <w:abstractNumId w:val="22"/>
  </w:num>
  <w:num w:numId="52">
    <w:abstractNumId w:val="7"/>
  </w:num>
  <w:num w:numId="53">
    <w:abstractNumId w:val="36"/>
  </w:num>
  <w:num w:numId="54">
    <w:abstractNumId w:val="23"/>
  </w:num>
  <w:num w:numId="55">
    <w:abstractNumId w:val="70"/>
  </w:num>
  <w:num w:numId="56">
    <w:abstractNumId w:val="13"/>
  </w:num>
  <w:num w:numId="57">
    <w:abstractNumId w:val="94"/>
  </w:num>
  <w:num w:numId="58">
    <w:abstractNumId w:val="88"/>
  </w:num>
  <w:num w:numId="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58"/>
  </w:num>
  <w:num w:numId="62">
    <w:abstractNumId w:val="93"/>
  </w:num>
  <w:num w:numId="63">
    <w:abstractNumId w:val="42"/>
  </w:num>
  <w:num w:numId="64">
    <w:abstractNumId w:val="10"/>
  </w:num>
  <w:num w:numId="65">
    <w:abstractNumId w:val="73"/>
  </w:num>
  <w:num w:numId="66">
    <w:abstractNumId w:val="20"/>
  </w:num>
  <w:num w:numId="67">
    <w:abstractNumId w:val="75"/>
  </w:num>
  <w:num w:numId="68">
    <w:abstractNumId w:val="59"/>
  </w:num>
  <w:num w:numId="69">
    <w:abstractNumId w:val="86"/>
  </w:num>
  <w:num w:numId="70">
    <w:abstractNumId w:val="16"/>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num>
  <w:num w:numId="73">
    <w:abstractNumId w:val="14"/>
  </w:num>
  <w:num w:numId="74">
    <w:abstractNumId w:val="39"/>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num>
  <w:num w:numId="77">
    <w:abstractNumId w:val="31"/>
  </w:num>
  <w:num w:numId="78">
    <w:abstractNumId w:val="50"/>
  </w:num>
  <w:num w:numId="79">
    <w:abstractNumId w:val="99"/>
  </w:num>
  <w:num w:numId="80">
    <w:abstractNumId w:val="56"/>
  </w:num>
  <w:num w:numId="81">
    <w:abstractNumId w:val="69"/>
  </w:num>
  <w:num w:numId="8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num>
  <w:num w:numId="84">
    <w:abstractNumId w:val="10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num>
  <w:num w:numId="86">
    <w:abstractNumId w:val="92"/>
  </w:num>
  <w:num w:numId="87">
    <w:abstractNumId w:val="37"/>
  </w:num>
  <w:num w:numId="88">
    <w:abstractNumId w:val="27"/>
  </w:num>
  <w:num w:numId="89">
    <w:abstractNumId w:val="35"/>
  </w:num>
  <w:num w:numId="90">
    <w:abstractNumId w:val="97"/>
  </w:num>
  <w:num w:numId="91">
    <w:abstractNumId w:val="84"/>
  </w:num>
  <w:num w:numId="92">
    <w:abstractNumId w:val="3"/>
  </w:num>
  <w:num w:numId="93">
    <w:abstractNumId w:val="4"/>
  </w:num>
  <w:num w:numId="94">
    <w:abstractNumId w:val="21"/>
  </w:num>
  <w:num w:numId="95">
    <w:abstractNumId w:val="81"/>
  </w:num>
  <w:num w:numId="96">
    <w:abstractNumId w:val="96"/>
  </w:num>
  <w:num w:numId="97">
    <w:abstractNumId w:val="87"/>
  </w:num>
  <w:num w:numId="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4"/>
  </w:num>
  <w:num w:numId="101">
    <w:abstractNumId w:val="40"/>
  </w:num>
  <w:num w:numId="102">
    <w:abstractNumId w:val="0"/>
  </w:num>
  <w:num w:numId="103">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ZjZjYTJiMmJhNTg4ZDk5MDFiZjg3YTY3YWM0MWYifQ=="/>
  </w:docVars>
  <w:rsids>
    <w:rsidRoot w:val="00A14947"/>
    <w:rsid w:val="00000459"/>
    <w:rsid w:val="00000508"/>
    <w:rsid w:val="00000D5B"/>
    <w:rsid w:val="000014F3"/>
    <w:rsid w:val="0000161C"/>
    <w:rsid w:val="00001BC6"/>
    <w:rsid w:val="00001D6A"/>
    <w:rsid w:val="0000474C"/>
    <w:rsid w:val="00004A63"/>
    <w:rsid w:val="00005377"/>
    <w:rsid w:val="00005E54"/>
    <w:rsid w:val="000060B3"/>
    <w:rsid w:val="0000764B"/>
    <w:rsid w:val="00007BF3"/>
    <w:rsid w:val="000106A3"/>
    <w:rsid w:val="00011682"/>
    <w:rsid w:val="0001257B"/>
    <w:rsid w:val="000151CF"/>
    <w:rsid w:val="00016D9E"/>
    <w:rsid w:val="00020217"/>
    <w:rsid w:val="00020B91"/>
    <w:rsid w:val="00021656"/>
    <w:rsid w:val="00022D13"/>
    <w:rsid w:val="00023462"/>
    <w:rsid w:val="00023790"/>
    <w:rsid w:val="00023A70"/>
    <w:rsid w:val="000241C4"/>
    <w:rsid w:val="000243D1"/>
    <w:rsid w:val="000249D6"/>
    <w:rsid w:val="00024BD1"/>
    <w:rsid w:val="00024D4C"/>
    <w:rsid w:val="00025422"/>
    <w:rsid w:val="00025E07"/>
    <w:rsid w:val="00027C3B"/>
    <w:rsid w:val="00030AB2"/>
    <w:rsid w:val="00030C6F"/>
    <w:rsid w:val="00030E02"/>
    <w:rsid w:val="0003143F"/>
    <w:rsid w:val="00031D4E"/>
    <w:rsid w:val="000324CD"/>
    <w:rsid w:val="00032FFA"/>
    <w:rsid w:val="0003423D"/>
    <w:rsid w:val="00034EC3"/>
    <w:rsid w:val="0003657D"/>
    <w:rsid w:val="00036F5F"/>
    <w:rsid w:val="00036FEB"/>
    <w:rsid w:val="0003784C"/>
    <w:rsid w:val="00037E3B"/>
    <w:rsid w:val="00040206"/>
    <w:rsid w:val="000406A2"/>
    <w:rsid w:val="00040DD2"/>
    <w:rsid w:val="000411F9"/>
    <w:rsid w:val="0004199C"/>
    <w:rsid w:val="00041CC2"/>
    <w:rsid w:val="00042A52"/>
    <w:rsid w:val="00042F64"/>
    <w:rsid w:val="0004356B"/>
    <w:rsid w:val="0004364B"/>
    <w:rsid w:val="00043A5E"/>
    <w:rsid w:val="0004485B"/>
    <w:rsid w:val="00044F9F"/>
    <w:rsid w:val="00045053"/>
    <w:rsid w:val="0004541A"/>
    <w:rsid w:val="000454F9"/>
    <w:rsid w:val="00046570"/>
    <w:rsid w:val="00046A25"/>
    <w:rsid w:val="00050093"/>
    <w:rsid w:val="00050B03"/>
    <w:rsid w:val="0005312E"/>
    <w:rsid w:val="00053212"/>
    <w:rsid w:val="000549D5"/>
    <w:rsid w:val="00054E84"/>
    <w:rsid w:val="00056272"/>
    <w:rsid w:val="000563E8"/>
    <w:rsid w:val="000567DD"/>
    <w:rsid w:val="00056F59"/>
    <w:rsid w:val="000579DD"/>
    <w:rsid w:val="00057FEE"/>
    <w:rsid w:val="00060F80"/>
    <w:rsid w:val="0006177B"/>
    <w:rsid w:val="00061B1F"/>
    <w:rsid w:val="00061C45"/>
    <w:rsid w:val="00062312"/>
    <w:rsid w:val="000624A0"/>
    <w:rsid w:val="000633F2"/>
    <w:rsid w:val="00063634"/>
    <w:rsid w:val="00064D15"/>
    <w:rsid w:val="000653F2"/>
    <w:rsid w:val="00066CBA"/>
    <w:rsid w:val="00066F5B"/>
    <w:rsid w:val="000673DA"/>
    <w:rsid w:val="000676CE"/>
    <w:rsid w:val="00067BB5"/>
    <w:rsid w:val="00070555"/>
    <w:rsid w:val="0007083E"/>
    <w:rsid w:val="00070D37"/>
    <w:rsid w:val="00070F78"/>
    <w:rsid w:val="000733C4"/>
    <w:rsid w:val="00073C4F"/>
    <w:rsid w:val="00074353"/>
    <w:rsid w:val="00074783"/>
    <w:rsid w:val="000747D1"/>
    <w:rsid w:val="00074AEC"/>
    <w:rsid w:val="0007513E"/>
    <w:rsid w:val="000752B7"/>
    <w:rsid w:val="00075528"/>
    <w:rsid w:val="00075974"/>
    <w:rsid w:val="00075F9B"/>
    <w:rsid w:val="00076ADE"/>
    <w:rsid w:val="00076FF2"/>
    <w:rsid w:val="00077667"/>
    <w:rsid w:val="000776AC"/>
    <w:rsid w:val="0007775B"/>
    <w:rsid w:val="00077A2D"/>
    <w:rsid w:val="00077B4D"/>
    <w:rsid w:val="000802F5"/>
    <w:rsid w:val="0008070B"/>
    <w:rsid w:val="000810AC"/>
    <w:rsid w:val="000811F0"/>
    <w:rsid w:val="00081947"/>
    <w:rsid w:val="00081980"/>
    <w:rsid w:val="00081A02"/>
    <w:rsid w:val="00082231"/>
    <w:rsid w:val="00083234"/>
    <w:rsid w:val="0008494F"/>
    <w:rsid w:val="00084E43"/>
    <w:rsid w:val="0008566C"/>
    <w:rsid w:val="0008583B"/>
    <w:rsid w:val="0008691D"/>
    <w:rsid w:val="0008748A"/>
    <w:rsid w:val="00087E39"/>
    <w:rsid w:val="00087E47"/>
    <w:rsid w:val="0009050B"/>
    <w:rsid w:val="00090A99"/>
    <w:rsid w:val="00091647"/>
    <w:rsid w:val="00091F52"/>
    <w:rsid w:val="00092D38"/>
    <w:rsid w:val="00092DB3"/>
    <w:rsid w:val="0009377B"/>
    <w:rsid w:val="00094833"/>
    <w:rsid w:val="000948AD"/>
    <w:rsid w:val="0009560B"/>
    <w:rsid w:val="00095DDB"/>
    <w:rsid w:val="000961BC"/>
    <w:rsid w:val="00097229"/>
    <w:rsid w:val="00097DD7"/>
    <w:rsid w:val="00097EB2"/>
    <w:rsid w:val="000A0132"/>
    <w:rsid w:val="000A09CA"/>
    <w:rsid w:val="000A10BF"/>
    <w:rsid w:val="000A12DF"/>
    <w:rsid w:val="000A20C9"/>
    <w:rsid w:val="000A2499"/>
    <w:rsid w:val="000A2C86"/>
    <w:rsid w:val="000A2F94"/>
    <w:rsid w:val="000A39F2"/>
    <w:rsid w:val="000A4A9D"/>
    <w:rsid w:val="000A54BE"/>
    <w:rsid w:val="000A5627"/>
    <w:rsid w:val="000A5666"/>
    <w:rsid w:val="000A7399"/>
    <w:rsid w:val="000A7C0C"/>
    <w:rsid w:val="000A7E79"/>
    <w:rsid w:val="000B031C"/>
    <w:rsid w:val="000B058F"/>
    <w:rsid w:val="000B09BB"/>
    <w:rsid w:val="000B13A1"/>
    <w:rsid w:val="000B3309"/>
    <w:rsid w:val="000B4467"/>
    <w:rsid w:val="000B46C2"/>
    <w:rsid w:val="000B4DB9"/>
    <w:rsid w:val="000B54F5"/>
    <w:rsid w:val="000B57F1"/>
    <w:rsid w:val="000B6DEF"/>
    <w:rsid w:val="000C07E9"/>
    <w:rsid w:val="000C09AC"/>
    <w:rsid w:val="000C0EF5"/>
    <w:rsid w:val="000C0F04"/>
    <w:rsid w:val="000C1A84"/>
    <w:rsid w:val="000C22D9"/>
    <w:rsid w:val="000C2655"/>
    <w:rsid w:val="000C2A1E"/>
    <w:rsid w:val="000C2DD3"/>
    <w:rsid w:val="000C349C"/>
    <w:rsid w:val="000C37C3"/>
    <w:rsid w:val="000C47BF"/>
    <w:rsid w:val="000C5708"/>
    <w:rsid w:val="000C5D09"/>
    <w:rsid w:val="000C5F5B"/>
    <w:rsid w:val="000C72F1"/>
    <w:rsid w:val="000C7346"/>
    <w:rsid w:val="000C767F"/>
    <w:rsid w:val="000C7B65"/>
    <w:rsid w:val="000C7EE8"/>
    <w:rsid w:val="000D0273"/>
    <w:rsid w:val="000D06B2"/>
    <w:rsid w:val="000D0EA3"/>
    <w:rsid w:val="000D165A"/>
    <w:rsid w:val="000D1D50"/>
    <w:rsid w:val="000D25AE"/>
    <w:rsid w:val="000D2D14"/>
    <w:rsid w:val="000D2F5C"/>
    <w:rsid w:val="000D3511"/>
    <w:rsid w:val="000D398E"/>
    <w:rsid w:val="000D4A75"/>
    <w:rsid w:val="000D53E9"/>
    <w:rsid w:val="000D546C"/>
    <w:rsid w:val="000D5A44"/>
    <w:rsid w:val="000D6879"/>
    <w:rsid w:val="000D6ABD"/>
    <w:rsid w:val="000D6DD7"/>
    <w:rsid w:val="000D6F37"/>
    <w:rsid w:val="000D6FBF"/>
    <w:rsid w:val="000D7950"/>
    <w:rsid w:val="000E0858"/>
    <w:rsid w:val="000E0900"/>
    <w:rsid w:val="000E0A30"/>
    <w:rsid w:val="000E0CB5"/>
    <w:rsid w:val="000E13B1"/>
    <w:rsid w:val="000E1523"/>
    <w:rsid w:val="000E1964"/>
    <w:rsid w:val="000E1D3C"/>
    <w:rsid w:val="000E201F"/>
    <w:rsid w:val="000E2418"/>
    <w:rsid w:val="000E2944"/>
    <w:rsid w:val="000E3ED2"/>
    <w:rsid w:val="000E500D"/>
    <w:rsid w:val="000E553F"/>
    <w:rsid w:val="000E60A8"/>
    <w:rsid w:val="000E6BA3"/>
    <w:rsid w:val="000E6DB8"/>
    <w:rsid w:val="000E791C"/>
    <w:rsid w:val="000E7AB0"/>
    <w:rsid w:val="000F0E81"/>
    <w:rsid w:val="000F12DA"/>
    <w:rsid w:val="000F180A"/>
    <w:rsid w:val="000F2EAE"/>
    <w:rsid w:val="000F3411"/>
    <w:rsid w:val="000F393A"/>
    <w:rsid w:val="000F3CD7"/>
    <w:rsid w:val="000F3DE4"/>
    <w:rsid w:val="000F45F0"/>
    <w:rsid w:val="000F524B"/>
    <w:rsid w:val="000F5989"/>
    <w:rsid w:val="000F5E1B"/>
    <w:rsid w:val="000F5E7B"/>
    <w:rsid w:val="000F72DE"/>
    <w:rsid w:val="001005D1"/>
    <w:rsid w:val="0010153D"/>
    <w:rsid w:val="00101582"/>
    <w:rsid w:val="00101D55"/>
    <w:rsid w:val="00102510"/>
    <w:rsid w:val="00103C66"/>
    <w:rsid w:val="0010405B"/>
    <w:rsid w:val="00105BA7"/>
    <w:rsid w:val="001071CF"/>
    <w:rsid w:val="0011068F"/>
    <w:rsid w:val="00110882"/>
    <w:rsid w:val="00110AE2"/>
    <w:rsid w:val="00111162"/>
    <w:rsid w:val="00112416"/>
    <w:rsid w:val="0011303A"/>
    <w:rsid w:val="00113C2A"/>
    <w:rsid w:val="00114CA7"/>
    <w:rsid w:val="00115CD7"/>
    <w:rsid w:val="0011790E"/>
    <w:rsid w:val="00117944"/>
    <w:rsid w:val="00120DFD"/>
    <w:rsid w:val="001223AD"/>
    <w:rsid w:val="00122FDF"/>
    <w:rsid w:val="00123A0C"/>
    <w:rsid w:val="001241E2"/>
    <w:rsid w:val="00124E07"/>
    <w:rsid w:val="001250F5"/>
    <w:rsid w:val="00127C9E"/>
    <w:rsid w:val="00127D07"/>
    <w:rsid w:val="0013075E"/>
    <w:rsid w:val="00131779"/>
    <w:rsid w:val="00131F42"/>
    <w:rsid w:val="0013212D"/>
    <w:rsid w:val="00132670"/>
    <w:rsid w:val="00132883"/>
    <w:rsid w:val="00133CF4"/>
    <w:rsid w:val="001346D0"/>
    <w:rsid w:val="00134781"/>
    <w:rsid w:val="00134890"/>
    <w:rsid w:val="00135429"/>
    <w:rsid w:val="001357E7"/>
    <w:rsid w:val="001357F1"/>
    <w:rsid w:val="00135ABB"/>
    <w:rsid w:val="00135B9B"/>
    <w:rsid w:val="00135D89"/>
    <w:rsid w:val="00136BC1"/>
    <w:rsid w:val="00136BFD"/>
    <w:rsid w:val="0013727A"/>
    <w:rsid w:val="0013728A"/>
    <w:rsid w:val="00140FA8"/>
    <w:rsid w:val="001429B1"/>
    <w:rsid w:val="00142AA4"/>
    <w:rsid w:val="00142FEB"/>
    <w:rsid w:val="00143A2D"/>
    <w:rsid w:val="0014546E"/>
    <w:rsid w:val="00145A41"/>
    <w:rsid w:val="00146143"/>
    <w:rsid w:val="001462C7"/>
    <w:rsid w:val="0014727F"/>
    <w:rsid w:val="00147CBF"/>
    <w:rsid w:val="00150D4B"/>
    <w:rsid w:val="00150E61"/>
    <w:rsid w:val="00151675"/>
    <w:rsid w:val="0015170D"/>
    <w:rsid w:val="00151B3E"/>
    <w:rsid w:val="00152013"/>
    <w:rsid w:val="001525AC"/>
    <w:rsid w:val="0015397A"/>
    <w:rsid w:val="001542FF"/>
    <w:rsid w:val="00154802"/>
    <w:rsid w:val="001550C3"/>
    <w:rsid w:val="00155184"/>
    <w:rsid w:val="0015544D"/>
    <w:rsid w:val="00156BBD"/>
    <w:rsid w:val="00156C6C"/>
    <w:rsid w:val="00156D7D"/>
    <w:rsid w:val="00156F38"/>
    <w:rsid w:val="0015730E"/>
    <w:rsid w:val="00157435"/>
    <w:rsid w:val="001602E1"/>
    <w:rsid w:val="001603C1"/>
    <w:rsid w:val="0016085B"/>
    <w:rsid w:val="00160AB0"/>
    <w:rsid w:val="00161983"/>
    <w:rsid w:val="00162498"/>
    <w:rsid w:val="00162B47"/>
    <w:rsid w:val="0016330A"/>
    <w:rsid w:val="00163478"/>
    <w:rsid w:val="00163593"/>
    <w:rsid w:val="00163EF8"/>
    <w:rsid w:val="0016455D"/>
    <w:rsid w:val="00164779"/>
    <w:rsid w:val="0017028A"/>
    <w:rsid w:val="001705D5"/>
    <w:rsid w:val="00170937"/>
    <w:rsid w:val="00173FEA"/>
    <w:rsid w:val="001743EB"/>
    <w:rsid w:val="001746E8"/>
    <w:rsid w:val="00174C7C"/>
    <w:rsid w:val="0017504D"/>
    <w:rsid w:val="0017671A"/>
    <w:rsid w:val="00176A61"/>
    <w:rsid w:val="00176C75"/>
    <w:rsid w:val="00176DE8"/>
    <w:rsid w:val="00176F02"/>
    <w:rsid w:val="00177422"/>
    <w:rsid w:val="00177A39"/>
    <w:rsid w:val="001801D4"/>
    <w:rsid w:val="0018094E"/>
    <w:rsid w:val="00181259"/>
    <w:rsid w:val="00181455"/>
    <w:rsid w:val="001817A5"/>
    <w:rsid w:val="001820F1"/>
    <w:rsid w:val="00182368"/>
    <w:rsid w:val="00182442"/>
    <w:rsid w:val="00182C5B"/>
    <w:rsid w:val="00182D4E"/>
    <w:rsid w:val="00183614"/>
    <w:rsid w:val="001839B0"/>
    <w:rsid w:val="00184590"/>
    <w:rsid w:val="0018615E"/>
    <w:rsid w:val="00186285"/>
    <w:rsid w:val="00186B86"/>
    <w:rsid w:val="001870D1"/>
    <w:rsid w:val="0018781E"/>
    <w:rsid w:val="00187C85"/>
    <w:rsid w:val="00187FBA"/>
    <w:rsid w:val="00190241"/>
    <w:rsid w:val="0019034E"/>
    <w:rsid w:val="00190B99"/>
    <w:rsid w:val="00190DEC"/>
    <w:rsid w:val="0019262D"/>
    <w:rsid w:val="00193A82"/>
    <w:rsid w:val="00195198"/>
    <w:rsid w:val="001961DA"/>
    <w:rsid w:val="00196299"/>
    <w:rsid w:val="00196BC5"/>
    <w:rsid w:val="00197916"/>
    <w:rsid w:val="00197AD7"/>
    <w:rsid w:val="00197EAE"/>
    <w:rsid w:val="001A056C"/>
    <w:rsid w:val="001A0574"/>
    <w:rsid w:val="001A0782"/>
    <w:rsid w:val="001A1B35"/>
    <w:rsid w:val="001A1F4F"/>
    <w:rsid w:val="001A2944"/>
    <w:rsid w:val="001A460F"/>
    <w:rsid w:val="001A48A2"/>
    <w:rsid w:val="001A4E78"/>
    <w:rsid w:val="001A53BF"/>
    <w:rsid w:val="001A5DB7"/>
    <w:rsid w:val="001A6096"/>
    <w:rsid w:val="001A6A01"/>
    <w:rsid w:val="001A6BDB"/>
    <w:rsid w:val="001A6F61"/>
    <w:rsid w:val="001A70D7"/>
    <w:rsid w:val="001A7180"/>
    <w:rsid w:val="001A7548"/>
    <w:rsid w:val="001B02BA"/>
    <w:rsid w:val="001B0F26"/>
    <w:rsid w:val="001B1047"/>
    <w:rsid w:val="001B17BD"/>
    <w:rsid w:val="001B1AAB"/>
    <w:rsid w:val="001B3041"/>
    <w:rsid w:val="001B36EB"/>
    <w:rsid w:val="001B3A00"/>
    <w:rsid w:val="001B3DA0"/>
    <w:rsid w:val="001B3E4D"/>
    <w:rsid w:val="001B4186"/>
    <w:rsid w:val="001B46BE"/>
    <w:rsid w:val="001B5B62"/>
    <w:rsid w:val="001B5EEE"/>
    <w:rsid w:val="001B72B8"/>
    <w:rsid w:val="001B7938"/>
    <w:rsid w:val="001C04E0"/>
    <w:rsid w:val="001C1932"/>
    <w:rsid w:val="001C2AAF"/>
    <w:rsid w:val="001C334F"/>
    <w:rsid w:val="001C478B"/>
    <w:rsid w:val="001C5B6F"/>
    <w:rsid w:val="001C69B3"/>
    <w:rsid w:val="001C6EF6"/>
    <w:rsid w:val="001D04BF"/>
    <w:rsid w:val="001D053F"/>
    <w:rsid w:val="001D2B74"/>
    <w:rsid w:val="001D3409"/>
    <w:rsid w:val="001D35AB"/>
    <w:rsid w:val="001D37BB"/>
    <w:rsid w:val="001D41C1"/>
    <w:rsid w:val="001D4E11"/>
    <w:rsid w:val="001D5495"/>
    <w:rsid w:val="001D5595"/>
    <w:rsid w:val="001D6B24"/>
    <w:rsid w:val="001D71F4"/>
    <w:rsid w:val="001D7531"/>
    <w:rsid w:val="001D75D3"/>
    <w:rsid w:val="001D7874"/>
    <w:rsid w:val="001D7F22"/>
    <w:rsid w:val="001D7F6E"/>
    <w:rsid w:val="001E0458"/>
    <w:rsid w:val="001E04D1"/>
    <w:rsid w:val="001E07F9"/>
    <w:rsid w:val="001E0A37"/>
    <w:rsid w:val="001E0A71"/>
    <w:rsid w:val="001E1AA7"/>
    <w:rsid w:val="001E1E2B"/>
    <w:rsid w:val="001E3277"/>
    <w:rsid w:val="001E38DC"/>
    <w:rsid w:val="001E3FF7"/>
    <w:rsid w:val="001E5833"/>
    <w:rsid w:val="001E5911"/>
    <w:rsid w:val="001E5D47"/>
    <w:rsid w:val="001E6235"/>
    <w:rsid w:val="001E7002"/>
    <w:rsid w:val="001E7161"/>
    <w:rsid w:val="001E719E"/>
    <w:rsid w:val="001E7E8E"/>
    <w:rsid w:val="001F07A2"/>
    <w:rsid w:val="001F0F17"/>
    <w:rsid w:val="001F10F7"/>
    <w:rsid w:val="001F3056"/>
    <w:rsid w:val="001F31D6"/>
    <w:rsid w:val="001F3347"/>
    <w:rsid w:val="001F34A9"/>
    <w:rsid w:val="001F4A92"/>
    <w:rsid w:val="001F4E02"/>
    <w:rsid w:val="001F554E"/>
    <w:rsid w:val="001F62A7"/>
    <w:rsid w:val="001F659D"/>
    <w:rsid w:val="001F69E4"/>
    <w:rsid w:val="001F797C"/>
    <w:rsid w:val="002003AC"/>
    <w:rsid w:val="002004C4"/>
    <w:rsid w:val="002020F3"/>
    <w:rsid w:val="0020240E"/>
    <w:rsid w:val="00202B72"/>
    <w:rsid w:val="00203D97"/>
    <w:rsid w:val="00204532"/>
    <w:rsid w:val="00204D2C"/>
    <w:rsid w:val="0020645C"/>
    <w:rsid w:val="00206DC2"/>
    <w:rsid w:val="00207A65"/>
    <w:rsid w:val="00210CD8"/>
    <w:rsid w:val="00210D4A"/>
    <w:rsid w:val="00210E93"/>
    <w:rsid w:val="00211960"/>
    <w:rsid w:val="002123B0"/>
    <w:rsid w:val="002125B4"/>
    <w:rsid w:val="0021514C"/>
    <w:rsid w:val="0021518A"/>
    <w:rsid w:val="0021551E"/>
    <w:rsid w:val="002155B8"/>
    <w:rsid w:val="00215F7D"/>
    <w:rsid w:val="002163D3"/>
    <w:rsid w:val="00217892"/>
    <w:rsid w:val="00217D15"/>
    <w:rsid w:val="00223847"/>
    <w:rsid w:val="00223850"/>
    <w:rsid w:val="00224357"/>
    <w:rsid w:val="00224839"/>
    <w:rsid w:val="002249B2"/>
    <w:rsid w:val="00225057"/>
    <w:rsid w:val="00225897"/>
    <w:rsid w:val="00226574"/>
    <w:rsid w:val="00226870"/>
    <w:rsid w:val="00226C73"/>
    <w:rsid w:val="00227425"/>
    <w:rsid w:val="002278EC"/>
    <w:rsid w:val="002300A1"/>
    <w:rsid w:val="0023043F"/>
    <w:rsid w:val="0023083A"/>
    <w:rsid w:val="00231BF6"/>
    <w:rsid w:val="00231CB9"/>
    <w:rsid w:val="00231FE4"/>
    <w:rsid w:val="0023263D"/>
    <w:rsid w:val="0023280E"/>
    <w:rsid w:val="00232B3E"/>
    <w:rsid w:val="002341FE"/>
    <w:rsid w:val="00234B8F"/>
    <w:rsid w:val="002350EA"/>
    <w:rsid w:val="00235562"/>
    <w:rsid w:val="00235855"/>
    <w:rsid w:val="00236229"/>
    <w:rsid w:val="002377D1"/>
    <w:rsid w:val="00240771"/>
    <w:rsid w:val="0024183E"/>
    <w:rsid w:val="00242161"/>
    <w:rsid w:val="00242499"/>
    <w:rsid w:val="00242569"/>
    <w:rsid w:val="002429BD"/>
    <w:rsid w:val="00242F3A"/>
    <w:rsid w:val="00243939"/>
    <w:rsid w:val="0024398F"/>
    <w:rsid w:val="00243DF7"/>
    <w:rsid w:val="00243FD0"/>
    <w:rsid w:val="00244CA8"/>
    <w:rsid w:val="00245277"/>
    <w:rsid w:val="00245B5F"/>
    <w:rsid w:val="00246161"/>
    <w:rsid w:val="002462C8"/>
    <w:rsid w:val="0024712F"/>
    <w:rsid w:val="002479C3"/>
    <w:rsid w:val="00247F30"/>
    <w:rsid w:val="002506BC"/>
    <w:rsid w:val="00251348"/>
    <w:rsid w:val="0025204B"/>
    <w:rsid w:val="002526FD"/>
    <w:rsid w:val="0025343A"/>
    <w:rsid w:val="00253B14"/>
    <w:rsid w:val="00254345"/>
    <w:rsid w:val="00254BFB"/>
    <w:rsid w:val="00254D07"/>
    <w:rsid w:val="00255774"/>
    <w:rsid w:val="00255936"/>
    <w:rsid w:val="00257694"/>
    <w:rsid w:val="00257CF8"/>
    <w:rsid w:val="00257F8A"/>
    <w:rsid w:val="0026042A"/>
    <w:rsid w:val="00261510"/>
    <w:rsid w:val="002615C0"/>
    <w:rsid w:val="002637E7"/>
    <w:rsid w:val="0026422A"/>
    <w:rsid w:val="00264557"/>
    <w:rsid w:val="0026458D"/>
    <w:rsid w:val="00264F92"/>
    <w:rsid w:val="002652E2"/>
    <w:rsid w:val="00266EEB"/>
    <w:rsid w:val="0026750A"/>
    <w:rsid w:val="0026792A"/>
    <w:rsid w:val="00267AC8"/>
    <w:rsid w:val="00267F9A"/>
    <w:rsid w:val="0027221D"/>
    <w:rsid w:val="002729AF"/>
    <w:rsid w:val="00273031"/>
    <w:rsid w:val="00273137"/>
    <w:rsid w:val="0027328E"/>
    <w:rsid w:val="00274D05"/>
    <w:rsid w:val="00275462"/>
    <w:rsid w:val="00276F79"/>
    <w:rsid w:val="00277600"/>
    <w:rsid w:val="002801B0"/>
    <w:rsid w:val="002805AB"/>
    <w:rsid w:val="00280611"/>
    <w:rsid w:val="00280D01"/>
    <w:rsid w:val="002811A5"/>
    <w:rsid w:val="0028179B"/>
    <w:rsid w:val="00281BD0"/>
    <w:rsid w:val="002821A4"/>
    <w:rsid w:val="002823E8"/>
    <w:rsid w:val="0028241E"/>
    <w:rsid w:val="00282E44"/>
    <w:rsid w:val="00282E5D"/>
    <w:rsid w:val="00282FB5"/>
    <w:rsid w:val="00283880"/>
    <w:rsid w:val="00283C82"/>
    <w:rsid w:val="00283D60"/>
    <w:rsid w:val="00283EFB"/>
    <w:rsid w:val="00284204"/>
    <w:rsid w:val="00284765"/>
    <w:rsid w:val="00284A94"/>
    <w:rsid w:val="00284C95"/>
    <w:rsid w:val="00284FA3"/>
    <w:rsid w:val="00285E37"/>
    <w:rsid w:val="002866A5"/>
    <w:rsid w:val="00287FCE"/>
    <w:rsid w:val="0029013F"/>
    <w:rsid w:val="0029086C"/>
    <w:rsid w:val="00291534"/>
    <w:rsid w:val="00291773"/>
    <w:rsid w:val="00292FA9"/>
    <w:rsid w:val="00293203"/>
    <w:rsid w:val="00293724"/>
    <w:rsid w:val="002937AF"/>
    <w:rsid w:val="0029472D"/>
    <w:rsid w:val="00294759"/>
    <w:rsid w:val="0029496B"/>
    <w:rsid w:val="00295E04"/>
    <w:rsid w:val="00295FE8"/>
    <w:rsid w:val="00296F9B"/>
    <w:rsid w:val="002A103C"/>
    <w:rsid w:val="002A1269"/>
    <w:rsid w:val="002A168C"/>
    <w:rsid w:val="002A19DC"/>
    <w:rsid w:val="002A1B15"/>
    <w:rsid w:val="002A2DE1"/>
    <w:rsid w:val="002A380B"/>
    <w:rsid w:val="002A3949"/>
    <w:rsid w:val="002A3DC7"/>
    <w:rsid w:val="002A4D8B"/>
    <w:rsid w:val="002A5135"/>
    <w:rsid w:val="002A6C18"/>
    <w:rsid w:val="002A6E49"/>
    <w:rsid w:val="002A7AE3"/>
    <w:rsid w:val="002B01D6"/>
    <w:rsid w:val="002B065C"/>
    <w:rsid w:val="002B1D2C"/>
    <w:rsid w:val="002B34BE"/>
    <w:rsid w:val="002B49E2"/>
    <w:rsid w:val="002B607C"/>
    <w:rsid w:val="002B6DD6"/>
    <w:rsid w:val="002B7993"/>
    <w:rsid w:val="002B7B00"/>
    <w:rsid w:val="002B7C44"/>
    <w:rsid w:val="002B7E67"/>
    <w:rsid w:val="002C067C"/>
    <w:rsid w:val="002C0EDF"/>
    <w:rsid w:val="002C11C9"/>
    <w:rsid w:val="002C1892"/>
    <w:rsid w:val="002C18E1"/>
    <w:rsid w:val="002C2477"/>
    <w:rsid w:val="002C2B17"/>
    <w:rsid w:val="002C3B37"/>
    <w:rsid w:val="002C3CDD"/>
    <w:rsid w:val="002C452D"/>
    <w:rsid w:val="002C4A7F"/>
    <w:rsid w:val="002C4BA4"/>
    <w:rsid w:val="002C4F77"/>
    <w:rsid w:val="002C5619"/>
    <w:rsid w:val="002C5AEB"/>
    <w:rsid w:val="002C7C5B"/>
    <w:rsid w:val="002C7EF4"/>
    <w:rsid w:val="002D06FD"/>
    <w:rsid w:val="002D1E9C"/>
    <w:rsid w:val="002D257C"/>
    <w:rsid w:val="002D2B45"/>
    <w:rsid w:val="002D2EC5"/>
    <w:rsid w:val="002D359D"/>
    <w:rsid w:val="002D3DA8"/>
    <w:rsid w:val="002D3DD0"/>
    <w:rsid w:val="002D42A0"/>
    <w:rsid w:val="002D48A1"/>
    <w:rsid w:val="002D501B"/>
    <w:rsid w:val="002D5751"/>
    <w:rsid w:val="002D60DA"/>
    <w:rsid w:val="002D69A3"/>
    <w:rsid w:val="002D6A66"/>
    <w:rsid w:val="002D7507"/>
    <w:rsid w:val="002E0738"/>
    <w:rsid w:val="002E0A34"/>
    <w:rsid w:val="002E1F3A"/>
    <w:rsid w:val="002E2446"/>
    <w:rsid w:val="002E24BC"/>
    <w:rsid w:val="002E2892"/>
    <w:rsid w:val="002E298A"/>
    <w:rsid w:val="002E2AB9"/>
    <w:rsid w:val="002E3A71"/>
    <w:rsid w:val="002E453E"/>
    <w:rsid w:val="002E5489"/>
    <w:rsid w:val="002E6FBC"/>
    <w:rsid w:val="002E788F"/>
    <w:rsid w:val="002F18BC"/>
    <w:rsid w:val="002F1C58"/>
    <w:rsid w:val="002F221B"/>
    <w:rsid w:val="002F2641"/>
    <w:rsid w:val="002F309E"/>
    <w:rsid w:val="002F3F7E"/>
    <w:rsid w:val="002F4116"/>
    <w:rsid w:val="002F4142"/>
    <w:rsid w:val="002F4314"/>
    <w:rsid w:val="002F6C12"/>
    <w:rsid w:val="002F6D72"/>
    <w:rsid w:val="002F7125"/>
    <w:rsid w:val="00300D84"/>
    <w:rsid w:val="0030141E"/>
    <w:rsid w:val="003014E3"/>
    <w:rsid w:val="00301978"/>
    <w:rsid w:val="0030201D"/>
    <w:rsid w:val="0030329F"/>
    <w:rsid w:val="0030332C"/>
    <w:rsid w:val="00303338"/>
    <w:rsid w:val="0030346F"/>
    <w:rsid w:val="003049AB"/>
    <w:rsid w:val="003051C2"/>
    <w:rsid w:val="00305249"/>
    <w:rsid w:val="00305D97"/>
    <w:rsid w:val="0030684A"/>
    <w:rsid w:val="0030701A"/>
    <w:rsid w:val="00310257"/>
    <w:rsid w:val="00310313"/>
    <w:rsid w:val="003103C7"/>
    <w:rsid w:val="00311792"/>
    <w:rsid w:val="00312296"/>
    <w:rsid w:val="00313650"/>
    <w:rsid w:val="003138BF"/>
    <w:rsid w:val="0031395A"/>
    <w:rsid w:val="00313966"/>
    <w:rsid w:val="00313CE6"/>
    <w:rsid w:val="00314F0E"/>
    <w:rsid w:val="00315333"/>
    <w:rsid w:val="00315678"/>
    <w:rsid w:val="0031582B"/>
    <w:rsid w:val="00316055"/>
    <w:rsid w:val="00316C73"/>
    <w:rsid w:val="0031708B"/>
    <w:rsid w:val="00317122"/>
    <w:rsid w:val="00321036"/>
    <w:rsid w:val="00321A11"/>
    <w:rsid w:val="00321D8E"/>
    <w:rsid w:val="00322034"/>
    <w:rsid w:val="00322AFC"/>
    <w:rsid w:val="00322D33"/>
    <w:rsid w:val="003230C0"/>
    <w:rsid w:val="00324250"/>
    <w:rsid w:val="00324313"/>
    <w:rsid w:val="00324D80"/>
    <w:rsid w:val="00324E45"/>
    <w:rsid w:val="00325928"/>
    <w:rsid w:val="003268AF"/>
    <w:rsid w:val="00326B4D"/>
    <w:rsid w:val="00326F64"/>
    <w:rsid w:val="00327422"/>
    <w:rsid w:val="00330CF9"/>
    <w:rsid w:val="00331056"/>
    <w:rsid w:val="0033126B"/>
    <w:rsid w:val="00331610"/>
    <w:rsid w:val="003322C0"/>
    <w:rsid w:val="00332863"/>
    <w:rsid w:val="003349EB"/>
    <w:rsid w:val="00335376"/>
    <w:rsid w:val="003356C9"/>
    <w:rsid w:val="00336031"/>
    <w:rsid w:val="003362CA"/>
    <w:rsid w:val="0033684D"/>
    <w:rsid w:val="00336C13"/>
    <w:rsid w:val="00336CA1"/>
    <w:rsid w:val="0033713F"/>
    <w:rsid w:val="003372C2"/>
    <w:rsid w:val="00337B42"/>
    <w:rsid w:val="003401AE"/>
    <w:rsid w:val="00340D82"/>
    <w:rsid w:val="00341AC8"/>
    <w:rsid w:val="00341B42"/>
    <w:rsid w:val="00342BDB"/>
    <w:rsid w:val="00342F93"/>
    <w:rsid w:val="0034348F"/>
    <w:rsid w:val="0034355C"/>
    <w:rsid w:val="0034407D"/>
    <w:rsid w:val="00344160"/>
    <w:rsid w:val="0034577C"/>
    <w:rsid w:val="003479CD"/>
    <w:rsid w:val="00347AE0"/>
    <w:rsid w:val="003502D8"/>
    <w:rsid w:val="00350E77"/>
    <w:rsid w:val="00351834"/>
    <w:rsid w:val="003543FB"/>
    <w:rsid w:val="003558B6"/>
    <w:rsid w:val="00356653"/>
    <w:rsid w:val="00356908"/>
    <w:rsid w:val="00356A53"/>
    <w:rsid w:val="00356C7A"/>
    <w:rsid w:val="0035743F"/>
    <w:rsid w:val="00357BE2"/>
    <w:rsid w:val="00357D44"/>
    <w:rsid w:val="0036041E"/>
    <w:rsid w:val="0036113F"/>
    <w:rsid w:val="0036170C"/>
    <w:rsid w:val="00362EA7"/>
    <w:rsid w:val="00362EE3"/>
    <w:rsid w:val="00363151"/>
    <w:rsid w:val="003643E6"/>
    <w:rsid w:val="00365ECD"/>
    <w:rsid w:val="00365F53"/>
    <w:rsid w:val="00366E0F"/>
    <w:rsid w:val="00370003"/>
    <w:rsid w:val="00370EB1"/>
    <w:rsid w:val="00370FCF"/>
    <w:rsid w:val="00372BDB"/>
    <w:rsid w:val="00373472"/>
    <w:rsid w:val="00374764"/>
    <w:rsid w:val="00374B64"/>
    <w:rsid w:val="0037605D"/>
    <w:rsid w:val="00376D88"/>
    <w:rsid w:val="00377328"/>
    <w:rsid w:val="00380749"/>
    <w:rsid w:val="00381691"/>
    <w:rsid w:val="003817F1"/>
    <w:rsid w:val="00381A72"/>
    <w:rsid w:val="00383603"/>
    <w:rsid w:val="00383E06"/>
    <w:rsid w:val="00384676"/>
    <w:rsid w:val="0038485C"/>
    <w:rsid w:val="00387955"/>
    <w:rsid w:val="00387F09"/>
    <w:rsid w:val="00390133"/>
    <w:rsid w:val="003904BE"/>
    <w:rsid w:val="00390857"/>
    <w:rsid w:val="003911EB"/>
    <w:rsid w:val="00391793"/>
    <w:rsid w:val="00391C79"/>
    <w:rsid w:val="00391E69"/>
    <w:rsid w:val="00392435"/>
    <w:rsid w:val="00392503"/>
    <w:rsid w:val="0039291C"/>
    <w:rsid w:val="00392975"/>
    <w:rsid w:val="00393494"/>
    <w:rsid w:val="00393CD8"/>
    <w:rsid w:val="00394AC2"/>
    <w:rsid w:val="00394B8C"/>
    <w:rsid w:val="00394EF7"/>
    <w:rsid w:val="003950AC"/>
    <w:rsid w:val="003954BF"/>
    <w:rsid w:val="00395955"/>
    <w:rsid w:val="00395A2B"/>
    <w:rsid w:val="00395F1F"/>
    <w:rsid w:val="0039745A"/>
    <w:rsid w:val="00397504"/>
    <w:rsid w:val="003A01F4"/>
    <w:rsid w:val="003A2AB0"/>
    <w:rsid w:val="003A399E"/>
    <w:rsid w:val="003A44C7"/>
    <w:rsid w:val="003A45DA"/>
    <w:rsid w:val="003A4B2B"/>
    <w:rsid w:val="003A4BF3"/>
    <w:rsid w:val="003A66A9"/>
    <w:rsid w:val="003A6A04"/>
    <w:rsid w:val="003A7F30"/>
    <w:rsid w:val="003B0488"/>
    <w:rsid w:val="003B0556"/>
    <w:rsid w:val="003B0E21"/>
    <w:rsid w:val="003B0F00"/>
    <w:rsid w:val="003B1B93"/>
    <w:rsid w:val="003B226D"/>
    <w:rsid w:val="003B29BF"/>
    <w:rsid w:val="003B2BCB"/>
    <w:rsid w:val="003B38AA"/>
    <w:rsid w:val="003B3A64"/>
    <w:rsid w:val="003B420D"/>
    <w:rsid w:val="003B4C50"/>
    <w:rsid w:val="003B4F3C"/>
    <w:rsid w:val="003B6E7F"/>
    <w:rsid w:val="003B79BA"/>
    <w:rsid w:val="003C0115"/>
    <w:rsid w:val="003C05AD"/>
    <w:rsid w:val="003C1416"/>
    <w:rsid w:val="003C1E8E"/>
    <w:rsid w:val="003C2C00"/>
    <w:rsid w:val="003C2CF4"/>
    <w:rsid w:val="003C2E6B"/>
    <w:rsid w:val="003C4AC0"/>
    <w:rsid w:val="003C5BC9"/>
    <w:rsid w:val="003C5F5E"/>
    <w:rsid w:val="003C69B7"/>
    <w:rsid w:val="003C6C16"/>
    <w:rsid w:val="003C7514"/>
    <w:rsid w:val="003C7C16"/>
    <w:rsid w:val="003C7F95"/>
    <w:rsid w:val="003D075E"/>
    <w:rsid w:val="003D186A"/>
    <w:rsid w:val="003D1C75"/>
    <w:rsid w:val="003D2242"/>
    <w:rsid w:val="003D25DB"/>
    <w:rsid w:val="003D2C1D"/>
    <w:rsid w:val="003D34C7"/>
    <w:rsid w:val="003D4C17"/>
    <w:rsid w:val="003D5218"/>
    <w:rsid w:val="003D550F"/>
    <w:rsid w:val="003D5A02"/>
    <w:rsid w:val="003D6388"/>
    <w:rsid w:val="003D673D"/>
    <w:rsid w:val="003D6CA1"/>
    <w:rsid w:val="003D794D"/>
    <w:rsid w:val="003E0A0E"/>
    <w:rsid w:val="003E1016"/>
    <w:rsid w:val="003E28FC"/>
    <w:rsid w:val="003E2AA7"/>
    <w:rsid w:val="003E2D20"/>
    <w:rsid w:val="003E2EE9"/>
    <w:rsid w:val="003E3058"/>
    <w:rsid w:val="003E4574"/>
    <w:rsid w:val="003E502C"/>
    <w:rsid w:val="003E518E"/>
    <w:rsid w:val="003E528E"/>
    <w:rsid w:val="003E5AB2"/>
    <w:rsid w:val="003E5F2D"/>
    <w:rsid w:val="003E6399"/>
    <w:rsid w:val="003E6887"/>
    <w:rsid w:val="003E7162"/>
    <w:rsid w:val="003E71AD"/>
    <w:rsid w:val="003E728C"/>
    <w:rsid w:val="003E76A9"/>
    <w:rsid w:val="003E78F6"/>
    <w:rsid w:val="003E7B9B"/>
    <w:rsid w:val="003E7DA4"/>
    <w:rsid w:val="003F0809"/>
    <w:rsid w:val="003F0D99"/>
    <w:rsid w:val="003F0E9B"/>
    <w:rsid w:val="003F210B"/>
    <w:rsid w:val="003F343C"/>
    <w:rsid w:val="003F35B9"/>
    <w:rsid w:val="003F3876"/>
    <w:rsid w:val="003F4182"/>
    <w:rsid w:val="003F4612"/>
    <w:rsid w:val="003F4656"/>
    <w:rsid w:val="003F4A81"/>
    <w:rsid w:val="003F5AD5"/>
    <w:rsid w:val="003F68A2"/>
    <w:rsid w:val="003F6A8C"/>
    <w:rsid w:val="003F6FB0"/>
    <w:rsid w:val="003F755C"/>
    <w:rsid w:val="003F7D0F"/>
    <w:rsid w:val="004006A7"/>
    <w:rsid w:val="004006D2"/>
    <w:rsid w:val="00400A9A"/>
    <w:rsid w:val="00400AFE"/>
    <w:rsid w:val="00401E04"/>
    <w:rsid w:val="00402323"/>
    <w:rsid w:val="004026B2"/>
    <w:rsid w:val="00403602"/>
    <w:rsid w:val="00403BB5"/>
    <w:rsid w:val="00403BB7"/>
    <w:rsid w:val="004048A0"/>
    <w:rsid w:val="00404DF6"/>
    <w:rsid w:val="00406024"/>
    <w:rsid w:val="00406F01"/>
    <w:rsid w:val="00407D4C"/>
    <w:rsid w:val="0041036A"/>
    <w:rsid w:val="00410E38"/>
    <w:rsid w:val="0041102F"/>
    <w:rsid w:val="00411698"/>
    <w:rsid w:val="00412EF9"/>
    <w:rsid w:val="004130CF"/>
    <w:rsid w:val="0041342A"/>
    <w:rsid w:val="004142BA"/>
    <w:rsid w:val="00414363"/>
    <w:rsid w:val="004153A6"/>
    <w:rsid w:val="004158F8"/>
    <w:rsid w:val="0041678F"/>
    <w:rsid w:val="00416D50"/>
    <w:rsid w:val="00416FD5"/>
    <w:rsid w:val="00417772"/>
    <w:rsid w:val="00417A17"/>
    <w:rsid w:val="004201DF"/>
    <w:rsid w:val="00420B63"/>
    <w:rsid w:val="00420E6A"/>
    <w:rsid w:val="00421B39"/>
    <w:rsid w:val="00421EFA"/>
    <w:rsid w:val="00422985"/>
    <w:rsid w:val="00422DB7"/>
    <w:rsid w:val="00423980"/>
    <w:rsid w:val="004240DA"/>
    <w:rsid w:val="00424BFC"/>
    <w:rsid w:val="00424DA6"/>
    <w:rsid w:val="00424E4E"/>
    <w:rsid w:val="0042552A"/>
    <w:rsid w:val="004258A0"/>
    <w:rsid w:val="00425A9E"/>
    <w:rsid w:val="00426CDC"/>
    <w:rsid w:val="00426D6B"/>
    <w:rsid w:val="004271F9"/>
    <w:rsid w:val="004279AE"/>
    <w:rsid w:val="004309E4"/>
    <w:rsid w:val="004317D0"/>
    <w:rsid w:val="00431E6C"/>
    <w:rsid w:val="0043250D"/>
    <w:rsid w:val="00433CE7"/>
    <w:rsid w:val="00434631"/>
    <w:rsid w:val="004349A0"/>
    <w:rsid w:val="00434F01"/>
    <w:rsid w:val="00434FF7"/>
    <w:rsid w:val="00435138"/>
    <w:rsid w:val="00435952"/>
    <w:rsid w:val="00435ED6"/>
    <w:rsid w:val="00436613"/>
    <w:rsid w:val="004369DC"/>
    <w:rsid w:val="00437A74"/>
    <w:rsid w:val="004405BD"/>
    <w:rsid w:val="004411FA"/>
    <w:rsid w:val="004413A5"/>
    <w:rsid w:val="0044183D"/>
    <w:rsid w:val="0044298E"/>
    <w:rsid w:val="00443385"/>
    <w:rsid w:val="00445D2F"/>
    <w:rsid w:val="00446CFA"/>
    <w:rsid w:val="00447692"/>
    <w:rsid w:val="004477A6"/>
    <w:rsid w:val="00450EA4"/>
    <w:rsid w:val="00450F69"/>
    <w:rsid w:val="004523B1"/>
    <w:rsid w:val="00452738"/>
    <w:rsid w:val="00454063"/>
    <w:rsid w:val="00454773"/>
    <w:rsid w:val="00454CBC"/>
    <w:rsid w:val="00454EE6"/>
    <w:rsid w:val="00454F94"/>
    <w:rsid w:val="00455243"/>
    <w:rsid w:val="00455429"/>
    <w:rsid w:val="00455F60"/>
    <w:rsid w:val="00456091"/>
    <w:rsid w:val="00456267"/>
    <w:rsid w:val="004567D6"/>
    <w:rsid w:val="0045766C"/>
    <w:rsid w:val="004577FF"/>
    <w:rsid w:val="0045781D"/>
    <w:rsid w:val="0045794A"/>
    <w:rsid w:val="00457AC4"/>
    <w:rsid w:val="00457AC6"/>
    <w:rsid w:val="00457D82"/>
    <w:rsid w:val="00460438"/>
    <w:rsid w:val="004608A7"/>
    <w:rsid w:val="004618D6"/>
    <w:rsid w:val="00461EF3"/>
    <w:rsid w:val="00461EF6"/>
    <w:rsid w:val="0046262E"/>
    <w:rsid w:val="0046266C"/>
    <w:rsid w:val="00463232"/>
    <w:rsid w:val="004638FC"/>
    <w:rsid w:val="004647B3"/>
    <w:rsid w:val="00464961"/>
    <w:rsid w:val="00464F01"/>
    <w:rsid w:val="00466321"/>
    <w:rsid w:val="00466FEE"/>
    <w:rsid w:val="004671AF"/>
    <w:rsid w:val="004679AC"/>
    <w:rsid w:val="00467D66"/>
    <w:rsid w:val="00467E8B"/>
    <w:rsid w:val="00470EBC"/>
    <w:rsid w:val="00471573"/>
    <w:rsid w:val="00471B1F"/>
    <w:rsid w:val="00471B80"/>
    <w:rsid w:val="00471DB2"/>
    <w:rsid w:val="004731C9"/>
    <w:rsid w:val="004743B0"/>
    <w:rsid w:val="00474E1D"/>
    <w:rsid w:val="00475134"/>
    <w:rsid w:val="00475669"/>
    <w:rsid w:val="00475875"/>
    <w:rsid w:val="00476780"/>
    <w:rsid w:val="00476A20"/>
    <w:rsid w:val="00477548"/>
    <w:rsid w:val="00477E83"/>
    <w:rsid w:val="004802C0"/>
    <w:rsid w:val="00481BB3"/>
    <w:rsid w:val="0048217A"/>
    <w:rsid w:val="00482FB7"/>
    <w:rsid w:val="004837E5"/>
    <w:rsid w:val="00483F2E"/>
    <w:rsid w:val="00484B9B"/>
    <w:rsid w:val="004855F6"/>
    <w:rsid w:val="004857E8"/>
    <w:rsid w:val="00486499"/>
    <w:rsid w:val="0048661E"/>
    <w:rsid w:val="0048663C"/>
    <w:rsid w:val="004867E9"/>
    <w:rsid w:val="00487B27"/>
    <w:rsid w:val="004927BB"/>
    <w:rsid w:val="00492DC0"/>
    <w:rsid w:val="0049301A"/>
    <w:rsid w:val="00493695"/>
    <w:rsid w:val="00494539"/>
    <w:rsid w:val="00494670"/>
    <w:rsid w:val="00494AC6"/>
    <w:rsid w:val="004954AE"/>
    <w:rsid w:val="00496499"/>
    <w:rsid w:val="00496516"/>
    <w:rsid w:val="00496675"/>
    <w:rsid w:val="00496D6C"/>
    <w:rsid w:val="0049738A"/>
    <w:rsid w:val="00497459"/>
    <w:rsid w:val="00497577"/>
    <w:rsid w:val="004A0194"/>
    <w:rsid w:val="004A0492"/>
    <w:rsid w:val="004A2351"/>
    <w:rsid w:val="004A25EF"/>
    <w:rsid w:val="004A2806"/>
    <w:rsid w:val="004A324B"/>
    <w:rsid w:val="004A3823"/>
    <w:rsid w:val="004A38ED"/>
    <w:rsid w:val="004A3F13"/>
    <w:rsid w:val="004A7074"/>
    <w:rsid w:val="004B03C7"/>
    <w:rsid w:val="004B0B7A"/>
    <w:rsid w:val="004B3841"/>
    <w:rsid w:val="004B3A24"/>
    <w:rsid w:val="004B4B20"/>
    <w:rsid w:val="004B4F1B"/>
    <w:rsid w:val="004B50F2"/>
    <w:rsid w:val="004B5857"/>
    <w:rsid w:val="004C0611"/>
    <w:rsid w:val="004C084C"/>
    <w:rsid w:val="004C09EF"/>
    <w:rsid w:val="004C12EE"/>
    <w:rsid w:val="004C18E7"/>
    <w:rsid w:val="004C2187"/>
    <w:rsid w:val="004C2475"/>
    <w:rsid w:val="004C3378"/>
    <w:rsid w:val="004C34E1"/>
    <w:rsid w:val="004C3941"/>
    <w:rsid w:val="004C3CE8"/>
    <w:rsid w:val="004C3F6D"/>
    <w:rsid w:val="004C5FDA"/>
    <w:rsid w:val="004C6BAF"/>
    <w:rsid w:val="004C6E77"/>
    <w:rsid w:val="004C6ECF"/>
    <w:rsid w:val="004C71AE"/>
    <w:rsid w:val="004C78AF"/>
    <w:rsid w:val="004D03B5"/>
    <w:rsid w:val="004D098A"/>
    <w:rsid w:val="004D0CC4"/>
    <w:rsid w:val="004D1025"/>
    <w:rsid w:val="004D2835"/>
    <w:rsid w:val="004D2873"/>
    <w:rsid w:val="004D2C84"/>
    <w:rsid w:val="004D356C"/>
    <w:rsid w:val="004D4475"/>
    <w:rsid w:val="004D5232"/>
    <w:rsid w:val="004D682E"/>
    <w:rsid w:val="004D6A1B"/>
    <w:rsid w:val="004D709B"/>
    <w:rsid w:val="004D747E"/>
    <w:rsid w:val="004D7D29"/>
    <w:rsid w:val="004E0790"/>
    <w:rsid w:val="004E0989"/>
    <w:rsid w:val="004E1318"/>
    <w:rsid w:val="004E1E9F"/>
    <w:rsid w:val="004E2C85"/>
    <w:rsid w:val="004E2DAD"/>
    <w:rsid w:val="004E3364"/>
    <w:rsid w:val="004E3549"/>
    <w:rsid w:val="004E3FC6"/>
    <w:rsid w:val="004E4811"/>
    <w:rsid w:val="004E5122"/>
    <w:rsid w:val="004E5301"/>
    <w:rsid w:val="004E5CA9"/>
    <w:rsid w:val="004E6174"/>
    <w:rsid w:val="004E646D"/>
    <w:rsid w:val="004E6946"/>
    <w:rsid w:val="004E6A06"/>
    <w:rsid w:val="004E6F78"/>
    <w:rsid w:val="004E7B07"/>
    <w:rsid w:val="004F1068"/>
    <w:rsid w:val="004F16BC"/>
    <w:rsid w:val="004F1A6F"/>
    <w:rsid w:val="004F1AD8"/>
    <w:rsid w:val="004F1C43"/>
    <w:rsid w:val="004F2095"/>
    <w:rsid w:val="004F3CE7"/>
    <w:rsid w:val="004F4226"/>
    <w:rsid w:val="004F4811"/>
    <w:rsid w:val="004F5EA3"/>
    <w:rsid w:val="004F68D0"/>
    <w:rsid w:val="004F7B97"/>
    <w:rsid w:val="00500717"/>
    <w:rsid w:val="00500764"/>
    <w:rsid w:val="00501330"/>
    <w:rsid w:val="005034CC"/>
    <w:rsid w:val="005037FE"/>
    <w:rsid w:val="005039CB"/>
    <w:rsid w:val="00503F9A"/>
    <w:rsid w:val="00504202"/>
    <w:rsid w:val="0050558F"/>
    <w:rsid w:val="00506286"/>
    <w:rsid w:val="00506A4E"/>
    <w:rsid w:val="00506DAA"/>
    <w:rsid w:val="00507054"/>
    <w:rsid w:val="00510639"/>
    <w:rsid w:val="00510813"/>
    <w:rsid w:val="00511990"/>
    <w:rsid w:val="00511DE0"/>
    <w:rsid w:val="00511F73"/>
    <w:rsid w:val="00511FC7"/>
    <w:rsid w:val="0051356A"/>
    <w:rsid w:val="00513746"/>
    <w:rsid w:val="00513C10"/>
    <w:rsid w:val="0051426F"/>
    <w:rsid w:val="00514870"/>
    <w:rsid w:val="00514B9B"/>
    <w:rsid w:val="00515BE5"/>
    <w:rsid w:val="005168BF"/>
    <w:rsid w:val="00516BD0"/>
    <w:rsid w:val="00517711"/>
    <w:rsid w:val="00517F02"/>
    <w:rsid w:val="005202BC"/>
    <w:rsid w:val="00520384"/>
    <w:rsid w:val="0052086E"/>
    <w:rsid w:val="00520D4F"/>
    <w:rsid w:val="005211F3"/>
    <w:rsid w:val="0052225C"/>
    <w:rsid w:val="005223EA"/>
    <w:rsid w:val="00522A71"/>
    <w:rsid w:val="00523563"/>
    <w:rsid w:val="00523C9E"/>
    <w:rsid w:val="00524303"/>
    <w:rsid w:val="005258A2"/>
    <w:rsid w:val="005262A3"/>
    <w:rsid w:val="00526934"/>
    <w:rsid w:val="00526942"/>
    <w:rsid w:val="0052716A"/>
    <w:rsid w:val="005272CD"/>
    <w:rsid w:val="0052765B"/>
    <w:rsid w:val="0053010B"/>
    <w:rsid w:val="0053031C"/>
    <w:rsid w:val="00530A77"/>
    <w:rsid w:val="00531818"/>
    <w:rsid w:val="00531C8B"/>
    <w:rsid w:val="0053226A"/>
    <w:rsid w:val="0053253C"/>
    <w:rsid w:val="00533087"/>
    <w:rsid w:val="00533B37"/>
    <w:rsid w:val="0053403D"/>
    <w:rsid w:val="00534FDA"/>
    <w:rsid w:val="0053518A"/>
    <w:rsid w:val="00535F6B"/>
    <w:rsid w:val="005360E2"/>
    <w:rsid w:val="00536111"/>
    <w:rsid w:val="005363FF"/>
    <w:rsid w:val="005371E1"/>
    <w:rsid w:val="0053727C"/>
    <w:rsid w:val="0053767C"/>
    <w:rsid w:val="005401AE"/>
    <w:rsid w:val="00540650"/>
    <w:rsid w:val="00540B40"/>
    <w:rsid w:val="00541175"/>
    <w:rsid w:val="00542029"/>
    <w:rsid w:val="00542104"/>
    <w:rsid w:val="00542949"/>
    <w:rsid w:val="00542E07"/>
    <w:rsid w:val="0054405D"/>
    <w:rsid w:val="00545424"/>
    <w:rsid w:val="00546508"/>
    <w:rsid w:val="00547194"/>
    <w:rsid w:val="005472AA"/>
    <w:rsid w:val="00551DCB"/>
    <w:rsid w:val="00551FA0"/>
    <w:rsid w:val="00552C1F"/>
    <w:rsid w:val="00552D04"/>
    <w:rsid w:val="00552E96"/>
    <w:rsid w:val="005544D4"/>
    <w:rsid w:val="005548E5"/>
    <w:rsid w:val="00554A7B"/>
    <w:rsid w:val="0055572C"/>
    <w:rsid w:val="00555F97"/>
    <w:rsid w:val="00556027"/>
    <w:rsid w:val="0055730A"/>
    <w:rsid w:val="00557673"/>
    <w:rsid w:val="00557A6A"/>
    <w:rsid w:val="00557DA7"/>
    <w:rsid w:val="0056047E"/>
    <w:rsid w:val="00560A91"/>
    <w:rsid w:val="00560F40"/>
    <w:rsid w:val="0056106A"/>
    <w:rsid w:val="005614B6"/>
    <w:rsid w:val="005616A2"/>
    <w:rsid w:val="00561935"/>
    <w:rsid w:val="005631D9"/>
    <w:rsid w:val="0056391E"/>
    <w:rsid w:val="0056486D"/>
    <w:rsid w:val="00564E31"/>
    <w:rsid w:val="00564FA8"/>
    <w:rsid w:val="00565169"/>
    <w:rsid w:val="00565377"/>
    <w:rsid w:val="00565F6A"/>
    <w:rsid w:val="00567D99"/>
    <w:rsid w:val="00567E2E"/>
    <w:rsid w:val="005707C9"/>
    <w:rsid w:val="005708AD"/>
    <w:rsid w:val="0057114F"/>
    <w:rsid w:val="00571E43"/>
    <w:rsid w:val="005720AE"/>
    <w:rsid w:val="0057225B"/>
    <w:rsid w:val="00573184"/>
    <w:rsid w:val="005735D1"/>
    <w:rsid w:val="00573DAB"/>
    <w:rsid w:val="0057400C"/>
    <w:rsid w:val="00574EA8"/>
    <w:rsid w:val="00575091"/>
    <w:rsid w:val="0057523D"/>
    <w:rsid w:val="00576F69"/>
    <w:rsid w:val="0057744A"/>
    <w:rsid w:val="00581839"/>
    <w:rsid w:val="00581CB4"/>
    <w:rsid w:val="0058331B"/>
    <w:rsid w:val="0058394C"/>
    <w:rsid w:val="00583A54"/>
    <w:rsid w:val="00583C9B"/>
    <w:rsid w:val="005845AA"/>
    <w:rsid w:val="00584838"/>
    <w:rsid w:val="005852D2"/>
    <w:rsid w:val="005854EF"/>
    <w:rsid w:val="00586081"/>
    <w:rsid w:val="00586F28"/>
    <w:rsid w:val="00590763"/>
    <w:rsid w:val="00590978"/>
    <w:rsid w:val="00591858"/>
    <w:rsid w:val="005921DB"/>
    <w:rsid w:val="00592B10"/>
    <w:rsid w:val="00592DFC"/>
    <w:rsid w:val="0059376A"/>
    <w:rsid w:val="00594D77"/>
    <w:rsid w:val="005952A1"/>
    <w:rsid w:val="005969E4"/>
    <w:rsid w:val="005977E0"/>
    <w:rsid w:val="00597903"/>
    <w:rsid w:val="005A0238"/>
    <w:rsid w:val="005A0596"/>
    <w:rsid w:val="005A06B7"/>
    <w:rsid w:val="005A1759"/>
    <w:rsid w:val="005A5B14"/>
    <w:rsid w:val="005A5E98"/>
    <w:rsid w:val="005A68A7"/>
    <w:rsid w:val="005A73C3"/>
    <w:rsid w:val="005A7A00"/>
    <w:rsid w:val="005B19D8"/>
    <w:rsid w:val="005B2540"/>
    <w:rsid w:val="005B255B"/>
    <w:rsid w:val="005B3BB8"/>
    <w:rsid w:val="005B3FDF"/>
    <w:rsid w:val="005B48FE"/>
    <w:rsid w:val="005B50BE"/>
    <w:rsid w:val="005B675E"/>
    <w:rsid w:val="005B68A8"/>
    <w:rsid w:val="005B77DA"/>
    <w:rsid w:val="005B7AB3"/>
    <w:rsid w:val="005B7FBF"/>
    <w:rsid w:val="005C00E2"/>
    <w:rsid w:val="005C0499"/>
    <w:rsid w:val="005C0980"/>
    <w:rsid w:val="005C153C"/>
    <w:rsid w:val="005C1AF0"/>
    <w:rsid w:val="005C3230"/>
    <w:rsid w:val="005C3F51"/>
    <w:rsid w:val="005C41FD"/>
    <w:rsid w:val="005C5FB2"/>
    <w:rsid w:val="005C67F0"/>
    <w:rsid w:val="005C738F"/>
    <w:rsid w:val="005C7624"/>
    <w:rsid w:val="005C79B2"/>
    <w:rsid w:val="005D0B97"/>
    <w:rsid w:val="005D1918"/>
    <w:rsid w:val="005D1E29"/>
    <w:rsid w:val="005D223C"/>
    <w:rsid w:val="005D2404"/>
    <w:rsid w:val="005D2615"/>
    <w:rsid w:val="005D36AB"/>
    <w:rsid w:val="005D4B13"/>
    <w:rsid w:val="005D4C92"/>
    <w:rsid w:val="005D537F"/>
    <w:rsid w:val="005D63C1"/>
    <w:rsid w:val="005D6FD2"/>
    <w:rsid w:val="005E04F9"/>
    <w:rsid w:val="005E0B9C"/>
    <w:rsid w:val="005E2FB5"/>
    <w:rsid w:val="005E3A87"/>
    <w:rsid w:val="005E46D6"/>
    <w:rsid w:val="005E5270"/>
    <w:rsid w:val="005E604F"/>
    <w:rsid w:val="005E61CB"/>
    <w:rsid w:val="005E6710"/>
    <w:rsid w:val="005E704E"/>
    <w:rsid w:val="005E7AF4"/>
    <w:rsid w:val="005F483E"/>
    <w:rsid w:val="005F496B"/>
    <w:rsid w:val="005F4A18"/>
    <w:rsid w:val="005F4FA3"/>
    <w:rsid w:val="005F54AF"/>
    <w:rsid w:val="005F54DC"/>
    <w:rsid w:val="005F5F91"/>
    <w:rsid w:val="005F6952"/>
    <w:rsid w:val="005F6CEC"/>
    <w:rsid w:val="005F6D2A"/>
    <w:rsid w:val="005F6E59"/>
    <w:rsid w:val="005F7105"/>
    <w:rsid w:val="005F71D5"/>
    <w:rsid w:val="005F742F"/>
    <w:rsid w:val="005F785F"/>
    <w:rsid w:val="005F78FE"/>
    <w:rsid w:val="00600153"/>
    <w:rsid w:val="00601461"/>
    <w:rsid w:val="00601498"/>
    <w:rsid w:val="00601E11"/>
    <w:rsid w:val="006026DA"/>
    <w:rsid w:val="00602EF7"/>
    <w:rsid w:val="006037E7"/>
    <w:rsid w:val="006050ED"/>
    <w:rsid w:val="006054E5"/>
    <w:rsid w:val="006073E3"/>
    <w:rsid w:val="00607409"/>
    <w:rsid w:val="0060744E"/>
    <w:rsid w:val="00610785"/>
    <w:rsid w:val="00610890"/>
    <w:rsid w:val="00611318"/>
    <w:rsid w:val="006115AB"/>
    <w:rsid w:val="0061253B"/>
    <w:rsid w:val="00614427"/>
    <w:rsid w:val="006145A6"/>
    <w:rsid w:val="0061499F"/>
    <w:rsid w:val="0061533F"/>
    <w:rsid w:val="00616BC4"/>
    <w:rsid w:val="006171E6"/>
    <w:rsid w:val="00617CC3"/>
    <w:rsid w:val="00617CDF"/>
    <w:rsid w:val="006209C5"/>
    <w:rsid w:val="00620AE7"/>
    <w:rsid w:val="00620BFC"/>
    <w:rsid w:val="006213F9"/>
    <w:rsid w:val="00621661"/>
    <w:rsid w:val="006218FD"/>
    <w:rsid w:val="006225DD"/>
    <w:rsid w:val="006227E4"/>
    <w:rsid w:val="006228DE"/>
    <w:rsid w:val="00622D07"/>
    <w:rsid w:val="0062421F"/>
    <w:rsid w:val="006250DB"/>
    <w:rsid w:val="0062721C"/>
    <w:rsid w:val="006305BA"/>
    <w:rsid w:val="00630D89"/>
    <w:rsid w:val="00631B6D"/>
    <w:rsid w:val="00631DDB"/>
    <w:rsid w:val="0063325A"/>
    <w:rsid w:val="0063337F"/>
    <w:rsid w:val="00633B00"/>
    <w:rsid w:val="00633EA8"/>
    <w:rsid w:val="006340D3"/>
    <w:rsid w:val="006348D1"/>
    <w:rsid w:val="00635189"/>
    <w:rsid w:val="0063518A"/>
    <w:rsid w:val="0063572F"/>
    <w:rsid w:val="00635EB6"/>
    <w:rsid w:val="00636198"/>
    <w:rsid w:val="00636818"/>
    <w:rsid w:val="006377A6"/>
    <w:rsid w:val="00637A3C"/>
    <w:rsid w:val="00637A3D"/>
    <w:rsid w:val="00637C4A"/>
    <w:rsid w:val="00640135"/>
    <w:rsid w:val="0064026D"/>
    <w:rsid w:val="00640985"/>
    <w:rsid w:val="006409FF"/>
    <w:rsid w:val="00640BDF"/>
    <w:rsid w:val="00640D52"/>
    <w:rsid w:val="00641003"/>
    <w:rsid w:val="006411EF"/>
    <w:rsid w:val="00641636"/>
    <w:rsid w:val="00641B6D"/>
    <w:rsid w:val="00642B3F"/>
    <w:rsid w:val="00644256"/>
    <w:rsid w:val="00644352"/>
    <w:rsid w:val="006448F8"/>
    <w:rsid w:val="00646058"/>
    <w:rsid w:val="006460E6"/>
    <w:rsid w:val="0064714D"/>
    <w:rsid w:val="006472BA"/>
    <w:rsid w:val="0065021E"/>
    <w:rsid w:val="006507DE"/>
    <w:rsid w:val="006524A8"/>
    <w:rsid w:val="00652A02"/>
    <w:rsid w:val="00652DD3"/>
    <w:rsid w:val="006532AD"/>
    <w:rsid w:val="00653888"/>
    <w:rsid w:val="00653CF7"/>
    <w:rsid w:val="006554BC"/>
    <w:rsid w:val="0065577A"/>
    <w:rsid w:val="006570D9"/>
    <w:rsid w:val="006579A3"/>
    <w:rsid w:val="0066093B"/>
    <w:rsid w:val="00660E64"/>
    <w:rsid w:val="006632C8"/>
    <w:rsid w:val="006635F4"/>
    <w:rsid w:val="00663BE8"/>
    <w:rsid w:val="00664718"/>
    <w:rsid w:val="006647E7"/>
    <w:rsid w:val="00665431"/>
    <w:rsid w:val="0066557B"/>
    <w:rsid w:val="006655E2"/>
    <w:rsid w:val="00665871"/>
    <w:rsid w:val="00665994"/>
    <w:rsid w:val="00665C45"/>
    <w:rsid w:val="00665CBF"/>
    <w:rsid w:val="00665D08"/>
    <w:rsid w:val="00666197"/>
    <w:rsid w:val="006703C2"/>
    <w:rsid w:val="00670D44"/>
    <w:rsid w:val="006715CE"/>
    <w:rsid w:val="00672704"/>
    <w:rsid w:val="00673D30"/>
    <w:rsid w:val="00673DA0"/>
    <w:rsid w:val="00673E37"/>
    <w:rsid w:val="006748B8"/>
    <w:rsid w:val="00675534"/>
    <w:rsid w:val="006760BD"/>
    <w:rsid w:val="0067689B"/>
    <w:rsid w:val="006771F6"/>
    <w:rsid w:val="006773C5"/>
    <w:rsid w:val="006775C3"/>
    <w:rsid w:val="006777F8"/>
    <w:rsid w:val="00677B4C"/>
    <w:rsid w:val="00677D36"/>
    <w:rsid w:val="00677D4B"/>
    <w:rsid w:val="00680476"/>
    <w:rsid w:val="0068142B"/>
    <w:rsid w:val="0068229F"/>
    <w:rsid w:val="0068263C"/>
    <w:rsid w:val="006828D4"/>
    <w:rsid w:val="00683667"/>
    <w:rsid w:val="00684369"/>
    <w:rsid w:val="006847E3"/>
    <w:rsid w:val="006861E1"/>
    <w:rsid w:val="0068638D"/>
    <w:rsid w:val="00686DF0"/>
    <w:rsid w:val="0068707B"/>
    <w:rsid w:val="00687D4C"/>
    <w:rsid w:val="006904F2"/>
    <w:rsid w:val="00690761"/>
    <w:rsid w:val="006910A3"/>
    <w:rsid w:val="006914CE"/>
    <w:rsid w:val="00691A1A"/>
    <w:rsid w:val="0069290A"/>
    <w:rsid w:val="00693318"/>
    <w:rsid w:val="006939B1"/>
    <w:rsid w:val="00693E9A"/>
    <w:rsid w:val="006943E1"/>
    <w:rsid w:val="0069487C"/>
    <w:rsid w:val="00694883"/>
    <w:rsid w:val="00694A59"/>
    <w:rsid w:val="006950AD"/>
    <w:rsid w:val="00695FD0"/>
    <w:rsid w:val="00696607"/>
    <w:rsid w:val="00696C80"/>
    <w:rsid w:val="00696ECD"/>
    <w:rsid w:val="00696F38"/>
    <w:rsid w:val="0069775A"/>
    <w:rsid w:val="006977E0"/>
    <w:rsid w:val="00697813"/>
    <w:rsid w:val="00697999"/>
    <w:rsid w:val="006A0241"/>
    <w:rsid w:val="006A1B6B"/>
    <w:rsid w:val="006A317E"/>
    <w:rsid w:val="006A3EE8"/>
    <w:rsid w:val="006A5229"/>
    <w:rsid w:val="006A5A4A"/>
    <w:rsid w:val="006A6087"/>
    <w:rsid w:val="006A72A8"/>
    <w:rsid w:val="006A72BF"/>
    <w:rsid w:val="006A7680"/>
    <w:rsid w:val="006B0183"/>
    <w:rsid w:val="006B03F2"/>
    <w:rsid w:val="006B164F"/>
    <w:rsid w:val="006B37DC"/>
    <w:rsid w:val="006B42C7"/>
    <w:rsid w:val="006B4873"/>
    <w:rsid w:val="006B4F68"/>
    <w:rsid w:val="006B748F"/>
    <w:rsid w:val="006C0134"/>
    <w:rsid w:val="006C0330"/>
    <w:rsid w:val="006C0592"/>
    <w:rsid w:val="006C15AA"/>
    <w:rsid w:val="006C22C1"/>
    <w:rsid w:val="006C272E"/>
    <w:rsid w:val="006C5479"/>
    <w:rsid w:val="006C57C1"/>
    <w:rsid w:val="006C5AE2"/>
    <w:rsid w:val="006C5DB6"/>
    <w:rsid w:val="006C6C66"/>
    <w:rsid w:val="006D0D90"/>
    <w:rsid w:val="006D12C2"/>
    <w:rsid w:val="006D13B5"/>
    <w:rsid w:val="006D1DD2"/>
    <w:rsid w:val="006D2C77"/>
    <w:rsid w:val="006D35D8"/>
    <w:rsid w:val="006D3ED0"/>
    <w:rsid w:val="006D44E1"/>
    <w:rsid w:val="006D53B3"/>
    <w:rsid w:val="006D5594"/>
    <w:rsid w:val="006D5A72"/>
    <w:rsid w:val="006D6E0E"/>
    <w:rsid w:val="006D73CF"/>
    <w:rsid w:val="006D7E86"/>
    <w:rsid w:val="006E0899"/>
    <w:rsid w:val="006E0FBB"/>
    <w:rsid w:val="006E1092"/>
    <w:rsid w:val="006E12FF"/>
    <w:rsid w:val="006E228A"/>
    <w:rsid w:val="006E2A18"/>
    <w:rsid w:val="006E2DC1"/>
    <w:rsid w:val="006E2FD1"/>
    <w:rsid w:val="006E43CA"/>
    <w:rsid w:val="006E4F07"/>
    <w:rsid w:val="006E536A"/>
    <w:rsid w:val="006E5583"/>
    <w:rsid w:val="006E5A97"/>
    <w:rsid w:val="006E607E"/>
    <w:rsid w:val="006E658F"/>
    <w:rsid w:val="006E6DEC"/>
    <w:rsid w:val="006E71A2"/>
    <w:rsid w:val="006F0CA7"/>
    <w:rsid w:val="006F1079"/>
    <w:rsid w:val="006F1167"/>
    <w:rsid w:val="006F2006"/>
    <w:rsid w:val="006F205D"/>
    <w:rsid w:val="006F21C8"/>
    <w:rsid w:val="006F2433"/>
    <w:rsid w:val="006F24A2"/>
    <w:rsid w:val="006F3C0C"/>
    <w:rsid w:val="006F420F"/>
    <w:rsid w:val="006F48CE"/>
    <w:rsid w:val="006F7CFF"/>
    <w:rsid w:val="00700150"/>
    <w:rsid w:val="007017C9"/>
    <w:rsid w:val="007029E3"/>
    <w:rsid w:val="00702C95"/>
    <w:rsid w:val="007035A7"/>
    <w:rsid w:val="00703E53"/>
    <w:rsid w:val="007044DA"/>
    <w:rsid w:val="00704FC2"/>
    <w:rsid w:val="0070649D"/>
    <w:rsid w:val="00706A44"/>
    <w:rsid w:val="00706A58"/>
    <w:rsid w:val="00706B18"/>
    <w:rsid w:val="00706C4E"/>
    <w:rsid w:val="00706C5D"/>
    <w:rsid w:val="00706FED"/>
    <w:rsid w:val="007078D5"/>
    <w:rsid w:val="00710857"/>
    <w:rsid w:val="00710C96"/>
    <w:rsid w:val="00711620"/>
    <w:rsid w:val="00711F19"/>
    <w:rsid w:val="00712C6B"/>
    <w:rsid w:val="00714C30"/>
    <w:rsid w:val="00715434"/>
    <w:rsid w:val="0071690F"/>
    <w:rsid w:val="00716F7B"/>
    <w:rsid w:val="00717755"/>
    <w:rsid w:val="007177BB"/>
    <w:rsid w:val="007201F0"/>
    <w:rsid w:val="00720408"/>
    <w:rsid w:val="00720E9C"/>
    <w:rsid w:val="00721BBB"/>
    <w:rsid w:val="00721F11"/>
    <w:rsid w:val="007223DE"/>
    <w:rsid w:val="0072285D"/>
    <w:rsid w:val="00723BDE"/>
    <w:rsid w:val="00724AD3"/>
    <w:rsid w:val="00724FE1"/>
    <w:rsid w:val="00725827"/>
    <w:rsid w:val="00725A84"/>
    <w:rsid w:val="00726980"/>
    <w:rsid w:val="007277C0"/>
    <w:rsid w:val="00727CDC"/>
    <w:rsid w:val="007307FE"/>
    <w:rsid w:val="0073116F"/>
    <w:rsid w:val="007313FB"/>
    <w:rsid w:val="0073188D"/>
    <w:rsid w:val="00731984"/>
    <w:rsid w:val="00731AB8"/>
    <w:rsid w:val="00731B7E"/>
    <w:rsid w:val="00732922"/>
    <w:rsid w:val="00733419"/>
    <w:rsid w:val="00734362"/>
    <w:rsid w:val="007343F7"/>
    <w:rsid w:val="007344BF"/>
    <w:rsid w:val="007350D2"/>
    <w:rsid w:val="00735B23"/>
    <w:rsid w:val="00736C94"/>
    <w:rsid w:val="00736C9E"/>
    <w:rsid w:val="00737CC9"/>
    <w:rsid w:val="00737E54"/>
    <w:rsid w:val="0074019E"/>
    <w:rsid w:val="007407A6"/>
    <w:rsid w:val="00740861"/>
    <w:rsid w:val="00740B20"/>
    <w:rsid w:val="00741916"/>
    <w:rsid w:val="00742BC9"/>
    <w:rsid w:val="007431D2"/>
    <w:rsid w:val="007431F2"/>
    <w:rsid w:val="00743945"/>
    <w:rsid w:val="00744ADD"/>
    <w:rsid w:val="00746183"/>
    <w:rsid w:val="0074740E"/>
    <w:rsid w:val="00747D0B"/>
    <w:rsid w:val="007506B2"/>
    <w:rsid w:val="00750A1C"/>
    <w:rsid w:val="00750D50"/>
    <w:rsid w:val="00750E24"/>
    <w:rsid w:val="00751083"/>
    <w:rsid w:val="007511F4"/>
    <w:rsid w:val="0075162E"/>
    <w:rsid w:val="00751653"/>
    <w:rsid w:val="0075274A"/>
    <w:rsid w:val="00752929"/>
    <w:rsid w:val="007532B2"/>
    <w:rsid w:val="00753716"/>
    <w:rsid w:val="00753DF6"/>
    <w:rsid w:val="00754034"/>
    <w:rsid w:val="00754D9E"/>
    <w:rsid w:val="00755496"/>
    <w:rsid w:val="00755605"/>
    <w:rsid w:val="00756556"/>
    <w:rsid w:val="00757EC2"/>
    <w:rsid w:val="00760FE4"/>
    <w:rsid w:val="007618C4"/>
    <w:rsid w:val="00762D80"/>
    <w:rsid w:val="00762E91"/>
    <w:rsid w:val="00764356"/>
    <w:rsid w:val="00764EAF"/>
    <w:rsid w:val="0076576D"/>
    <w:rsid w:val="00765AFE"/>
    <w:rsid w:val="007662D3"/>
    <w:rsid w:val="0076703D"/>
    <w:rsid w:val="00767072"/>
    <w:rsid w:val="00767980"/>
    <w:rsid w:val="00767A19"/>
    <w:rsid w:val="00767C32"/>
    <w:rsid w:val="00770A31"/>
    <w:rsid w:val="00770B19"/>
    <w:rsid w:val="00770FD8"/>
    <w:rsid w:val="00772126"/>
    <w:rsid w:val="0077463F"/>
    <w:rsid w:val="00774C5A"/>
    <w:rsid w:val="00774ED5"/>
    <w:rsid w:val="00775805"/>
    <w:rsid w:val="00776B70"/>
    <w:rsid w:val="00776BA3"/>
    <w:rsid w:val="00776C9C"/>
    <w:rsid w:val="00777B03"/>
    <w:rsid w:val="00780197"/>
    <w:rsid w:val="007801E1"/>
    <w:rsid w:val="00780B91"/>
    <w:rsid w:val="00781069"/>
    <w:rsid w:val="00781A4B"/>
    <w:rsid w:val="007832C7"/>
    <w:rsid w:val="007836EA"/>
    <w:rsid w:val="0078398B"/>
    <w:rsid w:val="007844BD"/>
    <w:rsid w:val="00784CDA"/>
    <w:rsid w:val="0078537D"/>
    <w:rsid w:val="00786232"/>
    <w:rsid w:val="00786F95"/>
    <w:rsid w:val="0079005C"/>
    <w:rsid w:val="007906C4"/>
    <w:rsid w:val="00790B5B"/>
    <w:rsid w:val="0079277F"/>
    <w:rsid w:val="007928F2"/>
    <w:rsid w:val="00792D5E"/>
    <w:rsid w:val="00792DD2"/>
    <w:rsid w:val="007937F7"/>
    <w:rsid w:val="0079390B"/>
    <w:rsid w:val="00793BD0"/>
    <w:rsid w:val="00793FC6"/>
    <w:rsid w:val="007940EA"/>
    <w:rsid w:val="0079465C"/>
    <w:rsid w:val="00795295"/>
    <w:rsid w:val="007953B5"/>
    <w:rsid w:val="00795745"/>
    <w:rsid w:val="007967E8"/>
    <w:rsid w:val="00796B25"/>
    <w:rsid w:val="00797651"/>
    <w:rsid w:val="0079766E"/>
    <w:rsid w:val="007A03E6"/>
    <w:rsid w:val="007A07DF"/>
    <w:rsid w:val="007A0CA6"/>
    <w:rsid w:val="007A156C"/>
    <w:rsid w:val="007A1DE2"/>
    <w:rsid w:val="007A215F"/>
    <w:rsid w:val="007A2170"/>
    <w:rsid w:val="007A21B6"/>
    <w:rsid w:val="007A22BF"/>
    <w:rsid w:val="007A238F"/>
    <w:rsid w:val="007A2665"/>
    <w:rsid w:val="007A2E5E"/>
    <w:rsid w:val="007A2FA2"/>
    <w:rsid w:val="007A3323"/>
    <w:rsid w:val="007A3389"/>
    <w:rsid w:val="007A37FD"/>
    <w:rsid w:val="007A3F08"/>
    <w:rsid w:val="007A3F84"/>
    <w:rsid w:val="007A471B"/>
    <w:rsid w:val="007A6292"/>
    <w:rsid w:val="007A7F48"/>
    <w:rsid w:val="007A7FA5"/>
    <w:rsid w:val="007B0F2D"/>
    <w:rsid w:val="007B188E"/>
    <w:rsid w:val="007B1A90"/>
    <w:rsid w:val="007B2665"/>
    <w:rsid w:val="007B35F4"/>
    <w:rsid w:val="007B3BEC"/>
    <w:rsid w:val="007B3D11"/>
    <w:rsid w:val="007B474F"/>
    <w:rsid w:val="007B60E6"/>
    <w:rsid w:val="007B72B8"/>
    <w:rsid w:val="007B756F"/>
    <w:rsid w:val="007B767C"/>
    <w:rsid w:val="007B791A"/>
    <w:rsid w:val="007B7A58"/>
    <w:rsid w:val="007C065E"/>
    <w:rsid w:val="007C08CE"/>
    <w:rsid w:val="007C1C53"/>
    <w:rsid w:val="007C1EF8"/>
    <w:rsid w:val="007C21B5"/>
    <w:rsid w:val="007C2B19"/>
    <w:rsid w:val="007C2D1B"/>
    <w:rsid w:val="007C3020"/>
    <w:rsid w:val="007C303C"/>
    <w:rsid w:val="007C3B8C"/>
    <w:rsid w:val="007C4950"/>
    <w:rsid w:val="007C583F"/>
    <w:rsid w:val="007C6589"/>
    <w:rsid w:val="007C7A3D"/>
    <w:rsid w:val="007D074E"/>
    <w:rsid w:val="007D0969"/>
    <w:rsid w:val="007D10B4"/>
    <w:rsid w:val="007D2A37"/>
    <w:rsid w:val="007D2AFC"/>
    <w:rsid w:val="007D2F36"/>
    <w:rsid w:val="007D3302"/>
    <w:rsid w:val="007D3518"/>
    <w:rsid w:val="007D45F6"/>
    <w:rsid w:val="007D511E"/>
    <w:rsid w:val="007D543D"/>
    <w:rsid w:val="007D560D"/>
    <w:rsid w:val="007D5BC2"/>
    <w:rsid w:val="007D603F"/>
    <w:rsid w:val="007D621A"/>
    <w:rsid w:val="007D7142"/>
    <w:rsid w:val="007D78D2"/>
    <w:rsid w:val="007D7A49"/>
    <w:rsid w:val="007E0407"/>
    <w:rsid w:val="007E18E3"/>
    <w:rsid w:val="007E1BA8"/>
    <w:rsid w:val="007E1D5F"/>
    <w:rsid w:val="007E225B"/>
    <w:rsid w:val="007E2AE4"/>
    <w:rsid w:val="007E2DBF"/>
    <w:rsid w:val="007E2F98"/>
    <w:rsid w:val="007E35ED"/>
    <w:rsid w:val="007E4BD2"/>
    <w:rsid w:val="007E510A"/>
    <w:rsid w:val="007E517D"/>
    <w:rsid w:val="007E5CC8"/>
    <w:rsid w:val="007E5D2A"/>
    <w:rsid w:val="007E5E4A"/>
    <w:rsid w:val="007E6081"/>
    <w:rsid w:val="007E60FF"/>
    <w:rsid w:val="007E6385"/>
    <w:rsid w:val="007E6737"/>
    <w:rsid w:val="007E732D"/>
    <w:rsid w:val="007E7A32"/>
    <w:rsid w:val="007F08D8"/>
    <w:rsid w:val="007F0BFD"/>
    <w:rsid w:val="007F0C56"/>
    <w:rsid w:val="007F0E70"/>
    <w:rsid w:val="007F1285"/>
    <w:rsid w:val="007F1AA6"/>
    <w:rsid w:val="007F2918"/>
    <w:rsid w:val="007F2C88"/>
    <w:rsid w:val="007F380C"/>
    <w:rsid w:val="007F3976"/>
    <w:rsid w:val="007F48FB"/>
    <w:rsid w:val="007F54F6"/>
    <w:rsid w:val="007F5D5A"/>
    <w:rsid w:val="007F683F"/>
    <w:rsid w:val="007F6A8B"/>
    <w:rsid w:val="007F6B49"/>
    <w:rsid w:val="007F76E1"/>
    <w:rsid w:val="007F7884"/>
    <w:rsid w:val="008011C6"/>
    <w:rsid w:val="00801393"/>
    <w:rsid w:val="008013DF"/>
    <w:rsid w:val="0080146D"/>
    <w:rsid w:val="00801A06"/>
    <w:rsid w:val="00802393"/>
    <w:rsid w:val="008026E9"/>
    <w:rsid w:val="00802775"/>
    <w:rsid w:val="00802C47"/>
    <w:rsid w:val="00802F17"/>
    <w:rsid w:val="00802F88"/>
    <w:rsid w:val="008039BA"/>
    <w:rsid w:val="00803FB2"/>
    <w:rsid w:val="00804282"/>
    <w:rsid w:val="00804283"/>
    <w:rsid w:val="00804DDD"/>
    <w:rsid w:val="0080586E"/>
    <w:rsid w:val="00805CD1"/>
    <w:rsid w:val="00805D16"/>
    <w:rsid w:val="00805EB1"/>
    <w:rsid w:val="008063EE"/>
    <w:rsid w:val="00806EE6"/>
    <w:rsid w:val="00807E97"/>
    <w:rsid w:val="0081063A"/>
    <w:rsid w:val="0081081F"/>
    <w:rsid w:val="00810D3C"/>
    <w:rsid w:val="008115EC"/>
    <w:rsid w:val="00811AD5"/>
    <w:rsid w:val="00811E70"/>
    <w:rsid w:val="00812294"/>
    <w:rsid w:val="0081280A"/>
    <w:rsid w:val="0081293E"/>
    <w:rsid w:val="00812A4A"/>
    <w:rsid w:val="00812DA8"/>
    <w:rsid w:val="00812DD3"/>
    <w:rsid w:val="008136AF"/>
    <w:rsid w:val="00814BE5"/>
    <w:rsid w:val="0081503F"/>
    <w:rsid w:val="00815465"/>
    <w:rsid w:val="00815860"/>
    <w:rsid w:val="00815C6B"/>
    <w:rsid w:val="008169C7"/>
    <w:rsid w:val="00817378"/>
    <w:rsid w:val="008175A5"/>
    <w:rsid w:val="00817E9A"/>
    <w:rsid w:val="00820153"/>
    <w:rsid w:val="00820AAD"/>
    <w:rsid w:val="008210C2"/>
    <w:rsid w:val="008216FB"/>
    <w:rsid w:val="008218EE"/>
    <w:rsid w:val="00822E8C"/>
    <w:rsid w:val="00823878"/>
    <w:rsid w:val="008238B9"/>
    <w:rsid w:val="0082390B"/>
    <w:rsid w:val="008249AC"/>
    <w:rsid w:val="00826E2C"/>
    <w:rsid w:val="00826EC6"/>
    <w:rsid w:val="00826ECD"/>
    <w:rsid w:val="008271BA"/>
    <w:rsid w:val="008271C0"/>
    <w:rsid w:val="0082740B"/>
    <w:rsid w:val="00827528"/>
    <w:rsid w:val="00827A90"/>
    <w:rsid w:val="00830246"/>
    <w:rsid w:val="00830615"/>
    <w:rsid w:val="008306BD"/>
    <w:rsid w:val="008309E9"/>
    <w:rsid w:val="00830B92"/>
    <w:rsid w:val="0083157F"/>
    <w:rsid w:val="008318C0"/>
    <w:rsid w:val="00831A80"/>
    <w:rsid w:val="00832509"/>
    <w:rsid w:val="00833743"/>
    <w:rsid w:val="008340A4"/>
    <w:rsid w:val="0083465C"/>
    <w:rsid w:val="00835862"/>
    <w:rsid w:val="008368A3"/>
    <w:rsid w:val="00837119"/>
    <w:rsid w:val="008372FD"/>
    <w:rsid w:val="00837B63"/>
    <w:rsid w:val="0084024D"/>
    <w:rsid w:val="008406E8"/>
    <w:rsid w:val="008407B3"/>
    <w:rsid w:val="00841848"/>
    <w:rsid w:val="0084191A"/>
    <w:rsid w:val="00842264"/>
    <w:rsid w:val="00842B07"/>
    <w:rsid w:val="00842D00"/>
    <w:rsid w:val="00842D43"/>
    <w:rsid w:val="00842F4A"/>
    <w:rsid w:val="00843E9B"/>
    <w:rsid w:val="008442EA"/>
    <w:rsid w:val="00844DAD"/>
    <w:rsid w:val="00845176"/>
    <w:rsid w:val="008452AC"/>
    <w:rsid w:val="00845B89"/>
    <w:rsid w:val="00846A1B"/>
    <w:rsid w:val="00846B13"/>
    <w:rsid w:val="008501FE"/>
    <w:rsid w:val="00851443"/>
    <w:rsid w:val="00851724"/>
    <w:rsid w:val="00851F9F"/>
    <w:rsid w:val="00851FB8"/>
    <w:rsid w:val="00852237"/>
    <w:rsid w:val="008524B4"/>
    <w:rsid w:val="0085455E"/>
    <w:rsid w:val="0085475A"/>
    <w:rsid w:val="00854820"/>
    <w:rsid w:val="008554EC"/>
    <w:rsid w:val="00855A05"/>
    <w:rsid w:val="00855A73"/>
    <w:rsid w:val="008561CE"/>
    <w:rsid w:val="0085657C"/>
    <w:rsid w:val="00856775"/>
    <w:rsid w:val="00856B93"/>
    <w:rsid w:val="00857356"/>
    <w:rsid w:val="0086005C"/>
    <w:rsid w:val="0086054E"/>
    <w:rsid w:val="008605B9"/>
    <w:rsid w:val="00860BCB"/>
    <w:rsid w:val="00860E99"/>
    <w:rsid w:val="00861000"/>
    <w:rsid w:val="00861E57"/>
    <w:rsid w:val="00862172"/>
    <w:rsid w:val="0086236C"/>
    <w:rsid w:val="00863F9B"/>
    <w:rsid w:val="008648B2"/>
    <w:rsid w:val="00864A32"/>
    <w:rsid w:val="008669BB"/>
    <w:rsid w:val="008673DF"/>
    <w:rsid w:val="0087032F"/>
    <w:rsid w:val="0087135F"/>
    <w:rsid w:val="008714F3"/>
    <w:rsid w:val="00871DC6"/>
    <w:rsid w:val="00872931"/>
    <w:rsid w:val="00872ACA"/>
    <w:rsid w:val="00872B7B"/>
    <w:rsid w:val="00872D94"/>
    <w:rsid w:val="0087344A"/>
    <w:rsid w:val="00873FE6"/>
    <w:rsid w:val="00874A34"/>
    <w:rsid w:val="00874C10"/>
    <w:rsid w:val="00874DF0"/>
    <w:rsid w:val="00875505"/>
    <w:rsid w:val="008757E5"/>
    <w:rsid w:val="00880364"/>
    <w:rsid w:val="00880C63"/>
    <w:rsid w:val="008812D9"/>
    <w:rsid w:val="00881816"/>
    <w:rsid w:val="00883365"/>
    <w:rsid w:val="00884EDB"/>
    <w:rsid w:val="00885E6C"/>
    <w:rsid w:val="008867EA"/>
    <w:rsid w:val="008872E7"/>
    <w:rsid w:val="00890567"/>
    <w:rsid w:val="0089061A"/>
    <w:rsid w:val="00890937"/>
    <w:rsid w:val="00890CF8"/>
    <w:rsid w:val="008913EA"/>
    <w:rsid w:val="00891592"/>
    <w:rsid w:val="00891C44"/>
    <w:rsid w:val="00891D86"/>
    <w:rsid w:val="00891E67"/>
    <w:rsid w:val="00891E9E"/>
    <w:rsid w:val="00892993"/>
    <w:rsid w:val="00892A76"/>
    <w:rsid w:val="0089383C"/>
    <w:rsid w:val="00893C41"/>
    <w:rsid w:val="008942FB"/>
    <w:rsid w:val="0089433C"/>
    <w:rsid w:val="008951BB"/>
    <w:rsid w:val="00895CBF"/>
    <w:rsid w:val="00895E7C"/>
    <w:rsid w:val="008965C1"/>
    <w:rsid w:val="008974E3"/>
    <w:rsid w:val="00897A42"/>
    <w:rsid w:val="00897E3D"/>
    <w:rsid w:val="008A0807"/>
    <w:rsid w:val="008A1533"/>
    <w:rsid w:val="008A1642"/>
    <w:rsid w:val="008A1D90"/>
    <w:rsid w:val="008A2AE7"/>
    <w:rsid w:val="008A2F68"/>
    <w:rsid w:val="008A312C"/>
    <w:rsid w:val="008A33CE"/>
    <w:rsid w:val="008A4C4B"/>
    <w:rsid w:val="008A5CCB"/>
    <w:rsid w:val="008A6118"/>
    <w:rsid w:val="008A7C86"/>
    <w:rsid w:val="008B02E0"/>
    <w:rsid w:val="008B1558"/>
    <w:rsid w:val="008B1A30"/>
    <w:rsid w:val="008B1A51"/>
    <w:rsid w:val="008B2ED6"/>
    <w:rsid w:val="008B323C"/>
    <w:rsid w:val="008B4149"/>
    <w:rsid w:val="008B419A"/>
    <w:rsid w:val="008B433B"/>
    <w:rsid w:val="008B4FA6"/>
    <w:rsid w:val="008B5107"/>
    <w:rsid w:val="008B5282"/>
    <w:rsid w:val="008B5300"/>
    <w:rsid w:val="008B5692"/>
    <w:rsid w:val="008B6506"/>
    <w:rsid w:val="008B7343"/>
    <w:rsid w:val="008B7C17"/>
    <w:rsid w:val="008C0119"/>
    <w:rsid w:val="008C032A"/>
    <w:rsid w:val="008C080C"/>
    <w:rsid w:val="008C0C06"/>
    <w:rsid w:val="008C1117"/>
    <w:rsid w:val="008C1BED"/>
    <w:rsid w:val="008C1C93"/>
    <w:rsid w:val="008C2C0E"/>
    <w:rsid w:val="008C2D01"/>
    <w:rsid w:val="008C40E6"/>
    <w:rsid w:val="008C496D"/>
    <w:rsid w:val="008C50E3"/>
    <w:rsid w:val="008C6774"/>
    <w:rsid w:val="008C7676"/>
    <w:rsid w:val="008D0996"/>
    <w:rsid w:val="008D0C05"/>
    <w:rsid w:val="008D0F7A"/>
    <w:rsid w:val="008D13BD"/>
    <w:rsid w:val="008D1665"/>
    <w:rsid w:val="008D28C8"/>
    <w:rsid w:val="008D28D7"/>
    <w:rsid w:val="008D2B38"/>
    <w:rsid w:val="008D2C0D"/>
    <w:rsid w:val="008D425A"/>
    <w:rsid w:val="008D4582"/>
    <w:rsid w:val="008D4EE5"/>
    <w:rsid w:val="008D68E4"/>
    <w:rsid w:val="008D73F5"/>
    <w:rsid w:val="008D75AA"/>
    <w:rsid w:val="008D7604"/>
    <w:rsid w:val="008D768E"/>
    <w:rsid w:val="008D7E9C"/>
    <w:rsid w:val="008E0506"/>
    <w:rsid w:val="008E0BB0"/>
    <w:rsid w:val="008E0CFF"/>
    <w:rsid w:val="008E1A19"/>
    <w:rsid w:val="008E1C39"/>
    <w:rsid w:val="008E2929"/>
    <w:rsid w:val="008E2DD1"/>
    <w:rsid w:val="008E37BB"/>
    <w:rsid w:val="008E3D2A"/>
    <w:rsid w:val="008E412F"/>
    <w:rsid w:val="008E4392"/>
    <w:rsid w:val="008E4806"/>
    <w:rsid w:val="008E5D6B"/>
    <w:rsid w:val="008E7242"/>
    <w:rsid w:val="008E76F0"/>
    <w:rsid w:val="008E78AA"/>
    <w:rsid w:val="008E7A79"/>
    <w:rsid w:val="008E7F9B"/>
    <w:rsid w:val="008F00A4"/>
    <w:rsid w:val="008F00B8"/>
    <w:rsid w:val="008F0530"/>
    <w:rsid w:val="008F071D"/>
    <w:rsid w:val="008F09C1"/>
    <w:rsid w:val="008F10D3"/>
    <w:rsid w:val="008F144B"/>
    <w:rsid w:val="008F15FE"/>
    <w:rsid w:val="008F1A63"/>
    <w:rsid w:val="008F2B35"/>
    <w:rsid w:val="008F2D29"/>
    <w:rsid w:val="008F5187"/>
    <w:rsid w:val="008F56C2"/>
    <w:rsid w:val="008F57E5"/>
    <w:rsid w:val="008F60D8"/>
    <w:rsid w:val="008F6650"/>
    <w:rsid w:val="008F7473"/>
    <w:rsid w:val="0090117E"/>
    <w:rsid w:val="00901CA7"/>
    <w:rsid w:val="00901CF5"/>
    <w:rsid w:val="00901F16"/>
    <w:rsid w:val="00902727"/>
    <w:rsid w:val="009028BB"/>
    <w:rsid w:val="0090312B"/>
    <w:rsid w:val="00903C16"/>
    <w:rsid w:val="00904457"/>
    <w:rsid w:val="009049C8"/>
    <w:rsid w:val="00905089"/>
    <w:rsid w:val="00905715"/>
    <w:rsid w:val="009058BB"/>
    <w:rsid w:val="009059EA"/>
    <w:rsid w:val="00905B89"/>
    <w:rsid w:val="0090617A"/>
    <w:rsid w:val="00906623"/>
    <w:rsid w:val="00907054"/>
    <w:rsid w:val="0090705A"/>
    <w:rsid w:val="00907946"/>
    <w:rsid w:val="00907D5F"/>
    <w:rsid w:val="00907E96"/>
    <w:rsid w:val="009105C9"/>
    <w:rsid w:val="00910980"/>
    <w:rsid w:val="00910B1F"/>
    <w:rsid w:val="009112FA"/>
    <w:rsid w:val="00911E61"/>
    <w:rsid w:val="0091308F"/>
    <w:rsid w:val="009154DB"/>
    <w:rsid w:val="0091582B"/>
    <w:rsid w:val="00915F91"/>
    <w:rsid w:val="0091679E"/>
    <w:rsid w:val="009168F5"/>
    <w:rsid w:val="00916C88"/>
    <w:rsid w:val="00916CED"/>
    <w:rsid w:val="0091724C"/>
    <w:rsid w:val="0091736D"/>
    <w:rsid w:val="00917671"/>
    <w:rsid w:val="009217AA"/>
    <w:rsid w:val="00921D8E"/>
    <w:rsid w:val="009222CA"/>
    <w:rsid w:val="00922CC4"/>
    <w:rsid w:val="009232E2"/>
    <w:rsid w:val="00923ED3"/>
    <w:rsid w:val="00924E63"/>
    <w:rsid w:val="00925B98"/>
    <w:rsid w:val="00926132"/>
    <w:rsid w:val="0092653E"/>
    <w:rsid w:val="00927CE1"/>
    <w:rsid w:val="0093014A"/>
    <w:rsid w:val="0093037A"/>
    <w:rsid w:val="009337DE"/>
    <w:rsid w:val="0093396E"/>
    <w:rsid w:val="00935740"/>
    <w:rsid w:val="00935A75"/>
    <w:rsid w:val="009361C5"/>
    <w:rsid w:val="00936F99"/>
    <w:rsid w:val="00937376"/>
    <w:rsid w:val="009375D7"/>
    <w:rsid w:val="00937ED4"/>
    <w:rsid w:val="00940337"/>
    <w:rsid w:val="009404D9"/>
    <w:rsid w:val="00941058"/>
    <w:rsid w:val="0094154D"/>
    <w:rsid w:val="00941E31"/>
    <w:rsid w:val="009425BC"/>
    <w:rsid w:val="009429A2"/>
    <w:rsid w:val="00943450"/>
    <w:rsid w:val="009438D6"/>
    <w:rsid w:val="00943ACC"/>
    <w:rsid w:val="00944263"/>
    <w:rsid w:val="009446F0"/>
    <w:rsid w:val="00944D54"/>
    <w:rsid w:val="00945237"/>
    <w:rsid w:val="00945638"/>
    <w:rsid w:val="00945733"/>
    <w:rsid w:val="00946667"/>
    <w:rsid w:val="00946E8F"/>
    <w:rsid w:val="00947366"/>
    <w:rsid w:val="009474DC"/>
    <w:rsid w:val="009505A9"/>
    <w:rsid w:val="00950F20"/>
    <w:rsid w:val="0095155F"/>
    <w:rsid w:val="00952683"/>
    <w:rsid w:val="00954429"/>
    <w:rsid w:val="009547B0"/>
    <w:rsid w:val="009555E6"/>
    <w:rsid w:val="00955844"/>
    <w:rsid w:val="00955A76"/>
    <w:rsid w:val="00956348"/>
    <w:rsid w:val="009563CE"/>
    <w:rsid w:val="00956D6B"/>
    <w:rsid w:val="00957482"/>
    <w:rsid w:val="0095761D"/>
    <w:rsid w:val="00957AB4"/>
    <w:rsid w:val="0096000F"/>
    <w:rsid w:val="009601FD"/>
    <w:rsid w:val="00961FC4"/>
    <w:rsid w:val="00962D5D"/>
    <w:rsid w:val="009652F9"/>
    <w:rsid w:val="00967181"/>
    <w:rsid w:val="009676EE"/>
    <w:rsid w:val="00967813"/>
    <w:rsid w:val="00967BC2"/>
    <w:rsid w:val="00970DA1"/>
    <w:rsid w:val="0097106A"/>
    <w:rsid w:val="009715CC"/>
    <w:rsid w:val="00973BF7"/>
    <w:rsid w:val="00976328"/>
    <w:rsid w:val="009765B2"/>
    <w:rsid w:val="00976776"/>
    <w:rsid w:val="0097680D"/>
    <w:rsid w:val="00977668"/>
    <w:rsid w:val="00977724"/>
    <w:rsid w:val="00977980"/>
    <w:rsid w:val="0098057E"/>
    <w:rsid w:val="00981B05"/>
    <w:rsid w:val="00982438"/>
    <w:rsid w:val="00982765"/>
    <w:rsid w:val="0098276B"/>
    <w:rsid w:val="00982D9A"/>
    <w:rsid w:val="00982F49"/>
    <w:rsid w:val="00983529"/>
    <w:rsid w:val="00983B40"/>
    <w:rsid w:val="0098404C"/>
    <w:rsid w:val="00984127"/>
    <w:rsid w:val="0098423B"/>
    <w:rsid w:val="00985283"/>
    <w:rsid w:val="009867E9"/>
    <w:rsid w:val="009904D4"/>
    <w:rsid w:val="0099093F"/>
    <w:rsid w:val="009909B9"/>
    <w:rsid w:val="00991BC4"/>
    <w:rsid w:val="0099260F"/>
    <w:rsid w:val="00992B4B"/>
    <w:rsid w:val="0099316B"/>
    <w:rsid w:val="009942B2"/>
    <w:rsid w:val="00994960"/>
    <w:rsid w:val="00995992"/>
    <w:rsid w:val="00997B2E"/>
    <w:rsid w:val="00997EB8"/>
    <w:rsid w:val="00997F30"/>
    <w:rsid w:val="009A0024"/>
    <w:rsid w:val="009A03E5"/>
    <w:rsid w:val="009A0F3B"/>
    <w:rsid w:val="009A125E"/>
    <w:rsid w:val="009A1BB4"/>
    <w:rsid w:val="009A1E1A"/>
    <w:rsid w:val="009A2323"/>
    <w:rsid w:val="009A2628"/>
    <w:rsid w:val="009A2BB2"/>
    <w:rsid w:val="009A3200"/>
    <w:rsid w:val="009A3651"/>
    <w:rsid w:val="009A378F"/>
    <w:rsid w:val="009A37D7"/>
    <w:rsid w:val="009A38E6"/>
    <w:rsid w:val="009A3D31"/>
    <w:rsid w:val="009A3EE8"/>
    <w:rsid w:val="009A509D"/>
    <w:rsid w:val="009A55D3"/>
    <w:rsid w:val="009A56AC"/>
    <w:rsid w:val="009A620F"/>
    <w:rsid w:val="009A7467"/>
    <w:rsid w:val="009A7905"/>
    <w:rsid w:val="009B0084"/>
    <w:rsid w:val="009B04EF"/>
    <w:rsid w:val="009B0897"/>
    <w:rsid w:val="009B0A9B"/>
    <w:rsid w:val="009B0DAC"/>
    <w:rsid w:val="009B0DFD"/>
    <w:rsid w:val="009B127A"/>
    <w:rsid w:val="009B1C03"/>
    <w:rsid w:val="009B1C18"/>
    <w:rsid w:val="009B2415"/>
    <w:rsid w:val="009B3208"/>
    <w:rsid w:val="009B370D"/>
    <w:rsid w:val="009B37E8"/>
    <w:rsid w:val="009B3864"/>
    <w:rsid w:val="009B3BDC"/>
    <w:rsid w:val="009B4043"/>
    <w:rsid w:val="009B4CD9"/>
    <w:rsid w:val="009B573D"/>
    <w:rsid w:val="009B6151"/>
    <w:rsid w:val="009B61E4"/>
    <w:rsid w:val="009B690E"/>
    <w:rsid w:val="009B790C"/>
    <w:rsid w:val="009B7BD9"/>
    <w:rsid w:val="009C0F77"/>
    <w:rsid w:val="009C0FA7"/>
    <w:rsid w:val="009C14D0"/>
    <w:rsid w:val="009C18A6"/>
    <w:rsid w:val="009C20F8"/>
    <w:rsid w:val="009C33B0"/>
    <w:rsid w:val="009C4890"/>
    <w:rsid w:val="009C555B"/>
    <w:rsid w:val="009C574B"/>
    <w:rsid w:val="009C5A4F"/>
    <w:rsid w:val="009C6142"/>
    <w:rsid w:val="009C7A2B"/>
    <w:rsid w:val="009C7DD5"/>
    <w:rsid w:val="009D01EA"/>
    <w:rsid w:val="009D0BAF"/>
    <w:rsid w:val="009D1257"/>
    <w:rsid w:val="009D19E3"/>
    <w:rsid w:val="009D5995"/>
    <w:rsid w:val="009D5BD1"/>
    <w:rsid w:val="009D5DB7"/>
    <w:rsid w:val="009D73BC"/>
    <w:rsid w:val="009D7D02"/>
    <w:rsid w:val="009D7F9C"/>
    <w:rsid w:val="009E1C51"/>
    <w:rsid w:val="009E227D"/>
    <w:rsid w:val="009E42F9"/>
    <w:rsid w:val="009E4472"/>
    <w:rsid w:val="009E449A"/>
    <w:rsid w:val="009E5019"/>
    <w:rsid w:val="009E509B"/>
    <w:rsid w:val="009E568B"/>
    <w:rsid w:val="009E7C8D"/>
    <w:rsid w:val="009F02AC"/>
    <w:rsid w:val="009F27A6"/>
    <w:rsid w:val="009F3EB8"/>
    <w:rsid w:val="009F616E"/>
    <w:rsid w:val="009F65D2"/>
    <w:rsid w:val="009F6F03"/>
    <w:rsid w:val="009F70B8"/>
    <w:rsid w:val="00A01458"/>
    <w:rsid w:val="00A0164B"/>
    <w:rsid w:val="00A01B13"/>
    <w:rsid w:val="00A01BE6"/>
    <w:rsid w:val="00A01CFE"/>
    <w:rsid w:val="00A0385D"/>
    <w:rsid w:val="00A03C59"/>
    <w:rsid w:val="00A03CAE"/>
    <w:rsid w:val="00A0422A"/>
    <w:rsid w:val="00A04519"/>
    <w:rsid w:val="00A04F1B"/>
    <w:rsid w:val="00A0501B"/>
    <w:rsid w:val="00A062A3"/>
    <w:rsid w:val="00A07526"/>
    <w:rsid w:val="00A075E2"/>
    <w:rsid w:val="00A100C5"/>
    <w:rsid w:val="00A109C2"/>
    <w:rsid w:val="00A1116A"/>
    <w:rsid w:val="00A117E6"/>
    <w:rsid w:val="00A12B07"/>
    <w:rsid w:val="00A13588"/>
    <w:rsid w:val="00A137AD"/>
    <w:rsid w:val="00A13B93"/>
    <w:rsid w:val="00A13BB6"/>
    <w:rsid w:val="00A14947"/>
    <w:rsid w:val="00A1618C"/>
    <w:rsid w:val="00A16D9D"/>
    <w:rsid w:val="00A20E03"/>
    <w:rsid w:val="00A20FB6"/>
    <w:rsid w:val="00A21714"/>
    <w:rsid w:val="00A21E1F"/>
    <w:rsid w:val="00A22571"/>
    <w:rsid w:val="00A22886"/>
    <w:rsid w:val="00A239BE"/>
    <w:rsid w:val="00A23A63"/>
    <w:rsid w:val="00A265B7"/>
    <w:rsid w:val="00A273F4"/>
    <w:rsid w:val="00A27478"/>
    <w:rsid w:val="00A27AA7"/>
    <w:rsid w:val="00A30041"/>
    <w:rsid w:val="00A30399"/>
    <w:rsid w:val="00A30E74"/>
    <w:rsid w:val="00A31180"/>
    <w:rsid w:val="00A317EB"/>
    <w:rsid w:val="00A31C77"/>
    <w:rsid w:val="00A31DE1"/>
    <w:rsid w:val="00A321E4"/>
    <w:rsid w:val="00A32A83"/>
    <w:rsid w:val="00A334D6"/>
    <w:rsid w:val="00A33867"/>
    <w:rsid w:val="00A340DE"/>
    <w:rsid w:val="00A34523"/>
    <w:rsid w:val="00A34895"/>
    <w:rsid w:val="00A3526A"/>
    <w:rsid w:val="00A36708"/>
    <w:rsid w:val="00A368DB"/>
    <w:rsid w:val="00A407C7"/>
    <w:rsid w:val="00A417FE"/>
    <w:rsid w:val="00A41D95"/>
    <w:rsid w:val="00A423AA"/>
    <w:rsid w:val="00A42459"/>
    <w:rsid w:val="00A428AE"/>
    <w:rsid w:val="00A43B32"/>
    <w:rsid w:val="00A449BF"/>
    <w:rsid w:val="00A44E8A"/>
    <w:rsid w:val="00A45298"/>
    <w:rsid w:val="00A453F0"/>
    <w:rsid w:val="00A466FB"/>
    <w:rsid w:val="00A478FF"/>
    <w:rsid w:val="00A47A21"/>
    <w:rsid w:val="00A47B82"/>
    <w:rsid w:val="00A5016B"/>
    <w:rsid w:val="00A502D3"/>
    <w:rsid w:val="00A51956"/>
    <w:rsid w:val="00A531F6"/>
    <w:rsid w:val="00A53CF1"/>
    <w:rsid w:val="00A53EC6"/>
    <w:rsid w:val="00A54DF0"/>
    <w:rsid w:val="00A54ECE"/>
    <w:rsid w:val="00A550DA"/>
    <w:rsid w:val="00A553D0"/>
    <w:rsid w:val="00A55C0F"/>
    <w:rsid w:val="00A5614C"/>
    <w:rsid w:val="00A57306"/>
    <w:rsid w:val="00A602A6"/>
    <w:rsid w:val="00A602F7"/>
    <w:rsid w:val="00A6084B"/>
    <w:rsid w:val="00A60922"/>
    <w:rsid w:val="00A60B48"/>
    <w:rsid w:val="00A6224D"/>
    <w:rsid w:val="00A62CEE"/>
    <w:rsid w:val="00A62D9E"/>
    <w:rsid w:val="00A639C0"/>
    <w:rsid w:val="00A64138"/>
    <w:rsid w:val="00A641DE"/>
    <w:rsid w:val="00A65322"/>
    <w:rsid w:val="00A65AC8"/>
    <w:rsid w:val="00A667F1"/>
    <w:rsid w:val="00A66D62"/>
    <w:rsid w:val="00A67CAF"/>
    <w:rsid w:val="00A70580"/>
    <w:rsid w:val="00A719D8"/>
    <w:rsid w:val="00A71DDB"/>
    <w:rsid w:val="00A72178"/>
    <w:rsid w:val="00A72EFE"/>
    <w:rsid w:val="00A73010"/>
    <w:rsid w:val="00A73436"/>
    <w:rsid w:val="00A74712"/>
    <w:rsid w:val="00A74780"/>
    <w:rsid w:val="00A75A73"/>
    <w:rsid w:val="00A75DB8"/>
    <w:rsid w:val="00A77753"/>
    <w:rsid w:val="00A812FF"/>
    <w:rsid w:val="00A813C8"/>
    <w:rsid w:val="00A823BF"/>
    <w:rsid w:val="00A83288"/>
    <w:rsid w:val="00A83B64"/>
    <w:rsid w:val="00A85F3D"/>
    <w:rsid w:val="00A85FFE"/>
    <w:rsid w:val="00A8713F"/>
    <w:rsid w:val="00A901F3"/>
    <w:rsid w:val="00A90BA1"/>
    <w:rsid w:val="00A9280E"/>
    <w:rsid w:val="00A93409"/>
    <w:rsid w:val="00A935EC"/>
    <w:rsid w:val="00A936E0"/>
    <w:rsid w:val="00A95297"/>
    <w:rsid w:val="00A954E0"/>
    <w:rsid w:val="00A964C2"/>
    <w:rsid w:val="00A965AE"/>
    <w:rsid w:val="00A9669F"/>
    <w:rsid w:val="00A97A9A"/>
    <w:rsid w:val="00A97E7C"/>
    <w:rsid w:val="00AA0671"/>
    <w:rsid w:val="00AA0F84"/>
    <w:rsid w:val="00AA1F7D"/>
    <w:rsid w:val="00AA2531"/>
    <w:rsid w:val="00AA4704"/>
    <w:rsid w:val="00AA5564"/>
    <w:rsid w:val="00AA6477"/>
    <w:rsid w:val="00AA71F7"/>
    <w:rsid w:val="00AA7D1A"/>
    <w:rsid w:val="00AB09A7"/>
    <w:rsid w:val="00AB1868"/>
    <w:rsid w:val="00AB1E09"/>
    <w:rsid w:val="00AB20A4"/>
    <w:rsid w:val="00AB2A1A"/>
    <w:rsid w:val="00AB2B8E"/>
    <w:rsid w:val="00AB5330"/>
    <w:rsid w:val="00AB5B40"/>
    <w:rsid w:val="00AB5EC1"/>
    <w:rsid w:val="00AB6659"/>
    <w:rsid w:val="00AB6CA0"/>
    <w:rsid w:val="00AB7331"/>
    <w:rsid w:val="00AB7637"/>
    <w:rsid w:val="00AB7747"/>
    <w:rsid w:val="00AC025D"/>
    <w:rsid w:val="00AC02DD"/>
    <w:rsid w:val="00AC1017"/>
    <w:rsid w:val="00AC1126"/>
    <w:rsid w:val="00AC14CE"/>
    <w:rsid w:val="00AC1A24"/>
    <w:rsid w:val="00AC2A56"/>
    <w:rsid w:val="00AC2ED0"/>
    <w:rsid w:val="00AC30FC"/>
    <w:rsid w:val="00AC38D6"/>
    <w:rsid w:val="00AC391F"/>
    <w:rsid w:val="00AC4E81"/>
    <w:rsid w:val="00AC4FDF"/>
    <w:rsid w:val="00AC575A"/>
    <w:rsid w:val="00AC5D68"/>
    <w:rsid w:val="00AC7732"/>
    <w:rsid w:val="00AD003D"/>
    <w:rsid w:val="00AD055E"/>
    <w:rsid w:val="00AD061F"/>
    <w:rsid w:val="00AD0B94"/>
    <w:rsid w:val="00AD0E86"/>
    <w:rsid w:val="00AD1F46"/>
    <w:rsid w:val="00AD2696"/>
    <w:rsid w:val="00AD2E25"/>
    <w:rsid w:val="00AD306D"/>
    <w:rsid w:val="00AD3885"/>
    <w:rsid w:val="00AD3D82"/>
    <w:rsid w:val="00AD42BF"/>
    <w:rsid w:val="00AD47A7"/>
    <w:rsid w:val="00AD4EC1"/>
    <w:rsid w:val="00AD5119"/>
    <w:rsid w:val="00AD5596"/>
    <w:rsid w:val="00AD5FBE"/>
    <w:rsid w:val="00AD6746"/>
    <w:rsid w:val="00AD7EF9"/>
    <w:rsid w:val="00AE02C7"/>
    <w:rsid w:val="00AE0C9C"/>
    <w:rsid w:val="00AE1718"/>
    <w:rsid w:val="00AE1987"/>
    <w:rsid w:val="00AE1B73"/>
    <w:rsid w:val="00AE2359"/>
    <w:rsid w:val="00AE3027"/>
    <w:rsid w:val="00AE37F7"/>
    <w:rsid w:val="00AE3907"/>
    <w:rsid w:val="00AE4A8A"/>
    <w:rsid w:val="00AE5904"/>
    <w:rsid w:val="00AE599B"/>
    <w:rsid w:val="00AE5C80"/>
    <w:rsid w:val="00AE6286"/>
    <w:rsid w:val="00AE7CEA"/>
    <w:rsid w:val="00AF0134"/>
    <w:rsid w:val="00AF0CBF"/>
    <w:rsid w:val="00AF1BFE"/>
    <w:rsid w:val="00AF257F"/>
    <w:rsid w:val="00AF269B"/>
    <w:rsid w:val="00AF3219"/>
    <w:rsid w:val="00AF33CF"/>
    <w:rsid w:val="00AF3AA9"/>
    <w:rsid w:val="00AF48B6"/>
    <w:rsid w:val="00AF4A5E"/>
    <w:rsid w:val="00AF4D50"/>
    <w:rsid w:val="00AF5AF2"/>
    <w:rsid w:val="00AF5DE4"/>
    <w:rsid w:val="00AF5E93"/>
    <w:rsid w:val="00AF6028"/>
    <w:rsid w:val="00AF60F6"/>
    <w:rsid w:val="00AF6179"/>
    <w:rsid w:val="00AF73FD"/>
    <w:rsid w:val="00B00CE7"/>
    <w:rsid w:val="00B01C1D"/>
    <w:rsid w:val="00B04578"/>
    <w:rsid w:val="00B0464E"/>
    <w:rsid w:val="00B04770"/>
    <w:rsid w:val="00B04BAB"/>
    <w:rsid w:val="00B04C95"/>
    <w:rsid w:val="00B072E3"/>
    <w:rsid w:val="00B107C7"/>
    <w:rsid w:val="00B10CB1"/>
    <w:rsid w:val="00B1240F"/>
    <w:rsid w:val="00B126C5"/>
    <w:rsid w:val="00B12892"/>
    <w:rsid w:val="00B1295A"/>
    <w:rsid w:val="00B135D2"/>
    <w:rsid w:val="00B137F4"/>
    <w:rsid w:val="00B13980"/>
    <w:rsid w:val="00B13A48"/>
    <w:rsid w:val="00B15ED0"/>
    <w:rsid w:val="00B15F79"/>
    <w:rsid w:val="00B1606B"/>
    <w:rsid w:val="00B16748"/>
    <w:rsid w:val="00B172A9"/>
    <w:rsid w:val="00B175CE"/>
    <w:rsid w:val="00B20762"/>
    <w:rsid w:val="00B20A45"/>
    <w:rsid w:val="00B2165B"/>
    <w:rsid w:val="00B21F57"/>
    <w:rsid w:val="00B22448"/>
    <w:rsid w:val="00B2276B"/>
    <w:rsid w:val="00B227A6"/>
    <w:rsid w:val="00B22C5C"/>
    <w:rsid w:val="00B238B5"/>
    <w:rsid w:val="00B23B3A"/>
    <w:rsid w:val="00B24DC4"/>
    <w:rsid w:val="00B24F30"/>
    <w:rsid w:val="00B2573C"/>
    <w:rsid w:val="00B2592F"/>
    <w:rsid w:val="00B259A5"/>
    <w:rsid w:val="00B260E6"/>
    <w:rsid w:val="00B27A1D"/>
    <w:rsid w:val="00B30C58"/>
    <w:rsid w:val="00B31175"/>
    <w:rsid w:val="00B316BF"/>
    <w:rsid w:val="00B3183F"/>
    <w:rsid w:val="00B31ABF"/>
    <w:rsid w:val="00B3271E"/>
    <w:rsid w:val="00B32BC9"/>
    <w:rsid w:val="00B32BE7"/>
    <w:rsid w:val="00B32D6B"/>
    <w:rsid w:val="00B330B2"/>
    <w:rsid w:val="00B33BE3"/>
    <w:rsid w:val="00B3438B"/>
    <w:rsid w:val="00B34CF2"/>
    <w:rsid w:val="00B34DC8"/>
    <w:rsid w:val="00B35213"/>
    <w:rsid w:val="00B36F24"/>
    <w:rsid w:val="00B370D6"/>
    <w:rsid w:val="00B37AD4"/>
    <w:rsid w:val="00B37EDD"/>
    <w:rsid w:val="00B40791"/>
    <w:rsid w:val="00B41CEE"/>
    <w:rsid w:val="00B4238C"/>
    <w:rsid w:val="00B42779"/>
    <w:rsid w:val="00B4307B"/>
    <w:rsid w:val="00B43617"/>
    <w:rsid w:val="00B43C24"/>
    <w:rsid w:val="00B44B2D"/>
    <w:rsid w:val="00B4556A"/>
    <w:rsid w:val="00B46141"/>
    <w:rsid w:val="00B4629E"/>
    <w:rsid w:val="00B4667A"/>
    <w:rsid w:val="00B475D5"/>
    <w:rsid w:val="00B47D50"/>
    <w:rsid w:val="00B50A65"/>
    <w:rsid w:val="00B50F05"/>
    <w:rsid w:val="00B51146"/>
    <w:rsid w:val="00B52ACC"/>
    <w:rsid w:val="00B5309F"/>
    <w:rsid w:val="00B53B5D"/>
    <w:rsid w:val="00B557B3"/>
    <w:rsid w:val="00B56CAF"/>
    <w:rsid w:val="00B60252"/>
    <w:rsid w:val="00B6055E"/>
    <w:rsid w:val="00B6077F"/>
    <w:rsid w:val="00B622BF"/>
    <w:rsid w:val="00B6283B"/>
    <w:rsid w:val="00B62909"/>
    <w:rsid w:val="00B63131"/>
    <w:rsid w:val="00B6317D"/>
    <w:rsid w:val="00B6391F"/>
    <w:rsid w:val="00B64897"/>
    <w:rsid w:val="00B648AC"/>
    <w:rsid w:val="00B64A5C"/>
    <w:rsid w:val="00B64DE4"/>
    <w:rsid w:val="00B656A5"/>
    <w:rsid w:val="00B656E1"/>
    <w:rsid w:val="00B65F6E"/>
    <w:rsid w:val="00B66A9D"/>
    <w:rsid w:val="00B7027C"/>
    <w:rsid w:val="00B705A9"/>
    <w:rsid w:val="00B71655"/>
    <w:rsid w:val="00B72144"/>
    <w:rsid w:val="00B72E4B"/>
    <w:rsid w:val="00B73023"/>
    <w:rsid w:val="00B73350"/>
    <w:rsid w:val="00B738F8"/>
    <w:rsid w:val="00B739EF"/>
    <w:rsid w:val="00B73EAC"/>
    <w:rsid w:val="00B75C59"/>
    <w:rsid w:val="00B763BD"/>
    <w:rsid w:val="00B77108"/>
    <w:rsid w:val="00B7723F"/>
    <w:rsid w:val="00B7743F"/>
    <w:rsid w:val="00B77C31"/>
    <w:rsid w:val="00B77F0F"/>
    <w:rsid w:val="00B80534"/>
    <w:rsid w:val="00B8055E"/>
    <w:rsid w:val="00B80A5B"/>
    <w:rsid w:val="00B80CE5"/>
    <w:rsid w:val="00B81312"/>
    <w:rsid w:val="00B8139A"/>
    <w:rsid w:val="00B81D6D"/>
    <w:rsid w:val="00B82927"/>
    <w:rsid w:val="00B82B90"/>
    <w:rsid w:val="00B832AB"/>
    <w:rsid w:val="00B83DD2"/>
    <w:rsid w:val="00B8433C"/>
    <w:rsid w:val="00B84B20"/>
    <w:rsid w:val="00B8553B"/>
    <w:rsid w:val="00B857E5"/>
    <w:rsid w:val="00B86421"/>
    <w:rsid w:val="00B86AB5"/>
    <w:rsid w:val="00B86ADE"/>
    <w:rsid w:val="00B86EA1"/>
    <w:rsid w:val="00B871F3"/>
    <w:rsid w:val="00B87305"/>
    <w:rsid w:val="00B87491"/>
    <w:rsid w:val="00B902E9"/>
    <w:rsid w:val="00B90D0D"/>
    <w:rsid w:val="00B914C2"/>
    <w:rsid w:val="00B92F7F"/>
    <w:rsid w:val="00B931AC"/>
    <w:rsid w:val="00B94819"/>
    <w:rsid w:val="00B94C08"/>
    <w:rsid w:val="00B9549B"/>
    <w:rsid w:val="00B95563"/>
    <w:rsid w:val="00B957A0"/>
    <w:rsid w:val="00B963F3"/>
    <w:rsid w:val="00B96698"/>
    <w:rsid w:val="00B96A7E"/>
    <w:rsid w:val="00B96B05"/>
    <w:rsid w:val="00B97F47"/>
    <w:rsid w:val="00BA0DF8"/>
    <w:rsid w:val="00BA0E41"/>
    <w:rsid w:val="00BA127D"/>
    <w:rsid w:val="00BA19BA"/>
    <w:rsid w:val="00BA1D4B"/>
    <w:rsid w:val="00BA1D6E"/>
    <w:rsid w:val="00BA28B8"/>
    <w:rsid w:val="00BA29E9"/>
    <w:rsid w:val="00BA325A"/>
    <w:rsid w:val="00BA3830"/>
    <w:rsid w:val="00BA4C27"/>
    <w:rsid w:val="00BA5D34"/>
    <w:rsid w:val="00BA5E38"/>
    <w:rsid w:val="00BA61C2"/>
    <w:rsid w:val="00BA62E5"/>
    <w:rsid w:val="00BA6F3B"/>
    <w:rsid w:val="00BA7142"/>
    <w:rsid w:val="00BA73B6"/>
    <w:rsid w:val="00BA7617"/>
    <w:rsid w:val="00BA7C19"/>
    <w:rsid w:val="00BB0B33"/>
    <w:rsid w:val="00BB1348"/>
    <w:rsid w:val="00BB1A01"/>
    <w:rsid w:val="00BB1BFA"/>
    <w:rsid w:val="00BB210A"/>
    <w:rsid w:val="00BB237C"/>
    <w:rsid w:val="00BB40EC"/>
    <w:rsid w:val="00BB411B"/>
    <w:rsid w:val="00BB41A3"/>
    <w:rsid w:val="00BB4BF4"/>
    <w:rsid w:val="00BB4F2F"/>
    <w:rsid w:val="00BB5AB2"/>
    <w:rsid w:val="00BB6B97"/>
    <w:rsid w:val="00BB6BF6"/>
    <w:rsid w:val="00BB73CB"/>
    <w:rsid w:val="00BB7535"/>
    <w:rsid w:val="00BB7A36"/>
    <w:rsid w:val="00BC06FC"/>
    <w:rsid w:val="00BC08F0"/>
    <w:rsid w:val="00BC0ACA"/>
    <w:rsid w:val="00BC10F6"/>
    <w:rsid w:val="00BC1443"/>
    <w:rsid w:val="00BC2230"/>
    <w:rsid w:val="00BC2DA8"/>
    <w:rsid w:val="00BC32DC"/>
    <w:rsid w:val="00BC35B6"/>
    <w:rsid w:val="00BC391D"/>
    <w:rsid w:val="00BC491C"/>
    <w:rsid w:val="00BC4EDC"/>
    <w:rsid w:val="00BC5D1A"/>
    <w:rsid w:val="00BC6886"/>
    <w:rsid w:val="00BC692C"/>
    <w:rsid w:val="00BC70CE"/>
    <w:rsid w:val="00BD1B51"/>
    <w:rsid w:val="00BD2997"/>
    <w:rsid w:val="00BD3545"/>
    <w:rsid w:val="00BD4596"/>
    <w:rsid w:val="00BD498A"/>
    <w:rsid w:val="00BD4CFE"/>
    <w:rsid w:val="00BD545A"/>
    <w:rsid w:val="00BD62BD"/>
    <w:rsid w:val="00BD6B03"/>
    <w:rsid w:val="00BD74AF"/>
    <w:rsid w:val="00BD7A78"/>
    <w:rsid w:val="00BD7B3F"/>
    <w:rsid w:val="00BE0E30"/>
    <w:rsid w:val="00BE1405"/>
    <w:rsid w:val="00BE183D"/>
    <w:rsid w:val="00BE245B"/>
    <w:rsid w:val="00BE30A9"/>
    <w:rsid w:val="00BE312D"/>
    <w:rsid w:val="00BE472E"/>
    <w:rsid w:val="00BE4D82"/>
    <w:rsid w:val="00BE4DBA"/>
    <w:rsid w:val="00BE4DF6"/>
    <w:rsid w:val="00BE4EB0"/>
    <w:rsid w:val="00BE5DD1"/>
    <w:rsid w:val="00BE622D"/>
    <w:rsid w:val="00BE62AC"/>
    <w:rsid w:val="00BE74E7"/>
    <w:rsid w:val="00BE795F"/>
    <w:rsid w:val="00BF036C"/>
    <w:rsid w:val="00BF0438"/>
    <w:rsid w:val="00BF1C20"/>
    <w:rsid w:val="00BF293F"/>
    <w:rsid w:val="00BF2CDA"/>
    <w:rsid w:val="00BF31A7"/>
    <w:rsid w:val="00BF35CC"/>
    <w:rsid w:val="00BF377B"/>
    <w:rsid w:val="00BF3914"/>
    <w:rsid w:val="00BF4985"/>
    <w:rsid w:val="00BF53CC"/>
    <w:rsid w:val="00BF6526"/>
    <w:rsid w:val="00BF65DA"/>
    <w:rsid w:val="00BF6753"/>
    <w:rsid w:val="00BF69AD"/>
    <w:rsid w:val="00BF6E24"/>
    <w:rsid w:val="00BF703F"/>
    <w:rsid w:val="00BF7726"/>
    <w:rsid w:val="00BF7B6B"/>
    <w:rsid w:val="00C00337"/>
    <w:rsid w:val="00C00898"/>
    <w:rsid w:val="00C00926"/>
    <w:rsid w:val="00C02526"/>
    <w:rsid w:val="00C036BF"/>
    <w:rsid w:val="00C0454D"/>
    <w:rsid w:val="00C04652"/>
    <w:rsid w:val="00C05A6F"/>
    <w:rsid w:val="00C0600F"/>
    <w:rsid w:val="00C064BF"/>
    <w:rsid w:val="00C065AE"/>
    <w:rsid w:val="00C070B4"/>
    <w:rsid w:val="00C07386"/>
    <w:rsid w:val="00C079FF"/>
    <w:rsid w:val="00C10578"/>
    <w:rsid w:val="00C11265"/>
    <w:rsid w:val="00C1175F"/>
    <w:rsid w:val="00C1176C"/>
    <w:rsid w:val="00C1195F"/>
    <w:rsid w:val="00C11B53"/>
    <w:rsid w:val="00C11CB6"/>
    <w:rsid w:val="00C12DEF"/>
    <w:rsid w:val="00C135BC"/>
    <w:rsid w:val="00C135C9"/>
    <w:rsid w:val="00C137C7"/>
    <w:rsid w:val="00C14DF1"/>
    <w:rsid w:val="00C15C95"/>
    <w:rsid w:val="00C16C59"/>
    <w:rsid w:val="00C16D75"/>
    <w:rsid w:val="00C178ED"/>
    <w:rsid w:val="00C17A95"/>
    <w:rsid w:val="00C20452"/>
    <w:rsid w:val="00C21A08"/>
    <w:rsid w:val="00C22592"/>
    <w:rsid w:val="00C22762"/>
    <w:rsid w:val="00C22D7F"/>
    <w:rsid w:val="00C23FDA"/>
    <w:rsid w:val="00C24126"/>
    <w:rsid w:val="00C24219"/>
    <w:rsid w:val="00C25268"/>
    <w:rsid w:val="00C2559C"/>
    <w:rsid w:val="00C2596A"/>
    <w:rsid w:val="00C26121"/>
    <w:rsid w:val="00C2612F"/>
    <w:rsid w:val="00C26343"/>
    <w:rsid w:val="00C2666B"/>
    <w:rsid w:val="00C27537"/>
    <w:rsid w:val="00C27616"/>
    <w:rsid w:val="00C27814"/>
    <w:rsid w:val="00C27C0B"/>
    <w:rsid w:val="00C27E32"/>
    <w:rsid w:val="00C27F4D"/>
    <w:rsid w:val="00C30B19"/>
    <w:rsid w:val="00C30BCD"/>
    <w:rsid w:val="00C318C4"/>
    <w:rsid w:val="00C328FE"/>
    <w:rsid w:val="00C3314D"/>
    <w:rsid w:val="00C33507"/>
    <w:rsid w:val="00C339D0"/>
    <w:rsid w:val="00C34594"/>
    <w:rsid w:val="00C35599"/>
    <w:rsid w:val="00C35D6E"/>
    <w:rsid w:val="00C35E60"/>
    <w:rsid w:val="00C379F2"/>
    <w:rsid w:val="00C37C6A"/>
    <w:rsid w:val="00C412DB"/>
    <w:rsid w:val="00C42EE8"/>
    <w:rsid w:val="00C42FFA"/>
    <w:rsid w:val="00C43956"/>
    <w:rsid w:val="00C4409D"/>
    <w:rsid w:val="00C44B95"/>
    <w:rsid w:val="00C44E72"/>
    <w:rsid w:val="00C4528A"/>
    <w:rsid w:val="00C45A06"/>
    <w:rsid w:val="00C45F37"/>
    <w:rsid w:val="00C46A1D"/>
    <w:rsid w:val="00C47B01"/>
    <w:rsid w:val="00C47E5B"/>
    <w:rsid w:val="00C50BC2"/>
    <w:rsid w:val="00C50D74"/>
    <w:rsid w:val="00C50DD0"/>
    <w:rsid w:val="00C517DD"/>
    <w:rsid w:val="00C5195F"/>
    <w:rsid w:val="00C53485"/>
    <w:rsid w:val="00C537B5"/>
    <w:rsid w:val="00C53D7A"/>
    <w:rsid w:val="00C54027"/>
    <w:rsid w:val="00C54178"/>
    <w:rsid w:val="00C564F8"/>
    <w:rsid w:val="00C565A4"/>
    <w:rsid w:val="00C568A3"/>
    <w:rsid w:val="00C601AE"/>
    <w:rsid w:val="00C61013"/>
    <w:rsid w:val="00C61524"/>
    <w:rsid w:val="00C61C42"/>
    <w:rsid w:val="00C61E4B"/>
    <w:rsid w:val="00C62301"/>
    <w:rsid w:val="00C6253C"/>
    <w:rsid w:val="00C63712"/>
    <w:rsid w:val="00C64BFF"/>
    <w:rsid w:val="00C652FD"/>
    <w:rsid w:val="00C65B98"/>
    <w:rsid w:val="00C65DC3"/>
    <w:rsid w:val="00C65FF8"/>
    <w:rsid w:val="00C66282"/>
    <w:rsid w:val="00C6639F"/>
    <w:rsid w:val="00C67150"/>
    <w:rsid w:val="00C679EC"/>
    <w:rsid w:val="00C67C5B"/>
    <w:rsid w:val="00C70247"/>
    <w:rsid w:val="00C702A7"/>
    <w:rsid w:val="00C704E9"/>
    <w:rsid w:val="00C7063B"/>
    <w:rsid w:val="00C70A1A"/>
    <w:rsid w:val="00C71BEF"/>
    <w:rsid w:val="00C72B12"/>
    <w:rsid w:val="00C7318E"/>
    <w:rsid w:val="00C75CEA"/>
    <w:rsid w:val="00C75ED6"/>
    <w:rsid w:val="00C763C9"/>
    <w:rsid w:val="00C76418"/>
    <w:rsid w:val="00C76D9C"/>
    <w:rsid w:val="00C7700A"/>
    <w:rsid w:val="00C80057"/>
    <w:rsid w:val="00C80246"/>
    <w:rsid w:val="00C802CE"/>
    <w:rsid w:val="00C805C4"/>
    <w:rsid w:val="00C80DCE"/>
    <w:rsid w:val="00C80E29"/>
    <w:rsid w:val="00C80E47"/>
    <w:rsid w:val="00C81883"/>
    <w:rsid w:val="00C82232"/>
    <w:rsid w:val="00C82913"/>
    <w:rsid w:val="00C83037"/>
    <w:rsid w:val="00C8360E"/>
    <w:rsid w:val="00C83A4C"/>
    <w:rsid w:val="00C8402D"/>
    <w:rsid w:val="00C84454"/>
    <w:rsid w:val="00C84698"/>
    <w:rsid w:val="00C85DCE"/>
    <w:rsid w:val="00C865D6"/>
    <w:rsid w:val="00C869CA"/>
    <w:rsid w:val="00C86DC4"/>
    <w:rsid w:val="00C876B6"/>
    <w:rsid w:val="00C914FC"/>
    <w:rsid w:val="00C91927"/>
    <w:rsid w:val="00C919E3"/>
    <w:rsid w:val="00C91E11"/>
    <w:rsid w:val="00C923CC"/>
    <w:rsid w:val="00C9279E"/>
    <w:rsid w:val="00C932C1"/>
    <w:rsid w:val="00C93488"/>
    <w:rsid w:val="00C9396E"/>
    <w:rsid w:val="00C93AE1"/>
    <w:rsid w:val="00C93D72"/>
    <w:rsid w:val="00C94064"/>
    <w:rsid w:val="00C94315"/>
    <w:rsid w:val="00C94946"/>
    <w:rsid w:val="00C94F0B"/>
    <w:rsid w:val="00C954C5"/>
    <w:rsid w:val="00C9656A"/>
    <w:rsid w:val="00C965CD"/>
    <w:rsid w:val="00C9690A"/>
    <w:rsid w:val="00C9718D"/>
    <w:rsid w:val="00C972B1"/>
    <w:rsid w:val="00C97406"/>
    <w:rsid w:val="00CA0441"/>
    <w:rsid w:val="00CA085E"/>
    <w:rsid w:val="00CA0C81"/>
    <w:rsid w:val="00CA0C92"/>
    <w:rsid w:val="00CA13F4"/>
    <w:rsid w:val="00CA2CCE"/>
    <w:rsid w:val="00CA3225"/>
    <w:rsid w:val="00CA33D8"/>
    <w:rsid w:val="00CA43FD"/>
    <w:rsid w:val="00CA5020"/>
    <w:rsid w:val="00CA5D65"/>
    <w:rsid w:val="00CA7EF8"/>
    <w:rsid w:val="00CB11A0"/>
    <w:rsid w:val="00CB3730"/>
    <w:rsid w:val="00CB3B29"/>
    <w:rsid w:val="00CB4205"/>
    <w:rsid w:val="00CB4B6A"/>
    <w:rsid w:val="00CB4CB3"/>
    <w:rsid w:val="00CB4CDD"/>
    <w:rsid w:val="00CB4DF4"/>
    <w:rsid w:val="00CB51B8"/>
    <w:rsid w:val="00CB5D73"/>
    <w:rsid w:val="00CB6C39"/>
    <w:rsid w:val="00CB7230"/>
    <w:rsid w:val="00CB73A0"/>
    <w:rsid w:val="00CC0569"/>
    <w:rsid w:val="00CC1A8C"/>
    <w:rsid w:val="00CC2F4A"/>
    <w:rsid w:val="00CC3DD1"/>
    <w:rsid w:val="00CC4621"/>
    <w:rsid w:val="00CC489B"/>
    <w:rsid w:val="00CC5F4D"/>
    <w:rsid w:val="00CC6268"/>
    <w:rsid w:val="00CC636C"/>
    <w:rsid w:val="00CC674F"/>
    <w:rsid w:val="00CD1DC7"/>
    <w:rsid w:val="00CD2BCD"/>
    <w:rsid w:val="00CD33B3"/>
    <w:rsid w:val="00CD362C"/>
    <w:rsid w:val="00CD3A4C"/>
    <w:rsid w:val="00CD450B"/>
    <w:rsid w:val="00CD536B"/>
    <w:rsid w:val="00CD61B2"/>
    <w:rsid w:val="00CD71BB"/>
    <w:rsid w:val="00CD776A"/>
    <w:rsid w:val="00CE00AF"/>
    <w:rsid w:val="00CE0561"/>
    <w:rsid w:val="00CE08B5"/>
    <w:rsid w:val="00CE10E9"/>
    <w:rsid w:val="00CE2910"/>
    <w:rsid w:val="00CE3838"/>
    <w:rsid w:val="00CE3B12"/>
    <w:rsid w:val="00CE4179"/>
    <w:rsid w:val="00CE4565"/>
    <w:rsid w:val="00CE4C1C"/>
    <w:rsid w:val="00CE5393"/>
    <w:rsid w:val="00CE5AD9"/>
    <w:rsid w:val="00CE6EC4"/>
    <w:rsid w:val="00CE6FCC"/>
    <w:rsid w:val="00CE6FF6"/>
    <w:rsid w:val="00CF1E55"/>
    <w:rsid w:val="00CF2A60"/>
    <w:rsid w:val="00CF2ADD"/>
    <w:rsid w:val="00CF2B63"/>
    <w:rsid w:val="00CF36BE"/>
    <w:rsid w:val="00CF3AC0"/>
    <w:rsid w:val="00CF5252"/>
    <w:rsid w:val="00CF6000"/>
    <w:rsid w:val="00CF62FF"/>
    <w:rsid w:val="00CF6DEE"/>
    <w:rsid w:val="00CF7264"/>
    <w:rsid w:val="00CF7CF2"/>
    <w:rsid w:val="00CF7E4A"/>
    <w:rsid w:val="00D003F3"/>
    <w:rsid w:val="00D01E53"/>
    <w:rsid w:val="00D02E2A"/>
    <w:rsid w:val="00D03311"/>
    <w:rsid w:val="00D0364F"/>
    <w:rsid w:val="00D04D6C"/>
    <w:rsid w:val="00D04DA5"/>
    <w:rsid w:val="00D06834"/>
    <w:rsid w:val="00D068DA"/>
    <w:rsid w:val="00D06B07"/>
    <w:rsid w:val="00D0737F"/>
    <w:rsid w:val="00D07791"/>
    <w:rsid w:val="00D07F21"/>
    <w:rsid w:val="00D10AF0"/>
    <w:rsid w:val="00D10CA7"/>
    <w:rsid w:val="00D11749"/>
    <w:rsid w:val="00D1234C"/>
    <w:rsid w:val="00D12882"/>
    <w:rsid w:val="00D131F3"/>
    <w:rsid w:val="00D13AC5"/>
    <w:rsid w:val="00D1487C"/>
    <w:rsid w:val="00D14AB9"/>
    <w:rsid w:val="00D15A01"/>
    <w:rsid w:val="00D16F16"/>
    <w:rsid w:val="00D17570"/>
    <w:rsid w:val="00D177EF"/>
    <w:rsid w:val="00D1789F"/>
    <w:rsid w:val="00D200E0"/>
    <w:rsid w:val="00D2021B"/>
    <w:rsid w:val="00D208EB"/>
    <w:rsid w:val="00D20C7D"/>
    <w:rsid w:val="00D2190E"/>
    <w:rsid w:val="00D21C5E"/>
    <w:rsid w:val="00D22103"/>
    <w:rsid w:val="00D221D6"/>
    <w:rsid w:val="00D224BE"/>
    <w:rsid w:val="00D22F94"/>
    <w:rsid w:val="00D231EF"/>
    <w:rsid w:val="00D2421E"/>
    <w:rsid w:val="00D24520"/>
    <w:rsid w:val="00D245E1"/>
    <w:rsid w:val="00D250E6"/>
    <w:rsid w:val="00D25573"/>
    <w:rsid w:val="00D25ED8"/>
    <w:rsid w:val="00D2649F"/>
    <w:rsid w:val="00D2691F"/>
    <w:rsid w:val="00D2719A"/>
    <w:rsid w:val="00D274DC"/>
    <w:rsid w:val="00D27AB1"/>
    <w:rsid w:val="00D27E15"/>
    <w:rsid w:val="00D308ED"/>
    <w:rsid w:val="00D329C9"/>
    <w:rsid w:val="00D33C13"/>
    <w:rsid w:val="00D34329"/>
    <w:rsid w:val="00D351DB"/>
    <w:rsid w:val="00D353DE"/>
    <w:rsid w:val="00D35C11"/>
    <w:rsid w:val="00D36024"/>
    <w:rsid w:val="00D36B58"/>
    <w:rsid w:val="00D36D86"/>
    <w:rsid w:val="00D36E99"/>
    <w:rsid w:val="00D36F5A"/>
    <w:rsid w:val="00D37D78"/>
    <w:rsid w:val="00D407B6"/>
    <w:rsid w:val="00D428AA"/>
    <w:rsid w:val="00D42990"/>
    <w:rsid w:val="00D42E5A"/>
    <w:rsid w:val="00D433CF"/>
    <w:rsid w:val="00D443F7"/>
    <w:rsid w:val="00D4480A"/>
    <w:rsid w:val="00D4489C"/>
    <w:rsid w:val="00D46209"/>
    <w:rsid w:val="00D47278"/>
    <w:rsid w:val="00D475BE"/>
    <w:rsid w:val="00D50056"/>
    <w:rsid w:val="00D50610"/>
    <w:rsid w:val="00D50A34"/>
    <w:rsid w:val="00D50BB0"/>
    <w:rsid w:val="00D50C45"/>
    <w:rsid w:val="00D516FA"/>
    <w:rsid w:val="00D51C47"/>
    <w:rsid w:val="00D51F3C"/>
    <w:rsid w:val="00D52A36"/>
    <w:rsid w:val="00D5351E"/>
    <w:rsid w:val="00D53AB1"/>
    <w:rsid w:val="00D53AED"/>
    <w:rsid w:val="00D53EFA"/>
    <w:rsid w:val="00D54E06"/>
    <w:rsid w:val="00D56511"/>
    <w:rsid w:val="00D569B4"/>
    <w:rsid w:val="00D56F5A"/>
    <w:rsid w:val="00D60A4E"/>
    <w:rsid w:val="00D60D8E"/>
    <w:rsid w:val="00D61801"/>
    <w:rsid w:val="00D61948"/>
    <w:rsid w:val="00D61B04"/>
    <w:rsid w:val="00D6226E"/>
    <w:rsid w:val="00D62A82"/>
    <w:rsid w:val="00D639BD"/>
    <w:rsid w:val="00D64CF4"/>
    <w:rsid w:val="00D659D7"/>
    <w:rsid w:val="00D65C6A"/>
    <w:rsid w:val="00D65F7C"/>
    <w:rsid w:val="00D67675"/>
    <w:rsid w:val="00D679D9"/>
    <w:rsid w:val="00D704D4"/>
    <w:rsid w:val="00D70942"/>
    <w:rsid w:val="00D70B3D"/>
    <w:rsid w:val="00D71952"/>
    <w:rsid w:val="00D71F46"/>
    <w:rsid w:val="00D72055"/>
    <w:rsid w:val="00D72FC5"/>
    <w:rsid w:val="00D75793"/>
    <w:rsid w:val="00D75A81"/>
    <w:rsid w:val="00D77B28"/>
    <w:rsid w:val="00D81499"/>
    <w:rsid w:val="00D82512"/>
    <w:rsid w:val="00D83185"/>
    <w:rsid w:val="00D83866"/>
    <w:rsid w:val="00D857B9"/>
    <w:rsid w:val="00D85E04"/>
    <w:rsid w:val="00D85EA2"/>
    <w:rsid w:val="00D866E5"/>
    <w:rsid w:val="00D86B42"/>
    <w:rsid w:val="00D87241"/>
    <w:rsid w:val="00D877A9"/>
    <w:rsid w:val="00D900FE"/>
    <w:rsid w:val="00D90223"/>
    <w:rsid w:val="00D90532"/>
    <w:rsid w:val="00D911AC"/>
    <w:rsid w:val="00D91257"/>
    <w:rsid w:val="00D9157C"/>
    <w:rsid w:val="00D916F0"/>
    <w:rsid w:val="00D91B64"/>
    <w:rsid w:val="00D91F76"/>
    <w:rsid w:val="00D927F9"/>
    <w:rsid w:val="00D94A7C"/>
    <w:rsid w:val="00D94DFA"/>
    <w:rsid w:val="00D957F6"/>
    <w:rsid w:val="00D957FE"/>
    <w:rsid w:val="00D95896"/>
    <w:rsid w:val="00D9655D"/>
    <w:rsid w:val="00D97164"/>
    <w:rsid w:val="00D9771D"/>
    <w:rsid w:val="00DA1A01"/>
    <w:rsid w:val="00DA230E"/>
    <w:rsid w:val="00DA2711"/>
    <w:rsid w:val="00DA30C3"/>
    <w:rsid w:val="00DA3221"/>
    <w:rsid w:val="00DA32A1"/>
    <w:rsid w:val="00DA40BC"/>
    <w:rsid w:val="00DA4548"/>
    <w:rsid w:val="00DA5095"/>
    <w:rsid w:val="00DA57A9"/>
    <w:rsid w:val="00DA59BC"/>
    <w:rsid w:val="00DA6208"/>
    <w:rsid w:val="00DA6D8C"/>
    <w:rsid w:val="00DB11D5"/>
    <w:rsid w:val="00DB1210"/>
    <w:rsid w:val="00DB27E3"/>
    <w:rsid w:val="00DB2983"/>
    <w:rsid w:val="00DB2E7B"/>
    <w:rsid w:val="00DB37EB"/>
    <w:rsid w:val="00DB39F7"/>
    <w:rsid w:val="00DB5726"/>
    <w:rsid w:val="00DB7C5F"/>
    <w:rsid w:val="00DC0A90"/>
    <w:rsid w:val="00DC0CA6"/>
    <w:rsid w:val="00DC1257"/>
    <w:rsid w:val="00DC13C9"/>
    <w:rsid w:val="00DC1DAE"/>
    <w:rsid w:val="00DC1FFD"/>
    <w:rsid w:val="00DC2394"/>
    <w:rsid w:val="00DC28AD"/>
    <w:rsid w:val="00DC3AF6"/>
    <w:rsid w:val="00DC3DC0"/>
    <w:rsid w:val="00DC497F"/>
    <w:rsid w:val="00DC4EB8"/>
    <w:rsid w:val="00DC5B2B"/>
    <w:rsid w:val="00DC656F"/>
    <w:rsid w:val="00DC6FBC"/>
    <w:rsid w:val="00DC7505"/>
    <w:rsid w:val="00DC7FAA"/>
    <w:rsid w:val="00DD1448"/>
    <w:rsid w:val="00DD263B"/>
    <w:rsid w:val="00DD27B1"/>
    <w:rsid w:val="00DD318D"/>
    <w:rsid w:val="00DD331A"/>
    <w:rsid w:val="00DD348B"/>
    <w:rsid w:val="00DD36D1"/>
    <w:rsid w:val="00DD46C6"/>
    <w:rsid w:val="00DD5081"/>
    <w:rsid w:val="00DD5442"/>
    <w:rsid w:val="00DD5D1E"/>
    <w:rsid w:val="00DD6BDB"/>
    <w:rsid w:val="00DD72EC"/>
    <w:rsid w:val="00DE185A"/>
    <w:rsid w:val="00DE1917"/>
    <w:rsid w:val="00DE1BE3"/>
    <w:rsid w:val="00DE1D4E"/>
    <w:rsid w:val="00DE232A"/>
    <w:rsid w:val="00DE2706"/>
    <w:rsid w:val="00DE4687"/>
    <w:rsid w:val="00DE46C6"/>
    <w:rsid w:val="00DE49EB"/>
    <w:rsid w:val="00DE5926"/>
    <w:rsid w:val="00DE5BC0"/>
    <w:rsid w:val="00DE6A29"/>
    <w:rsid w:val="00DF083F"/>
    <w:rsid w:val="00DF09AE"/>
    <w:rsid w:val="00DF13D8"/>
    <w:rsid w:val="00DF17E2"/>
    <w:rsid w:val="00DF21EB"/>
    <w:rsid w:val="00DF2E12"/>
    <w:rsid w:val="00DF4039"/>
    <w:rsid w:val="00DF4445"/>
    <w:rsid w:val="00DF4EF8"/>
    <w:rsid w:val="00DF514A"/>
    <w:rsid w:val="00DF5601"/>
    <w:rsid w:val="00DF6690"/>
    <w:rsid w:val="00DF6804"/>
    <w:rsid w:val="00DF6BB3"/>
    <w:rsid w:val="00DF6DB2"/>
    <w:rsid w:val="00DF70DD"/>
    <w:rsid w:val="00E01A6E"/>
    <w:rsid w:val="00E01DFB"/>
    <w:rsid w:val="00E01FEE"/>
    <w:rsid w:val="00E02196"/>
    <w:rsid w:val="00E02448"/>
    <w:rsid w:val="00E02AB1"/>
    <w:rsid w:val="00E034E1"/>
    <w:rsid w:val="00E0358D"/>
    <w:rsid w:val="00E04323"/>
    <w:rsid w:val="00E0493E"/>
    <w:rsid w:val="00E04D63"/>
    <w:rsid w:val="00E04F37"/>
    <w:rsid w:val="00E06D40"/>
    <w:rsid w:val="00E070A2"/>
    <w:rsid w:val="00E076B6"/>
    <w:rsid w:val="00E07CF2"/>
    <w:rsid w:val="00E07FF1"/>
    <w:rsid w:val="00E102FE"/>
    <w:rsid w:val="00E10334"/>
    <w:rsid w:val="00E108FA"/>
    <w:rsid w:val="00E10C3A"/>
    <w:rsid w:val="00E10DB7"/>
    <w:rsid w:val="00E119E2"/>
    <w:rsid w:val="00E12CBB"/>
    <w:rsid w:val="00E13D00"/>
    <w:rsid w:val="00E143FB"/>
    <w:rsid w:val="00E14D2B"/>
    <w:rsid w:val="00E14D92"/>
    <w:rsid w:val="00E15FCB"/>
    <w:rsid w:val="00E16245"/>
    <w:rsid w:val="00E2144F"/>
    <w:rsid w:val="00E214D6"/>
    <w:rsid w:val="00E23328"/>
    <w:rsid w:val="00E23A3B"/>
    <w:rsid w:val="00E24E21"/>
    <w:rsid w:val="00E24F50"/>
    <w:rsid w:val="00E2535E"/>
    <w:rsid w:val="00E25641"/>
    <w:rsid w:val="00E25762"/>
    <w:rsid w:val="00E2656A"/>
    <w:rsid w:val="00E27324"/>
    <w:rsid w:val="00E27689"/>
    <w:rsid w:val="00E27833"/>
    <w:rsid w:val="00E30444"/>
    <w:rsid w:val="00E30460"/>
    <w:rsid w:val="00E3074A"/>
    <w:rsid w:val="00E31DB8"/>
    <w:rsid w:val="00E3214B"/>
    <w:rsid w:val="00E3257F"/>
    <w:rsid w:val="00E32BD9"/>
    <w:rsid w:val="00E33E90"/>
    <w:rsid w:val="00E3402A"/>
    <w:rsid w:val="00E353B6"/>
    <w:rsid w:val="00E358F7"/>
    <w:rsid w:val="00E35956"/>
    <w:rsid w:val="00E370FA"/>
    <w:rsid w:val="00E37C40"/>
    <w:rsid w:val="00E40567"/>
    <w:rsid w:val="00E412D0"/>
    <w:rsid w:val="00E41C02"/>
    <w:rsid w:val="00E422DA"/>
    <w:rsid w:val="00E429BB"/>
    <w:rsid w:val="00E42A55"/>
    <w:rsid w:val="00E446B6"/>
    <w:rsid w:val="00E458B4"/>
    <w:rsid w:val="00E45F7F"/>
    <w:rsid w:val="00E463BF"/>
    <w:rsid w:val="00E46D91"/>
    <w:rsid w:val="00E46DDD"/>
    <w:rsid w:val="00E47C0A"/>
    <w:rsid w:val="00E50629"/>
    <w:rsid w:val="00E50A2A"/>
    <w:rsid w:val="00E510B7"/>
    <w:rsid w:val="00E51895"/>
    <w:rsid w:val="00E518DC"/>
    <w:rsid w:val="00E51A64"/>
    <w:rsid w:val="00E52FDE"/>
    <w:rsid w:val="00E531FB"/>
    <w:rsid w:val="00E542E6"/>
    <w:rsid w:val="00E54435"/>
    <w:rsid w:val="00E54DE1"/>
    <w:rsid w:val="00E559C2"/>
    <w:rsid w:val="00E55FDF"/>
    <w:rsid w:val="00E56322"/>
    <w:rsid w:val="00E578DF"/>
    <w:rsid w:val="00E57945"/>
    <w:rsid w:val="00E57CC3"/>
    <w:rsid w:val="00E60982"/>
    <w:rsid w:val="00E619F2"/>
    <w:rsid w:val="00E61A88"/>
    <w:rsid w:val="00E62547"/>
    <w:rsid w:val="00E62C62"/>
    <w:rsid w:val="00E6328F"/>
    <w:rsid w:val="00E638A3"/>
    <w:rsid w:val="00E63D94"/>
    <w:rsid w:val="00E64172"/>
    <w:rsid w:val="00E65054"/>
    <w:rsid w:val="00E65378"/>
    <w:rsid w:val="00E654C1"/>
    <w:rsid w:val="00E6586B"/>
    <w:rsid w:val="00E65D97"/>
    <w:rsid w:val="00E67F7D"/>
    <w:rsid w:val="00E70230"/>
    <w:rsid w:val="00E71322"/>
    <w:rsid w:val="00E713FA"/>
    <w:rsid w:val="00E71B9E"/>
    <w:rsid w:val="00E7285C"/>
    <w:rsid w:val="00E72877"/>
    <w:rsid w:val="00E72A5A"/>
    <w:rsid w:val="00E73193"/>
    <w:rsid w:val="00E73354"/>
    <w:rsid w:val="00E740BB"/>
    <w:rsid w:val="00E74576"/>
    <w:rsid w:val="00E74B74"/>
    <w:rsid w:val="00E75510"/>
    <w:rsid w:val="00E75788"/>
    <w:rsid w:val="00E759E2"/>
    <w:rsid w:val="00E76016"/>
    <w:rsid w:val="00E7618A"/>
    <w:rsid w:val="00E76305"/>
    <w:rsid w:val="00E76D17"/>
    <w:rsid w:val="00E771C9"/>
    <w:rsid w:val="00E77474"/>
    <w:rsid w:val="00E77CE5"/>
    <w:rsid w:val="00E8008B"/>
    <w:rsid w:val="00E81059"/>
    <w:rsid w:val="00E8143D"/>
    <w:rsid w:val="00E81974"/>
    <w:rsid w:val="00E82A16"/>
    <w:rsid w:val="00E82D1F"/>
    <w:rsid w:val="00E83AE9"/>
    <w:rsid w:val="00E85174"/>
    <w:rsid w:val="00E85B0D"/>
    <w:rsid w:val="00E85D52"/>
    <w:rsid w:val="00E8702B"/>
    <w:rsid w:val="00E87710"/>
    <w:rsid w:val="00E879C6"/>
    <w:rsid w:val="00E91499"/>
    <w:rsid w:val="00E91FD5"/>
    <w:rsid w:val="00E9242D"/>
    <w:rsid w:val="00E927CB"/>
    <w:rsid w:val="00E933CE"/>
    <w:rsid w:val="00E93A11"/>
    <w:rsid w:val="00E93B2A"/>
    <w:rsid w:val="00E95125"/>
    <w:rsid w:val="00E953B5"/>
    <w:rsid w:val="00E95978"/>
    <w:rsid w:val="00E959A1"/>
    <w:rsid w:val="00E95BFB"/>
    <w:rsid w:val="00E95D94"/>
    <w:rsid w:val="00E95DE2"/>
    <w:rsid w:val="00E95F53"/>
    <w:rsid w:val="00E978DD"/>
    <w:rsid w:val="00E97901"/>
    <w:rsid w:val="00E97D9F"/>
    <w:rsid w:val="00EA03DA"/>
    <w:rsid w:val="00EA1228"/>
    <w:rsid w:val="00EA1942"/>
    <w:rsid w:val="00EA21FF"/>
    <w:rsid w:val="00EA237A"/>
    <w:rsid w:val="00EA3D93"/>
    <w:rsid w:val="00EA3DA2"/>
    <w:rsid w:val="00EA5085"/>
    <w:rsid w:val="00EA509D"/>
    <w:rsid w:val="00EA5A6D"/>
    <w:rsid w:val="00EA5DC1"/>
    <w:rsid w:val="00EA6434"/>
    <w:rsid w:val="00EA75ED"/>
    <w:rsid w:val="00EA79BA"/>
    <w:rsid w:val="00EB08BD"/>
    <w:rsid w:val="00EB23B5"/>
    <w:rsid w:val="00EB23E6"/>
    <w:rsid w:val="00EB2424"/>
    <w:rsid w:val="00EB2651"/>
    <w:rsid w:val="00EB3695"/>
    <w:rsid w:val="00EB458A"/>
    <w:rsid w:val="00EB4D9B"/>
    <w:rsid w:val="00EB5255"/>
    <w:rsid w:val="00EB52AB"/>
    <w:rsid w:val="00EB5C47"/>
    <w:rsid w:val="00EB6E74"/>
    <w:rsid w:val="00EB75DF"/>
    <w:rsid w:val="00EB791E"/>
    <w:rsid w:val="00EB79A1"/>
    <w:rsid w:val="00EB7DB1"/>
    <w:rsid w:val="00EC155D"/>
    <w:rsid w:val="00EC1714"/>
    <w:rsid w:val="00EC1C7C"/>
    <w:rsid w:val="00EC27E8"/>
    <w:rsid w:val="00EC4F18"/>
    <w:rsid w:val="00EC58B7"/>
    <w:rsid w:val="00EC6522"/>
    <w:rsid w:val="00EC6C87"/>
    <w:rsid w:val="00ED0531"/>
    <w:rsid w:val="00ED0639"/>
    <w:rsid w:val="00ED0947"/>
    <w:rsid w:val="00ED0A5C"/>
    <w:rsid w:val="00ED0B26"/>
    <w:rsid w:val="00ED0F1D"/>
    <w:rsid w:val="00ED28A3"/>
    <w:rsid w:val="00ED356A"/>
    <w:rsid w:val="00ED4213"/>
    <w:rsid w:val="00ED5666"/>
    <w:rsid w:val="00ED5786"/>
    <w:rsid w:val="00ED66E1"/>
    <w:rsid w:val="00ED6720"/>
    <w:rsid w:val="00ED6A6B"/>
    <w:rsid w:val="00EE0179"/>
    <w:rsid w:val="00EE0C53"/>
    <w:rsid w:val="00EE0E4D"/>
    <w:rsid w:val="00EE15B2"/>
    <w:rsid w:val="00EE2D34"/>
    <w:rsid w:val="00EE3536"/>
    <w:rsid w:val="00EE3D7F"/>
    <w:rsid w:val="00EE4098"/>
    <w:rsid w:val="00EE558E"/>
    <w:rsid w:val="00EE5AB0"/>
    <w:rsid w:val="00EE63C7"/>
    <w:rsid w:val="00EF041C"/>
    <w:rsid w:val="00EF1473"/>
    <w:rsid w:val="00EF1610"/>
    <w:rsid w:val="00EF18A7"/>
    <w:rsid w:val="00EF36E4"/>
    <w:rsid w:val="00EF4755"/>
    <w:rsid w:val="00EF4AA8"/>
    <w:rsid w:val="00EF51EA"/>
    <w:rsid w:val="00EF5658"/>
    <w:rsid w:val="00EF58AB"/>
    <w:rsid w:val="00EF58C1"/>
    <w:rsid w:val="00EF5C10"/>
    <w:rsid w:val="00EF5C8E"/>
    <w:rsid w:val="00EF62AA"/>
    <w:rsid w:val="00EF687D"/>
    <w:rsid w:val="00EF6A47"/>
    <w:rsid w:val="00EF6D27"/>
    <w:rsid w:val="00EF7086"/>
    <w:rsid w:val="00EF7135"/>
    <w:rsid w:val="00F0035E"/>
    <w:rsid w:val="00F00FB7"/>
    <w:rsid w:val="00F011D6"/>
    <w:rsid w:val="00F0249C"/>
    <w:rsid w:val="00F027DB"/>
    <w:rsid w:val="00F027EF"/>
    <w:rsid w:val="00F02870"/>
    <w:rsid w:val="00F02F45"/>
    <w:rsid w:val="00F04A30"/>
    <w:rsid w:val="00F05033"/>
    <w:rsid w:val="00F05637"/>
    <w:rsid w:val="00F05E1B"/>
    <w:rsid w:val="00F05F90"/>
    <w:rsid w:val="00F0679B"/>
    <w:rsid w:val="00F073B4"/>
    <w:rsid w:val="00F106E2"/>
    <w:rsid w:val="00F11E74"/>
    <w:rsid w:val="00F13CD8"/>
    <w:rsid w:val="00F14489"/>
    <w:rsid w:val="00F14A7A"/>
    <w:rsid w:val="00F16133"/>
    <w:rsid w:val="00F16483"/>
    <w:rsid w:val="00F20E96"/>
    <w:rsid w:val="00F22985"/>
    <w:rsid w:val="00F233DE"/>
    <w:rsid w:val="00F23842"/>
    <w:rsid w:val="00F249AD"/>
    <w:rsid w:val="00F25F5F"/>
    <w:rsid w:val="00F26608"/>
    <w:rsid w:val="00F2679B"/>
    <w:rsid w:val="00F2733E"/>
    <w:rsid w:val="00F27963"/>
    <w:rsid w:val="00F27A78"/>
    <w:rsid w:val="00F30931"/>
    <w:rsid w:val="00F32347"/>
    <w:rsid w:val="00F3265A"/>
    <w:rsid w:val="00F33532"/>
    <w:rsid w:val="00F3383E"/>
    <w:rsid w:val="00F33D82"/>
    <w:rsid w:val="00F34230"/>
    <w:rsid w:val="00F34C95"/>
    <w:rsid w:val="00F34D8C"/>
    <w:rsid w:val="00F34FDC"/>
    <w:rsid w:val="00F362CC"/>
    <w:rsid w:val="00F3642D"/>
    <w:rsid w:val="00F36CDE"/>
    <w:rsid w:val="00F37AB2"/>
    <w:rsid w:val="00F37E64"/>
    <w:rsid w:val="00F404C0"/>
    <w:rsid w:val="00F41120"/>
    <w:rsid w:val="00F411CA"/>
    <w:rsid w:val="00F42D61"/>
    <w:rsid w:val="00F42FEC"/>
    <w:rsid w:val="00F43CC5"/>
    <w:rsid w:val="00F440BA"/>
    <w:rsid w:val="00F452A2"/>
    <w:rsid w:val="00F45EE9"/>
    <w:rsid w:val="00F461F1"/>
    <w:rsid w:val="00F465A7"/>
    <w:rsid w:val="00F46D3F"/>
    <w:rsid w:val="00F47795"/>
    <w:rsid w:val="00F47BFE"/>
    <w:rsid w:val="00F5024E"/>
    <w:rsid w:val="00F502A7"/>
    <w:rsid w:val="00F50B7C"/>
    <w:rsid w:val="00F51222"/>
    <w:rsid w:val="00F51C81"/>
    <w:rsid w:val="00F527EA"/>
    <w:rsid w:val="00F52924"/>
    <w:rsid w:val="00F53203"/>
    <w:rsid w:val="00F538A8"/>
    <w:rsid w:val="00F54D10"/>
    <w:rsid w:val="00F54F66"/>
    <w:rsid w:val="00F55059"/>
    <w:rsid w:val="00F550E6"/>
    <w:rsid w:val="00F55431"/>
    <w:rsid w:val="00F554C4"/>
    <w:rsid w:val="00F556A3"/>
    <w:rsid w:val="00F56112"/>
    <w:rsid w:val="00F56656"/>
    <w:rsid w:val="00F60809"/>
    <w:rsid w:val="00F60A4F"/>
    <w:rsid w:val="00F60CC4"/>
    <w:rsid w:val="00F60D6C"/>
    <w:rsid w:val="00F61414"/>
    <w:rsid w:val="00F61901"/>
    <w:rsid w:val="00F62040"/>
    <w:rsid w:val="00F62744"/>
    <w:rsid w:val="00F634EF"/>
    <w:rsid w:val="00F635F0"/>
    <w:rsid w:val="00F63792"/>
    <w:rsid w:val="00F63B02"/>
    <w:rsid w:val="00F63F30"/>
    <w:rsid w:val="00F64474"/>
    <w:rsid w:val="00F6489D"/>
    <w:rsid w:val="00F6539F"/>
    <w:rsid w:val="00F6673D"/>
    <w:rsid w:val="00F671E4"/>
    <w:rsid w:val="00F67453"/>
    <w:rsid w:val="00F677E6"/>
    <w:rsid w:val="00F67C33"/>
    <w:rsid w:val="00F67EDD"/>
    <w:rsid w:val="00F70A8C"/>
    <w:rsid w:val="00F7151E"/>
    <w:rsid w:val="00F71C88"/>
    <w:rsid w:val="00F71E71"/>
    <w:rsid w:val="00F7217A"/>
    <w:rsid w:val="00F72412"/>
    <w:rsid w:val="00F7277A"/>
    <w:rsid w:val="00F7390F"/>
    <w:rsid w:val="00F74345"/>
    <w:rsid w:val="00F759D0"/>
    <w:rsid w:val="00F75BA3"/>
    <w:rsid w:val="00F76A3D"/>
    <w:rsid w:val="00F76B79"/>
    <w:rsid w:val="00F80A0A"/>
    <w:rsid w:val="00F80CC1"/>
    <w:rsid w:val="00F82228"/>
    <w:rsid w:val="00F82386"/>
    <w:rsid w:val="00F82B19"/>
    <w:rsid w:val="00F82FBD"/>
    <w:rsid w:val="00F832EA"/>
    <w:rsid w:val="00F83A67"/>
    <w:rsid w:val="00F8421C"/>
    <w:rsid w:val="00F849BF"/>
    <w:rsid w:val="00F85F2B"/>
    <w:rsid w:val="00F86539"/>
    <w:rsid w:val="00F86830"/>
    <w:rsid w:val="00F87F50"/>
    <w:rsid w:val="00F91901"/>
    <w:rsid w:val="00F9197C"/>
    <w:rsid w:val="00F91F84"/>
    <w:rsid w:val="00F9212D"/>
    <w:rsid w:val="00F92D59"/>
    <w:rsid w:val="00F930B8"/>
    <w:rsid w:val="00F933B7"/>
    <w:rsid w:val="00F9345F"/>
    <w:rsid w:val="00F938AF"/>
    <w:rsid w:val="00F93E0F"/>
    <w:rsid w:val="00F94F81"/>
    <w:rsid w:val="00F95313"/>
    <w:rsid w:val="00F95AD7"/>
    <w:rsid w:val="00F95BAA"/>
    <w:rsid w:val="00F965DA"/>
    <w:rsid w:val="00F971D3"/>
    <w:rsid w:val="00F97C8D"/>
    <w:rsid w:val="00FA1807"/>
    <w:rsid w:val="00FA1F47"/>
    <w:rsid w:val="00FA273D"/>
    <w:rsid w:val="00FA33D0"/>
    <w:rsid w:val="00FA406A"/>
    <w:rsid w:val="00FA5DA0"/>
    <w:rsid w:val="00FA5F47"/>
    <w:rsid w:val="00FA6E4B"/>
    <w:rsid w:val="00FA6EB0"/>
    <w:rsid w:val="00FA7043"/>
    <w:rsid w:val="00FA79A5"/>
    <w:rsid w:val="00FB0193"/>
    <w:rsid w:val="00FB0B07"/>
    <w:rsid w:val="00FB106B"/>
    <w:rsid w:val="00FB1DAF"/>
    <w:rsid w:val="00FB211E"/>
    <w:rsid w:val="00FB2503"/>
    <w:rsid w:val="00FB2635"/>
    <w:rsid w:val="00FB28AA"/>
    <w:rsid w:val="00FB2CC1"/>
    <w:rsid w:val="00FB3198"/>
    <w:rsid w:val="00FB450C"/>
    <w:rsid w:val="00FB4BD6"/>
    <w:rsid w:val="00FB4E54"/>
    <w:rsid w:val="00FB503A"/>
    <w:rsid w:val="00FB5155"/>
    <w:rsid w:val="00FB516C"/>
    <w:rsid w:val="00FB64EF"/>
    <w:rsid w:val="00FB7B4B"/>
    <w:rsid w:val="00FB7DF8"/>
    <w:rsid w:val="00FB7E12"/>
    <w:rsid w:val="00FC0725"/>
    <w:rsid w:val="00FC0D4C"/>
    <w:rsid w:val="00FC22F2"/>
    <w:rsid w:val="00FC33A7"/>
    <w:rsid w:val="00FC43E5"/>
    <w:rsid w:val="00FC468A"/>
    <w:rsid w:val="00FC4F6C"/>
    <w:rsid w:val="00FC60EB"/>
    <w:rsid w:val="00FC625E"/>
    <w:rsid w:val="00FC67A8"/>
    <w:rsid w:val="00FC7396"/>
    <w:rsid w:val="00FC75BD"/>
    <w:rsid w:val="00FC7A1F"/>
    <w:rsid w:val="00FC7D05"/>
    <w:rsid w:val="00FC7FDE"/>
    <w:rsid w:val="00FD0236"/>
    <w:rsid w:val="00FD077B"/>
    <w:rsid w:val="00FD084B"/>
    <w:rsid w:val="00FD0A73"/>
    <w:rsid w:val="00FD0B31"/>
    <w:rsid w:val="00FD144F"/>
    <w:rsid w:val="00FD18F4"/>
    <w:rsid w:val="00FD261D"/>
    <w:rsid w:val="00FD303B"/>
    <w:rsid w:val="00FD468C"/>
    <w:rsid w:val="00FD4A37"/>
    <w:rsid w:val="00FD54DB"/>
    <w:rsid w:val="00FD619F"/>
    <w:rsid w:val="00FD7780"/>
    <w:rsid w:val="00FD7EEB"/>
    <w:rsid w:val="00FE0059"/>
    <w:rsid w:val="00FE06F1"/>
    <w:rsid w:val="00FE0F5C"/>
    <w:rsid w:val="00FE19D2"/>
    <w:rsid w:val="00FE1F3A"/>
    <w:rsid w:val="00FE562C"/>
    <w:rsid w:val="00FE564B"/>
    <w:rsid w:val="00FE5EE8"/>
    <w:rsid w:val="00FE6A6B"/>
    <w:rsid w:val="00FE71CC"/>
    <w:rsid w:val="00FE76FD"/>
    <w:rsid w:val="00FE7849"/>
    <w:rsid w:val="00FF01F6"/>
    <w:rsid w:val="00FF1979"/>
    <w:rsid w:val="00FF2D95"/>
    <w:rsid w:val="00FF3A9A"/>
    <w:rsid w:val="00FF3E1B"/>
    <w:rsid w:val="00FF489B"/>
    <w:rsid w:val="00FF4AE6"/>
    <w:rsid w:val="00FF5735"/>
    <w:rsid w:val="00FF6D33"/>
    <w:rsid w:val="00FF74C9"/>
    <w:rsid w:val="00FF79F1"/>
    <w:rsid w:val="01011432"/>
    <w:rsid w:val="01104D28"/>
    <w:rsid w:val="01290F7E"/>
    <w:rsid w:val="012A2737"/>
    <w:rsid w:val="014D0B1B"/>
    <w:rsid w:val="015D1E09"/>
    <w:rsid w:val="018329FE"/>
    <w:rsid w:val="01E77994"/>
    <w:rsid w:val="01F1594A"/>
    <w:rsid w:val="0204766A"/>
    <w:rsid w:val="02110D58"/>
    <w:rsid w:val="02247ACE"/>
    <w:rsid w:val="0238308B"/>
    <w:rsid w:val="024A6667"/>
    <w:rsid w:val="025A5A69"/>
    <w:rsid w:val="02697903"/>
    <w:rsid w:val="027125E7"/>
    <w:rsid w:val="02AE2E7A"/>
    <w:rsid w:val="02E1776D"/>
    <w:rsid w:val="02F96569"/>
    <w:rsid w:val="0309493D"/>
    <w:rsid w:val="033C7D54"/>
    <w:rsid w:val="035C50B5"/>
    <w:rsid w:val="036A1000"/>
    <w:rsid w:val="03991DF6"/>
    <w:rsid w:val="03C71067"/>
    <w:rsid w:val="03CC315E"/>
    <w:rsid w:val="03E63A70"/>
    <w:rsid w:val="03EA7B21"/>
    <w:rsid w:val="03F54301"/>
    <w:rsid w:val="03FE0E17"/>
    <w:rsid w:val="04257D07"/>
    <w:rsid w:val="04C47AB1"/>
    <w:rsid w:val="04CE1F73"/>
    <w:rsid w:val="04E87E3A"/>
    <w:rsid w:val="04F03929"/>
    <w:rsid w:val="052D36E5"/>
    <w:rsid w:val="052E1A97"/>
    <w:rsid w:val="052E3033"/>
    <w:rsid w:val="05727C3D"/>
    <w:rsid w:val="05746676"/>
    <w:rsid w:val="05816FE5"/>
    <w:rsid w:val="05A91BD8"/>
    <w:rsid w:val="05DC421B"/>
    <w:rsid w:val="05F83EAE"/>
    <w:rsid w:val="05F9301F"/>
    <w:rsid w:val="060074E5"/>
    <w:rsid w:val="063E7D85"/>
    <w:rsid w:val="06671899"/>
    <w:rsid w:val="067578E9"/>
    <w:rsid w:val="06874077"/>
    <w:rsid w:val="06C673A5"/>
    <w:rsid w:val="06D56C08"/>
    <w:rsid w:val="06E96F35"/>
    <w:rsid w:val="0709168A"/>
    <w:rsid w:val="07293586"/>
    <w:rsid w:val="07295285"/>
    <w:rsid w:val="072B17AA"/>
    <w:rsid w:val="07636392"/>
    <w:rsid w:val="076E28FC"/>
    <w:rsid w:val="07770C56"/>
    <w:rsid w:val="07921148"/>
    <w:rsid w:val="07C737D6"/>
    <w:rsid w:val="07D403D0"/>
    <w:rsid w:val="07DF42FB"/>
    <w:rsid w:val="07E775D3"/>
    <w:rsid w:val="080517B9"/>
    <w:rsid w:val="087044B2"/>
    <w:rsid w:val="08726603"/>
    <w:rsid w:val="08D631A4"/>
    <w:rsid w:val="08E9095C"/>
    <w:rsid w:val="08EF057C"/>
    <w:rsid w:val="09131644"/>
    <w:rsid w:val="092217DD"/>
    <w:rsid w:val="0934577E"/>
    <w:rsid w:val="093A7294"/>
    <w:rsid w:val="09435F79"/>
    <w:rsid w:val="095330E1"/>
    <w:rsid w:val="09676380"/>
    <w:rsid w:val="09861B9A"/>
    <w:rsid w:val="09B201F0"/>
    <w:rsid w:val="09CA4691"/>
    <w:rsid w:val="09D5008F"/>
    <w:rsid w:val="09F3754B"/>
    <w:rsid w:val="09F477C7"/>
    <w:rsid w:val="09F73114"/>
    <w:rsid w:val="0A00216B"/>
    <w:rsid w:val="0A110938"/>
    <w:rsid w:val="0A240915"/>
    <w:rsid w:val="0A257632"/>
    <w:rsid w:val="0A263993"/>
    <w:rsid w:val="0A2D3AC2"/>
    <w:rsid w:val="0A3F208B"/>
    <w:rsid w:val="0A55582B"/>
    <w:rsid w:val="0A6F4382"/>
    <w:rsid w:val="0A834A67"/>
    <w:rsid w:val="0AA755DF"/>
    <w:rsid w:val="0ABC5AE6"/>
    <w:rsid w:val="0ABD22B0"/>
    <w:rsid w:val="0B0B16BC"/>
    <w:rsid w:val="0B120D44"/>
    <w:rsid w:val="0B451018"/>
    <w:rsid w:val="0B635834"/>
    <w:rsid w:val="0B6F32C7"/>
    <w:rsid w:val="0B9646A3"/>
    <w:rsid w:val="0BA63302"/>
    <w:rsid w:val="0BD27BF6"/>
    <w:rsid w:val="0BD401F1"/>
    <w:rsid w:val="0C3B3C7D"/>
    <w:rsid w:val="0C41127C"/>
    <w:rsid w:val="0C4D03AC"/>
    <w:rsid w:val="0C674647"/>
    <w:rsid w:val="0CAB2EAE"/>
    <w:rsid w:val="0CB3012C"/>
    <w:rsid w:val="0CB87790"/>
    <w:rsid w:val="0CBA3508"/>
    <w:rsid w:val="0CE07C5E"/>
    <w:rsid w:val="0D186A99"/>
    <w:rsid w:val="0D322C39"/>
    <w:rsid w:val="0D4F0839"/>
    <w:rsid w:val="0D5F355D"/>
    <w:rsid w:val="0D621C7D"/>
    <w:rsid w:val="0D657CAC"/>
    <w:rsid w:val="0D6C608F"/>
    <w:rsid w:val="0D7731A8"/>
    <w:rsid w:val="0DA13364"/>
    <w:rsid w:val="0DC61A39"/>
    <w:rsid w:val="0DEC2396"/>
    <w:rsid w:val="0DEF32DD"/>
    <w:rsid w:val="0DF3028B"/>
    <w:rsid w:val="0E1561FA"/>
    <w:rsid w:val="0E2350DD"/>
    <w:rsid w:val="0E420729"/>
    <w:rsid w:val="0E465EE5"/>
    <w:rsid w:val="0E5057A7"/>
    <w:rsid w:val="0E5553A4"/>
    <w:rsid w:val="0E73034D"/>
    <w:rsid w:val="0EA93835"/>
    <w:rsid w:val="0EE957F9"/>
    <w:rsid w:val="0F13775A"/>
    <w:rsid w:val="0F33093F"/>
    <w:rsid w:val="0F3A6252"/>
    <w:rsid w:val="0F5F45FE"/>
    <w:rsid w:val="0F714A41"/>
    <w:rsid w:val="0F826E2C"/>
    <w:rsid w:val="0F9A112B"/>
    <w:rsid w:val="0FBC06CA"/>
    <w:rsid w:val="0FCD3553"/>
    <w:rsid w:val="0FD07E02"/>
    <w:rsid w:val="0FDC19E8"/>
    <w:rsid w:val="0FE32720"/>
    <w:rsid w:val="0FED57D5"/>
    <w:rsid w:val="0FED59A3"/>
    <w:rsid w:val="102F7DE0"/>
    <w:rsid w:val="103D4D34"/>
    <w:rsid w:val="106D2F64"/>
    <w:rsid w:val="10772735"/>
    <w:rsid w:val="107B6DFD"/>
    <w:rsid w:val="108A123D"/>
    <w:rsid w:val="10B63710"/>
    <w:rsid w:val="10C24340"/>
    <w:rsid w:val="10ED448B"/>
    <w:rsid w:val="10F10820"/>
    <w:rsid w:val="10FB6014"/>
    <w:rsid w:val="10FD7E68"/>
    <w:rsid w:val="11094360"/>
    <w:rsid w:val="111B7260"/>
    <w:rsid w:val="111C2F7A"/>
    <w:rsid w:val="113118BF"/>
    <w:rsid w:val="114A0FFC"/>
    <w:rsid w:val="11665CA1"/>
    <w:rsid w:val="11802F96"/>
    <w:rsid w:val="118B22FB"/>
    <w:rsid w:val="11AE1162"/>
    <w:rsid w:val="11EC3A38"/>
    <w:rsid w:val="11EF3559"/>
    <w:rsid w:val="121238FB"/>
    <w:rsid w:val="122C5D59"/>
    <w:rsid w:val="127A7862"/>
    <w:rsid w:val="128A05BE"/>
    <w:rsid w:val="129B1196"/>
    <w:rsid w:val="12D1132D"/>
    <w:rsid w:val="12DC7CFC"/>
    <w:rsid w:val="13214198"/>
    <w:rsid w:val="13216C63"/>
    <w:rsid w:val="132567E1"/>
    <w:rsid w:val="13662F80"/>
    <w:rsid w:val="13951726"/>
    <w:rsid w:val="13AE69F6"/>
    <w:rsid w:val="13BB36C2"/>
    <w:rsid w:val="13CB7DA9"/>
    <w:rsid w:val="13CF064E"/>
    <w:rsid w:val="14396509"/>
    <w:rsid w:val="14400540"/>
    <w:rsid w:val="14602F15"/>
    <w:rsid w:val="14A72655"/>
    <w:rsid w:val="14B9522B"/>
    <w:rsid w:val="14DD2C3C"/>
    <w:rsid w:val="14FF06CB"/>
    <w:rsid w:val="151D4290"/>
    <w:rsid w:val="152344AD"/>
    <w:rsid w:val="15704A7C"/>
    <w:rsid w:val="15932B49"/>
    <w:rsid w:val="16087E1D"/>
    <w:rsid w:val="163D5517"/>
    <w:rsid w:val="167A5AB7"/>
    <w:rsid w:val="16A065ED"/>
    <w:rsid w:val="16A70B31"/>
    <w:rsid w:val="17181FBA"/>
    <w:rsid w:val="1719634B"/>
    <w:rsid w:val="171B1048"/>
    <w:rsid w:val="176C5359"/>
    <w:rsid w:val="17701D14"/>
    <w:rsid w:val="17735226"/>
    <w:rsid w:val="177D7BD5"/>
    <w:rsid w:val="1780519C"/>
    <w:rsid w:val="179E3A27"/>
    <w:rsid w:val="17FC4D07"/>
    <w:rsid w:val="182B14E9"/>
    <w:rsid w:val="184F4129"/>
    <w:rsid w:val="18765BAC"/>
    <w:rsid w:val="18953770"/>
    <w:rsid w:val="189F624C"/>
    <w:rsid w:val="18A1557C"/>
    <w:rsid w:val="18D002C4"/>
    <w:rsid w:val="18ED2938"/>
    <w:rsid w:val="18F05AC4"/>
    <w:rsid w:val="18FA5B8A"/>
    <w:rsid w:val="19081158"/>
    <w:rsid w:val="191279CB"/>
    <w:rsid w:val="19157D18"/>
    <w:rsid w:val="19A718F9"/>
    <w:rsid w:val="19B47531"/>
    <w:rsid w:val="19BB266E"/>
    <w:rsid w:val="19D173AC"/>
    <w:rsid w:val="19D21766"/>
    <w:rsid w:val="19DC433A"/>
    <w:rsid w:val="19E33973"/>
    <w:rsid w:val="1A1C66C0"/>
    <w:rsid w:val="1A3773CD"/>
    <w:rsid w:val="1A42393B"/>
    <w:rsid w:val="1A5D1977"/>
    <w:rsid w:val="1A9058A9"/>
    <w:rsid w:val="1AAD45DE"/>
    <w:rsid w:val="1AC92B69"/>
    <w:rsid w:val="1AF50F95"/>
    <w:rsid w:val="1B002076"/>
    <w:rsid w:val="1B017D51"/>
    <w:rsid w:val="1B046F80"/>
    <w:rsid w:val="1B237089"/>
    <w:rsid w:val="1B283854"/>
    <w:rsid w:val="1B3267B5"/>
    <w:rsid w:val="1B40161D"/>
    <w:rsid w:val="1B441859"/>
    <w:rsid w:val="1B6606B1"/>
    <w:rsid w:val="1B684130"/>
    <w:rsid w:val="1BAF26B8"/>
    <w:rsid w:val="1BDE2644"/>
    <w:rsid w:val="1BFC2B20"/>
    <w:rsid w:val="1C25283A"/>
    <w:rsid w:val="1C2A2452"/>
    <w:rsid w:val="1C517A42"/>
    <w:rsid w:val="1C5E7925"/>
    <w:rsid w:val="1C766D20"/>
    <w:rsid w:val="1C865B7A"/>
    <w:rsid w:val="1CAD4E47"/>
    <w:rsid w:val="1CFD070F"/>
    <w:rsid w:val="1D06071D"/>
    <w:rsid w:val="1D260001"/>
    <w:rsid w:val="1D3C3DB4"/>
    <w:rsid w:val="1D595C76"/>
    <w:rsid w:val="1D5F6196"/>
    <w:rsid w:val="1D6132A5"/>
    <w:rsid w:val="1D7348C0"/>
    <w:rsid w:val="1D8E56D5"/>
    <w:rsid w:val="1DBF104B"/>
    <w:rsid w:val="1DCE685A"/>
    <w:rsid w:val="1DD00879"/>
    <w:rsid w:val="1E203A69"/>
    <w:rsid w:val="1E3A34F1"/>
    <w:rsid w:val="1E7A43DA"/>
    <w:rsid w:val="1EAE27A1"/>
    <w:rsid w:val="1F0D4391"/>
    <w:rsid w:val="1F1A3993"/>
    <w:rsid w:val="1F365AA8"/>
    <w:rsid w:val="1F460C2C"/>
    <w:rsid w:val="1F5716A5"/>
    <w:rsid w:val="1F6430B0"/>
    <w:rsid w:val="1F817EB6"/>
    <w:rsid w:val="1F8325A2"/>
    <w:rsid w:val="1FCC28FE"/>
    <w:rsid w:val="1FE7539E"/>
    <w:rsid w:val="2018602F"/>
    <w:rsid w:val="20261AC8"/>
    <w:rsid w:val="204A6B82"/>
    <w:rsid w:val="20606CD3"/>
    <w:rsid w:val="20671BE0"/>
    <w:rsid w:val="20811C26"/>
    <w:rsid w:val="20963CB8"/>
    <w:rsid w:val="20A81A1B"/>
    <w:rsid w:val="20B07FB6"/>
    <w:rsid w:val="20B646FB"/>
    <w:rsid w:val="20C70AA7"/>
    <w:rsid w:val="213B74B1"/>
    <w:rsid w:val="215172D5"/>
    <w:rsid w:val="215A2310"/>
    <w:rsid w:val="215A451A"/>
    <w:rsid w:val="216B3FF7"/>
    <w:rsid w:val="21C07A39"/>
    <w:rsid w:val="21DE318A"/>
    <w:rsid w:val="21EF5B80"/>
    <w:rsid w:val="21FC22F2"/>
    <w:rsid w:val="22576990"/>
    <w:rsid w:val="22646E91"/>
    <w:rsid w:val="226D092A"/>
    <w:rsid w:val="227801E0"/>
    <w:rsid w:val="22B838CF"/>
    <w:rsid w:val="22DF3CA4"/>
    <w:rsid w:val="22F4099F"/>
    <w:rsid w:val="22F47480"/>
    <w:rsid w:val="22FB52D6"/>
    <w:rsid w:val="23734FD8"/>
    <w:rsid w:val="23D700A4"/>
    <w:rsid w:val="23D965EE"/>
    <w:rsid w:val="23DD70FB"/>
    <w:rsid w:val="23DE1C48"/>
    <w:rsid w:val="240210CD"/>
    <w:rsid w:val="240B41F2"/>
    <w:rsid w:val="24676446"/>
    <w:rsid w:val="24A24B56"/>
    <w:rsid w:val="24AA4C6A"/>
    <w:rsid w:val="24BF09F7"/>
    <w:rsid w:val="24E4496C"/>
    <w:rsid w:val="250075D5"/>
    <w:rsid w:val="250F3A8F"/>
    <w:rsid w:val="252D53FE"/>
    <w:rsid w:val="25C331C7"/>
    <w:rsid w:val="25E46D6D"/>
    <w:rsid w:val="25EC2D81"/>
    <w:rsid w:val="25F5515A"/>
    <w:rsid w:val="26061115"/>
    <w:rsid w:val="26157B20"/>
    <w:rsid w:val="26174A30"/>
    <w:rsid w:val="264F486A"/>
    <w:rsid w:val="265754CC"/>
    <w:rsid w:val="26707009"/>
    <w:rsid w:val="26863717"/>
    <w:rsid w:val="26F64CE5"/>
    <w:rsid w:val="271E49DF"/>
    <w:rsid w:val="27383934"/>
    <w:rsid w:val="27685F0A"/>
    <w:rsid w:val="277057A2"/>
    <w:rsid w:val="277A5916"/>
    <w:rsid w:val="27983FEE"/>
    <w:rsid w:val="279B3F24"/>
    <w:rsid w:val="27AA65CF"/>
    <w:rsid w:val="27D25752"/>
    <w:rsid w:val="27E70AD2"/>
    <w:rsid w:val="27FC4D60"/>
    <w:rsid w:val="288D0B02"/>
    <w:rsid w:val="28A8200F"/>
    <w:rsid w:val="28A842BE"/>
    <w:rsid w:val="28C24801"/>
    <w:rsid w:val="28D15A0A"/>
    <w:rsid w:val="28F61E62"/>
    <w:rsid w:val="28FC328A"/>
    <w:rsid w:val="29206EB8"/>
    <w:rsid w:val="293801B3"/>
    <w:rsid w:val="2944687F"/>
    <w:rsid w:val="29453C2D"/>
    <w:rsid w:val="29595666"/>
    <w:rsid w:val="29874881"/>
    <w:rsid w:val="29A34DAD"/>
    <w:rsid w:val="29B679E3"/>
    <w:rsid w:val="29CD7F36"/>
    <w:rsid w:val="29E325E0"/>
    <w:rsid w:val="29EF0E0C"/>
    <w:rsid w:val="29F53D67"/>
    <w:rsid w:val="29FC6AB7"/>
    <w:rsid w:val="2A452503"/>
    <w:rsid w:val="2A622462"/>
    <w:rsid w:val="2A775DC1"/>
    <w:rsid w:val="2AA359AC"/>
    <w:rsid w:val="2AB378D3"/>
    <w:rsid w:val="2AB729DE"/>
    <w:rsid w:val="2AC66B09"/>
    <w:rsid w:val="2AE7621A"/>
    <w:rsid w:val="2B124BEB"/>
    <w:rsid w:val="2B394879"/>
    <w:rsid w:val="2B3F23E7"/>
    <w:rsid w:val="2B550D96"/>
    <w:rsid w:val="2B8221D8"/>
    <w:rsid w:val="2BA56CDA"/>
    <w:rsid w:val="2BA936A8"/>
    <w:rsid w:val="2BAC026A"/>
    <w:rsid w:val="2C251BC9"/>
    <w:rsid w:val="2C315A5A"/>
    <w:rsid w:val="2C4B1C25"/>
    <w:rsid w:val="2C5F4A8B"/>
    <w:rsid w:val="2C6E3FE6"/>
    <w:rsid w:val="2C937D0E"/>
    <w:rsid w:val="2CEF2903"/>
    <w:rsid w:val="2CFB78DD"/>
    <w:rsid w:val="2D1F5766"/>
    <w:rsid w:val="2D355E3C"/>
    <w:rsid w:val="2D3B0381"/>
    <w:rsid w:val="2D9E56F5"/>
    <w:rsid w:val="2DB13706"/>
    <w:rsid w:val="2DF67CC1"/>
    <w:rsid w:val="2E18515E"/>
    <w:rsid w:val="2E2736A0"/>
    <w:rsid w:val="2E604536"/>
    <w:rsid w:val="2E667F96"/>
    <w:rsid w:val="2E8226AB"/>
    <w:rsid w:val="2E8E1033"/>
    <w:rsid w:val="2EA504BE"/>
    <w:rsid w:val="2ED34D81"/>
    <w:rsid w:val="2EFA54CD"/>
    <w:rsid w:val="2F154418"/>
    <w:rsid w:val="2F1B3D1A"/>
    <w:rsid w:val="2F1D300C"/>
    <w:rsid w:val="2F564E0A"/>
    <w:rsid w:val="2F651442"/>
    <w:rsid w:val="2F9A0085"/>
    <w:rsid w:val="2FBD3B91"/>
    <w:rsid w:val="2FD065E6"/>
    <w:rsid w:val="2FD96870"/>
    <w:rsid w:val="2FF43D8C"/>
    <w:rsid w:val="300F195D"/>
    <w:rsid w:val="30292D01"/>
    <w:rsid w:val="30375EE8"/>
    <w:rsid w:val="303F6299"/>
    <w:rsid w:val="30580BC9"/>
    <w:rsid w:val="30840300"/>
    <w:rsid w:val="30943F6A"/>
    <w:rsid w:val="30C724FE"/>
    <w:rsid w:val="30D953FF"/>
    <w:rsid w:val="30F61804"/>
    <w:rsid w:val="31175F84"/>
    <w:rsid w:val="311E1924"/>
    <w:rsid w:val="311E2ED7"/>
    <w:rsid w:val="3134766F"/>
    <w:rsid w:val="315619EE"/>
    <w:rsid w:val="315C449C"/>
    <w:rsid w:val="315D5DB5"/>
    <w:rsid w:val="31787CBD"/>
    <w:rsid w:val="31B444E1"/>
    <w:rsid w:val="31B50BB7"/>
    <w:rsid w:val="31B82709"/>
    <w:rsid w:val="31D01F7B"/>
    <w:rsid w:val="31D05482"/>
    <w:rsid w:val="31DB5204"/>
    <w:rsid w:val="31ED174D"/>
    <w:rsid w:val="322546D1"/>
    <w:rsid w:val="32400B34"/>
    <w:rsid w:val="32795377"/>
    <w:rsid w:val="329E6876"/>
    <w:rsid w:val="32A2476C"/>
    <w:rsid w:val="32D85077"/>
    <w:rsid w:val="32E61908"/>
    <w:rsid w:val="32EC5295"/>
    <w:rsid w:val="332C773A"/>
    <w:rsid w:val="333015F2"/>
    <w:rsid w:val="334B6320"/>
    <w:rsid w:val="338B0EAB"/>
    <w:rsid w:val="33965910"/>
    <w:rsid w:val="33BC48FC"/>
    <w:rsid w:val="33BF7227"/>
    <w:rsid w:val="33D934D4"/>
    <w:rsid w:val="33EF31E8"/>
    <w:rsid w:val="33F45E3F"/>
    <w:rsid w:val="33FE2F6A"/>
    <w:rsid w:val="340A1DD0"/>
    <w:rsid w:val="340E07E5"/>
    <w:rsid w:val="34235BF7"/>
    <w:rsid w:val="34572B3B"/>
    <w:rsid w:val="347A51A8"/>
    <w:rsid w:val="34C6032D"/>
    <w:rsid w:val="34E97C37"/>
    <w:rsid w:val="35140A22"/>
    <w:rsid w:val="35352490"/>
    <w:rsid w:val="35481D3A"/>
    <w:rsid w:val="354F7443"/>
    <w:rsid w:val="358C5FA8"/>
    <w:rsid w:val="35AE1E95"/>
    <w:rsid w:val="35C15DF1"/>
    <w:rsid w:val="35C21B40"/>
    <w:rsid w:val="35D501BC"/>
    <w:rsid w:val="360464EB"/>
    <w:rsid w:val="36074A7F"/>
    <w:rsid w:val="360F1CDF"/>
    <w:rsid w:val="36923549"/>
    <w:rsid w:val="36B75FBF"/>
    <w:rsid w:val="36BB5DBD"/>
    <w:rsid w:val="36BD0C45"/>
    <w:rsid w:val="36D05553"/>
    <w:rsid w:val="36EA3396"/>
    <w:rsid w:val="36FF6AA0"/>
    <w:rsid w:val="370635D5"/>
    <w:rsid w:val="37071AD1"/>
    <w:rsid w:val="3713473A"/>
    <w:rsid w:val="37367B38"/>
    <w:rsid w:val="373E45C7"/>
    <w:rsid w:val="375B71F6"/>
    <w:rsid w:val="37945813"/>
    <w:rsid w:val="37E00298"/>
    <w:rsid w:val="37E62E72"/>
    <w:rsid w:val="3814251F"/>
    <w:rsid w:val="38603F47"/>
    <w:rsid w:val="38AC7765"/>
    <w:rsid w:val="38B302F9"/>
    <w:rsid w:val="38B90F13"/>
    <w:rsid w:val="38DC15DA"/>
    <w:rsid w:val="38E13D83"/>
    <w:rsid w:val="38F12CD3"/>
    <w:rsid w:val="38F94775"/>
    <w:rsid w:val="38FD7C50"/>
    <w:rsid w:val="39117C4F"/>
    <w:rsid w:val="392971ED"/>
    <w:rsid w:val="392E7007"/>
    <w:rsid w:val="39325651"/>
    <w:rsid w:val="39565AB7"/>
    <w:rsid w:val="396D3516"/>
    <w:rsid w:val="397C38EB"/>
    <w:rsid w:val="39E95F44"/>
    <w:rsid w:val="3A4761EA"/>
    <w:rsid w:val="3A4F49E1"/>
    <w:rsid w:val="3A5C340A"/>
    <w:rsid w:val="3A7908DF"/>
    <w:rsid w:val="3A872856"/>
    <w:rsid w:val="3AA3235B"/>
    <w:rsid w:val="3ADF0D1D"/>
    <w:rsid w:val="3B04783F"/>
    <w:rsid w:val="3B0C0B24"/>
    <w:rsid w:val="3B1D157E"/>
    <w:rsid w:val="3B281EC7"/>
    <w:rsid w:val="3B3763D1"/>
    <w:rsid w:val="3B392F9B"/>
    <w:rsid w:val="3B480CDD"/>
    <w:rsid w:val="3B5B241A"/>
    <w:rsid w:val="3B5D312D"/>
    <w:rsid w:val="3B6B584A"/>
    <w:rsid w:val="3B7364AD"/>
    <w:rsid w:val="3B9741B9"/>
    <w:rsid w:val="3B9B1599"/>
    <w:rsid w:val="3BBC42F8"/>
    <w:rsid w:val="3BBF5264"/>
    <w:rsid w:val="3BF760D1"/>
    <w:rsid w:val="3C0E4427"/>
    <w:rsid w:val="3C1852A6"/>
    <w:rsid w:val="3C1F311D"/>
    <w:rsid w:val="3C2F6E1E"/>
    <w:rsid w:val="3C3E2F5F"/>
    <w:rsid w:val="3C4F64BA"/>
    <w:rsid w:val="3CDA245A"/>
    <w:rsid w:val="3CE02A4A"/>
    <w:rsid w:val="3CF70554"/>
    <w:rsid w:val="3D133EC5"/>
    <w:rsid w:val="3D1E06B7"/>
    <w:rsid w:val="3D6D635B"/>
    <w:rsid w:val="3DCD6298"/>
    <w:rsid w:val="3E244C89"/>
    <w:rsid w:val="3E3C150D"/>
    <w:rsid w:val="3E98674C"/>
    <w:rsid w:val="3EC126C5"/>
    <w:rsid w:val="3EC261B0"/>
    <w:rsid w:val="3EDA0523"/>
    <w:rsid w:val="3EE6367A"/>
    <w:rsid w:val="3EF05953"/>
    <w:rsid w:val="3EFB14C6"/>
    <w:rsid w:val="3F4168C2"/>
    <w:rsid w:val="3F4B4C1F"/>
    <w:rsid w:val="3F8A64BB"/>
    <w:rsid w:val="3FE0209B"/>
    <w:rsid w:val="3FEA7EB4"/>
    <w:rsid w:val="40211767"/>
    <w:rsid w:val="402D0D20"/>
    <w:rsid w:val="40427034"/>
    <w:rsid w:val="405B6556"/>
    <w:rsid w:val="407A6407"/>
    <w:rsid w:val="407E402F"/>
    <w:rsid w:val="408B77D1"/>
    <w:rsid w:val="40910454"/>
    <w:rsid w:val="40E21276"/>
    <w:rsid w:val="411C1395"/>
    <w:rsid w:val="413606A8"/>
    <w:rsid w:val="413678AB"/>
    <w:rsid w:val="414A40EB"/>
    <w:rsid w:val="41D0577A"/>
    <w:rsid w:val="4200449D"/>
    <w:rsid w:val="421D2C97"/>
    <w:rsid w:val="423A3BCC"/>
    <w:rsid w:val="424E57D2"/>
    <w:rsid w:val="42693067"/>
    <w:rsid w:val="42A27403"/>
    <w:rsid w:val="42B26C49"/>
    <w:rsid w:val="42D737C5"/>
    <w:rsid w:val="43006A4E"/>
    <w:rsid w:val="430548F1"/>
    <w:rsid w:val="430E3E33"/>
    <w:rsid w:val="433A6FE6"/>
    <w:rsid w:val="43480868"/>
    <w:rsid w:val="4350713C"/>
    <w:rsid w:val="435B7593"/>
    <w:rsid w:val="43655D01"/>
    <w:rsid w:val="436653E0"/>
    <w:rsid w:val="43713A45"/>
    <w:rsid w:val="43C4431A"/>
    <w:rsid w:val="43E3536B"/>
    <w:rsid w:val="44050327"/>
    <w:rsid w:val="445B029D"/>
    <w:rsid w:val="449441C0"/>
    <w:rsid w:val="44B951CC"/>
    <w:rsid w:val="44CD14E0"/>
    <w:rsid w:val="44F0101D"/>
    <w:rsid w:val="44F20B0B"/>
    <w:rsid w:val="452E5F4C"/>
    <w:rsid w:val="45612018"/>
    <w:rsid w:val="458946E9"/>
    <w:rsid w:val="459E7B71"/>
    <w:rsid w:val="45A47C0E"/>
    <w:rsid w:val="45A66779"/>
    <w:rsid w:val="46115240"/>
    <w:rsid w:val="461A7567"/>
    <w:rsid w:val="46577FD6"/>
    <w:rsid w:val="46670806"/>
    <w:rsid w:val="466C144A"/>
    <w:rsid w:val="46C652C6"/>
    <w:rsid w:val="46D955A7"/>
    <w:rsid w:val="46DB30D4"/>
    <w:rsid w:val="46EC3061"/>
    <w:rsid w:val="46FA0428"/>
    <w:rsid w:val="47080A13"/>
    <w:rsid w:val="47133957"/>
    <w:rsid w:val="472D4AAF"/>
    <w:rsid w:val="4792427E"/>
    <w:rsid w:val="47A07E0C"/>
    <w:rsid w:val="47C14A44"/>
    <w:rsid w:val="47E16708"/>
    <w:rsid w:val="47E32C0C"/>
    <w:rsid w:val="47E33B32"/>
    <w:rsid w:val="47EF70E2"/>
    <w:rsid w:val="483E3233"/>
    <w:rsid w:val="4870272E"/>
    <w:rsid w:val="488112CC"/>
    <w:rsid w:val="48D41EAB"/>
    <w:rsid w:val="490F1D5C"/>
    <w:rsid w:val="49546F0B"/>
    <w:rsid w:val="495B0E0B"/>
    <w:rsid w:val="497958A5"/>
    <w:rsid w:val="49C16F7D"/>
    <w:rsid w:val="49C61F7E"/>
    <w:rsid w:val="49DC7715"/>
    <w:rsid w:val="4A023139"/>
    <w:rsid w:val="4A050C18"/>
    <w:rsid w:val="4A371BAA"/>
    <w:rsid w:val="4A4831FA"/>
    <w:rsid w:val="4A4C4A99"/>
    <w:rsid w:val="4A7B576F"/>
    <w:rsid w:val="4A8C7696"/>
    <w:rsid w:val="4A9621B8"/>
    <w:rsid w:val="4AAC6B24"/>
    <w:rsid w:val="4AF561A9"/>
    <w:rsid w:val="4B184DBC"/>
    <w:rsid w:val="4B4B632D"/>
    <w:rsid w:val="4B8421A3"/>
    <w:rsid w:val="4B8B055F"/>
    <w:rsid w:val="4B96799B"/>
    <w:rsid w:val="4BC64AAA"/>
    <w:rsid w:val="4C2C4B82"/>
    <w:rsid w:val="4C343A36"/>
    <w:rsid w:val="4C36246F"/>
    <w:rsid w:val="4C4A0649"/>
    <w:rsid w:val="4C63282F"/>
    <w:rsid w:val="4C661C0E"/>
    <w:rsid w:val="4C775688"/>
    <w:rsid w:val="4C7D6B44"/>
    <w:rsid w:val="4C7E5ECA"/>
    <w:rsid w:val="4C876AA5"/>
    <w:rsid w:val="4CCA4D31"/>
    <w:rsid w:val="4CDB5623"/>
    <w:rsid w:val="4CE802AA"/>
    <w:rsid w:val="4D0E00FB"/>
    <w:rsid w:val="4D176606"/>
    <w:rsid w:val="4D322D00"/>
    <w:rsid w:val="4D5D4D51"/>
    <w:rsid w:val="4D844EF0"/>
    <w:rsid w:val="4D92782F"/>
    <w:rsid w:val="4D9E78AE"/>
    <w:rsid w:val="4DEC4FB0"/>
    <w:rsid w:val="4E075D8A"/>
    <w:rsid w:val="4E135469"/>
    <w:rsid w:val="4E144FE6"/>
    <w:rsid w:val="4E4C1A82"/>
    <w:rsid w:val="4E4C4C16"/>
    <w:rsid w:val="4EC00FAD"/>
    <w:rsid w:val="4EEF06FB"/>
    <w:rsid w:val="4F061D27"/>
    <w:rsid w:val="4F2A5752"/>
    <w:rsid w:val="4F336253"/>
    <w:rsid w:val="4F5B3172"/>
    <w:rsid w:val="4F6727A6"/>
    <w:rsid w:val="4F88382C"/>
    <w:rsid w:val="4F9843DC"/>
    <w:rsid w:val="4FB17775"/>
    <w:rsid w:val="4FC62A8C"/>
    <w:rsid w:val="4FE20F0D"/>
    <w:rsid w:val="4FE51552"/>
    <w:rsid w:val="4FF21C3E"/>
    <w:rsid w:val="50504C4B"/>
    <w:rsid w:val="5095569E"/>
    <w:rsid w:val="509B03C2"/>
    <w:rsid w:val="509C6E7C"/>
    <w:rsid w:val="50C8200D"/>
    <w:rsid w:val="50CC248F"/>
    <w:rsid w:val="50D01E84"/>
    <w:rsid w:val="50DA4BF3"/>
    <w:rsid w:val="50E34FDA"/>
    <w:rsid w:val="50E52495"/>
    <w:rsid w:val="50E55FCB"/>
    <w:rsid w:val="515250E1"/>
    <w:rsid w:val="5162104E"/>
    <w:rsid w:val="51CB6BEB"/>
    <w:rsid w:val="52036385"/>
    <w:rsid w:val="52083A64"/>
    <w:rsid w:val="52183517"/>
    <w:rsid w:val="52224331"/>
    <w:rsid w:val="52716C4E"/>
    <w:rsid w:val="527C7D68"/>
    <w:rsid w:val="52B12B36"/>
    <w:rsid w:val="52BF0512"/>
    <w:rsid w:val="52DB4DB0"/>
    <w:rsid w:val="52FB4322"/>
    <w:rsid w:val="538975BD"/>
    <w:rsid w:val="53A039CC"/>
    <w:rsid w:val="53A1505A"/>
    <w:rsid w:val="53A17DE4"/>
    <w:rsid w:val="53E10C6B"/>
    <w:rsid w:val="53FC1520"/>
    <w:rsid w:val="54063E08"/>
    <w:rsid w:val="54120759"/>
    <w:rsid w:val="543437E8"/>
    <w:rsid w:val="546B26C6"/>
    <w:rsid w:val="54775DCF"/>
    <w:rsid w:val="54BD1A54"/>
    <w:rsid w:val="54E3424B"/>
    <w:rsid w:val="54F73313"/>
    <w:rsid w:val="54F80955"/>
    <w:rsid w:val="555170A7"/>
    <w:rsid w:val="555203D9"/>
    <w:rsid w:val="55540CE8"/>
    <w:rsid w:val="556E53FA"/>
    <w:rsid w:val="5587536D"/>
    <w:rsid w:val="558D41B7"/>
    <w:rsid w:val="5590756D"/>
    <w:rsid w:val="559B174B"/>
    <w:rsid w:val="55A246F6"/>
    <w:rsid w:val="55CE0CF4"/>
    <w:rsid w:val="55D116BA"/>
    <w:rsid w:val="55F669B1"/>
    <w:rsid w:val="56223FB3"/>
    <w:rsid w:val="562D4D8A"/>
    <w:rsid w:val="564E11CD"/>
    <w:rsid w:val="565F7902"/>
    <w:rsid w:val="56674A08"/>
    <w:rsid w:val="56810B9D"/>
    <w:rsid w:val="56877B10"/>
    <w:rsid w:val="56941CA1"/>
    <w:rsid w:val="56952BA4"/>
    <w:rsid w:val="56AD3415"/>
    <w:rsid w:val="56B063AF"/>
    <w:rsid w:val="56B22A9C"/>
    <w:rsid w:val="571E4619"/>
    <w:rsid w:val="572823EA"/>
    <w:rsid w:val="577E281D"/>
    <w:rsid w:val="57B72A76"/>
    <w:rsid w:val="57C3426C"/>
    <w:rsid w:val="57CE1F93"/>
    <w:rsid w:val="57FD73D2"/>
    <w:rsid w:val="58311772"/>
    <w:rsid w:val="58373A36"/>
    <w:rsid w:val="585211DA"/>
    <w:rsid w:val="58694A16"/>
    <w:rsid w:val="58704678"/>
    <w:rsid w:val="58767185"/>
    <w:rsid w:val="587C754A"/>
    <w:rsid w:val="588743D1"/>
    <w:rsid w:val="5887701A"/>
    <w:rsid w:val="58A9710D"/>
    <w:rsid w:val="58AE2DC2"/>
    <w:rsid w:val="58DD61D5"/>
    <w:rsid w:val="5904267C"/>
    <w:rsid w:val="59186E72"/>
    <w:rsid w:val="5966544B"/>
    <w:rsid w:val="59685EDF"/>
    <w:rsid w:val="59941FB8"/>
    <w:rsid w:val="59AC49C9"/>
    <w:rsid w:val="59C0439F"/>
    <w:rsid w:val="59C56797"/>
    <w:rsid w:val="5A19426B"/>
    <w:rsid w:val="5A65351F"/>
    <w:rsid w:val="5AB81CD6"/>
    <w:rsid w:val="5ABE2233"/>
    <w:rsid w:val="5AFA22EF"/>
    <w:rsid w:val="5B0C4135"/>
    <w:rsid w:val="5B2D5BDC"/>
    <w:rsid w:val="5B6564CE"/>
    <w:rsid w:val="5B7256EE"/>
    <w:rsid w:val="5BAA5AC3"/>
    <w:rsid w:val="5BC31D7F"/>
    <w:rsid w:val="5BD37744"/>
    <w:rsid w:val="5BD81300"/>
    <w:rsid w:val="5BDF5D95"/>
    <w:rsid w:val="5BE13AC1"/>
    <w:rsid w:val="5BFE7528"/>
    <w:rsid w:val="5C043AA7"/>
    <w:rsid w:val="5C0A3611"/>
    <w:rsid w:val="5CAE5E6C"/>
    <w:rsid w:val="5CAF478F"/>
    <w:rsid w:val="5CE0776B"/>
    <w:rsid w:val="5CE2303B"/>
    <w:rsid w:val="5D386D82"/>
    <w:rsid w:val="5D3D41CB"/>
    <w:rsid w:val="5D6B3030"/>
    <w:rsid w:val="5DBA0D2A"/>
    <w:rsid w:val="5DCA319F"/>
    <w:rsid w:val="5DEC14F9"/>
    <w:rsid w:val="5DFD3BB5"/>
    <w:rsid w:val="5E2467F1"/>
    <w:rsid w:val="5EEE2459"/>
    <w:rsid w:val="5F1A2B43"/>
    <w:rsid w:val="5F865500"/>
    <w:rsid w:val="5FA4275C"/>
    <w:rsid w:val="5FAC625C"/>
    <w:rsid w:val="5FB03D34"/>
    <w:rsid w:val="5FB837BB"/>
    <w:rsid w:val="5FE1077F"/>
    <w:rsid w:val="5FEB66AA"/>
    <w:rsid w:val="5FED2422"/>
    <w:rsid w:val="60152894"/>
    <w:rsid w:val="601C6864"/>
    <w:rsid w:val="602B6595"/>
    <w:rsid w:val="60321A94"/>
    <w:rsid w:val="60393D51"/>
    <w:rsid w:val="604A3267"/>
    <w:rsid w:val="60773F2B"/>
    <w:rsid w:val="60A878D1"/>
    <w:rsid w:val="60AF7047"/>
    <w:rsid w:val="60BD1A81"/>
    <w:rsid w:val="60CC405A"/>
    <w:rsid w:val="60D55390"/>
    <w:rsid w:val="60DC1CDB"/>
    <w:rsid w:val="61253E22"/>
    <w:rsid w:val="614705E1"/>
    <w:rsid w:val="614C4F26"/>
    <w:rsid w:val="61546C1E"/>
    <w:rsid w:val="61A27013"/>
    <w:rsid w:val="61C64796"/>
    <w:rsid w:val="61E215D8"/>
    <w:rsid w:val="61ED4ADB"/>
    <w:rsid w:val="621B3775"/>
    <w:rsid w:val="62364782"/>
    <w:rsid w:val="623B7475"/>
    <w:rsid w:val="6243415B"/>
    <w:rsid w:val="62AB764E"/>
    <w:rsid w:val="62AC2121"/>
    <w:rsid w:val="62AC5D16"/>
    <w:rsid w:val="62E1470D"/>
    <w:rsid w:val="62FF4946"/>
    <w:rsid w:val="63063CC9"/>
    <w:rsid w:val="63115230"/>
    <w:rsid w:val="63796168"/>
    <w:rsid w:val="63851B24"/>
    <w:rsid w:val="6394356A"/>
    <w:rsid w:val="63BF1D60"/>
    <w:rsid w:val="63C61B2C"/>
    <w:rsid w:val="63CA720B"/>
    <w:rsid w:val="63D40BE9"/>
    <w:rsid w:val="63F9190C"/>
    <w:rsid w:val="63FD5B1F"/>
    <w:rsid w:val="64102431"/>
    <w:rsid w:val="64391E65"/>
    <w:rsid w:val="644C1007"/>
    <w:rsid w:val="64524F4A"/>
    <w:rsid w:val="64630F05"/>
    <w:rsid w:val="64A5243A"/>
    <w:rsid w:val="64F531DE"/>
    <w:rsid w:val="65373578"/>
    <w:rsid w:val="658477CA"/>
    <w:rsid w:val="65A65906"/>
    <w:rsid w:val="65A76BCF"/>
    <w:rsid w:val="65C6799D"/>
    <w:rsid w:val="65D57BE0"/>
    <w:rsid w:val="66032CA7"/>
    <w:rsid w:val="66110A05"/>
    <w:rsid w:val="662D5327"/>
    <w:rsid w:val="66567C28"/>
    <w:rsid w:val="667F1DE0"/>
    <w:rsid w:val="66A37B0C"/>
    <w:rsid w:val="66AA75BF"/>
    <w:rsid w:val="66C54326"/>
    <w:rsid w:val="66D97F51"/>
    <w:rsid w:val="67000C8D"/>
    <w:rsid w:val="6705369E"/>
    <w:rsid w:val="671F124A"/>
    <w:rsid w:val="677A33C6"/>
    <w:rsid w:val="679B09B6"/>
    <w:rsid w:val="67B55127"/>
    <w:rsid w:val="67B93813"/>
    <w:rsid w:val="681B5B65"/>
    <w:rsid w:val="681F6961"/>
    <w:rsid w:val="68417CFF"/>
    <w:rsid w:val="68610A2F"/>
    <w:rsid w:val="68637725"/>
    <w:rsid w:val="68805514"/>
    <w:rsid w:val="68945B31"/>
    <w:rsid w:val="68A13DAA"/>
    <w:rsid w:val="68BC35DC"/>
    <w:rsid w:val="68D221B5"/>
    <w:rsid w:val="68D94BCE"/>
    <w:rsid w:val="68DA6D53"/>
    <w:rsid w:val="68EE2BAA"/>
    <w:rsid w:val="68F26061"/>
    <w:rsid w:val="69076303"/>
    <w:rsid w:val="69316E2F"/>
    <w:rsid w:val="694E2071"/>
    <w:rsid w:val="69502C42"/>
    <w:rsid w:val="69605A13"/>
    <w:rsid w:val="69766163"/>
    <w:rsid w:val="697A3B33"/>
    <w:rsid w:val="69C44320"/>
    <w:rsid w:val="69D44760"/>
    <w:rsid w:val="6A160ABE"/>
    <w:rsid w:val="6A34226A"/>
    <w:rsid w:val="6A520EC7"/>
    <w:rsid w:val="6A7521ED"/>
    <w:rsid w:val="6A9E0BC9"/>
    <w:rsid w:val="6A9F37EE"/>
    <w:rsid w:val="6AE06398"/>
    <w:rsid w:val="6AE77166"/>
    <w:rsid w:val="6AF87E20"/>
    <w:rsid w:val="6B001EC0"/>
    <w:rsid w:val="6B050B2A"/>
    <w:rsid w:val="6B322639"/>
    <w:rsid w:val="6B3D0B5E"/>
    <w:rsid w:val="6B5D6333"/>
    <w:rsid w:val="6B80515A"/>
    <w:rsid w:val="6B910106"/>
    <w:rsid w:val="6C16477E"/>
    <w:rsid w:val="6C1674E3"/>
    <w:rsid w:val="6C3E0FF7"/>
    <w:rsid w:val="6C523AF3"/>
    <w:rsid w:val="6C636C38"/>
    <w:rsid w:val="6CBB00B5"/>
    <w:rsid w:val="6CD50467"/>
    <w:rsid w:val="6CDB1F80"/>
    <w:rsid w:val="6D125276"/>
    <w:rsid w:val="6D443C83"/>
    <w:rsid w:val="6D4A3816"/>
    <w:rsid w:val="6D535CAF"/>
    <w:rsid w:val="6D5E70E9"/>
    <w:rsid w:val="6D633384"/>
    <w:rsid w:val="6D82292A"/>
    <w:rsid w:val="6DB34098"/>
    <w:rsid w:val="6DB545B6"/>
    <w:rsid w:val="6DE02FB4"/>
    <w:rsid w:val="6DEF6837"/>
    <w:rsid w:val="6E245261"/>
    <w:rsid w:val="6E514CED"/>
    <w:rsid w:val="6EA15818"/>
    <w:rsid w:val="6EB029F9"/>
    <w:rsid w:val="6EB563D5"/>
    <w:rsid w:val="6EC8487F"/>
    <w:rsid w:val="6ED92677"/>
    <w:rsid w:val="6EF80802"/>
    <w:rsid w:val="6EFB591E"/>
    <w:rsid w:val="6F036DCB"/>
    <w:rsid w:val="6F141779"/>
    <w:rsid w:val="6F225983"/>
    <w:rsid w:val="6F275FEB"/>
    <w:rsid w:val="6F743FC6"/>
    <w:rsid w:val="6FA37B33"/>
    <w:rsid w:val="6FB46BE3"/>
    <w:rsid w:val="6FDD7DBD"/>
    <w:rsid w:val="6FFC5590"/>
    <w:rsid w:val="70442C93"/>
    <w:rsid w:val="704E4817"/>
    <w:rsid w:val="705E0D28"/>
    <w:rsid w:val="706D1DD0"/>
    <w:rsid w:val="70856B87"/>
    <w:rsid w:val="709754E6"/>
    <w:rsid w:val="70D06BD6"/>
    <w:rsid w:val="70D527EE"/>
    <w:rsid w:val="70D91135"/>
    <w:rsid w:val="71126832"/>
    <w:rsid w:val="711E68DF"/>
    <w:rsid w:val="713201F6"/>
    <w:rsid w:val="715B5300"/>
    <w:rsid w:val="716977A5"/>
    <w:rsid w:val="7196447D"/>
    <w:rsid w:val="71C03CDC"/>
    <w:rsid w:val="71D27F8A"/>
    <w:rsid w:val="72553024"/>
    <w:rsid w:val="72A4052F"/>
    <w:rsid w:val="72B323FA"/>
    <w:rsid w:val="72CC0193"/>
    <w:rsid w:val="72D02016"/>
    <w:rsid w:val="72DD55C9"/>
    <w:rsid w:val="72E166CF"/>
    <w:rsid w:val="73122968"/>
    <w:rsid w:val="73177FBB"/>
    <w:rsid w:val="731D215F"/>
    <w:rsid w:val="731D6723"/>
    <w:rsid w:val="731F5D5E"/>
    <w:rsid w:val="73255B20"/>
    <w:rsid w:val="7326246C"/>
    <w:rsid w:val="733360B3"/>
    <w:rsid w:val="7338540C"/>
    <w:rsid w:val="7343262D"/>
    <w:rsid w:val="7371736D"/>
    <w:rsid w:val="7395395E"/>
    <w:rsid w:val="73C51AD5"/>
    <w:rsid w:val="741E793C"/>
    <w:rsid w:val="74373814"/>
    <w:rsid w:val="74573243"/>
    <w:rsid w:val="745E3944"/>
    <w:rsid w:val="74956EB9"/>
    <w:rsid w:val="749C496A"/>
    <w:rsid w:val="749F7637"/>
    <w:rsid w:val="74C7103C"/>
    <w:rsid w:val="74D91082"/>
    <w:rsid w:val="74FC044E"/>
    <w:rsid w:val="750F5473"/>
    <w:rsid w:val="75271ADB"/>
    <w:rsid w:val="759C2C80"/>
    <w:rsid w:val="75DF4163"/>
    <w:rsid w:val="76027A59"/>
    <w:rsid w:val="7635099D"/>
    <w:rsid w:val="76742AFE"/>
    <w:rsid w:val="76870A83"/>
    <w:rsid w:val="76C96AD8"/>
    <w:rsid w:val="76D757CF"/>
    <w:rsid w:val="76E428B5"/>
    <w:rsid w:val="77762421"/>
    <w:rsid w:val="778C60F1"/>
    <w:rsid w:val="77914383"/>
    <w:rsid w:val="77B56B1F"/>
    <w:rsid w:val="77B67B60"/>
    <w:rsid w:val="77DB077D"/>
    <w:rsid w:val="780F09F4"/>
    <w:rsid w:val="781460B3"/>
    <w:rsid w:val="787153FD"/>
    <w:rsid w:val="787E51F4"/>
    <w:rsid w:val="788C1877"/>
    <w:rsid w:val="78A90480"/>
    <w:rsid w:val="78B93E48"/>
    <w:rsid w:val="78D635FC"/>
    <w:rsid w:val="78DC49E8"/>
    <w:rsid w:val="790E03F8"/>
    <w:rsid w:val="79421905"/>
    <w:rsid w:val="79490272"/>
    <w:rsid w:val="799C0865"/>
    <w:rsid w:val="79A56C22"/>
    <w:rsid w:val="7A073509"/>
    <w:rsid w:val="7A0C6FD8"/>
    <w:rsid w:val="7A364017"/>
    <w:rsid w:val="7A6C6B75"/>
    <w:rsid w:val="7A8265E1"/>
    <w:rsid w:val="7AA062DB"/>
    <w:rsid w:val="7AA70A1F"/>
    <w:rsid w:val="7AFF4158"/>
    <w:rsid w:val="7B555BED"/>
    <w:rsid w:val="7B686D42"/>
    <w:rsid w:val="7B841746"/>
    <w:rsid w:val="7B8530A7"/>
    <w:rsid w:val="7BAC63A1"/>
    <w:rsid w:val="7BB713F0"/>
    <w:rsid w:val="7BC15D6C"/>
    <w:rsid w:val="7BED3460"/>
    <w:rsid w:val="7C286D9F"/>
    <w:rsid w:val="7C4924F5"/>
    <w:rsid w:val="7C583CD7"/>
    <w:rsid w:val="7C6C5AC7"/>
    <w:rsid w:val="7C87506A"/>
    <w:rsid w:val="7CC6544B"/>
    <w:rsid w:val="7CCD2194"/>
    <w:rsid w:val="7D0239FF"/>
    <w:rsid w:val="7D5E40CD"/>
    <w:rsid w:val="7DCD56F2"/>
    <w:rsid w:val="7E1768BD"/>
    <w:rsid w:val="7E3A263A"/>
    <w:rsid w:val="7E5E7184"/>
    <w:rsid w:val="7E69680B"/>
    <w:rsid w:val="7E6E1737"/>
    <w:rsid w:val="7EA61CC2"/>
    <w:rsid w:val="7EC624E8"/>
    <w:rsid w:val="7EF4555F"/>
    <w:rsid w:val="7F001CE7"/>
    <w:rsid w:val="7F7658C7"/>
    <w:rsid w:val="7F8B5AEA"/>
    <w:rsid w:val="7FBA5DF7"/>
    <w:rsid w:val="7FC62727"/>
    <w:rsid w:val="7FCE76B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iPriority="99"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0" w:semiHidden="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qFormat="1" w:unhideWhenUsed="0" w:uiPriority="0" w:semiHidden="0" w:name="Table 3D effects 1" w:locked="1"/>
    <w:lsdException w:qFormat="1" w:unhideWhenUsed="0" w:uiPriority="0" w:semiHidden="0" w:name="Table 3D effects 2" w:locked="1"/>
    <w:lsdException w:qFormat="1" w:unhideWhenUsed="0" w:uiPriority="0" w:semiHidden="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154"/>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155"/>
    <w:qFormat/>
    <w:locked/>
    <w:uiPriority w:val="0"/>
    <w:pPr>
      <w:keepNext/>
      <w:keepLines/>
      <w:widowControl/>
      <w:numPr>
        <w:ilvl w:val="1"/>
        <w:numId w:val="1"/>
      </w:numPr>
      <w:spacing w:line="360" w:lineRule="auto"/>
      <w:jc w:val="left"/>
      <w:outlineLvl w:val="1"/>
    </w:pPr>
    <w:rPr>
      <w:rFonts w:ascii="仿宋_GB2312" w:hAnsi="Arial" w:cs="宋体"/>
      <w:kern w:val="0"/>
      <w:sz w:val="30"/>
    </w:rPr>
  </w:style>
  <w:style w:type="paragraph" w:styleId="9">
    <w:name w:val="heading 3"/>
    <w:basedOn w:val="1"/>
    <w:next w:val="1"/>
    <w:link w:val="157"/>
    <w:qFormat/>
    <w:locked/>
    <w:uiPriority w:val="0"/>
    <w:pPr>
      <w:keepNext/>
      <w:keepLines/>
      <w:widowControl/>
      <w:numPr>
        <w:ilvl w:val="2"/>
        <w:numId w:val="1"/>
      </w:numPr>
      <w:spacing w:line="360" w:lineRule="auto"/>
      <w:jc w:val="left"/>
      <w:outlineLvl w:val="2"/>
    </w:pPr>
    <w:rPr>
      <w:rFonts w:ascii="宋体" w:hAnsi="宋体" w:cs="宋体"/>
      <w:bCs/>
      <w:kern w:val="0"/>
      <w:sz w:val="28"/>
      <w:szCs w:val="32"/>
    </w:rPr>
  </w:style>
  <w:style w:type="paragraph" w:styleId="10">
    <w:name w:val="heading 4"/>
    <w:basedOn w:val="1"/>
    <w:next w:val="1"/>
    <w:link w:val="158"/>
    <w:qFormat/>
    <w:locked/>
    <w:uiPriority w:val="0"/>
    <w:pPr>
      <w:keepNext/>
      <w:keepLines/>
      <w:widowControl/>
      <w:numPr>
        <w:ilvl w:val="3"/>
        <w:numId w:val="1"/>
      </w:numPr>
      <w:spacing w:line="360" w:lineRule="auto"/>
      <w:jc w:val="left"/>
      <w:outlineLvl w:val="3"/>
    </w:pPr>
    <w:rPr>
      <w:rFonts w:ascii="Arial" w:hAnsi="Arial" w:cs="宋体"/>
      <w:b/>
      <w:bCs/>
      <w:kern w:val="0"/>
      <w:sz w:val="24"/>
      <w:szCs w:val="28"/>
    </w:rPr>
  </w:style>
  <w:style w:type="paragraph" w:styleId="11">
    <w:name w:val="heading 5"/>
    <w:basedOn w:val="1"/>
    <w:next w:val="1"/>
    <w:link w:val="159"/>
    <w:qFormat/>
    <w:locked/>
    <w:uiPriority w:val="0"/>
    <w:pPr>
      <w:keepNext/>
      <w:keepLines/>
      <w:widowControl/>
      <w:numPr>
        <w:ilvl w:val="4"/>
        <w:numId w:val="1"/>
      </w:numPr>
      <w:spacing w:before="280" w:after="290" w:line="376" w:lineRule="auto"/>
      <w:jc w:val="left"/>
      <w:outlineLvl w:val="4"/>
    </w:pPr>
    <w:rPr>
      <w:rFonts w:ascii="宋体" w:hAnsi="宋体" w:cs="宋体"/>
      <w:b/>
      <w:bCs/>
      <w:kern w:val="0"/>
      <w:sz w:val="28"/>
      <w:szCs w:val="28"/>
    </w:rPr>
  </w:style>
  <w:style w:type="paragraph" w:styleId="12">
    <w:name w:val="heading 6"/>
    <w:basedOn w:val="1"/>
    <w:next w:val="1"/>
    <w:link w:val="160"/>
    <w:qFormat/>
    <w:locked/>
    <w:uiPriority w:val="0"/>
    <w:pPr>
      <w:keepNext/>
      <w:keepLines/>
      <w:widowControl/>
      <w:numPr>
        <w:ilvl w:val="5"/>
        <w:numId w:val="1"/>
      </w:numPr>
      <w:spacing w:before="240" w:after="64" w:line="320" w:lineRule="auto"/>
      <w:jc w:val="left"/>
      <w:outlineLvl w:val="5"/>
    </w:pPr>
    <w:rPr>
      <w:rFonts w:ascii="Arial" w:hAnsi="Arial" w:eastAsia="黑体" w:cs="宋体"/>
      <w:b/>
      <w:bCs/>
      <w:kern w:val="0"/>
      <w:sz w:val="24"/>
    </w:rPr>
  </w:style>
  <w:style w:type="paragraph" w:styleId="13">
    <w:name w:val="heading 7"/>
    <w:basedOn w:val="1"/>
    <w:next w:val="1"/>
    <w:link w:val="161"/>
    <w:qFormat/>
    <w:locked/>
    <w:uiPriority w:val="0"/>
    <w:pPr>
      <w:keepNext/>
      <w:keepLines/>
      <w:widowControl/>
      <w:numPr>
        <w:ilvl w:val="6"/>
        <w:numId w:val="1"/>
      </w:numPr>
      <w:spacing w:before="240" w:after="64" w:line="320" w:lineRule="auto"/>
      <w:jc w:val="left"/>
      <w:outlineLvl w:val="6"/>
    </w:pPr>
    <w:rPr>
      <w:rFonts w:ascii="宋体" w:hAnsi="宋体" w:cs="宋体"/>
      <w:b/>
      <w:bCs/>
      <w:kern w:val="0"/>
      <w:sz w:val="24"/>
    </w:rPr>
  </w:style>
  <w:style w:type="paragraph" w:styleId="14">
    <w:name w:val="heading 8"/>
    <w:basedOn w:val="1"/>
    <w:next w:val="1"/>
    <w:link w:val="162"/>
    <w:qFormat/>
    <w:locked/>
    <w:uiPriority w:val="0"/>
    <w:pPr>
      <w:keepNext/>
      <w:keepLines/>
      <w:widowControl/>
      <w:numPr>
        <w:ilvl w:val="7"/>
        <w:numId w:val="1"/>
      </w:numPr>
      <w:spacing w:before="240" w:after="64" w:line="320" w:lineRule="auto"/>
      <w:jc w:val="left"/>
      <w:outlineLvl w:val="7"/>
    </w:pPr>
    <w:rPr>
      <w:rFonts w:ascii="Arial" w:hAnsi="Arial" w:eastAsia="黑体" w:cs="宋体"/>
      <w:kern w:val="0"/>
      <w:sz w:val="24"/>
    </w:rPr>
  </w:style>
  <w:style w:type="paragraph" w:styleId="15">
    <w:name w:val="heading 9"/>
    <w:basedOn w:val="1"/>
    <w:next w:val="1"/>
    <w:link w:val="163"/>
    <w:qFormat/>
    <w:locked/>
    <w:uiPriority w:val="0"/>
    <w:pPr>
      <w:keepNext/>
      <w:keepLines/>
      <w:widowControl/>
      <w:numPr>
        <w:ilvl w:val="8"/>
        <w:numId w:val="1"/>
      </w:numPr>
      <w:spacing w:before="240" w:after="64" w:line="320" w:lineRule="auto"/>
      <w:jc w:val="left"/>
      <w:outlineLvl w:val="8"/>
    </w:pPr>
    <w:rPr>
      <w:rFonts w:ascii="Arial" w:hAnsi="Arial" w:eastAsia="黑体" w:cs="宋体"/>
      <w:kern w:val="0"/>
      <w:sz w:val="24"/>
      <w:szCs w:val="21"/>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cs="宋体"/>
      <w:color w:val="000000"/>
      <w:sz w:val="24"/>
      <w:szCs w:val="24"/>
    </w:rPr>
  </w:style>
  <w:style w:type="paragraph" w:customStyle="1" w:styleId="3">
    <w:name w:val="纯文本1"/>
    <w:basedOn w:val="1"/>
    <w:qFormat/>
    <w:uiPriority w:val="0"/>
    <w:pPr>
      <w:adjustRightInd w:val="0"/>
      <w:textAlignment w:val="baseline"/>
    </w:pPr>
    <w:rPr>
      <w:rFonts w:ascii="宋体" w:hAnsi="Courier New"/>
      <w:kern w:val="0"/>
      <w:szCs w:val="20"/>
    </w:rPr>
  </w:style>
  <w:style w:type="paragraph" w:styleId="4">
    <w:name w:val="Body Text First Indent 2"/>
    <w:basedOn w:val="5"/>
    <w:next w:val="2"/>
    <w:link w:val="195"/>
    <w:qFormat/>
    <w:locked/>
    <w:uiPriority w:val="0"/>
    <w:pPr>
      <w:ind w:firstLine="420" w:firstLineChars="200"/>
    </w:pPr>
    <w:rPr>
      <w:kern w:val="2"/>
      <w:sz w:val="21"/>
      <w:szCs w:val="24"/>
    </w:rPr>
  </w:style>
  <w:style w:type="paragraph" w:styleId="5">
    <w:name w:val="Body Text Indent"/>
    <w:basedOn w:val="1"/>
    <w:next w:val="6"/>
    <w:link w:val="173"/>
    <w:qFormat/>
    <w:uiPriority w:val="99"/>
    <w:pPr>
      <w:spacing w:after="120"/>
      <w:ind w:left="420" w:leftChars="200"/>
    </w:pPr>
    <w:rPr>
      <w:kern w:val="0"/>
      <w:sz w:val="24"/>
      <w:szCs w:val="20"/>
    </w:rPr>
  </w:style>
  <w:style w:type="paragraph" w:styleId="6">
    <w:name w:val="Normal Indent"/>
    <w:basedOn w:val="1"/>
    <w:next w:val="1"/>
    <w:link w:val="156"/>
    <w:unhideWhenUsed/>
    <w:qFormat/>
    <w:locked/>
    <w:uiPriority w:val="99"/>
    <w:pPr>
      <w:widowControl/>
      <w:ind w:firstLine="420" w:firstLineChars="200"/>
      <w:jc w:val="left"/>
    </w:pPr>
    <w:rPr>
      <w:rFonts w:ascii="宋体" w:hAnsi="宋体" w:cs="宋体"/>
      <w:kern w:val="0"/>
      <w:sz w:val="24"/>
    </w:rPr>
  </w:style>
  <w:style w:type="paragraph" w:styleId="16">
    <w:name w:val="List 3"/>
    <w:basedOn w:val="1"/>
    <w:qFormat/>
    <w:locked/>
    <w:uiPriority w:val="0"/>
    <w:pPr>
      <w:adjustRightInd w:val="0"/>
      <w:spacing w:line="360" w:lineRule="atLeast"/>
      <w:ind w:left="1260" w:hanging="420"/>
      <w:jc w:val="left"/>
      <w:textAlignment w:val="baseline"/>
    </w:pPr>
    <w:rPr>
      <w:rFonts w:ascii="宋体"/>
      <w:kern w:val="0"/>
      <w:sz w:val="34"/>
      <w:szCs w:val="20"/>
    </w:rPr>
  </w:style>
  <w:style w:type="paragraph" w:styleId="17">
    <w:name w:val="toc 7"/>
    <w:basedOn w:val="1"/>
    <w:next w:val="1"/>
    <w:unhideWhenUsed/>
    <w:qFormat/>
    <w:locked/>
    <w:uiPriority w:val="39"/>
    <w:pPr>
      <w:spacing w:line="360" w:lineRule="auto"/>
      <w:ind w:left="1440" w:firstLine="200" w:firstLineChars="200"/>
      <w:jc w:val="left"/>
    </w:pPr>
    <w:rPr>
      <w:rFonts w:ascii="宋体"/>
      <w:kern w:val="0"/>
      <w:sz w:val="18"/>
      <w:szCs w:val="18"/>
    </w:rPr>
  </w:style>
  <w:style w:type="paragraph" w:styleId="18">
    <w:name w:val="List Number 2"/>
    <w:basedOn w:val="1"/>
    <w:qFormat/>
    <w:locked/>
    <w:uiPriority w:val="0"/>
    <w:pPr>
      <w:widowControl/>
      <w:tabs>
        <w:tab w:val="left" w:pos="720"/>
        <w:tab w:val="left" w:pos="726"/>
      </w:tabs>
      <w:spacing w:before="120" w:after="240"/>
      <w:ind w:left="576" w:firstLine="567"/>
      <w:jc w:val="left"/>
    </w:pPr>
    <w:rPr>
      <w:rFonts w:ascii="宋体" w:eastAsia="黑体"/>
      <w:b/>
      <w:kern w:val="0"/>
      <w:sz w:val="28"/>
      <w:szCs w:val="20"/>
    </w:rPr>
  </w:style>
  <w:style w:type="paragraph" w:styleId="19">
    <w:name w:val="table of authorities"/>
    <w:basedOn w:val="1"/>
    <w:next w:val="1"/>
    <w:qFormat/>
    <w:locked/>
    <w:uiPriority w:val="0"/>
    <w:pPr>
      <w:spacing w:before="120" w:after="120"/>
      <w:ind w:left="420" w:leftChars="200" w:hanging="578"/>
    </w:pPr>
    <w:rPr>
      <w:rFonts w:ascii="宋体"/>
      <w:kern w:val="0"/>
      <w:szCs w:val="20"/>
    </w:rPr>
  </w:style>
  <w:style w:type="paragraph" w:styleId="20">
    <w:name w:val="Note Heading"/>
    <w:basedOn w:val="1"/>
    <w:next w:val="1"/>
    <w:link w:val="164"/>
    <w:qFormat/>
    <w:locked/>
    <w:uiPriority w:val="0"/>
    <w:pPr>
      <w:jc w:val="center"/>
    </w:pPr>
    <w:rPr>
      <w:rFonts w:ascii="宋体" w:hAnsi="宋体"/>
      <w:szCs w:val="20"/>
    </w:rPr>
  </w:style>
  <w:style w:type="paragraph" w:styleId="21">
    <w:name w:val="List Bullet 4"/>
    <w:basedOn w:val="1"/>
    <w:qFormat/>
    <w:locked/>
    <w:uiPriority w:val="0"/>
    <w:pPr>
      <w:numPr>
        <w:ilvl w:val="0"/>
        <w:numId w:val="2"/>
      </w:numPr>
      <w:tabs>
        <w:tab w:val="left" w:pos="1620"/>
      </w:tabs>
    </w:pPr>
    <w:rPr>
      <w:rFonts w:ascii="宋体"/>
      <w:kern w:val="0"/>
      <w:szCs w:val="20"/>
    </w:rPr>
  </w:style>
  <w:style w:type="paragraph" w:styleId="22">
    <w:name w:val="index 8"/>
    <w:basedOn w:val="1"/>
    <w:next w:val="1"/>
    <w:qFormat/>
    <w:locked/>
    <w:uiPriority w:val="0"/>
    <w:pPr>
      <w:ind w:left="1400" w:leftChars="1400"/>
    </w:pPr>
    <w:rPr>
      <w:rFonts w:ascii="宋体"/>
      <w:kern w:val="0"/>
      <w:szCs w:val="20"/>
    </w:rPr>
  </w:style>
  <w:style w:type="paragraph" w:styleId="23">
    <w:name w:val="E-mail Signature"/>
    <w:basedOn w:val="1"/>
    <w:link w:val="165"/>
    <w:qFormat/>
    <w:locked/>
    <w:uiPriority w:val="0"/>
    <w:rPr>
      <w:rFonts w:ascii="宋体" w:hAnsi="宋体"/>
      <w:kern w:val="0"/>
      <w:szCs w:val="20"/>
    </w:rPr>
  </w:style>
  <w:style w:type="paragraph" w:styleId="24">
    <w:name w:val="List Number"/>
    <w:basedOn w:val="1"/>
    <w:qFormat/>
    <w:locked/>
    <w:uiPriority w:val="0"/>
    <w:pPr>
      <w:widowControl/>
      <w:tabs>
        <w:tab w:val="left" w:pos="360"/>
      </w:tabs>
      <w:ind w:left="360" w:hanging="360"/>
      <w:jc w:val="left"/>
    </w:pPr>
    <w:rPr>
      <w:rFonts w:ascii="宋体" w:hAnsi="宋体" w:cs="宋体"/>
      <w:kern w:val="0"/>
      <w:sz w:val="24"/>
      <w:szCs w:val="21"/>
    </w:rPr>
  </w:style>
  <w:style w:type="paragraph" w:styleId="25">
    <w:name w:val="caption"/>
    <w:basedOn w:val="1"/>
    <w:next w:val="1"/>
    <w:link w:val="166"/>
    <w:qFormat/>
    <w:locked/>
    <w:uiPriority w:val="0"/>
    <w:pPr>
      <w:jc w:val="center"/>
    </w:pPr>
    <w:rPr>
      <w:rFonts w:eastAsia="仿宋_GB2312"/>
      <w:b/>
      <w:sz w:val="24"/>
      <w:szCs w:val="20"/>
    </w:rPr>
  </w:style>
  <w:style w:type="paragraph" w:styleId="26">
    <w:name w:val="index 5"/>
    <w:basedOn w:val="1"/>
    <w:next w:val="1"/>
    <w:qFormat/>
    <w:locked/>
    <w:uiPriority w:val="0"/>
    <w:pPr>
      <w:ind w:left="800" w:leftChars="800"/>
    </w:pPr>
    <w:rPr>
      <w:rFonts w:ascii="宋体"/>
      <w:kern w:val="0"/>
      <w:szCs w:val="20"/>
    </w:rPr>
  </w:style>
  <w:style w:type="paragraph" w:styleId="27">
    <w:name w:val="List Bullet"/>
    <w:basedOn w:val="1"/>
    <w:qFormat/>
    <w:locked/>
    <w:uiPriority w:val="0"/>
    <w:pPr>
      <w:tabs>
        <w:tab w:val="left" w:pos="360"/>
      </w:tabs>
      <w:ind w:left="360" w:hanging="360"/>
    </w:pPr>
    <w:rPr>
      <w:rFonts w:ascii="宋体"/>
      <w:kern w:val="0"/>
      <w:szCs w:val="20"/>
    </w:rPr>
  </w:style>
  <w:style w:type="paragraph" w:styleId="28">
    <w:name w:val="envelope address"/>
    <w:basedOn w:val="1"/>
    <w:qFormat/>
    <w:locked/>
    <w:uiPriority w:val="0"/>
    <w:pPr>
      <w:framePr w:w="7920" w:h="1980" w:hRule="exact" w:hSpace="180" w:wrap="around" w:vAnchor="margin" w:hAnchor="page" w:xAlign="center" w:yAlign="bottom"/>
      <w:snapToGrid w:val="0"/>
      <w:ind w:left="100" w:leftChars="1400"/>
    </w:pPr>
    <w:rPr>
      <w:rFonts w:ascii="Arial" w:hAnsi="Arial" w:cs="Arial"/>
      <w:kern w:val="0"/>
      <w:sz w:val="34"/>
      <w:szCs w:val="20"/>
    </w:rPr>
  </w:style>
  <w:style w:type="paragraph" w:styleId="29">
    <w:name w:val="Document Map"/>
    <w:basedOn w:val="1"/>
    <w:link w:val="167"/>
    <w:qFormat/>
    <w:locked/>
    <w:uiPriority w:val="0"/>
    <w:rPr>
      <w:rFonts w:ascii="微软雅黑" w:hAnsi="微软雅黑"/>
      <w:sz w:val="18"/>
      <w:szCs w:val="18"/>
    </w:rPr>
  </w:style>
  <w:style w:type="paragraph" w:styleId="30">
    <w:name w:val="toa heading"/>
    <w:basedOn w:val="1"/>
    <w:next w:val="1"/>
    <w:qFormat/>
    <w:locked/>
    <w:uiPriority w:val="0"/>
    <w:pPr>
      <w:spacing w:before="120"/>
    </w:pPr>
    <w:rPr>
      <w:rFonts w:ascii="Arial" w:hAnsi="Arial"/>
      <w:kern w:val="0"/>
      <w:sz w:val="34"/>
      <w:szCs w:val="20"/>
    </w:rPr>
  </w:style>
  <w:style w:type="paragraph" w:styleId="31">
    <w:name w:val="annotation text"/>
    <w:basedOn w:val="1"/>
    <w:link w:val="168"/>
    <w:qFormat/>
    <w:uiPriority w:val="0"/>
    <w:pPr>
      <w:jc w:val="left"/>
    </w:pPr>
    <w:rPr>
      <w:kern w:val="0"/>
      <w:sz w:val="24"/>
      <w:szCs w:val="20"/>
    </w:rPr>
  </w:style>
  <w:style w:type="paragraph" w:styleId="32">
    <w:name w:val="index 6"/>
    <w:basedOn w:val="1"/>
    <w:next w:val="1"/>
    <w:qFormat/>
    <w:locked/>
    <w:uiPriority w:val="0"/>
    <w:pPr>
      <w:ind w:left="1000" w:leftChars="1000"/>
    </w:pPr>
    <w:rPr>
      <w:rFonts w:ascii="宋体"/>
      <w:kern w:val="0"/>
      <w:szCs w:val="20"/>
    </w:rPr>
  </w:style>
  <w:style w:type="paragraph" w:styleId="33">
    <w:name w:val="Salutation"/>
    <w:basedOn w:val="1"/>
    <w:next w:val="1"/>
    <w:link w:val="169"/>
    <w:qFormat/>
    <w:locked/>
    <w:uiPriority w:val="0"/>
    <w:rPr>
      <w:rFonts w:ascii="宋体" w:hAnsi="宋体"/>
      <w:kern w:val="0"/>
      <w:szCs w:val="20"/>
    </w:rPr>
  </w:style>
  <w:style w:type="paragraph" w:styleId="34">
    <w:name w:val="Body Text 3"/>
    <w:basedOn w:val="1"/>
    <w:link w:val="170"/>
    <w:qFormat/>
    <w:locked/>
    <w:uiPriority w:val="0"/>
    <w:pPr>
      <w:widowControl/>
      <w:jc w:val="center"/>
    </w:pPr>
    <w:rPr>
      <w:rFonts w:ascii="宋体" w:hAnsi="宋体" w:cs="宋体"/>
      <w:b/>
      <w:bCs/>
      <w:kern w:val="0"/>
      <w:sz w:val="24"/>
    </w:rPr>
  </w:style>
  <w:style w:type="paragraph" w:styleId="35">
    <w:name w:val="Closing"/>
    <w:basedOn w:val="1"/>
    <w:link w:val="171"/>
    <w:qFormat/>
    <w:locked/>
    <w:uiPriority w:val="0"/>
    <w:pPr>
      <w:ind w:left="100" w:leftChars="2100"/>
    </w:pPr>
    <w:rPr>
      <w:rFonts w:ascii="宋体" w:hAnsi="Courier New"/>
      <w:kern w:val="0"/>
      <w:sz w:val="20"/>
      <w:szCs w:val="20"/>
    </w:rPr>
  </w:style>
  <w:style w:type="paragraph" w:styleId="36">
    <w:name w:val="List Bullet 3"/>
    <w:basedOn w:val="1"/>
    <w:qFormat/>
    <w:locked/>
    <w:uiPriority w:val="0"/>
    <w:pPr>
      <w:numPr>
        <w:ilvl w:val="0"/>
        <w:numId w:val="3"/>
      </w:numPr>
      <w:tabs>
        <w:tab w:val="left" w:pos="1200"/>
        <w:tab w:val="left" w:pos="3792"/>
      </w:tabs>
      <w:ind w:firstLine="567"/>
    </w:pPr>
    <w:rPr>
      <w:rFonts w:ascii="宋体"/>
      <w:kern w:val="0"/>
      <w:szCs w:val="21"/>
    </w:rPr>
  </w:style>
  <w:style w:type="paragraph" w:styleId="37">
    <w:name w:val="Body Text"/>
    <w:basedOn w:val="1"/>
    <w:link w:val="172"/>
    <w:qFormat/>
    <w:uiPriority w:val="0"/>
    <w:pPr>
      <w:widowControl/>
      <w:snapToGrid w:val="0"/>
      <w:spacing w:before="60" w:after="160" w:line="259" w:lineRule="auto"/>
      <w:ind w:right="113"/>
    </w:pPr>
    <w:rPr>
      <w:kern w:val="0"/>
      <w:sz w:val="18"/>
      <w:szCs w:val="20"/>
    </w:rPr>
  </w:style>
  <w:style w:type="paragraph" w:styleId="38">
    <w:name w:val="List Number 3"/>
    <w:basedOn w:val="1"/>
    <w:qFormat/>
    <w:locked/>
    <w:uiPriority w:val="0"/>
    <w:pPr>
      <w:widowControl/>
      <w:tabs>
        <w:tab w:val="left" w:pos="726"/>
      </w:tabs>
      <w:spacing w:before="120" w:after="120" w:line="360" w:lineRule="auto"/>
      <w:ind w:left="720" w:firstLine="567"/>
      <w:jc w:val="left"/>
    </w:pPr>
    <w:rPr>
      <w:rFonts w:ascii="宋体" w:eastAsia="幼圆"/>
      <w:b/>
      <w:kern w:val="0"/>
      <w:sz w:val="28"/>
      <w:szCs w:val="20"/>
    </w:rPr>
  </w:style>
  <w:style w:type="paragraph" w:styleId="39">
    <w:name w:val="List 2"/>
    <w:basedOn w:val="1"/>
    <w:unhideWhenUsed/>
    <w:qFormat/>
    <w:locked/>
    <w:uiPriority w:val="0"/>
    <w:pPr>
      <w:widowControl/>
      <w:ind w:left="100" w:leftChars="200" w:hanging="200" w:hangingChars="200"/>
      <w:contextualSpacing/>
      <w:jc w:val="left"/>
    </w:pPr>
    <w:rPr>
      <w:rFonts w:ascii="宋体" w:hAnsi="宋体" w:cs="宋体"/>
      <w:kern w:val="0"/>
      <w:sz w:val="24"/>
    </w:rPr>
  </w:style>
  <w:style w:type="paragraph" w:styleId="40">
    <w:name w:val="List Continue"/>
    <w:basedOn w:val="1"/>
    <w:qFormat/>
    <w:locked/>
    <w:uiPriority w:val="0"/>
    <w:pPr>
      <w:spacing w:after="120"/>
      <w:ind w:left="480"/>
      <w:jc w:val="left"/>
    </w:pPr>
    <w:rPr>
      <w:rFonts w:ascii="宋体" w:eastAsia="PMingLiU"/>
      <w:kern w:val="0"/>
      <w:sz w:val="34"/>
      <w:szCs w:val="20"/>
      <w:lang w:eastAsia="zh-TW"/>
    </w:rPr>
  </w:style>
  <w:style w:type="paragraph" w:styleId="41">
    <w:name w:val="Block Text"/>
    <w:basedOn w:val="1"/>
    <w:qFormat/>
    <w:locked/>
    <w:uiPriority w:val="0"/>
    <w:pPr>
      <w:widowControl/>
      <w:spacing w:line="300" w:lineRule="exact"/>
      <w:ind w:left="-96" w:leftChars="-40" w:right="-16" w:firstLine="482" w:firstLineChars="200"/>
      <w:jc w:val="left"/>
    </w:pPr>
    <w:rPr>
      <w:rFonts w:ascii="宋体" w:hAnsi="宋体" w:cs="宋体"/>
      <w:kern w:val="0"/>
      <w:sz w:val="24"/>
    </w:rPr>
  </w:style>
  <w:style w:type="paragraph" w:styleId="42">
    <w:name w:val="List Bullet 2"/>
    <w:basedOn w:val="1"/>
    <w:next w:val="43"/>
    <w:qFormat/>
    <w:locked/>
    <w:uiPriority w:val="0"/>
    <w:pPr>
      <w:tabs>
        <w:tab w:val="left" w:pos="4760"/>
      </w:tabs>
      <w:adjustRightInd w:val="0"/>
      <w:snapToGrid w:val="0"/>
      <w:spacing w:beforeLines="10" w:afterLines="10"/>
      <w:ind w:left="27" w:leftChars="-38" w:right="-107" w:rightChars="-51" w:hanging="107" w:hangingChars="51"/>
      <w:jc w:val="center"/>
      <w:textAlignment w:val="baseline"/>
    </w:pPr>
    <w:rPr>
      <w:rFonts w:ascii="宋体"/>
      <w:kern w:val="0"/>
      <w:szCs w:val="21"/>
    </w:rPr>
  </w:style>
  <w:style w:type="paragraph" w:styleId="43">
    <w:name w:val="Body Text First Indent"/>
    <w:basedOn w:val="37"/>
    <w:link w:val="174"/>
    <w:qFormat/>
    <w:locked/>
    <w:uiPriority w:val="0"/>
    <w:pPr>
      <w:snapToGrid/>
      <w:spacing w:before="0" w:after="120" w:line="240" w:lineRule="auto"/>
      <w:ind w:right="0" w:firstLine="420" w:firstLineChars="100"/>
      <w:jc w:val="left"/>
    </w:pPr>
    <w:rPr>
      <w:rFonts w:ascii="宋体" w:hAnsi="宋体" w:cs="宋体"/>
      <w:sz w:val="28"/>
    </w:rPr>
  </w:style>
  <w:style w:type="paragraph" w:styleId="44">
    <w:name w:val="HTML Address"/>
    <w:basedOn w:val="1"/>
    <w:link w:val="175"/>
    <w:qFormat/>
    <w:locked/>
    <w:uiPriority w:val="0"/>
    <w:rPr>
      <w:rFonts w:ascii="宋体" w:hAnsi="宋体"/>
      <w:i/>
      <w:iCs/>
      <w:kern w:val="0"/>
      <w:szCs w:val="20"/>
    </w:rPr>
  </w:style>
  <w:style w:type="paragraph" w:styleId="45">
    <w:name w:val="index 4"/>
    <w:basedOn w:val="1"/>
    <w:next w:val="1"/>
    <w:qFormat/>
    <w:locked/>
    <w:uiPriority w:val="0"/>
    <w:pPr>
      <w:ind w:left="600" w:leftChars="600"/>
    </w:pPr>
    <w:rPr>
      <w:rFonts w:ascii="宋体"/>
      <w:kern w:val="0"/>
      <w:szCs w:val="20"/>
    </w:rPr>
  </w:style>
  <w:style w:type="paragraph" w:styleId="46">
    <w:name w:val="toc 5"/>
    <w:basedOn w:val="1"/>
    <w:next w:val="1"/>
    <w:unhideWhenUsed/>
    <w:qFormat/>
    <w:locked/>
    <w:uiPriority w:val="39"/>
    <w:pPr>
      <w:spacing w:line="360" w:lineRule="auto"/>
      <w:ind w:left="960" w:firstLine="200" w:firstLineChars="200"/>
      <w:jc w:val="left"/>
    </w:pPr>
    <w:rPr>
      <w:rFonts w:ascii="宋体"/>
      <w:kern w:val="0"/>
      <w:sz w:val="18"/>
      <w:szCs w:val="18"/>
    </w:rPr>
  </w:style>
  <w:style w:type="paragraph" w:styleId="47">
    <w:name w:val="toc 3"/>
    <w:basedOn w:val="1"/>
    <w:next w:val="1"/>
    <w:qFormat/>
    <w:locked/>
    <w:uiPriority w:val="39"/>
    <w:pPr>
      <w:widowControl/>
      <w:tabs>
        <w:tab w:val="left" w:pos="3220"/>
        <w:tab w:val="left" w:pos="3435"/>
      </w:tabs>
      <w:spacing w:line="360" w:lineRule="auto"/>
      <w:ind w:left="840" w:leftChars="400"/>
      <w:jc w:val="left"/>
    </w:pPr>
    <w:rPr>
      <w:rFonts w:ascii="宋体" w:hAnsi="宋体" w:cs="宋体"/>
      <w:kern w:val="0"/>
      <w:sz w:val="24"/>
    </w:rPr>
  </w:style>
  <w:style w:type="paragraph" w:styleId="48">
    <w:name w:val="Plain Text"/>
    <w:basedOn w:val="1"/>
    <w:link w:val="176"/>
    <w:qFormat/>
    <w:locked/>
    <w:uiPriority w:val="0"/>
    <w:pPr>
      <w:widowControl/>
      <w:jc w:val="left"/>
    </w:pPr>
    <w:rPr>
      <w:rFonts w:ascii="宋体" w:hAnsi="Courier New" w:cs="Courier New"/>
      <w:kern w:val="0"/>
      <w:sz w:val="24"/>
      <w:szCs w:val="21"/>
    </w:rPr>
  </w:style>
  <w:style w:type="paragraph" w:styleId="49">
    <w:name w:val="List Bullet 5"/>
    <w:basedOn w:val="1"/>
    <w:qFormat/>
    <w:locked/>
    <w:uiPriority w:val="0"/>
    <w:pPr>
      <w:tabs>
        <w:tab w:val="left" w:pos="2040"/>
      </w:tabs>
      <w:ind w:left="2040" w:leftChars="800" w:hanging="360" w:hangingChars="200"/>
    </w:pPr>
    <w:rPr>
      <w:rFonts w:hint="eastAsia" w:ascii="宋体" w:hAnsi="宋体"/>
      <w:kern w:val="0"/>
      <w:sz w:val="34"/>
      <w:szCs w:val="20"/>
    </w:rPr>
  </w:style>
  <w:style w:type="paragraph" w:styleId="50">
    <w:name w:val="List Number 4"/>
    <w:basedOn w:val="1"/>
    <w:qFormat/>
    <w:locked/>
    <w:uiPriority w:val="0"/>
    <w:pPr>
      <w:tabs>
        <w:tab w:val="left" w:pos="726"/>
      </w:tabs>
      <w:spacing w:line="360" w:lineRule="auto"/>
      <w:ind w:left="864" w:firstLine="284"/>
    </w:pPr>
    <w:rPr>
      <w:rFonts w:ascii="宋体" w:eastAsia="幼圆"/>
      <w:kern w:val="0"/>
      <w:sz w:val="28"/>
      <w:szCs w:val="20"/>
    </w:rPr>
  </w:style>
  <w:style w:type="paragraph" w:styleId="51">
    <w:name w:val="toc 8"/>
    <w:basedOn w:val="1"/>
    <w:next w:val="1"/>
    <w:unhideWhenUsed/>
    <w:qFormat/>
    <w:locked/>
    <w:uiPriority w:val="39"/>
    <w:pPr>
      <w:spacing w:line="360" w:lineRule="auto"/>
      <w:ind w:left="1680" w:firstLine="200" w:firstLineChars="200"/>
      <w:jc w:val="left"/>
    </w:pPr>
    <w:rPr>
      <w:rFonts w:ascii="宋体"/>
      <w:kern w:val="0"/>
      <w:sz w:val="18"/>
      <w:szCs w:val="18"/>
    </w:rPr>
  </w:style>
  <w:style w:type="paragraph" w:styleId="52">
    <w:name w:val="index 3"/>
    <w:basedOn w:val="1"/>
    <w:next w:val="1"/>
    <w:qFormat/>
    <w:locked/>
    <w:uiPriority w:val="0"/>
    <w:pPr>
      <w:ind w:left="400" w:leftChars="400"/>
    </w:pPr>
    <w:rPr>
      <w:rFonts w:ascii="宋体"/>
      <w:kern w:val="0"/>
      <w:szCs w:val="20"/>
    </w:rPr>
  </w:style>
  <w:style w:type="paragraph" w:styleId="53">
    <w:name w:val="Date"/>
    <w:basedOn w:val="1"/>
    <w:next w:val="1"/>
    <w:link w:val="177"/>
    <w:qFormat/>
    <w:uiPriority w:val="0"/>
    <w:pPr>
      <w:ind w:left="100" w:leftChars="2500"/>
    </w:pPr>
    <w:rPr>
      <w:kern w:val="0"/>
      <w:sz w:val="24"/>
      <w:szCs w:val="20"/>
    </w:rPr>
  </w:style>
  <w:style w:type="paragraph" w:styleId="54">
    <w:name w:val="Body Text Indent 2"/>
    <w:basedOn w:val="1"/>
    <w:next w:val="30"/>
    <w:link w:val="178"/>
    <w:qFormat/>
    <w:locked/>
    <w:uiPriority w:val="0"/>
    <w:pPr>
      <w:widowControl/>
      <w:spacing w:line="360" w:lineRule="auto"/>
      <w:ind w:left="-88" w:firstLine="552" w:firstLineChars="230"/>
      <w:jc w:val="left"/>
    </w:pPr>
    <w:rPr>
      <w:rFonts w:ascii="宋体" w:hAnsi="宋体" w:cs="宋体"/>
      <w:kern w:val="0"/>
      <w:sz w:val="24"/>
      <w:szCs w:val="20"/>
    </w:rPr>
  </w:style>
  <w:style w:type="paragraph" w:styleId="55">
    <w:name w:val="endnote text"/>
    <w:basedOn w:val="1"/>
    <w:link w:val="179"/>
    <w:qFormat/>
    <w:locked/>
    <w:uiPriority w:val="0"/>
    <w:pPr>
      <w:widowControl/>
      <w:snapToGrid w:val="0"/>
      <w:jc w:val="left"/>
    </w:pPr>
    <w:rPr>
      <w:kern w:val="0"/>
      <w:sz w:val="28"/>
      <w:szCs w:val="20"/>
    </w:rPr>
  </w:style>
  <w:style w:type="paragraph" w:styleId="56">
    <w:name w:val="List Continue 5"/>
    <w:basedOn w:val="1"/>
    <w:qFormat/>
    <w:locked/>
    <w:uiPriority w:val="0"/>
    <w:pPr>
      <w:spacing w:after="120"/>
      <w:ind w:left="2100" w:leftChars="1000"/>
    </w:pPr>
    <w:rPr>
      <w:rFonts w:ascii="宋体"/>
      <w:kern w:val="0"/>
      <w:szCs w:val="20"/>
    </w:rPr>
  </w:style>
  <w:style w:type="paragraph" w:styleId="57">
    <w:name w:val="Balloon Text"/>
    <w:basedOn w:val="1"/>
    <w:link w:val="180"/>
    <w:qFormat/>
    <w:uiPriority w:val="0"/>
    <w:rPr>
      <w:kern w:val="0"/>
      <w:sz w:val="18"/>
      <w:szCs w:val="20"/>
    </w:rPr>
  </w:style>
  <w:style w:type="paragraph" w:styleId="58">
    <w:name w:val="footer"/>
    <w:basedOn w:val="1"/>
    <w:link w:val="181"/>
    <w:qFormat/>
    <w:uiPriority w:val="99"/>
    <w:pPr>
      <w:tabs>
        <w:tab w:val="center" w:pos="4153"/>
        <w:tab w:val="right" w:pos="8306"/>
      </w:tabs>
      <w:snapToGrid w:val="0"/>
      <w:jc w:val="left"/>
    </w:pPr>
    <w:rPr>
      <w:kern w:val="0"/>
      <w:sz w:val="18"/>
      <w:szCs w:val="20"/>
    </w:rPr>
  </w:style>
  <w:style w:type="paragraph" w:styleId="59">
    <w:name w:val="envelope return"/>
    <w:basedOn w:val="1"/>
    <w:qFormat/>
    <w:locked/>
    <w:uiPriority w:val="0"/>
    <w:pPr>
      <w:snapToGrid w:val="0"/>
    </w:pPr>
    <w:rPr>
      <w:rFonts w:ascii="Arial" w:hAnsi="Arial" w:cs="Arial"/>
      <w:kern w:val="0"/>
      <w:szCs w:val="20"/>
    </w:rPr>
  </w:style>
  <w:style w:type="paragraph" w:styleId="60">
    <w:name w:val="header"/>
    <w:basedOn w:val="1"/>
    <w:link w:val="182"/>
    <w:qFormat/>
    <w:uiPriority w:val="0"/>
    <w:pPr>
      <w:pBdr>
        <w:bottom w:val="single" w:color="auto" w:sz="6" w:space="1"/>
      </w:pBdr>
      <w:tabs>
        <w:tab w:val="center" w:pos="4153"/>
        <w:tab w:val="right" w:pos="8306"/>
      </w:tabs>
      <w:snapToGrid w:val="0"/>
      <w:jc w:val="center"/>
    </w:pPr>
    <w:rPr>
      <w:kern w:val="0"/>
      <w:sz w:val="18"/>
      <w:szCs w:val="20"/>
    </w:rPr>
  </w:style>
  <w:style w:type="paragraph" w:styleId="61">
    <w:name w:val="Signature"/>
    <w:basedOn w:val="1"/>
    <w:link w:val="183"/>
    <w:qFormat/>
    <w:locked/>
    <w:uiPriority w:val="0"/>
    <w:pPr>
      <w:ind w:left="100" w:leftChars="2100"/>
    </w:pPr>
    <w:rPr>
      <w:rFonts w:ascii="宋体" w:hAnsi="宋体"/>
      <w:kern w:val="0"/>
      <w:szCs w:val="20"/>
    </w:rPr>
  </w:style>
  <w:style w:type="paragraph" w:styleId="62">
    <w:name w:val="toc 1"/>
    <w:basedOn w:val="1"/>
    <w:next w:val="1"/>
    <w:link w:val="184"/>
    <w:qFormat/>
    <w:locked/>
    <w:uiPriority w:val="39"/>
    <w:pPr>
      <w:widowControl/>
      <w:tabs>
        <w:tab w:val="right" w:leader="dot" w:pos="8778"/>
      </w:tabs>
      <w:spacing w:line="360" w:lineRule="auto"/>
      <w:jc w:val="left"/>
    </w:pPr>
    <w:rPr>
      <w:rFonts w:ascii="宋体" w:hAnsi="宋体" w:cs="宋体"/>
      <w:b/>
      <w:kern w:val="0"/>
      <w:sz w:val="24"/>
    </w:rPr>
  </w:style>
  <w:style w:type="paragraph" w:styleId="63">
    <w:name w:val="List Continue 4"/>
    <w:basedOn w:val="1"/>
    <w:qFormat/>
    <w:locked/>
    <w:uiPriority w:val="0"/>
    <w:pPr>
      <w:spacing w:after="120"/>
      <w:ind w:left="1680" w:leftChars="800"/>
    </w:pPr>
    <w:rPr>
      <w:rFonts w:ascii="宋体"/>
      <w:kern w:val="0"/>
      <w:szCs w:val="20"/>
    </w:rPr>
  </w:style>
  <w:style w:type="paragraph" w:styleId="64">
    <w:name w:val="toc 4"/>
    <w:basedOn w:val="1"/>
    <w:next w:val="1"/>
    <w:unhideWhenUsed/>
    <w:qFormat/>
    <w:locked/>
    <w:uiPriority w:val="39"/>
    <w:pPr>
      <w:spacing w:line="360" w:lineRule="auto"/>
      <w:ind w:left="720" w:firstLine="200" w:firstLineChars="200"/>
      <w:jc w:val="left"/>
    </w:pPr>
    <w:rPr>
      <w:rFonts w:ascii="宋体"/>
      <w:kern w:val="0"/>
      <w:sz w:val="18"/>
      <w:szCs w:val="18"/>
    </w:rPr>
  </w:style>
  <w:style w:type="paragraph" w:styleId="65">
    <w:name w:val="index heading"/>
    <w:basedOn w:val="1"/>
    <w:next w:val="66"/>
    <w:qFormat/>
    <w:locked/>
    <w:uiPriority w:val="0"/>
    <w:pPr>
      <w:spacing w:line="500" w:lineRule="exact"/>
    </w:pPr>
    <w:rPr>
      <w:rFonts w:ascii="仿宋_GB2312" w:eastAsia="仿宋_GB2312"/>
      <w:sz w:val="28"/>
      <w:szCs w:val="20"/>
    </w:rPr>
  </w:style>
  <w:style w:type="paragraph" w:styleId="66">
    <w:name w:val="index 1"/>
    <w:basedOn w:val="1"/>
    <w:next w:val="1"/>
    <w:qFormat/>
    <w:locked/>
    <w:uiPriority w:val="0"/>
    <w:pPr>
      <w:widowControl/>
      <w:jc w:val="left"/>
    </w:pPr>
    <w:rPr>
      <w:rFonts w:ascii="宋体" w:hAnsi="宋体" w:cs="宋体"/>
      <w:kern w:val="0"/>
      <w:sz w:val="28"/>
      <w:szCs w:val="20"/>
    </w:rPr>
  </w:style>
  <w:style w:type="paragraph" w:styleId="67">
    <w:name w:val="Subtitle"/>
    <w:basedOn w:val="1"/>
    <w:link w:val="185"/>
    <w:qFormat/>
    <w:locked/>
    <w:uiPriority w:val="0"/>
    <w:pPr>
      <w:widowControl/>
      <w:overflowPunct w:val="0"/>
      <w:autoSpaceDE w:val="0"/>
      <w:autoSpaceDN w:val="0"/>
      <w:adjustRightInd w:val="0"/>
      <w:snapToGrid w:val="0"/>
      <w:spacing w:before="240" w:after="60" w:line="312" w:lineRule="atLeast"/>
      <w:jc w:val="center"/>
      <w:outlineLvl w:val="0"/>
    </w:pPr>
    <w:rPr>
      <w:rFonts w:ascii="黑体" w:hAnsi="Arial" w:eastAsia="黑体"/>
      <w:b/>
      <w:kern w:val="28"/>
      <w:sz w:val="48"/>
      <w:szCs w:val="20"/>
    </w:rPr>
  </w:style>
  <w:style w:type="paragraph" w:styleId="68">
    <w:name w:val="List Number 5"/>
    <w:basedOn w:val="1"/>
    <w:qFormat/>
    <w:locked/>
    <w:uiPriority w:val="0"/>
    <w:pPr>
      <w:numPr>
        <w:ilvl w:val="0"/>
        <w:numId w:val="4"/>
      </w:numPr>
      <w:tabs>
        <w:tab w:val="left" w:pos="2040"/>
      </w:tabs>
    </w:pPr>
    <w:rPr>
      <w:rFonts w:ascii="宋体"/>
      <w:kern w:val="0"/>
      <w:szCs w:val="20"/>
    </w:rPr>
  </w:style>
  <w:style w:type="paragraph" w:styleId="69">
    <w:name w:val="List"/>
    <w:basedOn w:val="1"/>
    <w:link w:val="186"/>
    <w:qFormat/>
    <w:locked/>
    <w:uiPriority w:val="0"/>
    <w:pPr>
      <w:widowControl/>
      <w:spacing w:line="360" w:lineRule="exact"/>
      <w:jc w:val="center"/>
    </w:pPr>
    <w:rPr>
      <w:rFonts w:ascii="仿宋_GB2312" w:hAnsi="Calibri" w:eastAsia="仿宋_GB2312"/>
      <w:szCs w:val="22"/>
    </w:rPr>
  </w:style>
  <w:style w:type="paragraph" w:styleId="70">
    <w:name w:val="footnote text"/>
    <w:basedOn w:val="1"/>
    <w:link w:val="187"/>
    <w:qFormat/>
    <w:locked/>
    <w:uiPriority w:val="0"/>
    <w:rPr>
      <w:rFonts w:ascii="宋体"/>
      <w:kern w:val="0"/>
      <w:sz w:val="20"/>
      <w:szCs w:val="20"/>
    </w:rPr>
  </w:style>
  <w:style w:type="paragraph" w:styleId="71">
    <w:name w:val="toc 6"/>
    <w:basedOn w:val="1"/>
    <w:next w:val="1"/>
    <w:unhideWhenUsed/>
    <w:qFormat/>
    <w:locked/>
    <w:uiPriority w:val="39"/>
    <w:pPr>
      <w:spacing w:line="360" w:lineRule="auto"/>
      <w:ind w:left="1200" w:firstLine="200" w:firstLineChars="200"/>
      <w:jc w:val="left"/>
    </w:pPr>
    <w:rPr>
      <w:rFonts w:ascii="宋体"/>
      <w:kern w:val="0"/>
      <w:sz w:val="18"/>
      <w:szCs w:val="18"/>
    </w:rPr>
  </w:style>
  <w:style w:type="paragraph" w:styleId="72">
    <w:name w:val="List 5"/>
    <w:basedOn w:val="1"/>
    <w:qFormat/>
    <w:locked/>
    <w:uiPriority w:val="0"/>
    <w:pPr>
      <w:ind w:left="2100" w:hanging="420"/>
    </w:pPr>
    <w:rPr>
      <w:rFonts w:ascii="宋体"/>
      <w:kern w:val="0"/>
      <w:sz w:val="34"/>
      <w:szCs w:val="20"/>
    </w:rPr>
  </w:style>
  <w:style w:type="paragraph" w:styleId="73">
    <w:name w:val="Body Text Indent 3"/>
    <w:basedOn w:val="1"/>
    <w:link w:val="188"/>
    <w:qFormat/>
    <w:locked/>
    <w:uiPriority w:val="0"/>
    <w:pPr>
      <w:widowControl/>
      <w:spacing w:line="400" w:lineRule="exact"/>
      <w:ind w:firstLine="480" w:firstLineChars="200"/>
      <w:jc w:val="left"/>
    </w:pPr>
    <w:rPr>
      <w:rFonts w:ascii="宋体" w:hAnsi="宋体"/>
      <w:sz w:val="24"/>
    </w:rPr>
  </w:style>
  <w:style w:type="paragraph" w:styleId="74">
    <w:name w:val="index 7"/>
    <w:basedOn w:val="1"/>
    <w:next w:val="1"/>
    <w:qFormat/>
    <w:locked/>
    <w:uiPriority w:val="0"/>
    <w:pPr>
      <w:ind w:left="1200" w:leftChars="1200"/>
    </w:pPr>
    <w:rPr>
      <w:rFonts w:ascii="宋体"/>
      <w:kern w:val="0"/>
      <w:szCs w:val="20"/>
    </w:rPr>
  </w:style>
  <w:style w:type="paragraph" w:styleId="75">
    <w:name w:val="index 9"/>
    <w:basedOn w:val="1"/>
    <w:next w:val="1"/>
    <w:qFormat/>
    <w:locked/>
    <w:uiPriority w:val="0"/>
    <w:pPr>
      <w:ind w:left="1600" w:leftChars="1600"/>
    </w:pPr>
    <w:rPr>
      <w:rFonts w:ascii="宋体"/>
      <w:kern w:val="0"/>
      <w:szCs w:val="20"/>
    </w:rPr>
  </w:style>
  <w:style w:type="paragraph" w:styleId="76">
    <w:name w:val="table of figures"/>
    <w:basedOn w:val="1"/>
    <w:next w:val="1"/>
    <w:unhideWhenUsed/>
    <w:qFormat/>
    <w:locked/>
    <w:uiPriority w:val="0"/>
    <w:pPr>
      <w:widowControl/>
      <w:ind w:left="200" w:leftChars="200" w:hanging="200" w:hangingChars="200"/>
      <w:jc w:val="left"/>
    </w:pPr>
    <w:rPr>
      <w:rFonts w:ascii="宋体" w:hAnsi="宋体" w:cs="宋体"/>
      <w:kern w:val="0"/>
      <w:sz w:val="24"/>
    </w:rPr>
  </w:style>
  <w:style w:type="paragraph" w:styleId="77">
    <w:name w:val="toc 2"/>
    <w:basedOn w:val="1"/>
    <w:next w:val="1"/>
    <w:qFormat/>
    <w:locked/>
    <w:uiPriority w:val="39"/>
    <w:pPr>
      <w:widowControl/>
      <w:tabs>
        <w:tab w:val="right" w:leader="dot" w:pos="8800"/>
      </w:tabs>
      <w:spacing w:line="360" w:lineRule="auto"/>
      <w:ind w:left="420" w:leftChars="200" w:right="360"/>
      <w:jc w:val="left"/>
    </w:pPr>
    <w:rPr>
      <w:rFonts w:ascii="宋体" w:hAnsi="宋体" w:cs="宋体"/>
      <w:b/>
      <w:bCs/>
      <w:kern w:val="0"/>
      <w:sz w:val="24"/>
    </w:rPr>
  </w:style>
  <w:style w:type="paragraph" w:styleId="78">
    <w:name w:val="toc 9"/>
    <w:basedOn w:val="1"/>
    <w:next w:val="1"/>
    <w:unhideWhenUsed/>
    <w:qFormat/>
    <w:locked/>
    <w:uiPriority w:val="39"/>
    <w:pPr>
      <w:spacing w:line="360" w:lineRule="auto"/>
      <w:ind w:left="1920" w:firstLine="200" w:firstLineChars="200"/>
      <w:jc w:val="left"/>
    </w:pPr>
    <w:rPr>
      <w:rFonts w:ascii="宋体"/>
      <w:kern w:val="0"/>
      <w:sz w:val="18"/>
      <w:szCs w:val="18"/>
    </w:rPr>
  </w:style>
  <w:style w:type="paragraph" w:styleId="79">
    <w:name w:val="Body Text 2"/>
    <w:basedOn w:val="1"/>
    <w:link w:val="189"/>
    <w:qFormat/>
    <w:locked/>
    <w:uiPriority w:val="0"/>
    <w:pPr>
      <w:widowControl/>
      <w:jc w:val="center"/>
    </w:pPr>
    <w:rPr>
      <w:rFonts w:ascii="宋体" w:hAnsi="宋体" w:cs="宋体"/>
      <w:kern w:val="0"/>
      <w:sz w:val="24"/>
    </w:rPr>
  </w:style>
  <w:style w:type="paragraph" w:styleId="80">
    <w:name w:val="List 4"/>
    <w:basedOn w:val="1"/>
    <w:qFormat/>
    <w:locked/>
    <w:uiPriority w:val="0"/>
    <w:pPr>
      <w:numPr>
        <w:ilvl w:val="0"/>
        <w:numId w:val="5"/>
      </w:numPr>
      <w:tabs>
        <w:tab w:val="left" w:pos="750"/>
      </w:tabs>
      <w:ind w:left="1680"/>
    </w:pPr>
    <w:rPr>
      <w:rFonts w:ascii="宋体"/>
      <w:kern w:val="0"/>
      <w:sz w:val="34"/>
      <w:szCs w:val="20"/>
    </w:rPr>
  </w:style>
  <w:style w:type="paragraph" w:styleId="81">
    <w:name w:val="List Continue 2"/>
    <w:basedOn w:val="1"/>
    <w:qFormat/>
    <w:locked/>
    <w:uiPriority w:val="0"/>
    <w:pPr>
      <w:spacing w:after="120"/>
      <w:ind w:left="840" w:leftChars="400"/>
    </w:pPr>
    <w:rPr>
      <w:rFonts w:ascii="宋体"/>
      <w:kern w:val="0"/>
      <w:szCs w:val="20"/>
    </w:rPr>
  </w:style>
  <w:style w:type="paragraph" w:styleId="82">
    <w:name w:val="Message Header"/>
    <w:basedOn w:val="1"/>
    <w:link w:val="190"/>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34"/>
      <w:szCs w:val="20"/>
      <w:shd w:val="pct20" w:color="auto" w:fill="auto"/>
    </w:rPr>
  </w:style>
  <w:style w:type="paragraph" w:styleId="83">
    <w:name w:val="HTML Preformatted"/>
    <w:basedOn w:val="1"/>
    <w:link w:val="191"/>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4">
    <w:name w:val="Normal (Web)"/>
    <w:basedOn w:val="1"/>
    <w:link w:val="192"/>
    <w:qFormat/>
    <w:uiPriority w:val="0"/>
    <w:pPr>
      <w:widowControl/>
      <w:spacing w:before="100" w:beforeAutospacing="1" w:after="100" w:afterAutospacing="1"/>
      <w:jc w:val="left"/>
    </w:pPr>
    <w:rPr>
      <w:rFonts w:ascii="宋体" w:hAnsi="宋体"/>
      <w:kern w:val="0"/>
      <w:sz w:val="24"/>
      <w:szCs w:val="20"/>
    </w:rPr>
  </w:style>
  <w:style w:type="paragraph" w:styleId="85">
    <w:name w:val="List Continue 3"/>
    <w:basedOn w:val="1"/>
    <w:qFormat/>
    <w:locked/>
    <w:uiPriority w:val="0"/>
    <w:pPr>
      <w:spacing w:after="120"/>
      <w:ind w:left="1260" w:leftChars="600"/>
    </w:pPr>
    <w:rPr>
      <w:rFonts w:ascii="宋体"/>
      <w:kern w:val="0"/>
      <w:szCs w:val="20"/>
    </w:rPr>
  </w:style>
  <w:style w:type="paragraph" w:styleId="86">
    <w:name w:val="index 2"/>
    <w:basedOn w:val="1"/>
    <w:next w:val="1"/>
    <w:qFormat/>
    <w:locked/>
    <w:uiPriority w:val="0"/>
    <w:pPr>
      <w:ind w:left="200" w:leftChars="200"/>
    </w:pPr>
    <w:rPr>
      <w:rFonts w:ascii="宋体"/>
      <w:kern w:val="0"/>
      <w:szCs w:val="20"/>
    </w:rPr>
  </w:style>
  <w:style w:type="paragraph" w:styleId="87">
    <w:name w:val="Title"/>
    <w:basedOn w:val="1"/>
    <w:next w:val="1"/>
    <w:link w:val="193"/>
    <w:qFormat/>
    <w:locked/>
    <w:uiPriority w:val="0"/>
    <w:pPr>
      <w:spacing w:before="240" w:after="60" w:line="360" w:lineRule="auto"/>
      <w:jc w:val="center"/>
      <w:outlineLvl w:val="0"/>
    </w:pPr>
    <w:rPr>
      <w:rFonts w:ascii="Cambria" w:hAnsi="Cambria" w:eastAsia="黑体"/>
      <w:bCs/>
      <w:kern w:val="0"/>
      <w:sz w:val="32"/>
      <w:szCs w:val="32"/>
    </w:rPr>
  </w:style>
  <w:style w:type="paragraph" w:styleId="88">
    <w:name w:val="annotation subject"/>
    <w:basedOn w:val="31"/>
    <w:next w:val="31"/>
    <w:link w:val="194"/>
    <w:qFormat/>
    <w:uiPriority w:val="0"/>
    <w:rPr>
      <w:b/>
    </w:rPr>
  </w:style>
  <w:style w:type="table" w:styleId="90">
    <w:name w:val="Table Grid"/>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qFormat/>
    <w:locked/>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qFormat/>
    <w:locked/>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qFormat/>
    <w:locked/>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qFormat/>
    <w:locked/>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qFormat/>
    <w:locked/>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qFormat/>
    <w:locked/>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qFormat/>
    <w:locked/>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qFormat/>
    <w:locked/>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qFormat/>
    <w:locked/>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qFormat/>
    <w:locked/>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qFormat/>
    <w:locked/>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qFormat/>
    <w:locked/>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qFormat/>
    <w:locked/>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qFormat/>
    <w:locked/>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qFormat/>
    <w:locked/>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2">
    <w:name w:val="Table List 5"/>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qFormat/>
    <w:locked/>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qFormat/>
    <w:locked/>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qFormat/>
    <w:locked/>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qFormat/>
    <w:locked/>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qFormat/>
    <w:locked/>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qFormat/>
    <w:locked/>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locked/>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qFormat/>
    <w:locked/>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qFormat/>
    <w:locked/>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qFormat/>
    <w:locked/>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qFormat/>
    <w:locked/>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qFormat/>
    <w:locked/>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qFormat/>
    <w:locked/>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qFormat/>
    <w:locked/>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qFormat/>
    <w:locked/>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qFormat/>
    <w:locked/>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5">
    <w:name w:val="Strong"/>
    <w:basedOn w:val="134"/>
    <w:qFormat/>
    <w:locked/>
    <w:uiPriority w:val="0"/>
    <w:rPr>
      <w:b/>
      <w:bCs/>
    </w:rPr>
  </w:style>
  <w:style w:type="character" w:styleId="136">
    <w:name w:val="endnote reference"/>
    <w:qFormat/>
    <w:locked/>
    <w:uiPriority w:val="0"/>
    <w:rPr>
      <w:vertAlign w:val="superscript"/>
    </w:rPr>
  </w:style>
  <w:style w:type="character" w:styleId="137">
    <w:name w:val="page number"/>
    <w:qFormat/>
    <w:locked/>
    <w:uiPriority w:val="0"/>
  </w:style>
  <w:style w:type="character" w:styleId="138">
    <w:name w:val="FollowedHyperlink"/>
    <w:qFormat/>
    <w:locked/>
    <w:uiPriority w:val="99"/>
    <w:rPr>
      <w:color w:val="800080"/>
      <w:u w:val="single"/>
    </w:rPr>
  </w:style>
  <w:style w:type="character" w:styleId="139">
    <w:name w:val="Emphasis"/>
    <w:qFormat/>
    <w:locked/>
    <w:uiPriority w:val="0"/>
    <w:rPr>
      <w:i/>
      <w:iCs/>
    </w:rPr>
  </w:style>
  <w:style w:type="character" w:styleId="140">
    <w:name w:val="line number"/>
    <w:qFormat/>
    <w:locked/>
    <w:uiPriority w:val="0"/>
    <w:rPr>
      <w:szCs w:val="21"/>
    </w:rPr>
  </w:style>
  <w:style w:type="character" w:styleId="141">
    <w:name w:val="HTML Definition"/>
    <w:qFormat/>
    <w:locked/>
    <w:uiPriority w:val="0"/>
    <w:rPr>
      <w:i/>
      <w:iCs/>
    </w:rPr>
  </w:style>
  <w:style w:type="character" w:styleId="142">
    <w:name w:val="HTML Typewriter"/>
    <w:qFormat/>
    <w:locked/>
    <w:uiPriority w:val="0"/>
    <w:rPr>
      <w:rFonts w:ascii="Courier New" w:hAnsi="Courier New" w:cs="Courier New"/>
      <w:sz w:val="20"/>
      <w:szCs w:val="20"/>
    </w:rPr>
  </w:style>
  <w:style w:type="character" w:styleId="143">
    <w:name w:val="HTML Acronym"/>
    <w:qFormat/>
    <w:locked/>
    <w:uiPriority w:val="0"/>
  </w:style>
  <w:style w:type="character" w:styleId="144">
    <w:name w:val="HTML Variable"/>
    <w:qFormat/>
    <w:locked/>
    <w:uiPriority w:val="0"/>
    <w:rPr>
      <w:i/>
      <w:iCs/>
    </w:rPr>
  </w:style>
  <w:style w:type="character" w:styleId="145">
    <w:name w:val="Hyperlink"/>
    <w:basedOn w:val="134"/>
    <w:qFormat/>
    <w:locked/>
    <w:uiPriority w:val="99"/>
    <w:rPr>
      <w:color w:val="0000FF"/>
      <w:u w:val="single"/>
    </w:rPr>
  </w:style>
  <w:style w:type="character" w:styleId="146">
    <w:name w:val="HTML Code"/>
    <w:qFormat/>
    <w:locked/>
    <w:uiPriority w:val="0"/>
    <w:rPr>
      <w:rFonts w:ascii="Courier New" w:hAnsi="Courier New" w:cs="Courier New"/>
      <w:sz w:val="20"/>
      <w:szCs w:val="20"/>
    </w:rPr>
  </w:style>
  <w:style w:type="character" w:styleId="147">
    <w:name w:val="annotation reference"/>
    <w:basedOn w:val="134"/>
    <w:qFormat/>
    <w:uiPriority w:val="0"/>
    <w:rPr>
      <w:sz w:val="21"/>
    </w:rPr>
  </w:style>
  <w:style w:type="character" w:styleId="148">
    <w:name w:val="HTML Cite"/>
    <w:qFormat/>
    <w:locked/>
    <w:uiPriority w:val="0"/>
    <w:rPr>
      <w:i/>
      <w:iCs/>
    </w:rPr>
  </w:style>
  <w:style w:type="character" w:styleId="149">
    <w:name w:val="footnote reference"/>
    <w:qFormat/>
    <w:locked/>
    <w:uiPriority w:val="0"/>
    <w:rPr>
      <w:vertAlign w:val="superscript"/>
    </w:rPr>
  </w:style>
  <w:style w:type="character" w:styleId="150">
    <w:name w:val="HTML Keyboard"/>
    <w:qFormat/>
    <w:locked/>
    <w:uiPriority w:val="0"/>
    <w:rPr>
      <w:rFonts w:ascii="Courier New" w:hAnsi="Courier New" w:cs="Courier New"/>
      <w:sz w:val="20"/>
      <w:szCs w:val="20"/>
    </w:rPr>
  </w:style>
  <w:style w:type="character" w:styleId="151">
    <w:name w:val="HTML Sample"/>
    <w:qFormat/>
    <w:locked/>
    <w:uiPriority w:val="0"/>
    <w:rPr>
      <w:rFonts w:ascii="Courier New" w:hAnsi="Courier New" w:cs="Courier New"/>
    </w:rPr>
  </w:style>
  <w:style w:type="paragraph" w:customStyle="1" w:styleId="152">
    <w:name w:val="标题 段落4级"/>
    <w:basedOn w:val="153"/>
    <w:next w:val="31"/>
    <w:qFormat/>
    <w:uiPriority w:val="0"/>
    <w:pPr>
      <w:outlineLvl w:val="3"/>
    </w:pPr>
    <w:rPr>
      <w:rFonts w:cs="Calibri"/>
      <w:b/>
    </w:rPr>
  </w:style>
  <w:style w:type="paragraph" w:customStyle="1" w:styleId="153">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154">
    <w:name w:val="标题 1 字符"/>
    <w:link w:val="7"/>
    <w:qFormat/>
    <w:uiPriority w:val="0"/>
    <w:rPr>
      <w:rFonts w:eastAsia="黑体"/>
      <w:b/>
      <w:bCs/>
      <w:color w:val="000000"/>
      <w:kern w:val="44"/>
      <w:sz w:val="30"/>
      <w:szCs w:val="30"/>
    </w:rPr>
  </w:style>
  <w:style w:type="character" w:customStyle="1" w:styleId="155">
    <w:name w:val="标题 2 字符"/>
    <w:link w:val="8"/>
    <w:qFormat/>
    <w:uiPriority w:val="0"/>
    <w:rPr>
      <w:rFonts w:ascii="仿宋_GB2312" w:hAnsi="Arial" w:cs="宋体"/>
      <w:sz w:val="30"/>
      <w:szCs w:val="24"/>
    </w:rPr>
  </w:style>
  <w:style w:type="character" w:customStyle="1" w:styleId="156">
    <w:name w:val="正文缩进 字符"/>
    <w:link w:val="6"/>
    <w:qFormat/>
    <w:uiPriority w:val="99"/>
    <w:rPr>
      <w:rFonts w:ascii="宋体" w:hAnsi="宋体" w:cs="宋体"/>
      <w:sz w:val="24"/>
      <w:szCs w:val="24"/>
    </w:rPr>
  </w:style>
  <w:style w:type="character" w:customStyle="1" w:styleId="157">
    <w:name w:val="标题 3 字符"/>
    <w:link w:val="9"/>
    <w:qFormat/>
    <w:uiPriority w:val="0"/>
    <w:rPr>
      <w:rFonts w:ascii="宋体" w:hAnsi="宋体" w:cs="宋体"/>
      <w:bCs/>
      <w:sz w:val="28"/>
      <w:szCs w:val="32"/>
    </w:rPr>
  </w:style>
  <w:style w:type="character" w:customStyle="1" w:styleId="158">
    <w:name w:val="标题 4 字符"/>
    <w:link w:val="10"/>
    <w:qFormat/>
    <w:uiPriority w:val="0"/>
    <w:rPr>
      <w:rFonts w:ascii="Arial" w:hAnsi="Arial" w:cs="宋体"/>
      <w:b/>
      <w:bCs/>
      <w:sz w:val="24"/>
      <w:szCs w:val="28"/>
    </w:rPr>
  </w:style>
  <w:style w:type="character" w:customStyle="1" w:styleId="159">
    <w:name w:val="标题 5 字符"/>
    <w:link w:val="11"/>
    <w:qFormat/>
    <w:uiPriority w:val="0"/>
    <w:rPr>
      <w:rFonts w:ascii="宋体" w:hAnsi="宋体" w:cs="宋体"/>
      <w:b/>
      <w:bCs/>
      <w:sz w:val="28"/>
      <w:szCs w:val="28"/>
    </w:rPr>
  </w:style>
  <w:style w:type="character" w:customStyle="1" w:styleId="160">
    <w:name w:val="标题 6 字符"/>
    <w:link w:val="12"/>
    <w:qFormat/>
    <w:uiPriority w:val="0"/>
    <w:rPr>
      <w:rFonts w:ascii="Arial" w:hAnsi="Arial" w:eastAsia="黑体" w:cs="宋体"/>
      <w:b/>
      <w:bCs/>
      <w:sz w:val="24"/>
      <w:szCs w:val="24"/>
    </w:rPr>
  </w:style>
  <w:style w:type="character" w:customStyle="1" w:styleId="161">
    <w:name w:val="标题 7 字符"/>
    <w:link w:val="13"/>
    <w:qFormat/>
    <w:uiPriority w:val="0"/>
    <w:rPr>
      <w:rFonts w:ascii="宋体" w:hAnsi="宋体" w:cs="宋体"/>
      <w:b/>
      <w:bCs/>
      <w:sz w:val="24"/>
      <w:szCs w:val="24"/>
    </w:rPr>
  </w:style>
  <w:style w:type="character" w:customStyle="1" w:styleId="162">
    <w:name w:val="标题 8 字符"/>
    <w:link w:val="14"/>
    <w:qFormat/>
    <w:uiPriority w:val="0"/>
    <w:rPr>
      <w:rFonts w:ascii="Arial" w:hAnsi="Arial" w:eastAsia="黑体" w:cs="宋体"/>
      <w:sz w:val="24"/>
      <w:szCs w:val="24"/>
    </w:rPr>
  </w:style>
  <w:style w:type="character" w:customStyle="1" w:styleId="163">
    <w:name w:val="标题 9 字符"/>
    <w:link w:val="15"/>
    <w:qFormat/>
    <w:uiPriority w:val="0"/>
    <w:rPr>
      <w:rFonts w:ascii="Arial" w:hAnsi="Arial" w:eastAsia="黑体" w:cs="宋体"/>
      <w:sz w:val="24"/>
      <w:szCs w:val="21"/>
    </w:rPr>
  </w:style>
  <w:style w:type="character" w:customStyle="1" w:styleId="164">
    <w:name w:val="注释标题 字符"/>
    <w:link w:val="20"/>
    <w:qFormat/>
    <w:uiPriority w:val="0"/>
    <w:rPr>
      <w:rFonts w:ascii="宋体" w:hAnsi="宋体"/>
      <w:kern w:val="2"/>
      <w:sz w:val="21"/>
    </w:rPr>
  </w:style>
  <w:style w:type="character" w:customStyle="1" w:styleId="165">
    <w:name w:val="电子邮件签名 字符"/>
    <w:link w:val="23"/>
    <w:qFormat/>
    <w:uiPriority w:val="0"/>
    <w:rPr>
      <w:rFonts w:ascii="宋体" w:hAnsi="宋体"/>
      <w:sz w:val="21"/>
    </w:rPr>
  </w:style>
  <w:style w:type="character" w:customStyle="1" w:styleId="166">
    <w:name w:val="题注 字符"/>
    <w:link w:val="25"/>
    <w:qFormat/>
    <w:uiPriority w:val="0"/>
    <w:rPr>
      <w:rFonts w:eastAsia="仿宋_GB2312"/>
      <w:b/>
      <w:kern w:val="2"/>
      <w:sz w:val="24"/>
    </w:rPr>
  </w:style>
  <w:style w:type="character" w:customStyle="1" w:styleId="167">
    <w:name w:val="文档结构图 字符2"/>
    <w:link w:val="29"/>
    <w:qFormat/>
    <w:uiPriority w:val="0"/>
    <w:rPr>
      <w:rFonts w:ascii="微软雅黑" w:hAnsi="微软雅黑"/>
      <w:kern w:val="2"/>
      <w:sz w:val="18"/>
      <w:szCs w:val="18"/>
    </w:rPr>
  </w:style>
  <w:style w:type="character" w:customStyle="1" w:styleId="168">
    <w:name w:val="批注文字 字符2"/>
    <w:link w:val="31"/>
    <w:qFormat/>
    <w:locked/>
    <w:uiPriority w:val="0"/>
    <w:rPr>
      <w:rFonts w:ascii="Times New Roman" w:hAnsi="Times New Roman" w:eastAsia="宋体"/>
      <w:sz w:val="24"/>
    </w:rPr>
  </w:style>
  <w:style w:type="character" w:customStyle="1" w:styleId="169">
    <w:name w:val="称呼 字符"/>
    <w:link w:val="33"/>
    <w:qFormat/>
    <w:uiPriority w:val="0"/>
    <w:rPr>
      <w:rFonts w:ascii="宋体" w:hAnsi="宋体"/>
      <w:sz w:val="21"/>
    </w:rPr>
  </w:style>
  <w:style w:type="character" w:customStyle="1" w:styleId="170">
    <w:name w:val="正文文本 3 字符"/>
    <w:link w:val="34"/>
    <w:qFormat/>
    <w:uiPriority w:val="0"/>
    <w:rPr>
      <w:rFonts w:ascii="宋体" w:hAnsi="宋体" w:cs="宋体"/>
      <w:b/>
      <w:bCs/>
      <w:sz w:val="24"/>
      <w:szCs w:val="24"/>
    </w:rPr>
  </w:style>
  <w:style w:type="character" w:customStyle="1" w:styleId="171">
    <w:name w:val="结束语 字符"/>
    <w:link w:val="35"/>
    <w:qFormat/>
    <w:uiPriority w:val="0"/>
    <w:rPr>
      <w:rFonts w:ascii="宋体" w:hAnsi="Courier New"/>
    </w:rPr>
  </w:style>
  <w:style w:type="character" w:customStyle="1" w:styleId="172">
    <w:name w:val="正文文本 字符"/>
    <w:link w:val="37"/>
    <w:qFormat/>
    <w:locked/>
    <w:uiPriority w:val="0"/>
    <w:rPr>
      <w:sz w:val="18"/>
    </w:rPr>
  </w:style>
  <w:style w:type="character" w:customStyle="1" w:styleId="173">
    <w:name w:val="正文文本缩进 字符"/>
    <w:link w:val="5"/>
    <w:qFormat/>
    <w:locked/>
    <w:uiPriority w:val="99"/>
    <w:rPr>
      <w:rFonts w:ascii="Times New Roman" w:hAnsi="Times New Roman" w:eastAsia="宋体"/>
      <w:sz w:val="24"/>
    </w:rPr>
  </w:style>
  <w:style w:type="character" w:customStyle="1" w:styleId="174">
    <w:name w:val="正文文本首行缩进 字符"/>
    <w:link w:val="43"/>
    <w:qFormat/>
    <w:uiPriority w:val="0"/>
    <w:rPr>
      <w:rFonts w:ascii="宋体" w:hAnsi="宋体" w:cs="宋体"/>
      <w:sz w:val="28"/>
    </w:rPr>
  </w:style>
  <w:style w:type="character" w:customStyle="1" w:styleId="175">
    <w:name w:val="HTML 地址 字符"/>
    <w:link w:val="44"/>
    <w:qFormat/>
    <w:uiPriority w:val="0"/>
    <w:rPr>
      <w:rFonts w:ascii="宋体" w:hAnsi="宋体"/>
      <w:i/>
      <w:iCs/>
      <w:sz w:val="21"/>
    </w:rPr>
  </w:style>
  <w:style w:type="character" w:customStyle="1" w:styleId="176">
    <w:name w:val="纯文本 字符"/>
    <w:link w:val="48"/>
    <w:qFormat/>
    <w:uiPriority w:val="0"/>
    <w:rPr>
      <w:rFonts w:ascii="宋体" w:hAnsi="Courier New" w:cs="Courier New"/>
      <w:sz w:val="24"/>
      <w:szCs w:val="21"/>
    </w:rPr>
  </w:style>
  <w:style w:type="character" w:customStyle="1" w:styleId="177">
    <w:name w:val="日期 字符1"/>
    <w:link w:val="53"/>
    <w:qFormat/>
    <w:locked/>
    <w:uiPriority w:val="0"/>
    <w:rPr>
      <w:rFonts w:ascii="Times New Roman" w:hAnsi="Times New Roman" w:eastAsia="宋体"/>
      <w:sz w:val="24"/>
    </w:rPr>
  </w:style>
  <w:style w:type="character" w:customStyle="1" w:styleId="178">
    <w:name w:val="正文文本缩进 2 字符"/>
    <w:link w:val="54"/>
    <w:qFormat/>
    <w:uiPriority w:val="0"/>
    <w:rPr>
      <w:rFonts w:ascii="宋体" w:hAnsi="宋体" w:cs="宋体"/>
      <w:sz w:val="24"/>
    </w:rPr>
  </w:style>
  <w:style w:type="character" w:customStyle="1" w:styleId="179">
    <w:name w:val="尾注文本 字符"/>
    <w:link w:val="55"/>
    <w:qFormat/>
    <w:uiPriority w:val="0"/>
    <w:rPr>
      <w:sz w:val="28"/>
    </w:rPr>
  </w:style>
  <w:style w:type="character" w:customStyle="1" w:styleId="180">
    <w:name w:val="批注框文本 字符"/>
    <w:link w:val="57"/>
    <w:qFormat/>
    <w:locked/>
    <w:uiPriority w:val="0"/>
    <w:rPr>
      <w:rFonts w:ascii="Times New Roman" w:hAnsi="Times New Roman" w:eastAsia="宋体"/>
      <w:sz w:val="18"/>
    </w:rPr>
  </w:style>
  <w:style w:type="character" w:customStyle="1" w:styleId="181">
    <w:name w:val="页脚 字符2"/>
    <w:link w:val="58"/>
    <w:qFormat/>
    <w:locked/>
    <w:uiPriority w:val="99"/>
    <w:rPr>
      <w:sz w:val="18"/>
    </w:rPr>
  </w:style>
  <w:style w:type="character" w:customStyle="1" w:styleId="182">
    <w:name w:val="页眉 字符"/>
    <w:link w:val="60"/>
    <w:qFormat/>
    <w:locked/>
    <w:uiPriority w:val="0"/>
    <w:rPr>
      <w:sz w:val="18"/>
    </w:rPr>
  </w:style>
  <w:style w:type="character" w:customStyle="1" w:styleId="183">
    <w:name w:val="签名 字符"/>
    <w:link w:val="61"/>
    <w:qFormat/>
    <w:uiPriority w:val="0"/>
    <w:rPr>
      <w:rFonts w:ascii="宋体" w:hAnsi="宋体"/>
      <w:sz w:val="21"/>
    </w:rPr>
  </w:style>
  <w:style w:type="character" w:customStyle="1" w:styleId="184">
    <w:name w:val="TOC 1 字符"/>
    <w:link w:val="62"/>
    <w:qFormat/>
    <w:uiPriority w:val="39"/>
    <w:rPr>
      <w:rFonts w:ascii="宋体" w:hAnsi="宋体" w:cs="宋体"/>
      <w:b/>
      <w:sz w:val="24"/>
      <w:szCs w:val="24"/>
    </w:rPr>
  </w:style>
  <w:style w:type="character" w:customStyle="1" w:styleId="185">
    <w:name w:val="副标题 字符"/>
    <w:link w:val="67"/>
    <w:qFormat/>
    <w:uiPriority w:val="0"/>
    <w:rPr>
      <w:rFonts w:ascii="黑体" w:hAnsi="Arial" w:eastAsia="黑体"/>
      <w:b/>
      <w:kern w:val="28"/>
      <w:sz w:val="48"/>
    </w:rPr>
  </w:style>
  <w:style w:type="character" w:customStyle="1" w:styleId="186">
    <w:name w:val="列表 字符"/>
    <w:link w:val="69"/>
    <w:qFormat/>
    <w:uiPriority w:val="0"/>
    <w:rPr>
      <w:rFonts w:ascii="仿宋_GB2312" w:hAnsi="Calibri" w:eastAsia="仿宋_GB2312"/>
      <w:kern w:val="2"/>
      <w:sz w:val="21"/>
      <w:szCs w:val="22"/>
    </w:rPr>
  </w:style>
  <w:style w:type="character" w:customStyle="1" w:styleId="187">
    <w:name w:val="脚注文本 字符"/>
    <w:link w:val="70"/>
    <w:qFormat/>
    <w:uiPriority w:val="0"/>
    <w:rPr>
      <w:rFonts w:ascii="宋体"/>
    </w:rPr>
  </w:style>
  <w:style w:type="character" w:customStyle="1" w:styleId="188">
    <w:name w:val="正文文本缩进 3 字符"/>
    <w:link w:val="73"/>
    <w:qFormat/>
    <w:uiPriority w:val="0"/>
    <w:rPr>
      <w:rFonts w:ascii="宋体" w:hAnsi="宋体"/>
      <w:kern w:val="2"/>
      <w:sz w:val="24"/>
      <w:szCs w:val="24"/>
    </w:rPr>
  </w:style>
  <w:style w:type="character" w:customStyle="1" w:styleId="189">
    <w:name w:val="正文文本 2 字符"/>
    <w:link w:val="79"/>
    <w:qFormat/>
    <w:uiPriority w:val="0"/>
    <w:rPr>
      <w:rFonts w:ascii="宋体" w:hAnsi="宋体" w:cs="宋体"/>
      <w:sz w:val="24"/>
      <w:szCs w:val="24"/>
    </w:rPr>
  </w:style>
  <w:style w:type="character" w:customStyle="1" w:styleId="190">
    <w:name w:val="信息标题 字符"/>
    <w:link w:val="82"/>
    <w:qFormat/>
    <w:uiPriority w:val="0"/>
    <w:rPr>
      <w:rFonts w:ascii="Arial" w:hAnsi="Arial"/>
      <w:sz w:val="34"/>
      <w:shd w:val="pct20" w:color="auto" w:fill="auto"/>
    </w:rPr>
  </w:style>
  <w:style w:type="character" w:customStyle="1" w:styleId="191">
    <w:name w:val="HTML 预设格式 字符"/>
    <w:link w:val="83"/>
    <w:qFormat/>
    <w:uiPriority w:val="0"/>
    <w:rPr>
      <w:rFonts w:ascii="宋体" w:hAnsi="宋体" w:cs="宋体"/>
      <w:sz w:val="24"/>
      <w:szCs w:val="24"/>
    </w:rPr>
  </w:style>
  <w:style w:type="character" w:customStyle="1" w:styleId="192">
    <w:name w:val="普通(网站) 字符"/>
    <w:link w:val="84"/>
    <w:qFormat/>
    <w:locked/>
    <w:uiPriority w:val="0"/>
    <w:rPr>
      <w:rFonts w:ascii="宋体" w:hAnsi="宋体" w:eastAsia="宋体"/>
      <w:sz w:val="24"/>
    </w:rPr>
  </w:style>
  <w:style w:type="character" w:customStyle="1" w:styleId="193">
    <w:name w:val="标题 字符"/>
    <w:link w:val="87"/>
    <w:qFormat/>
    <w:uiPriority w:val="0"/>
    <w:rPr>
      <w:rFonts w:ascii="Cambria" w:hAnsi="Cambria" w:eastAsia="黑体"/>
      <w:bCs/>
      <w:sz w:val="32"/>
      <w:szCs w:val="32"/>
    </w:rPr>
  </w:style>
  <w:style w:type="character" w:customStyle="1" w:styleId="194">
    <w:name w:val="批注主题 字符"/>
    <w:link w:val="88"/>
    <w:qFormat/>
    <w:locked/>
    <w:uiPriority w:val="0"/>
    <w:rPr>
      <w:rFonts w:ascii="Times New Roman" w:hAnsi="Times New Roman" w:eastAsia="宋体"/>
      <w:b/>
      <w:kern w:val="2"/>
      <w:sz w:val="24"/>
    </w:rPr>
  </w:style>
  <w:style w:type="character" w:customStyle="1" w:styleId="195">
    <w:name w:val="正文文本首行缩进 2 字符"/>
    <w:link w:val="4"/>
    <w:qFormat/>
    <w:uiPriority w:val="0"/>
    <w:rPr>
      <w:rFonts w:ascii="Times New Roman" w:hAnsi="Times New Roman" w:eastAsia="宋体"/>
      <w:kern w:val="2"/>
      <w:sz w:val="21"/>
      <w:szCs w:val="24"/>
    </w:rPr>
  </w:style>
  <w:style w:type="paragraph" w:customStyle="1" w:styleId="19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7">
    <w:name w:val="研究生姓名"/>
    <w:qFormat/>
    <w:uiPriority w:val="0"/>
    <w:pPr>
      <w:widowControl w:val="0"/>
      <w:ind w:firstLine="700" w:firstLineChars="700"/>
      <w:jc w:val="both"/>
    </w:pPr>
    <w:rPr>
      <w:rFonts w:ascii="Times New Roman" w:hAnsi="Times New Roman" w:eastAsia="宋体" w:cs="Times New Roman"/>
      <w:kern w:val="2"/>
      <w:sz w:val="28"/>
      <w:szCs w:val="28"/>
      <w:lang w:val="en-US" w:eastAsia="zh-CN" w:bidi="ar-SA"/>
    </w:rPr>
  </w:style>
  <w:style w:type="paragraph" w:customStyle="1" w:styleId="198">
    <w:name w:val="表格"/>
    <w:basedOn w:val="1"/>
    <w:next w:val="1"/>
    <w:link w:val="199"/>
    <w:qFormat/>
    <w:uiPriority w:val="0"/>
    <w:pPr>
      <w:adjustRightInd w:val="0"/>
      <w:snapToGrid w:val="0"/>
      <w:spacing w:beforeLines="10" w:afterLines="10" w:line="259" w:lineRule="auto"/>
      <w:jc w:val="center"/>
    </w:pPr>
    <w:rPr>
      <w:rFonts w:ascii="宋体"/>
      <w:kern w:val="0"/>
      <w:szCs w:val="20"/>
    </w:rPr>
  </w:style>
  <w:style w:type="character" w:customStyle="1" w:styleId="199">
    <w:name w:val="表格 Char"/>
    <w:link w:val="198"/>
    <w:qFormat/>
    <w:locked/>
    <w:uiPriority w:val="0"/>
    <w:rPr>
      <w:rFonts w:ascii="宋体"/>
      <w:sz w:val="21"/>
    </w:rPr>
  </w:style>
  <w:style w:type="character" w:customStyle="1" w:styleId="200">
    <w:name w:val="报告正文 Char Char Char Char"/>
    <w:qFormat/>
    <w:uiPriority w:val="0"/>
    <w:rPr>
      <w:rFonts w:eastAsia="宋体" w:cs="宋体"/>
      <w:snapToGrid w:val="0"/>
      <w:kern w:val="24"/>
      <w:sz w:val="24"/>
      <w:szCs w:val="24"/>
      <w:lang w:val="en-US" w:eastAsia="zh-CN" w:bidi="ar-SA"/>
    </w:rPr>
  </w:style>
  <w:style w:type="character" w:customStyle="1" w:styleId="201">
    <w:name w:val="Char Char131"/>
    <w:qFormat/>
    <w:uiPriority w:val="0"/>
    <w:rPr>
      <w:rFonts w:ascii="Arial" w:hAnsi="Arial" w:eastAsia="黑体"/>
      <w:kern w:val="2"/>
      <w:sz w:val="28"/>
      <w:szCs w:val="24"/>
      <w:lang w:val="en-US" w:eastAsia="zh-CN" w:bidi="ar-SA"/>
    </w:rPr>
  </w:style>
  <w:style w:type="character" w:customStyle="1" w:styleId="202">
    <w:name w:val="Char23"/>
    <w:qFormat/>
    <w:uiPriority w:val="0"/>
    <w:rPr>
      <w:rFonts w:eastAsia="宋体"/>
      <w:kern w:val="2"/>
      <w:sz w:val="21"/>
      <w:szCs w:val="24"/>
      <w:lang w:val="en-US" w:eastAsia="zh-CN" w:bidi="ar-SA"/>
    </w:rPr>
  </w:style>
  <w:style w:type="character" w:customStyle="1" w:styleId="203">
    <w:name w:val="Body text + Spacing -1 pt1"/>
    <w:qFormat/>
    <w:uiPriority w:val="0"/>
    <w:rPr>
      <w:rFonts w:ascii="MingLiU" w:eastAsia="MingLiU"/>
      <w:spacing w:val="-20"/>
      <w:sz w:val="23"/>
      <w:szCs w:val="23"/>
      <w:lang w:bidi="ar-SA"/>
    </w:rPr>
  </w:style>
  <w:style w:type="character" w:customStyle="1" w:styleId="204">
    <w:name w:val="注释标题 字符1"/>
    <w:semiHidden/>
    <w:qFormat/>
    <w:uiPriority w:val="99"/>
    <w:rPr>
      <w:kern w:val="2"/>
      <w:sz w:val="24"/>
      <w:szCs w:val="24"/>
      <w:lang w:val="fr-FR"/>
    </w:rPr>
  </w:style>
  <w:style w:type="character" w:customStyle="1" w:styleId="205">
    <w:name w:val="文章正文 Char"/>
    <w:link w:val="206"/>
    <w:qFormat/>
    <w:uiPriority w:val="0"/>
    <w:rPr>
      <w:rFonts w:eastAsia="Times New Roman"/>
      <w:bCs/>
      <w:snapToGrid/>
      <w:color w:val="000000"/>
      <w:sz w:val="24"/>
      <w:szCs w:val="28"/>
    </w:rPr>
  </w:style>
  <w:style w:type="paragraph" w:customStyle="1" w:styleId="206">
    <w:name w:val="文章正文"/>
    <w:link w:val="205"/>
    <w:qFormat/>
    <w:uiPriority w:val="0"/>
    <w:pPr>
      <w:adjustRightInd w:val="0"/>
      <w:snapToGrid w:val="0"/>
      <w:spacing w:line="360" w:lineRule="auto"/>
      <w:ind w:firstLine="480" w:firstLineChars="200"/>
      <w:jc w:val="both"/>
    </w:pPr>
    <w:rPr>
      <w:rFonts w:ascii="Times New Roman" w:hAnsi="Times New Roman" w:eastAsia="Times New Roman" w:cs="Times New Roman"/>
      <w:bCs/>
      <w:snapToGrid w:val="0"/>
      <w:color w:val="000000"/>
      <w:sz w:val="24"/>
      <w:szCs w:val="28"/>
      <w:lang w:val="en-US" w:eastAsia="zh-CN" w:bidi="ar-SA"/>
    </w:rPr>
  </w:style>
  <w:style w:type="character" w:customStyle="1" w:styleId="207">
    <w:name w:val="nr1"/>
    <w:qFormat/>
    <w:uiPriority w:val="0"/>
    <w:rPr>
      <w:rFonts w:hint="eastAsia" w:ascii="宋体" w:hAnsi="宋体" w:eastAsia="宋体" w:cs="宋体"/>
      <w:color w:val="000000"/>
      <w:spacing w:val="320"/>
      <w:sz w:val="22"/>
      <w:szCs w:val="22"/>
    </w:rPr>
  </w:style>
  <w:style w:type="character" w:customStyle="1" w:styleId="208">
    <w:name w:val="表格1 Char Char Char"/>
    <w:qFormat/>
    <w:uiPriority w:val="0"/>
    <w:rPr>
      <w:rFonts w:eastAsia="宋体"/>
      <w:kern w:val="2"/>
      <w:sz w:val="24"/>
      <w:szCs w:val="24"/>
      <w:lang w:val="en-US" w:eastAsia="zh-CN" w:bidi="ar-SA"/>
    </w:rPr>
  </w:style>
  <w:style w:type="character" w:customStyle="1" w:styleId="209">
    <w:name w:val="表注 Char"/>
    <w:link w:val="210"/>
    <w:qFormat/>
    <w:uiPriority w:val="0"/>
    <w:rPr>
      <w:b/>
      <w:spacing w:val="20"/>
      <w:sz w:val="28"/>
    </w:rPr>
  </w:style>
  <w:style w:type="paragraph" w:customStyle="1" w:styleId="210">
    <w:name w:val="表注"/>
    <w:basedOn w:val="1"/>
    <w:link w:val="209"/>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spacing w:val="20"/>
      <w:kern w:val="0"/>
      <w:sz w:val="28"/>
      <w:szCs w:val="20"/>
    </w:rPr>
  </w:style>
  <w:style w:type="character" w:customStyle="1" w:styleId="211">
    <w:name w:val="中央沙正文 Char Char Char Char Char"/>
    <w:qFormat/>
    <w:uiPriority w:val="0"/>
    <w:rPr>
      <w:rFonts w:eastAsia="宋体"/>
      <w:color w:val="000000"/>
      <w:kern w:val="2"/>
      <w:sz w:val="28"/>
      <w:szCs w:val="28"/>
      <w:lang w:val="en-US" w:eastAsia="zh-CN" w:bidi="ar-SA"/>
    </w:rPr>
  </w:style>
  <w:style w:type="character" w:customStyle="1" w:styleId="212">
    <w:name w:val="段 Char"/>
    <w:link w:val="213"/>
    <w:qFormat/>
    <w:uiPriority w:val="0"/>
    <w:rPr>
      <w:rFonts w:ascii="宋体"/>
      <w:sz w:val="21"/>
    </w:rPr>
  </w:style>
  <w:style w:type="paragraph" w:customStyle="1" w:styleId="213">
    <w:name w:val="段"/>
    <w:link w:val="21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4">
    <w:name w:val="副标题 Char1"/>
    <w:qFormat/>
    <w:uiPriority w:val="0"/>
    <w:rPr>
      <w:rFonts w:ascii="Calibri Light" w:hAnsi="Calibri Light" w:eastAsia="宋体" w:cs="Times New Roman"/>
      <w:b/>
      <w:bCs/>
      <w:kern w:val="28"/>
      <w:sz w:val="32"/>
      <w:szCs w:val="32"/>
    </w:rPr>
  </w:style>
  <w:style w:type="character" w:customStyle="1" w:styleId="215">
    <w:name w:val="正文＋黑体 Char"/>
    <w:link w:val="216"/>
    <w:qFormat/>
    <w:uiPriority w:val="0"/>
    <w:rPr>
      <w:rFonts w:ascii="Arial" w:hAnsi="Arial" w:eastAsia="黑体"/>
      <w:kern w:val="2"/>
      <w:sz w:val="21"/>
      <w:szCs w:val="21"/>
    </w:rPr>
  </w:style>
  <w:style w:type="paragraph" w:customStyle="1" w:styleId="216">
    <w:name w:val="正文＋黑体"/>
    <w:basedOn w:val="1"/>
    <w:link w:val="215"/>
    <w:unhideWhenUsed/>
    <w:qFormat/>
    <w:uiPriority w:val="0"/>
    <w:pPr>
      <w:spacing w:beforeLines="50" w:afterLines="50"/>
      <w:ind w:left="578" w:firstLine="480" w:firstLineChars="200"/>
      <w:jc w:val="left"/>
    </w:pPr>
    <w:rPr>
      <w:rFonts w:ascii="Arial" w:hAnsi="Arial" w:eastAsia="黑体"/>
      <w:szCs w:val="21"/>
    </w:rPr>
  </w:style>
  <w:style w:type="character" w:customStyle="1" w:styleId="217">
    <w:name w:val="标准 Char"/>
    <w:qFormat/>
    <w:uiPriority w:val="0"/>
    <w:rPr>
      <w:rFonts w:ascii="宋体" w:hAnsi="宋体" w:eastAsia="宋体" w:cs="宋体"/>
      <w:kern w:val="2"/>
      <w:sz w:val="28"/>
      <w:szCs w:val="24"/>
      <w:lang w:val="en-US" w:eastAsia="zh-CN" w:bidi="ar-SA"/>
    </w:rPr>
  </w:style>
  <w:style w:type="character" w:customStyle="1" w:styleId="218">
    <w:name w:val="表头 Char2"/>
    <w:qFormat/>
    <w:uiPriority w:val="0"/>
    <w:rPr>
      <w:rFonts w:ascii="Times New Roman" w:hAnsi="Times New Roman" w:cs="Times New Roman"/>
      <w:b/>
      <w:spacing w:val="-10"/>
      <w:kern w:val="0"/>
      <w:sz w:val="24"/>
      <w:szCs w:val="11"/>
    </w:rPr>
  </w:style>
  <w:style w:type="character" w:customStyle="1" w:styleId="219">
    <w:name w:val="style7"/>
    <w:qFormat/>
    <w:uiPriority w:val="0"/>
  </w:style>
  <w:style w:type="character" w:customStyle="1" w:styleId="220">
    <w:name w:val="标题 3 Char2 Char Char"/>
    <w:qFormat/>
    <w:uiPriority w:val="0"/>
    <w:rPr>
      <w:rFonts w:eastAsia="黑体"/>
      <w:b/>
      <w:bCs/>
      <w:snapToGrid w:val="0"/>
      <w:sz w:val="24"/>
      <w:szCs w:val="32"/>
      <w:lang w:val="en-US" w:eastAsia="zh-CN" w:bidi="ar-SA"/>
    </w:rPr>
  </w:style>
  <w:style w:type="character" w:customStyle="1" w:styleId="221">
    <w:name w:val="样式3 Char Char Char"/>
    <w:qFormat/>
    <w:uiPriority w:val="0"/>
    <w:rPr>
      <w:rFonts w:eastAsia="宋体"/>
      <w:kern w:val="2"/>
      <w:sz w:val="24"/>
      <w:szCs w:val="24"/>
      <w:lang w:val="en-US" w:eastAsia="zh-CN" w:bidi="ar-SA"/>
    </w:rPr>
  </w:style>
  <w:style w:type="character" w:customStyle="1" w:styleId="222">
    <w:name w:val="样式 样式1 + 首行缩进:  2 字符 Char"/>
    <w:link w:val="223"/>
    <w:semiHidden/>
    <w:qFormat/>
    <w:uiPriority w:val="0"/>
    <w:rPr>
      <w:rFonts w:ascii="宋体" w:hAnsi="宋体"/>
      <w:spacing w:val="4"/>
      <w:sz w:val="24"/>
    </w:rPr>
  </w:style>
  <w:style w:type="paragraph" w:customStyle="1" w:styleId="223">
    <w:name w:val="样式 样式1 + 首行缩进:  2 字符"/>
    <w:basedOn w:val="1"/>
    <w:link w:val="222"/>
    <w:semiHidden/>
    <w:qFormat/>
    <w:uiPriority w:val="0"/>
    <w:pPr>
      <w:keepNext/>
      <w:keepLines/>
      <w:spacing w:line="300" w:lineRule="auto"/>
      <w:ind w:firstLine="496" w:firstLineChars="200"/>
    </w:pPr>
    <w:rPr>
      <w:rFonts w:ascii="宋体" w:hAnsi="宋体"/>
      <w:spacing w:val="4"/>
      <w:kern w:val="0"/>
      <w:sz w:val="24"/>
      <w:szCs w:val="20"/>
    </w:rPr>
  </w:style>
  <w:style w:type="character" w:customStyle="1" w:styleId="224">
    <w:name w:val="表头宋体黑色 Char"/>
    <w:link w:val="225"/>
    <w:qFormat/>
    <w:uiPriority w:val="0"/>
    <w:rPr>
      <w:rFonts w:cs="宋体"/>
      <w:b/>
      <w:color w:val="000000"/>
    </w:rPr>
  </w:style>
  <w:style w:type="paragraph" w:customStyle="1" w:styleId="225">
    <w:name w:val="表头宋体黑色"/>
    <w:basedOn w:val="1"/>
    <w:link w:val="224"/>
    <w:qFormat/>
    <w:uiPriority w:val="0"/>
    <w:pPr>
      <w:adjustRightInd w:val="0"/>
      <w:spacing w:line="500" w:lineRule="exact"/>
      <w:jc w:val="center"/>
      <w:textAlignment w:val="baseline"/>
    </w:pPr>
    <w:rPr>
      <w:rFonts w:cs="宋体"/>
      <w:b/>
      <w:color w:val="000000"/>
      <w:kern w:val="0"/>
      <w:sz w:val="20"/>
      <w:szCs w:val="20"/>
    </w:rPr>
  </w:style>
  <w:style w:type="character" w:customStyle="1" w:styleId="226">
    <w:name w:val="标题 5 Char1"/>
    <w:qFormat/>
    <w:uiPriority w:val="0"/>
    <w:rPr>
      <w:rFonts w:ascii="宋体" w:hAnsi="宋体" w:eastAsia="宋体" w:cs="宋体"/>
      <w:b/>
      <w:bCs/>
      <w:kern w:val="2"/>
      <w:sz w:val="28"/>
      <w:szCs w:val="28"/>
      <w:lang w:val="en-US" w:eastAsia="zh-CN"/>
    </w:rPr>
  </w:style>
  <w:style w:type="character" w:customStyle="1" w:styleId="227">
    <w:name w:val="样式 报告书表格 + Char"/>
    <w:link w:val="228"/>
    <w:qFormat/>
    <w:uiPriority w:val="0"/>
    <w:rPr>
      <w:bCs/>
      <w:color w:val="0000FF"/>
      <w:kern w:val="44"/>
      <w:sz w:val="24"/>
      <w:szCs w:val="21"/>
    </w:rPr>
  </w:style>
  <w:style w:type="paragraph" w:customStyle="1" w:styleId="228">
    <w:name w:val="样式 报告书表格 +"/>
    <w:basedOn w:val="1"/>
    <w:link w:val="227"/>
    <w:qFormat/>
    <w:uiPriority w:val="0"/>
    <w:pPr>
      <w:spacing w:line="360" w:lineRule="auto"/>
      <w:jc w:val="center"/>
    </w:pPr>
    <w:rPr>
      <w:bCs/>
      <w:color w:val="0000FF"/>
      <w:kern w:val="44"/>
      <w:sz w:val="24"/>
      <w:szCs w:val="21"/>
    </w:rPr>
  </w:style>
  <w:style w:type="character" w:customStyle="1" w:styleId="229">
    <w:name w:val="我的正文 Char"/>
    <w:link w:val="230"/>
    <w:qFormat/>
    <w:uiPriority w:val="0"/>
    <w:rPr>
      <w:kern w:val="2"/>
      <w:sz w:val="24"/>
    </w:rPr>
  </w:style>
  <w:style w:type="paragraph" w:customStyle="1" w:styleId="230">
    <w:name w:val="我的正文"/>
    <w:basedOn w:val="1"/>
    <w:link w:val="229"/>
    <w:qFormat/>
    <w:uiPriority w:val="0"/>
    <w:pPr>
      <w:spacing w:line="360" w:lineRule="auto"/>
      <w:ind w:firstLine="480" w:firstLineChars="200"/>
    </w:pPr>
    <w:rPr>
      <w:sz w:val="24"/>
      <w:szCs w:val="20"/>
    </w:rPr>
  </w:style>
  <w:style w:type="character" w:customStyle="1" w:styleId="231">
    <w:name w:val="Body text + Spacing -1 pt5"/>
    <w:qFormat/>
    <w:uiPriority w:val="0"/>
    <w:rPr>
      <w:rFonts w:ascii="MingLiU" w:eastAsia="MingLiU" w:cs="MingLiU"/>
      <w:spacing w:val="-30"/>
      <w:sz w:val="23"/>
      <w:szCs w:val="23"/>
      <w:u w:val="none"/>
      <w:lang w:bidi="ar-SA"/>
    </w:rPr>
  </w:style>
  <w:style w:type="character" w:customStyle="1" w:styleId="232">
    <w:name w:val="Body text + 9.5 pt6"/>
    <w:qFormat/>
    <w:uiPriority w:val="0"/>
    <w:rPr>
      <w:rFonts w:ascii="宋体" w:eastAsia="宋体" w:cs="宋体"/>
      <w:spacing w:val="-30"/>
      <w:sz w:val="19"/>
      <w:szCs w:val="19"/>
      <w:u w:val="none"/>
    </w:rPr>
  </w:style>
  <w:style w:type="character" w:customStyle="1" w:styleId="233">
    <w:name w:val="表头+图名 Char Char"/>
    <w:qFormat/>
    <w:uiPriority w:val="0"/>
    <w:rPr>
      <w:rFonts w:ascii="Arial" w:hAnsi="Arial" w:eastAsia="黑体"/>
      <w:b/>
      <w:bCs/>
      <w:color w:val="000000"/>
      <w:lang w:bidi="ar-SA"/>
    </w:rPr>
  </w:style>
  <w:style w:type="character" w:customStyle="1" w:styleId="234">
    <w:name w:val="样式 样式 样式 正文 首行缩进 + 首行缩进:  2 字符 行距: 单倍行距 + 首行缩进:  2 字符 + 小四 Char"/>
    <w:link w:val="235"/>
    <w:qFormat/>
    <w:uiPriority w:val="0"/>
    <w:rPr>
      <w:kern w:val="2"/>
      <w:sz w:val="24"/>
    </w:rPr>
  </w:style>
  <w:style w:type="paragraph" w:customStyle="1" w:styleId="235">
    <w:name w:val="样式 样式 样式 正文 首行缩进 + 首行缩进:  2 字符 行距: 单倍行距 + 首行缩进:  2 字符 + 小四"/>
    <w:basedOn w:val="236"/>
    <w:link w:val="234"/>
    <w:qFormat/>
    <w:uiPriority w:val="0"/>
    <w:pPr>
      <w:spacing w:line="312" w:lineRule="auto"/>
      <w:ind w:firstLine="200"/>
    </w:pPr>
    <w:rPr>
      <w:sz w:val="24"/>
    </w:rPr>
  </w:style>
  <w:style w:type="paragraph" w:customStyle="1" w:styleId="236">
    <w:name w:val="样式 样式 正文 首行缩进 + 首行缩进:  2 字符 行距: 单倍行距 + 首行缩进:  2 字符"/>
    <w:basedOn w:val="237"/>
    <w:link w:val="241"/>
    <w:qFormat/>
    <w:uiPriority w:val="0"/>
    <w:pPr>
      <w:ind w:firstLine="420"/>
    </w:pPr>
    <w:rPr>
      <w:szCs w:val="20"/>
    </w:rPr>
  </w:style>
  <w:style w:type="paragraph" w:customStyle="1" w:styleId="237">
    <w:name w:val="样式 正文 首行缩进 + 首行缩进:  2 字符 行距: 单倍行距"/>
    <w:basedOn w:val="238"/>
    <w:link w:val="240"/>
    <w:unhideWhenUsed/>
    <w:qFormat/>
    <w:uiPriority w:val="0"/>
    <w:pPr>
      <w:adjustRightInd/>
      <w:snapToGrid/>
      <w:spacing w:before="120" w:after="120" w:line="240" w:lineRule="auto"/>
      <w:ind w:left="578" w:firstLine="200" w:firstLineChars="200"/>
      <w:jc w:val="both"/>
    </w:pPr>
    <w:rPr>
      <w:b w:val="0"/>
      <w:bCs w:val="0"/>
      <w:color w:val="auto"/>
      <w:sz w:val="21"/>
    </w:rPr>
  </w:style>
  <w:style w:type="paragraph" w:customStyle="1" w:styleId="238">
    <w:name w:val="正文 首行缩进"/>
    <w:basedOn w:val="1"/>
    <w:link w:val="239"/>
    <w:qFormat/>
    <w:uiPriority w:val="0"/>
    <w:pPr>
      <w:adjustRightInd w:val="0"/>
      <w:snapToGrid w:val="0"/>
      <w:spacing w:line="360" w:lineRule="auto"/>
      <w:jc w:val="center"/>
    </w:pPr>
    <w:rPr>
      <w:b/>
      <w:bCs/>
      <w:color w:val="000000"/>
      <w:sz w:val="24"/>
    </w:rPr>
  </w:style>
  <w:style w:type="character" w:customStyle="1" w:styleId="239">
    <w:name w:val="正文 首行缩进 Char"/>
    <w:link w:val="238"/>
    <w:qFormat/>
    <w:uiPriority w:val="0"/>
    <w:rPr>
      <w:b/>
      <w:bCs/>
      <w:color w:val="000000"/>
      <w:kern w:val="2"/>
      <w:sz w:val="24"/>
      <w:szCs w:val="24"/>
    </w:rPr>
  </w:style>
  <w:style w:type="character" w:customStyle="1" w:styleId="240">
    <w:name w:val="样式 正文 首行缩进 + 首行缩进:  2 字符 行距: 单倍行距 Char"/>
    <w:link w:val="237"/>
    <w:qFormat/>
    <w:uiPriority w:val="0"/>
    <w:rPr>
      <w:kern w:val="2"/>
      <w:sz w:val="21"/>
      <w:szCs w:val="24"/>
    </w:rPr>
  </w:style>
  <w:style w:type="character" w:customStyle="1" w:styleId="241">
    <w:name w:val="样式 样式 正文 首行缩进 + 首行缩进:  2 字符 行距: 单倍行距 + 首行缩进:  2 字符 Char"/>
    <w:link w:val="236"/>
    <w:qFormat/>
    <w:uiPriority w:val="0"/>
    <w:rPr>
      <w:kern w:val="2"/>
      <w:sz w:val="21"/>
    </w:rPr>
  </w:style>
  <w:style w:type="character" w:customStyle="1" w:styleId="242">
    <w:name w:val="大纲正文 Char Char Char"/>
    <w:qFormat/>
    <w:uiPriority w:val="0"/>
    <w:rPr>
      <w:kern w:val="2"/>
      <w:sz w:val="24"/>
      <w:lang w:bidi="ar-SA"/>
    </w:rPr>
  </w:style>
  <w:style w:type="character" w:customStyle="1" w:styleId="243">
    <w:name w:val="表格文字—五号 Char Char"/>
    <w:qFormat/>
    <w:uiPriority w:val="0"/>
    <w:rPr>
      <w:kern w:val="2"/>
      <w:sz w:val="21"/>
      <w:szCs w:val="21"/>
      <w:lang w:bidi="ar-SA"/>
    </w:rPr>
  </w:style>
  <w:style w:type="character" w:customStyle="1" w:styleId="244">
    <w:name w:val="【正文】 Char Char"/>
    <w:qFormat/>
    <w:uiPriority w:val="0"/>
    <w:rPr>
      <w:kern w:val="2"/>
      <w:sz w:val="24"/>
      <w:lang w:bidi="ar-SA"/>
    </w:rPr>
  </w:style>
  <w:style w:type="character" w:customStyle="1" w:styleId="245">
    <w:name w:val="正文首缩 Char"/>
    <w:link w:val="246"/>
    <w:semiHidden/>
    <w:qFormat/>
    <w:uiPriority w:val="0"/>
    <w:rPr>
      <w:kern w:val="2"/>
      <w:sz w:val="24"/>
    </w:rPr>
  </w:style>
  <w:style w:type="paragraph" w:customStyle="1" w:styleId="246">
    <w:name w:val="正文首缩"/>
    <w:basedOn w:val="37"/>
    <w:link w:val="245"/>
    <w:semiHidden/>
    <w:qFormat/>
    <w:uiPriority w:val="0"/>
    <w:pPr>
      <w:widowControl w:val="0"/>
      <w:spacing w:before="0" w:after="80" w:line="288" w:lineRule="auto"/>
      <w:ind w:right="0" w:firstLine="454"/>
    </w:pPr>
    <w:rPr>
      <w:kern w:val="2"/>
      <w:sz w:val="24"/>
    </w:rPr>
  </w:style>
  <w:style w:type="character" w:customStyle="1" w:styleId="247">
    <w:name w:val="样式 Char Char Char Char Char Char Char Char Char Char Char Char Char Char Char Char Char Char"/>
    <w:qFormat/>
    <w:uiPriority w:val="0"/>
    <w:rPr>
      <w:rFonts w:eastAsia="宋体"/>
      <w:kern w:val="2"/>
      <w:sz w:val="24"/>
      <w:szCs w:val="24"/>
      <w:lang w:val="en-US" w:eastAsia="zh-CN" w:bidi="ar-SA"/>
    </w:rPr>
  </w:style>
  <w:style w:type="character" w:customStyle="1" w:styleId="248">
    <w:name w:val="五级标题王 Char Char"/>
    <w:qFormat/>
    <w:uiPriority w:val="0"/>
    <w:rPr>
      <w:rFonts w:ascii="宋体" w:hAnsi="宋体"/>
      <w:b/>
      <w:snapToGrid w:val="0"/>
      <w:color w:val="FF0000"/>
      <w:sz w:val="30"/>
      <w:szCs w:val="30"/>
      <w:lang w:bidi="ar-SA"/>
    </w:rPr>
  </w:style>
  <w:style w:type="character" w:customStyle="1" w:styleId="249">
    <w:name w:val="正文缩进 Char Char Char"/>
    <w:qFormat/>
    <w:uiPriority w:val="0"/>
    <w:rPr>
      <w:rFonts w:eastAsia="宋体"/>
      <w:kern w:val="2"/>
      <w:sz w:val="24"/>
      <w:szCs w:val="24"/>
      <w:lang w:val="en-US" w:eastAsia="zh-CN" w:bidi="ar-SA"/>
    </w:rPr>
  </w:style>
  <w:style w:type="character" w:customStyle="1" w:styleId="250">
    <w:name w:val="正文文本 (2) + Segoe UI"/>
    <w:qFormat/>
    <w:uiPriority w:val="0"/>
    <w:rPr>
      <w:rFonts w:ascii="Segoe UI" w:hAnsi="Segoe UI" w:eastAsia="Segoe UI" w:cs="Segoe UI"/>
      <w:b/>
      <w:bCs/>
      <w:color w:val="000000"/>
      <w:spacing w:val="0"/>
      <w:w w:val="100"/>
      <w:position w:val="0"/>
      <w:sz w:val="30"/>
      <w:szCs w:val="30"/>
      <w:u w:val="none"/>
      <w:lang w:val="en-US" w:eastAsia="en-US" w:bidi="en-US"/>
    </w:rPr>
  </w:style>
  <w:style w:type="character" w:customStyle="1" w:styleId="251">
    <w:name w:val="infodetail"/>
    <w:qFormat/>
    <w:uiPriority w:val="0"/>
  </w:style>
  <w:style w:type="character" w:customStyle="1" w:styleId="252">
    <w:name w:val="文章正文 Char Char"/>
    <w:qFormat/>
    <w:uiPriority w:val="0"/>
    <w:rPr>
      <w:rFonts w:eastAsia="宋体"/>
      <w:bCs/>
      <w:snapToGrid w:val="0"/>
      <w:color w:val="000000"/>
      <w:sz w:val="24"/>
      <w:szCs w:val="28"/>
      <w:lang w:val="en-US" w:eastAsia="zh-CN" w:bidi="ar-SA"/>
    </w:rPr>
  </w:style>
  <w:style w:type="character" w:customStyle="1" w:styleId="253">
    <w:name w:val="正文报告 Char Char"/>
    <w:qFormat/>
    <w:uiPriority w:val="0"/>
    <w:rPr>
      <w:rFonts w:eastAsia="宋体"/>
      <w:kern w:val="2"/>
      <w:sz w:val="24"/>
      <w:szCs w:val="24"/>
      <w:lang w:val="en-US" w:eastAsia="zh-CN" w:bidi="ar-SA"/>
    </w:rPr>
  </w:style>
  <w:style w:type="character" w:customStyle="1" w:styleId="254">
    <w:name w:val="Char Char12"/>
    <w:qFormat/>
    <w:uiPriority w:val="0"/>
    <w:rPr>
      <w:rFonts w:eastAsia="宋体"/>
      <w:kern w:val="2"/>
      <w:sz w:val="18"/>
      <w:szCs w:val="18"/>
      <w:lang w:val="en-US" w:eastAsia="zh-CN" w:bidi="ar-SA"/>
    </w:rPr>
  </w:style>
  <w:style w:type="character" w:customStyle="1" w:styleId="255">
    <w:name w:val="样式 正文首行缩进 + 黑色 Char"/>
    <w:qFormat/>
    <w:uiPriority w:val="0"/>
    <w:rPr>
      <w:rFonts w:eastAsia="宋体" w:cs="宋体"/>
      <w:color w:val="000000"/>
      <w:sz w:val="24"/>
      <w:szCs w:val="24"/>
      <w:lang w:val="en-US" w:eastAsia="zh-CN" w:bidi="ar-SA"/>
    </w:rPr>
  </w:style>
  <w:style w:type="character" w:customStyle="1" w:styleId="256">
    <w:name w:val="0-shiw-扉页负责人 Char"/>
    <w:link w:val="257"/>
    <w:qFormat/>
    <w:uiPriority w:val="0"/>
    <w:rPr>
      <w:rFonts w:eastAsia="Times New Roman"/>
      <w:kern w:val="2"/>
      <w:sz w:val="32"/>
      <w:szCs w:val="32"/>
    </w:rPr>
  </w:style>
  <w:style w:type="paragraph" w:customStyle="1" w:styleId="257">
    <w:name w:val="0-shiw-扉页负责人"/>
    <w:link w:val="256"/>
    <w:qFormat/>
    <w:uiPriority w:val="0"/>
    <w:pPr>
      <w:widowControl w:val="0"/>
      <w:tabs>
        <w:tab w:val="left" w:pos="5040"/>
      </w:tabs>
      <w:adjustRightInd w:val="0"/>
      <w:snapToGrid w:val="0"/>
      <w:spacing w:line="360" w:lineRule="auto"/>
      <w:ind w:firstLine="1469"/>
      <w:jc w:val="both"/>
    </w:pPr>
    <w:rPr>
      <w:rFonts w:ascii="Times New Roman" w:hAnsi="Times New Roman" w:eastAsia="Times New Roman" w:cs="Times New Roman"/>
      <w:kern w:val="2"/>
      <w:sz w:val="32"/>
      <w:szCs w:val="32"/>
      <w:lang w:val="en-US" w:eastAsia="zh-CN" w:bidi="ar-SA"/>
    </w:rPr>
  </w:style>
  <w:style w:type="character" w:customStyle="1" w:styleId="258">
    <w:name w:val="表格文字 Char"/>
    <w:qFormat/>
    <w:uiPriority w:val="0"/>
    <w:rPr>
      <w:rFonts w:ascii="宋体" w:hAnsi="宋体" w:eastAsia="宋体"/>
      <w:color w:val="000000"/>
      <w:kern w:val="44"/>
      <w:sz w:val="18"/>
      <w:szCs w:val="18"/>
      <w:lang w:val="en-US" w:eastAsia="zh-CN" w:bidi="ar-SA"/>
    </w:rPr>
  </w:style>
  <w:style w:type="character" w:customStyle="1" w:styleId="259">
    <w:name w:val="tj-表体 Char"/>
    <w:link w:val="260"/>
    <w:qFormat/>
    <w:uiPriority w:val="0"/>
    <w:rPr>
      <w:rFonts w:ascii="宋体" w:hAnsi="宋体"/>
      <w:kern w:val="2"/>
      <w:sz w:val="24"/>
      <w:szCs w:val="21"/>
    </w:rPr>
  </w:style>
  <w:style w:type="paragraph" w:customStyle="1" w:styleId="260">
    <w:name w:val="tj-表体"/>
    <w:basedOn w:val="1"/>
    <w:link w:val="259"/>
    <w:qFormat/>
    <w:uiPriority w:val="0"/>
    <w:pPr>
      <w:jc w:val="center"/>
    </w:pPr>
    <w:rPr>
      <w:rFonts w:ascii="宋体" w:hAnsi="宋体"/>
      <w:sz w:val="24"/>
      <w:szCs w:val="21"/>
    </w:rPr>
  </w:style>
  <w:style w:type="character" w:customStyle="1" w:styleId="261">
    <w:name w:val="样式 标题 3条标题1.1.1 + Times New Roman Char"/>
    <w:link w:val="262"/>
    <w:qFormat/>
    <w:uiPriority w:val="0"/>
    <w:rPr>
      <w:rFonts w:ascii="宋体"/>
      <w:bCs/>
      <w:color w:val="FF0000"/>
      <w:sz w:val="28"/>
      <w:szCs w:val="28"/>
    </w:rPr>
  </w:style>
  <w:style w:type="paragraph" w:customStyle="1" w:styleId="262">
    <w:name w:val="样式 标题 3条标题1.1.1 + Times New Roman"/>
    <w:basedOn w:val="9"/>
    <w:link w:val="261"/>
    <w:qFormat/>
    <w:uiPriority w:val="0"/>
    <w:pPr>
      <w:widowControl w:val="0"/>
      <w:numPr>
        <w:ilvl w:val="0"/>
        <w:numId w:val="0"/>
      </w:numPr>
      <w:tabs>
        <w:tab w:val="left" w:pos="1740"/>
      </w:tabs>
      <w:spacing w:before="260" w:beforeLines="50" w:after="260" w:afterLines="20" w:line="520" w:lineRule="exact"/>
      <w:ind w:left="1740" w:firstLine="424" w:firstLineChars="151"/>
      <w:jc w:val="both"/>
    </w:pPr>
    <w:rPr>
      <w:rFonts w:hAnsi="Times New Roman" w:cs="Times New Roman"/>
      <w:color w:val="FF0000"/>
      <w:szCs w:val="28"/>
    </w:rPr>
  </w:style>
  <w:style w:type="character" w:customStyle="1" w:styleId="263">
    <w:name w:val="样式 正文 +"/>
    <w:qFormat/>
    <w:uiPriority w:val="0"/>
    <w:rPr>
      <w:rFonts w:ascii="Times New Roman" w:hAnsi="Times New Roman" w:eastAsia="宋体" w:cs="Times New Roman"/>
      <w:kern w:val="0"/>
      <w:sz w:val="24"/>
      <w:szCs w:val="24"/>
    </w:rPr>
  </w:style>
  <w:style w:type="character" w:customStyle="1" w:styleId="264">
    <w:name w:val="00000000000000 Char Char"/>
    <w:qFormat/>
    <w:uiPriority w:val="0"/>
    <w:rPr>
      <w:rFonts w:ascii="宋体" w:hAnsi="宋体"/>
      <w:kern w:val="18"/>
      <w:sz w:val="24"/>
      <w:lang w:bidi="ar-SA"/>
    </w:rPr>
  </w:style>
  <w:style w:type="character" w:customStyle="1" w:styleId="265">
    <w:name w:val="表格居中 Char Char Char"/>
    <w:qFormat/>
    <w:uiPriority w:val="0"/>
    <w:rPr>
      <w:kern w:val="2"/>
      <w:sz w:val="28"/>
      <w:lang w:bidi="ar-SA"/>
    </w:rPr>
  </w:style>
  <w:style w:type="character" w:customStyle="1" w:styleId="266">
    <w:name w:val="Re Char"/>
    <w:qFormat/>
    <w:uiPriority w:val="0"/>
    <w:rPr>
      <w:rFonts w:eastAsia="黑体"/>
      <w:b/>
      <w:bCs/>
      <w:kern w:val="2"/>
      <w:sz w:val="24"/>
      <w:szCs w:val="32"/>
      <w:lang w:val="en-US" w:eastAsia="zh-CN" w:bidi="ar-SA"/>
    </w:rPr>
  </w:style>
  <w:style w:type="character" w:customStyle="1" w:styleId="267">
    <w:name w:val="图表标注[858D7CFB-ED40-4347-BF05-701D383B685F]2"/>
    <w:qFormat/>
    <w:uiPriority w:val="0"/>
    <w:rPr>
      <w:rFonts w:eastAsia="仿宋_GB2312"/>
      <w:color w:val="993300"/>
      <w:sz w:val="21"/>
      <w:lang w:bidi="ar-SA"/>
    </w:rPr>
  </w:style>
  <w:style w:type="character" w:customStyle="1" w:styleId="268">
    <w:name w:val="正文文本缩进 Char1"/>
    <w:qFormat/>
    <w:uiPriority w:val="0"/>
    <w:rPr>
      <w:rFonts w:eastAsia="创艺简宋体"/>
      <w:kern w:val="24"/>
      <w:sz w:val="24"/>
    </w:rPr>
  </w:style>
  <w:style w:type="character" w:customStyle="1" w:styleId="269">
    <w:name w:val="apple-style-span"/>
    <w:qFormat/>
    <w:uiPriority w:val="0"/>
  </w:style>
  <w:style w:type="character" w:customStyle="1" w:styleId="270">
    <w:name w:val="样式 标题 3标2条Char标题 3 Char2H3H31H32H33u3标题 3 Char Char Ch... Char Char"/>
    <w:qFormat/>
    <w:uiPriority w:val="0"/>
    <w:rPr>
      <w:rFonts w:eastAsia="黑体"/>
      <w:color w:val="FF0000"/>
      <w:kern w:val="2"/>
      <w:sz w:val="30"/>
      <w:lang w:bidi="ar-SA"/>
    </w:rPr>
  </w:style>
  <w:style w:type="character" w:customStyle="1" w:styleId="271">
    <w:name w:val="样式 标题 1 + 段前: 0.5 行 段后: 0.5 行 Char"/>
    <w:link w:val="272"/>
    <w:qFormat/>
    <w:uiPriority w:val="0"/>
    <w:rPr>
      <w:rFonts w:eastAsia="黑体"/>
      <w:b/>
      <w:bCs/>
      <w:kern w:val="44"/>
      <w:sz w:val="44"/>
    </w:rPr>
  </w:style>
  <w:style w:type="paragraph" w:customStyle="1" w:styleId="272">
    <w:name w:val="样式 标题 1 + 段前: 0.5 行 段后: 0.5 行"/>
    <w:basedOn w:val="7"/>
    <w:link w:val="271"/>
    <w:unhideWhenUsed/>
    <w:qFormat/>
    <w:uiPriority w:val="0"/>
    <w:pPr>
      <w:keepLines/>
      <w:overflowPunct/>
      <w:snapToGrid/>
      <w:spacing w:before="0" w:after="0" w:line="240" w:lineRule="auto"/>
      <w:ind w:left="0" w:firstLine="0"/>
    </w:pPr>
    <w:rPr>
      <w:color w:val="auto"/>
      <w:sz w:val="44"/>
      <w:szCs w:val="20"/>
    </w:rPr>
  </w:style>
  <w:style w:type="character" w:customStyle="1" w:styleId="273">
    <w:name w:val="style91"/>
    <w:qFormat/>
    <w:uiPriority w:val="0"/>
    <w:rPr>
      <w:color w:val="000000"/>
      <w:sz w:val="14"/>
      <w:szCs w:val="14"/>
      <w:u w:val="none"/>
    </w:rPr>
  </w:style>
  <w:style w:type="character" w:customStyle="1" w:styleId="274">
    <w:name w:val="附件附图样式 Char Char"/>
    <w:qFormat/>
    <w:uiPriority w:val="0"/>
    <w:rPr>
      <w:b/>
      <w:kern w:val="2"/>
      <w:sz w:val="28"/>
      <w:lang w:bidi="ar-SA"/>
    </w:rPr>
  </w:style>
  <w:style w:type="character" w:customStyle="1" w:styleId="275">
    <w:name w:val="脚注文本 Char1"/>
    <w:semiHidden/>
    <w:qFormat/>
    <w:uiPriority w:val="0"/>
    <w:rPr>
      <w:sz w:val="18"/>
      <w:szCs w:val="18"/>
    </w:rPr>
  </w:style>
  <w:style w:type="character" w:customStyle="1" w:styleId="276">
    <w:name w:val="尾注文本 Char1"/>
    <w:semiHidden/>
    <w:qFormat/>
    <w:uiPriority w:val="0"/>
    <w:rPr>
      <w:lang w:val="en-US" w:eastAsia="zh-CN"/>
    </w:rPr>
  </w:style>
  <w:style w:type="character" w:customStyle="1" w:styleId="277">
    <w:name w:val="Body text + SimSun4"/>
    <w:qFormat/>
    <w:uiPriority w:val="0"/>
    <w:rPr>
      <w:rFonts w:ascii="宋体" w:eastAsia="宋体" w:cs="宋体"/>
      <w:sz w:val="20"/>
      <w:szCs w:val="20"/>
      <w:u w:val="none"/>
      <w:lang w:bidi="ar-SA"/>
    </w:rPr>
  </w:style>
  <w:style w:type="character" w:customStyle="1" w:styleId="278">
    <w:name w:val="Header or footer"/>
    <w:qFormat/>
    <w:uiPriority w:val="0"/>
    <w:rPr>
      <w:rFonts w:ascii="黑体" w:eastAsia="黑体" w:cs="黑体"/>
      <w:spacing w:val="-10"/>
      <w:sz w:val="18"/>
      <w:szCs w:val="18"/>
      <w:u w:val="none"/>
    </w:rPr>
  </w:style>
  <w:style w:type="character" w:customStyle="1" w:styleId="279">
    <w:name w:val="样式 报告正文 + 首行缩进:  2 字符 Char"/>
    <w:link w:val="280"/>
    <w:qFormat/>
    <w:uiPriority w:val="0"/>
    <w:rPr>
      <w:kern w:val="2"/>
      <w:sz w:val="24"/>
    </w:rPr>
  </w:style>
  <w:style w:type="paragraph" w:customStyle="1" w:styleId="280">
    <w:name w:val="样式 报告正文 + 首行缩进:  2 字符"/>
    <w:basedOn w:val="1"/>
    <w:link w:val="279"/>
    <w:qFormat/>
    <w:uiPriority w:val="0"/>
    <w:pPr>
      <w:autoSpaceDE w:val="0"/>
      <w:autoSpaceDN w:val="0"/>
      <w:spacing w:line="360" w:lineRule="auto"/>
      <w:ind w:firstLine="200" w:firstLineChars="200"/>
    </w:pPr>
    <w:rPr>
      <w:sz w:val="24"/>
      <w:szCs w:val="20"/>
    </w:rPr>
  </w:style>
  <w:style w:type="character" w:customStyle="1" w:styleId="281">
    <w:name w:val="样式 宋体 小四"/>
    <w:qFormat/>
    <w:uiPriority w:val="0"/>
    <w:rPr>
      <w:rFonts w:ascii="Times New Roman" w:hAnsi="Times New Roman" w:eastAsia="宋体"/>
      <w:sz w:val="24"/>
      <w:szCs w:val="24"/>
    </w:rPr>
  </w:style>
  <w:style w:type="character" w:customStyle="1" w:styleId="282">
    <w:name w:val="正文-lcc Char"/>
    <w:link w:val="283"/>
    <w:qFormat/>
    <w:uiPriority w:val="0"/>
    <w:rPr>
      <w:rFonts w:ascii="宋体" w:eastAsia="仿宋"/>
      <w:color w:val="000000"/>
      <w:sz w:val="34"/>
      <w:szCs w:val="24"/>
    </w:rPr>
  </w:style>
  <w:style w:type="paragraph" w:customStyle="1" w:styleId="283">
    <w:name w:val="正文-lcc"/>
    <w:basedOn w:val="1"/>
    <w:link w:val="282"/>
    <w:qFormat/>
    <w:uiPriority w:val="0"/>
    <w:pPr>
      <w:spacing w:line="360" w:lineRule="auto"/>
      <w:ind w:firstLine="200" w:firstLineChars="200"/>
      <w:jc w:val="left"/>
    </w:pPr>
    <w:rPr>
      <w:rFonts w:ascii="宋体" w:eastAsia="仿宋"/>
      <w:color w:val="000000"/>
      <w:kern w:val="0"/>
      <w:sz w:val="34"/>
    </w:rPr>
  </w:style>
  <w:style w:type="character" w:customStyle="1" w:styleId="284">
    <w:name w:val="Char Char43"/>
    <w:qFormat/>
    <w:uiPriority w:val="0"/>
    <w:rPr>
      <w:rFonts w:eastAsia="宋体"/>
      <w:b/>
      <w:sz w:val="24"/>
      <w:lang w:val="en-US" w:eastAsia="zh-CN" w:bidi="ar-SA"/>
    </w:rPr>
  </w:style>
  <w:style w:type="character" w:customStyle="1" w:styleId="285">
    <w:name w:val="样式 标题 1 Char1标题 1 Char Char章 Char一级标题，黑粗，三号，序号 Char标题 章 Char..."/>
    <w:semiHidden/>
    <w:qFormat/>
    <w:uiPriority w:val="0"/>
    <w:rPr>
      <w:rFonts w:eastAsia="黑体"/>
      <w:b/>
      <w:bCs/>
      <w:kern w:val="44"/>
      <w:sz w:val="36"/>
      <w:szCs w:val="44"/>
      <w:lang w:val="en-US" w:eastAsia="zh-CN" w:bidi="ar-SA"/>
    </w:rPr>
  </w:style>
  <w:style w:type="character" w:customStyle="1" w:styleId="286">
    <w:name w:val="font1"/>
    <w:qFormat/>
    <w:uiPriority w:val="0"/>
    <w:rPr>
      <w:rFonts w:hint="default" w:ascii="Verdana" w:hAnsi="Verdana"/>
      <w:sz w:val="18"/>
    </w:rPr>
  </w:style>
  <w:style w:type="character" w:customStyle="1" w:styleId="287">
    <w:name w:val="Body text + 11.5 pt"/>
    <w:qFormat/>
    <w:uiPriority w:val="0"/>
    <w:rPr>
      <w:rFonts w:ascii="宋体" w:hAnsi="宋体" w:eastAsia="Times New Roman" w:cs="宋体"/>
      <w:color w:val="000000"/>
      <w:spacing w:val="-20"/>
      <w:w w:val="100"/>
      <w:position w:val="0"/>
      <w:u w:val="none"/>
      <w:lang w:val="zh-CN"/>
    </w:rPr>
  </w:style>
  <w:style w:type="character" w:customStyle="1" w:styleId="288">
    <w:name w:val="表格内字体 Char"/>
    <w:link w:val="289"/>
    <w:qFormat/>
    <w:uiPriority w:val="0"/>
    <w:rPr>
      <w:kern w:val="2"/>
      <w:sz w:val="18"/>
      <w:szCs w:val="24"/>
    </w:rPr>
  </w:style>
  <w:style w:type="paragraph" w:customStyle="1" w:styleId="289">
    <w:name w:val="表格内字体"/>
    <w:basedOn w:val="1"/>
    <w:link w:val="288"/>
    <w:qFormat/>
    <w:uiPriority w:val="0"/>
    <w:pPr>
      <w:adjustRightInd w:val="0"/>
      <w:snapToGrid w:val="0"/>
      <w:spacing w:line="0" w:lineRule="atLeast"/>
      <w:jc w:val="center"/>
    </w:pPr>
    <w:rPr>
      <w:sz w:val="18"/>
    </w:rPr>
  </w:style>
  <w:style w:type="character" w:customStyle="1" w:styleId="290">
    <w:name w:val="text11"/>
    <w:qFormat/>
    <w:uiPriority w:val="0"/>
    <w:rPr>
      <w:rFonts w:hint="eastAsia" w:ascii="宋" w:hAnsi="宋体" w:eastAsia="宋" w:cs="宋体"/>
      <w:color w:val="000000"/>
      <w:sz w:val="18"/>
      <w:szCs w:val="18"/>
      <w:u w:val="none"/>
    </w:rPr>
  </w:style>
  <w:style w:type="character" w:customStyle="1" w:styleId="291">
    <w:name w:val="标题 4 Char Char Char Char Char"/>
    <w:qFormat/>
    <w:uiPriority w:val="0"/>
    <w:rPr>
      <w:rFonts w:ascii="Arial" w:hAnsi="Arial" w:eastAsia="黑体"/>
      <w:sz w:val="24"/>
      <w:lang w:val="en-US" w:eastAsia="zh-CN" w:bidi="ar-SA"/>
    </w:rPr>
  </w:style>
  <w:style w:type="character" w:customStyle="1" w:styleId="292">
    <w:name w:val="样式 宋体 小四 行距: 固定值 26 磅 Char Char"/>
    <w:qFormat/>
    <w:uiPriority w:val="0"/>
    <w:rPr>
      <w:kern w:val="2"/>
      <w:sz w:val="24"/>
      <w:szCs w:val="24"/>
      <w:lang w:bidi="ar-SA"/>
    </w:rPr>
  </w:style>
  <w:style w:type="character" w:customStyle="1" w:styleId="293">
    <w:name w:val="样式 表名 Char"/>
    <w:qFormat/>
    <w:uiPriority w:val="0"/>
    <w:rPr>
      <w:rFonts w:ascii="华文细黑" w:hAnsi="华文细黑" w:eastAsia="黑体" w:cs="宋体"/>
      <w:color w:val="000000"/>
      <w:sz w:val="21"/>
      <w:szCs w:val="21"/>
      <w:lang w:val="en-US" w:eastAsia="zh-CN" w:bidi="ar-SA"/>
    </w:rPr>
  </w:style>
  <w:style w:type="character" w:customStyle="1" w:styleId="294">
    <w:name w:val="textcontents1"/>
    <w:qFormat/>
    <w:uiPriority w:val="0"/>
    <w:rPr>
      <w:color w:val="000000"/>
      <w:spacing w:val="432"/>
      <w:sz w:val="22"/>
      <w:szCs w:val="22"/>
    </w:rPr>
  </w:style>
  <w:style w:type="character" w:customStyle="1" w:styleId="295">
    <w:name w:val="样式 样式 样式 首行缩进:  2 字符 + 首行缩进:  2 字符 + 首行缩进:  2 字符 Char"/>
    <w:link w:val="296"/>
    <w:qFormat/>
    <w:uiPriority w:val="0"/>
    <w:rPr>
      <w:rFonts w:ascii="Arial" w:hAnsi="Arial" w:eastAsia="新宋体"/>
      <w:kern w:val="2"/>
      <w:sz w:val="24"/>
    </w:rPr>
  </w:style>
  <w:style w:type="paragraph" w:customStyle="1" w:styleId="296">
    <w:name w:val="样式 样式 样式 首行缩进:  2 字符 + 首行缩进:  2 字符 + 首行缩进:  2 字符"/>
    <w:basedOn w:val="1"/>
    <w:link w:val="295"/>
    <w:qFormat/>
    <w:uiPriority w:val="0"/>
    <w:pPr>
      <w:spacing w:line="360" w:lineRule="auto"/>
      <w:ind w:firstLine="200" w:firstLineChars="200"/>
    </w:pPr>
    <w:rPr>
      <w:rFonts w:ascii="Arial" w:hAnsi="Arial" w:eastAsia="新宋体"/>
      <w:sz w:val="24"/>
      <w:szCs w:val="20"/>
    </w:rPr>
  </w:style>
  <w:style w:type="character" w:customStyle="1" w:styleId="297">
    <w:name w:val="chen 正文字体 Char"/>
    <w:link w:val="298"/>
    <w:qFormat/>
    <w:uiPriority w:val="0"/>
    <w:rPr>
      <w:rFonts w:ascii="宋体" w:hAnsi="宋体"/>
      <w:color w:val="000000"/>
      <w:kern w:val="2"/>
      <w:sz w:val="24"/>
    </w:rPr>
  </w:style>
  <w:style w:type="paragraph" w:customStyle="1" w:styleId="298">
    <w:name w:val="chen 正文字体"/>
    <w:basedOn w:val="299"/>
    <w:link w:val="297"/>
    <w:qFormat/>
    <w:uiPriority w:val="0"/>
    <w:pPr>
      <w:spacing w:line="360" w:lineRule="auto"/>
      <w:ind w:firstLine="200"/>
    </w:pPr>
  </w:style>
  <w:style w:type="paragraph" w:customStyle="1" w:styleId="299">
    <w:name w:val="样式 样式 宋体 小四 行距: 多倍行距 1.4 字行2 + 黑色"/>
    <w:basedOn w:val="1"/>
    <w:link w:val="300"/>
    <w:qFormat/>
    <w:uiPriority w:val="0"/>
    <w:pPr>
      <w:spacing w:line="336" w:lineRule="auto"/>
      <w:ind w:firstLine="480" w:firstLineChars="200"/>
    </w:pPr>
    <w:rPr>
      <w:rFonts w:ascii="宋体" w:hAnsi="宋体"/>
      <w:color w:val="000000"/>
      <w:sz w:val="24"/>
      <w:szCs w:val="20"/>
    </w:rPr>
  </w:style>
  <w:style w:type="character" w:customStyle="1" w:styleId="300">
    <w:name w:val="样式 样式 宋体 小四 行距: 多倍行距 1.4 字行2 + 黑色 Char"/>
    <w:link w:val="299"/>
    <w:qFormat/>
    <w:uiPriority w:val="0"/>
    <w:rPr>
      <w:rFonts w:ascii="宋体" w:hAnsi="宋体"/>
      <w:color w:val="000000"/>
      <w:kern w:val="2"/>
      <w:sz w:val="24"/>
    </w:rPr>
  </w:style>
  <w:style w:type="character" w:customStyle="1" w:styleId="301">
    <w:name w:val="样式 报告正文 + 首行缩进:  2 字符 Char Char"/>
    <w:qFormat/>
    <w:uiPriority w:val="0"/>
    <w:rPr>
      <w:rFonts w:eastAsia="宋体" w:cs="宋体"/>
      <w:kern w:val="2"/>
      <w:sz w:val="24"/>
      <w:lang w:val="en-US" w:eastAsia="zh-CN" w:bidi="ar-SA"/>
    </w:rPr>
  </w:style>
  <w:style w:type="character" w:customStyle="1" w:styleId="302">
    <w:name w:val="正文文字( 首段缩进两字） Char3"/>
    <w:qFormat/>
    <w:uiPriority w:val="0"/>
    <w:rPr>
      <w:rFonts w:ascii="Times New Roman" w:hAnsi="Times New Roman" w:eastAsia="宋体" w:cs="Times New Roman"/>
      <w:sz w:val="24"/>
      <w:szCs w:val="20"/>
    </w:rPr>
  </w:style>
  <w:style w:type="character" w:customStyle="1" w:styleId="303">
    <w:name w:val="批注 Char Char"/>
    <w:link w:val="304"/>
    <w:qFormat/>
    <w:uiPriority w:val="0"/>
    <w:rPr>
      <w:sz w:val="18"/>
      <w:szCs w:val="24"/>
    </w:rPr>
  </w:style>
  <w:style w:type="paragraph" w:customStyle="1" w:styleId="304">
    <w:name w:val="批注"/>
    <w:basedOn w:val="1"/>
    <w:link w:val="303"/>
    <w:qFormat/>
    <w:uiPriority w:val="0"/>
    <w:pPr>
      <w:widowControl/>
      <w:adjustRightInd w:val="0"/>
      <w:snapToGrid w:val="0"/>
      <w:spacing w:line="300" w:lineRule="auto"/>
      <w:jc w:val="left"/>
    </w:pPr>
    <w:rPr>
      <w:kern w:val="0"/>
      <w:sz w:val="18"/>
    </w:rPr>
  </w:style>
  <w:style w:type="character" w:customStyle="1" w:styleId="305">
    <w:name w:val="谏壁正文chen Char Char"/>
    <w:qFormat/>
    <w:uiPriority w:val="0"/>
    <w:rPr>
      <w:rFonts w:ascii="宋体" w:hAnsi="宋体"/>
      <w:kern w:val="2"/>
      <w:sz w:val="24"/>
      <w:szCs w:val="24"/>
      <w:lang w:bidi="ar-SA"/>
    </w:rPr>
  </w:style>
  <w:style w:type="character" w:customStyle="1" w:styleId="306">
    <w:name w:val="正文1 Char Char Char"/>
    <w:qFormat/>
    <w:uiPriority w:val="0"/>
    <w:rPr>
      <w:snapToGrid w:val="0"/>
      <w:kern w:val="2"/>
      <w:sz w:val="24"/>
      <w:szCs w:val="24"/>
      <w:lang w:bidi="ar-SA"/>
    </w:rPr>
  </w:style>
  <w:style w:type="character" w:customStyle="1" w:styleId="307">
    <w:name w:val="标题1 Char Char"/>
    <w:qFormat/>
    <w:uiPriority w:val="0"/>
    <w:rPr>
      <w:rFonts w:eastAsia="黑体"/>
      <w:bCs/>
      <w:kern w:val="44"/>
      <w:sz w:val="32"/>
      <w:szCs w:val="44"/>
    </w:rPr>
  </w:style>
  <w:style w:type="character" w:customStyle="1" w:styleId="308">
    <w:name w:val="标题 4 Char1"/>
    <w:qFormat/>
    <w:uiPriority w:val="0"/>
    <w:rPr>
      <w:rFonts w:ascii="Arial" w:hAnsi="Arial"/>
      <w:kern w:val="2"/>
      <w:sz w:val="28"/>
    </w:rPr>
  </w:style>
  <w:style w:type="character" w:customStyle="1" w:styleId="309">
    <w:name w:val="e011"/>
    <w:qFormat/>
    <w:uiPriority w:val="0"/>
    <w:rPr>
      <w:sz w:val="21"/>
      <w:szCs w:val="21"/>
    </w:rPr>
  </w:style>
  <w:style w:type="character" w:customStyle="1" w:styleId="310">
    <w:name w:val="样式 标题 21.11.1标题 2标题2标题 2 Char1节_Heading 2标2编号标题1.1 + 黑色 Char Char"/>
    <w:qFormat/>
    <w:uiPriority w:val="0"/>
    <w:rPr>
      <w:rFonts w:ascii="Arial" w:hAnsi="Arial"/>
      <w:b/>
      <w:color w:val="000000"/>
      <w:kern w:val="2"/>
      <w:sz w:val="28"/>
      <w:szCs w:val="28"/>
      <w:lang w:bidi="ar-SA"/>
    </w:rPr>
  </w:style>
  <w:style w:type="character" w:customStyle="1" w:styleId="311">
    <w:name w:val="31"/>
    <w:qFormat/>
    <w:uiPriority w:val="0"/>
    <w:rPr>
      <w:color w:val="000000"/>
      <w:sz w:val="18"/>
      <w:szCs w:val="18"/>
      <w:u w:val="none"/>
    </w:rPr>
  </w:style>
  <w:style w:type="character" w:customStyle="1" w:styleId="312">
    <w:name w:val="样式 标题 3 + (中文) 黑体 Char Char"/>
    <w:qFormat/>
    <w:uiPriority w:val="0"/>
    <w:rPr>
      <w:rFonts w:ascii="Arial" w:hAnsi="Arial" w:eastAsia="黑体"/>
      <w:b/>
      <w:bCs/>
      <w:kern w:val="2"/>
      <w:sz w:val="28"/>
      <w:szCs w:val="32"/>
      <w:lang w:val="en-US" w:eastAsia="zh-CN" w:bidi="ar-SA"/>
    </w:rPr>
  </w:style>
  <w:style w:type="character" w:customStyle="1" w:styleId="313">
    <w:name w:val="font71"/>
    <w:qFormat/>
    <w:uiPriority w:val="0"/>
    <w:rPr>
      <w:rFonts w:ascii="仿宋_GB2312" w:eastAsia="仿宋_GB2312" w:cs="仿宋_GB2312"/>
      <w:b/>
      <w:color w:val="000000"/>
      <w:sz w:val="22"/>
      <w:szCs w:val="22"/>
      <w:u w:val="none"/>
    </w:rPr>
  </w:style>
  <w:style w:type="character" w:customStyle="1" w:styleId="314">
    <w:name w:val="Body text + Spacing 1 pt"/>
    <w:qFormat/>
    <w:uiPriority w:val="0"/>
    <w:rPr>
      <w:rFonts w:ascii="宋体" w:eastAsia="宋体" w:cs="宋体"/>
      <w:spacing w:val="30"/>
      <w:sz w:val="23"/>
      <w:szCs w:val="23"/>
      <w:u w:val="none"/>
      <w:lang w:bidi="ar-SA"/>
    </w:rPr>
  </w:style>
  <w:style w:type="character" w:customStyle="1" w:styleId="315">
    <w:name w:val="正文（小四）"/>
    <w:qFormat/>
    <w:uiPriority w:val="0"/>
    <w:rPr>
      <w:rFonts w:ascii="Times New Roman" w:hAnsi="Times New Roman" w:eastAsia="宋体"/>
      <w:sz w:val="24"/>
    </w:rPr>
  </w:style>
  <w:style w:type="character" w:customStyle="1" w:styleId="316">
    <w:name w:val="lemmatitleh1"/>
    <w:qFormat/>
    <w:uiPriority w:val="0"/>
  </w:style>
  <w:style w:type="character" w:customStyle="1" w:styleId="317">
    <w:name w:val="Body text4"/>
    <w:qFormat/>
    <w:uiPriority w:val="0"/>
    <w:rPr>
      <w:rFonts w:ascii="宋体" w:eastAsia="宋体" w:cs="宋体"/>
      <w:sz w:val="23"/>
      <w:szCs w:val="23"/>
      <w:u w:val="none"/>
      <w:lang w:bidi="ar-SA"/>
    </w:rPr>
  </w:style>
  <w:style w:type="character" w:customStyle="1" w:styleId="318">
    <w:name w:val="图文 Char"/>
    <w:link w:val="319"/>
    <w:semiHidden/>
    <w:qFormat/>
    <w:uiPriority w:val="0"/>
    <w:rPr>
      <w:sz w:val="18"/>
      <w:szCs w:val="18"/>
    </w:rPr>
  </w:style>
  <w:style w:type="paragraph" w:customStyle="1" w:styleId="319">
    <w:name w:val="图文"/>
    <w:basedOn w:val="1"/>
    <w:link w:val="318"/>
    <w:semiHidden/>
    <w:qFormat/>
    <w:uiPriority w:val="0"/>
    <w:pPr>
      <w:tabs>
        <w:tab w:val="left" w:pos="4680"/>
      </w:tabs>
      <w:adjustRightInd w:val="0"/>
      <w:jc w:val="left"/>
    </w:pPr>
    <w:rPr>
      <w:kern w:val="0"/>
      <w:sz w:val="18"/>
      <w:szCs w:val="18"/>
    </w:rPr>
  </w:style>
  <w:style w:type="character" w:customStyle="1" w:styleId="320">
    <w:name w:val="hhcwt标题3 Char"/>
    <w:link w:val="321"/>
    <w:qFormat/>
    <w:uiPriority w:val="0"/>
    <w:rPr>
      <w:rFonts w:eastAsia="楷体_GB2312" w:cs="宋体"/>
      <w:bCs/>
      <w:kern w:val="2"/>
      <w:sz w:val="28"/>
    </w:rPr>
  </w:style>
  <w:style w:type="paragraph" w:customStyle="1" w:styleId="321">
    <w:name w:val="hhcwt标题3"/>
    <w:basedOn w:val="1"/>
    <w:link w:val="320"/>
    <w:qFormat/>
    <w:uiPriority w:val="0"/>
    <w:pPr>
      <w:keepNext/>
      <w:keepLines/>
      <w:spacing w:line="336" w:lineRule="auto"/>
      <w:outlineLvl w:val="2"/>
    </w:pPr>
    <w:rPr>
      <w:rFonts w:eastAsia="楷体_GB2312" w:cs="宋体"/>
      <w:bCs/>
      <w:sz w:val="28"/>
      <w:szCs w:val="20"/>
    </w:rPr>
  </w:style>
  <w:style w:type="character" w:customStyle="1" w:styleId="322">
    <w:name w:val="附件附图样式 Char"/>
    <w:link w:val="323"/>
    <w:qFormat/>
    <w:uiPriority w:val="0"/>
    <w:rPr>
      <w:rFonts w:eastAsia="Times New Roman"/>
      <w:b/>
      <w:kern w:val="2"/>
      <w:sz w:val="28"/>
    </w:rPr>
  </w:style>
  <w:style w:type="paragraph" w:customStyle="1" w:styleId="323">
    <w:name w:val="附件附图样式"/>
    <w:link w:val="322"/>
    <w:qFormat/>
    <w:uiPriority w:val="0"/>
    <w:rPr>
      <w:rFonts w:ascii="Times New Roman" w:hAnsi="Times New Roman" w:eastAsia="Times New Roman" w:cs="Times New Roman"/>
      <w:b/>
      <w:kern w:val="2"/>
      <w:sz w:val="28"/>
      <w:lang w:val="en-US" w:eastAsia="zh-CN" w:bidi="ar-SA"/>
    </w:rPr>
  </w:style>
  <w:style w:type="character" w:customStyle="1" w:styleId="324">
    <w:name w:val="EmailStyle11321"/>
    <w:semiHidden/>
    <w:qFormat/>
    <w:uiPriority w:val="0"/>
    <w:rPr>
      <w:rFonts w:ascii="Arial" w:hAnsi="Arial" w:eastAsia="宋体" w:cs="Arial"/>
      <w:color w:val="auto"/>
      <w:sz w:val="18"/>
      <w:szCs w:val="20"/>
    </w:rPr>
  </w:style>
  <w:style w:type="character" w:customStyle="1" w:styleId="325">
    <w:name w:val="0-shiw-条 Char Char"/>
    <w:qFormat/>
    <w:uiPriority w:val="0"/>
    <w:rPr>
      <w:rFonts w:eastAsia="宋体"/>
      <w:kern w:val="2"/>
      <w:sz w:val="28"/>
      <w:szCs w:val="28"/>
      <w:lang w:val="en-US" w:eastAsia="zh-CN" w:bidi="ar-SA"/>
    </w:rPr>
  </w:style>
  <w:style w:type="character" w:customStyle="1" w:styleId="326">
    <w:name w:val="表格标题new Char"/>
    <w:link w:val="327"/>
    <w:qFormat/>
    <w:locked/>
    <w:uiPriority w:val="0"/>
    <w:rPr>
      <w:rFonts w:ascii="黑体" w:hAnsi="黑体" w:eastAsia="黑体"/>
      <w:sz w:val="24"/>
      <w:szCs w:val="24"/>
    </w:rPr>
  </w:style>
  <w:style w:type="paragraph" w:customStyle="1" w:styleId="327">
    <w:name w:val="表格标题new"/>
    <w:basedOn w:val="1"/>
    <w:link w:val="326"/>
    <w:qFormat/>
    <w:uiPriority w:val="0"/>
    <w:pPr>
      <w:spacing w:beforeLines="50" w:afterLines="50"/>
      <w:jc w:val="center"/>
    </w:pPr>
    <w:rPr>
      <w:rFonts w:ascii="黑体" w:hAnsi="黑体" w:eastAsia="黑体"/>
      <w:kern w:val="0"/>
      <w:sz w:val="24"/>
    </w:rPr>
  </w:style>
  <w:style w:type="character" w:customStyle="1" w:styleId="328">
    <w:name w:val="caption1 Char Char"/>
    <w:qFormat/>
    <w:uiPriority w:val="0"/>
    <w:rPr>
      <w:rFonts w:ascii="宋体" w:eastAsia="宋体"/>
      <w:sz w:val="24"/>
      <w:lang w:val="en-US" w:eastAsia="zh-CN" w:bidi="ar-SA"/>
    </w:rPr>
  </w:style>
  <w:style w:type="character" w:customStyle="1" w:styleId="329">
    <w:name w:val="style41"/>
    <w:qFormat/>
    <w:uiPriority w:val="0"/>
    <w:rPr>
      <w:b/>
      <w:bCs/>
      <w:sz w:val="21"/>
      <w:szCs w:val="21"/>
    </w:rPr>
  </w:style>
  <w:style w:type="character" w:customStyle="1" w:styleId="330">
    <w:name w:val="text1"/>
    <w:qFormat/>
    <w:uiPriority w:val="0"/>
    <w:rPr>
      <w:sz w:val="21"/>
      <w:szCs w:val="21"/>
    </w:rPr>
  </w:style>
  <w:style w:type="character" w:customStyle="1" w:styleId="331">
    <w:name w:val="Body Text 21 Char Char Char"/>
    <w:qFormat/>
    <w:uiPriority w:val="0"/>
    <w:rPr>
      <w:rFonts w:ascii="仿宋_GB2312" w:eastAsia="仿宋体"/>
      <w:kern w:val="2"/>
      <w:sz w:val="24"/>
      <w:lang w:val="en-US" w:eastAsia="zh-CN" w:bidi="ar-SA"/>
    </w:rPr>
  </w:style>
  <w:style w:type="character" w:customStyle="1" w:styleId="332">
    <w:name w:val="zhou11"/>
    <w:qFormat/>
    <w:uiPriority w:val="0"/>
    <w:rPr>
      <w:color w:val="000000"/>
      <w:sz w:val="21"/>
      <w:szCs w:val="21"/>
    </w:rPr>
  </w:style>
  <w:style w:type="character" w:customStyle="1" w:styleId="333">
    <w:name w:val="Char Char71"/>
    <w:qFormat/>
    <w:uiPriority w:val="0"/>
    <w:rPr>
      <w:rFonts w:eastAsia="宋体"/>
      <w:sz w:val="18"/>
      <w:lang w:val="en-US" w:eastAsia="zh-CN" w:bidi="ar-SA"/>
    </w:rPr>
  </w:style>
  <w:style w:type="character" w:customStyle="1" w:styleId="334">
    <w:name w:val="digest1"/>
    <w:qFormat/>
    <w:uiPriority w:val="0"/>
    <w:rPr>
      <w:color w:val="393939"/>
      <w:sz w:val="20"/>
      <w:szCs w:val="20"/>
    </w:rPr>
  </w:style>
  <w:style w:type="character" w:customStyle="1" w:styleId="335">
    <w:name w:val="标题 8 Char1"/>
    <w:qFormat/>
    <w:uiPriority w:val="0"/>
    <w:rPr>
      <w:rFonts w:ascii="Arial" w:hAnsi="Arial" w:eastAsia="黑体"/>
      <w:sz w:val="24"/>
      <w:lang w:val="en-US" w:eastAsia="zh-CN" w:bidi="ar-SA"/>
    </w:rPr>
  </w:style>
  <w:style w:type="character" w:customStyle="1" w:styleId="336">
    <w:name w:val="tpc_content"/>
    <w:qFormat/>
    <w:uiPriority w:val="0"/>
  </w:style>
  <w:style w:type="character" w:customStyle="1" w:styleId="337">
    <w:name w:val="style11"/>
    <w:qFormat/>
    <w:uiPriority w:val="0"/>
  </w:style>
  <w:style w:type="character" w:customStyle="1" w:styleId="338">
    <w:name w:val="ft11"/>
    <w:qFormat/>
    <w:uiPriority w:val="0"/>
  </w:style>
  <w:style w:type="character" w:customStyle="1" w:styleId="339">
    <w:name w:val="日期 字符"/>
    <w:semiHidden/>
    <w:qFormat/>
    <w:uiPriority w:val="0"/>
    <w:rPr>
      <w:rFonts w:ascii="Times New Roman" w:hAnsi="Times New Roman" w:eastAsia="宋体"/>
      <w:sz w:val="24"/>
    </w:rPr>
  </w:style>
  <w:style w:type="character" w:customStyle="1" w:styleId="340">
    <w:name w:val="ppx_h1"/>
    <w:qFormat/>
    <w:uiPriority w:val="0"/>
    <w:rPr>
      <w:rFonts w:hint="default" w:ascii="ˎ̥" w:hAnsi="ˎ̥"/>
      <w:color w:val="000000"/>
      <w:sz w:val="22"/>
      <w:szCs w:val="22"/>
      <w:u w:val="none"/>
    </w:rPr>
  </w:style>
  <w:style w:type="character" w:customStyle="1" w:styleId="341">
    <w:name w:val="blue1"/>
    <w:qFormat/>
    <w:uiPriority w:val="0"/>
    <w:rPr>
      <w:color w:val="000066"/>
      <w:sz w:val="18"/>
      <w:szCs w:val="18"/>
      <w:u w:val="none"/>
    </w:rPr>
  </w:style>
  <w:style w:type="character" w:customStyle="1" w:styleId="342">
    <w:name w:val="表格 普通文字 Char"/>
    <w:link w:val="343"/>
    <w:qFormat/>
    <w:uiPriority w:val="99"/>
    <w:rPr>
      <w:rFonts w:eastAsia="仿宋_GB2312"/>
      <w:szCs w:val="21"/>
    </w:rPr>
  </w:style>
  <w:style w:type="paragraph" w:customStyle="1" w:styleId="343">
    <w:name w:val="表格 普通文字"/>
    <w:link w:val="342"/>
    <w:qFormat/>
    <w:uiPriority w:val="99"/>
    <w:pPr>
      <w:jc w:val="center"/>
    </w:pPr>
    <w:rPr>
      <w:rFonts w:ascii="Times New Roman" w:hAnsi="Times New Roman" w:eastAsia="仿宋_GB2312" w:cs="Times New Roman"/>
      <w:szCs w:val="21"/>
      <w:lang w:val="en-US" w:eastAsia="zh-CN" w:bidi="ar-SA"/>
    </w:rPr>
  </w:style>
  <w:style w:type="character" w:customStyle="1" w:styleId="344">
    <w:name w:val="节 Char Char"/>
    <w:qFormat/>
    <w:uiPriority w:val="0"/>
    <w:rPr>
      <w:rFonts w:ascii="仿宋_GB2312" w:hAnsi="Arial" w:eastAsia="仿宋_GB2312"/>
      <w:b/>
      <w:kern w:val="2"/>
      <w:sz w:val="30"/>
      <w:lang w:val="en-US" w:eastAsia="zh-CN"/>
    </w:rPr>
  </w:style>
  <w:style w:type="character" w:customStyle="1" w:styleId="345">
    <w:name w:val="aurona 字符"/>
    <w:link w:val="346"/>
    <w:qFormat/>
    <w:uiPriority w:val="0"/>
    <w:rPr>
      <w:bCs/>
      <w:snapToGrid/>
      <w:color w:val="000000"/>
      <w:sz w:val="21"/>
      <w:szCs w:val="21"/>
      <w:lang w:val="zh-CN"/>
    </w:rPr>
  </w:style>
  <w:style w:type="paragraph" w:customStyle="1" w:styleId="346">
    <w:name w:val="aurona"/>
    <w:basedOn w:val="1"/>
    <w:link w:val="345"/>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 w:type="character" w:customStyle="1" w:styleId="347">
    <w:name w:val="正文文本 字符1"/>
    <w:semiHidden/>
    <w:qFormat/>
    <w:uiPriority w:val="0"/>
    <w:rPr>
      <w:rFonts w:ascii="Times New Roman" w:hAnsi="Times New Roman" w:eastAsia="宋体"/>
      <w:sz w:val="24"/>
    </w:rPr>
  </w:style>
  <w:style w:type="character" w:customStyle="1" w:styleId="348">
    <w:name w:val="Char Char Char"/>
    <w:qFormat/>
    <w:uiPriority w:val="0"/>
    <w:rPr>
      <w:rFonts w:eastAsia="宋体"/>
      <w:kern w:val="2"/>
      <w:sz w:val="24"/>
      <w:szCs w:val="24"/>
      <w:lang w:val="en-US" w:eastAsia="zh-CN" w:bidi="ar-SA"/>
    </w:rPr>
  </w:style>
  <w:style w:type="character" w:customStyle="1" w:styleId="349">
    <w:name w:val="正文缩进 Char3"/>
    <w:qFormat/>
    <w:uiPriority w:val="0"/>
    <w:rPr>
      <w:rFonts w:ascii="Times New Roman" w:hAnsi="Times New Roman" w:eastAsia="宋体" w:cs="Times New Roman"/>
      <w:b/>
      <w:bCs/>
    </w:rPr>
  </w:style>
  <w:style w:type="character" w:customStyle="1" w:styleId="350">
    <w:name w:val="批注文字 字符1"/>
    <w:semiHidden/>
    <w:qFormat/>
    <w:uiPriority w:val="0"/>
    <w:rPr>
      <w:rFonts w:ascii="Times New Roman" w:hAnsi="Times New Roman" w:eastAsia="宋体"/>
      <w:sz w:val="24"/>
    </w:rPr>
  </w:style>
  <w:style w:type="character" w:customStyle="1" w:styleId="351">
    <w:name w:val="图表文字 Char"/>
    <w:link w:val="352"/>
    <w:qFormat/>
    <w:uiPriority w:val="0"/>
    <w:rPr>
      <w:rFonts w:ascii="宋体" w:hAnsi="宋体" w:cs="宋体"/>
      <w:bCs/>
      <w:sz w:val="24"/>
    </w:rPr>
  </w:style>
  <w:style w:type="paragraph" w:customStyle="1" w:styleId="352">
    <w:name w:val="图表文字"/>
    <w:basedOn w:val="1"/>
    <w:link w:val="351"/>
    <w:qFormat/>
    <w:uiPriority w:val="0"/>
    <w:pPr>
      <w:widowControl/>
      <w:spacing w:line="300" w:lineRule="exact"/>
      <w:jc w:val="center"/>
    </w:pPr>
    <w:rPr>
      <w:rFonts w:ascii="宋体" w:hAnsi="宋体" w:cs="宋体"/>
      <w:bCs/>
      <w:kern w:val="0"/>
      <w:sz w:val="24"/>
      <w:szCs w:val="20"/>
    </w:rPr>
  </w:style>
  <w:style w:type="character" w:customStyle="1" w:styleId="353">
    <w:name w:val="表格标题—小四 Char Char"/>
    <w:qFormat/>
    <w:uiPriority w:val="0"/>
    <w:rPr>
      <w:rFonts w:eastAsia="宋体"/>
      <w:b/>
      <w:kern w:val="2"/>
      <w:sz w:val="24"/>
      <w:szCs w:val="24"/>
      <w:lang w:val="en-US" w:eastAsia="zh-CN" w:bidi="ar-SA"/>
    </w:rPr>
  </w:style>
  <w:style w:type="character" w:customStyle="1" w:styleId="354">
    <w:name w:val="表内格式 Char1"/>
    <w:link w:val="355"/>
    <w:qFormat/>
    <w:uiPriority w:val="0"/>
    <w:rPr>
      <w:sz w:val="18"/>
    </w:rPr>
  </w:style>
  <w:style w:type="paragraph" w:customStyle="1" w:styleId="355">
    <w:name w:val="表内格式"/>
    <w:basedOn w:val="1"/>
    <w:link w:val="354"/>
    <w:qFormat/>
    <w:uiPriority w:val="0"/>
    <w:pPr>
      <w:jc w:val="center"/>
    </w:pPr>
    <w:rPr>
      <w:kern w:val="0"/>
      <w:sz w:val="18"/>
      <w:szCs w:val="20"/>
    </w:rPr>
  </w:style>
  <w:style w:type="character" w:customStyle="1" w:styleId="356">
    <w:name w:val="正文文本 3 Char2"/>
    <w:qFormat/>
    <w:uiPriority w:val="0"/>
    <w:rPr>
      <w:rFonts w:ascii="汉鼎简长宋" w:eastAsia="汉鼎简长宋"/>
      <w:sz w:val="32"/>
      <w:lang w:bidi="ar-SA"/>
    </w:rPr>
  </w:style>
  <w:style w:type="character" w:customStyle="1" w:styleId="357">
    <w:name w:val="样式 标题 21.1标题 21.1标题2标题 2 Char1节_Heading 2标2二级标题1.1标题一... Char"/>
    <w:link w:val="358"/>
    <w:qFormat/>
    <w:uiPriority w:val="0"/>
    <w:rPr>
      <w:rFonts w:ascii="黑体" w:hAnsi="黑体" w:eastAsia="黑体"/>
      <w:b/>
      <w:bCs/>
      <w:kern w:val="2"/>
      <w:sz w:val="24"/>
      <w:szCs w:val="24"/>
    </w:rPr>
  </w:style>
  <w:style w:type="paragraph" w:customStyle="1" w:styleId="358">
    <w:name w:val="样式 标题 21.1标题 21.1标题2标题 2 Char1节_Heading 2标2二级标题1.1标题一..."/>
    <w:basedOn w:val="8"/>
    <w:link w:val="357"/>
    <w:qFormat/>
    <w:uiPriority w:val="0"/>
    <w:pPr>
      <w:widowControl w:val="0"/>
      <w:numPr>
        <w:ilvl w:val="0"/>
        <w:numId w:val="0"/>
      </w:numPr>
      <w:spacing w:before="120" w:after="120" w:line="312" w:lineRule="auto"/>
      <w:ind w:left="1680" w:hanging="1680"/>
      <w:jc w:val="both"/>
    </w:pPr>
    <w:rPr>
      <w:rFonts w:ascii="黑体" w:hAnsi="黑体" w:eastAsia="黑体" w:cs="Times New Roman"/>
      <w:b/>
      <w:bCs/>
      <w:kern w:val="2"/>
      <w:sz w:val="24"/>
    </w:rPr>
  </w:style>
  <w:style w:type="character" w:customStyle="1" w:styleId="359">
    <w:name w:val="s221"/>
    <w:qFormat/>
    <w:uiPriority w:val="0"/>
    <w:rPr>
      <w:rFonts w:hint="default"/>
      <w:color w:val="000000"/>
      <w:sz w:val="18"/>
      <w:szCs w:val="18"/>
      <w:u w:val="none"/>
    </w:rPr>
  </w:style>
  <w:style w:type="character" w:customStyle="1" w:styleId="360">
    <w:name w:val="dxkf1"/>
    <w:qFormat/>
    <w:uiPriority w:val="0"/>
    <w:rPr>
      <w:rFonts w:hint="default" w:ascii="ˎ̥" w:hAnsi="ˎ̥"/>
      <w:color w:val="585858"/>
      <w:sz w:val="20"/>
      <w:szCs w:val="20"/>
    </w:rPr>
  </w:style>
  <w:style w:type="character" w:customStyle="1" w:styleId="361">
    <w:name w:val="表格的标题 Char"/>
    <w:link w:val="362"/>
    <w:qFormat/>
    <w:uiPriority w:val="0"/>
    <w:rPr>
      <w:rFonts w:ascii="宋体" w:hAnsi="宋体"/>
      <w:sz w:val="24"/>
      <w:szCs w:val="24"/>
    </w:rPr>
  </w:style>
  <w:style w:type="paragraph" w:customStyle="1" w:styleId="362">
    <w:name w:val="表格的标题"/>
    <w:basedOn w:val="363"/>
    <w:link w:val="361"/>
    <w:qFormat/>
    <w:uiPriority w:val="0"/>
    <w:pPr>
      <w:widowControl w:val="0"/>
      <w:spacing w:beforeLines="50" w:line="480" w:lineRule="exact"/>
    </w:pPr>
    <w:rPr>
      <w:rFonts w:ascii="宋体" w:hAnsi="宋体" w:eastAsia="宋体"/>
      <w:szCs w:val="24"/>
    </w:rPr>
  </w:style>
  <w:style w:type="paragraph" w:customStyle="1" w:styleId="363">
    <w:name w:val="表题"/>
    <w:next w:val="1"/>
    <w:link w:val="364"/>
    <w:qFormat/>
    <w:uiPriority w:val="0"/>
    <w:pPr>
      <w:spacing w:beforeLines="20" w:line="420" w:lineRule="exact"/>
      <w:jc w:val="center"/>
    </w:pPr>
    <w:rPr>
      <w:rFonts w:ascii="Times New Roman" w:hAnsi="Times New Roman" w:eastAsia="黑体" w:cs="Times New Roman"/>
      <w:sz w:val="24"/>
      <w:lang w:val="en-US" w:eastAsia="zh-CN" w:bidi="ar-SA"/>
    </w:rPr>
  </w:style>
  <w:style w:type="character" w:customStyle="1" w:styleId="364">
    <w:name w:val="表题 Char"/>
    <w:link w:val="363"/>
    <w:qFormat/>
    <w:uiPriority w:val="0"/>
    <w:rPr>
      <w:rFonts w:eastAsia="黑体"/>
      <w:sz w:val="24"/>
    </w:rPr>
  </w:style>
  <w:style w:type="character" w:customStyle="1" w:styleId="365">
    <w:name w:val="标题 7 Char1"/>
    <w:qFormat/>
    <w:uiPriority w:val="0"/>
    <w:rPr>
      <w:rFonts w:eastAsia="宋体"/>
      <w:b/>
      <w:sz w:val="24"/>
      <w:lang w:val="en-US" w:eastAsia="zh-CN" w:bidi="ar-SA"/>
    </w:rPr>
  </w:style>
  <w:style w:type="character" w:customStyle="1" w:styleId="366">
    <w:name w:val="批注文字 Char3"/>
    <w:qFormat/>
    <w:uiPriority w:val="0"/>
    <w:rPr>
      <w:rFonts w:ascii="Times New Roman" w:hAnsi="Times New Roman" w:eastAsia="宋体"/>
      <w:lang w:val="fr-FR"/>
    </w:rPr>
  </w:style>
  <w:style w:type="character" w:customStyle="1" w:styleId="367">
    <w:name w:val="表格文字 Char Char"/>
    <w:link w:val="368"/>
    <w:qFormat/>
    <w:uiPriority w:val="0"/>
    <w:rPr>
      <w:rFonts w:ascii="仿宋_GB2312" w:hAnsi="Arial Black" w:eastAsia="仿宋_GB2312"/>
      <w:kern w:val="44"/>
      <w:sz w:val="24"/>
    </w:rPr>
  </w:style>
  <w:style w:type="paragraph" w:customStyle="1" w:styleId="368">
    <w:name w:val="表格文字"/>
    <w:basedOn w:val="1"/>
    <w:link w:val="367"/>
    <w:qFormat/>
    <w:uiPriority w:val="0"/>
    <w:pPr>
      <w:jc w:val="center"/>
    </w:pPr>
    <w:rPr>
      <w:rFonts w:ascii="仿宋_GB2312" w:hAnsi="Arial Black" w:eastAsia="仿宋_GB2312"/>
      <w:kern w:val="44"/>
      <w:sz w:val="24"/>
      <w:szCs w:val="20"/>
    </w:rPr>
  </w:style>
  <w:style w:type="character" w:customStyle="1" w:styleId="369">
    <w:name w:val="样式3 Char Char Char Char Char Char Char"/>
    <w:qFormat/>
    <w:uiPriority w:val="0"/>
    <w:rPr>
      <w:rFonts w:eastAsia="宋体"/>
      <w:kern w:val="2"/>
      <w:sz w:val="24"/>
      <w:szCs w:val="24"/>
      <w:lang w:val="en-US" w:eastAsia="zh-CN" w:bidi="ar-SA"/>
    </w:rPr>
  </w:style>
  <w:style w:type="character" w:customStyle="1" w:styleId="370">
    <w:name w:val="标题 2 Char2"/>
    <w:qFormat/>
    <w:uiPriority w:val="0"/>
    <w:rPr>
      <w:rFonts w:ascii="宋体" w:hAnsi="宋体" w:eastAsia="宋体" w:cs="Times New Roman"/>
      <w:b/>
      <w:bCs/>
      <w:sz w:val="30"/>
      <w:szCs w:val="32"/>
      <w:lang w:val="fr-FR"/>
    </w:rPr>
  </w:style>
  <w:style w:type="character" w:customStyle="1" w:styleId="371">
    <w:name w:val="标题 3 Char4"/>
    <w:qFormat/>
    <w:uiPriority w:val="0"/>
    <w:rPr>
      <w:rFonts w:ascii="宋体" w:hAnsi="宋体" w:eastAsia="宋体"/>
      <w:b/>
      <w:bCs/>
      <w:sz w:val="28"/>
      <w:szCs w:val="32"/>
      <w:lang w:val="fr-FR"/>
    </w:rPr>
  </w:style>
  <w:style w:type="character" w:customStyle="1" w:styleId="372">
    <w:name w:val="样式 标题 3标题 3 Char标题 3 Char Char Char Char Char Char Char Char C...5 Char Char"/>
    <w:link w:val="373"/>
    <w:qFormat/>
    <w:uiPriority w:val="0"/>
    <w:rPr>
      <w:kern w:val="2"/>
      <w:sz w:val="24"/>
      <w:szCs w:val="32"/>
    </w:rPr>
  </w:style>
  <w:style w:type="paragraph" w:customStyle="1" w:styleId="373">
    <w:name w:val="样式 标题 3标题 3 Char标题 3 Char Char Char Char Char Char Char Char C...5"/>
    <w:basedOn w:val="9"/>
    <w:link w:val="372"/>
    <w:qFormat/>
    <w:uiPriority w:val="0"/>
    <w:pPr>
      <w:numPr>
        <w:ilvl w:val="0"/>
        <w:numId w:val="0"/>
      </w:numPr>
      <w:tabs>
        <w:tab w:val="left" w:pos="720"/>
      </w:tabs>
      <w:ind w:left="720" w:hanging="720"/>
    </w:pPr>
    <w:rPr>
      <w:rFonts w:ascii="Times New Roman" w:hAnsi="Times New Roman" w:cs="Times New Roman"/>
      <w:bCs w:val="0"/>
      <w:kern w:val="2"/>
      <w:sz w:val="24"/>
    </w:rPr>
  </w:style>
  <w:style w:type="character" w:customStyle="1" w:styleId="374">
    <w:name w:val="apple-converted-space"/>
    <w:qFormat/>
    <w:uiPriority w:val="0"/>
  </w:style>
  <w:style w:type="character" w:customStyle="1" w:styleId="375">
    <w:name w:val="z41"/>
    <w:qFormat/>
    <w:uiPriority w:val="0"/>
    <w:rPr>
      <w:color w:val="000000"/>
      <w:sz w:val="18"/>
      <w:szCs w:val="18"/>
    </w:rPr>
  </w:style>
  <w:style w:type="character" w:customStyle="1" w:styleId="376">
    <w:name w:val="style201"/>
    <w:qFormat/>
    <w:uiPriority w:val="0"/>
    <w:rPr>
      <w:color w:val="000000"/>
      <w:sz w:val="18"/>
      <w:szCs w:val="18"/>
    </w:rPr>
  </w:style>
  <w:style w:type="character" w:customStyle="1" w:styleId="377">
    <w:name w:val="标题 2 Char Char Char Char Char"/>
    <w:qFormat/>
    <w:uiPriority w:val="0"/>
    <w:rPr>
      <w:rFonts w:eastAsia="宋体"/>
      <w:bCs/>
      <w:kern w:val="2"/>
      <w:sz w:val="28"/>
      <w:szCs w:val="32"/>
      <w:lang w:val="en-US" w:eastAsia="zh-CN" w:bidi="ar-SA"/>
    </w:rPr>
  </w:style>
  <w:style w:type="character" w:customStyle="1" w:styleId="378">
    <w:name w:val="标题 6 Char2"/>
    <w:qFormat/>
    <w:uiPriority w:val="0"/>
    <w:rPr>
      <w:rFonts w:ascii="Arial" w:hAnsi="Arial" w:eastAsia="黑体"/>
      <w:b/>
      <w:sz w:val="34"/>
    </w:rPr>
  </w:style>
  <w:style w:type="character" w:customStyle="1" w:styleId="379">
    <w:name w:val="pp11"/>
    <w:qFormat/>
    <w:uiPriority w:val="0"/>
    <w:rPr>
      <w:rFonts w:hint="eastAsia" w:ascii="宋体" w:hAnsi="宋体" w:eastAsia="宋体"/>
      <w:sz w:val="18"/>
      <w:szCs w:val="18"/>
    </w:rPr>
  </w:style>
  <w:style w:type="character" w:customStyle="1" w:styleId="380">
    <w:name w:val="表格内文字 Char"/>
    <w:link w:val="381"/>
    <w:qFormat/>
    <w:uiPriority w:val="0"/>
    <w:rPr>
      <w:snapToGrid/>
    </w:rPr>
  </w:style>
  <w:style w:type="paragraph" w:customStyle="1" w:styleId="381">
    <w:name w:val="表格内文字"/>
    <w:basedOn w:val="1"/>
    <w:link w:val="380"/>
    <w:qFormat/>
    <w:uiPriority w:val="0"/>
    <w:pPr>
      <w:kinsoku w:val="0"/>
      <w:wordWrap w:val="0"/>
      <w:overflowPunct w:val="0"/>
      <w:jc w:val="center"/>
    </w:pPr>
    <w:rPr>
      <w:snapToGrid w:val="0"/>
      <w:kern w:val="0"/>
      <w:sz w:val="20"/>
      <w:szCs w:val="20"/>
    </w:rPr>
  </w:style>
  <w:style w:type="character" w:customStyle="1" w:styleId="382">
    <w:name w:val="table-xiayou"/>
    <w:qFormat/>
    <w:uiPriority w:val="0"/>
  </w:style>
  <w:style w:type="character" w:customStyle="1" w:styleId="383">
    <w:name w:val="Body Text 21 Char Char"/>
    <w:link w:val="384"/>
    <w:qFormat/>
    <w:uiPriority w:val="0"/>
    <w:rPr>
      <w:rFonts w:ascii="仿宋_GB2312" w:eastAsia="仿宋体"/>
      <w:sz w:val="24"/>
    </w:rPr>
  </w:style>
  <w:style w:type="paragraph" w:customStyle="1" w:styleId="384">
    <w:name w:val="Body Text 21"/>
    <w:basedOn w:val="1"/>
    <w:link w:val="383"/>
    <w:qFormat/>
    <w:uiPriority w:val="0"/>
    <w:pPr>
      <w:widowControl/>
      <w:adjustRightInd w:val="0"/>
      <w:jc w:val="left"/>
      <w:textAlignment w:val="baseline"/>
    </w:pPr>
    <w:rPr>
      <w:rFonts w:ascii="仿宋_GB2312" w:eastAsia="仿宋体"/>
      <w:kern w:val="0"/>
      <w:sz w:val="24"/>
      <w:szCs w:val="20"/>
    </w:rPr>
  </w:style>
  <w:style w:type="character" w:customStyle="1" w:styleId="385">
    <w:name w:val="图表名 Char Char Char"/>
    <w:qFormat/>
    <w:uiPriority w:val="0"/>
    <w:rPr>
      <w:bCs/>
      <w:sz w:val="24"/>
      <w:szCs w:val="24"/>
      <w:lang w:bidi="ar-SA"/>
    </w:rPr>
  </w:style>
  <w:style w:type="character" w:customStyle="1" w:styleId="386">
    <w:name w:val="我的正文 Char Char"/>
    <w:qFormat/>
    <w:uiPriority w:val="0"/>
    <w:rPr>
      <w:rFonts w:eastAsia="宋体"/>
      <w:color w:val="000000"/>
      <w:kern w:val="28"/>
      <w:sz w:val="24"/>
      <w:szCs w:val="24"/>
      <w:lang w:val="en-US" w:eastAsia="zh-CN" w:bidi="ar-SA"/>
    </w:rPr>
  </w:style>
  <w:style w:type="character" w:customStyle="1" w:styleId="387">
    <w:name w:val="large1"/>
    <w:qFormat/>
    <w:uiPriority w:val="0"/>
    <w:rPr>
      <w:rFonts w:hint="eastAsia" w:ascii="宋体" w:hAnsi="宋体" w:eastAsia="宋体"/>
      <w:sz w:val="22"/>
      <w:szCs w:val="22"/>
    </w:rPr>
  </w:style>
  <w:style w:type="character" w:customStyle="1" w:styleId="388">
    <w:name w:val="text2"/>
    <w:qFormat/>
    <w:uiPriority w:val="0"/>
    <w:rPr>
      <w:color w:val="333333"/>
      <w:sz w:val="18"/>
      <w:szCs w:val="18"/>
      <w:u w:val="none"/>
    </w:rPr>
  </w:style>
  <w:style w:type="character" w:customStyle="1" w:styleId="389">
    <w:name w:val="南沙表头 Char"/>
    <w:link w:val="390"/>
    <w:qFormat/>
    <w:uiPriority w:val="0"/>
    <w:rPr>
      <w:b/>
      <w:kern w:val="2"/>
      <w:sz w:val="24"/>
      <w:szCs w:val="24"/>
    </w:rPr>
  </w:style>
  <w:style w:type="paragraph" w:customStyle="1" w:styleId="390">
    <w:name w:val="南沙表头"/>
    <w:basedOn w:val="6"/>
    <w:link w:val="389"/>
    <w:qFormat/>
    <w:uiPriority w:val="0"/>
    <w:pPr>
      <w:widowControl w:val="0"/>
      <w:spacing w:beforeLines="50" w:after="120" w:line="360" w:lineRule="auto"/>
      <w:ind w:left="425" w:hanging="425" w:firstLineChars="0"/>
      <w:jc w:val="center"/>
    </w:pPr>
    <w:rPr>
      <w:rFonts w:ascii="Times New Roman" w:hAnsi="Times New Roman" w:cs="Times New Roman"/>
      <w:b/>
      <w:kern w:val="2"/>
    </w:rPr>
  </w:style>
  <w:style w:type="character" w:customStyle="1" w:styleId="391">
    <w:name w:val="EmailStyle8241"/>
    <w:semiHidden/>
    <w:qFormat/>
    <w:uiPriority w:val="0"/>
    <w:rPr>
      <w:rFonts w:ascii="Arial" w:hAnsi="Arial" w:eastAsia="宋体" w:cs="Arial"/>
      <w:color w:val="auto"/>
      <w:sz w:val="18"/>
      <w:szCs w:val="20"/>
    </w:rPr>
  </w:style>
  <w:style w:type="character" w:customStyle="1" w:styleId="392">
    <w:name w:val="normaltext1"/>
    <w:qFormat/>
    <w:uiPriority w:val="0"/>
    <w:rPr>
      <w:rFonts w:hint="default" w:ascii="Verdana" w:hAnsi="Verdana"/>
      <w:color w:val="000000"/>
      <w:sz w:val="13"/>
      <w:szCs w:val="13"/>
    </w:rPr>
  </w:style>
  <w:style w:type="character" w:customStyle="1" w:styleId="393">
    <w:name w:val="Char Char23"/>
    <w:qFormat/>
    <w:uiPriority w:val="0"/>
    <w:rPr>
      <w:b/>
      <w:kern w:val="2"/>
      <w:sz w:val="24"/>
    </w:rPr>
  </w:style>
  <w:style w:type="character" w:customStyle="1" w:styleId="394">
    <w:name w:val="珠海项目 Char Char"/>
    <w:qFormat/>
    <w:uiPriority w:val="0"/>
    <w:rPr>
      <w:rFonts w:ascii="仿宋_GB2312" w:eastAsia="仿宋_GB2312"/>
      <w:kern w:val="2"/>
      <w:sz w:val="28"/>
      <w:szCs w:val="24"/>
      <w:lang w:bidi="ar-SA"/>
    </w:rPr>
  </w:style>
  <w:style w:type="character" w:customStyle="1" w:styleId="395">
    <w:name w:val="页眉 Char1"/>
    <w:qFormat/>
    <w:uiPriority w:val="0"/>
    <w:rPr>
      <w:rFonts w:ascii="Arial" w:hAnsi="Arial" w:eastAsia="宋体"/>
      <w:kern w:val="2"/>
      <w:sz w:val="18"/>
      <w:szCs w:val="18"/>
      <w:lang w:val="en-US" w:eastAsia="zh-CN" w:bidi="ar-SA"/>
    </w:rPr>
  </w:style>
  <w:style w:type="character" w:customStyle="1" w:styleId="396">
    <w:name w:val="article1"/>
    <w:qFormat/>
    <w:uiPriority w:val="0"/>
  </w:style>
  <w:style w:type="character" w:customStyle="1" w:styleId="397">
    <w:name w:val="报告书正文 Char1"/>
    <w:qFormat/>
    <w:uiPriority w:val="0"/>
    <w:rPr>
      <w:rFonts w:eastAsia="宋体"/>
      <w:kern w:val="2"/>
      <w:sz w:val="24"/>
      <w:szCs w:val="28"/>
      <w:lang w:val="en-US" w:eastAsia="zh-CN" w:bidi="ar-SA"/>
    </w:rPr>
  </w:style>
  <w:style w:type="character" w:customStyle="1" w:styleId="398">
    <w:name w:val="条题 Char Char Char Char Char Char Char Char Char Char Char Char Char Char Char Char"/>
    <w:qFormat/>
    <w:uiPriority w:val="0"/>
    <w:rPr>
      <w:rFonts w:eastAsia="宋体"/>
      <w:bCs/>
      <w:kern w:val="2"/>
      <w:sz w:val="24"/>
      <w:lang w:val="en-US" w:eastAsia="zh-CN" w:bidi="ar-SA"/>
    </w:rPr>
  </w:style>
  <w:style w:type="character" w:customStyle="1" w:styleId="399">
    <w:name w:val="zjgblk1"/>
    <w:qFormat/>
    <w:uiPriority w:val="0"/>
    <w:rPr>
      <w:rFonts w:hint="default"/>
      <w:color w:val="000000"/>
      <w:spacing w:val="336"/>
      <w:sz w:val="18"/>
      <w:szCs w:val="18"/>
      <w:u w:val="none"/>
    </w:rPr>
  </w:style>
  <w:style w:type="character" w:customStyle="1" w:styleId="400">
    <w:name w:val="font21"/>
    <w:qFormat/>
    <w:uiPriority w:val="0"/>
    <w:rPr>
      <w:rFonts w:hint="eastAsia" w:ascii="宋体" w:hAnsi="宋体" w:eastAsia="宋体" w:cs="宋体"/>
      <w:color w:val="000000"/>
      <w:sz w:val="21"/>
      <w:szCs w:val="21"/>
      <w:u w:val="none"/>
    </w:rPr>
  </w:style>
  <w:style w:type="character" w:customStyle="1" w:styleId="401">
    <w:name w:val="正文—左齐 Char"/>
    <w:qFormat/>
    <w:uiPriority w:val="0"/>
    <w:rPr>
      <w:rFonts w:eastAsia="宋体"/>
      <w:kern w:val="2"/>
      <w:sz w:val="24"/>
      <w:szCs w:val="24"/>
      <w:lang w:val="en-US" w:eastAsia="zh-CN" w:bidi="ar-SA"/>
    </w:rPr>
  </w:style>
  <w:style w:type="character" w:customStyle="1" w:styleId="402">
    <w:name w:val="样式 标题 21.11.1标题 2标题2标题 2 Char1节_Heading 2标2编号标题1.1 + 黑色 Char"/>
    <w:link w:val="403"/>
    <w:qFormat/>
    <w:uiPriority w:val="0"/>
    <w:rPr>
      <w:rFonts w:ascii="Arial" w:hAnsi="Arial"/>
      <w:b/>
      <w:color w:val="000000"/>
      <w:kern w:val="2"/>
      <w:sz w:val="28"/>
      <w:szCs w:val="28"/>
    </w:rPr>
  </w:style>
  <w:style w:type="paragraph" w:customStyle="1" w:styleId="403">
    <w:name w:val="样式 标题 21.11.1标题 2标题2标题 2 Char1节_Heading 2标2编号标题1.1 + 黑色"/>
    <w:basedOn w:val="8"/>
    <w:link w:val="402"/>
    <w:unhideWhenUsed/>
    <w:qFormat/>
    <w:uiPriority w:val="0"/>
    <w:pPr>
      <w:widowControl w:val="0"/>
      <w:numPr>
        <w:ilvl w:val="0"/>
        <w:numId w:val="0"/>
      </w:numPr>
      <w:tabs>
        <w:tab w:val="left" w:pos="630"/>
        <w:tab w:val="left" w:pos="1320"/>
      </w:tabs>
      <w:spacing w:before="100" w:beforeAutospacing="1" w:after="100" w:afterAutospacing="1" w:line="240" w:lineRule="auto"/>
      <w:ind w:left="1320" w:hanging="420"/>
    </w:pPr>
    <w:rPr>
      <w:rFonts w:ascii="Arial" w:cs="Times New Roman"/>
      <w:b/>
      <w:color w:val="000000"/>
      <w:kern w:val="2"/>
      <w:sz w:val="28"/>
      <w:szCs w:val="28"/>
    </w:rPr>
  </w:style>
  <w:style w:type="character" w:customStyle="1" w:styleId="404">
    <w:name w:val="Char Char122"/>
    <w:qFormat/>
    <w:uiPriority w:val="0"/>
    <w:rPr>
      <w:rFonts w:eastAsia="宋体"/>
      <w:kern w:val="2"/>
      <w:sz w:val="18"/>
      <w:szCs w:val="18"/>
      <w:lang w:val="en-US" w:eastAsia="zh-CN" w:bidi="ar-SA"/>
    </w:rPr>
  </w:style>
  <w:style w:type="character" w:customStyle="1" w:styleId="405">
    <w:name w:val="样式 标题 3条标2Char标题 3 Char2 + 黑色 Char"/>
    <w:link w:val="406"/>
    <w:semiHidden/>
    <w:qFormat/>
    <w:uiPriority w:val="0"/>
    <w:rPr>
      <w:b/>
      <w:bCs/>
      <w:color w:val="000000"/>
      <w:sz w:val="24"/>
      <w:szCs w:val="32"/>
    </w:rPr>
  </w:style>
  <w:style w:type="paragraph" w:customStyle="1" w:styleId="406">
    <w:name w:val="样式 标题 3条标2Char标题 3 Char2 + 黑色"/>
    <w:basedOn w:val="9"/>
    <w:link w:val="405"/>
    <w:semiHidden/>
    <w:qFormat/>
    <w:uiPriority w:val="0"/>
    <w:pPr>
      <w:widowControl w:val="0"/>
      <w:numPr>
        <w:ilvl w:val="0"/>
        <w:numId w:val="0"/>
      </w:numPr>
      <w:tabs>
        <w:tab w:val="left" w:pos="709"/>
        <w:tab w:val="left" w:pos="889"/>
      </w:tabs>
      <w:spacing w:before="100" w:beforeAutospacing="1" w:after="100" w:afterAutospacing="1" w:line="240" w:lineRule="auto"/>
      <w:ind w:left="709" w:hanging="709"/>
    </w:pPr>
    <w:rPr>
      <w:rFonts w:ascii="Times New Roman" w:hAnsi="Times New Roman" w:cs="Times New Roman"/>
      <w:b/>
      <w:color w:val="000000"/>
      <w:sz w:val="24"/>
    </w:rPr>
  </w:style>
  <w:style w:type="character" w:customStyle="1" w:styleId="407">
    <w:name w:val="Char4 Char"/>
    <w:link w:val="408"/>
    <w:qFormat/>
    <w:uiPriority w:val="0"/>
    <w:rPr>
      <w:rFonts w:ascii="宋体" w:hAnsi="宋体"/>
      <w:kern w:val="2"/>
      <w:sz w:val="24"/>
      <w:szCs w:val="24"/>
    </w:rPr>
  </w:style>
  <w:style w:type="paragraph" w:customStyle="1" w:styleId="408">
    <w:name w:val="Char41"/>
    <w:basedOn w:val="1"/>
    <w:link w:val="407"/>
    <w:qFormat/>
    <w:uiPriority w:val="0"/>
    <w:pPr>
      <w:spacing w:before="120" w:after="120" w:line="360" w:lineRule="auto"/>
      <w:ind w:left="578" w:firstLine="200" w:firstLineChars="200"/>
    </w:pPr>
    <w:rPr>
      <w:rFonts w:ascii="宋体" w:hAnsi="宋体"/>
      <w:sz w:val="24"/>
    </w:rPr>
  </w:style>
  <w:style w:type="character" w:customStyle="1" w:styleId="409">
    <w:name w:val="BBBBBBBBBB Char"/>
    <w:link w:val="410"/>
    <w:qFormat/>
    <w:uiPriority w:val="0"/>
    <w:rPr>
      <w:rFonts w:ascii="宋体" w:hAnsi="宋体"/>
      <w:b/>
      <w:kern w:val="2"/>
      <w:sz w:val="21"/>
    </w:rPr>
  </w:style>
  <w:style w:type="paragraph" w:customStyle="1" w:styleId="410">
    <w:name w:val="BBBBBBBBBB"/>
    <w:basedOn w:val="1"/>
    <w:link w:val="409"/>
    <w:qFormat/>
    <w:uiPriority w:val="0"/>
    <w:pPr>
      <w:spacing w:line="324" w:lineRule="auto"/>
      <w:jc w:val="center"/>
    </w:pPr>
    <w:rPr>
      <w:rFonts w:ascii="宋体" w:hAnsi="宋体"/>
      <w:b/>
      <w:szCs w:val="20"/>
    </w:rPr>
  </w:style>
  <w:style w:type="character" w:customStyle="1" w:styleId="411">
    <w:name w:val="表体 Char"/>
    <w:link w:val="412"/>
    <w:qFormat/>
    <w:locked/>
    <w:uiPriority w:val="0"/>
    <w:rPr>
      <w:rFonts w:ascii="黑体" w:eastAsia="黑体"/>
      <w:color w:val="000080"/>
      <w:kern w:val="24"/>
      <w:sz w:val="24"/>
    </w:rPr>
  </w:style>
  <w:style w:type="paragraph" w:customStyle="1" w:styleId="412">
    <w:name w:val="表体"/>
    <w:basedOn w:val="1"/>
    <w:link w:val="41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character" w:customStyle="1" w:styleId="413">
    <w:name w:val="Body text (2)_"/>
    <w:link w:val="414"/>
    <w:qFormat/>
    <w:uiPriority w:val="0"/>
    <w:rPr>
      <w:rFonts w:ascii="黑体" w:eastAsia="黑体"/>
      <w:b/>
      <w:bCs/>
      <w:sz w:val="23"/>
      <w:szCs w:val="23"/>
      <w:shd w:val="clear" w:color="auto" w:fill="FFFFFF"/>
    </w:rPr>
  </w:style>
  <w:style w:type="paragraph" w:customStyle="1" w:styleId="414">
    <w:name w:val="Body text (2)1"/>
    <w:basedOn w:val="1"/>
    <w:link w:val="413"/>
    <w:qFormat/>
    <w:uiPriority w:val="0"/>
    <w:pPr>
      <w:shd w:val="clear" w:color="auto" w:fill="FFFFFF"/>
      <w:spacing w:line="418" w:lineRule="exact"/>
      <w:jc w:val="distribute"/>
    </w:pPr>
    <w:rPr>
      <w:rFonts w:ascii="黑体" w:eastAsia="黑体"/>
      <w:b/>
      <w:bCs/>
      <w:kern w:val="0"/>
      <w:sz w:val="23"/>
      <w:szCs w:val="23"/>
    </w:rPr>
  </w:style>
  <w:style w:type="character" w:customStyle="1" w:styleId="415">
    <w:name w:val="表头 Char Char"/>
    <w:qFormat/>
    <w:uiPriority w:val="0"/>
    <w:rPr>
      <w:rFonts w:eastAsia="宋体"/>
      <w:b/>
      <w:spacing w:val="2"/>
      <w:sz w:val="24"/>
      <w:szCs w:val="21"/>
      <w:lang w:val="en-US" w:eastAsia="zh-CN" w:bidi="ar-SA"/>
    </w:rPr>
  </w:style>
  <w:style w:type="character" w:customStyle="1" w:styleId="416">
    <w:name w:val="文档结构图 字符1"/>
    <w:semiHidden/>
    <w:qFormat/>
    <w:uiPriority w:val="99"/>
    <w:rPr>
      <w:rFonts w:ascii="Microsoft YaHei UI" w:eastAsia="Microsoft YaHei UI"/>
      <w:kern w:val="2"/>
      <w:sz w:val="18"/>
      <w:szCs w:val="18"/>
      <w:lang w:val="fr-FR"/>
    </w:rPr>
  </w:style>
  <w:style w:type="character" w:customStyle="1" w:styleId="417">
    <w:name w:val="标题 1 Char Char1"/>
    <w:qFormat/>
    <w:uiPriority w:val="0"/>
    <w:rPr>
      <w:rFonts w:eastAsia="宋体"/>
      <w:b/>
      <w:bCs/>
      <w:kern w:val="44"/>
      <w:sz w:val="44"/>
      <w:szCs w:val="44"/>
      <w:lang w:val="en-US" w:eastAsia="zh-CN" w:bidi="ar-SA"/>
    </w:rPr>
  </w:style>
  <w:style w:type="character" w:customStyle="1" w:styleId="418">
    <w:name w:val="MTConvertedEquation"/>
    <w:qFormat/>
    <w:uiPriority w:val="0"/>
    <w:rPr>
      <w:kern w:val="0"/>
      <w:sz w:val="20"/>
      <w:szCs w:val="20"/>
      <w:lang w:val="zh-CN"/>
    </w:rPr>
  </w:style>
  <w:style w:type="character" w:customStyle="1" w:styleId="419">
    <w:name w:val="样式 正文报告 + Char Char Char"/>
    <w:qFormat/>
    <w:uiPriority w:val="0"/>
  </w:style>
  <w:style w:type="character" w:customStyle="1" w:styleId="420">
    <w:name w:val="样式3 Char"/>
    <w:qFormat/>
    <w:uiPriority w:val="0"/>
    <w:rPr>
      <w:rFonts w:eastAsia="宋体"/>
      <w:kern w:val="2"/>
      <w:sz w:val="24"/>
      <w:szCs w:val="24"/>
      <w:lang w:val="en-US" w:eastAsia="zh-CN" w:bidi="ar-SA"/>
    </w:rPr>
  </w:style>
  <w:style w:type="character" w:customStyle="1" w:styleId="421">
    <w:name w:val="正文(首行缩进) Char"/>
    <w:qFormat/>
    <w:uiPriority w:val="0"/>
    <w:rPr>
      <w:rFonts w:eastAsia="宋体"/>
      <w:snapToGrid w:val="0"/>
      <w:sz w:val="24"/>
      <w:szCs w:val="25"/>
      <w:lang w:bidi="ar-SA"/>
    </w:rPr>
  </w:style>
  <w:style w:type="character" w:customStyle="1" w:styleId="422">
    <w:name w:val="正文01 Char1"/>
    <w:link w:val="423"/>
    <w:qFormat/>
    <w:uiPriority w:val="0"/>
  </w:style>
  <w:style w:type="paragraph" w:customStyle="1" w:styleId="423">
    <w:name w:val="正文01"/>
    <w:basedOn w:val="1"/>
    <w:link w:val="422"/>
    <w:qFormat/>
    <w:uiPriority w:val="0"/>
    <w:pPr>
      <w:spacing w:before="60" w:line="460" w:lineRule="exact"/>
      <w:ind w:firstLine="200" w:firstLineChars="200"/>
    </w:pPr>
    <w:rPr>
      <w:kern w:val="0"/>
      <w:sz w:val="20"/>
      <w:szCs w:val="20"/>
    </w:rPr>
  </w:style>
  <w:style w:type="character" w:customStyle="1" w:styleId="424">
    <w:name w:val="四号 正文 Char"/>
    <w:qFormat/>
    <w:uiPriority w:val="0"/>
    <w:rPr>
      <w:color w:val="0000FF"/>
      <w:spacing w:val="6"/>
      <w:kern w:val="2"/>
      <w:sz w:val="28"/>
    </w:rPr>
  </w:style>
  <w:style w:type="character" w:customStyle="1" w:styleId="425">
    <w:name w:val="hover26"/>
    <w:qFormat/>
    <w:uiPriority w:val="0"/>
  </w:style>
  <w:style w:type="character" w:customStyle="1" w:styleId="426">
    <w:name w:val="font14"/>
    <w:qFormat/>
    <w:uiPriority w:val="0"/>
  </w:style>
  <w:style w:type="character" w:customStyle="1" w:styleId="427">
    <w:name w:val="样式 首行缩进:  2 字符 Char"/>
    <w:link w:val="428"/>
    <w:qFormat/>
    <w:uiPriority w:val="0"/>
    <w:rPr>
      <w:kern w:val="2"/>
      <w:sz w:val="28"/>
    </w:rPr>
  </w:style>
  <w:style w:type="paragraph" w:customStyle="1" w:styleId="428">
    <w:name w:val="样式 首行缩进:  2 字符"/>
    <w:basedOn w:val="1"/>
    <w:link w:val="427"/>
    <w:qFormat/>
    <w:uiPriority w:val="0"/>
    <w:pPr>
      <w:spacing w:line="480" w:lineRule="exact"/>
      <w:ind w:firstLine="200" w:firstLineChars="200"/>
    </w:pPr>
    <w:rPr>
      <w:sz w:val="28"/>
      <w:szCs w:val="20"/>
    </w:rPr>
  </w:style>
  <w:style w:type="character" w:customStyle="1" w:styleId="429">
    <w:name w:val="公正文 Char1"/>
    <w:link w:val="430"/>
    <w:qFormat/>
    <w:uiPriority w:val="0"/>
    <w:rPr>
      <w:rFonts w:ascii="宋体" w:hAnsi="宋体" w:eastAsia="仿宋_GB2312"/>
      <w:kern w:val="2"/>
      <w:sz w:val="28"/>
      <w:szCs w:val="24"/>
    </w:rPr>
  </w:style>
  <w:style w:type="paragraph" w:customStyle="1" w:styleId="430">
    <w:name w:val="公正文"/>
    <w:basedOn w:val="6"/>
    <w:link w:val="429"/>
    <w:qFormat/>
    <w:uiPriority w:val="0"/>
    <w:pPr>
      <w:widowControl w:val="0"/>
      <w:adjustRightInd w:val="0"/>
      <w:snapToGrid w:val="0"/>
      <w:spacing w:before="280" w:line="355" w:lineRule="auto"/>
      <w:ind w:firstLine="200"/>
      <w:jc w:val="both"/>
    </w:pPr>
    <w:rPr>
      <w:rFonts w:eastAsia="仿宋_GB2312" w:cs="Times New Roman"/>
      <w:kern w:val="2"/>
      <w:sz w:val="28"/>
    </w:rPr>
  </w:style>
  <w:style w:type="character" w:customStyle="1" w:styleId="431">
    <w:name w:val="样式 表标8.2 + 黑体 四号 Char"/>
    <w:link w:val="432"/>
    <w:qFormat/>
    <w:uiPriority w:val="0"/>
    <w:rPr>
      <w:rFonts w:ascii="黑体" w:hAnsi="黑体" w:eastAsia="黑体"/>
      <w:b/>
      <w:bCs/>
      <w:color w:val="000000"/>
      <w:sz w:val="28"/>
    </w:rPr>
  </w:style>
  <w:style w:type="paragraph" w:customStyle="1" w:styleId="432">
    <w:name w:val="样式 表标8.2 + 黑体 四号"/>
    <w:basedOn w:val="1"/>
    <w:link w:val="431"/>
    <w:qFormat/>
    <w:uiPriority w:val="0"/>
    <w:pPr>
      <w:widowControl/>
      <w:numPr>
        <w:ilvl w:val="0"/>
        <w:numId w:val="6"/>
      </w:numPr>
      <w:tabs>
        <w:tab w:val="left" w:pos="8207"/>
      </w:tabs>
      <w:adjustRightInd w:val="0"/>
      <w:snapToGrid w:val="0"/>
      <w:spacing w:before="120" w:line="0" w:lineRule="atLeast"/>
      <w:ind w:firstLine="567"/>
      <w:jc w:val="center"/>
      <w:textAlignment w:val="baseline"/>
    </w:pPr>
    <w:rPr>
      <w:rFonts w:ascii="黑体" w:hAnsi="黑体" w:eastAsia="黑体"/>
      <w:b/>
      <w:bCs/>
      <w:color w:val="000000"/>
      <w:kern w:val="0"/>
      <w:sz w:val="28"/>
      <w:szCs w:val="20"/>
    </w:rPr>
  </w:style>
  <w:style w:type="character" w:customStyle="1" w:styleId="433">
    <w:name w:val="样式 题注 + 宋体 小四 Char Char Char"/>
    <w:qFormat/>
    <w:uiPriority w:val="0"/>
    <w:rPr>
      <w:rFonts w:ascii="宋体" w:hAnsi="宋体"/>
      <w:kern w:val="2"/>
      <w:sz w:val="24"/>
      <w:lang w:bidi="ar-SA"/>
    </w:rPr>
  </w:style>
  <w:style w:type="character" w:customStyle="1" w:styleId="434">
    <w:name w:val="样式 Char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435">
    <w:name w:val="样式3 Char Char Char Char Char Char"/>
    <w:qFormat/>
    <w:uiPriority w:val="0"/>
    <w:rPr>
      <w:rFonts w:eastAsia="宋体"/>
      <w:kern w:val="2"/>
      <w:sz w:val="24"/>
      <w:szCs w:val="24"/>
      <w:lang w:val="en-US" w:eastAsia="zh-CN" w:bidi="ar-SA"/>
    </w:rPr>
  </w:style>
  <w:style w:type="character" w:customStyle="1" w:styleId="436">
    <w:name w:val="样式 nilo_标题3 + 加粗 Char Char"/>
    <w:link w:val="437"/>
    <w:qFormat/>
    <w:uiPriority w:val="0"/>
    <w:rPr>
      <w:b/>
      <w:bCs/>
      <w:kern w:val="2"/>
      <w:sz w:val="24"/>
      <w:szCs w:val="24"/>
    </w:rPr>
  </w:style>
  <w:style w:type="paragraph" w:customStyle="1" w:styleId="437">
    <w:name w:val="样式 nilo_标题3 + 加粗"/>
    <w:basedOn w:val="1"/>
    <w:link w:val="436"/>
    <w:qFormat/>
    <w:uiPriority w:val="0"/>
    <w:pPr>
      <w:tabs>
        <w:tab w:val="left" w:pos="0"/>
      </w:tabs>
      <w:spacing w:beforeLines="50" w:line="360" w:lineRule="auto"/>
      <w:ind w:left="851" w:hanging="851"/>
      <w:jc w:val="left"/>
      <w:outlineLvl w:val="3"/>
    </w:pPr>
    <w:rPr>
      <w:b/>
      <w:bCs/>
      <w:sz w:val="24"/>
    </w:rPr>
  </w:style>
  <w:style w:type="character" w:customStyle="1" w:styleId="438">
    <w:name w:val="tz_input"/>
    <w:qFormat/>
    <w:uiPriority w:val="0"/>
    <w:rPr>
      <w:color w:val="A01211"/>
      <w:sz w:val="24"/>
      <w:szCs w:val="24"/>
    </w:rPr>
  </w:style>
  <w:style w:type="character" w:customStyle="1" w:styleId="439">
    <w:name w:val="hhcwt标题1 Char Char"/>
    <w:link w:val="440"/>
    <w:qFormat/>
    <w:uiPriority w:val="0"/>
    <w:rPr>
      <w:rFonts w:eastAsia="黑体" w:cs="宋体"/>
      <w:kern w:val="44"/>
      <w:sz w:val="36"/>
      <w:lang w:val="zh-CN"/>
    </w:rPr>
  </w:style>
  <w:style w:type="paragraph" w:customStyle="1" w:styleId="440">
    <w:name w:val="hhcwt标题1"/>
    <w:basedOn w:val="1"/>
    <w:link w:val="439"/>
    <w:qFormat/>
    <w:uiPriority w:val="0"/>
    <w:pPr>
      <w:keepNext/>
      <w:keepLines/>
      <w:autoSpaceDE w:val="0"/>
      <w:autoSpaceDN w:val="0"/>
      <w:adjustRightInd w:val="0"/>
      <w:spacing w:before="120" w:after="120" w:line="336" w:lineRule="auto"/>
      <w:outlineLvl w:val="0"/>
    </w:pPr>
    <w:rPr>
      <w:rFonts w:eastAsia="黑体" w:cs="宋体"/>
      <w:kern w:val="44"/>
      <w:sz w:val="36"/>
      <w:szCs w:val="20"/>
      <w:lang w:val="zh-CN"/>
    </w:rPr>
  </w:style>
  <w:style w:type="character" w:customStyle="1" w:styleId="441">
    <w:name w:val="表格内容-2 字符"/>
    <w:link w:val="442"/>
    <w:qFormat/>
    <w:uiPriority w:val="0"/>
    <w:rPr>
      <w:bCs/>
      <w:szCs w:val="32"/>
    </w:rPr>
  </w:style>
  <w:style w:type="paragraph" w:customStyle="1" w:styleId="442">
    <w:name w:val="表格内容-2"/>
    <w:basedOn w:val="1"/>
    <w:link w:val="441"/>
    <w:qFormat/>
    <w:uiPriority w:val="0"/>
    <w:pPr>
      <w:jc w:val="center"/>
    </w:pPr>
    <w:rPr>
      <w:bCs/>
      <w:kern w:val="0"/>
      <w:sz w:val="20"/>
      <w:szCs w:val="32"/>
    </w:rPr>
  </w:style>
  <w:style w:type="character" w:customStyle="1" w:styleId="443">
    <w:name w:val="纯文本 Char Char"/>
    <w:qFormat/>
    <w:uiPriority w:val="0"/>
    <w:rPr>
      <w:rFonts w:ascii="宋体" w:hAnsi="Courier New" w:eastAsia="宋体" w:cs="Courier New"/>
      <w:bCs/>
      <w:kern w:val="2"/>
      <w:sz w:val="28"/>
      <w:szCs w:val="21"/>
      <w:lang w:val="en-US" w:eastAsia="zh-CN" w:bidi="ar-SA"/>
    </w:rPr>
  </w:style>
  <w:style w:type="character" w:customStyle="1" w:styleId="444">
    <w:name w:val="批注文字 Char Char"/>
    <w:qFormat/>
    <w:uiPriority w:val="0"/>
    <w:rPr>
      <w:rFonts w:ascii="宋体" w:hAnsi="宋体"/>
      <w:color w:val="000000"/>
      <w:spacing w:val="4"/>
      <w:kern w:val="2"/>
      <w:sz w:val="24"/>
    </w:rPr>
  </w:style>
  <w:style w:type="character" w:customStyle="1" w:styleId="445">
    <w:name w:val="zi1"/>
    <w:qFormat/>
    <w:uiPriority w:val="0"/>
    <w:rPr>
      <w:rFonts w:hint="default" w:ascii="ˎ̥" w:hAnsi="ˎ̥"/>
      <w:color w:val="FFFFFF"/>
      <w:sz w:val="20"/>
      <w:szCs w:val="20"/>
      <w:u w:val="none"/>
    </w:rPr>
  </w:style>
  <w:style w:type="character" w:customStyle="1" w:styleId="446">
    <w:name w:val="Char Char Char Char Char"/>
    <w:qFormat/>
    <w:uiPriority w:val="0"/>
    <w:rPr>
      <w:rFonts w:eastAsia="黑体"/>
      <w:b/>
      <w:bCs/>
      <w:snapToGrid w:val="0"/>
      <w:sz w:val="24"/>
      <w:szCs w:val="32"/>
      <w:lang w:val="en-US" w:eastAsia="zh-CN" w:bidi="ar-SA"/>
    </w:rPr>
  </w:style>
  <w:style w:type="character" w:customStyle="1" w:styleId="447">
    <w:name w:val="样式 表格文字—五号 + 黑色 Char Char"/>
    <w:qFormat/>
    <w:uiPriority w:val="0"/>
    <w:rPr>
      <w:color w:val="000000"/>
      <w:kern w:val="2"/>
      <w:sz w:val="21"/>
      <w:szCs w:val="21"/>
      <w:lang w:bidi="ar-SA"/>
    </w:rPr>
  </w:style>
  <w:style w:type="character" w:customStyle="1" w:styleId="448">
    <w:name w:val="前言标题 Char Char"/>
    <w:qFormat/>
    <w:uiPriority w:val="0"/>
    <w:rPr>
      <w:rFonts w:ascii="Cambria" w:hAnsi="Cambria"/>
      <w:b/>
      <w:bCs/>
      <w:kern w:val="2"/>
      <w:sz w:val="32"/>
      <w:szCs w:val="32"/>
      <w:lang w:bidi="ar-SA"/>
    </w:rPr>
  </w:style>
  <w:style w:type="character" w:customStyle="1" w:styleId="449">
    <w:name w:val="font41"/>
    <w:qFormat/>
    <w:uiPriority w:val="0"/>
    <w:rPr>
      <w:rFonts w:hint="eastAsia" w:ascii="宋体" w:hAnsi="宋体" w:eastAsia="宋体" w:cs="宋体"/>
      <w:color w:val="000000"/>
      <w:sz w:val="21"/>
      <w:szCs w:val="21"/>
      <w:u w:val="none"/>
      <w:vertAlign w:val="subscript"/>
    </w:rPr>
  </w:style>
  <w:style w:type="character" w:customStyle="1" w:styleId="450">
    <w:name w:val="正文文本 Char Char"/>
    <w:qFormat/>
    <w:uiPriority w:val="0"/>
    <w:rPr>
      <w:rFonts w:eastAsia="宋体"/>
      <w:color w:val="FF00FF"/>
      <w:kern w:val="2"/>
      <w:sz w:val="28"/>
      <w:szCs w:val="24"/>
      <w:lang w:val="en-US" w:eastAsia="zh-CN" w:bidi="ar-SA"/>
    </w:rPr>
  </w:style>
  <w:style w:type="character" w:customStyle="1" w:styleId="451">
    <w:name w:val="Char52"/>
    <w:qFormat/>
    <w:uiPriority w:val="0"/>
    <w:rPr>
      <w:rFonts w:eastAsia="宋体"/>
      <w:kern w:val="2"/>
      <w:sz w:val="18"/>
      <w:szCs w:val="18"/>
      <w:lang w:val="en-US" w:eastAsia="zh-CN" w:bidi="ar-SA"/>
    </w:rPr>
  </w:style>
  <w:style w:type="character" w:customStyle="1" w:styleId="452">
    <w:name w:val="标题 1 Char2 Char"/>
    <w:qFormat/>
    <w:uiPriority w:val="0"/>
    <w:rPr>
      <w:rFonts w:eastAsia="宋体"/>
      <w:b/>
      <w:bCs/>
      <w:kern w:val="44"/>
      <w:sz w:val="44"/>
      <w:szCs w:val="44"/>
      <w:lang w:val="en-US" w:eastAsia="zh-CN" w:bidi="ar-SA"/>
    </w:rPr>
  </w:style>
  <w:style w:type="character" w:customStyle="1" w:styleId="453">
    <w:name w:val="style181"/>
    <w:qFormat/>
    <w:uiPriority w:val="0"/>
    <w:rPr>
      <w:rFonts w:ascii="宋体" w:hAnsi="宋体" w:cs="宋体"/>
      <w:color w:val="0000FF"/>
      <w:sz w:val="24"/>
    </w:rPr>
  </w:style>
  <w:style w:type="character" w:customStyle="1" w:styleId="454">
    <w:name w:val="批注主题 Char Char"/>
    <w:link w:val="455"/>
    <w:qFormat/>
    <w:uiPriority w:val="0"/>
    <w:rPr>
      <w:rFonts w:ascii="Calibri" w:hAnsi="Calibri" w:eastAsia="仿宋"/>
      <w:b/>
      <w:bCs/>
      <w:sz w:val="24"/>
    </w:rPr>
  </w:style>
  <w:style w:type="paragraph" w:customStyle="1" w:styleId="455">
    <w:name w:val="批注主题11"/>
    <w:basedOn w:val="31"/>
    <w:next w:val="31"/>
    <w:link w:val="454"/>
    <w:qFormat/>
    <w:uiPriority w:val="0"/>
    <w:rPr>
      <w:rFonts w:ascii="Calibri" w:hAnsi="Calibri" w:eastAsia="仿宋"/>
      <w:b/>
      <w:bCs/>
    </w:rPr>
  </w:style>
  <w:style w:type="character" w:customStyle="1" w:styleId="456">
    <w:name w:val="标题 2 Char2 Char"/>
    <w:qFormat/>
    <w:uiPriority w:val="0"/>
    <w:rPr>
      <w:rFonts w:eastAsia="黑体"/>
      <w:b/>
      <w:bCs/>
      <w:spacing w:val="20"/>
      <w:kern w:val="2"/>
      <w:sz w:val="28"/>
      <w:szCs w:val="28"/>
      <w:lang w:val="en-US" w:eastAsia="zh-CN" w:bidi="ar-SA"/>
    </w:rPr>
  </w:style>
  <w:style w:type="character" w:customStyle="1" w:styleId="457">
    <w:name w:val="black1"/>
    <w:qFormat/>
    <w:uiPriority w:val="0"/>
    <w:rPr>
      <w:color w:val="000000"/>
      <w:sz w:val="18"/>
      <w:szCs w:val="18"/>
      <w:u w:val="none"/>
    </w:rPr>
  </w:style>
  <w:style w:type="character" w:customStyle="1" w:styleId="458">
    <w:name w:val="Char Char14"/>
    <w:qFormat/>
    <w:uiPriority w:val="0"/>
    <w:rPr>
      <w:rFonts w:ascii="Times New Roman" w:hAnsi="Times New Roman" w:eastAsia="宋体" w:cs="Times New Roman"/>
      <w:sz w:val="18"/>
      <w:szCs w:val="18"/>
    </w:rPr>
  </w:style>
  <w:style w:type="character" w:customStyle="1" w:styleId="459">
    <w:name w:val="Char Char91"/>
    <w:qFormat/>
    <w:uiPriority w:val="0"/>
    <w:rPr>
      <w:rFonts w:eastAsia="宋体"/>
      <w:kern w:val="2"/>
      <w:sz w:val="18"/>
      <w:szCs w:val="18"/>
      <w:lang w:val="en-US" w:eastAsia="zh-CN" w:bidi="ar-SA"/>
    </w:rPr>
  </w:style>
  <w:style w:type="character" w:customStyle="1" w:styleId="460">
    <w:name w:val="规划正文样式 Char"/>
    <w:link w:val="461"/>
    <w:qFormat/>
    <w:uiPriority w:val="0"/>
    <w:rPr>
      <w:rFonts w:ascii="宋体" w:hAnsi="宋体"/>
      <w:sz w:val="24"/>
      <w:szCs w:val="24"/>
      <w:lang w:bidi="en-US"/>
    </w:rPr>
  </w:style>
  <w:style w:type="paragraph" w:customStyle="1" w:styleId="461">
    <w:name w:val="规划正文样式"/>
    <w:basedOn w:val="1"/>
    <w:link w:val="460"/>
    <w:qFormat/>
    <w:uiPriority w:val="0"/>
    <w:pPr>
      <w:widowControl/>
      <w:spacing w:before="120" w:after="80" w:line="440" w:lineRule="exact"/>
      <w:ind w:firstLine="567"/>
      <w:jc w:val="left"/>
    </w:pPr>
    <w:rPr>
      <w:rFonts w:ascii="宋体" w:hAnsi="宋体"/>
      <w:kern w:val="0"/>
      <w:sz w:val="24"/>
      <w:lang w:bidi="en-US"/>
    </w:rPr>
  </w:style>
  <w:style w:type="character" w:customStyle="1" w:styleId="462">
    <w:name w:val="Char Char41"/>
    <w:qFormat/>
    <w:uiPriority w:val="0"/>
    <w:rPr>
      <w:rFonts w:eastAsia="黑体"/>
      <w:b/>
      <w:bCs/>
      <w:kern w:val="44"/>
      <w:sz w:val="24"/>
      <w:szCs w:val="44"/>
      <w:lang w:val="en-US" w:eastAsia="zh-CN" w:bidi="ar-SA"/>
    </w:rPr>
  </w:style>
  <w:style w:type="character" w:customStyle="1" w:styleId="463">
    <w:name w:val="副标题 Char Char"/>
    <w:qFormat/>
    <w:uiPriority w:val="0"/>
    <w:rPr>
      <w:rFonts w:ascii="黑体" w:hAnsi="Arial" w:eastAsia="黑体"/>
      <w:b/>
      <w:kern w:val="28"/>
      <w:sz w:val="48"/>
      <w:lang w:bidi="ar-SA"/>
    </w:rPr>
  </w:style>
  <w:style w:type="character" w:customStyle="1" w:styleId="464">
    <w:name w:val="样式 (符号) 宋体 黑色 居中 Char Char"/>
    <w:qFormat/>
    <w:uiPriority w:val="0"/>
    <w:rPr>
      <w:rFonts w:hAnsi="宋体"/>
      <w:color w:val="000000"/>
      <w:sz w:val="24"/>
      <w:lang w:bidi="ar-SA"/>
    </w:rPr>
  </w:style>
  <w:style w:type="character" w:customStyle="1" w:styleId="465">
    <w:name w:val="信息标题 Char Char"/>
    <w:qFormat/>
    <w:uiPriority w:val="0"/>
    <w:rPr>
      <w:rFonts w:ascii="Arial" w:hAnsi="Arial"/>
      <w:kern w:val="2"/>
      <w:sz w:val="24"/>
      <w:szCs w:val="24"/>
      <w:shd w:val="pct20" w:color="auto" w:fill="auto"/>
      <w:lang w:bidi="ar-SA"/>
    </w:rPr>
  </w:style>
  <w:style w:type="character" w:customStyle="1" w:styleId="466">
    <w:name w:val="chen正文字体11 Char"/>
    <w:link w:val="467"/>
    <w:qFormat/>
    <w:uiPriority w:val="0"/>
    <w:rPr>
      <w:rFonts w:ascii="宋体" w:hAnsi="宋体"/>
      <w:color w:val="000000"/>
      <w:kern w:val="2"/>
      <w:sz w:val="24"/>
    </w:rPr>
  </w:style>
  <w:style w:type="paragraph" w:customStyle="1" w:styleId="467">
    <w:name w:val="chen正文字体11"/>
    <w:basedOn w:val="1"/>
    <w:link w:val="466"/>
    <w:qFormat/>
    <w:uiPriority w:val="0"/>
    <w:pPr>
      <w:spacing w:line="360" w:lineRule="auto"/>
      <w:ind w:firstLine="480" w:firstLineChars="200"/>
    </w:pPr>
    <w:rPr>
      <w:rFonts w:ascii="宋体" w:hAnsi="宋体"/>
      <w:color w:val="000000"/>
      <w:sz w:val="24"/>
      <w:szCs w:val="20"/>
    </w:rPr>
  </w:style>
  <w:style w:type="character" w:customStyle="1" w:styleId="468">
    <w:name w:val="样式 标题 3条标题1.1.1 + Times New Roman Char Char"/>
    <w:qFormat/>
    <w:uiPriority w:val="0"/>
    <w:rPr>
      <w:rFonts w:ascii="宋体"/>
      <w:bCs/>
      <w:color w:val="FF0000"/>
      <w:sz w:val="28"/>
      <w:szCs w:val="28"/>
      <w:lang w:bidi="ar-SA"/>
    </w:rPr>
  </w:style>
  <w:style w:type="character" w:customStyle="1" w:styleId="469">
    <w:name w:val="样式 图表 + 倾斜 Char"/>
    <w:link w:val="470"/>
    <w:qFormat/>
    <w:uiPriority w:val="0"/>
    <w:rPr>
      <w:rFonts w:ascii="宋体" w:hAnsi="宋体"/>
      <w:i/>
      <w:iCs/>
      <w:sz w:val="21"/>
      <w:szCs w:val="24"/>
    </w:rPr>
  </w:style>
  <w:style w:type="paragraph" w:customStyle="1" w:styleId="470">
    <w:name w:val="样式 图表 + 倾斜"/>
    <w:basedOn w:val="1"/>
    <w:link w:val="469"/>
    <w:qFormat/>
    <w:uiPriority w:val="0"/>
    <w:pPr>
      <w:adjustRightInd w:val="0"/>
      <w:snapToGrid w:val="0"/>
      <w:jc w:val="center"/>
    </w:pPr>
    <w:rPr>
      <w:rFonts w:ascii="宋体" w:hAnsi="宋体"/>
      <w:i/>
      <w:iCs/>
      <w:kern w:val="0"/>
    </w:rPr>
  </w:style>
  <w:style w:type="character" w:customStyle="1" w:styleId="471">
    <w:name w:val="正正文 Char"/>
    <w:link w:val="472"/>
    <w:qFormat/>
    <w:uiPriority w:val="0"/>
    <w:rPr>
      <w:sz w:val="24"/>
      <w:szCs w:val="28"/>
      <w:lang w:val="zh-CN"/>
    </w:rPr>
  </w:style>
  <w:style w:type="paragraph" w:customStyle="1" w:styleId="472">
    <w:name w:val="正正文"/>
    <w:basedOn w:val="1"/>
    <w:link w:val="471"/>
    <w:qFormat/>
    <w:uiPriority w:val="0"/>
    <w:pPr>
      <w:adjustRightInd w:val="0"/>
      <w:snapToGrid w:val="0"/>
      <w:spacing w:line="324" w:lineRule="auto"/>
      <w:ind w:firstLine="560" w:firstLineChars="200"/>
      <w:jc w:val="left"/>
    </w:pPr>
    <w:rPr>
      <w:kern w:val="0"/>
      <w:sz w:val="24"/>
      <w:szCs w:val="28"/>
      <w:lang w:val="zh-CN"/>
    </w:rPr>
  </w:style>
  <w:style w:type="character" w:customStyle="1" w:styleId="473">
    <w:name w:val="Char Char21"/>
    <w:semiHidden/>
    <w:qFormat/>
    <w:uiPriority w:val="0"/>
    <w:rPr>
      <w:kern w:val="2"/>
      <w:sz w:val="28"/>
      <w:shd w:val="clear" w:color="auto" w:fill="000080"/>
    </w:rPr>
  </w:style>
  <w:style w:type="character" w:customStyle="1" w:styleId="474">
    <w:name w:val="CM106 Char"/>
    <w:link w:val="475"/>
    <w:qFormat/>
    <w:uiPriority w:val="0"/>
    <w:rPr>
      <w:rFonts w:ascii="仿宋" w:hAnsi="仿宋" w:eastAsia="仿宋"/>
      <w:color w:val="000000"/>
      <w:sz w:val="24"/>
      <w:szCs w:val="24"/>
    </w:rPr>
  </w:style>
  <w:style w:type="paragraph" w:customStyle="1" w:styleId="475">
    <w:name w:val="CM106"/>
    <w:basedOn w:val="2"/>
    <w:next w:val="2"/>
    <w:link w:val="474"/>
    <w:qFormat/>
    <w:uiPriority w:val="0"/>
    <w:pPr>
      <w:adjustRightInd/>
    </w:pPr>
    <w:rPr>
      <w:rFonts w:ascii="仿宋" w:hAnsi="仿宋" w:eastAsia="仿宋" w:cs="Times New Roman"/>
    </w:rPr>
  </w:style>
  <w:style w:type="character" w:customStyle="1" w:styleId="476">
    <w:name w:val="表图 Char"/>
    <w:link w:val="477"/>
    <w:qFormat/>
    <w:uiPriority w:val="0"/>
    <w:rPr>
      <w:color w:val="000000"/>
      <w:kern w:val="2"/>
      <w:sz w:val="21"/>
      <w:szCs w:val="22"/>
    </w:rPr>
  </w:style>
  <w:style w:type="paragraph" w:customStyle="1" w:styleId="477">
    <w:name w:val="表图"/>
    <w:basedOn w:val="1"/>
    <w:next w:val="1"/>
    <w:link w:val="476"/>
    <w:qFormat/>
    <w:uiPriority w:val="0"/>
    <w:pPr>
      <w:adjustRightInd w:val="0"/>
      <w:snapToGrid w:val="0"/>
      <w:spacing w:after="200"/>
      <w:jc w:val="center"/>
    </w:pPr>
    <w:rPr>
      <w:color w:val="000000"/>
      <w:szCs w:val="22"/>
    </w:rPr>
  </w:style>
  <w:style w:type="character" w:customStyle="1" w:styleId="478">
    <w:name w:val="样式 标题 2节标题 1.1b21.1标题2标题 1.1标题 yjm2第一章 标题 2Heading 2 Hidd... Char Char"/>
    <w:qFormat/>
    <w:uiPriority w:val="0"/>
    <w:rPr>
      <w:rFonts w:ascii="Arial" w:hAnsi="Arial" w:eastAsia="宋体"/>
      <w:b/>
      <w:bCs/>
      <w:kern w:val="2"/>
      <w:sz w:val="30"/>
      <w:szCs w:val="32"/>
      <w:lang w:val="en-US" w:eastAsia="zh-CN" w:bidi="ar-SA"/>
    </w:rPr>
  </w:style>
  <w:style w:type="character" w:customStyle="1" w:styleId="479">
    <w:name w:val="表格1 Char Char Char Char Char Char"/>
    <w:qFormat/>
    <w:uiPriority w:val="0"/>
    <w:rPr>
      <w:rFonts w:eastAsia="宋体"/>
      <w:kern w:val="2"/>
      <w:sz w:val="24"/>
      <w:szCs w:val="24"/>
      <w:lang w:val="en-US" w:eastAsia="zh-CN" w:bidi="ar-SA"/>
    </w:rPr>
  </w:style>
  <w:style w:type="character" w:customStyle="1" w:styleId="480">
    <w:name w:val="报告格式—正文 Char Char"/>
    <w:qFormat/>
    <w:uiPriority w:val="0"/>
    <w:rPr>
      <w:spacing w:val="6"/>
      <w:sz w:val="28"/>
      <w:szCs w:val="36"/>
      <w:lang w:bidi="ar-SA"/>
    </w:rPr>
  </w:style>
  <w:style w:type="character" w:customStyle="1" w:styleId="481">
    <w:name w:val="湛江正文 Char"/>
    <w:link w:val="482"/>
    <w:qFormat/>
    <w:uiPriority w:val="0"/>
    <w:rPr>
      <w:kern w:val="2"/>
      <w:sz w:val="28"/>
    </w:rPr>
  </w:style>
  <w:style w:type="paragraph" w:customStyle="1" w:styleId="482">
    <w:name w:val="湛江正文"/>
    <w:basedOn w:val="483"/>
    <w:link w:val="481"/>
    <w:qFormat/>
    <w:uiPriority w:val="0"/>
    <w:rPr>
      <w:rFonts w:ascii="Times New Roman"/>
      <w:kern w:val="2"/>
    </w:rPr>
  </w:style>
  <w:style w:type="paragraph" w:customStyle="1" w:styleId="483">
    <w:name w:val="正文 1"/>
    <w:basedOn w:val="1"/>
    <w:unhideWhenUsed/>
    <w:qFormat/>
    <w:uiPriority w:val="0"/>
    <w:pPr>
      <w:adjustRightInd w:val="0"/>
      <w:spacing w:before="60" w:after="60" w:line="312" w:lineRule="auto"/>
      <w:ind w:left="578" w:firstLine="601"/>
      <w:jc w:val="left"/>
      <w:textAlignment w:val="baseline"/>
    </w:pPr>
    <w:rPr>
      <w:rFonts w:ascii="宋体"/>
      <w:kern w:val="0"/>
      <w:sz w:val="28"/>
      <w:szCs w:val="20"/>
    </w:rPr>
  </w:style>
  <w:style w:type="character" w:customStyle="1" w:styleId="484">
    <w:name w:val="正文首行缩进 2 Char1"/>
    <w:qFormat/>
    <w:uiPriority w:val="0"/>
    <w:rPr>
      <w:rFonts w:ascii="宋体" w:hAnsi="Times New Roman"/>
      <w:sz w:val="34"/>
    </w:rPr>
  </w:style>
  <w:style w:type="character" w:customStyle="1" w:styleId="485">
    <w:name w:val="正文内容 Char"/>
    <w:qFormat/>
    <w:uiPriority w:val="0"/>
    <w:rPr>
      <w:kern w:val="2"/>
      <w:sz w:val="21"/>
      <w:szCs w:val="21"/>
    </w:rPr>
  </w:style>
  <w:style w:type="character" w:customStyle="1" w:styleId="486">
    <w:name w:val="Char Char9"/>
    <w:qFormat/>
    <w:uiPriority w:val="0"/>
    <w:rPr>
      <w:rFonts w:eastAsia="宋体"/>
      <w:kern w:val="2"/>
      <w:sz w:val="18"/>
      <w:szCs w:val="18"/>
      <w:lang w:val="en-US" w:eastAsia="zh-CN" w:bidi="ar-SA"/>
    </w:rPr>
  </w:style>
  <w:style w:type="character" w:customStyle="1" w:styleId="487">
    <w:name w:val="正文上海 Char"/>
    <w:link w:val="488"/>
    <w:qFormat/>
    <w:uiPriority w:val="0"/>
    <w:rPr>
      <w:rFonts w:eastAsia="仿宋_GB2312"/>
      <w:kern w:val="2"/>
      <w:sz w:val="24"/>
    </w:rPr>
  </w:style>
  <w:style w:type="paragraph" w:customStyle="1" w:styleId="488">
    <w:name w:val="正文上海"/>
    <w:basedOn w:val="1"/>
    <w:link w:val="487"/>
    <w:qFormat/>
    <w:uiPriority w:val="0"/>
    <w:pPr>
      <w:adjustRightInd w:val="0"/>
      <w:snapToGrid w:val="0"/>
      <w:spacing w:beforeLines="50" w:line="300" w:lineRule="auto"/>
      <w:ind w:firstLine="200" w:firstLineChars="200"/>
    </w:pPr>
    <w:rPr>
      <w:rFonts w:eastAsia="仿宋_GB2312"/>
      <w:sz w:val="24"/>
      <w:szCs w:val="20"/>
    </w:rPr>
  </w:style>
  <w:style w:type="character" w:customStyle="1" w:styleId="489">
    <w:name w:val="0-shiw-目录页码 Char Char"/>
    <w:qFormat/>
    <w:uiPriority w:val="0"/>
    <w:rPr>
      <w:kern w:val="2"/>
      <w:sz w:val="24"/>
      <w:szCs w:val="24"/>
      <w:lang w:val="en-US" w:eastAsia="zh-CN" w:bidi="ar-SA"/>
    </w:rPr>
  </w:style>
  <w:style w:type="character" w:customStyle="1" w:styleId="490">
    <w:name w:val="段落文字 Char Char1 Char"/>
    <w:qFormat/>
    <w:uiPriority w:val="0"/>
    <w:rPr>
      <w:rFonts w:eastAsia="仿宋_GB2312"/>
      <w:kern w:val="2"/>
      <w:sz w:val="28"/>
      <w:szCs w:val="28"/>
      <w:lang w:val="en-US" w:eastAsia="zh-CN" w:bidi="ar-SA"/>
    </w:rPr>
  </w:style>
  <w:style w:type="character" w:customStyle="1" w:styleId="491">
    <w:name w:val="表文字 Char Char"/>
    <w:qFormat/>
    <w:uiPriority w:val="0"/>
    <w:rPr>
      <w:rFonts w:ascii="Arial" w:hAnsi="Arial"/>
      <w:kern w:val="2"/>
      <w:sz w:val="21"/>
      <w:szCs w:val="22"/>
      <w:lang w:bidi="ar-SA"/>
    </w:rPr>
  </w:style>
  <w:style w:type="character" w:customStyle="1" w:styleId="492">
    <w:name w:val="?y?????? Char"/>
    <w:unhideWhenUsed/>
    <w:qFormat/>
    <w:uiPriority w:val="0"/>
    <w:rPr>
      <w:rFonts w:eastAsia="宋体"/>
      <w:kern w:val="2"/>
      <w:sz w:val="21"/>
      <w:lang w:val="en-US"/>
    </w:rPr>
  </w:style>
  <w:style w:type="character" w:customStyle="1" w:styleId="493">
    <w:name w:val="标题一样式 Char Char"/>
    <w:qFormat/>
    <w:uiPriority w:val="0"/>
    <w:rPr>
      <w:b/>
      <w:bCs/>
      <w:kern w:val="44"/>
      <w:sz w:val="32"/>
      <w:szCs w:val="32"/>
      <w:lang w:bidi="ar-SA"/>
    </w:rPr>
  </w:style>
  <w:style w:type="character" w:customStyle="1" w:styleId="494">
    <w:name w:val="页眉2 Char3"/>
    <w:qFormat/>
    <w:uiPriority w:val="0"/>
    <w:rPr>
      <w:rFonts w:ascii="Times New Roman" w:hAnsi="Times New Roman" w:eastAsia="宋体" w:cs="Times New Roman"/>
      <w:sz w:val="18"/>
      <w:szCs w:val="18"/>
    </w:rPr>
  </w:style>
  <w:style w:type="character" w:customStyle="1" w:styleId="495">
    <w:name w:val="题注 Char Char Char Char4"/>
    <w:qFormat/>
    <w:uiPriority w:val="0"/>
    <w:rPr>
      <w:rFonts w:ascii="Arial" w:hAnsi="Arial" w:eastAsia="宋体"/>
      <w:b/>
      <w:kern w:val="2"/>
      <w:sz w:val="24"/>
      <w:szCs w:val="24"/>
      <w:lang w:val="en-US" w:eastAsia="zh-CN" w:bidi="ar-SA"/>
    </w:rPr>
  </w:style>
  <w:style w:type="character" w:customStyle="1" w:styleId="496">
    <w:name w:val="样式 (符号) 宋体 四号1"/>
    <w:qFormat/>
    <w:uiPriority w:val="0"/>
    <w:rPr>
      <w:rFonts w:ascii="宋体" w:eastAsia="宋体"/>
      <w:color w:val="auto"/>
      <w:kern w:val="2"/>
      <w:sz w:val="28"/>
      <w:szCs w:val="24"/>
      <w:lang w:val="en-US" w:eastAsia="zh-CN" w:bidi="ar-SA"/>
    </w:rPr>
  </w:style>
  <w:style w:type="character" w:customStyle="1" w:styleId="497">
    <w:name w:val="Char Char17"/>
    <w:semiHidden/>
    <w:qFormat/>
    <w:uiPriority w:val="0"/>
    <w:rPr>
      <w:rFonts w:ascii="Cambria" w:hAnsi="Cambria" w:cs="宋体"/>
      <w:kern w:val="2"/>
      <w:sz w:val="21"/>
      <w:szCs w:val="21"/>
    </w:rPr>
  </w:style>
  <w:style w:type="character" w:customStyle="1" w:styleId="498">
    <w:name w:val="标题 Char"/>
    <w:qFormat/>
    <w:uiPriority w:val="0"/>
    <w:rPr>
      <w:rFonts w:ascii="Calibri Light" w:hAnsi="Calibri Light" w:cs="Times New Roman"/>
      <w:b/>
      <w:bCs/>
      <w:kern w:val="2"/>
      <w:sz w:val="32"/>
      <w:szCs w:val="32"/>
    </w:rPr>
  </w:style>
  <w:style w:type="character" w:customStyle="1" w:styleId="499">
    <w:name w:val="批注框文本 Char3"/>
    <w:qFormat/>
    <w:uiPriority w:val="0"/>
    <w:rPr>
      <w:rFonts w:ascii="Times New Roman" w:hAnsi="Times New Roman" w:eastAsia="宋体"/>
      <w:sz w:val="18"/>
      <w:szCs w:val="18"/>
      <w:lang w:val="fr-FR"/>
    </w:rPr>
  </w:style>
  <w:style w:type="character" w:customStyle="1" w:styleId="500">
    <w:name w:val="fontstyle01"/>
    <w:qFormat/>
    <w:uiPriority w:val="0"/>
    <w:rPr>
      <w:rFonts w:hint="eastAsia" w:ascii="宋体" w:hAnsi="宋体" w:eastAsia="宋体"/>
      <w:color w:val="000000"/>
      <w:sz w:val="22"/>
      <w:szCs w:val="22"/>
    </w:rPr>
  </w:style>
  <w:style w:type="character" w:customStyle="1" w:styleId="501">
    <w:name w:val="天腾表头 Char"/>
    <w:link w:val="502"/>
    <w:qFormat/>
    <w:uiPriority w:val="0"/>
    <w:rPr>
      <w:rFonts w:eastAsia="仿宋"/>
      <w:b/>
      <w:spacing w:val="-10"/>
      <w:sz w:val="24"/>
    </w:rPr>
  </w:style>
  <w:style w:type="paragraph" w:customStyle="1" w:styleId="502">
    <w:name w:val="天腾表头"/>
    <w:basedOn w:val="1"/>
    <w:link w:val="501"/>
    <w:qFormat/>
    <w:uiPriority w:val="0"/>
    <w:pPr>
      <w:adjustRightInd w:val="0"/>
      <w:jc w:val="center"/>
      <w:textAlignment w:val="baseline"/>
    </w:pPr>
    <w:rPr>
      <w:rFonts w:eastAsia="仿宋"/>
      <w:b/>
      <w:spacing w:val="-10"/>
      <w:kern w:val="0"/>
      <w:sz w:val="24"/>
      <w:szCs w:val="20"/>
    </w:rPr>
  </w:style>
  <w:style w:type="character" w:customStyle="1" w:styleId="503">
    <w:name w:val="tu Char"/>
    <w:link w:val="504"/>
    <w:qFormat/>
    <w:locked/>
    <w:uiPriority w:val="0"/>
    <w:rPr>
      <w:rFonts w:ascii="宋体" w:hAnsi="宋体"/>
      <w:b/>
      <w:sz w:val="28"/>
      <w:szCs w:val="24"/>
    </w:rPr>
  </w:style>
  <w:style w:type="paragraph" w:customStyle="1" w:styleId="504">
    <w:name w:val="tu"/>
    <w:basedOn w:val="76"/>
    <w:link w:val="503"/>
    <w:qFormat/>
    <w:uiPriority w:val="0"/>
    <w:pPr>
      <w:widowControl w:val="0"/>
      <w:spacing w:line="360" w:lineRule="auto"/>
      <w:ind w:left="0" w:leftChars="0" w:firstLine="0" w:firstLineChars="0"/>
      <w:jc w:val="center"/>
    </w:pPr>
    <w:rPr>
      <w:rFonts w:cs="Times New Roman"/>
      <w:b/>
      <w:sz w:val="28"/>
    </w:rPr>
  </w:style>
  <w:style w:type="character" w:customStyle="1" w:styleId="505">
    <w:name w:val="unnamed11"/>
    <w:qFormat/>
    <w:uiPriority w:val="0"/>
    <w:rPr>
      <w:rFonts w:hint="eastAsia" w:ascii="宋体" w:hAnsi="宋体" w:eastAsia="宋体"/>
      <w:color w:val="000000"/>
      <w:sz w:val="18"/>
      <w:szCs w:val="18"/>
    </w:rPr>
  </w:style>
  <w:style w:type="character" w:customStyle="1" w:styleId="506">
    <w:name w:val="样式 标题 4 + 黑色 Char Char"/>
    <w:qFormat/>
    <w:uiPriority w:val="0"/>
    <w:rPr>
      <w:rFonts w:eastAsia="宋体"/>
      <w:bCs/>
      <w:color w:val="000000"/>
      <w:sz w:val="24"/>
      <w:lang w:val="en-US" w:eastAsia="zh-CN" w:bidi="ar-SA"/>
    </w:rPr>
  </w:style>
  <w:style w:type="character" w:customStyle="1" w:styleId="507">
    <w:name w:val="样式 标题 3标题 3 Char标题 3 Char Char Char Char Char Char Char Char C...6 Char Char"/>
    <w:link w:val="508"/>
    <w:qFormat/>
    <w:uiPriority w:val="0"/>
    <w:rPr>
      <w:color w:val="000000"/>
      <w:kern w:val="2"/>
      <w:sz w:val="24"/>
      <w:szCs w:val="32"/>
    </w:rPr>
  </w:style>
  <w:style w:type="paragraph" w:customStyle="1" w:styleId="508">
    <w:name w:val="样式 标题 3标题 3 Char标题 3 Char Char Char Char Char Char Char Char C...6"/>
    <w:basedOn w:val="9"/>
    <w:link w:val="507"/>
    <w:qFormat/>
    <w:uiPriority w:val="0"/>
    <w:pPr>
      <w:numPr>
        <w:ilvl w:val="0"/>
        <w:numId w:val="0"/>
      </w:numPr>
      <w:tabs>
        <w:tab w:val="left" w:pos="720"/>
      </w:tabs>
      <w:ind w:left="720" w:hanging="720"/>
    </w:pPr>
    <w:rPr>
      <w:rFonts w:ascii="Times New Roman" w:hAnsi="Times New Roman" w:cs="Times New Roman"/>
      <w:bCs w:val="0"/>
      <w:color w:val="000000"/>
      <w:kern w:val="2"/>
      <w:sz w:val="24"/>
    </w:rPr>
  </w:style>
  <w:style w:type="character" w:customStyle="1" w:styleId="509">
    <w:name w:val="unnamed1"/>
    <w:qFormat/>
    <w:uiPriority w:val="0"/>
  </w:style>
  <w:style w:type="character" w:customStyle="1" w:styleId="510">
    <w:name w:val="样式 标题 3 + 仿宋_GB2312 四号 粉红 Char"/>
    <w:qFormat/>
    <w:uiPriority w:val="0"/>
    <w:rPr>
      <w:rFonts w:ascii="仿宋_GB2312" w:hAnsi="仿宋_GB2312" w:eastAsia="仿宋_GB2312"/>
      <w:b/>
      <w:color w:val="FF00FF"/>
      <w:kern w:val="2"/>
      <w:sz w:val="28"/>
      <w:lang w:val="en-US" w:eastAsia="zh-CN" w:bidi="ar-SA"/>
    </w:rPr>
  </w:style>
  <w:style w:type="character" w:customStyle="1" w:styleId="511">
    <w:name w:val="样式 标题 3标题 3 Char Char条标题1.1.13h33rd levelH3l3CT + 黑色 Char Char"/>
    <w:qFormat/>
    <w:uiPriority w:val="0"/>
    <w:rPr>
      <w:rFonts w:eastAsia="宋体"/>
      <w:bCs/>
      <w:color w:val="000000"/>
      <w:kern w:val="2"/>
      <w:sz w:val="24"/>
      <w:szCs w:val="24"/>
      <w:lang w:val="en-US" w:eastAsia="zh-CN" w:bidi="ar-SA"/>
    </w:rPr>
  </w:style>
  <w:style w:type="character" w:customStyle="1" w:styleId="512">
    <w:name w:val="正文1"/>
    <w:qFormat/>
    <w:uiPriority w:val="0"/>
    <w:rPr>
      <w:rFonts w:hint="eastAsia" w:ascii="宋体" w:hAnsi="宋体" w:eastAsia="宋体"/>
      <w:sz w:val="22"/>
      <w:szCs w:val="22"/>
    </w:rPr>
  </w:style>
  <w:style w:type="character" w:customStyle="1" w:styleId="513">
    <w:name w:val="标题 5 Char2"/>
    <w:qFormat/>
    <w:uiPriority w:val="0"/>
    <w:rPr>
      <w:rFonts w:ascii="宋体" w:hAnsi="宋体" w:eastAsia="宋体"/>
      <w:bCs/>
      <w:sz w:val="21"/>
      <w:szCs w:val="28"/>
      <w:lang w:val="fr-FR"/>
    </w:rPr>
  </w:style>
  <w:style w:type="character" w:customStyle="1" w:styleId="514">
    <w:name w:val="font101"/>
    <w:qFormat/>
    <w:uiPriority w:val="0"/>
    <w:rPr>
      <w:color w:val="333333"/>
      <w:sz w:val="21"/>
      <w:szCs w:val="21"/>
    </w:rPr>
  </w:style>
  <w:style w:type="character" w:customStyle="1" w:styleId="515">
    <w:name w:val="lh131"/>
    <w:qFormat/>
    <w:uiPriority w:val="0"/>
  </w:style>
  <w:style w:type="character" w:customStyle="1" w:styleId="516">
    <w:name w:val="正文首行缩进 Char2"/>
    <w:qFormat/>
    <w:uiPriority w:val="0"/>
    <w:rPr>
      <w:rFonts w:eastAsia="宋体"/>
      <w:szCs w:val="24"/>
      <w:lang w:bidi="ar-SA"/>
    </w:rPr>
  </w:style>
  <w:style w:type="character" w:customStyle="1" w:styleId="517">
    <w:name w:val="表格 首行文字 Char"/>
    <w:link w:val="518"/>
    <w:qFormat/>
    <w:uiPriority w:val="0"/>
    <w:rPr>
      <w:rFonts w:eastAsia="仿宋_GB2312"/>
      <w:b/>
      <w:szCs w:val="21"/>
    </w:rPr>
  </w:style>
  <w:style w:type="paragraph" w:customStyle="1" w:styleId="518">
    <w:name w:val="表格 首行文字"/>
    <w:link w:val="517"/>
    <w:qFormat/>
    <w:uiPriority w:val="0"/>
    <w:pPr>
      <w:adjustRightInd w:val="0"/>
      <w:snapToGrid w:val="0"/>
      <w:jc w:val="center"/>
    </w:pPr>
    <w:rPr>
      <w:rFonts w:ascii="Times New Roman" w:hAnsi="Times New Roman" w:eastAsia="仿宋_GB2312" w:cs="Times New Roman"/>
      <w:b/>
      <w:szCs w:val="21"/>
      <w:lang w:val="en-US" w:eastAsia="zh-CN" w:bidi="ar-SA"/>
    </w:rPr>
  </w:style>
  <w:style w:type="character" w:customStyle="1" w:styleId="519">
    <w:name w:val="正文文本缩进 3 Char6"/>
    <w:qFormat/>
    <w:uiPriority w:val="99"/>
    <w:rPr>
      <w:rFonts w:ascii="仿宋_GB2312" w:eastAsia="仿宋_GB2312"/>
      <w:kern w:val="2"/>
      <w:sz w:val="28"/>
      <w:szCs w:val="24"/>
    </w:rPr>
  </w:style>
  <w:style w:type="character" w:customStyle="1" w:styleId="520">
    <w:name w:val="标题 4 Char2"/>
    <w:qFormat/>
    <w:uiPriority w:val="0"/>
    <w:rPr>
      <w:rFonts w:ascii="宋体" w:hAnsi="宋体" w:eastAsia="宋体" w:cs="Times New Roman"/>
      <w:b/>
    </w:rPr>
  </w:style>
  <w:style w:type="character" w:customStyle="1" w:styleId="521">
    <w:name w:val="标题 1 Char2"/>
    <w:qFormat/>
    <w:uiPriority w:val="0"/>
    <w:rPr>
      <w:rFonts w:ascii="宋体" w:hAnsi="宋体" w:eastAsia="宋体"/>
      <w:b/>
      <w:bCs/>
      <w:kern w:val="44"/>
      <w:sz w:val="32"/>
      <w:szCs w:val="44"/>
      <w:lang w:val="fr-FR"/>
    </w:rPr>
  </w:style>
  <w:style w:type="character" w:customStyle="1" w:styleId="522">
    <w:name w:val="Char6"/>
    <w:qFormat/>
    <w:uiPriority w:val="0"/>
    <w:rPr>
      <w:rFonts w:eastAsia="宋体"/>
      <w:kern w:val="2"/>
      <w:sz w:val="18"/>
      <w:szCs w:val="18"/>
      <w:lang w:val="en-US" w:eastAsia="zh-CN" w:bidi="ar-SA"/>
    </w:rPr>
  </w:style>
  <w:style w:type="character" w:customStyle="1" w:styleId="523">
    <w:name w:val="样式 表题 Char + 五号 加粗 黑色"/>
    <w:qFormat/>
    <w:uiPriority w:val="0"/>
    <w:rPr>
      <w:rFonts w:ascii="仿宋_GB2312" w:eastAsia="仿宋_GB2312"/>
      <w:bCs/>
      <w:color w:val="000000"/>
      <w:kern w:val="2"/>
      <w:sz w:val="24"/>
      <w:szCs w:val="24"/>
    </w:rPr>
  </w:style>
  <w:style w:type="character" w:customStyle="1" w:styleId="524">
    <w:name w:val="正文文本缩进 Char2"/>
    <w:semiHidden/>
    <w:qFormat/>
    <w:uiPriority w:val="99"/>
    <w:rPr>
      <w:rFonts w:ascii="Times New Roman" w:hAnsi="Times New Roman" w:eastAsia="宋体"/>
      <w:lang w:val="fr-FR"/>
    </w:rPr>
  </w:style>
  <w:style w:type="character" w:customStyle="1" w:styleId="525">
    <w:name w:val="纯文本 Char3"/>
    <w:qFormat/>
    <w:uiPriority w:val="0"/>
    <w:rPr>
      <w:rFonts w:ascii="宋体" w:hAnsi="Courier New" w:eastAsia="宋体" w:cs="Courier New"/>
      <w:sz w:val="21"/>
      <w:szCs w:val="21"/>
    </w:rPr>
  </w:style>
  <w:style w:type="character" w:customStyle="1" w:styleId="526">
    <w:name w:val="正文文本缩进 2 Char2"/>
    <w:qFormat/>
    <w:uiPriority w:val="0"/>
    <w:rPr>
      <w:rFonts w:eastAsia="宋体"/>
      <w:lang w:bidi="ar-SA"/>
    </w:rPr>
  </w:style>
  <w:style w:type="character" w:customStyle="1" w:styleId="527">
    <w:name w:val="批注框文本 字符1"/>
    <w:semiHidden/>
    <w:qFormat/>
    <w:uiPriority w:val="99"/>
    <w:rPr>
      <w:kern w:val="2"/>
      <w:sz w:val="18"/>
      <w:szCs w:val="18"/>
      <w:lang w:val="fr-FR"/>
    </w:rPr>
  </w:style>
  <w:style w:type="character" w:customStyle="1" w:styleId="528">
    <w:name w:val="9c"/>
    <w:qFormat/>
    <w:uiPriority w:val="0"/>
  </w:style>
  <w:style w:type="character" w:customStyle="1" w:styleId="529">
    <w:name w:val="样式 题注 + 宋体 小四 Char Char"/>
    <w:qFormat/>
    <w:uiPriority w:val="0"/>
    <w:rPr>
      <w:rFonts w:ascii="宋体" w:hAnsi="宋体" w:eastAsia="宋体" w:cs="Arial"/>
      <w:kern w:val="2"/>
      <w:sz w:val="24"/>
      <w:lang w:val="en-US" w:eastAsia="zh-CN" w:bidi="ar-SA"/>
    </w:rPr>
  </w:style>
  <w:style w:type="character" w:customStyle="1" w:styleId="530">
    <w:name w:val="f141"/>
    <w:qFormat/>
    <w:uiPriority w:val="0"/>
    <w:rPr>
      <w:rFonts w:hint="default" w:ascii="ˎ̥" w:hAnsi="ˎ̥"/>
      <w:sz w:val="22"/>
      <w:szCs w:val="22"/>
    </w:rPr>
  </w:style>
  <w:style w:type="character" w:customStyle="1" w:styleId="531">
    <w:name w:val="四级标题新 Char"/>
    <w:link w:val="532"/>
    <w:qFormat/>
    <w:uiPriority w:val="0"/>
    <w:rPr>
      <w:rFonts w:eastAsia="黑体"/>
      <w:b/>
      <w:bCs/>
      <w:sz w:val="24"/>
      <w:lang w:eastAsia="zh-TW"/>
    </w:rPr>
  </w:style>
  <w:style w:type="paragraph" w:customStyle="1" w:styleId="532">
    <w:name w:val="四级标题新"/>
    <w:basedOn w:val="12"/>
    <w:link w:val="531"/>
    <w:qFormat/>
    <w:uiPriority w:val="0"/>
    <w:pPr>
      <w:widowControl w:val="0"/>
      <w:numPr>
        <w:ilvl w:val="0"/>
        <w:numId w:val="0"/>
      </w:numPr>
      <w:tabs>
        <w:tab w:val="left" w:pos="0"/>
      </w:tabs>
      <w:spacing w:before="50" w:beforeLines="50"/>
      <w:ind w:left="3829" w:hanging="851"/>
      <w:jc w:val="both"/>
      <w:outlineLvl w:val="3"/>
    </w:pPr>
    <w:rPr>
      <w:rFonts w:ascii="Times New Roman" w:hAnsi="Times New Roman" w:cs="Times New Roman"/>
      <w:szCs w:val="20"/>
      <w:lang w:eastAsia="zh-TW"/>
    </w:rPr>
  </w:style>
  <w:style w:type="character" w:customStyle="1" w:styleId="533">
    <w:name w:val="样式 (中文) 楷体_GB2312 四号"/>
    <w:qFormat/>
    <w:uiPriority w:val="0"/>
    <w:rPr>
      <w:rFonts w:eastAsia="楷体_GB2312"/>
      <w:spacing w:val="8"/>
      <w:kern w:val="0"/>
      <w:sz w:val="28"/>
      <w:szCs w:val="21"/>
      <w:lang w:val="en-US" w:eastAsia="zh-CN" w:bidi="ar-SA"/>
    </w:rPr>
  </w:style>
  <w:style w:type="character" w:customStyle="1" w:styleId="534">
    <w:name w:val="章标题 1 Char Char Char Char"/>
    <w:qFormat/>
    <w:uiPriority w:val="0"/>
    <w:rPr>
      <w:rFonts w:eastAsia="宋体"/>
      <w:b/>
      <w:bCs/>
      <w:kern w:val="44"/>
      <w:sz w:val="30"/>
      <w:szCs w:val="44"/>
      <w:shd w:val="clear" w:color="auto" w:fill="FFFFFF"/>
      <w:lang w:val="en-US" w:eastAsia="zh-CN" w:bidi="ar-SA"/>
    </w:rPr>
  </w:style>
  <w:style w:type="character" w:customStyle="1" w:styleId="535">
    <w:name w:val="z-窗体底端 Char Char"/>
    <w:qFormat/>
    <w:uiPriority w:val="0"/>
    <w:rPr>
      <w:rFonts w:ascii="Arial" w:hAnsi="Arial"/>
      <w:vanish/>
      <w:sz w:val="16"/>
      <w:szCs w:val="16"/>
      <w:lang w:bidi="ar-SA"/>
    </w:rPr>
  </w:style>
  <w:style w:type="character" w:customStyle="1" w:styleId="536">
    <w:name w:val="文本正文 Char Char"/>
    <w:qFormat/>
    <w:uiPriority w:val="0"/>
    <w:rPr>
      <w:kern w:val="2"/>
      <w:sz w:val="24"/>
      <w:szCs w:val="24"/>
      <w:lang w:bidi="ar-SA"/>
    </w:rPr>
  </w:style>
  <w:style w:type="character" w:customStyle="1" w:styleId="537">
    <w:name w:val="正文小 Char"/>
    <w:link w:val="538"/>
    <w:qFormat/>
    <w:uiPriority w:val="0"/>
    <w:rPr>
      <w:sz w:val="24"/>
    </w:rPr>
  </w:style>
  <w:style w:type="paragraph" w:customStyle="1" w:styleId="538">
    <w:name w:val="正文小"/>
    <w:basedOn w:val="54"/>
    <w:link w:val="537"/>
    <w:qFormat/>
    <w:uiPriority w:val="0"/>
    <w:pPr>
      <w:widowControl w:val="0"/>
      <w:adjustRightInd w:val="0"/>
      <w:snapToGrid w:val="0"/>
      <w:spacing w:line="440" w:lineRule="exact"/>
      <w:ind w:left="0" w:firstLine="567" w:firstLineChars="0"/>
      <w:jc w:val="both"/>
    </w:pPr>
    <w:rPr>
      <w:rFonts w:ascii="Times New Roman" w:hAnsi="Times New Roman" w:cs="Times New Roman"/>
    </w:rPr>
  </w:style>
  <w:style w:type="character" w:customStyle="1" w:styleId="539">
    <w:name w:val="图 Char Char"/>
    <w:qFormat/>
    <w:uiPriority w:val="0"/>
    <w:rPr>
      <w:kern w:val="2"/>
      <w:sz w:val="24"/>
      <w:szCs w:val="24"/>
      <w:lang w:bidi="ar-SA"/>
    </w:rPr>
  </w:style>
  <w:style w:type="character" w:customStyle="1" w:styleId="540">
    <w:name w:val="福州正文 Char"/>
    <w:link w:val="541"/>
    <w:qFormat/>
    <w:uiPriority w:val="0"/>
    <w:rPr>
      <w:rFonts w:ascii="华文细黑" w:hAnsi="Arial Narrow" w:eastAsia="华文细黑"/>
      <w:szCs w:val="21"/>
    </w:rPr>
  </w:style>
  <w:style w:type="paragraph" w:customStyle="1" w:styleId="541">
    <w:name w:val="福州正文"/>
    <w:basedOn w:val="1"/>
    <w:link w:val="540"/>
    <w:qFormat/>
    <w:uiPriority w:val="0"/>
    <w:pPr>
      <w:spacing w:line="300" w:lineRule="auto"/>
      <w:ind w:firstLine="420"/>
    </w:pPr>
    <w:rPr>
      <w:rFonts w:ascii="华文细黑" w:hAnsi="Arial Narrow" w:eastAsia="华文细黑"/>
      <w:kern w:val="0"/>
      <w:sz w:val="20"/>
      <w:szCs w:val="21"/>
    </w:rPr>
  </w:style>
  <w:style w:type="character" w:customStyle="1" w:styleId="542">
    <w:name w:val="样式 正文 首行缩进 + 首行缩进:  2 字符 行距: 单倍行距 Char Char"/>
    <w:qFormat/>
    <w:uiPriority w:val="0"/>
    <w:rPr>
      <w:kern w:val="2"/>
      <w:sz w:val="21"/>
      <w:lang w:bidi="ar-SA"/>
    </w:rPr>
  </w:style>
  <w:style w:type="character" w:customStyle="1" w:styleId="543">
    <w:name w:val="HTML 预设格式 Char1"/>
    <w:semiHidden/>
    <w:qFormat/>
    <w:uiPriority w:val="0"/>
    <w:rPr>
      <w:rFonts w:ascii="Courier New" w:hAnsi="Courier New" w:cs="Courier New"/>
      <w:sz w:val="20"/>
      <w:szCs w:val="20"/>
    </w:rPr>
  </w:style>
  <w:style w:type="character" w:customStyle="1" w:styleId="544">
    <w:name w:val="标题2 Char Char"/>
    <w:qFormat/>
    <w:uiPriority w:val="0"/>
    <w:rPr>
      <w:rFonts w:eastAsia="方正楷体_GBK"/>
      <w:snapToGrid w:val="0"/>
      <w:sz w:val="32"/>
      <w:lang w:bidi="ar-SA"/>
    </w:rPr>
  </w:style>
  <w:style w:type="character" w:customStyle="1" w:styleId="545">
    <w:name w:val="表格居中 Char Char"/>
    <w:qFormat/>
    <w:uiPriority w:val="0"/>
    <w:rPr>
      <w:rFonts w:ascii="宋体" w:eastAsia="宋体"/>
      <w:kern w:val="2"/>
      <w:sz w:val="24"/>
      <w:lang w:val="en-US" w:eastAsia="zh-CN" w:bidi="ar-SA"/>
    </w:rPr>
  </w:style>
  <w:style w:type="character" w:customStyle="1" w:styleId="546">
    <w:name w:val="样式 正文1 + 黑体 小四 Char Char"/>
    <w:qFormat/>
    <w:uiPriority w:val="0"/>
    <w:rPr>
      <w:rFonts w:ascii="黑体" w:hAnsi="黑体"/>
      <w:b/>
      <w:spacing w:val="8"/>
      <w:kern w:val="21"/>
      <w:lang w:bidi="ar-SA"/>
    </w:rPr>
  </w:style>
  <w:style w:type="character" w:customStyle="1" w:styleId="547">
    <w:name w:val="样式 题注Char Char Char Char题注 Char2题注 Char Char题注 Char Char C...1 Char Char"/>
    <w:qFormat/>
    <w:uiPriority w:val="0"/>
    <w:rPr>
      <w:rFonts w:ascii="Arial" w:hAnsi="Arial" w:eastAsia="宋体" w:cs="宋体"/>
      <w:snapToGrid w:val="0"/>
      <w:kern w:val="24"/>
      <w:sz w:val="24"/>
      <w:szCs w:val="24"/>
      <w:lang w:val="en-US" w:eastAsia="zh-CN" w:bidi="ar-SA"/>
    </w:rPr>
  </w:style>
  <w:style w:type="character" w:customStyle="1" w:styleId="548">
    <w:name w:val="表中文字 Char1"/>
    <w:link w:val="549"/>
    <w:qFormat/>
    <w:uiPriority w:val="0"/>
    <w:rPr>
      <w:snapToGrid/>
      <w:sz w:val="21"/>
      <w:szCs w:val="21"/>
      <w:lang w:eastAsia="zh-TW"/>
    </w:rPr>
  </w:style>
  <w:style w:type="paragraph" w:customStyle="1" w:styleId="549">
    <w:name w:val="表中文字"/>
    <w:basedOn w:val="1"/>
    <w:link w:val="548"/>
    <w:qFormat/>
    <w:uiPriority w:val="0"/>
    <w:pPr>
      <w:snapToGrid w:val="0"/>
      <w:jc w:val="center"/>
    </w:pPr>
    <w:rPr>
      <w:snapToGrid w:val="0"/>
      <w:kern w:val="0"/>
      <w:szCs w:val="21"/>
      <w:lang w:eastAsia="zh-TW"/>
    </w:rPr>
  </w:style>
  <w:style w:type="character" w:customStyle="1" w:styleId="550">
    <w:name w:val="首行缩进正文 Char"/>
    <w:link w:val="551"/>
    <w:qFormat/>
    <w:uiPriority w:val="0"/>
    <w:rPr>
      <w:sz w:val="24"/>
    </w:rPr>
  </w:style>
  <w:style w:type="paragraph" w:customStyle="1" w:styleId="551">
    <w:name w:val="首行缩进正文"/>
    <w:basedOn w:val="1"/>
    <w:link w:val="550"/>
    <w:qFormat/>
    <w:uiPriority w:val="0"/>
    <w:pPr>
      <w:spacing w:line="360" w:lineRule="auto"/>
      <w:ind w:firstLine="480" w:firstLineChars="200"/>
    </w:pPr>
    <w:rPr>
      <w:kern w:val="0"/>
      <w:sz w:val="24"/>
      <w:szCs w:val="20"/>
    </w:rPr>
  </w:style>
  <w:style w:type="character" w:customStyle="1" w:styleId="552">
    <w:name w:val="正文粗 Char Char Char"/>
    <w:qFormat/>
    <w:uiPriority w:val="0"/>
    <w:rPr>
      <w:rFonts w:eastAsia="宋体"/>
      <w:b/>
      <w:sz w:val="24"/>
      <w:lang w:val="en-US" w:eastAsia="zh-CN" w:bidi="ar-SA"/>
    </w:rPr>
  </w:style>
  <w:style w:type="character" w:customStyle="1" w:styleId="553">
    <w:name w:val="页眉zxl Char1"/>
    <w:qFormat/>
    <w:uiPriority w:val="0"/>
    <w:rPr>
      <w:sz w:val="18"/>
      <w:szCs w:val="18"/>
    </w:rPr>
  </w:style>
  <w:style w:type="character" w:customStyle="1" w:styleId="554">
    <w:name w:val="Char Char191"/>
    <w:qFormat/>
    <w:uiPriority w:val="0"/>
    <w:rPr>
      <w:rFonts w:ascii="Times New Roman" w:hAnsi="Times New Roman"/>
      <w:b/>
      <w:bCs/>
      <w:kern w:val="2"/>
      <w:sz w:val="28"/>
      <w:szCs w:val="28"/>
    </w:rPr>
  </w:style>
  <w:style w:type="character" w:customStyle="1" w:styleId="555">
    <w:name w:val="结束语 字符1"/>
    <w:semiHidden/>
    <w:qFormat/>
    <w:uiPriority w:val="99"/>
    <w:rPr>
      <w:kern w:val="2"/>
      <w:sz w:val="24"/>
      <w:szCs w:val="24"/>
      <w:lang w:val="fr-FR"/>
    </w:rPr>
  </w:style>
  <w:style w:type="character" w:customStyle="1" w:styleId="556">
    <w:name w:val="Char Char Char Char2"/>
    <w:qFormat/>
    <w:uiPriority w:val="0"/>
    <w:rPr>
      <w:rFonts w:eastAsia="黑体"/>
      <w:b/>
      <w:bCs/>
      <w:snapToGrid w:val="0"/>
      <w:sz w:val="24"/>
      <w:szCs w:val="32"/>
      <w:lang w:val="en-US" w:eastAsia="zh-CN" w:bidi="ar-SA"/>
    </w:rPr>
  </w:style>
  <w:style w:type="character" w:customStyle="1" w:styleId="557">
    <w:name w:val="正文首行缩进 2 + Times New Roman Char Char"/>
    <w:qFormat/>
    <w:uiPriority w:val="0"/>
    <w:rPr>
      <w:rFonts w:eastAsia="宋体"/>
      <w:sz w:val="24"/>
      <w:szCs w:val="24"/>
      <w:lang w:val="en-US" w:eastAsia="zh-CN" w:bidi="ar-SA"/>
    </w:rPr>
  </w:style>
  <w:style w:type="character" w:customStyle="1" w:styleId="558">
    <w:name w:val="我的样式（正文） Char Char"/>
    <w:qFormat/>
    <w:uiPriority w:val="0"/>
    <w:rPr>
      <w:rFonts w:ascii="宋体" w:hAnsi="华文楷体" w:eastAsia="宋体" w:cs="宋体"/>
      <w:kern w:val="2"/>
      <w:sz w:val="24"/>
      <w:szCs w:val="24"/>
      <w:lang w:val="en-US" w:eastAsia="zh-CN" w:bidi="ar-SA"/>
    </w:rPr>
  </w:style>
  <w:style w:type="character" w:customStyle="1" w:styleId="559">
    <w:name w:val="Char Char28"/>
    <w:qFormat/>
    <w:uiPriority w:val="0"/>
    <w:rPr>
      <w:rFonts w:ascii="宋体" w:hAnsi="宋体" w:eastAsia="宋体"/>
      <w:b/>
      <w:bCs/>
      <w:sz w:val="28"/>
      <w:szCs w:val="32"/>
      <w:lang w:val="fr-FR"/>
    </w:rPr>
  </w:style>
  <w:style w:type="character" w:customStyle="1" w:styleId="560">
    <w:name w:val="Body text + 8.5 pt"/>
    <w:qFormat/>
    <w:uiPriority w:val="0"/>
    <w:rPr>
      <w:rFonts w:ascii="宋体" w:hAnsi="宋体" w:eastAsia="Times New Roman" w:cs="宋体"/>
      <w:b/>
      <w:bCs/>
      <w:color w:val="000000"/>
      <w:spacing w:val="-10"/>
      <w:w w:val="100"/>
      <w:position w:val="0"/>
      <w:sz w:val="17"/>
      <w:szCs w:val="17"/>
      <w:u w:val="none"/>
      <w:lang w:val="zh-CN"/>
    </w:rPr>
  </w:style>
  <w:style w:type="character" w:customStyle="1" w:styleId="561">
    <w:name w:val="题注1 Char Char1"/>
    <w:qFormat/>
    <w:uiPriority w:val="0"/>
    <w:rPr>
      <w:rFonts w:eastAsia="宋体"/>
      <w:kern w:val="2"/>
      <w:sz w:val="21"/>
      <w:szCs w:val="24"/>
      <w:lang w:val="en-US" w:eastAsia="zh-CN" w:bidi="ar-SA"/>
    </w:rPr>
  </w:style>
  <w:style w:type="character" w:customStyle="1" w:styleId="562">
    <w:name w:val="Body text + 9.5 pt8"/>
    <w:qFormat/>
    <w:uiPriority w:val="0"/>
    <w:rPr>
      <w:rFonts w:ascii="宋体" w:eastAsia="宋体" w:cs="宋体"/>
      <w:sz w:val="19"/>
      <w:szCs w:val="19"/>
      <w:u w:val="none"/>
    </w:rPr>
  </w:style>
  <w:style w:type="character" w:customStyle="1" w:styleId="563">
    <w:name w:val="大妹正文 Char Char Char"/>
    <w:qFormat/>
    <w:uiPriority w:val="0"/>
    <w:rPr>
      <w:rFonts w:ascii="宋体" w:eastAsia="宋体"/>
      <w:b/>
      <w:bCs/>
      <w:color w:val="000000"/>
      <w:kern w:val="44"/>
      <w:sz w:val="24"/>
      <w:szCs w:val="24"/>
      <w:lang w:val="en-US" w:eastAsia="zh-CN" w:bidi="ar-SA"/>
    </w:rPr>
  </w:style>
  <w:style w:type="character" w:customStyle="1" w:styleId="564">
    <w:name w:val="text251"/>
    <w:qFormat/>
    <w:uiPriority w:val="0"/>
    <w:rPr>
      <w:sz w:val="20"/>
      <w:szCs w:val="20"/>
    </w:rPr>
  </w:style>
  <w:style w:type="character" w:customStyle="1" w:styleId="565">
    <w:name w:val="文档结构图 Char1"/>
    <w:qFormat/>
    <w:uiPriority w:val="0"/>
    <w:rPr>
      <w:rFonts w:ascii="宋体"/>
      <w:kern w:val="2"/>
      <w:sz w:val="18"/>
      <w:szCs w:val="18"/>
    </w:rPr>
  </w:style>
  <w:style w:type="character" w:customStyle="1" w:styleId="566">
    <w:name w:val="LNG－文本框 Char Char Char"/>
    <w:qFormat/>
    <w:uiPriority w:val="0"/>
    <w:rPr>
      <w:rFonts w:eastAsia="宋体"/>
      <w:kern w:val="2"/>
      <w:sz w:val="21"/>
      <w:szCs w:val="21"/>
      <w:lang w:val="en-US" w:eastAsia="zh-CN" w:bidi="ar-SA"/>
    </w:rPr>
  </w:style>
  <w:style w:type="character" w:customStyle="1" w:styleId="567">
    <w:name w:val="样式3 Char Char Char Char Char1"/>
    <w:qFormat/>
    <w:uiPriority w:val="0"/>
    <w:rPr>
      <w:rFonts w:eastAsia="宋体"/>
      <w:kern w:val="2"/>
      <w:sz w:val="24"/>
      <w:szCs w:val="24"/>
      <w:lang w:val="en-US" w:eastAsia="zh-CN" w:bidi="ar-SA"/>
    </w:rPr>
  </w:style>
  <w:style w:type="character" w:customStyle="1" w:styleId="568">
    <w:name w:val="（英） Char Char"/>
    <w:qFormat/>
    <w:uiPriority w:val="0"/>
    <w:rPr>
      <w:rFonts w:ascii="Arial" w:hAnsi="Arial" w:cs="Arial"/>
      <w:b/>
      <w:bCs/>
      <w:kern w:val="2"/>
      <w:sz w:val="44"/>
      <w:szCs w:val="32"/>
    </w:rPr>
  </w:style>
  <w:style w:type="character" w:customStyle="1" w:styleId="569">
    <w:name w:val="hover27"/>
    <w:qFormat/>
    <w:uiPriority w:val="0"/>
  </w:style>
  <w:style w:type="character" w:customStyle="1" w:styleId="570">
    <w:name w:val="表名 Char Char"/>
    <w:qFormat/>
    <w:uiPriority w:val="0"/>
    <w:rPr>
      <w:rFonts w:ascii="Arial" w:hAnsi="Arial" w:eastAsia="宋体"/>
      <w:b/>
      <w:snapToGrid w:val="0"/>
      <w:sz w:val="24"/>
      <w:szCs w:val="18"/>
      <w:lang w:val="en-US" w:eastAsia="zh-CN" w:bidi="ar-SA"/>
    </w:rPr>
  </w:style>
  <w:style w:type="character" w:customStyle="1" w:styleId="571">
    <w:name w:val="正文缩进 Char1 Char Char Char1"/>
    <w:qFormat/>
    <w:uiPriority w:val="0"/>
    <w:rPr>
      <w:rFonts w:eastAsia="宋体"/>
      <w:kern w:val="2"/>
      <w:sz w:val="24"/>
      <w:szCs w:val="24"/>
      <w:lang w:val="en-US" w:eastAsia="zh-CN" w:bidi="ar-SA"/>
    </w:rPr>
  </w:style>
  <w:style w:type="character" w:customStyle="1" w:styleId="572">
    <w:name w:val="表头样式 Char Char"/>
    <w:qFormat/>
    <w:uiPriority w:val="0"/>
    <w:rPr>
      <w:b/>
      <w:sz w:val="22"/>
      <w:lang w:val="en-US" w:eastAsia="zh-CN" w:bidi="ar-SA"/>
    </w:rPr>
  </w:style>
  <w:style w:type="character" w:customStyle="1" w:styleId="573">
    <w:name w:val="网格型c Char1"/>
    <w:qFormat/>
    <w:uiPriority w:val="0"/>
    <w:rPr>
      <w:rFonts w:eastAsia="宋体"/>
      <w:kern w:val="2"/>
      <w:sz w:val="21"/>
      <w:szCs w:val="21"/>
      <w:lang w:val="en-US" w:eastAsia="zh-CN" w:bidi="ar-SA"/>
    </w:rPr>
  </w:style>
  <w:style w:type="character" w:customStyle="1" w:styleId="574">
    <w:name w:val="Body text + 10.5 pt5"/>
    <w:qFormat/>
    <w:uiPriority w:val="0"/>
    <w:rPr>
      <w:rFonts w:ascii="宋体" w:eastAsia="宋体" w:cs="宋体"/>
      <w:sz w:val="21"/>
      <w:szCs w:val="21"/>
      <w:u w:val="none"/>
      <w:lang w:bidi="ar-SA"/>
    </w:rPr>
  </w:style>
  <w:style w:type="character" w:customStyle="1" w:styleId="575">
    <w:name w:val="Char Char45"/>
    <w:qFormat/>
    <w:uiPriority w:val="0"/>
    <w:rPr>
      <w:rFonts w:ascii="Times New Roman" w:hAnsi="Times New Roman" w:eastAsia="宋体" w:cs="Times New Roman"/>
      <w:b/>
      <w:bCs/>
      <w:sz w:val="32"/>
      <w:szCs w:val="32"/>
    </w:rPr>
  </w:style>
  <w:style w:type="character" w:customStyle="1" w:styleId="576">
    <w:name w:val="【4级标题】 Char Char"/>
    <w:qFormat/>
    <w:uiPriority w:val="0"/>
    <w:rPr>
      <w:rFonts w:eastAsia="黑体"/>
      <w:b/>
      <w:bCs/>
      <w:kern w:val="2"/>
      <w:sz w:val="30"/>
      <w:szCs w:val="28"/>
    </w:rPr>
  </w:style>
  <w:style w:type="character" w:customStyle="1" w:styleId="577">
    <w:name w:val="样式4 Char Char"/>
    <w:qFormat/>
    <w:uiPriority w:val="0"/>
    <w:rPr>
      <w:rFonts w:ascii="Times New Roman" w:hAnsi="Times New Roman" w:eastAsia="宋体" w:cs="Times New Roman"/>
      <w:sz w:val="24"/>
      <w:szCs w:val="24"/>
    </w:rPr>
  </w:style>
  <w:style w:type="character" w:customStyle="1" w:styleId="578">
    <w:name w:val="EmailStyle1736"/>
    <w:semiHidden/>
    <w:qFormat/>
    <w:uiPriority w:val="0"/>
    <w:rPr>
      <w:rFonts w:ascii="Arial" w:hAnsi="Arial" w:eastAsia="宋体" w:cs="Arial"/>
      <w:color w:val="auto"/>
      <w:sz w:val="18"/>
      <w:szCs w:val="20"/>
    </w:rPr>
  </w:style>
  <w:style w:type="character" w:customStyle="1" w:styleId="579">
    <w:name w:val="日期 Char Char"/>
    <w:qFormat/>
    <w:uiPriority w:val="0"/>
    <w:rPr>
      <w:b/>
      <w:kern w:val="2"/>
      <w:sz w:val="24"/>
    </w:rPr>
  </w:style>
  <w:style w:type="character" w:customStyle="1" w:styleId="580">
    <w:name w:val="样式 首行缩进:  2 字符1（OPCC宋体） Char"/>
    <w:link w:val="581"/>
    <w:qFormat/>
    <w:uiPriority w:val="0"/>
    <w:rPr>
      <w:sz w:val="24"/>
      <w:szCs w:val="24"/>
    </w:rPr>
  </w:style>
  <w:style w:type="paragraph" w:customStyle="1" w:styleId="581">
    <w:name w:val="样式 首行缩进:  2 字符1（OPCC宋体）"/>
    <w:basedOn w:val="1"/>
    <w:link w:val="580"/>
    <w:qFormat/>
    <w:uiPriority w:val="0"/>
    <w:pPr>
      <w:spacing w:line="360" w:lineRule="auto"/>
      <w:ind w:firstLine="456" w:firstLineChars="200"/>
    </w:pPr>
    <w:rPr>
      <w:kern w:val="0"/>
      <w:sz w:val="24"/>
    </w:rPr>
  </w:style>
  <w:style w:type="character" w:customStyle="1" w:styleId="582">
    <w:name w:val="arr1"/>
    <w:qFormat/>
    <w:uiPriority w:val="0"/>
  </w:style>
  <w:style w:type="character" w:customStyle="1" w:styleId="583">
    <w:name w:val="陈正文 Char Char"/>
    <w:link w:val="584"/>
    <w:qFormat/>
    <w:uiPriority w:val="0"/>
    <w:rPr>
      <w:rFonts w:eastAsia="仿宋_GB2312"/>
      <w:color w:val="FF0000"/>
      <w:kern w:val="2"/>
      <w:sz w:val="28"/>
      <w:szCs w:val="28"/>
    </w:rPr>
  </w:style>
  <w:style w:type="paragraph" w:customStyle="1" w:styleId="584">
    <w:name w:val="陈正文"/>
    <w:basedOn w:val="1"/>
    <w:next w:val="1"/>
    <w:link w:val="583"/>
    <w:unhideWhenUsed/>
    <w:qFormat/>
    <w:uiPriority w:val="0"/>
    <w:pPr>
      <w:spacing w:before="120" w:after="120" w:line="480" w:lineRule="exact"/>
      <w:ind w:left="578" w:firstLine="560" w:firstLineChars="200"/>
    </w:pPr>
    <w:rPr>
      <w:rFonts w:eastAsia="仿宋_GB2312"/>
      <w:color w:val="FF0000"/>
      <w:sz w:val="28"/>
      <w:szCs w:val="28"/>
    </w:rPr>
  </w:style>
  <w:style w:type="character" w:customStyle="1" w:styleId="585">
    <w:name w:val="样式 标题 1 + 段前: 0.5 行 段后: 0.5 行 Char Char"/>
    <w:qFormat/>
    <w:uiPriority w:val="0"/>
    <w:rPr>
      <w:rFonts w:eastAsia="黑体"/>
      <w:b/>
      <w:bCs/>
      <w:kern w:val="44"/>
      <w:sz w:val="44"/>
      <w:lang w:bidi="ar-SA"/>
    </w:rPr>
  </w:style>
  <w:style w:type="character" w:customStyle="1" w:styleId="586">
    <w:name w:val="Body text + Spacing 0 pt4"/>
    <w:qFormat/>
    <w:uiPriority w:val="0"/>
    <w:rPr>
      <w:rFonts w:ascii="MingLiU" w:eastAsia="MingLiU" w:cs="MingLiU"/>
      <w:spacing w:val="-10"/>
      <w:sz w:val="23"/>
      <w:szCs w:val="23"/>
      <w:u w:val="none"/>
      <w:lang w:bidi="ar-SA"/>
    </w:rPr>
  </w:style>
  <w:style w:type="character" w:customStyle="1" w:styleId="587">
    <w:name w:val="样式 宋体 黑色 加宽量  1 磅"/>
    <w:qFormat/>
    <w:uiPriority w:val="0"/>
    <w:rPr>
      <w:rFonts w:ascii="宋体" w:hAnsi="宋体"/>
      <w:color w:val="000000"/>
      <w:spacing w:val="0"/>
    </w:rPr>
  </w:style>
  <w:style w:type="character" w:customStyle="1" w:styleId="588">
    <w:name w:val="表格1 + 四号 Char"/>
    <w:qFormat/>
    <w:uiPriority w:val="0"/>
    <w:rPr>
      <w:rFonts w:eastAsia="宋体"/>
      <w:kern w:val="2"/>
      <w:sz w:val="28"/>
      <w:szCs w:val="24"/>
      <w:lang w:val="en-US" w:eastAsia="zh-CN" w:bidi="ar-SA"/>
    </w:rPr>
  </w:style>
  <w:style w:type="character" w:customStyle="1" w:styleId="589">
    <w:name w:val="Char4 Char Char"/>
    <w:qFormat/>
    <w:uiPriority w:val="0"/>
    <w:rPr>
      <w:rFonts w:ascii="宋体" w:hAnsi="宋体"/>
      <w:kern w:val="2"/>
      <w:sz w:val="24"/>
      <w:szCs w:val="24"/>
      <w:lang w:bidi="ar-SA"/>
    </w:rPr>
  </w:style>
  <w:style w:type="character" w:customStyle="1" w:styleId="590">
    <w:name w:val="t11"/>
    <w:qFormat/>
    <w:uiPriority w:val="0"/>
    <w:rPr>
      <w:b/>
      <w:bCs/>
      <w:sz w:val="24"/>
      <w:szCs w:val="24"/>
      <w:shd w:val="clear" w:color="auto" w:fill="FFFFFF"/>
    </w:rPr>
  </w:style>
  <w:style w:type="character" w:customStyle="1" w:styleId="591">
    <w:name w:val="middle1"/>
    <w:qFormat/>
    <w:uiPriority w:val="0"/>
    <w:rPr>
      <w:rFonts w:hint="eastAsia" w:ascii="宋体" w:hAnsi="宋体" w:eastAsia="宋体"/>
      <w:sz w:val="24"/>
      <w:szCs w:val="24"/>
    </w:rPr>
  </w:style>
  <w:style w:type="character" w:customStyle="1" w:styleId="592">
    <w:name w:val="正文格式 Char"/>
    <w:link w:val="593"/>
    <w:qFormat/>
    <w:uiPriority w:val="0"/>
    <w:rPr>
      <w:rFonts w:eastAsia="楷体_GB2312"/>
      <w:kern w:val="2"/>
      <w:sz w:val="28"/>
    </w:rPr>
  </w:style>
  <w:style w:type="paragraph" w:customStyle="1" w:styleId="593">
    <w:name w:val="正文格式"/>
    <w:basedOn w:val="1"/>
    <w:link w:val="592"/>
    <w:unhideWhenUsed/>
    <w:qFormat/>
    <w:uiPriority w:val="0"/>
    <w:pPr>
      <w:spacing w:before="120" w:after="120" w:line="360" w:lineRule="auto"/>
      <w:ind w:left="578" w:firstLine="527"/>
    </w:pPr>
    <w:rPr>
      <w:rFonts w:eastAsia="楷体_GB2312"/>
      <w:sz w:val="28"/>
      <w:szCs w:val="20"/>
    </w:rPr>
  </w:style>
  <w:style w:type="character" w:customStyle="1" w:styleId="594">
    <w:name w:val="样式1 Char"/>
    <w:qFormat/>
    <w:uiPriority w:val="0"/>
    <w:rPr>
      <w:rFonts w:ascii="Times New Roman" w:hAnsi="Times New Roman" w:eastAsia="宋体" w:cs="Times New Roman"/>
      <w:color w:val="FF00FF"/>
      <w:kern w:val="0"/>
      <w:sz w:val="28"/>
      <w:szCs w:val="24"/>
      <w:lang w:val="en-US" w:eastAsia="zh-CN" w:bidi="ar-SA"/>
    </w:rPr>
  </w:style>
  <w:style w:type="character" w:customStyle="1" w:styleId="595">
    <w:name w:val="Body text (2) + Times New Roman"/>
    <w:qFormat/>
    <w:uiPriority w:val="0"/>
    <w:rPr>
      <w:rFonts w:ascii="Times New Roman" w:hAnsi="Times New Roman" w:eastAsia="黑体" w:cs="Times New Roman"/>
      <w:b/>
      <w:bCs/>
      <w:sz w:val="22"/>
      <w:szCs w:val="22"/>
      <w:u w:val="none"/>
      <w:lang w:val="en-US" w:eastAsia="zh-CN" w:bidi="ar-SA"/>
    </w:rPr>
  </w:style>
  <w:style w:type="character" w:customStyle="1" w:styleId="596">
    <w:name w:val="样式 样式 正文 首行缩进 + 首行缩进:  2 字符 行距: 单倍行距 + 首行缩进:  2 字符 Char Char"/>
    <w:qFormat/>
    <w:uiPriority w:val="0"/>
    <w:rPr>
      <w:kern w:val="2"/>
      <w:sz w:val="21"/>
      <w:lang w:bidi="ar-SA"/>
    </w:rPr>
  </w:style>
  <w:style w:type="character" w:customStyle="1" w:styleId="597">
    <w:name w:val="正文小四首缩1.3行距 Char"/>
    <w:link w:val="598"/>
    <w:qFormat/>
    <w:uiPriority w:val="0"/>
    <w:rPr>
      <w:sz w:val="24"/>
      <w:szCs w:val="24"/>
    </w:rPr>
  </w:style>
  <w:style w:type="paragraph" w:customStyle="1" w:styleId="598">
    <w:name w:val="正文小四首缩1.3行距"/>
    <w:basedOn w:val="1"/>
    <w:link w:val="597"/>
    <w:qFormat/>
    <w:uiPriority w:val="0"/>
    <w:pPr>
      <w:spacing w:line="312" w:lineRule="auto"/>
      <w:ind w:firstLine="420" w:firstLineChars="200"/>
    </w:pPr>
    <w:rPr>
      <w:kern w:val="0"/>
      <w:sz w:val="24"/>
    </w:rPr>
  </w:style>
  <w:style w:type="character" w:customStyle="1" w:styleId="599">
    <w:name w:val="南沙表标题 Char Char"/>
    <w:qFormat/>
    <w:uiPriority w:val="0"/>
    <w:rPr>
      <w:b/>
      <w:kern w:val="2"/>
      <w:sz w:val="24"/>
      <w:szCs w:val="24"/>
      <w:lang w:bidi="ar-SA"/>
    </w:rPr>
  </w:style>
  <w:style w:type="character" w:customStyle="1" w:styleId="600">
    <w:name w:val="正文王 Char Char"/>
    <w:link w:val="601"/>
    <w:qFormat/>
    <w:uiPriority w:val="0"/>
    <w:rPr>
      <w:snapToGrid/>
      <w:sz w:val="24"/>
      <w:szCs w:val="28"/>
    </w:rPr>
  </w:style>
  <w:style w:type="paragraph" w:customStyle="1" w:styleId="601">
    <w:name w:val="正文王"/>
    <w:basedOn w:val="1"/>
    <w:link w:val="600"/>
    <w:qFormat/>
    <w:uiPriority w:val="0"/>
    <w:pPr>
      <w:widowControl/>
      <w:tabs>
        <w:tab w:val="left" w:pos="7080"/>
      </w:tabs>
      <w:adjustRightInd w:val="0"/>
      <w:snapToGrid w:val="0"/>
      <w:spacing w:before="120" w:after="120" w:line="360" w:lineRule="auto"/>
      <w:ind w:left="578" w:firstLine="200" w:firstLineChars="200"/>
    </w:pPr>
    <w:rPr>
      <w:snapToGrid w:val="0"/>
      <w:kern w:val="0"/>
      <w:sz w:val="24"/>
      <w:szCs w:val="28"/>
    </w:rPr>
  </w:style>
  <w:style w:type="character" w:customStyle="1" w:styleId="602">
    <w:name w:val="bsharetext"/>
    <w:qFormat/>
    <w:uiPriority w:val="0"/>
  </w:style>
  <w:style w:type="character" w:customStyle="1" w:styleId="603">
    <w:name w:val="一号 加粗 无缩进居中"/>
    <w:unhideWhenUsed/>
    <w:qFormat/>
    <w:uiPriority w:val="0"/>
    <w:rPr>
      <w:b/>
      <w:bCs/>
      <w:sz w:val="52"/>
    </w:rPr>
  </w:style>
  <w:style w:type="character" w:customStyle="1" w:styleId="604">
    <w:name w:val="样式 标题 4 + 左侧:  0 厘米 悬挂缩进: 8.64 字符 段前: 6 磅 段后: 6 磅 行距: 单倍行距 Char Char"/>
    <w:link w:val="605"/>
    <w:qFormat/>
    <w:uiPriority w:val="0"/>
    <w:rPr>
      <w:rFonts w:ascii="Arial" w:hAnsi="Arial" w:eastAsia="黑体"/>
      <w:b/>
      <w:bCs/>
      <w:kern w:val="2"/>
      <w:sz w:val="24"/>
    </w:rPr>
  </w:style>
  <w:style w:type="paragraph" w:customStyle="1" w:styleId="605">
    <w:name w:val="样式 标题 4 + 左侧:  0 厘米 悬挂缩进: 8.64 字符 段前: 6 磅 段后: 6 磅 行距: 单倍行距"/>
    <w:basedOn w:val="10"/>
    <w:link w:val="604"/>
    <w:qFormat/>
    <w:uiPriority w:val="0"/>
    <w:pPr>
      <w:widowControl w:val="0"/>
      <w:numPr>
        <w:ilvl w:val="0"/>
        <w:numId w:val="0"/>
      </w:numPr>
      <w:tabs>
        <w:tab w:val="left" w:pos="864"/>
      </w:tabs>
      <w:spacing w:before="120" w:after="120" w:line="312" w:lineRule="auto"/>
      <w:ind w:left="864" w:hanging="864"/>
      <w:jc w:val="both"/>
    </w:pPr>
    <w:rPr>
      <w:rFonts w:eastAsia="黑体" w:cs="Times New Roman"/>
      <w:kern w:val="2"/>
      <w:szCs w:val="20"/>
    </w:rPr>
  </w:style>
  <w:style w:type="character" w:customStyle="1" w:styleId="606">
    <w:name w:val="条标题1.1.1 Char"/>
    <w:qFormat/>
    <w:uiPriority w:val="0"/>
    <w:rPr>
      <w:rFonts w:eastAsia="宋体"/>
      <w:b/>
      <w:bCs/>
      <w:kern w:val="2"/>
      <w:sz w:val="32"/>
      <w:szCs w:val="32"/>
      <w:lang w:val="en-US" w:eastAsia="zh-CN" w:bidi="ar-SA"/>
    </w:rPr>
  </w:style>
  <w:style w:type="character" w:customStyle="1" w:styleId="607">
    <w:name w:val="图例 Char"/>
    <w:link w:val="608"/>
    <w:qFormat/>
    <w:uiPriority w:val="0"/>
    <w:rPr>
      <w:rFonts w:ascii="黑体" w:hAnsi="Arial" w:eastAsia="黑体"/>
      <w:b/>
      <w:spacing w:val="12"/>
      <w:sz w:val="24"/>
    </w:rPr>
  </w:style>
  <w:style w:type="paragraph" w:customStyle="1" w:styleId="608">
    <w:name w:val="图例"/>
    <w:link w:val="607"/>
    <w:qFormat/>
    <w:uiPriority w:val="0"/>
    <w:pPr>
      <w:autoSpaceDE w:val="0"/>
      <w:autoSpaceDN w:val="0"/>
      <w:adjustRightInd w:val="0"/>
      <w:jc w:val="center"/>
    </w:pPr>
    <w:rPr>
      <w:rFonts w:ascii="黑体" w:hAnsi="Arial" w:eastAsia="黑体" w:cs="Times New Roman"/>
      <w:b/>
      <w:spacing w:val="12"/>
      <w:sz w:val="24"/>
      <w:lang w:val="en-US" w:eastAsia="zh-CN" w:bidi="ar-SA"/>
    </w:rPr>
  </w:style>
  <w:style w:type="character" w:customStyle="1" w:styleId="609">
    <w:name w:val="段落正文 Char Char"/>
    <w:qFormat/>
    <w:uiPriority w:val="0"/>
    <w:rPr>
      <w:rFonts w:eastAsia="仿宋_GB2312"/>
      <w:sz w:val="24"/>
      <w:szCs w:val="24"/>
      <w:lang w:bidi="ar-SA"/>
    </w:rPr>
  </w:style>
  <w:style w:type="character" w:customStyle="1" w:styleId="610">
    <w:name w:val="WW-普通文字 Char Char"/>
    <w:qFormat/>
    <w:uiPriority w:val="0"/>
    <w:rPr>
      <w:rFonts w:ascii="宋体" w:hAnsi="宋体" w:eastAsia="宋体"/>
      <w:kern w:val="1"/>
      <w:sz w:val="24"/>
      <w:lang w:val="en-US" w:eastAsia="zh-CN" w:bidi="ar-SA"/>
    </w:rPr>
  </w:style>
  <w:style w:type="character" w:customStyle="1" w:styleId="611">
    <w:name w:val="表格内字体 Char Char"/>
    <w:qFormat/>
    <w:uiPriority w:val="0"/>
    <w:rPr>
      <w:kern w:val="2"/>
      <w:sz w:val="18"/>
      <w:szCs w:val="24"/>
      <w:lang w:bidi="ar-SA"/>
    </w:rPr>
  </w:style>
  <w:style w:type="character" w:customStyle="1" w:styleId="612">
    <w:name w:val="正文加粗 Char Char"/>
    <w:qFormat/>
    <w:uiPriority w:val="0"/>
    <w:rPr>
      <w:rFonts w:ascii="宋体" w:hAnsi="宋体"/>
      <w:b/>
      <w:bCs/>
      <w:sz w:val="24"/>
      <w:lang w:bidi="ar-SA"/>
    </w:rPr>
  </w:style>
  <w:style w:type="character" w:customStyle="1" w:styleId="613">
    <w:name w:val="Char Char61"/>
    <w:qFormat/>
    <w:uiPriority w:val="0"/>
    <w:rPr>
      <w:kern w:val="2"/>
      <w:sz w:val="18"/>
      <w:szCs w:val="18"/>
    </w:rPr>
  </w:style>
  <w:style w:type="character" w:customStyle="1" w:styleId="614">
    <w:name w:val="main5"/>
    <w:qFormat/>
    <w:uiPriority w:val="0"/>
    <w:rPr>
      <w:sz w:val="18"/>
      <w:szCs w:val="18"/>
    </w:rPr>
  </w:style>
  <w:style w:type="character" w:customStyle="1" w:styleId="615">
    <w:name w:val="正文（杨） Char"/>
    <w:qFormat/>
    <w:uiPriority w:val="0"/>
    <w:rPr>
      <w:rFonts w:eastAsia="宋体"/>
      <w:kern w:val="2"/>
      <w:sz w:val="24"/>
      <w:lang w:val="en-US" w:eastAsia="zh-CN" w:bidi="ar-SA"/>
    </w:rPr>
  </w:style>
  <w:style w:type="character" w:customStyle="1" w:styleId="616">
    <w:name w:val="乐清表3- Char"/>
    <w:link w:val="617"/>
    <w:qFormat/>
    <w:uiPriority w:val="0"/>
    <w:rPr>
      <w:b/>
      <w:color w:val="000000"/>
      <w:kern w:val="2"/>
      <w:sz w:val="21"/>
      <w:szCs w:val="21"/>
    </w:rPr>
  </w:style>
  <w:style w:type="paragraph" w:customStyle="1" w:styleId="617">
    <w:name w:val="乐清表3-"/>
    <w:basedOn w:val="618"/>
    <w:link w:val="616"/>
    <w:qFormat/>
    <w:uiPriority w:val="0"/>
    <w:pPr>
      <w:widowControl w:val="0"/>
      <w:spacing w:beforeLines="100" w:line="360" w:lineRule="auto"/>
      <w:ind w:firstLine="0" w:firstLineChars="0"/>
      <w:jc w:val="center"/>
    </w:pPr>
    <w:rPr>
      <w:rFonts w:ascii="Times New Roman" w:hAnsi="Times New Roman" w:cs="Times New Roman"/>
      <w:b/>
      <w:color w:val="000000"/>
      <w:kern w:val="2"/>
      <w:sz w:val="21"/>
      <w:szCs w:val="21"/>
    </w:rPr>
  </w:style>
  <w:style w:type="paragraph" w:customStyle="1" w:styleId="618">
    <w:name w:val="列出段落1"/>
    <w:basedOn w:val="1"/>
    <w:qFormat/>
    <w:uiPriority w:val="0"/>
    <w:pPr>
      <w:widowControl/>
      <w:ind w:firstLine="420" w:firstLineChars="200"/>
      <w:jc w:val="left"/>
    </w:pPr>
    <w:rPr>
      <w:rFonts w:ascii="Calibri" w:hAnsi="Calibri" w:cs="黑体"/>
      <w:kern w:val="0"/>
      <w:sz w:val="24"/>
      <w:szCs w:val="22"/>
    </w:rPr>
  </w:style>
  <w:style w:type="character" w:customStyle="1" w:styleId="619">
    <w:name w:val="表名1 Char Char"/>
    <w:qFormat/>
    <w:uiPriority w:val="0"/>
    <w:rPr>
      <w:b/>
      <w:kern w:val="2"/>
      <w:sz w:val="28"/>
      <w:szCs w:val="28"/>
      <w:lang w:bidi="ar-SA"/>
    </w:rPr>
  </w:style>
  <w:style w:type="character" w:customStyle="1" w:styleId="620">
    <w:name w:val="样式 标题 3标2条Char标题 3 Char2H3H31H32H33u3标题 3 Char Char Ch... Char"/>
    <w:link w:val="621"/>
    <w:semiHidden/>
    <w:qFormat/>
    <w:uiPriority w:val="0"/>
    <w:rPr>
      <w:rFonts w:eastAsia="黑体"/>
      <w:color w:val="FF0000"/>
      <w:kern w:val="2"/>
      <w:sz w:val="30"/>
    </w:rPr>
  </w:style>
  <w:style w:type="paragraph" w:customStyle="1" w:styleId="621">
    <w:name w:val="样式 标题 3标2条Char标题 3 Char2H3H31H32H33u3标题 3 Char Char Ch..."/>
    <w:basedOn w:val="9"/>
    <w:link w:val="620"/>
    <w:semiHidden/>
    <w:qFormat/>
    <w:uiPriority w:val="0"/>
    <w:pPr>
      <w:widowControl w:val="0"/>
      <w:numPr>
        <w:ilvl w:val="0"/>
        <w:numId w:val="0"/>
      </w:numPr>
      <w:tabs>
        <w:tab w:val="left" w:pos="1740"/>
      </w:tabs>
      <w:spacing w:line="240" w:lineRule="auto"/>
      <w:ind w:left="1740" w:hanging="420"/>
    </w:pPr>
    <w:rPr>
      <w:rFonts w:ascii="Times New Roman" w:hAnsi="Times New Roman" w:eastAsia="黑体" w:cs="Times New Roman"/>
      <w:bCs w:val="0"/>
      <w:color w:val="FF0000"/>
      <w:kern w:val="2"/>
      <w:sz w:val="30"/>
      <w:szCs w:val="20"/>
    </w:rPr>
  </w:style>
  <w:style w:type="character" w:customStyle="1" w:styleId="622">
    <w:name w:val="000格式 Char Char"/>
    <w:link w:val="623"/>
    <w:semiHidden/>
    <w:qFormat/>
    <w:uiPriority w:val="0"/>
    <w:rPr>
      <w:sz w:val="24"/>
      <w:szCs w:val="24"/>
    </w:rPr>
  </w:style>
  <w:style w:type="paragraph" w:customStyle="1" w:styleId="623">
    <w:name w:val="000格式"/>
    <w:basedOn w:val="1"/>
    <w:link w:val="622"/>
    <w:semiHidden/>
    <w:qFormat/>
    <w:uiPriority w:val="0"/>
    <w:pPr>
      <w:spacing w:line="300" w:lineRule="auto"/>
      <w:ind w:firstLine="200" w:firstLineChars="200"/>
    </w:pPr>
    <w:rPr>
      <w:kern w:val="0"/>
      <w:sz w:val="24"/>
    </w:rPr>
  </w:style>
  <w:style w:type="character" w:customStyle="1" w:styleId="624">
    <w:name w:val="Char Char102"/>
    <w:qFormat/>
    <w:uiPriority w:val="0"/>
    <w:rPr>
      <w:rFonts w:eastAsia="宋体"/>
      <w:kern w:val="2"/>
      <w:sz w:val="18"/>
      <w:szCs w:val="18"/>
      <w:lang w:val="en-US" w:eastAsia="zh-CN" w:bidi="ar-SA"/>
    </w:rPr>
  </w:style>
  <w:style w:type="character" w:customStyle="1" w:styleId="625">
    <w:name w:val="样式3 Char Char Char Char"/>
    <w:qFormat/>
    <w:uiPriority w:val="0"/>
    <w:rPr>
      <w:rFonts w:eastAsia="宋体"/>
      <w:kern w:val="2"/>
      <w:sz w:val="24"/>
      <w:szCs w:val="24"/>
      <w:lang w:val="en-US" w:eastAsia="zh-CN" w:bidi="ar-SA"/>
    </w:rPr>
  </w:style>
  <w:style w:type="character" w:customStyle="1" w:styleId="626">
    <w:name w:val="EmailStyle10641"/>
    <w:semiHidden/>
    <w:qFormat/>
    <w:uiPriority w:val="0"/>
    <w:rPr>
      <w:rFonts w:ascii="Arial" w:hAnsi="Arial" w:eastAsia="宋体" w:cs="Arial"/>
      <w:color w:val="auto"/>
      <w:sz w:val="18"/>
      <w:szCs w:val="20"/>
    </w:rPr>
  </w:style>
  <w:style w:type="character" w:customStyle="1" w:styleId="627">
    <w:name w:val="表头一 Char Char"/>
    <w:qFormat/>
    <w:uiPriority w:val="0"/>
    <w:rPr>
      <w:rFonts w:eastAsia="宋体"/>
      <w:b/>
      <w:kern w:val="2"/>
      <w:sz w:val="28"/>
      <w:szCs w:val="24"/>
      <w:lang w:val="en-US" w:eastAsia="zh-CN" w:bidi="ar-SA"/>
    </w:rPr>
  </w:style>
  <w:style w:type="character" w:customStyle="1" w:styleId="628">
    <w:name w:val="冯正1 Char"/>
    <w:link w:val="629"/>
    <w:qFormat/>
    <w:uiPriority w:val="0"/>
    <w:rPr>
      <w:color w:val="000000"/>
      <w:kern w:val="2"/>
      <w:sz w:val="24"/>
    </w:rPr>
  </w:style>
  <w:style w:type="paragraph" w:customStyle="1" w:styleId="629">
    <w:name w:val="冯正1"/>
    <w:basedOn w:val="1"/>
    <w:link w:val="628"/>
    <w:qFormat/>
    <w:uiPriority w:val="0"/>
    <w:pPr>
      <w:spacing w:beforeLines="25" w:afterLines="25" w:line="400" w:lineRule="exact"/>
      <w:ind w:firstLine="200" w:firstLineChars="200"/>
    </w:pPr>
    <w:rPr>
      <w:color w:val="000000"/>
      <w:sz w:val="24"/>
      <w:szCs w:val="20"/>
    </w:rPr>
  </w:style>
  <w:style w:type="character" w:customStyle="1" w:styleId="630">
    <w:name w:val="order"/>
    <w:qFormat/>
    <w:uiPriority w:val="0"/>
  </w:style>
  <w:style w:type="character" w:customStyle="1" w:styleId="631">
    <w:name w:val="乐清2级 Char"/>
    <w:link w:val="632"/>
    <w:qFormat/>
    <w:uiPriority w:val="0"/>
    <w:rPr>
      <w:rFonts w:ascii="等线" w:hAnsi="Calibri"/>
      <w:b/>
      <w:sz w:val="34"/>
    </w:rPr>
  </w:style>
  <w:style w:type="paragraph" w:customStyle="1" w:styleId="632">
    <w:name w:val="乐清2级"/>
    <w:basedOn w:val="1"/>
    <w:link w:val="631"/>
    <w:qFormat/>
    <w:uiPriority w:val="0"/>
    <w:pPr>
      <w:tabs>
        <w:tab w:val="left" w:pos="425"/>
        <w:tab w:val="left" w:pos="576"/>
        <w:tab w:val="left" w:pos="726"/>
      </w:tabs>
      <w:spacing w:line="360" w:lineRule="auto"/>
      <w:ind w:left="1320" w:firstLine="567"/>
      <w:outlineLvl w:val="1"/>
    </w:pPr>
    <w:rPr>
      <w:rFonts w:ascii="等线" w:hAnsi="Calibri"/>
      <w:b/>
      <w:kern w:val="0"/>
      <w:sz w:val="34"/>
      <w:szCs w:val="20"/>
    </w:rPr>
  </w:style>
  <w:style w:type="character" w:customStyle="1" w:styleId="633">
    <w:name w:val="Body text3"/>
    <w:qFormat/>
    <w:uiPriority w:val="0"/>
    <w:rPr>
      <w:rFonts w:ascii="MingLiU" w:eastAsia="MingLiU"/>
      <w:sz w:val="23"/>
      <w:szCs w:val="23"/>
      <w:shd w:val="clear" w:color="auto" w:fill="FFFFFF"/>
      <w:lang w:bidi="ar-SA"/>
    </w:rPr>
  </w:style>
  <w:style w:type="character" w:customStyle="1" w:styleId="634">
    <w:name w:val="样式 首行缩进:  0.97 厘米 Char"/>
    <w:link w:val="635"/>
    <w:qFormat/>
    <w:uiPriority w:val="0"/>
    <w:rPr>
      <w:kern w:val="2"/>
      <w:sz w:val="21"/>
      <w:szCs w:val="21"/>
    </w:rPr>
  </w:style>
  <w:style w:type="paragraph" w:customStyle="1" w:styleId="635">
    <w:name w:val="样式 首行缩进:  0.97 厘米"/>
    <w:basedOn w:val="1"/>
    <w:link w:val="634"/>
    <w:unhideWhenUsed/>
    <w:qFormat/>
    <w:uiPriority w:val="0"/>
    <w:pPr>
      <w:spacing w:before="120" w:after="120" w:line="360" w:lineRule="auto"/>
      <w:ind w:left="578" w:firstLine="552"/>
    </w:pPr>
    <w:rPr>
      <w:szCs w:val="21"/>
    </w:rPr>
  </w:style>
  <w:style w:type="character" w:customStyle="1" w:styleId="636">
    <w:name w:val="表文5中 Char"/>
    <w:link w:val="637"/>
    <w:qFormat/>
    <w:uiPriority w:val="0"/>
    <w:rPr>
      <w:snapToGrid/>
      <w:sz w:val="24"/>
    </w:rPr>
  </w:style>
  <w:style w:type="paragraph" w:customStyle="1" w:styleId="637">
    <w:name w:val="表文5中"/>
    <w:basedOn w:val="1"/>
    <w:link w:val="636"/>
    <w:qFormat/>
    <w:uiPriority w:val="0"/>
    <w:pPr>
      <w:tabs>
        <w:tab w:val="left" w:pos="3555"/>
      </w:tabs>
      <w:adjustRightInd w:val="0"/>
      <w:snapToGrid w:val="0"/>
      <w:spacing w:beforeLines="10" w:afterLines="10"/>
      <w:jc w:val="center"/>
      <w:textAlignment w:val="baseline"/>
    </w:pPr>
    <w:rPr>
      <w:snapToGrid w:val="0"/>
      <w:kern w:val="0"/>
      <w:sz w:val="24"/>
      <w:szCs w:val="20"/>
    </w:rPr>
  </w:style>
  <w:style w:type="character" w:customStyle="1" w:styleId="638">
    <w:name w:val="样式 题注 + 宋体 小四1 Char Char Char"/>
    <w:qFormat/>
    <w:uiPriority w:val="0"/>
    <w:rPr>
      <w:rFonts w:ascii="宋体" w:hAnsi="宋体"/>
      <w:kern w:val="2"/>
      <w:sz w:val="24"/>
      <w:lang w:bidi="ar-SA"/>
    </w:rPr>
  </w:style>
  <w:style w:type="character" w:customStyle="1" w:styleId="639">
    <w:name w:val="款标题1.1.1.1 Char3"/>
    <w:qFormat/>
    <w:uiPriority w:val="0"/>
    <w:rPr>
      <w:rFonts w:ascii="Arial" w:hAnsi="Arial" w:eastAsia="黑体" w:cs="Times New Roman"/>
      <w:sz w:val="24"/>
      <w:szCs w:val="20"/>
    </w:rPr>
  </w:style>
  <w:style w:type="character" w:customStyle="1" w:styleId="640">
    <w:name w:val="【3级标题】 Char Char"/>
    <w:qFormat/>
    <w:uiPriority w:val="0"/>
    <w:rPr>
      <w:rFonts w:eastAsia="黑体"/>
      <w:b/>
      <w:bCs/>
      <w:kern w:val="2"/>
      <w:sz w:val="32"/>
      <w:szCs w:val="32"/>
    </w:rPr>
  </w:style>
  <w:style w:type="character" w:customStyle="1" w:styleId="641">
    <w:name w:val="表格文字2 Char Char"/>
    <w:qFormat/>
    <w:uiPriority w:val="0"/>
    <w:rPr>
      <w:rFonts w:ascii="宋体" w:hAnsi="宋体" w:eastAsia="宋体"/>
      <w:snapToGrid w:val="0"/>
      <w:sz w:val="21"/>
      <w:lang w:val="en-US" w:eastAsia="zh-CN" w:bidi="ar-SA"/>
    </w:rPr>
  </w:style>
  <w:style w:type="character" w:customStyle="1" w:styleId="642">
    <w:name w:val="正文小四首缩1.3行距 Char Char"/>
    <w:qFormat/>
    <w:uiPriority w:val="0"/>
    <w:rPr>
      <w:sz w:val="24"/>
      <w:szCs w:val="24"/>
      <w:lang w:bidi="ar-SA"/>
    </w:rPr>
  </w:style>
  <w:style w:type="character" w:customStyle="1" w:styleId="643">
    <w:name w:val="段落文字 Char Char1 Char Char"/>
    <w:qFormat/>
    <w:uiPriority w:val="0"/>
    <w:rPr>
      <w:rFonts w:eastAsia="仿宋_GB2312"/>
      <w:kern w:val="2"/>
      <w:sz w:val="28"/>
      <w:szCs w:val="28"/>
      <w:lang w:val="en-US" w:eastAsia="zh-CN" w:bidi="ar-SA"/>
    </w:rPr>
  </w:style>
  <w:style w:type="character" w:customStyle="1" w:styleId="644">
    <w:name w:val="样式 表格标题 + 左侧:  -2.5 厘米 首行缩进:  0 厘米 段前: 0.5 行 Char"/>
    <w:link w:val="645"/>
    <w:qFormat/>
    <w:uiPriority w:val="0"/>
    <w:rPr>
      <w:b/>
      <w:bCs/>
      <w:kern w:val="2"/>
      <w:sz w:val="24"/>
      <w:szCs w:val="24"/>
    </w:rPr>
  </w:style>
  <w:style w:type="paragraph" w:customStyle="1" w:styleId="645">
    <w:name w:val="样式 表格标题 + 左侧:  -2.5 厘米 首行缩进:  0 厘米 段前: 0.5 行"/>
    <w:basedOn w:val="6"/>
    <w:link w:val="644"/>
    <w:unhideWhenUsed/>
    <w:qFormat/>
    <w:uiPriority w:val="0"/>
    <w:pPr>
      <w:widowControl w:val="0"/>
      <w:spacing w:beforeLines="50" w:afterLines="50"/>
      <w:ind w:left="-1418" w:hanging="578" w:firstLineChars="0"/>
      <w:jc w:val="center"/>
    </w:pPr>
    <w:rPr>
      <w:rFonts w:ascii="Times New Roman" w:hAnsi="Times New Roman" w:cs="Times New Roman"/>
      <w:b/>
      <w:bCs/>
      <w:kern w:val="2"/>
    </w:rPr>
  </w:style>
  <w:style w:type="character" w:customStyle="1" w:styleId="646">
    <w:name w:val="图题 Char Char"/>
    <w:qFormat/>
    <w:uiPriority w:val="0"/>
    <w:rPr>
      <w:rFonts w:ascii="宋体" w:hAnsi="宋体"/>
      <w:b/>
      <w:bCs/>
      <w:sz w:val="28"/>
      <w:szCs w:val="28"/>
      <w:lang w:bidi="ar-SA"/>
    </w:rPr>
  </w:style>
  <w:style w:type="character" w:customStyle="1" w:styleId="647">
    <w:name w:val="环标3 Char"/>
    <w:link w:val="648"/>
    <w:qFormat/>
    <w:locked/>
    <w:uiPriority w:val="0"/>
    <w:rPr>
      <w:rFonts w:ascii="宋体" w:hAnsi="宋体"/>
      <w:bCs/>
      <w:kern w:val="2"/>
      <w:sz w:val="28"/>
      <w:szCs w:val="28"/>
    </w:rPr>
  </w:style>
  <w:style w:type="paragraph" w:customStyle="1" w:styleId="648">
    <w:name w:val="环标3"/>
    <w:basedOn w:val="9"/>
    <w:link w:val="647"/>
    <w:qFormat/>
    <w:uiPriority w:val="0"/>
    <w:pPr>
      <w:keepNext w:val="0"/>
      <w:keepLines w:val="0"/>
      <w:widowControl w:val="0"/>
      <w:numPr>
        <w:ilvl w:val="0"/>
        <w:numId w:val="0"/>
      </w:numPr>
      <w:spacing w:line="500" w:lineRule="atLeast"/>
    </w:pPr>
    <w:rPr>
      <w:rFonts w:cs="Times New Roman"/>
      <w:kern w:val="2"/>
      <w:szCs w:val="28"/>
    </w:rPr>
  </w:style>
  <w:style w:type="character" w:customStyle="1" w:styleId="649">
    <w:name w:val="正文粗 Char Char"/>
    <w:qFormat/>
    <w:uiPriority w:val="0"/>
    <w:rPr>
      <w:rFonts w:eastAsia="宋体"/>
      <w:b/>
      <w:sz w:val="24"/>
      <w:lang w:val="en-US" w:eastAsia="zh-CN" w:bidi="ar-SA"/>
    </w:rPr>
  </w:style>
  <w:style w:type="character" w:customStyle="1" w:styleId="650">
    <w:name w:val="_Style 649"/>
    <w:qFormat/>
    <w:uiPriority w:val="0"/>
    <w:rPr>
      <w:i/>
      <w:iCs/>
      <w:color w:val="808080"/>
    </w:rPr>
  </w:style>
  <w:style w:type="character" w:customStyle="1" w:styleId="651">
    <w:name w:val="16.9.3.1 Char Char"/>
    <w:link w:val="652"/>
    <w:qFormat/>
    <w:uiPriority w:val="0"/>
    <w:rPr>
      <w:rFonts w:ascii="Arial" w:hAnsi="Arial" w:eastAsia="黑体"/>
      <w:b/>
      <w:bCs/>
    </w:rPr>
  </w:style>
  <w:style w:type="paragraph" w:customStyle="1" w:styleId="652">
    <w:name w:val="16.9.3.1"/>
    <w:basedOn w:val="653"/>
    <w:link w:val="651"/>
    <w:qFormat/>
    <w:uiPriority w:val="0"/>
    <w:pPr>
      <w:numPr>
        <w:ilvl w:val="0"/>
        <w:numId w:val="7"/>
      </w:numPr>
      <w:tabs>
        <w:tab w:val="left" w:pos="360"/>
        <w:tab w:val="left" w:pos="726"/>
        <w:tab w:val="left" w:pos="810"/>
        <w:tab w:val="left" w:pos="1800"/>
      </w:tabs>
      <w:ind w:left="851"/>
    </w:pPr>
  </w:style>
  <w:style w:type="paragraph" w:customStyle="1" w:styleId="653">
    <w:name w:val="16.9.1.1"/>
    <w:basedOn w:val="10"/>
    <w:link w:val="654"/>
    <w:qFormat/>
    <w:uiPriority w:val="0"/>
    <w:pPr>
      <w:widowControl w:val="0"/>
      <w:numPr>
        <w:numId w:val="8"/>
      </w:numPr>
      <w:tabs>
        <w:tab w:val="left" w:pos="726"/>
        <w:tab w:val="left" w:pos="1800"/>
      </w:tabs>
      <w:spacing w:before="120" w:after="120" w:line="312" w:lineRule="auto"/>
      <w:ind w:left="1790" w:hanging="425"/>
      <w:jc w:val="both"/>
    </w:pPr>
    <w:rPr>
      <w:rFonts w:eastAsia="黑体" w:cs="Times New Roman"/>
      <w:sz w:val="20"/>
      <w:szCs w:val="20"/>
    </w:rPr>
  </w:style>
  <w:style w:type="character" w:customStyle="1" w:styleId="654">
    <w:name w:val="16.9.1.1 Char Char"/>
    <w:link w:val="653"/>
    <w:qFormat/>
    <w:uiPriority w:val="0"/>
    <w:rPr>
      <w:rFonts w:ascii="Arial" w:hAnsi="Arial" w:eastAsia="黑体"/>
      <w:b/>
      <w:bCs/>
    </w:rPr>
  </w:style>
  <w:style w:type="character" w:customStyle="1" w:styleId="655">
    <w:name w:val="正文格式 Char Char"/>
    <w:qFormat/>
    <w:uiPriority w:val="0"/>
    <w:rPr>
      <w:rFonts w:eastAsia="楷体_GB2312"/>
      <w:kern w:val="2"/>
      <w:sz w:val="28"/>
      <w:lang w:bidi="ar-SA"/>
    </w:rPr>
  </w:style>
  <w:style w:type="character" w:customStyle="1" w:styleId="656">
    <w:name w:val="批注引用5"/>
    <w:qFormat/>
    <w:uiPriority w:val="0"/>
    <w:rPr>
      <w:sz w:val="21"/>
      <w:szCs w:val="21"/>
    </w:rPr>
  </w:style>
  <w:style w:type="character" w:customStyle="1" w:styleId="657">
    <w:name w:val="样式 正文报告 + Char"/>
    <w:qFormat/>
    <w:uiPriority w:val="0"/>
  </w:style>
  <w:style w:type="character" w:customStyle="1" w:styleId="658">
    <w:name w:val="Char Char19"/>
    <w:qFormat/>
    <w:uiPriority w:val="0"/>
    <w:rPr>
      <w:rFonts w:ascii="Times New Roman" w:hAnsi="Times New Roman" w:cs="宋体"/>
      <w:b/>
      <w:bCs/>
      <w:kern w:val="2"/>
      <w:sz w:val="28"/>
      <w:szCs w:val="28"/>
    </w:rPr>
  </w:style>
  <w:style w:type="character" w:customStyle="1" w:styleId="659">
    <w:name w:val="样式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660">
    <w:name w:val="head121"/>
    <w:qFormat/>
    <w:uiPriority w:val="0"/>
    <w:rPr>
      <w:rFonts w:eastAsia="宋体"/>
      <w:spacing w:val="450"/>
      <w:kern w:val="2"/>
      <w:sz w:val="22"/>
      <w:szCs w:val="22"/>
      <w:lang w:val="en-US" w:eastAsia="zh-CN" w:bidi="ar-SA"/>
    </w:rPr>
  </w:style>
  <w:style w:type="character" w:customStyle="1" w:styleId="661">
    <w:name w:val="样式 题注 + (西文) Times New Roman (中文) 宋体 小四 加粗 黑色 Char Char Char"/>
    <w:qFormat/>
    <w:uiPriority w:val="0"/>
    <w:rPr>
      <w:b/>
      <w:bCs/>
      <w:color w:val="000000"/>
      <w:sz w:val="24"/>
      <w:szCs w:val="24"/>
      <w:lang w:bidi="ar-SA"/>
    </w:rPr>
  </w:style>
  <w:style w:type="character" w:customStyle="1" w:styleId="662">
    <w:name w:val="正文 首行缩进 2 字符 1.3行距 Char Char"/>
    <w:qFormat/>
    <w:uiPriority w:val="0"/>
    <w:rPr>
      <w:kern w:val="2"/>
      <w:sz w:val="24"/>
      <w:lang w:bidi="ar-SA"/>
    </w:rPr>
  </w:style>
  <w:style w:type="character" w:customStyle="1" w:styleId="663">
    <w:name w:val="style4 Char1"/>
    <w:qFormat/>
    <w:uiPriority w:val="0"/>
    <w:rPr>
      <w:rFonts w:ascii="Arial" w:hAnsi="Arial" w:eastAsia="黑体"/>
      <w:bCs/>
      <w:kern w:val="2"/>
      <w:sz w:val="24"/>
      <w:szCs w:val="28"/>
    </w:rPr>
  </w:style>
  <w:style w:type="character" w:customStyle="1" w:styleId="664">
    <w:name w:val="正文文档 Char Char"/>
    <w:qFormat/>
    <w:uiPriority w:val="0"/>
    <w:rPr>
      <w:sz w:val="24"/>
      <w:szCs w:val="24"/>
      <w:lang w:bidi="ar-SA"/>
    </w:rPr>
  </w:style>
  <w:style w:type="character" w:customStyle="1" w:styleId="665">
    <w:name w:val="0-shiw-目录页码 Char"/>
    <w:link w:val="666"/>
    <w:qFormat/>
    <w:uiPriority w:val="0"/>
    <w:rPr>
      <w:kern w:val="2"/>
      <w:sz w:val="24"/>
      <w:szCs w:val="24"/>
    </w:rPr>
  </w:style>
  <w:style w:type="paragraph" w:customStyle="1" w:styleId="666">
    <w:name w:val="0-shiw-目录页码"/>
    <w:basedOn w:val="1"/>
    <w:link w:val="665"/>
    <w:qFormat/>
    <w:uiPriority w:val="0"/>
    <w:pPr>
      <w:framePr w:wrap="around" w:vAnchor="text" w:hAnchor="margin" w:xAlign="center" w:y="1"/>
      <w:tabs>
        <w:tab w:val="center" w:pos="4153"/>
        <w:tab w:val="right" w:pos="8306"/>
      </w:tabs>
      <w:adjustRightInd w:val="0"/>
      <w:snapToGrid w:val="0"/>
      <w:spacing w:line="240" w:lineRule="atLeast"/>
      <w:jc w:val="center"/>
    </w:pPr>
    <w:rPr>
      <w:sz w:val="24"/>
    </w:rPr>
  </w:style>
  <w:style w:type="character" w:customStyle="1" w:styleId="667">
    <w:name w:val="Body text + 10.5 pt6"/>
    <w:qFormat/>
    <w:uiPriority w:val="0"/>
    <w:rPr>
      <w:rFonts w:ascii="宋体" w:eastAsia="宋体" w:cs="宋体"/>
      <w:sz w:val="21"/>
      <w:szCs w:val="21"/>
      <w:u w:val="none"/>
      <w:lang w:bidi="ar-SA"/>
    </w:rPr>
  </w:style>
  <w:style w:type="character" w:customStyle="1" w:styleId="668">
    <w:name w:val="表格标题zz Char Char"/>
    <w:qFormat/>
    <w:uiPriority w:val="0"/>
    <w:rPr>
      <w:rFonts w:ascii="宋体" w:hAnsi="宋体"/>
      <w:b/>
      <w:kern w:val="2"/>
      <w:sz w:val="24"/>
      <w:szCs w:val="24"/>
      <w:lang w:bidi="ar-SA"/>
    </w:rPr>
  </w:style>
  <w:style w:type="character" w:customStyle="1" w:styleId="669">
    <w:name w:val="标题 6 Char1"/>
    <w:qFormat/>
    <w:uiPriority w:val="0"/>
    <w:rPr>
      <w:rFonts w:ascii="Arial" w:hAnsi="Arial" w:eastAsia="黑体"/>
      <w:b/>
      <w:sz w:val="24"/>
      <w:lang w:val="en-US" w:eastAsia="zh-CN" w:bidi="ar-SA"/>
    </w:rPr>
  </w:style>
  <w:style w:type="character" w:customStyle="1" w:styleId="670">
    <w:name w:val="不明显强调1"/>
    <w:qFormat/>
    <w:uiPriority w:val="0"/>
    <w:rPr>
      <w:i/>
      <w:iCs/>
      <w:color w:val="808080"/>
    </w:rPr>
  </w:style>
  <w:style w:type="character" w:customStyle="1" w:styleId="671">
    <w:name w:val="章标题 1 Char3"/>
    <w:qFormat/>
    <w:uiPriority w:val="0"/>
    <w:rPr>
      <w:rFonts w:ascii="Times New Roman" w:hAnsi="Times New Roman" w:eastAsia="宋体" w:cs="Times New Roman"/>
      <w:b/>
      <w:bCs/>
      <w:kern w:val="44"/>
      <w:sz w:val="44"/>
      <w:szCs w:val="44"/>
    </w:rPr>
  </w:style>
  <w:style w:type="character" w:customStyle="1" w:styleId="672">
    <w:name w:val="样式 样式 样式 宋体 小四 行距: 多倍行距 1.4 字行2 + 黑色 + Times New Roman2 Char"/>
    <w:link w:val="673"/>
    <w:qFormat/>
    <w:uiPriority w:val="0"/>
    <w:rPr>
      <w:rFonts w:cs="宋体"/>
      <w:color w:val="000000"/>
      <w:kern w:val="2"/>
      <w:sz w:val="24"/>
      <w:szCs w:val="24"/>
    </w:rPr>
  </w:style>
  <w:style w:type="paragraph" w:customStyle="1" w:styleId="673">
    <w:name w:val="样式 样式 样式 宋体 小四 行距: 多倍行距 1.4 字行2 + 黑色 + Times New Roman2"/>
    <w:basedOn w:val="299"/>
    <w:link w:val="672"/>
    <w:qFormat/>
    <w:uiPriority w:val="0"/>
    <w:pPr>
      <w:spacing w:line="360" w:lineRule="auto"/>
      <w:ind w:firstLine="200"/>
    </w:pPr>
    <w:rPr>
      <w:rFonts w:ascii="Times New Roman" w:hAnsi="Times New Roman" w:cs="宋体"/>
      <w:szCs w:val="24"/>
    </w:rPr>
  </w:style>
  <w:style w:type="character" w:customStyle="1" w:styleId="674">
    <w:name w:val="植物名称 Char Char"/>
    <w:qFormat/>
    <w:uiPriority w:val="0"/>
    <w:rPr>
      <w:i/>
      <w:sz w:val="24"/>
      <w:lang w:bidi="ar-SA"/>
    </w:rPr>
  </w:style>
  <w:style w:type="character" w:customStyle="1" w:styleId="675">
    <w:name w:val="Char Char31"/>
    <w:qFormat/>
    <w:uiPriority w:val="0"/>
    <w:rPr>
      <w:rFonts w:ascii="Arial" w:hAnsi="Arial" w:eastAsia="宋体"/>
      <w:kern w:val="2"/>
      <w:sz w:val="18"/>
      <w:szCs w:val="18"/>
      <w:lang w:val="en-US" w:eastAsia="zh-CN" w:bidi="ar-SA"/>
    </w:rPr>
  </w:style>
  <w:style w:type="character" w:customStyle="1" w:styleId="676">
    <w:name w:val="文本正文 Char"/>
    <w:link w:val="677"/>
    <w:qFormat/>
    <w:uiPriority w:val="0"/>
    <w:rPr>
      <w:kern w:val="2"/>
      <w:sz w:val="24"/>
      <w:szCs w:val="24"/>
    </w:rPr>
  </w:style>
  <w:style w:type="paragraph" w:customStyle="1" w:styleId="677">
    <w:name w:val="文本正文"/>
    <w:basedOn w:val="1"/>
    <w:link w:val="676"/>
    <w:qFormat/>
    <w:uiPriority w:val="0"/>
    <w:pPr>
      <w:widowControl/>
      <w:adjustRightInd w:val="0"/>
      <w:snapToGrid w:val="0"/>
      <w:spacing w:beforeLines="50" w:afterLines="50" w:line="300" w:lineRule="auto"/>
      <w:ind w:firstLine="200" w:firstLineChars="200"/>
    </w:pPr>
    <w:rPr>
      <w:sz w:val="24"/>
    </w:rPr>
  </w:style>
  <w:style w:type="character" w:customStyle="1" w:styleId="678">
    <w:name w:val="样式 样式 宋体 小四 行距: 多倍行距 1.4 字行2 + 黑色 Char Char"/>
    <w:qFormat/>
    <w:uiPriority w:val="0"/>
    <w:rPr>
      <w:rFonts w:ascii="宋体" w:hAnsi="宋体"/>
      <w:color w:val="000000"/>
      <w:kern w:val="2"/>
      <w:sz w:val="24"/>
      <w:lang w:bidi="ar-SA"/>
    </w:rPr>
  </w:style>
  <w:style w:type="character" w:customStyle="1" w:styleId="679">
    <w:name w:val="样式 标题 3 + (中文) 黑体 Char"/>
    <w:link w:val="680"/>
    <w:qFormat/>
    <w:uiPriority w:val="0"/>
    <w:rPr>
      <w:rFonts w:ascii="Arial" w:hAnsi="Arial" w:eastAsia="黑体"/>
      <w:b/>
      <w:bCs/>
      <w:kern w:val="2"/>
      <w:sz w:val="28"/>
      <w:szCs w:val="32"/>
    </w:rPr>
  </w:style>
  <w:style w:type="paragraph" w:customStyle="1" w:styleId="680">
    <w:name w:val="样式 标题 3 + (中文) 黑体"/>
    <w:basedOn w:val="9"/>
    <w:link w:val="679"/>
    <w:qFormat/>
    <w:uiPriority w:val="0"/>
    <w:pPr>
      <w:widowControl w:val="0"/>
      <w:numPr>
        <w:ilvl w:val="0"/>
        <w:numId w:val="0"/>
      </w:numPr>
      <w:tabs>
        <w:tab w:val="left" w:pos="720"/>
      </w:tabs>
      <w:spacing w:line="415" w:lineRule="auto"/>
      <w:ind w:left="720" w:hanging="720"/>
      <w:jc w:val="both"/>
    </w:pPr>
    <w:rPr>
      <w:rFonts w:ascii="Arial" w:hAnsi="Arial" w:eastAsia="黑体" w:cs="Times New Roman"/>
      <w:b/>
      <w:kern w:val="2"/>
    </w:rPr>
  </w:style>
  <w:style w:type="character" w:customStyle="1" w:styleId="681">
    <w:name w:val="font4"/>
    <w:qFormat/>
    <w:uiPriority w:val="0"/>
    <w:rPr>
      <w:szCs w:val="21"/>
    </w:rPr>
  </w:style>
  <w:style w:type="character" w:customStyle="1" w:styleId="682">
    <w:name w:val="zwj1.1.1 Char"/>
    <w:link w:val="683"/>
    <w:qFormat/>
    <w:uiPriority w:val="0"/>
    <w:rPr>
      <w:rFonts w:ascii="宋体" w:hAnsi="宋体"/>
      <w:b/>
      <w:sz w:val="34"/>
    </w:rPr>
  </w:style>
  <w:style w:type="paragraph" w:customStyle="1" w:styleId="683">
    <w:name w:val="zwj1.1.1"/>
    <w:basedOn w:val="1"/>
    <w:link w:val="682"/>
    <w:qFormat/>
    <w:uiPriority w:val="0"/>
    <w:pPr>
      <w:numPr>
        <w:ilvl w:val="2"/>
        <w:numId w:val="9"/>
      </w:numPr>
      <w:tabs>
        <w:tab w:val="left" w:pos="900"/>
      </w:tabs>
      <w:snapToGrid w:val="0"/>
      <w:spacing w:line="360" w:lineRule="auto"/>
      <w:ind w:right="100" w:rightChars="100"/>
      <w:outlineLvl w:val="2"/>
    </w:pPr>
    <w:rPr>
      <w:rFonts w:ascii="宋体" w:hAnsi="宋体"/>
      <w:b/>
      <w:kern w:val="0"/>
      <w:sz w:val="34"/>
      <w:szCs w:val="20"/>
    </w:rPr>
  </w:style>
  <w:style w:type="character" w:customStyle="1" w:styleId="684">
    <w:name w:val="乐清2级 Char Char"/>
    <w:qFormat/>
    <w:uiPriority w:val="0"/>
    <w:rPr>
      <w:rFonts w:hAnsi="Calibri"/>
      <w:b/>
      <w:kern w:val="2"/>
      <w:sz w:val="24"/>
      <w:szCs w:val="24"/>
      <w:lang w:bidi="ar-SA"/>
    </w:rPr>
  </w:style>
  <w:style w:type="character" w:customStyle="1" w:styleId="685">
    <w:name w:val="Body text + Spacing -1 pt6"/>
    <w:qFormat/>
    <w:uiPriority w:val="0"/>
    <w:rPr>
      <w:rFonts w:ascii="黑体" w:eastAsia="黑体" w:cs="黑体"/>
      <w:spacing w:val="-30"/>
      <w:sz w:val="23"/>
      <w:szCs w:val="23"/>
      <w:u w:val="none"/>
      <w:lang w:bidi="ar-SA"/>
    </w:rPr>
  </w:style>
  <w:style w:type="character" w:customStyle="1" w:styleId="686">
    <w:name w:val="珠海项目 Char"/>
    <w:link w:val="687"/>
    <w:qFormat/>
    <w:uiPriority w:val="0"/>
    <w:rPr>
      <w:rFonts w:ascii="仿宋_GB2312" w:eastAsia="仿宋_GB2312"/>
      <w:kern w:val="2"/>
      <w:sz w:val="28"/>
      <w:szCs w:val="24"/>
    </w:rPr>
  </w:style>
  <w:style w:type="paragraph" w:customStyle="1" w:styleId="687">
    <w:name w:val="珠海项目"/>
    <w:basedOn w:val="6"/>
    <w:link w:val="686"/>
    <w:qFormat/>
    <w:uiPriority w:val="0"/>
    <w:pPr>
      <w:widowControl w:val="0"/>
      <w:ind w:firstLine="560"/>
      <w:jc w:val="both"/>
    </w:pPr>
    <w:rPr>
      <w:rFonts w:ascii="仿宋_GB2312" w:hAnsi="Times New Roman" w:eastAsia="仿宋_GB2312" w:cs="Times New Roman"/>
      <w:kern w:val="2"/>
      <w:sz w:val="28"/>
    </w:rPr>
  </w:style>
  <w:style w:type="character" w:customStyle="1" w:styleId="688">
    <w:name w:val="N-正文及四级标题（1） Char Char"/>
    <w:qFormat/>
    <w:uiPriority w:val="0"/>
    <w:rPr>
      <w:rFonts w:ascii="Arial" w:hAnsi="Arial"/>
      <w:kern w:val="2"/>
      <w:sz w:val="21"/>
      <w:lang w:bidi="ar-SA"/>
    </w:rPr>
  </w:style>
  <w:style w:type="character" w:customStyle="1" w:styleId="689">
    <w:name w:val="批注主题 Char1"/>
    <w:semiHidden/>
    <w:qFormat/>
    <w:uiPriority w:val="0"/>
    <w:rPr>
      <w:rFonts w:ascii="Times New Roman" w:hAnsi="Times New Roman" w:eastAsia="宋体" w:cs="Times New Roman"/>
      <w:b/>
      <w:bCs/>
      <w:szCs w:val="24"/>
    </w:rPr>
  </w:style>
  <w:style w:type="character" w:customStyle="1" w:styleId="690">
    <w:name w:val="湛江表标题 Char"/>
    <w:link w:val="691"/>
    <w:qFormat/>
    <w:uiPriority w:val="0"/>
    <w:rPr>
      <w:b/>
      <w:bCs/>
      <w:kern w:val="2"/>
      <w:sz w:val="24"/>
      <w:szCs w:val="24"/>
    </w:rPr>
  </w:style>
  <w:style w:type="paragraph" w:customStyle="1" w:styleId="691">
    <w:name w:val="湛江表标题"/>
    <w:basedOn w:val="6"/>
    <w:link w:val="690"/>
    <w:qFormat/>
    <w:uiPriority w:val="0"/>
    <w:pPr>
      <w:widowControl w:val="0"/>
      <w:spacing w:beforeLines="50" w:afterLines="50"/>
      <w:ind w:left="578" w:hanging="578" w:firstLineChars="0"/>
      <w:jc w:val="center"/>
    </w:pPr>
    <w:rPr>
      <w:rFonts w:ascii="Times New Roman" w:hAnsi="Times New Roman" w:cs="Times New Roman"/>
      <w:b/>
      <w:bCs/>
      <w:kern w:val="2"/>
    </w:rPr>
  </w:style>
  <w:style w:type="character" w:customStyle="1" w:styleId="692">
    <w:name w:val="kait"/>
    <w:qFormat/>
    <w:uiPriority w:val="0"/>
    <w:rPr>
      <w:szCs w:val="21"/>
    </w:rPr>
  </w:style>
  <w:style w:type="character" w:customStyle="1" w:styleId="693">
    <w:name w:val="标题3 Char"/>
    <w:link w:val="694"/>
    <w:qFormat/>
    <w:uiPriority w:val="0"/>
    <w:rPr>
      <w:rFonts w:eastAsia="方正黑体_GBK"/>
      <w:snapToGrid/>
      <w:sz w:val="32"/>
    </w:rPr>
  </w:style>
  <w:style w:type="paragraph" w:customStyle="1" w:styleId="694">
    <w:name w:val="标题3"/>
    <w:basedOn w:val="1"/>
    <w:next w:val="1"/>
    <w:link w:val="693"/>
    <w:qFormat/>
    <w:uiPriority w:val="0"/>
    <w:pPr>
      <w:autoSpaceDE w:val="0"/>
      <w:autoSpaceDN w:val="0"/>
      <w:snapToGrid w:val="0"/>
      <w:spacing w:line="590" w:lineRule="atLeast"/>
      <w:ind w:firstLine="624"/>
    </w:pPr>
    <w:rPr>
      <w:rFonts w:eastAsia="方正黑体_GBK"/>
      <w:snapToGrid w:val="0"/>
      <w:kern w:val="0"/>
      <w:sz w:val="32"/>
      <w:szCs w:val="20"/>
    </w:rPr>
  </w:style>
  <w:style w:type="character" w:customStyle="1" w:styleId="695">
    <w:name w:val="新正文 Char"/>
    <w:link w:val="696"/>
    <w:qFormat/>
    <w:uiPriority w:val="0"/>
    <w:rPr>
      <w:rFonts w:ascii="仿宋_GB2312" w:eastAsia="仿宋_GB2312"/>
      <w:sz w:val="28"/>
    </w:rPr>
  </w:style>
  <w:style w:type="paragraph" w:customStyle="1" w:styleId="696">
    <w:name w:val="新正文"/>
    <w:basedOn w:val="1"/>
    <w:link w:val="695"/>
    <w:qFormat/>
    <w:uiPriority w:val="0"/>
    <w:pPr>
      <w:spacing w:line="480" w:lineRule="exact"/>
      <w:ind w:firstLine="567"/>
    </w:pPr>
    <w:rPr>
      <w:rFonts w:ascii="仿宋_GB2312" w:eastAsia="仿宋_GB2312"/>
      <w:kern w:val="0"/>
      <w:sz w:val="28"/>
      <w:szCs w:val="20"/>
    </w:rPr>
  </w:style>
  <w:style w:type="character" w:customStyle="1" w:styleId="697">
    <w:name w:val="正文首行缩进 Char1"/>
    <w:qFormat/>
    <w:uiPriority w:val="0"/>
    <w:rPr>
      <w:rFonts w:eastAsia="宋体"/>
      <w:sz w:val="24"/>
      <w:lang w:val="en-US" w:eastAsia="zh-CN" w:bidi="ar-SA"/>
    </w:rPr>
  </w:style>
  <w:style w:type="character" w:customStyle="1" w:styleId="698">
    <w:name w:val="hhcwt表格内文字 Char"/>
    <w:link w:val="699"/>
    <w:qFormat/>
    <w:uiPriority w:val="0"/>
    <w:rPr>
      <w:rFonts w:ascii="宋体" w:hAnsi="宋体" w:eastAsia="仿宋_GB2312"/>
      <w:kern w:val="2"/>
      <w:sz w:val="21"/>
      <w:szCs w:val="21"/>
    </w:rPr>
  </w:style>
  <w:style w:type="paragraph" w:customStyle="1" w:styleId="699">
    <w:name w:val="hhcwt表格内文字"/>
    <w:basedOn w:val="1"/>
    <w:link w:val="698"/>
    <w:qFormat/>
    <w:uiPriority w:val="0"/>
    <w:pPr>
      <w:jc w:val="center"/>
    </w:pPr>
    <w:rPr>
      <w:rFonts w:ascii="宋体" w:hAnsi="宋体" w:eastAsia="仿宋_GB2312"/>
      <w:szCs w:val="21"/>
    </w:rPr>
  </w:style>
  <w:style w:type="character" w:customStyle="1" w:styleId="700">
    <w:name w:val="正文OK Char Char"/>
    <w:qFormat/>
    <w:uiPriority w:val="0"/>
    <w:rPr>
      <w:rFonts w:eastAsia="宋体"/>
      <w:kern w:val="2"/>
      <w:sz w:val="24"/>
      <w:szCs w:val="24"/>
      <w:lang w:val="en-US" w:eastAsia="zh-CN" w:bidi="ar-SA"/>
    </w:rPr>
  </w:style>
  <w:style w:type="character" w:customStyle="1" w:styleId="701">
    <w:name w:val="标题1 Char"/>
    <w:qFormat/>
    <w:uiPriority w:val="0"/>
    <w:rPr>
      <w:rFonts w:eastAsia="方正小标宋_GBK"/>
      <w:snapToGrid w:val="0"/>
      <w:sz w:val="44"/>
      <w:lang w:val="en-US" w:eastAsia="zh-CN" w:bidi="ar-SA"/>
    </w:rPr>
  </w:style>
  <w:style w:type="character" w:customStyle="1" w:styleId="702">
    <w:name w:val="签名 Char Char"/>
    <w:qFormat/>
    <w:uiPriority w:val="0"/>
    <w:rPr>
      <w:rFonts w:ascii="宋体" w:hAnsi="宋体"/>
      <w:kern w:val="2"/>
      <w:sz w:val="21"/>
      <w:szCs w:val="24"/>
      <w:lang w:bidi="ar-SA"/>
    </w:rPr>
  </w:style>
  <w:style w:type="character" w:customStyle="1" w:styleId="703">
    <w:name w:val="报告书正文 Char Char"/>
    <w:qFormat/>
    <w:uiPriority w:val="0"/>
    <w:rPr>
      <w:kern w:val="2"/>
      <w:sz w:val="24"/>
      <w:szCs w:val="24"/>
      <w:lang w:bidi="ar-SA"/>
    </w:rPr>
  </w:style>
  <w:style w:type="character" w:customStyle="1" w:styleId="704">
    <w:name w:val="a11"/>
    <w:qFormat/>
    <w:uiPriority w:val="0"/>
    <w:rPr>
      <w:szCs w:val="21"/>
    </w:rPr>
  </w:style>
  <w:style w:type="character" w:customStyle="1" w:styleId="705">
    <w:name w:val="题注（图、表） Char"/>
    <w:link w:val="706"/>
    <w:qFormat/>
    <w:uiPriority w:val="0"/>
    <w:rPr>
      <w:rFonts w:ascii="Arial" w:hAnsi="Arial" w:eastAsia="黑体"/>
      <w:szCs w:val="24"/>
    </w:rPr>
  </w:style>
  <w:style w:type="paragraph" w:customStyle="1" w:styleId="706">
    <w:name w:val="题注（图、表）"/>
    <w:basedOn w:val="1"/>
    <w:link w:val="705"/>
    <w:qFormat/>
    <w:uiPriority w:val="0"/>
    <w:pPr>
      <w:adjustRightInd w:val="0"/>
      <w:snapToGrid w:val="0"/>
      <w:spacing w:before="160" w:line="400" w:lineRule="exact"/>
      <w:ind w:firstLine="420"/>
      <w:jc w:val="center"/>
    </w:pPr>
    <w:rPr>
      <w:rFonts w:ascii="Arial" w:hAnsi="Arial" w:eastAsia="黑体"/>
      <w:kern w:val="0"/>
      <w:sz w:val="20"/>
    </w:rPr>
  </w:style>
  <w:style w:type="character" w:customStyle="1" w:styleId="707">
    <w:name w:val="正文文字 Char1"/>
    <w:qFormat/>
    <w:uiPriority w:val="0"/>
    <w:rPr>
      <w:rFonts w:ascii="Times New Roman" w:hAnsi="Times New Roman" w:eastAsia="宋体" w:cs="Times New Roman"/>
      <w:szCs w:val="24"/>
    </w:rPr>
  </w:style>
  <w:style w:type="character" w:customStyle="1" w:styleId="708">
    <w:name w:val="main14"/>
    <w:qFormat/>
    <w:uiPriority w:val="0"/>
  </w:style>
  <w:style w:type="character" w:customStyle="1" w:styleId="709">
    <w:name w:val="样式 四号 首行缩进:  2 字符 Char Char"/>
    <w:qFormat/>
    <w:uiPriority w:val="0"/>
    <w:rPr>
      <w:sz w:val="24"/>
      <w:szCs w:val="24"/>
      <w:lang w:bidi="ar-SA"/>
    </w:rPr>
  </w:style>
  <w:style w:type="character" w:customStyle="1" w:styleId="710">
    <w:name w:val="网格型c Char2"/>
    <w:qFormat/>
    <w:uiPriority w:val="0"/>
    <w:rPr>
      <w:rFonts w:eastAsia="宋体"/>
      <w:kern w:val="2"/>
      <w:sz w:val="21"/>
      <w:szCs w:val="21"/>
      <w:lang w:val="en-US" w:eastAsia="zh-CN" w:bidi="ar-SA"/>
    </w:rPr>
  </w:style>
  <w:style w:type="character" w:customStyle="1" w:styleId="711">
    <w:name w:val="00000000000000 Char"/>
    <w:link w:val="712"/>
    <w:qFormat/>
    <w:uiPriority w:val="0"/>
    <w:rPr>
      <w:rFonts w:ascii="宋体" w:hAnsi="宋体"/>
      <w:kern w:val="18"/>
      <w:sz w:val="24"/>
    </w:rPr>
  </w:style>
  <w:style w:type="paragraph" w:customStyle="1" w:styleId="712">
    <w:name w:val="00000000000000"/>
    <w:basedOn w:val="8"/>
    <w:link w:val="711"/>
    <w:qFormat/>
    <w:uiPriority w:val="0"/>
    <w:pPr>
      <w:widowControl w:val="0"/>
      <w:numPr>
        <w:ilvl w:val="0"/>
        <w:numId w:val="0"/>
      </w:numPr>
      <w:tabs>
        <w:tab w:val="left" w:pos="606"/>
      </w:tabs>
      <w:adjustRightInd w:val="0"/>
      <w:snapToGrid w:val="0"/>
      <w:jc w:val="both"/>
      <w:outlineLvl w:val="9"/>
    </w:pPr>
    <w:rPr>
      <w:rFonts w:ascii="宋体" w:hAnsi="宋体" w:cs="Times New Roman"/>
      <w:kern w:val="18"/>
      <w:sz w:val="24"/>
      <w:szCs w:val="20"/>
    </w:rPr>
  </w:style>
  <w:style w:type="character" w:customStyle="1" w:styleId="713">
    <w:name w:val="radio-btn"/>
    <w:qFormat/>
    <w:uiPriority w:val="0"/>
    <w:rPr>
      <w:sz w:val="21"/>
      <w:szCs w:val="21"/>
    </w:rPr>
  </w:style>
  <w:style w:type="character" w:customStyle="1" w:styleId="714">
    <w:name w:val="文档结构图 Char Char"/>
    <w:qFormat/>
    <w:uiPriority w:val="0"/>
    <w:rPr>
      <w:kern w:val="2"/>
      <w:sz w:val="28"/>
      <w:shd w:val="clear" w:color="auto" w:fill="000080"/>
    </w:rPr>
  </w:style>
  <w:style w:type="character" w:customStyle="1" w:styleId="715">
    <w:name w:val="javascript"/>
    <w:qFormat/>
    <w:uiPriority w:val="0"/>
    <w:rPr>
      <w:rFonts w:hint="eastAsia" w:ascii="黑体" w:hAnsi="Arial" w:eastAsia="华文中宋" w:cs="宋体"/>
      <w:kern w:val="2"/>
      <w:sz w:val="44"/>
      <w:szCs w:val="44"/>
      <w:lang w:val="en-US" w:eastAsia="zh-CN" w:bidi="ar-SA"/>
    </w:rPr>
  </w:style>
  <w:style w:type="character" w:customStyle="1" w:styleId="716">
    <w:name w:val="s1"/>
    <w:qFormat/>
    <w:uiPriority w:val="0"/>
    <w:rPr>
      <w:rFonts w:ascii="宋体" w:hAnsi="宋体" w:cs="宋体"/>
      <w:sz w:val="24"/>
      <w:szCs w:val="24"/>
    </w:rPr>
  </w:style>
  <w:style w:type="character" w:customStyle="1" w:styleId="717">
    <w:name w:val="尾注文本 字符1"/>
    <w:semiHidden/>
    <w:qFormat/>
    <w:uiPriority w:val="99"/>
    <w:rPr>
      <w:kern w:val="2"/>
      <w:sz w:val="24"/>
      <w:szCs w:val="24"/>
      <w:lang w:val="fr-FR"/>
    </w:rPr>
  </w:style>
  <w:style w:type="character" w:customStyle="1" w:styleId="718">
    <w:name w:val="pt91"/>
    <w:qFormat/>
    <w:uiPriority w:val="0"/>
    <w:rPr>
      <w:spacing w:val="260"/>
      <w:sz w:val="18"/>
      <w:szCs w:val="18"/>
    </w:rPr>
  </w:style>
  <w:style w:type="character" w:customStyle="1" w:styleId="719">
    <w:name w:val="样式 样式 样式 样式 正文 首行缩进 + 首行缩进:  2 字符 行距: 单倍行距 + 首行缩进:  2 字符 + 小四 首行...1 Char"/>
    <w:link w:val="720"/>
    <w:qFormat/>
    <w:uiPriority w:val="0"/>
    <w:rPr>
      <w:kern w:val="2"/>
      <w:sz w:val="24"/>
    </w:rPr>
  </w:style>
  <w:style w:type="paragraph" w:customStyle="1" w:styleId="720">
    <w:name w:val="样式 样式 样式 样式 正文 首行缩进 + 首行缩进:  2 字符 行距: 单倍行距 + 首行缩进:  2 字符 + 小四 首行...1"/>
    <w:basedOn w:val="721"/>
    <w:link w:val="719"/>
    <w:unhideWhenUsed/>
    <w:qFormat/>
    <w:uiPriority w:val="0"/>
    <w:pPr>
      <w:ind w:firstLine="480"/>
    </w:pPr>
  </w:style>
  <w:style w:type="paragraph" w:customStyle="1" w:styleId="721">
    <w:name w:val="样式 样式 样式 正文 首行缩进 + 首行缩进:  2 字符 行距: 单倍行距 + 首行缩进:  2 字符 + 小四 首行缩进..."/>
    <w:basedOn w:val="236"/>
    <w:link w:val="722"/>
    <w:qFormat/>
    <w:uiPriority w:val="0"/>
    <w:pPr>
      <w:spacing w:line="312" w:lineRule="auto"/>
      <w:ind w:firstLine="200"/>
    </w:pPr>
    <w:rPr>
      <w:sz w:val="24"/>
    </w:rPr>
  </w:style>
  <w:style w:type="character" w:customStyle="1" w:styleId="722">
    <w:name w:val="样式 样式 样式 正文 首行缩进 + 首行缩进:  2 字符 行距: 单倍行距 + 首行缩进:  2 字符 + 小四 首行缩进... Char"/>
    <w:link w:val="721"/>
    <w:qFormat/>
    <w:uiPriority w:val="0"/>
    <w:rPr>
      <w:kern w:val="2"/>
      <w:sz w:val="24"/>
    </w:rPr>
  </w:style>
  <w:style w:type="character" w:customStyle="1" w:styleId="723">
    <w:name w:val="表头一 Char"/>
    <w:link w:val="724"/>
    <w:qFormat/>
    <w:uiPriority w:val="0"/>
    <w:rPr>
      <w:b/>
      <w:kern w:val="2"/>
      <w:sz w:val="28"/>
      <w:szCs w:val="24"/>
    </w:rPr>
  </w:style>
  <w:style w:type="paragraph" w:customStyle="1" w:styleId="724">
    <w:name w:val="表头一"/>
    <w:basedOn w:val="1"/>
    <w:next w:val="24"/>
    <w:link w:val="723"/>
    <w:qFormat/>
    <w:uiPriority w:val="0"/>
    <w:pPr>
      <w:jc w:val="center"/>
    </w:pPr>
    <w:rPr>
      <w:b/>
      <w:sz w:val="28"/>
    </w:rPr>
  </w:style>
  <w:style w:type="character" w:customStyle="1" w:styleId="725">
    <w:name w:val="nilo_正文 Char"/>
    <w:link w:val="726"/>
    <w:qFormat/>
    <w:uiPriority w:val="0"/>
    <w:rPr>
      <w:szCs w:val="21"/>
    </w:rPr>
  </w:style>
  <w:style w:type="paragraph" w:customStyle="1" w:styleId="726">
    <w:name w:val="nilo_正文"/>
    <w:basedOn w:val="1"/>
    <w:link w:val="725"/>
    <w:qFormat/>
    <w:uiPriority w:val="0"/>
    <w:pPr>
      <w:spacing w:line="300" w:lineRule="auto"/>
    </w:pPr>
    <w:rPr>
      <w:kern w:val="0"/>
      <w:sz w:val="20"/>
      <w:szCs w:val="21"/>
    </w:rPr>
  </w:style>
  <w:style w:type="character" w:customStyle="1" w:styleId="727">
    <w:name w:val="图 Char"/>
    <w:link w:val="728"/>
    <w:qFormat/>
    <w:uiPriority w:val="0"/>
    <w:rPr>
      <w:kern w:val="2"/>
      <w:sz w:val="24"/>
      <w:szCs w:val="24"/>
    </w:rPr>
  </w:style>
  <w:style w:type="paragraph" w:customStyle="1" w:styleId="728">
    <w:name w:val="图"/>
    <w:basedOn w:val="1"/>
    <w:link w:val="727"/>
    <w:qFormat/>
    <w:uiPriority w:val="0"/>
    <w:pPr>
      <w:spacing w:line="500" w:lineRule="atLeast"/>
      <w:jc w:val="center"/>
    </w:pPr>
    <w:rPr>
      <w:sz w:val="24"/>
    </w:rPr>
  </w:style>
  <w:style w:type="character" w:customStyle="1" w:styleId="729">
    <w:name w:val="正文（首行缩进两字）2"/>
    <w:qFormat/>
    <w:uiPriority w:val="0"/>
    <w:rPr>
      <w:rFonts w:ascii="仿宋_GB2312" w:eastAsia="仿宋_GB2312"/>
      <w:color w:val="000000"/>
      <w:kern w:val="2"/>
      <w:sz w:val="28"/>
      <w:lang w:val="en-US" w:eastAsia="zh-CN"/>
    </w:rPr>
  </w:style>
  <w:style w:type="character" w:customStyle="1" w:styleId="730">
    <w:name w:val="表格标题新 Char"/>
    <w:link w:val="731"/>
    <w:qFormat/>
    <w:uiPriority w:val="0"/>
    <w:rPr>
      <w:rFonts w:ascii="仿宋_GB2312" w:eastAsia="黑体"/>
      <w:b/>
      <w:snapToGrid/>
      <w:spacing w:val="4"/>
      <w:sz w:val="24"/>
      <w:szCs w:val="24"/>
    </w:rPr>
  </w:style>
  <w:style w:type="paragraph" w:customStyle="1" w:styleId="731">
    <w:name w:val="表格标题新"/>
    <w:basedOn w:val="381"/>
    <w:link w:val="730"/>
    <w:qFormat/>
    <w:uiPriority w:val="0"/>
    <w:pPr>
      <w:tabs>
        <w:tab w:val="left" w:pos="0"/>
      </w:tabs>
      <w:kinsoku/>
      <w:wordWrap/>
      <w:overflowPunct/>
      <w:adjustRightInd w:val="0"/>
      <w:snapToGrid w:val="0"/>
      <w:spacing w:beforeLines="50"/>
      <w:ind w:firstLine="562"/>
    </w:pPr>
    <w:rPr>
      <w:rFonts w:ascii="仿宋_GB2312" w:eastAsia="黑体"/>
      <w:b/>
      <w:spacing w:val="4"/>
      <w:sz w:val="24"/>
      <w:szCs w:val="24"/>
    </w:rPr>
  </w:style>
  <w:style w:type="character" w:customStyle="1" w:styleId="732">
    <w:name w:val="表格标题zz Char"/>
    <w:link w:val="733"/>
    <w:qFormat/>
    <w:uiPriority w:val="0"/>
    <w:rPr>
      <w:rFonts w:ascii="宋体" w:hAnsi="宋体" w:eastAsia="Times New Roman"/>
      <w:b/>
      <w:kern w:val="2"/>
      <w:sz w:val="24"/>
      <w:szCs w:val="24"/>
    </w:rPr>
  </w:style>
  <w:style w:type="paragraph" w:customStyle="1" w:styleId="733">
    <w:name w:val="表格标题zz"/>
    <w:link w:val="732"/>
    <w:qFormat/>
    <w:uiPriority w:val="0"/>
    <w:pPr>
      <w:spacing w:before="120" w:line="360" w:lineRule="auto"/>
      <w:jc w:val="center"/>
    </w:pPr>
    <w:rPr>
      <w:rFonts w:ascii="宋体" w:hAnsi="宋体" w:eastAsia="Times New Roman" w:cs="Times New Roman"/>
      <w:b/>
      <w:kern w:val="2"/>
      <w:sz w:val="24"/>
      <w:szCs w:val="24"/>
      <w:lang w:val="en-US" w:eastAsia="zh-CN" w:bidi="ar-SA"/>
    </w:rPr>
  </w:style>
  <w:style w:type="character" w:customStyle="1" w:styleId="734">
    <w:name w:val="Char Char8"/>
    <w:qFormat/>
    <w:uiPriority w:val="0"/>
    <w:rPr>
      <w:rFonts w:ascii="宋体" w:hAnsi="Courier New" w:eastAsia="宋体"/>
      <w:kern w:val="2"/>
      <w:sz w:val="21"/>
      <w:szCs w:val="24"/>
      <w:lang w:val="en-US" w:eastAsia="zh-CN" w:bidi="ar-SA"/>
    </w:rPr>
  </w:style>
  <w:style w:type="character" w:customStyle="1" w:styleId="735">
    <w:name w:val="样式 题注 + (符号) 宋体 Char Char"/>
    <w:qFormat/>
    <w:uiPriority w:val="0"/>
    <w:rPr>
      <w:rFonts w:ascii="Arial" w:hAnsi="Arial" w:eastAsia="宋体" w:cs="Arial"/>
      <w:kern w:val="2"/>
      <w:sz w:val="21"/>
      <w:szCs w:val="21"/>
      <w:lang w:val="en-US" w:eastAsia="zh-CN" w:bidi="ar-SA"/>
    </w:rPr>
  </w:style>
  <w:style w:type="character" w:customStyle="1" w:styleId="736">
    <w:name w:val="style9"/>
    <w:qFormat/>
    <w:uiPriority w:val="0"/>
  </w:style>
  <w:style w:type="character" w:customStyle="1" w:styleId="737">
    <w:name w:val="正文 + 宋体 Char"/>
    <w:qFormat/>
    <w:locked/>
    <w:uiPriority w:val="0"/>
    <w:rPr>
      <w:rFonts w:ascii="宋体" w:hAnsi="宋体" w:eastAsia="宋体"/>
      <w:sz w:val="24"/>
      <w:szCs w:val="24"/>
      <w:lang w:bidi="ar-SA"/>
    </w:rPr>
  </w:style>
  <w:style w:type="character" w:customStyle="1" w:styleId="738">
    <w:name w:val="普通文字 Char Char Char Char2"/>
    <w:qFormat/>
    <w:uiPriority w:val="0"/>
    <w:rPr>
      <w:rFonts w:ascii="宋体" w:hAnsi="Courier New" w:eastAsia="宋体" w:cs="Courier New"/>
      <w:szCs w:val="21"/>
    </w:rPr>
  </w:style>
  <w:style w:type="character" w:customStyle="1" w:styleId="739">
    <w:name w:val="样式 正文首行缩进 + 四号 Char Char"/>
    <w:qFormat/>
    <w:uiPriority w:val="0"/>
    <w:rPr>
      <w:rFonts w:ascii="宋体"/>
      <w:kern w:val="2"/>
      <w:sz w:val="28"/>
      <w:szCs w:val="24"/>
      <w:lang w:bidi="ar-SA"/>
    </w:rPr>
  </w:style>
  <w:style w:type="character" w:customStyle="1" w:styleId="740">
    <w:name w:val="样式 标题 2 + Times New Roman 四号 Char Char"/>
    <w:qFormat/>
    <w:uiPriority w:val="0"/>
    <w:rPr>
      <w:rFonts w:ascii="Arial" w:hAnsi="Arial" w:eastAsia="黑体"/>
      <w:b/>
      <w:bCs/>
      <w:kern w:val="2"/>
      <w:sz w:val="32"/>
      <w:szCs w:val="32"/>
      <w:lang w:val="en-US" w:eastAsia="zh-CN" w:bidi="ar-SA"/>
    </w:rPr>
  </w:style>
  <w:style w:type="character" w:customStyle="1" w:styleId="741">
    <w:name w:val="font131"/>
    <w:qFormat/>
    <w:uiPriority w:val="0"/>
    <w:rPr>
      <w:rFonts w:hint="eastAsia" w:ascii="宋体" w:hAnsi="宋体" w:eastAsia="宋体"/>
      <w:color w:val="000000"/>
      <w:kern w:val="2"/>
      <w:sz w:val="21"/>
      <w:szCs w:val="21"/>
      <w:u w:val="none"/>
      <w:lang w:val="en-US" w:eastAsia="zh-CN" w:bidi="ar-SA"/>
    </w:rPr>
  </w:style>
  <w:style w:type="character" w:customStyle="1" w:styleId="742">
    <w:name w:val="style471"/>
    <w:qFormat/>
    <w:uiPriority w:val="0"/>
    <w:rPr>
      <w:rFonts w:ascii="宋体" w:hAnsi="宋体" w:cs="宋体"/>
      <w:sz w:val="20"/>
      <w:szCs w:val="20"/>
    </w:rPr>
  </w:style>
  <w:style w:type="character" w:customStyle="1" w:styleId="743">
    <w:name w:val="报告书表格 Char Char"/>
    <w:qFormat/>
    <w:uiPriority w:val="0"/>
    <w:rPr>
      <w:sz w:val="24"/>
      <w:lang w:bidi="ar-SA"/>
    </w:rPr>
  </w:style>
  <w:style w:type="character" w:customStyle="1" w:styleId="744">
    <w:name w:val="页脚 字符"/>
    <w:qFormat/>
    <w:uiPriority w:val="99"/>
  </w:style>
  <w:style w:type="character" w:customStyle="1" w:styleId="745">
    <w:name w:val="Char Char141"/>
    <w:qFormat/>
    <w:uiPriority w:val="0"/>
    <w:rPr>
      <w:rFonts w:eastAsia="宋体"/>
      <w:kern w:val="2"/>
      <w:sz w:val="18"/>
      <w:szCs w:val="18"/>
      <w:lang w:val="en-US" w:eastAsia="zh-CN" w:bidi="ar-SA"/>
    </w:rPr>
  </w:style>
  <w:style w:type="character" w:customStyle="1" w:styleId="746">
    <w:name w:val="Body text + Spacing 0 pt3"/>
    <w:qFormat/>
    <w:uiPriority w:val="0"/>
    <w:rPr>
      <w:rFonts w:ascii="MingLiU" w:eastAsia="MingLiU" w:cs="MingLiU"/>
      <w:spacing w:val="-10"/>
      <w:sz w:val="23"/>
      <w:szCs w:val="23"/>
      <w:u w:val="single"/>
      <w:lang w:bidi="ar-SA"/>
    </w:rPr>
  </w:style>
  <w:style w:type="character" w:customStyle="1" w:styleId="747">
    <w:name w:val="Char Char7"/>
    <w:semiHidden/>
    <w:qFormat/>
    <w:uiPriority w:val="99"/>
    <w:rPr>
      <w:rFonts w:ascii="宋体" w:hAnsi="宋体" w:eastAsia="宋体"/>
      <w:lang w:val="fr-FR"/>
    </w:rPr>
  </w:style>
  <w:style w:type="character" w:customStyle="1" w:styleId="748">
    <w:name w:val="正文首行缩进 2 + Times New Roman Char Char Char"/>
    <w:qFormat/>
    <w:uiPriority w:val="0"/>
    <w:rPr>
      <w:rFonts w:eastAsia="宋体"/>
      <w:kern w:val="2"/>
      <w:sz w:val="24"/>
      <w:szCs w:val="24"/>
      <w:lang w:val="en-US" w:eastAsia="zh-CN" w:bidi="ar-SA"/>
    </w:rPr>
  </w:style>
  <w:style w:type="character" w:customStyle="1" w:styleId="749">
    <w:name w:val="Achievement Char Char"/>
    <w:qFormat/>
    <w:uiPriority w:val="0"/>
    <w:rPr>
      <w:rFonts w:eastAsia="宋体"/>
      <w:lang w:val="en-US" w:eastAsia="zh-CN" w:bidi="ar-SA"/>
    </w:rPr>
  </w:style>
  <w:style w:type="character" w:customStyle="1" w:styleId="750">
    <w:name w:val="样式 (符号) 宋体 黑色 居中 Char"/>
    <w:link w:val="751"/>
    <w:qFormat/>
    <w:uiPriority w:val="0"/>
    <w:rPr>
      <w:rFonts w:hAnsi="宋体"/>
      <w:color w:val="000000"/>
      <w:sz w:val="24"/>
    </w:rPr>
  </w:style>
  <w:style w:type="paragraph" w:customStyle="1" w:styleId="751">
    <w:name w:val="样式 (符号) 宋体 黑色 居中"/>
    <w:basedOn w:val="1"/>
    <w:link w:val="750"/>
    <w:qFormat/>
    <w:uiPriority w:val="0"/>
    <w:pPr>
      <w:spacing w:beforeLines="50" w:afterLines="50" w:line="300" w:lineRule="auto"/>
      <w:ind w:firstLine="200" w:firstLineChars="200"/>
    </w:pPr>
    <w:rPr>
      <w:rFonts w:hAnsi="宋体"/>
      <w:color w:val="000000"/>
      <w:kern w:val="0"/>
      <w:sz w:val="24"/>
      <w:szCs w:val="20"/>
    </w:rPr>
  </w:style>
  <w:style w:type="character" w:customStyle="1" w:styleId="752">
    <w:name w:val="图表名称 Char Char"/>
    <w:qFormat/>
    <w:uiPriority w:val="0"/>
    <w:rPr>
      <w:rFonts w:eastAsia="黑体"/>
      <w:b/>
      <w:bCs/>
      <w:sz w:val="24"/>
      <w:szCs w:val="21"/>
      <w:lang w:bidi="ar-SA"/>
    </w:rPr>
  </w:style>
  <w:style w:type="character" w:customStyle="1" w:styleId="753">
    <w:name w:val="a141"/>
    <w:qFormat/>
    <w:uiPriority w:val="0"/>
    <w:rPr>
      <w:rFonts w:hint="default"/>
      <w:color w:val="000000"/>
      <w:spacing w:val="0"/>
      <w:sz w:val="23"/>
      <w:szCs w:val="23"/>
      <w:bdr w:val="dashed" w:color="auto" w:sz="24" w:space="0"/>
    </w:rPr>
  </w:style>
  <w:style w:type="character" w:customStyle="1" w:styleId="754">
    <w:name w:val="正文文本缩进 3 字符1"/>
    <w:semiHidden/>
    <w:qFormat/>
    <w:uiPriority w:val="99"/>
    <w:rPr>
      <w:kern w:val="2"/>
      <w:sz w:val="16"/>
      <w:szCs w:val="16"/>
      <w:lang w:val="fr-FR"/>
    </w:rPr>
  </w:style>
  <w:style w:type="character" w:customStyle="1" w:styleId="755">
    <w:name w:val="沁漠图标题 Char"/>
    <w:link w:val="756"/>
    <w:qFormat/>
    <w:uiPriority w:val="0"/>
    <w:rPr>
      <w:rFonts w:hAnsi="宋体"/>
      <w:b/>
      <w:bCs/>
      <w:snapToGrid/>
      <w:kern w:val="2"/>
      <w:sz w:val="24"/>
      <w:szCs w:val="24"/>
    </w:rPr>
  </w:style>
  <w:style w:type="paragraph" w:customStyle="1" w:styleId="756">
    <w:name w:val="沁漠图标题"/>
    <w:basedOn w:val="757"/>
    <w:link w:val="755"/>
    <w:qFormat/>
    <w:uiPriority w:val="0"/>
    <w:pPr>
      <w:spacing w:beforeLines="0" w:afterLines="50"/>
    </w:pPr>
    <w:rPr>
      <w:snapToGrid w:val="0"/>
    </w:rPr>
  </w:style>
  <w:style w:type="paragraph" w:customStyle="1" w:styleId="757">
    <w:name w:val="沁漠表头"/>
    <w:basedOn w:val="1"/>
    <w:link w:val="758"/>
    <w:qFormat/>
    <w:uiPriority w:val="0"/>
    <w:pPr>
      <w:adjustRightInd w:val="0"/>
      <w:snapToGrid w:val="0"/>
      <w:spacing w:beforeLines="50" w:line="240" w:lineRule="atLeast"/>
      <w:jc w:val="center"/>
    </w:pPr>
    <w:rPr>
      <w:rFonts w:hAnsi="宋体"/>
      <w:b/>
      <w:bCs/>
      <w:sz w:val="24"/>
    </w:rPr>
  </w:style>
  <w:style w:type="character" w:customStyle="1" w:styleId="758">
    <w:name w:val="沁漠表头 Char"/>
    <w:link w:val="757"/>
    <w:qFormat/>
    <w:uiPriority w:val="0"/>
    <w:rPr>
      <w:rFonts w:hAnsi="宋体"/>
      <w:b/>
      <w:bCs/>
      <w:kern w:val="2"/>
      <w:sz w:val="24"/>
      <w:szCs w:val="24"/>
    </w:rPr>
  </w:style>
  <w:style w:type="character" w:customStyle="1" w:styleId="759">
    <w:name w:val="EmailStyle869"/>
    <w:semiHidden/>
    <w:qFormat/>
    <w:uiPriority w:val="0"/>
    <w:rPr>
      <w:rFonts w:ascii="Arial" w:hAnsi="Arial" w:eastAsia="宋体" w:cs="Arial"/>
      <w:color w:val="auto"/>
      <w:sz w:val="18"/>
      <w:szCs w:val="20"/>
    </w:rPr>
  </w:style>
  <w:style w:type="character" w:customStyle="1" w:styleId="760">
    <w:name w:val="样式 标题 3条标2Char标题 3 Char2 + 黑色 Char Char"/>
    <w:qFormat/>
    <w:uiPriority w:val="0"/>
    <w:rPr>
      <w:b/>
      <w:bCs/>
      <w:color w:val="000000"/>
      <w:sz w:val="24"/>
      <w:szCs w:val="32"/>
      <w:lang w:bidi="ar-SA"/>
    </w:rPr>
  </w:style>
  <w:style w:type="character" w:customStyle="1" w:styleId="761">
    <w:name w:val="wz141"/>
    <w:qFormat/>
    <w:uiPriority w:val="0"/>
    <w:rPr>
      <w:rFonts w:hint="default" w:ascii="Arial" w:hAnsi="Arial" w:cs="Arial"/>
      <w:color w:val="000000"/>
      <w:sz w:val="21"/>
      <w:szCs w:val="21"/>
    </w:rPr>
  </w:style>
  <w:style w:type="character" w:customStyle="1" w:styleId="762">
    <w:name w:val="小四正文 Char Char"/>
    <w:qFormat/>
    <w:uiPriority w:val="0"/>
    <w:rPr>
      <w:rFonts w:ascii="宋体" w:hAnsi="宋体" w:eastAsia="仿宋_GB2312" w:cs="宋体"/>
      <w:kern w:val="2"/>
      <w:sz w:val="30"/>
      <w:szCs w:val="24"/>
      <w:lang w:val="en-US" w:eastAsia="zh-CN" w:bidi="ar-SA"/>
    </w:rPr>
  </w:style>
  <w:style w:type="character" w:customStyle="1" w:styleId="763">
    <w:name w:val="正文文本 (2)_"/>
    <w:link w:val="764"/>
    <w:qFormat/>
    <w:uiPriority w:val="0"/>
    <w:rPr>
      <w:rFonts w:ascii="MingLiU" w:hAnsi="MingLiU" w:eastAsia="MingLiU"/>
      <w:spacing w:val="30"/>
      <w:sz w:val="30"/>
      <w:szCs w:val="30"/>
      <w:shd w:val="clear" w:color="auto" w:fill="FFFFFF"/>
    </w:rPr>
  </w:style>
  <w:style w:type="paragraph" w:customStyle="1" w:styleId="764">
    <w:name w:val="正文文本 (2)"/>
    <w:basedOn w:val="1"/>
    <w:link w:val="763"/>
    <w:qFormat/>
    <w:uiPriority w:val="0"/>
    <w:pPr>
      <w:shd w:val="clear" w:color="auto" w:fill="FFFFFF"/>
      <w:spacing w:line="521" w:lineRule="exact"/>
      <w:jc w:val="distribute"/>
    </w:pPr>
    <w:rPr>
      <w:rFonts w:ascii="MingLiU" w:hAnsi="MingLiU" w:eastAsia="MingLiU"/>
      <w:spacing w:val="30"/>
      <w:kern w:val="0"/>
      <w:sz w:val="30"/>
      <w:szCs w:val="30"/>
      <w:shd w:val="clear" w:color="auto" w:fill="FFFFFF"/>
    </w:rPr>
  </w:style>
  <w:style w:type="character" w:customStyle="1" w:styleId="765">
    <w:name w:val="zw1"/>
    <w:qFormat/>
    <w:uiPriority w:val="0"/>
    <w:rPr>
      <w:rFonts w:hint="eastAsia" w:ascii="宋体" w:hAnsi="宋体" w:eastAsia="宋体"/>
      <w:sz w:val="22"/>
      <w:szCs w:val="22"/>
    </w:rPr>
  </w:style>
  <w:style w:type="character" w:customStyle="1" w:styleId="766">
    <w:name w:val="正文zz Char"/>
    <w:link w:val="767"/>
    <w:qFormat/>
    <w:uiPriority w:val="0"/>
    <w:rPr>
      <w:rFonts w:ascii="宋体" w:hAnsi="宋体" w:eastAsia="Times New Roman"/>
      <w:kern w:val="2"/>
      <w:sz w:val="24"/>
      <w:szCs w:val="24"/>
    </w:rPr>
  </w:style>
  <w:style w:type="paragraph" w:customStyle="1" w:styleId="767">
    <w:name w:val="正文zz"/>
    <w:link w:val="766"/>
    <w:qFormat/>
    <w:uiPriority w:val="0"/>
    <w:pPr>
      <w:spacing w:line="360" w:lineRule="auto"/>
      <w:ind w:firstLine="200" w:firstLineChars="200"/>
    </w:pPr>
    <w:rPr>
      <w:rFonts w:ascii="宋体" w:hAnsi="宋体" w:eastAsia="Times New Roman" w:cs="Times New Roman"/>
      <w:kern w:val="2"/>
      <w:sz w:val="24"/>
      <w:szCs w:val="24"/>
      <w:lang w:val="en-US" w:eastAsia="zh-CN" w:bidi="ar-SA"/>
    </w:rPr>
  </w:style>
  <w:style w:type="character" w:customStyle="1" w:styleId="768">
    <w:name w:val="style4 Char"/>
    <w:qFormat/>
    <w:uiPriority w:val="0"/>
    <w:rPr>
      <w:rFonts w:ascii="Arial" w:hAnsi="Arial" w:eastAsia="黑体"/>
      <w:bCs/>
      <w:kern w:val="2"/>
      <w:sz w:val="24"/>
      <w:szCs w:val="28"/>
    </w:rPr>
  </w:style>
  <w:style w:type="character" w:customStyle="1" w:styleId="769">
    <w:name w:val="图表标注[858D7CFB-ED40-4347-BF05-701D383B685F]1"/>
    <w:link w:val="770"/>
    <w:qFormat/>
    <w:uiPriority w:val="0"/>
    <w:rPr>
      <w:rFonts w:eastAsia="仿宋_GB2312"/>
      <w:color w:val="993300"/>
      <w:sz w:val="21"/>
    </w:rPr>
  </w:style>
  <w:style w:type="paragraph" w:customStyle="1" w:styleId="770">
    <w:name w:val="图表标注"/>
    <w:basedOn w:val="1"/>
    <w:link w:val="769"/>
    <w:qFormat/>
    <w:uiPriority w:val="0"/>
    <w:pPr>
      <w:jc w:val="center"/>
    </w:pPr>
    <w:rPr>
      <w:rFonts w:eastAsia="仿宋_GB2312"/>
      <w:color w:val="993300"/>
      <w:kern w:val="0"/>
      <w:szCs w:val="20"/>
    </w:rPr>
  </w:style>
  <w:style w:type="character" w:customStyle="1" w:styleId="771">
    <w:name w:val="Char Char5"/>
    <w:qFormat/>
    <w:uiPriority w:val="0"/>
    <w:rPr>
      <w:rFonts w:eastAsia="宋体"/>
      <w:kern w:val="2"/>
      <w:sz w:val="18"/>
      <w:szCs w:val="18"/>
      <w:lang w:val="en-US" w:eastAsia="zh-CN" w:bidi="ar-SA"/>
    </w:rPr>
  </w:style>
  <w:style w:type="character" w:customStyle="1" w:styleId="772">
    <w:name w:val="000样式 报告书正文 + 首行缩进:  2 字符 Char"/>
    <w:link w:val="773"/>
    <w:semiHidden/>
    <w:qFormat/>
    <w:uiPriority w:val="0"/>
    <w:rPr>
      <w:rFonts w:ascii="宋体" w:hAnsi="宋体"/>
      <w:bCs/>
      <w:color w:val="000000"/>
      <w:spacing w:val="6"/>
      <w:sz w:val="24"/>
      <w:szCs w:val="24"/>
    </w:rPr>
  </w:style>
  <w:style w:type="paragraph" w:customStyle="1" w:styleId="773">
    <w:name w:val="000样式 报告书正文 + 首行缩进:  2 字符"/>
    <w:basedOn w:val="1"/>
    <w:link w:val="772"/>
    <w:semiHidden/>
    <w:qFormat/>
    <w:uiPriority w:val="0"/>
    <w:pPr>
      <w:spacing w:line="300" w:lineRule="auto"/>
      <w:ind w:left="-2" w:firstLine="504" w:firstLineChars="200"/>
    </w:pPr>
    <w:rPr>
      <w:rFonts w:ascii="宋体" w:hAnsi="宋体"/>
      <w:bCs/>
      <w:color w:val="000000"/>
      <w:spacing w:val="6"/>
      <w:kern w:val="0"/>
      <w:sz w:val="24"/>
    </w:rPr>
  </w:style>
  <w:style w:type="character" w:customStyle="1" w:styleId="774">
    <w:name w:val="正文文字缩进 3 Char Char"/>
    <w:qFormat/>
    <w:uiPriority w:val="0"/>
    <w:rPr>
      <w:rFonts w:ascii="Times New Roman" w:hAnsi="Times New Roman" w:eastAsia="宋体" w:cs="Times New Roman"/>
      <w:sz w:val="16"/>
      <w:szCs w:val="16"/>
    </w:rPr>
  </w:style>
  <w:style w:type="character" w:customStyle="1" w:styleId="775">
    <w:name w:val="纯文本 Char Char Char Char Char Char Char Char Char Char Char"/>
    <w:qFormat/>
    <w:uiPriority w:val="0"/>
    <w:rPr>
      <w:rFonts w:ascii="宋体" w:hAnsi="Courier New" w:eastAsia="宋体" w:cs="Courier New"/>
      <w:kern w:val="2"/>
      <w:sz w:val="21"/>
      <w:szCs w:val="21"/>
      <w:lang w:val="en-US" w:eastAsia="zh-CN" w:bidi="ar-SA"/>
    </w:rPr>
  </w:style>
  <w:style w:type="character" w:customStyle="1" w:styleId="776">
    <w:name w:val="表、图名 Char Char"/>
    <w:qFormat/>
    <w:uiPriority w:val="0"/>
    <w:rPr>
      <w:rFonts w:eastAsia="黑体"/>
      <w:kern w:val="2"/>
      <w:sz w:val="21"/>
      <w:szCs w:val="21"/>
      <w:lang w:bidi="ar-SA"/>
    </w:rPr>
  </w:style>
  <w:style w:type="character" w:customStyle="1" w:styleId="777">
    <w:name w:val="样式 标题 1一、PartH1H11H12H13H111H121H14H15H16H17H18标题 ... Char Char"/>
    <w:qFormat/>
    <w:uiPriority w:val="0"/>
    <w:rPr>
      <w:b/>
      <w:bCs/>
      <w:color w:val="000000"/>
      <w:kern w:val="44"/>
      <w:sz w:val="28"/>
      <w:szCs w:val="44"/>
      <w:lang w:bidi="ar-SA"/>
    </w:rPr>
  </w:style>
  <w:style w:type="character" w:customStyle="1" w:styleId="778">
    <w:name w:val="表格，五宋 Char Char"/>
    <w:qFormat/>
    <w:uiPriority w:val="0"/>
    <w:rPr>
      <w:rFonts w:ascii="宋体" w:hAnsi="宋体"/>
      <w:kern w:val="2"/>
      <w:sz w:val="21"/>
      <w:szCs w:val="22"/>
      <w:lang w:bidi="ar-SA"/>
    </w:rPr>
  </w:style>
  <w:style w:type="character" w:customStyle="1" w:styleId="779">
    <w:name w:val="备注 Char Char"/>
    <w:qFormat/>
    <w:uiPriority w:val="0"/>
    <w:rPr>
      <w:rFonts w:eastAsia="宋体"/>
      <w:kern w:val="2"/>
      <w:sz w:val="21"/>
      <w:szCs w:val="24"/>
      <w:lang w:val="en-US" w:eastAsia="zh-CN" w:bidi="ar-SA"/>
    </w:rPr>
  </w:style>
  <w:style w:type="character" w:customStyle="1" w:styleId="780">
    <w:name w:val="正文上海 Char Char"/>
    <w:qFormat/>
    <w:uiPriority w:val="0"/>
    <w:rPr>
      <w:rFonts w:eastAsia="仿宋_GB2312"/>
      <w:kern w:val="2"/>
      <w:sz w:val="24"/>
      <w:lang w:bidi="ar-SA"/>
    </w:rPr>
  </w:style>
  <w:style w:type="character" w:customStyle="1" w:styleId="781">
    <w:name w:val="样式 样式 样式 样式 正文 首行缩进 + 首行缩进:  2 字符 行距: 单倍行距 + 首行缩进:  2 字符 + 小四 首行... Char"/>
    <w:link w:val="782"/>
    <w:qFormat/>
    <w:uiPriority w:val="0"/>
    <w:rPr>
      <w:color w:val="000000"/>
      <w:kern w:val="2"/>
      <w:sz w:val="24"/>
    </w:rPr>
  </w:style>
  <w:style w:type="paragraph" w:customStyle="1" w:styleId="782">
    <w:name w:val="样式 样式 样式 样式 正文 首行缩进 + 首行缩进:  2 字符 行距: 单倍行距 + 首行缩进:  2 字符 + 小四 首行..."/>
    <w:basedOn w:val="721"/>
    <w:link w:val="781"/>
    <w:qFormat/>
    <w:uiPriority w:val="0"/>
    <w:rPr>
      <w:color w:val="000000"/>
    </w:rPr>
  </w:style>
  <w:style w:type="character" w:customStyle="1" w:styleId="783">
    <w:name w:val="样式2 Char Char Char Char Char Char"/>
    <w:qFormat/>
    <w:uiPriority w:val="0"/>
    <w:rPr>
      <w:rFonts w:eastAsia="宋体"/>
      <w:sz w:val="24"/>
      <w:szCs w:val="24"/>
      <w:lang w:val="en-US" w:eastAsia="zh-CN" w:bidi="ar-SA"/>
    </w:rPr>
  </w:style>
  <w:style w:type="character" w:customStyle="1" w:styleId="784">
    <w:name w:val="正文样式1 Char"/>
    <w:link w:val="785"/>
    <w:qFormat/>
    <w:uiPriority w:val="0"/>
    <w:rPr>
      <w:spacing w:val="8"/>
      <w:sz w:val="24"/>
    </w:rPr>
  </w:style>
  <w:style w:type="paragraph" w:customStyle="1" w:styleId="785">
    <w:name w:val="正文样式1"/>
    <w:basedOn w:val="1"/>
    <w:link w:val="784"/>
    <w:qFormat/>
    <w:uiPriority w:val="0"/>
    <w:pPr>
      <w:adjustRightInd w:val="0"/>
      <w:spacing w:line="360" w:lineRule="auto"/>
      <w:ind w:firstLine="510"/>
      <w:textAlignment w:val="baseline"/>
    </w:pPr>
    <w:rPr>
      <w:spacing w:val="8"/>
      <w:kern w:val="0"/>
      <w:sz w:val="24"/>
      <w:szCs w:val="20"/>
    </w:rPr>
  </w:style>
  <w:style w:type="character" w:customStyle="1" w:styleId="786">
    <w:name w:val="radio-btn1"/>
    <w:qFormat/>
    <w:uiPriority w:val="0"/>
    <w:rPr>
      <w:sz w:val="24"/>
      <w:szCs w:val="24"/>
    </w:rPr>
  </w:style>
  <w:style w:type="character" w:customStyle="1" w:styleId="787">
    <w:name w:val="表头王 Char"/>
    <w:link w:val="788"/>
    <w:qFormat/>
    <w:uiPriority w:val="0"/>
    <w:rPr>
      <w:rFonts w:ascii="黑体" w:eastAsia="黑体"/>
      <w:b/>
      <w:bCs/>
      <w:kern w:val="2"/>
      <w:sz w:val="24"/>
      <w:szCs w:val="24"/>
    </w:rPr>
  </w:style>
  <w:style w:type="paragraph" w:customStyle="1" w:styleId="788">
    <w:name w:val="表头王"/>
    <w:basedOn w:val="198"/>
    <w:link w:val="787"/>
    <w:qFormat/>
    <w:uiPriority w:val="0"/>
    <w:pPr>
      <w:spacing w:before="120" w:beforeLines="0" w:after="120" w:afterLines="0" w:line="360" w:lineRule="auto"/>
      <w:ind w:left="578" w:hanging="578"/>
    </w:pPr>
    <w:rPr>
      <w:rFonts w:ascii="黑体" w:eastAsia="黑体"/>
      <w:b/>
      <w:bCs/>
      <w:kern w:val="2"/>
      <w:sz w:val="24"/>
      <w:szCs w:val="24"/>
    </w:rPr>
  </w:style>
  <w:style w:type="character" w:customStyle="1" w:styleId="789">
    <w:name w:val="批注框文本 Char Char"/>
    <w:qFormat/>
    <w:uiPriority w:val="0"/>
    <w:rPr>
      <w:kern w:val="2"/>
      <w:sz w:val="18"/>
      <w:szCs w:val="18"/>
    </w:rPr>
  </w:style>
  <w:style w:type="character" w:customStyle="1" w:styleId="790">
    <w:name w:val="nota"/>
    <w:qFormat/>
    <w:uiPriority w:val="0"/>
    <w:rPr>
      <w:i/>
      <w:iCs/>
      <w:sz w:val="20"/>
    </w:rPr>
  </w:style>
  <w:style w:type="character" w:customStyle="1" w:styleId="791">
    <w:name w:val="A正文 Char"/>
    <w:link w:val="792"/>
    <w:semiHidden/>
    <w:qFormat/>
    <w:uiPriority w:val="0"/>
    <w:rPr>
      <w:sz w:val="24"/>
    </w:rPr>
  </w:style>
  <w:style w:type="paragraph" w:customStyle="1" w:styleId="792">
    <w:name w:val="A正文"/>
    <w:basedOn w:val="1"/>
    <w:link w:val="791"/>
    <w:semiHidden/>
    <w:qFormat/>
    <w:uiPriority w:val="0"/>
    <w:pPr>
      <w:spacing w:line="360" w:lineRule="auto"/>
      <w:ind w:firstLine="570"/>
    </w:pPr>
    <w:rPr>
      <w:kern w:val="0"/>
      <w:sz w:val="24"/>
      <w:szCs w:val="20"/>
    </w:rPr>
  </w:style>
  <w:style w:type="character" w:customStyle="1" w:styleId="793">
    <w:name w:val="Char Char62"/>
    <w:qFormat/>
    <w:uiPriority w:val="0"/>
    <w:rPr>
      <w:kern w:val="2"/>
      <w:sz w:val="18"/>
      <w:szCs w:val="18"/>
    </w:rPr>
  </w:style>
  <w:style w:type="character" w:customStyle="1" w:styleId="794">
    <w:name w:val="H2 Char2"/>
    <w:qFormat/>
    <w:uiPriority w:val="0"/>
    <w:rPr>
      <w:rFonts w:ascii="Arial" w:hAnsi="Arial" w:eastAsia="黑体" w:cs="Times New Roman"/>
      <w:b/>
      <w:bCs/>
      <w:sz w:val="32"/>
      <w:szCs w:val="32"/>
    </w:rPr>
  </w:style>
  <w:style w:type="character" w:customStyle="1" w:styleId="795">
    <w:name w:val="N-正文及四级标题（1） Char"/>
    <w:link w:val="796"/>
    <w:qFormat/>
    <w:uiPriority w:val="0"/>
    <w:rPr>
      <w:rFonts w:ascii="Arial" w:hAnsi="Arial"/>
      <w:kern w:val="2"/>
      <w:sz w:val="21"/>
    </w:rPr>
  </w:style>
  <w:style w:type="paragraph" w:customStyle="1" w:styleId="796">
    <w:name w:val="N-正文及四级标题（1）"/>
    <w:basedOn w:val="1"/>
    <w:link w:val="795"/>
    <w:unhideWhenUsed/>
    <w:qFormat/>
    <w:uiPriority w:val="0"/>
    <w:pPr>
      <w:spacing w:before="120" w:after="120" w:line="360" w:lineRule="auto"/>
      <w:ind w:left="578" w:firstLine="480" w:firstLineChars="200"/>
    </w:pPr>
    <w:rPr>
      <w:rFonts w:ascii="Arial" w:hAnsi="Arial"/>
      <w:szCs w:val="20"/>
    </w:rPr>
  </w:style>
  <w:style w:type="character" w:customStyle="1" w:styleId="797">
    <w:name w:val="0-shiw-正文 4号宋体 Char Char Char"/>
    <w:qFormat/>
    <w:uiPriority w:val="0"/>
    <w:rPr>
      <w:kern w:val="2"/>
      <w:sz w:val="28"/>
      <w:szCs w:val="28"/>
      <w:lang w:val="en-US" w:eastAsia="zh-CN" w:bidi="ar-SA"/>
    </w:rPr>
  </w:style>
  <w:style w:type="character" w:customStyle="1" w:styleId="798">
    <w:name w:val="标题 9 Char2"/>
    <w:qFormat/>
    <w:uiPriority w:val="0"/>
    <w:rPr>
      <w:rFonts w:ascii="Arial" w:hAnsi="Arial" w:eastAsia="黑体"/>
      <w:sz w:val="24"/>
      <w:lang w:val="en-US" w:eastAsia="zh-CN" w:bidi="ar-SA"/>
    </w:rPr>
  </w:style>
  <w:style w:type="character" w:customStyle="1" w:styleId="799">
    <w:name w:val="图表标题 Char"/>
    <w:qFormat/>
    <w:uiPriority w:val="0"/>
    <w:rPr>
      <w:rFonts w:ascii="黑体" w:hAnsi="Calibri" w:eastAsia="黑体"/>
      <w:sz w:val="24"/>
      <w:szCs w:val="24"/>
      <w:lang w:val="en-US" w:eastAsia="zh-CN" w:bidi="en-US"/>
    </w:rPr>
  </w:style>
  <w:style w:type="character" w:customStyle="1" w:styleId="800">
    <w:name w:val="正文首缩 Char Char"/>
    <w:qFormat/>
    <w:uiPriority w:val="0"/>
    <w:rPr>
      <w:rFonts w:eastAsia="宋体"/>
      <w:kern w:val="2"/>
      <w:sz w:val="24"/>
      <w:lang w:val="en-US" w:eastAsia="zh-CN" w:bidi="ar-SA"/>
    </w:rPr>
  </w:style>
  <w:style w:type="character" w:customStyle="1" w:styleId="801">
    <w:name w:val="样式 图表 + 倾斜 Char Char"/>
    <w:qFormat/>
    <w:uiPriority w:val="0"/>
    <w:rPr>
      <w:rFonts w:ascii="宋体" w:hAnsi="宋体"/>
      <w:i/>
      <w:iCs/>
      <w:sz w:val="21"/>
      <w:szCs w:val="24"/>
      <w:lang w:bidi="ar-SA"/>
    </w:rPr>
  </w:style>
  <w:style w:type="character" w:customStyle="1" w:styleId="802">
    <w:name w:val="批注引用41"/>
    <w:qFormat/>
    <w:uiPriority w:val="0"/>
    <w:rPr>
      <w:sz w:val="21"/>
      <w:szCs w:val="21"/>
    </w:rPr>
  </w:style>
  <w:style w:type="character" w:customStyle="1" w:styleId="803">
    <w:name w:val="样式 正文文本 2 + 宋体 小四 黑色 Char"/>
    <w:qFormat/>
    <w:uiPriority w:val="0"/>
    <w:rPr>
      <w:rFonts w:ascii="宋体" w:hAnsi="宋体" w:eastAsia="隶书" w:cs="宋体"/>
      <w:color w:val="000000"/>
      <w:spacing w:val="10"/>
      <w:kern w:val="2"/>
      <w:sz w:val="24"/>
      <w:szCs w:val="28"/>
      <w:lang w:val="en-US" w:eastAsia="zh-CN" w:bidi="ar-SA"/>
    </w:rPr>
  </w:style>
  <w:style w:type="character" w:customStyle="1" w:styleId="804">
    <w:name w:val="样式 首行缩进:  2 字符1（OPCC宋体） Char Char"/>
    <w:qFormat/>
    <w:uiPriority w:val="0"/>
    <w:rPr>
      <w:rFonts w:eastAsia="宋体"/>
      <w:sz w:val="24"/>
      <w:szCs w:val="24"/>
      <w:lang w:bidi="ar-SA"/>
    </w:rPr>
  </w:style>
  <w:style w:type="character" w:customStyle="1" w:styleId="805">
    <w:name w:val="表格标题new Char Char"/>
    <w:qFormat/>
    <w:uiPriority w:val="0"/>
    <w:rPr>
      <w:rFonts w:ascii="黑体" w:hAnsi="黑体" w:eastAsia="黑体"/>
      <w:sz w:val="24"/>
      <w:szCs w:val="24"/>
      <w:lang w:bidi="ar-SA"/>
    </w:rPr>
  </w:style>
  <w:style w:type="character" w:customStyle="1" w:styleId="806">
    <w:name w:val="Char Char Char Char11"/>
    <w:qFormat/>
    <w:uiPriority w:val="0"/>
    <w:rPr>
      <w:rFonts w:eastAsia="黑体"/>
      <w:b/>
      <w:bCs/>
      <w:snapToGrid w:val="0"/>
      <w:sz w:val="24"/>
      <w:szCs w:val="32"/>
      <w:lang w:val="en-US" w:eastAsia="zh-CN" w:bidi="ar-SA"/>
    </w:rPr>
  </w:style>
  <w:style w:type="character" w:customStyle="1" w:styleId="807">
    <w:name w:val="引用文章 Char"/>
    <w:qFormat/>
    <w:uiPriority w:val="0"/>
    <w:rPr>
      <w:rFonts w:eastAsia="楷体_GB2312" w:cs="宋体"/>
      <w:kern w:val="2"/>
      <w:sz w:val="24"/>
      <w:lang w:val="en-US" w:eastAsia="zh-CN" w:bidi="ar-SA"/>
    </w:rPr>
  </w:style>
  <w:style w:type="character" w:customStyle="1" w:styleId="808">
    <w:name w:val="13h-duanluo"/>
    <w:semiHidden/>
    <w:qFormat/>
    <w:uiPriority w:val="0"/>
    <w:rPr>
      <w:szCs w:val="21"/>
    </w:rPr>
  </w:style>
  <w:style w:type="character" w:customStyle="1" w:styleId="809">
    <w:name w:val="样式3 Char Char Char Char Char Char Char Char Char Char Char Char Char Char Char Char Char"/>
    <w:qFormat/>
    <w:uiPriority w:val="0"/>
    <w:rPr>
      <w:rFonts w:eastAsia="宋体"/>
      <w:kern w:val="2"/>
      <w:sz w:val="24"/>
      <w:szCs w:val="24"/>
      <w:lang w:val="en-US" w:eastAsia="zh-CN" w:bidi="ar-SA"/>
    </w:rPr>
  </w:style>
  <w:style w:type="character" w:customStyle="1" w:styleId="810">
    <w:name w:val="Body text + MS Gothic"/>
    <w:qFormat/>
    <w:uiPriority w:val="0"/>
    <w:rPr>
      <w:rFonts w:ascii="MS Gothic" w:eastAsia="MS Gothic" w:cs="MS Gothic"/>
      <w:sz w:val="20"/>
      <w:szCs w:val="20"/>
      <w:u w:val="none"/>
      <w:lang w:bidi="ar-SA"/>
    </w:rPr>
  </w:style>
  <w:style w:type="character" w:customStyle="1" w:styleId="811">
    <w:name w:val="biaoti1"/>
    <w:qFormat/>
    <w:uiPriority w:val="0"/>
    <w:rPr>
      <w:b/>
      <w:bCs/>
      <w:color w:val="1642A4"/>
      <w:sz w:val="23"/>
      <w:szCs w:val="23"/>
      <w:u w:val="none"/>
    </w:rPr>
  </w:style>
  <w:style w:type="character" w:customStyle="1" w:styleId="812">
    <w:name w:val="段落文字 Char"/>
    <w:qFormat/>
    <w:uiPriority w:val="0"/>
    <w:rPr>
      <w:rFonts w:eastAsia="宋体"/>
      <w:kern w:val="2"/>
      <w:sz w:val="28"/>
      <w:szCs w:val="24"/>
      <w:lang w:val="en-US" w:eastAsia="zh-CN" w:bidi="ar-SA"/>
    </w:rPr>
  </w:style>
  <w:style w:type="character" w:customStyle="1" w:styleId="813">
    <w:name w:val="chen正文字体11 Char Char"/>
    <w:qFormat/>
    <w:uiPriority w:val="0"/>
    <w:rPr>
      <w:rFonts w:ascii="宋体" w:hAnsi="宋体"/>
      <w:color w:val="000000"/>
      <w:kern w:val="2"/>
      <w:sz w:val="24"/>
      <w:lang w:bidi="ar-SA"/>
    </w:rPr>
  </w:style>
  <w:style w:type="character" w:customStyle="1" w:styleId="814">
    <w:name w:val="表头+图名 Char"/>
    <w:link w:val="815"/>
    <w:semiHidden/>
    <w:qFormat/>
    <w:uiPriority w:val="0"/>
    <w:rPr>
      <w:rFonts w:ascii="Arial" w:hAnsi="Arial" w:eastAsia="黑体"/>
      <w:b/>
      <w:bCs/>
      <w:color w:val="000000"/>
    </w:rPr>
  </w:style>
  <w:style w:type="paragraph" w:customStyle="1" w:styleId="815">
    <w:name w:val="表头+图名"/>
    <w:basedOn w:val="25"/>
    <w:link w:val="814"/>
    <w:semiHidden/>
    <w:qFormat/>
    <w:uiPriority w:val="0"/>
    <w:pPr>
      <w:spacing w:before="30" w:after="30" w:line="360" w:lineRule="auto"/>
      <w:ind w:firstLine="480" w:firstLineChars="200"/>
      <w:outlineLvl w:val="4"/>
    </w:pPr>
    <w:rPr>
      <w:rFonts w:ascii="Arial" w:hAnsi="Arial" w:eastAsia="黑体"/>
      <w:bCs/>
      <w:color w:val="000000"/>
      <w:kern w:val="0"/>
      <w:sz w:val="20"/>
    </w:rPr>
  </w:style>
  <w:style w:type="character" w:customStyle="1" w:styleId="816">
    <w:name w:val="H3 Char1"/>
    <w:qFormat/>
    <w:uiPriority w:val="0"/>
    <w:rPr>
      <w:rFonts w:ascii="Times New Roman" w:hAnsi="Times New Roman" w:eastAsia="宋体" w:cs="Times New Roman"/>
      <w:b/>
      <w:bCs/>
      <w:sz w:val="32"/>
      <w:szCs w:val="32"/>
    </w:rPr>
  </w:style>
  <w:style w:type="character" w:customStyle="1" w:styleId="817">
    <w:name w:val="图表题 Char"/>
    <w:link w:val="818"/>
    <w:qFormat/>
    <w:uiPriority w:val="0"/>
    <w:rPr>
      <w:rFonts w:ascii="黑体" w:hAnsi="宋体" w:eastAsia="黑体"/>
      <w:b/>
      <w:bCs/>
      <w:kern w:val="2"/>
      <w:sz w:val="24"/>
      <w:szCs w:val="24"/>
    </w:rPr>
  </w:style>
  <w:style w:type="paragraph" w:customStyle="1" w:styleId="818">
    <w:name w:val="图表题"/>
    <w:basedOn w:val="593"/>
    <w:next w:val="593"/>
    <w:link w:val="817"/>
    <w:qFormat/>
    <w:uiPriority w:val="0"/>
    <w:pPr>
      <w:ind w:firstLine="0"/>
      <w:jc w:val="center"/>
    </w:pPr>
    <w:rPr>
      <w:rFonts w:ascii="黑体" w:hAnsi="宋体" w:eastAsia="黑体"/>
      <w:b/>
      <w:bCs/>
      <w:sz w:val="24"/>
      <w:szCs w:val="24"/>
    </w:rPr>
  </w:style>
  <w:style w:type="character" w:customStyle="1" w:styleId="819">
    <w:name w:val="图表名 Char"/>
    <w:link w:val="820"/>
    <w:qFormat/>
    <w:uiPriority w:val="0"/>
    <w:rPr>
      <w:bCs/>
      <w:sz w:val="24"/>
      <w:szCs w:val="24"/>
    </w:rPr>
  </w:style>
  <w:style w:type="paragraph" w:customStyle="1" w:styleId="820">
    <w:name w:val="图表名"/>
    <w:basedOn w:val="1"/>
    <w:link w:val="819"/>
    <w:qFormat/>
    <w:uiPriority w:val="0"/>
    <w:pPr>
      <w:spacing w:line="360" w:lineRule="auto"/>
      <w:jc w:val="center"/>
    </w:pPr>
    <w:rPr>
      <w:bCs/>
      <w:kern w:val="0"/>
      <w:sz w:val="24"/>
    </w:rPr>
  </w:style>
  <w:style w:type="character" w:customStyle="1" w:styleId="821">
    <w:name w:val="表16.1 Char Char"/>
    <w:link w:val="822"/>
    <w:qFormat/>
    <w:uiPriority w:val="0"/>
    <w:rPr>
      <w:rFonts w:ascii="黑体" w:eastAsia="黑体"/>
      <w:b/>
      <w:sz w:val="24"/>
      <w:szCs w:val="26"/>
    </w:rPr>
  </w:style>
  <w:style w:type="paragraph" w:customStyle="1" w:styleId="822">
    <w:name w:val="表16.1"/>
    <w:basedOn w:val="1"/>
    <w:link w:val="821"/>
    <w:qFormat/>
    <w:uiPriority w:val="0"/>
    <w:pPr>
      <w:tabs>
        <w:tab w:val="left" w:pos="1080"/>
        <w:tab w:val="center" w:pos="4060"/>
        <w:tab w:val="right" w:pos="8261"/>
      </w:tabs>
      <w:suppressAutoHyphens/>
      <w:adjustRightInd w:val="0"/>
      <w:spacing w:before="240" w:after="120" w:line="0" w:lineRule="atLeast"/>
      <w:ind w:left="420" w:hanging="420"/>
    </w:pPr>
    <w:rPr>
      <w:rFonts w:ascii="黑体" w:eastAsia="黑体"/>
      <w:b/>
      <w:kern w:val="0"/>
      <w:sz w:val="24"/>
      <w:szCs w:val="26"/>
    </w:rPr>
  </w:style>
  <w:style w:type="character" w:customStyle="1" w:styleId="823">
    <w:name w:val="tj说明书-正文 Char"/>
    <w:link w:val="824"/>
    <w:qFormat/>
    <w:uiPriority w:val="0"/>
    <w:rPr>
      <w:rFonts w:ascii="宋体" w:hAnsi="宋体" w:eastAsia="Times New Roman"/>
      <w:kern w:val="2"/>
      <w:sz w:val="21"/>
      <w:szCs w:val="22"/>
    </w:rPr>
  </w:style>
  <w:style w:type="paragraph" w:customStyle="1" w:styleId="824">
    <w:name w:val="tj说明书-正文"/>
    <w:link w:val="823"/>
    <w:qFormat/>
    <w:uiPriority w:val="0"/>
    <w:pPr>
      <w:spacing w:line="360" w:lineRule="auto"/>
      <w:ind w:firstLine="200" w:firstLineChars="200"/>
    </w:pPr>
    <w:rPr>
      <w:rFonts w:ascii="宋体" w:hAnsi="宋体" w:eastAsia="Times New Roman" w:cs="Times New Roman"/>
      <w:kern w:val="2"/>
      <w:sz w:val="21"/>
      <w:szCs w:val="22"/>
      <w:lang w:val="en-US" w:eastAsia="zh-CN" w:bidi="ar-SA"/>
    </w:rPr>
  </w:style>
  <w:style w:type="character" w:customStyle="1" w:styleId="825">
    <w:name w:val="A正文 Char Char"/>
    <w:qFormat/>
    <w:uiPriority w:val="0"/>
    <w:rPr>
      <w:sz w:val="24"/>
      <w:lang w:bidi="ar-SA"/>
    </w:rPr>
  </w:style>
  <w:style w:type="character" w:customStyle="1" w:styleId="826">
    <w:name w:val="样式 表内宋5中 + 五号 Char"/>
    <w:link w:val="827"/>
    <w:qFormat/>
    <w:uiPriority w:val="0"/>
    <w:rPr>
      <w:rFonts w:ascii="宋体" w:hAnsi="宋体"/>
      <w:sz w:val="24"/>
      <w:szCs w:val="24"/>
    </w:rPr>
  </w:style>
  <w:style w:type="paragraph" w:customStyle="1" w:styleId="827">
    <w:name w:val="样式 表内宋5中 + 五号"/>
    <w:basedOn w:val="1"/>
    <w:link w:val="826"/>
    <w:qFormat/>
    <w:uiPriority w:val="0"/>
    <w:pPr>
      <w:adjustRightInd w:val="0"/>
      <w:snapToGrid w:val="0"/>
      <w:spacing w:before="120" w:after="120"/>
      <w:ind w:left="578" w:hanging="578"/>
      <w:jc w:val="center"/>
      <w:textAlignment w:val="baseline"/>
    </w:pPr>
    <w:rPr>
      <w:rFonts w:ascii="宋体" w:hAnsi="宋体"/>
      <w:kern w:val="0"/>
      <w:sz w:val="24"/>
    </w:rPr>
  </w:style>
  <w:style w:type="character" w:customStyle="1" w:styleId="828">
    <w:name w:val="图题 Char"/>
    <w:link w:val="829"/>
    <w:qFormat/>
    <w:uiPriority w:val="0"/>
    <w:rPr>
      <w:rFonts w:ascii="宋体" w:hAnsi="宋体"/>
      <w:b/>
      <w:bCs/>
      <w:sz w:val="28"/>
      <w:szCs w:val="28"/>
    </w:rPr>
  </w:style>
  <w:style w:type="paragraph" w:customStyle="1" w:styleId="829">
    <w:name w:val="图题"/>
    <w:basedOn w:val="1"/>
    <w:link w:val="828"/>
    <w:qFormat/>
    <w:uiPriority w:val="0"/>
    <w:pPr>
      <w:adjustRightInd w:val="0"/>
      <w:snapToGrid w:val="0"/>
    </w:pPr>
    <w:rPr>
      <w:rFonts w:ascii="宋体" w:hAnsi="宋体"/>
      <w:b/>
      <w:bCs/>
      <w:kern w:val="0"/>
      <w:sz w:val="28"/>
      <w:szCs w:val="28"/>
    </w:rPr>
  </w:style>
  <w:style w:type="character" w:customStyle="1" w:styleId="830">
    <w:name w:val="表内 Char"/>
    <w:link w:val="831"/>
    <w:qFormat/>
    <w:uiPriority w:val="0"/>
    <w:rPr>
      <w:kern w:val="2"/>
      <w:sz w:val="24"/>
      <w:szCs w:val="21"/>
    </w:rPr>
  </w:style>
  <w:style w:type="paragraph" w:customStyle="1" w:styleId="831">
    <w:name w:val="表内"/>
    <w:basedOn w:val="1"/>
    <w:link w:val="830"/>
    <w:qFormat/>
    <w:uiPriority w:val="0"/>
    <w:pPr>
      <w:adjustRightInd w:val="0"/>
      <w:snapToGrid w:val="0"/>
      <w:spacing w:line="360" w:lineRule="auto"/>
      <w:ind w:firstLine="482"/>
    </w:pPr>
    <w:rPr>
      <w:sz w:val="24"/>
      <w:szCs w:val="21"/>
    </w:rPr>
  </w:style>
  <w:style w:type="character" w:customStyle="1" w:styleId="832">
    <w:name w:val="样式 Char Char Char Char Char Char Char Char Char Char Char Char Char Char Char Char Char"/>
    <w:qFormat/>
    <w:uiPriority w:val="0"/>
    <w:rPr>
      <w:rFonts w:eastAsia="宋体"/>
      <w:kern w:val="2"/>
      <w:sz w:val="24"/>
      <w:szCs w:val="24"/>
      <w:lang w:val="en-US" w:eastAsia="zh-CN" w:bidi="ar-SA"/>
    </w:rPr>
  </w:style>
  <w:style w:type="character" w:customStyle="1" w:styleId="833">
    <w:name w:val="表格文字 Char1"/>
    <w:qFormat/>
    <w:uiPriority w:val="0"/>
    <w:rPr>
      <w:rFonts w:ascii="Times New Roman" w:hAnsi="宋体" w:cs="Times New Roman"/>
      <w:kern w:val="44"/>
      <w:szCs w:val="21"/>
    </w:rPr>
  </w:style>
  <w:style w:type="character" w:customStyle="1" w:styleId="834">
    <w:name w:val="unnamed2"/>
    <w:qFormat/>
    <w:uiPriority w:val="0"/>
  </w:style>
  <w:style w:type="character" w:customStyle="1" w:styleId="835">
    <w:name w:val="段落文字 Char Char1 Char Char Char"/>
    <w:qFormat/>
    <w:uiPriority w:val="0"/>
    <w:rPr>
      <w:rFonts w:eastAsia="仿宋_GB2312"/>
      <w:kern w:val="2"/>
      <w:sz w:val="28"/>
      <w:szCs w:val="28"/>
      <w:lang w:val="en-US" w:eastAsia="zh-CN" w:bidi="ar-SA"/>
    </w:rPr>
  </w:style>
  <w:style w:type="character" w:customStyle="1" w:styleId="836">
    <w:name w:val="批注引用4"/>
    <w:qFormat/>
    <w:uiPriority w:val="0"/>
    <w:rPr>
      <w:sz w:val="21"/>
      <w:szCs w:val="21"/>
    </w:rPr>
  </w:style>
  <w:style w:type="character" w:customStyle="1" w:styleId="837">
    <w:name w:val="00报告书正文 + 宋体 小四 首行缩进 1.5 行距 Char"/>
    <w:link w:val="838"/>
    <w:semiHidden/>
    <w:qFormat/>
    <w:uiPriority w:val="0"/>
    <w:rPr>
      <w:rFonts w:ascii="宋体" w:hAnsi="宋体"/>
      <w:color w:val="000000"/>
      <w:sz w:val="24"/>
    </w:rPr>
  </w:style>
  <w:style w:type="paragraph" w:customStyle="1" w:styleId="838">
    <w:name w:val="00报告书正文 + 宋体 小四 首行缩进 1.5 行距"/>
    <w:basedOn w:val="1"/>
    <w:link w:val="837"/>
    <w:semiHidden/>
    <w:qFormat/>
    <w:uiPriority w:val="0"/>
    <w:pPr>
      <w:spacing w:line="360" w:lineRule="auto"/>
      <w:ind w:firstLine="560" w:firstLineChars="200"/>
    </w:pPr>
    <w:rPr>
      <w:rFonts w:ascii="宋体" w:hAnsi="宋体"/>
      <w:color w:val="000000"/>
      <w:kern w:val="0"/>
      <w:sz w:val="24"/>
      <w:szCs w:val="20"/>
    </w:rPr>
  </w:style>
  <w:style w:type="character" w:customStyle="1" w:styleId="839">
    <w:name w:val="yyy1"/>
    <w:qFormat/>
    <w:uiPriority w:val="0"/>
    <w:rPr>
      <w:rFonts w:hint="default"/>
      <w:color w:val="FFFFFF"/>
      <w:sz w:val="21"/>
      <w:szCs w:val="21"/>
    </w:rPr>
  </w:style>
  <w:style w:type="character" w:customStyle="1" w:styleId="840">
    <w:name w:val="样式 表名 Char Char"/>
    <w:link w:val="841"/>
    <w:qFormat/>
    <w:uiPriority w:val="0"/>
    <w:rPr>
      <w:rFonts w:ascii="宋体"/>
      <w:sz w:val="21"/>
    </w:rPr>
  </w:style>
  <w:style w:type="paragraph" w:customStyle="1" w:styleId="841">
    <w:name w:val="样式 表名"/>
    <w:basedOn w:val="1"/>
    <w:next w:val="1"/>
    <w:link w:val="840"/>
    <w:unhideWhenUsed/>
    <w:qFormat/>
    <w:uiPriority w:val="0"/>
    <w:pPr>
      <w:adjustRightInd w:val="0"/>
      <w:snapToGrid w:val="0"/>
      <w:spacing w:before="120" w:after="120" w:line="400" w:lineRule="exact"/>
      <w:ind w:left="578" w:hanging="578"/>
      <w:jc w:val="center"/>
      <w:textAlignment w:val="baseline"/>
    </w:pPr>
    <w:rPr>
      <w:rFonts w:ascii="宋体"/>
      <w:kern w:val="0"/>
      <w:szCs w:val="20"/>
    </w:rPr>
  </w:style>
  <w:style w:type="character" w:customStyle="1" w:styleId="842">
    <w:name w:val="fs"/>
    <w:qFormat/>
    <w:uiPriority w:val="0"/>
  </w:style>
  <w:style w:type="character" w:customStyle="1" w:styleId="843">
    <w:name w:val="批注文字 Char2"/>
    <w:qFormat/>
    <w:uiPriority w:val="0"/>
    <w:rPr>
      <w:rFonts w:ascii="宋体" w:hAnsi="宋体" w:cs="宋体"/>
      <w:color w:val="000000"/>
      <w:spacing w:val="4"/>
      <w:kern w:val="2"/>
      <w:sz w:val="24"/>
    </w:rPr>
  </w:style>
  <w:style w:type="character" w:customStyle="1" w:styleId="844">
    <w:name w:val="p2"/>
    <w:qFormat/>
    <w:uiPriority w:val="0"/>
    <w:rPr>
      <w:rFonts w:eastAsia="宋体"/>
      <w:kern w:val="2"/>
      <w:sz w:val="21"/>
      <w:szCs w:val="21"/>
      <w:lang w:val="en-US" w:eastAsia="zh-CN" w:bidi="ar-SA"/>
    </w:rPr>
  </w:style>
  <w:style w:type="character" w:customStyle="1" w:styleId="845">
    <w:name w:val="znspantitle"/>
    <w:qFormat/>
    <w:uiPriority w:val="0"/>
    <w:rPr>
      <w:b/>
      <w:color w:val="333333"/>
    </w:rPr>
  </w:style>
  <w:style w:type="character" w:customStyle="1" w:styleId="846">
    <w:name w:val="批注引用3"/>
    <w:qFormat/>
    <w:uiPriority w:val="0"/>
    <w:rPr>
      <w:sz w:val="21"/>
      <w:szCs w:val="21"/>
    </w:rPr>
  </w:style>
  <w:style w:type="character" w:customStyle="1" w:styleId="847">
    <w:name w:val="xiaobiaoti1"/>
    <w:qFormat/>
    <w:uiPriority w:val="0"/>
    <w:rPr>
      <w:rFonts w:hint="eastAsia" w:ascii="宋体" w:hAnsi="宋体" w:eastAsia="宋体"/>
      <w:b/>
      <w:bCs/>
      <w:color w:val="000000"/>
      <w:kern w:val="2"/>
      <w:sz w:val="24"/>
      <w:szCs w:val="24"/>
      <w:lang w:val="en-US" w:eastAsia="zh-CN" w:bidi="ar-SA"/>
    </w:rPr>
  </w:style>
  <w:style w:type="character" w:customStyle="1" w:styleId="848">
    <w:name w:val="zheng Char"/>
    <w:link w:val="849"/>
    <w:qFormat/>
    <w:uiPriority w:val="0"/>
    <w:rPr>
      <w:kern w:val="2"/>
      <w:sz w:val="24"/>
      <w:szCs w:val="24"/>
    </w:rPr>
  </w:style>
  <w:style w:type="paragraph" w:customStyle="1" w:styleId="849">
    <w:name w:val="zheng"/>
    <w:basedOn w:val="1"/>
    <w:link w:val="848"/>
    <w:qFormat/>
    <w:uiPriority w:val="0"/>
    <w:pPr>
      <w:spacing w:line="440" w:lineRule="exact"/>
      <w:ind w:firstLine="480" w:firstLineChars="200"/>
    </w:pPr>
    <w:rPr>
      <w:sz w:val="24"/>
    </w:rPr>
  </w:style>
  <w:style w:type="character" w:customStyle="1" w:styleId="850">
    <w:name w:val="even Char Char"/>
    <w:semiHidden/>
    <w:qFormat/>
    <w:uiPriority w:val="0"/>
    <w:rPr>
      <w:rFonts w:eastAsia="宋体"/>
      <w:kern w:val="2"/>
      <w:sz w:val="18"/>
      <w:szCs w:val="18"/>
      <w:lang w:val="en-US" w:eastAsia="zh-CN" w:bidi="ar-SA"/>
    </w:rPr>
  </w:style>
  <w:style w:type="character" w:customStyle="1" w:styleId="851">
    <w:name w:val="表格正文 Char Char"/>
    <w:qFormat/>
    <w:uiPriority w:val="0"/>
    <w:rPr>
      <w:rFonts w:eastAsia="宋体"/>
      <w:kern w:val="2"/>
      <w:sz w:val="24"/>
      <w:szCs w:val="24"/>
      <w:lang w:val="en-US" w:eastAsia="zh-CN" w:bidi="ar-SA"/>
    </w:rPr>
  </w:style>
  <w:style w:type="character" w:customStyle="1" w:styleId="852">
    <w:name w:val="大纲正文 Char Char"/>
    <w:qFormat/>
    <w:uiPriority w:val="0"/>
    <w:rPr>
      <w:rFonts w:ascii="仿宋_GB2312" w:eastAsia="仿宋_GB2312" w:cs="宋体"/>
      <w:kern w:val="2"/>
      <w:sz w:val="24"/>
      <w:lang w:val="en-US" w:eastAsia="zh-CN" w:bidi="ar-SA"/>
    </w:rPr>
  </w:style>
  <w:style w:type="character" w:customStyle="1" w:styleId="853">
    <w:name w:val="俺的正文 Char"/>
    <w:link w:val="854"/>
    <w:semiHidden/>
    <w:qFormat/>
    <w:locked/>
    <w:uiPriority w:val="0"/>
    <w:rPr>
      <w:rFonts w:ascii="宋体" w:hAnsi="宋体"/>
      <w:kern w:val="2"/>
      <w:sz w:val="24"/>
      <w:szCs w:val="24"/>
    </w:rPr>
  </w:style>
  <w:style w:type="paragraph" w:customStyle="1" w:styleId="854">
    <w:name w:val="俺的正文"/>
    <w:basedOn w:val="1"/>
    <w:link w:val="853"/>
    <w:semiHidden/>
    <w:qFormat/>
    <w:uiPriority w:val="0"/>
    <w:pPr>
      <w:pBdr>
        <w:top w:val="single" w:color="auto" w:sz="4" w:space="1"/>
      </w:pBdr>
      <w:spacing w:line="460" w:lineRule="exact"/>
      <w:ind w:firstLine="200" w:firstLineChars="200"/>
    </w:pPr>
    <w:rPr>
      <w:rFonts w:ascii="宋体" w:hAnsi="宋体"/>
      <w:sz w:val="24"/>
    </w:rPr>
  </w:style>
  <w:style w:type="character" w:customStyle="1" w:styleId="855">
    <w:name w:val="正文 小四 首行缩进2字符 1.3行距 Char Char"/>
    <w:link w:val="856"/>
    <w:semiHidden/>
    <w:qFormat/>
    <w:uiPriority w:val="0"/>
    <w:rPr>
      <w:kern w:val="2"/>
      <w:sz w:val="24"/>
    </w:rPr>
  </w:style>
  <w:style w:type="paragraph" w:customStyle="1" w:styleId="856">
    <w:name w:val="正文 小四 首行缩进2字符 1.3行距"/>
    <w:basedOn w:val="236"/>
    <w:link w:val="855"/>
    <w:semiHidden/>
    <w:qFormat/>
    <w:uiPriority w:val="0"/>
    <w:pPr>
      <w:spacing w:line="312" w:lineRule="auto"/>
      <w:ind w:firstLine="200"/>
    </w:pPr>
    <w:rPr>
      <w:sz w:val="24"/>
    </w:rPr>
  </w:style>
  <w:style w:type="character" w:customStyle="1" w:styleId="857">
    <w:name w:val="正文首行缩进 2 字符1"/>
    <w:semiHidden/>
    <w:qFormat/>
    <w:uiPriority w:val="0"/>
    <w:rPr>
      <w:rFonts w:ascii="Times New Roman" w:hAnsi="Times New Roman" w:eastAsia="宋体"/>
      <w:kern w:val="2"/>
      <w:sz w:val="24"/>
      <w:szCs w:val="22"/>
      <w:lang w:val="zh-CN"/>
    </w:rPr>
  </w:style>
  <w:style w:type="character" w:customStyle="1" w:styleId="858">
    <w:name w:val="乐清图2- Char"/>
    <w:link w:val="859"/>
    <w:qFormat/>
    <w:uiPriority w:val="0"/>
    <w:rPr>
      <w:b/>
      <w:kern w:val="2"/>
      <w:sz w:val="21"/>
      <w:szCs w:val="21"/>
    </w:rPr>
  </w:style>
  <w:style w:type="paragraph" w:customStyle="1" w:styleId="859">
    <w:name w:val="乐清图2-"/>
    <w:basedOn w:val="618"/>
    <w:link w:val="858"/>
    <w:qFormat/>
    <w:uiPriority w:val="0"/>
    <w:pPr>
      <w:widowControl w:val="0"/>
      <w:spacing w:line="360" w:lineRule="auto"/>
      <w:ind w:firstLine="0" w:firstLineChars="0"/>
      <w:jc w:val="center"/>
    </w:pPr>
    <w:rPr>
      <w:rFonts w:ascii="Times New Roman" w:hAnsi="Times New Roman" w:cs="Times New Roman"/>
      <w:b/>
      <w:kern w:val="2"/>
      <w:sz w:val="21"/>
      <w:szCs w:val="21"/>
    </w:rPr>
  </w:style>
  <w:style w:type="character" w:customStyle="1" w:styleId="860">
    <w:name w:val="Body text + Spacing 0 pt2"/>
    <w:qFormat/>
    <w:uiPriority w:val="0"/>
    <w:rPr>
      <w:rFonts w:ascii="MingLiU" w:eastAsia="MingLiU"/>
      <w:spacing w:val="-10"/>
      <w:sz w:val="23"/>
      <w:szCs w:val="23"/>
      <w:lang w:bidi="ar-SA"/>
    </w:rPr>
  </w:style>
  <w:style w:type="character" w:customStyle="1" w:styleId="861">
    <w:name w:val="highlight1"/>
    <w:qFormat/>
    <w:uiPriority w:val="0"/>
    <w:rPr>
      <w:sz w:val="17"/>
      <w:szCs w:val="17"/>
    </w:rPr>
  </w:style>
  <w:style w:type="character" w:customStyle="1" w:styleId="862">
    <w:name w:val="表、图名 Char"/>
    <w:link w:val="863"/>
    <w:qFormat/>
    <w:uiPriority w:val="0"/>
    <w:rPr>
      <w:rFonts w:eastAsia="黑体"/>
      <w:kern w:val="2"/>
      <w:sz w:val="21"/>
      <w:szCs w:val="21"/>
    </w:rPr>
  </w:style>
  <w:style w:type="paragraph" w:customStyle="1" w:styleId="863">
    <w:name w:val="表、图名"/>
    <w:basedOn w:val="1"/>
    <w:link w:val="862"/>
    <w:qFormat/>
    <w:uiPriority w:val="0"/>
    <w:pPr>
      <w:adjustRightInd w:val="0"/>
      <w:snapToGrid w:val="0"/>
      <w:spacing w:before="120" w:after="120" w:line="360" w:lineRule="auto"/>
      <w:ind w:left="-6" w:hanging="578"/>
      <w:jc w:val="center"/>
    </w:pPr>
    <w:rPr>
      <w:rFonts w:eastAsia="黑体"/>
      <w:szCs w:val="21"/>
    </w:rPr>
  </w:style>
  <w:style w:type="character" w:customStyle="1" w:styleId="864">
    <w:name w:val="样式 样式 正文文本 + (西文) 宋体 + (符号) Arial Char Char"/>
    <w:qFormat/>
    <w:uiPriority w:val="0"/>
    <w:rPr>
      <w:rFonts w:eastAsia="仿宋_GB2312"/>
      <w:kern w:val="2"/>
      <w:sz w:val="24"/>
      <w:lang w:bidi="ar-SA"/>
    </w:rPr>
  </w:style>
  <w:style w:type="character" w:customStyle="1" w:styleId="865">
    <w:name w:val="三号 加粗 无缩进居中"/>
    <w:unhideWhenUsed/>
    <w:qFormat/>
    <w:uiPriority w:val="0"/>
    <w:rPr>
      <w:rFonts w:ascii="Arial" w:hAnsi="Arial"/>
      <w:b/>
      <w:bCs/>
      <w:spacing w:val="0"/>
      <w:sz w:val="32"/>
    </w:rPr>
  </w:style>
  <w:style w:type="character" w:customStyle="1" w:styleId="866">
    <w:name w:val="Body text + Spacing 0 pt"/>
    <w:qFormat/>
    <w:uiPriority w:val="0"/>
    <w:rPr>
      <w:rFonts w:ascii="MingLiU" w:eastAsia="MingLiU" w:cs="MingLiU"/>
      <w:spacing w:val="-10"/>
      <w:sz w:val="23"/>
      <w:szCs w:val="23"/>
      <w:u w:val="none"/>
      <w:lang w:bidi="ar-SA"/>
    </w:rPr>
  </w:style>
  <w:style w:type="character" w:customStyle="1" w:styleId="867">
    <w:name w:val="表头1 Char Char"/>
    <w:qFormat/>
    <w:uiPriority w:val="0"/>
    <w:rPr>
      <w:rFonts w:ascii="宋体"/>
      <w:kern w:val="2"/>
      <w:sz w:val="24"/>
      <w:szCs w:val="24"/>
      <w:lang w:bidi="ar-SA"/>
    </w:rPr>
  </w:style>
  <w:style w:type="character" w:customStyle="1" w:styleId="868">
    <w:name w:val="标题 6 段前后自动 Char Char"/>
    <w:qFormat/>
    <w:uiPriority w:val="0"/>
    <w:rPr>
      <w:b/>
      <w:bCs/>
      <w:kern w:val="2"/>
      <w:sz w:val="24"/>
      <w:szCs w:val="24"/>
      <w:lang w:bidi="ar-SA"/>
    </w:rPr>
  </w:style>
  <w:style w:type="character" w:customStyle="1" w:styleId="869">
    <w:name w:val="样式 正文改动 + 四号 首行缩进:  2 字符 段后: 7.8 磅 Char Char"/>
    <w:qFormat/>
    <w:uiPriority w:val="0"/>
    <w:rPr>
      <w:rFonts w:ascii="宋体" w:hAnsi="宋体"/>
      <w:sz w:val="28"/>
      <w:lang w:bidi="ar-SA"/>
    </w:rPr>
  </w:style>
  <w:style w:type="character" w:customStyle="1" w:styleId="870">
    <w:name w:val="注释标题 Char Char"/>
    <w:qFormat/>
    <w:uiPriority w:val="0"/>
    <w:rPr>
      <w:rFonts w:ascii="宋体" w:hAnsi="宋体"/>
      <w:kern w:val="2"/>
      <w:sz w:val="21"/>
      <w:lang w:bidi="ar-SA"/>
    </w:rPr>
  </w:style>
  <w:style w:type="character" w:customStyle="1" w:styleId="871">
    <w:name w:val="样式 样式 样式 样式 正文 首行缩进 + 首行缩进:  2 字符 行距: 单倍行距 + 首行缩进:  2 字符 + 小四 首行...1 Char Char"/>
    <w:qFormat/>
    <w:uiPriority w:val="0"/>
    <w:rPr>
      <w:kern w:val="2"/>
      <w:sz w:val="24"/>
      <w:lang w:bidi="ar-SA"/>
    </w:rPr>
  </w:style>
  <w:style w:type="character" w:customStyle="1" w:styleId="872">
    <w:name w:val="样式 标题 3条标2Char标题 3 Char2 + (符号) 宋体 Char"/>
    <w:qFormat/>
    <w:uiPriority w:val="0"/>
    <w:rPr>
      <w:rFonts w:eastAsia="宋体"/>
      <w:b/>
      <w:bCs/>
      <w:kern w:val="2"/>
      <w:sz w:val="28"/>
      <w:szCs w:val="28"/>
      <w:lang w:val="en-US" w:eastAsia="zh-CN" w:bidi="ar-SA"/>
    </w:rPr>
  </w:style>
  <w:style w:type="character" w:customStyle="1" w:styleId="873">
    <w:name w:val="Header1 Char"/>
    <w:qFormat/>
    <w:uiPriority w:val="0"/>
    <w:rPr>
      <w:sz w:val="18"/>
      <w:szCs w:val="18"/>
      <w:lang w:val="en-US" w:eastAsia="zh-CN"/>
    </w:rPr>
  </w:style>
  <w:style w:type="character" w:customStyle="1" w:styleId="874">
    <w:name w:val="正文缩进 Char1 Char1 Char"/>
    <w:qFormat/>
    <w:uiPriority w:val="0"/>
    <w:rPr>
      <w:rFonts w:eastAsia="宋体"/>
      <w:kern w:val="2"/>
      <w:sz w:val="24"/>
      <w:szCs w:val="24"/>
      <w:lang w:val="en-US" w:eastAsia="zh-CN" w:bidi="ar-SA"/>
    </w:rPr>
  </w:style>
  <w:style w:type="character" w:customStyle="1" w:styleId="875">
    <w:name w:val="px141"/>
    <w:qFormat/>
    <w:uiPriority w:val="0"/>
    <w:rPr>
      <w:rFonts w:eastAsia="宋体"/>
      <w:kern w:val="2"/>
      <w:sz w:val="25"/>
      <w:szCs w:val="25"/>
      <w:u w:val="none"/>
      <w:lang w:val="en-US" w:eastAsia="zh-CN" w:bidi="ar-SA"/>
    </w:rPr>
  </w:style>
  <w:style w:type="character" w:customStyle="1" w:styleId="876">
    <w:name w:val="图表标题新 Char"/>
    <w:link w:val="877"/>
    <w:qFormat/>
    <w:uiPriority w:val="0"/>
    <w:rPr>
      <w:rFonts w:ascii="黑体" w:hAnsi="Courier" w:eastAsia="PMingLiU"/>
      <w:b/>
      <w:kern w:val="2"/>
      <w:sz w:val="24"/>
      <w:szCs w:val="32"/>
      <w:lang w:eastAsia="zh-TW"/>
    </w:rPr>
  </w:style>
  <w:style w:type="paragraph" w:customStyle="1" w:styleId="877">
    <w:name w:val="图表标题新"/>
    <w:basedOn w:val="728"/>
    <w:link w:val="876"/>
    <w:qFormat/>
    <w:uiPriority w:val="0"/>
    <w:pPr>
      <w:adjustRightInd w:val="0"/>
      <w:snapToGrid w:val="0"/>
      <w:spacing w:line="240" w:lineRule="auto"/>
    </w:pPr>
    <w:rPr>
      <w:rFonts w:ascii="黑体" w:hAnsi="Courier" w:eastAsia="PMingLiU"/>
      <w:b/>
      <w:szCs w:val="32"/>
      <w:lang w:eastAsia="zh-TW"/>
    </w:rPr>
  </w:style>
  <w:style w:type="character" w:customStyle="1" w:styleId="878">
    <w:name w:val="样式正文 Char"/>
    <w:link w:val="879"/>
    <w:qFormat/>
    <w:uiPriority w:val="0"/>
    <w:rPr>
      <w:rFonts w:cs="宋体"/>
      <w:kern w:val="2"/>
      <w:sz w:val="24"/>
      <w:szCs w:val="24"/>
    </w:rPr>
  </w:style>
  <w:style w:type="paragraph" w:customStyle="1" w:styleId="879">
    <w:name w:val="样式正文"/>
    <w:basedOn w:val="1"/>
    <w:link w:val="878"/>
    <w:qFormat/>
    <w:uiPriority w:val="0"/>
    <w:pPr>
      <w:spacing w:line="400" w:lineRule="exact"/>
      <w:ind w:firstLine="200" w:firstLineChars="200"/>
    </w:pPr>
    <w:rPr>
      <w:rFonts w:cs="宋体"/>
      <w:sz w:val="24"/>
    </w:rPr>
  </w:style>
  <w:style w:type="character" w:customStyle="1" w:styleId="880">
    <w:name w:val="css-text3"/>
    <w:qFormat/>
    <w:uiPriority w:val="0"/>
  </w:style>
  <w:style w:type="character" w:customStyle="1" w:styleId="881">
    <w:name w:val="样式 仿宋_GB2312 四号 两端对齐 行距: 固定值 26 磅1 Char Char"/>
    <w:link w:val="882"/>
    <w:qFormat/>
    <w:uiPriority w:val="0"/>
    <w:rPr>
      <w:rFonts w:ascii="宋体"/>
      <w:sz w:val="28"/>
      <w:szCs w:val="28"/>
    </w:rPr>
  </w:style>
  <w:style w:type="paragraph" w:customStyle="1" w:styleId="882">
    <w:name w:val="样式 仿宋_GB2312 四号 两端对齐 行距: 固定值 26 磅1 Char"/>
    <w:basedOn w:val="1"/>
    <w:link w:val="881"/>
    <w:qFormat/>
    <w:uiPriority w:val="0"/>
    <w:pPr>
      <w:adjustRightInd w:val="0"/>
      <w:spacing w:before="120" w:after="120" w:line="520" w:lineRule="exact"/>
      <w:ind w:left="578" w:firstLine="560" w:firstLineChars="200"/>
      <w:textAlignment w:val="baseline"/>
    </w:pPr>
    <w:rPr>
      <w:rFonts w:ascii="宋体"/>
      <w:kern w:val="0"/>
      <w:sz w:val="28"/>
      <w:szCs w:val="28"/>
    </w:rPr>
  </w:style>
  <w:style w:type="character" w:customStyle="1" w:styleId="883">
    <w:name w:val="1.1.1湛江标题 Char"/>
    <w:link w:val="884"/>
    <w:qFormat/>
    <w:uiPriority w:val="0"/>
    <w:rPr>
      <w:color w:val="FF0000"/>
      <w:kern w:val="2"/>
      <w:sz w:val="32"/>
      <w:szCs w:val="32"/>
      <w:lang w:val="fr-FR"/>
    </w:rPr>
  </w:style>
  <w:style w:type="paragraph" w:customStyle="1" w:styleId="884">
    <w:name w:val="1.1.1湛江标题"/>
    <w:basedOn w:val="9"/>
    <w:link w:val="883"/>
    <w:qFormat/>
    <w:uiPriority w:val="0"/>
    <w:pPr>
      <w:widowControl w:val="0"/>
      <w:numPr>
        <w:ilvl w:val="0"/>
        <w:numId w:val="0"/>
      </w:numPr>
      <w:tabs>
        <w:tab w:val="left" w:pos="482"/>
        <w:tab w:val="left" w:pos="1740"/>
      </w:tabs>
      <w:spacing w:after="120" w:line="240" w:lineRule="auto"/>
      <w:ind w:left="1418" w:hanging="936"/>
      <w:jc w:val="both"/>
    </w:pPr>
    <w:rPr>
      <w:rFonts w:ascii="Times New Roman" w:hAnsi="Times New Roman" w:cs="Times New Roman"/>
      <w:bCs w:val="0"/>
      <w:color w:val="FF0000"/>
      <w:kern w:val="2"/>
      <w:sz w:val="32"/>
      <w:lang w:val="fr-FR"/>
    </w:rPr>
  </w:style>
  <w:style w:type="character" w:customStyle="1" w:styleId="885">
    <w:name w:val="纯文本 字符1"/>
    <w:semiHidden/>
    <w:qFormat/>
    <w:uiPriority w:val="99"/>
    <w:rPr>
      <w:rFonts w:ascii="等线" w:hAnsi="Courier New" w:eastAsia="等线" w:cs="Courier New"/>
      <w:kern w:val="2"/>
      <w:sz w:val="24"/>
      <w:szCs w:val="24"/>
      <w:lang w:val="fr-FR"/>
    </w:rPr>
  </w:style>
  <w:style w:type="character" w:customStyle="1" w:styleId="886">
    <w:name w:val="表格题注 Char Char"/>
    <w:qFormat/>
    <w:uiPriority w:val="0"/>
    <w:rPr>
      <w:rFonts w:eastAsia="宋体"/>
      <w:snapToGrid w:val="0"/>
      <w:kern w:val="24"/>
      <w:sz w:val="21"/>
      <w:szCs w:val="24"/>
      <w:lang w:val="en-US" w:eastAsia="zh-CN" w:bidi="ar-SA"/>
    </w:rPr>
  </w:style>
  <w:style w:type="character" w:customStyle="1" w:styleId="887">
    <w:name w:val="图表 Char Char"/>
    <w:qFormat/>
    <w:uiPriority w:val="0"/>
    <w:rPr>
      <w:rFonts w:ascii="宋体" w:hAnsi="宋体"/>
      <w:iCs/>
      <w:szCs w:val="24"/>
      <w:lang w:bidi="ar-SA"/>
    </w:rPr>
  </w:style>
  <w:style w:type="character" w:customStyle="1" w:styleId="888">
    <w:name w:val="未命名11"/>
    <w:semiHidden/>
    <w:qFormat/>
    <w:uiPriority w:val="0"/>
    <w:rPr>
      <w:rFonts w:eastAsia="宋体"/>
      <w:spacing w:val="280"/>
      <w:kern w:val="2"/>
      <w:sz w:val="24"/>
      <w:szCs w:val="24"/>
      <w:lang w:val="en-US" w:eastAsia="zh-CN" w:bidi="ar-SA"/>
    </w:rPr>
  </w:style>
  <w:style w:type="character" w:customStyle="1" w:styleId="889">
    <w:name w:val="首行缩进 Char Char Char Char Char Char"/>
    <w:qFormat/>
    <w:uiPriority w:val="0"/>
    <w:rPr>
      <w:rFonts w:ascii="宋体"/>
      <w:kern w:val="2"/>
      <w:sz w:val="24"/>
      <w:lang w:bidi="ar-SA"/>
    </w:rPr>
  </w:style>
  <w:style w:type="character" w:customStyle="1" w:styleId="890">
    <w:name w:val="目录44444444 Char"/>
    <w:link w:val="891"/>
    <w:qFormat/>
    <w:uiPriority w:val="0"/>
    <w:rPr>
      <w:rFonts w:ascii="黑体" w:hAnsi="宋体" w:eastAsia="黑体" w:cs="宋体"/>
      <w:bCs/>
      <w:kern w:val="2"/>
      <w:sz w:val="28"/>
      <w:szCs w:val="28"/>
    </w:rPr>
  </w:style>
  <w:style w:type="paragraph" w:customStyle="1" w:styleId="891">
    <w:name w:val="目录44444444"/>
    <w:basedOn w:val="1"/>
    <w:link w:val="890"/>
    <w:qFormat/>
    <w:uiPriority w:val="0"/>
    <w:pPr>
      <w:keepNext/>
      <w:keepLines/>
      <w:spacing w:line="480" w:lineRule="exact"/>
      <w:outlineLvl w:val="1"/>
    </w:pPr>
    <w:rPr>
      <w:rFonts w:ascii="黑体" w:hAnsi="宋体" w:eastAsia="黑体" w:cs="宋体"/>
      <w:bCs/>
      <w:sz w:val="28"/>
      <w:szCs w:val="28"/>
    </w:rPr>
  </w:style>
  <w:style w:type="character" w:customStyle="1" w:styleId="892">
    <w:name w:val="正文标准格式张 Char"/>
    <w:link w:val="893"/>
    <w:qFormat/>
    <w:uiPriority w:val="0"/>
    <w:rPr>
      <w:rFonts w:hAnsi="宋体"/>
    </w:rPr>
  </w:style>
  <w:style w:type="paragraph" w:customStyle="1" w:styleId="893">
    <w:name w:val="正文标准格式张"/>
    <w:basedOn w:val="1"/>
    <w:link w:val="892"/>
    <w:qFormat/>
    <w:uiPriority w:val="0"/>
    <w:pPr>
      <w:tabs>
        <w:tab w:val="left" w:pos="1260"/>
      </w:tabs>
      <w:adjustRightInd w:val="0"/>
      <w:snapToGrid w:val="0"/>
      <w:spacing w:before="60" w:beforeLines="25" w:after="60" w:afterLines="25" w:line="360" w:lineRule="auto"/>
      <w:ind w:firstLine="480" w:firstLineChars="200"/>
      <w:textAlignment w:val="baseline"/>
    </w:pPr>
    <w:rPr>
      <w:rFonts w:hAnsi="宋体"/>
      <w:kern w:val="0"/>
      <w:sz w:val="20"/>
      <w:szCs w:val="20"/>
    </w:rPr>
  </w:style>
  <w:style w:type="character" w:customStyle="1" w:styleId="894">
    <w:name w:val="正文首行缩进 2 Char Char"/>
    <w:qFormat/>
    <w:uiPriority w:val="0"/>
    <w:rPr>
      <w:rFonts w:ascii="Times New Roman" w:hAnsi="Times New Roman" w:eastAsia="宋体" w:cs="Times New Roman"/>
      <w:kern w:val="0"/>
      <w:sz w:val="24"/>
      <w:szCs w:val="24"/>
      <w:lang w:val="en-US" w:eastAsia="zh-CN" w:bidi="ar-SA"/>
    </w:rPr>
  </w:style>
  <w:style w:type="character" w:customStyle="1" w:styleId="895">
    <w:name w:val="size9"/>
    <w:qFormat/>
    <w:uiPriority w:val="0"/>
  </w:style>
  <w:style w:type="character" w:customStyle="1" w:styleId="896">
    <w:name w:val="Heading #7 + 11 pt"/>
    <w:qFormat/>
    <w:uiPriority w:val="0"/>
    <w:rPr>
      <w:rFonts w:ascii="宋体" w:eastAsia="宋体"/>
      <w:b/>
      <w:bCs/>
      <w:spacing w:val="-10"/>
      <w:sz w:val="22"/>
      <w:szCs w:val="22"/>
      <w:lang w:bidi="ar-SA"/>
    </w:rPr>
  </w:style>
  <w:style w:type="character" w:customStyle="1" w:styleId="897">
    <w:name w:val="！正文 Char"/>
    <w:link w:val="898"/>
    <w:qFormat/>
    <w:uiPriority w:val="0"/>
    <w:rPr>
      <w:rFonts w:eastAsia="仿宋_GB2312"/>
      <w:kern w:val="2"/>
      <w:sz w:val="24"/>
    </w:rPr>
  </w:style>
  <w:style w:type="paragraph" w:customStyle="1" w:styleId="898">
    <w:name w:val="！正文"/>
    <w:basedOn w:val="1"/>
    <w:link w:val="897"/>
    <w:qFormat/>
    <w:uiPriority w:val="0"/>
    <w:pPr>
      <w:spacing w:line="360" w:lineRule="auto"/>
      <w:ind w:firstLine="200" w:firstLineChars="200"/>
    </w:pPr>
    <w:rPr>
      <w:rFonts w:eastAsia="仿宋_GB2312"/>
      <w:sz w:val="24"/>
      <w:szCs w:val="20"/>
    </w:rPr>
  </w:style>
  <w:style w:type="character" w:customStyle="1" w:styleId="899">
    <w:name w:val="文本 Char1"/>
    <w:link w:val="900"/>
    <w:qFormat/>
    <w:locked/>
    <w:uiPriority w:val="0"/>
    <w:rPr>
      <w:sz w:val="24"/>
      <w:szCs w:val="24"/>
    </w:rPr>
  </w:style>
  <w:style w:type="paragraph" w:customStyle="1" w:styleId="900">
    <w:name w:val="文本"/>
    <w:basedOn w:val="1"/>
    <w:link w:val="899"/>
    <w:qFormat/>
    <w:uiPriority w:val="0"/>
    <w:pPr>
      <w:spacing w:line="360" w:lineRule="auto"/>
      <w:ind w:firstLine="200" w:firstLineChars="200"/>
    </w:pPr>
    <w:rPr>
      <w:kern w:val="0"/>
      <w:sz w:val="24"/>
    </w:rPr>
  </w:style>
  <w:style w:type="character" w:customStyle="1" w:styleId="901">
    <w:name w:val="文字 Char"/>
    <w:link w:val="902"/>
    <w:qFormat/>
    <w:locked/>
    <w:uiPriority w:val="0"/>
    <w:rPr>
      <w:sz w:val="24"/>
      <w:szCs w:val="24"/>
    </w:rPr>
  </w:style>
  <w:style w:type="paragraph" w:customStyle="1" w:styleId="902">
    <w:name w:val="文字"/>
    <w:basedOn w:val="1"/>
    <w:link w:val="901"/>
    <w:qFormat/>
    <w:uiPriority w:val="0"/>
    <w:pPr>
      <w:spacing w:line="360" w:lineRule="auto"/>
      <w:ind w:firstLine="200" w:firstLineChars="200"/>
    </w:pPr>
    <w:rPr>
      <w:kern w:val="0"/>
      <w:sz w:val="24"/>
    </w:rPr>
  </w:style>
  <w:style w:type="character" w:customStyle="1" w:styleId="903">
    <w:name w:val="表头1 Char"/>
    <w:link w:val="904"/>
    <w:qFormat/>
    <w:locked/>
    <w:uiPriority w:val="0"/>
    <w:rPr>
      <w:b/>
      <w:color w:val="000000"/>
      <w:sz w:val="24"/>
    </w:rPr>
  </w:style>
  <w:style w:type="paragraph" w:customStyle="1" w:styleId="904">
    <w:name w:val="表头1"/>
    <w:basedOn w:val="48"/>
    <w:link w:val="903"/>
    <w:qFormat/>
    <w:uiPriority w:val="0"/>
    <w:pPr>
      <w:widowControl w:val="0"/>
      <w:spacing w:line="360" w:lineRule="auto"/>
      <w:jc w:val="center"/>
    </w:pPr>
    <w:rPr>
      <w:rFonts w:ascii="Times New Roman" w:hAnsi="Times New Roman" w:cs="Times New Roman"/>
      <w:b/>
      <w:color w:val="000000"/>
      <w:szCs w:val="20"/>
    </w:rPr>
  </w:style>
  <w:style w:type="character" w:customStyle="1" w:styleId="905">
    <w:name w:val="表格内容 Char"/>
    <w:link w:val="906"/>
    <w:qFormat/>
    <w:locked/>
    <w:uiPriority w:val="0"/>
    <w:rPr>
      <w:rFonts w:cs="宋体"/>
      <w:color w:val="000000"/>
      <w:szCs w:val="21"/>
      <w:lang w:val="zh-CN"/>
    </w:rPr>
  </w:style>
  <w:style w:type="paragraph" w:customStyle="1" w:styleId="906">
    <w:name w:val="表格内容"/>
    <w:basedOn w:val="1"/>
    <w:link w:val="905"/>
    <w:qFormat/>
    <w:uiPriority w:val="0"/>
    <w:pPr>
      <w:overflowPunct w:val="0"/>
      <w:adjustRightInd w:val="0"/>
      <w:snapToGrid w:val="0"/>
      <w:spacing w:line="300" w:lineRule="auto"/>
      <w:jc w:val="center"/>
      <w:textAlignment w:val="baseline"/>
    </w:pPr>
    <w:rPr>
      <w:rFonts w:cs="宋体"/>
      <w:color w:val="000000"/>
      <w:kern w:val="0"/>
      <w:sz w:val="20"/>
      <w:szCs w:val="21"/>
      <w:lang w:val="zh-CN"/>
    </w:rPr>
  </w:style>
  <w:style w:type="character" w:customStyle="1" w:styleId="907">
    <w:name w:val="Char Char1"/>
    <w:qFormat/>
    <w:uiPriority w:val="0"/>
    <w:rPr>
      <w:rFonts w:ascii="仿宋_GB2312" w:eastAsia="仿宋_GB2312"/>
      <w:kern w:val="2"/>
      <w:sz w:val="21"/>
      <w:lang w:val="en-US" w:eastAsia="zh-CN" w:bidi="ar-SA"/>
    </w:rPr>
  </w:style>
  <w:style w:type="character" w:customStyle="1" w:styleId="908">
    <w:name w:val="m lh15"/>
    <w:qFormat/>
    <w:uiPriority w:val="0"/>
    <w:rPr>
      <w:rFonts w:eastAsia="宋体"/>
      <w:kern w:val="2"/>
      <w:sz w:val="24"/>
      <w:szCs w:val="24"/>
      <w:lang w:val="en-US" w:eastAsia="zh-CN" w:bidi="ar-SA"/>
    </w:rPr>
  </w:style>
  <w:style w:type="character" w:customStyle="1" w:styleId="909">
    <w:name w:val="标题1"/>
    <w:qFormat/>
    <w:uiPriority w:val="0"/>
  </w:style>
  <w:style w:type="character" w:customStyle="1" w:styleId="910">
    <w:name w:val="w231"/>
    <w:qFormat/>
    <w:uiPriority w:val="0"/>
    <w:rPr>
      <w:sz w:val="18"/>
      <w:szCs w:val="18"/>
      <w:u w:val="none"/>
    </w:rPr>
  </w:style>
  <w:style w:type="character" w:customStyle="1" w:styleId="911">
    <w:name w:val="样式 标题 3 + 宋体 非加粗 Char"/>
    <w:qFormat/>
    <w:uiPriority w:val="0"/>
    <w:rPr>
      <w:rFonts w:ascii="宋体" w:hAnsi="宋体" w:eastAsia="宋体"/>
      <w:b/>
      <w:bCs/>
      <w:kern w:val="2"/>
      <w:sz w:val="24"/>
      <w:szCs w:val="28"/>
      <w:lang w:val="en-US" w:eastAsia="zh-CN" w:bidi="ar-SA"/>
    </w:rPr>
  </w:style>
  <w:style w:type="character" w:customStyle="1" w:styleId="912">
    <w:name w:val="fontb1"/>
    <w:qFormat/>
    <w:uiPriority w:val="0"/>
    <w:rPr>
      <w:rFonts w:hint="default" w:ascii="Arial" w:hAnsi="Arial" w:cs="Arial"/>
      <w:sz w:val="18"/>
      <w:szCs w:val="18"/>
    </w:rPr>
  </w:style>
  <w:style w:type="character" w:customStyle="1" w:styleId="913">
    <w:name w:val="样式 标题 2标题 2 Char Char Char节节标题 1.1H2（一）Underrubrik1prop2...1 Char Char"/>
    <w:link w:val="914"/>
    <w:qFormat/>
    <w:uiPriority w:val="0"/>
    <w:rPr>
      <w:rFonts w:ascii="宋体" w:hAnsi="宋体"/>
      <w:kern w:val="2"/>
      <w:sz w:val="28"/>
      <w:szCs w:val="32"/>
    </w:rPr>
  </w:style>
  <w:style w:type="paragraph" w:customStyle="1" w:styleId="914">
    <w:name w:val="样式 标题 2标题 2 Char Char Char节节标题 1.1H2（一）Underrubrik1prop2...1"/>
    <w:basedOn w:val="8"/>
    <w:link w:val="913"/>
    <w:qFormat/>
    <w:uiPriority w:val="0"/>
    <w:pPr>
      <w:numPr>
        <w:ilvl w:val="0"/>
        <w:numId w:val="0"/>
      </w:numPr>
      <w:ind w:left="578" w:hanging="578"/>
    </w:pPr>
    <w:rPr>
      <w:rFonts w:ascii="宋体" w:hAnsi="宋体" w:cs="Times New Roman"/>
      <w:kern w:val="2"/>
      <w:sz w:val="28"/>
      <w:szCs w:val="32"/>
    </w:rPr>
  </w:style>
  <w:style w:type="character" w:customStyle="1" w:styleId="915">
    <w:name w:val="表头 自 Char"/>
    <w:link w:val="916"/>
    <w:qFormat/>
    <w:uiPriority w:val="0"/>
    <w:rPr>
      <w:rFonts w:eastAsia="Times New Roman"/>
      <w:b/>
      <w:kern w:val="2"/>
      <w:sz w:val="24"/>
      <w:szCs w:val="24"/>
    </w:rPr>
  </w:style>
  <w:style w:type="paragraph" w:customStyle="1" w:styleId="916">
    <w:name w:val="表头 自"/>
    <w:basedOn w:val="1"/>
    <w:link w:val="915"/>
    <w:qFormat/>
    <w:uiPriority w:val="0"/>
    <w:pPr>
      <w:spacing w:beforeLines="50"/>
      <w:jc w:val="center"/>
    </w:pPr>
    <w:rPr>
      <w:rFonts w:eastAsia="Times New Roman"/>
      <w:b/>
      <w:sz w:val="24"/>
    </w:rPr>
  </w:style>
  <w:style w:type="character" w:customStyle="1" w:styleId="917">
    <w:name w:val="标题 9 Char1"/>
    <w:qFormat/>
    <w:uiPriority w:val="0"/>
    <w:rPr>
      <w:rFonts w:ascii="Arial" w:hAnsi="Arial" w:eastAsia="黑体"/>
      <w:sz w:val="24"/>
      <w:lang w:val="en-US" w:eastAsia="zh-CN" w:bidi="ar-SA"/>
    </w:rPr>
  </w:style>
  <w:style w:type="character" w:customStyle="1" w:styleId="918">
    <w:name w:val="文档结构图 Char2"/>
    <w:qFormat/>
    <w:uiPriority w:val="99"/>
    <w:rPr>
      <w:rFonts w:ascii="宋体" w:hAnsi="宋体" w:eastAsia="宋体"/>
      <w:lang w:val="fr-FR"/>
    </w:rPr>
  </w:style>
  <w:style w:type="character" w:customStyle="1" w:styleId="919">
    <w:name w:val="日期 Char2"/>
    <w:qFormat/>
    <w:uiPriority w:val="0"/>
    <w:rPr>
      <w:rFonts w:ascii="宋体" w:hAnsi="Times New Roman"/>
    </w:rPr>
  </w:style>
  <w:style w:type="character" w:customStyle="1" w:styleId="920">
    <w:name w:val="页眉 Char3"/>
    <w:qFormat/>
    <w:uiPriority w:val="0"/>
    <w:rPr>
      <w:rFonts w:ascii="Times New Roman" w:hAnsi="Times New Roman" w:eastAsia="宋体"/>
      <w:sz w:val="18"/>
      <w:szCs w:val="18"/>
      <w:lang w:val="fr-FR"/>
    </w:rPr>
  </w:style>
  <w:style w:type="character" w:customStyle="1" w:styleId="921">
    <w:name w:val="正文文本缩进 3 Char2"/>
    <w:qFormat/>
    <w:uiPriority w:val="0"/>
    <w:rPr>
      <w:rFonts w:ascii="Times New Roman" w:hAnsi="Times New Roman" w:eastAsia="宋体"/>
      <w:sz w:val="16"/>
      <w:szCs w:val="16"/>
      <w:lang w:val="fr-FR"/>
    </w:rPr>
  </w:style>
  <w:style w:type="character" w:customStyle="1" w:styleId="922">
    <w:name w:val="正文文本 2 Char2"/>
    <w:qFormat/>
    <w:uiPriority w:val="0"/>
    <w:rPr>
      <w:rFonts w:ascii="汉鼎简长宋" w:eastAsia="汉鼎简长宋"/>
      <w:sz w:val="32"/>
      <w:lang w:bidi="ar-SA"/>
    </w:rPr>
  </w:style>
  <w:style w:type="character" w:customStyle="1" w:styleId="923">
    <w:name w:val="批注主题 Char3"/>
    <w:qFormat/>
    <w:uiPriority w:val="0"/>
    <w:rPr>
      <w:rFonts w:ascii="Times New Roman" w:hAnsi="Times New Roman" w:eastAsia="宋体"/>
      <w:b/>
      <w:bCs/>
      <w:lang w:val="fr-FR"/>
    </w:rPr>
  </w:style>
  <w:style w:type="character" w:customStyle="1" w:styleId="924">
    <w:name w:val="18v"/>
    <w:qFormat/>
    <w:uiPriority w:val="0"/>
    <w:rPr>
      <w:szCs w:val="21"/>
    </w:rPr>
  </w:style>
  <w:style w:type="character" w:customStyle="1" w:styleId="925">
    <w:name w:val="zisiblack2"/>
    <w:qFormat/>
    <w:uiPriority w:val="0"/>
  </w:style>
  <w:style w:type="character" w:customStyle="1" w:styleId="926">
    <w:name w:val="Body text + MS Gothic1"/>
    <w:qFormat/>
    <w:uiPriority w:val="0"/>
    <w:rPr>
      <w:rFonts w:ascii="MS Gothic" w:eastAsia="MS Gothic" w:cs="MS Gothic"/>
      <w:sz w:val="20"/>
      <w:szCs w:val="20"/>
      <w:u w:val="single"/>
      <w:lang w:bidi="ar-SA"/>
    </w:rPr>
  </w:style>
  <w:style w:type="character" w:customStyle="1" w:styleId="927">
    <w:name w:val="标题 2 Char1 Char Char Char"/>
    <w:qFormat/>
    <w:uiPriority w:val="0"/>
    <w:rPr>
      <w:rFonts w:eastAsia="黑体"/>
      <w:b/>
      <w:kern w:val="2"/>
      <w:sz w:val="32"/>
      <w:szCs w:val="32"/>
      <w:lang w:val="en-US" w:eastAsia="zh-CN" w:bidi="ar-SA"/>
    </w:rPr>
  </w:style>
  <w:style w:type="character" w:customStyle="1" w:styleId="928">
    <w:name w:val="样式 四号 首行缩进:  2 字符 Char"/>
    <w:link w:val="929"/>
    <w:qFormat/>
    <w:locked/>
    <w:uiPriority w:val="0"/>
    <w:rPr>
      <w:sz w:val="24"/>
      <w:szCs w:val="24"/>
    </w:rPr>
  </w:style>
  <w:style w:type="paragraph" w:customStyle="1" w:styleId="929">
    <w:name w:val="样式 四号 首行缩进:  2 字符"/>
    <w:basedOn w:val="1"/>
    <w:link w:val="928"/>
    <w:qFormat/>
    <w:uiPriority w:val="0"/>
    <w:pPr>
      <w:adjustRightInd w:val="0"/>
      <w:snapToGrid w:val="0"/>
      <w:spacing w:line="360" w:lineRule="auto"/>
      <w:ind w:firstLine="480" w:firstLineChars="200"/>
    </w:pPr>
    <w:rPr>
      <w:kern w:val="0"/>
      <w:sz w:val="24"/>
    </w:rPr>
  </w:style>
  <w:style w:type="character" w:customStyle="1" w:styleId="930">
    <w:name w:val="正文样式1 Char Char"/>
    <w:qFormat/>
    <w:uiPriority w:val="0"/>
    <w:rPr>
      <w:spacing w:val="8"/>
      <w:sz w:val="24"/>
      <w:lang w:bidi="ar-SA"/>
    </w:rPr>
  </w:style>
  <w:style w:type="character" w:customStyle="1" w:styleId="931">
    <w:name w:val="普通文字 Char Char"/>
    <w:qFormat/>
    <w:uiPriority w:val="0"/>
    <w:rPr>
      <w:rFonts w:ascii="宋体" w:hAnsi="Courier New" w:eastAsia="宋体"/>
      <w:kern w:val="2"/>
      <w:sz w:val="21"/>
      <w:lang w:val="en-US" w:eastAsia="zh-CN" w:bidi="ar-SA"/>
    </w:rPr>
  </w:style>
  <w:style w:type="character" w:customStyle="1" w:styleId="932">
    <w:name w:val="表文 Char Char"/>
    <w:link w:val="933"/>
    <w:qFormat/>
    <w:uiPriority w:val="0"/>
    <w:rPr>
      <w:rFonts w:ascii="宋体"/>
      <w:sz w:val="21"/>
    </w:rPr>
  </w:style>
  <w:style w:type="paragraph" w:customStyle="1" w:styleId="933">
    <w:name w:val="表文"/>
    <w:basedOn w:val="1"/>
    <w:link w:val="932"/>
    <w:qFormat/>
    <w:uiPriority w:val="0"/>
    <w:pPr>
      <w:spacing w:line="320" w:lineRule="atLeast"/>
      <w:jc w:val="center"/>
    </w:pPr>
    <w:rPr>
      <w:rFonts w:ascii="宋体"/>
      <w:kern w:val="0"/>
      <w:szCs w:val="20"/>
    </w:rPr>
  </w:style>
  <w:style w:type="character" w:customStyle="1" w:styleId="934">
    <w:name w:val="Char Char15"/>
    <w:qFormat/>
    <w:uiPriority w:val="0"/>
    <w:rPr>
      <w:rFonts w:eastAsia="宋体"/>
      <w:szCs w:val="21"/>
    </w:rPr>
  </w:style>
  <w:style w:type="character" w:customStyle="1" w:styleId="935">
    <w:name w:val="样式 题注Char Char Char Char题注 Char2题注 Char Char题注 Char Char C...1 Char"/>
    <w:link w:val="936"/>
    <w:qFormat/>
    <w:uiPriority w:val="0"/>
    <w:rPr>
      <w:rFonts w:ascii="Arial" w:hAnsi="Arial"/>
      <w:snapToGrid/>
      <w:kern w:val="24"/>
      <w:sz w:val="24"/>
      <w:szCs w:val="24"/>
    </w:rPr>
  </w:style>
  <w:style w:type="paragraph" w:customStyle="1" w:styleId="936">
    <w:name w:val="样式 题注Char Char Char Char题注 Char2题注 Char Char题注 Char Char C...1"/>
    <w:basedOn w:val="25"/>
    <w:link w:val="935"/>
    <w:qFormat/>
    <w:uiPriority w:val="0"/>
    <w:pPr>
      <w:adjustRightInd w:val="0"/>
      <w:spacing w:before="152" w:after="160"/>
      <w:ind w:firstLine="200" w:firstLineChars="200"/>
      <w:textAlignment w:val="baseline"/>
    </w:pPr>
    <w:rPr>
      <w:rFonts w:ascii="Arial" w:hAnsi="Arial" w:eastAsia="宋体"/>
      <w:b w:val="0"/>
      <w:snapToGrid w:val="0"/>
      <w:kern w:val="24"/>
      <w:szCs w:val="24"/>
    </w:rPr>
  </w:style>
  <w:style w:type="character" w:customStyle="1" w:styleId="937">
    <w:name w:val="样式 标题 2节标题 1.1b21.1标题2标题 1.1标题 yjm2第一章 标题 2Heading 2 Hidd... Char"/>
    <w:qFormat/>
    <w:uiPriority w:val="0"/>
    <w:rPr>
      <w:rFonts w:ascii="Arial" w:hAnsi="Arial" w:eastAsia="宋体"/>
      <w:b/>
      <w:bCs/>
      <w:kern w:val="2"/>
      <w:sz w:val="30"/>
      <w:szCs w:val="32"/>
      <w:lang w:val="en-US" w:eastAsia="zh-CN" w:bidi="ar-SA"/>
    </w:rPr>
  </w:style>
  <w:style w:type="character" w:customStyle="1" w:styleId="938">
    <w:name w:val="z-窗体顶端 Char"/>
    <w:link w:val="939"/>
    <w:qFormat/>
    <w:uiPriority w:val="0"/>
    <w:rPr>
      <w:rFonts w:ascii="Arial" w:hAnsi="Arial"/>
      <w:vanish/>
      <w:sz w:val="16"/>
      <w:szCs w:val="16"/>
    </w:rPr>
  </w:style>
  <w:style w:type="paragraph" w:customStyle="1" w:styleId="939">
    <w:name w:val="z-窗体顶端1"/>
    <w:basedOn w:val="1"/>
    <w:next w:val="1"/>
    <w:link w:val="938"/>
    <w:qFormat/>
    <w:uiPriority w:val="0"/>
    <w:pPr>
      <w:widowControl/>
      <w:pBdr>
        <w:bottom w:val="single" w:color="auto" w:sz="6" w:space="1"/>
      </w:pBdr>
      <w:jc w:val="center"/>
    </w:pPr>
    <w:rPr>
      <w:rFonts w:ascii="Arial" w:hAnsi="Arial"/>
      <w:vanish/>
      <w:kern w:val="0"/>
      <w:sz w:val="16"/>
      <w:szCs w:val="16"/>
    </w:rPr>
  </w:style>
  <w:style w:type="character" w:customStyle="1" w:styleId="940">
    <w:name w:val="Char61"/>
    <w:qFormat/>
    <w:uiPriority w:val="0"/>
    <w:rPr>
      <w:rFonts w:eastAsia="宋体"/>
      <w:kern w:val="2"/>
      <w:sz w:val="18"/>
      <w:szCs w:val="18"/>
      <w:lang w:val="en-US" w:eastAsia="zh-CN" w:bidi="ar-SA"/>
    </w:rPr>
  </w:style>
  <w:style w:type="character" w:customStyle="1" w:styleId="941">
    <w:name w:val="样式2 Char Char1"/>
    <w:qFormat/>
    <w:uiPriority w:val="0"/>
    <w:rPr>
      <w:rFonts w:eastAsia="宋体"/>
      <w:kern w:val="2"/>
      <w:sz w:val="24"/>
      <w:szCs w:val="24"/>
      <w:lang w:val="en-US" w:eastAsia="zh-CN" w:bidi="ar-SA"/>
    </w:rPr>
  </w:style>
  <w:style w:type="character" w:customStyle="1" w:styleId="942">
    <w:name w:val="LNG－文本框 Char Char Char Char"/>
    <w:qFormat/>
    <w:uiPriority w:val="0"/>
    <w:rPr>
      <w:rFonts w:eastAsia="宋体"/>
      <w:kern w:val="2"/>
      <w:sz w:val="21"/>
      <w:szCs w:val="21"/>
      <w:lang w:val="en-US" w:eastAsia="zh-CN" w:bidi="ar-SA"/>
    </w:rPr>
  </w:style>
  <w:style w:type="character" w:customStyle="1" w:styleId="943">
    <w:name w:val="content151"/>
    <w:semiHidden/>
    <w:qFormat/>
    <w:uiPriority w:val="0"/>
    <w:rPr>
      <w:sz w:val="18"/>
      <w:szCs w:val="18"/>
      <w:u w:val="none"/>
    </w:rPr>
  </w:style>
  <w:style w:type="character" w:customStyle="1" w:styleId="944">
    <w:name w:val="表格文字居中 Char1"/>
    <w:link w:val="945"/>
    <w:qFormat/>
    <w:locked/>
    <w:uiPriority w:val="0"/>
    <w:rPr>
      <w:rFonts w:eastAsia="华文仿宋"/>
      <w:kern w:val="2"/>
      <w:sz w:val="21"/>
      <w:szCs w:val="24"/>
    </w:rPr>
  </w:style>
  <w:style w:type="paragraph" w:customStyle="1" w:styleId="945">
    <w:name w:val="表格文字居中"/>
    <w:basedOn w:val="43"/>
    <w:link w:val="944"/>
    <w:qFormat/>
    <w:uiPriority w:val="0"/>
    <w:pPr>
      <w:widowControl w:val="0"/>
      <w:spacing w:before="280"/>
      <w:jc w:val="both"/>
    </w:pPr>
    <w:rPr>
      <w:rFonts w:ascii="Times New Roman" w:hAnsi="Times New Roman" w:eastAsia="华文仿宋" w:cs="Times New Roman"/>
      <w:kern w:val="2"/>
      <w:sz w:val="21"/>
      <w:szCs w:val="24"/>
    </w:rPr>
  </w:style>
  <w:style w:type="character" w:customStyle="1" w:styleId="946">
    <w:name w:val="正文(首行缩进) Char Char"/>
    <w:qFormat/>
    <w:uiPriority w:val="0"/>
    <w:rPr>
      <w:rFonts w:eastAsia="宋体"/>
      <w:snapToGrid w:val="0"/>
      <w:sz w:val="24"/>
      <w:szCs w:val="25"/>
      <w:lang w:bidi="ar-SA"/>
    </w:rPr>
  </w:style>
  <w:style w:type="character" w:customStyle="1" w:styleId="947">
    <w:name w:val="EmailStyle1735"/>
    <w:semiHidden/>
    <w:qFormat/>
    <w:uiPriority w:val="0"/>
    <w:rPr>
      <w:rFonts w:ascii="Arial" w:hAnsi="Arial" w:eastAsia="宋体" w:cs="Arial"/>
      <w:color w:val="auto"/>
      <w:sz w:val="18"/>
      <w:szCs w:val="20"/>
    </w:rPr>
  </w:style>
  <w:style w:type="character" w:customStyle="1" w:styleId="948">
    <w:name w:val="段落正文 Char"/>
    <w:link w:val="949"/>
    <w:qFormat/>
    <w:uiPriority w:val="0"/>
    <w:rPr>
      <w:rFonts w:eastAsia="仿宋_GB2312"/>
      <w:sz w:val="24"/>
      <w:szCs w:val="24"/>
    </w:rPr>
  </w:style>
  <w:style w:type="paragraph" w:customStyle="1" w:styleId="949">
    <w:name w:val="段落正文"/>
    <w:basedOn w:val="1"/>
    <w:link w:val="948"/>
    <w:qFormat/>
    <w:uiPriority w:val="0"/>
    <w:pPr>
      <w:spacing w:line="360" w:lineRule="auto"/>
      <w:ind w:firstLine="480" w:firstLineChars="200"/>
    </w:pPr>
    <w:rPr>
      <w:rFonts w:eastAsia="仿宋_GB2312"/>
      <w:kern w:val="0"/>
      <w:sz w:val="24"/>
    </w:rPr>
  </w:style>
  <w:style w:type="character" w:customStyle="1" w:styleId="950">
    <w:name w:val="表格内 Char Char"/>
    <w:qFormat/>
    <w:uiPriority w:val="0"/>
    <w:rPr>
      <w:rFonts w:ascii="Arial" w:hAnsi="Arial"/>
      <w:sz w:val="21"/>
      <w:szCs w:val="21"/>
      <w:lang w:bidi="ar-SA"/>
    </w:rPr>
  </w:style>
  <w:style w:type="character" w:customStyle="1" w:styleId="951">
    <w:name w:val="样式 表内宋5中 + 五号 Char Char"/>
    <w:qFormat/>
    <w:uiPriority w:val="0"/>
    <w:rPr>
      <w:rFonts w:ascii="宋体" w:hAnsi="宋体"/>
      <w:sz w:val="24"/>
      <w:szCs w:val="24"/>
      <w:lang w:bidi="ar-SA"/>
    </w:rPr>
  </w:style>
  <w:style w:type="character" w:customStyle="1" w:styleId="952">
    <w:name w:val="Char Char201"/>
    <w:qFormat/>
    <w:uiPriority w:val="0"/>
    <w:rPr>
      <w:sz w:val="18"/>
      <w:szCs w:val="18"/>
      <w:lang w:val="en-US" w:eastAsia="zh-CN"/>
    </w:rPr>
  </w:style>
  <w:style w:type="character" w:customStyle="1" w:styleId="953">
    <w:name w:val="样式 宋体"/>
    <w:qFormat/>
    <w:uiPriority w:val="0"/>
    <w:rPr>
      <w:rFonts w:ascii="宋体" w:hAnsi="宋体"/>
    </w:rPr>
  </w:style>
  <w:style w:type="character" w:customStyle="1" w:styleId="954">
    <w:name w:val="正文1 Char"/>
    <w:qFormat/>
    <w:uiPriority w:val="0"/>
    <w:rPr>
      <w:snapToGrid w:val="0"/>
      <w:kern w:val="2"/>
      <w:sz w:val="24"/>
      <w:szCs w:val="24"/>
      <w:lang w:bidi="ar-SA"/>
    </w:rPr>
  </w:style>
  <w:style w:type="character" w:customStyle="1" w:styleId="955">
    <w:name w:val="Char Char Char Char Char Char2"/>
    <w:qFormat/>
    <w:uiPriority w:val="0"/>
    <w:rPr>
      <w:rFonts w:ascii="宋体" w:hAnsi="Courier New" w:eastAsia="宋体"/>
      <w:kern w:val="2"/>
      <w:sz w:val="21"/>
      <w:szCs w:val="24"/>
      <w:lang w:val="en-US" w:eastAsia="zh-CN" w:bidi="ar-SA"/>
    </w:rPr>
  </w:style>
  <w:style w:type="character" w:customStyle="1" w:styleId="956">
    <w:name w:val="紧凑表格 Char"/>
    <w:link w:val="957"/>
    <w:qFormat/>
    <w:uiPriority w:val="0"/>
    <w:rPr>
      <w:kern w:val="2"/>
      <w:sz w:val="21"/>
      <w:szCs w:val="21"/>
    </w:rPr>
  </w:style>
  <w:style w:type="paragraph" w:customStyle="1" w:styleId="957">
    <w:name w:val="紧凑表格"/>
    <w:basedOn w:val="1"/>
    <w:link w:val="956"/>
    <w:qFormat/>
    <w:uiPriority w:val="0"/>
    <w:pPr>
      <w:spacing w:before="120" w:after="120"/>
      <w:ind w:left="578" w:hanging="578"/>
      <w:jc w:val="center"/>
    </w:pPr>
    <w:rPr>
      <w:szCs w:val="21"/>
    </w:rPr>
  </w:style>
  <w:style w:type="character" w:customStyle="1" w:styleId="958">
    <w:name w:val="五级标题王 Char"/>
    <w:link w:val="959"/>
    <w:semiHidden/>
    <w:qFormat/>
    <w:uiPriority w:val="0"/>
    <w:rPr>
      <w:rFonts w:ascii="宋体" w:hAnsi="宋体"/>
      <w:b/>
      <w:snapToGrid/>
      <w:color w:val="FF0000"/>
      <w:sz w:val="30"/>
      <w:szCs w:val="30"/>
    </w:rPr>
  </w:style>
  <w:style w:type="paragraph" w:customStyle="1" w:styleId="959">
    <w:name w:val="五级标题王"/>
    <w:basedOn w:val="9"/>
    <w:link w:val="958"/>
    <w:semiHidden/>
    <w:qFormat/>
    <w:uiPriority w:val="0"/>
    <w:pPr>
      <w:numPr>
        <w:ilvl w:val="0"/>
        <w:numId w:val="0"/>
      </w:numPr>
      <w:tabs>
        <w:tab w:val="left" w:pos="747"/>
        <w:tab w:val="left" w:pos="1740"/>
      </w:tabs>
      <w:spacing w:line="240" w:lineRule="auto"/>
      <w:ind w:left="1740" w:hanging="420"/>
      <w:jc w:val="both"/>
      <w:outlineLvl w:val="4"/>
    </w:pPr>
    <w:rPr>
      <w:rFonts w:cs="Times New Roman"/>
      <w:b/>
      <w:bCs w:val="0"/>
      <w:snapToGrid w:val="0"/>
      <w:color w:val="FF0000"/>
      <w:sz w:val="30"/>
      <w:szCs w:val="30"/>
    </w:rPr>
  </w:style>
  <w:style w:type="character" w:customStyle="1" w:styleId="960">
    <w:name w:val="ljx正文1 Char"/>
    <w:link w:val="961"/>
    <w:qFormat/>
    <w:uiPriority w:val="0"/>
    <w:rPr>
      <w:kern w:val="2"/>
      <w:sz w:val="28"/>
      <w:szCs w:val="28"/>
    </w:rPr>
  </w:style>
  <w:style w:type="paragraph" w:customStyle="1" w:styleId="961">
    <w:name w:val="ljx正文1"/>
    <w:basedOn w:val="1"/>
    <w:link w:val="960"/>
    <w:qFormat/>
    <w:uiPriority w:val="0"/>
    <w:rPr>
      <w:sz w:val="28"/>
      <w:szCs w:val="28"/>
    </w:rPr>
  </w:style>
  <w:style w:type="character" w:customStyle="1" w:styleId="962">
    <w:name w:val="大纲正文 Char Char Char Char Char Char Char Char Char Char"/>
    <w:qFormat/>
    <w:uiPriority w:val="0"/>
    <w:rPr>
      <w:sz w:val="24"/>
      <w:lang w:bidi="ar-SA"/>
    </w:rPr>
  </w:style>
  <w:style w:type="character" w:customStyle="1" w:styleId="963">
    <w:name w:val="radio-btn2"/>
    <w:qFormat/>
    <w:uiPriority w:val="0"/>
    <w:rPr>
      <w:sz w:val="24"/>
      <w:szCs w:val="24"/>
    </w:rPr>
  </w:style>
  <w:style w:type="character" w:customStyle="1" w:styleId="964">
    <w:name w:val="标题 8 Char Char"/>
    <w:qFormat/>
    <w:uiPriority w:val="0"/>
    <w:rPr>
      <w:rFonts w:ascii="宋体" w:hAnsi="Arial" w:eastAsia="宋体" w:cs="Times New Roman"/>
      <w:kern w:val="28"/>
      <w:sz w:val="28"/>
      <w:szCs w:val="20"/>
      <w:lang w:val="en-US" w:eastAsia="zh-CN" w:bidi="ar-SA"/>
    </w:rPr>
  </w:style>
  <w:style w:type="character" w:customStyle="1" w:styleId="965">
    <w:name w:val="沁漠图标题 Char Char"/>
    <w:qFormat/>
    <w:uiPriority w:val="0"/>
    <w:rPr>
      <w:rFonts w:hAnsi="宋体"/>
      <w:b/>
      <w:bCs/>
      <w:snapToGrid w:val="0"/>
      <w:kern w:val="2"/>
      <w:sz w:val="24"/>
      <w:szCs w:val="24"/>
      <w:lang w:bidi="ar-SA"/>
    </w:rPr>
  </w:style>
  <w:style w:type="character" w:customStyle="1" w:styleId="966">
    <w:name w:val="大纲正文 Char Char Char Char Char Char Char Char Char"/>
    <w:link w:val="967"/>
    <w:qFormat/>
    <w:uiPriority w:val="0"/>
    <w:rPr>
      <w:sz w:val="24"/>
    </w:rPr>
  </w:style>
  <w:style w:type="paragraph" w:customStyle="1" w:styleId="967">
    <w:name w:val="大纲正文 Char Char Char Char Char Char Char Char"/>
    <w:basedOn w:val="1"/>
    <w:link w:val="966"/>
    <w:qFormat/>
    <w:uiPriority w:val="0"/>
    <w:pPr>
      <w:widowControl/>
      <w:adjustRightInd w:val="0"/>
      <w:snapToGrid w:val="0"/>
      <w:spacing w:afterLines="50" w:line="300" w:lineRule="auto"/>
      <w:ind w:firstLine="480" w:firstLineChars="200"/>
    </w:pPr>
    <w:rPr>
      <w:kern w:val="0"/>
      <w:sz w:val="24"/>
      <w:szCs w:val="20"/>
    </w:rPr>
  </w:style>
  <w:style w:type="character" w:customStyle="1" w:styleId="968">
    <w:name w:val="正文标准格式张 Char Char"/>
    <w:qFormat/>
    <w:uiPriority w:val="0"/>
    <w:rPr>
      <w:rFonts w:ascii="宋体" w:hAnsi="宋体" w:eastAsia="宋体" w:cs="宋体"/>
      <w:sz w:val="24"/>
      <w:lang w:val="en-US" w:eastAsia="zh-CN" w:bidi="ar-SA"/>
    </w:rPr>
  </w:style>
  <w:style w:type="character" w:customStyle="1" w:styleId="969">
    <w:name w:val="正文(首行缩进) Char1"/>
    <w:link w:val="970"/>
    <w:qFormat/>
    <w:uiPriority w:val="0"/>
    <w:rPr>
      <w:snapToGrid/>
      <w:color w:val="000000"/>
      <w:sz w:val="24"/>
      <w:szCs w:val="24"/>
    </w:rPr>
  </w:style>
  <w:style w:type="paragraph" w:customStyle="1" w:styleId="970">
    <w:name w:val="正文(首行缩进)"/>
    <w:basedOn w:val="1"/>
    <w:link w:val="969"/>
    <w:qFormat/>
    <w:uiPriority w:val="0"/>
    <w:pPr>
      <w:spacing w:line="360" w:lineRule="auto"/>
      <w:ind w:firstLine="540" w:firstLineChars="225"/>
    </w:pPr>
    <w:rPr>
      <w:snapToGrid w:val="0"/>
      <w:color w:val="000000"/>
      <w:kern w:val="0"/>
      <w:sz w:val="24"/>
    </w:rPr>
  </w:style>
  <w:style w:type="character" w:customStyle="1" w:styleId="971">
    <w:name w:val="downintro"/>
    <w:qFormat/>
    <w:uiPriority w:val="0"/>
    <w:rPr>
      <w:szCs w:val="21"/>
    </w:rPr>
  </w:style>
  <w:style w:type="character" w:customStyle="1" w:styleId="972">
    <w:name w:val="表头 Char"/>
    <w:link w:val="973"/>
    <w:qFormat/>
    <w:uiPriority w:val="0"/>
    <w:rPr>
      <w:rFonts w:ascii="宋体" w:hAnsi="宋体" w:eastAsia="黑体" w:cs="宋体"/>
      <w:spacing w:val="-10"/>
      <w:sz w:val="24"/>
    </w:rPr>
  </w:style>
  <w:style w:type="paragraph" w:customStyle="1" w:styleId="973">
    <w:name w:val="表头"/>
    <w:basedOn w:val="1"/>
    <w:link w:val="972"/>
    <w:qFormat/>
    <w:uiPriority w:val="0"/>
    <w:pPr>
      <w:widowControl/>
      <w:adjustRightInd w:val="0"/>
      <w:spacing w:line="320" w:lineRule="atLeast"/>
      <w:jc w:val="center"/>
      <w:textAlignment w:val="baseline"/>
    </w:pPr>
    <w:rPr>
      <w:rFonts w:ascii="宋体" w:hAnsi="宋体" w:eastAsia="黑体" w:cs="宋体"/>
      <w:spacing w:val="-10"/>
      <w:kern w:val="0"/>
      <w:sz w:val="24"/>
      <w:szCs w:val="20"/>
    </w:rPr>
  </w:style>
  <w:style w:type="character" w:customStyle="1" w:styleId="974">
    <w:name w:val="脚注文本 Char Char"/>
    <w:qFormat/>
    <w:uiPriority w:val="0"/>
    <w:rPr>
      <w:kern w:val="2"/>
      <w:lang w:bidi="ar-SA"/>
    </w:rPr>
  </w:style>
  <w:style w:type="character" w:customStyle="1" w:styleId="975">
    <w:name w:val="表文5中 Char Char"/>
    <w:qFormat/>
    <w:uiPriority w:val="0"/>
    <w:rPr>
      <w:rFonts w:eastAsia="宋体"/>
      <w:sz w:val="21"/>
      <w:lang w:val="en-US" w:eastAsia="zh-CN" w:bidi="ar-SA"/>
    </w:rPr>
  </w:style>
  <w:style w:type="character" w:customStyle="1" w:styleId="976">
    <w:name w:val="0-shiw-目录页码 Char Char Char"/>
    <w:qFormat/>
    <w:uiPriority w:val="0"/>
    <w:rPr>
      <w:kern w:val="2"/>
      <w:sz w:val="24"/>
      <w:szCs w:val="24"/>
      <w:lang w:bidi="ar-SA"/>
    </w:rPr>
  </w:style>
  <w:style w:type="character" w:customStyle="1" w:styleId="977">
    <w:name w:val="表格编号 Char Char"/>
    <w:qFormat/>
    <w:uiPriority w:val="0"/>
    <w:rPr>
      <w:rFonts w:eastAsia="宋体" w:cs="宋体"/>
      <w:spacing w:val="6"/>
      <w:kern w:val="2"/>
      <w:sz w:val="24"/>
      <w:lang w:val="en-US" w:eastAsia="zh-CN" w:bidi="ar-SA"/>
    </w:rPr>
  </w:style>
  <w:style w:type="character" w:customStyle="1" w:styleId="978">
    <w:name w:val="BBBBBBBBBB Char Char"/>
    <w:qFormat/>
    <w:uiPriority w:val="0"/>
    <w:rPr>
      <w:rFonts w:ascii="宋体" w:hAnsi="宋体"/>
      <w:b/>
      <w:kern w:val="2"/>
      <w:sz w:val="21"/>
      <w:lang w:bidi="ar-SA"/>
    </w:rPr>
  </w:style>
  <w:style w:type="character" w:customStyle="1" w:styleId="979">
    <w:name w:val="LNG－文本框 Char Char"/>
    <w:qFormat/>
    <w:uiPriority w:val="0"/>
    <w:rPr>
      <w:rFonts w:eastAsia="宋体"/>
      <w:kern w:val="2"/>
      <w:sz w:val="21"/>
      <w:szCs w:val="21"/>
      <w:lang w:val="en-US" w:eastAsia="zh-CN" w:bidi="ar-SA"/>
    </w:rPr>
  </w:style>
  <w:style w:type="character" w:customStyle="1" w:styleId="980">
    <w:name w:val="shengsi1"/>
    <w:qFormat/>
    <w:uiPriority w:val="0"/>
    <w:rPr>
      <w:rFonts w:hint="default"/>
      <w:spacing w:val="240"/>
      <w:sz w:val="18"/>
      <w:szCs w:val="18"/>
    </w:rPr>
  </w:style>
  <w:style w:type="character" w:customStyle="1" w:styleId="981">
    <w:name w:val="f915"/>
    <w:qFormat/>
    <w:uiPriority w:val="0"/>
  </w:style>
  <w:style w:type="character" w:customStyle="1" w:styleId="982">
    <w:name w:val="正文首行缩进 2 Char Char Char"/>
    <w:qFormat/>
    <w:uiPriority w:val="0"/>
    <w:rPr>
      <w:rFonts w:ascii="Times New Roman" w:hAnsi="Times New Roman" w:eastAsia="宋体" w:cs="Times New Roman"/>
      <w:kern w:val="0"/>
      <w:sz w:val="24"/>
      <w:szCs w:val="24"/>
      <w:lang w:val="en-US" w:eastAsia="zh-CN" w:bidi="ar-SA"/>
    </w:rPr>
  </w:style>
  <w:style w:type="character" w:customStyle="1" w:styleId="983">
    <w:name w:val="正文 + 四号 Char"/>
    <w:qFormat/>
    <w:uiPriority w:val="0"/>
    <w:rPr>
      <w:rFonts w:ascii="宋体"/>
      <w:color w:val="000000"/>
      <w:spacing w:val="6"/>
      <w:sz w:val="28"/>
      <w:szCs w:val="28"/>
    </w:rPr>
  </w:style>
  <w:style w:type="character" w:customStyle="1" w:styleId="984">
    <w:name w:val="Body text + 10.5 pt"/>
    <w:qFormat/>
    <w:uiPriority w:val="0"/>
    <w:rPr>
      <w:rFonts w:ascii="宋体" w:eastAsia="宋体" w:cs="宋体"/>
      <w:sz w:val="21"/>
      <w:szCs w:val="21"/>
      <w:u w:val="none"/>
      <w:lang w:bidi="ar-SA"/>
    </w:rPr>
  </w:style>
  <w:style w:type="character" w:customStyle="1" w:styleId="985">
    <w:name w:val="环正文 Char1"/>
    <w:link w:val="986"/>
    <w:qFormat/>
    <w:locked/>
    <w:uiPriority w:val="0"/>
    <w:rPr>
      <w:rFonts w:hAnsi="宋体"/>
      <w:kern w:val="2"/>
      <w:sz w:val="24"/>
    </w:rPr>
  </w:style>
  <w:style w:type="paragraph" w:customStyle="1" w:styleId="986">
    <w:name w:val="环正文"/>
    <w:basedOn w:val="1"/>
    <w:link w:val="985"/>
    <w:qFormat/>
    <w:uiPriority w:val="0"/>
    <w:pPr>
      <w:widowControl/>
      <w:tabs>
        <w:tab w:val="left" w:pos="5187"/>
      </w:tabs>
      <w:suppressAutoHyphens/>
      <w:adjustRightInd w:val="0"/>
      <w:spacing w:line="500" w:lineRule="exact"/>
      <w:ind w:firstLine="480" w:firstLineChars="200"/>
      <w:textAlignment w:val="baseline"/>
    </w:pPr>
    <w:rPr>
      <w:rFonts w:hAnsi="宋体"/>
      <w:sz w:val="24"/>
      <w:szCs w:val="20"/>
    </w:rPr>
  </w:style>
  <w:style w:type="character" w:customStyle="1" w:styleId="987">
    <w:name w:val="z-窗体底端 字符2"/>
    <w:link w:val="988"/>
    <w:qFormat/>
    <w:uiPriority w:val="0"/>
    <w:rPr>
      <w:rFonts w:ascii="Arial" w:hAnsi="Arial"/>
      <w:vanish/>
      <w:sz w:val="16"/>
      <w:szCs w:val="16"/>
    </w:rPr>
  </w:style>
  <w:style w:type="paragraph" w:customStyle="1" w:styleId="988">
    <w:name w:val="_Style 987"/>
    <w:basedOn w:val="1"/>
    <w:next w:val="1"/>
    <w:link w:val="987"/>
    <w:qFormat/>
    <w:uiPriority w:val="0"/>
    <w:pPr>
      <w:widowControl/>
      <w:pBdr>
        <w:top w:val="single" w:color="auto" w:sz="6" w:space="1"/>
      </w:pBdr>
      <w:jc w:val="center"/>
    </w:pPr>
    <w:rPr>
      <w:rFonts w:ascii="Arial" w:hAnsi="Arial"/>
      <w:vanish/>
      <w:kern w:val="0"/>
      <w:sz w:val="16"/>
      <w:szCs w:val="16"/>
    </w:rPr>
  </w:style>
  <w:style w:type="character" w:customStyle="1" w:styleId="989">
    <w:name w:val="z-窗体底端 Char"/>
    <w:link w:val="990"/>
    <w:qFormat/>
    <w:uiPriority w:val="0"/>
    <w:rPr>
      <w:rFonts w:ascii="Arial" w:hAnsi="Arial" w:cs="Arial"/>
      <w:vanish/>
      <w:kern w:val="2"/>
      <w:sz w:val="16"/>
      <w:szCs w:val="16"/>
    </w:rPr>
  </w:style>
  <w:style w:type="paragraph" w:customStyle="1" w:styleId="990">
    <w:name w:val="z-窗体底端1"/>
    <w:basedOn w:val="1"/>
    <w:next w:val="1"/>
    <w:link w:val="989"/>
    <w:qFormat/>
    <w:uiPriority w:val="0"/>
    <w:pPr>
      <w:widowControl/>
      <w:pBdr>
        <w:top w:val="single" w:color="auto" w:sz="6" w:space="1"/>
      </w:pBdr>
      <w:jc w:val="center"/>
    </w:pPr>
    <w:rPr>
      <w:rFonts w:ascii="Arial" w:hAnsi="Arial" w:cs="Arial"/>
      <w:vanish/>
      <w:sz w:val="16"/>
      <w:szCs w:val="16"/>
    </w:rPr>
  </w:style>
  <w:style w:type="character" w:customStyle="1" w:styleId="991">
    <w:name w:val="Char Char51"/>
    <w:qFormat/>
    <w:uiPriority w:val="0"/>
    <w:rPr>
      <w:rFonts w:eastAsia="宋体"/>
      <w:kern w:val="2"/>
      <w:sz w:val="18"/>
      <w:szCs w:val="18"/>
      <w:lang w:val="en-US" w:eastAsia="zh-CN" w:bidi="ar-SA"/>
    </w:rPr>
  </w:style>
  <w:style w:type="character" w:customStyle="1" w:styleId="992">
    <w:name w:val="图表标题 Char Char"/>
    <w:qFormat/>
    <w:uiPriority w:val="0"/>
    <w:rPr>
      <w:rFonts w:ascii="黑体" w:hAnsi="Calibri" w:eastAsia="黑体"/>
      <w:sz w:val="24"/>
      <w:szCs w:val="24"/>
      <w:lang w:val="en-US" w:eastAsia="zh-CN" w:bidi="en-US"/>
    </w:rPr>
  </w:style>
  <w:style w:type="character" w:customStyle="1" w:styleId="993">
    <w:name w:val="even Char1"/>
    <w:qFormat/>
    <w:uiPriority w:val="0"/>
    <w:rPr>
      <w:rFonts w:eastAsia="宋体"/>
      <w:kern w:val="2"/>
      <w:sz w:val="18"/>
      <w:szCs w:val="18"/>
      <w:lang w:val="en-US" w:eastAsia="zh-CN" w:bidi="ar-SA"/>
    </w:rPr>
  </w:style>
  <w:style w:type="character" w:customStyle="1" w:styleId="994">
    <w:name w:val="样式 题注 + 宋体 小四1 Char"/>
    <w:link w:val="995"/>
    <w:qFormat/>
    <w:uiPriority w:val="0"/>
    <w:rPr>
      <w:rFonts w:ascii="宋体" w:hAnsi="宋体"/>
      <w:kern w:val="2"/>
      <w:sz w:val="24"/>
    </w:rPr>
  </w:style>
  <w:style w:type="paragraph" w:customStyle="1" w:styleId="995">
    <w:name w:val="样式 题注 + 宋体 小四1"/>
    <w:basedOn w:val="25"/>
    <w:link w:val="994"/>
    <w:qFormat/>
    <w:uiPriority w:val="0"/>
    <w:pPr>
      <w:spacing w:before="152" w:after="160" w:line="360" w:lineRule="auto"/>
      <w:ind w:firstLine="200" w:firstLineChars="200"/>
      <w:jc w:val="both"/>
    </w:pPr>
    <w:rPr>
      <w:rFonts w:ascii="宋体" w:hAnsi="宋体" w:eastAsia="宋体"/>
      <w:b w:val="0"/>
    </w:rPr>
  </w:style>
  <w:style w:type="character" w:customStyle="1" w:styleId="996">
    <w:name w:val="表格文字2 Char"/>
    <w:link w:val="997"/>
    <w:qFormat/>
    <w:uiPriority w:val="0"/>
    <w:rPr>
      <w:sz w:val="21"/>
      <w:szCs w:val="21"/>
    </w:rPr>
  </w:style>
  <w:style w:type="paragraph" w:customStyle="1" w:styleId="997">
    <w:name w:val="表格文字2"/>
    <w:basedOn w:val="1"/>
    <w:link w:val="996"/>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998">
    <w:name w:val="Char Char29"/>
    <w:qFormat/>
    <w:uiPriority w:val="0"/>
    <w:rPr>
      <w:rFonts w:eastAsia="宋体"/>
      <w:szCs w:val="21"/>
    </w:rPr>
  </w:style>
  <w:style w:type="character" w:customStyle="1" w:styleId="999">
    <w:name w:val="标题 3 Char Char Char3"/>
    <w:qFormat/>
    <w:uiPriority w:val="0"/>
    <w:rPr>
      <w:rFonts w:ascii="黑体" w:hAnsi="宋体" w:eastAsia="黑体" w:cs="Times New Roman"/>
      <w:sz w:val="28"/>
      <w:szCs w:val="20"/>
    </w:rPr>
  </w:style>
  <w:style w:type="character" w:customStyle="1" w:styleId="1000">
    <w:name w:val="Char Char44"/>
    <w:qFormat/>
    <w:uiPriority w:val="0"/>
    <w:rPr>
      <w:rFonts w:ascii="Times New Roman" w:hAnsi="Times New Roman" w:eastAsia="文鼎CS细等线" w:cs="Times New Roman"/>
      <w:b/>
      <w:spacing w:val="8"/>
      <w:sz w:val="28"/>
      <w:szCs w:val="20"/>
    </w:rPr>
  </w:style>
  <w:style w:type="character" w:customStyle="1" w:styleId="1001">
    <w:name w:val="Body text_"/>
    <w:link w:val="1002"/>
    <w:qFormat/>
    <w:uiPriority w:val="0"/>
    <w:rPr>
      <w:rFonts w:ascii="MingLiU" w:eastAsia="MingLiU"/>
      <w:sz w:val="23"/>
      <w:szCs w:val="23"/>
      <w:shd w:val="clear" w:color="auto" w:fill="FFFFFF"/>
    </w:rPr>
  </w:style>
  <w:style w:type="paragraph" w:customStyle="1" w:styleId="1002">
    <w:name w:val="Body text1"/>
    <w:basedOn w:val="1"/>
    <w:link w:val="1001"/>
    <w:qFormat/>
    <w:uiPriority w:val="0"/>
    <w:pPr>
      <w:shd w:val="clear" w:color="auto" w:fill="FFFFFF"/>
      <w:spacing w:line="418" w:lineRule="exact"/>
      <w:jc w:val="distribute"/>
    </w:pPr>
    <w:rPr>
      <w:rFonts w:ascii="MingLiU" w:eastAsia="MingLiU"/>
      <w:kern w:val="0"/>
      <w:sz w:val="23"/>
      <w:szCs w:val="23"/>
    </w:rPr>
  </w:style>
  <w:style w:type="character" w:customStyle="1" w:styleId="1003">
    <w:name w:val="Body text + MS Gothic6"/>
    <w:qFormat/>
    <w:uiPriority w:val="0"/>
    <w:rPr>
      <w:rFonts w:ascii="MS Gothic" w:eastAsia="MS Gothic" w:cs="MS Gothic"/>
      <w:sz w:val="20"/>
      <w:szCs w:val="20"/>
      <w:u w:val="none"/>
      <w:lang w:bidi="ar-SA"/>
    </w:rPr>
  </w:style>
  <w:style w:type="character" w:customStyle="1" w:styleId="1004">
    <w:name w:val="正文粗 Char"/>
    <w:qFormat/>
    <w:uiPriority w:val="0"/>
    <w:rPr>
      <w:rFonts w:eastAsia="宋体"/>
      <w:b/>
      <w:sz w:val="24"/>
      <w:lang w:val="en-US" w:eastAsia="zh-CN" w:bidi="ar-SA"/>
    </w:rPr>
  </w:style>
  <w:style w:type="character" w:customStyle="1" w:styleId="1005">
    <w:name w:val="日期 Char1"/>
    <w:semiHidden/>
    <w:qFormat/>
    <w:uiPriority w:val="0"/>
  </w:style>
  <w:style w:type="character" w:customStyle="1" w:styleId="1006">
    <w:name w:val="正文内容 Char Char"/>
    <w:link w:val="1007"/>
    <w:qFormat/>
    <w:uiPriority w:val="0"/>
    <w:rPr>
      <w:sz w:val="24"/>
      <w:szCs w:val="24"/>
    </w:rPr>
  </w:style>
  <w:style w:type="paragraph" w:customStyle="1" w:styleId="1007">
    <w:name w:val="正文内容"/>
    <w:basedOn w:val="1"/>
    <w:next w:val="1"/>
    <w:link w:val="1006"/>
    <w:qFormat/>
    <w:uiPriority w:val="0"/>
    <w:pPr>
      <w:snapToGrid w:val="0"/>
      <w:spacing w:beforeLines="25" w:afterLines="25" w:line="440" w:lineRule="exact"/>
      <w:ind w:firstLine="200" w:firstLineChars="200"/>
    </w:pPr>
    <w:rPr>
      <w:kern w:val="0"/>
      <w:sz w:val="24"/>
    </w:rPr>
  </w:style>
  <w:style w:type="character" w:customStyle="1" w:styleId="1008">
    <w:name w:val="正文文本缩进 3 Char1"/>
    <w:qFormat/>
    <w:uiPriority w:val="0"/>
    <w:rPr>
      <w:rFonts w:ascii="仿宋_GB2312" w:eastAsia="仿宋_GB2312"/>
      <w:kern w:val="2"/>
      <w:sz w:val="16"/>
      <w:szCs w:val="16"/>
      <w:lang w:val="en-US" w:eastAsia="zh-CN" w:bidi="ar-SA"/>
    </w:rPr>
  </w:style>
  <w:style w:type="character" w:customStyle="1" w:styleId="1009">
    <w:name w:val="网格型刘 Char"/>
    <w:qFormat/>
    <w:uiPriority w:val="0"/>
    <w:rPr>
      <w:rFonts w:eastAsia="宋体"/>
      <w:kern w:val="2"/>
      <w:sz w:val="21"/>
      <w:szCs w:val="21"/>
      <w:lang w:val="en-US" w:eastAsia="zh-CN" w:bidi="ar-SA"/>
    </w:rPr>
  </w:style>
  <w:style w:type="character" w:customStyle="1" w:styleId="1010">
    <w:name w:val="h4 Char3"/>
    <w:qFormat/>
    <w:uiPriority w:val="0"/>
    <w:rPr>
      <w:rFonts w:ascii="Times New Roman" w:hAnsi="Times New Roman" w:eastAsia="文鼎CS细等线" w:cs="Times New Roman"/>
      <w:b/>
      <w:spacing w:val="8"/>
      <w:sz w:val="28"/>
      <w:szCs w:val="20"/>
    </w:rPr>
  </w:style>
  <w:style w:type="character" w:customStyle="1" w:styleId="1011">
    <w:name w:val="章标题 Char"/>
    <w:qFormat/>
    <w:uiPriority w:val="0"/>
    <w:rPr>
      <w:rFonts w:ascii="宋体" w:hAnsi="宋体" w:eastAsia="宋体" w:cs="Times New Roman"/>
      <w:b/>
      <w:color w:val="000000"/>
      <w:kern w:val="44"/>
      <w:sz w:val="32"/>
      <w:szCs w:val="32"/>
      <w:lang w:val="en-US" w:eastAsia="zh-CN" w:bidi="ar-SA"/>
    </w:rPr>
  </w:style>
  <w:style w:type="character" w:customStyle="1" w:styleId="1012">
    <w:name w:val="首缩编号 Char Char"/>
    <w:qFormat/>
    <w:uiPriority w:val="0"/>
    <w:rPr>
      <w:kern w:val="2"/>
      <w:sz w:val="24"/>
      <w:szCs w:val="24"/>
      <w:lang w:bidi="ar-SA"/>
    </w:rPr>
  </w:style>
  <w:style w:type="character" w:customStyle="1" w:styleId="1013">
    <w:name w:val="z-窗体顶端 Char Char"/>
    <w:qFormat/>
    <w:uiPriority w:val="0"/>
    <w:rPr>
      <w:rFonts w:ascii="Arial" w:hAnsi="Arial"/>
      <w:vanish/>
      <w:sz w:val="16"/>
      <w:szCs w:val="16"/>
      <w:lang w:bidi="ar-SA"/>
    </w:rPr>
  </w:style>
  <w:style w:type="character" w:customStyle="1" w:styleId="1014">
    <w:name w:val="font31"/>
    <w:qFormat/>
    <w:uiPriority w:val="0"/>
    <w:rPr>
      <w:rFonts w:hint="default" w:ascii="Times New Roman" w:hAnsi="Times New Roman" w:cs="Times New Roman"/>
      <w:color w:val="000000"/>
      <w:sz w:val="21"/>
      <w:szCs w:val="21"/>
      <w:u w:val="none"/>
      <w:vertAlign w:val="subscript"/>
    </w:rPr>
  </w:style>
  <w:style w:type="character" w:customStyle="1" w:styleId="1015">
    <w:name w:val="PI Char Char"/>
    <w:qFormat/>
    <w:uiPriority w:val="0"/>
    <w:rPr>
      <w:rFonts w:ascii="Times New Roman" w:hAnsi="Times New Roman" w:cs="宋体"/>
      <w:kern w:val="2"/>
      <w:sz w:val="21"/>
      <w:szCs w:val="24"/>
    </w:rPr>
  </w:style>
  <w:style w:type="character" w:customStyle="1" w:styleId="1016">
    <w:name w:val="样式 题注 + 左侧:  3 字符 Char Char"/>
    <w:qFormat/>
    <w:uiPriority w:val="0"/>
    <w:rPr>
      <w:rFonts w:eastAsia="宋体" w:cs="宋体"/>
      <w:b/>
      <w:sz w:val="24"/>
      <w:lang w:val="en-US" w:eastAsia="zh-CN" w:bidi="ar-SA"/>
    </w:rPr>
  </w:style>
  <w:style w:type="character" w:customStyle="1" w:styleId="1017">
    <w:name w:val="环表头 Char"/>
    <w:link w:val="1018"/>
    <w:qFormat/>
    <w:locked/>
    <w:uiPriority w:val="0"/>
    <w:rPr>
      <w:rFonts w:hAnsi="宋体"/>
      <w:kern w:val="2"/>
      <w:sz w:val="24"/>
    </w:rPr>
  </w:style>
  <w:style w:type="paragraph" w:customStyle="1" w:styleId="1018">
    <w:name w:val="环表头"/>
    <w:basedOn w:val="986"/>
    <w:next w:val="1"/>
    <w:link w:val="1017"/>
    <w:qFormat/>
    <w:uiPriority w:val="0"/>
    <w:pPr>
      <w:tabs>
        <w:tab w:val="left" w:pos="283"/>
        <w:tab w:val="left" w:pos="630"/>
        <w:tab w:val="left" w:pos="780"/>
        <w:tab w:val="left" w:pos="5094"/>
        <w:tab w:val="clear" w:pos="5187"/>
      </w:tabs>
      <w:suppressAutoHyphens w:val="0"/>
      <w:snapToGrid w:val="0"/>
      <w:spacing w:beforeLines="20" w:afterLines="10" w:line="360" w:lineRule="auto"/>
      <w:ind w:firstLine="420" w:firstLineChars="175"/>
    </w:pPr>
  </w:style>
  <w:style w:type="character" w:customStyle="1" w:styleId="1019">
    <w:name w:val="nilo_正文 Char Char"/>
    <w:qFormat/>
    <w:uiPriority w:val="0"/>
    <w:rPr>
      <w:szCs w:val="21"/>
      <w:lang w:bidi="ar-SA"/>
    </w:rPr>
  </w:style>
  <w:style w:type="character" w:customStyle="1" w:styleId="1020">
    <w:name w:val="样式 首行缩进:  0.97 厘米 Char Char"/>
    <w:qFormat/>
    <w:uiPriority w:val="0"/>
    <w:rPr>
      <w:kern w:val="2"/>
      <w:sz w:val="21"/>
      <w:szCs w:val="21"/>
      <w:lang w:bidi="ar-SA"/>
    </w:rPr>
  </w:style>
  <w:style w:type="character" w:customStyle="1" w:styleId="1021">
    <w:name w:val="正文报告 Char"/>
    <w:qFormat/>
    <w:uiPriority w:val="0"/>
    <w:rPr>
      <w:rFonts w:eastAsia="宋体"/>
      <w:kern w:val="2"/>
      <w:sz w:val="24"/>
      <w:szCs w:val="24"/>
      <w:lang w:val="en-US" w:eastAsia="zh-CN" w:bidi="ar-SA"/>
    </w:rPr>
  </w:style>
  <w:style w:type="character" w:customStyle="1" w:styleId="1022">
    <w:name w:val="样式 样式 正文文本 + (西文) 宋体 + (符号) Arial Char"/>
    <w:link w:val="1023"/>
    <w:qFormat/>
    <w:uiPriority w:val="0"/>
    <w:rPr>
      <w:rFonts w:eastAsia="仿宋_GB2312"/>
      <w:kern w:val="2"/>
      <w:sz w:val="24"/>
    </w:rPr>
  </w:style>
  <w:style w:type="paragraph" w:customStyle="1" w:styleId="1023">
    <w:name w:val="样式 样式 正文文本 + (西文) 宋体 + (符号) Arial"/>
    <w:basedOn w:val="1"/>
    <w:link w:val="1022"/>
    <w:qFormat/>
    <w:uiPriority w:val="0"/>
    <w:pPr>
      <w:adjustRightInd w:val="0"/>
      <w:snapToGrid w:val="0"/>
      <w:spacing w:before="60" w:after="60" w:line="264" w:lineRule="auto"/>
      <w:ind w:firstLine="240"/>
      <w:textAlignment w:val="baseline"/>
    </w:pPr>
    <w:rPr>
      <w:rFonts w:eastAsia="仿宋_GB2312"/>
      <w:sz w:val="24"/>
      <w:szCs w:val="20"/>
    </w:rPr>
  </w:style>
  <w:style w:type="character" w:customStyle="1" w:styleId="1024">
    <w:name w:val="图文 Char Char"/>
    <w:qFormat/>
    <w:uiPriority w:val="0"/>
    <w:rPr>
      <w:sz w:val="18"/>
      <w:szCs w:val="18"/>
      <w:lang w:bidi="ar-SA"/>
    </w:rPr>
  </w:style>
  <w:style w:type="character" w:customStyle="1" w:styleId="1025">
    <w:name w:val="样式 黑色"/>
    <w:qFormat/>
    <w:uiPriority w:val="0"/>
    <w:rPr>
      <w:rFonts w:ascii="Times New Roman" w:hAnsi="Times New Roman"/>
      <w:color w:val="000000"/>
    </w:rPr>
  </w:style>
  <w:style w:type="character" w:customStyle="1" w:styleId="1026">
    <w:name w:val="样式 题注 + 左侧:  3 字符 Char Char Char"/>
    <w:qFormat/>
    <w:uiPriority w:val="0"/>
    <w:rPr>
      <w:b/>
      <w:sz w:val="24"/>
      <w:lang w:bidi="ar-SA"/>
    </w:rPr>
  </w:style>
  <w:style w:type="character" w:customStyle="1" w:styleId="1027">
    <w:name w:val="yyp Char"/>
    <w:qFormat/>
    <w:uiPriority w:val="0"/>
    <w:rPr>
      <w:kern w:val="2"/>
      <w:sz w:val="24"/>
      <w:szCs w:val="24"/>
    </w:rPr>
  </w:style>
  <w:style w:type="character" w:customStyle="1" w:styleId="1028">
    <w:name w:val="网格型1 Char"/>
    <w:qFormat/>
    <w:uiPriority w:val="0"/>
    <w:rPr>
      <w:rFonts w:eastAsia="宋体"/>
      <w:kern w:val="2"/>
      <w:sz w:val="21"/>
      <w:szCs w:val="21"/>
      <w:lang w:val="en-US" w:eastAsia="zh-CN" w:bidi="ar-SA"/>
    </w:rPr>
  </w:style>
  <w:style w:type="character" w:customStyle="1" w:styleId="1029">
    <w:name w:val="结束语 Char Char"/>
    <w:qFormat/>
    <w:uiPriority w:val="0"/>
    <w:rPr>
      <w:rFonts w:ascii="宋体" w:hAnsi="Courier New"/>
      <w:lang w:bidi="ar-SA"/>
    </w:rPr>
  </w:style>
  <w:style w:type="character" w:customStyle="1" w:styleId="1030">
    <w:name w:val="t_tag"/>
    <w:qFormat/>
    <w:uiPriority w:val="0"/>
    <w:rPr>
      <w:szCs w:val="21"/>
    </w:rPr>
  </w:style>
  <w:style w:type="character" w:customStyle="1" w:styleId="1031">
    <w:name w:val="1.1.1湛江标题 Char Char"/>
    <w:qFormat/>
    <w:uiPriority w:val="0"/>
    <w:rPr>
      <w:color w:val="FF0000"/>
      <w:kern w:val="2"/>
      <w:sz w:val="32"/>
      <w:szCs w:val="32"/>
      <w:lang w:bidi="ar-SA"/>
    </w:rPr>
  </w:style>
  <w:style w:type="character" w:customStyle="1" w:styleId="1032">
    <w:name w:val="font01"/>
    <w:qFormat/>
    <w:uiPriority w:val="0"/>
    <w:rPr>
      <w:rFonts w:hint="eastAsia" w:ascii="Times New Roman" w:hAnsi="Times New Roman" w:cs="Times New Roman"/>
      <w:color w:val="000000"/>
      <w:sz w:val="20"/>
      <w:szCs w:val="20"/>
      <w:vertAlign w:val="subscript"/>
    </w:rPr>
  </w:style>
  <w:style w:type="character" w:customStyle="1" w:styleId="1033">
    <w:name w:val="正文＋黑体 Char Char"/>
    <w:qFormat/>
    <w:uiPriority w:val="0"/>
    <w:rPr>
      <w:rFonts w:ascii="Arial" w:hAnsi="Arial" w:eastAsia="黑体"/>
      <w:kern w:val="2"/>
      <w:sz w:val="21"/>
      <w:szCs w:val="21"/>
      <w:lang w:bidi="ar-SA"/>
    </w:rPr>
  </w:style>
  <w:style w:type="character" w:customStyle="1" w:styleId="1034">
    <w:name w:val="-*+ Char"/>
    <w:qFormat/>
    <w:uiPriority w:val="0"/>
    <w:rPr>
      <w:rFonts w:ascii="黑体" w:eastAsia="黑体"/>
      <w:b/>
      <w:color w:val="FF0000"/>
      <w:kern w:val="44"/>
      <w:sz w:val="30"/>
      <w:szCs w:val="24"/>
      <w:lang w:val="en-US" w:eastAsia="zh-CN" w:bidi="ar-SA"/>
    </w:rPr>
  </w:style>
  <w:style w:type="character" w:customStyle="1" w:styleId="1035">
    <w:name w:val="样式 标题 1一、PartH1H11H12H13H111H121H14H15H16H17H18标题 ... Char"/>
    <w:link w:val="1036"/>
    <w:qFormat/>
    <w:uiPriority w:val="0"/>
    <w:rPr>
      <w:b/>
      <w:bCs/>
      <w:color w:val="000000"/>
      <w:kern w:val="44"/>
      <w:sz w:val="28"/>
      <w:szCs w:val="44"/>
    </w:rPr>
  </w:style>
  <w:style w:type="paragraph" w:customStyle="1" w:styleId="1036">
    <w:name w:val="样式 标题 1一、PartH1H11H12H13H111H121H14H15H16H17H18标题 ..."/>
    <w:basedOn w:val="7"/>
    <w:link w:val="1035"/>
    <w:unhideWhenUsed/>
    <w:qFormat/>
    <w:uiPriority w:val="0"/>
    <w:pPr>
      <w:keepLines/>
      <w:tabs>
        <w:tab w:val="left" w:pos="482"/>
        <w:tab w:val="left" w:pos="540"/>
      </w:tabs>
      <w:overflowPunct/>
      <w:snapToGrid/>
      <w:spacing w:before="100" w:beforeAutospacing="1" w:after="0" w:line="360" w:lineRule="auto"/>
      <w:ind w:left="964" w:hanging="482"/>
    </w:pPr>
    <w:rPr>
      <w:rFonts w:eastAsia="宋体"/>
      <w:sz w:val="28"/>
      <w:szCs w:val="44"/>
    </w:rPr>
  </w:style>
  <w:style w:type="character" w:customStyle="1" w:styleId="1037">
    <w:name w:val="四号 正文 Char Char"/>
    <w:qFormat/>
    <w:uiPriority w:val="0"/>
    <w:rPr>
      <w:color w:val="0000FF"/>
      <w:spacing w:val="6"/>
      <w:kern w:val="2"/>
      <w:sz w:val="28"/>
    </w:rPr>
  </w:style>
  <w:style w:type="character" w:customStyle="1" w:styleId="1038">
    <w:name w:val="初号 加粗 无缩进居中"/>
    <w:unhideWhenUsed/>
    <w:qFormat/>
    <w:uiPriority w:val="0"/>
    <w:rPr>
      <w:b/>
      <w:bCs/>
      <w:spacing w:val="60"/>
      <w:sz w:val="84"/>
    </w:rPr>
  </w:style>
  <w:style w:type="character" w:customStyle="1" w:styleId="1039">
    <w:name w:val="Char Char13"/>
    <w:qFormat/>
    <w:uiPriority w:val="0"/>
    <w:rPr>
      <w:rFonts w:ascii="Times New Roman" w:hAnsi="Times New Roman" w:eastAsia="宋体" w:cs="Times New Roman"/>
      <w:sz w:val="18"/>
      <w:szCs w:val="18"/>
    </w:rPr>
  </w:style>
  <w:style w:type="character" w:customStyle="1" w:styleId="1040">
    <w:name w:val="Char Char81"/>
    <w:qFormat/>
    <w:uiPriority w:val="0"/>
    <w:rPr>
      <w:rFonts w:ascii="宋体" w:hAnsi="宋体" w:eastAsia="宋体" w:cs="Times New Roman"/>
      <w:b/>
      <w:bCs/>
      <w:sz w:val="30"/>
      <w:szCs w:val="32"/>
      <w:lang w:val="fr-FR"/>
    </w:rPr>
  </w:style>
  <w:style w:type="character" w:customStyle="1" w:styleId="1041">
    <w:name w:val="ghf2 Char Char Char"/>
    <w:qFormat/>
    <w:uiPriority w:val="0"/>
    <w:rPr>
      <w:rFonts w:ascii="黑体" w:hAnsi="黑体" w:eastAsia="黑体"/>
      <w:b/>
      <w:bCs/>
      <w:spacing w:val="10"/>
      <w:kern w:val="44"/>
      <w:sz w:val="32"/>
      <w:szCs w:val="44"/>
      <w:lang w:val="en-US" w:eastAsia="zh-CN" w:bidi="ar-SA"/>
    </w:rPr>
  </w:style>
  <w:style w:type="character" w:customStyle="1" w:styleId="1042">
    <w:name w:val="正文B Char"/>
    <w:link w:val="1043"/>
    <w:qFormat/>
    <w:uiPriority w:val="0"/>
    <w:rPr>
      <w:rFonts w:eastAsia="楷体_GB2312"/>
      <w:spacing w:val="8"/>
      <w:sz w:val="28"/>
    </w:rPr>
  </w:style>
  <w:style w:type="paragraph" w:customStyle="1" w:styleId="1043">
    <w:name w:val="正文B"/>
    <w:basedOn w:val="1"/>
    <w:link w:val="1042"/>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1044">
    <w:name w:val="样式 正文改动 + 四号 首行缩进:  2 字符 段后: 7.8 磅 Char"/>
    <w:link w:val="1045"/>
    <w:qFormat/>
    <w:uiPriority w:val="0"/>
    <w:rPr>
      <w:rFonts w:ascii="宋体" w:hAnsi="宋体"/>
      <w:sz w:val="28"/>
    </w:rPr>
  </w:style>
  <w:style w:type="paragraph" w:customStyle="1" w:styleId="1045">
    <w:name w:val="样式 正文改动 + 四号 首行缩进:  2 字符 段后: 7.8 磅"/>
    <w:basedOn w:val="1"/>
    <w:link w:val="1044"/>
    <w:qFormat/>
    <w:uiPriority w:val="0"/>
    <w:pPr>
      <w:spacing w:beforeLines="50" w:afterLines="50" w:line="500" w:lineRule="exact"/>
      <w:ind w:firstLine="560" w:firstLineChars="200"/>
    </w:pPr>
    <w:rPr>
      <w:rFonts w:ascii="宋体" w:hAnsi="宋体"/>
      <w:kern w:val="0"/>
      <w:sz w:val="28"/>
      <w:szCs w:val="20"/>
    </w:rPr>
  </w:style>
  <w:style w:type="character" w:customStyle="1" w:styleId="1046">
    <w:name w:val="样式 标题 3 + 华文中宋 小三 段前: 6 磅 段后: 6 磅 行距: 多倍行距 1.4 字行 Char"/>
    <w:qFormat/>
    <w:uiPriority w:val="0"/>
    <w:rPr>
      <w:rFonts w:hint="eastAsia" w:ascii="楷体_GB2312" w:hAnsi="华文中宋" w:eastAsia="楷体_GB2312" w:cs="宋体"/>
      <w:b/>
      <w:bCs/>
      <w:kern w:val="2"/>
      <w:sz w:val="30"/>
      <w:szCs w:val="32"/>
      <w:lang w:val="en-US" w:eastAsia="zh-CN" w:bidi="ar-SA"/>
    </w:rPr>
  </w:style>
  <w:style w:type="character" w:customStyle="1" w:styleId="1047">
    <w:name w:val="0-shiw-扉页负责人 Char Char"/>
    <w:qFormat/>
    <w:uiPriority w:val="0"/>
    <w:rPr>
      <w:rFonts w:eastAsia="宋体"/>
      <w:kern w:val="2"/>
      <w:sz w:val="32"/>
      <w:szCs w:val="32"/>
      <w:lang w:val="en-US" w:eastAsia="zh-CN" w:bidi="ar-SA"/>
    </w:rPr>
  </w:style>
  <w:style w:type="character" w:customStyle="1" w:styleId="1048">
    <w:name w:val="标题 1 Char Char Char Char Char"/>
    <w:qFormat/>
    <w:uiPriority w:val="0"/>
    <w:rPr>
      <w:rFonts w:hint="eastAsia" w:ascii="黑体" w:eastAsia="黑体"/>
      <w:kern w:val="2"/>
      <w:sz w:val="30"/>
      <w:lang w:val="en-US" w:eastAsia="zh-CN" w:bidi="ar-SA"/>
    </w:rPr>
  </w:style>
  <w:style w:type="character" w:customStyle="1" w:styleId="1049">
    <w:name w:val="Char Char32"/>
    <w:qFormat/>
    <w:uiPriority w:val="0"/>
    <w:rPr>
      <w:rFonts w:ascii="Arial" w:hAnsi="Arial" w:eastAsia="黑体"/>
      <w:bCs/>
      <w:kern w:val="2"/>
      <w:sz w:val="28"/>
      <w:szCs w:val="32"/>
      <w:lang w:val="en-US" w:eastAsia="zh-CN" w:bidi="ar-SA"/>
    </w:rPr>
  </w:style>
  <w:style w:type="character" w:customStyle="1" w:styleId="1050">
    <w:name w:val="首缩正文1.3行距 Char Char"/>
    <w:qFormat/>
    <w:uiPriority w:val="0"/>
    <w:rPr>
      <w:kern w:val="2"/>
      <w:sz w:val="24"/>
      <w:lang w:bidi="ar-SA"/>
    </w:rPr>
  </w:style>
  <w:style w:type="character" w:customStyle="1" w:styleId="1051">
    <w:name w:val="tj说明书-正文 Char Char"/>
    <w:qFormat/>
    <w:uiPriority w:val="0"/>
    <w:rPr>
      <w:rFonts w:ascii="宋体" w:hAnsi="宋体"/>
      <w:kern w:val="2"/>
      <w:sz w:val="21"/>
      <w:szCs w:val="22"/>
      <w:lang w:bidi="ar-SA"/>
    </w:rPr>
  </w:style>
  <w:style w:type="character" w:customStyle="1" w:styleId="1052">
    <w:name w:val="表题 Char Char Char Char"/>
    <w:qFormat/>
    <w:uiPriority w:val="0"/>
    <w:rPr>
      <w:rFonts w:hAnsi="宋体"/>
      <w:b/>
      <w:bCs/>
      <w:sz w:val="28"/>
      <w:szCs w:val="28"/>
      <w:lang w:bidi="ar-SA"/>
    </w:rPr>
  </w:style>
  <w:style w:type="character" w:customStyle="1" w:styleId="1053">
    <w:name w:val="样式 样式1 + 首行缩进:  2 字符 Char Char"/>
    <w:qFormat/>
    <w:uiPriority w:val="0"/>
    <w:rPr>
      <w:rFonts w:ascii="宋体" w:hAnsi="宋体"/>
      <w:spacing w:val="4"/>
      <w:sz w:val="24"/>
      <w:lang w:bidi="ar-SA"/>
    </w:rPr>
  </w:style>
  <w:style w:type="character" w:customStyle="1" w:styleId="1054">
    <w:name w:val="规划标题1 Char Char"/>
    <w:qFormat/>
    <w:uiPriority w:val="0"/>
    <w:rPr>
      <w:rFonts w:ascii="Cambria" w:hAnsi="Cambria" w:eastAsia="宋体"/>
      <w:b/>
      <w:bCs/>
      <w:color w:val="365F91"/>
      <w:sz w:val="28"/>
      <w:szCs w:val="28"/>
      <w:lang w:eastAsia="en-US" w:bidi="ar-SA"/>
    </w:rPr>
  </w:style>
  <w:style w:type="character" w:customStyle="1" w:styleId="1055">
    <w:name w:val="编号 Char Char"/>
    <w:qFormat/>
    <w:uiPriority w:val="0"/>
    <w:rPr>
      <w:rFonts w:ascii="Times New Roman" w:hAnsi="Times New Roman" w:eastAsia="宋体" w:cs="Times New Roman"/>
      <w:szCs w:val="24"/>
    </w:rPr>
  </w:style>
  <w:style w:type="character" w:customStyle="1" w:styleId="1056">
    <w:name w:val="规划2级样式 Char Char"/>
    <w:qFormat/>
    <w:uiPriority w:val="0"/>
    <w:rPr>
      <w:rFonts w:ascii="Cambria" w:hAnsi="Cambria" w:eastAsia="宋体"/>
      <w:b/>
      <w:sz w:val="28"/>
      <w:szCs w:val="28"/>
      <w:lang w:eastAsia="en-US" w:bidi="ar-SA"/>
    </w:rPr>
  </w:style>
  <w:style w:type="character" w:customStyle="1" w:styleId="1057">
    <w:name w:val="hhcwt标题4 Char Char"/>
    <w:link w:val="1058"/>
    <w:qFormat/>
    <w:uiPriority w:val="0"/>
    <w:rPr>
      <w:bCs/>
      <w:kern w:val="2"/>
      <w:sz w:val="24"/>
      <w:szCs w:val="21"/>
    </w:rPr>
  </w:style>
  <w:style w:type="paragraph" w:customStyle="1" w:styleId="1058">
    <w:name w:val="hhcwt标题4"/>
    <w:basedOn w:val="10"/>
    <w:link w:val="1057"/>
    <w:qFormat/>
    <w:uiPriority w:val="0"/>
    <w:pPr>
      <w:widowControl w:val="0"/>
      <w:numPr>
        <w:ilvl w:val="0"/>
        <w:numId w:val="0"/>
      </w:numPr>
      <w:jc w:val="both"/>
    </w:pPr>
    <w:rPr>
      <w:rFonts w:ascii="Times New Roman" w:hAnsi="Times New Roman" w:cs="Times New Roman"/>
      <w:b w:val="0"/>
      <w:kern w:val="2"/>
      <w:szCs w:val="21"/>
    </w:rPr>
  </w:style>
  <w:style w:type="character" w:customStyle="1" w:styleId="1059">
    <w:name w:val="正文文本 3 Char1"/>
    <w:semiHidden/>
    <w:qFormat/>
    <w:uiPriority w:val="0"/>
    <w:rPr>
      <w:sz w:val="16"/>
      <w:szCs w:val="16"/>
      <w:lang w:val="en-US" w:eastAsia="zh-CN"/>
    </w:rPr>
  </w:style>
  <w:style w:type="character" w:customStyle="1" w:styleId="1060">
    <w:name w:val="亚行正文 Char"/>
    <w:link w:val="1061"/>
    <w:qFormat/>
    <w:locked/>
    <w:uiPriority w:val="0"/>
    <w:rPr>
      <w:rFonts w:ascii="宋体" w:hAnsi="宋体"/>
      <w:kern w:val="2"/>
      <w:sz w:val="28"/>
      <w:szCs w:val="28"/>
    </w:rPr>
  </w:style>
  <w:style w:type="paragraph" w:customStyle="1" w:styleId="1061">
    <w:name w:val="亚行正文"/>
    <w:basedOn w:val="1"/>
    <w:link w:val="1060"/>
    <w:qFormat/>
    <w:uiPriority w:val="0"/>
    <w:pPr>
      <w:spacing w:line="500" w:lineRule="exact"/>
      <w:ind w:firstLine="560" w:firstLineChars="200"/>
    </w:pPr>
    <w:rPr>
      <w:rFonts w:ascii="宋体" w:hAnsi="宋体"/>
      <w:sz w:val="28"/>
      <w:szCs w:val="28"/>
    </w:rPr>
  </w:style>
  <w:style w:type="character" w:customStyle="1" w:styleId="1062">
    <w:name w:val="Body text5"/>
    <w:qFormat/>
    <w:uiPriority w:val="0"/>
    <w:rPr>
      <w:rFonts w:ascii="MingLiU" w:eastAsia="MingLiU" w:cs="MingLiU"/>
      <w:sz w:val="23"/>
      <w:szCs w:val="23"/>
      <w:u w:val="single"/>
      <w:lang w:bidi="ar-SA"/>
    </w:rPr>
  </w:style>
  <w:style w:type="character" w:customStyle="1" w:styleId="1063">
    <w:name w:val="规划标题1 Char"/>
    <w:link w:val="1064"/>
    <w:qFormat/>
    <w:uiPriority w:val="0"/>
    <w:rPr>
      <w:rFonts w:ascii="黑体" w:eastAsia="黑体"/>
      <w:kern w:val="44"/>
      <w:sz w:val="36"/>
      <w:szCs w:val="32"/>
    </w:rPr>
  </w:style>
  <w:style w:type="paragraph" w:customStyle="1" w:styleId="1064">
    <w:name w:val="规划标题1"/>
    <w:basedOn w:val="7"/>
    <w:link w:val="1063"/>
    <w:qFormat/>
    <w:uiPriority w:val="0"/>
    <w:pPr>
      <w:keepLines/>
      <w:tabs>
        <w:tab w:val="left" w:pos="900"/>
      </w:tabs>
      <w:overflowPunct/>
      <w:snapToGrid/>
      <w:spacing w:before="340" w:beforeLines="50" w:after="330" w:afterLines="50" w:line="360" w:lineRule="auto"/>
      <w:ind w:left="900" w:hanging="420"/>
      <w:jc w:val="left"/>
    </w:pPr>
    <w:rPr>
      <w:rFonts w:ascii="黑体"/>
      <w:b w:val="0"/>
      <w:bCs w:val="0"/>
      <w:color w:val="auto"/>
      <w:sz w:val="36"/>
      <w:szCs w:val="32"/>
    </w:rPr>
  </w:style>
  <w:style w:type="character" w:customStyle="1" w:styleId="1065">
    <w:name w:val="正文文字 3 Char Char Char"/>
    <w:qFormat/>
    <w:uiPriority w:val="0"/>
    <w:rPr>
      <w:rFonts w:ascii="汉鼎简长宋" w:eastAsia="汉鼎简长宋"/>
      <w:sz w:val="32"/>
    </w:rPr>
  </w:style>
  <w:style w:type="character" w:customStyle="1" w:styleId="1066">
    <w:name w:val="z-窗体底端 Char1"/>
    <w:semiHidden/>
    <w:qFormat/>
    <w:uiPriority w:val="0"/>
    <w:rPr>
      <w:rFonts w:ascii="Arial" w:hAnsi="Arial" w:cs="Arial"/>
      <w:vanish/>
      <w:sz w:val="16"/>
      <w:szCs w:val="16"/>
    </w:rPr>
  </w:style>
  <w:style w:type="character" w:customStyle="1" w:styleId="1067">
    <w:name w:val="0-shiw-封面日期 Char Char"/>
    <w:link w:val="1068"/>
    <w:qFormat/>
    <w:uiPriority w:val="0"/>
    <w:rPr>
      <w:rFonts w:ascii="黑体" w:eastAsia="黑体"/>
      <w:spacing w:val="32"/>
      <w:kern w:val="2"/>
      <w:sz w:val="32"/>
      <w:szCs w:val="32"/>
    </w:rPr>
  </w:style>
  <w:style w:type="paragraph" w:customStyle="1" w:styleId="1068">
    <w:name w:val="0-shiw-封面日期"/>
    <w:link w:val="1067"/>
    <w:qFormat/>
    <w:uiPriority w:val="0"/>
    <w:pPr>
      <w:jc w:val="center"/>
    </w:pPr>
    <w:rPr>
      <w:rFonts w:ascii="黑体" w:hAnsi="Times New Roman" w:eastAsia="黑体" w:cs="Times New Roman"/>
      <w:spacing w:val="32"/>
      <w:kern w:val="2"/>
      <w:sz w:val="32"/>
      <w:szCs w:val="32"/>
      <w:lang w:val="en-US" w:eastAsia="zh-CN" w:bidi="ar-SA"/>
    </w:rPr>
  </w:style>
  <w:style w:type="character" w:customStyle="1" w:styleId="1069">
    <w:name w:val="u2"/>
    <w:qFormat/>
    <w:uiPriority w:val="0"/>
    <w:rPr>
      <w:rFonts w:eastAsia="宋体"/>
      <w:kern w:val="2"/>
      <w:sz w:val="24"/>
      <w:szCs w:val="24"/>
      <w:lang w:val="en-US" w:eastAsia="zh-CN" w:bidi="ar-SA"/>
    </w:rPr>
  </w:style>
  <w:style w:type="character" w:customStyle="1" w:styleId="1070">
    <w:name w:val="Char62"/>
    <w:qFormat/>
    <w:uiPriority w:val="0"/>
    <w:rPr>
      <w:rFonts w:eastAsia="宋体"/>
      <w:kern w:val="2"/>
      <w:sz w:val="18"/>
      <w:szCs w:val="18"/>
      <w:lang w:val="en-US" w:eastAsia="zh-CN" w:bidi="ar-SA"/>
    </w:rPr>
  </w:style>
  <w:style w:type="character" w:customStyle="1" w:styleId="1071">
    <w:name w:val="信息标题 Char1"/>
    <w:semiHidden/>
    <w:qFormat/>
    <w:uiPriority w:val="0"/>
    <w:rPr>
      <w:rFonts w:ascii="Cambria" w:hAnsi="Cambria" w:eastAsia="宋体" w:cs="Times New Roman"/>
      <w:sz w:val="24"/>
      <w:szCs w:val="24"/>
      <w:shd w:val="pct20" w:color="auto" w:fill="auto"/>
    </w:rPr>
  </w:style>
  <w:style w:type="character" w:customStyle="1" w:styleId="1072">
    <w:name w:val="Char Char121"/>
    <w:qFormat/>
    <w:uiPriority w:val="0"/>
    <w:rPr>
      <w:rFonts w:eastAsia="宋体"/>
      <w:kern w:val="2"/>
      <w:sz w:val="18"/>
      <w:szCs w:val="18"/>
      <w:lang w:val="en-US" w:eastAsia="zh-CN" w:bidi="ar-SA"/>
    </w:rPr>
  </w:style>
  <w:style w:type="character" w:customStyle="1" w:styleId="1073">
    <w:name w:val="Char Char181"/>
    <w:qFormat/>
    <w:uiPriority w:val="0"/>
    <w:rPr>
      <w:lang w:val="en-US" w:eastAsia="zh-CN"/>
    </w:rPr>
  </w:style>
  <w:style w:type="character" w:customStyle="1" w:styleId="1074">
    <w:name w:val="样式 题注 + 小四 Char"/>
    <w:link w:val="1075"/>
    <w:semiHidden/>
    <w:qFormat/>
    <w:uiPriority w:val="0"/>
    <w:rPr>
      <w:rFonts w:ascii="Arial" w:hAnsi="Arial" w:eastAsia="黑体"/>
      <w:kern w:val="2"/>
      <w:sz w:val="24"/>
    </w:rPr>
  </w:style>
  <w:style w:type="paragraph" w:customStyle="1" w:styleId="1075">
    <w:name w:val="样式 题注 + 小四"/>
    <w:basedOn w:val="25"/>
    <w:link w:val="1074"/>
    <w:semiHidden/>
    <w:qFormat/>
    <w:uiPriority w:val="0"/>
    <w:pPr>
      <w:spacing w:line="360" w:lineRule="auto"/>
      <w:ind w:firstLine="200" w:firstLineChars="200"/>
      <w:jc w:val="both"/>
    </w:pPr>
    <w:rPr>
      <w:rFonts w:ascii="Arial" w:hAnsi="Arial" w:eastAsia="黑体"/>
      <w:b w:val="0"/>
    </w:rPr>
  </w:style>
  <w:style w:type="character" w:customStyle="1" w:styleId="1076">
    <w:name w:val="沁漠表头 Char Char"/>
    <w:qFormat/>
    <w:uiPriority w:val="0"/>
    <w:rPr>
      <w:rFonts w:hAnsi="宋体"/>
      <w:b/>
      <w:bCs/>
      <w:kern w:val="2"/>
      <w:sz w:val="24"/>
      <w:szCs w:val="24"/>
      <w:lang w:bidi="ar-SA"/>
    </w:rPr>
  </w:style>
  <w:style w:type="character" w:customStyle="1" w:styleId="1077">
    <w:name w:val="表五号字 Char"/>
    <w:link w:val="1078"/>
    <w:qFormat/>
    <w:uiPriority w:val="0"/>
    <w:rPr>
      <w:kern w:val="2"/>
      <w:sz w:val="21"/>
      <w:szCs w:val="21"/>
    </w:rPr>
  </w:style>
  <w:style w:type="paragraph" w:customStyle="1" w:styleId="1078">
    <w:name w:val="表五号字"/>
    <w:basedOn w:val="1"/>
    <w:link w:val="1077"/>
    <w:qFormat/>
    <w:uiPriority w:val="0"/>
    <w:pPr>
      <w:adjustRightInd w:val="0"/>
      <w:snapToGrid w:val="0"/>
      <w:jc w:val="center"/>
    </w:pPr>
    <w:rPr>
      <w:szCs w:val="21"/>
    </w:rPr>
  </w:style>
  <w:style w:type="character" w:customStyle="1" w:styleId="1079">
    <w:name w:val="样式 样式 样式 正文 首行缩进 + 首行缩进:  2 字符 行距: 单倍行距 + 首行缩进:  2 字符 + 小四 首行缩进... Char Char"/>
    <w:qFormat/>
    <w:uiPriority w:val="0"/>
    <w:rPr>
      <w:kern w:val="2"/>
      <w:sz w:val="24"/>
      <w:lang w:bidi="ar-SA"/>
    </w:rPr>
  </w:style>
  <w:style w:type="character" w:customStyle="1" w:styleId="1080">
    <w:name w:val="特点标题 Char1"/>
    <w:qFormat/>
    <w:uiPriority w:val="0"/>
    <w:rPr>
      <w:rFonts w:eastAsia="宋体"/>
      <w:sz w:val="24"/>
      <w:szCs w:val="24"/>
      <w:lang w:val="en-US" w:eastAsia="zh-CN" w:bidi="ar-SA"/>
    </w:rPr>
  </w:style>
  <w:style w:type="character" w:customStyle="1" w:styleId="1081">
    <w:name w:val="段 Char Char"/>
    <w:qFormat/>
    <w:uiPriority w:val="0"/>
    <w:rPr>
      <w:rFonts w:ascii="宋体" w:eastAsia="宋体"/>
      <w:sz w:val="21"/>
      <w:lang w:val="en-US" w:eastAsia="zh-CN" w:bidi="ar-SA"/>
    </w:rPr>
  </w:style>
  <w:style w:type="character" w:customStyle="1" w:styleId="1082">
    <w:name w:val="正文文本缩进 字符1"/>
    <w:semiHidden/>
    <w:qFormat/>
    <w:uiPriority w:val="99"/>
    <w:rPr>
      <w:kern w:val="2"/>
      <w:sz w:val="24"/>
      <w:szCs w:val="24"/>
      <w:lang w:val="fr-FR"/>
    </w:rPr>
  </w:style>
  <w:style w:type="character" w:customStyle="1" w:styleId="1083">
    <w:name w:val="页脚 Char2"/>
    <w:semiHidden/>
    <w:qFormat/>
    <w:uiPriority w:val="0"/>
    <w:rPr>
      <w:sz w:val="18"/>
      <w:szCs w:val="18"/>
    </w:rPr>
  </w:style>
  <w:style w:type="character" w:customStyle="1" w:styleId="1084">
    <w:name w:val="样式 表格标题 + 左侧:  -2.5 厘米 首行缩进:  0 厘米 段前: 0.5 行 Char Char"/>
    <w:qFormat/>
    <w:uiPriority w:val="0"/>
    <w:rPr>
      <w:b/>
      <w:bCs/>
      <w:kern w:val="2"/>
      <w:sz w:val="24"/>
      <w:szCs w:val="24"/>
      <w:lang w:bidi="ar-SA"/>
    </w:rPr>
  </w:style>
  <w:style w:type="character" w:customStyle="1" w:styleId="1085">
    <w:name w:val="HTML 地址 Char Char"/>
    <w:qFormat/>
    <w:uiPriority w:val="0"/>
    <w:rPr>
      <w:rFonts w:ascii="宋体" w:hAnsi="宋体"/>
      <w:i/>
      <w:iCs/>
      <w:kern w:val="2"/>
      <w:sz w:val="21"/>
      <w:szCs w:val="24"/>
      <w:lang w:bidi="ar-SA"/>
    </w:rPr>
  </w:style>
  <w:style w:type="character" w:customStyle="1" w:styleId="1086">
    <w:name w:val="结束语 Char1"/>
    <w:qFormat/>
    <w:uiPriority w:val="0"/>
    <w:rPr>
      <w:kern w:val="2"/>
      <w:sz w:val="28"/>
    </w:rPr>
  </w:style>
  <w:style w:type="character" w:customStyle="1" w:styleId="1087">
    <w:name w:val="表格编号 Char Char Char"/>
    <w:qFormat/>
    <w:uiPriority w:val="0"/>
    <w:rPr>
      <w:spacing w:val="6"/>
      <w:kern w:val="2"/>
      <w:sz w:val="24"/>
      <w:lang w:bidi="ar-SA"/>
    </w:rPr>
  </w:style>
  <w:style w:type="character" w:customStyle="1" w:styleId="1088">
    <w:name w:val="1罗源表2- Char"/>
    <w:link w:val="1089"/>
    <w:qFormat/>
    <w:uiPriority w:val="0"/>
    <w:rPr>
      <w:rFonts w:ascii="Calibri" w:hAnsi="Calibri"/>
      <w:kern w:val="2"/>
      <w:sz w:val="21"/>
      <w:szCs w:val="21"/>
    </w:rPr>
  </w:style>
  <w:style w:type="paragraph" w:customStyle="1" w:styleId="1089">
    <w:name w:val="1罗源表2-"/>
    <w:basedOn w:val="1"/>
    <w:link w:val="1088"/>
    <w:qFormat/>
    <w:uiPriority w:val="0"/>
    <w:pPr>
      <w:spacing w:beforeLines="100"/>
      <w:jc w:val="center"/>
    </w:pPr>
    <w:rPr>
      <w:rFonts w:ascii="Calibri" w:hAnsi="Calibri"/>
      <w:szCs w:val="21"/>
    </w:rPr>
  </w:style>
  <w:style w:type="character" w:customStyle="1" w:styleId="1090">
    <w:name w:val="Char Char37"/>
    <w:qFormat/>
    <w:uiPriority w:val="0"/>
    <w:rPr>
      <w:rFonts w:eastAsia="宋体"/>
      <w:szCs w:val="21"/>
    </w:rPr>
  </w:style>
  <w:style w:type="character" w:customStyle="1" w:styleId="1091">
    <w:name w:val="pccs1"/>
    <w:qFormat/>
    <w:uiPriority w:val="0"/>
    <w:rPr>
      <w:sz w:val="18"/>
    </w:rPr>
  </w:style>
  <w:style w:type="character" w:customStyle="1" w:styleId="1092">
    <w:name w:val="title-blue1"/>
    <w:qFormat/>
    <w:uiPriority w:val="0"/>
    <w:rPr>
      <w:b/>
      <w:bCs/>
      <w:color w:val="009FFF"/>
      <w:spacing w:val="84"/>
    </w:rPr>
  </w:style>
  <w:style w:type="character" w:customStyle="1" w:styleId="1093">
    <w:name w:val="cur"/>
    <w:qFormat/>
    <w:uiPriority w:val="0"/>
    <w:rPr>
      <w:color w:val="FFFFFF"/>
      <w:shd w:val="clear" w:color="auto" w:fill="2F6B98"/>
    </w:rPr>
  </w:style>
  <w:style w:type="character" w:customStyle="1" w:styleId="1094">
    <w:name w:val="前言标题 Char"/>
    <w:link w:val="1095"/>
    <w:qFormat/>
    <w:uiPriority w:val="0"/>
    <w:rPr>
      <w:rFonts w:ascii="Cambria" w:hAnsi="Cambria"/>
      <w:b/>
      <w:bCs/>
      <w:kern w:val="2"/>
      <w:sz w:val="32"/>
      <w:szCs w:val="32"/>
    </w:rPr>
  </w:style>
  <w:style w:type="paragraph" w:customStyle="1" w:styleId="1095">
    <w:name w:val="前言标题"/>
    <w:basedOn w:val="87"/>
    <w:next w:val="1"/>
    <w:link w:val="1094"/>
    <w:qFormat/>
    <w:uiPriority w:val="0"/>
    <w:pPr>
      <w:adjustRightInd w:val="0"/>
      <w:snapToGrid w:val="0"/>
      <w:spacing w:after="240"/>
    </w:pPr>
    <w:rPr>
      <w:rFonts w:eastAsia="宋体"/>
      <w:b/>
      <w:kern w:val="2"/>
    </w:rPr>
  </w:style>
  <w:style w:type="character" w:customStyle="1" w:styleId="1096">
    <w:name w:val="样式 题注 + 宋体 小四 Char"/>
    <w:link w:val="1097"/>
    <w:qFormat/>
    <w:uiPriority w:val="0"/>
    <w:rPr>
      <w:rFonts w:ascii="宋体" w:hAnsi="宋体"/>
      <w:kern w:val="2"/>
      <w:sz w:val="24"/>
    </w:rPr>
  </w:style>
  <w:style w:type="paragraph" w:customStyle="1" w:styleId="1097">
    <w:name w:val="样式 题注 + 宋体 小四"/>
    <w:basedOn w:val="25"/>
    <w:link w:val="1096"/>
    <w:qFormat/>
    <w:uiPriority w:val="0"/>
    <w:pPr>
      <w:spacing w:before="152" w:after="160" w:line="360" w:lineRule="auto"/>
      <w:ind w:firstLine="200" w:firstLineChars="200"/>
      <w:jc w:val="both"/>
    </w:pPr>
    <w:rPr>
      <w:rFonts w:ascii="宋体" w:hAnsi="宋体" w:eastAsia="宋体"/>
      <w:b w:val="0"/>
    </w:rPr>
  </w:style>
  <w:style w:type="character" w:customStyle="1" w:styleId="1098">
    <w:name w:val="_Style 1097"/>
    <w:unhideWhenUsed/>
    <w:qFormat/>
    <w:uiPriority w:val="99"/>
    <w:rPr>
      <w:color w:val="605E5C"/>
      <w:shd w:val="clear" w:color="auto" w:fill="E1DFDD"/>
    </w:rPr>
  </w:style>
  <w:style w:type="character" w:customStyle="1" w:styleId="1099">
    <w:name w:val="表格标题—小四 Char"/>
    <w:unhideWhenUsed/>
    <w:qFormat/>
    <w:uiPriority w:val="0"/>
    <w:rPr>
      <w:rFonts w:eastAsia="宋体"/>
      <w:b/>
      <w:kern w:val="2"/>
      <w:sz w:val="24"/>
      <w:szCs w:val="24"/>
      <w:lang w:val="en-US" w:eastAsia="zh-CN" w:bidi="ar-SA"/>
    </w:rPr>
  </w:style>
  <w:style w:type="character" w:customStyle="1" w:styleId="1100">
    <w:name w:val="表内字 Char Char"/>
    <w:qFormat/>
    <w:uiPriority w:val="0"/>
    <w:rPr>
      <w:color w:val="000000"/>
      <w:sz w:val="21"/>
      <w:lang w:bidi="ar-SA"/>
    </w:rPr>
  </w:style>
  <w:style w:type="character" w:customStyle="1" w:styleId="1101">
    <w:name w:val="样式 样式 样式 正文 首行缩进 + 首行缩进:  2 字符 行距: 单倍行距 + 首行缩进:  2 字符 + 小四 Char Char"/>
    <w:qFormat/>
    <w:uiPriority w:val="0"/>
    <w:rPr>
      <w:kern w:val="2"/>
      <w:sz w:val="24"/>
      <w:lang w:bidi="ar-SA"/>
    </w:rPr>
  </w:style>
  <w:style w:type="character" w:customStyle="1" w:styleId="1102">
    <w:name w:val="谏壁正文chen Char"/>
    <w:link w:val="1103"/>
    <w:qFormat/>
    <w:uiPriority w:val="0"/>
    <w:rPr>
      <w:rFonts w:ascii="宋体" w:hAnsi="宋体"/>
      <w:kern w:val="2"/>
      <w:sz w:val="24"/>
      <w:szCs w:val="24"/>
    </w:rPr>
  </w:style>
  <w:style w:type="paragraph" w:customStyle="1" w:styleId="1103">
    <w:name w:val="谏壁正文chen"/>
    <w:basedOn w:val="1"/>
    <w:link w:val="1102"/>
    <w:qFormat/>
    <w:uiPriority w:val="0"/>
    <w:pPr>
      <w:spacing w:line="360" w:lineRule="auto"/>
      <w:ind w:firstLine="200" w:firstLineChars="200"/>
    </w:pPr>
    <w:rPr>
      <w:rFonts w:ascii="宋体" w:hAnsi="宋体"/>
      <w:sz w:val="24"/>
    </w:rPr>
  </w:style>
  <w:style w:type="character" w:customStyle="1" w:styleId="1104">
    <w:name w:val="正文文本 (2) + Georgia"/>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105">
    <w:name w:val="样式 宋体 小四 行距: 固定值 26 磅 Char"/>
    <w:link w:val="1106"/>
    <w:qFormat/>
    <w:uiPriority w:val="0"/>
    <w:rPr>
      <w:kern w:val="2"/>
      <w:sz w:val="24"/>
      <w:szCs w:val="24"/>
    </w:rPr>
  </w:style>
  <w:style w:type="paragraph" w:customStyle="1" w:styleId="1106">
    <w:name w:val="样式 宋体 小四 行距: 固定值 26 磅"/>
    <w:basedOn w:val="1"/>
    <w:link w:val="1105"/>
    <w:qFormat/>
    <w:uiPriority w:val="0"/>
    <w:pPr>
      <w:spacing w:line="520" w:lineRule="exact"/>
      <w:ind w:firstLine="480" w:firstLineChars="200"/>
    </w:pPr>
    <w:rPr>
      <w:sz w:val="24"/>
    </w:rPr>
  </w:style>
  <w:style w:type="character" w:customStyle="1" w:styleId="1107">
    <w:name w:val="Body text + 10.5 pt9"/>
    <w:qFormat/>
    <w:uiPriority w:val="0"/>
    <w:rPr>
      <w:rFonts w:ascii="宋体" w:eastAsia="宋体" w:cs="宋体"/>
      <w:spacing w:val="-10"/>
      <w:sz w:val="21"/>
      <w:szCs w:val="21"/>
      <w:u w:val="none"/>
      <w:lang w:bidi="ar-SA"/>
    </w:rPr>
  </w:style>
  <w:style w:type="character" w:customStyle="1" w:styleId="1108">
    <w:name w:val="标题 Char1"/>
    <w:qFormat/>
    <w:uiPriority w:val="0"/>
    <w:rPr>
      <w:rFonts w:ascii="Calibri Light" w:hAnsi="Calibri Light" w:eastAsia="宋体" w:cs="Times New Roman"/>
      <w:b/>
      <w:bCs/>
      <w:sz w:val="32"/>
      <w:szCs w:val="32"/>
    </w:rPr>
  </w:style>
  <w:style w:type="character" w:customStyle="1" w:styleId="1109">
    <w:name w:val="表名1 Char"/>
    <w:link w:val="1110"/>
    <w:qFormat/>
    <w:uiPriority w:val="0"/>
    <w:rPr>
      <w:b/>
      <w:kern w:val="2"/>
      <w:sz w:val="28"/>
      <w:szCs w:val="28"/>
    </w:rPr>
  </w:style>
  <w:style w:type="paragraph" w:customStyle="1" w:styleId="1110">
    <w:name w:val="表名1"/>
    <w:basedOn w:val="1"/>
    <w:link w:val="1109"/>
    <w:qFormat/>
    <w:uiPriority w:val="0"/>
    <w:pPr>
      <w:snapToGrid w:val="0"/>
      <w:spacing w:beforeLines="50" w:after="120" w:line="440" w:lineRule="atLeast"/>
      <w:ind w:left="578" w:hanging="578"/>
      <w:jc w:val="center"/>
    </w:pPr>
    <w:rPr>
      <w:b/>
      <w:sz w:val="28"/>
      <w:szCs w:val="28"/>
    </w:rPr>
  </w:style>
  <w:style w:type="character" w:customStyle="1" w:styleId="1111">
    <w:name w:val="Body text + 12 pt1"/>
    <w:qFormat/>
    <w:uiPriority w:val="0"/>
    <w:rPr>
      <w:rFonts w:ascii="宋体" w:eastAsia="宋体" w:cs="宋体"/>
      <w:b/>
      <w:bCs/>
      <w:sz w:val="24"/>
      <w:szCs w:val="24"/>
      <w:u w:val="none"/>
      <w:lang w:bidi="ar-SA"/>
    </w:rPr>
  </w:style>
  <w:style w:type="character" w:customStyle="1" w:styleId="1112">
    <w:name w:val="样式 表名 Char Char Char"/>
    <w:qFormat/>
    <w:uiPriority w:val="0"/>
    <w:rPr>
      <w:rFonts w:ascii="华文细黑" w:hAnsi="华文细黑" w:eastAsia="黑体" w:cs="宋体"/>
      <w:color w:val="000000"/>
      <w:sz w:val="21"/>
      <w:szCs w:val="21"/>
      <w:lang w:val="en-US" w:eastAsia="zh-CN" w:bidi="ar-SA"/>
    </w:rPr>
  </w:style>
  <w:style w:type="character" w:customStyle="1" w:styleId="1113">
    <w:name w:val="标题 3 + Times New Roman Char"/>
    <w:link w:val="1114"/>
    <w:qFormat/>
    <w:uiPriority w:val="0"/>
    <w:rPr>
      <w:rFonts w:ascii="宋体" w:hAnsi="宋体"/>
      <w:b/>
      <w:color w:val="FF0000"/>
      <w:kern w:val="24"/>
      <w:sz w:val="24"/>
      <w:szCs w:val="24"/>
    </w:rPr>
  </w:style>
  <w:style w:type="paragraph" w:customStyle="1" w:styleId="1114">
    <w:name w:val="标题 3 + Times New Roman"/>
    <w:basedOn w:val="9"/>
    <w:link w:val="1113"/>
    <w:qFormat/>
    <w:uiPriority w:val="0"/>
    <w:pPr>
      <w:widowControl w:val="0"/>
      <w:numPr>
        <w:ilvl w:val="0"/>
        <w:numId w:val="0"/>
      </w:numPr>
      <w:tabs>
        <w:tab w:val="left" w:pos="1740"/>
      </w:tabs>
      <w:spacing w:line="240" w:lineRule="auto"/>
      <w:ind w:left="1740" w:hanging="420"/>
      <w:jc w:val="center"/>
    </w:pPr>
    <w:rPr>
      <w:rFonts w:cs="Times New Roman"/>
      <w:b/>
      <w:bCs w:val="0"/>
      <w:color w:val="FF0000"/>
      <w:kern w:val="24"/>
      <w:sz w:val="24"/>
      <w:szCs w:val="24"/>
    </w:rPr>
  </w:style>
  <w:style w:type="character" w:customStyle="1" w:styleId="1115">
    <w:name w:val="页眉 Char2"/>
    <w:semiHidden/>
    <w:qFormat/>
    <w:uiPriority w:val="0"/>
    <w:rPr>
      <w:sz w:val="18"/>
      <w:szCs w:val="18"/>
    </w:rPr>
  </w:style>
  <w:style w:type="character" w:customStyle="1" w:styleId="1116">
    <w:name w:val="正文小 Char Char"/>
    <w:qFormat/>
    <w:uiPriority w:val="0"/>
    <w:rPr>
      <w:sz w:val="24"/>
      <w:lang w:bidi="ar-SA"/>
    </w:rPr>
  </w:style>
  <w:style w:type="character" w:customStyle="1" w:styleId="1117">
    <w:name w:val="大妹正文 Char Char"/>
    <w:link w:val="1118"/>
    <w:qFormat/>
    <w:uiPriority w:val="0"/>
    <w:rPr>
      <w:rFonts w:ascii="宋体" w:eastAsia="黑体"/>
      <w:b/>
      <w:bCs/>
      <w:color w:val="000000"/>
      <w:kern w:val="44"/>
      <w:sz w:val="24"/>
      <w:szCs w:val="24"/>
    </w:rPr>
  </w:style>
  <w:style w:type="paragraph" w:customStyle="1" w:styleId="1118">
    <w:name w:val="大妹正文 Char"/>
    <w:basedOn w:val="7"/>
    <w:link w:val="1117"/>
    <w:qFormat/>
    <w:uiPriority w:val="0"/>
    <w:pPr>
      <w:keepLines/>
      <w:overflowPunct/>
      <w:snapToGrid/>
      <w:spacing w:after="120" w:line="360" w:lineRule="auto"/>
      <w:ind w:left="-10" w:leftChars="-5" w:right="-31" w:rightChars="-15" w:firstLine="509" w:firstLineChars="212"/>
      <w:jc w:val="center"/>
      <w:outlineLvl w:val="9"/>
    </w:pPr>
    <w:rPr>
      <w:rFonts w:ascii="宋体"/>
      <w:sz w:val="24"/>
      <w:szCs w:val="24"/>
    </w:rPr>
  </w:style>
  <w:style w:type="character" w:customStyle="1" w:styleId="1119">
    <w:name w:val="hhcwt表格内文字 Char Char"/>
    <w:qFormat/>
    <w:uiPriority w:val="0"/>
    <w:rPr>
      <w:rFonts w:ascii="宋体" w:hAnsi="宋体" w:eastAsia="仿宋_GB2312"/>
      <w:kern w:val="2"/>
      <w:sz w:val="21"/>
      <w:szCs w:val="21"/>
      <w:lang w:bidi="ar-SA"/>
    </w:rPr>
  </w:style>
  <w:style w:type="character" w:customStyle="1" w:styleId="1120">
    <w:name w:val="样式7 Char"/>
    <w:link w:val="1121"/>
    <w:qFormat/>
    <w:uiPriority w:val="0"/>
    <w:rPr>
      <w:sz w:val="24"/>
      <w:szCs w:val="24"/>
    </w:rPr>
  </w:style>
  <w:style w:type="paragraph" w:customStyle="1" w:styleId="1121">
    <w:name w:val="样式7"/>
    <w:basedOn w:val="1122"/>
    <w:link w:val="1120"/>
    <w:qFormat/>
    <w:uiPriority w:val="0"/>
    <w:pPr>
      <w:widowControl w:val="0"/>
      <w:spacing w:line="200" w:lineRule="exact"/>
      <w:ind w:firstLine="200" w:firstLineChars="200"/>
      <w:jc w:val="both"/>
      <w:outlineLvl w:val="9"/>
    </w:pPr>
    <w:rPr>
      <w:rFonts w:ascii="Times New Roman" w:hAnsi="Times New Roman" w:cs="Times New Roman"/>
      <w:b w:val="0"/>
    </w:rPr>
  </w:style>
  <w:style w:type="paragraph" w:customStyle="1" w:styleId="1122">
    <w:name w:val="样式4"/>
    <w:basedOn w:val="1"/>
    <w:next w:val="1"/>
    <w:link w:val="1123"/>
    <w:qFormat/>
    <w:uiPriority w:val="0"/>
    <w:pPr>
      <w:widowControl/>
      <w:spacing w:line="360" w:lineRule="auto"/>
      <w:jc w:val="left"/>
      <w:outlineLvl w:val="3"/>
    </w:pPr>
    <w:rPr>
      <w:rFonts w:ascii="宋体" w:hAnsi="宋体" w:cs="宋体"/>
      <w:b/>
      <w:kern w:val="0"/>
      <w:sz w:val="24"/>
    </w:rPr>
  </w:style>
  <w:style w:type="character" w:customStyle="1" w:styleId="1123">
    <w:name w:val="样式4 Char"/>
    <w:link w:val="1122"/>
    <w:qFormat/>
    <w:uiPriority w:val="0"/>
    <w:rPr>
      <w:rFonts w:ascii="宋体" w:hAnsi="宋体" w:cs="宋体"/>
      <w:b/>
      <w:sz w:val="24"/>
      <w:szCs w:val="24"/>
    </w:rPr>
  </w:style>
  <w:style w:type="character" w:customStyle="1" w:styleId="1124">
    <w:name w:val="Heading #7_"/>
    <w:link w:val="1125"/>
    <w:qFormat/>
    <w:uiPriority w:val="0"/>
    <w:rPr>
      <w:rFonts w:ascii="宋体"/>
      <w:b/>
      <w:bCs/>
      <w:shd w:val="clear" w:color="auto" w:fill="FFFFFF"/>
    </w:rPr>
  </w:style>
  <w:style w:type="paragraph" w:customStyle="1" w:styleId="1125">
    <w:name w:val="Heading #7"/>
    <w:basedOn w:val="1"/>
    <w:link w:val="1124"/>
    <w:qFormat/>
    <w:uiPriority w:val="0"/>
    <w:pPr>
      <w:shd w:val="clear" w:color="auto" w:fill="FFFFFF"/>
      <w:spacing w:before="240" w:line="418" w:lineRule="exact"/>
      <w:ind w:firstLine="480"/>
      <w:jc w:val="distribute"/>
      <w:outlineLvl w:val="6"/>
    </w:pPr>
    <w:rPr>
      <w:rFonts w:ascii="宋体"/>
      <w:b/>
      <w:bCs/>
      <w:kern w:val="0"/>
      <w:sz w:val="20"/>
      <w:szCs w:val="20"/>
    </w:rPr>
  </w:style>
  <w:style w:type="character" w:customStyle="1" w:styleId="1126">
    <w:name w:val="标题 1 Char2 Char1"/>
    <w:qFormat/>
    <w:uiPriority w:val="0"/>
    <w:rPr>
      <w:rFonts w:eastAsia="宋体"/>
      <w:b/>
      <w:bCs/>
      <w:kern w:val="44"/>
      <w:sz w:val="44"/>
      <w:szCs w:val="44"/>
      <w:lang w:val="en-US" w:eastAsia="zh-CN" w:bidi="ar-SA"/>
    </w:rPr>
  </w:style>
  <w:style w:type="character" w:customStyle="1" w:styleId="1127">
    <w:name w:val="Body text8"/>
    <w:qFormat/>
    <w:uiPriority w:val="0"/>
    <w:rPr>
      <w:rFonts w:ascii="MingLiU" w:eastAsia="MingLiU" w:cs="MingLiU"/>
      <w:sz w:val="23"/>
      <w:szCs w:val="23"/>
      <w:u w:val="none"/>
      <w:lang w:bidi="ar-SA"/>
    </w:rPr>
  </w:style>
  <w:style w:type="character" w:customStyle="1" w:styleId="1128">
    <w:name w:val="样式 表格文字—五号 + 黑色 Char"/>
    <w:link w:val="1129"/>
    <w:qFormat/>
    <w:uiPriority w:val="0"/>
    <w:rPr>
      <w:color w:val="000000"/>
      <w:kern w:val="2"/>
      <w:sz w:val="21"/>
      <w:szCs w:val="21"/>
    </w:rPr>
  </w:style>
  <w:style w:type="paragraph" w:customStyle="1" w:styleId="1129">
    <w:name w:val="样式 表格文字—五号 + 黑色"/>
    <w:basedOn w:val="957"/>
    <w:link w:val="1128"/>
    <w:qFormat/>
    <w:uiPriority w:val="0"/>
    <w:rPr>
      <w:color w:val="000000"/>
    </w:rPr>
  </w:style>
  <w:style w:type="character" w:customStyle="1" w:styleId="1130">
    <w:name w:val="正文正文正文 1.5 倍行距 Char"/>
    <w:link w:val="1131"/>
    <w:qFormat/>
    <w:uiPriority w:val="0"/>
    <w:rPr>
      <w:rFonts w:ascii="宋体" w:hAnsi="宋体"/>
      <w:sz w:val="24"/>
    </w:rPr>
  </w:style>
  <w:style w:type="paragraph" w:customStyle="1" w:styleId="1131">
    <w:name w:val="正文正文正文 1.5 倍行距"/>
    <w:basedOn w:val="1"/>
    <w:link w:val="1130"/>
    <w:qFormat/>
    <w:uiPriority w:val="0"/>
    <w:pPr>
      <w:spacing w:before="120" w:after="120" w:line="360" w:lineRule="auto"/>
      <w:ind w:left="578" w:firstLine="480" w:firstLineChars="200"/>
    </w:pPr>
    <w:rPr>
      <w:rFonts w:ascii="宋体" w:hAnsi="宋体"/>
      <w:kern w:val="0"/>
      <w:sz w:val="24"/>
      <w:szCs w:val="20"/>
    </w:rPr>
  </w:style>
  <w:style w:type="character" w:customStyle="1" w:styleId="1132">
    <w:name w:val="中远正文 Char Char"/>
    <w:qFormat/>
    <w:uiPriority w:val="0"/>
    <w:rPr>
      <w:rFonts w:eastAsia="宋体"/>
      <w:snapToGrid w:val="0"/>
      <w:kern w:val="24"/>
      <w:sz w:val="21"/>
      <w:szCs w:val="24"/>
      <w:lang w:val="en-US" w:eastAsia="zh-CN" w:bidi="ar-SA"/>
    </w:rPr>
  </w:style>
  <w:style w:type="character" w:customStyle="1" w:styleId="1133">
    <w:name w:val="页眉 字符1"/>
    <w:semiHidden/>
    <w:qFormat/>
    <w:uiPriority w:val="99"/>
    <w:rPr>
      <w:kern w:val="2"/>
      <w:sz w:val="18"/>
      <w:szCs w:val="18"/>
      <w:lang w:val="fr-FR"/>
    </w:rPr>
  </w:style>
  <w:style w:type="character" w:customStyle="1" w:styleId="1134">
    <w:name w:val="pv110title"/>
    <w:qFormat/>
    <w:uiPriority w:val="0"/>
  </w:style>
  <w:style w:type="character" w:customStyle="1" w:styleId="1135">
    <w:name w:val="word2"/>
    <w:semiHidden/>
    <w:qFormat/>
    <w:uiPriority w:val="0"/>
    <w:rPr>
      <w:rFonts w:eastAsia="宋体"/>
      <w:kern w:val="2"/>
      <w:sz w:val="21"/>
      <w:szCs w:val="24"/>
      <w:lang w:val="en-US" w:eastAsia="zh-CN" w:bidi="ar-SA"/>
    </w:rPr>
  </w:style>
  <w:style w:type="character" w:customStyle="1" w:styleId="1136">
    <w:name w:val="样式 Char Char Char Char Char Char Char Char Char Char Char Char Char Char Char Char"/>
    <w:qFormat/>
    <w:uiPriority w:val="0"/>
    <w:rPr>
      <w:rFonts w:eastAsia="宋体"/>
      <w:kern w:val="2"/>
      <w:sz w:val="24"/>
      <w:szCs w:val="24"/>
      <w:lang w:val="en-US" w:eastAsia="zh-CN" w:bidi="ar-SA"/>
    </w:rPr>
  </w:style>
  <w:style w:type="character" w:customStyle="1" w:styleId="1137">
    <w:name w:val="正文（首行缩进两字） Char Char Char Char Char1"/>
    <w:qFormat/>
    <w:uiPriority w:val="0"/>
    <w:rPr>
      <w:rFonts w:ascii="仿宋_GB2312" w:eastAsia="仿宋_GB2312"/>
      <w:kern w:val="2"/>
      <w:sz w:val="28"/>
      <w:lang w:val="en-US" w:eastAsia="zh-CN"/>
    </w:rPr>
  </w:style>
  <w:style w:type="character" w:customStyle="1" w:styleId="1138">
    <w:name w:val="目标题 1) Char"/>
    <w:qFormat/>
    <w:uiPriority w:val="0"/>
    <w:rPr>
      <w:rFonts w:ascii="Arial" w:hAnsi="Arial" w:eastAsia="黑体"/>
      <w:sz w:val="24"/>
      <w:lang w:val="en-US" w:eastAsia="zh-CN" w:bidi="ar-SA"/>
    </w:rPr>
  </w:style>
  <w:style w:type="character" w:customStyle="1" w:styleId="1139">
    <w:name w:val="表格文字居中 Char Char"/>
    <w:qFormat/>
    <w:uiPriority w:val="0"/>
    <w:rPr>
      <w:rFonts w:ascii="宋体" w:hAnsi="宋体" w:eastAsia="宋体" w:cs="宋体"/>
      <w:kern w:val="2"/>
      <w:sz w:val="24"/>
      <w:szCs w:val="24"/>
      <w:lang w:val="en-US" w:eastAsia="zh-CN"/>
    </w:rPr>
  </w:style>
  <w:style w:type="character" w:customStyle="1" w:styleId="1140">
    <w:name w:val="表格居中 Char"/>
    <w:link w:val="1141"/>
    <w:qFormat/>
    <w:uiPriority w:val="0"/>
    <w:rPr>
      <w:kern w:val="2"/>
      <w:sz w:val="28"/>
    </w:rPr>
  </w:style>
  <w:style w:type="paragraph" w:customStyle="1" w:styleId="1141">
    <w:name w:val="表格居中"/>
    <w:basedOn w:val="37"/>
    <w:link w:val="1140"/>
    <w:qFormat/>
    <w:uiPriority w:val="0"/>
    <w:pPr>
      <w:widowControl w:val="0"/>
      <w:snapToGrid/>
      <w:spacing w:before="120" w:after="120" w:line="240" w:lineRule="auto"/>
      <w:ind w:right="0" w:firstLine="567"/>
    </w:pPr>
    <w:rPr>
      <w:kern w:val="2"/>
      <w:sz w:val="28"/>
    </w:rPr>
  </w:style>
  <w:style w:type="character" w:customStyle="1" w:styleId="1142">
    <w:name w:val="Body text + 9.5 pt"/>
    <w:qFormat/>
    <w:uiPriority w:val="0"/>
    <w:rPr>
      <w:rFonts w:ascii="宋体" w:eastAsia="宋体" w:cs="宋体"/>
      <w:sz w:val="19"/>
      <w:szCs w:val="19"/>
      <w:u w:val="none"/>
    </w:rPr>
  </w:style>
  <w:style w:type="character" w:customStyle="1" w:styleId="1143">
    <w:name w:val="font111"/>
    <w:qFormat/>
    <w:uiPriority w:val="0"/>
    <w:rPr>
      <w:rFonts w:hint="eastAsia" w:ascii="宋体" w:hAnsi="宋体" w:eastAsia="宋体" w:cs="宋体"/>
      <w:b/>
      <w:color w:val="000000"/>
      <w:sz w:val="22"/>
      <w:szCs w:val="22"/>
      <w:u w:val="none"/>
      <w:vertAlign w:val="subscript"/>
    </w:rPr>
  </w:style>
  <w:style w:type="character" w:customStyle="1" w:styleId="1144">
    <w:name w:val="Char Char101"/>
    <w:qFormat/>
    <w:uiPriority w:val="0"/>
    <w:rPr>
      <w:rFonts w:eastAsia="宋体"/>
      <w:kern w:val="2"/>
      <w:sz w:val="18"/>
      <w:szCs w:val="18"/>
      <w:lang w:val="en-US" w:eastAsia="zh-CN" w:bidi="ar-SA"/>
    </w:rPr>
  </w:style>
  <w:style w:type="character" w:customStyle="1" w:styleId="1145">
    <w:name w:val="more5"/>
    <w:qFormat/>
    <w:uiPriority w:val="0"/>
  </w:style>
  <w:style w:type="character" w:customStyle="1" w:styleId="1146">
    <w:name w:val="Char Char40"/>
    <w:qFormat/>
    <w:uiPriority w:val="0"/>
    <w:rPr>
      <w:rFonts w:ascii="Times New Roman" w:hAnsi="Times New Roman" w:eastAsia="宋体" w:cs="Times New Roman"/>
      <w:sz w:val="18"/>
      <w:szCs w:val="18"/>
    </w:rPr>
  </w:style>
  <w:style w:type="character" w:customStyle="1" w:styleId="1147">
    <w:name w:val="Char Char47"/>
    <w:qFormat/>
    <w:uiPriority w:val="0"/>
    <w:rPr>
      <w:rFonts w:ascii="Times New Roman" w:hAnsi="Times New Roman" w:eastAsia="宋体" w:cs="Times New Roman"/>
      <w:b/>
      <w:bCs/>
      <w:kern w:val="44"/>
      <w:sz w:val="44"/>
      <w:szCs w:val="44"/>
    </w:rPr>
  </w:style>
  <w:style w:type="character" w:customStyle="1" w:styleId="1148">
    <w:name w:val="style51"/>
    <w:qFormat/>
    <w:uiPriority w:val="0"/>
    <w:rPr>
      <w:b/>
      <w:bCs/>
      <w:color w:val="FF3300"/>
    </w:rPr>
  </w:style>
  <w:style w:type="character" w:customStyle="1" w:styleId="1149">
    <w:name w:val="正文文字 2 Char Char"/>
    <w:qFormat/>
    <w:uiPriority w:val="0"/>
    <w:rPr>
      <w:rFonts w:ascii="汉鼎简长宋" w:eastAsia="汉鼎简长宋"/>
      <w:sz w:val="32"/>
    </w:rPr>
  </w:style>
  <w:style w:type="character" w:customStyle="1" w:styleId="1150">
    <w:name w:val="表5.6 Char"/>
    <w:link w:val="1151"/>
    <w:qFormat/>
    <w:uiPriority w:val="0"/>
    <w:rPr>
      <w:rFonts w:ascii="黑体" w:hAnsi="等线" w:eastAsia="黑体"/>
      <w:kern w:val="2"/>
      <w:sz w:val="21"/>
      <w:szCs w:val="26"/>
    </w:rPr>
  </w:style>
  <w:style w:type="paragraph" w:customStyle="1" w:styleId="1151">
    <w:name w:val="表5.6"/>
    <w:basedOn w:val="1152"/>
    <w:link w:val="1150"/>
    <w:qFormat/>
    <w:uiPriority w:val="0"/>
    <w:pPr>
      <w:widowControl/>
      <w:numPr>
        <w:ilvl w:val="0"/>
        <w:numId w:val="10"/>
      </w:numPr>
      <w:tabs>
        <w:tab w:val="left" w:pos="726"/>
        <w:tab w:val="left" w:pos="1080"/>
        <w:tab w:val="center" w:pos="4060"/>
        <w:tab w:val="right" w:pos="8261"/>
      </w:tabs>
      <w:snapToGrid w:val="0"/>
      <w:spacing w:before="0" w:afterLines="50" w:line="300" w:lineRule="auto"/>
      <w:ind w:left="0" w:firstLine="480" w:firstLineChars="200"/>
    </w:pPr>
    <w:rPr>
      <w:b w:val="0"/>
      <w:kern w:val="2"/>
      <w:sz w:val="21"/>
    </w:rPr>
  </w:style>
  <w:style w:type="paragraph" w:customStyle="1" w:styleId="1152">
    <w:name w:val="表4.1"/>
    <w:basedOn w:val="1"/>
    <w:link w:val="1153"/>
    <w:qFormat/>
    <w:uiPriority w:val="0"/>
    <w:pPr>
      <w:tabs>
        <w:tab w:val="left" w:pos="726"/>
        <w:tab w:val="center" w:pos="4060"/>
        <w:tab w:val="right" w:pos="8261"/>
      </w:tabs>
      <w:suppressAutoHyphens/>
      <w:adjustRightInd w:val="0"/>
      <w:spacing w:before="240" w:after="120" w:line="0" w:lineRule="atLeast"/>
      <w:ind w:left="840" w:hanging="420"/>
    </w:pPr>
    <w:rPr>
      <w:rFonts w:ascii="黑体" w:hAnsi="等线" w:eastAsia="黑体"/>
      <w:b/>
      <w:kern w:val="0"/>
      <w:sz w:val="34"/>
      <w:szCs w:val="26"/>
    </w:rPr>
  </w:style>
  <w:style w:type="character" w:customStyle="1" w:styleId="1153">
    <w:name w:val="表4.1 Char Char"/>
    <w:link w:val="1152"/>
    <w:qFormat/>
    <w:uiPriority w:val="0"/>
    <w:rPr>
      <w:rFonts w:ascii="黑体" w:hAnsi="等线" w:eastAsia="黑体"/>
      <w:b/>
      <w:sz w:val="34"/>
      <w:szCs w:val="26"/>
    </w:rPr>
  </w:style>
  <w:style w:type="character" w:customStyle="1" w:styleId="1154">
    <w:name w:val="样式3 Char Char Char Char Char"/>
    <w:qFormat/>
    <w:uiPriority w:val="0"/>
    <w:rPr>
      <w:rFonts w:eastAsia="宋体"/>
      <w:sz w:val="24"/>
      <w:szCs w:val="24"/>
      <w:lang w:val="en-US" w:eastAsia="zh-CN" w:bidi="ar-SA"/>
    </w:rPr>
  </w:style>
  <w:style w:type="character" w:customStyle="1" w:styleId="1155">
    <w:name w:val="紧凑表格 Char Char"/>
    <w:qFormat/>
    <w:uiPriority w:val="0"/>
    <w:rPr>
      <w:kern w:val="2"/>
      <w:sz w:val="21"/>
      <w:szCs w:val="21"/>
      <w:lang w:bidi="ar-SA"/>
    </w:rPr>
  </w:style>
  <w:style w:type="character" w:customStyle="1" w:styleId="1156">
    <w:name w:val="msonormal"/>
    <w:unhideWhenUsed/>
    <w:qFormat/>
    <w:uiPriority w:val="0"/>
  </w:style>
  <w:style w:type="character" w:customStyle="1" w:styleId="1157">
    <w:name w:val="cur1"/>
    <w:qFormat/>
    <w:uiPriority w:val="0"/>
    <w:rPr>
      <w:color w:val="FFFFFF"/>
      <w:shd w:val="clear" w:color="auto" w:fill="2F6B98"/>
    </w:rPr>
  </w:style>
  <w:style w:type="character" w:customStyle="1" w:styleId="1158">
    <w:name w:val="称呼 Char Char"/>
    <w:qFormat/>
    <w:uiPriority w:val="0"/>
    <w:rPr>
      <w:rFonts w:ascii="宋体" w:hAnsi="宋体"/>
      <w:kern w:val="2"/>
      <w:sz w:val="21"/>
      <w:szCs w:val="24"/>
      <w:lang w:bidi="ar-SA"/>
    </w:rPr>
  </w:style>
  <w:style w:type="character" w:customStyle="1" w:styleId="1159">
    <w:name w:val="批注主题 Char Char Char"/>
    <w:qFormat/>
    <w:uiPriority w:val="0"/>
  </w:style>
  <w:style w:type="character" w:customStyle="1" w:styleId="1160">
    <w:name w:val="乐清图3- Char"/>
    <w:link w:val="1161"/>
    <w:qFormat/>
    <w:uiPriority w:val="0"/>
    <w:rPr>
      <w:rFonts w:hAnsi="宋体"/>
      <w:b/>
      <w:kern w:val="2"/>
      <w:sz w:val="21"/>
      <w:szCs w:val="21"/>
    </w:rPr>
  </w:style>
  <w:style w:type="paragraph" w:customStyle="1" w:styleId="1161">
    <w:name w:val="乐清图3-"/>
    <w:basedOn w:val="618"/>
    <w:link w:val="1160"/>
    <w:qFormat/>
    <w:uiPriority w:val="0"/>
    <w:pPr>
      <w:widowControl w:val="0"/>
      <w:spacing w:afterLines="100" w:line="360" w:lineRule="auto"/>
      <w:ind w:firstLine="0" w:firstLineChars="0"/>
      <w:jc w:val="center"/>
    </w:pPr>
    <w:rPr>
      <w:rFonts w:ascii="Times New Roman" w:hAnsi="宋体" w:cs="Times New Roman"/>
      <w:b/>
      <w:kern w:val="2"/>
      <w:sz w:val="21"/>
      <w:szCs w:val="21"/>
    </w:rPr>
  </w:style>
  <w:style w:type="character" w:customStyle="1" w:styleId="1162">
    <w:name w:val="样式 标题 2 + Times New Roman 四号 Char"/>
    <w:link w:val="1163"/>
    <w:qFormat/>
    <w:uiPriority w:val="0"/>
    <w:rPr>
      <w:rFonts w:ascii="Arial" w:hAnsi="Arial" w:eastAsia="黑体"/>
      <w:b/>
      <w:bCs/>
      <w:kern w:val="2"/>
      <w:sz w:val="32"/>
      <w:szCs w:val="32"/>
    </w:rPr>
  </w:style>
  <w:style w:type="paragraph" w:customStyle="1" w:styleId="1163">
    <w:name w:val="样式 标题 2 + Times New Roman 四号"/>
    <w:basedOn w:val="8"/>
    <w:link w:val="1162"/>
    <w:qFormat/>
    <w:uiPriority w:val="0"/>
    <w:pPr>
      <w:widowControl w:val="0"/>
      <w:numPr>
        <w:ilvl w:val="0"/>
        <w:numId w:val="0"/>
      </w:numPr>
      <w:tabs>
        <w:tab w:val="left" w:pos="576"/>
      </w:tabs>
      <w:spacing w:before="120" w:after="120" w:line="480" w:lineRule="exact"/>
      <w:ind w:left="576" w:hanging="576"/>
    </w:pPr>
    <w:rPr>
      <w:rFonts w:ascii="Arial" w:eastAsia="黑体" w:cs="Times New Roman"/>
      <w:b/>
      <w:bCs/>
      <w:kern w:val="2"/>
      <w:sz w:val="32"/>
      <w:szCs w:val="32"/>
    </w:rPr>
  </w:style>
  <w:style w:type="character" w:customStyle="1" w:styleId="1164">
    <w:name w:val="Char Char10"/>
    <w:qFormat/>
    <w:uiPriority w:val="0"/>
    <w:rPr>
      <w:rFonts w:eastAsia="宋体"/>
      <w:kern w:val="2"/>
      <w:sz w:val="18"/>
      <w:szCs w:val="18"/>
      <w:lang w:val="en-US" w:eastAsia="zh-CN" w:bidi="ar-SA"/>
    </w:rPr>
  </w:style>
  <w:style w:type="character" w:customStyle="1" w:styleId="1165">
    <w:name w:val="样式 表格文字居中 Char + 五号 黑色1"/>
    <w:qFormat/>
    <w:uiPriority w:val="0"/>
  </w:style>
  <w:style w:type="character" w:customStyle="1" w:styleId="1166">
    <w:name w:val="纯文本 Char2"/>
    <w:semiHidden/>
    <w:qFormat/>
    <w:uiPriority w:val="0"/>
    <w:rPr>
      <w:rFonts w:ascii="宋体" w:hAnsi="Courier New" w:eastAsia="宋体" w:cs="Courier New"/>
      <w:szCs w:val="21"/>
    </w:rPr>
  </w:style>
  <w:style w:type="character" w:customStyle="1" w:styleId="1167">
    <w:name w:val="图表题 Char Char"/>
    <w:qFormat/>
    <w:uiPriority w:val="0"/>
    <w:rPr>
      <w:rFonts w:ascii="黑体" w:hAnsi="宋体" w:eastAsia="黑体"/>
      <w:b/>
      <w:bCs/>
      <w:kern w:val="2"/>
      <w:sz w:val="24"/>
      <w:szCs w:val="24"/>
      <w:lang w:bidi="ar-SA"/>
    </w:rPr>
  </w:style>
  <w:style w:type="character" w:customStyle="1" w:styleId="1168">
    <w:name w:val="Char Char18"/>
    <w:qFormat/>
    <w:uiPriority w:val="0"/>
    <w:rPr>
      <w:lang w:val="en-US" w:eastAsia="zh-CN"/>
    </w:rPr>
  </w:style>
  <w:style w:type="character" w:customStyle="1" w:styleId="1169">
    <w:name w:val="text-161"/>
    <w:qFormat/>
    <w:uiPriority w:val="0"/>
    <w:rPr>
      <w:rFonts w:ascii="宋体" w:hAnsi="宋体" w:cs="宋体"/>
      <w:b/>
      <w:bCs/>
      <w:color w:val="FE6B09"/>
      <w:sz w:val="38"/>
      <w:szCs w:val="38"/>
    </w:rPr>
  </w:style>
  <w:style w:type="character" w:customStyle="1" w:styleId="1170">
    <w:name w:val="批注框文本 Char2"/>
    <w:semiHidden/>
    <w:qFormat/>
    <w:uiPriority w:val="0"/>
    <w:rPr>
      <w:sz w:val="18"/>
      <w:szCs w:val="18"/>
    </w:rPr>
  </w:style>
  <w:style w:type="character" w:customStyle="1" w:styleId="1171">
    <w:name w:val="Char Char42"/>
    <w:qFormat/>
    <w:uiPriority w:val="0"/>
    <w:rPr>
      <w:rFonts w:ascii="Arial" w:hAnsi="Arial" w:eastAsia="黑体"/>
      <w:sz w:val="24"/>
      <w:lang w:val="en-US" w:eastAsia="zh-CN" w:bidi="ar-SA"/>
    </w:rPr>
  </w:style>
  <w:style w:type="character" w:customStyle="1" w:styleId="1172">
    <w:name w:val="表格1 + 四号 Char Char"/>
    <w:qFormat/>
    <w:uiPriority w:val="0"/>
    <w:rPr>
      <w:rFonts w:eastAsia="宋体"/>
      <w:kern w:val="2"/>
      <w:sz w:val="28"/>
      <w:szCs w:val="24"/>
      <w:lang w:val="en-US" w:eastAsia="zh-CN" w:bidi="ar-SA"/>
    </w:rPr>
  </w:style>
  <w:style w:type="character" w:customStyle="1" w:styleId="1173">
    <w:name w:val="南沙表头 Char Char"/>
    <w:qFormat/>
    <w:uiPriority w:val="0"/>
    <w:rPr>
      <w:b/>
      <w:kern w:val="2"/>
      <w:sz w:val="24"/>
      <w:szCs w:val="24"/>
      <w:lang w:bidi="ar-SA"/>
    </w:rPr>
  </w:style>
  <w:style w:type="character" w:customStyle="1" w:styleId="1174">
    <w:name w:val="正文文本 Char1"/>
    <w:qFormat/>
    <w:uiPriority w:val="0"/>
    <w:rPr>
      <w:rFonts w:ascii="宋体"/>
      <w:sz w:val="24"/>
      <w:szCs w:val="24"/>
    </w:rPr>
  </w:style>
  <w:style w:type="character" w:customStyle="1" w:styleId="1175">
    <w:name w:val="style131"/>
    <w:qFormat/>
    <w:uiPriority w:val="0"/>
    <w:rPr>
      <w:rFonts w:hint="eastAsia" w:ascii="宋体" w:hAnsi="宋体" w:eastAsia="楷体_GB2312" w:cs="宋体"/>
      <w:b/>
      <w:bCs/>
      <w:kern w:val="2"/>
      <w:sz w:val="18"/>
      <w:szCs w:val="18"/>
      <w:lang w:val="en-US" w:eastAsia="zh-CN" w:bidi="ar-SA"/>
    </w:rPr>
  </w:style>
  <w:style w:type="character" w:customStyle="1" w:styleId="1176">
    <w:name w:val="孙普文字 Char Char"/>
    <w:qFormat/>
    <w:uiPriority w:val="0"/>
    <w:rPr>
      <w:rFonts w:ascii="宋体" w:hAnsi="Courier New" w:eastAsia="宋体"/>
      <w:kern w:val="2"/>
      <w:sz w:val="21"/>
      <w:lang w:val="en-US" w:eastAsia="zh-CN" w:bidi="ar-SA"/>
    </w:rPr>
  </w:style>
  <w:style w:type="character" w:customStyle="1" w:styleId="1177">
    <w:name w:val="四号 正文 Char1"/>
    <w:link w:val="1178"/>
    <w:qFormat/>
    <w:uiPriority w:val="0"/>
    <w:rPr>
      <w:spacing w:val="6"/>
      <w:kern w:val="2"/>
      <w:sz w:val="28"/>
    </w:rPr>
  </w:style>
  <w:style w:type="paragraph" w:customStyle="1" w:styleId="1178">
    <w:name w:val="四号 正文"/>
    <w:basedOn w:val="1"/>
    <w:link w:val="1177"/>
    <w:qFormat/>
    <w:uiPriority w:val="0"/>
    <w:pPr>
      <w:ind w:firstLine="573" w:firstLineChars="200"/>
    </w:pPr>
    <w:rPr>
      <w:spacing w:val="6"/>
      <w:sz w:val="28"/>
      <w:szCs w:val="20"/>
    </w:rPr>
  </w:style>
  <w:style w:type="character" w:customStyle="1" w:styleId="1179">
    <w:name w:val="pt14"/>
    <w:qFormat/>
    <w:uiPriority w:val="0"/>
  </w:style>
  <w:style w:type="character" w:customStyle="1" w:styleId="1180">
    <w:name w:val="表格题注 Char"/>
    <w:link w:val="1181"/>
    <w:qFormat/>
    <w:uiPriority w:val="0"/>
    <w:rPr>
      <w:snapToGrid/>
      <w:kern w:val="24"/>
      <w:sz w:val="21"/>
      <w:szCs w:val="24"/>
    </w:rPr>
  </w:style>
  <w:style w:type="paragraph" w:customStyle="1" w:styleId="1181">
    <w:name w:val="表格题注"/>
    <w:basedOn w:val="1"/>
    <w:link w:val="1180"/>
    <w:qFormat/>
    <w:uiPriority w:val="0"/>
    <w:pPr>
      <w:adjustRightInd w:val="0"/>
      <w:spacing w:line="360" w:lineRule="auto"/>
      <w:jc w:val="center"/>
      <w:textAlignment w:val="baseline"/>
    </w:pPr>
    <w:rPr>
      <w:snapToGrid w:val="0"/>
      <w:kern w:val="24"/>
    </w:rPr>
  </w:style>
  <w:style w:type="character" w:customStyle="1" w:styleId="1182">
    <w:name w:val="表头王 Char Char"/>
    <w:qFormat/>
    <w:uiPriority w:val="0"/>
    <w:rPr>
      <w:rFonts w:ascii="黑体" w:eastAsia="黑体"/>
      <w:b/>
      <w:bCs/>
      <w:kern w:val="2"/>
      <w:sz w:val="24"/>
      <w:szCs w:val="24"/>
      <w:lang w:bidi="ar-SA"/>
    </w:rPr>
  </w:style>
  <w:style w:type="character" w:customStyle="1" w:styleId="1183">
    <w:name w:val="小四正文 Char"/>
    <w:qFormat/>
    <w:uiPriority w:val="0"/>
    <w:rPr>
      <w:rFonts w:ascii="宋体" w:hAnsi="宋体" w:eastAsia="仿宋_GB2312" w:cs="宋体"/>
      <w:kern w:val="2"/>
      <w:sz w:val="30"/>
      <w:szCs w:val="24"/>
      <w:lang w:val="en-US" w:eastAsia="zh-CN" w:bidi="ar-SA"/>
    </w:rPr>
  </w:style>
  <w:style w:type="character" w:customStyle="1" w:styleId="1184">
    <w:name w:val="caption1 Char"/>
    <w:qFormat/>
    <w:uiPriority w:val="0"/>
    <w:rPr>
      <w:rFonts w:ascii="宋体" w:eastAsia="宋体"/>
      <w:sz w:val="24"/>
      <w:lang w:val="en-US" w:eastAsia="zh-CN" w:bidi="ar-SA"/>
    </w:rPr>
  </w:style>
  <w:style w:type="character" w:customStyle="1" w:styleId="1185">
    <w:name w:val="A-z正文 Char"/>
    <w:link w:val="1186"/>
    <w:qFormat/>
    <w:uiPriority w:val="0"/>
    <w:rPr>
      <w:rFonts w:cs="宋体"/>
      <w:kern w:val="2"/>
      <w:sz w:val="24"/>
    </w:rPr>
  </w:style>
  <w:style w:type="paragraph" w:customStyle="1" w:styleId="1186">
    <w:name w:val="A-z正文"/>
    <w:basedOn w:val="1"/>
    <w:link w:val="1185"/>
    <w:qFormat/>
    <w:uiPriority w:val="0"/>
    <w:pPr>
      <w:spacing w:line="360" w:lineRule="auto"/>
      <w:ind w:firstLine="200" w:firstLineChars="200"/>
    </w:pPr>
    <w:rPr>
      <w:rFonts w:cs="宋体"/>
      <w:sz w:val="24"/>
      <w:szCs w:val="20"/>
    </w:rPr>
  </w:style>
  <w:style w:type="character" w:customStyle="1" w:styleId="1187">
    <w:name w:val="正文 首行缩进 2 字符 1.3行距 Char"/>
    <w:link w:val="1188"/>
    <w:qFormat/>
    <w:uiPriority w:val="0"/>
    <w:rPr>
      <w:kern w:val="2"/>
      <w:sz w:val="24"/>
    </w:rPr>
  </w:style>
  <w:style w:type="paragraph" w:customStyle="1" w:styleId="1188">
    <w:name w:val="正文 首行缩进 2 字符 1.3行距"/>
    <w:basedOn w:val="236"/>
    <w:link w:val="1187"/>
    <w:qFormat/>
    <w:uiPriority w:val="0"/>
    <w:pPr>
      <w:spacing w:line="312" w:lineRule="auto"/>
      <w:ind w:firstLine="200"/>
    </w:pPr>
    <w:rPr>
      <w:sz w:val="24"/>
    </w:rPr>
  </w:style>
  <w:style w:type="character" w:customStyle="1" w:styleId="1189">
    <w:name w:val="HTML 预设格式 Char Char"/>
    <w:qFormat/>
    <w:uiPriority w:val="0"/>
    <w:rPr>
      <w:rFonts w:ascii="宋体" w:hAnsi="宋体"/>
      <w:sz w:val="24"/>
      <w:szCs w:val="24"/>
      <w:lang w:bidi="ar-SA"/>
    </w:rPr>
  </w:style>
  <w:style w:type="character" w:customStyle="1" w:styleId="1190">
    <w:name w:val="样式 Char Char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1191">
    <w:name w:val="图例 Char Char"/>
    <w:qFormat/>
    <w:uiPriority w:val="0"/>
    <w:rPr>
      <w:rFonts w:ascii="黑体" w:hAnsi="Arial" w:eastAsia="黑体"/>
      <w:b/>
      <w:spacing w:val="12"/>
      <w:sz w:val="24"/>
      <w:lang w:bidi="ar-SA"/>
    </w:rPr>
  </w:style>
  <w:style w:type="character" w:customStyle="1" w:styleId="1192">
    <w:name w:val="z21"/>
    <w:qFormat/>
    <w:uiPriority w:val="0"/>
    <w:rPr>
      <w:color w:val="000000"/>
      <w:sz w:val="18"/>
    </w:rPr>
  </w:style>
  <w:style w:type="character" w:customStyle="1" w:styleId="1193">
    <w:name w:val="批注引用1"/>
    <w:qFormat/>
    <w:uiPriority w:val="0"/>
    <w:rPr>
      <w:sz w:val="21"/>
      <w:szCs w:val="21"/>
    </w:rPr>
  </w:style>
  <w:style w:type="character" w:customStyle="1" w:styleId="1194">
    <w:name w:val="批注引用2"/>
    <w:qFormat/>
    <w:uiPriority w:val="0"/>
    <w:rPr>
      <w:sz w:val="21"/>
      <w:szCs w:val="21"/>
    </w:rPr>
  </w:style>
  <w:style w:type="character" w:customStyle="1" w:styleId="1195">
    <w:name w:val="正文文档 Char"/>
    <w:link w:val="1196"/>
    <w:qFormat/>
    <w:uiPriority w:val="0"/>
    <w:rPr>
      <w:sz w:val="24"/>
      <w:szCs w:val="24"/>
    </w:rPr>
  </w:style>
  <w:style w:type="paragraph" w:customStyle="1" w:styleId="1196">
    <w:name w:val="正文文档"/>
    <w:basedOn w:val="1"/>
    <w:link w:val="1195"/>
    <w:qFormat/>
    <w:uiPriority w:val="0"/>
    <w:pPr>
      <w:spacing w:line="360" w:lineRule="auto"/>
      <w:ind w:firstLine="480" w:firstLineChars="200"/>
    </w:pPr>
    <w:rPr>
      <w:kern w:val="0"/>
      <w:sz w:val="24"/>
    </w:rPr>
  </w:style>
  <w:style w:type="character" w:customStyle="1" w:styleId="1197">
    <w:name w:val="乐清3级 Char Char"/>
    <w:qFormat/>
    <w:uiPriority w:val="0"/>
    <w:rPr>
      <w:rFonts w:hAnsi="宋体"/>
      <w:b/>
      <w:kern w:val="2"/>
      <w:sz w:val="24"/>
      <w:szCs w:val="24"/>
      <w:lang w:bidi="ar-SA"/>
    </w:rPr>
  </w:style>
  <w:style w:type="character" w:customStyle="1" w:styleId="1198">
    <w:name w:val="0-shiw-节 Char Char"/>
    <w:qFormat/>
    <w:uiPriority w:val="0"/>
    <w:rPr>
      <w:rFonts w:ascii="黑体" w:hAnsi="Arial" w:eastAsia="黑体"/>
      <w:kern w:val="2"/>
      <w:sz w:val="30"/>
      <w:szCs w:val="30"/>
      <w:lang w:val="en-US" w:eastAsia="zh-CN" w:bidi="ar-SA"/>
    </w:rPr>
  </w:style>
  <w:style w:type="character" w:customStyle="1" w:styleId="1199">
    <w:name w:val="标题 3 + Times New Roman Char Char"/>
    <w:qFormat/>
    <w:uiPriority w:val="0"/>
    <w:rPr>
      <w:rFonts w:ascii="宋体" w:hAnsi="宋体"/>
      <w:b/>
      <w:color w:val="FF0000"/>
      <w:kern w:val="24"/>
      <w:sz w:val="24"/>
      <w:szCs w:val="24"/>
      <w:lang w:bidi="ar-SA"/>
    </w:rPr>
  </w:style>
  <w:style w:type="character" w:customStyle="1" w:styleId="1200">
    <w:name w:val="hhcwt正文 Char Char"/>
    <w:qFormat/>
    <w:uiPriority w:val="0"/>
    <w:rPr>
      <w:rFonts w:ascii="宋体" w:hAnsi="宋体"/>
      <w:kern w:val="2"/>
      <w:sz w:val="24"/>
      <w:lang w:bidi="ar-SA"/>
    </w:rPr>
  </w:style>
  <w:style w:type="character" w:customStyle="1" w:styleId="1201">
    <w:name w:val="postbody1"/>
    <w:qFormat/>
    <w:uiPriority w:val="0"/>
    <w:rPr>
      <w:sz w:val="18"/>
      <w:szCs w:val="18"/>
    </w:rPr>
  </w:style>
  <w:style w:type="character" w:customStyle="1" w:styleId="1202">
    <w:name w:val="t150ab1"/>
    <w:qFormat/>
    <w:uiPriority w:val="0"/>
    <w:rPr>
      <w:sz w:val="21"/>
    </w:rPr>
  </w:style>
  <w:style w:type="character" w:customStyle="1" w:styleId="1203">
    <w:name w:val="charchar"/>
    <w:qFormat/>
    <w:uiPriority w:val="0"/>
    <w:rPr>
      <w:rFonts w:hint="eastAsia" w:ascii="宋体" w:hAnsi="宋体" w:eastAsia="宋体"/>
    </w:rPr>
  </w:style>
  <w:style w:type="character" w:customStyle="1" w:styleId="1204">
    <w:name w:val="正文首行缩进 2 + Times New Roman Char"/>
    <w:link w:val="1205"/>
    <w:qFormat/>
    <w:uiPriority w:val="0"/>
    <w:rPr>
      <w:kern w:val="2"/>
      <w:sz w:val="24"/>
      <w:szCs w:val="24"/>
    </w:rPr>
  </w:style>
  <w:style w:type="paragraph" w:customStyle="1" w:styleId="1205">
    <w:name w:val="正文首行缩进 2 + Times New Roman"/>
    <w:basedOn w:val="1"/>
    <w:link w:val="1204"/>
    <w:qFormat/>
    <w:uiPriority w:val="0"/>
    <w:pPr>
      <w:tabs>
        <w:tab w:val="left" w:pos="0"/>
        <w:tab w:val="left" w:pos="870"/>
        <w:tab w:val="left" w:pos="3150"/>
      </w:tabs>
      <w:autoSpaceDE w:val="0"/>
      <w:autoSpaceDN w:val="0"/>
      <w:spacing w:line="360" w:lineRule="auto"/>
      <w:ind w:firstLine="480" w:firstLineChars="200"/>
      <w:jc w:val="left"/>
    </w:pPr>
    <w:rPr>
      <w:sz w:val="24"/>
    </w:rPr>
  </w:style>
  <w:style w:type="character" w:customStyle="1" w:styleId="1206">
    <w:name w:val="1罗源表2- Char Char"/>
    <w:qFormat/>
    <w:uiPriority w:val="0"/>
    <w:rPr>
      <w:rFonts w:ascii="Calibri" w:hAnsi="Calibri"/>
      <w:kern w:val="2"/>
      <w:sz w:val="21"/>
      <w:szCs w:val="21"/>
      <w:lang w:bidi="ar-SA"/>
    </w:rPr>
  </w:style>
  <w:style w:type="character" w:customStyle="1" w:styleId="1207">
    <w:name w:val="Char Char171"/>
    <w:qFormat/>
    <w:uiPriority w:val="0"/>
    <w:rPr>
      <w:rFonts w:ascii="Arial" w:hAnsi="Arial" w:eastAsia="黑体"/>
      <w:kern w:val="2"/>
      <w:sz w:val="28"/>
      <w:szCs w:val="24"/>
      <w:lang w:val="en-US" w:eastAsia="zh-CN" w:bidi="ar-SA"/>
    </w:rPr>
  </w:style>
  <w:style w:type="character" w:customStyle="1" w:styleId="1208">
    <w:name w:val="style21"/>
    <w:qFormat/>
    <w:uiPriority w:val="0"/>
    <w:rPr>
      <w:rFonts w:eastAsia="宋体"/>
      <w:color w:val="FF0000"/>
      <w:kern w:val="2"/>
      <w:sz w:val="24"/>
      <w:szCs w:val="24"/>
      <w:lang w:val="en-US" w:eastAsia="zh-CN" w:bidi="ar-SA"/>
    </w:rPr>
  </w:style>
  <w:style w:type="character" w:customStyle="1" w:styleId="1209">
    <w:name w:val="tw4winMark"/>
    <w:unhideWhenUsed/>
    <w:qFormat/>
    <w:uiPriority w:val="0"/>
    <w:rPr>
      <w:vanish/>
      <w:color w:val="800080"/>
      <w:vertAlign w:val="subscript"/>
    </w:rPr>
  </w:style>
  <w:style w:type="character" w:customStyle="1" w:styleId="1210">
    <w:name w:val="style31"/>
    <w:unhideWhenUsed/>
    <w:qFormat/>
    <w:uiPriority w:val="0"/>
    <w:rPr>
      <w:color w:val="145DA7"/>
    </w:rPr>
  </w:style>
  <w:style w:type="character" w:customStyle="1" w:styleId="1211">
    <w:name w:val="WW8Num44z0"/>
    <w:qFormat/>
    <w:uiPriority w:val="0"/>
    <w:rPr>
      <w:rFonts w:ascii="Wingdings" w:hAnsi="Wingdings"/>
    </w:rPr>
  </w:style>
  <w:style w:type="character" w:customStyle="1" w:styleId="1212">
    <w:name w:val="Heading #4_"/>
    <w:link w:val="1213"/>
    <w:qFormat/>
    <w:uiPriority w:val="0"/>
    <w:rPr>
      <w:rFonts w:ascii="黑体" w:eastAsia="黑体"/>
      <w:b/>
      <w:bCs/>
      <w:sz w:val="23"/>
      <w:szCs w:val="23"/>
      <w:shd w:val="clear" w:color="auto" w:fill="FFFFFF"/>
    </w:rPr>
  </w:style>
  <w:style w:type="paragraph" w:customStyle="1" w:styleId="1213">
    <w:name w:val="Heading #41"/>
    <w:basedOn w:val="1"/>
    <w:link w:val="1212"/>
    <w:qFormat/>
    <w:uiPriority w:val="0"/>
    <w:pPr>
      <w:shd w:val="clear" w:color="auto" w:fill="FFFFFF"/>
      <w:spacing w:before="300" w:line="418" w:lineRule="exact"/>
      <w:ind w:firstLine="480"/>
      <w:jc w:val="distribute"/>
      <w:outlineLvl w:val="3"/>
    </w:pPr>
    <w:rPr>
      <w:rFonts w:ascii="黑体" w:eastAsia="黑体"/>
      <w:b/>
      <w:bCs/>
      <w:kern w:val="0"/>
      <w:sz w:val="23"/>
      <w:szCs w:val="23"/>
    </w:rPr>
  </w:style>
  <w:style w:type="character" w:customStyle="1" w:styleId="1214">
    <w:name w:val="乐清图2- Char Char"/>
    <w:qFormat/>
    <w:uiPriority w:val="0"/>
    <w:rPr>
      <w:b/>
      <w:kern w:val="2"/>
      <w:sz w:val="21"/>
      <w:szCs w:val="21"/>
      <w:lang w:bidi="ar-SA"/>
    </w:rPr>
  </w:style>
  <w:style w:type="character" w:customStyle="1" w:styleId="1215">
    <w:name w:val="WW-普通文字 Char"/>
    <w:link w:val="1216"/>
    <w:qFormat/>
    <w:uiPriority w:val="0"/>
    <w:rPr>
      <w:rFonts w:ascii="宋体" w:hAnsi="宋体"/>
      <w:kern w:val="1"/>
      <w:sz w:val="24"/>
    </w:rPr>
  </w:style>
  <w:style w:type="paragraph" w:customStyle="1" w:styleId="1216">
    <w:name w:val="WW-普通文字"/>
    <w:basedOn w:val="1"/>
    <w:link w:val="1215"/>
    <w:qFormat/>
    <w:uiPriority w:val="0"/>
    <w:pPr>
      <w:suppressAutoHyphens/>
      <w:spacing w:line="360" w:lineRule="auto"/>
      <w:ind w:firstLine="200" w:firstLineChars="200"/>
    </w:pPr>
    <w:rPr>
      <w:rFonts w:ascii="宋体" w:hAnsi="宋体"/>
      <w:kern w:val="1"/>
      <w:sz w:val="24"/>
      <w:szCs w:val="20"/>
    </w:rPr>
  </w:style>
  <w:style w:type="character" w:customStyle="1" w:styleId="1217">
    <w:name w:val="标题 2 Char1 Char Char"/>
    <w:qFormat/>
    <w:uiPriority w:val="0"/>
    <w:rPr>
      <w:rFonts w:ascii="仿宋_GB2312" w:hAnsi="宋体" w:eastAsia="仿宋_GB2312" w:cs="宋体"/>
      <w:sz w:val="30"/>
    </w:rPr>
  </w:style>
  <w:style w:type="character" w:customStyle="1" w:styleId="1218">
    <w:name w:val="样式 仿宋_GB2312 四号 两端对齐 行距: 固定值 26 磅1 Char Char Char"/>
    <w:qFormat/>
    <w:uiPriority w:val="0"/>
    <w:rPr>
      <w:rFonts w:ascii="宋体"/>
      <w:sz w:val="28"/>
      <w:szCs w:val="28"/>
      <w:lang w:bidi="ar-SA"/>
    </w:rPr>
  </w:style>
  <w:style w:type="character" w:customStyle="1" w:styleId="1219">
    <w:name w:val="样式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1220">
    <w:name w:val="南沙表标题 Char"/>
    <w:link w:val="1221"/>
    <w:qFormat/>
    <w:uiPriority w:val="0"/>
    <w:rPr>
      <w:b/>
      <w:kern w:val="2"/>
      <w:sz w:val="24"/>
      <w:szCs w:val="24"/>
    </w:rPr>
  </w:style>
  <w:style w:type="paragraph" w:customStyle="1" w:styleId="1221">
    <w:name w:val="南沙表标题"/>
    <w:basedOn w:val="390"/>
    <w:link w:val="1220"/>
    <w:qFormat/>
    <w:uiPriority w:val="0"/>
  </w:style>
  <w:style w:type="character" w:customStyle="1" w:styleId="1222">
    <w:name w:val="引用文章 Char Char"/>
    <w:qFormat/>
    <w:uiPriority w:val="0"/>
    <w:rPr>
      <w:rFonts w:eastAsia="楷体_GB2312" w:cs="宋体"/>
      <w:kern w:val="2"/>
      <w:sz w:val="24"/>
      <w:lang w:val="en-US" w:eastAsia="zh-CN" w:bidi="ar-SA"/>
    </w:rPr>
  </w:style>
  <w:style w:type="character" w:customStyle="1" w:styleId="1223">
    <w:name w:val="fontstyle"/>
    <w:semiHidden/>
    <w:qFormat/>
    <w:uiPriority w:val="0"/>
    <w:rPr>
      <w:szCs w:val="21"/>
    </w:rPr>
  </w:style>
  <w:style w:type="character" w:customStyle="1" w:styleId="1224">
    <w:name w:val="样式22 Char"/>
    <w:link w:val="1225"/>
    <w:qFormat/>
    <w:uiPriority w:val="0"/>
    <w:rPr>
      <w:rFonts w:ascii="宋体" w:hAnsi="宋体" w:eastAsia="黑体"/>
      <w:b/>
      <w:bCs/>
      <w:kern w:val="2"/>
      <w:sz w:val="28"/>
      <w:szCs w:val="28"/>
    </w:rPr>
  </w:style>
  <w:style w:type="paragraph" w:customStyle="1" w:styleId="1225">
    <w:name w:val="样式22"/>
    <w:basedOn w:val="1"/>
    <w:link w:val="1224"/>
    <w:qFormat/>
    <w:uiPriority w:val="0"/>
    <w:pPr>
      <w:keepNext/>
      <w:keepLines/>
      <w:adjustRightInd w:val="0"/>
      <w:snapToGrid w:val="0"/>
      <w:spacing w:before="260" w:after="260" w:line="27" w:lineRule="atLeast"/>
      <w:jc w:val="left"/>
      <w:outlineLvl w:val="2"/>
    </w:pPr>
    <w:rPr>
      <w:rFonts w:ascii="宋体" w:hAnsi="宋体" w:eastAsia="黑体"/>
      <w:b/>
      <w:bCs/>
      <w:sz w:val="28"/>
      <w:szCs w:val="28"/>
    </w:rPr>
  </w:style>
  <w:style w:type="character" w:customStyle="1" w:styleId="1226">
    <w:name w:val="首行缩进 Char"/>
    <w:link w:val="1227"/>
    <w:qFormat/>
    <w:uiPriority w:val="0"/>
    <w:rPr>
      <w:rFonts w:ascii="宋体" w:hAnsi="宋体" w:cs="宋体"/>
      <w:sz w:val="24"/>
      <w:szCs w:val="24"/>
    </w:rPr>
  </w:style>
  <w:style w:type="paragraph" w:customStyle="1" w:styleId="1227">
    <w:name w:val="首行缩进"/>
    <w:basedOn w:val="1"/>
    <w:link w:val="1226"/>
    <w:qFormat/>
    <w:uiPriority w:val="0"/>
    <w:pPr>
      <w:widowControl/>
      <w:spacing w:line="360" w:lineRule="auto"/>
      <w:ind w:firstLine="480" w:firstLineChars="200"/>
      <w:jc w:val="left"/>
    </w:pPr>
    <w:rPr>
      <w:rFonts w:ascii="宋体" w:hAnsi="宋体" w:cs="宋体"/>
      <w:kern w:val="0"/>
      <w:sz w:val="24"/>
    </w:rPr>
  </w:style>
  <w:style w:type="character" w:customStyle="1" w:styleId="1228">
    <w:name w:val="首行缩进正文 Char Char"/>
    <w:qFormat/>
    <w:uiPriority w:val="0"/>
    <w:rPr>
      <w:sz w:val="24"/>
      <w:lang w:bidi="ar-SA"/>
    </w:rPr>
  </w:style>
  <w:style w:type="character" w:customStyle="1" w:styleId="1229">
    <w:name w:val="正文粗 Char1"/>
    <w:link w:val="1230"/>
    <w:qFormat/>
    <w:uiPriority w:val="0"/>
    <w:rPr>
      <w:b/>
      <w:sz w:val="24"/>
    </w:rPr>
  </w:style>
  <w:style w:type="paragraph" w:customStyle="1" w:styleId="1230">
    <w:name w:val="正文粗"/>
    <w:basedOn w:val="1"/>
    <w:link w:val="1229"/>
    <w:qFormat/>
    <w:uiPriority w:val="0"/>
    <w:pPr>
      <w:adjustRightInd w:val="0"/>
      <w:spacing w:line="336" w:lineRule="auto"/>
      <w:ind w:firstLine="480" w:firstLineChars="200"/>
      <w:jc w:val="left"/>
      <w:textAlignment w:val="baseline"/>
    </w:pPr>
    <w:rPr>
      <w:b/>
      <w:kern w:val="0"/>
      <w:sz w:val="24"/>
      <w:szCs w:val="20"/>
    </w:rPr>
  </w:style>
  <w:style w:type="character" w:customStyle="1" w:styleId="1231">
    <w:name w:val="z-窗体顶端 字符2"/>
    <w:link w:val="1232"/>
    <w:qFormat/>
    <w:uiPriority w:val="0"/>
    <w:rPr>
      <w:rFonts w:ascii="Arial" w:hAnsi="Arial"/>
      <w:vanish/>
      <w:sz w:val="16"/>
      <w:szCs w:val="16"/>
    </w:rPr>
  </w:style>
  <w:style w:type="paragraph" w:customStyle="1" w:styleId="1232">
    <w:name w:val="_Style 1231"/>
    <w:basedOn w:val="1"/>
    <w:next w:val="1"/>
    <w:link w:val="1231"/>
    <w:qFormat/>
    <w:uiPriority w:val="0"/>
    <w:pPr>
      <w:widowControl/>
      <w:pBdr>
        <w:bottom w:val="single" w:color="auto" w:sz="6" w:space="1"/>
      </w:pBdr>
      <w:jc w:val="center"/>
    </w:pPr>
    <w:rPr>
      <w:rFonts w:ascii="Arial" w:hAnsi="Arial"/>
      <w:vanish/>
      <w:kern w:val="0"/>
      <w:sz w:val="16"/>
      <w:szCs w:val="16"/>
    </w:rPr>
  </w:style>
  <w:style w:type="character" w:customStyle="1" w:styleId="1233">
    <w:name w:val="z-窗体顶端 Char1"/>
    <w:semiHidden/>
    <w:qFormat/>
    <w:uiPriority w:val="0"/>
    <w:rPr>
      <w:rFonts w:ascii="Arial" w:hAnsi="Arial" w:cs="Arial"/>
      <w:vanish/>
      <w:kern w:val="2"/>
      <w:sz w:val="16"/>
      <w:szCs w:val="16"/>
    </w:rPr>
  </w:style>
  <w:style w:type="character" w:customStyle="1" w:styleId="1234">
    <w:name w:val="EmailStyle1701"/>
    <w:semiHidden/>
    <w:qFormat/>
    <w:uiPriority w:val="0"/>
    <w:rPr>
      <w:rFonts w:ascii="Arial" w:hAnsi="Arial" w:eastAsia="宋体" w:cs="Arial"/>
      <w:color w:val="auto"/>
      <w:sz w:val="18"/>
      <w:szCs w:val="20"/>
    </w:rPr>
  </w:style>
  <w:style w:type="character" w:customStyle="1" w:styleId="1235">
    <w:name w:val="Job"/>
    <w:unhideWhenUsed/>
    <w:qFormat/>
    <w:uiPriority w:val="0"/>
  </w:style>
  <w:style w:type="character" w:customStyle="1" w:styleId="1236">
    <w:name w:val="干标题(a) Char"/>
    <w:qFormat/>
    <w:uiPriority w:val="0"/>
    <w:rPr>
      <w:rFonts w:ascii="Arial" w:hAnsi="Arial" w:eastAsia="黑体"/>
      <w:sz w:val="21"/>
      <w:lang w:val="en-US" w:eastAsia="zh-CN" w:bidi="ar-SA"/>
    </w:rPr>
  </w:style>
  <w:style w:type="character" w:customStyle="1" w:styleId="1237">
    <w:name w:val="表内字 Char"/>
    <w:link w:val="1238"/>
    <w:qFormat/>
    <w:uiPriority w:val="0"/>
    <w:rPr>
      <w:rFonts w:eastAsia="Times New Roman"/>
      <w:color w:val="000000"/>
      <w:sz w:val="21"/>
    </w:rPr>
  </w:style>
  <w:style w:type="paragraph" w:customStyle="1" w:styleId="1238">
    <w:name w:val="表内字"/>
    <w:link w:val="1237"/>
    <w:qFormat/>
    <w:uiPriority w:val="0"/>
    <w:pPr>
      <w:spacing w:line="312" w:lineRule="auto"/>
      <w:jc w:val="center"/>
    </w:pPr>
    <w:rPr>
      <w:rFonts w:ascii="Times New Roman" w:hAnsi="Times New Roman" w:eastAsia="Times New Roman" w:cs="Times New Roman"/>
      <w:color w:val="000000"/>
      <w:sz w:val="21"/>
      <w:lang w:val="en-US" w:eastAsia="zh-CN" w:bidi="ar-SA"/>
    </w:rPr>
  </w:style>
  <w:style w:type="character" w:customStyle="1" w:styleId="1239">
    <w:name w:val="EmailStyle8091"/>
    <w:semiHidden/>
    <w:qFormat/>
    <w:uiPriority w:val="0"/>
    <w:rPr>
      <w:rFonts w:ascii="Arial" w:hAnsi="Arial" w:eastAsia="宋体" w:cs="Arial"/>
      <w:color w:val="000080"/>
      <w:sz w:val="18"/>
      <w:szCs w:val="20"/>
    </w:rPr>
  </w:style>
  <w:style w:type="character" w:customStyle="1" w:styleId="1240">
    <w:name w:val="样式 标题 41.1.1.1标题 4.1.1.1.1款四级标题，黑粗，小四，序号H4h4 sub sub headi... Char Char"/>
    <w:qFormat/>
    <w:uiPriority w:val="0"/>
    <w:rPr>
      <w:rFonts w:ascii="宋体" w:eastAsia="黑体"/>
      <w:b/>
      <w:kern w:val="2"/>
      <w:sz w:val="30"/>
      <w:lang w:bidi="ar-SA"/>
    </w:rPr>
  </w:style>
  <w:style w:type="character" w:customStyle="1" w:styleId="1241">
    <w:name w:val="3xi"/>
    <w:qFormat/>
    <w:uiPriority w:val="0"/>
  </w:style>
  <w:style w:type="character" w:customStyle="1" w:styleId="1242">
    <w:name w:val="样式 标题 3 + 宋体 加粗 Char Char"/>
    <w:qFormat/>
    <w:uiPriority w:val="0"/>
    <w:rPr>
      <w:rFonts w:ascii="宋体" w:hAnsi="宋体"/>
      <w:b/>
      <w:color w:val="FF0000"/>
      <w:kern w:val="2"/>
      <w:sz w:val="24"/>
      <w:szCs w:val="24"/>
      <w:lang w:bidi="ar-SA"/>
    </w:rPr>
  </w:style>
  <w:style w:type="character" w:customStyle="1" w:styleId="1243">
    <w:name w:val="bz-content1"/>
    <w:qFormat/>
    <w:uiPriority w:val="0"/>
    <w:rPr>
      <w:rFonts w:ascii="宋体" w:hAnsi="宋体" w:cs="宋体"/>
      <w:sz w:val="20"/>
      <w:u w:val="none"/>
    </w:rPr>
  </w:style>
  <w:style w:type="character" w:customStyle="1" w:styleId="1244">
    <w:name w:val="图表名 Char Char"/>
    <w:qFormat/>
    <w:uiPriority w:val="0"/>
    <w:rPr>
      <w:rFonts w:eastAsia="宋体"/>
      <w:bCs/>
      <w:sz w:val="24"/>
      <w:szCs w:val="24"/>
      <w:lang w:val="en-US" w:eastAsia="zh-CN" w:bidi="ar-SA"/>
    </w:rPr>
  </w:style>
  <w:style w:type="character" w:customStyle="1" w:styleId="1245">
    <w:name w:val="正文新 Char Char"/>
    <w:link w:val="1246"/>
    <w:qFormat/>
    <w:uiPriority w:val="0"/>
    <w:rPr>
      <w:kern w:val="2"/>
      <w:sz w:val="24"/>
    </w:rPr>
  </w:style>
  <w:style w:type="paragraph" w:customStyle="1" w:styleId="1246">
    <w:name w:val="正文新 Char"/>
    <w:basedOn w:val="1"/>
    <w:link w:val="1245"/>
    <w:qFormat/>
    <w:uiPriority w:val="0"/>
    <w:pPr>
      <w:spacing w:line="360" w:lineRule="auto"/>
      <w:ind w:firstLine="480" w:firstLineChars="200"/>
    </w:pPr>
    <w:rPr>
      <w:sz w:val="24"/>
      <w:szCs w:val="20"/>
    </w:rPr>
  </w:style>
  <w:style w:type="character" w:customStyle="1" w:styleId="1247">
    <w:name w:val="批注主题 字符1"/>
    <w:semiHidden/>
    <w:qFormat/>
    <w:uiPriority w:val="99"/>
    <w:rPr>
      <w:b/>
      <w:bCs/>
      <w:kern w:val="2"/>
      <w:sz w:val="24"/>
      <w:szCs w:val="24"/>
      <w:lang w:val="fr-FR"/>
    </w:rPr>
  </w:style>
  <w:style w:type="character" w:customStyle="1" w:styleId="1248">
    <w:name w:val="正文文本 2 字符1"/>
    <w:semiHidden/>
    <w:qFormat/>
    <w:uiPriority w:val="99"/>
    <w:rPr>
      <w:kern w:val="2"/>
      <w:sz w:val="24"/>
      <w:szCs w:val="24"/>
      <w:lang w:val="fr-FR"/>
    </w:rPr>
  </w:style>
  <w:style w:type="character" w:customStyle="1" w:styleId="1249">
    <w:name w:val="15"/>
    <w:qFormat/>
    <w:uiPriority w:val="0"/>
    <w:rPr>
      <w:rFonts w:hint="eastAsia" w:ascii="等线" w:hAnsi="等线" w:eastAsia="等线"/>
      <w:color w:val="000000"/>
      <w:sz w:val="21"/>
      <w:szCs w:val="21"/>
    </w:rPr>
  </w:style>
  <w:style w:type="character" w:customStyle="1" w:styleId="1250">
    <w:name w:val="表格内 Char"/>
    <w:link w:val="1251"/>
    <w:qFormat/>
    <w:uiPriority w:val="0"/>
    <w:rPr>
      <w:rFonts w:ascii="Arial" w:hAnsi="Arial"/>
      <w:sz w:val="21"/>
      <w:szCs w:val="21"/>
    </w:rPr>
  </w:style>
  <w:style w:type="paragraph" w:customStyle="1" w:styleId="1251">
    <w:name w:val="表格内"/>
    <w:basedOn w:val="1"/>
    <w:link w:val="1250"/>
    <w:unhideWhenUsed/>
    <w:qFormat/>
    <w:uiPriority w:val="0"/>
    <w:pPr>
      <w:adjustRightInd w:val="0"/>
      <w:spacing w:before="120" w:after="120"/>
      <w:ind w:left="578" w:hanging="578"/>
      <w:jc w:val="center"/>
      <w:textAlignment w:val="baseline"/>
    </w:pPr>
    <w:rPr>
      <w:rFonts w:ascii="Arial" w:hAnsi="Arial"/>
      <w:kern w:val="0"/>
      <w:szCs w:val="21"/>
    </w:rPr>
  </w:style>
  <w:style w:type="character" w:customStyle="1" w:styleId="1252">
    <w:name w:val="样式3 Char Char Char Char Char Char Char Char Char Char Char Char Char Char Char Char"/>
    <w:qFormat/>
    <w:uiPriority w:val="0"/>
    <w:rPr>
      <w:rFonts w:eastAsia="宋体"/>
      <w:kern w:val="2"/>
      <w:sz w:val="24"/>
      <w:szCs w:val="24"/>
      <w:lang w:val="en-US" w:eastAsia="zh-CN" w:bidi="ar-SA"/>
    </w:rPr>
  </w:style>
  <w:style w:type="character" w:customStyle="1" w:styleId="1253">
    <w:name w:val="正文（首行缩进两字） Char1"/>
    <w:qFormat/>
    <w:uiPriority w:val="0"/>
    <w:rPr>
      <w:kern w:val="2"/>
      <w:sz w:val="24"/>
      <w:szCs w:val="24"/>
    </w:rPr>
  </w:style>
  <w:style w:type="character" w:customStyle="1" w:styleId="1254">
    <w:name w:val="报告正文 Char Char Char Char Char Char Char"/>
    <w:qFormat/>
    <w:uiPriority w:val="0"/>
    <w:rPr>
      <w:rFonts w:eastAsia="宋体"/>
      <w:bCs/>
      <w:kern w:val="2"/>
      <w:sz w:val="24"/>
      <w:szCs w:val="24"/>
      <w:lang w:val="en-US" w:eastAsia="zh-CN" w:bidi="ar-SA"/>
    </w:rPr>
  </w:style>
  <w:style w:type="character" w:customStyle="1" w:styleId="1255">
    <w:name w:val="正文OK Char"/>
    <w:qFormat/>
    <w:uiPriority w:val="0"/>
    <w:rPr>
      <w:rFonts w:eastAsia="宋体"/>
      <w:kern w:val="2"/>
      <w:sz w:val="24"/>
      <w:szCs w:val="24"/>
      <w:lang w:val="en-US" w:eastAsia="zh-CN" w:bidi="ar-SA"/>
    </w:rPr>
  </w:style>
  <w:style w:type="character" w:customStyle="1" w:styleId="1256">
    <w:name w:val="表格正文 Char"/>
    <w:link w:val="1257"/>
    <w:qFormat/>
    <w:uiPriority w:val="0"/>
    <w:rPr>
      <w:kern w:val="2"/>
      <w:sz w:val="24"/>
      <w:szCs w:val="24"/>
    </w:rPr>
  </w:style>
  <w:style w:type="paragraph" w:customStyle="1" w:styleId="1257">
    <w:name w:val="表格正文"/>
    <w:basedOn w:val="1"/>
    <w:link w:val="1256"/>
    <w:qFormat/>
    <w:uiPriority w:val="0"/>
    <w:pPr>
      <w:spacing w:line="360" w:lineRule="auto"/>
      <w:ind w:firstLine="480" w:firstLineChars="200"/>
      <w:jc w:val="center"/>
    </w:pPr>
    <w:rPr>
      <w:sz w:val="24"/>
    </w:rPr>
  </w:style>
  <w:style w:type="character" w:customStyle="1" w:styleId="1258">
    <w:name w:val="ee"/>
    <w:qFormat/>
    <w:uiPriority w:val="0"/>
  </w:style>
  <w:style w:type="character" w:customStyle="1" w:styleId="1259">
    <w:name w:val="样式1 Char Char Char"/>
    <w:qFormat/>
    <w:uiPriority w:val="0"/>
    <w:rPr>
      <w:sz w:val="24"/>
    </w:rPr>
  </w:style>
  <w:style w:type="character" w:customStyle="1" w:styleId="1260">
    <w:name w:val="line1"/>
    <w:unhideWhenUsed/>
    <w:qFormat/>
    <w:uiPriority w:val="0"/>
  </w:style>
  <w:style w:type="character" w:customStyle="1" w:styleId="1261">
    <w:name w:val="样式 题注 + 小四 Char Char"/>
    <w:qFormat/>
    <w:uiPriority w:val="0"/>
    <w:rPr>
      <w:rFonts w:ascii="Arial" w:hAnsi="Arial" w:eastAsia="黑体" w:cs="Arial"/>
      <w:kern w:val="2"/>
      <w:sz w:val="24"/>
      <w:lang w:val="en-US" w:eastAsia="zh-CN" w:bidi="ar-SA"/>
    </w:rPr>
  </w:style>
  <w:style w:type="character" w:customStyle="1" w:styleId="1262">
    <w:name w:val="报告格式—正文 Char"/>
    <w:link w:val="1263"/>
    <w:qFormat/>
    <w:uiPriority w:val="0"/>
    <w:rPr>
      <w:spacing w:val="6"/>
      <w:sz w:val="28"/>
      <w:szCs w:val="36"/>
    </w:rPr>
  </w:style>
  <w:style w:type="paragraph" w:customStyle="1" w:styleId="1263">
    <w:name w:val="报告格式—正文"/>
    <w:basedOn w:val="1"/>
    <w:link w:val="1262"/>
    <w:qFormat/>
    <w:uiPriority w:val="0"/>
    <w:pPr>
      <w:adjustRightInd w:val="0"/>
      <w:spacing w:line="580" w:lineRule="exact"/>
      <w:ind w:firstLine="584" w:firstLineChars="200"/>
      <w:jc w:val="left"/>
      <w:textAlignment w:val="baseline"/>
    </w:pPr>
    <w:rPr>
      <w:spacing w:val="6"/>
      <w:kern w:val="0"/>
      <w:sz w:val="28"/>
      <w:szCs w:val="36"/>
    </w:rPr>
  </w:style>
  <w:style w:type="character" w:customStyle="1" w:styleId="1264">
    <w:name w:val="正文正文正文 1.5 倍行距 Char Char"/>
    <w:qFormat/>
    <w:uiPriority w:val="0"/>
    <w:rPr>
      <w:rFonts w:ascii="宋体" w:hAnsi="宋体"/>
      <w:sz w:val="24"/>
      <w:lang w:bidi="ar-SA"/>
    </w:rPr>
  </w:style>
  <w:style w:type="character" w:customStyle="1" w:styleId="1265">
    <w:name w:val="电子邮件签名 Char Char"/>
    <w:qFormat/>
    <w:uiPriority w:val="0"/>
    <w:rPr>
      <w:rFonts w:ascii="宋体" w:hAnsi="宋体"/>
      <w:kern w:val="2"/>
      <w:sz w:val="21"/>
      <w:szCs w:val="24"/>
      <w:lang w:bidi="ar-SA"/>
    </w:rPr>
  </w:style>
  <w:style w:type="character" w:customStyle="1" w:styleId="1266">
    <w:name w:val="样式 标题 41.1.1.1标题 4.1.1.1.1款四级标题，黑粗，小四，序号H4h4 sub sub headi... Char"/>
    <w:link w:val="1267"/>
    <w:qFormat/>
    <w:uiPriority w:val="0"/>
    <w:rPr>
      <w:rFonts w:ascii="宋体" w:eastAsia="黑体"/>
      <w:b/>
      <w:kern w:val="2"/>
      <w:sz w:val="30"/>
    </w:rPr>
  </w:style>
  <w:style w:type="paragraph" w:customStyle="1" w:styleId="1267">
    <w:name w:val="样式 标题 41.1.1.1标题 4.1.1.1.1款四级标题，黑粗，小四，序号H4h4 sub sub headi..."/>
    <w:basedOn w:val="10"/>
    <w:link w:val="1266"/>
    <w:unhideWhenUsed/>
    <w:qFormat/>
    <w:uiPriority w:val="0"/>
    <w:pPr>
      <w:widowControl w:val="0"/>
      <w:numPr>
        <w:ilvl w:val="0"/>
        <w:numId w:val="0"/>
      </w:numPr>
      <w:tabs>
        <w:tab w:val="left" w:pos="2880"/>
      </w:tabs>
      <w:spacing w:before="60" w:beforeLines="50" w:after="60" w:afterLines="50" w:line="240" w:lineRule="auto"/>
      <w:ind w:left="2880" w:hanging="720"/>
      <w:jc w:val="both"/>
    </w:pPr>
    <w:rPr>
      <w:rFonts w:ascii="宋体" w:hAnsi="Times New Roman" w:eastAsia="黑体" w:cs="Times New Roman"/>
      <w:bCs w:val="0"/>
      <w:kern w:val="2"/>
      <w:sz w:val="30"/>
      <w:szCs w:val="20"/>
    </w:rPr>
  </w:style>
  <w:style w:type="character" w:customStyle="1" w:styleId="1268">
    <w:name w:val="样式2 Char Char Char Char"/>
    <w:qFormat/>
    <w:uiPriority w:val="0"/>
    <w:rPr>
      <w:rFonts w:eastAsia="宋体"/>
      <w:sz w:val="24"/>
      <w:szCs w:val="24"/>
      <w:lang w:val="en-US" w:eastAsia="zh-CN" w:bidi="ar-SA"/>
    </w:rPr>
  </w:style>
  <w:style w:type="character" w:customStyle="1" w:styleId="1269">
    <w:name w:val="font61"/>
    <w:qFormat/>
    <w:uiPriority w:val="0"/>
    <w:rPr>
      <w:rFonts w:hint="eastAsia" w:ascii="Times New Roman" w:hAnsi="Times New Roman" w:cs="Times New Roman"/>
      <w:color w:val="000000"/>
      <w:sz w:val="21"/>
      <w:szCs w:val="21"/>
      <w:u w:val="none"/>
    </w:rPr>
  </w:style>
  <w:style w:type="character" w:customStyle="1" w:styleId="1270">
    <w:name w:val="样式 标题 3 + (符号) 宋体 Char Char"/>
    <w:qFormat/>
    <w:uiPriority w:val="0"/>
    <w:rPr>
      <w:rFonts w:eastAsia="宋体"/>
      <w:b/>
      <w:bCs/>
      <w:kern w:val="2"/>
      <w:sz w:val="32"/>
      <w:szCs w:val="32"/>
      <w:lang w:val="en-US" w:eastAsia="zh-CN" w:bidi="ar-SA"/>
    </w:rPr>
  </w:style>
  <w:style w:type="character" w:customStyle="1" w:styleId="1271">
    <w:name w:val="报告正文 Char Char"/>
    <w:qFormat/>
    <w:uiPriority w:val="0"/>
    <w:rPr>
      <w:rFonts w:eastAsia="宋体"/>
      <w:bCs/>
      <w:kern w:val="2"/>
      <w:sz w:val="24"/>
      <w:szCs w:val="24"/>
      <w:lang w:val="en-US" w:eastAsia="zh-CN" w:bidi="ar-SA"/>
    </w:rPr>
  </w:style>
  <w:style w:type="character" w:customStyle="1" w:styleId="1272">
    <w:name w:val="表注 Char Char"/>
    <w:qFormat/>
    <w:uiPriority w:val="0"/>
    <w:rPr>
      <w:b/>
      <w:spacing w:val="20"/>
      <w:sz w:val="28"/>
      <w:lang w:bidi="ar-SA"/>
    </w:rPr>
  </w:style>
  <w:style w:type="character" w:customStyle="1" w:styleId="1273">
    <w:name w:val="正文文本首行缩进 字符1"/>
    <w:semiHidden/>
    <w:qFormat/>
    <w:uiPriority w:val="99"/>
    <w:rPr>
      <w:rFonts w:ascii="Times New Roman" w:hAnsi="Times New Roman" w:eastAsia="宋体"/>
      <w:kern w:val="2"/>
      <w:sz w:val="24"/>
      <w:szCs w:val="24"/>
      <w:lang w:val="fr-FR"/>
    </w:rPr>
  </w:style>
  <w:style w:type="character" w:customStyle="1" w:styleId="1274">
    <w:name w:val="题注（图、表） Char Char"/>
    <w:qFormat/>
    <w:uiPriority w:val="0"/>
    <w:rPr>
      <w:rFonts w:ascii="Arial" w:hAnsi="Arial" w:eastAsia="黑体"/>
      <w:szCs w:val="24"/>
      <w:lang w:bidi="ar-SA"/>
    </w:rPr>
  </w:style>
  <w:style w:type="character" w:customStyle="1" w:styleId="1275">
    <w:name w:val="ghf2 Char"/>
    <w:link w:val="1276"/>
    <w:qFormat/>
    <w:uiPriority w:val="0"/>
    <w:rPr>
      <w:rFonts w:ascii="黑体" w:hAnsi="黑体" w:eastAsia="黑体"/>
      <w:b/>
      <w:bCs/>
      <w:spacing w:val="10"/>
      <w:kern w:val="44"/>
      <w:sz w:val="32"/>
      <w:szCs w:val="44"/>
    </w:rPr>
  </w:style>
  <w:style w:type="paragraph" w:customStyle="1" w:styleId="1276">
    <w:name w:val="ghf2"/>
    <w:basedOn w:val="7"/>
    <w:next w:val="7"/>
    <w:link w:val="1275"/>
    <w:qFormat/>
    <w:uiPriority w:val="0"/>
    <w:pPr>
      <w:keepLines/>
      <w:overflowPunct/>
      <w:snapToGrid/>
      <w:spacing w:after="120" w:line="578" w:lineRule="auto"/>
      <w:ind w:left="3533" w:hanging="473"/>
    </w:pPr>
    <w:rPr>
      <w:rFonts w:ascii="黑体" w:hAnsi="黑体"/>
      <w:color w:val="auto"/>
      <w:spacing w:val="10"/>
      <w:sz w:val="32"/>
      <w:szCs w:val="44"/>
    </w:rPr>
  </w:style>
  <w:style w:type="character" w:customStyle="1" w:styleId="1277">
    <w:name w:val="题注 Char Char1"/>
    <w:qFormat/>
    <w:locked/>
    <w:uiPriority w:val="0"/>
    <w:rPr>
      <w:rFonts w:ascii="Arial" w:hAnsi="Arial" w:eastAsia="黑体" w:cs="Arial"/>
      <w:kern w:val="2"/>
      <w:sz w:val="24"/>
      <w:szCs w:val="24"/>
      <w:lang w:val="en-US" w:eastAsia="zh-CN" w:bidi="ar-SA"/>
    </w:rPr>
  </w:style>
  <w:style w:type="character" w:customStyle="1" w:styleId="1278">
    <w:name w:val="大纲正文 Char"/>
    <w:link w:val="1279"/>
    <w:qFormat/>
    <w:uiPriority w:val="0"/>
  </w:style>
  <w:style w:type="paragraph" w:customStyle="1" w:styleId="1279">
    <w:name w:val="大纲正文"/>
    <w:basedOn w:val="1"/>
    <w:link w:val="1278"/>
    <w:qFormat/>
    <w:uiPriority w:val="0"/>
    <w:pPr>
      <w:widowControl/>
      <w:adjustRightInd w:val="0"/>
      <w:snapToGrid w:val="0"/>
      <w:spacing w:afterLines="50" w:line="300" w:lineRule="auto"/>
      <w:ind w:firstLine="480" w:firstLineChars="200"/>
    </w:pPr>
    <w:rPr>
      <w:kern w:val="0"/>
      <w:sz w:val="20"/>
      <w:szCs w:val="20"/>
    </w:rPr>
  </w:style>
  <w:style w:type="character" w:customStyle="1" w:styleId="1280">
    <w:name w:val="我的正文 Char Char Char"/>
    <w:qFormat/>
    <w:uiPriority w:val="0"/>
    <w:rPr>
      <w:kern w:val="2"/>
      <w:sz w:val="24"/>
      <w:lang w:bidi="ar-SA"/>
    </w:rPr>
  </w:style>
  <w:style w:type="character" w:customStyle="1" w:styleId="1281">
    <w:name w:val="图表 Char"/>
    <w:link w:val="1282"/>
    <w:qFormat/>
    <w:uiPriority w:val="0"/>
    <w:rPr>
      <w:kern w:val="2"/>
      <w:sz w:val="21"/>
    </w:rPr>
  </w:style>
  <w:style w:type="paragraph" w:customStyle="1" w:styleId="1282">
    <w:name w:val="图表"/>
    <w:link w:val="1281"/>
    <w:qFormat/>
    <w:uiPriority w:val="0"/>
    <w:pPr>
      <w:jc w:val="center"/>
    </w:pPr>
    <w:rPr>
      <w:rFonts w:ascii="Times New Roman" w:hAnsi="Times New Roman" w:eastAsia="宋体" w:cs="Times New Roman"/>
      <w:kern w:val="2"/>
      <w:sz w:val="21"/>
      <w:lang w:val="en-US" w:eastAsia="zh-CN" w:bidi="ar-SA"/>
    </w:rPr>
  </w:style>
  <w:style w:type="character" w:customStyle="1" w:styleId="1283">
    <w:name w:val="t"/>
    <w:qFormat/>
    <w:uiPriority w:val="0"/>
  </w:style>
  <w:style w:type="character" w:customStyle="1" w:styleId="1284">
    <w:name w:val="Body text + MS Gothic3"/>
    <w:qFormat/>
    <w:uiPriority w:val="0"/>
    <w:rPr>
      <w:rFonts w:ascii="MS Gothic" w:eastAsia="MS Gothic" w:cs="MS Gothic"/>
      <w:sz w:val="20"/>
      <w:szCs w:val="20"/>
      <w:u w:val="none"/>
      <w:lang w:bidi="ar-SA"/>
    </w:rPr>
  </w:style>
  <w:style w:type="character" w:customStyle="1" w:styleId="1285">
    <w:name w:val="样式 标题 41.1.1.1 Char1.1.1.1标题 4.1.1.1.1标题 4 Char款标4 Char标题...1 Char Char"/>
    <w:link w:val="1286"/>
    <w:qFormat/>
    <w:uiPriority w:val="0"/>
    <w:rPr>
      <w:rFonts w:eastAsia="黑体"/>
      <w:b/>
      <w:bCs/>
      <w:color w:val="000000"/>
      <w:kern w:val="2"/>
      <w:sz w:val="24"/>
      <w:szCs w:val="28"/>
    </w:rPr>
  </w:style>
  <w:style w:type="paragraph" w:customStyle="1" w:styleId="1286">
    <w:name w:val="样式 标题 41.1.1.1 Char1.1.1.1标题 4.1.1.1.1标题 4 Char款标4 Char标题...1"/>
    <w:basedOn w:val="10"/>
    <w:next w:val="1"/>
    <w:link w:val="1285"/>
    <w:unhideWhenUsed/>
    <w:qFormat/>
    <w:uiPriority w:val="0"/>
    <w:pPr>
      <w:widowControl w:val="0"/>
      <w:numPr>
        <w:ilvl w:val="0"/>
        <w:numId w:val="0"/>
      </w:numPr>
      <w:spacing w:before="120" w:after="120"/>
      <w:jc w:val="both"/>
    </w:pPr>
    <w:rPr>
      <w:rFonts w:ascii="Times New Roman" w:hAnsi="Times New Roman" w:eastAsia="黑体" w:cs="Times New Roman"/>
      <w:color w:val="000000"/>
      <w:kern w:val="2"/>
    </w:rPr>
  </w:style>
  <w:style w:type="character" w:customStyle="1" w:styleId="1287">
    <w:name w:val="表格内容-居中 Char"/>
    <w:link w:val="1288"/>
    <w:qFormat/>
    <w:uiPriority w:val="0"/>
    <w:rPr>
      <w:rFonts w:cs="宋体"/>
      <w:kern w:val="2"/>
      <w:sz w:val="21"/>
      <w:szCs w:val="24"/>
    </w:rPr>
  </w:style>
  <w:style w:type="paragraph" w:customStyle="1" w:styleId="1288">
    <w:name w:val="表格内容-居中"/>
    <w:basedOn w:val="1"/>
    <w:link w:val="1287"/>
    <w:qFormat/>
    <w:uiPriority w:val="0"/>
    <w:pPr>
      <w:spacing w:before="120" w:after="120"/>
      <w:jc w:val="center"/>
    </w:pPr>
    <w:rPr>
      <w:rFonts w:cs="宋体"/>
    </w:rPr>
  </w:style>
  <w:style w:type="character" w:customStyle="1" w:styleId="1289">
    <w:name w:val="正文文本 Char2"/>
    <w:semiHidden/>
    <w:qFormat/>
    <w:uiPriority w:val="0"/>
  </w:style>
  <w:style w:type="character" w:customStyle="1" w:styleId="1290">
    <w:name w:val="表五号字 Char Char"/>
    <w:qFormat/>
    <w:uiPriority w:val="0"/>
    <w:rPr>
      <w:rFonts w:eastAsia="宋体"/>
      <w:kern w:val="2"/>
      <w:sz w:val="21"/>
      <w:szCs w:val="21"/>
      <w:lang w:val="en-US" w:eastAsia="zh-CN" w:bidi="ar-SA"/>
    </w:rPr>
  </w:style>
  <w:style w:type="character" w:customStyle="1" w:styleId="1291">
    <w:name w:val="z-窗体底端 字符1"/>
    <w:semiHidden/>
    <w:qFormat/>
    <w:uiPriority w:val="99"/>
    <w:rPr>
      <w:rFonts w:ascii="Arial" w:hAnsi="Arial" w:cs="Arial"/>
      <w:vanish/>
      <w:kern w:val="2"/>
      <w:sz w:val="16"/>
      <w:szCs w:val="16"/>
      <w:lang w:val="fr-FR"/>
    </w:rPr>
  </w:style>
  <w:style w:type="character" w:customStyle="1" w:styleId="1292">
    <w:name w:val="正文(首行缩进)宋旭峰 Char Char"/>
    <w:link w:val="1293"/>
    <w:qFormat/>
    <w:locked/>
    <w:uiPriority w:val="0"/>
    <w:rPr>
      <w:rFonts w:ascii="楷体_GB2312" w:hAnsi="宋体" w:eastAsia="楷体_GB2312"/>
      <w:snapToGrid/>
      <w:sz w:val="28"/>
      <w:szCs w:val="28"/>
    </w:rPr>
  </w:style>
  <w:style w:type="paragraph" w:customStyle="1" w:styleId="1293">
    <w:name w:val="正文(首行缩进)宋旭峰"/>
    <w:basedOn w:val="6"/>
    <w:link w:val="1292"/>
    <w:qFormat/>
    <w:uiPriority w:val="0"/>
    <w:pPr>
      <w:widowControl w:val="0"/>
      <w:snapToGrid w:val="0"/>
      <w:spacing w:line="500" w:lineRule="exact"/>
      <w:ind w:firstLine="560"/>
      <w:contextualSpacing/>
      <w:jc w:val="both"/>
    </w:pPr>
    <w:rPr>
      <w:rFonts w:ascii="楷体_GB2312" w:eastAsia="楷体_GB2312" w:cs="Times New Roman"/>
      <w:snapToGrid w:val="0"/>
      <w:sz w:val="28"/>
      <w:szCs w:val="28"/>
    </w:rPr>
  </w:style>
  <w:style w:type="character" w:customStyle="1" w:styleId="1294">
    <w:name w:val="Char Char92"/>
    <w:qFormat/>
    <w:uiPriority w:val="0"/>
    <w:rPr>
      <w:rFonts w:ascii="宋体" w:hAnsi="宋体" w:eastAsia="宋体"/>
      <w:b/>
      <w:bCs/>
      <w:kern w:val="44"/>
      <w:sz w:val="32"/>
      <w:szCs w:val="44"/>
      <w:lang w:val="fr-FR"/>
    </w:rPr>
  </w:style>
  <w:style w:type="character" w:customStyle="1" w:styleId="1295">
    <w:name w:val="表头样式 Char"/>
    <w:link w:val="1296"/>
    <w:qFormat/>
    <w:locked/>
    <w:uiPriority w:val="0"/>
    <w:rPr>
      <w:rFonts w:eastAsia="Times New Roman"/>
      <w:b/>
      <w:sz w:val="22"/>
    </w:rPr>
  </w:style>
  <w:style w:type="paragraph" w:customStyle="1" w:styleId="1296">
    <w:name w:val="表头样式"/>
    <w:link w:val="1295"/>
    <w:qFormat/>
    <w:uiPriority w:val="0"/>
    <w:pPr>
      <w:spacing w:beforeLines="50"/>
      <w:jc w:val="center"/>
    </w:pPr>
    <w:rPr>
      <w:rFonts w:ascii="Times New Roman" w:hAnsi="Times New Roman" w:eastAsia="Times New Roman" w:cs="Times New Roman"/>
      <w:b/>
      <w:sz w:val="22"/>
      <w:lang w:val="en-US" w:eastAsia="zh-CN" w:bidi="ar-SA"/>
    </w:rPr>
  </w:style>
  <w:style w:type="character" w:customStyle="1" w:styleId="1297">
    <w:name w:val="p21"/>
    <w:qFormat/>
    <w:uiPriority w:val="0"/>
    <w:rPr>
      <w:rFonts w:ascii="宋体" w:hAnsi="宋体" w:eastAsia="宋体"/>
      <w:spacing w:val="320"/>
      <w:sz w:val="18"/>
      <w:szCs w:val="18"/>
    </w:rPr>
  </w:style>
  <w:style w:type="character" w:customStyle="1" w:styleId="1298">
    <w:name w:val="0-shiw-正文 4号宋体 Char"/>
    <w:link w:val="1299"/>
    <w:qFormat/>
    <w:uiPriority w:val="0"/>
    <w:rPr>
      <w:rFonts w:eastAsia="Times New Roman"/>
      <w:kern w:val="2"/>
      <w:sz w:val="28"/>
      <w:szCs w:val="28"/>
    </w:rPr>
  </w:style>
  <w:style w:type="paragraph" w:customStyle="1" w:styleId="1299">
    <w:name w:val="0-shiw-正文 4号宋体"/>
    <w:link w:val="1298"/>
    <w:qFormat/>
    <w:uiPriority w:val="0"/>
    <w:pPr>
      <w:widowControl w:val="0"/>
      <w:adjustRightInd w:val="0"/>
      <w:snapToGrid w:val="0"/>
      <w:spacing w:line="520" w:lineRule="exact"/>
      <w:ind w:firstLine="200" w:firstLineChars="200"/>
      <w:jc w:val="both"/>
    </w:pPr>
    <w:rPr>
      <w:rFonts w:ascii="Times New Roman" w:hAnsi="Times New Roman" w:eastAsia="Times New Roman" w:cs="Times New Roman"/>
      <w:kern w:val="2"/>
      <w:sz w:val="28"/>
      <w:szCs w:val="28"/>
      <w:lang w:val="en-US" w:eastAsia="zh-CN" w:bidi="ar-SA"/>
    </w:rPr>
  </w:style>
  <w:style w:type="character" w:customStyle="1" w:styleId="1300">
    <w:name w:val="disabled"/>
    <w:qFormat/>
    <w:uiPriority w:val="0"/>
    <w:rPr>
      <w:vanish/>
    </w:rPr>
  </w:style>
  <w:style w:type="character" w:customStyle="1" w:styleId="1301">
    <w:name w:val="标题 6 段前后自动 Char"/>
    <w:link w:val="1302"/>
    <w:qFormat/>
    <w:uiPriority w:val="0"/>
    <w:rPr>
      <w:b/>
      <w:bCs/>
      <w:kern w:val="2"/>
      <w:sz w:val="24"/>
      <w:szCs w:val="24"/>
    </w:rPr>
  </w:style>
  <w:style w:type="paragraph" w:customStyle="1" w:styleId="1302">
    <w:name w:val="标题 6 段前后自动"/>
    <w:basedOn w:val="12"/>
    <w:link w:val="1301"/>
    <w:qFormat/>
    <w:uiPriority w:val="0"/>
    <w:pPr>
      <w:widowControl w:val="0"/>
      <w:numPr>
        <w:ilvl w:val="0"/>
        <w:numId w:val="0"/>
      </w:numPr>
      <w:tabs>
        <w:tab w:val="left" w:pos="4320"/>
      </w:tabs>
      <w:spacing w:before="100" w:beforeAutospacing="1" w:after="100" w:afterAutospacing="1" w:line="240" w:lineRule="auto"/>
      <w:ind w:left="4320" w:hanging="720"/>
      <w:jc w:val="both"/>
    </w:pPr>
    <w:rPr>
      <w:rFonts w:ascii="Times New Roman" w:hAnsi="Times New Roman" w:eastAsia="宋体" w:cs="Times New Roman"/>
      <w:kern w:val="2"/>
    </w:rPr>
  </w:style>
  <w:style w:type="character" w:customStyle="1" w:styleId="1303">
    <w:name w:val="中远正文 Char"/>
    <w:link w:val="1304"/>
    <w:qFormat/>
    <w:uiPriority w:val="0"/>
    <w:rPr>
      <w:snapToGrid/>
      <w:kern w:val="24"/>
      <w:sz w:val="21"/>
      <w:szCs w:val="24"/>
    </w:rPr>
  </w:style>
  <w:style w:type="paragraph" w:customStyle="1" w:styleId="1304">
    <w:name w:val="中远正文"/>
    <w:basedOn w:val="1"/>
    <w:link w:val="1303"/>
    <w:qFormat/>
    <w:uiPriority w:val="0"/>
    <w:pPr>
      <w:adjustRightInd w:val="0"/>
      <w:spacing w:line="360" w:lineRule="auto"/>
      <w:ind w:right="-21" w:rightChars="-10" w:firstLine="600" w:firstLineChars="250"/>
      <w:textAlignment w:val="baseline"/>
    </w:pPr>
    <w:rPr>
      <w:snapToGrid w:val="0"/>
      <w:kern w:val="24"/>
    </w:rPr>
  </w:style>
  <w:style w:type="character" w:customStyle="1" w:styleId="1305">
    <w:name w:val="节标题 Char Char"/>
    <w:qFormat/>
    <w:uiPriority w:val="0"/>
    <w:rPr>
      <w:rFonts w:ascii="Tahoma" w:hAnsi="Tahoma" w:eastAsia="黑体"/>
      <w:b/>
      <w:bCs/>
      <w:kern w:val="1"/>
      <w:sz w:val="24"/>
      <w:szCs w:val="24"/>
      <w:lang w:val="en-US" w:eastAsia="ar-SA" w:bidi="ar-SA"/>
    </w:rPr>
  </w:style>
  <w:style w:type="character" w:customStyle="1" w:styleId="1306">
    <w:name w:val="ourfont31"/>
    <w:qFormat/>
    <w:uiPriority w:val="0"/>
    <w:rPr>
      <w:spacing w:val="20"/>
      <w:sz w:val="21"/>
      <w:szCs w:val="21"/>
    </w:rPr>
  </w:style>
  <w:style w:type="character" w:customStyle="1" w:styleId="1307">
    <w:name w:val="表头终 Char"/>
    <w:link w:val="1308"/>
    <w:qFormat/>
    <w:uiPriority w:val="0"/>
    <w:rPr>
      <w:rFonts w:eastAsia="黑体"/>
      <w:sz w:val="24"/>
    </w:rPr>
  </w:style>
  <w:style w:type="paragraph" w:customStyle="1" w:styleId="1308">
    <w:name w:val="表头终"/>
    <w:basedOn w:val="6"/>
    <w:link w:val="1307"/>
    <w:qFormat/>
    <w:uiPriority w:val="0"/>
    <w:pPr>
      <w:widowControl w:val="0"/>
      <w:snapToGrid w:val="0"/>
      <w:spacing w:beforeLines="50" w:line="360" w:lineRule="auto"/>
      <w:ind w:firstLine="480"/>
      <w:jc w:val="center"/>
    </w:pPr>
    <w:rPr>
      <w:rFonts w:ascii="Times New Roman" w:hAnsi="Times New Roman" w:eastAsia="黑体" w:cs="Times New Roman"/>
      <w:szCs w:val="20"/>
    </w:rPr>
  </w:style>
  <w:style w:type="character" w:customStyle="1" w:styleId="1309">
    <w:name w:val="Default Char Char"/>
    <w:qFormat/>
    <w:uiPriority w:val="0"/>
    <w:rPr>
      <w:rFonts w:ascii="黑体" w:eastAsia="黑体" w:cs="黑体"/>
      <w:color w:val="000000"/>
      <w:sz w:val="24"/>
      <w:szCs w:val="24"/>
      <w:lang w:val="en-US" w:eastAsia="zh-CN" w:bidi="ar-SA"/>
    </w:rPr>
  </w:style>
  <w:style w:type="character" w:customStyle="1" w:styleId="1310">
    <w:name w:val="报告正文 Char"/>
    <w:link w:val="1311"/>
    <w:qFormat/>
    <w:uiPriority w:val="0"/>
    <w:rPr>
      <w:bCs/>
      <w:kern w:val="2"/>
      <w:sz w:val="24"/>
      <w:szCs w:val="24"/>
    </w:rPr>
  </w:style>
  <w:style w:type="paragraph" w:customStyle="1" w:styleId="1311">
    <w:name w:val="报告正文"/>
    <w:basedOn w:val="1"/>
    <w:link w:val="1310"/>
    <w:qFormat/>
    <w:uiPriority w:val="0"/>
    <w:pPr>
      <w:spacing w:line="360" w:lineRule="auto"/>
      <w:ind w:firstLine="480" w:firstLineChars="200"/>
    </w:pPr>
    <w:rPr>
      <w:bCs/>
      <w:sz w:val="24"/>
    </w:rPr>
  </w:style>
  <w:style w:type="character" w:customStyle="1" w:styleId="1312">
    <w:name w:val="湛江标题3 Char"/>
    <w:link w:val="1313"/>
    <w:qFormat/>
    <w:uiPriority w:val="0"/>
    <w:rPr>
      <w:color w:val="FF0000"/>
      <w:kern w:val="2"/>
      <w:sz w:val="32"/>
      <w:szCs w:val="32"/>
    </w:rPr>
  </w:style>
  <w:style w:type="paragraph" w:customStyle="1" w:styleId="1313">
    <w:name w:val="湛江标题3"/>
    <w:basedOn w:val="884"/>
    <w:link w:val="1312"/>
    <w:qFormat/>
    <w:uiPriority w:val="0"/>
    <w:rPr>
      <w:lang w:val="en-US"/>
    </w:rPr>
  </w:style>
  <w:style w:type="character" w:customStyle="1" w:styleId="1314">
    <w:name w:val="乐清表1 Char Char"/>
    <w:qFormat/>
    <w:uiPriority w:val="0"/>
    <w:rPr>
      <w:b/>
      <w:kern w:val="2"/>
      <w:sz w:val="21"/>
      <w:szCs w:val="21"/>
      <w:lang w:bidi="ar-SA"/>
    </w:rPr>
  </w:style>
  <w:style w:type="character" w:customStyle="1" w:styleId="1315">
    <w:name w:val="Char Char721"/>
    <w:qFormat/>
    <w:uiPriority w:val="0"/>
    <w:rPr>
      <w:rFonts w:eastAsia="宋体"/>
      <w:sz w:val="18"/>
      <w:lang w:val="en-US" w:eastAsia="zh-CN" w:bidi="ar-SA"/>
    </w:rPr>
  </w:style>
  <w:style w:type="character" w:customStyle="1" w:styleId="1316">
    <w:name w:val="湛江正文 Char Char"/>
    <w:qFormat/>
    <w:uiPriority w:val="0"/>
    <w:rPr>
      <w:kern w:val="2"/>
      <w:sz w:val="28"/>
      <w:lang w:bidi="ar-SA"/>
    </w:rPr>
  </w:style>
  <w:style w:type="character" w:customStyle="1" w:styleId="1317">
    <w:name w:val="报告书表格 Char"/>
    <w:link w:val="1318"/>
    <w:qFormat/>
    <w:uiPriority w:val="0"/>
    <w:rPr>
      <w:sz w:val="24"/>
    </w:rPr>
  </w:style>
  <w:style w:type="paragraph" w:customStyle="1" w:styleId="1318">
    <w:name w:val="报告书表格"/>
    <w:basedOn w:val="1"/>
    <w:link w:val="1317"/>
    <w:qFormat/>
    <w:uiPriority w:val="0"/>
    <w:pPr>
      <w:adjustRightInd w:val="0"/>
      <w:snapToGrid w:val="0"/>
      <w:spacing w:before="60" w:after="60" w:line="240" w:lineRule="atLeast"/>
      <w:jc w:val="center"/>
      <w:textAlignment w:val="baseline"/>
    </w:pPr>
    <w:rPr>
      <w:kern w:val="0"/>
      <w:sz w:val="24"/>
      <w:szCs w:val="20"/>
    </w:rPr>
  </w:style>
  <w:style w:type="character" w:customStyle="1" w:styleId="1319">
    <w:name w:val="表5.6 Char Char"/>
    <w:qFormat/>
    <w:uiPriority w:val="0"/>
    <w:rPr>
      <w:rFonts w:ascii="黑体" w:eastAsia="黑体"/>
      <w:kern w:val="2"/>
      <w:sz w:val="21"/>
      <w:szCs w:val="26"/>
      <w:lang w:bidi="ar-SA"/>
    </w:rPr>
  </w:style>
  <w:style w:type="character" w:customStyle="1" w:styleId="1320">
    <w:name w:val="yangshi-h41"/>
    <w:qFormat/>
    <w:uiPriority w:val="0"/>
    <w:rPr>
      <w:rFonts w:ascii="黑体" w:eastAsia="黑体"/>
      <w:b/>
      <w:bCs/>
      <w:color w:val="000000"/>
      <w:kern w:val="2"/>
      <w:sz w:val="24"/>
      <w:szCs w:val="24"/>
      <w:lang w:val="en-US" w:eastAsia="zh-CN" w:bidi="ar-SA"/>
    </w:rPr>
  </w:style>
  <w:style w:type="character" w:customStyle="1" w:styleId="1321">
    <w:name w:val="font51"/>
    <w:qFormat/>
    <w:uiPriority w:val="0"/>
    <w:rPr>
      <w:rFonts w:hint="eastAsia" w:ascii="宋体" w:hAnsi="宋体" w:eastAsia="宋体" w:cs="宋体"/>
      <w:color w:val="000000"/>
      <w:sz w:val="21"/>
      <w:szCs w:val="21"/>
      <w:u w:val="none"/>
    </w:rPr>
  </w:style>
  <w:style w:type="character" w:customStyle="1" w:styleId="1322">
    <w:name w:val="样式2 Char Char Char1"/>
    <w:qFormat/>
    <w:uiPriority w:val="0"/>
    <w:rPr>
      <w:rFonts w:ascii="Arial" w:hAnsi="Arial" w:eastAsia="宋体"/>
      <w:b/>
      <w:kern w:val="2"/>
      <w:sz w:val="28"/>
      <w:szCs w:val="24"/>
      <w:lang w:val="en-US" w:eastAsia="zh-CN" w:bidi="ar-SA"/>
    </w:rPr>
  </w:style>
  <w:style w:type="character" w:customStyle="1" w:styleId="1323">
    <w:name w:val="表格 标题 Char Char"/>
    <w:link w:val="1324"/>
    <w:qFormat/>
    <w:locked/>
    <w:uiPriority w:val="0"/>
    <w:rPr>
      <w:rFonts w:ascii="Arial" w:hAnsi="Arial" w:eastAsia="黑体"/>
      <w:b/>
      <w:kern w:val="2"/>
      <w:sz w:val="24"/>
    </w:rPr>
  </w:style>
  <w:style w:type="paragraph" w:customStyle="1" w:styleId="1324">
    <w:name w:val="表格 标题"/>
    <w:basedOn w:val="25"/>
    <w:link w:val="1323"/>
    <w:qFormat/>
    <w:uiPriority w:val="0"/>
    <w:pPr>
      <w:keepNext/>
      <w:keepLines/>
      <w:overflowPunct w:val="0"/>
      <w:adjustRightInd w:val="0"/>
      <w:snapToGrid w:val="0"/>
      <w:spacing w:beforeLines="150" w:line="600" w:lineRule="exact"/>
      <w:ind w:firstLine="200" w:firstLineChars="200"/>
    </w:pPr>
    <w:rPr>
      <w:rFonts w:ascii="Arial" w:hAnsi="Arial" w:eastAsia="黑体"/>
    </w:rPr>
  </w:style>
  <w:style w:type="character" w:customStyle="1" w:styleId="1325">
    <w:name w:val="正文加粗 Char"/>
    <w:link w:val="1326"/>
    <w:semiHidden/>
    <w:qFormat/>
    <w:uiPriority w:val="0"/>
    <w:rPr>
      <w:rFonts w:ascii="宋体" w:hAnsi="宋体"/>
      <w:b/>
      <w:bCs/>
      <w:sz w:val="24"/>
    </w:rPr>
  </w:style>
  <w:style w:type="paragraph" w:customStyle="1" w:styleId="1326">
    <w:name w:val="正文加粗"/>
    <w:basedOn w:val="1"/>
    <w:link w:val="1325"/>
    <w:semiHidden/>
    <w:qFormat/>
    <w:uiPriority w:val="0"/>
    <w:pPr>
      <w:adjustRightInd w:val="0"/>
      <w:snapToGrid w:val="0"/>
      <w:spacing w:line="360" w:lineRule="auto"/>
      <w:ind w:firstLine="482" w:firstLineChars="200"/>
    </w:pPr>
    <w:rPr>
      <w:rFonts w:ascii="宋体" w:hAnsi="宋体"/>
      <w:b/>
      <w:bCs/>
      <w:kern w:val="0"/>
      <w:sz w:val="24"/>
      <w:szCs w:val="20"/>
    </w:rPr>
  </w:style>
  <w:style w:type="character" w:customStyle="1" w:styleId="1327">
    <w:name w:val="Char Char4"/>
    <w:qFormat/>
    <w:uiPriority w:val="0"/>
    <w:rPr>
      <w:rFonts w:eastAsia="黑体"/>
      <w:b/>
      <w:bCs/>
      <w:kern w:val="44"/>
      <w:sz w:val="24"/>
      <w:szCs w:val="44"/>
      <w:lang w:val="en-US" w:eastAsia="zh-CN" w:bidi="ar-SA"/>
    </w:rPr>
  </w:style>
  <w:style w:type="character" w:customStyle="1" w:styleId="1328">
    <w:name w:val="正文—左齐 Char Char Char"/>
    <w:qFormat/>
    <w:uiPriority w:val="0"/>
    <w:rPr>
      <w:rFonts w:eastAsia="宋体"/>
      <w:kern w:val="2"/>
      <w:sz w:val="24"/>
      <w:szCs w:val="24"/>
      <w:lang w:val="en-US" w:eastAsia="zh-CN" w:bidi="ar-SA"/>
    </w:rPr>
  </w:style>
  <w:style w:type="character" w:customStyle="1" w:styleId="1329">
    <w:name w:val="占位符文本1"/>
    <w:semiHidden/>
    <w:qFormat/>
    <w:uiPriority w:val="0"/>
    <w:rPr>
      <w:color w:val="808080"/>
    </w:rPr>
  </w:style>
  <w:style w:type="character" w:customStyle="1" w:styleId="1330">
    <w:name w:val="样式 样式 样式 首行缩进:  2 字符 + 首行缩进:  2 字符 + 首行缩进:  2 字符 Char Char"/>
    <w:qFormat/>
    <w:uiPriority w:val="0"/>
    <w:rPr>
      <w:rFonts w:ascii="Arial" w:hAnsi="Arial" w:eastAsia="新宋体"/>
      <w:kern w:val="2"/>
      <w:sz w:val="24"/>
      <w:lang w:bidi="ar-SA"/>
    </w:rPr>
  </w:style>
  <w:style w:type="character" w:customStyle="1" w:styleId="1331">
    <w:name w:val="正文文本缩进 Char Char"/>
    <w:qFormat/>
    <w:uiPriority w:val="0"/>
    <w:rPr>
      <w:rFonts w:ascii="宋体" w:hAnsi="宋体" w:eastAsia="宋体"/>
      <w:color w:val="000000"/>
      <w:kern w:val="2"/>
      <w:sz w:val="21"/>
      <w:szCs w:val="21"/>
      <w:lang w:val="zh-CN" w:eastAsia="zh-CN" w:bidi="ar-SA"/>
    </w:rPr>
  </w:style>
  <w:style w:type="character" w:customStyle="1" w:styleId="1332">
    <w:name w:val="报告正文 Char Char Char Char Char"/>
    <w:qFormat/>
    <w:uiPriority w:val="0"/>
    <w:rPr>
      <w:rFonts w:eastAsia="宋体" w:cs="宋体"/>
      <w:snapToGrid w:val="0"/>
      <w:kern w:val="24"/>
      <w:sz w:val="24"/>
      <w:szCs w:val="24"/>
      <w:lang w:val="en-US" w:eastAsia="zh-CN" w:bidi="ar-SA"/>
    </w:rPr>
  </w:style>
  <w:style w:type="character" w:customStyle="1" w:styleId="1333">
    <w:name w:val="表格的标题 Char Char"/>
    <w:qFormat/>
    <w:uiPriority w:val="0"/>
    <w:rPr>
      <w:rFonts w:ascii="宋体" w:hAnsi="宋体"/>
      <w:sz w:val="24"/>
      <w:szCs w:val="24"/>
      <w:lang w:bidi="ar-SA"/>
    </w:rPr>
  </w:style>
  <w:style w:type="character" w:customStyle="1" w:styleId="1334">
    <w:name w:val="样式 表标8.2 + 黑体 四号 Char Char"/>
    <w:qFormat/>
    <w:uiPriority w:val="0"/>
    <w:rPr>
      <w:rFonts w:ascii="黑体" w:hAnsi="黑体" w:eastAsia="黑体"/>
      <w:b/>
      <w:bCs/>
      <w:color w:val="000000"/>
      <w:kern w:val="2"/>
      <w:sz w:val="28"/>
      <w:szCs w:val="24"/>
      <w:lang w:bidi="ar-SA"/>
    </w:rPr>
  </w:style>
  <w:style w:type="character" w:customStyle="1" w:styleId="1335">
    <w:name w:val="myfont"/>
    <w:qFormat/>
    <w:uiPriority w:val="0"/>
  </w:style>
  <w:style w:type="character" w:customStyle="1" w:styleId="1336">
    <w:name w:val="样式1 Char Char"/>
    <w:qFormat/>
    <w:uiPriority w:val="0"/>
    <w:rPr>
      <w:rFonts w:ascii="Times New Roman" w:hAnsi="Times New Roman" w:eastAsia="宋体" w:cs="Times New Roman"/>
      <w:color w:val="FF00FF"/>
      <w:kern w:val="0"/>
      <w:sz w:val="28"/>
      <w:szCs w:val="24"/>
      <w:lang w:val="en-US" w:eastAsia="zh-CN" w:bidi="ar-SA"/>
    </w:rPr>
  </w:style>
  <w:style w:type="character" w:customStyle="1" w:styleId="1337">
    <w:name w:val="表文字 Char"/>
    <w:link w:val="1338"/>
    <w:qFormat/>
    <w:uiPriority w:val="0"/>
    <w:rPr>
      <w:kern w:val="2"/>
      <w:sz w:val="21"/>
      <w:szCs w:val="21"/>
    </w:rPr>
  </w:style>
  <w:style w:type="paragraph" w:customStyle="1" w:styleId="1338">
    <w:name w:val="表文字"/>
    <w:basedOn w:val="1"/>
    <w:link w:val="1337"/>
    <w:qFormat/>
    <w:uiPriority w:val="0"/>
    <w:pPr>
      <w:jc w:val="center"/>
    </w:pPr>
    <w:rPr>
      <w:szCs w:val="21"/>
    </w:rPr>
  </w:style>
  <w:style w:type="character" w:customStyle="1" w:styleId="1339">
    <w:name w:val="text25"/>
    <w:qFormat/>
    <w:uiPriority w:val="0"/>
  </w:style>
  <w:style w:type="character" w:customStyle="1" w:styleId="1340">
    <w:name w:val="标题 2 Char Char Char Char Char Char Char Char Char Char Char Char Char Char Char Char Char Char Char Char Char Char Char Char Char Char Char"/>
    <w:qFormat/>
    <w:uiPriority w:val="0"/>
    <w:rPr>
      <w:rFonts w:ascii="Arial" w:hAnsi="Arial" w:eastAsia="黑体"/>
      <w:b/>
      <w:bCs/>
      <w:kern w:val="2"/>
      <w:sz w:val="32"/>
      <w:szCs w:val="32"/>
      <w:lang w:val="en-US" w:eastAsia="zh-CN" w:bidi="ar-SA"/>
    </w:rPr>
  </w:style>
  <w:style w:type="character" w:customStyle="1" w:styleId="1341">
    <w:name w:val="yyp Char Char"/>
    <w:link w:val="1342"/>
    <w:qFormat/>
    <w:uiPriority w:val="0"/>
    <w:rPr>
      <w:sz w:val="24"/>
    </w:rPr>
  </w:style>
  <w:style w:type="paragraph" w:customStyle="1" w:styleId="1342">
    <w:name w:val="yyp"/>
    <w:basedOn w:val="1"/>
    <w:link w:val="1341"/>
    <w:qFormat/>
    <w:uiPriority w:val="0"/>
    <w:pPr>
      <w:spacing w:after="120" w:line="360" w:lineRule="auto"/>
      <w:ind w:firstLine="480" w:firstLineChars="200"/>
    </w:pPr>
    <w:rPr>
      <w:kern w:val="0"/>
      <w:sz w:val="24"/>
      <w:szCs w:val="20"/>
    </w:rPr>
  </w:style>
  <w:style w:type="character" w:customStyle="1" w:styleId="1343">
    <w:name w:val="样式 正文文本 2 + 宋体 小四 黑色 Char Char"/>
    <w:qFormat/>
    <w:uiPriority w:val="0"/>
    <w:rPr>
      <w:rFonts w:ascii="宋体" w:hAnsi="宋体" w:eastAsia="隶书" w:cs="宋体"/>
      <w:color w:val="000000"/>
      <w:spacing w:val="10"/>
      <w:kern w:val="2"/>
      <w:sz w:val="24"/>
      <w:szCs w:val="28"/>
      <w:lang w:val="en-US" w:eastAsia="zh-CN" w:bidi="ar-SA"/>
    </w:rPr>
  </w:style>
  <w:style w:type="character" w:customStyle="1" w:styleId="1344">
    <w:name w:val="正文（首行缩进两字） Char Char Char Char Char Char Char1"/>
    <w:qFormat/>
    <w:uiPriority w:val="0"/>
    <w:rPr>
      <w:rFonts w:ascii="仿宋_GB2312" w:eastAsia="仿宋_GB2312"/>
      <w:color w:val="000000"/>
      <w:kern w:val="2"/>
      <w:sz w:val="28"/>
      <w:lang w:val="en-US" w:eastAsia="zh-CN"/>
    </w:rPr>
  </w:style>
  <w:style w:type="character" w:customStyle="1" w:styleId="1345">
    <w:name w:val="首行缩进 Char Char Char Char Char Char Char"/>
    <w:qFormat/>
    <w:uiPriority w:val="0"/>
    <w:rPr>
      <w:rFonts w:ascii="宋体" w:eastAsia="宋体"/>
      <w:kern w:val="2"/>
      <w:sz w:val="24"/>
      <w:szCs w:val="24"/>
      <w:lang w:val="en-US" w:eastAsia="zh-CN" w:bidi="ar-SA"/>
    </w:rPr>
  </w:style>
  <w:style w:type="character" w:customStyle="1" w:styleId="1346">
    <w:name w:val="EmailStyle1700"/>
    <w:semiHidden/>
    <w:qFormat/>
    <w:uiPriority w:val="0"/>
    <w:rPr>
      <w:rFonts w:ascii="Arial" w:hAnsi="Arial" w:eastAsia="宋体" w:cs="Arial"/>
      <w:color w:val="auto"/>
      <w:sz w:val="18"/>
      <w:szCs w:val="20"/>
    </w:rPr>
  </w:style>
  <w:style w:type="character" w:customStyle="1" w:styleId="1347">
    <w:name w:val="样式 (符号) 宋体 四号2"/>
    <w:qFormat/>
    <w:uiPriority w:val="0"/>
    <w:rPr>
      <w:rFonts w:ascii="宋体" w:eastAsia="宋体"/>
      <w:spacing w:val="-6"/>
      <w:kern w:val="2"/>
      <w:sz w:val="28"/>
      <w:szCs w:val="24"/>
      <w:lang w:val="en-US" w:eastAsia="zh-CN" w:bidi="ar-SA"/>
    </w:rPr>
  </w:style>
  <w:style w:type="character" w:customStyle="1" w:styleId="1348">
    <w:name w:val="lishishuju"/>
    <w:qFormat/>
    <w:uiPriority w:val="0"/>
    <w:rPr>
      <w:b/>
      <w:color w:val="000052"/>
      <w:sz w:val="24"/>
      <w:szCs w:val="24"/>
      <w:bdr w:val="single" w:color="E3E3E3" w:sz="6" w:space="0"/>
    </w:rPr>
  </w:style>
  <w:style w:type="character" w:customStyle="1" w:styleId="1349">
    <w:name w:val="页脚 Char Char"/>
    <w:qFormat/>
    <w:uiPriority w:val="0"/>
    <w:rPr>
      <w:rFonts w:ascii="Times New Roman" w:hAnsi="Times New Roman" w:eastAsia="宋体" w:cs="Times New Roman"/>
      <w:kern w:val="0"/>
      <w:sz w:val="18"/>
      <w:szCs w:val="18"/>
      <w:lang w:val="en-US" w:eastAsia="zh-CN" w:bidi="ar-SA"/>
    </w:rPr>
  </w:style>
  <w:style w:type="character" w:customStyle="1" w:styleId="1350">
    <w:name w:val="EmailStyle1702"/>
    <w:semiHidden/>
    <w:qFormat/>
    <w:uiPriority w:val="0"/>
    <w:rPr>
      <w:rFonts w:ascii="Arial" w:hAnsi="Arial" w:eastAsia="宋体" w:cs="Arial"/>
      <w:color w:val="auto"/>
      <w:sz w:val="18"/>
      <w:szCs w:val="20"/>
    </w:rPr>
  </w:style>
  <w:style w:type="character" w:customStyle="1" w:styleId="1351">
    <w:name w:val="Body text + 11 pt1"/>
    <w:qFormat/>
    <w:uiPriority w:val="0"/>
    <w:rPr>
      <w:rFonts w:ascii="宋体" w:hAnsi="宋体" w:eastAsia="宋体" w:cs="宋体"/>
      <w:b/>
      <w:bCs/>
      <w:spacing w:val="-10"/>
      <w:sz w:val="22"/>
      <w:szCs w:val="22"/>
      <w:u w:val="none"/>
      <w:lang w:val="en-US" w:eastAsia="zh-CN" w:bidi="ar-SA"/>
    </w:rPr>
  </w:style>
  <w:style w:type="character" w:customStyle="1" w:styleId="1352">
    <w:name w:val="样式 纯文本 + Times New Roman 小四 Char"/>
    <w:link w:val="1353"/>
    <w:qFormat/>
    <w:locked/>
    <w:uiPriority w:val="0"/>
    <w:rPr>
      <w:rFonts w:ascii="宋体" w:hAnsi="Courier New"/>
      <w:b/>
      <w:bCs/>
      <w:snapToGrid/>
      <w:kern w:val="2"/>
      <w:sz w:val="24"/>
      <w:szCs w:val="21"/>
    </w:rPr>
  </w:style>
  <w:style w:type="paragraph" w:customStyle="1" w:styleId="1353">
    <w:name w:val="样式 纯文本 + Times New Roman 小四"/>
    <w:basedOn w:val="48"/>
    <w:link w:val="1352"/>
    <w:qFormat/>
    <w:uiPriority w:val="0"/>
    <w:pPr>
      <w:widowControl w:val="0"/>
      <w:spacing w:before="120" w:after="120"/>
      <w:ind w:firstLine="567"/>
      <w:jc w:val="both"/>
    </w:pPr>
    <w:rPr>
      <w:rFonts w:cs="Times New Roman"/>
      <w:b/>
      <w:bCs/>
      <w:snapToGrid w:val="0"/>
      <w:kern w:val="2"/>
    </w:rPr>
  </w:style>
  <w:style w:type="character" w:customStyle="1" w:styleId="1354">
    <w:name w:val="Char Char36"/>
    <w:qFormat/>
    <w:uiPriority w:val="0"/>
    <w:rPr>
      <w:rFonts w:ascii="Times New Roman" w:hAnsi="Times New Roman" w:eastAsia="宋体" w:cs="Times New Roman"/>
      <w:b/>
      <w:bCs/>
      <w:kern w:val="44"/>
      <w:sz w:val="44"/>
      <w:szCs w:val="44"/>
    </w:rPr>
  </w:style>
  <w:style w:type="character" w:customStyle="1" w:styleId="1355">
    <w:name w:val="标题 9 Char Char"/>
    <w:qFormat/>
    <w:uiPriority w:val="0"/>
    <w:rPr>
      <w:rFonts w:ascii="宋体" w:hAnsi="Arial" w:eastAsia="宋体" w:cs="Times New Roman"/>
      <w:kern w:val="28"/>
      <w:sz w:val="28"/>
      <w:szCs w:val="20"/>
      <w:lang w:val="en-US" w:eastAsia="zh-CN" w:bidi="ar-SA"/>
    </w:rPr>
  </w:style>
  <w:style w:type="character" w:customStyle="1" w:styleId="1356">
    <w:name w:val="lable"/>
    <w:qFormat/>
    <w:uiPriority w:val="0"/>
    <w:rPr>
      <w:sz w:val="24"/>
      <w:szCs w:val="24"/>
    </w:rPr>
  </w:style>
  <w:style w:type="character" w:customStyle="1" w:styleId="1357">
    <w:name w:val="小三 加粗 无缩进左对齐"/>
    <w:unhideWhenUsed/>
    <w:qFormat/>
    <w:uiPriority w:val="0"/>
    <w:rPr>
      <w:b/>
      <w:bCs/>
      <w:sz w:val="30"/>
    </w:rPr>
  </w:style>
  <w:style w:type="character" w:customStyle="1" w:styleId="1358">
    <w:name w:val="中央沙正文 Char Char Char Char"/>
    <w:link w:val="1359"/>
    <w:qFormat/>
    <w:uiPriority w:val="0"/>
    <w:rPr>
      <w:color w:val="000000"/>
      <w:kern w:val="2"/>
      <w:sz w:val="28"/>
      <w:szCs w:val="28"/>
    </w:rPr>
  </w:style>
  <w:style w:type="paragraph" w:customStyle="1" w:styleId="1359">
    <w:name w:val="中央沙正文 Char Char Char"/>
    <w:basedOn w:val="1"/>
    <w:link w:val="1358"/>
    <w:qFormat/>
    <w:uiPriority w:val="0"/>
    <w:pPr>
      <w:spacing w:line="520" w:lineRule="exact"/>
      <w:ind w:firstLine="560" w:firstLineChars="200"/>
      <w:jc w:val="left"/>
    </w:pPr>
    <w:rPr>
      <w:color w:val="000000"/>
      <w:sz w:val="28"/>
      <w:szCs w:val="28"/>
    </w:rPr>
  </w:style>
  <w:style w:type="character" w:customStyle="1" w:styleId="1360">
    <w:name w:val="正文1 Char Char"/>
    <w:qFormat/>
    <w:uiPriority w:val="0"/>
    <w:rPr>
      <w:rFonts w:ascii="宋体" w:eastAsia="宋体"/>
      <w:sz w:val="28"/>
      <w:lang w:val="en-US" w:eastAsia="zh-CN" w:bidi="ar-SA"/>
    </w:rPr>
  </w:style>
  <w:style w:type="character" w:customStyle="1" w:styleId="1361">
    <w:name w:val="Char Char2"/>
    <w:qFormat/>
    <w:uiPriority w:val="0"/>
    <w:rPr>
      <w:rFonts w:eastAsia="宋体"/>
      <w:kern w:val="2"/>
      <w:sz w:val="18"/>
      <w:szCs w:val="18"/>
      <w:lang w:val="en-US" w:eastAsia="zh-CN" w:bidi="ar-SA"/>
    </w:rPr>
  </w:style>
  <w:style w:type="character" w:customStyle="1" w:styleId="1362">
    <w:name w:val="Char Char142"/>
    <w:qFormat/>
    <w:uiPriority w:val="0"/>
    <w:rPr>
      <w:rFonts w:ascii="宋体" w:hAnsi="Times New Roman" w:eastAsia="宋体" w:cs="Times New Roman"/>
      <w:sz w:val="18"/>
      <w:szCs w:val="18"/>
    </w:rPr>
  </w:style>
  <w:style w:type="character" w:customStyle="1" w:styleId="1363">
    <w:name w:val="google-src-text1"/>
    <w:qFormat/>
    <w:uiPriority w:val="0"/>
    <w:rPr>
      <w:vanish/>
    </w:rPr>
  </w:style>
  <w:style w:type="character" w:customStyle="1" w:styleId="1364">
    <w:name w:val="Body text + 10.5 pt7"/>
    <w:qFormat/>
    <w:uiPriority w:val="0"/>
    <w:rPr>
      <w:rFonts w:ascii="宋体" w:eastAsia="宋体" w:cs="宋体"/>
      <w:spacing w:val="-20"/>
      <w:sz w:val="21"/>
      <w:szCs w:val="21"/>
      <w:u w:val="none"/>
      <w:lang w:bidi="ar-SA"/>
    </w:rPr>
  </w:style>
  <w:style w:type="character" w:customStyle="1" w:styleId="1365">
    <w:name w:val="font81"/>
    <w:qFormat/>
    <w:uiPriority w:val="0"/>
    <w:rPr>
      <w:rFonts w:hint="default" w:ascii="Times New Roman" w:hAnsi="Times New Roman" w:cs="Times New Roman"/>
      <w:color w:val="000000"/>
      <w:sz w:val="24"/>
      <w:szCs w:val="24"/>
      <w:u w:val="none"/>
      <w:vertAlign w:val="subscript"/>
    </w:rPr>
  </w:style>
  <w:style w:type="character" w:customStyle="1" w:styleId="1366">
    <w:name w:val="标题2 Char"/>
    <w:link w:val="1367"/>
    <w:qFormat/>
    <w:uiPriority w:val="0"/>
    <w:rPr>
      <w:rFonts w:ascii="宋体" w:hAnsi="宋体" w:eastAsia="方正楷体_GBK" w:cs="宋体"/>
      <w:snapToGrid/>
      <w:sz w:val="32"/>
    </w:rPr>
  </w:style>
  <w:style w:type="paragraph" w:customStyle="1" w:styleId="1367">
    <w:name w:val="标题2"/>
    <w:basedOn w:val="1"/>
    <w:next w:val="1"/>
    <w:link w:val="1366"/>
    <w:qFormat/>
    <w:uiPriority w:val="0"/>
    <w:pPr>
      <w:widowControl/>
      <w:autoSpaceDE w:val="0"/>
      <w:autoSpaceDN w:val="0"/>
      <w:snapToGrid w:val="0"/>
      <w:spacing w:line="590" w:lineRule="atLeast"/>
      <w:jc w:val="center"/>
    </w:pPr>
    <w:rPr>
      <w:rFonts w:ascii="宋体" w:hAnsi="宋体" w:eastAsia="方正楷体_GBK" w:cs="宋体"/>
      <w:snapToGrid w:val="0"/>
      <w:kern w:val="0"/>
      <w:sz w:val="32"/>
      <w:szCs w:val="20"/>
    </w:rPr>
  </w:style>
  <w:style w:type="character" w:customStyle="1" w:styleId="1368">
    <w:name w:val="Char Char38"/>
    <w:qFormat/>
    <w:uiPriority w:val="0"/>
    <w:rPr>
      <w:rFonts w:ascii="宋体" w:hAnsi="宋体"/>
      <w:kern w:val="2"/>
      <w:sz w:val="21"/>
      <w:lang w:bidi="ar-SA"/>
    </w:rPr>
  </w:style>
  <w:style w:type="character" w:customStyle="1" w:styleId="1369">
    <w:name w:val="表题 Char Char Char Char Char"/>
    <w:qFormat/>
    <w:uiPriority w:val="0"/>
    <w:rPr>
      <w:rFonts w:eastAsia="黑体"/>
      <w:sz w:val="24"/>
      <w:lang w:val="en-US" w:eastAsia="zh-CN" w:bidi="ar-SA"/>
    </w:rPr>
  </w:style>
  <w:style w:type="character" w:customStyle="1" w:styleId="1370">
    <w:name w:val="报告正文 Char Char Char Char Char Char"/>
    <w:qFormat/>
    <w:uiPriority w:val="0"/>
    <w:rPr>
      <w:rFonts w:eastAsia="宋体" w:cs="宋体"/>
      <w:snapToGrid w:val="0"/>
      <w:kern w:val="24"/>
      <w:sz w:val="24"/>
      <w:szCs w:val="24"/>
      <w:lang w:val="en-US" w:eastAsia="zh-CN" w:bidi="ar-SA"/>
    </w:rPr>
  </w:style>
  <w:style w:type="character" w:customStyle="1" w:styleId="1371">
    <w:name w:val="正文首行缩进 2 + Times New Roman Char1"/>
    <w:qFormat/>
    <w:uiPriority w:val="0"/>
    <w:rPr>
      <w:rFonts w:eastAsia="宋体"/>
      <w:b/>
      <w:sz w:val="24"/>
      <w:szCs w:val="24"/>
      <w:lang w:val="en-US" w:eastAsia="zh-CN" w:bidi="ar-SA"/>
    </w:rPr>
  </w:style>
  <w:style w:type="character" w:customStyle="1" w:styleId="1372">
    <w:name w:val="批注引用21"/>
    <w:qFormat/>
    <w:uiPriority w:val="0"/>
    <w:rPr>
      <w:sz w:val="21"/>
      <w:szCs w:val="21"/>
    </w:rPr>
  </w:style>
  <w:style w:type="character" w:customStyle="1" w:styleId="1373">
    <w:name w:val="text51"/>
    <w:qFormat/>
    <w:uiPriority w:val="0"/>
    <w:rPr>
      <w:color w:val="FF0000"/>
      <w:spacing w:val="0"/>
      <w:sz w:val="21"/>
      <w:szCs w:val="21"/>
    </w:rPr>
  </w:style>
  <w:style w:type="character" w:customStyle="1" w:styleId="1374">
    <w:name w:val="样式 题注 + 宋体 小四1 Char Char"/>
    <w:qFormat/>
    <w:uiPriority w:val="0"/>
    <w:rPr>
      <w:rFonts w:ascii="宋体" w:hAnsi="宋体" w:eastAsia="宋体" w:cs="Arial"/>
      <w:kern w:val="2"/>
      <w:sz w:val="24"/>
      <w:lang w:val="en-US" w:eastAsia="zh-CN" w:bidi="ar-SA"/>
    </w:rPr>
  </w:style>
  <w:style w:type="character" w:customStyle="1" w:styleId="1375">
    <w:name w:val="标题 4 Char Char Char Char Char Char Char Char Char Char Char Char Char Char Char Char Char Char Char"/>
    <w:qFormat/>
    <w:uiPriority w:val="0"/>
    <w:rPr>
      <w:rFonts w:ascii="Arial" w:hAnsi="Arial" w:eastAsia="黑体"/>
      <w:b/>
      <w:bCs/>
      <w:snapToGrid w:val="0"/>
      <w:sz w:val="24"/>
      <w:szCs w:val="28"/>
      <w:lang w:val="en-US" w:eastAsia="zh-CN"/>
    </w:rPr>
  </w:style>
  <w:style w:type="character" w:customStyle="1" w:styleId="1376">
    <w:name w:val="chen 正文字体 Char Char"/>
    <w:qFormat/>
    <w:uiPriority w:val="0"/>
    <w:rPr>
      <w:rFonts w:ascii="宋体" w:hAnsi="宋体"/>
      <w:color w:val="000000"/>
      <w:kern w:val="2"/>
      <w:sz w:val="24"/>
      <w:lang w:bidi="ar-SA"/>
    </w:rPr>
  </w:style>
  <w:style w:type="character" w:customStyle="1" w:styleId="1377">
    <w:name w:val="black000"/>
    <w:qFormat/>
    <w:uiPriority w:val="0"/>
    <w:rPr>
      <w:szCs w:val="21"/>
    </w:rPr>
  </w:style>
  <w:style w:type="character" w:customStyle="1" w:styleId="1378">
    <w:name w:val="标题 2 Char1"/>
    <w:qFormat/>
    <w:uiPriority w:val="0"/>
    <w:rPr>
      <w:rFonts w:eastAsia="黑体"/>
      <w:b/>
      <w:bCs/>
      <w:kern w:val="2"/>
      <w:sz w:val="24"/>
      <w:szCs w:val="24"/>
      <w:lang w:val="en-US" w:eastAsia="zh-CN" w:bidi="ar-SA"/>
    </w:rPr>
  </w:style>
  <w:style w:type="character" w:customStyle="1" w:styleId="1379">
    <w:name w:val="000样式 报告书正文 + 首行缩进:  2 字符 Char Char"/>
    <w:qFormat/>
    <w:uiPriority w:val="0"/>
    <w:rPr>
      <w:rFonts w:ascii="宋体" w:hAnsi="宋体"/>
      <w:bCs/>
      <w:color w:val="000000"/>
      <w:spacing w:val="6"/>
      <w:sz w:val="24"/>
      <w:szCs w:val="24"/>
      <w:lang w:bidi="ar-SA"/>
    </w:rPr>
  </w:style>
  <w:style w:type="character" w:customStyle="1" w:styleId="1380">
    <w:name w:val="南沙正文 Char"/>
    <w:link w:val="1381"/>
    <w:qFormat/>
    <w:uiPriority w:val="0"/>
    <w:rPr>
      <w:kern w:val="2"/>
      <w:sz w:val="24"/>
    </w:rPr>
  </w:style>
  <w:style w:type="paragraph" w:customStyle="1" w:styleId="1381">
    <w:name w:val="南沙正文"/>
    <w:basedOn w:val="721"/>
    <w:link w:val="1380"/>
    <w:qFormat/>
    <w:uiPriority w:val="0"/>
    <w:pPr>
      <w:ind w:firstLine="480"/>
    </w:pPr>
  </w:style>
  <w:style w:type="character" w:customStyle="1" w:styleId="1382">
    <w:name w:val="Char24"/>
    <w:qFormat/>
    <w:uiPriority w:val="0"/>
    <w:rPr>
      <w:rFonts w:eastAsia="宋体"/>
      <w:kern w:val="2"/>
      <w:sz w:val="21"/>
      <w:szCs w:val="24"/>
      <w:lang w:val="en-US" w:eastAsia="zh-CN" w:bidi="ar-SA"/>
    </w:rPr>
  </w:style>
  <w:style w:type="character" w:customStyle="1" w:styleId="1383">
    <w:name w:val="样式 正文报告 + Char Char"/>
    <w:qFormat/>
    <w:uiPriority w:val="0"/>
  </w:style>
  <w:style w:type="character" w:customStyle="1" w:styleId="1384">
    <w:name w:val="nospace1"/>
    <w:qFormat/>
    <w:uiPriority w:val="0"/>
  </w:style>
  <w:style w:type="character" w:customStyle="1" w:styleId="1385">
    <w:name w:val="植物名称 Char"/>
    <w:link w:val="1386"/>
    <w:semiHidden/>
    <w:qFormat/>
    <w:uiPriority w:val="0"/>
    <w:rPr>
      <w:i/>
      <w:sz w:val="24"/>
    </w:rPr>
  </w:style>
  <w:style w:type="paragraph" w:customStyle="1" w:styleId="1386">
    <w:name w:val="植物名称"/>
    <w:basedOn w:val="551"/>
    <w:link w:val="1385"/>
    <w:semiHidden/>
    <w:qFormat/>
    <w:uiPriority w:val="0"/>
    <w:rPr>
      <w:i/>
    </w:rPr>
  </w:style>
  <w:style w:type="character" w:customStyle="1" w:styleId="1387">
    <w:name w:val="乐清表1 Char"/>
    <w:link w:val="1388"/>
    <w:qFormat/>
    <w:uiPriority w:val="0"/>
    <w:rPr>
      <w:rFonts w:ascii="等线" w:hAnsi="等线"/>
      <w:b/>
      <w:sz w:val="21"/>
      <w:szCs w:val="21"/>
    </w:rPr>
  </w:style>
  <w:style w:type="paragraph" w:customStyle="1" w:styleId="1388">
    <w:name w:val="乐清表1"/>
    <w:basedOn w:val="618"/>
    <w:link w:val="1387"/>
    <w:qFormat/>
    <w:uiPriority w:val="0"/>
    <w:pPr>
      <w:widowControl w:val="0"/>
      <w:numPr>
        <w:ilvl w:val="0"/>
        <w:numId w:val="11"/>
      </w:numPr>
      <w:tabs>
        <w:tab w:val="left" w:pos="726"/>
      </w:tabs>
      <w:spacing w:line="360" w:lineRule="auto"/>
      <w:ind w:firstLine="0" w:firstLineChars="0"/>
      <w:jc w:val="center"/>
    </w:pPr>
    <w:rPr>
      <w:rFonts w:ascii="等线" w:hAnsi="等线" w:cs="Times New Roman"/>
      <w:b/>
      <w:sz w:val="21"/>
      <w:szCs w:val="21"/>
    </w:rPr>
  </w:style>
  <w:style w:type="character" w:customStyle="1" w:styleId="1389">
    <w:name w:val="Char51"/>
    <w:qFormat/>
    <w:uiPriority w:val="0"/>
    <w:rPr>
      <w:rFonts w:eastAsia="宋体"/>
      <w:kern w:val="2"/>
      <w:sz w:val="18"/>
      <w:szCs w:val="18"/>
      <w:lang w:val="en-US" w:eastAsia="zh-CN" w:bidi="ar-SA"/>
    </w:rPr>
  </w:style>
  <w:style w:type="character" w:customStyle="1" w:styleId="1390">
    <w:name w:val="CM106 Char Char"/>
    <w:qFormat/>
    <w:uiPriority w:val="0"/>
    <w:rPr>
      <w:rFonts w:ascii="仿宋" w:hAnsi="仿宋" w:eastAsia="仿宋"/>
      <w:color w:val="000000"/>
      <w:sz w:val="24"/>
      <w:szCs w:val="24"/>
      <w:lang w:bidi="ar-SA"/>
    </w:rPr>
  </w:style>
  <w:style w:type="character" w:customStyle="1" w:styleId="1391">
    <w:name w:val="样式 纯文本 + Times New Roman 小四 Char Char Char"/>
    <w:qFormat/>
    <w:uiPriority w:val="0"/>
    <w:rPr>
      <w:rFonts w:ascii="宋体" w:hAnsi="Courier New"/>
      <w:b/>
      <w:bCs/>
      <w:snapToGrid w:val="0"/>
      <w:kern w:val="2"/>
      <w:sz w:val="24"/>
      <w:szCs w:val="21"/>
      <w:lang w:bidi="ar-SA"/>
    </w:rPr>
  </w:style>
  <w:style w:type="character" w:customStyle="1" w:styleId="1392">
    <w:name w:val="Char Char1511"/>
    <w:qFormat/>
    <w:uiPriority w:val="0"/>
    <w:rPr>
      <w:rFonts w:ascii="Arial" w:hAnsi="Arial" w:eastAsia="黑体"/>
      <w:bCs/>
      <w:kern w:val="2"/>
      <w:sz w:val="24"/>
      <w:szCs w:val="28"/>
    </w:rPr>
  </w:style>
  <w:style w:type="character" w:customStyle="1" w:styleId="1393">
    <w:name w:val="样式 报告书表格 + 五号 Char"/>
    <w:link w:val="1394"/>
    <w:qFormat/>
    <w:uiPriority w:val="0"/>
    <w:rPr>
      <w:kern w:val="2"/>
      <w:sz w:val="21"/>
      <w:szCs w:val="21"/>
    </w:rPr>
  </w:style>
  <w:style w:type="paragraph" w:customStyle="1" w:styleId="1394">
    <w:name w:val="样式 报告书表格 + 五号"/>
    <w:basedOn w:val="1318"/>
    <w:link w:val="1393"/>
    <w:qFormat/>
    <w:uiPriority w:val="0"/>
    <w:pPr>
      <w:widowControl/>
      <w:tabs>
        <w:tab w:val="center" w:pos="4540"/>
        <w:tab w:val="right" w:pos="8505"/>
      </w:tabs>
      <w:spacing w:before="0" w:after="0" w:line="240" w:lineRule="auto"/>
      <w:jc w:val="both"/>
    </w:pPr>
    <w:rPr>
      <w:kern w:val="2"/>
      <w:sz w:val="21"/>
      <w:szCs w:val="21"/>
    </w:rPr>
  </w:style>
  <w:style w:type="character" w:customStyle="1" w:styleId="1395">
    <w:name w:val="福州正文 Char Char"/>
    <w:qFormat/>
    <w:uiPriority w:val="0"/>
    <w:rPr>
      <w:rFonts w:ascii="华文细黑" w:hAnsi="Arial Narrow" w:eastAsia="华文细黑"/>
      <w:szCs w:val="21"/>
      <w:lang w:bidi="ar-SA"/>
    </w:rPr>
  </w:style>
  <w:style w:type="character" w:customStyle="1" w:styleId="1396">
    <w:name w:val="标题 1 Char Char Char"/>
    <w:qFormat/>
    <w:uiPriority w:val="0"/>
    <w:rPr>
      <w:rFonts w:eastAsia="黑体"/>
      <w:b/>
      <w:bCs/>
      <w:kern w:val="44"/>
      <w:sz w:val="24"/>
      <w:szCs w:val="44"/>
      <w:lang w:val="en-US" w:eastAsia="zh-CN" w:bidi="ar-SA"/>
    </w:rPr>
  </w:style>
  <w:style w:type="character" w:customStyle="1" w:styleId="1397">
    <w:name w:val="标题 7 Char Char"/>
    <w:qFormat/>
    <w:uiPriority w:val="0"/>
    <w:rPr>
      <w:rFonts w:ascii="宋体" w:hAnsi="Univers" w:eastAsia="宋体" w:cs="Times New Roman"/>
      <w:kern w:val="28"/>
      <w:sz w:val="28"/>
      <w:szCs w:val="20"/>
      <w:lang w:val="en-US" w:eastAsia="zh-CN" w:bidi="ar-SA"/>
    </w:rPr>
  </w:style>
  <w:style w:type="character" w:customStyle="1" w:styleId="1398">
    <w:name w:val="unnamed21"/>
    <w:qFormat/>
    <w:uiPriority w:val="0"/>
    <w:rPr>
      <w:color w:val="000000"/>
      <w:spacing w:val="320"/>
      <w:sz w:val="21"/>
      <w:szCs w:val="21"/>
    </w:rPr>
  </w:style>
  <w:style w:type="character" w:customStyle="1" w:styleId="1399">
    <w:name w:val="正文文本 2 Char1"/>
    <w:semiHidden/>
    <w:qFormat/>
    <w:uiPriority w:val="0"/>
  </w:style>
  <w:style w:type="character" w:customStyle="1" w:styleId="1400">
    <w:name w:val="main61"/>
    <w:qFormat/>
    <w:uiPriority w:val="0"/>
    <w:rPr>
      <w:b/>
      <w:bCs/>
      <w:sz w:val="24"/>
      <w:szCs w:val="24"/>
    </w:rPr>
  </w:style>
  <w:style w:type="character" w:customStyle="1" w:styleId="1401">
    <w:name w:val="样式 正文首行缩进 + 黑色 Char Char"/>
    <w:qFormat/>
    <w:uiPriority w:val="0"/>
    <w:rPr>
      <w:rFonts w:eastAsia="宋体" w:cs="宋体"/>
      <w:color w:val="000000"/>
      <w:sz w:val="24"/>
      <w:szCs w:val="24"/>
      <w:lang w:val="en-US" w:eastAsia="zh-CN" w:bidi="ar-SA"/>
    </w:rPr>
  </w:style>
  <w:style w:type="character" w:customStyle="1" w:styleId="1402">
    <w:name w:val="条标题1.1.1 Char2"/>
    <w:qFormat/>
    <w:uiPriority w:val="0"/>
    <w:rPr>
      <w:rFonts w:ascii="Times New Roman" w:hAnsi="Times New Roman" w:eastAsia="宋体" w:cs="Times New Roman"/>
      <w:b/>
      <w:bCs/>
      <w:sz w:val="32"/>
      <w:szCs w:val="32"/>
    </w:rPr>
  </w:style>
  <w:style w:type="character" w:customStyle="1" w:styleId="1403">
    <w:name w:val="表内 Char Char"/>
    <w:qFormat/>
    <w:uiPriority w:val="0"/>
    <w:rPr>
      <w:rFonts w:eastAsia="仿宋_GB2312"/>
      <w:szCs w:val="24"/>
      <w:lang w:bidi="ar-SA"/>
    </w:rPr>
  </w:style>
  <w:style w:type="character" w:customStyle="1" w:styleId="1404">
    <w:name w:val="headline-content2"/>
    <w:qFormat/>
    <w:uiPriority w:val="0"/>
  </w:style>
  <w:style w:type="character" w:customStyle="1" w:styleId="1405">
    <w:name w:val="标题一样式 Char"/>
    <w:link w:val="1406"/>
    <w:qFormat/>
    <w:uiPriority w:val="0"/>
    <w:rPr>
      <w:b/>
      <w:bCs/>
      <w:kern w:val="44"/>
      <w:sz w:val="32"/>
      <w:szCs w:val="32"/>
    </w:rPr>
  </w:style>
  <w:style w:type="paragraph" w:customStyle="1" w:styleId="1406">
    <w:name w:val="标题一样式"/>
    <w:basedOn w:val="7"/>
    <w:link w:val="1405"/>
    <w:qFormat/>
    <w:uiPriority w:val="0"/>
    <w:pPr>
      <w:keepLines/>
      <w:overflowPunct/>
      <w:adjustRightInd w:val="0"/>
      <w:spacing w:before="340" w:beforeLines="100" w:after="330" w:afterLines="100" w:line="480" w:lineRule="auto"/>
      <w:ind w:left="420" w:hanging="420"/>
      <w:jc w:val="left"/>
    </w:pPr>
    <w:rPr>
      <w:rFonts w:eastAsia="宋体"/>
      <w:color w:val="auto"/>
      <w:sz w:val="32"/>
      <w:szCs w:val="32"/>
    </w:rPr>
  </w:style>
  <w:style w:type="character" w:customStyle="1" w:styleId="1407">
    <w:name w:val="乐清3级 Char"/>
    <w:link w:val="1408"/>
    <w:qFormat/>
    <w:uiPriority w:val="0"/>
    <w:rPr>
      <w:rFonts w:ascii="等线" w:hAnsi="宋体"/>
      <w:b/>
      <w:sz w:val="34"/>
    </w:rPr>
  </w:style>
  <w:style w:type="paragraph" w:customStyle="1" w:styleId="1408">
    <w:name w:val="乐清3级"/>
    <w:basedOn w:val="632"/>
    <w:link w:val="1407"/>
    <w:qFormat/>
    <w:uiPriority w:val="0"/>
    <w:pPr>
      <w:tabs>
        <w:tab w:val="left" w:pos="360"/>
        <w:tab w:val="clear" w:pos="425"/>
        <w:tab w:val="clear" w:pos="726"/>
      </w:tabs>
      <w:outlineLvl w:val="2"/>
    </w:pPr>
    <w:rPr>
      <w:rFonts w:hAnsi="宋体"/>
    </w:rPr>
  </w:style>
  <w:style w:type="character" w:customStyle="1" w:styleId="1409">
    <w:name w:val="Char Char3"/>
    <w:qFormat/>
    <w:uiPriority w:val="0"/>
    <w:rPr>
      <w:rFonts w:ascii="Arial" w:hAnsi="Arial" w:eastAsia="宋体"/>
      <w:kern w:val="2"/>
      <w:sz w:val="18"/>
      <w:szCs w:val="18"/>
      <w:lang w:val="en-US" w:eastAsia="zh-CN" w:bidi="ar-SA"/>
    </w:rPr>
  </w:style>
  <w:style w:type="character" w:customStyle="1" w:styleId="1410">
    <w:name w:val="表头上海 Char"/>
    <w:link w:val="1411"/>
    <w:qFormat/>
    <w:uiPriority w:val="0"/>
    <w:rPr>
      <w:rFonts w:ascii="仿宋_GB2312" w:eastAsia="仿宋_GB2312"/>
      <w:kern w:val="2"/>
      <w:sz w:val="24"/>
      <w:szCs w:val="24"/>
    </w:rPr>
  </w:style>
  <w:style w:type="paragraph" w:customStyle="1" w:styleId="1411">
    <w:name w:val="表头上海"/>
    <w:basedOn w:val="1"/>
    <w:link w:val="1410"/>
    <w:qFormat/>
    <w:uiPriority w:val="0"/>
    <w:pPr>
      <w:adjustRightInd w:val="0"/>
      <w:snapToGrid w:val="0"/>
      <w:spacing w:beforeLines="50" w:afterLines="25"/>
      <w:jc w:val="center"/>
    </w:pPr>
    <w:rPr>
      <w:rFonts w:ascii="仿宋_GB2312" w:eastAsia="仿宋_GB2312"/>
      <w:sz w:val="24"/>
    </w:rPr>
  </w:style>
  <w:style w:type="character" w:customStyle="1" w:styleId="1412">
    <w:name w:val="content"/>
    <w:qFormat/>
    <w:uiPriority w:val="0"/>
  </w:style>
  <w:style w:type="character" w:customStyle="1" w:styleId="1413">
    <w:name w:val="样式 标题 11.标题 1H1Chapter Headline章chap + (中文) 华文中宋 Char"/>
    <w:link w:val="1414"/>
    <w:semiHidden/>
    <w:qFormat/>
    <w:uiPriority w:val="0"/>
    <w:rPr>
      <w:rFonts w:ascii="黑体" w:eastAsia="黑体"/>
      <w:kern w:val="44"/>
      <w:sz w:val="36"/>
      <w:szCs w:val="32"/>
    </w:rPr>
  </w:style>
  <w:style w:type="paragraph" w:customStyle="1" w:styleId="1414">
    <w:name w:val="样式 标题 11.标题 1H1Chapter Headline章chap + (中文) 华文中宋"/>
    <w:basedOn w:val="7"/>
    <w:link w:val="1413"/>
    <w:semiHidden/>
    <w:qFormat/>
    <w:uiPriority w:val="0"/>
    <w:pPr>
      <w:keepLines/>
      <w:tabs>
        <w:tab w:val="left" w:pos="900"/>
      </w:tabs>
      <w:overflowPunct/>
      <w:snapToGrid/>
      <w:spacing w:before="340" w:beforeLines="50" w:after="330" w:afterLines="50" w:line="360" w:lineRule="auto"/>
      <w:ind w:left="900" w:hanging="420"/>
      <w:jc w:val="left"/>
    </w:pPr>
    <w:rPr>
      <w:rFonts w:ascii="黑体"/>
      <w:b w:val="0"/>
      <w:bCs w:val="0"/>
      <w:color w:val="auto"/>
      <w:sz w:val="36"/>
      <w:szCs w:val="32"/>
    </w:rPr>
  </w:style>
  <w:style w:type="character" w:customStyle="1" w:styleId="1415">
    <w:name w:val="样式 题注 + (西文) Times New Roman (中文) 宋体 小四 加粗 黑色 Char Char"/>
    <w:link w:val="1416"/>
    <w:qFormat/>
    <w:uiPriority w:val="0"/>
    <w:rPr>
      <w:b/>
      <w:bCs/>
      <w:color w:val="000000"/>
      <w:sz w:val="24"/>
      <w:szCs w:val="24"/>
    </w:rPr>
  </w:style>
  <w:style w:type="paragraph" w:customStyle="1" w:styleId="1416">
    <w:name w:val="样式 题注 + (西文) Times New Roman (中文) 宋体 小四 加粗 黑色 Char"/>
    <w:basedOn w:val="25"/>
    <w:link w:val="1415"/>
    <w:qFormat/>
    <w:uiPriority w:val="0"/>
    <w:pPr>
      <w:adjustRightInd w:val="0"/>
      <w:spacing w:beforeLines="100" w:line="360" w:lineRule="auto"/>
      <w:ind w:firstLine="200" w:firstLineChars="200"/>
      <w:textAlignment w:val="baseline"/>
    </w:pPr>
    <w:rPr>
      <w:rFonts w:eastAsia="宋体"/>
      <w:bCs/>
      <w:color w:val="000000"/>
      <w:kern w:val="0"/>
      <w:szCs w:val="24"/>
    </w:rPr>
  </w:style>
  <w:style w:type="character" w:customStyle="1" w:styleId="1417">
    <w:name w:val="表 Char"/>
    <w:link w:val="1418"/>
    <w:qFormat/>
    <w:uiPriority w:val="0"/>
    <w:rPr>
      <w:rFonts w:eastAsia="仿宋_GB2312"/>
      <w:sz w:val="24"/>
    </w:rPr>
  </w:style>
  <w:style w:type="paragraph" w:customStyle="1" w:styleId="1418">
    <w:name w:val="表"/>
    <w:basedOn w:val="37"/>
    <w:link w:val="1417"/>
    <w:qFormat/>
    <w:uiPriority w:val="0"/>
    <w:pPr>
      <w:adjustRightInd w:val="0"/>
      <w:spacing w:before="0" w:after="0" w:line="240" w:lineRule="auto"/>
      <w:ind w:right="0"/>
      <w:jc w:val="center"/>
    </w:pPr>
    <w:rPr>
      <w:rFonts w:eastAsia="仿宋_GB2312"/>
      <w:sz w:val="24"/>
    </w:rPr>
  </w:style>
  <w:style w:type="character" w:customStyle="1" w:styleId="1419">
    <w:name w:val="Char Char151"/>
    <w:qFormat/>
    <w:uiPriority w:val="0"/>
    <w:rPr>
      <w:rFonts w:ascii="宋体" w:eastAsia="宋体"/>
      <w:kern w:val="2"/>
      <w:sz w:val="28"/>
      <w:szCs w:val="24"/>
      <w:lang w:val="en-US" w:eastAsia="zh-CN" w:bidi="ar-SA"/>
    </w:rPr>
  </w:style>
  <w:style w:type="character" w:customStyle="1" w:styleId="1420">
    <w:name w:val="大妹正文 Char Char Char Char"/>
    <w:qFormat/>
    <w:uiPriority w:val="0"/>
    <w:rPr>
      <w:rFonts w:ascii="宋体" w:eastAsia="黑体"/>
      <w:b/>
      <w:bCs/>
      <w:color w:val="000000"/>
      <w:kern w:val="44"/>
      <w:sz w:val="24"/>
      <w:szCs w:val="24"/>
      <w:lang w:val="en-US" w:eastAsia="zh-CN" w:bidi="ar-SA"/>
    </w:rPr>
  </w:style>
  <w:style w:type="character" w:customStyle="1" w:styleId="1421">
    <w:name w:val="样式 标题 21.1标题 21.1标题2标题 2 Char1节_Heading 2标2二级标题1.1标题一... Char Char"/>
    <w:qFormat/>
    <w:uiPriority w:val="0"/>
    <w:rPr>
      <w:rFonts w:ascii="黑体" w:hAnsi="黑体" w:eastAsia="黑体"/>
      <w:b/>
      <w:bCs/>
      <w:kern w:val="2"/>
      <w:sz w:val="24"/>
      <w:szCs w:val="24"/>
      <w:lang w:bidi="ar-SA"/>
    </w:rPr>
  </w:style>
  <w:style w:type="character" w:customStyle="1" w:styleId="1422">
    <w:name w:val="00报告书正文 + 宋体 小四 首行缩进 1.5 行距 Char Char"/>
    <w:qFormat/>
    <w:uiPriority w:val="0"/>
    <w:rPr>
      <w:rFonts w:ascii="宋体" w:hAnsi="宋体"/>
      <w:color w:val="000000"/>
      <w:sz w:val="24"/>
      <w:lang w:bidi="ar-SA"/>
    </w:rPr>
  </w:style>
  <w:style w:type="character" w:customStyle="1" w:styleId="1423">
    <w:name w:val="正文（首行缩进两字） Char Char Char"/>
    <w:qFormat/>
    <w:uiPriority w:val="0"/>
    <w:rPr>
      <w:rFonts w:ascii="仿宋_GB2312" w:hAnsi="宋体" w:eastAsia="仿宋_GB2312" w:cs="宋体"/>
      <w:color w:val="000000"/>
      <w:kern w:val="2"/>
      <w:sz w:val="28"/>
      <w:lang w:val="en-US" w:eastAsia="zh-CN"/>
    </w:rPr>
  </w:style>
  <w:style w:type="character" w:customStyle="1" w:styleId="1424">
    <w:name w:val="燕山正文 Char Char Char Char"/>
    <w:qFormat/>
    <w:uiPriority w:val="0"/>
    <w:rPr>
      <w:rFonts w:hAnsi="宋体"/>
      <w:color w:val="000000"/>
      <w:sz w:val="24"/>
      <w:szCs w:val="24"/>
      <w:lang w:bidi="ar-SA"/>
    </w:rPr>
  </w:style>
  <w:style w:type="character" w:customStyle="1" w:styleId="1425">
    <w:name w:val="样式 纯文本 + Times New Roman 小四 Char Char"/>
    <w:qFormat/>
    <w:uiPriority w:val="0"/>
    <w:rPr>
      <w:rFonts w:ascii="宋体" w:hAnsi="Courier New" w:eastAsia="宋体" w:cs="Arial"/>
      <w:b/>
      <w:bCs/>
      <w:snapToGrid w:val="0"/>
      <w:kern w:val="2"/>
      <w:sz w:val="24"/>
      <w:szCs w:val="21"/>
      <w:lang w:val="en-US" w:eastAsia="zh-CN" w:bidi="ar-SA"/>
    </w:rPr>
  </w:style>
  <w:style w:type="character" w:customStyle="1" w:styleId="1426">
    <w:name w:val="标题 4 Char3"/>
    <w:qFormat/>
    <w:uiPriority w:val="0"/>
    <w:rPr>
      <w:rFonts w:ascii="Arial" w:hAnsi="Arial" w:eastAsia="黑体"/>
      <w:bCs/>
      <w:kern w:val="2"/>
      <w:sz w:val="24"/>
      <w:szCs w:val="28"/>
    </w:rPr>
  </w:style>
  <w:style w:type="character" w:customStyle="1" w:styleId="1427">
    <w:name w:val="表标题 Char Char"/>
    <w:qFormat/>
    <w:uiPriority w:val="0"/>
    <w:rPr>
      <w:rFonts w:ascii="CG Times (W1)" w:eastAsia="宋体"/>
      <w:b/>
      <w:sz w:val="24"/>
      <w:lang w:val="en-US" w:eastAsia="zh-CN" w:bidi="ar-SA"/>
    </w:rPr>
  </w:style>
  <w:style w:type="character" w:customStyle="1" w:styleId="1428">
    <w:name w:val="正文文本缩进 2 Char1"/>
    <w:qFormat/>
    <w:uiPriority w:val="0"/>
  </w:style>
  <w:style w:type="character" w:customStyle="1" w:styleId="1429">
    <w:name w:val="规划正文样式 Char Char"/>
    <w:qFormat/>
    <w:uiPriority w:val="0"/>
    <w:rPr>
      <w:rFonts w:ascii="宋体" w:hAnsi="宋体" w:eastAsia="宋体"/>
      <w:sz w:val="24"/>
      <w:szCs w:val="24"/>
      <w:lang w:bidi="ar-SA"/>
    </w:rPr>
  </w:style>
  <w:style w:type="character" w:customStyle="1" w:styleId="1430">
    <w:name w:val="bt21"/>
    <w:qFormat/>
    <w:uiPriority w:val="0"/>
    <w:rPr>
      <w:rFonts w:hint="eastAsia" w:ascii="黑体" w:eastAsia="黑体"/>
      <w:sz w:val="24"/>
      <w:szCs w:val="24"/>
    </w:rPr>
  </w:style>
  <w:style w:type="character" w:customStyle="1" w:styleId="1431">
    <w:name w:val="style4 Char3"/>
    <w:qFormat/>
    <w:uiPriority w:val="0"/>
    <w:rPr>
      <w:rFonts w:ascii="Arial" w:hAnsi="Arial" w:eastAsia="黑体"/>
      <w:bCs/>
      <w:kern w:val="2"/>
      <w:sz w:val="24"/>
      <w:szCs w:val="28"/>
      <w:lang w:val="en-US" w:eastAsia="zh-CN" w:bidi="ar-SA"/>
    </w:rPr>
  </w:style>
  <w:style w:type="character" w:customStyle="1" w:styleId="1432">
    <w:name w:val="规划2级样式 Char"/>
    <w:link w:val="1433"/>
    <w:qFormat/>
    <w:uiPriority w:val="0"/>
    <w:rPr>
      <w:rFonts w:ascii="Arial" w:hAnsi="Arial" w:eastAsia="黑体"/>
      <w:kern w:val="2"/>
      <w:sz w:val="32"/>
    </w:rPr>
  </w:style>
  <w:style w:type="paragraph" w:customStyle="1" w:styleId="1433">
    <w:name w:val="规划2级样式"/>
    <w:basedOn w:val="8"/>
    <w:link w:val="1432"/>
    <w:qFormat/>
    <w:uiPriority w:val="0"/>
    <w:pPr>
      <w:widowControl w:val="0"/>
      <w:numPr>
        <w:ilvl w:val="0"/>
        <w:numId w:val="0"/>
      </w:numPr>
      <w:tabs>
        <w:tab w:val="left" w:pos="1320"/>
      </w:tabs>
      <w:spacing w:line="240" w:lineRule="auto"/>
      <w:ind w:left="1320" w:hanging="420"/>
    </w:pPr>
    <w:rPr>
      <w:rFonts w:ascii="Arial" w:eastAsia="黑体" w:cs="Times New Roman"/>
      <w:kern w:val="2"/>
      <w:sz w:val="32"/>
      <w:szCs w:val="20"/>
    </w:rPr>
  </w:style>
  <w:style w:type="character" w:customStyle="1" w:styleId="1434">
    <w:name w:val="Char Char161"/>
    <w:semiHidden/>
    <w:qFormat/>
    <w:uiPriority w:val="0"/>
    <w:rPr>
      <w:rFonts w:eastAsia="宋体"/>
      <w:kern w:val="2"/>
      <w:sz w:val="21"/>
      <w:szCs w:val="24"/>
      <w:lang w:val="en-US" w:eastAsia="zh-CN" w:bidi="ar-SA"/>
    </w:rPr>
  </w:style>
  <w:style w:type="character" w:customStyle="1" w:styleId="1435">
    <w:name w:val="脚注引用1"/>
    <w:qFormat/>
    <w:uiPriority w:val="0"/>
    <w:rPr>
      <w:vertAlign w:val="superscript"/>
    </w:rPr>
  </w:style>
  <w:style w:type="character" w:customStyle="1" w:styleId="1436">
    <w:name w:val="p3"/>
    <w:qFormat/>
    <w:uiPriority w:val="0"/>
    <w:rPr>
      <w:rFonts w:eastAsia="宋体"/>
      <w:kern w:val="2"/>
      <w:sz w:val="24"/>
      <w:szCs w:val="24"/>
      <w:lang w:val="en-US" w:eastAsia="zh-CN" w:bidi="ar-SA"/>
    </w:rPr>
  </w:style>
  <w:style w:type="character" w:customStyle="1" w:styleId="1437">
    <w:name w:val="style4 Char2"/>
    <w:qFormat/>
    <w:uiPriority w:val="0"/>
    <w:rPr>
      <w:rFonts w:ascii="Arial" w:hAnsi="Arial" w:eastAsia="黑体"/>
      <w:bCs/>
      <w:kern w:val="2"/>
      <w:sz w:val="24"/>
      <w:szCs w:val="28"/>
    </w:rPr>
  </w:style>
  <w:style w:type="character" w:customStyle="1" w:styleId="1438">
    <w:name w:val="图标题 Char Char"/>
    <w:qFormat/>
    <w:uiPriority w:val="0"/>
    <w:rPr>
      <w:rFonts w:hAnsi="宋体"/>
      <w:snapToGrid w:val="0"/>
      <w:color w:val="000000"/>
      <w:sz w:val="28"/>
      <w:szCs w:val="28"/>
      <w:lang w:bidi="ar-SA"/>
    </w:rPr>
  </w:style>
  <w:style w:type="character" w:customStyle="1" w:styleId="1439">
    <w:name w:val="hhcwt表头 Char Char"/>
    <w:link w:val="1440"/>
    <w:qFormat/>
    <w:uiPriority w:val="0"/>
    <w:rPr>
      <w:rFonts w:ascii="楷体_GB2312" w:eastAsia="楷体_GB2312"/>
      <w:b/>
      <w:bCs/>
      <w:sz w:val="24"/>
    </w:rPr>
  </w:style>
  <w:style w:type="paragraph" w:customStyle="1" w:styleId="1440">
    <w:name w:val="hhcwt表头"/>
    <w:basedOn w:val="1"/>
    <w:link w:val="1439"/>
    <w:qFormat/>
    <w:uiPriority w:val="0"/>
    <w:pPr>
      <w:widowControl/>
      <w:spacing w:after="120" w:line="500" w:lineRule="exact"/>
      <w:jc w:val="center"/>
    </w:pPr>
    <w:rPr>
      <w:rFonts w:ascii="楷体_GB2312" w:eastAsia="楷体_GB2312"/>
      <w:b/>
      <w:bCs/>
      <w:kern w:val="0"/>
      <w:sz w:val="24"/>
      <w:szCs w:val="20"/>
    </w:rPr>
  </w:style>
  <w:style w:type="character" w:customStyle="1" w:styleId="1441">
    <w:name w:val="Body text + SimSun"/>
    <w:qFormat/>
    <w:uiPriority w:val="0"/>
    <w:rPr>
      <w:rFonts w:ascii="宋体" w:hAnsi="宋体" w:eastAsia="MingLiU" w:cs="宋体"/>
      <w:sz w:val="8"/>
      <w:szCs w:val="8"/>
      <w:u w:val="none"/>
      <w:lang w:val="en-US" w:eastAsia="zh-CN" w:bidi="ar-SA"/>
    </w:rPr>
  </w:style>
  <w:style w:type="character" w:customStyle="1" w:styleId="1442">
    <w:name w:val="正文—左齐 Char Char"/>
    <w:qFormat/>
    <w:uiPriority w:val="0"/>
    <w:rPr>
      <w:rFonts w:eastAsia="宋体"/>
      <w:kern w:val="2"/>
      <w:sz w:val="24"/>
      <w:szCs w:val="24"/>
      <w:lang w:val="en-US" w:eastAsia="zh-CN" w:bidi="ar-SA"/>
    </w:rPr>
  </w:style>
  <w:style w:type="character" w:customStyle="1" w:styleId="1443">
    <w:name w:val="Header1 Char Char"/>
    <w:qFormat/>
    <w:uiPriority w:val="0"/>
    <w:rPr>
      <w:rFonts w:eastAsia="宋体"/>
      <w:kern w:val="2"/>
      <w:sz w:val="18"/>
      <w:szCs w:val="18"/>
      <w:lang w:val="en-US" w:eastAsia="zh-CN" w:bidi="ar-SA"/>
    </w:rPr>
  </w:style>
  <w:style w:type="character" w:customStyle="1" w:styleId="1444">
    <w:name w:val="正文 首行缩进 Char Char"/>
    <w:qFormat/>
    <w:uiPriority w:val="0"/>
    <w:rPr>
      <w:b/>
      <w:bCs/>
      <w:color w:val="000000"/>
      <w:kern w:val="2"/>
      <w:sz w:val="24"/>
      <w:szCs w:val="24"/>
      <w:lang w:bidi="ar-SA"/>
    </w:rPr>
  </w:style>
  <w:style w:type="character" w:customStyle="1" w:styleId="1445">
    <w:name w:val="zwj正文 Char"/>
    <w:link w:val="1446"/>
    <w:qFormat/>
    <w:uiPriority w:val="0"/>
    <w:rPr>
      <w:kern w:val="2"/>
      <w:sz w:val="24"/>
      <w:szCs w:val="24"/>
    </w:rPr>
  </w:style>
  <w:style w:type="paragraph" w:customStyle="1" w:styleId="1446">
    <w:name w:val="zwj正文"/>
    <w:basedOn w:val="1"/>
    <w:link w:val="1445"/>
    <w:qFormat/>
    <w:uiPriority w:val="0"/>
    <w:pPr>
      <w:snapToGrid w:val="0"/>
      <w:spacing w:line="360" w:lineRule="auto"/>
      <w:ind w:firstLine="482" w:firstLineChars="200"/>
    </w:pPr>
    <w:rPr>
      <w:sz w:val="24"/>
    </w:rPr>
  </w:style>
  <w:style w:type="character" w:customStyle="1" w:styleId="1447">
    <w:name w:val="px14"/>
    <w:unhideWhenUsed/>
    <w:qFormat/>
    <w:uiPriority w:val="0"/>
  </w:style>
  <w:style w:type="character" w:customStyle="1" w:styleId="1448">
    <w:name w:val="EmailStyle1734"/>
    <w:semiHidden/>
    <w:qFormat/>
    <w:uiPriority w:val="0"/>
    <w:rPr>
      <w:rFonts w:ascii="Arial" w:hAnsi="Arial" w:eastAsia="宋体" w:cs="Arial"/>
      <w:color w:val="auto"/>
      <w:sz w:val="18"/>
      <w:szCs w:val="20"/>
    </w:rPr>
  </w:style>
  <w:style w:type="character" w:customStyle="1" w:styleId="1449">
    <w:name w:val="PI Char"/>
    <w:qFormat/>
    <w:uiPriority w:val="0"/>
    <w:rPr>
      <w:rFonts w:eastAsia="宋体"/>
      <w:kern w:val="2"/>
      <w:sz w:val="24"/>
      <w:szCs w:val="24"/>
      <w:lang w:val="en-US" w:eastAsia="zh-CN" w:bidi="ar-SA"/>
    </w:rPr>
  </w:style>
  <w:style w:type="character" w:customStyle="1" w:styleId="1450">
    <w:name w:val="【正文】 Char"/>
    <w:link w:val="1451"/>
    <w:qFormat/>
    <w:uiPriority w:val="0"/>
    <w:rPr>
      <w:kern w:val="2"/>
      <w:sz w:val="24"/>
    </w:rPr>
  </w:style>
  <w:style w:type="paragraph" w:customStyle="1" w:styleId="1451">
    <w:name w:val="【正文】"/>
    <w:basedOn w:val="1"/>
    <w:link w:val="1450"/>
    <w:qFormat/>
    <w:uiPriority w:val="0"/>
    <w:pPr>
      <w:spacing w:before="120" w:after="120" w:line="312" w:lineRule="auto"/>
      <w:ind w:firstLine="200" w:firstLineChars="200"/>
    </w:pPr>
    <w:rPr>
      <w:sz w:val="24"/>
      <w:szCs w:val="20"/>
    </w:rPr>
  </w:style>
  <w:style w:type="character" w:customStyle="1" w:styleId="1452">
    <w:name w:val="Char Char211"/>
    <w:qFormat/>
    <w:uiPriority w:val="0"/>
    <w:rPr>
      <w:rFonts w:eastAsia="宋体"/>
      <w:kern w:val="2"/>
      <w:sz w:val="18"/>
      <w:szCs w:val="18"/>
      <w:lang w:val="en-US" w:eastAsia="zh-CN" w:bidi="ar-SA"/>
    </w:rPr>
  </w:style>
  <w:style w:type="character" w:customStyle="1" w:styleId="1453">
    <w:name w:val="首缩正文1.3行距 Char"/>
    <w:link w:val="1454"/>
    <w:qFormat/>
    <w:uiPriority w:val="0"/>
    <w:rPr>
      <w:kern w:val="2"/>
      <w:sz w:val="24"/>
    </w:rPr>
  </w:style>
  <w:style w:type="paragraph" w:customStyle="1" w:styleId="1454">
    <w:name w:val="首缩正文1.3行距"/>
    <w:basedOn w:val="721"/>
    <w:link w:val="1453"/>
    <w:unhideWhenUsed/>
    <w:qFormat/>
    <w:uiPriority w:val="0"/>
    <w:pPr>
      <w:ind w:firstLine="480"/>
    </w:pPr>
  </w:style>
  <w:style w:type="character" w:customStyle="1" w:styleId="1455">
    <w:name w:val="样式 正文1 + 黑体 小四 Char"/>
    <w:link w:val="1456"/>
    <w:semiHidden/>
    <w:qFormat/>
    <w:uiPriority w:val="0"/>
    <w:rPr>
      <w:rFonts w:ascii="黑体" w:hAnsi="黑体"/>
      <w:b/>
      <w:spacing w:val="8"/>
      <w:kern w:val="21"/>
    </w:rPr>
  </w:style>
  <w:style w:type="paragraph" w:customStyle="1" w:styleId="1456">
    <w:name w:val="样式 正文1 + 黑体 小四"/>
    <w:basedOn w:val="1"/>
    <w:link w:val="1455"/>
    <w:semiHidden/>
    <w:qFormat/>
    <w:uiPriority w:val="0"/>
    <w:pPr>
      <w:snapToGrid w:val="0"/>
      <w:spacing w:line="270" w:lineRule="exact"/>
      <w:jc w:val="center"/>
    </w:pPr>
    <w:rPr>
      <w:rFonts w:ascii="黑体" w:hAnsi="黑体"/>
      <w:b/>
      <w:spacing w:val="8"/>
      <w:kern w:val="21"/>
      <w:sz w:val="20"/>
      <w:szCs w:val="20"/>
    </w:rPr>
  </w:style>
  <w:style w:type="character" w:customStyle="1" w:styleId="1457">
    <w:name w:val="表头终 Char Char"/>
    <w:qFormat/>
    <w:uiPriority w:val="0"/>
    <w:rPr>
      <w:rFonts w:eastAsia="黑体"/>
      <w:sz w:val="24"/>
      <w:lang w:bidi="ar-SA"/>
    </w:rPr>
  </w:style>
  <w:style w:type="character" w:customStyle="1" w:styleId="1458">
    <w:name w:val="Char5"/>
    <w:qFormat/>
    <w:uiPriority w:val="0"/>
    <w:rPr>
      <w:rFonts w:eastAsia="宋体"/>
      <w:kern w:val="2"/>
      <w:sz w:val="18"/>
      <w:szCs w:val="18"/>
      <w:lang w:val="en-US" w:eastAsia="zh-CN" w:bidi="ar-SA"/>
    </w:rPr>
  </w:style>
  <w:style w:type="character" w:customStyle="1" w:styleId="1459">
    <w:name w:val="乐清图3- Char Char"/>
    <w:qFormat/>
    <w:uiPriority w:val="0"/>
    <w:rPr>
      <w:rFonts w:hAnsi="宋体"/>
      <w:b/>
      <w:kern w:val="2"/>
      <w:sz w:val="21"/>
      <w:szCs w:val="21"/>
      <w:lang w:bidi="ar-SA"/>
    </w:rPr>
  </w:style>
  <w:style w:type="character" w:customStyle="1" w:styleId="1460">
    <w:name w:val="首行缩进 Char Char Char Char"/>
    <w:qFormat/>
    <w:uiPriority w:val="0"/>
    <w:rPr>
      <w:rFonts w:ascii="宋体" w:eastAsia="宋体"/>
      <w:kern w:val="2"/>
      <w:sz w:val="24"/>
      <w:szCs w:val="24"/>
      <w:lang w:val="en-US" w:eastAsia="zh-CN" w:bidi="ar-SA"/>
    </w:rPr>
  </w:style>
  <w:style w:type="character" w:customStyle="1" w:styleId="1461">
    <w:name w:val="样式 标题 11.标题 1H1Chapter Headline章chap + (中文) 华文中宋 Char Char"/>
    <w:qFormat/>
    <w:uiPriority w:val="0"/>
    <w:rPr>
      <w:rFonts w:ascii="黑体" w:eastAsia="黑体"/>
      <w:kern w:val="44"/>
      <w:sz w:val="36"/>
      <w:szCs w:val="32"/>
      <w:lang w:bidi="ar-SA"/>
    </w:rPr>
  </w:style>
  <w:style w:type="character" w:customStyle="1" w:styleId="1462">
    <w:name w:val="样式3 Char Char Char Char Char Char Char Char Char Char Char Char Char Char Char"/>
    <w:qFormat/>
    <w:uiPriority w:val="0"/>
    <w:rPr>
      <w:rFonts w:eastAsia="宋体"/>
      <w:kern w:val="2"/>
      <w:sz w:val="24"/>
      <w:szCs w:val="24"/>
      <w:lang w:val="en-US" w:eastAsia="zh-CN" w:bidi="ar-SA"/>
    </w:rPr>
  </w:style>
  <w:style w:type="character" w:customStyle="1" w:styleId="1463">
    <w:name w:val="样式 样式 样式 宋体 小四 行距: 多倍行距 1.4 字行2 + 黑色 + Times New Roman1 Char"/>
    <w:link w:val="1464"/>
    <w:qFormat/>
    <w:uiPriority w:val="0"/>
    <w:rPr>
      <w:rFonts w:cs="宋体"/>
      <w:color w:val="000000"/>
      <w:kern w:val="2"/>
      <w:sz w:val="24"/>
    </w:rPr>
  </w:style>
  <w:style w:type="paragraph" w:customStyle="1" w:styleId="1464">
    <w:name w:val="样式 样式 样式 宋体 小四 行距: 多倍行距 1.4 字行2 + 黑色 + Times New Roman1"/>
    <w:basedOn w:val="1"/>
    <w:link w:val="1463"/>
    <w:qFormat/>
    <w:uiPriority w:val="0"/>
    <w:pPr>
      <w:spacing w:line="360" w:lineRule="auto"/>
      <w:ind w:firstLine="200" w:firstLineChars="200"/>
    </w:pPr>
    <w:rPr>
      <w:rFonts w:cs="宋体"/>
      <w:color w:val="000000"/>
      <w:sz w:val="24"/>
      <w:szCs w:val="20"/>
    </w:rPr>
  </w:style>
  <w:style w:type="character" w:customStyle="1" w:styleId="1465">
    <w:name w:val="正文缩进 Char1 Char Char Char"/>
    <w:qFormat/>
    <w:uiPriority w:val="0"/>
    <w:rPr>
      <w:rFonts w:eastAsia="宋体"/>
      <w:kern w:val="2"/>
      <w:sz w:val="24"/>
      <w:szCs w:val="24"/>
      <w:lang w:val="en-US" w:eastAsia="zh-CN" w:bidi="ar-SA"/>
    </w:rPr>
  </w:style>
  <w:style w:type="character" w:customStyle="1" w:styleId="1466">
    <w:name w:val="实德题注 Char Char"/>
    <w:qFormat/>
    <w:uiPriority w:val="0"/>
    <w:rPr>
      <w:rFonts w:ascii="Times New Roman" w:hAnsi="Arial" w:eastAsia="黑体" w:cs="Times New Roman"/>
      <w:color w:val="FF0000"/>
      <w:sz w:val="24"/>
      <w:szCs w:val="24"/>
    </w:rPr>
  </w:style>
  <w:style w:type="character" w:customStyle="1" w:styleId="1467">
    <w:name w:val="纯文本 Char1"/>
    <w:qFormat/>
    <w:uiPriority w:val="0"/>
    <w:rPr>
      <w:rFonts w:ascii="宋体" w:hAnsi="Courier New" w:eastAsia="宋体" w:cs="Courier New"/>
      <w:szCs w:val="21"/>
    </w:rPr>
  </w:style>
  <w:style w:type="character" w:customStyle="1" w:styleId="1468">
    <w:name w:val="0-shiw-正文 4号宋体 Char Char"/>
    <w:qFormat/>
    <w:uiPriority w:val="0"/>
    <w:rPr>
      <w:rFonts w:eastAsia="宋体"/>
      <w:kern w:val="2"/>
      <w:sz w:val="28"/>
      <w:szCs w:val="28"/>
      <w:lang w:val="en-US" w:eastAsia="zh-CN" w:bidi="ar-SA"/>
    </w:rPr>
  </w:style>
  <w:style w:type="character" w:customStyle="1" w:styleId="1469">
    <w:name w:val="Char Char Char Char Char1"/>
    <w:qFormat/>
    <w:uiPriority w:val="0"/>
    <w:rPr>
      <w:rFonts w:eastAsia="黑体"/>
      <w:b/>
      <w:bCs/>
      <w:snapToGrid w:val="0"/>
      <w:sz w:val="24"/>
      <w:szCs w:val="32"/>
      <w:lang w:val="en-US" w:eastAsia="zh-CN" w:bidi="ar-SA"/>
    </w:rPr>
  </w:style>
  <w:style w:type="character" w:customStyle="1" w:styleId="1470">
    <w:name w:val="Char Char162"/>
    <w:semiHidden/>
    <w:qFormat/>
    <w:uiPriority w:val="0"/>
    <w:rPr>
      <w:rFonts w:eastAsia="宋体"/>
      <w:kern w:val="2"/>
      <w:sz w:val="21"/>
      <w:szCs w:val="24"/>
      <w:lang w:val="en-US" w:eastAsia="zh-CN" w:bidi="ar-SA"/>
    </w:rPr>
  </w:style>
  <w:style w:type="character" w:customStyle="1" w:styleId="1471">
    <w:name w:val="huibian_标题 1 Char Char"/>
    <w:qFormat/>
    <w:uiPriority w:val="0"/>
    <w:rPr>
      <w:rFonts w:eastAsia="黑体"/>
      <w:b/>
      <w:bCs/>
      <w:kern w:val="44"/>
      <w:sz w:val="32"/>
      <w:szCs w:val="44"/>
    </w:rPr>
  </w:style>
  <w:style w:type="character" w:customStyle="1" w:styleId="1472">
    <w:name w:val="style9 style15"/>
    <w:qFormat/>
    <w:uiPriority w:val="0"/>
    <w:rPr>
      <w:szCs w:val="21"/>
    </w:rPr>
  </w:style>
  <w:style w:type="character" w:customStyle="1" w:styleId="1473">
    <w:name w:val="Achievement Char"/>
    <w:unhideWhenUsed/>
    <w:qFormat/>
    <w:uiPriority w:val="0"/>
    <w:rPr>
      <w:rFonts w:eastAsia="宋体"/>
      <w:lang w:val="en-US" w:eastAsia="zh-CN" w:bidi="ar-SA"/>
    </w:rPr>
  </w:style>
  <w:style w:type="character" w:customStyle="1" w:styleId="1474">
    <w:name w:val="z1"/>
    <w:qFormat/>
    <w:uiPriority w:val="0"/>
    <w:rPr>
      <w:spacing w:val="400"/>
      <w:sz w:val="18"/>
      <w:szCs w:val="18"/>
    </w:rPr>
  </w:style>
  <w:style w:type="character" w:customStyle="1" w:styleId="1475">
    <w:name w:val="WW-默认段落字体"/>
    <w:qFormat/>
    <w:uiPriority w:val="0"/>
  </w:style>
  <w:style w:type="character" w:customStyle="1" w:styleId="1476">
    <w:name w:val="正文zz Char Char"/>
    <w:qFormat/>
    <w:uiPriority w:val="0"/>
    <w:rPr>
      <w:rFonts w:ascii="宋体" w:hAnsi="宋体"/>
      <w:kern w:val="2"/>
      <w:sz w:val="24"/>
      <w:szCs w:val="24"/>
      <w:lang w:bidi="ar-SA"/>
    </w:rPr>
  </w:style>
  <w:style w:type="character" w:customStyle="1" w:styleId="1477">
    <w:name w:val="尾注文本 Char Char"/>
    <w:qFormat/>
    <w:uiPriority w:val="0"/>
    <w:rPr>
      <w:sz w:val="28"/>
      <w:lang w:bidi="ar-SA"/>
    </w:rPr>
  </w:style>
  <w:style w:type="character" w:customStyle="1" w:styleId="1478">
    <w:name w:val="Char Char24"/>
    <w:qFormat/>
    <w:uiPriority w:val="0"/>
    <w:rPr>
      <w:rFonts w:ascii="宋体" w:hAnsi="宋体"/>
      <w:color w:val="000000"/>
      <w:spacing w:val="4"/>
      <w:kern w:val="2"/>
      <w:sz w:val="24"/>
    </w:rPr>
  </w:style>
  <w:style w:type="character" w:customStyle="1" w:styleId="1479">
    <w:name w:val="Char Char22"/>
    <w:qFormat/>
    <w:uiPriority w:val="0"/>
    <w:rPr>
      <w:rFonts w:ascii="Arial" w:hAnsi="Arial" w:eastAsia="黑体"/>
      <w:bCs/>
      <w:kern w:val="2"/>
      <w:sz w:val="24"/>
      <w:szCs w:val="28"/>
      <w:lang w:val="en-US" w:eastAsia="zh-CN" w:bidi="ar-SA"/>
    </w:rPr>
  </w:style>
  <w:style w:type="character" w:customStyle="1" w:styleId="1480">
    <w:name w:val="Char Char6"/>
    <w:qFormat/>
    <w:uiPriority w:val="0"/>
    <w:rPr>
      <w:rFonts w:ascii="宋体" w:hAnsi="Courier New" w:eastAsia="宋体"/>
      <w:kern w:val="2"/>
      <w:sz w:val="21"/>
      <w:szCs w:val="24"/>
      <w:lang w:val="en-US" w:eastAsia="zh-CN" w:bidi="ar-SA"/>
    </w:rPr>
  </w:style>
  <w:style w:type="character" w:customStyle="1" w:styleId="1481">
    <w:name w:val="首缩编号 Char"/>
    <w:link w:val="1482"/>
    <w:qFormat/>
    <w:uiPriority w:val="0"/>
    <w:rPr>
      <w:kern w:val="2"/>
      <w:sz w:val="24"/>
      <w:szCs w:val="24"/>
    </w:rPr>
  </w:style>
  <w:style w:type="paragraph" w:customStyle="1" w:styleId="1482">
    <w:name w:val="首缩编号"/>
    <w:basedOn w:val="598"/>
    <w:link w:val="1481"/>
    <w:qFormat/>
    <w:uiPriority w:val="0"/>
    <w:pPr>
      <w:numPr>
        <w:ilvl w:val="0"/>
        <w:numId w:val="12"/>
      </w:numPr>
      <w:tabs>
        <w:tab w:val="left" w:pos="726"/>
      </w:tabs>
      <w:spacing w:before="120" w:after="120"/>
      <w:ind w:firstLineChars="0"/>
    </w:pPr>
    <w:rPr>
      <w:kern w:val="2"/>
    </w:rPr>
  </w:style>
  <w:style w:type="character" w:customStyle="1" w:styleId="1483">
    <w:name w:val="燕山正文 Char"/>
    <w:link w:val="1484"/>
    <w:qFormat/>
    <w:uiPriority w:val="0"/>
    <w:rPr>
      <w:rFonts w:hAnsi="宋体"/>
      <w:color w:val="000000"/>
      <w:sz w:val="24"/>
      <w:szCs w:val="24"/>
    </w:rPr>
  </w:style>
  <w:style w:type="paragraph" w:customStyle="1" w:styleId="1484">
    <w:name w:val="燕山正文"/>
    <w:basedOn w:val="1"/>
    <w:link w:val="1483"/>
    <w:qFormat/>
    <w:uiPriority w:val="0"/>
    <w:pPr>
      <w:tabs>
        <w:tab w:val="left" w:pos="4680"/>
      </w:tabs>
      <w:adjustRightInd w:val="0"/>
      <w:snapToGrid w:val="0"/>
      <w:spacing w:line="360" w:lineRule="auto"/>
      <w:ind w:firstLine="480" w:firstLineChars="200"/>
      <w:jc w:val="left"/>
    </w:pPr>
    <w:rPr>
      <w:rFonts w:hAnsi="宋体"/>
      <w:color w:val="000000"/>
      <w:kern w:val="0"/>
      <w:sz w:val="24"/>
    </w:rPr>
  </w:style>
  <w:style w:type="character" w:customStyle="1" w:styleId="1485">
    <w:name w:val="样式 题注 + (符号) 宋体 Char"/>
    <w:link w:val="1486"/>
    <w:qFormat/>
    <w:uiPriority w:val="0"/>
    <w:rPr>
      <w:rFonts w:ascii="Arial" w:hAnsi="Arial"/>
      <w:kern w:val="2"/>
      <w:sz w:val="21"/>
      <w:szCs w:val="21"/>
    </w:rPr>
  </w:style>
  <w:style w:type="paragraph" w:customStyle="1" w:styleId="1486">
    <w:name w:val="样式 题注 + (符号) 宋体"/>
    <w:basedOn w:val="25"/>
    <w:link w:val="1485"/>
    <w:qFormat/>
    <w:uiPriority w:val="0"/>
    <w:pPr>
      <w:spacing w:line="360" w:lineRule="auto"/>
      <w:ind w:firstLine="200" w:firstLineChars="200"/>
    </w:pPr>
    <w:rPr>
      <w:rFonts w:ascii="Arial" w:hAnsi="Arial" w:eastAsia="宋体"/>
      <w:b w:val="0"/>
      <w:sz w:val="21"/>
      <w:szCs w:val="21"/>
    </w:rPr>
  </w:style>
  <w:style w:type="character" w:customStyle="1" w:styleId="1487">
    <w:name w:val="Body text + Spacing -1 pt4"/>
    <w:qFormat/>
    <w:uiPriority w:val="0"/>
    <w:rPr>
      <w:rFonts w:ascii="MingLiU" w:eastAsia="MingLiU" w:cs="MingLiU"/>
      <w:spacing w:val="-30"/>
      <w:sz w:val="23"/>
      <w:szCs w:val="23"/>
      <w:u w:val="none"/>
      <w:lang w:bidi="ar-SA"/>
    </w:rPr>
  </w:style>
  <w:style w:type="character" w:customStyle="1" w:styleId="1488">
    <w:name w:val="EmailStyle11901"/>
    <w:semiHidden/>
    <w:qFormat/>
    <w:uiPriority w:val="0"/>
    <w:rPr>
      <w:rFonts w:ascii="Arial" w:hAnsi="Arial" w:eastAsia="宋体" w:cs="Arial"/>
      <w:color w:val="auto"/>
      <w:sz w:val="18"/>
      <w:szCs w:val="20"/>
    </w:rPr>
  </w:style>
  <w:style w:type="character" w:customStyle="1" w:styleId="1489">
    <w:name w:val="表文-lcc Char"/>
    <w:link w:val="1490"/>
    <w:qFormat/>
    <w:uiPriority w:val="0"/>
    <w:rPr>
      <w:rFonts w:eastAsia="仿宋"/>
      <w:bCs/>
      <w:color w:val="000000"/>
      <w:kern w:val="2"/>
      <w:sz w:val="21"/>
      <w:szCs w:val="24"/>
    </w:rPr>
  </w:style>
  <w:style w:type="paragraph" w:customStyle="1" w:styleId="1490">
    <w:name w:val="表文-lcc"/>
    <w:basedOn w:val="1"/>
    <w:link w:val="1489"/>
    <w:qFormat/>
    <w:uiPriority w:val="0"/>
    <w:pPr>
      <w:snapToGrid w:val="0"/>
      <w:jc w:val="center"/>
    </w:pPr>
    <w:rPr>
      <w:rFonts w:eastAsia="仿宋"/>
      <w:bCs/>
      <w:color w:val="000000"/>
    </w:rPr>
  </w:style>
  <w:style w:type="character" w:customStyle="1" w:styleId="1491">
    <w:name w:val="Char Char221"/>
    <w:qFormat/>
    <w:uiPriority w:val="0"/>
  </w:style>
  <w:style w:type="character" w:customStyle="1" w:styleId="1492">
    <w:name w:val="样式 正文首行缩进 + 四号 Char"/>
    <w:link w:val="1493"/>
    <w:qFormat/>
    <w:uiPriority w:val="0"/>
    <w:rPr>
      <w:rFonts w:ascii="宋体"/>
      <w:kern w:val="2"/>
      <w:sz w:val="28"/>
      <w:szCs w:val="24"/>
    </w:rPr>
  </w:style>
  <w:style w:type="paragraph" w:customStyle="1" w:styleId="1493">
    <w:name w:val="样式 正文首行缩进 + 四号"/>
    <w:basedOn w:val="43"/>
    <w:link w:val="1492"/>
    <w:qFormat/>
    <w:uiPriority w:val="0"/>
    <w:pPr>
      <w:widowControl w:val="0"/>
      <w:spacing w:before="120"/>
      <w:ind w:left="578"/>
      <w:jc w:val="both"/>
    </w:pPr>
    <w:rPr>
      <w:rFonts w:hAnsi="Times New Roman" w:cs="Times New Roman"/>
      <w:kern w:val="2"/>
      <w:szCs w:val="24"/>
    </w:rPr>
  </w:style>
  <w:style w:type="character" w:customStyle="1" w:styleId="1494">
    <w:name w:val="表格编号 Char"/>
    <w:link w:val="1495"/>
    <w:qFormat/>
    <w:uiPriority w:val="0"/>
    <w:rPr>
      <w:spacing w:val="6"/>
      <w:kern w:val="2"/>
      <w:sz w:val="24"/>
    </w:rPr>
  </w:style>
  <w:style w:type="paragraph" w:customStyle="1" w:styleId="1495">
    <w:name w:val="表格编号"/>
    <w:basedOn w:val="1"/>
    <w:link w:val="1494"/>
    <w:qFormat/>
    <w:uiPriority w:val="0"/>
    <w:pPr>
      <w:ind w:firstLine="200" w:firstLineChars="200"/>
    </w:pPr>
    <w:rPr>
      <w:spacing w:val="6"/>
      <w:sz w:val="24"/>
      <w:szCs w:val="20"/>
    </w:rPr>
  </w:style>
  <w:style w:type="character" w:customStyle="1" w:styleId="1496">
    <w:name w:val="Body text + 8 pt3"/>
    <w:qFormat/>
    <w:uiPriority w:val="0"/>
    <w:rPr>
      <w:rFonts w:ascii="黑体" w:eastAsia="黑体" w:cs="黑体"/>
      <w:sz w:val="16"/>
      <w:szCs w:val="16"/>
      <w:u w:val="none"/>
      <w:lang w:bidi="ar-SA"/>
    </w:rPr>
  </w:style>
  <w:style w:type="character" w:customStyle="1" w:styleId="1497">
    <w:name w:val="Char Char46"/>
    <w:qFormat/>
    <w:uiPriority w:val="0"/>
    <w:rPr>
      <w:rFonts w:ascii="Arial" w:hAnsi="Arial" w:eastAsia="黑体" w:cs="Times New Roman"/>
      <w:b/>
      <w:bCs/>
      <w:sz w:val="32"/>
      <w:szCs w:val="32"/>
    </w:rPr>
  </w:style>
  <w:style w:type="character" w:customStyle="1" w:styleId="1498">
    <w:name w:val="lianj1"/>
    <w:qFormat/>
    <w:uiPriority w:val="0"/>
    <w:rPr>
      <w:rFonts w:eastAsia="宋体"/>
      <w:color w:val="000000"/>
      <w:kern w:val="2"/>
      <w:sz w:val="18"/>
      <w:szCs w:val="18"/>
      <w:lang w:val="en-US" w:eastAsia="zh-CN" w:bidi="ar-SA"/>
    </w:rPr>
  </w:style>
  <w:style w:type="character" w:customStyle="1" w:styleId="1499">
    <w:name w:val="朱飞"/>
    <w:semiHidden/>
    <w:qFormat/>
    <w:uiPriority w:val="0"/>
    <w:rPr>
      <w:rFonts w:ascii="Arial" w:hAnsi="Arial" w:eastAsia="宋体" w:cs="Arial"/>
      <w:color w:val="auto"/>
      <w:sz w:val="18"/>
      <w:szCs w:val="20"/>
    </w:rPr>
  </w:style>
  <w:style w:type="character" w:customStyle="1" w:styleId="1500">
    <w:name w:val="样式 样式 样式 样式 正文 首行缩进 + 首行缩进:  2 字符 行距: 单倍行距 + 首行缩进:  2 字符 + 小四 首行... Char Char"/>
    <w:qFormat/>
    <w:uiPriority w:val="0"/>
    <w:rPr>
      <w:color w:val="000000"/>
      <w:kern w:val="2"/>
      <w:sz w:val="24"/>
      <w:lang w:bidi="ar-SA"/>
    </w:rPr>
  </w:style>
  <w:style w:type="character" w:customStyle="1" w:styleId="1501">
    <w:name w:val="正文首行缩进 Char Char Char Char"/>
    <w:qFormat/>
    <w:uiPriority w:val="0"/>
    <w:rPr>
      <w:rFonts w:ascii="宋体" w:eastAsia="宋体"/>
      <w:spacing w:val="20"/>
      <w:kern w:val="2"/>
      <w:sz w:val="24"/>
      <w:szCs w:val="24"/>
      <w:lang w:val="en-US" w:eastAsia="zh-CN" w:bidi="ar-SA"/>
    </w:rPr>
  </w:style>
  <w:style w:type="character" w:customStyle="1" w:styleId="1502">
    <w:name w:val="正文文本 3 字符1"/>
    <w:semiHidden/>
    <w:qFormat/>
    <w:uiPriority w:val="99"/>
    <w:rPr>
      <w:kern w:val="2"/>
      <w:sz w:val="16"/>
      <w:szCs w:val="16"/>
      <w:lang w:val="fr-FR"/>
    </w:rPr>
  </w:style>
  <w:style w:type="character" w:customStyle="1" w:styleId="1503">
    <w:name w:val="题注 Char Char Char Char Char"/>
    <w:qFormat/>
    <w:uiPriority w:val="0"/>
    <w:rPr>
      <w:rFonts w:ascii="Arial" w:hAnsi="Arial" w:eastAsia="黑体" w:cs="Arial"/>
      <w:kern w:val="2"/>
      <w:sz w:val="21"/>
      <w:lang w:val="en-US" w:eastAsia="zh-CN" w:bidi="ar-SA"/>
    </w:rPr>
  </w:style>
  <w:style w:type="character" w:customStyle="1" w:styleId="1504">
    <w:name w:val="Char Char20"/>
    <w:qFormat/>
    <w:uiPriority w:val="0"/>
    <w:rPr>
      <w:sz w:val="18"/>
      <w:szCs w:val="18"/>
      <w:lang w:val="en-US" w:eastAsia="zh-CN"/>
    </w:rPr>
  </w:style>
  <w:style w:type="character" w:customStyle="1" w:styleId="1505">
    <w:name w:val="标准 Char Char"/>
    <w:qFormat/>
    <w:uiPriority w:val="0"/>
    <w:rPr>
      <w:rFonts w:ascii="宋体" w:hAnsi="宋体" w:eastAsia="宋体" w:cs="宋体"/>
      <w:kern w:val="2"/>
      <w:sz w:val="28"/>
      <w:szCs w:val="24"/>
      <w:lang w:val="en-US" w:eastAsia="zh-CN" w:bidi="ar-SA"/>
    </w:rPr>
  </w:style>
  <w:style w:type="character" w:customStyle="1" w:styleId="1506">
    <w:name w:val="批注框文本 Char1"/>
    <w:semiHidden/>
    <w:qFormat/>
    <w:uiPriority w:val="0"/>
    <w:rPr>
      <w:rFonts w:ascii="Times New Roman" w:hAnsi="Times New Roman" w:eastAsia="宋体" w:cs="Times New Roman"/>
      <w:sz w:val="18"/>
      <w:szCs w:val="18"/>
    </w:rPr>
  </w:style>
  <w:style w:type="character" w:customStyle="1" w:styleId="1507">
    <w:name w:val="页脚 字符1"/>
    <w:semiHidden/>
    <w:qFormat/>
    <w:uiPriority w:val="99"/>
    <w:rPr>
      <w:kern w:val="2"/>
      <w:sz w:val="18"/>
      <w:szCs w:val="18"/>
      <w:lang w:val="fr-FR"/>
    </w:rPr>
  </w:style>
  <w:style w:type="character" w:customStyle="1" w:styleId="1508">
    <w:name w:val="条标题1.1.1 Char Char Char Char"/>
    <w:qFormat/>
    <w:uiPriority w:val="0"/>
    <w:rPr>
      <w:rFonts w:ascii="宋体" w:hAnsi="宋体" w:eastAsia="宋体" w:cs="宋体"/>
      <w:b/>
      <w:bCs/>
      <w:kern w:val="2"/>
      <w:sz w:val="24"/>
      <w:szCs w:val="24"/>
      <w:lang w:val="en-US" w:eastAsia="zh-CN" w:bidi="ar-SA"/>
    </w:rPr>
  </w:style>
  <w:style w:type="character" w:customStyle="1" w:styleId="1509">
    <w:name w:val="Char Char411"/>
    <w:qFormat/>
    <w:uiPriority w:val="0"/>
    <w:rPr>
      <w:rFonts w:ascii="Arial" w:hAnsi="Arial" w:eastAsia="黑体"/>
      <w:sz w:val="24"/>
      <w:lang w:val="en-US" w:eastAsia="zh-CN" w:bidi="ar-SA"/>
    </w:rPr>
  </w:style>
  <w:style w:type="character" w:customStyle="1" w:styleId="1510">
    <w:name w:val="Lead-in Emphasis"/>
    <w:unhideWhenUsed/>
    <w:qFormat/>
    <w:uiPriority w:val="0"/>
    <w:rPr>
      <w:rFonts w:ascii="Arial" w:hAnsi="Arial"/>
      <w:b/>
      <w:spacing w:val="-8"/>
      <w:sz w:val="18"/>
    </w:rPr>
  </w:style>
  <w:style w:type="character" w:customStyle="1" w:styleId="1511">
    <w:name w:val="乐清附表1 Char Char"/>
    <w:qFormat/>
    <w:uiPriority w:val="0"/>
    <w:rPr>
      <w:b/>
      <w:kern w:val="2"/>
      <w:sz w:val="24"/>
      <w:szCs w:val="24"/>
      <w:lang w:bidi="ar-SA"/>
    </w:rPr>
  </w:style>
  <w:style w:type="character" w:customStyle="1" w:styleId="1512">
    <w:name w:val="content1"/>
    <w:qFormat/>
    <w:uiPriority w:val="0"/>
    <w:rPr>
      <w:spacing w:val="270"/>
      <w:sz w:val="21"/>
      <w:szCs w:val="21"/>
    </w:rPr>
  </w:style>
  <w:style w:type="character" w:customStyle="1" w:styleId="1513">
    <w:name w:val="称呼 Char1"/>
    <w:semiHidden/>
    <w:qFormat/>
    <w:uiPriority w:val="0"/>
    <w:rPr>
      <w:rFonts w:ascii="Times New Roman" w:hAnsi="Times New Roman" w:eastAsia="宋体" w:cs="Times New Roman"/>
      <w:szCs w:val="24"/>
    </w:rPr>
  </w:style>
  <w:style w:type="character" w:customStyle="1" w:styleId="1514">
    <w:name w:val="hhcwt正文 Char"/>
    <w:link w:val="1515"/>
    <w:qFormat/>
    <w:uiPriority w:val="0"/>
    <w:rPr>
      <w:rFonts w:ascii="宋体" w:hAnsi="宋体"/>
      <w:kern w:val="2"/>
      <w:sz w:val="24"/>
    </w:rPr>
  </w:style>
  <w:style w:type="paragraph" w:customStyle="1" w:styleId="1515">
    <w:name w:val="hhcwt正文"/>
    <w:basedOn w:val="1"/>
    <w:link w:val="1514"/>
    <w:qFormat/>
    <w:uiPriority w:val="0"/>
    <w:pPr>
      <w:spacing w:line="360" w:lineRule="auto"/>
      <w:ind w:firstLine="480" w:firstLineChars="200"/>
    </w:pPr>
    <w:rPr>
      <w:rFonts w:ascii="宋体" w:hAnsi="宋体"/>
      <w:sz w:val="24"/>
      <w:szCs w:val="20"/>
    </w:rPr>
  </w:style>
  <w:style w:type="character" w:customStyle="1" w:styleId="1516">
    <w:name w:val="表格 Char Char"/>
    <w:qFormat/>
    <w:uiPriority w:val="0"/>
    <w:rPr>
      <w:rFonts w:ascii="宋体" w:hAnsi="宋体" w:eastAsia="宋体"/>
      <w:b/>
      <w:kern w:val="2"/>
      <w:sz w:val="24"/>
      <w:szCs w:val="24"/>
      <w:lang w:val="en-US" w:eastAsia="zh-CN" w:bidi="ar-SA"/>
    </w:rPr>
  </w:style>
  <w:style w:type="character" w:customStyle="1" w:styleId="1517">
    <w:name w:val="图表标注[858D7CFB-ED40-4347-BF05-701D383B685F]3"/>
    <w:qFormat/>
    <w:uiPriority w:val="0"/>
    <w:rPr>
      <w:rFonts w:eastAsia="仿宋_GB2312"/>
      <w:color w:val="993300"/>
      <w:sz w:val="21"/>
      <w:lang w:bidi="ar-SA"/>
    </w:rPr>
  </w:style>
  <w:style w:type="character" w:customStyle="1" w:styleId="1518">
    <w:name w:val="Table caption + MS Gothic1"/>
    <w:qFormat/>
    <w:uiPriority w:val="0"/>
    <w:rPr>
      <w:rFonts w:ascii="MS Gothic" w:eastAsia="MS Gothic" w:cs="MS Gothic"/>
      <w:sz w:val="20"/>
      <w:szCs w:val="20"/>
      <w:u w:val="none"/>
    </w:rPr>
  </w:style>
  <w:style w:type="character" w:customStyle="1" w:styleId="1519">
    <w:name w:val="Body text + Spacing 5 pt"/>
    <w:qFormat/>
    <w:uiPriority w:val="0"/>
    <w:rPr>
      <w:rFonts w:ascii="MingLiU" w:eastAsia="MingLiU" w:cs="MingLiU"/>
      <w:spacing w:val="110"/>
      <w:sz w:val="23"/>
      <w:szCs w:val="23"/>
      <w:u w:val="none"/>
      <w:lang w:bidi="ar-SA"/>
    </w:rPr>
  </w:style>
  <w:style w:type="character" w:customStyle="1" w:styleId="1520">
    <w:name w:val="样式 样式 样式 仿宋_GB2312 四号 行距: 1.5 倍行距 + 首行缩进:  1.92 字符 + 三号 Char"/>
    <w:qFormat/>
    <w:uiPriority w:val="0"/>
    <w:rPr>
      <w:rFonts w:ascii="宋体" w:hAnsi="宋体" w:eastAsia="宋体"/>
      <w:color w:val="0000FF"/>
      <w:sz w:val="28"/>
      <w:lang w:val="en-US" w:eastAsia="zh-CN" w:bidi="ar-SA"/>
    </w:rPr>
  </w:style>
  <w:style w:type="character" w:customStyle="1" w:styleId="1521">
    <w:name w:val="Char Char Char Char Char Char11"/>
    <w:qFormat/>
    <w:uiPriority w:val="0"/>
    <w:rPr>
      <w:rFonts w:ascii="宋体" w:hAnsi="Courier New" w:eastAsia="宋体"/>
      <w:kern w:val="2"/>
      <w:sz w:val="21"/>
      <w:szCs w:val="24"/>
      <w:lang w:val="en-US" w:eastAsia="zh-CN" w:bidi="ar-SA"/>
    </w:rPr>
  </w:style>
  <w:style w:type="character" w:customStyle="1" w:styleId="1522">
    <w:name w:val="南沙正文 Char Char"/>
    <w:qFormat/>
    <w:uiPriority w:val="0"/>
    <w:rPr>
      <w:kern w:val="2"/>
      <w:sz w:val="24"/>
      <w:lang w:bidi="ar-SA"/>
    </w:rPr>
  </w:style>
  <w:style w:type="character" w:customStyle="1" w:styleId="1523">
    <w:name w:val="tj-表体 Char Char"/>
    <w:qFormat/>
    <w:uiPriority w:val="0"/>
    <w:rPr>
      <w:rFonts w:ascii="宋体" w:hAnsi="宋体"/>
      <w:kern w:val="2"/>
      <w:sz w:val="24"/>
      <w:szCs w:val="21"/>
      <w:lang w:bidi="ar-SA"/>
    </w:rPr>
  </w:style>
  <w:style w:type="character" w:customStyle="1" w:styleId="1524">
    <w:name w:val="0-shiw-页眉 Char Char"/>
    <w:link w:val="1525"/>
    <w:qFormat/>
    <w:uiPriority w:val="0"/>
    <w:rPr>
      <w:rFonts w:eastAsia="Times New Roman"/>
      <w:kern w:val="2"/>
      <w:sz w:val="18"/>
      <w:szCs w:val="18"/>
      <w:u w:val="single"/>
    </w:rPr>
  </w:style>
  <w:style w:type="paragraph" w:customStyle="1" w:styleId="1525">
    <w:name w:val="0-shiw-页眉"/>
    <w:link w:val="1524"/>
    <w:qFormat/>
    <w:uiPriority w:val="0"/>
    <w:rPr>
      <w:rFonts w:ascii="Times New Roman" w:hAnsi="Times New Roman" w:eastAsia="Times New Roman" w:cs="Times New Roman"/>
      <w:kern w:val="2"/>
      <w:sz w:val="18"/>
      <w:szCs w:val="18"/>
      <w:u w:val="single"/>
      <w:lang w:val="en-US" w:eastAsia="zh-CN" w:bidi="ar-SA"/>
    </w:rPr>
  </w:style>
  <w:style w:type="character" w:customStyle="1" w:styleId="1526">
    <w:name w:val="z-窗体顶端 字符1"/>
    <w:semiHidden/>
    <w:qFormat/>
    <w:uiPriority w:val="99"/>
    <w:rPr>
      <w:rFonts w:ascii="Arial" w:hAnsi="Arial" w:cs="Arial"/>
      <w:vanish/>
      <w:kern w:val="2"/>
      <w:sz w:val="16"/>
      <w:szCs w:val="16"/>
      <w:lang w:val="zh-CN"/>
    </w:rPr>
  </w:style>
  <w:style w:type="character" w:customStyle="1" w:styleId="1527">
    <w:name w:val="标题三 Char"/>
    <w:link w:val="1528"/>
    <w:qFormat/>
    <w:uiPriority w:val="0"/>
    <w:rPr>
      <w:rFonts w:eastAsia="黑体"/>
      <w:color w:val="FF0000"/>
      <w:kern w:val="2"/>
      <w:sz w:val="30"/>
    </w:rPr>
  </w:style>
  <w:style w:type="paragraph" w:customStyle="1" w:styleId="1528">
    <w:name w:val="标题三"/>
    <w:basedOn w:val="9"/>
    <w:link w:val="1527"/>
    <w:qFormat/>
    <w:uiPriority w:val="0"/>
    <w:pPr>
      <w:widowControl w:val="0"/>
      <w:numPr>
        <w:ilvl w:val="0"/>
        <w:numId w:val="0"/>
      </w:numPr>
      <w:tabs>
        <w:tab w:val="left" w:pos="1740"/>
      </w:tabs>
      <w:spacing w:line="240" w:lineRule="auto"/>
      <w:ind w:left="1740" w:hanging="420"/>
    </w:pPr>
    <w:rPr>
      <w:rFonts w:ascii="Times New Roman" w:hAnsi="Times New Roman" w:eastAsia="黑体" w:cs="Times New Roman"/>
      <w:bCs w:val="0"/>
      <w:color w:val="FF0000"/>
      <w:kern w:val="2"/>
      <w:sz w:val="30"/>
      <w:szCs w:val="20"/>
    </w:rPr>
  </w:style>
  <w:style w:type="character" w:customStyle="1" w:styleId="1529">
    <w:name w:val="段落文字 Char Char"/>
    <w:qFormat/>
    <w:uiPriority w:val="0"/>
    <w:rPr>
      <w:rFonts w:eastAsia="宋体"/>
      <w:kern w:val="2"/>
      <w:sz w:val="28"/>
      <w:szCs w:val="24"/>
      <w:lang w:val="en-US" w:eastAsia="zh-CN" w:bidi="ar-SA"/>
    </w:rPr>
  </w:style>
  <w:style w:type="character" w:customStyle="1" w:styleId="1530">
    <w:name w:val="t12"/>
    <w:qFormat/>
    <w:uiPriority w:val="0"/>
    <w:rPr>
      <w:rFonts w:eastAsia="宋体"/>
      <w:kern w:val="2"/>
      <w:sz w:val="21"/>
      <w:szCs w:val="21"/>
      <w:lang w:val="en-US" w:eastAsia="zh-CN" w:bidi="ar-SA"/>
    </w:rPr>
  </w:style>
  <w:style w:type="character" w:customStyle="1" w:styleId="1531">
    <w:name w:val="style61"/>
    <w:qFormat/>
    <w:uiPriority w:val="0"/>
    <w:rPr>
      <w:sz w:val="45"/>
      <w:szCs w:val="45"/>
    </w:rPr>
  </w:style>
  <w:style w:type="character" w:customStyle="1" w:styleId="1532">
    <w:name w:val="表内lcc Char"/>
    <w:link w:val="1533"/>
    <w:qFormat/>
    <w:uiPriority w:val="99"/>
    <w:rPr>
      <w:iCs/>
      <w:color w:val="000000"/>
      <w:kern w:val="2"/>
      <w:sz w:val="21"/>
      <w:szCs w:val="21"/>
    </w:rPr>
  </w:style>
  <w:style w:type="paragraph" w:customStyle="1" w:styleId="1533">
    <w:name w:val="表内lcc"/>
    <w:basedOn w:val="1"/>
    <w:link w:val="1532"/>
    <w:qFormat/>
    <w:uiPriority w:val="99"/>
    <w:pPr>
      <w:jc w:val="center"/>
    </w:pPr>
    <w:rPr>
      <w:iCs/>
      <w:color w:val="000000"/>
      <w:szCs w:val="21"/>
    </w:rPr>
  </w:style>
  <w:style w:type="character" w:customStyle="1" w:styleId="1534">
    <w:name w:val="页脚1 Char2"/>
    <w:qFormat/>
    <w:uiPriority w:val="0"/>
    <w:rPr>
      <w:rFonts w:ascii="Times New Roman" w:hAnsi="Times New Roman" w:eastAsia="宋体" w:cs="Times New Roman"/>
      <w:sz w:val="18"/>
      <w:szCs w:val="18"/>
    </w:rPr>
  </w:style>
  <w:style w:type="character" w:customStyle="1" w:styleId="1535">
    <w:name w:val="chen表头1 Char"/>
    <w:link w:val="1536"/>
    <w:qFormat/>
    <w:uiPriority w:val="0"/>
    <w:rPr>
      <w:rFonts w:eastAsia="楷体_GB2312" w:cs="宋体"/>
      <w:b/>
      <w:sz w:val="24"/>
    </w:rPr>
  </w:style>
  <w:style w:type="paragraph" w:customStyle="1" w:styleId="1536">
    <w:name w:val="chen表头1"/>
    <w:basedOn w:val="1"/>
    <w:link w:val="1535"/>
    <w:qFormat/>
    <w:uiPriority w:val="0"/>
    <w:pPr>
      <w:spacing w:after="120" w:line="500" w:lineRule="exact"/>
      <w:jc w:val="center"/>
    </w:pPr>
    <w:rPr>
      <w:rFonts w:eastAsia="楷体_GB2312" w:cs="宋体"/>
      <w:b/>
      <w:kern w:val="0"/>
      <w:sz w:val="24"/>
      <w:szCs w:val="20"/>
    </w:rPr>
  </w:style>
  <w:style w:type="character" w:customStyle="1" w:styleId="1537">
    <w:name w:val="00表体 Char Char"/>
    <w:qFormat/>
    <w:uiPriority w:val="0"/>
    <w:rPr>
      <w:rFonts w:ascii="宋体"/>
      <w:color w:val="000000"/>
      <w:kern w:val="24"/>
      <w:sz w:val="18"/>
      <w:lang w:bidi="ar-SA"/>
    </w:rPr>
  </w:style>
  <w:style w:type="character" w:customStyle="1" w:styleId="1538">
    <w:name w:val="冯正1 Char Char"/>
    <w:qFormat/>
    <w:uiPriority w:val="0"/>
    <w:rPr>
      <w:rFonts w:eastAsia="宋体" w:cs="宋体"/>
      <w:color w:val="000000"/>
      <w:kern w:val="2"/>
      <w:sz w:val="24"/>
      <w:lang w:val="en-US" w:eastAsia="zh-CN" w:bidi="ar-SA"/>
    </w:rPr>
  </w:style>
  <w:style w:type="character" w:customStyle="1" w:styleId="1539">
    <w:name w:val="批注主题 Char2"/>
    <w:semiHidden/>
    <w:qFormat/>
    <w:uiPriority w:val="0"/>
    <w:rPr>
      <w:b/>
      <w:bCs/>
    </w:rPr>
  </w:style>
  <w:style w:type="character" w:customStyle="1" w:styleId="1540">
    <w:name w:val="Body text + MS Gothic2"/>
    <w:qFormat/>
    <w:uiPriority w:val="0"/>
    <w:rPr>
      <w:rFonts w:ascii="MS Gothic" w:eastAsia="MS Gothic" w:cs="MS Gothic"/>
      <w:sz w:val="20"/>
      <w:szCs w:val="20"/>
      <w:u w:val="none"/>
      <w:lang w:bidi="ar-SA"/>
    </w:rPr>
  </w:style>
  <w:style w:type="character" w:customStyle="1" w:styleId="1541">
    <w:name w:val="表头上海 Char Char"/>
    <w:qFormat/>
    <w:uiPriority w:val="0"/>
    <w:rPr>
      <w:rFonts w:ascii="仿宋_GB2312" w:eastAsia="仿宋_GB2312"/>
      <w:kern w:val="2"/>
      <w:sz w:val="24"/>
      <w:szCs w:val="24"/>
      <w:lang w:bidi="ar-SA"/>
    </w:rPr>
  </w:style>
  <w:style w:type="character" w:customStyle="1" w:styleId="1542">
    <w:name w:val="Body text7"/>
    <w:qFormat/>
    <w:uiPriority w:val="0"/>
    <w:rPr>
      <w:rFonts w:ascii="黑体" w:eastAsia="黑体" w:cs="黑体"/>
      <w:sz w:val="23"/>
      <w:szCs w:val="23"/>
      <w:u w:val="none"/>
      <w:lang w:bidi="ar-SA"/>
    </w:rPr>
  </w:style>
  <w:style w:type="character" w:customStyle="1" w:styleId="1543">
    <w:name w:val="标题 3 Char3"/>
    <w:qFormat/>
    <w:uiPriority w:val="0"/>
    <w:rPr>
      <w:rFonts w:eastAsia="黑体"/>
      <w:color w:val="FF0000"/>
      <w:kern w:val="2"/>
      <w:sz w:val="30"/>
    </w:rPr>
  </w:style>
  <w:style w:type="character" w:customStyle="1" w:styleId="1544">
    <w:name w:val="tpc_content1"/>
    <w:qFormat/>
    <w:uiPriority w:val="0"/>
    <w:rPr>
      <w:rFonts w:hint="default"/>
      <w:sz w:val="18"/>
    </w:rPr>
  </w:style>
  <w:style w:type="character" w:customStyle="1" w:styleId="1545">
    <w:name w:val="表标题 Char"/>
    <w:link w:val="1546"/>
    <w:qFormat/>
    <w:uiPriority w:val="0"/>
    <w:rPr>
      <w:b/>
      <w:snapToGrid/>
      <w:sz w:val="24"/>
    </w:rPr>
  </w:style>
  <w:style w:type="paragraph" w:customStyle="1" w:styleId="1546">
    <w:name w:val="表标题"/>
    <w:basedOn w:val="1"/>
    <w:link w:val="1545"/>
    <w:qFormat/>
    <w:uiPriority w:val="0"/>
    <w:pPr>
      <w:jc w:val="center"/>
    </w:pPr>
    <w:rPr>
      <w:b/>
      <w:snapToGrid w:val="0"/>
      <w:kern w:val="0"/>
      <w:sz w:val="24"/>
      <w:szCs w:val="20"/>
    </w:rPr>
  </w:style>
  <w:style w:type="character" w:customStyle="1" w:styleId="1547">
    <w:name w:val="批注文字 Char1"/>
    <w:semiHidden/>
    <w:qFormat/>
    <w:uiPriority w:val="0"/>
    <w:rPr>
      <w:rFonts w:ascii="Times New Roman" w:hAnsi="Times New Roman" w:eastAsia="宋体" w:cs="Times New Roman"/>
      <w:szCs w:val="24"/>
    </w:rPr>
  </w:style>
  <w:style w:type="character" w:customStyle="1" w:styleId="1548">
    <w:name w:val="样式 正文格式 + 首行缩进:  2 字符 段前: 0.25 行 段后: 0.25 行 Char"/>
    <w:qFormat/>
    <w:uiPriority w:val="0"/>
    <w:rPr>
      <w:rFonts w:ascii="宋体" w:hAnsi="宋体" w:eastAsia="宋体" w:cs="宋体"/>
      <w:sz w:val="24"/>
      <w:lang w:val="zh-CN" w:eastAsia="zh-CN" w:bidi="ar-SA"/>
    </w:rPr>
  </w:style>
  <w:style w:type="character" w:customStyle="1" w:styleId="1549">
    <w:name w:val="表题 Char Char Char"/>
    <w:link w:val="1550"/>
    <w:qFormat/>
    <w:uiPriority w:val="0"/>
    <w:rPr>
      <w:rFonts w:hAnsi="宋体"/>
      <w:b/>
      <w:bCs/>
      <w:sz w:val="28"/>
      <w:szCs w:val="28"/>
    </w:rPr>
  </w:style>
  <w:style w:type="paragraph" w:customStyle="1" w:styleId="1550">
    <w:name w:val="表题 Char Char"/>
    <w:basedOn w:val="1"/>
    <w:link w:val="1549"/>
    <w:qFormat/>
    <w:uiPriority w:val="0"/>
    <w:pPr>
      <w:spacing w:line="360" w:lineRule="auto"/>
      <w:ind w:firstLine="562" w:firstLineChars="200"/>
      <w:jc w:val="center"/>
    </w:pPr>
    <w:rPr>
      <w:rFonts w:hAnsi="宋体"/>
      <w:b/>
      <w:bCs/>
      <w:kern w:val="0"/>
      <w:sz w:val="28"/>
      <w:szCs w:val="28"/>
    </w:rPr>
  </w:style>
  <w:style w:type="character" w:customStyle="1" w:styleId="1551">
    <w:name w:val="Heading 3 Char Char Char"/>
    <w:qFormat/>
    <w:uiPriority w:val="0"/>
    <w:rPr>
      <w:rFonts w:eastAsia="宋体"/>
      <w:b/>
      <w:bCs/>
      <w:kern w:val="2"/>
      <w:sz w:val="32"/>
      <w:szCs w:val="32"/>
      <w:lang w:val="en-US" w:eastAsia="zh-CN" w:bidi="ar-SA"/>
    </w:rPr>
  </w:style>
  <w:style w:type="character" w:customStyle="1" w:styleId="1552">
    <w:name w:val="湛江标题3 Char Char"/>
    <w:qFormat/>
    <w:uiPriority w:val="0"/>
    <w:rPr>
      <w:color w:val="FF0000"/>
      <w:kern w:val="2"/>
      <w:sz w:val="32"/>
      <w:szCs w:val="32"/>
      <w:lang w:bidi="ar-SA"/>
    </w:rPr>
  </w:style>
  <w:style w:type="character" w:customStyle="1" w:styleId="1553">
    <w:name w:val="unnamed41"/>
    <w:qFormat/>
    <w:uiPriority w:val="0"/>
    <w:rPr>
      <w:rFonts w:hint="default" w:ascii="Arial" w:hAnsi="Arial" w:cs="Arial"/>
      <w:sz w:val="20"/>
      <w:szCs w:val="20"/>
    </w:rPr>
  </w:style>
  <w:style w:type="character" w:customStyle="1" w:styleId="1554">
    <w:name w:val="Char Char25"/>
    <w:qFormat/>
    <w:uiPriority w:val="0"/>
    <w:rPr>
      <w:kern w:val="2"/>
      <w:sz w:val="18"/>
      <w:szCs w:val="18"/>
    </w:rPr>
  </w:style>
  <w:style w:type="character" w:customStyle="1" w:styleId="1555">
    <w:name w:val="标题4"/>
    <w:qFormat/>
    <w:uiPriority w:val="0"/>
    <w:rPr>
      <w:szCs w:val="21"/>
    </w:rPr>
  </w:style>
  <w:style w:type="character" w:customStyle="1" w:styleId="1556">
    <w:name w:val="ghf2 Char Char"/>
    <w:qFormat/>
    <w:uiPriority w:val="0"/>
    <w:rPr>
      <w:rFonts w:ascii="黑体" w:hAnsi="黑体" w:eastAsia="黑体"/>
      <w:b/>
      <w:bCs/>
      <w:spacing w:val="10"/>
      <w:kern w:val="44"/>
      <w:sz w:val="32"/>
      <w:szCs w:val="44"/>
      <w:lang w:val="en-US" w:eastAsia="zh-CN" w:bidi="ar-SA"/>
    </w:rPr>
  </w:style>
  <w:style w:type="character" w:customStyle="1" w:styleId="1557">
    <w:name w:val="乐清附表1 Char"/>
    <w:link w:val="1558"/>
    <w:qFormat/>
    <w:uiPriority w:val="0"/>
    <w:rPr>
      <w:b/>
      <w:kern w:val="2"/>
      <w:sz w:val="24"/>
      <w:szCs w:val="24"/>
    </w:rPr>
  </w:style>
  <w:style w:type="paragraph" w:customStyle="1" w:styleId="1558">
    <w:name w:val="乐清附表1"/>
    <w:basedOn w:val="618"/>
    <w:link w:val="1557"/>
    <w:qFormat/>
    <w:uiPriority w:val="0"/>
    <w:pPr>
      <w:widowControl w:val="0"/>
      <w:spacing w:beforeLines="100" w:line="360" w:lineRule="auto"/>
      <w:ind w:firstLine="0" w:firstLineChars="0"/>
      <w:jc w:val="both"/>
      <w:outlineLvl w:val="0"/>
    </w:pPr>
    <w:rPr>
      <w:rFonts w:ascii="Times New Roman" w:hAnsi="Times New Roman" w:cs="Times New Roman"/>
      <w:b/>
      <w:kern w:val="2"/>
      <w:szCs w:val="24"/>
    </w:rPr>
  </w:style>
  <w:style w:type="character" w:customStyle="1" w:styleId="1559">
    <w:name w:val="图表标注[858D7CFB-ED40-4347-BF05-701D383B685F]"/>
    <w:qFormat/>
    <w:uiPriority w:val="0"/>
    <w:rPr>
      <w:rFonts w:eastAsia="仿宋_GB2312"/>
      <w:color w:val="993300"/>
      <w:sz w:val="21"/>
    </w:rPr>
  </w:style>
  <w:style w:type="character" w:customStyle="1" w:styleId="1560">
    <w:name w:val="题注 Char Char Char Char Char1"/>
    <w:qFormat/>
    <w:uiPriority w:val="0"/>
    <w:rPr>
      <w:rFonts w:ascii="Arial" w:hAnsi="Arial" w:eastAsia="黑体" w:cs="Arial"/>
      <w:kern w:val="2"/>
      <w:sz w:val="24"/>
      <w:lang w:val="en-US" w:eastAsia="zh-CN" w:bidi="ar-SA"/>
    </w:rPr>
  </w:style>
  <w:style w:type="character" w:customStyle="1" w:styleId="1561">
    <w:name w:val="00表体 Char"/>
    <w:link w:val="1562"/>
    <w:qFormat/>
    <w:uiPriority w:val="0"/>
    <w:rPr>
      <w:rFonts w:ascii="宋体"/>
      <w:color w:val="000000"/>
      <w:kern w:val="24"/>
      <w:sz w:val="18"/>
    </w:rPr>
  </w:style>
  <w:style w:type="paragraph" w:customStyle="1" w:styleId="1562">
    <w:name w:val="00表体"/>
    <w:basedOn w:val="1"/>
    <w:link w:val="1561"/>
    <w:qFormat/>
    <w:uiPriority w:val="0"/>
    <w:pPr>
      <w:overflowPunct w:val="0"/>
      <w:adjustRightInd w:val="0"/>
      <w:spacing w:before="120" w:after="120" w:line="0" w:lineRule="atLeast"/>
      <w:ind w:firstLine="567"/>
      <w:jc w:val="center"/>
      <w:textAlignment w:val="baseline"/>
    </w:pPr>
    <w:rPr>
      <w:rFonts w:ascii="宋体"/>
      <w:color w:val="000000"/>
      <w:kern w:val="24"/>
      <w:sz w:val="18"/>
      <w:szCs w:val="20"/>
    </w:rPr>
  </w:style>
  <w:style w:type="character" w:customStyle="1" w:styleId="1563">
    <w:name w:val="湛江表标题 Char Char"/>
    <w:qFormat/>
    <w:uiPriority w:val="0"/>
    <w:rPr>
      <w:b/>
      <w:bCs/>
      <w:kern w:val="2"/>
      <w:sz w:val="24"/>
      <w:szCs w:val="24"/>
      <w:lang w:bidi="ar-SA"/>
    </w:rPr>
  </w:style>
  <w:style w:type="character" w:customStyle="1" w:styleId="1564">
    <w:name w:val="port-name1"/>
    <w:qFormat/>
    <w:uiPriority w:val="0"/>
    <w:rPr>
      <w:rFonts w:hint="default" w:ascii="ˎ̥" w:hAnsi="ˎ̥"/>
      <w:b/>
      <w:bCs/>
      <w:sz w:val="39"/>
      <w:szCs w:val="39"/>
    </w:rPr>
  </w:style>
  <w:style w:type="character" w:customStyle="1" w:styleId="1565">
    <w:name w:val="图标题 Char"/>
    <w:link w:val="1566"/>
    <w:qFormat/>
    <w:uiPriority w:val="0"/>
    <w:rPr>
      <w:rFonts w:hAnsi="宋体"/>
      <w:snapToGrid/>
      <w:color w:val="000000"/>
      <w:sz w:val="28"/>
      <w:szCs w:val="28"/>
    </w:rPr>
  </w:style>
  <w:style w:type="paragraph" w:customStyle="1" w:styleId="1566">
    <w:name w:val="图标题"/>
    <w:basedOn w:val="1"/>
    <w:link w:val="1565"/>
    <w:qFormat/>
    <w:uiPriority w:val="0"/>
    <w:pPr>
      <w:jc w:val="center"/>
    </w:pPr>
    <w:rPr>
      <w:rFonts w:hAnsi="宋体"/>
      <w:snapToGrid w:val="0"/>
      <w:color w:val="000000"/>
      <w:kern w:val="0"/>
      <w:sz w:val="28"/>
      <w:szCs w:val="28"/>
    </w:rPr>
  </w:style>
  <w:style w:type="character" w:customStyle="1" w:styleId="1567">
    <w:name w:val="Default Char"/>
    <w:qFormat/>
    <w:uiPriority w:val="0"/>
    <w:rPr>
      <w:rFonts w:ascii="黑体" w:eastAsia="黑体" w:cs="黑体"/>
      <w:color w:val="000000"/>
      <w:sz w:val="24"/>
      <w:szCs w:val="24"/>
      <w:lang w:val="en-US" w:eastAsia="zh-CN" w:bidi="ar-SA"/>
    </w:rPr>
  </w:style>
  <w:style w:type="character" w:customStyle="1" w:styleId="1568">
    <w:name w:val="报告书正文 Char"/>
    <w:link w:val="1569"/>
    <w:qFormat/>
    <w:uiPriority w:val="0"/>
    <w:rPr>
      <w:kern w:val="2"/>
      <w:sz w:val="24"/>
      <w:szCs w:val="24"/>
    </w:rPr>
  </w:style>
  <w:style w:type="paragraph" w:customStyle="1" w:styleId="1569">
    <w:name w:val="报告书正文"/>
    <w:basedOn w:val="1"/>
    <w:link w:val="1568"/>
    <w:qFormat/>
    <w:uiPriority w:val="0"/>
    <w:pPr>
      <w:spacing w:line="300" w:lineRule="auto"/>
      <w:ind w:firstLine="496" w:firstLineChars="200"/>
    </w:pPr>
    <w:rPr>
      <w:sz w:val="24"/>
    </w:rPr>
  </w:style>
  <w:style w:type="character" w:customStyle="1" w:styleId="1570">
    <w:name w:val="unnamed31"/>
    <w:qFormat/>
    <w:uiPriority w:val="0"/>
    <w:rPr>
      <w:rFonts w:hint="default" w:ascii="Arial" w:hAnsi="Arial" w:cs="Arial"/>
      <w:color w:val="000000"/>
      <w:sz w:val="23"/>
      <w:szCs w:val="23"/>
    </w:rPr>
  </w:style>
  <w:style w:type="character" w:customStyle="1" w:styleId="1571">
    <w:name w:val="表格文字—五号 Char"/>
    <w:link w:val="1572"/>
    <w:qFormat/>
    <w:uiPriority w:val="0"/>
    <w:rPr>
      <w:kern w:val="2"/>
      <w:sz w:val="21"/>
      <w:szCs w:val="21"/>
    </w:rPr>
  </w:style>
  <w:style w:type="paragraph" w:customStyle="1" w:styleId="1572">
    <w:name w:val="表格文字—五号"/>
    <w:basedOn w:val="1"/>
    <w:link w:val="1571"/>
    <w:qFormat/>
    <w:uiPriority w:val="0"/>
    <w:pPr>
      <w:spacing w:before="120" w:after="120"/>
      <w:ind w:left="578" w:hanging="578"/>
      <w:jc w:val="center"/>
    </w:pPr>
    <w:rPr>
      <w:szCs w:val="21"/>
    </w:rPr>
  </w:style>
  <w:style w:type="character" w:customStyle="1" w:styleId="1573">
    <w:name w:val="标题 3 Char1"/>
    <w:qFormat/>
    <w:uiPriority w:val="0"/>
    <w:rPr>
      <w:rFonts w:ascii="Tahoma" w:hAnsi="Tahoma" w:eastAsia="黑体"/>
      <w:b/>
      <w:bCs/>
      <w:kern w:val="1"/>
      <w:sz w:val="24"/>
      <w:szCs w:val="24"/>
      <w:lang w:val="en-US" w:eastAsia="ar-SA" w:bidi="ar-SA"/>
    </w:rPr>
  </w:style>
  <w:style w:type="character" w:customStyle="1" w:styleId="1574">
    <w:name w:val="样式 标题 3 + 宋体 加粗 Char"/>
    <w:link w:val="1575"/>
    <w:qFormat/>
    <w:uiPriority w:val="0"/>
    <w:rPr>
      <w:rFonts w:ascii="宋体" w:hAnsi="宋体"/>
      <w:b/>
      <w:color w:val="FF0000"/>
      <w:kern w:val="2"/>
      <w:sz w:val="24"/>
      <w:szCs w:val="24"/>
    </w:rPr>
  </w:style>
  <w:style w:type="paragraph" w:customStyle="1" w:styleId="1575">
    <w:name w:val="样式 标题 3 + 宋体 加粗"/>
    <w:basedOn w:val="9"/>
    <w:link w:val="1574"/>
    <w:qFormat/>
    <w:uiPriority w:val="0"/>
    <w:pPr>
      <w:widowControl w:val="0"/>
      <w:numPr>
        <w:ilvl w:val="0"/>
        <w:numId w:val="0"/>
      </w:numPr>
      <w:tabs>
        <w:tab w:val="left" w:pos="1740"/>
      </w:tabs>
      <w:spacing w:line="240" w:lineRule="auto"/>
      <w:ind w:left="1740" w:hanging="420"/>
      <w:jc w:val="center"/>
    </w:pPr>
    <w:rPr>
      <w:rFonts w:cs="Times New Roman"/>
      <w:b/>
      <w:bCs w:val="0"/>
      <w:color w:val="FF0000"/>
      <w:kern w:val="2"/>
      <w:sz w:val="24"/>
      <w:szCs w:val="24"/>
    </w:rPr>
  </w:style>
  <w:style w:type="character" w:customStyle="1" w:styleId="1576">
    <w:name w:val="正文文本缩进 2 字符1"/>
    <w:semiHidden/>
    <w:qFormat/>
    <w:uiPriority w:val="99"/>
    <w:rPr>
      <w:kern w:val="2"/>
      <w:sz w:val="24"/>
      <w:szCs w:val="24"/>
      <w:lang w:val="fr-FR"/>
    </w:rPr>
  </w:style>
  <w:style w:type="character" w:customStyle="1" w:styleId="1577">
    <w:name w:val="表格，五宋 Char"/>
    <w:link w:val="1578"/>
    <w:qFormat/>
    <w:uiPriority w:val="0"/>
    <w:rPr>
      <w:rFonts w:ascii="宋体" w:hAnsi="宋体" w:eastAsia="Times New Roman"/>
      <w:kern w:val="2"/>
      <w:sz w:val="21"/>
      <w:szCs w:val="22"/>
    </w:rPr>
  </w:style>
  <w:style w:type="paragraph" w:customStyle="1" w:styleId="1578">
    <w:name w:val="表格，五宋"/>
    <w:link w:val="1577"/>
    <w:qFormat/>
    <w:uiPriority w:val="0"/>
    <w:pPr>
      <w:keepNext/>
      <w:widowControl w:val="0"/>
      <w:adjustRightInd w:val="0"/>
      <w:spacing w:line="360" w:lineRule="exact"/>
      <w:jc w:val="center"/>
    </w:pPr>
    <w:rPr>
      <w:rFonts w:ascii="宋体" w:hAnsi="宋体" w:eastAsia="Times New Roman" w:cs="Times New Roman"/>
      <w:kern w:val="2"/>
      <w:sz w:val="21"/>
      <w:szCs w:val="22"/>
      <w:lang w:val="en-US" w:eastAsia="zh-CN" w:bidi="ar-SA"/>
    </w:rPr>
  </w:style>
  <w:style w:type="character" w:customStyle="1" w:styleId="1579">
    <w:name w:val="tit2"/>
    <w:qFormat/>
    <w:uiPriority w:val="0"/>
    <w:rPr>
      <w:b/>
      <w:bCs/>
      <w:sz w:val="48"/>
      <w:szCs w:val="48"/>
    </w:rPr>
  </w:style>
  <w:style w:type="character" w:customStyle="1" w:styleId="1580">
    <w:name w:val="图表名称 Char"/>
    <w:link w:val="1581"/>
    <w:qFormat/>
    <w:uiPriority w:val="0"/>
    <w:rPr>
      <w:rFonts w:eastAsia="黑体"/>
      <w:b/>
      <w:bCs/>
      <w:sz w:val="24"/>
      <w:szCs w:val="21"/>
    </w:rPr>
  </w:style>
  <w:style w:type="paragraph" w:customStyle="1" w:styleId="1581">
    <w:name w:val="图表名称"/>
    <w:next w:val="1"/>
    <w:link w:val="1580"/>
    <w:qFormat/>
    <w:uiPriority w:val="0"/>
    <w:pPr>
      <w:spacing w:before="25" w:after="25" w:line="360" w:lineRule="auto"/>
      <w:jc w:val="center"/>
    </w:pPr>
    <w:rPr>
      <w:rFonts w:ascii="Times New Roman" w:hAnsi="Times New Roman" w:eastAsia="黑体" w:cs="Times New Roman"/>
      <w:b/>
      <w:bCs/>
      <w:sz w:val="24"/>
      <w:szCs w:val="21"/>
      <w:lang w:val="en-US" w:eastAsia="zh-CN" w:bidi="ar-SA"/>
    </w:rPr>
  </w:style>
  <w:style w:type="character" w:customStyle="1" w:styleId="1582">
    <w:name w:val="a121"/>
    <w:qFormat/>
    <w:uiPriority w:val="0"/>
    <w:rPr>
      <w:rFonts w:hint="default"/>
      <w:color w:val="000000"/>
      <w:spacing w:val="240"/>
      <w:sz w:val="20"/>
      <w:szCs w:val="20"/>
    </w:rPr>
  </w:style>
  <w:style w:type="character" w:customStyle="1" w:styleId="1583">
    <w:name w:val="正文（杨） Char Char"/>
    <w:qFormat/>
    <w:uiPriority w:val="0"/>
    <w:rPr>
      <w:rFonts w:eastAsia="宋体"/>
      <w:kern w:val="2"/>
      <w:sz w:val="24"/>
      <w:lang w:val="en-US" w:eastAsia="zh-CN" w:bidi="ar-SA"/>
    </w:rPr>
  </w:style>
  <w:style w:type="character" w:customStyle="1" w:styleId="1584">
    <w:name w:val="表体 Char Char"/>
    <w:qFormat/>
    <w:uiPriority w:val="0"/>
    <w:rPr>
      <w:rFonts w:ascii="黑体" w:hAnsi="Times New Roman" w:eastAsia="黑体" w:cs="Times New Roman"/>
      <w:color w:val="000080"/>
      <w:kern w:val="24"/>
      <w:sz w:val="24"/>
      <w:szCs w:val="20"/>
    </w:rPr>
  </w:style>
  <w:style w:type="character" w:customStyle="1" w:styleId="1585">
    <w:name w:val="样式 标题 3 + (符号) 宋体 Char"/>
    <w:link w:val="1586"/>
    <w:qFormat/>
    <w:uiPriority w:val="0"/>
    <w:rPr>
      <w:b/>
      <w:bCs/>
      <w:kern w:val="2"/>
      <w:sz w:val="32"/>
      <w:szCs w:val="32"/>
    </w:rPr>
  </w:style>
  <w:style w:type="paragraph" w:customStyle="1" w:styleId="1586">
    <w:name w:val="样式 标题 3 + (符号) 宋体"/>
    <w:basedOn w:val="9"/>
    <w:link w:val="1585"/>
    <w:qFormat/>
    <w:uiPriority w:val="0"/>
    <w:pPr>
      <w:widowControl w:val="0"/>
      <w:numPr>
        <w:ilvl w:val="0"/>
        <w:numId w:val="0"/>
      </w:numPr>
      <w:tabs>
        <w:tab w:val="left" w:pos="720"/>
      </w:tabs>
      <w:spacing w:before="260" w:after="260" w:line="415" w:lineRule="auto"/>
      <w:ind w:left="720" w:hanging="720"/>
      <w:jc w:val="both"/>
    </w:pPr>
    <w:rPr>
      <w:rFonts w:ascii="Times New Roman" w:hAnsi="Times New Roman" w:cs="Times New Roman"/>
      <w:b/>
      <w:kern w:val="2"/>
      <w:sz w:val="32"/>
    </w:rPr>
  </w:style>
  <w:style w:type="character" w:customStyle="1" w:styleId="1587">
    <w:name w:val="Char Char72"/>
    <w:qFormat/>
    <w:uiPriority w:val="0"/>
    <w:rPr>
      <w:rFonts w:eastAsia="宋体"/>
      <w:sz w:val="18"/>
      <w:lang w:val="en-US" w:eastAsia="zh-CN" w:bidi="ar-SA"/>
    </w:rPr>
  </w:style>
  <w:style w:type="character" w:customStyle="1" w:styleId="1588">
    <w:name w:val="表格文字居中 Char"/>
    <w:qFormat/>
    <w:uiPriority w:val="0"/>
    <w:rPr>
      <w:rFonts w:ascii="宋体" w:hAnsi="宋体" w:eastAsia="宋体" w:cs="宋体"/>
      <w:kern w:val="2"/>
      <w:sz w:val="24"/>
      <w:szCs w:val="24"/>
      <w:lang w:val="en-US" w:eastAsia="zh-CN"/>
    </w:rPr>
  </w:style>
  <w:style w:type="character" w:customStyle="1" w:styleId="1589">
    <w:name w:val="样式 题注 + 左侧:  3 字符 Char"/>
    <w:link w:val="1590"/>
    <w:semiHidden/>
    <w:qFormat/>
    <w:uiPriority w:val="0"/>
    <w:rPr>
      <w:b/>
      <w:sz w:val="24"/>
    </w:rPr>
  </w:style>
  <w:style w:type="paragraph" w:customStyle="1" w:styleId="1590">
    <w:name w:val="样式 题注 + 左侧:  3 字符"/>
    <w:basedOn w:val="1"/>
    <w:link w:val="1589"/>
    <w:semiHidden/>
    <w:qFormat/>
    <w:uiPriority w:val="0"/>
    <w:pPr>
      <w:widowControl/>
      <w:tabs>
        <w:tab w:val="left" w:pos="1200"/>
        <w:tab w:val="center" w:pos="10467"/>
        <w:tab w:val="left" w:pos="13095"/>
      </w:tabs>
      <w:ind w:left="720" w:leftChars="300"/>
      <w:jc w:val="center"/>
    </w:pPr>
    <w:rPr>
      <w:b/>
      <w:kern w:val="0"/>
      <w:sz w:val="24"/>
      <w:szCs w:val="20"/>
    </w:rPr>
  </w:style>
  <w:style w:type="character" w:customStyle="1" w:styleId="1591">
    <w:name w:val="正文新 Char1"/>
    <w:link w:val="1592"/>
    <w:qFormat/>
    <w:uiPriority w:val="0"/>
    <w:rPr>
      <w:rFonts w:cs="宋体"/>
      <w:kern w:val="2"/>
      <w:sz w:val="28"/>
    </w:rPr>
  </w:style>
  <w:style w:type="paragraph" w:customStyle="1" w:styleId="1592">
    <w:name w:val="正文新"/>
    <w:basedOn w:val="1"/>
    <w:link w:val="1591"/>
    <w:qFormat/>
    <w:uiPriority w:val="0"/>
    <w:pPr>
      <w:ind w:firstLine="560"/>
    </w:pPr>
    <w:rPr>
      <w:rFonts w:cs="宋体"/>
      <w:sz w:val="28"/>
      <w:szCs w:val="20"/>
    </w:rPr>
  </w:style>
  <w:style w:type="character" w:customStyle="1" w:styleId="1593">
    <w:name w:val="乐清表3- Char Char"/>
    <w:qFormat/>
    <w:uiPriority w:val="0"/>
    <w:rPr>
      <w:b/>
      <w:color w:val="000000"/>
      <w:kern w:val="2"/>
      <w:sz w:val="21"/>
      <w:szCs w:val="21"/>
      <w:lang w:bidi="ar-SA"/>
    </w:rPr>
  </w:style>
  <w:style w:type="character" w:customStyle="1" w:styleId="1594">
    <w:name w:val="Part Char"/>
    <w:qFormat/>
    <w:uiPriority w:val="0"/>
    <w:rPr>
      <w:rFonts w:ascii="宋体" w:eastAsia="宋体"/>
      <w:b/>
      <w:bCs/>
      <w:kern w:val="44"/>
      <w:sz w:val="36"/>
      <w:szCs w:val="36"/>
      <w:lang w:val="en-US" w:eastAsia="zh-CN" w:bidi="ar-SA"/>
    </w:rPr>
  </w:style>
  <w:style w:type="character" w:customStyle="1" w:styleId="1595">
    <w:name w:val="Char Char39"/>
    <w:qFormat/>
    <w:uiPriority w:val="0"/>
    <w:rPr>
      <w:rFonts w:ascii="宋体" w:hAnsi="Courier New" w:eastAsia="宋体" w:cs="Courier New"/>
      <w:szCs w:val="21"/>
    </w:rPr>
  </w:style>
  <w:style w:type="character" w:customStyle="1" w:styleId="1596">
    <w:name w:val="NormalCharacter"/>
    <w:semiHidden/>
    <w:qFormat/>
    <w:uiPriority w:val="0"/>
    <w:rPr>
      <w:rFonts w:ascii="Times New Roman" w:hAnsi="Times New Roman" w:eastAsia="宋体" w:cs="Times New Roman"/>
      <w:kern w:val="2"/>
      <w:sz w:val="21"/>
      <w:lang w:val="en-US" w:eastAsia="zh-CN" w:bidi="ar-SA"/>
    </w:rPr>
  </w:style>
  <w:style w:type="character" w:customStyle="1" w:styleId="1597">
    <w:name w:val="z-窗体顶端 字符"/>
    <w:qFormat/>
    <w:uiPriority w:val="0"/>
    <w:rPr>
      <w:rFonts w:ascii="Arial" w:hAnsi="Arial" w:eastAsia="Arial Unicode MS" w:cs="Arial"/>
      <w:vanish/>
      <w:sz w:val="16"/>
      <w:szCs w:val="16"/>
      <w:lang w:val="zh-CN"/>
    </w:rPr>
  </w:style>
  <w:style w:type="character" w:customStyle="1" w:styleId="1598">
    <w:name w:val="z-窗体底端 字符"/>
    <w:qFormat/>
    <w:uiPriority w:val="0"/>
    <w:rPr>
      <w:rFonts w:ascii="Arial" w:hAnsi="Arial" w:eastAsia="Arial Unicode MS" w:cs="Arial"/>
      <w:vanish/>
      <w:sz w:val="16"/>
      <w:szCs w:val="16"/>
      <w:lang w:val="zh-CN"/>
    </w:rPr>
  </w:style>
  <w:style w:type="character" w:customStyle="1" w:styleId="1599">
    <w:name w:val="文档结构图 字符"/>
    <w:qFormat/>
    <w:uiPriority w:val="0"/>
    <w:rPr>
      <w:rFonts w:ascii="Microsoft YaHei UI" w:eastAsia="Microsoft YaHei UI"/>
      <w:kern w:val="2"/>
      <w:sz w:val="18"/>
      <w:szCs w:val="18"/>
    </w:rPr>
  </w:style>
  <w:style w:type="paragraph" w:customStyle="1" w:styleId="1600">
    <w:name w:val="日期11"/>
    <w:basedOn w:val="1"/>
    <w:next w:val="1"/>
    <w:qFormat/>
    <w:uiPriority w:val="0"/>
    <w:pPr>
      <w:adjustRightInd w:val="0"/>
      <w:textAlignment w:val="baseline"/>
    </w:pPr>
    <w:rPr>
      <w:rFonts w:ascii="宋体"/>
      <w:kern w:val="0"/>
      <w:szCs w:val="20"/>
    </w:rPr>
  </w:style>
  <w:style w:type="paragraph" w:customStyle="1" w:styleId="1601">
    <w:name w:val="CM62"/>
    <w:basedOn w:val="2"/>
    <w:next w:val="2"/>
    <w:semiHidden/>
    <w:qFormat/>
    <w:uiPriority w:val="0"/>
    <w:pPr>
      <w:adjustRightInd/>
    </w:pPr>
    <w:rPr>
      <w:rFonts w:hint="eastAsia" w:ascii="仿宋" w:hAnsi="仿宋" w:eastAsia="仿宋" w:cs="Times New Roman"/>
      <w:szCs w:val="20"/>
    </w:rPr>
  </w:style>
  <w:style w:type="paragraph" w:customStyle="1" w:styleId="1602">
    <w:name w:val="style2"/>
    <w:basedOn w:val="1"/>
    <w:qFormat/>
    <w:uiPriority w:val="0"/>
    <w:pPr>
      <w:widowControl/>
      <w:spacing w:before="100" w:beforeAutospacing="1" w:after="100" w:afterAutospacing="1"/>
      <w:jc w:val="left"/>
    </w:pPr>
    <w:rPr>
      <w:rFonts w:ascii="宋体" w:hAnsi="宋体"/>
      <w:color w:val="000000"/>
      <w:kern w:val="0"/>
      <w:szCs w:val="20"/>
    </w:rPr>
  </w:style>
  <w:style w:type="paragraph" w:customStyle="1" w:styleId="1603">
    <w:name w:val="样式 样式 样式 样式 样式 五号 居中 行距: 固定值 18 磅 + 首行缩进:  2 字符 + 小五 + 首行缩进:  2 ..."/>
    <w:basedOn w:val="1604"/>
    <w:unhideWhenUsed/>
    <w:qFormat/>
    <w:uiPriority w:val="0"/>
  </w:style>
  <w:style w:type="paragraph" w:customStyle="1" w:styleId="1604">
    <w:name w:val="样式 样式 样式 样式 五号 居中 行距: 固定值 18 磅 + 首行缩进:  2 字符 + 小五 + 首行缩进:  2 字符"/>
    <w:basedOn w:val="1605"/>
    <w:unhideWhenUsed/>
    <w:qFormat/>
    <w:uiPriority w:val="0"/>
  </w:style>
  <w:style w:type="paragraph" w:customStyle="1" w:styleId="1605">
    <w:name w:val="样式 样式 样式 五号 居中 行距: 固定值 18 磅 + 首行缩进:  2 字符 + 小五"/>
    <w:basedOn w:val="1606"/>
    <w:unhideWhenUsed/>
    <w:qFormat/>
    <w:uiPriority w:val="0"/>
    <w:rPr>
      <w:sz w:val="18"/>
    </w:rPr>
  </w:style>
  <w:style w:type="paragraph" w:customStyle="1" w:styleId="1606">
    <w:name w:val="样式 样式 五号 居中 行距: 固定值 18 磅 + 首行缩进:  2 字符"/>
    <w:basedOn w:val="1607"/>
    <w:unhideWhenUsed/>
    <w:qFormat/>
    <w:uiPriority w:val="0"/>
    <w:pPr>
      <w:spacing w:line="240" w:lineRule="auto"/>
    </w:pPr>
  </w:style>
  <w:style w:type="paragraph" w:customStyle="1" w:styleId="1607">
    <w:name w:val="样式 五号 居中 行距: 固定值 18 磅"/>
    <w:basedOn w:val="1"/>
    <w:unhideWhenUsed/>
    <w:qFormat/>
    <w:uiPriority w:val="0"/>
    <w:pPr>
      <w:spacing w:before="120" w:after="120" w:line="360" w:lineRule="exact"/>
      <w:ind w:left="578" w:hanging="578"/>
      <w:jc w:val="center"/>
    </w:pPr>
    <w:rPr>
      <w:rFonts w:ascii="宋体" w:cs="宋体"/>
      <w:kern w:val="0"/>
      <w:szCs w:val="20"/>
    </w:rPr>
  </w:style>
  <w:style w:type="paragraph" w:customStyle="1" w:styleId="1608">
    <w:name w:val="样式 bbbbbbbbbb + 段前: 0.5 行 段后: 0.5 行"/>
    <w:basedOn w:val="1609"/>
    <w:qFormat/>
    <w:uiPriority w:val="0"/>
    <w:rPr>
      <w:b w:val="0"/>
      <w:color w:val="000000"/>
      <w:kern w:val="2"/>
      <w:sz w:val="24"/>
      <w:szCs w:val="24"/>
    </w:rPr>
  </w:style>
  <w:style w:type="paragraph" w:customStyle="1" w:styleId="1609">
    <w:name w:val="bbbbbbbbbb"/>
    <w:basedOn w:val="1610"/>
    <w:qFormat/>
    <w:uiPriority w:val="0"/>
    <w:pPr>
      <w:ind w:firstLine="480" w:firstLineChars="200"/>
      <w:outlineLvl w:val="1"/>
    </w:pPr>
    <w:rPr>
      <w:sz w:val="28"/>
      <w:szCs w:val="28"/>
    </w:rPr>
  </w:style>
  <w:style w:type="paragraph" w:customStyle="1" w:styleId="1610">
    <w:name w:val="花1"/>
    <w:basedOn w:val="1611"/>
    <w:qFormat/>
    <w:uiPriority w:val="0"/>
    <w:pPr>
      <w:spacing w:before="156" w:after="156"/>
    </w:pPr>
    <w:rPr>
      <w:rFonts w:cs="宋体"/>
      <w:bCs/>
      <w:szCs w:val="20"/>
    </w:rPr>
  </w:style>
  <w:style w:type="paragraph" w:customStyle="1" w:styleId="1611">
    <w:name w:val="LNG－标题1"/>
    <w:basedOn w:val="1"/>
    <w:qFormat/>
    <w:uiPriority w:val="0"/>
    <w:pPr>
      <w:spacing w:beforeLines="50" w:afterLines="50" w:line="360" w:lineRule="auto"/>
      <w:textAlignment w:val="center"/>
    </w:pPr>
    <w:rPr>
      <w:rFonts w:ascii="宋体"/>
      <w:b/>
      <w:kern w:val="0"/>
      <w:sz w:val="32"/>
      <w:szCs w:val="32"/>
    </w:rPr>
  </w:style>
  <w:style w:type="paragraph" w:customStyle="1" w:styleId="1612">
    <w:name w:val="图表—缩进"/>
    <w:basedOn w:val="1613"/>
    <w:qFormat/>
    <w:uiPriority w:val="0"/>
    <w:pPr>
      <w:ind w:firstLine="360" w:firstLineChars="200"/>
      <w:jc w:val="left"/>
    </w:pPr>
    <w:rPr>
      <w:sz w:val="18"/>
      <w:szCs w:val="18"/>
    </w:rPr>
  </w:style>
  <w:style w:type="paragraph" w:customStyle="1" w:styleId="1613">
    <w:name w:val="图表—左齐"/>
    <w:basedOn w:val="1"/>
    <w:qFormat/>
    <w:uiPriority w:val="0"/>
    <w:pPr>
      <w:snapToGrid w:val="0"/>
      <w:spacing w:beforeLines="50" w:afterLines="50" w:line="360" w:lineRule="auto"/>
      <w:jc w:val="center"/>
    </w:pPr>
    <w:rPr>
      <w:rFonts w:ascii="宋体" w:hAnsi="宋体"/>
      <w:kern w:val="0"/>
      <w:szCs w:val="21"/>
    </w:rPr>
  </w:style>
  <w:style w:type="paragraph" w:customStyle="1" w:styleId="1614">
    <w:name w:val="样式 表2.1 + 居中"/>
    <w:basedOn w:val="1152"/>
    <w:qFormat/>
    <w:uiPriority w:val="0"/>
    <w:pPr>
      <w:widowControl/>
      <w:tabs>
        <w:tab w:val="clear" w:pos="4060"/>
        <w:tab w:val="clear" w:pos="8261"/>
      </w:tabs>
      <w:snapToGrid w:val="0"/>
      <w:spacing w:before="0" w:afterLines="50" w:line="300" w:lineRule="auto"/>
      <w:ind w:left="0" w:firstLine="480" w:firstLineChars="200"/>
    </w:pPr>
    <w:rPr>
      <w:rFonts w:ascii="Times New Roman" w:eastAsia="宋体" w:cs="宋体"/>
      <w:b w:val="0"/>
      <w:kern w:val="2"/>
      <w:sz w:val="21"/>
      <w:szCs w:val="20"/>
    </w:rPr>
  </w:style>
  <w:style w:type="paragraph" w:customStyle="1" w:styleId="1615">
    <w:name w:val="Numbered List 1"/>
    <w:basedOn w:val="6"/>
    <w:unhideWhenUsed/>
    <w:qFormat/>
    <w:uiPriority w:val="0"/>
    <w:pPr>
      <w:tabs>
        <w:tab w:val="left" w:pos="720"/>
      </w:tabs>
      <w:adjustRightInd w:val="0"/>
      <w:spacing w:before="120" w:after="120" w:line="240" w:lineRule="atLeast"/>
      <w:ind w:left="720" w:hanging="720" w:firstLineChars="0"/>
      <w:textAlignment w:val="baseline"/>
    </w:pPr>
    <w:rPr>
      <w:rFonts w:ascii="Times New Roman" w:hAnsi="Times New Roman" w:cs="Times New Roman"/>
      <w:sz w:val="21"/>
      <w:szCs w:val="20"/>
      <w:u w:val="single"/>
    </w:rPr>
  </w:style>
  <w:style w:type="paragraph" w:customStyle="1" w:styleId="1616">
    <w:name w:val="样式 样式 标题 1"/>
    <w:basedOn w:val="1617"/>
    <w:qFormat/>
    <w:uiPriority w:val="0"/>
    <w:pPr>
      <w:ind w:firstLine="200" w:firstLineChars="200"/>
      <w:jc w:val="both"/>
      <w:outlineLvl w:val="9"/>
    </w:pPr>
    <w:rPr>
      <w:rFonts w:eastAsia="宋体"/>
      <w:b w:val="0"/>
      <w:bCs w:val="0"/>
      <w:color w:val="000000"/>
      <w:kern w:val="2"/>
      <w:sz w:val="24"/>
    </w:rPr>
  </w:style>
  <w:style w:type="paragraph" w:customStyle="1" w:styleId="1617">
    <w:name w:val="样式 标题 1 + 两端对齐"/>
    <w:basedOn w:val="7"/>
    <w:qFormat/>
    <w:uiPriority w:val="0"/>
    <w:pPr>
      <w:keepLines/>
      <w:overflowPunct/>
      <w:snapToGrid/>
      <w:spacing w:before="0" w:after="0" w:line="312" w:lineRule="auto"/>
      <w:ind w:left="0" w:firstLine="0"/>
      <w:jc w:val="left"/>
    </w:pPr>
    <w:rPr>
      <w:rFonts w:ascii="宋体" w:hAnsi="宋体" w:cs="宋体"/>
      <w:color w:val="auto"/>
      <w:sz w:val="28"/>
      <w:szCs w:val="20"/>
    </w:rPr>
  </w:style>
  <w:style w:type="paragraph" w:customStyle="1" w:styleId="1618">
    <w:name w:val="Table"/>
    <w:basedOn w:val="1"/>
    <w:qFormat/>
    <w:uiPriority w:val="0"/>
    <w:pPr>
      <w:adjustRightInd w:val="0"/>
      <w:spacing w:before="360" w:after="240" w:line="360" w:lineRule="auto"/>
      <w:ind w:firstLine="200" w:firstLineChars="200"/>
      <w:jc w:val="left"/>
      <w:textAlignment w:val="baseline"/>
    </w:pPr>
    <w:rPr>
      <w:rFonts w:ascii="宋体" w:eastAsia="黑体"/>
      <w:spacing w:val="4"/>
      <w:kern w:val="0"/>
      <w:sz w:val="34"/>
      <w:szCs w:val="20"/>
    </w:rPr>
  </w:style>
  <w:style w:type="paragraph" w:customStyle="1" w:styleId="1619">
    <w:name w:val="xl49"/>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620">
    <w:name w:val="标题样式2"/>
    <w:basedOn w:val="8"/>
    <w:qFormat/>
    <w:uiPriority w:val="0"/>
    <w:pPr>
      <w:widowControl w:val="0"/>
      <w:numPr>
        <w:ilvl w:val="0"/>
        <w:numId w:val="0"/>
      </w:numPr>
      <w:tabs>
        <w:tab w:val="left" w:pos="4142"/>
        <w:tab w:val="left" w:pos="6833"/>
        <w:tab w:val="left" w:pos="9030"/>
        <w:tab w:val="left" w:pos="9287"/>
      </w:tabs>
      <w:overflowPunct w:val="0"/>
      <w:topLinePunct/>
      <w:autoSpaceDE w:val="0"/>
      <w:autoSpaceDN w:val="0"/>
      <w:adjustRightInd w:val="0"/>
      <w:snapToGrid w:val="0"/>
      <w:spacing w:before="260" w:beforeLines="5" w:after="260" w:afterLines="5" w:line="360" w:lineRule="atLeast"/>
      <w:jc w:val="center"/>
      <w:textAlignment w:val="baseline"/>
      <w:outlineLvl w:val="9"/>
    </w:pPr>
    <w:rPr>
      <w:rFonts w:ascii="黑体" w:hAnsi="宋体" w:eastAsia="黑体" w:cs="Times New Roman"/>
      <w:sz w:val="24"/>
      <w:szCs w:val="20"/>
    </w:rPr>
  </w:style>
  <w:style w:type="paragraph" w:customStyle="1" w:styleId="1621">
    <w:name w:val="xl169"/>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622">
    <w:name w:val="xl140"/>
    <w:basedOn w:val="1"/>
    <w:qFormat/>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1623">
    <w:name w:val="样式 公式 + 段前: 0.5 行 段后: 0.5 行1"/>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1624">
    <w:name w:val="公式"/>
    <w:basedOn w:val="1311"/>
    <w:qFormat/>
    <w:uiPriority w:val="0"/>
    <w:pPr>
      <w:suppressAutoHyphens/>
      <w:adjustRightInd w:val="0"/>
      <w:spacing w:before="60" w:line="394" w:lineRule="atLeast"/>
      <w:ind w:firstLine="0"/>
      <w:jc w:val="center"/>
      <w:textAlignment w:val="baseline"/>
    </w:pPr>
    <w:rPr>
      <w:rFonts w:ascii="CG Times (W1)"/>
      <w:bCs w:val="0"/>
      <w:kern w:val="0"/>
      <w:szCs w:val="20"/>
      <w:lang w:eastAsia="ar-SA"/>
    </w:rPr>
  </w:style>
  <w:style w:type="paragraph" w:customStyle="1" w:styleId="1625">
    <w:name w:val="Char"/>
    <w:basedOn w:val="1"/>
    <w:qFormat/>
    <w:uiPriority w:val="0"/>
    <w:rPr>
      <w:rFonts w:ascii="宋体"/>
      <w:kern w:val="0"/>
      <w:szCs w:val="20"/>
    </w:rPr>
  </w:style>
  <w:style w:type="paragraph" w:customStyle="1" w:styleId="1626">
    <w:name w:val="南沙标题3"/>
    <w:basedOn w:val="9"/>
    <w:qFormat/>
    <w:uiPriority w:val="0"/>
    <w:pPr>
      <w:widowControl w:val="0"/>
      <w:numPr>
        <w:ilvl w:val="0"/>
        <w:numId w:val="0"/>
      </w:numPr>
      <w:tabs>
        <w:tab w:val="left" w:pos="1740"/>
      </w:tabs>
      <w:spacing w:before="260" w:beforeLines="50" w:after="260" w:afterLines="50" w:line="240" w:lineRule="auto"/>
      <w:ind w:left="1740" w:firstLine="454"/>
      <w:jc w:val="both"/>
    </w:pPr>
    <w:rPr>
      <w:rFonts w:cs="Times New Roman"/>
      <w:bCs w:val="0"/>
      <w:color w:val="FF0000"/>
      <w:szCs w:val="28"/>
    </w:rPr>
  </w:style>
  <w:style w:type="paragraph" w:customStyle="1" w:styleId="1627">
    <w:name w:val="bg2"/>
    <w:basedOn w:val="1"/>
    <w:qFormat/>
    <w:uiPriority w:val="0"/>
    <w:pPr>
      <w:jc w:val="left"/>
    </w:pPr>
    <w:rPr>
      <w:rFonts w:ascii="宋体" w:eastAsia="仿宋_GB2312" w:cs="宋体"/>
      <w:spacing w:val="-4"/>
      <w:kern w:val="0"/>
      <w:szCs w:val="21"/>
    </w:rPr>
  </w:style>
  <w:style w:type="paragraph" w:customStyle="1" w:styleId="1628">
    <w:name w:val="表标题16.7－1"/>
    <w:basedOn w:val="1"/>
    <w:qFormat/>
    <w:uiPriority w:val="0"/>
    <w:pPr>
      <w:tabs>
        <w:tab w:val="left" w:pos="1931"/>
      </w:tabs>
      <w:spacing w:beforeLines="100" w:after="120" w:line="0" w:lineRule="atLeast"/>
      <w:ind w:left="1271" w:hanging="420"/>
    </w:pPr>
    <w:rPr>
      <w:rFonts w:ascii="宋体" w:eastAsia="黑体"/>
      <w:b/>
      <w:color w:val="000000"/>
      <w:kern w:val="0"/>
      <w:sz w:val="34"/>
      <w:szCs w:val="20"/>
    </w:rPr>
  </w:style>
  <w:style w:type="paragraph" w:customStyle="1" w:styleId="1629">
    <w:name w:val="标题3+"/>
    <w:basedOn w:val="1"/>
    <w:qFormat/>
    <w:uiPriority w:val="0"/>
    <w:pPr>
      <w:adjustRightInd w:val="0"/>
      <w:spacing w:before="120" w:after="120" w:line="360" w:lineRule="auto"/>
      <w:ind w:left="578" w:hanging="578"/>
      <w:jc w:val="center"/>
      <w:textAlignment w:val="baseline"/>
    </w:pPr>
    <w:rPr>
      <w:rFonts w:ascii="宋体" w:cs="宋体"/>
      <w:kern w:val="0"/>
      <w:sz w:val="34"/>
      <w:szCs w:val="20"/>
    </w:rPr>
  </w:style>
  <w:style w:type="paragraph" w:customStyle="1" w:styleId="1630">
    <w:name w:val="正文 居中"/>
    <w:basedOn w:val="1"/>
    <w:qFormat/>
    <w:uiPriority w:val="0"/>
    <w:pPr>
      <w:snapToGrid w:val="0"/>
      <w:spacing w:line="360" w:lineRule="auto"/>
      <w:jc w:val="center"/>
    </w:pPr>
    <w:rPr>
      <w:rFonts w:ascii="宋体"/>
      <w:b/>
      <w:snapToGrid w:val="0"/>
      <w:kern w:val="0"/>
      <w:sz w:val="34"/>
      <w:szCs w:val="20"/>
    </w:rPr>
  </w:style>
  <w:style w:type="paragraph" w:customStyle="1" w:styleId="1631">
    <w:name w:val="样式 nilo_标题1 + 段前: 0.5 行 段后: 0.5 行"/>
    <w:basedOn w:val="1632"/>
    <w:qFormat/>
    <w:uiPriority w:val="0"/>
  </w:style>
  <w:style w:type="paragraph" w:customStyle="1" w:styleId="1632">
    <w:name w:val="nilo_标题1"/>
    <w:basedOn w:val="1"/>
    <w:qFormat/>
    <w:uiPriority w:val="0"/>
    <w:pPr>
      <w:spacing w:line="360" w:lineRule="auto"/>
      <w:jc w:val="left"/>
      <w:outlineLvl w:val="1"/>
    </w:pPr>
    <w:rPr>
      <w:rFonts w:ascii="黑体" w:hAnsi="宋体" w:eastAsia="黑体"/>
      <w:kern w:val="0"/>
      <w:sz w:val="30"/>
      <w:szCs w:val="20"/>
    </w:rPr>
  </w:style>
  <w:style w:type="paragraph" w:customStyle="1" w:styleId="1633">
    <w:name w:val="三级标题王"/>
    <w:basedOn w:val="10"/>
    <w:semiHidden/>
    <w:qFormat/>
    <w:uiPriority w:val="0"/>
    <w:pPr>
      <w:keepNext w:val="0"/>
      <w:numPr>
        <w:ilvl w:val="0"/>
        <w:numId w:val="0"/>
      </w:numPr>
      <w:tabs>
        <w:tab w:val="left" w:pos="864"/>
        <w:tab w:val="left" w:pos="2160"/>
      </w:tabs>
      <w:autoSpaceDE w:val="0"/>
      <w:autoSpaceDN w:val="0"/>
      <w:adjustRightInd w:val="0"/>
      <w:snapToGrid w:val="0"/>
      <w:ind w:left="2160" w:hanging="420"/>
      <w:outlineLvl w:val="2"/>
    </w:pPr>
    <w:rPr>
      <w:rFonts w:ascii="黑体" w:hAnsi="宋体" w:eastAsia="黑体" w:cs="Times New Roman"/>
      <w:snapToGrid w:val="0"/>
      <w:sz w:val="20"/>
      <w:szCs w:val="20"/>
    </w:rPr>
  </w:style>
  <w:style w:type="paragraph" w:customStyle="1" w:styleId="1634">
    <w:name w:val="样式 样式 标题4- + 段前: 0.5 行 + 段前: 0.5 行"/>
    <w:basedOn w:val="1"/>
    <w:qFormat/>
    <w:uiPriority w:val="0"/>
    <w:pPr>
      <w:tabs>
        <w:tab w:val="left" w:pos="1205"/>
      </w:tabs>
      <w:autoSpaceDE w:val="0"/>
      <w:autoSpaceDN w:val="0"/>
      <w:adjustRightInd w:val="0"/>
      <w:snapToGrid w:val="0"/>
      <w:spacing w:beforeLines="50" w:line="360" w:lineRule="auto"/>
      <w:jc w:val="left"/>
      <w:textAlignment w:val="baseline"/>
      <w:outlineLvl w:val="3"/>
    </w:pPr>
    <w:rPr>
      <w:rFonts w:ascii="宋体" w:eastAsia="黑体" w:cs="宋体"/>
      <w:spacing w:val="20"/>
      <w:kern w:val="0"/>
      <w:sz w:val="28"/>
      <w:szCs w:val="20"/>
    </w:rPr>
  </w:style>
  <w:style w:type="paragraph" w:customStyle="1" w:styleId="1635">
    <w:name w:val="样式 标题 1 + 字距调整四号"/>
    <w:basedOn w:val="7"/>
    <w:qFormat/>
    <w:uiPriority w:val="0"/>
    <w:pPr>
      <w:keepLines/>
      <w:overflowPunct/>
      <w:snapToGrid/>
      <w:spacing w:after="120" w:line="360" w:lineRule="auto"/>
    </w:pPr>
    <w:rPr>
      <w:rFonts w:ascii="宋体" w:hAnsi="宋体" w:eastAsia="宋体"/>
      <w:color w:val="auto"/>
      <w:kern w:val="28"/>
      <w:szCs w:val="44"/>
    </w:rPr>
  </w:style>
  <w:style w:type="paragraph" w:customStyle="1" w:styleId="1636">
    <w:name w:val="样式 样式 标题 4 + 段前: 0.5 行 段后: 0.5 行1 + 段前: 0.5 行 段后: 0.5 行"/>
    <w:basedOn w:val="1637"/>
    <w:semiHidden/>
    <w:qFormat/>
    <w:uiPriority w:val="0"/>
  </w:style>
  <w:style w:type="paragraph" w:customStyle="1" w:styleId="1637">
    <w:name w:val="样式 标题 4 + 段前: 0.5 行 段后: 0.5 行1"/>
    <w:basedOn w:val="10"/>
    <w:semiHidden/>
    <w:qFormat/>
    <w:uiPriority w:val="0"/>
    <w:pPr>
      <w:widowControl w:val="0"/>
      <w:numPr>
        <w:ilvl w:val="0"/>
        <w:numId w:val="0"/>
      </w:numPr>
      <w:spacing w:before="280" w:beforeLines="50" w:after="290" w:afterLines="50" w:line="480" w:lineRule="exact"/>
      <w:jc w:val="both"/>
    </w:pPr>
    <w:rPr>
      <w:rFonts w:ascii="楷体_GB2312" w:hAnsi="宋体" w:eastAsia="楷体_GB2312"/>
      <w:b w:val="0"/>
      <w:color w:val="000000"/>
      <w:spacing w:val="-6"/>
      <w:sz w:val="20"/>
      <w:szCs w:val="20"/>
    </w:rPr>
  </w:style>
  <w:style w:type="paragraph" w:customStyle="1" w:styleId="1638">
    <w:name w:val="font0"/>
    <w:basedOn w:val="1"/>
    <w:qFormat/>
    <w:uiPriority w:val="0"/>
    <w:pPr>
      <w:widowControl/>
      <w:spacing w:before="100" w:beforeAutospacing="1" w:after="100" w:afterAutospacing="1"/>
      <w:jc w:val="left"/>
    </w:pPr>
    <w:rPr>
      <w:rFonts w:hint="eastAsia" w:ascii="宋体" w:hAnsi="宋体" w:cs="Arial Unicode MS"/>
      <w:kern w:val="0"/>
      <w:sz w:val="34"/>
      <w:szCs w:val="20"/>
    </w:rPr>
  </w:style>
  <w:style w:type="paragraph" w:customStyle="1" w:styleId="1639">
    <w:name w:val="Char Char Char1 Char Char Char1 Char Char Char1 Char Char Char Char"/>
    <w:basedOn w:val="1"/>
    <w:qFormat/>
    <w:uiPriority w:val="0"/>
    <w:pPr>
      <w:spacing w:line="240" w:lineRule="exact"/>
      <w:ind w:firstLine="200" w:firstLineChars="200"/>
    </w:pPr>
    <w:rPr>
      <w:rFonts w:ascii="宋体"/>
      <w:kern w:val="0"/>
      <w:sz w:val="28"/>
      <w:szCs w:val="28"/>
    </w:rPr>
  </w:style>
  <w:style w:type="paragraph" w:customStyle="1" w:styleId="1640">
    <w:name w:val="样式 标题四 + 首行缩进:  2 字符"/>
    <w:basedOn w:val="1"/>
    <w:unhideWhenUsed/>
    <w:qFormat/>
    <w:uiPriority w:val="0"/>
    <w:pPr>
      <w:tabs>
        <w:tab w:val="left" w:pos="420"/>
        <w:tab w:val="left" w:pos="840"/>
        <w:tab w:val="left" w:pos="1260"/>
        <w:tab w:val="left" w:pos="1680"/>
        <w:tab w:val="left" w:pos="5640"/>
      </w:tabs>
      <w:spacing w:beforeLines="50" w:after="120" w:line="360" w:lineRule="auto"/>
      <w:ind w:left="578" w:firstLine="200" w:firstLineChars="200"/>
      <w:jc w:val="left"/>
    </w:pPr>
    <w:rPr>
      <w:rFonts w:ascii="宋体"/>
      <w:kern w:val="0"/>
      <w:sz w:val="28"/>
      <w:szCs w:val="20"/>
    </w:rPr>
  </w:style>
  <w:style w:type="paragraph" w:customStyle="1" w:styleId="1641">
    <w:name w:val="表格文字五"/>
    <w:basedOn w:val="1"/>
    <w:qFormat/>
    <w:uiPriority w:val="0"/>
    <w:pPr>
      <w:adjustRightInd w:val="0"/>
      <w:snapToGrid w:val="0"/>
      <w:spacing w:beforeLines="10" w:afterLines="10"/>
      <w:jc w:val="center"/>
    </w:pPr>
    <w:rPr>
      <w:rFonts w:ascii="Arial" w:hAnsi="Arial" w:cs="Arial"/>
      <w:snapToGrid w:val="0"/>
      <w:kern w:val="0"/>
      <w:szCs w:val="20"/>
    </w:rPr>
  </w:style>
  <w:style w:type="paragraph" w:customStyle="1" w:styleId="1642">
    <w:name w:val="xl166"/>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1643">
    <w:name w:val="CM64"/>
    <w:basedOn w:val="2"/>
    <w:next w:val="2"/>
    <w:semiHidden/>
    <w:qFormat/>
    <w:uiPriority w:val="0"/>
    <w:pPr>
      <w:adjustRightInd/>
    </w:pPr>
    <w:rPr>
      <w:rFonts w:hint="eastAsia" w:ascii="仿宋" w:hAnsi="仿宋" w:eastAsia="仿宋" w:cs="Times New Roman"/>
      <w:szCs w:val="20"/>
    </w:rPr>
  </w:style>
  <w:style w:type="paragraph" w:customStyle="1" w:styleId="1644">
    <w:name w:val="Char7"/>
    <w:basedOn w:val="1"/>
    <w:qFormat/>
    <w:uiPriority w:val="0"/>
    <w:rPr>
      <w:rFonts w:ascii="宋体"/>
      <w:kern w:val="0"/>
      <w:sz w:val="34"/>
      <w:szCs w:val="20"/>
    </w:rPr>
  </w:style>
  <w:style w:type="paragraph" w:customStyle="1" w:styleId="1645">
    <w:name w:val="Char Char Char Char Char Char Char Char Char Char Char Char Char Char Char Char Char Char Char Char Char Char1"/>
    <w:basedOn w:val="1"/>
    <w:qFormat/>
    <w:uiPriority w:val="0"/>
    <w:pPr>
      <w:spacing w:line="480" w:lineRule="exact"/>
    </w:pPr>
    <w:rPr>
      <w:rFonts w:ascii="宋体"/>
      <w:kern w:val="0"/>
      <w:szCs w:val="20"/>
    </w:rPr>
  </w:style>
  <w:style w:type="paragraph" w:customStyle="1" w:styleId="1646">
    <w:name w:val="ksheet"/>
    <w:basedOn w:val="1"/>
    <w:unhideWhenUsed/>
    <w:qFormat/>
    <w:uiPriority w:val="0"/>
    <w:pPr>
      <w:autoSpaceDE w:val="0"/>
      <w:autoSpaceDN w:val="0"/>
      <w:adjustRightInd w:val="0"/>
      <w:spacing w:before="120" w:after="120" w:line="300" w:lineRule="exact"/>
      <w:ind w:left="578" w:hanging="578"/>
      <w:jc w:val="center"/>
      <w:textAlignment w:val="baseline"/>
    </w:pPr>
    <w:rPr>
      <w:rFonts w:ascii="宋体"/>
      <w:snapToGrid w:val="0"/>
      <w:color w:val="000000"/>
      <w:kern w:val="0"/>
      <w:szCs w:val="20"/>
    </w:rPr>
  </w:style>
  <w:style w:type="paragraph" w:customStyle="1" w:styleId="1647">
    <w:name w:val="Char Char Char Char Char Char Char Char Char1 Char Char Char Char"/>
    <w:basedOn w:val="1"/>
    <w:qFormat/>
    <w:uiPriority w:val="0"/>
    <w:rPr>
      <w:rFonts w:ascii="宋体"/>
      <w:kern w:val="0"/>
      <w:szCs w:val="21"/>
    </w:rPr>
  </w:style>
  <w:style w:type="paragraph" w:customStyle="1" w:styleId="1648">
    <w:name w:val="图表 标题"/>
    <w:basedOn w:val="6"/>
    <w:unhideWhenUsed/>
    <w:qFormat/>
    <w:uiPriority w:val="0"/>
    <w:pPr>
      <w:widowControl w:val="0"/>
      <w:spacing w:before="156" w:after="156"/>
      <w:ind w:left="578"/>
      <w:jc w:val="both"/>
    </w:pPr>
    <w:rPr>
      <w:rFonts w:ascii="Times New Roman" w:hAnsi="Times New Roman"/>
      <w:bCs/>
      <w:sz w:val="21"/>
      <w:szCs w:val="20"/>
    </w:rPr>
  </w:style>
  <w:style w:type="paragraph" w:customStyle="1" w:styleId="1649">
    <w:name w:val="附录标题"/>
    <w:basedOn w:val="10"/>
    <w:next w:val="1650"/>
    <w:unhideWhenUsed/>
    <w:qFormat/>
    <w:uiPriority w:val="0"/>
    <w:pPr>
      <w:numPr>
        <w:ilvl w:val="0"/>
        <w:numId w:val="0"/>
      </w:numPr>
      <w:adjustRightInd w:val="0"/>
      <w:spacing w:before="120" w:after="120" w:line="440" w:lineRule="exact"/>
      <w:jc w:val="center"/>
      <w:textAlignment w:val="baseline"/>
      <w:outlineLvl w:val="9"/>
    </w:pPr>
    <w:rPr>
      <w:rFonts w:ascii="宋体" w:hAnsi="宋体" w:eastAsia="黑体" w:cs="Times New Roman"/>
      <w:b w:val="0"/>
      <w:bCs w:val="0"/>
      <w:sz w:val="20"/>
      <w:szCs w:val="20"/>
    </w:rPr>
  </w:style>
  <w:style w:type="paragraph" w:customStyle="1" w:styleId="1650">
    <w:name w:val="附录章标题"/>
    <w:next w:val="1"/>
    <w:qFormat/>
    <w:uiPriority w:val="0"/>
    <w:pPr>
      <w:tabs>
        <w:tab w:val="left" w:pos="776"/>
      </w:tabs>
      <w:wordWrap w:val="0"/>
      <w:overflowPunct w:val="0"/>
      <w:autoSpaceDE w:val="0"/>
      <w:spacing w:beforeLines="50" w:afterLines="50"/>
      <w:ind w:left="776" w:hanging="576"/>
      <w:jc w:val="both"/>
      <w:textAlignment w:val="baseline"/>
      <w:outlineLvl w:val="1"/>
    </w:pPr>
    <w:rPr>
      <w:rFonts w:ascii="黑体" w:hAnsi="Times New Roman" w:eastAsia="黑体" w:cs="Times New Roman"/>
      <w:kern w:val="21"/>
      <w:sz w:val="21"/>
      <w:lang w:val="en-US" w:eastAsia="zh-CN" w:bidi="ar-SA"/>
    </w:rPr>
  </w:style>
  <w:style w:type="paragraph" w:customStyle="1" w:styleId="1651">
    <w:name w:val="表—名称"/>
    <w:basedOn w:val="1"/>
    <w:qFormat/>
    <w:uiPriority w:val="0"/>
    <w:pPr>
      <w:adjustRightInd w:val="0"/>
      <w:snapToGrid w:val="0"/>
      <w:jc w:val="center"/>
    </w:pPr>
    <w:rPr>
      <w:rFonts w:ascii="宋体"/>
      <w:kern w:val="0"/>
      <w:sz w:val="34"/>
      <w:szCs w:val="20"/>
    </w:rPr>
  </w:style>
  <w:style w:type="paragraph" w:customStyle="1" w:styleId="1652">
    <w:name w:val="图表标题用字体"/>
    <w:basedOn w:val="1"/>
    <w:next w:val="1"/>
    <w:qFormat/>
    <w:uiPriority w:val="0"/>
    <w:pPr>
      <w:adjustRightInd w:val="0"/>
      <w:snapToGrid w:val="0"/>
      <w:spacing w:before="280" w:line="360" w:lineRule="auto"/>
      <w:jc w:val="center"/>
    </w:pPr>
    <w:rPr>
      <w:rFonts w:ascii="宋体"/>
      <w:b/>
      <w:kern w:val="0"/>
      <w:sz w:val="34"/>
      <w:szCs w:val="20"/>
      <w:lang w:val="zh-CN"/>
    </w:rPr>
  </w:style>
  <w:style w:type="paragraph" w:customStyle="1" w:styleId="1653">
    <w:name w:val="正文31"/>
    <w:basedOn w:val="1"/>
    <w:qFormat/>
    <w:uiPriority w:val="0"/>
    <w:pPr>
      <w:widowControl/>
      <w:overflowPunct w:val="0"/>
      <w:autoSpaceDE w:val="0"/>
      <w:autoSpaceDN w:val="0"/>
      <w:adjustRightInd w:val="0"/>
      <w:textAlignment w:val="baseline"/>
    </w:pPr>
    <w:rPr>
      <w:rFonts w:ascii="宋体"/>
      <w:kern w:val="0"/>
      <w:szCs w:val="20"/>
    </w:rPr>
  </w:style>
  <w:style w:type="paragraph" w:customStyle="1" w:styleId="1654">
    <w:name w:val="xl72"/>
    <w:basedOn w:val="1"/>
    <w:qFormat/>
    <w:uiPriority w:val="0"/>
    <w:pPr>
      <w:widowControl/>
      <w:pBdr>
        <w:top w:val="single" w:color="000000" w:sz="8" w:space="0"/>
        <w:left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1655">
    <w:name w:val="样式 目录 1 + 小四"/>
    <w:basedOn w:val="62"/>
    <w:unhideWhenUsed/>
    <w:qFormat/>
    <w:uiPriority w:val="0"/>
    <w:pPr>
      <w:widowControl w:val="0"/>
      <w:tabs>
        <w:tab w:val="right" w:leader="dot" w:pos="9061"/>
        <w:tab w:val="right" w:leader="dot" w:pos="9240"/>
        <w:tab w:val="clear" w:pos="8778"/>
      </w:tabs>
      <w:spacing w:before="120" w:after="120"/>
      <w:ind w:left="578" w:hanging="578" w:firstLineChars="200"/>
    </w:pPr>
    <w:rPr>
      <w:rFonts w:hAnsi="Times New Roman" w:cs="Times New Roman"/>
      <w:b w:val="0"/>
      <w:color w:val="FF0000"/>
      <w:kern w:val="2"/>
      <w:sz w:val="28"/>
      <w:szCs w:val="28"/>
      <w:lang w:val="fr-FR"/>
    </w:rPr>
  </w:style>
  <w:style w:type="paragraph" w:customStyle="1" w:styleId="1656">
    <w:name w:val="Paragraph 1"/>
    <w:basedOn w:val="1"/>
    <w:unhideWhenUsed/>
    <w:qFormat/>
    <w:uiPriority w:val="0"/>
    <w:pPr>
      <w:widowControl/>
      <w:spacing w:before="120" w:after="120"/>
      <w:ind w:left="720" w:hanging="578"/>
    </w:pPr>
    <w:rPr>
      <w:rFonts w:ascii="Arial" w:hAnsi="Arial"/>
      <w:kern w:val="0"/>
      <w:sz w:val="22"/>
      <w:szCs w:val="20"/>
    </w:rPr>
  </w:style>
  <w:style w:type="paragraph" w:customStyle="1" w:styleId="1657">
    <w:name w:val="表格（左对齐）"/>
    <w:basedOn w:val="1"/>
    <w:next w:val="1"/>
    <w:qFormat/>
    <w:uiPriority w:val="0"/>
    <w:pPr>
      <w:jc w:val="left"/>
    </w:pPr>
    <w:rPr>
      <w:rFonts w:ascii="宋体"/>
      <w:kern w:val="0"/>
      <w:sz w:val="34"/>
      <w:szCs w:val="20"/>
    </w:rPr>
  </w:style>
  <w:style w:type="paragraph" w:customStyle="1" w:styleId="1658">
    <w:name w:val="No Title"/>
    <w:basedOn w:val="1"/>
    <w:unhideWhenUsed/>
    <w:qFormat/>
    <w:uiPriority w:val="0"/>
    <w:pPr>
      <w:widowControl/>
      <w:pBdr>
        <w:top w:val="single" w:color="FFFFFF" w:sz="6" w:space="2"/>
        <w:left w:val="single" w:color="FFFFFF" w:sz="6" w:space="2"/>
        <w:bottom w:val="single" w:color="FFFFFF" w:sz="6" w:space="2"/>
        <w:right w:val="single" w:color="FFFFFF" w:sz="6" w:space="2"/>
      </w:pBdr>
      <w:spacing w:before="120" w:after="120" w:line="280" w:lineRule="atLeast"/>
      <w:ind w:left="578" w:hanging="578"/>
      <w:jc w:val="left"/>
    </w:pPr>
    <w:rPr>
      <w:rFonts w:ascii="Arial" w:hAnsi="Arial"/>
      <w:b/>
      <w:spacing w:val="-10"/>
      <w:kern w:val="0"/>
      <w:position w:val="7"/>
      <w:sz w:val="20"/>
      <w:szCs w:val="20"/>
    </w:rPr>
  </w:style>
  <w:style w:type="paragraph" w:customStyle="1" w:styleId="1659">
    <w:name w:val="样式 标题 1 + 两端对齐1"/>
    <w:basedOn w:val="7"/>
    <w:qFormat/>
    <w:uiPriority w:val="0"/>
    <w:pPr>
      <w:keepLines/>
      <w:overflowPunct/>
      <w:snapToGrid/>
      <w:spacing w:before="0" w:after="0" w:line="312" w:lineRule="auto"/>
      <w:ind w:left="0" w:firstLine="0"/>
    </w:pPr>
    <w:rPr>
      <w:rFonts w:ascii="宋体" w:hAnsi="宋体" w:cs="宋体"/>
      <w:color w:val="auto"/>
      <w:sz w:val="28"/>
      <w:szCs w:val="20"/>
    </w:rPr>
  </w:style>
  <w:style w:type="paragraph" w:customStyle="1" w:styleId="1660">
    <w:name w:val="xl15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1661">
    <w:name w:val="CM25"/>
    <w:basedOn w:val="2"/>
    <w:next w:val="2"/>
    <w:semiHidden/>
    <w:qFormat/>
    <w:uiPriority w:val="0"/>
    <w:pPr>
      <w:adjustRightInd/>
    </w:pPr>
    <w:rPr>
      <w:rFonts w:hint="eastAsia" w:ascii="仿宋" w:hAnsi="仿宋" w:eastAsia="仿宋" w:cs="Times New Roman"/>
      <w:szCs w:val="20"/>
    </w:rPr>
  </w:style>
  <w:style w:type="paragraph" w:customStyle="1" w:styleId="1662">
    <w:name w:val="白洋淀前言"/>
    <w:basedOn w:val="1"/>
    <w:next w:val="1663"/>
    <w:qFormat/>
    <w:uiPriority w:val="0"/>
    <w:pPr>
      <w:pBdr>
        <w:top w:val="single" w:color="auto" w:sz="4" w:space="1"/>
      </w:pBdr>
      <w:spacing w:line="360" w:lineRule="auto"/>
      <w:ind w:firstLine="200" w:firstLineChars="200"/>
    </w:pPr>
    <w:rPr>
      <w:rFonts w:ascii="宋体" w:cs="宋体"/>
      <w:kern w:val="0"/>
      <w:sz w:val="34"/>
      <w:szCs w:val="20"/>
    </w:rPr>
  </w:style>
  <w:style w:type="paragraph" w:customStyle="1" w:styleId="1663">
    <w:name w:val="前言"/>
    <w:basedOn w:val="1"/>
    <w:next w:val="5"/>
    <w:qFormat/>
    <w:uiPriority w:val="0"/>
    <w:pPr>
      <w:spacing w:line="360" w:lineRule="auto"/>
      <w:jc w:val="center"/>
      <w:outlineLvl w:val="0"/>
    </w:pPr>
    <w:rPr>
      <w:rFonts w:ascii="黑体" w:eastAsia="黑体" w:cs="宋体"/>
      <w:b/>
      <w:bCs/>
      <w:kern w:val="0"/>
      <w:sz w:val="34"/>
      <w:szCs w:val="20"/>
    </w:rPr>
  </w:style>
  <w:style w:type="paragraph" w:customStyle="1" w:styleId="1664">
    <w:name w:val="CM18"/>
    <w:basedOn w:val="2"/>
    <w:next w:val="2"/>
    <w:semiHidden/>
    <w:qFormat/>
    <w:uiPriority w:val="0"/>
    <w:pPr>
      <w:adjustRightInd/>
    </w:pPr>
    <w:rPr>
      <w:rFonts w:hint="eastAsia" w:ascii="仿宋" w:hAnsi="仿宋" w:eastAsia="仿宋" w:cs="Times New Roman"/>
      <w:szCs w:val="20"/>
    </w:rPr>
  </w:style>
  <w:style w:type="paragraph" w:customStyle="1" w:styleId="1665">
    <w:name w:val="Char13"/>
    <w:basedOn w:val="1"/>
    <w:qFormat/>
    <w:uiPriority w:val="0"/>
    <w:pPr>
      <w:spacing w:line="360" w:lineRule="auto"/>
      <w:ind w:firstLine="200" w:firstLineChars="200"/>
    </w:pPr>
    <w:rPr>
      <w:rFonts w:ascii="宋体" w:hAnsi="宋体" w:cs="宋体"/>
      <w:kern w:val="0"/>
      <w:sz w:val="34"/>
      <w:szCs w:val="20"/>
    </w:rPr>
  </w:style>
  <w:style w:type="paragraph" w:customStyle="1" w:styleId="1666">
    <w:name w:val="Char Char1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1667">
    <w:name w:val="样式 标题 4 + 段后: 0.5 行"/>
    <w:basedOn w:val="10"/>
    <w:qFormat/>
    <w:uiPriority w:val="0"/>
    <w:pPr>
      <w:keepNext w:val="0"/>
      <w:widowControl w:val="0"/>
      <w:numPr>
        <w:ilvl w:val="0"/>
        <w:numId w:val="0"/>
      </w:numPr>
      <w:spacing w:before="120" w:after="60" w:afterLines="50" w:line="400" w:lineRule="exact"/>
      <w:jc w:val="both"/>
    </w:pPr>
    <w:rPr>
      <w:rFonts w:eastAsia="黑体"/>
      <w:b w:val="0"/>
      <w:bCs w:val="0"/>
      <w:spacing w:val="12"/>
      <w:sz w:val="20"/>
      <w:szCs w:val="20"/>
    </w:rPr>
  </w:style>
  <w:style w:type="paragraph" w:customStyle="1" w:styleId="1668">
    <w:name w:val="xl40"/>
    <w:basedOn w:val="1"/>
    <w:qFormat/>
    <w:uiPriority w:val="0"/>
    <w:pPr>
      <w:widowControl/>
      <w:pBdr>
        <w:top w:val="single" w:color="000000" w:sz="8" w:space="0"/>
        <w:left w:val="single" w:color="000000" w:sz="8" w:space="0"/>
        <w:bottom w:val="single" w:color="auto" w:sz="8" w:space="0"/>
      </w:pBdr>
      <w:spacing w:before="100" w:beforeAutospacing="1" w:after="100" w:afterAutospacing="1"/>
      <w:jc w:val="center"/>
    </w:pPr>
    <w:rPr>
      <w:rFonts w:ascii="仿宋_GB2312" w:hAnsi="宋体" w:eastAsia="仿宋_GB2312" w:cs="宋体"/>
      <w:b/>
      <w:bCs/>
      <w:kern w:val="0"/>
      <w:szCs w:val="21"/>
    </w:rPr>
  </w:style>
  <w:style w:type="paragraph" w:customStyle="1" w:styleId="1669">
    <w:name w:val="正文文字2"/>
    <w:basedOn w:val="37"/>
    <w:next w:val="37"/>
    <w:qFormat/>
    <w:uiPriority w:val="0"/>
    <w:pPr>
      <w:widowControl w:val="0"/>
      <w:adjustRightInd w:val="0"/>
      <w:spacing w:before="0" w:after="0" w:line="240" w:lineRule="auto"/>
      <w:ind w:right="0"/>
      <w:textAlignment w:val="baseline"/>
    </w:pPr>
    <w:rPr>
      <w:snapToGrid w:val="0"/>
      <w:sz w:val="20"/>
    </w:rPr>
  </w:style>
  <w:style w:type="paragraph" w:customStyle="1" w:styleId="1670">
    <w:name w:val="附录二级条"/>
    <w:basedOn w:val="1671"/>
    <w:next w:val="10"/>
    <w:unhideWhenUsed/>
    <w:qFormat/>
    <w:uiPriority w:val="0"/>
    <w:pPr>
      <w:tabs>
        <w:tab w:val="left" w:pos="360"/>
        <w:tab w:val="left" w:pos="425"/>
        <w:tab w:val="left" w:pos="840"/>
      </w:tabs>
      <w:ind w:left="360" w:hanging="360"/>
    </w:pPr>
  </w:style>
  <w:style w:type="paragraph" w:customStyle="1" w:styleId="1671">
    <w:name w:val="附录一级条"/>
    <w:next w:val="10"/>
    <w:unhideWhenUsed/>
    <w:qFormat/>
    <w:uiPriority w:val="0"/>
    <w:pPr>
      <w:tabs>
        <w:tab w:val="left" w:pos="425"/>
      </w:tabs>
      <w:adjustRightInd w:val="0"/>
      <w:spacing w:before="120" w:after="120" w:line="440" w:lineRule="exact"/>
      <w:ind w:left="425" w:hanging="425"/>
      <w:jc w:val="both"/>
      <w:textAlignment w:val="baseline"/>
    </w:pPr>
    <w:rPr>
      <w:rFonts w:ascii="宋体" w:hAnsi="Times New Roman" w:eastAsia="宋体" w:cs="Times New Roman"/>
      <w:sz w:val="24"/>
      <w:lang w:val="en-US" w:eastAsia="zh-CN" w:bidi="ar-SA"/>
    </w:rPr>
  </w:style>
  <w:style w:type="paragraph" w:customStyle="1" w:styleId="1672">
    <w:name w:val="表3.3"/>
    <w:basedOn w:val="1"/>
    <w:qFormat/>
    <w:uiPriority w:val="0"/>
    <w:pPr>
      <w:numPr>
        <w:ilvl w:val="0"/>
        <w:numId w:val="13"/>
      </w:numPr>
      <w:tabs>
        <w:tab w:val="left" w:pos="425"/>
        <w:tab w:val="center" w:pos="4060"/>
        <w:tab w:val="right" w:pos="8261"/>
      </w:tabs>
      <w:suppressAutoHyphens/>
      <w:adjustRightInd w:val="0"/>
      <w:spacing w:before="240" w:after="120" w:line="0" w:lineRule="atLeast"/>
      <w:ind w:firstLine="567"/>
    </w:pPr>
    <w:rPr>
      <w:rFonts w:ascii="黑体" w:eastAsia="黑体"/>
      <w:b/>
      <w:spacing w:val="6"/>
      <w:kern w:val="0"/>
      <w:sz w:val="26"/>
      <w:szCs w:val="26"/>
    </w:rPr>
  </w:style>
  <w:style w:type="paragraph" w:customStyle="1" w:styleId="1673">
    <w:name w:val="表格表头"/>
    <w:basedOn w:val="1"/>
    <w:qFormat/>
    <w:uiPriority w:val="0"/>
    <w:pPr>
      <w:snapToGrid w:val="0"/>
      <w:spacing w:beforeLines="60" w:afterLines="40"/>
      <w:jc w:val="center"/>
    </w:pPr>
    <w:rPr>
      <w:rFonts w:ascii="黑体" w:hAnsi="宋体" w:eastAsia="黑体"/>
      <w:color w:val="000000"/>
      <w:kern w:val="0"/>
      <w:sz w:val="34"/>
      <w:szCs w:val="20"/>
    </w:rPr>
  </w:style>
  <w:style w:type="paragraph" w:customStyle="1" w:styleId="1674">
    <w:name w:val="Char Char Char Char Char Char Char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1675">
    <w:name w:val="样式 正文缩进正文（首行缩进两字）文本条款 + 段前: 0.4 行"/>
    <w:basedOn w:val="6"/>
    <w:qFormat/>
    <w:uiPriority w:val="0"/>
    <w:pPr>
      <w:widowControl w:val="0"/>
      <w:spacing w:beforeLines="30" w:line="288" w:lineRule="auto"/>
      <w:ind w:firstLine="0" w:firstLineChars="0"/>
      <w:jc w:val="both"/>
      <w:outlineLvl w:val="6"/>
    </w:pPr>
    <w:rPr>
      <w:rFonts w:ascii="Times New Roman" w:hAnsi="Times New Roman" w:eastAsia="黑体" w:cs="Times New Roman"/>
      <w:b/>
      <w:sz w:val="28"/>
      <w:szCs w:val="20"/>
    </w:rPr>
  </w:style>
  <w:style w:type="paragraph" w:customStyle="1" w:styleId="1676">
    <w:name w:val="样式 仿宋_GB2312 黑色 左侧:  2 字符 首行缩进:  0.99 厘米 段前: 6 磅"/>
    <w:basedOn w:val="1"/>
    <w:qFormat/>
    <w:uiPriority w:val="0"/>
    <w:pPr>
      <w:spacing w:before="120" w:line="500" w:lineRule="exact"/>
    </w:pPr>
    <w:rPr>
      <w:rFonts w:ascii="宋体" w:eastAsia="仿宋_GB2312" w:cs="宋体"/>
      <w:color w:val="000000"/>
      <w:kern w:val="0"/>
      <w:sz w:val="28"/>
      <w:szCs w:val="28"/>
    </w:rPr>
  </w:style>
  <w:style w:type="paragraph" w:customStyle="1" w:styleId="1677">
    <w:name w:val="Char Char Char Char Char Char Char Char Char Char Char Char Char Char Char Char Char Char Char Char Char1"/>
    <w:basedOn w:val="1"/>
    <w:qFormat/>
    <w:uiPriority w:val="0"/>
    <w:rPr>
      <w:rFonts w:ascii="宋体"/>
      <w:kern w:val="0"/>
      <w:szCs w:val="21"/>
    </w:rPr>
  </w:style>
  <w:style w:type="paragraph" w:customStyle="1" w:styleId="1678">
    <w:name w:val="样式 表格文字—五号 +1"/>
    <w:basedOn w:val="1572"/>
    <w:unhideWhenUsed/>
    <w:qFormat/>
    <w:uiPriority w:val="0"/>
    <w:rPr>
      <w:rFonts w:cs="宋体"/>
      <w:szCs w:val="20"/>
    </w:rPr>
  </w:style>
  <w:style w:type="paragraph" w:customStyle="1" w:styleId="1679">
    <w:name w:val="样式 样式 段后: 0.5 行1 + 左侧:  2 字符 段后: 0.5 行"/>
    <w:basedOn w:val="1"/>
    <w:qFormat/>
    <w:uiPriority w:val="0"/>
    <w:pPr>
      <w:adjustRightInd w:val="0"/>
      <w:snapToGrid w:val="0"/>
      <w:spacing w:afterLines="50" w:line="300" w:lineRule="auto"/>
      <w:ind w:firstLine="200" w:firstLineChars="200"/>
    </w:pPr>
    <w:rPr>
      <w:rFonts w:ascii="宋体" w:cs="宋体"/>
      <w:kern w:val="0"/>
      <w:sz w:val="28"/>
      <w:szCs w:val="20"/>
    </w:rPr>
  </w:style>
  <w:style w:type="paragraph" w:customStyle="1" w:styleId="1680">
    <w:name w:val="样式 样式 四号 首行缩进:  2 字符 + 宋体"/>
    <w:basedOn w:val="1"/>
    <w:qFormat/>
    <w:uiPriority w:val="0"/>
    <w:pPr>
      <w:adjustRightInd w:val="0"/>
      <w:snapToGrid w:val="0"/>
      <w:spacing w:line="360" w:lineRule="auto"/>
      <w:ind w:firstLine="600" w:firstLineChars="200"/>
    </w:pPr>
    <w:rPr>
      <w:rFonts w:ascii="宋体"/>
      <w:kern w:val="0"/>
      <w:sz w:val="28"/>
      <w:szCs w:val="28"/>
    </w:rPr>
  </w:style>
  <w:style w:type="paragraph" w:customStyle="1" w:styleId="1681">
    <w:name w:val="列表项目"/>
    <w:basedOn w:val="27"/>
    <w:qFormat/>
    <w:uiPriority w:val="0"/>
    <w:pPr>
      <w:tabs>
        <w:tab w:val="clear" w:pos="360"/>
      </w:tabs>
      <w:spacing w:before="120" w:line="360" w:lineRule="auto"/>
      <w:ind w:left="0" w:firstLine="0"/>
      <w:jc w:val="center"/>
      <w:outlineLvl w:val="0"/>
    </w:pPr>
    <w:rPr>
      <w:sz w:val="30"/>
      <w:szCs w:val="21"/>
    </w:rPr>
  </w:style>
  <w:style w:type="paragraph" w:customStyle="1" w:styleId="1682">
    <w:name w:val="0-shiw-扉页说明"/>
    <w:qFormat/>
    <w:uiPriority w:val="0"/>
    <w:pPr>
      <w:jc w:val="both"/>
    </w:pPr>
    <w:rPr>
      <w:rFonts w:ascii="Times New Roman" w:hAnsi="Times New Roman" w:eastAsia="宋体" w:cs="Times New Roman"/>
      <w:kern w:val="2"/>
      <w:sz w:val="21"/>
      <w:szCs w:val="21"/>
      <w:lang w:val="en-US" w:eastAsia="zh-CN" w:bidi="ar-SA"/>
    </w:rPr>
  </w:style>
  <w:style w:type="paragraph" w:customStyle="1" w:styleId="1683">
    <w:name w:val="样式 仿宋_GB2312 四号 段前: 7.8 磅 段后: 7.8 磅 行距: 1.5 倍行距"/>
    <w:basedOn w:val="1"/>
    <w:qFormat/>
    <w:uiPriority w:val="0"/>
    <w:pPr>
      <w:spacing w:before="280" w:after="156" w:line="360" w:lineRule="auto"/>
      <w:ind w:firstLine="630" w:firstLineChars="225"/>
    </w:pPr>
    <w:rPr>
      <w:rFonts w:ascii="Arial" w:hAnsi="Arial"/>
      <w:kern w:val="0"/>
      <w:sz w:val="34"/>
      <w:szCs w:val="20"/>
    </w:rPr>
  </w:style>
  <w:style w:type="paragraph" w:customStyle="1" w:styleId="1684">
    <w:name w:val="Char Char Char Char Char Char Char Char1 Char Char Char Char"/>
    <w:basedOn w:val="1"/>
    <w:qFormat/>
    <w:uiPriority w:val="0"/>
    <w:rPr>
      <w:rFonts w:ascii="宋体"/>
      <w:kern w:val="0"/>
      <w:szCs w:val="20"/>
    </w:rPr>
  </w:style>
  <w:style w:type="paragraph" w:customStyle="1" w:styleId="1685">
    <w:name w:val="样式 正文文本缩进 + Arial 五号 加粗 居中 底端: (单实线 自动设置  0.75 磅 行宽) 行距: ...2"/>
    <w:basedOn w:val="5"/>
    <w:qFormat/>
    <w:uiPriority w:val="0"/>
    <w:pPr>
      <w:pBdr>
        <w:bottom w:val="single" w:color="auto" w:sz="6" w:space="1"/>
      </w:pBdr>
      <w:topLinePunct/>
      <w:adjustRightInd w:val="0"/>
      <w:snapToGrid w:val="0"/>
      <w:spacing w:after="0"/>
      <w:ind w:left="0" w:leftChars="0"/>
      <w:jc w:val="center"/>
    </w:pPr>
    <w:rPr>
      <w:rFonts w:ascii="Arial" w:hAnsi="Arial" w:cs="宋体"/>
      <w:b/>
      <w:bCs/>
      <w:sz w:val="21"/>
    </w:rPr>
  </w:style>
  <w:style w:type="paragraph" w:customStyle="1" w:styleId="1686">
    <w:name w:val="Char Char Char1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687">
    <w:name w:val="条文2"/>
    <w:basedOn w:val="10"/>
    <w:unhideWhenUsed/>
    <w:qFormat/>
    <w:uiPriority w:val="0"/>
    <w:pPr>
      <w:widowControl w:val="0"/>
      <w:numPr>
        <w:ilvl w:val="0"/>
        <w:numId w:val="0"/>
      </w:numPr>
      <w:adjustRightInd w:val="0"/>
      <w:spacing w:before="120" w:after="120" w:line="460" w:lineRule="exact"/>
      <w:ind w:left="1151" w:hanging="425"/>
      <w:textAlignment w:val="baseline"/>
      <w:outlineLvl w:val="9"/>
    </w:pPr>
    <w:rPr>
      <w:rFonts w:ascii="宋体" w:hAnsi="宋体" w:eastAsia="黑体" w:cs="Times New Roman"/>
      <w:b w:val="0"/>
      <w:bCs w:val="0"/>
      <w:spacing w:val="3"/>
      <w:kern w:val="24"/>
      <w:sz w:val="20"/>
      <w:szCs w:val="20"/>
    </w:rPr>
  </w:style>
  <w:style w:type="paragraph" w:customStyle="1" w:styleId="1688">
    <w:name w:val="CM75"/>
    <w:basedOn w:val="2"/>
    <w:next w:val="2"/>
    <w:semiHidden/>
    <w:qFormat/>
    <w:uiPriority w:val="0"/>
    <w:pPr>
      <w:adjustRightInd/>
    </w:pPr>
    <w:rPr>
      <w:rFonts w:hint="eastAsia" w:ascii="仿宋" w:hAnsi="仿宋" w:eastAsia="仿宋" w:cs="Times New Roman"/>
      <w:szCs w:val="20"/>
    </w:rPr>
  </w:style>
  <w:style w:type="paragraph" w:customStyle="1" w:styleId="1689">
    <w:name w:val="正文并立"/>
    <w:basedOn w:val="1"/>
    <w:qFormat/>
    <w:uiPriority w:val="0"/>
    <w:pPr>
      <w:adjustRightInd w:val="0"/>
      <w:snapToGrid w:val="0"/>
      <w:spacing w:before="120" w:after="120" w:line="408" w:lineRule="atLeast"/>
      <w:ind w:firstLine="567" w:firstLineChars="200"/>
      <w:textAlignment w:val="baseline"/>
    </w:pPr>
    <w:rPr>
      <w:rFonts w:ascii="宋体"/>
      <w:snapToGrid w:val="0"/>
      <w:kern w:val="0"/>
      <w:sz w:val="34"/>
      <w:szCs w:val="20"/>
    </w:rPr>
  </w:style>
  <w:style w:type="paragraph" w:customStyle="1" w:styleId="1690">
    <w:name w:val="表序号"/>
    <w:basedOn w:val="11"/>
    <w:qFormat/>
    <w:uiPriority w:val="0"/>
    <w:pPr>
      <w:widowControl w:val="0"/>
      <w:numPr>
        <w:ilvl w:val="0"/>
        <w:numId w:val="0"/>
      </w:numPr>
      <w:spacing w:before="0" w:after="0" w:line="360" w:lineRule="auto"/>
      <w:jc w:val="center"/>
    </w:pPr>
    <w:rPr>
      <w:rFonts w:hAnsi="Arial" w:cs="Times New Roman"/>
      <w:bCs w:val="0"/>
      <w:kern w:val="44"/>
      <w:szCs w:val="20"/>
    </w:rPr>
  </w:style>
  <w:style w:type="paragraph" w:customStyle="1" w:styleId="1691">
    <w:name w:val="字元 字元1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1692">
    <w:name w:val="样式 标题 3 + 首行缩进:  0.99 厘米"/>
    <w:basedOn w:val="9"/>
    <w:qFormat/>
    <w:uiPriority w:val="0"/>
    <w:pPr>
      <w:widowControl w:val="0"/>
      <w:numPr>
        <w:ilvl w:val="0"/>
        <w:numId w:val="0"/>
      </w:numPr>
      <w:tabs>
        <w:tab w:val="left" w:pos="720"/>
      </w:tabs>
      <w:spacing w:line="460" w:lineRule="exact"/>
      <w:ind w:left="720" w:hanging="720"/>
    </w:pPr>
    <w:rPr>
      <w:rFonts w:eastAsia="仿宋_GB2312"/>
      <w:b/>
      <w:szCs w:val="20"/>
    </w:rPr>
  </w:style>
  <w:style w:type="paragraph" w:customStyle="1" w:styleId="1693">
    <w:name w:val="*Insertion tableau"/>
    <w:unhideWhenUsed/>
    <w:qFormat/>
    <w:uiPriority w:val="0"/>
    <w:pPr>
      <w:spacing w:before="120" w:after="120" w:line="280" w:lineRule="atLeast"/>
      <w:ind w:left="578" w:hanging="578"/>
      <w:jc w:val="both"/>
    </w:pPr>
    <w:rPr>
      <w:rFonts w:ascii="Times New Roman" w:hAnsi="Times New Roman" w:eastAsia="宋体" w:cs="Times New Roman"/>
      <w:sz w:val="24"/>
      <w:lang w:val="en-US" w:eastAsia="zh-CN" w:bidi="ar-SA"/>
    </w:rPr>
  </w:style>
  <w:style w:type="paragraph" w:customStyle="1" w:styleId="1694">
    <w:name w:val="bgbt4款标题"/>
    <w:basedOn w:val="1695"/>
    <w:next w:val="1697"/>
    <w:semiHidden/>
    <w:qFormat/>
    <w:uiPriority w:val="0"/>
    <w:pPr>
      <w:spacing w:before="120" w:after="60"/>
      <w:ind w:firstLine="510"/>
      <w:jc w:val="both"/>
      <w:outlineLvl w:val="3"/>
    </w:pPr>
    <w:rPr>
      <w:sz w:val="24"/>
    </w:rPr>
  </w:style>
  <w:style w:type="paragraph" w:customStyle="1" w:styleId="1695">
    <w:name w:val="bgbt副标题"/>
    <w:basedOn w:val="1696"/>
    <w:next w:val="1696"/>
    <w:semiHidden/>
    <w:qFormat/>
    <w:uiPriority w:val="0"/>
    <w:pPr>
      <w:jc w:val="center"/>
    </w:pPr>
    <w:rPr>
      <w:rFonts w:eastAsia="黑体"/>
      <w:sz w:val="32"/>
    </w:rPr>
  </w:style>
  <w:style w:type="paragraph" w:customStyle="1" w:styleId="1696">
    <w:name w:val="bg正文"/>
    <w:basedOn w:val="1"/>
    <w:semiHidden/>
    <w:qFormat/>
    <w:uiPriority w:val="0"/>
    <w:pPr>
      <w:pBdr>
        <w:top w:val="single" w:color="auto" w:sz="4" w:space="1"/>
      </w:pBdr>
    </w:pPr>
    <w:rPr>
      <w:rFonts w:ascii="宋体"/>
      <w:kern w:val="0"/>
      <w:sz w:val="34"/>
      <w:szCs w:val="20"/>
    </w:rPr>
  </w:style>
  <w:style w:type="paragraph" w:customStyle="1" w:styleId="1697">
    <w:name w:val="bg正文首行缩进"/>
    <w:basedOn w:val="1"/>
    <w:semiHidden/>
    <w:qFormat/>
    <w:uiPriority w:val="0"/>
    <w:pPr>
      <w:pBdr>
        <w:top w:val="single" w:color="auto" w:sz="4" w:space="1"/>
      </w:pBdr>
      <w:spacing w:line="400" w:lineRule="exact"/>
      <w:ind w:firstLine="482"/>
    </w:pPr>
    <w:rPr>
      <w:rFonts w:ascii="宋体"/>
      <w:kern w:val="0"/>
      <w:sz w:val="34"/>
      <w:szCs w:val="20"/>
    </w:rPr>
  </w:style>
  <w:style w:type="paragraph" w:customStyle="1" w:styleId="1698">
    <w:name w:val="xl14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1699">
    <w:name w:val="段落文字 Char Char1"/>
    <w:basedOn w:val="1"/>
    <w:qFormat/>
    <w:uiPriority w:val="0"/>
    <w:pPr>
      <w:adjustRightInd w:val="0"/>
      <w:snapToGrid w:val="0"/>
      <w:spacing w:line="360" w:lineRule="auto"/>
      <w:ind w:firstLine="560"/>
    </w:pPr>
    <w:rPr>
      <w:rFonts w:ascii="宋体" w:eastAsia="仿宋_GB2312"/>
      <w:kern w:val="0"/>
      <w:sz w:val="34"/>
      <w:szCs w:val="28"/>
    </w:rPr>
  </w:style>
  <w:style w:type="paragraph" w:customStyle="1" w:styleId="1700">
    <w:name w:val="图标"/>
    <w:basedOn w:val="5"/>
    <w:semiHidden/>
    <w:qFormat/>
    <w:uiPriority w:val="0"/>
    <w:pPr>
      <w:pBdr>
        <w:top w:val="single" w:color="auto" w:sz="4" w:space="1"/>
      </w:pBdr>
      <w:spacing w:after="0" w:line="360" w:lineRule="auto"/>
      <w:ind w:left="0" w:leftChars="0" w:firstLine="561" w:firstLineChars="200"/>
      <w:jc w:val="center"/>
    </w:pPr>
    <w:rPr>
      <w:rFonts w:ascii="宋体" w:hAnsi="宋体"/>
      <w:b/>
      <w:sz w:val="20"/>
    </w:rPr>
  </w:style>
  <w:style w:type="paragraph" w:customStyle="1" w:styleId="1701">
    <w:name w:val="xl46"/>
    <w:basedOn w:val="1"/>
    <w:qFormat/>
    <w:uiPriority w:val="0"/>
    <w:pPr>
      <w:widowControl/>
      <w:pBdr>
        <w:top w:val="single" w:color="auto"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1702">
    <w:name w:val="封里1"/>
    <w:basedOn w:val="1"/>
    <w:qFormat/>
    <w:uiPriority w:val="0"/>
    <w:pPr>
      <w:adjustRightInd w:val="0"/>
      <w:snapToGrid w:val="0"/>
      <w:spacing w:line="360" w:lineRule="auto"/>
      <w:ind w:firstLine="809" w:firstLineChars="238"/>
      <w:jc w:val="left"/>
    </w:pPr>
    <w:rPr>
      <w:rFonts w:ascii="方正黑体简体" w:eastAsia="方正黑体简体"/>
      <w:bCs/>
      <w:spacing w:val="10"/>
      <w:kern w:val="0"/>
      <w:sz w:val="32"/>
      <w:szCs w:val="32"/>
    </w:rPr>
  </w:style>
  <w:style w:type="paragraph" w:customStyle="1" w:styleId="1703">
    <w:name w:val="标题1029-4"/>
    <w:basedOn w:val="10"/>
    <w:qFormat/>
    <w:uiPriority w:val="0"/>
    <w:pPr>
      <w:widowControl w:val="0"/>
      <w:numPr>
        <w:ilvl w:val="0"/>
        <w:numId w:val="0"/>
      </w:numPr>
      <w:tabs>
        <w:tab w:val="left" w:pos="851"/>
      </w:tabs>
      <w:adjustRightInd w:val="0"/>
      <w:snapToGrid w:val="0"/>
      <w:spacing w:before="312" w:after="156" w:line="300" w:lineRule="auto"/>
      <w:ind w:left="851" w:hanging="851"/>
    </w:pPr>
    <w:rPr>
      <w:rFonts w:ascii="仿宋_GB2312" w:hAnsi="宋体" w:eastAsia="仿宋_GB2312" w:cs="Times New Roman"/>
      <w:b w:val="0"/>
      <w:sz w:val="28"/>
    </w:rPr>
  </w:style>
  <w:style w:type="paragraph" w:customStyle="1" w:styleId="1704">
    <w:name w:val="TOC 标题4"/>
    <w:basedOn w:val="7"/>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1705">
    <w:name w:val="热电厂正文"/>
    <w:basedOn w:val="1"/>
    <w:qFormat/>
    <w:uiPriority w:val="0"/>
    <w:pPr>
      <w:spacing w:line="440" w:lineRule="exact"/>
      <w:ind w:firstLine="480" w:firstLineChars="200"/>
    </w:pPr>
    <w:rPr>
      <w:rFonts w:ascii="宋体"/>
      <w:kern w:val="0"/>
      <w:sz w:val="34"/>
      <w:szCs w:val="20"/>
    </w:rPr>
  </w:style>
  <w:style w:type="paragraph" w:customStyle="1" w:styleId="1706">
    <w:name w:val="样式 标题 41.1.1.1标题 4.1.1.1.1标题 4 Char款1.1.1.1 Char标4段1.1.1..."/>
    <w:basedOn w:val="10"/>
    <w:qFormat/>
    <w:uiPriority w:val="0"/>
    <w:pPr>
      <w:widowControl w:val="0"/>
      <w:numPr>
        <w:ilvl w:val="0"/>
        <w:numId w:val="0"/>
      </w:numPr>
      <w:spacing w:before="120" w:after="120" w:line="312" w:lineRule="auto"/>
      <w:ind w:left="851" w:hanging="851"/>
      <w:jc w:val="both"/>
    </w:pPr>
    <w:rPr>
      <w:rFonts w:eastAsia="黑体"/>
      <w:sz w:val="20"/>
      <w:szCs w:val="20"/>
    </w:rPr>
  </w:style>
  <w:style w:type="paragraph" w:customStyle="1" w:styleId="1707">
    <w:name w:val="四级标题王"/>
    <w:basedOn w:val="9"/>
    <w:semiHidden/>
    <w:qFormat/>
    <w:uiPriority w:val="0"/>
    <w:pPr>
      <w:numPr>
        <w:ilvl w:val="0"/>
        <w:numId w:val="0"/>
      </w:numPr>
      <w:tabs>
        <w:tab w:val="left" w:pos="1740"/>
      </w:tabs>
      <w:spacing w:line="240" w:lineRule="auto"/>
      <w:ind w:left="1740" w:hanging="420"/>
      <w:jc w:val="both"/>
      <w:textAlignment w:val="baseline"/>
      <w:outlineLvl w:val="3"/>
    </w:pPr>
    <w:rPr>
      <w:rFonts w:ascii="黑体" w:cs="Times New Roman"/>
      <w:b/>
      <w:snapToGrid w:val="0"/>
      <w:color w:val="FF0000"/>
      <w:sz w:val="30"/>
      <w:szCs w:val="30"/>
    </w:rPr>
  </w:style>
  <w:style w:type="paragraph" w:customStyle="1" w:styleId="1708">
    <w:name w:val="样式 样式 小四 段前: 7.8 磅 行距: 多倍行距 1.25 字行 + 首行缩进:  2 字符"/>
    <w:basedOn w:val="1"/>
    <w:qFormat/>
    <w:uiPriority w:val="0"/>
    <w:pPr>
      <w:adjustRightInd w:val="0"/>
      <w:spacing w:line="400" w:lineRule="exact"/>
      <w:ind w:firstLine="200" w:firstLineChars="200"/>
    </w:pPr>
    <w:rPr>
      <w:rFonts w:ascii="宋体" w:cs="宋体"/>
      <w:kern w:val="0"/>
      <w:sz w:val="34"/>
      <w:szCs w:val="20"/>
    </w:rPr>
  </w:style>
  <w:style w:type="paragraph" w:customStyle="1" w:styleId="1709">
    <w:name w:val="小3楷顶"/>
    <w:basedOn w:val="1"/>
    <w:qFormat/>
    <w:uiPriority w:val="0"/>
    <w:pPr>
      <w:keepNext/>
      <w:keepLines/>
      <w:spacing w:before="240" w:after="240" w:line="500" w:lineRule="exact"/>
      <w:outlineLvl w:val="1"/>
    </w:pPr>
    <w:rPr>
      <w:rFonts w:ascii="黑体" w:eastAsia="楷体_GB2312"/>
      <w:bCs/>
      <w:kern w:val="0"/>
      <w:sz w:val="30"/>
      <w:szCs w:val="30"/>
    </w:rPr>
  </w:style>
  <w:style w:type="paragraph" w:customStyle="1" w:styleId="1710">
    <w:name w:val="样式 样式 样式 仿宋_GB2312 四号 行距: 1.5 倍行距 + 首行缩进:  1.92 字符 + 三号"/>
    <w:basedOn w:val="1711"/>
    <w:qFormat/>
    <w:uiPriority w:val="0"/>
  </w:style>
  <w:style w:type="paragraph" w:customStyle="1" w:styleId="1711">
    <w:name w:val="样式 样式 仿宋_GB2312 四号 行距: 1.5 倍行距 + 首行缩进:  1.92 字符"/>
    <w:basedOn w:val="1"/>
    <w:qFormat/>
    <w:uiPriority w:val="0"/>
    <w:pPr>
      <w:spacing w:line="360" w:lineRule="auto"/>
      <w:ind w:firstLine="560" w:firstLineChars="200"/>
    </w:pPr>
    <w:rPr>
      <w:rFonts w:ascii="宋体" w:hAnsi="宋体"/>
      <w:color w:val="0000FF"/>
      <w:kern w:val="0"/>
      <w:sz w:val="28"/>
      <w:szCs w:val="20"/>
    </w:rPr>
  </w:style>
  <w:style w:type="paragraph" w:customStyle="1" w:styleId="1712">
    <w:name w:val="IDC A-Head (2nd Line)"/>
    <w:basedOn w:val="1"/>
    <w:next w:val="1"/>
    <w:qFormat/>
    <w:uiPriority w:val="0"/>
    <w:pPr>
      <w:widowControl/>
      <w:jc w:val="center"/>
    </w:pPr>
    <w:rPr>
      <w:rFonts w:ascii="宋体"/>
      <w:caps/>
      <w:kern w:val="0"/>
      <w:sz w:val="34"/>
      <w:szCs w:val="20"/>
    </w:rPr>
  </w:style>
  <w:style w:type="paragraph" w:customStyle="1" w:styleId="1713">
    <w:name w:val="xl172"/>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714">
    <w:name w:val="表标题4.5"/>
    <w:basedOn w:val="1"/>
    <w:qFormat/>
    <w:uiPriority w:val="0"/>
    <w:pPr>
      <w:tabs>
        <w:tab w:val="center" w:pos="4060"/>
        <w:tab w:val="right" w:pos="8261"/>
      </w:tabs>
      <w:suppressAutoHyphens/>
      <w:adjustRightInd w:val="0"/>
      <w:spacing w:before="240" w:after="120" w:line="0" w:lineRule="atLeast"/>
      <w:ind w:left="578" w:hanging="578"/>
    </w:pPr>
    <w:rPr>
      <w:rFonts w:ascii="黑体" w:eastAsia="黑体"/>
      <w:b/>
      <w:spacing w:val="6"/>
      <w:kern w:val="0"/>
      <w:sz w:val="26"/>
      <w:szCs w:val="26"/>
    </w:rPr>
  </w:style>
  <w:style w:type="paragraph" w:customStyle="1" w:styleId="1715">
    <w:name w:val="样式 样式 表格文字—五号 + 行距: 多倍行距 1.3 字行 + 行距: 单倍行距"/>
    <w:basedOn w:val="1716"/>
    <w:qFormat/>
    <w:uiPriority w:val="0"/>
    <w:pPr>
      <w:spacing w:line="240" w:lineRule="auto"/>
    </w:pPr>
  </w:style>
  <w:style w:type="paragraph" w:customStyle="1" w:styleId="1716">
    <w:name w:val="样式 表格文字—五号 + 行距: 多倍行距 1.3 字行"/>
    <w:basedOn w:val="1572"/>
    <w:unhideWhenUsed/>
    <w:qFormat/>
    <w:uiPriority w:val="0"/>
    <w:pPr>
      <w:spacing w:line="312" w:lineRule="auto"/>
    </w:pPr>
    <w:rPr>
      <w:rFonts w:cs="宋体"/>
      <w:szCs w:val="20"/>
    </w:rPr>
  </w:style>
  <w:style w:type="paragraph" w:customStyle="1" w:styleId="1717">
    <w:name w:val="?1"/>
    <w:basedOn w:val="1718"/>
    <w:next w:val="1718"/>
    <w:semiHidden/>
    <w:qFormat/>
    <w:uiPriority w:val="0"/>
    <w:pPr>
      <w:jc w:val="center"/>
    </w:pPr>
    <w:rPr>
      <w:b/>
    </w:rPr>
  </w:style>
  <w:style w:type="paragraph" w:customStyle="1" w:styleId="1718">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719">
    <w:name w:val="Char Char Char Char3"/>
    <w:basedOn w:val="1"/>
    <w:qFormat/>
    <w:uiPriority w:val="0"/>
    <w:rPr>
      <w:rFonts w:ascii="宋体"/>
      <w:kern w:val="0"/>
      <w:sz w:val="34"/>
      <w:szCs w:val="20"/>
    </w:rPr>
  </w:style>
  <w:style w:type="paragraph" w:customStyle="1" w:styleId="1720">
    <w:name w:val="?????¨¬???????¨¬?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1721">
    <w:name w:val="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1722">
    <w:name w:val="正文5"/>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723">
    <w:name w:val="表格文字 1"/>
    <w:basedOn w:val="1"/>
    <w:qFormat/>
    <w:uiPriority w:val="0"/>
    <w:pPr>
      <w:adjustRightInd w:val="0"/>
      <w:snapToGrid w:val="0"/>
      <w:jc w:val="center"/>
    </w:pPr>
    <w:rPr>
      <w:rFonts w:ascii="宋体"/>
      <w:kern w:val="0"/>
      <w:szCs w:val="21"/>
    </w:rPr>
  </w:style>
  <w:style w:type="paragraph" w:customStyle="1" w:styleId="1724">
    <w:name w:val="Char Char Char1 Char Char Char Char Char Char Char"/>
    <w:basedOn w:val="1"/>
    <w:qFormat/>
    <w:uiPriority w:val="0"/>
    <w:rPr>
      <w:rFonts w:ascii="Tahoma" w:hAnsi="Tahoma"/>
      <w:kern w:val="0"/>
      <w:sz w:val="34"/>
      <w:szCs w:val="20"/>
    </w:rPr>
  </w:style>
  <w:style w:type="paragraph" w:customStyle="1" w:styleId="1725">
    <w:name w:val="标题4（杨）"/>
    <w:basedOn w:val="1"/>
    <w:qFormat/>
    <w:uiPriority w:val="0"/>
    <w:pPr>
      <w:spacing w:before="120" w:after="120"/>
      <w:ind w:left="2145" w:hanging="420"/>
    </w:pPr>
    <w:rPr>
      <w:rFonts w:ascii="宋体" w:eastAsia="黑体"/>
      <w:b/>
      <w:kern w:val="0"/>
      <w:sz w:val="28"/>
      <w:szCs w:val="20"/>
    </w:rPr>
  </w:style>
  <w:style w:type="paragraph" w:customStyle="1" w:styleId="1726">
    <w:name w:val="正文标准样式 3"/>
    <w:basedOn w:val="1"/>
    <w:semiHidden/>
    <w:qFormat/>
    <w:uiPriority w:val="0"/>
    <w:pPr>
      <w:topLinePunct/>
      <w:spacing w:line="580" w:lineRule="exact"/>
      <w:ind w:firstLine="560" w:firstLineChars="200"/>
    </w:pPr>
    <w:rPr>
      <w:rFonts w:ascii="宋体" w:eastAsia="楷体_GB2312"/>
      <w:kern w:val="0"/>
      <w:sz w:val="28"/>
      <w:szCs w:val="18"/>
    </w:rPr>
  </w:style>
  <w:style w:type="paragraph" w:customStyle="1" w:styleId="1727">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宋体" w:hAnsi="宋体" w:eastAsia="Times New Roman"/>
      <w:kern w:val="0"/>
      <w:sz w:val="34"/>
      <w:szCs w:val="20"/>
    </w:rPr>
  </w:style>
  <w:style w:type="paragraph" w:customStyle="1" w:styleId="1728">
    <w:name w:val="样式 标题3 + (中文) 宋体 Char Char"/>
    <w:basedOn w:val="9"/>
    <w:next w:val="1"/>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729">
    <w:name w:val="样式 样式 标题 4 + 段前: 0.5 行 段后: 0.5 行 + 段前: 0.5 行 段后: 0.5 行5"/>
    <w:basedOn w:val="1730"/>
    <w:semiHidden/>
    <w:qFormat/>
    <w:uiPriority w:val="0"/>
  </w:style>
  <w:style w:type="paragraph" w:customStyle="1" w:styleId="1730">
    <w:name w:val="样式 标题 4 + 段前: 0.5 行 段后: 0.5 行"/>
    <w:basedOn w:val="10"/>
    <w:semiHidden/>
    <w:qFormat/>
    <w:uiPriority w:val="0"/>
    <w:pPr>
      <w:widowControl w:val="0"/>
      <w:numPr>
        <w:ilvl w:val="0"/>
        <w:numId w:val="0"/>
      </w:numPr>
      <w:spacing w:before="280" w:beforeLines="50" w:after="290" w:afterLines="50" w:line="480" w:lineRule="exact"/>
      <w:jc w:val="both"/>
    </w:pPr>
    <w:rPr>
      <w:rFonts w:ascii="楷体_GB2312" w:hAnsi="宋体" w:eastAsia="楷体_GB2312"/>
      <w:b w:val="0"/>
      <w:color w:val="000000"/>
      <w:spacing w:val="-6"/>
      <w:kern w:val="44"/>
      <w:sz w:val="20"/>
      <w:szCs w:val="20"/>
    </w:rPr>
  </w:style>
  <w:style w:type="paragraph" w:customStyle="1" w:styleId="1731">
    <w:name w:val="1标题3级"/>
    <w:basedOn w:val="1732"/>
    <w:qFormat/>
    <w:uiPriority w:val="0"/>
  </w:style>
  <w:style w:type="paragraph" w:customStyle="1" w:styleId="1732">
    <w:name w:val="1标题2级"/>
    <w:basedOn w:val="1"/>
    <w:qFormat/>
    <w:uiPriority w:val="0"/>
    <w:pPr>
      <w:keepNext/>
      <w:snapToGrid w:val="0"/>
      <w:spacing w:line="420" w:lineRule="auto"/>
      <w:outlineLvl w:val="1"/>
    </w:pPr>
    <w:rPr>
      <w:rFonts w:ascii="宋体" w:eastAsia="黑体"/>
      <w:b/>
      <w:kern w:val="0"/>
      <w:sz w:val="28"/>
      <w:szCs w:val="20"/>
    </w:rPr>
  </w:style>
  <w:style w:type="paragraph" w:customStyle="1" w:styleId="1733">
    <w:name w:val="封—项目名称"/>
    <w:basedOn w:val="1"/>
    <w:qFormat/>
    <w:uiPriority w:val="0"/>
    <w:pPr>
      <w:adjustRightInd w:val="0"/>
      <w:snapToGrid w:val="0"/>
      <w:spacing w:beforeLines="50" w:line="360" w:lineRule="auto"/>
      <w:jc w:val="center"/>
    </w:pPr>
    <w:rPr>
      <w:rFonts w:ascii="宋体" w:eastAsia="楷体_GB2312"/>
      <w:kern w:val="0"/>
      <w:sz w:val="44"/>
      <w:szCs w:val="44"/>
    </w:rPr>
  </w:style>
  <w:style w:type="paragraph" w:customStyle="1" w:styleId="1734">
    <w:name w:val="ST20_1"/>
    <w:basedOn w:val="1"/>
    <w:qFormat/>
    <w:uiPriority w:val="0"/>
    <w:pPr>
      <w:autoSpaceDE w:val="0"/>
      <w:autoSpaceDN w:val="0"/>
      <w:adjustRightInd w:val="0"/>
      <w:spacing w:line="312" w:lineRule="atLeast"/>
      <w:jc w:val="center"/>
      <w:textAlignment w:val="baseline"/>
    </w:pPr>
    <w:rPr>
      <w:rFonts w:ascii="宋体" w:hAnsi="Tms Rmn"/>
      <w:kern w:val="0"/>
      <w:sz w:val="34"/>
      <w:szCs w:val="20"/>
    </w:rPr>
  </w:style>
  <w:style w:type="paragraph" w:customStyle="1" w:styleId="1735">
    <w:name w:val="样式 标题 5 + 首行缩进:  2 字符"/>
    <w:basedOn w:val="11"/>
    <w:qFormat/>
    <w:uiPriority w:val="0"/>
    <w:pPr>
      <w:widowControl w:val="0"/>
      <w:numPr>
        <w:numId w:val="14"/>
      </w:numPr>
      <w:tabs>
        <w:tab w:val="left" w:pos="726"/>
        <w:tab w:val="left" w:pos="2100"/>
      </w:tabs>
      <w:adjustRightInd w:val="0"/>
      <w:spacing w:after="0" w:line="460" w:lineRule="atLeast"/>
      <w:jc w:val="both"/>
      <w:textAlignment w:val="baseline"/>
    </w:pPr>
    <w:rPr>
      <w:rFonts w:ascii="Arial" w:hAnsi="Arial"/>
      <w:bCs w:val="0"/>
      <w:szCs w:val="20"/>
    </w:rPr>
  </w:style>
  <w:style w:type="paragraph" w:customStyle="1" w:styleId="1736">
    <w:name w:val="样式 LNG－标题1 + 段前: 0.5 行 段后: 0.5 行"/>
    <w:basedOn w:val="1611"/>
    <w:qFormat/>
    <w:uiPriority w:val="0"/>
    <w:pPr>
      <w:adjustRightInd w:val="0"/>
      <w:jc w:val="center"/>
      <w:outlineLvl w:val="0"/>
    </w:pPr>
    <w:rPr>
      <w:rFonts w:cs="宋体"/>
      <w:bCs/>
    </w:rPr>
  </w:style>
  <w:style w:type="paragraph" w:customStyle="1" w:styleId="1737">
    <w:name w:val="样式 小四 黑色 居中 首行缩进:  0 厘米 段前: 自动 段后: 自动 行距: 最小值 12 磅"/>
    <w:basedOn w:val="1"/>
    <w:unhideWhenUsed/>
    <w:qFormat/>
    <w:uiPriority w:val="0"/>
    <w:pPr>
      <w:spacing w:before="100" w:beforeAutospacing="1" w:after="100" w:afterAutospacing="1" w:line="240" w:lineRule="atLeast"/>
      <w:ind w:left="578" w:hanging="578"/>
      <w:jc w:val="center"/>
    </w:pPr>
    <w:rPr>
      <w:rFonts w:ascii="宋体" w:cs="宋体"/>
      <w:color w:val="000000"/>
      <w:kern w:val="0"/>
      <w:szCs w:val="20"/>
    </w:rPr>
  </w:style>
  <w:style w:type="paragraph" w:customStyle="1" w:styleId="1738">
    <w:name w:val="正文文本缩进 23"/>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1739">
    <w:name w:val="Char2 Char Char Char1"/>
    <w:basedOn w:val="1"/>
    <w:qFormat/>
    <w:uiPriority w:val="0"/>
    <w:rPr>
      <w:rFonts w:ascii="宋体"/>
      <w:kern w:val="0"/>
      <w:sz w:val="34"/>
      <w:szCs w:val="20"/>
    </w:rPr>
  </w:style>
  <w:style w:type="paragraph" w:customStyle="1" w:styleId="1740">
    <w:name w:val="Char Char Char Char Char Char Char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741">
    <w:name w:val="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742">
    <w:name w:val="样式 正文首行缩进 + 四号 首行缩进:  1 字符 段后: 2.5 磅 行距: 1.5 倍行距"/>
    <w:basedOn w:val="43"/>
    <w:qFormat/>
    <w:uiPriority w:val="0"/>
    <w:pPr>
      <w:widowControl w:val="0"/>
      <w:spacing w:before="120" w:after="0" w:line="360" w:lineRule="auto"/>
      <w:ind w:left="578" w:firstLine="100"/>
      <w:jc w:val="both"/>
    </w:pPr>
    <w:rPr>
      <w:rFonts w:ascii="Times New Roman" w:hAnsi="Times New Roman"/>
      <w:kern w:val="2"/>
      <w:lang w:val="fr-FR"/>
    </w:rPr>
  </w:style>
  <w:style w:type="paragraph" w:customStyle="1" w:styleId="1743">
    <w:name w:val="mytitle2"/>
    <w:basedOn w:val="1"/>
    <w:next w:val="1"/>
    <w:semiHidden/>
    <w:qFormat/>
    <w:uiPriority w:val="0"/>
    <w:pPr>
      <w:keepNext/>
      <w:keepLines/>
      <w:spacing w:after="330" w:line="460" w:lineRule="exact"/>
      <w:jc w:val="center"/>
      <w:outlineLvl w:val="1"/>
    </w:pPr>
    <w:rPr>
      <w:rFonts w:ascii="黑体" w:eastAsia="黑体"/>
      <w:b/>
      <w:bCs/>
      <w:color w:val="000000"/>
      <w:kern w:val="44"/>
      <w:sz w:val="34"/>
      <w:szCs w:val="44"/>
    </w:rPr>
  </w:style>
  <w:style w:type="paragraph" w:customStyle="1" w:styleId="1744">
    <w:name w:val="正文缩进7"/>
    <w:basedOn w:val="1"/>
    <w:qFormat/>
    <w:uiPriority w:val="0"/>
    <w:pPr>
      <w:ind w:firstLine="420" w:firstLineChars="200"/>
    </w:pPr>
    <w:rPr>
      <w:rFonts w:ascii="宋体"/>
      <w:kern w:val="0"/>
      <w:szCs w:val="20"/>
    </w:rPr>
  </w:style>
  <w:style w:type="paragraph" w:customStyle="1" w:styleId="1745">
    <w:name w:val="文件名称"/>
    <w:basedOn w:val="1"/>
    <w:next w:val="1"/>
    <w:qFormat/>
    <w:uiPriority w:val="0"/>
    <w:pPr>
      <w:spacing w:beforeLines="100"/>
      <w:jc w:val="center"/>
    </w:pPr>
    <w:rPr>
      <w:rFonts w:ascii="黑体" w:eastAsia="黑体"/>
      <w:kern w:val="0"/>
      <w:sz w:val="84"/>
      <w:szCs w:val="84"/>
    </w:rPr>
  </w:style>
  <w:style w:type="paragraph" w:customStyle="1" w:styleId="1746">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kern w:val="0"/>
      <w:sz w:val="34"/>
      <w:szCs w:val="20"/>
    </w:rPr>
  </w:style>
  <w:style w:type="paragraph" w:customStyle="1" w:styleId="1747">
    <w:name w:val="样式 标题 1 + 华文中宋 居中 段前: 12 磅 段后: 12 磅 行距: 多倍行距 1.4 字行"/>
    <w:basedOn w:val="7"/>
    <w:qFormat/>
    <w:uiPriority w:val="0"/>
    <w:pPr>
      <w:keepNext w:val="0"/>
      <w:keepLines/>
      <w:pageBreakBefore/>
      <w:tabs>
        <w:tab w:val="left" w:pos="0"/>
      </w:tabs>
      <w:overflowPunct/>
      <w:snapToGrid/>
      <w:spacing w:before="240" w:after="240" w:line="360" w:lineRule="auto"/>
      <w:ind w:left="0" w:firstLine="0"/>
      <w:jc w:val="center"/>
    </w:pPr>
    <w:rPr>
      <w:rFonts w:ascii="华文中宋" w:hAnsi="华文中宋" w:eastAsia="楷体_GB2312"/>
      <w:color w:val="auto"/>
      <w:sz w:val="36"/>
      <w:szCs w:val="20"/>
    </w:rPr>
  </w:style>
  <w:style w:type="paragraph" w:customStyle="1" w:styleId="174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749">
    <w:name w:val="调研内容"/>
    <w:basedOn w:val="1"/>
    <w:unhideWhenUsed/>
    <w:qFormat/>
    <w:uiPriority w:val="0"/>
    <w:pPr>
      <w:spacing w:before="120" w:after="120" w:line="360" w:lineRule="auto"/>
      <w:ind w:left="578" w:hanging="578"/>
    </w:pPr>
    <w:rPr>
      <w:rFonts w:ascii="宋体"/>
      <w:kern w:val="0"/>
      <w:szCs w:val="20"/>
    </w:rPr>
  </w:style>
  <w:style w:type="paragraph" w:customStyle="1" w:styleId="1750">
    <w:name w:val="样式 Char Char Char Char Char Char Char Char Char Char Char Char Char Char Char Char Char Char Char Char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751">
    <w:name w:val="无间隔1"/>
    <w:basedOn w:val="1"/>
    <w:next w:val="1"/>
    <w:qFormat/>
    <w:uiPriority w:val="0"/>
    <w:pPr>
      <w:spacing w:beforeLines="50" w:afterLines="50" w:line="300" w:lineRule="auto"/>
      <w:ind w:firstLine="480" w:firstLineChars="200"/>
    </w:pPr>
    <w:rPr>
      <w:rFonts w:ascii="Calibri" w:hAnsi="Calibri"/>
      <w:kern w:val="0"/>
      <w:sz w:val="34"/>
      <w:szCs w:val="22"/>
    </w:rPr>
  </w:style>
  <w:style w:type="paragraph" w:customStyle="1" w:styleId="1752">
    <w:name w:val="Table text"/>
    <w:basedOn w:val="1"/>
    <w:qFormat/>
    <w:uiPriority w:val="0"/>
    <w:pPr>
      <w:keepLines/>
      <w:widowControl/>
      <w:spacing w:before="40" w:after="40"/>
      <w:jc w:val="center"/>
    </w:pPr>
    <w:rPr>
      <w:rFonts w:ascii="Arial" w:hAnsi="Arial" w:eastAsia="PMingLiU"/>
      <w:kern w:val="0"/>
      <w:sz w:val="22"/>
      <w:szCs w:val="20"/>
    </w:rPr>
  </w:style>
  <w:style w:type="paragraph" w:customStyle="1" w:styleId="1753">
    <w:name w:val="图文LA"/>
    <w:basedOn w:val="1"/>
    <w:qFormat/>
    <w:uiPriority w:val="0"/>
    <w:pPr>
      <w:widowControl/>
      <w:tabs>
        <w:tab w:val="left" w:pos="0"/>
      </w:tabs>
      <w:adjustRightInd w:val="0"/>
      <w:spacing w:beforeLines="50" w:line="360" w:lineRule="auto"/>
      <w:jc w:val="center"/>
    </w:pPr>
    <w:rPr>
      <w:rFonts w:ascii="宋体" w:hAnsi="宋体"/>
      <w:snapToGrid w:val="0"/>
      <w:kern w:val="0"/>
      <w:sz w:val="34"/>
      <w:szCs w:val="20"/>
    </w:rPr>
  </w:style>
  <w:style w:type="paragraph" w:customStyle="1" w:styleId="1754">
    <w:name w:val="乐清1.1级"/>
    <w:basedOn w:val="632"/>
    <w:qFormat/>
    <w:uiPriority w:val="0"/>
    <w:pPr>
      <w:tabs>
        <w:tab w:val="left" w:pos="360"/>
        <w:tab w:val="clear" w:pos="425"/>
        <w:tab w:val="clear" w:pos="726"/>
      </w:tabs>
      <w:outlineLvl w:val="0"/>
    </w:pPr>
    <w:rPr>
      <w:sz w:val="28"/>
      <w:szCs w:val="28"/>
    </w:rPr>
  </w:style>
  <w:style w:type="paragraph" w:customStyle="1" w:styleId="1755">
    <w:name w:val="Char Char Char1 Char Char Char1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756">
    <w:name w:val="段标"/>
    <w:basedOn w:val="1"/>
    <w:unhideWhenUsed/>
    <w:qFormat/>
    <w:uiPriority w:val="0"/>
    <w:pPr>
      <w:adjustRightInd w:val="0"/>
      <w:spacing w:before="120" w:after="120" w:line="360" w:lineRule="auto"/>
      <w:ind w:left="578" w:firstLine="567"/>
      <w:jc w:val="left"/>
      <w:textAlignment w:val="baseline"/>
    </w:pPr>
    <w:rPr>
      <w:rFonts w:ascii="宋体"/>
      <w:kern w:val="0"/>
      <w:sz w:val="28"/>
      <w:szCs w:val="20"/>
    </w:rPr>
  </w:style>
  <w:style w:type="paragraph" w:customStyle="1" w:styleId="1757">
    <w:name w:val="表格标注"/>
    <w:basedOn w:val="1758"/>
    <w:qFormat/>
    <w:uiPriority w:val="0"/>
    <w:pPr>
      <w:spacing w:beforeLines="20"/>
    </w:pPr>
    <w:rPr>
      <w:rFonts w:hAnsi="宋体" w:eastAsia="宋体"/>
      <w:sz w:val="21"/>
      <w:szCs w:val="20"/>
    </w:rPr>
  </w:style>
  <w:style w:type="paragraph" w:customStyle="1" w:styleId="1758">
    <w:name w:val="表格内容1"/>
    <w:basedOn w:val="1"/>
    <w:qFormat/>
    <w:uiPriority w:val="0"/>
    <w:pPr>
      <w:adjustRightInd w:val="0"/>
      <w:snapToGrid w:val="0"/>
      <w:spacing w:beforeLines="15" w:afterLines="15" w:line="240" w:lineRule="exact"/>
      <w:jc w:val="center"/>
    </w:pPr>
    <w:rPr>
      <w:rFonts w:ascii="宋体" w:eastAsia="仿宋_GB2312"/>
      <w:snapToGrid w:val="0"/>
      <w:kern w:val="0"/>
      <w:sz w:val="28"/>
    </w:rPr>
  </w:style>
  <w:style w:type="paragraph" w:customStyle="1" w:styleId="1759">
    <w:name w:val="xl36"/>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1760">
    <w:name w:val="xl168"/>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1761">
    <w:name w:val="Char Char Char1 Char"/>
    <w:basedOn w:val="1"/>
    <w:qFormat/>
    <w:uiPriority w:val="0"/>
    <w:rPr>
      <w:rFonts w:ascii="宋体"/>
      <w:kern w:val="0"/>
      <w:sz w:val="34"/>
      <w:szCs w:val="20"/>
    </w:rPr>
  </w:style>
  <w:style w:type="paragraph" w:customStyle="1" w:styleId="1762">
    <w:name w:val="样式 标题 3 + 四号 非加粗 段前: 7.8 磅 段后: 6 磅 行距: 多倍行距 1.25 字行"/>
    <w:basedOn w:val="9"/>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763">
    <w:name w:val="Char Char1 Char Char Char12"/>
    <w:basedOn w:val="1"/>
    <w:next w:val="1"/>
    <w:qFormat/>
    <w:uiPriority w:val="0"/>
    <w:pPr>
      <w:spacing w:line="360" w:lineRule="auto"/>
      <w:ind w:firstLine="200" w:firstLineChars="200"/>
    </w:pPr>
    <w:rPr>
      <w:rFonts w:ascii="宋体" w:hAnsi="宋体" w:cs="宋体"/>
      <w:kern w:val="0"/>
      <w:sz w:val="34"/>
      <w:szCs w:val="20"/>
    </w:rPr>
  </w:style>
  <w:style w:type="paragraph" w:customStyle="1" w:styleId="176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20"/>
    </w:rPr>
  </w:style>
  <w:style w:type="paragraph" w:customStyle="1" w:styleId="1765">
    <w:name w:val="样式 标题 2标题 1.1一级条Majorsect_Heading 2标题2标题 2 Char + 宋体 四号..."/>
    <w:basedOn w:val="8"/>
    <w:semiHidden/>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1766">
    <w:name w:val="CM35"/>
    <w:basedOn w:val="2"/>
    <w:next w:val="2"/>
    <w:semiHidden/>
    <w:qFormat/>
    <w:uiPriority w:val="0"/>
    <w:pPr>
      <w:adjustRightInd/>
    </w:pPr>
    <w:rPr>
      <w:rFonts w:hint="eastAsia" w:ascii="仿宋" w:hAnsi="仿宋" w:eastAsia="仿宋" w:cs="Times New Roman"/>
      <w:szCs w:val="20"/>
    </w:rPr>
  </w:style>
  <w:style w:type="paragraph" w:customStyle="1" w:styleId="1767">
    <w:name w:val="正文文本缩进 + 四号 + 左侧:  2 字符 + 左侧:  2 字符 + 左侧:  2 字符 + 左侧..."/>
    <w:basedOn w:val="1"/>
    <w:unhideWhenUsed/>
    <w:qFormat/>
    <w:uiPriority w:val="0"/>
    <w:pPr>
      <w:tabs>
        <w:tab w:val="left" w:pos="420"/>
      </w:tabs>
      <w:spacing w:before="120" w:after="120" w:line="360" w:lineRule="auto"/>
      <w:ind w:left="420" w:leftChars="200" w:firstLine="560" w:firstLineChars="200"/>
    </w:pPr>
    <w:rPr>
      <w:rFonts w:ascii="宋体" w:cs="宋体"/>
      <w:kern w:val="0"/>
      <w:sz w:val="28"/>
      <w:szCs w:val="20"/>
    </w:rPr>
  </w:style>
  <w:style w:type="paragraph" w:customStyle="1" w:styleId="1768">
    <w:name w:val="正文五号无缩进表格内容字"/>
    <w:basedOn w:val="1"/>
    <w:qFormat/>
    <w:uiPriority w:val="0"/>
    <w:pPr>
      <w:adjustRightInd w:val="0"/>
      <w:snapToGrid w:val="0"/>
      <w:spacing w:before="280" w:line="264" w:lineRule="auto"/>
    </w:pPr>
    <w:rPr>
      <w:rFonts w:ascii="宋体"/>
      <w:kern w:val="0"/>
      <w:szCs w:val="20"/>
      <w:lang w:val="zh-CN"/>
    </w:rPr>
  </w:style>
  <w:style w:type="paragraph" w:customStyle="1" w:styleId="1769">
    <w:name w:val="我的表格标题"/>
    <w:basedOn w:val="1"/>
    <w:qFormat/>
    <w:uiPriority w:val="0"/>
    <w:pPr>
      <w:spacing w:line="360" w:lineRule="auto"/>
      <w:jc w:val="center"/>
    </w:pPr>
    <w:rPr>
      <w:rFonts w:ascii="宋体" w:hAnsi="宋体"/>
      <w:b/>
      <w:kern w:val="0"/>
      <w:sz w:val="34"/>
      <w:szCs w:val="20"/>
    </w:rPr>
  </w:style>
  <w:style w:type="paragraph" w:customStyle="1" w:styleId="1770">
    <w:name w:val="xl17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771">
    <w:name w:val="CM74"/>
    <w:basedOn w:val="2"/>
    <w:next w:val="2"/>
    <w:semiHidden/>
    <w:qFormat/>
    <w:uiPriority w:val="0"/>
    <w:pPr>
      <w:adjustRightInd/>
    </w:pPr>
    <w:rPr>
      <w:rFonts w:hint="eastAsia" w:ascii="仿宋" w:hAnsi="仿宋" w:eastAsia="仿宋" w:cs="Times New Roman"/>
      <w:szCs w:val="20"/>
    </w:rPr>
  </w:style>
  <w:style w:type="paragraph" w:customStyle="1" w:styleId="1772">
    <w:name w:val="12"/>
    <w:basedOn w:val="1"/>
    <w:next w:val="54"/>
    <w:qFormat/>
    <w:uiPriority w:val="0"/>
    <w:pPr>
      <w:spacing w:line="500" w:lineRule="exact"/>
      <w:ind w:firstLine="560" w:firstLineChars="200"/>
    </w:pPr>
    <w:rPr>
      <w:rFonts w:ascii="仿宋_GB2312" w:eastAsia="仿宋_GB2312"/>
      <w:color w:val="FF0000"/>
      <w:kern w:val="0"/>
      <w:sz w:val="28"/>
      <w:szCs w:val="20"/>
    </w:rPr>
  </w:style>
  <w:style w:type="paragraph" w:customStyle="1" w:styleId="1773">
    <w:name w:val="xl34"/>
    <w:basedOn w:val="1"/>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34"/>
      <w:szCs w:val="20"/>
    </w:rPr>
  </w:style>
  <w:style w:type="paragraph" w:customStyle="1" w:styleId="1774">
    <w:name w:val="样式 表标题 + 段前: 0.5 行1"/>
    <w:basedOn w:val="8"/>
    <w:qFormat/>
    <w:uiPriority w:val="0"/>
    <w:pPr>
      <w:keepNext w:val="0"/>
      <w:keepLines w:val="0"/>
      <w:widowControl w:val="0"/>
      <w:numPr>
        <w:ilvl w:val="0"/>
        <w:numId w:val="0"/>
      </w:numPr>
      <w:adjustRightInd w:val="0"/>
      <w:snapToGrid w:val="0"/>
      <w:spacing w:before="260" w:beforeLines="50" w:line="480" w:lineRule="exact"/>
      <w:jc w:val="center"/>
      <w:outlineLvl w:val="9"/>
    </w:pPr>
    <w:rPr>
      <w:rFonts w:ascii="宋体" w:hAnsi="宋体" w:eastAsia="黑体" w:cs="Times New Roman"/>
      <w:sz w:val="28"/>
      <w:szCs w:val="20"/>
    </w:rPr>
  </w:style>
  <w:style w:type="paragraph" w:customStyle="1" w:styleId="1775">
    <w:name w:val="南沙标题4"/>
    <w:basedOn w:val="10"/>
    <w:qFormat/>
    <w:uiPriority w:val="0"/>
    <w:pPr>
      <w:keepNext w:val="0"/>
      <w:widowControl w:val="0"/>
      <w:numPr>
        <w:ilvl w:val="0"/>
        <w:numId w:val="0"/>
      </w:numPr>
      <w:spacing w:line="240" w:lineRule="auto"/>
      <w:ind w:left="200" w:leftChars="200"/>
      <w:jc w:val="both"/>
    </w:pPr>
    <w:rPr>
      <w:rFonts w:eastAsia="黑体" w:cs="Times New Roman"/>
      <w:sz w:val="28"/>
    </w:rPr>
  </w:style>
  <w:style w:type="paragraph" w:customStyle="1" w:styleId="1776">
    <w:name w:val="Char Char Char1 Char Char Char Char Char Char Char Char Char Char2"/>
    <w:basedOn w:val="1"/>
    <w:qFormat/>
    <w:uiPriority w:val="0"/>
    <w:rPr>
      <w:rFonts w:ascii="宋体"/>
      <w:kern w:val="0"/>
      <w:szCs w:val="20"/>
    </w:rPr>
  </w:style>
  <w:style w:type="paragraph" w:customStyle="1" w:styleId="1777">
    <w:name w:val="表名称"/>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1778">
    <w:name w:val="单位"/>
    <w:basedOn w:val="25"/>
    <w:semiHidden/>
    <w:qFormat/>
    <w:uiPriority w:val="0"/>
    <w:pPr>
      <w:spacing w:before="30" w:after="30"/>
      <w:ind w:firstLine="200" w:firstLineChars="200"/>
      <w:jc w:val="right"/>
      <w:outlineLvl w:val="4"/>
    </w:pPr>
    <w:rPr>
      <w:rFonts w:eastAsia="宋体"/>
      <w:kern w:val="0"/>
      <w:sz w:val="18"/>
      <w:szCs w:val="24"/>
    </w:rPr>
  </w:style>
  <w:style w:type="paragraph" w:customStyle="1" w:styleId="1779">
    <w:name w:val="Section Title"/>
    <w:basedOn w:val="1"/>
    <w:next w:val="1"/>
    <w:unhideWhenUsed/>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after="120" w:line="280" w:lineRule="atLeast"/>
      <w:ind w:left="578" w:hanging="578"/>
      <w:jc w:val="left"/>
    </w:pPr>
    <w:rPr>
      <w:rFonts w:ascii="Arial" w:hAnsi="Arial"/>
      <w:b/>
      <w:spacing w:val="-10"/>
      <w:kern w:val="0"/>
      <w:position w:val="7"/>
      <w:sz w:val="20"/>
      <w:szCs w:val="20"/>
    </w:rPr>
  </w:style>
  <w:style w:type="paragraph" w:customStyle="1" w:styleId="1780">
    <w:name w:val="Char Char Char Char Char Char Char Char Char1 Char Char Char Char Char Char2"/>
    <w:basedOn w:val="1"/>
    <w:qFormat/>
    <w:uiPriority w:val="0"/>
    <w:rPr>
      <w:rFonts w:ascii="宋体"/>
      <w:kern w:val="0"/>
      <w:szCs w:val="21"/>
    </w:rPr>
  </w:style>
  <w:style w:type="paragraph" w:customStyle="1" w:styleId="1781">
    <w:name w:val="正文文本缩进 31"/>
    <w:basedOn w:val="1"/>
    <w:qFormat/>
    <w:uiPriority w:val="0"/>
    <w:pPr>
      <w:adjustRightInd w:val="0"/>
      <w:spacing w:line="480" w:lineRule="exact"/>
      <w:ind w:firstLine="525"/>
      <w:textAlignment w:val="baseline"/>
    </w:pPr>
    <w:rPr>
      <w:rFonts w:ascii="宋体"/>
      <w:kern w:val="0"/>
      <w:sz w:val="28"/>
      <w:szCs w:val="20"/>
    </w:rPr>
  </w:style>
  <w:style w:type="paragraph" w:customStyle="1" w:styleId="1782">
    <w:name w:val="LNG－正文"/>
    <w:basedOn w:val="1"/>
    <w:qFormat/>
    <w:uiPriority w:val="0"/>
    <w:pPr>
      <w:spacing w:line="360" w:lineRule="auto"/>
    </w:pPr>
    <w:rPr>
      <w:rFonts w:ascii="宋体"/>
      <w:kern w:val="0"/>
      <w:sz w:val="34"/>
      <w:szCs w:val="20"/>
    </w:rPr>
  </w:style>
  <w:style w:type="paragraph" w:customStyle="1" w:styleId="1783">
    <w:name w:val="环评"/>
    <w:basedOn w:val="1"/>
    <w:qFormat/>
    <w:uiPriority w:val="0"/>
    <w:pPr>
      <w:adjustRightInd w:val="0"/>
      <w:snapToGrid w:val="0"/>
      <w:spacing w:line="360" w:lineRule="auto"/>
    </w:pPr>
    <w:rPr>
      <w:rFonts w:ascii="仿宋_GB2312" w:eastAsia="仿宋_GB2312"/>
      <w:kern w:val="0"/>
      <w:sz w:val="30"/>
      <w:szCs w:val="20"/>
    </w:rPr>
  </w:style>
  <w:style w:type="paragraph" w:customStyle="1" w:styleId="1784">
    <w:name w:val="样式 图题 + 10 磅"/>
    <w:basedOn w:val="829"/>
    <w:next w:val="829"/>
    <w:qFormat/>
    <w:uiPriority w:val="0"/>
    <w:pPr>
      <w:adjustRightInd/>
      <w:spacing w:beforeLines="50"/>
      <w:jc w:val="center"/>
    </w:pPr>
    <w:rPr>
      <w:rFonts w:ascii="Times New Roman" w:hAnsi="Times New Roman" w:eastAsia="黑体"/>
      <w:b w:val="0"/>
      <w:bCs w:val="0"/>
      <w:sz w:val="20"/>
      <w:szCs w:val="21"/>
    </w:rPr>
  </w:style>
  <w:style w:type="paragraph" w:customStyle="1" w:styleId="1785">
    <w:name w:val="cy程序尾"/>
    <w:basedOn w:val="1786"/>
    <w:qFormat/>
    <w:uiPriority w:val="0"/>
    <w:pPr>
      <w:tabs>
        <w:tab w:val="left" w:pos="412"/>
      </w:tabs>
      <w:spacing w:afterLines="50"/>
    </w:pPr>
  </w:style>
  <w:style w:type="paragraph" w:customStyle="1" w:styleId="1786">
    <w:name w:val="CY程序"/>
    <w:basedOn w:val="1"/>
    <w:qFormat/>
    <w:uiPriority w:val="0"/>
    <w:pPr>
      <w:widowControl/>
      <w:shd w:val="pct10" w:color="auto" w:fill="auto"/>
      <w:tabs>
        <w:tab w:val="left" w:pos="412"/>
      </w:tabs>
      <w:spacing w:before="120" w:after="120"/>
      <w:ind w:left="578" w:firstLine="442"/>
    </w:pPr>
    <w:rPr>
      <w:rFonts w:ascii="宋体"/>
      <w:kern w:val="0"/>
      <w:sz w:val="18"/>
      <w:szCs w:val="20"/>
    </w:rPr>
  </w:style>
  <w:style w:type="paragraph" w:customStyle="1" w:styleId="1787">
    <w:name w:val="样式 (符号) 宋体 四号 左 行距: 1.5 倍行距"/>
    <w:basedOn w:val="1"/>
    <w:qFormat/>
    <w:uiPriority w:val="0"/>
    <w:pPr>
      <w:spacing w:before="120" w:after="120" w:line="360" w:lineRule="auto"/>
      <w:ind w:left="578" w:firstLine="560" w:firstLineChars="200"/>
      <w:jc w:val="left"/>
    </w:pPr>
    <w:rPr>
      <w:rFonts w:ascii="宋体" w:hAnsi="宋体" w:cs="宋体"/>
      <w:kern w:val="0"/>
      <w:sz w:val="28"/>
      <w:szCs w:val="20"/>
    </w:rPr>
  </w:style>
  <w:style w:type="paragraph" w:customStyle="1" w:styleId="1788">
    <w:name w:val="Char Char Char1 Char Char Char Char Char Char Char Char Char Char"/>
    <w:basedOn w:val="1"/>
    <w:qFormat/>
    <w:uiPriority w:val="0"/>
    <w:rPr>
      <w:rFonts w:ascii="宋体"/>
      <w:kern w:val="0"/>
      <w:szCs w:val="20"/>
    </w:rPr>
  </w:style>
  <w:style w:type="paragraph" w:customStyle="1" w:styleId="1789">
    <w:name w:val="表标题7.2"/>
    <w:basedOn w:val="1790"/>
    <w:qFormat/>
    <w:uiPriority w:val="0"/>
    <w:pPr>
      <w:numPr>
        <w:ilvl w:val="0"/>
        <w:numId w:val="15"/>
      </w:numPr>
      <w:tabs>
        <w:tab w:val="center" w:pos="4060"/>
        <w:tab w:val="right" w:pos="8261"/>
      </w:tabs>
    </w:pPr>
    <w:rPr>
      <w:szCs w:val="24"/>
    </w:rPr>
  </w:style>
  <w:style w:type="paragraph" w:customStyle="1" w:styleId="1790">
    <w:name w:val="表标题8.3"/>
    <w:basedOn w:val="1546"/>
    <w:qFormat/>
    <w:uiPriority w:val="0"/>
    <w:pPr>
      <w:numPr>
        <w:ilvl w:val="0"/>
        <w:numId w:val="16"/>
      </w:numPr>
      <w:tabs>
        <w:tab w:val="center" w:pos="4060"/>
        <w:tab w:val="right" w:pos="8261"/>
        <w:tab w:val="clear" w:pos="726"/>
      </w:tabs>
      <w:suppressAutoHyphens/>
      <w:adjustRightInd w:val="0"/>
      <w:spacing w:beforeLines="100" w:line="0" w:lineRule="atLeast"/>
    </w:pPr>
    <w:rPr>
      <w:rFonts w:ascii="黑体" w:eastAsia="黑体" w:cs="宋体"/>
      <w:bCs/>
      <w:spacing w:val="6"/>
    </w:rPr>
  </w:style>
  <w:style w:type="paragraph" w:customStyle="1" w:styleId="1791">
    <w:name w:val="表格样式4"/>
    <w:basedOn w:val="906"/>
    <w:unhideWhenUsed/>
    <w:qFormat/>
    <w:uiPriority w:val="0"/>
    <w:pPr>
      <w:overflowPunct/>
      <w:adjustRightInd/>
      <w:spacing w:beforeLines="10" w:afterLines="10" w:line="120" w:lineRule="atLeast"/>
      <w:ind w:left="578" w:hanging="578"/>
      <w:textAlignment w:val="auto"/>
    </w:pPr>
    <w:rPr>
      <w:rFonts w:cs="Times New Roman"/>
      <w:color w:val="auto"/>
      <w:kern w:val="2"/>
      <w:sz w:val="21"/>
      <w:lang w:val="en-US"/>
    </w:rPr>
  </w:style>
  <w:style w:type="paragraph" w:customStyle="1" w:styleId="1792">
    <w:name w:val="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793">
    <w:name w:val="页脚2"/>
    <w:basedOn w:val="1"/>
    <w:qFormat/>
    <w:uiPriority w:val="0"/>
    <w:pPr>
      <w:tabs>
        <w:tab w:val="center" w:pos="4153"/>
        <w:tab w:val="right" w:pos="8306"/>
      </w:tabs>
      <w:snapToGrid w:val="0"/>
      <w:jc w:val="left"/>
    </w:pPr>
    <w:rPr>
      <w:rFonts w:ascii="宋体"/>
      <w:kern w:val="0"/>
      <w:sz w:val="18"/>
      <w:szCs w:val="18"/>
    </w:rPr>
  </w:style>
  <w:style w:type="paragraph" w:customStyle="1" w:styleId="1794">
    <w:name w:val="9"/>
    <w:basedOn w:val="1"/>
    <w:next w:val="48"/>
    <w:qFormat/>
    <w:uiPriority w:val="0"/>
    <w:rPr>
      <w:rFonts w:ascii="宋体" w:hAnsi="Courier New"/>
      <w:kern w:val="0"/>
      <w:szCs w:val="20"/>
    </w:rPr>
  </w:style>
  <w:style w:type="paragraph" w:customStyle="1" w:styleId="1795">
    <w:name w:val="样式 标题 1 + 字距调整八号"/>
    <w:basedOn w:val="7"/>
    <w:qFormat/>
    <w:uiPriority w:val="0"/>
    <w:pPr>
      <w:keepLines/>
      <w:overflowPunct/>
      <w:snapToGrid/>
      <w:spacing w:before="0" w:after="0" w:line="360" w:lineRule="auto"/>
      <w:ind w:left="0" w:firstLine="0"/>
    </w:pPr>
    <w:rPr>
      <w:rFonts w:ascii="宋体" w:hAnsi="宋体" w:eastAsia="宋体"/>
      <w:color w:val="auto"/>
      <w:kern w:val="10"/>
      <w:sz w:val="32"/>
      <w:szCs w:val="44"/>
    </w:rPr>
  </w:style>
  <w:style w:type="paragraph" w:customStyle="1" w:styleId="1796">
    <w:name w:val="xl76"/>
    <w:basedOn w:val="1"/>
    <w:qFormat/>
    <w:uiPriority w:val="0"/>
    <w:pPr>
      <w:widowControl/>
      <w:pBdr>
        <w:top w:val="single" w:color="000000" w:sz="8" w:space="0"/>
        <w:bottom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1797">
    <w:name w:val="样式 修改 + 居中"/>
    <w:basedOn w:val="1798"/>
    <w:unhideWhenUsed/>
    <w:qFormat/>
    <w:uiPriority w:val="0"/>
    <w:pPr>
      <w:ind w:firstLine="0"/>
      <w:jc w:val="center"/>
    </w:pPr>
    <w:rPr>
      <w:rFonts w:cs="宋体"/>
      <w:kern w:val="0"/>
      <w:szCs w:val="20"/>
    </w:rPr>
  </w:style>
  <w:style w:type="paragraph" w:customStyle="1" w:styleId="1798">
    <w:name w:val="修改"/>
    <w:basedOn w:val="1007"/>
    <w:next w:val="1007"/>
    <w:unhideWhenUsed/>
    <w:qFormat/>
    <w:uiPriority w:val="0"/>
    <w:pPr>
      <w:snapToGrid/>
      <w:spacing w:beforeLines="0" w:afterLines="0" w:line="360" w:lineRule="auto"/>
      <w:ind w:left="578" w:firstLine="420"/>
      <w:jc w:val="left"/>
    </w:pPr>
    <w:rPr>
      <w:rFonts w:eastAsia="黑体"/>
      <w:kern w:val="2"/>
      <w:sz w:val="21"/>
      <w:szCs w:val="21"/>
      <w:u w:val="single"/>
    </w:rPr>
  </w:style>
  <w:style w:type="paragraph" w:customStyle="1" w:styleId="1799">
    <w:name w:val="13点"/>
    <w:basedOn w:val="1"/>
    <w:qFormat/>
    <w:uiPriority w:val="0"/>
    <w:pPr>
      <w:adjustRightInd w:val="0"/>
      <w:snapToGrid w:val="0"/>
      <w:spacing w:line="320" w:lineRule="atLeast"/>
      <w:jc w:val="center"/>
    </w:pPr>
    <w:rPr>
      <w:rFonts w:ascii="宋体"/>
      <w:color w:val="000000"/>
      <w:kern w:val="0"/>
      <w:szCs w:val="28"/>
    </w:rPr>
  </w:style>
  <w:style w:type="paragraph" w:customStyle="1" w:styleId="1800">
    <w:name w:val="CM55"/>
    <w:basedOn w:val="2"/>
    <w:next w:val="2"/>
    <w:semiHidden/>
    <w:qFormat/>
    <w:uiPriority w:val="0"/>
    <w:pPr>
      <w:adjustRightInd/>
    </w:pPr>
    <w:rPr>
      <w:rFonts w:hint="eastAsia" w:ascii="仿宋" w:hAnsi="仿宋" w:eastAsia="仿宋" w:cs="Times New Roman"/>
      <w:szCs w:val="20"/>
    </w:rPr>
  </w:style>
  <w:style w:type="paragraph" w:customStyle="1" w:styleId="1801">
    <w:name w:val="备注文字"/>
    <w:basedOn w:val="1"/>
    <w:qFormat/>
    <w:uiPriority w:val="0"/>
    <w:pPr>
      <w:pBdr>
        <w:top w:val="single" w:color="auto" w:sz="4" w:space="1"/>
      </w:pBdr>
      <w:adjustRightInd w:val="0"/>
      <w:spacing w:line="240" w:lineRule="atLeast"/>
    </w:pPr>
    <w:rPr>
      <w:rFonts w:ascii="宋体" w:eastAsia="楷体_GB2312" w:cs="宋体"/>
      <w:kern w:val="0"/>
      <w:szCs w:val="21"/>
    </w:rPr>
  </w:style>
  <w:style w:type="paragraph" w:customStyle="1" w:styleId="1802">
    <w:name w:val="样式 (符号) 宋体"/>
    <w:basedOn w:val="1"/>
    <w:qFormat/>
    <w:uiPriority w:val="0"/>
    <w:pPr>
      <w:spacing w:line="480" w:lineRule="exact"/>
      <w:ind w:firstLine="480" w:firstLineChars="200"/>
    </w:pPr>
    <w:rPr>
      <w:rFonts w:ascii="宋体" w:hAnsi="宋体" w:cs="宋体"/>
      <w:kern w:val="0"/>
      <w:sz w:val="28"/>
      <w:szCs w:val="20"/>
    </w:rPr>
  </w:style>
  <w:style w:type="paragraph" w:customStyle="1" w:styleId="1803">
    <w:name w:val="z2"/>
    <w:basedOn w:val="1"/>
    <w:qFormat/>
    <w:uiPriority w:val="0"/>
    <w:pPr>
      <w:spacing w:line="360" w:lineRule="auto"/>
      <w:outlineLvl w:val="1"/>
    </w:pPr>
    <w:rPr>
      <w:rFonts w:ascii="黑体" w:eastAsia="黑体"/>
      <w:b/>
      <w:kern w:val="0"/>
      <w:sz w:val="28"/>
      <w:szCs w:val="28"/>
    </w:rPr>
  </w:style>
  <w:style w:type="paragraph" w:customStyle="1" w:styleId="1804">
    <w:name w:val="章名"/>
    <w:basedOn w:val="1"/>
    <w:next w:val="1"/>
    <w:qFormat/>
    <w:uiPriority w:val="0"/>
    <w:pPr>
      <w:spacing w:line="360" w:lineRule="auto"/>
      <w:jc w:val="center"/>
      <w:outlineLvl w:val="0"/>
    </w:pPr>
    <w:rPr>
      <w:rFonts w:ascii="宋体" w:eastAsia="黑体"/>
      <w:b/>
      <w:kern w:val="0"/>
      <w:sz w:val="72"/>
      <w:szCs w:val="20"/>
    </w:rPr>
  </w:style>
  <w:style w:type="paragraph" w:customStyle="1" w:styleId="1805">
    <w:name w:val="CM10"/>
    <w:basedOn w:val="2"/>
    <w:next w:val="2"/>
    <w:qFormat/>
    <w:uiPriority w:val="0"/>
    <w:pPr>
      <w:spacing w:line="468" w:lineRule="atLeast"/>
    </w:pPr>
    <w:rPr>
      <w:rFonts w:cs="Times New Roman"/>
      <w:color w:val="auto"/>
    </w:rPr>
  </w:style>
  <w:style w:type="paragraph" w:customStyle="1" w:styleId="1806">
    <w:name w:val="二级标题王"/>
    <w:basedOn w:val="9"/>
    <w:semiHidden/>
    <w:qFormat/>
    <w:uiPriority w:val="0"/>
    <w:pPr>
      <w:numPr>
        <w:ilvl w:val="0"/>
        <w:numId w:val="0"/>
      </w:numPr>
      <w:tabs>
        <w:tab w:val="left" w:pos="720"/>
        <w:tab w:val="left" w:pos="1740"/>
      </w:tabs>
      <w:autoSpaceDE w:val="0"/>
      <w:autoSpaceDN w:val="0"/>
      <w:spacing w:line="240" w:lineRule="auto"/>
      <w:ind w:left="1740" w:hanging="420"/>
      <w:jc w:val="both"/>
      <w:outlineLvl w:val="1"/>
    </w:pPr>
    <w:rPr>
      <w:rFonts w:ascii="黑体" w:cs="Times New Roman"/>
      <w:snapToGrid w:val="0"/>
      <w:color w:val="FF0000"/>
      <w:sz w:val="30"/>
      <w:szCs w:val="30"/>
    </w:rPr>
  </w:style>
  <w:style w:type="paragraph" w:customStyle="1" w:styleId="1807">
    <w:name w:val="Char3"/>
    <w:basedOn w:val="1"/>
    <w:qFormat/>
    <w:uiPriority w:val="0"/>
    <w:pPr>
      <w:spacing w:line="240" w:lineRule="exact"/>
      <w:ind w:firstLine="200" w:firstLineChars="200"/>
    </w:pPr>
    <w:rPr>
      <w:rFonts w:ascii="宋体"/>
      <w:kern w:val="0"/>
      <w:sz w:val="28"/>
      <w:szCs w:val="28"/>
    </w:rPr>
  </w:style>
  <w:style w:type="paragraph" w:customStyle="1" w:styleId="1808">
    <w:name w:val="样式 表文字 + 五号"/>
    <w:basedOn w:val="1"/>
    <w:qFormat/>
    <w:uiPriority w:val="0"/>
    <w:pPr>
      <w:overflowPunct w:val="0"/>
      <w:adjustRightInd w:val="0"/>
      <w:spacing w:before="20" w:after="20"/>
      <w:jc w:val="center"/>
      <w:textAlignment w:val="baseline"/>
    </w:pPr>
    <w:rPr>
      <w:rFonts w:ascii="宋体"/>
      <w:kern w:val="0"/>
      <w:szCs w:val="20"/>
    </w:rPr>
  </w:style>
  <w:style w:type="paragraph" w:customStyle="1" w:styleId="1809">
    <w:name w:val="xl122"/>
    <w:basedOn w:val="1"/>
    <w:qFormat/>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1810">
    <w:name w:val="名录"/>
    <w:basedOn w:val="1"/>
    <w:qFormat/>
    <w:uiPriority w:val="0"/>
    <w:pPr>
      <w:snapToGrid w:val="0"/>
      <w:ind w:left="-140" w:leftChars="-50" w:right="-140" w:rightChars="-50"/>
      <w:jc w:val="center"/>
    </w:pPr>
    <w:rPr>
      <w:rFonts w:ascii="宋体"/>
      <w:color w:val="000000"/>
      <w:spacing w:val="20"/>
      <w:kern w:val="0"/>
      <w:szCs w:val="18"/>
    </w:rPr>
  </w:style>
  <w:style w:type="paragraph" w:customStyle="1" w:styleId="1811">
    <w:name w:val="样式 目录 1 + 行距: 多倍行距 1.3 字行"/>
    <w:basedOn w:val="62"/>
    <w:unhideWhenUsed/>
    <w:qFormat/>
    <w:uiPriority w:val="0"/>
    <w:pPr>
      <w:widowControl w:val="0"/>
      <w:tabs>
        <w:tab w:val="right" w:leader="dot" w:pos="8777"/>
        <w:tab w:val="right" w:leader="dot" w:pos="9061"/>
        <w:tab w:val="right" w:leader="dot" w:pos="9345"/>
        <w:tab w:val="clear" w:pos="8778"/>
      </w:tabs>
      <w:adjustRightInd w:val="0"/>
      <w:spacing w:before="120" w:after="120" w:line="312" w:lineRule="auto"/>
      <w:ind w:left="578" w:hanging="578" w:firstLineChars="200"/>
      <w:jc w:val="center"/>
      <w:textAlignment w:val="baseline"/>
    </w:pPr>
    <w:rPr>
      <w:rFonts w:ascii="Arial" w:hAnsi="Arial"/>
      <w:b w:val="0"/>
      <w:sz w:val="32"/>
      <w:szCs w:val="30"/>
      <w:lang w:val="fr-FR"/>
    </w:rPr>
  </w:style>
  <w:style w:type="paragraph" w:customStyle="1" w:styleId="1812">
    <w:name w:val="Char Char Char Char Char Char Char Char1 Char Char Char Char Char Char Char Char Char Char Char Char1 Char"/>
    <w:basedOn w:val="1"/>
    <w:qFormat/>
    <w:uiPriority w:val="0"/>
    <w:rPr>
      <w:rFonts w:ascii="宋体"/>
      <w:kern w:val="0"/>
      <w:sz w:val="34"/>
      <w:szCs w:val="20"/>
    </w:rPr>
  </w:style>
  <w:style w:type="paragraph" w:customStyle="1" w:styleId="1813">
    <w:name w:val="正文样式2"/>
    <w:basedOn w:val="785"/>
    <w:qFormat/>
    <w:uiPriority w:val="0"/>
    <w:pPr>
      <w:snapToGrid w:val="0"/>
      <w:spacing w:before="120" w:after="120"/>
      <w:ind w:left="578"/>
    </w:pPr>
    <w:rPr>
      <w:rFonts w:ascii="宋体"/>
      <w:spacing w:val="0"/>
      <w:kern w:val="24"/>
      <w:sz w:val="21"/>
    </w:rPr>
  </w:style>
  <w:style w:type="paragraph" w:customStyle="1" w:styleId="1814">
    <w:name w:val="Char Char Char1 Char5"/>
    <w:basedOn w:val="8"/>
    <w:next w:val="1"/>
    <w:qFormat/>
    <w:uiPriority w:val="0"/>
    <w:pPr>
      <w:widowControl w:val="0"/>
      <w:numPr>
        <w:ilvl w:val="0"/>
        <w:numId w:val="0"/>
      </w:numPr>
      <w:snapToGrid w:val="0"/>
      <w:spacing w:before="120" w:after="120" w:line="240" w:lineRule="auto"/>
    </w:pPr>
    <w:rPr>
      <w:rFonts w:ascii="Arial" w:eastAsia="黑体" w:cs="Times New Roman"/>
      <w:b/>
      <w:sz w:val="24"/>
      <w:szCs w:val="20"/>
    </w:rPr>
  </w:style>
  <w:style w:type="paragraph" w:customStyle="1" w:styleId="1815">
    <w:name w:val="zhengwen"/>
    <w:basedOn w:val="1"/>
    <w:qFormat/>
    <w:uiPriority w:val="0"/>
    <w:pPr>
      <w:spacing w:line="360" w:lineRule="atLeast"/>
    </w:pPr>
    <w:rPr>
      <w:rFonts w:ascii="黑体" w:hAnsi="Calibri" w:eastAsia="Times New Roman" w:cs="宋体"/>
      <w:iCs/>
      <w:kern w:val="0"/>
      <w:szCs w:val="32"/>
    </w:rPr>
  </w:style>
  <w:style w:type="paragraph" w:customStyle="1" w:styleId="1816">
    <w:name w:val="表文LA"/>
    <w:qFormat/>
    <w:uiPriority w:val="0"/>
    <w:pPr>
      <w:tabs>
        <w:tab w:val="left" w:pos="0"/>
      </w:tabs>
      <w:adjustRightInd w:val="0"/>
      <w:snapToGrid w:val="0"/>
      <w:spacing w:beforeLines="10" w:afterLines="10"/>
      <w:jc w:val="center"/>
    </w:pPr>
    <w:rPr>
      <w:rFonts w:ascii="宋体" w:hAnsi="Times New Roman" w:eastAsia="宋体" w:cs="Times New Roman"/>
      <w:snapToGrid w:val="0"/>
      <w:sz w:val="21"/>
      <w:lang w:val="en-US" w:eastAsia="zh-CN" w:bidi="ar-SA"/>
    </w:rPr>
  </w:style>
  <w:style w:type="paragraph" w:customStyle="1" w:styleId="1817">
    <w:name w:val="样式 生物附录 + 小四 段前: 6 磅 段后: 6 磅 非加宽量 / 紧缩量  行距: 1.5 倍行距"/>
    <w:basedOn w:val="1"/>
    <w:qFormat/>
    <w:uiPriority w:val="0"/>
    <w:pPr>
      <w:widowControl/>
      <w:spacing w:before="100" w:beforeAutospacing="1" w:after="100" w:afterAutospacing="1" w:line="360" w:lineRule="auto"/>
    </w:pPr>
    <w:rPr>
      <w:rFonts w:ascii="宋体"/>
      <w:b/>
      <w:bCs/>
      <w:kern w:val="0"/>
      <w:sz w:val="34"/>
      <w:szCs w:val="20"/>
    </w:rPr>
  </w:style>
  <w:style w:type="paragraph" w:customStyle="1" w:styleId="1818">
    <w:name w:val="正文文本缩进3"/>
    <w:basedOn w:val="1"/>
    <w:qFormat/>
    <w:uiPriority w:val="0"/>
    <w:pPr>
      <w:spacing w:after="120"/>
      <w:ind w:left="420" w:leftChars="200"/>
    </w:pPr>
    <w:rPr>
      <w:rFonts w:ascii="Calibri" w:hAnsi="Calibri" w:eastAsia="仿宋"/>
      <w:kern w:val="0"/>
      <w:sz w:val="34"/>
      <w:szCs w:val="20"/>
    </w:rPr>
  </w:style>
  <w:style w:type="paragraph" w:customStyle="1" w:styleId="1819">
    <w:name w:val="xl64"/>
    <w:basedOn w:val="1"/>
    <w:qFormat/>
    <w:uiPriority w:val="0"/>
    <w:pPr>
      <w:widowControl/>
      <w:pBdr>
        <w:top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1820">
    <w:name w:val="D-正文"/>
    <w:basedOn w:val="1"/>
    <w:qFormat/>
    <w:uiPriority w:val="0"/>
    <w:pPr>
      <w:spacing w:line="300" w:lineRule="auto"/>
      <w:jc w:val="center"/>
    </w:pPr>
    <w:rPr>
      <w:rFonts w:ascii="宋体" w:hAnsi="宋体"/>
      <w:kern w:val="0"/>
      <w:sz w:val="34"/>
      <w:szCs w:val="20"/>
    </w:rPr>
  </w:style>
  <w:style w:type="paragraph" w:customStyle="1" w:styleId="1821">
    <w:name w:val="Char Char Char Char Char Char Char Char Char1 Char Char Char Char Char Char Char"/>
    <w:basedOn w:val="1"/>
    <w:qFormat/>
    <w:uiPriority w:val="0"/>
    <w:rPr>
      <w:rFonts w:ascii="宋体"/>
      <w:kern w:val="0"/>
      <w:szCs w:val="21"/>
    </w:rPr>
  </w:style>
  <w:style w:type="paragraph" w:customStyle="1" w:styleId="1822">
    <w:name w:val="13.4.4.1"/>
    <w:basedOn w:val="1"/>
    <w:qFormat/>
    <w:uiPriority w:val="0"/>
    <w:pPr>
      <w:numPr>
        <w:ilvl w:val="3"/>
        <w:numId w:val="17"/>
      </w:numPr>
      <w:tabs>
        <w:tab w:val="left" w:pos="726"/>
        <w:tab w:val="left" w:pos="2514"/>
      </w:tabs>
      <w:spacing w:before="120" w:after="120" w:line="312" w:lineRule="auto"/>
      <w:ind w:firstLine="567"/>
      <w:outlineLvl w:val="3"/>
    </w:pPr>
    <w:rPr>
      <w:rFonts w:ascii="黑体" w:hAnsi="Arial" w:eastAsia="黑体" w:cs="宋体"/>
      <w:b/>
      <w:color w:val="000000"/>
      <w:kern w:val="0"/>
      <w:sz w:val="34"/>
      <w:szCs w:val="20"/>
    </w:rPr>
  </w:style>
  <w:style w:type="paragraph" w:customStyle="1" w:styleId="1823">
    <w:name w:val="表格段落1"/>
    <w:basedOn w:val="1"/>
    <w:qFormat/>
    <w:uiPriority w:val="0"/>
    <w:pPr>
      <w:spacing w:line="0" w:lineRule="atLeast"/>
      <w:jc w:val="center"/>
    </w:pPr>
    <w:rPr>
      <w:rFonts w:ascii="宋体" w:hAnsi="宋体"/>
      <w:kern w:val="0"/>
      <w:position w:val="-32"/>
      <w:sz w:val="34"/>
      <w:szCs w:val="20"/>
    </w:rPr>
  </w:style>
  <w:style w:type="paragraph" w:customStyle="1" w:styleId="1824">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宋体"/>
      <w:kern w:val="0"/>
      <w:sz w:val="28"/>
      <w:szCs w:val="20"/>
    </w:rPr>
  </w:style>
  <w:style w:type="paragraph" w:customStyle="1" w:styleId="1825">
    <w:name w:val="20"/>
    <w:basedOn w:val="1"/>
    <w:qFormat/>
    <w:uiPriority w:val="0"/>
    <w:pPr>
      <w:spacing w:line="360" w:lineRule="auto"/>
    </w:pPr>
    <w:rPr>
      <w:rFonts w:ascii="Tahoma" w:hAnsi="Tahoma"/>
      <w:kern w:val="0"/>
      <w:sz w:val="34"/>
      <w:szCs w:val="20"/>
    </w:rPr>
  </w:style>
  <w:style w:type="paragraph" w:customStyle="1" w:styleId="1826">
    <w:name w:val="标题5-1"/>
    <w:basedOn w:val="12"/>
    <w:qFormat/>
    <w:uiPriority w:val="0"/>
    <w:pPr>
      <w:widowControl w:val="0"/>
      <w:numPr>
        <w:ilvl w:val="0"/>
        <w:numId w:val="0"/>
      </w:numPr>
      <w:tabs>
        <w:tab w:val="left" w:pos="1152"/>
      </w:tabs>
      <w:spacing w:before="156" w:line="360" w:lineRule="auto"/>
      <w:ind w:left="1152" w:hanging="1152"/>
      <w:jc w:val="both"/>
    </w:pPr>
    <w:rPr>
      <w:rFonts w:eastAsia="宋体" w:cs="Times New Roman"/>
      <w:bCs w:val="0"/>
      <w:kern w:val="2"/>
      <w:sz w:val="34"/>
    </w:rPr>
  </w:style>
  <w:style w:type="paragraph" w:customStyle="1" w:styleId="1827">
    <w:name w:val="Char Char Char1 Char Char Char1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1828">
    <w:name w:val="主要负责人"/>
    <w:basedOn w:val="1"/>
    <w:next w:val="1"/>
    <w:qFormat/>
    <w:uiPriority w:val="0"/>
    <w:pPr>
      <w:tabs>
        <w:tab w:val="center" w:pos="5880"/>
      </w:tabs>
      <w:ind w:left="700" w:leftChars="700"/>
      <w:jc w:val="left"/>
    </w:pPr>
    <w:rPr>
      <w:rFonts w:ascii="宋体"/>
      <w:kern w:val="0"/>
      <w:sz w:val="36"/>
      <w:szCs w:val="36"/>
    </w:rPr>
  </w:style>
  <w:style w:type="paragraph" w:customStyle="1" w:styleId="1829">
    <w:name w:val="样式 标题 3条标2Char标题 3 Char2标题 3 Char Char Char标题 3 Char Char ...1"/>
    <w:basedOn w:val="9"/>
    <w:semiHidden/>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830">
    <w:name w:val="Char Char Char Char Char Char"/>
    <w:basedOn w:val="1"/>
    <w:qFormat/>
    <w:uiPriority w:val="0"/>
    <w:rPr>
      <w:rFonts w:ascii="宋体"/>
      <w:kern w:val="0"/>
      <w:szCs w:val="20"/>
    </w:rPr>
  </w:style>
  <w:style w:type="paragraph" w:customStyle="1" w:styleId="1831">
    <w:name w:val="Char Char Char Char Char Char Char Char Char Char Char Char Char Char Char Char Char Char Char Char Char2"/>
    <w:basedOn w:val="1"/>
    <w:qFormat/>
    <w:uiPriority w:val="0"/>
    <w:rPr>
      <w:rFonts w:ascii="宋体"/>
      <w:kern w:val="0"/>
      <w:szCs w:val="21"/>
    </w:rPr>
  </w:style>
  <w:style w:type="paragraph" w:customStyle="1" w:styleId="1832">
    <w:name w:val="1.1.1南沙标题"/>
    <w:basedOn w:val="1626"/>
    <w:qFormat/>
    <w:uiPriority w:val="0"/>
    <w:pPr>
      <w:ind w:hanging="148"/>
    </w:pPr>
    <w:rPr>
      <w:sz w:val="26"/>
      <w:szCs w:val="26"/>
    </w:rPr>
  </w:style>
  <w:style w:type="paragraph" w:customStyle="1" w:styleId="1833">
    <w:name w:val="样式 华文细黑 加粗 居中"/>
    <w:basedOn w:val="1"/>
    <w:qFormat/>
    <w:uiPriority w:val="0"/>
    <w:pPr>
      <w:jc w:val="center"/>
    </w:pPr>
    <w:rPr>
      <w:rFonts w:ascii="华文细黑" w:hAnsi="华文细黑" w:cs="宋体"/>
      <w:b/>
      <w:bCs/>
      <w:kern w:val="0"/>
      <w:szCs w:val="20"/>
    </w:rPr>
  </w:style>
  <w:style w:type="paragraph" w:customStyle="1" w:styleId="1834">
    <w:name w:val="标题5（杨）"/>
    <w:basedOn w:val="1"/>
    <w:qFormat/>
    <w:uiPriority w:val="0"/>
    <w:pPr>
      <w:ind w:left="2565" w:hanging="420"/>
    </w:pPr>
    <w:rPr>
      <w:rFonts w:ascii="宋体"/>
      <w:kern w:val="0"/>
      <w:szCs w:val="20"/>
    </w:rPr>
  </w:style>
  <w:style w:type="paragraph" w:customStyle="1" w:styleId="1835">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836">
    <w:name w:val="式样"/>
    <w:basedOn w:val="1"/>
    <w:next w:val="58"/>
    <w:qFormat/>
    <w:uiPriority w:val="0"/>
    <w:rPr>
      <w:rFonts w:ascii="宋体"/>
      <w:kern w:val="0"/>
      <w:szCs w:val="20"/>
    </w:rPr>
  </w:style>
  <w:style w:type="paragraph" w:customStyle="1" w:styleId="1837">
    <w:name w:val="Byline"/>
    <w:basedOn w:val="37"/>
    <w:unhideWhenUsed/>
    <w:qFormat/>
    <w:uiPriority w:val="0"/>
    <w:pPr>
      <w:snapToGrid/>
      <w:spacing w:before="120" w:after="0" w:line="240" w:lineRule="auto"/>
      <w:ind w:left="578" w:right="0" w:hanging="578"/>
    </w:pPr>
    <w:rPr>
      <w:rFonts w:ascii="Arial" w:hAnsi="Arial"/>
      <w:sz w:val="21"/>
    </w:rPr>
  </w:style>
  <w:style w:type="paragraph" w:customStyle="1" w:styleId="1838">
    <w:name w:val="CM83"/>
    <w:basedOn w:val="2"/>
    <w:next w:val="2"/>
    <w:semiHidden/>
    <w:qFormat/>
    <w:uiPriority w:val="0"/>
    <w:pPr>
      <w:adjustRightInd/>
    </w:pPr>
    <w:rPr>
      <w:rFonts w:hint="eastAsia" w:ascii="仿宋" w:hAnsi="仿宋" w:eastAsia="仿宋" w:cs="Times New Roman"/>
      <w:szCs w:val="20"/>
    </w:rPr>
  </w:style>
  <w:style w:type="paragraph" w:customStyle="1" w:styleId="1839">
    <w:name w:val="xl10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34"/>
      <w:szCs w:val="20"/>
    </w:rPr>
  </w:style>
  <w:style w:type="paragraph" w:customStyle="1" w:styleId="1840">
    <w:name w:val="其他表格"/>
    <w:basedOn w:val="1"/>
    <w:qFormat/>
    <w:uiPriority w:val="0"/>
    <w:pPr>
      <w:widowControl/>
      <w:spacing w:line="360" w:lineRule="exact"/>
      <w:jc w:val="center"/>
    </w:pPr>
    <w:rPr>
      <w:rFonts w:ascii="宋体" w:hAnsi="宋体"/>
      <w:color w:val="000000"/>
      <w:kern w:val="0"/>
      <w:szCs w:val="20"/>
    </w:rPr>
  </w:style>
  <w:style w:type="paragraph" w:customStyle="1" w:styleId="1841">
    <w:name w:val="表标题4.9"/>
    <w:basedOn w:val="1"/>
    <w:qFormat/>
    <w:uiPriority w:val="0"/>
    <w:pPr>
      <w:tabs>
        <w:tab w:val="center" w:pos="4060"/>
        <w:tab w:val="right" w:pos="8261"/>
      </w:tabs>
      <w:suppressAutoHyphens/>
      <w:adjustRightInd w:val="0"/>
      <w:spacing w:before="240" w:after="120" w:line="0" w:lineRule="atLeast"/>
      <w:ind w:left="578" w:hanging="578"/>
    </w:pPr>
    <w:rPr>
      <w:rFonts w:ascii="黑体" w:eastAsia="黑体"/>
      <w:b/>
      <w:spacing w:val="6"/>
      <w:kern w:val="0"/>
      <w:sz w:val="26"/>
      <w:szCs w:val="26"/>
    </w:rPr>
  </w:style>
  <w:style w:type="paragraph" w:customStyle="1" w:styleId="1842">
    <w:name w:val="Char2"/>
    <w:basedOn w:val="1"/>
    <w:qFormat/>
    <w:uiPriority w:val="0"/>
    <w:pPr>
      <w:widowControl/>
      <w:jc w:val="left"/>
    </w:pPr>
    <w:rPr>
      <w:rFonts w:ascii="宋体" w:hAnsi="宋体" w:cs="宋体"/>
      <w:kern w:val="0"/>
      <w:sz w:val="24"/>
    </w:rPr>
  </w:style>
  <w:style w:type="paragraph" w:customStyle="1" w:styleId="1843">
    <w:name w:val="样式 正文文本 2 + 宋体 小四 段后: 0 磅 行距: 多倍行距 1.3 字行"/>
    <w:basedOn w:val="79"/>
    <w:qFormat/>
    <w:uiPriority w:val="0"/>
    <w:pPr>
      <w:widowControl w:val="0"/>
      <w:autoSpaceDE w:val="0"/>
      <w:autoSpaceDN w:val="0"/>
      <w:adjustRightInd w:val="0"/>
      <w:snapToGrid w:val="0"/>
      <w:spacing w:line="360" w:lineRule="auto"/>
      <w:ind w:firstLine="480" w:firstLineChars="200"/>
      <w:jc w:val="both"/>
    </w:pPr>
    <w:rPr>
      <w:kern w:val="2"/>
      <w:szCs w:val="20"/>
    </w:rPr>
  </w:style>
  <w:style w:type="paragraph" w:customStyle="1" w:styleId="1844">
    <w:name w:val="t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45">
    <w:name w:val="样式 样式 标题 4 + 黑色 左侧:  -0.01 厘米 首行缩进:  0.01 厘米 + 左侧:  0 厘米 首行缩进: ..."/>
    <w:basedOn w:val="1846"/>
    <w:qFormat/>
    <w:uiPriority w:val="0"/>
    <w:pPr>
      <w:tabs>
        <w:tab w:val="left" w:pos="360"/>
        <w:tab w:val="left" w:pos="851"/>
        <w:tab w:val="left" w:pos="1080"/>
        <w:tab w:val="left" w:pos="1680"/>
        <w:tab w:val="left" w:pos="2160"/>
      </w:tabs>
      <w:ind w:left="1680" w:hanging="420"/>
    </w:pPr>
  </w:style>
  <w:style w:type="paragraph" w:customStyle="1" w:styleId="1846">
    <w:name w:val="样式 标题 4 + 黑色 左侧:  -0.01 厘米 首行缩进:  0.01 厘米"/>
    <w:basedOn w:val="10"/>
    <w:qFormat/>
    <w:uiPriority w:val="0"/>
    <w:pPr>
      <w:widowControl w:val="0"/>
      <w:numPr>
        <w:ilvl w:val="0"/>
        <w:numId w:val="0"/>
      </w:numPr>
      <w:tabs>
        <w:tab w:val="left" w:pos="360"/>
        <w:tab w:val="left" w:pos="1080"/>
        <w:tab w:val="left" w:pos="2160"/>
      </w:tabs>
      <w:snapToGrid w:val="0"/>
      <w:spacing w:line="312" w:lineRule="auto"/>
      <w:ind w:left="1407" w:hanging="864"/>
      <w:jc w:val="both"/>
    </w:pPr>
    <w:rPr>
      <w:rFonts w:ascii="仿宋_GB2312" w:eastAsia="仿宋_GB2312" w:cs="Times New Roman"/>
      <w:b w:val="0"/>
      <w:bCs w:val="0"/>
      <w:color w:val="000000"/>
      <w:sz w:val="28"/>
      <w:szCs w:val="20"/>
    </w:rPr>
  </w:style>
  <w:style w:type="paragraph" w:customStyle="1" w:styleId="1847">
    <w:name w:val="Char Char1 Char Char Char Char Char Char Char Char Char Char Char Char Char Char Char Char Char Char Char Char Char Char Char Char Char Char1 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848">
    <w:name w:val="已访问的超级链接"/>
    <w:basedOn w:val="1"/>
    <w:qFormat/>
    <w:uiPriority w:val="0"/>
    <w:rPr>
      <w:rFonts w:ascii="Calibri" w:hAnsi="Calibri"/>
      <w:kern w:val="0"/>
      <w:sz w:val="34"/>
      <w:szCs w:val="22"/>
    </w:rPr>
  </w:style>
  <w:style w:type="paragraph" w:customStyle="1" w:styleId="1849">
    <w:name w:val="Char Char2 Char1"/>
    <w:basedOn w:val="1"/>
    <w:qFormat/>
    <w:uiPriority w:val="0"/>
    <w:rPr>
      <w:rFonts w:ascii="宋体"/>
      <w:kern w:val="0"/>
      <w:szCs w:val="21"/>
    </w:rPr>
  </w:style>
  <w:style w:type="paragraph" w:customStyle="1" w:styleId="1850">
    <w:name w:val="Company Name One"/>
    <w:basedOn w:val="1851"/>
    <w:next w:val="1"/>
    <w:unhideWhenUsed/>
    <w:qFormat/>
    <w:uiPriority w:val="0"/>
    <w:pPr>
      <w:tabs>
        <w:tab w:val="left" w:pos="2160"/>
        <w:tab w:val="right" w:pos="6480"/>
      </w:tabs>
    </w:pPr>
  </w:style>
  <w:style w:type="paragraph" w:customStyle="1" w:styleId="1851">
    <w:name w:val="Company Name"/>
    <w:basedOn w:val="1"/>
    <w:next w:val="1"/>
    <w:unhideWhenUsed/>
    <w:qFormat/>
    <w:uiPriority w:val="0"/>
    <w:pPr>
      <w:widowControl/>
      <w:tabs>
        <w:tab w:val="left" w:pos="2160"/>
        <w:tab w:val="right" w:pos="6480"/>
      </w:tabs>
      <w:spacing w:before="220" w:after="40" w:line="220" w:lineRule="atLeast"/>
      <w:ind w:left="578" w:right="-360" w:hanging="578"/>
      <w:jc w:val="left"/>
    </w:pPr>
    <w:rPr>
      <w:rFonts w:ascii="宋体"/>
      <w:kern w:val="0"/>
      <w:sz w:val="20"/>
      <w:szCs w:val="20"/>
    </w:rPr>
  </w:style>
  <w:style w:type="paragraph" w:customStyle="1" w:styleId="1852">
    <w:name w:val="a2"/>
    <w:basedOn w:val="1"/>
    <w:qFormat/>
    <w:uiPriority w:val="0"/>
    <w:pPr>
      <w:widowControl/>
      <w:jc w:val="center"/>
    </w:pPr>
    <w:rPr>
      <w:kern w:val="0"/>
      <w:szCs w:val="21"/>
    </w:rPr>
  </w:style>
  <w:style w:type="paragraph" w:customStyle="1" w:styleId="1853">
    <w:name w:val="Text"/>
    <w:basedOn w:val="1"/>
    <w:semiHidden/>
    <w:qFormat/>
    <w:uiPriority w:val="0"/>
    <w:pPr>
      <w:widowControl/>
      <w:spacing w:before="120" w:after="120"/>
      <w:ind w:left="851" w:hanging="578"/>
    </w:pPr>
    <w:rPr>
      <w:rFonts w:ascii="Arial" w:hAnsi="Arial"/>
      <w:kern w:val="0"/>
      <w:sz w:val="22"/>
      <w:szCs w:val="20"/>
    </w:rPr>
  </w:style>
  <w:style w:type="paragraph" w:customStyle="1" w:styleId="1854">
    <w:name w:val="样式 样式 样式 标题 4 + 加粗 + 黑色 + 宋体"/>
    <w:basedOn w:val="1855"/>
    <w:qFormat/>
    <w:uiPriority w:val="0"/>
    <w:pPr>
      <w:tabs>
        <w:tab w:val="left" w:pos="3796"/>
      </w:tabs>
      <w:ind w:left="1984" w:hanging="708"/>
    </w:pPr>
  </w:style>
  <w:style w:type="paragraph" w:customStyle="1" w:styleId="1855">
    <w:name w:val="样式 样式 标题 4 + 加粗 + 黑色"/>
    <w:basedOn w:val="1"/>
    <w:qFormat/>
    <w:uiPriority w:val="0"/>
    <w:pPr>
      <w:keepNext/>
      <w:keepLines/>
      <w:widowControl/>
      <w:spacing w:line="360" w:lineRule="auto"/>
      <w:ind w:left="709" w:hanging="709"/>
      <w:jc w:val="left"/>
      <w:outlineLvl w:val="3"/>
    </w:pPr>
    <w:rPr>
      <w:rFonts w:ascii="宋体" w:hAnsi="宋体" w:cs="宋体"/>
      <w:color w:val="000000"/>
      <w:kern w:val="0"/>
      <w:sz w:val="24"/>
      <w:szCs w:val="28"/>
    </w:rPr>
  </w:style>
  <w:style w:type="paragraph" w:customStyle="1" w:styleId="1856">
    <w:name w:val="四级条标题"/>
    <w:basedOn w:val="1857"/>
    <w:next w:val="1"/>
    <w:qFormat/>
    <w:uiPriority w:val="0"/>
    <w:pPr>
      <w:tabs>
        <w:tab w:val="left" w:pos="360"/>
      </w:tabs>
      <w:outlineLvl w:val="5"/>
    </w:pPr>
  </w:style>
  <w:style w:type="paragraph" w:customStyle="1" w:styleId="1857">
    <w:name w:val="三级条标题"/>
    <w:basedOn w:val="1858"/>
    <w:next w:val="1"/>
    <w:qFormat/>
    <w:uiPriority w:val="0"/>
    <w:pPr>
      <w:tabs>
        <w:tab w:val="left" w:pos="360"/>
      </w:tabs>
      <w:outlineLvl w:val="4"/>
    </w:pPr>
  </w:style>
  <w:style w:type="paragraph" w:customStyle="1" w:styleId="1858">
    <w:name w:val="二级条标题"/>
    <w:basedOn w:val="1859"/>
    <w:next w:val="1"/>
    <w:qFormat/>
    <w:uiPriority w:val="0"/>
    <w:pPr>
      <w:tabs>
        <w:tab w:val="left" w:pos="360"/>
      </w:tabs>
      <w:outlineLvl w:val="3"/>
    </w:pPr>
  </w:style>
  <w:style w:type="paragraph" w:customStyle="1" w:styleId="1859">
    <w:name w:val="一级条标题"/>
    <w:basedOn w:val="1860"/>
    <w:next w:val="1"/>
    <w:qFormat/>
    <w:uiPriority w:val="0"/>
    <w:pPr>
      <w:tabs>
        <w:tab w:val="left" w:pos="360"/>
      </w:tabs>
      <w:spacing w:before="0" w:after="0"/>
      <w:ind w:left="360" w:hanging="360" w:hangingChars="200"/>
      <w:outlineLvl w:val="2"/>
    </w:pPr>
  </w:style>
  <w:style w:type="paragraph" w:customStyle="1" w:styleId="1860">
    <w:name w:val="章标题"/>
    <w:next w:val="1"/>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18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1"/>
    </w:rPr>
  </w:style>
  <w:style w:type="paragraph" w:customStyle="1" w:styleId="1862">
    <w:name w:val="样式 标题 3 + 段前: 0.5 行 段后: 0.5 行1"/>
    <w:basedOn w:val="9"/>
    <w:qFormat/>
    <w:uiPriority w:val="0"/>
    <w:pPr>
      <w:widowControl w:val="0"/>
      <w:numPr>
        <w:ilvl w:val="0"/>
        <w:numId w:val="0"/>
      </w:numPr>
      <w:tabs>
        <w:tab w:val="left" w:pos="720"/>
        <w:tab w:val="left" w:pos="1740"/>
      </w:tabs>
      <w:spacing w:line="240" w:lineRule="auto"/>
      <w:ind w:left="720" w:hanging="720"/>
      <w:jc w:val="both"/>
    </w:pPr>
    <w:rPr>
      <w:bCs w:val="0"/>
      <w:color w:val="FF0000"/>
      <w:sz w:val="32"/>
      <w:szCs w:val="20"/>
    </w:rPr>
  </w:style>
  <w:style w:type="paragraph" w:styleId="1863">
    <w:name w:val="List Paragraph"/>
    <w:basedOn w:val="1"/>
    <w:qFormat/>
    <w:uiPriority w:val="34"/>
    <w:pPr>
      <w:widowControl/>
      <w:ind w:firstLine="420" w:firstLineChars="200"/>
      <w:jc w:val="left"/>
    </w:pPr>
    <w:rPr>
      <w:rFonts w:ascii="宋体" w:hAnsi="宋体" w:cs="宋体"/>
      <w:kern w:val="0"/>
      <w:sz w:val="24"/>
      <w:szCs w:val="20"/>
    </w:rPr>
  </w:style>
  <w:style w:type="paragraph" w:customStyle="1" w:styleId="1864">
    <w:name w:val="CM61"/>
    <w:basedOn w:val="2"/>
    <w:next w:val="2"/>
    <w:semiHidden/>
    <w:qFormat/>
    <w:uiPriority w:val="0"/>
    <w:pPr>
      <w:adjustRightInd/>
    </w:pPr>
    <w:rPr>
      <w:rFonts w:hint="eastAsia" w:ascii="仿宋" w:hAnsi="仿宋" w:eastAsia="仿宋" w:cs="Times New Roman"/>
      <w:szCs w:val="20"/>
    </w:rPr>
  </w:style>
  <w:style w:type="paragraph" w:customStyle="1" w:styleId="1865">
    <w:name w:val="样式 tt + 段前: 0.3 行"/>
    <w:basedOn w:val="1"/>
    <w:qFormat/>
    <w:uiPriority w:val="0"/>
    <w:pPr>
      <w:adjustRightInd w:val="0"/>
      <w:spacing w:beforeLines="50" w:line="360" w:lineRule="auto"/>
      <w:ind w:firstLine="200" w:firstLineChars="200"/>
    </w:pPr>
    <w:rPr>
      <w:rFonts w:ascii="宋体" w:cs="宋体"/>
      <w:kern w:val="0"/>
      <w:sz w:val="34"/>
      <w:szCs w:val="20"/>
    </w:rPr>
  </w:style>
  <w:style w:type="paragraph" w:customStyle="1" w:styleId="186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867">
    <w:name w:val="附件栏"/>
    <w:basedOn w:val="1"/>
    <w:qFormat/>
    <w:uiPriority w:val="0"/>
    <w:pPr>
      <w:autoSpaceDE w:val="0"/>
      <w:autoSpaceDN w:val="0"/>
      <w:snapToGrid w:val="0"/>
      <w:spacing w:line="590" w:lineRule="atLeast"/>
      <w:ind w:firstLine="624"/>
    </w:pPr>
    <w:rPr>
      <w:rFonts w:ascii="宋体" w:eastAsia="方正仿宋_GBK"/>
      <w:snapToGrid w:val="0"/>
      <w:kern w:val="0"/>
      <w:sz w:val="32"/>
      <w:szCs w:val="20"/>
    </w:rPr>
  </w:style>
  <w:style w:type="paragraph" w:customStyle="1" w:styleId="1868">
    <w:name w:val="fonts01-jianjv"/>
    <w:basedOn w:val="1"/>
    <w:qFormat/>
    <w:uiPriority w:val="0"/>
    <w:pPr>
      <w:widowControl/>
      <w:spacing w:before="100" w:beforeAutospacing="1" w:after="100" w:afterAutospacing="1" w:line="240" w:lineRule="atLeast"/>
      <w:jc w:val="left"/>
    </w:pPr>
    <w:rPr>
      <w:rFonts w:ascii="ˎ̥" w:hAnsi="ˎ̥" w:cs="宋体"/>
      <w:kern w:val="0"/>
      <w:sz w:val="18"/>
      <w:szCs w:val="18"/>
    </w:rPr>
  </w:style>
  <w:style w:type="paragraph" w:customStyle="1" w:styleId="1869">
    <w:name w:val="Char Char19 Char Char"/>
    <w:basedOn w:val="1"/>
    <w:qFormat/>
    <w:uiPriority w:val="0"/>
    <w:pPr>
      <w:spacing w:line="360" w:lineRule="auto"/>
      <w:ind w:firstLine="200" w:firstLineChars="200"/>
    </w:pPr>
    <w:rPr>
      <w:rFonts w:ascii="宋体"/>
      <w:kern w:val="0"/>
      <w:szCs w:val="21"/>
    </w:rPr>
  </w:style>
  <w:style w:type="paragraph" w:customStyle="1" w:styleId="1870">
    <w:name w:val="样式 标题 3标题 3 Char Char条标题1.1.13h33rd levelH3l3CT + 左 行距:..."/>
    <w:basedOn w:val="9"/>
    <w:qFormat/>
    <w:uiPriority w:val="0"/>
    <w:pPr>
      <w:numPr>
        <w:ilvl w:val="0"/>
        <w:numId w:val="0"/>
      </w:num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1871">
    <w:name w:val="CM30"/>
    <w:basedOn w:val="2"/>
    <w:next w:val="2"/>
    <w:semiHidden/>
    <w:qFormat/>
    <w:uiPriority w:val="0"/>
    <w:pPr>
      <w:adjustRightInd/>
    </w:pPr>
    <w:rPr>
      <w:rFonts w:hint="eastAsia" w:ascii="仿宋" w:hAnsi="仿宋" w:eastAsia="仿宋" w:cs="Times New Roman"/>
      <w:szCs w:val="20"/>
    </w:rPr>
  </w:style>
  <w:style w:type="paragraph" w:customStyle="1" w:styleId="1872">
    <w:name w:val="博泵1"/>
    <w:basedOn w:val="1"/>
    <w:qFormat/>
    <w:uiPriority w:val="0"/>
    <w:pPr>
      <w:adjustRightInd w:val="0"/>
      <w:spacing w:line="480" w:lineRule="exact"/>
      <w:ind w:firstLine="200" w:firstLineChars="200"/>
      <w:jc w:val="left"/>
      <w:textAlignment w:val="baseline"/>
    </w:pPr>
    <w:rPr>
      <w:rFonts w:hAnsi="宋体" w:cs="宋体"/>
      <w:color w:val="000000"/>
      <w:kern w:val="0"/>
      <w:sz w:val="24"/>
    </w:rPr>
  </w:style>
  <w:style w:type="paragraph" w:customStyle="1" w:styleId="1873">
    <w:name w:val="样式 样式 样式 标题 4 + 段前: 0.5 行 段后: 0.5 行 + 段前: 0.5 行 段后: 0.5 行4 + 段前:..."/>
    <w:basedOn w:val="1874"/>
    <w:semiHidden/>
    <w:qFormat/>
    <w:uiPriority w:val="0"/>
    <w:pPr>
      <w:numPr>
        <w:ilvl w:val="3"/>
        <w:numId w:val="18"/>
      </w:numPr>
      <w:adjustRightInd w:val="0"/>
    </w:pPr>
  </w:style>
  <w:style w:type="paragraph" w:customStyle="1" w:styleId="1874">
    <w:name w:val="样式 样式 标题 4 + 段前: 0.5 行 段后: 0.5 行 + 段前: 0.5 行 段后: 0.5 行4"/>
    <w:basedOn w:val="1730"/>
    <w:semiHidden/>
    <w:qFormat/>
    <w:uiPriority w:val="0"/>
  </w:style>
  <w:style w:type="paragraph" w:customStyle="1" w:styleId="1875">
    <w:name w:val="xl1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876">
    <w:name w:val="7"/>
    <w:basedOn w:val="1"/>
    <w:next w:val="6"/>
    <w:qFormat/>
    <w:uiPriority w:val="0"/>
    <w:pPr>
      <w:ind w:firstLine="420" w:firstLineChars="200"/>
    </w:pPr>
    <w:rPr>
      <w:rFonts w:ascii="宋体"/>
      <w:kern w:val="0"/>
      <w:sz w:val="34"/>
      <w:szCs w:val="20"/>
    </w:rPr>
  </w:style>
  <w:style w:type="paragraph" w:customStyle="1" w:styleId="1877">
    <w:name w:val="表头名称"/>
    <w:basedOn w:val="6"/>
    <w:qFormat/>
    <w:uiPriority w:val="0"/>
    <w:pPr>
      <w:widowControl w:val="0"/>
      <w:autoSpaceDE w:val="0"/>
      <w:autoSpaceDN w:val="0"/>
      <w:adjustRightInd w:val="0"/>
      <w:spacing w:line="360" w:lineRule="auto"/>
      <w:ind w:firstLine="0" w:firstLineChars="0"/>
      <w:jc w:val="center"/>
    </w:pPr>
    <w:rPr>
      <w:rFonts w:ascii="Times New Roman" w:cs="Times New Roman"/>
      <w:sz w:val="20"/>
      <w:szCs w:val="20"/>
    </w:rPr>
  </w:style>
  <w:style w:type="paragraph" w:customStyle="1" w:styleId="1878">
    <w:name w:val="Char Char Char Char Char Char Char Char Char Char"/>
    <w:basedOn w:val="1"/>
    <w:qFormat/>
    <w:uiPriority w:val="0"/>
    <w:pPr>
      <w:adjustRightInd w:val="0"/>
      <w:snapToGrid w:val="0"/>
      <w:spacing w:line="360" w:lineRule="auto"/>
      <w:ind w:firstLine="200" w:firstLineChars="200"/>
    </w:pPr>
    <w:rPr>
      <w:rFonts w:ascii="宋体" w:eastAsia="仿宋_GB2312"/>
      <w:kern w:val="0"/>
      <w:sz w:val="30"/>
      <w:szCs w:val="20"/>
    </w:rPr>
  </w:style>
  <w:style w:type="paragraph" w:customStyle="1" w:styleId="1879">
    <w:name w:val="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1880">
    <w:name w:val="Char Char2 Char Char Char Char1"/>
    <w:basedOn w:val="1"/>
    <w:qFormat/>
    <w:uiPriority w:val="0"/>
    <w:rPr>
      <w:rFonts w:ascii="宋体"/>
      <w:kern w:val="0"/>
      <w:sz w:val="30"/>
      <w:szCs w:val="30"/>
    </w:rPr>
  </w:style>
  <w:style w:type="paragraph" w:customStyle="1" w:styleId="1881">
    <w:name w:val="WW-日期"/>
    <w:basedOn w:val="1"/>
    <w:next w:val="1"/>
    <w:qFormat/>
    <w:uiPriority w:val="0"/>
    <w:pPr>
      <w:suppressAutoHyphens/>
      <w:spacing w:line="360" w:lineRule="auto"/>
    </w:pPr>
    <w:rPr>
      <w:rFonts w:ascii="宋体" w:hAnsi="宋体" w:cs="宋体"/>
      <w:kern w:val="1"/>
      <w:sz w:val="34"/>
      <w:szCs w:val="20"/>
      <w:lang w:eastAsia="ar-SA"/>
    </w:rPr>
  </w:style>
  <w:style w:type="paragraph" w:customStyle="1" w:styleId="1882">
    <w:name w:val="ST20_32"/>
    <w:basedOn w:val="58"/>
    <w:unhideWhenUsed/>
    <w:qFormat/>
    <w:uiPriority w:val="0"/>
    <w:pPr>
      <w:keepLines/>
      <w:tabs>
        <w:tab w:val="center" w:pos="4320"/>
        <w:tab w:val="clear" w:pos="4153"/>
        <w:tab w:val="clear" w:pos="8306"/>
      </w:tabs>
      <w:autoSpaceDE w:val="0"/>
      <w:autoSpaceDN w:val="0"/>
      <w:adjustRightInd w:val="0"/>
      <w:snapToGrid/>
      <w:spacing w:before="120" w:after="120" w:line="360" w:lineRule="atLeast"/>
      <w:ind w:left="578" w:hanging="578"/>
      <w:jc w:val="center"/>
      <w:textAlignment w:val="baseline"/>
    </w:pPr>
    <w:rPr>
      <w:rFonts w:ascii="宋体" w:hAnsi="Tms Rmn"/>
      <w:sz w:val="28"/>
    </w:rPr>
  </w:style>
  <w:style w:type="paragraph" w:customStyle="1" w:styleId="1883">
    <w:name w:val="Header Base"/>
    <w:basedOn w:val="1"/>
    <w:unhideWhenUsed/>
    <w:qFormat/>
    <w:uiPriority w:val="0"/>
    <w:pPr>
      <w:widowControl/>
      <w:spacing w:before="120" w:after="120"/>
      <w:ind w:left="578" w:right="-360" w:hanging="578"/>
      <w:jc w:val="left"/>
    </w:pPr>
    <w:rPr>
      <w:rFonts w:ascii="宋体"/>
      <w:kern w:val="0"/>
      <w:sz w:val="20"/>
      <w:szCs w:val="20"/>
    </w:rPr>
  </w:style>
  <w:style w:type="paragraph" w:customStyle="1" w:styleId="1884">
    <w:name w:val="xl241"/>
    <w:basedOn w:val="1"/>
    <w:qFormat/>
    <w:uiPriority w:val="0"/>
    <w:pPr>
      <w:widowControl/>
      <w:pBdr>
        <w:bottom w:val="single" w:color="auto" w:sz="4" w:space="0"/>
        <w:right w:val="single" w:color="auto" w:sz="4" w:space="0"/>
      </w:pBdr>
      <w:spacing w:before="100" w:beforeAutospacing="1" w:after="100" w:afterAutospacing="1"/>
      <w:jc w:val="center"/>
    </w:pPr>
    <w:rPr>
      <w:rFonts w:ascii="宋体"/>
      <w:kern w:val="0"/>
      <w:szCs w:val="21"/>
    </w:rPr>
  </w:style>
  <w:style w:type="paragraph" w:customStyle="1" w:styleId="1885">
    <w:name w:val="左缩近2"/>
    <w:basedOn w:val="1886"/>
    <w:qFormat/>
    <w:uiPriority w:val="0"/>
    <w:pPr>
      <w:ind w:firstLine="507" w:firstLineChars="507"/>
    </w:pPr>
  </w:style>
  <w:style w:type="paragraph" w:customStyle="1" w:styleId="1886">
    <w:name w:val="左缩近1"/>
    <w:basedOn w:val="5"/>
    <w:qFormat/>
    <w:uiPriority w:val="0"/>
    <w:pPr>
      <w:adjustRightInd w:val="0"/>
      <w:snapToGrid w:val="0"/>
      <w:spacing w:after="0" w:line="360" w:lineRule="auto"/>
      <w:ind w:left="0" w:leftChars="0" w:firstLine="1092" w:firstLineChars="455"/>
      <w:jc w:val="left"/>
    </w:pPr>
    <w:rPr>
      <w:rFonts w:ascii="宋体" w:hAnsi="宋体"/>
      <w:color w:val="000000"/>
      <w:sz w:val="20"/>
    </w:rPr>
  </w:style>
  <w:style w:type="paragraph" w:customStyle="1" w:styleId="1887">
    <w:name w:val="标准"/>
    <w:basedOn w:val="1"/>
    <w:qFormat/>
    <w:uiPriority w:val="0"/>
    <w:pPr>
      <w:autoSpaceDE w:val="0"/>
      <w:autoSpaceDN w:val="0"/>
      <w:adjustRightInd w:val="0"/>
      <w:spacing w:line="312" w:lineRule="atLeast"/>
      <w:textAlignment w:val="baseline"/>
    </w:pPr>
    <w:rPr>
      <w:rFonts w:ascii="宋体"/>
      <w:kern w:val="0"/>
      <w:sz w:val="28"/>
      <w:szCs w:val="20"/>
    </w:rPr>
  </w:style>
  <w:style w:type="paragraph" w:customStyle="1" w:styleId="1888">
    <w:name w:val="Char Char Char Char Char Char Char Char Char Char Char Char Char Char Char Char Char Char Char Char Char Char"/>
    <w:basedOn w:val="1"/>
    <w:qFormat/>
    <w:uiPriority w:val="0"/>
    <w:rPr>
      <w:sz w:val="24"/>
    </w:rPr>
  </w:style>
  <w:style w:type="paragraph" w:customStyle="1" w:styleId="1889">
    <w:name w:val="样式 样式 注意 + 首行缩进:  2 字符 + 首行缩进:  2 字符"/>
    <w:basedOn w:val="43"/>
    <w:next w:val="43"/>
    <w:qFormat/>
    <w:uiPriority w:val="0"/>
    <w:pPr>
      <w:widowControl w:val="0"/>
      <w:tabs>
        <w:tab w:val="left" w:pos="628"/>
        <w:tab w:val="left" w:pos="1727"/>
        <w:tab w:val="left" w:pos="1884"/>
        <w:tab w:val="left" w:pos="2514"/>
        <w:tab w:val="left" w:pos="4900"/>
      </w:tabs>
      <w:autoSpaceDE w:val="0"/>
      <w:autoSpaceDN w:val="0"/>
      <w:adjustRightInd w:val="0"/>
      <w:snapToGrid w:val="0"/>
      <w:spacing w:before="120" w:after="0" w:line="360" w:lineRule="auto"/>
      <w:ind w:left="-2" w:right="-99" w:rightChars="-47" w:firstLine="480" w:firstLineChars="0"/>
      <w:jc w:val="both"/>
    </w:pPr>
    <w:rPr>
      <w:color w:val="000000"/>
      <w:sz w:val="21"/>
      <w:szCs w:val="21"/>
      <w:lang w:val="zh-CN"/>
    </w:rPr>
  </w:style>
  <w:style w:type="paragraph" w:customStyle="1" w:styleId="1890">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891">
    <w:name w:val="xl27"/>
    <w:basedOn w:val="1"/>
    <w:qFormat/>
    <w:uiPriority w:val="0"/>
    <w:pPr>
      <w:widowControl/>
      <w:pBdr>
        <w:bottom w:val="single" w:color="auto" w:sz="12" w:space="0"/>
      </w:pBdr>
      <w:spacing w:before="100" w:after="100"/>
      <w:jc w:val="center"/>
    </w:pPr>
    <w:rPr>
      <w:rFonts w:ascii="宋体" w:hAnsi="宋体" w:cs="宋体"/>
      <w:kern w:val="0"/>
      <w:sz w:val="24"/>
      <w:szCs w:val="20"/>
    </w:rPr>
  </w:style>
  <w:style w:type="paragraph" w:customStyle="1" w:styleId="1892">
    <w:name w:val="样式 修改 + 居中 首行缩进:  0 厘米"/>
    <w:basedOn w:val="1798"/>
    <w:unhideWhenUsed/>
    <w:qFormat/>
    <w:uiPriority w:val="0"/>
    <w:pPr>
      <w:ind w:firstLine="0"/>
      <w:jc w:val="center"/>
    </w:pPr>
    <w:rPr>
      <w:rFonts w:ascii="黑体" w:cs="宋体"/>
      <w:szCs w:val="20"/>
    </w:rPr>
  </w:style>
  <w:style w:type="paragraph" w:customStyle="1" w:styleId="1893">
    <w:name w:val="样式 标题 3 + 宋体"/>
    <w:basedOn w:val="9"/>
    <w:qFormat/>
    <w:uiPriority w:val="0"/>
    <w:pPr>
      <w:widowControl w:val="0"/>
      <w:numPr>
        <w:ilvl w:val="0"/>
        <w:numId w:val="0"/>
      </w:numPr>
      <w:tabs>
        <w:tab w:val="left" w:pos="1740"/>
      </w:tabs>
      <w:spacing w:line="240" w:lineRule="auto"/>
      <w:ind w:left="1740" w:hanging="420"/>
      <w:jc w:val="both"/>
    </w:pPr>
    <w:rPr>
      <w:rFonts w:cs="Times New Roman"/>
      <w:b/>
      <w:bCs w:val="0"/>
      <w:color w:val="FF0000"/>
      <w:sz w:val="24"/>
      <w:szCs w:val="24"/>
    </w:rPr>
  </w:style>
  <w:style w:type="paragraph" w:customStyle="1" w:styleId="1894">
    <w:name w:val="acee正文"/>
    <w:basedOn w:val="1"/>
    <w:qFormat/>
    <w:uiPriority w:val="0"/>
    <w:pPr>
      <w:spacing w:line="480" w:lineRule="exact"/>
      <w:ind w:firstLine="640" w:firstLineChars="200"/>
    </w:pPr>
    <w:rPr>
      <w:rFonts w:ascii="仿宋_GB2312" w:hAnsi="宋体" w:eastAsia="仿宋_GB2312"/>
      <w:kern w:val="0"/>
      <w:sz w:val="32"/>
      <w:szCs w:val="20"/>
    </w:rPr>
  </w:style>
  <w:style w:type="paragraph" w:customStyle="1" w:styleId="1895">
    <w:name w:val="xl79"/>
    <w:basedOn w:val="1"/>
    <w:qFormat/>
    <w:uiPriority w:val="0"/>
    <w:pPr>
      <w:widowControl/>
      <w:pBdr>
        <w:top w:val="single" w:color="000000" w:sz="8" w:space="0"/>
        <w:left w:val="single" w:color="000000" w:sz="8" w:space="0"/>
      </w:pBdr>
      <w:spacing w:before="100" w:beforeAutospacing="1" w:after="100" w:afterAutospacing="1"/>
      <w:jc w:val="center"/>
    </w:pPr>
    <w:rPr>
      <w:rFonts w:ascii="宋体"/>
      <w:kern w:val="0"/>
      <w:szCs w:val="21"/>
    </w:rPr>
  </w:style>
  <w:style w:type="paragraph" w:customStyle="1" w:styleId="1896">
    <w:name w:val="样式 标题 2标题 2 Char标题 2 Char Char Char节节标题 1.1H2（一）Underrubr..."/>
    <w:basedOn w:val="8"/>
    <w:qFormat/>
    <w:uiPriority w:val="0"/>
    <w:pPr>
      <w:tabs>
        <w:tab w:val="left" w:pos="576"/>
      </w:tabs>
    </w:pPr>
    <w:rPr>
      <w:rFonts w:ascii="Times New Roman" w:hAnsi="Times New Roman"/>
      <w:bCs/>
    </w:rPr>
  </w:style>
  <w:style w:type="paragraph" w:customStyle="1" w:styleId="1897">
    <w:name w:val="样式 标题 3标题 3 Char Char条标题1.1.13h33rd levelH3l3CT标题 3 Cha...1"/>
    <w:basedOn w:val="9"/>
    <w:qFormat/>
    <w:uiPriority w:val="0"/>
    <w:pPr>
      <w:numPr>
        <w:ilvl w:val="0"/>
        <w:numId w:val="0"/>
      </w:num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1898">
    <w:name w:val="16.9.2.1"/>
    <w:basedOn w:val="653"/>
    <w:qFormat/>
    <w:uiPriority w:val="0"/>
    <w:pPr>
      <w:numPr>
        <w:ilvl w:val="0"/>
        <w:numId w:val="19"/>
      </w:numPr>
      <w:tabs>
        <w:tab w:val="left" w:pos="360"/>
        <w:tab w:val="left" w:pos="425"/>
        <w:tab w:val="left" w:pos="2249"/>
        <w:tab w:val="clear" w:pos="726"/>
        <w:tab w:val="clear" w:pos="1800"/>
      </w:tabs>
    </w:pPr>
  </w:style>
  <w:style w:type="paragraph" w:customStyle="1" w:styleId="1899">
    <w:name w:val="Char1"/>
    <w:basedOn w:val="1"/>
    <w:qFormat/>
    <w:uiPriority w:val="0"/>
    <w:pPr>
      <w:widowControl/>
      <w:jc w:val="left"/>
    </w:pPr>
    <w:rPr>
      <w:rFonts w:ascii="宋体" w:hAnsi="宋体" w:cs="宋体"/>
      <w:kern w:val="0"/>
      <w:sz w:val="24"/>
      <w:szCs w:val="21"/>
    </w:rPr>
  </w:style>
  <w:style w:type="paragraph" w:customStyle="1" w:styleId="1900">
    <w:name w:val="默认段落字体 Para Char Char Char Char Char Char Char Char Char Char"/>
    <w:basedOn w:val="1"/>
    <w:qFormat/>
    <w:uiPriority w:val="0"/>
    <w:pPr>
      <w:widowControl/>
      <w:jc w:val="left"/>
    </w:pPr>
    <w:rPr>
      <w:rFonts w:ascii="宋体" w:hAnsi="宋体" w:cs="宋体"/>
      <w:kern w:val="0"/>
      <w:sz w:val="24"/>
    </w:rPr>
  </w:style>
  <w:style w:type="paragraph" w:customStyle="1" w:styleId="1901">
    <w:name w:val="正文文本缩进 24"/>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1902">
    <w:name w:val="样式 标题 31.1.1条标题 3 Char Char标题 3 Char标3可研-标题 3§1.1.1.. (1..."/>
    <w:basedOn w:val="9"/>
    <w:qFormat/>
    <w:uiPriority w:val="0"/>
    <w:pPr>
      <w:widowControl w:val="0"/>
      <w:numPr>
        <w:numId w:val="20"/>
      </w:numPr>
      <w:tabs>
        <w:tab w:val="left" w:pos="180"/>
        <w:tab w:val="left" w:pos="628"/>
        <w:tab w:val="left" w:pos="726"/>
        <w:tab w:val="left" w:pos="1260"/>
      </w:tabs>
      <w:autoSpaceDE w:val="0"/>
      <w:autoSpaceDN w:val="0"/>
      <w:spacing w:after="120" w:line="240" w:lineRule="auto"/>
      <w:ind w:left="425" w:hanging="425"/>
      <w:jc w:val="both"/>
    </w:pPr>
    <w:rPr>
      <w:b/>
      <w:color w:val="000000"/>
      <w:spacing w:val="3"/>
      <w:szCs w:val="28"/>
      <w:lang w:val="zh-CN"/>
    </w:rPr>
  </w:style>
  <w:style w:type="paragraph" w:customStyle="1" w:styleId="1903">
    <w:name w:val="xl71"/>
    <w:basedOn w:val="1"/>
    <w:qFormat/>
    <w:uiPriority w:val="0"/>
    <w:pPr>
      <w:widowControl/>
      <w:pBdr>
        <w:left w:val="single" w:color="auto" w:sz="8" w:space="0"/>
        <w:bottom w:val="single" w:color="000000" w:sz="8" w:space="0"/>
      </w:pBdr>
      <w:spacing w:before="100" w:beforeAutospacing="1" w:after="100" w:afterAutospacing="1"/>
      <w:jc w:val="left"/>
    </w:pPr>
    <w:rPr>
      <w:rFonts w:ascii="宋体" w:hAnsi="宋体" w:cs="宋体"/>
      <w:kern w:val="0"/>
      <w:sz w:val="34"/>
      <w:szCs w:val="20"/>
    </w:rPr>
  </w:style>
  <w:style w:type="paragraph" w:customStyle="1" w:styleId="1904">
    <w:name w:val="CM21"/>
    <w:basedOn w:val="2"/>
    <w:next w:val="2"/>
    <w:qFormat/>
    <w:uiPriority w:val="0"/>
    <w:pPr>
      <w:adjustRightInd/>
    </w:pPr>
    <w:rPr>
      <w:rFonts w:hint="eastAsia" w:ascii="仿宋" w:hAnsi="仿宋" w:eastAsia="仿宋" w:cs="Times New Roman"/>
      <w:szCs w:val="20"/>
    </w:rPr>
  </w:style>
  <w:style w:type="paragraph" w:customStyle="1" w:styleId="1905">
    <w:name w:val="纯文本2"/>
    <w:basedOn w:val="1"/>
    <w:qFormat/>
    <w:uiPriority w:val="0"/>
    <w:pPr>
      <w:adjustRightInd w:val="0"/>
      <w:textAlignment w:val="baseline"/>
    </w:pPr>
    <w:rPr>
      <w:rFonts w:ascii="宋体" w:hAnsi="Courier New"/>
      <w:kern w:val="0"/>
      <w:szCs w:val="20"/>
    </w:rPr>
  </w:style>
  <w:style w:type="paragraph" w:customStyle="1" w:styleId="1906">
    <w:name w:val="样式2 Char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907">
    <w:name w:val="xl4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1908">
    <w:name w:val="中央沙正文 Char"/>
    <w:basedOn w:val="1"/>
    <w:qFormat/>
    <w:uiPriority w:val="0"/>
    <w:pPr>
      <w:spacing w:line="520" w:lineRule="exact"/>
      <w:ind w:firstLine="560" w:firstLineChars="200"/>
    </w:pPr>
    <w:rPr>
      <w:rFonts w:ascii="宋体"/>
      <w:bCs/>
      <w:kern w:val="0"/>
      <w:sz w:val="28"/>
      <w:szCs w:val="28"/>
    </w:rPr>
  </w:style>
  <w:style w:type="paragraph" w:customStyle="1" w:styleId="1909">
    <w:name w:val="xl57"/>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10">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911">
    <w:name w:val="南沙标题5"/>
    <w:basedOn w:val="11"/>
    <w:qFormat/>
    <w:uiPriority w:val="0"/>
    <w:pPr>
      <w:numPr>
        <w:ilvl w:val="0"/>
        <w:numId w:val="0"/>
      </w:numPr>
      <w:spacing w:before="120" w:beforeLines="50" w:after="120" w:afterLines="50" w:line="240" w:lineRule="auto"/>
      <w:ind w:firstLine="482"/>
    </w:pPr>
    <w:rPr>
      <w:rFonts w:eastAsia="黑体"/>
      <w:kern w:val="44"/>
      <w:sz w:val="24"/>
    </w:rPr>
  </w:style>
  <w:style w:type="paragraph" w:customStyle="1" w:styleId="1912">
    <w:name w:val="Char Char Char Char Char Char12"/>
    <w:basedOn w:val="1"/>
    <w:qFormat/>
    <w:uiPriority w:val="0"/>
    <w:pPr>
      <w:widowControl/>
      <w:jc w:val="left"/>
    </w:pPr>
    <w:rPr>
      <w:rFonts w:ascii="宋体" w:hAnsi="宋体" w:cs="宋体"/>
      <w:kern w:val="0"/>
      <w:sz w:val="24"/>
    </w:rPr>
  </w:style>
  <w:style w:type="paragraph" w:customStyle="1" w:styleId="1913">
    <w:name w:val="CM70"/>
    <w:basedOn w:val="2"/>
    <w:next w:val="2"/>
    <w:semiHidden/>
    <w:qFormat/>
    <w:uiPriority w:val="0"/>
    <w:pPr>
      <w:adjustRightInd/>
    </w:pPr>
    <w:rPr>
      <w:rFonts w:hint="eastAsia" w:ascii="仿宋" w:hAnsi="仿宋" w:eastAsia="仿宋" w:cs="Times New Roman"/>
      <w:szCs w:val="20"/>
    </w:rPr>
  </w:style>
  <w:style w:type="paragraph" w:customStyle="1" w:styleId="1914">
    <w:name w:val="样式 标题 3标题 3 Char标题 3 Char Char Char Char Char Char Char Char C...4"/>
    <w:basedOn w:val="9"/>
    <w:qFormat/>
    <w:uiPriority w:val="0"/>
    <w:pPr>
      <w:numPr>
        <w:ilvl w:val="0"/>
        <w:numId w:val="0"/>
      </w:numPr>
      <w:tabs>
        <w:tab w:val="left" w:pos="720"/>
      </w:tabs>
      <w:ind w:left="720" w:hanging="720"/>
    </w:pPr>
    <w:rPr>
      <w:bCs w:val="0"/>
      <w:sz w:val="24"/>
    </w:rPr>
  </w:style>
  <w:style w:type="paragraph" w:customStyle="1" w:styleId="1915">
    <w:name w:val="Number List"/>
    <w:semiHidden/>
    <w:qFormat/>
    <w:uiPriority w:val="0"/>
    <w:pPr>
      <w:widowControl w:val="0"/>
      <w:autoSpaceDE w:val="0"/>
      <w:autoSpaceDN w:val="0"/>
      <w:adjustRightInd w:val="0"/>
      <w:ind w:left="720"/>
    </w:pPr>
    <w:rPr>
      <w:rFonts w:ascii="宋体" w:hAnsi="Times New Roman" w:eastAsia="宋体" w:cs="Times New Roman"/>
      <w:color w:val="000000"/>
      <w:sz w:val="24"/>
      <w:lang w:val="en-US" w:eastAsia="zh-CN" w:bidi="ar-SA"/>
    </w:rPr>
  </w:style>
  <w:style w:type="paragraph" w:customStyle="1" w:styleId="1916">
    <w:name w:val="Char Char Char Char Char Char1 Char Char Char Char Char Char Char Char Char Char Char Char Char Char Char Char Char Char1 Char Char Char Char Char Char Char Char Char Char Char Char Char"/>
    <w:basedOn w:val="1"/>
    <w:qFormat/>
    <w:uiPriority w:val="0"/>
    <w:rPr>
      <w:rFonts w:ascii="宋体"/>
      <w:kern w:val="0"/>
      <w:sz w:val="24"/>
      <w:szCs w:val="20"/>
    </w:rPr>
  </w:style>
  <w:style w:type="paragraph" w:customStyle="1" w:styleId="1917">
    <w:name w:val="表字1"/>
    <w:basedOn w:val="1"/>
    <w:qFormat/>
    <w:uiPriority w:val="0"/>
    <w:pPr>
      <w:adjustRightInd w:val="0"/>
      <w:spacing w:line="360" w:lineRule="auto"/>
      <w:jc w:val="center"/>
      <w:textAlignment w:val="baseline"/>
    </w:pPr>
    <w:rPr>
      <w:rFonts w:ascii="宋体"/>
      <w:kern w:val="0"/>
      <w:szCs w:val="20"/>
    </w:rPr>
  </w:style>
  <w:style w:type="paragraph" w:customStyle="1" w:styleId="1918">
    <w:name w:val="三级无标题条"/>
    <w:basedOn w:val="1"/>
    <w:qFormat/>
    <w:uiPriority w:val="0"/>
    <w:pPr>
      <w:widowControl/>
      <w:ind w:left="435"/>
      <w:jc w:val="left"/>
    </w:pPr>
    <w:rPr>
      <w:rFonts w:ascii="宋体" w:hAnsi="宋体" w:cs="宋体"/>
      <w:kern w:val="0"/>
      <w:sz w:val="24"/>
    </w:rPr>
  </w:style>
  <w:style w:type="paragraph" w:customStyle="1" w:styleId="1919">
    <w:name w:val="表中"/>
    <w:basedOn w:val="1"/>
    <w:unhideWhenUsed/>
    <w:qFormat/>
    <w:uiPriority w:val="0"/>
    <w:pPr>
      <w:spacing w:before="120" w:after="120" w:line="312" w:lineRule="auto"/>
      <w:ind w:left="578" w:hanging="578"/>
    </w:pPr>
    <w:rPr>
      <w:rFonts w:ascii="Arial" w:hAnsi="Arial" w:cs="Arial"/>
      <w:color w:val="FF0000"/>
      <w:kern w:val="0"/>
      <w:szCs w:val="21"/>
    </w:rPr>
  </w:style>
  <w:style w:type="paragraph" w:customStyle="1" w:styleId="1920">
    <w:name w:val="样式 仿宋_GB2312 小四 居中 行距: 固定值 20 磅"/>
    <w:basedOn w:val="1"/>
    <w:qFormat/>
    <w:uiPriority w:val="0"/>
    <w:pPr>
      <w:spacing w:line="400" w:lineRule="exact"/>
      <w:jc w:val="center"/>
    </w:pPr>
    <w:rPr>
      <w:rFonts w:ascii="仿宋_GB2312" w:hAnsi="宋体" w:eastAsia="仿宋_GB2312" w:cs="宋体"/>
      <w:kern w:val="0"/>
      <w:sz w:val="34"/>
      <w:szCs w:val="20"/>
    </w:rPr>
  </w:style>
  <w:style w:type="paragraph" w:customStyle="1" w:styleId="1921">
    <w:name w:val="Char Char1 Char Char Char Char Char Char Char Char Char Char Char Char Char"/>
    <w:basedOn w:val="1"/>
    <w:qFormat/>
    <w:uiPriority w:val="0"/>
    <w:pPr>
      <w:spacing w:line="360" w:lineRule="auto"/>
    </w:pPr>
    <w:rPr>
      <w:rFonts w:ascii="宋体"/>
      <w:kern w:val="0"/>
      <w:szCs w:val="21"/>
    </w:rPr>
  </w:style>
  <w:style w:type="paragraph" w:customStyle="1" w:styleId="1922">
    <w:name w:val="xl32"/>
    <w:basedOn w:val="1"/>
    <w:qFormat/>
    <w:uiPriority w:val="0"/>
    <w:pPr>
      <w:widowControl/>
      <w:pBdr>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1923">
    <w:name w:val="Table Paragraph"/>
    <w:basedOn w:val="1"/>
    <w:qFormat/>
    <w:uiPriority w:val="1"/>
    <w:pPr>
      <w:autoSpaceDE w:val="0"/>
      <w:autoSpaceDN w:val="0"/>
      <w:jc w:val="center"/>
    </w:pPr>
    <w:rPr>
      <w:rFonts w:ascii="宋体" w:hAnsi="宋体" w:cs="宋体"/>
      <w:kern w:val="0"/>
      <w:sz w:val="22"/>
      <w:szCs w:val="22"/>
      <w:lang w:val="zh-CN" w:bidi="zh-CN"/>
    </w:rPr>
  </w:style>
  <w:style w:type="paragraph" w:customStyle="1" w:styleId="1924">
    <w:name w:val="默认段落字体 Para Char Char Char Char Char Char Char Char Char Char Char Char Char"/>
    <w:basedOn w:val="1"/>
    <w:qFormat/>
    <w:uiPriority w:val="0"/>
    <w:pPr>
      <w:widowControl/>
      <w:jc w:val="left"/>
    </w:pPr>
    <w:rPr>
      <w:rFonts w:ascii="宋体" w:hAnsi="宋体" w:cs="宋体"/>
      <w:kern w:val="0"/>
      <w:sz w:val="24"/>
    </w:rPr>
  </w:style>
  <w:style w:type="paragraph" w:customStyle="1" w:styleId="1925">
    <w:name w:val="报告正文 Char Char Char"/>
    <w:basedOn w:val="1"/>
    <w:qFormat/>
    <w:uiPriority w:val="0"/>
    <w:pPr>
      <w:adjustRightInd w:val="0"/>
      <w:spacing w:beforeLines="25" w:line="360" w:lineRule="auto"/>
      <w:ind w:firstLine="482"/>
      <w:textAlignment w:val="baseline"/>
    </w:pPr>
    <w:rPr>
      <w:rFonts w:ascii="宋体" w:cs="宋体"/>
      <w:snapToGrid w:val="0"/>
      <w:kern w:val="24"/>
      <w:sz w:val="34"/>
      <w:szCs w:val="20"/>
    </w:rPr>
  </w:style>
  <w:style w:type="paragraph" w:customStyle="1" w:styleId="1926">
    <w:name w:val="Char311"/>
    <w:basedOn w:val="1"/>
    <w:qFormat/>
    <w:uiPriority w:val="0"/>
    <w:pPr>
      <w:widowControl/>
      <w:jc w:val="left"/>
    </w:pPr>
    <w:rPr>
      <w:rFonts w:ascii="宋体" w:hAnsi="宋体" w:cs="宋体"/>
      <w:kern w:val="0"/>
      <w:sz w:val="24"/>
    </w:rPr>
  </w:style>
  <w:style w:type="paragraph" w:customStyle="1" w:styleId="1927">
    <w:name w:val="样式 标题 1章标题 1H1Section HeadHeader1h11st levell1Heading 0..."/>
    <w:basedOn w:val="7"/>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1928">
    <w:name w:val="Char Char1 Char2"/>
    <w:basedOn w:val="1"/>
    <w:qFormat/>
    <w:uiPriority w:val="0"/>
    <w:rPr>
      <w:rFonts w:ascii="宋体"/>
      <w:kern w:val="0"/>
      <w:sz w:val="34"/>
      <w:szCs w:val="20"/>
    </w:rPr>
  </w:style>
  <w:style w:type="paragraph" w:customStyle="1" w:styleId="1929">
    <w:name w:val="aaaaaaaaaa"/>
    <w:basedOn w:val="1610"/>
    <w:qFormat/>
    <w:uiPriority w:val="0"/>
    <w:pPr>
      <w:jc w:val="center"/>
    </w:pPr>
    <w:rPr>
      <w:rFonts w:cs="Times New Roman"/>
      <w:bCs w:val="0"/>
      <w:kern w:val="2"/>
      <w:sz w:val="36"/>
      <w:szCs w:val="36"/>
    </w:rPr>
  </w:style>
  <w:style w:type="paragraph" w:customStyle="1" w:styleId="1930">
    <w:name w:val="book1_1_1"/>
    <w:basedOn w:val="9"/>
    <w:qFormat/>
    <w:uiPriority w:val="0"/>
    <w:pPr>
      <w:keepNext w:val="0"/>
      <w:widowControl w:val="0"/>
      <w:numPr>
        <w:ilvl w:val="0"/>
        <w:numId w:val="0"/>
      </w:numPr>
      <w:tabs>
        <w:tab w:val="left" w:pos="360"/>
        <w:tab w:val="left" w:pos="1050"/>
      </w:tabs>
      <w:spacing w:before="260" w:beforeLines="50" w:after="260" w:afterLines="50" w:line="400" w:lineRule="exact"/>
      <w:ind w:left="360" w:hanging="360" w:hangingChars="200"/>
      <w:jc w:val="both"/>
    </w:pPr>
    <w:rPr>
      <w:rFonts w:cs="Times New Roman"/>
      <w:sz w:val="24"/>
    </w:rPr>
  </w:style>
  <w:style w:type="paragraph" w:customStyle="1" w:styleId="1931">
    <w:name w:val="表格1 Char Char"/>
    <w:basedOn w:val="1"/>
    <w:qFormat/>
    <w:uiPriority w:val="0"/>
    <w:pPr>
      <w:spacing w:before="280" w:after="60"/>
      <w:jc w:val="center"/>
    </w:pPr>
    <w:rPr>
      <w:rFonts w:ascii="宋体"/>
      <w:kern w:val="0"/>
      <w:sz w:val="34"/>
      <w:szCs w:val="20"/>
    </w:rPr>
  </w:style>
  <w:style w:type="paragraph" w:customStyle="1" w:styleId="1932">
    <w:name w:val="样式 标题 4 + 黑色 行距: 1.5 倍行距"/>
    <w:basedOn w:val="10"/>
    <w:qFormat/>
    <w:uiPriority w:val="0"/>
    <w:pPr>
      <w:numPr>
        <w:ilvl w:val="0"/>
        <w:numId w:val="0"/>
      </w:numPr>
      <w:adjustRightInd w:val="0"/>
      <w:snapToGrid w:val="0"/>
      <w:ind w:left="709" w:hanging="709"/>
      <w:textAlignment w:val="baseline"/>
    </w:pPr>
    <w:rPr>
      <w:rFonts w:ascii="Times New Roman" w:hAnsi="Times New Roman"/>
      <w:color w:val="000000"/>
      <w:szCs w:val="20"/>
    </w:rPr>
  </w:style>
  <w:style w:type="paragraph" w:customStyle="1" w:styleId="1933">
    <w:name w:val="注释1"/>
    <w:basedOn w:val="1"/>
    <w:qFormat/>
    <w:uiPriority w:val="0"/>
    <w:pPr>
      <w:spacing w:line="460" w:lineRule="exact"/>
    </w:pPr>
    <w:rPr>
      <w:rFonts w:ascii="宋体"/>
      <w:kern w:val="0"/>
      <w:sz w:val="28"/>
      <w:szCs w:val="20"/>
    </w:rPr>
  </w:style>
  <w:style w:type="paragraph" w:customStyle="1" w:styleId="1934">
    <w:name w:val="样式 正文文本缩进 + Arial 五号 居中 底端: (单实线 自动设置  0.75 磅 行宽) 行距: 单倍行距"/>
    <w:basedOn w:val="5"/>
    <w:qFormat/>
    <w:uiPriority w:val="0"/>
    <w:pPr>
      <w:topLinePunct/>
      <w:adjustRightInd w:val="0"/>
      <w:snapToGrid w:val="0"/>
      <w:spacing w:after="0"/>
      <w:ind w:left="0" w:leftChars="0"/>
      <w:jc w:val="center"/>
    </w:pPr>
    <w:rPr>
      <w:rFonts w:ascii="Arial" w:hAnsi="Arial" w:cs="宋体"/>
      <w:sz w:val="21"/>
    </w:rPr>
  </w:style>
  <w:style w:type="paragraph" w:customStyle="1" w:styleId="1935">
    <w:name w:val="表标题16.10-1"/>
    <w:basedOn w:val="1936"/>
    <w:qFormat/>
    <w:uiPriority w:val="0"/>
    <w:pPr>
      <w:numPr>
        <w:ilvl w:val="0"/>
        <w:numId w:val="21"/>
      </w:numPr>
      <w:tabs>
        <w:tab w:val="center" w:pos="4060"/>
        <w:tab w:val="left" w:pos="6200"/>
        <w:tab w:val="right" w:pos="8261"/>
      </w:tabs>
      <w:ind w:left="5540"/>
    </w:pPr>
  </w:style>
  <w:style w:type="paragraph" w:customStyle="1" w:styleId="1936">
    <w:name w:val="表标题2.4"/>
    <w:basedOn w:val="1"/>
    <w:qFormat/>
    <w:uiPriority w:val="0"/>
    <w:pPr>
      <w:tabs>
        <w:tab w:val="center" w:pos="4060"/>
        <w:tab w:val="right" w:pos="8261"/>
      </w:tabs>
      <w:suppressAutoHyphens/>
      <w:adjustRightInd w:val="0"/>
      <w:spacing w:beforeLines="100" w:after="120" w:line="0" w:lineRule="atLeast"/>
      <w:ind w:left="578" w:hanging="578"/>
    </w:pPr>
    <w:rPr>
      <w:rFonts w:ascii="黑体" w:eastAsia="黑体"/>
      <w:b/>
      <w:spacing w:val="6"/>
      <w:kern w:val="0"/>
      <w:sz w:val="34"/>
      <w:szCs w:val="20"/>
    </w:rPr>
  </w:style>
  <w:style w:type="paragraph" w:customStyle="1" w:styleId="1937">
    <w:name w:val="?????¨¬???????¨¬?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19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39">
    <w:name w:val="样式3"/>
    <w:basedOn w:val="9"/>
    <w:qFormat/>
    <w:uiPriority w:val="0"/>
    <w:pPr>
      <w:numPr>
        <w:ilvl w:val="0"/>
        <w:numId w:val="0"/>
      </w:numPr>
      <w:tabs>
        <w:tab w:val="left" w:pos="1622"/>
      </w:tabs>
      <w:ind w:left="1622" w:hanging="1082"/>
    </w:pPr>
    <w:rPr>
      <w:rFonts w:ascii="Times New Roman" w:hAnsi="Times New Roman"/>
      <w:b/>
    </w:rPr>
  </w:style>
  <w:style w:type="paragraph" w:customStyle="1" w:styleId="1940">
    <w:name w:val="Address 1"/>
    <w:basedOn w:val="1"/>
    <w:unhideWhenUsed/>
    <w:qFormat/>
    <w:uiPriority w:val="0"/>
    <w:pPr>
      <w:framePr w:w="2400" w:wrap="notBeside" w:vAnchor="page" w:hAnchor="page" w:x="8065" w:y="1009" w:anchorLock="1"/>
      <w:widowControl/>
      <w:spacing w:before="120" w:after="120" w:line="200" w:lineRule="atLeast"/>
      <w:ind w:left="578" w:hanging="578"/>
      <w:jc w:val="left"/>
    </w:pPr>
    <w:rPr>
      <w:rFonts w:ascii="宋体"/>
      <w:kern w:val="0"/>
      <w:sz w:val="16"/>
      <w:szCs w:val="20"/>
    </w:rPr>
  </w:style>
  <w:style w:type="paragraph" w:customStyle="1" w:styleId="1941">
    <w:name w:val="+正文"/>
    <w:basedOn w:val="1"/>
    <w:qFormat/>
    <w:uiPriority w:val="0"/>
    <w:pPr>
      <w:spacing w:line="360" w:lineRule="auto"/>
      <w:ind w:firstLine="200" w:firstLineChars="200"/>
    </w:pPr>
    <w:rPr>
      <w:rFonts w:ascii="宋体"/>
      <w:kern w:val="0"/>
      <w:sz w:val="28"/>
      <w:szCs w:val="28"/>
    </w:rPr>
  </w:style>
  <w:style w:type="paragraph" w:customStyle="1" w:styleId="1942">
    <w:name w:val="xl111"/>
    <w:basedOn w:val="1"/>
    <w:qFormat/>
    <w:uiPriority w:val="0"/>
    <w:pPr>
      <w:widowControl/>
      <w:spacing w:before="100" w:beforeAutospacing="1" w:after="100" w:afterAutospacing="1"/>
      <w:jc w:val="center"/>
    </w:pPr>
    <w:rPr>
      <w:rFonts w:ascii="宋体" w:hAnsi="宋体" w:cs="宋体"/>
      <w:kern w:val="0"/>
      <w:sz w:val="34"/>
      <w:szCs w:val="20"/>
    </w:rPr>
  </w:style>
  <w:style w:type="paragraph" w:customStyle="1" w:styleId="1943">
    <w:name w:val="小四宋居中1.0"/>
    <w:basedOn w:val="1"/>
    <w:next w:val="1"/>
    <w:qFormat/>
    <w:uiPriority w:val="0"/>
    <w:pPr>
      <w:widowControl/>
      <w:spacing w:line="400" w:lineRule="exact"/>
      <w:jc w:val="center"/>
    </w:pPr>
    <w:rPr>
      <w:rFonts w:ascii="宋体" w:hAnsi="宋体" w:cs="宋体"/>
      <w:kern w:val="0"/>
      <w:sz w:val="24"/>
    </w:rPr>
  </w:style>
  <w:style w:type="paragraph" w:customStyle="1" w:styleId="1944">
    <w:name w:val="正文文本缩进2"/>
    <w:basedOn w:val="1"/>
    <w:qFormat/>
    <w:uiPriority w:val="0"/>
    <w:pPr>
      <w:spacing w:after="120"/>
      <w:ind w:left="420" w:leftChars="200"/>
    </w:pPr>
    <w:rPr>
      <w:rFonts w:ascii="Calibri" w:hAnsi="Calibri" w:eastAsia="仿宋"/>
      <w:kern w:val="0"/>
      <w:sz w:val="34"/>
      <w:szCs w:val="20"/>
    </w:rPr>
  </w:style>
  <w:style w:type="paragraph" w:customStyle="1" w:styleId="1945">
    <w:name w:val="±í±êÌâ"/>
    <w:next w:val="1"/>
    <w:unhideWhenUsed/>
    <w:qFormat/>
    <w:uiPriority w:val="0"/>
    <w:pPr>
      <w:spacing w:before="60" w:after="60"/>
      <w:ind w:left="578" w:hanging="578"/>
      <w:jc w:val="center"/>
    </w:pPr>
    <w:rPr>
      <w:rFonts w:ascii="Arial" w:hAnsi="Arial" w:eastAsia="黑体" w:cs="Arial"/>
      <w:snapToGrid w:val="0"/>
      <w:kern w:val="24"/>
      <w:sz w:val="24"/>
      <w:szCs w:val="24"/>
      <w:lang w:val="en-US" w:eastAsia="zh-CN" w:bidi="ar-SA"/>
    </w:rPr>
  </w:style>
  <w:style w:type="paragraph" w:customStyle="1" w:styleId="1946">
    <w:name w:val="Char Char Char Char Char Char Char Char Char Char3"/>
    <w:basedOn w:val="1"/>
    <w:qFormat/>
    <w:uiPriority w:val="0"/>
    <w:pPr>
      <w:tabs>
        <w:tab w:val="left" w:pos="1224"/>
      </w:tabs>
      <w:snapToGrid w:val="0"/>
      <w:spacing w:line="360" w:lineRule="auto"/>
      <w:ind w:left="1224" w:hanging="720"/>
    </w:pPr>
    <w:rPr>
      <w:rFonts w:ascii="宋体" w:eastAsia="仿宋_GB2312" w:cs="宋体"/>
      <w:kern w:val="0"/>
      <w:sz w:val="34"/>
      <w:szCs w:val="20"/>
    </w:rPr>
  </w:style>
  <w:style w:type="paragraph" w:customStyle="1" w:styleId="1947">
    <w:name w:val="核电正文"/>
    <w:basedOn w:val="1"/>
    <w:qFormat/>
    <w:uiPriority w:val="0"/>
    <w:pPr>
      <w:autoSpaceDE w:val="0"/>
      <w:autoSpaceDN w:val="0"/>
      <w:adjustRightInd w:val="0"/>
      <w:spacing w:beforeLines="50" w:after="120" w:line="240" w:lineRule="atLeast"/>
      <w:ind w:left="578" w:firstLine="200" w:firstLineChars="200"/>
      <w:jc w:val="left"/>
    </w:pPr>
    <w:rPr>
      <w:rFonts w:ascii="宋体"/>
      <w:kern w:val="0"/>
      <w:sz w:val="28"/>
      <w:szCs w:val="20"/>
    </w:rPr>
  </w:style>
  <w:style w:type="paragraph" w:customStyle="1" w:styleId="1948">
    <w:name w:val="表表"/>
    <w:qFormat/>
    <w:uiPriority w:val="0"/>
    <w:pPr>
      <w:jc w:val="center"/>
    </w:pPr>
    <w:rPr>
      <w:rFonts w:ascii="Times New Roman" w:hAnsi="Times New Roman" w:eastAsia="宋体" w:cs="Times New Roman"/>
      <w:color w:val="0070C0"/>
      <w:sz w:val="21"/>
      <w:lang w:val="en-US" w:eastAsia="zh-CN" w:bidi="ar-SA"/>
    </w:rPr>
  </w:style>
  <w:style w:type="paragraph" w:customStyle="1" w:styleId="1949">
    <w:name w:val="图框"/>
    <w:basedOn w:val="1"/>
    <w:qFormat/>
    <w:uiPriority w:val="0"/>
    <w:pPr>
      <w:widowControl/>
      <w:adjustRightInd w:val="0"/>
      <w:snapToGrid w:val="0"/>
      <w:spacing w:line="240" w:lineRule="atLeast"/>
      <w:jc w:val="center"/>
    </w:pPr>
    <w:rPr>
      <w:rFonts w:ascii="宋体" w:hAnsi="宋体" w:cs="宋体"/>
      <w:bCs/>
      <w:kern w:val="0"/>
      <w:sz w:val="24"/>
    </w:rPr>
  </w:style>
  <w:style w:type="paragraph" w:customStyle="1" w:styleId="19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951">
    <w:name w:val="16.4.2.1"/>
    <w:basedOn w:val="653"/>
    <w:qFormat/>
    <w:uiPriority w:val="0"/>
    <w:pPr>
      <w:numPr>
        <w:ilvl w:val="0"/>
        <w:numId w:val="22"/>
      </w:numPr>
      <w:tabs>
        <w:tab w:val="left" w:pos="360"/>
        <w:tab w:val="left" w:pos="2249"/>
        <w:tab w:val="left" w:pos="2880"/>
        <w:tab w:val="clear" w:pos="726"/>
        <w:tab w:val="clear" w:pos="1800"/>
      </w:tabs>
      <w:ind w:left="0" w:firstLine="0"/>
    </w:pPr>
  </w:style>
  <w:style w:type="paragraph" w:customStyle="1" w:styleId="1952">
    <w:name w:val="君邦正文"/>
    <w:qFormat/>
    <w:uiPriority w:val="0"/>
    <w:pPr>
      <w:spacing w:after="60" w:line="360" w:lineRule="auto"/>
      <w:ind w:firstLine="480" w:firstLineChars="200"/>
      <w:jc w:val="both"/>
    </w:pPr>
    <w:rPr>
      <w:rFonts w:ascii="Calibri" w:hAnsi="Calibri" w:eastAsia="宋体" w:cs="Times New Roman"/>
      <w:bCs/>
      <w:snapToGrid w:val="0"/>
      <w:kern w:val="2"/>
      <w:sz w:val="24"/>
      <w:szCs w:val="22"/>
      <w:lang w:val="en-US" w:eastAsia="zh-CN" w:bidi="ar-SA"/>
    </w:rPr>
  </w:style>
  <w:style w:type="paragraph" w:customStyle="1" w:styleId="1953">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954">
    <w:name w:val="xl126"/>
    <w:basedOn w:val="1"/>
    <w:qFormat/>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955">
    <w:name w:val="文2"/>
    <w:basedOn w:val="1"/>
    <w:qFormat/>
    <w:uiPriority w:val="0"/>
    <w:pPr>
      <w:tabs>
        <w:tab w:val="left" w:pos="425"/>
      </w:tabs>
      <w:adjustRightInd w:val="0"/>
      <w:spacing w:line="500" w:lineRule="atLeast"/>
      <w:ind w:left="425" w:hanging="425"/>
      <w:textAlignment w:val="baseline"/>
    </w:pPr>
    <w:rPr>
      <w:rFonts w:ascii="宋体"/>
      <w:kern w:val="0"/>
      <w:sz w:val="28"/>
      <w:szCs w:val="20"/>
    </w:rPr>
  </w:style>
  <w:style w:type="paragraph" w:customStyle="1" w:styleId="1956">
    <w:name w:val="样式 标题 5标题 5 Char CharH5标题1.1.1.1.1 + 黑色 左侧:  0 厘米 悬挂缩进: 10...."/>
    <w:basedOn w:val="11"/>
    <w:qFormat/>
    <w:uiPriority w:val="0"/>
    <w:pPr>
      <w:numPr>
        <w:ilvl w:val="0"/>
        <w:numId w:val="0"/>
      </w:numPr>
      <w:tabs>
        <w:tab w:val="left" w:pos="2284"/>
      </w:tabs>
      <w:autoSpaceDE w:val="0"/>
      <w:autoSpaceDN w:val="0"/>
      <w:adjustRightInd w:val="0"/>
      <w:spacing w:before="0" w:after="0" w:line="360" w:lineRule="auto"/>
      <w:ind w:left="1008" w:hanging="1008"/>
    </w:pPr>
    <w:rPr>
      <w:b w:val="0"/>
      <w:color w:val="000000"/>
      <w:sz w:val="24"/>
      <w:szCs w:val="20"/>
    </w:rPr>
  </w:style>
  <w:style w:type="paragraph" w:customStyle="1" w:styleId="1957">
    <w:name w:val="五"/>
    <w:basedOn w:val="1122"/>
    <w:qFormat/>
    <w:uiPriority w:val="0"/>
    <w:pPr>
      <w:widowControl w:val="0"/>
      <w:adjustRightInd w:val="0"/>
      <w:snapToGrid w:val="0"/>
      <w:jc w:val="both"/>
      <w:outlineLvl w:val="9"/>
    </w:pPr>
    <w:rPr>
      <w:rFonts w:ascii="Times New Roman" w:hAnsi="Times New Roman" w:cs="Times New Roman"/>
      <w:b w:val="0"/>
      <w:sz w:val="20"/>
      <w:szCs w:val="20"/>
    </w:rPr>
  </w:style>
  <w:style w:type="paragraph" w:customStyle="1" w:styleId="1958">
    <w:name w:val="样式 样式 左侧:  2 字符 + 首行缩进:  2 字符"/>
    <w:basedOn w:val="1"/>
    <w:qFormat/>
    <w:uiPriority w:val="0"/>
    <w:pPr>
      <w:widowControl/>
      <w:spacing w:line="360" w:lineRule="auto"/>
      <w:ind w:firstLine="560" w:firstLineChars="200"/>
      <w:jc w:val="left"/>
    </w:pPr>
    <w:rPr>
      <w:rFonts w:ascii="宋体" w:hAnsi="宋体" w:cs="宋体"/>
      <w:kern w:val="0"/>
      <w:sz w:val="28"/>
      <w:szCs w:val="28"/>
    </w:rPr>
  </w:style>
  <w:style w:type="paragraph" w:customStyle="1" w:styleId="1959">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rPr>
  </w:style>
  <w:style w:type="paragraph" w:customStyle="1" w:styleId="1960">
    <w:name w:val="TOC 标题3"/>
    <w:basedOn w:val="7"/>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1961">
    <w:name w:val="xl47"/>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62">
    <w:name w:val="T3"/>
    <w:basedOn w:val="9"/>
    <w:qFormat/>
    <w:uiPriority w:val="0"/>
    <w:pPr>
      <w:keepLines w:val="0"/>
      <w:widowControl w:val="0"/>
      <w:numPr>
        <w:ilvl w:val="0"/>
        <w:numId w:val="0"/>
      </w:numPr>
      <w:spacing w:line="480" w:lineRule="auto"/>
    </w:pPr>
    <w:rPr>
      <w:rFonts w:ascii="Times New Roman" w:hAnsi="Times New Roman" w:cs="Times New Roman"/>
      <w:b/>
      <w:bCs w:val="0"/>
      <w:kern w:val="2"/>
      <w:sz w:val="24"/>
      <w:szCs w:val="28"/>
    </w:rPr>
  </w:style>
  <w:style w:type="paragraph" w:customStyle="1" w:styleId="1963">
    <w:name w:val="???¨¬?¡§¡§??¡§?a???¨¬?¡§¡§??¡§?o??¡§??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1964">
    <w:name w:val="Char Char Char Char Char Char Char1"/>
    <w:basedOn w:val="1"/>
    <w:qFormat/>
    <w:uiPriority w:val="0"/>
    <w:pPr>
      <w:adjustRightInd w:val="0"/>
      <w:spacing w:line="520" w:lineRule="exact"/>
    </w:pPr>
    <w:rPr>
      <w:rFonts w:ascii="宋体"/>
      <w:kern w:val="0"/>
      <w:sz w:val="34"/>
      <w:szCs w:val="20"/>
    </w:rPr>
  </w:style>
  <w:style w:type="paragraph" w:customStyle="1" w:styleId="1965">
    <w:name w:val="报告书正文段落"/>
    <w:basedOn w:val="1"/>
    <w:qFormat/>
    <w:uiPriority w:val="0"/>
    <w:pPr>
      <w:spacing w:line="500" w:lineRule="exact"/>
      <w:ind w:firstLine="200"/>
    </w:pPr>
    <w:rPr>
      <w:rFonts w:cs="宋体"/>
      <w:kern w:val="0"/>
    </w:rPr>
  </w:style>
  <w:style w:type="paragraph" w:customStyle="1" w:styleId="1966">
    <w:name w:val="样式1"/>
    <w:basedOn w:val="1"/>
    <w:qFormat/>
    <w:uiPriority w:val="0"/>
    <w:pPr>
      <w:widowControl/>
      <w:jc w:val="left"/>
    </w:pPr>
    <w:rPr>
      <w:rFonts w:ascii="宋体" w:hAnsi="宋体" w:cs="宋体"/>
      <w:kern w:val="0"/>
      <w:sz w:val="24"/>
      <w:szCs w:val="20"/>
    </w:rPr>
  </w:style>
  <w:style w:type="paragraph" w:customStyle="1" w:styleId="1967">
    <w:name w:val="样式 标题 1"/>
    <w:basedOn w:val="7"/>
    <w:qFormat/>
    <w:uiPriority w:val="0"/>
    <w:pPr>
      <w:keepLines/>
      <w:tabs>
        <w:tab w:val="left" w:pos="425"/>
      </w:tabs>
      <w:overflowPunct/>
      <w:adjustRightInd w:val="0"/>
      <w:snapToGrid/>
      <w:spacing w:before="340" w:beforeLines="150" w:after="0" w:line="360" w:lineRule="auto"/>
      <w:ind w:left="425" w:hanging="425"/>
      <w:textAlignment w:val="baseline"/>
    </w:pPr>
    <w:rPr>
      <w:rFonts w:ascii="宋体" w:hAnsi="宋体" w:cs="宋体"/>
      <w:color w:val="auto"/>
      <w:szCs w:val="20"/>
    </w:rPr>
  </w:style>
  <w:style w:type="paragraph" w:customStyle="1" w:styleId="1968">
    <w:name w:val="一级段落"/>
    <w:basedOn w:val="87"/>
    <w:next w:val="1969"/>
    <w:qFormat/>
    <w:uiPriority w:val="0"/>
    <w:pPr>
      <w:adjustRightInd w:val="0"/>
      <w:snapToGrid w:val="0"/>
      <w:jc w:val="left"/>
    </w:pPr>
    <w:rPr>
      <w:rFonts w:ascii="Arial" w:hAnsi="Arial"/>
      <w:b/>
      <w:sz w:val="30"/>
    </w:rPr>
  </w:style>
  <w:style w:type="paragraph" w:customStyle="1" w:styleId="1969">
    <w:name w:val="段落文字"/>
    <w:basedOn w:val="1"/>
    <w:qFormat/>
    <w:uiPriority w:val="0"/>
    <w:pPr>
      <w:adjustRightInd w:val="0"/>
      <w:snapToGrid w:val="0"/>
      <w:spacing w:line="520" w:lineRule="exact"/>
      <w:ind w:firstLine="560" w:firstLineChars="200"/>
    </w:pPr>
    <w:rPr>
      <w:rFonts w:ascii="宋体"/>
      <w:kern w:val="0"/>
      <w:sz w:val="28"/>
      <w:szCs w:val="20"/>
    </w:rPr>
  </w:style>
  <w:style w:type="paragraph" w:customStyle="1" w:styleId="1970">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1971">
    <w:name w:val="xl50"/>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72">
    <w:name w:val="报告表格"/>
    <w:basedOn w:val="1"/>
    <w:qFormat/>
    <w:uiPriority w:val="0"/>
    <w:pPr>
      <w:autoSpaceDE w:val="0"/>
      <w:autoSpaceDN w:val="0"/>
      <w:adjustRightInd w:val="0"/>
      <w:spacing w:before="40" w:after="40"/>
      <w:jc w:val="center"/>
      <w:textAlignment w:val="bottom"/>
    </w:pPr>
    <w:rPr>
      <w:rFonts w:ascii="宋体"/>
      <w:kern w:val="0"/>
      <w:szCs w:val="20"/>
    </w:rPr>
  </w:style>
  <w:style w:type="paragraph" w:customStyle="1" w:styleId="1973">
    <w:name w:val="参加人员"/>
    <w:basedOn w:val="1"/>
    <w:qFormat/>
    <w:uiPriority w:val="0"/>
    <w:rPr>
      <w:rFonts w:ascii="宋体"/>
      <w:kern w:val="0"/>
      <w:sz w:val="34"/>
      <w:szCs w:val="20"/>
    </w:rPr>
  </w:style>
  <w:style w:type="paragraph" w:customStyle="1" w:styleId="1974">
    <w:name w:val="Char44"/>
    <w:basedOn w:val="1"/>
    <w:qFormat/>
    <w:uiPriority w:val="0"/>
    <w:pPr>
      <w:widowControl/>
      <w:jc w:val="left"/>
    </w:pPr>
    <w:rPr>
      <w:rFonts w:ascii="宋体" w:hAnsi="宋体" w:cs="宋体"/>
      <w:kern w:val="0"/>
      <w:sz w:val="24"/>
    </w:rPr>
  </w:style>
  <w:style w:type="paragraph" w:customStyle="1" w:styleId="1975">
    <w:name w:val="样式 nilo_标题2 + 首行缩进:  2 字符"/>
    <w:basedOn w:val="1"/>
    <w:qFormat/>
    <w:uiPriority w:val="0"/>
    <w:pPr>
      <w:tabs>
        <w:tab w:val="left" w:pos="420"/>
      </w:tabs>
      <w:spacing w:line="360" w:lineRule="auto"/>
      <w:ind w:left="340" w:hanging="340"/>
      <w:jc w:val="left"/>
      <w:outlineLvl w:val="2"/>
    </w:pPr>
    <w:rPr>
      <w:rFonts w:ascii="宋体" w:eastAsia="黑体" w:cs="宋体"/>
      <w:b/>
      <w:bCs/>
      <w:kern w:val="0"/>
      <w:sz w:val="28"/>
      <w:szCs w:val="20"/>
    </w:rPr>
  </w:style>
  <w:style w:type="paragraph" w:customStyle="1" w:styleId="1976">
    <w:name w:val="五级无标题条"/>
    <w:basedOn w:val="1"/>
    <w:qFormat/>
    <w:uiPriority w:val="0"/>
    <w:pPr>
      <w:widowControl/>
      <w:jc w:val="left"/>
    </w:pPr>
    <w:rPr>
      <w:rFonts w:ascii="宋体" w:hAnsi="宋体" w:cs="宋体"/>
      <w:kern w:val="0"/>
      <w:sz w:val="24"/>
    </w:rPr>
  </w:style>
  <w:style w:type="paragraph" w:customStyle="1" w:styleId="1977">
    <w:name w:val="样式 标题 5标题 5 Char CharH5标题1.1.1.1.1 + 粉红"/>
    <w:basedOn w:val="11"/>
    <w:qFormat/>
    <w:uiPriority w:val="0"/>
    <w:pPr>
      <w:autoSpaceDE w:val="0"/>
      <w:autoSpaceDN w:val="0"/>
      <w:adjustRightInd w:val="0"/>
      <w:spacing w:before="0" w:after="0" w:line="360" w:lineRule="auto"/>
    </w:pPr>
    <w:rPr>
      <w:b w:val="0"/>
      <w:color w:val="000000"/>
      <w:sz w:val="24"/>
      <w:szCs w:val="20"/>
    </w:rPr>
  </w:style>
  <w:style w:type="paragraph" w:customStyle="1" w:styleId="1978">
    <w:name w:val="新样式"/>
    <w:basedOn w:val="1"/>
    <w:qFormat/>
    <w:uiPriority w:val="0"/>
    <w:pPr>
      <w:adjustRightInd w:val="0"/>
      <w:snapToGrid w:val="0"/>
      <w:spacing w:line="300" w:lineRule="auto"/>
      <w:ind w:firstLine="480" w:firstLineChars="200"/>
      <w:jc w:val="left"/>
    </w:pPr>
    <w:rPr>
      <w:rFonts w:ascii="宋体"/>
      <w:kern w:val="0"/>
      <w:sz w:val="34"/>
      <w:szCs w:val="20"/>
    </w:rPr>
  </w:style>
  <w:style w:type="paragraph" w:customStyle="1" w:styleId="1979">
    <w:name w:val="样式 标题 2 + Times New Roman"/>
    <w:basedOn w:val="8"/>
    <w:qFormat/>
    <w:uiPriority w:val="0"/>
    <w:pPr>
      <w:numPr>
        <w:ilvl w:val="0"/>
        <w:numId w:val="0"/>
      </w:numPr>
      <w:tabs>
        <w:tab w:val="left" w:pos="0"/>
      </w:tabs>
      <w:spacing w:before="120" w:after="120" w:line="300" w:lineRule="auto"/>
      <w:ind w:left="1400" w:hanging="420"/>
    </w:pPr>
    <w:rPr>
      <w:rFonts w:ascii="Times New Roman" w:hAnsi="Times New Roman" w:eastAsia="仿宋_GB2312"/>
      <w:bCs/>
      <w:sz w:val="32"/>
      <w:szCs w:val="32"/>
    </w:rPr>
  </w:style>
  <w:style w:type="paragraph" w:customStyle="1" w:styleId="1980">
    <w:name w:val="样式 首行缩进:  1.71 字符"/>
    <w:basedOn w:val="1"/>
    <w:qFormat/>
    <w:uiPriority w:val="0"/>
    <w:pPr>
      <w:spacing w:before="120" w:after="120" w:line="360" w:lineRule="auto"/>
      <w:ind w:left="578" w:firstLine="410" w:firstLineChars="171"/>
    </w:pPr>
    <w:rPr>
      <w:rFonts w:ascii="宋体" w:cs="宋体"/>
      <w:color w:val="FF0000"/>
      <w:kern w:val="0"/>
      <w:szCs w:val="20"/>
    </w:rPr>
  </w:style>
  <w:style w:type="paragraph" w:customStyle="1" w:styleId="1981">
    <w:name w:val="样式 目录 2 + 左侧:  2 字符 首行缩进:  2 字符"/>
    <w:basedOn w:val="77"/>
    <w:qFormat/>
    <w:uiPriority w:val="0"/>
    <w:pPr>
      <w:widowControl w:val="0"/>
      <w:tabs>
        <w:tab w:val="right" w:leader="dot" w:pos="9061"/>
        <w:tab w:val="clear" w:pos="8800"/>
      </w:tabs>
      <w:spacing w:before="120" w:after="120"/>
      <w:ind w:left="300" w:leftChars="300" w:right="0" w:firstLine="200" w:firstLineChars="200"/>
    </w:pPr>
    <w:rPr>
      <w:rFonts w:hAnsi="Times New Roman"/>
      <w:b w:val="0"/>
      <w:bCs w:val="0"/>
      <w:smallCaps/>
      <w:sz w:val="28"/>
      <w:szCs w:val="20"/>
    </w:rPr>
  </w:style>
  <w:style w:type="paragraph" w:customStyle="1" w:styleId="1982">
    <w:name w:val="条(二级)"/>
    <w:basedOn w:val="8"/>
    <w:next w:val="1983"/>
    <w:unhideWhenUsed/>
    <w:qFormat/>
    <w:uiPriority w:val="0"/>
    <w:pPr>
      <w:widowControl w:val="0"/>
      <w:numPr>
        <w:ilvl w:val="0"/>
        <w:numId w:val="0"/>
      </w:numPr>
      <w:tabs>
        <w:tab w:val="left" w:pos="1246"/>
      </w:tabs>
      <w:adjustRightInd w:val="0"/>
      <w:spacing w:line="460" w:lineRule="exact"/>
      <w:jc w:val="both"/>
      <w:textAlignment w:val="baseline"/>
      <w:outlineLvl w:val="9"/>
    </w:pPr>
    <w:rPr>
      <w:rFonts w:ascii="宋体" w:hAnsi="宋体" w:cs="Times New Roman"/>
      <w:b/>
      <w:bCs/>
      <w:sz w:val="26"/>
      <w:szCs w:val="20"/>
    </w:rPr>
  </w:style>
  <w:style w:type="paragraph" w:customStyle="1" w:styleId="1983">
    <w:name w:val="条(三级)"/>
    <w:basedOn w:val="1"/>
    <w:next w:val="1"/>
    <w:unhideWhenUsed/>
    <w:qFormat/>
    <w:uiPriority w:val="0"/>
    <w:pPr>
      <w:keepNext/>
      <w:keepLines/>
      <w:adjustRightInd w:val="0"/>
      <w:snapToGrid w:val="0"/>
      <w:spacing w:beforeLines="20" w:after="120" w:line="460" w:lineRule="exact"/>
      <w:ind w:left="578" w:hanging="578"/>
      <w:jc w:val="center"/>
      <w:textAlignment w:val="baseline"/>
    </w:pPr>
    <w:rPr>
      <w:rFonts w:ascii="宋体" w:hAnsi="宋体"/>
      <w:spacing w:val="3"/>
      <w:kern w:val="24"/>
      <w:szCs w:val="20"/>
    </w:rPr>
  </w:style>
  <w:style w:type="paragraph" w:customStyle="1" w:styleId="1984">
    <w:name w:val="样式 标题 4 + 黑色"/>
    <w:basedOn w:val="10"/>
    <w:qFormat/>
    <w:uiPriority w:val="0"/>
    <w:pPr>
      <w:numPr>
        <w:ilvl w:val="0"/>
        <w:numId w:val="0"/>
      </w:numPr>
      <w:adjustRightInd w:val="0"/>
      <w:snapToGrid w:val="0"/>
      <w:ind w:left="709" w:hanging="709"/>
      <w:textAlignment w:val="baseline"/>
    </w:pPr>
    <w:rPr>
      <w:rFonts w:ascii="Times New Roman" w:hAnsi="Times New Roman"/>
      <w:color w:val="000000"/>
      <w:szCs w:val="20"/>
    </w:rPr>
  </w:style>
  <w:style w:type="paragraph" w:customStyle="1" w:styleId="1985">
    <w:name w:val="Char Char2 Char Char Char Char Char Char2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1986">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ascii="宋体" w:cs="宋体"/>
      <w:kern w:val="0"/>
      <w:sz w:val="34"/>
      <w:szCs w:val="20"/>
    </w:rPr>
  </w:style>
  <w:style w:type="paragraph" w:customStyle="1" w:styleId="1987">
    <w:name w:val="框图"/>
    <w:basedOn w:val="1"/>
    <w:qFormat/>
    <w:uiPriority w:val="0"/>
    <w:pPr>
      <w:adjustRightInd w:val="0"/>
      <w:snapToGrid w:val="0"/>
      <w:spacing w:line="27" w:lineRule="atLeast"/>
      <w:ind w:left="24" w:leftChars="-38" w:right="-106" w:rightChars="-38" w:hanging="130" w:hangingChars="54"/>
      <w:jc w:val="center"/>
    </w:pPr>
    <w:rPr>
      <w:rFonts w:ascii="仿宋_GB2312" w:eastAsia="仿宋_GB2312"/>
      <w:sz w:val="24"/>
      <w:szCs w:val="20"/>
    </w:rPr>
  </w:style>
  <w:style w:type="paragraph" w:customStyle="1" w:styleId="1988">
    <w:name w:val="图表—内容"/>
    <w:basedOn w:val="1"/>
    <w:qFormat/>
    <w:uiPriority w:val="0"/>
    <w:pPr>
      <w:adjustRightInd w:val="0"/>
      <w:snapToGrid w:val="0"/>
      <w:spacing w:beforeLines="50"/>
      <w:jc w:val="center"/>
    </w:pPr>
    <w:rPr>
      <w:rFonts w:ascii="宋体" w:hAnsi="宋体"/>
      <w:kern w:val="0"/>
      <w:szCs w:val="21"/>
    </w:rPr>
  </w:style>
  <w:style w:type="paragraph" w:customStyle="1" w:styleId="1989">
    <w:name w:val="样式2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990">
    <w:name w:val="样式 正文文本 + 小四2"/>
    <w:basedOn w:val="37"/>
    <w:qFormat/>
    <w:uiPriority w:val="0"/>
    <w:pPr>
      <w:widowControl w:val="0"/>
      <w:numPr>
        <w:ilvl w:val="0"/>
        <w:numId w:val="23"/>
      </w:numPr>
      <w:tabs>
        <w:tab w:val="left" w:pos="360"/>
      </w:tabs>
      <w:snapToGrid/>
      <w:spacing w:before="0" w:after="120" w:line="240" w:lineRule="auto"/>
      <w:ind w:left="0" w:right="0" w:firstLine="200"/>
    </w:pPr>
    <w:rPr>
      <w:sz w:val="20"/>
    </w:rPr>
  </w:style>
  <w:style w:type="paragraph" w:customStyle="1" w:styleId="1991">
    <w:name w:val="样式 标题 1章标题 1H1Section HeadHeader1h11st levell1Heading 0...1"/>
    <w:basedOn w:val="7"/>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1992">
    <w:name w:val="book1_1"/>
    <w:basedOn w:val="8"/>
    <w:qFormat/>
    <w:uiPriority w:val="0"/>
    <w:pPr>
      <w:keepNext w:val="0"/>
      <w:widowControl w:val="0"/>
      <w:numPr>
        <w:ilvl w:val="0"/>
        <w:numId w:val="0"/>
      </w:numPr>
      <w:shd w:val="pct10" w:color="auto" w:fill="FFFFFF"/>
      <w:tabs>
        <w:tab w:val="left" w:pos="622"/>
        <w:tab w:val="left" w:pos="720"/>
      </w:tabs>
      <w:spacing w:before="260" w:beforeLines="50" w:after="260" w:afterLines="50" w:line="240" w:lineRule="auto"/>
      <w:jc w:val="both"/>
    </w:pPr>
    <w:rPr>
      <w:rFonts w:ascii="Arial" w:eastAsia="黑体" w:cs="Times New Roman"/>
      <w:bCs/>
      <w:sz w:val="24"/>
      <w:szCs w:val="32"/>
    </w:rPr>
  </w:style>
  <w:style w:type="paragraph" w:customStyle="1" w:styleId="1993">
    <w:name w:val="新表"/>
    <w:basedOn w:val="1"/>
    <w:qFormat/>
    <w:uiPriority w:val="0"/>
    <w:pPr>
      <w:spacing w:line="360" w:lineRule="exact"/>
    </w:pPr>
    <w:rPr>
      <w:rFonts w:eastAsia="仿宋_GB2312"/>
      <w:kern w:val="0"/>
      <w:sz w:val="24"/>
    </w:rPr>
  </w:style>
  <w:style w:type="paragraph" w:customStyle="1" w:styleId="1994">
    <w:name w:val="样式 标题 3标题 3 Char标题 3 Char Char Char Char Char Char Char Char C...1"/>
    <w:basedOn w:val="9"/>
    <w:qFormat/>
    <w:uiPriority w:val="0"/>
    <w:pPr>
      <w:tabs>
        <w:tab w:val="left" w:pos="576"/>
      </w:tabs>
      <w:ind w:left="576" w:hanging="360"/>
    </w:pPr>
    <w:rPr>
      <w:b/>
      <w:sz w:val="24"/>
      <w:szCs w:val="20"/>
    </w:rPr>
  </w:style>
  <w:style w:type="paragraph" w:customStyle="1" w:styleId="1995">
    <w:name w:val="Char Char Char1 Char11"/>
    <w:basedOn w:val="1"/>
    <w:qFormat/>
    <w:uiPriority w:val="0"/>
    <w:rPr>
      <w:rFonts w:ascii="宋体"/>
      <w:kern w:val="0"/>
      <w:sz w:val="34"/>
      <w:szCs w:val="20"/>
    </w:rPr>
  </w:style>
  <w:style w:type="paragraph" w:customStyle="1" w:styleId="1996">
    <w:name w:val="正文文本缩进 34"/>
    <w:basedOn w:val="1"/>
    <w:qFormat/>
    <w:uiPriority w:val="0"/>
    <w:pPr>
      <w:adjustRightInd w:val="0"/>
      <w:spacing w:line="480" w:lineRule="exact"/>
      <w:ind w:firstLine="525"/>
      <w:textAlignment w:val="baseline"/>
    </w:pPr>
    <w:rPr>
      <w:rFonts w:ascii="宋体"/>
      <w:kern w:val="0"/>
      <w:sz w:val="28"/>
      <w:szCs w:val="20"/>
    </w:rPr>
  </w:style>
  <w:style w:type="paragraph" w:customStyle="1" w:styleId="1997">
    <w:name w:val="样式 正文文字 + 楷体_GB2312 四号 首行缩进:  0.93 厘米"/>
    <w:basedOn w:val="37"/>
    <w:qFormat/>
    <w:uiPriority w:val="0"/>
    <w:pPr>
      <w:snapToGrid/>
      <w:spacing w:before="0" w:after="0" w:line="360" w:lineRule="auto"/>
      <w:ind w:right="0" w:firstLine="480" w:firstLineChars="200"/>
      <w:jc w:val="left"/>
    </w:pPr>
    <w:rPr>
      <w:rFonts w:ascii="宋体" w:hAnsi="宋体" w:cs="宋体"/>
      <w:sz w:val="24"/>
      <w:szCs w:val="24"/>
    </w:rPr>
  </w:style>
  <w:style w:type="paragraph" w:customStyle="1" w:styleId="1998">
    <w:name w:val="xl53"/>
    <w:basedOn w:val="1"/>
    <w:qFormat/>
    <w:uiPriority w:val="0"/>
    <w:pPr>
      <w:widowControl/>
      <w:pBdr>
        <w:top w:val="single" w:color="000000" w:sz="8" w:space="0"/>
        <w:left w:val="single" w:color="auto"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1999">
    <w:name w:val="样式 标题 3标题 3 Char标题 3 Char Char Char Char Char Char Char Char C...2"/>
    <w:basedOn w:val="9"/>
    <w:qFormat/>
    <w:uiPriority w:val="0"/>
    <w:pPr>
      <w:tabs>
        <w:tab w:val="left" w:pos="1260"/>
      </w:tabs>
      <w:ind w:left="1260" w:hanging="420"/>
    </w:pPr>
    <w:rPr>
      <w:b/>
      <w:bCs w:val="0"/>
      <w:szCs w:val="20"/>
    </w:rPr>
  </w:style>
  <w:style w:type="paragraph" w:customStyle="1" w:styleId="2000">
    <w:name w:val="样式8"/>
    <w:basedOn w:val="37"/>
    <w:qFormat/>
    <w:uiPriority w:val="0"/>
    <w:pPr>
      <w:widowControl w:val="0"/>
      <w:snapToGrid/>
      <w:spacing w:before="120" w:after="120" w:line="240" w:lineRule="auto"/>
      <w:ind w:right="0" w:firstLine="567"/>
    </w:pPr>
    <w:rPr>
      <w:sz w:val="28"/>
    </w:rPr>
  </w:style>
  <w:style w:type="paragraph" w:customStyle="1" w:styleId="2001">
    <w:name w:val="样式9"/>
    <w:basedOn w:val="60"/>
    <w:qFormat/>
    <w:uiPriority w:val="0"/>
    <w:pPr>
      <w:widowControl/>
      <w:pBdr>
        <w:bottom w:val="thickThinLargeGap" w:color="auto" w:sz="2" w:space="1"/>
      </w:pBdr>
    </w:pPr>
    <w:rPr>
      <w:rFonts w:eastAsia="楷体_GB2312"/>
      <w:szCs w:val="18"/>
    </w:rPr>
  </w:style>
  <w:style w:type="paragraph" w:customStyle="1" w:styleId="2002">
    <w:name w:val="Char Char Char Char Char Char 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003">
    <w:name w:val="样式111"/>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2004">
    <w:name w:val="表格标题7"/>
    <w:basedOn w:val="81"/>
    <w:semiHidden/>
    <w:qFormat/>
    <w:uiPriority w:val="0"/>
    <w:pPr>
      <w:numPr>
        <w:ilvl w:val="0"/>
        <w:numId w:val="24"/>
      </w:numPr>
      <w:pBdr>
        <w:top w:val="single" w:color="auto" w:sz="4" w:space="1"/>
      </w:pBdr>
      <w:tabs>
        <w:tab w:val="left" w:pos="0"/>
      </w:tabs>
      <w:adjustRightInd w:val="0"/>
      <w:spacing w:after="0" w:line="360" w:lineRule="auto"/>
      <w:ind w:left="0" w:leftChars="0"/>
      <w:jc w:val="center"/>
    </w:pPr>
    <w:rPr>
      <w:b/>
      <w:sz w:val="24"/>
    </w:rPr>
  </w:style>
  <w:style w:type="paragraph" w:customStyle="1" w:styleId="2005">
    <w:name w:val="小三 加粗 无缩进居中对齐"/>
    <w:basedOn w:val="1"/>
    <w:unhideWhenUsed/>
    <w:qFormat/>
    <w:uiPriority w:val="0"/>
    <w:pPr>
      <w:spacing w:before="120" w:after="120"/>
      <w:ind w:left="482" w:hanging="578"/>
      <w:jc w:val="center"/>
    </w:pPr>
    <w:rPr>
      <w:rFonts w:ascii="宋体"/>
      <w:kern w:val="0"/>
      <w:szCs w:val="21"/>
    </w:rPr>
  </w:style>
  <w:style w:type="paragraph" w:customStyle="1" w:styleId="2006">
    <w:name w:val="font5"/>
    <w:basedOn w:val="1"/>
    <w:qFormat/>
    <w:uiPriority w:val="0"/>
    <w:pPr>
      <w:widowControl/>
      <w:spacing w:before="100" w:beforeAutospacing="1" w:after="100" w:afterAutospacing="1"/>
      <w:jc w:val="left"/>
    </w:pPr>
    <w:rPr>
      <w:rFonts w:hint="eastAsia" w:ascii="宋体" w:hAnsi="宋体" w:cs="宋体"/>
      <w:kern w:val="0"/>
      <w:sz w:val="18"/>
      <w:szCs w:val="18"/>
    </w:rPr>
  </w:style>
  <w:style w:type="paragraph" w:customStyle="1" w:styleId="2007">
    <w:name w:val="样式 标题 5标题 5 Char CharH5标题1.1.1.1.1 + (西文) 宋体 左侧:  0 厘米 悬挂缩进..."/>
    <w:basedOn w:val="11"/>
    <w:qFormat/>
    <w:uiPriority w:val="0"/>
    <w:pPr>
      <w:numPr>
        <w:ilvl w:val="0"/>
        <w:numId w:val="0"/>
      </w:numPr>
      <w:tabs>
        <w:tab w:val="left" w:pos="2284"/>
      </w:tabs>
      <w:autoSpaceDE w:val="0"/>
      <w:autoSpaceDN w:val="0"/>
      <w:adjustRightInd w:val="0"/>
      <w:spacing w:before="0" w:after="0" w:line="360" w:lineRule="auto"/>
      <w:ind w:left="1008" w:hanging="1008"/>
    </w:pPr>
    <w:rPr>
      <w:b w:val="0"/>
      <w:color w:val="000000"/>
      <w:sz w:val="24"/>
      <w:szCs w:val="20"/>
    </w:rPr>
  </w:style>
  <w:style w:type="paragraph" w:customStyle="1" w:styleId="2008">
    <w:name w:val="1.1.1"/>
    <w:basedOn w:val="1"/>
    <w:qFormat/>
    <w:uiPriority w:val="0"/>
    <w:rPr>
      <w:rFonts w:ascii="黑体"/>
      <w:kern w:val="0"/>
      <w:sz w:val="34"/>
      <w:szCs w:val="20"/>
    </w:rPr>
  </w:style>
  <w:style w:type="paragraph" w:customStyle="1" w:styleId="2009">
    <w:name w:val="Plain Text2"/>
    <w:basedOn w:val="1"/>
    <w:qFormat/>
    <w:uiPriority w:val="0"/>
    <w:pPr>
      <w:autoSpaceDE w:val="0"/>
      <w:autoSpaceDN w:val="0"/>
      <w:adjustRightInd w:val="0"/>
      <w:textAlignment w:val="baseline"/>
    </w:pPr>
    <w:rPr>
      <w:rFonts w:ascii="宋体" w:hAnsi="Tms Rmn"/>
      <w:kern w:val="0"/>
      <w:szCs w:val="20"/>
    </w:rPr>
  </w:style>
  <w:style w:type="paragraph" w:customStyle="1" w:styleId="2010">
    <w:name w:val="zwj新1.1.1.1"/>
    <w:basedOn w:val="1"/>
    <w:qFormat/>
    <w:uiPriority w:val="0"/>
    <w:pPr>
      <w:keepNext/>
      <w:keepLines/>
      <w:numPr>
        <w:ilvl w:val="3"/>
        <w:numId w:val="9"/>
      </w:numPr>
      <w:tabs>
        <w:tab w:val="left" w:pos="1080"/>
      </w:tabs>
      <w:snapToGrid w:val="0"/>
      <w:spacing w:afterLines="50"/>
      <w:outlineLvl w:val="3"/>
    </w:pPr>
    <w:rPr>
      <w:rFonts w:ascii="仿宋_GB2312" w:hAnsi="Arial"/>
      <w:kern w:val="0"/>
      <w:sz w:val="34"/>
      <w:szCs w:val="28"/>
    </w:rPr>
  </w:style>
  <w:style w:type="paragraph" w:customStyle="1" w:styleId="2011">
    <w:name w:val="p4 Char"/>
    <w:basedOn w:val="1"/>
    <w:qFormat/>
    <w:uiPriority w:val="0"/>
    <w:pPr>
      <w:spacing w:line="360" w:lineRule="auto"/>
      <w:ind w:left="113"/>
      <w:jc w:val="left"/>
      <w:outlineLvl w:val="3"/>
    </w:pPr>
    <w:rPr>
      <w:rFonts w:ascii="宋体"/>
      <w:b/>
      <w:color w:val="000000"/>
      <w:kern w:val="0"/>
      <w:sz w:val="34"/>
      <w:szCs w:val="20"/>
    </w:rPr>
  </w:style>
  <w:style w:type="paragraph" w:customStyle="1" w:styleId="2012">
    <w:name w:val="样式 表头 + 段前: 0.5 行 段后: 0.5 行"/>
    <w:basedOn w:val="973"/>
    <w:qFormat/>
    <w:uiPriority w:val="0"/>
    <w:pPr>
      <w:widowControl w:val="0"/>
      <w:adjustRightInd/>
      <w:spacing w:beforeLines="50" w:after="120" w:afterLines="50" w:line="300" w:lineRule="auto"/>
      <w:ind w:left="420" w:leftChars="200"/>
      <w:textAlignment w:val="auto"/>
      <w:outlineLvl w:val="2"/>
    </w:pPr>
    <w:rPr>
      <w:rFonts w:ascii="华文细黑" w:hAnsi="华文细黑" w:eastAsia="华文细黑"/>
      <w:b/>
      <w:bCs/>
      <w:spacing w:val="0"/>
      <w:kern w:val="2"/>
      <w:sz w:val="21"/>
    </w:rPr>
  </w:style>
  <w:style w:type="paragraph" w:customStyle="1" w:styleId="201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2014">
    <w:name w:val="新表格"/>
    <w:basedOn w:val="1"/>
    <w:qFormat/>
    <w:uiPriority w:val="0"/>
    <w:pPr>
      <w:ind w:left="420"/>
      <w:jc w:val="center"/>
    </w:pPr>
    <w:rPr>
      <w:rFonts w:ascii="宋体"/>
      <w:b/>
      <w:bCs/>
      <w:kern w:val="0"/>
      <w:sz w:val="34"/>
      <w:szCs w:val="20"/>
    </w:rPr>
  </w:style>
  <w:style w:type="paragraph" w:customStyle="1" w:styleId="2015">
    <w:name w:val="样式 表格文字—五号 + 宋体 行距: 最小值 0 磅"/>
    <w:basedOn w:val="957"/>
    <w:qFormat/>
    <w:uiPriority w:val="0"/>
    <w:pPr>
      <w:spacing w:line="0" w:lineRule="atLeast"/>
    </w:pPr>
    <w:rPr>
      <w:rFonts w:ascii="宋体" w:hAnsi="宋体" w:cs="宋体"/>
      <w:szCs w:val="20"/>
    </w:rPr>
  </w:style>
  <w:style w:type="paragraph" w:customStyle="1" w:styleId="2016">
    <w:name w:val="样式 标题 4 + 宋体 非加粗 行距: 1.5 倍行距"/>
    <w:basedOn w:val="10"/>
    <w:qFormat/>
    <w:uiPriority w:val="0"/>
    <w:pPr>
      <w:numPr>
        <w:ilvl w:val="0"/>
        <w:numId w:val="0"/>
      </w:num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2017">
    <w:name w:val="样式 标题 4 + 黑色 左侧:  1.52 厘米"/>
    <w:basedOn w:val="10"/>
    <w:qFormat/>
    <w:uiPriority w:val="0"/>
    <w:pPr>
      <w:numPr>
        <w:ilvl w:val="0"/>
        <w:numId w:val="0"/>
      </w:numPr>
      <w:tabs>
        <w:tab w:val="left" w:pos="4660"/>
      </w:tabs>
      <w:ind w:left="2848" w:hanging="708"/>
    </w:pPr>
    <w:rPr>
      <w:rFonts w:ascii="Times New Roman" w:hAnsi="Times New Roman"/>
      <w:b w:val="0"/>
      <w:bCs w:val="0"/>
      <w:color w:val="000000"/>
      <w:szCs w:val="20"/>
    </w:rPr>
  </w:style>
  <w:style w:type="paragraph" w:customStyle="1" w:styleId="2018">
    <w:name w:val="样式2"/>
    <w:basedOn w:val="1"/>
    <w:qFormat/>
    <w:uiPriority w:val="0"/>
    <w:pPr>
      <w:widowControl/>
      <w:tabs>
        <w:tab w:val="left" w:pos="425"/>
      </w:tabs>
      <w:spacing w:before="50" w:after="50" w:line="440" w:lineRule="exact"/>
      <w:jc w:val="left"/>
    </w:pPr>
    <w:rPr>
      <w:rFonts w:ascii="宋体" w:hAnsi="宋体" w:eastAsia="黑体" w:cs="宋体"/>
      <w:kern w:val="0"/>
      <w:sz w:val="24"/>
    </w:rPr>
  </w:style>
  <w:style w:type="paragraph" w:customStyle="1" w:styleId="2019">
    <w:name w:val="表标题2.2"/>
    <w:basedOn w:val="2020"/>
    <w:qFormat/>
    <w:uiPriority w:val="0"/>
    <w:pPr>
      <w:widowControl w:val="0"/>
      <w:numPr>
        <w:ilvl w:val="0"/>
        <w:numId w:val="25"/>
      </w:numPr>
      <w:tabs>
        <w:tab w:val="left" w:pos="720"/>
        <w:tab w:val="left" w:pos="8207"/>
        <w:tab w:val="clear" w:pos="726"/>
      </w:tabs>
      <w:adjustRightInd/>
      <w:snapToGrid/>
      <w:spacing w:before="0" w:line="240" w:lineRule="auto"/>
      <w:ind w:left="0" w:firstLine="0"/>
      <w:jc w:val="both"/>
      <w:textAlignment w:val="auto"/>
    </w:pPr>
    <w:rPr>
      <w:rFonts w:eastAsia="宋体"/>
      <w:b w:val="0"/>
      <w:color w:val="auto"/>
      <w:sz w:val="21"/>
      <w:szCs w:val="21"/>
    </w:rPr>
  </w:style>
  <w:style w:type="paragraph" w:customStyle="1" w:styleId="2020">
    <w:name w:val="表标2.6"/>
    <w:next w:val="198"/>
    <w:qFormat/>
    <w:uiPriority w:val="0"/>
    <w:pPr>
      <w:tabs>
        <w:tab w:val="left" w:pos="720"/>
        <w:tab w:val="left" w:pos="8207"/>
      </w:tabs>
      <w:adjustRightInd w:val="0"/>
      <w:snapToGrid w:val="0"/>
      <w:spacing w:before="240" w:after="12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2021">
    <w:name w:val="表名 Char"/>
    <w:basedOn w:val="1"/>
    <w:qFormat/>
    <w:uiPriority w:val="0"/>
    <w:pPr>
      <w:keepNext/>
      <w:spacing w:line="360" w:lineRule="auto"/>
      <w:ind w:firstLine="200" w:firstLineChars="200"/>
      <w:jc w:val="center"/>
      <w:outlineLvl w:val="3"/>
    </w:pPr>
    <w:rPr>
      <w:rFonts w:ascii="Arial" w:hAnsi="Arial"/>
      <w:b/>
      <w:snapToGrid w:val="0"/>
      <w:kern w:val="0"/>
      <w:sz w:val="34"/>
      <w:szCs w:val="18"/>
    </w:rPr>
  </w:style>
  <w:style w:type="paragraph" w:customStyle="1" w:styleId="2022">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2023">
    <w:name w:val="连云港标题2"/>
    <w:basedOn w:val="1"/>
    <w:qFormat/>
    <w:uiPriority w:val="0"/>
    <w:pPr>
      <w:spacing w:line="360" w:lineRule="auto"/>
      <w:outlineLvl w:val="1"/>
    </w:pPr>
    <w:rPr>
      <w:rFonts w:ascii="宋体"/>
      <w:b/>
      <w:kern w:val="0"/>
      <w:sz w:val="32"/>
      <w:szCs w:val="20"/>
    </w:rPr>
  </w:style>
  <w:style w:type="paragraph" w:customStyle="1" w:styleId="2024">
    <w:name w:val="封面正文"/>
    <w:qFormat/>
    <w:uiPriority w:val="0"/>
    <w:pPr>
      <w:jc w:val="both"/>
    </w:pPr>
    <w:rPr>
      <w:rFonts w:ascii="Times New Roman" w:hAnsi="Times New Roman" w:eastAsia="宋体" w:cs="Times New Roman"/>
      <w:lang w:val="en-US" w:eastAsia="zh-CN" w:bidi="ar-SA"/>
    </w:rPr>
  </w:style>
  <w:style w:type="paragraph" w:customStyle="1" w:styleId="2025">
    <w:name w:val="表标题16.8－1"/>
    <w:basedOn w:val="2026"/>
    <w:qFormat/>
    <w:uiPriority w:val="0"/>
    <w:pPr>
      <w:tabs>
        <w:tab w:val="left" w:pos="1560"/>
        <w:tab w:val="left" w:pos="2160"/>
      </w:tabs>
      <w:snapToGrid/>
      <w:spacing w:before="100" w:after="100" w:line="360" w:lineRule="atLeast"/>
      <w:jc w:val="left"/>
    </w:pPr>
    <w:rPr>
      <w:rFonts w:ascii="宋体" w:hAnsi="宋体" w:eastAsia="宋体"/>
      <w:b w:val="0"/>
      <w:color w:val="auto"/>
      <w:kern w:val="0"/>
      <w:sz w:val="20"/>
      <w:szCs w:val="20"/>
    </w:rPr>
  </w:style>
  <w:style w:type="paragraph" w:customStyle="1" w:styleId="2026">
    <w:name w:val="表标16.6"/>
    <w:next w:val="198"/>
    <w:qFormat/>
    <w:uiPriority w:val="0"/>
    <w:pPr>
      <w:tabs>
        <w:tab w:val="left" w:pos="1560"/>
        <w:tab w:val="left" w:pos="2160"/>
      </w:tabs>
      <w:adjustRightInd w:val="0"/>
      <w:snapToGrid w:val="0"/>
      <w:spacing w:before="120" w:after="240" w:line="0" w:lineRule="atLeast"/>
      <w:ind w:left="578" w:hanging="578"/>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2027">
    <w:name w:val="文本框"/>
    <w:basedOn w:val="1"/>
    <w:qFormat/>
    <w:uiPriority w:val="0"/>
    <w:pPr>
      <w:adjustRightInd w:val="0"/>
      <w:snapToGrid w:val="0"/>
      <w:spacing w:line="300" w:lineRule="exact"/>
      <w:jc w:val="center"/>
    </w:pPr>
    <w:rPr>
      <w:sz w:val="24"/>
    </w:rPr>
  </w:style>
  <w:style w:type="paragraph" w:customStyle="1" w:styleId="2028">
    <w:name w:val="文字（居中）"/>
    <w:basedOn w:val="1"/>
    <w:qFormat/>
    <w:uiPriority w:val="0"/>
    <w:pPr>
      <w:jc w:val="center"/>
    </w:pPr>
    <w:rPr>
      <w:rFonts w:ascii="宋体"/>
      <w:kern w:val="0"/>
      <w:sz w:val="36"/>
      <w:szCs w:val="20"/>
    </w:rPr>
  </w:style>
  <w:style w:type="paragraph" w:customStyle="1" w:styleId="2029">
    <w:name w:val="样式 标题 1 + 宋体"/>
    <w:basedOn w:val="7"/>
    <w:qFormat/>
    <w:uiPriority w:val="0"/>
    <w:pPr>
      <w:keepLines/>
      <w:tabs>
        <w:tab w:val="left" w:pos="432"/>
      </w:tabs>
      <w:overflowPunct/>
      <w:snapToGrid/>
      <w:spacing w:before="0" w:after="0" w:line="576" w:lineRule="auto"/>
      <w:ind w:left="0" w:firstLine="0"/>
    </w:pPr>
    <w:rPr>
      <w:rFonts w:ascii="宋体" w:hAnsi="宋体" w:eastAsia="方正姚体"/>
      <w:bCs w:val="0"/>
      <w:color w:val="auto"/>
      <w:sz w:val="36"/>
      <w:szCs w:val="20"/>
    </w:rPr>
  </w:style>
  <w:style w:type="paragraph" w:customStyle="1" w:styleId="2030">
    <w:name w:val="123"/>
    <w:basedOn w:val="1"/>
    <w:qFormat/>
    <w:uiPriority w:val="99"/>
    <w:pPr>
      <w:spacing w:line="360" w:lineRule="auto"/>
      <w:ind w:firstLine="454"/>
    </w:pPr>
    <w:rPr>
      <w:rFonts w:eastAsia="仿宋_GB2312"/>
      <w:sz w:val="24"/>
      <w:szCs w:val="20"/>
    </w:rPr>
  </w:style>
  <w:style w:type="paragraph" w:customStyle="1" w:styleId="2031">
    <w:name w:val="批注主题4"/>
    <w:basedOn w:val="31"/>
    <w:next w:val="31"/>
    <w:qFormat/>
    <w:uiPriority w:val="0"/>
    <w:rPr>
      <w:rFonts w:ascii="Calibri" w:hAnsi="Calibri" w:eastAsia="仿宋"/>
      <w:b/>
      <w:bCs/>
      <w:sz w:val="20"/>
    </w:rPr>
  </w:style>
  <w:style w:type="paragraph" w:customStyle="1" w:styleId="2032">
    <w:name w:val="郑州2"/>
    <w:basedOn w:val="62"/>
    <w:qFormat/>
    <w:uiPriority w:val="0"/>
    <w:pPr>
      <w:widowControl w:val="0"/>
      <w:tabs>
        <w:tab w:val="right" w:leader="dot" w:pos="9060"/>
        <w:tab w:val="clear" w:pos="8778"/>
      </w:tabs>
      <w:spacing w:before="120" w:after="120"/>
      <w:ind w:firstLine="200" w:firstLineChars="200"/>
      <w:outlineLvl w:val="1"/>
    </w:pPr>
    <w:rPr>
      <w:rFonts w:cs="Times New Roman"/>
      <w:b w:val="0"/>
      <w:bCs/>
      <w:kern w:val="2"/>
      <w:sz w:val="20"/>
      <w:szCs w:val="20"/>
      <w:lang w:val="fr-FR"/>
    </w:rPr>
  </w:style>
  <w:style w:type="paragraph" w:customStyle="1" w:styleId="2033">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宋体"/>
      <w:color w:val="000000"/>
      <w:kern w:val="0"/>
      <w:sz w:val="24"/>
    </w:rPr>
  </w:style>
  <w:style w:type="paragraph" w:customStyle="1" w:styleId="2034">
    <w:name w:val="样式 标题 1章标题 1H1Section HeadHeader1h11st levell1Heading 0...2"/>
    <w:basedOn w:val="7"/>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2035">
    <w:name w:val="样式 样式 样式 标题 4 + 段前: 0.5 行 段后: 0.5 行 + 段前: 0.5 行 段后: 0.5 行6 + 段前:..."/>
    <w:basedOn w:val="2036"/>
    <w:semiHidden/>
    <w:qFormat/>
    <w:uiPriority w:val="0"/>
  </w:style>
  <w:style w:type="paragraph" w:customStyle="1" w:styleId="2036">
    <w:name w:val="样式 样式 标题 4 + 段前: 0.5 行 段后: 0.5 行 + 段前: 0.5 行 段后: 0.5 行6"/>
    <w:basedOn w:val="1730"/>
    <w:semiHidden/>
    <w:qFormat/>
    <w:uiPriority w:val="0"/>
  </w:style>
  <w:style w:type="paragraph" w:customStyle="1" w:styleId="2037">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2038">
    <w:name w:val="表格 居中"/>
    <w:basedOn w:val="1"/>
    <w:qFormat/>
    <w:uiPriority w:val="0"/>
    <w:pPr>
      <w:adjustRightInd w:val="0"/>
      <w:snapToGrid w:val="0"/>
      <w:jc w:val="center"/>
    </w:pPr>
    <w:rPr>
      <w:rFonts w:eastAsia="仿宋_GB2312"/>
      <w:szCs w:val="21"/>
    </w:rPr>
  </w:style>
  <w:style w:type="paragraph" w:customStyle="1" w:styleId="2039">
    <w:name w:val="unnamed3"/>
    <w:basedOn w:val="1"/>
    <w:qFormat/>
    <w:uiPriority w:val="0"/>
    <w:pPr>
      <w:widowControl/>
      <w:spacing w:before="100" w:beforeAutospacing="1" w:after="100" w:afterAutospacing="1" w:line="408" w:lineRule="auto"/>
      <w:jc w:val="left"/>
    </w:pPr>
    <w:rPr>
      <w:rFonts w:ascii="Arial Unicode MS" w:hAnsi="Arial Unicode MS" w:eastAsia="Arial Unicode MS" w:cs="Arial Unicode MS"/>
      <w:color w:val="000000"/>
      <w:kern w:val="0"/>
      <w:sz w:val="20"/>
      <w:szCs w:val="20"/>
    </w:rPr>
  </w:style>
  <w:style w:type="paragraph" w:customStyle="1" w:styleId="2040">
    <w:name w:val="湛江标题2"/>
    <w:basedOn w:val="8"/>
    <w:qFormat/>
    <w:uiPriority w:val="0"/>
    <w:pPr>
      <w:widowControl w:val="0"/>
      <w:numPr>
        <w:ilvl w:val="0"/>
        <w:numId w:val="0"/>
      </w:numPr>
      <w:tabs>
        <w:tab w:val="left" w:pos="482"/>
        <w:tab w:val="left" w:pos="1320"/>
      </w:tabs>
      <w:spacing w:before="120" w:after="120" w:line="240" w:lineRule="auto"/>
      <w:ind w:left="992" w:hanging="510"/>
      <w:jc w:val="both"/>
    </w:pPr>
    <w:rPr>
      <w:rFonts w:ascii="宋体" w:hAnsi="宋体" w:eastAsia="黑体" w:cs="Times New Roman"/>
      <w:b/>
      <w:bCs/>
      <w:sz w:val="36"/>
      <w:szCs w:val="32"/>
    </w:rPr>
  </w:style>
  <w:style w:type="paragraph" w:customStyle="1" w:styleId="2041">
    <w:name w:val="样式 标题 4标题 4 Char + 宋体 黑色"/>
    <w:basedOn w:val="10"/>
    <w:qFormat/>
    <w:uiPriority w:val="0"/>
    <w:pPr>
      <w:numPr>
        <w:ilvl w:val="0"/>
        <w:numId w:val="0"/>
      </w:numPr>
      <w:adjustRightInd w:val="0"/>
      <w:snapToGrid w:val="0"/>
      <w:ind w:left="709" w:hanging="709"/>
      <w:textAlignment w:val="baseline"/>
    </w:pPr>
    <w:rPr>
      <w:rFonts w:ascii="宋体" w:hAnsi="宋体"/>
      <w:b w:val="0"/>
      <w:bCs w:val="0"/>
      <w:color w:val="000000"/>
      <w:szCs w:val="20"/>
    </w:rPr>
  </w:style>
  <w:style w:type="paragraph" w:customStyle="1" w:styleId="2042">
    <w:name w:val="样式 标题 1 + 加粗"/>
    <w:basedOn w:val="7"/>
    <w:qFormat/>
    <w:uiPriority w:val="0"/>
    <w:pPr>
      <w:widowControl/>
      <w:tabs>
        <w:tab w:val="left" w:pos="425"/>
      </w:tabs>
      <w:overflowPunct/>
      <w:snapToGrid/>
      <w:spacing w:before="0" w:after="0" w:line="360" w:lineRule="auto"/>
      <w:ind w:left="425" w:hanging="425"/>
      <w:jc w:val="left"/>
    </w:pPr>
    <w:rPr>
      <w:rFonts w:ascii="宋体" w:hAnsi="宋体" w:eastAsia="宋体" w:cs="宋体"/>
      <w:b w:val="0"/>
      <w:color w:val="auto"/>
      <w:kern w:val="0"/>
      <w:sz w:val="28"/>
    </w:rPr>
  </w:style>
  <w:style w:type="paragraph" w:customStyle="1" w:styleId="2043">
    <w:name w:val="样式 小五 居中"/>
    <w:basedOn w:val="1"/>
    <w:unhideWhenUsed/>
    <w:qFormat/>
    <w:uiPriority w:val="0"/>
    <w:pPr>
      <w:spacing w:before="120" w:after="120"/>
      <w:ind w:left="578" w:hanging="578"/>
      <w:jc w:val="center"/>
    </w:pPr>
    <w:rPr>
      <w:rFonts w:ascii="宋体" w:cs="宋体"/>
      <w:kern w:val="0"/>
      <w:sz w:val="18"/>
      <w:szCs w:val="20"/>
    </w:rPr>
  </w:style>
  <w:style w:type="paragraph" w:customStyle="1" w:styleId="2044">
    <w:name w:val="CM52"/>
    <w:basedOn w:val="2"/>
    <w:next w:val="2"/>
    <w:semiHidden/>
    <w:qFormat/>
    <w:uiPriority w:val="0"/>
    <w:pPr>
      <w:adjustRightInd/>
    </w:pPr>
    <w:rPr>
      <w:rFonts w:hint="eastAsia" w:ascii="仿宋" w:hAnsi="仿宋" w:eastAsia="仿宋" w:cs="Times New Roman"/>
      <w:szCs w:val="20"/>
    </w:rPr>
  </w:style>
  <w:style w:type="paragraph" w:customStyle="1" w:styleId="2045">
    <w:name w:val="表格标题4"/>
    <w:basedOn w:val="50"/>
    <w:semiHidden/>
    <w:qFormat/>
    <w:uiPriority w:val="0"/>
    <w:pPr>
      <w:pBdr>
        <w:top w:val="single" w:color="auto" w:sz="4" w:space="1"/>
      </w:pBdr>
      <w:adjustRightInd w:val="0"/>
      <w:ind w:left="0" w:firstLine="0"/>
      <w:jc w:val="center"/>
    </w:pPr>
    <w:rPr>
      <w:rFonts w:eastAsia="宋体"/>
      <w:b/>
      <w:sz w:val="24"/>
    </w:rPr>
  </w:style>
  <w:style w:type="paragraph" w:customStyle="1" w:styleId="2046">
    <w:name w:val="默认段落字体 Para Char Char Char Char"/>
    <w:basedOn w:val="1"/>
    <w:qFormat/>
    <w:uiPriority w:val="0"/>
    <w:pPr>
      <w:widowControl/>
      <w:jc w:val="left"/>
    </w:pPr>
    <w:rPr>
      <w:rFonts w:ascii="宋体" w:hAnsi="宋体" w:cs="宋体"/>
      <w:kern w:val="0"/>
      <w:sz w:val="24"/>
    </w:rPr>
  </w:style>
  <w:style w:type="paragraph" w:customStyle="1" w:styleId="2047">
    <w:name w:val="编号项"/>
    <w:basedOn w:val="1969"/>
    <w:qFormat/>
    <w:uiPriority w:val="0"/>
    <w:pPr>
      <w:widowControl/>
      <w:numPr>
        <w:ilvl w:val="0"/>
        <w:numId w:val="26"/>
      </w:numPr>
      <w:tabs>
        <w:tab w:val="left" w:pos="425"/>
      </w:tabs>
      <w:adjustRightInd/>
      <w:snapToGrid/>
      <w:spacing w:line="240" w:lineRule="auto"/>
      <w:ind w:firstLine="0" w:firstLineChars="0"/>
      <w:jc w:val="left"/>
    </w:pPr>
    <w:rPr>
      <w:kern w:val="2"/>
      <w:sz w:val="24"/>
    </w:rPr>
  </w:style>
  <w:style w:type="paragraph" w:customStyle="1" w:styleId="2048">
    <w:name w:val="样式 标题 2标题 2 Char Char Char节节标题 1.1H2（一）Underrubrik1prop2...3"/>
    <w:basedOn w:val="1"/>
    <w:qFormat/>
    <w:uiPriority w:val="0"/>
    <w:pPr>
      <w:widowControl/>
      <w:jc w:val="left"/>
    </w:pPr>
    <w:rPr>
      <w:rFonts w:ascii="宋体" w:hAnsi="宋体" w:cs="宋体"/>
      <w:kern w:val="0"/>
      <w:sz w:val="28"/>
      <w:szCs w:val="20"/>
    </w:rPr>
  </w:style>
  <w:style w:type="paragraph" w:customStyle="1" w:styleId="204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1"/>
    </w:rPr>
  </w:style>
  <w:style w:type="paragraph" w:customStyle="1" w:styleId="2050">
    <w:name w:val="Institution"/>
    <w:basedOn w:val="1"/>
    <w:next w:val="2051"/>
    <w:unhideWhenUsed/>
    <w:qFormat/>
    <w:uiPriority w:val="0"/>
    <w:pPr>
      <w:widowControl/>
      <w:tabs>
        <w:tab w:val="left" w:pos="2160"/>
        <w:tab w:val="right" w:pos="6480"/>
      </w:tabs>
      <w:spacing w:before="220" w:after="60" w:line="220" w:lineRule="atLeast"/>
      <w:ind w:left="578" w:right="-360" w:hanging="578"/>
      <w:jc w:val="left"/>
    </w:pPr>
    <w:rPr>
      <w:rFonts w:ascii="宋体"/>
      <w:kern w:val="0"/>
      <w:sz w:val="20"/>
      <w:szCs w:val="20"/>
    </w:rPr>
  </w:style>
  <w:style w:type="paragraph" w:customStyle="1" w:styleId="2051">
    <w:name w:val="Achievement"/>
    <w:basedOn w:val="37"/>
    <w:unhideWhenUsed/>
    <w:qFormat/>
    <w:uiPriority w:val="0"/>
    <w:pPr>
      <w:tabs>
        <w:tab w:val="left" w:pos="360"/>
      </w:tabs>
      <w:adjustRightInd w:val="0"/>
      <w:snapToGrid/>
      <w:spacing w:before="120" w:after="60" w:line="220" w:lineRule="atLeast"/>
      <w:ind w:left="360" w:right="-360" w:hanging="360"/>
      <w:jc w:val="left"/>
      <w:textAlignment w:val="baseline"/>
    </w:pPr>
    <w:rPr>
      <w:sz w:val="20"/>
    </w:rPr>
  </w:style>
  <w:style w:type="paragraph" w:customStyle="1" w:styleId="2052">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2053">
    <w:name w:val="tj专题-标题4"/>
    <w:next w:val="1"/>
    <w:qFormat/>
    <w:uiPriority w:val="0"/>
    <w:pPr>
      <w:spacing w:line="360" w:lineRule="auto"/>
      <w:ind w:firstLine="200" w:firstLineChars="200"/>
      <w:outlineLvl w:val="4"/>
    </w:pPr>
    <w:rPr>
      <w:rFonts w:ascii="宋体" w:hAnsi="宋体" w:eastAsia="宋体" w:cs="宋体"/>
      <w:kern w:val="2"/>
      <w:sz w:val="21"/>
      <w:lang w:val="en-US" w:eastAsia="zh-CN" w:bidi="ar-SA"/>
    </w:rPr>
  </w:style>
  <w:style w:type="paragraph" w:customStyle="1" w:styleId="2054">
    <w:name w:val="xl175"/>
    <w:basedOn w:val="1"/>
    <w:qFormat/>
    <w:uiPriority w:val="0"/>
    <w:pPr>
      <w:widowControl/>
      <w:pBdr>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055">
    <w:name w:val="样式 标题 3标题 3 Char Char条标题1.1.13h33rd levelH3l3CT标题 3 Cha..."/>
    <w:basedOn w:val="9"/>
    <w:qFormat/>
    <w:uiPriority w:val="0"/>
    <w:pPr>
      <w:numPr>
        <w:ilvl w:val="0"/>
        <w:numId w:val="0"/>
      </w:num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2056">
    <w:name w:val="xl74"/>
    <w:basedOn w:val="1"/>
    <w:qFormat/>
    <w:uiPriority w:val="0"/>
    <w:pPr>
      <w:widowControl/>
      <w:pBdr>
        <w:left w:val="single" w:color="000000" w:sz="8" w:space="0"/>
        <w:bottom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2057">
    <w:name w:val="样式 标题2级 + 段前: 1 行 段后: 1 行"/>
    <w:basedOn w:val="1"/>
    <w:qFormat/>
    <w:uiPriority w:val="0"/>
    <w:pPr>
      <w:tabs>
        <w:tab w:val="left" w:pos="510"/>
      </w:tabs>
      <w:spacing w:before="120" w:after="120" w:line="360" w:lineRule="auto"/>
      <w:ind w:left="578" w:firstLine="482" w:firstLineChars="200"/>
    </w:pPr>
    <w:rPr>
      <w:rFonts w:ascii="宋体"/>
      <w:kern w:val="0"/>
      <w:sz w:val="34"/>
      <w:szCs w:val="20"/>
    </w:rPr>
  </w:style>
  <w:style w:type="paragraph" w:customStyle="1" w:styleId="2058">
    <w:name w:val="样式 标题 3标题 3 Char标题 3 Char Char Char Char Char Char Char Char C...3"/>
    <w:basedOn w:val="9"/>
    <w:qFormat/>
    <w:uiPriority w:val="0"/>
    <w:pPr>
      <w:tabs>
        <w:tab w:val="left" w:pos="1260"/>
      </w:tabs>
      <w:ind w:left="1260" w:hanging="420"/>
    </w:pPr>
    <w:rPr>
      <w:b/>
      <w:color w:val="000000"/>
      <w:sz w:val="24"/>
      <w:szCs w:val="20"/>
    </w:rPr>
  </w:style>
  <w:style w:type="paragraph" w:customStyle="1" w:styleId="2059">
    <w:name w:val="样式 标题 3标题 3 Char Char条标题1.1.13h33rd levelH3l3CT + 黑色"/>
    <w:basedOn w:val="9"/>
    <w:qFormat/>
    <w:uiPriority w:val="0"/>
    <w:pPr>
      <w:numPr>
        <w:ilvl w:val="0"/>
        <w:numId w:val="0"/>
      </w:numPr>
      <w:tabs>
        <w:tab w:val="left" w:pos="870"/>
        <w:tab w:val="left" w:pos="1335"/>
        <w:tab w:val="left" w:pos="1456"/>
      </w:tabs>
      <w:snapToGrid w:val="0"/>
      <w:ind w:left="717" w:hanging="567"/>
    </w:pPr>
    <w:rPr>
      <w:rFonts w:ascii="Times New Roman" w:hAnsi="Times New Roman"/>
      <w:color w:val="000000"/>
      <w:szCs w:val="20"/>
    </w:rPr>
  </w:style>
  <w:style w:type="paragraph" w:customStyle="1" w:styleId="2060">
    <w:name w:val="环标1"/>
    <w:basedOn w:val="7"/>
    <w:qFormat/>
    <w:uiPriority w:val="0"/>
    <w:pPr>
      <w:keepLines/>
      <w:overflowPunct/>
      <w:adjustRightInd w:val="0"/>
      <w:snapToGrid/>
      <w:spacing w:before="0" w:after="0" w:line="312" w:lineRule="atLeast"/>
      <w:ind w:left="0" w:firstLine="0"/>
      <w:jc w:val="left"/>
      <w:textAlignment w:val="baseline"/>
    </w:pPr>
    <w:rPr>
      <w:rFonts w:ascii="宋体" w:hAnsi="Courier New" w:eastAsia="宋体"/>
      <w:bCs w:val="0"/>
      <w:color w:val="auto"/>
      <w:sz w:val="28"/>
      <w:szCs w:val="20"/>
    </w:rPr>
  </w:style>
  <w:style w:type="paragraph" w:customStyle="1" w:styleId="2061">
    <w:name w:val="初设正文"/>
    <w:basedOn w:val="1"/>
    <w:qFormat/>
    <w:uiPriority w:val="0"/>
    <w:pPr>
      <w:spacing w:after="120" w:line="440" w:lineRule="exact"/>
      <w:ind w:left="425" w:firstLine="425"/>
    </w:pPr>
    <w:rPr>
      <w:rFonts w:ascii="Arial" w:hAnsi="Arial" w:cs="宋体"/>
      <w:kern w:val="0"/>
      <w:sz w:val="34"/>
      <w:szCs w:val="20"/>
    </w:rPr>
  </w:style>
  <w:style w:type="paragraph" w:customStyle="1" w:styleId="2062">
    <w:name w:val="样式 样式 表格文字—五号 +2 + 行距: 多倍行距 1.3 字行1"/>
    <w:basedOn w:val="2063"/>
    <w:unhideWhenUsed/>
    <w:qFormat/>
    <w:uiPriority w:val="0"/>
  </w:style>
  <w:style w:type="paragraph" w:customStyle="1" w:styleId="2063">
    <w:name w:val="样式 表格文字—五号 +2"/>
    <w:basedOn w:val="957"/>
    <w:qFormat/>
    <w:uiPriority w:val="0"/>
    <w:rPr>
      <w:rFonts w:cs="宋体"/>
      <w:szCs w:val="20"/>
    </w:rPr>
  </w:style>
  <w:style w:type="paragraph" w:customStyle="1" w:styleId="2064">
    <w:name w:val="样式 标题 4 + 黑色 行距: 固定值 25 磅"/>
    <w:basedOn w:val="10"/>
    <w:qFormat/>
    <w:uiPriority w:val="0"/>
    <w:pPr>
      <w:numPr>
        <w:ilvl w:val="0"/>
        <w:numId w:val="0"/>
      </w:num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065">
    <w:name w:val="Char Char Char1"/>
    <w:basedOn w:val="1"/>
    <w:qFormat/>
    <w:uiPriority w:val="0"/>
    <w:rPr>
      <w:szCs w:val="20"/>
    </w:rPr>
  </w:style>
  <w:style w:type="paragraph" w:customStyle="1" w:styleId="2066">
    <w:name w:val="表16.5"/>
    <w:basedOn w:val="1935"/>
    <w:qFormat/>
    <w:uiPriority w:val="0"/>
    <w:pPr>
      <w:widowControl/>
      <w:numPr>
        <w:numId w:val="0"/>
      </w:numPr>
      <w:spacing w:beforeLines="0" w:after="100" w:line="360" w:lineRule="atLeast"/>
      <w:jc w:val="center"/>
      <w:textAlignment w:val="baseline"/>
    </w:pPr>
    <w:rPr>
      <w:rFonts w:ascii="宋体" w:hAnsi="宋体" w:eastAsia="宋体"/>
      <w:b w:val="0"/>
      <w:spacing w:val="0"/>
      <w:sz w:val="20"/>
    </w:rPr>
  </w:style>
  <w:style w:type="paragraph" w:customStyle="1" w:styleId="2067">
    <w:name w:val="Body Text 23"/>
    <w:basedOn w:val="1"/>
    <w:qFormat/>
    <w:uiPriority w:val="0"/>
    <w:pPr>
      <w:autoSpaceDE w:val="0"/>
      <w:autoSpaceDN w:val="0"/>
      <w:adjustRightInd w:val="0"/>
      <w:spacing w:line="500" w:lineRule="atLeast"/>
      <w:ind w:firstLine="600"/>
      <w:jc w:val="left"/>
      <w:textAlignment w:val="bottom"/>
    </w:pPr>
    <w:rPr>
      <w:rFonts w:ascii="宋体"/>
      <w:kern w:val="0"/>
      <w:sz w:val="28"/>
      <w:szCs w:val="20"/>
    </w:rPr>
  </w:style>
  <w:style w:type="paragraph" w:customStyle="1" w:styleId="2068">
    <w:name w:val="样式 标题 3标题 3 Char Char条标题1.1.13h33rd levelH3l3CT标题 3 Cha...2"/>
    <w:basedOn w:val="9"/>
    <w:qFormat/>
    <w:uiPriority w:val="0"/>
    <w:pPr>
      <w:numPr>
        <w:ilvl w:val="0"/>
        <w:numId w:val="0"/>
      </w:numPr>
      <w:tabs>
        <w:tab w:val="left" w:pos="870"/>
        <w:tab w:val="left" w:pos="1335"/>
        <w:tab w:val="left" w:pos="1456"/>
      </w:tabs>
      <w:snapToGrid w:val="0"/>
      <w:ind w:left="717" w:hanging="567"/>
    </w:pPr>
    <w:rPr>
      <w:rFonts w:ascii="Times New Roman" w:hAnsi="Times New Roman"/>
      <w:bCs w:val="0"/>
      <w:szCs w:val="20"/>
    </w:rPr>
  </w:style>
  <w:style w:type="paragraph" w:customStyle="1" w:styleId="2069">
    <w:name w:val="CM117"/>
    <w:basedOn w:val="2"/>
    <w:next w:val="2"/>
    <w:qFormat/>
    <w:uiPriority w:val="0"/>
    <w:pPr>
      <w:spacing w:after="162"/>
    </w:pPr>
    <w:rPr>
      <w:rFonts w:ascii="黑体" w:eastAsia="黑体" w:cs="Times New Roman"/>
      <w:color w:val="auto"/>
    </w:rPr>
  </w:style>
  <w:style w:type="paragraph" w:customStyle="1" w:styleId="2070">
    <w:name w:val="较紧表格"/>
    <w:basedOn w:val="957"/>
    <w:qFormat/>
    <w:uiPriority w:val="0"/>
    <w:pPr>
      <w:spacing w:beforeLines="10" w:afterLines="10"/>
    </w:pPr>
  </w:style>
  <w:style w:type="paragraph" w:customStyle="1" w:styleId="207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072">
    <w:name w:val="封里3"/>
    <w:basedOn w:val="1"/>
    <w:qFormat/>
    <w:uiPriority w:val="0"/>
    <w:pPr>
      <w:adjustRightInd w:val="0"/>
      <w:snapToGrid w:val="0"/>
      <w:spacing w:line="360" w:lineRule="auto"/>
      <w:ind w:firstLine="600" w:firstLineChars="200"/>
    </w:pPr>
    <w:rPr>
      <w:rFonts w:ascii="宋体"/>
      <w:bCs/>
      <w:spacing w:val="10"/>
      <w:kern w:val="0"/>
      <w:sz w:val="34"/>
      <w:szCs w:val="32"/>
    </w:rPr>
  </w:style>
  <w:style w:type="paragraph" w:customStyle="1" w:styleId="2073">
    <w:name w:val="xl30"/>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rPr>
  </w:style>
  <w:style w:type="paragraph" w:customStyle="1" w:styleId="2074">
    <w:name w:val="样式 标题 1 + 左侧:  0 厘米 首行缩进:  0 厘米"/>
    <w:basedOn w:val="7"/>
    <w:qFormat/>
    <w:uiPriority w:val="0"/>
    <w:pPr>
      <w:widowControl/>
      <w:tabs>
        <w:tab w:val="left" w:pos="425"/>
      </w:tabs>
      <w:overflowPunct/>
      <w:snapToGrid/>
      <w:spacing w:before="0" w:after="0" w:line="360" w:lineRule="auto"/>
      <w:ind w:left="0" w:firstLine="0"/>
      <w:jc w:val="left"/>
    </w:pPr>
    <w:rPr>
      <w:rFonts w:ascii="宋体" w:hAnsi="宋体" w:eastAsia="宋体" w:cs="宋体"/>
      <w:b w:val="0"/>
      <w:bCs w:val="0"/>
      <w:color w:val="auto"/>
      <w:kern w:val="0"/>
      <w:sz w:val="32"/>
      <w:szCs w:val="24"/>
    </w:rPr>
  </w:style>
  <w:style w:type="paragraph" w:customStyle="1" w:styleId="2075">
    <w:name w:val="样式 标题 2 + 四号"/>
    <w:basedOn w:val="1"/>
    <w:qFormat/>
    <w:uiPriority w:val="0"/>
    <w:pPr>
      <w:spacing w:line="360" w:lineRule="auto"/>
    </w:pPr>
    <w:rPr>
      <w:rFonts w:ascii="宋体"/>
      <w:kern w:val="0"/>
      <w:sz w:val="34"/>
      <w:szCs w:val="20"/>
    </w:rPr>
  </w:style>
  <w:style w:type="paragraph" w:customStyle="1" w:styleId="2076">
    <w:name w:val="样式 标题 11.标题 1章标题 1H1Section HeadHeader1h11st levell1Hea..."/>
    <w:basedOn w:val="7"/>
    <w:qFormat/>
    <w:uiPriority w:val="0"/>
    <w:pPr>
      <w:keepLines/>
      <w:widowControl/>
      <w:tabs>
        <w:tab w:val="left" w:pos="425"/>
      </w:tabs>
      <w:overflowPunct/>
      <w:snapToGrid/>
      <w:spacing w:before="0" w:after="0" w:line="360" w:lineRule="auto"/>
      <w:ind w:left="425" w:hanging="425"/>
      <w:jc w:val="left"/>
    </w:pPr>
    <w:rPr>
      <w:rFonts w:ascii="宋体" w:hAnsi="宋体" w:eastAsia="宋体" w:cs="宋体"/>
      <w:b w:val="0"/>
      <w:bCs w:val="0"/>
      <w:color w:val="auto"/>
      <w:szCs w:val="24"/>
    </w:rPr>
  </w:style>
  <w:style w:type="paragraph" w:customStyle="1" w:styleId="2077">
    <w:name w:val="样式 标题 2标题 2 Char节节标题 1.1H2（一）Underrubrik1prop2Heading 2 ..."/>
    <w:basedOn w:val="8"/>
    <w:qFormat/>
    <w:uiPriority w:val="0"/>
    <w:pPr>
      <w:numPr>
        <w:ilvl w:val="0"/>
        <w:numId w:val="0"/>
      </w:numPr>
      <w:tabs>
        <w:tab w:val="left" w:pos="576"/>
      </w:tabs>
      <w:ind w:left="567" w:hanging="567"/>
    </w:pPr>
    <w:rPr>
      <w:rFonts w:ascii="Times New Roman" w:hAnsi="Times New Roman"/>
      <w:b/>
      <w:sz w:val="28"/>
      <w:szCs w:val="30"/>
    </w:rPr>
  </w:style>
  <w:style w:type="paragraph" w:customStyle="1" w:styleId="2078">
    <w:name w:val="样式 样式 标题 4 + 段前: 0.5 行 段后: 0.5 行 + 段前: 0.5 行 段后: 0.5 行1"/>
    <w:basedOn w:val="1730"/>
    <w:semiHidden/>
    <w:qFormat/>
    <w:uiPriority w:val="0"/>
    <w:pPr>
      <w:adjustRightInd w:val="0"/>
    </w:pPr>
  </w:style>
  <w:style w:type="paragraph" w:customStyle="1" w:styleId="2079">
    <w:name w:val="Body Text First Indent3"/>
    <w:basedOn w:val="37"/>
    <w:qFormat/>
    <w:uiPriority w:val="0"/>
    <w:pPr>
      <w:widowControl w:val="0"/>
      <w:snapToGrid/>
      <w:spacing w:before="120" w:after="120" w:line="240" w:lineRule="auto"/>
      <w:ind w:right="0" w:firstLine="567"/>
    </w:pPr>
    <w:rPr>
      <w:sz w:val="28"/>
    </w:rPr>
  </w:style>
  <w:style w:type="paragraph" w:customStyle="1" w:styleId="2080">
    <w:name w:val="样式 标题 1章标题 1H1Section HeadHeader1h11st levell1Heading 0...3"/>
    <w:basedOn w:val="7"/>
    <w:qFormat/>
    <w:uiPriority w:val="0"/>
    <w:pPr>
      <w:widowControl/>
      <w:overflowPunct/>
      <w:snapToGrid/>
      <w:spacing w:before="0" w:after="0" w:line="360" w:lineRule="auto"/>
      <w:ind w:left="425" w:hanging="425"/>
      <w:jc w:val="left"/>
    </w:pPr>
    <w:rPr>
      <w:rFonts w:ascii="宋体" w:hAnsi="宋体" w:eastAsia="宋体" w:cs="宋体"/>
      <w:b w:val="0"/>
      <w:kern w:val="0"/>
      <w:sz w:val="32"/>
      <w:szCs w:val="24"/>
    </w:rPr>
  </w:style>
  <w:style w:type="paragraph" w:customStyle="1" w:styleId="2081">
    <w:name w:val="标题  1"/>
    <w:basedOn w:val="1"/>
    <w:semiHidden/>
    <w:qFormat/>
    <w:uiPriority w:val="0"/>
    <w:pPr>
      <w:tabs>
        <w:tab w:val="left" w:pos="425"/>
      </w:tabs>
      <w:spacing w:line="360" w:lineRule="auto"/>
      <w:ind w:left="425" w:hanging="425"/>
    </w:pPr>
    <w:rPr>
      <w:rFonts w:ascii="Tahoma" w:hAnsi="Tahoma"/>
      <w:kern w:val="0"/>
      <w:sz w:val="34"/>
      <w:szCs w:val="20"/>
    </w:rPr>
  </w:style>
  <w:style w:type="paragraph" w:customStyle="1" w:styleId="2082">
    <w:name w:val="Char Char Char Char Char Char Char Char Char Char Char Char Char Char Char Char Char Char Char"/>
    <w:basedOn w:val="1"/>
    <w:qFormat/>
    <w:uiPriority w:val="0"/>
    <w:rPr>
      <w:sz w:val="24"/>
    </w:rPr>
  </w:style>
  <w:style w:type="paragraph" w:customStyle="1" w:styleId="2083">
    <w:name w:val="Char Char Char Char Char Char4"/>
    <w:basedOn w:val="1"/>
    <w:qFormat/>
    <w:uiPriority w:val="0"/>
    <w:rPr>
      <w:rFonts w:ascii="宋体"/>
      <w:kern w:val="0"/>
      <w:sz w:val="34"/>
      <w:szCs w:val="20"/>
    </w:rPr>
  </w:style>
  <w:style w:type="paragraph" w:customStyle="1" w:styleId="2084">
    <w:name w:val="样式 标题 3标题 3 Char Char条标题1.1.13h33rd levelH3l3CT + 黑色 行距..."/>
    <w:basedOn w:val="9"/>
    <w:qFormat/>
    <w:uiPriority w:val="0"/>
    <w:pPr>
      <w:numPr>
        <w:ilvl w:val="0"/>
        <w:numId w:val="0"/>
      </w:num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2085">
    <w:name w:val="font6"/>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2086">
    <w:name w:val="Bullet 1"/>
    <w:basedOn w:val="1"/>
    <w:next w:val="1"/>
    <w:unhideWhenUsed/>
    <w:qFormat/>
    <w:uiPriority w:val="0"/>
    <w:pPr>
      <w:widowControl/>
      <w:tabs>
        <w:tab w:val="left" w:pos="482"/>
        <w:tab w:val="left" w:pos="1440"/>
      </w:tabs>
      <w:spacing w:before="120" w:after="120"/>
      <w:ind w:left="2160" w:hanging="482"/>
      <w:jc w:val="left"/>
    </w:pPr>
    <w:rPr>
      <w:rFonts w:ascii="Arial" w:hAnsi="Arial"/>
      <w:kern w:val="0"/>
      <w:sz w:val="20"/>
      <w:szCs w:val="20"/>
    </w:rPr>
  </w:style>
  <w:style w:type="paragraph" w:customStyle="1" w:styleId="2087">
    <w:name w:val="注"/>
    <w:basedOn w:val="1"/>
    <w:next w:val="1"/>
    <w:qFormat/>
    <w:uiPriority w:val="0"/>
    <w:rPr>
      <w:rFonts w:ascii="楷体_GB2312" w:eastAsia="楷体_GB2312"/>
      <w:b/>
      <w:kern w:val="0"/>
      <w:sz w:val="18"/>
      <w:szCs w:val="18"/>
    </w:rPr>
  </w:style>
  <w:style w:type="paragraph" w:customStyle="1" w:styleId="2088">
    <w:name w:val="样式 揭大林正文 + 首行缩进:  2 字符"/>
    <w:basedOn w:val="1"/>
    <w:qFormat/>
    <w:uiPriority w:val="0"/>
    <w:pPr>
      <w:widowControl/>
      <w:spacing w:line="480" w:lineRule="exact"/>
      <w:ind w:firstLine="480" w:firstLineChars="200"/>
    </w:pPr>
    <w:rPr>
      <w:rFonts w:ascii="宋体" w:hAnsi="宋体" w:cs="宋体"/>
      <w:kern w:val="0"/>
      <w:sz w:val="34"/>
      <w:szCs w:val="20"/>
    </w:rPr>
  </w:style>
  <w:style w:type="paragraph" w:customStyle="1" w:styleId="2089">
    <w:name w:val="四级无标题条"/>
    <w:basedOn w:val="1"/>
    <w:qFormat/>
    <w:uiPriority w:val="0"/>
    <w:pPr>
      <w:widowControl/>
      <w:jc w:val="left"/>
    </w:pPr>
    <w:rPr>
      <w:rFonts w:ascii="宋体" w:hAnsi="宋体" w:cs="宋体"/>
      <w:kern w:val="0"/>
      <w:sz w:val="24"/>
    </w:rPr>
  </w:style>
  <w:style w:type="paragraph" w:customStyle="1" w:styleId="2090">
    <w:name w:val="Char2 Char Char Char"/>
    <w:basedOn w:val="1"/>
    <w:qFormat/>
    <w:uiPriority w:val="0"/>
    <w:pPr>
      <w:tabs>
        <w:tab w:val="left" w:pos="1360"/>
      </w:tabs>
      <w:ind w:left="1360" w:hanging="720"/>
    </w:pPr>
    <w:rPr>
      <w:rFonts w:ascii="宋体"/>
      <w:kern w:val="0"/>
      <w:szCs w:val="20"/>
    </w:rPr>
  </w:style>
  <w:style w:type="paragraph" w:customStyle="1" w:styleId="2091">
    <w:name w:val="样式 标题 2h22Header 2nd PageA.B.C.h2 main headingAChapter Ti..."/>
    <w:basedOn w:val="8"/>
    <w:semiHidden/>
    <w:qFormat/>
    <w:uiPriority w:val="0"/>
    <w:pPr>
      <w:numPr>
        <w:ilvl w:val="0"/>
        <w:numId w:val="0"/>
      </w:numPr>
      <w:adjustRightInd w:val="0"/>
      <w:snapToGrid w:val="0"/>
      <w:ind w:left="346" w:hanging="346" w:firstLineChars="200"/>
      <w:textAlignment w:val="baseline"/>
    </w:pPr>
    <w:rPr>
      <w:rFonts w:ascii="黑体" w:hAnsi="宋体" w:eastAsia="黑体"/>
      <w:b/>
      <w:bCs/>
      <w:spacing w:val="-2"/>
      <w:sz w:val="24"/>
      <w:szCs w:val="20"/>
    </w:rPr>
  </w:style>
  <w:style w:type="paragraph" w:customStyle="1" w:styleId="2092">
    <w:name w:val="样式 标题 2标题 2 Char标题 2 Char Char Char节节标题 1.1H2（一）Underrubr...3"/>
    <w:basedOn w:val="8"/>
    <w:qFormat/>
    <w:uiPriority w:val="0"/>
    <w:pPr>
      <w:tabs>
        <w:tab w:val="left" w:pos="741"/>
      </w:tabs>
      <w:ind w:left="741"/>
    </w:pPr>
    <w:rPr>
      <w:rFonts w:ascii="Times New Roman" w:hAnsi="Times New Roman"/>
      <w:bCs/>
      <w:color w:val="000000"/>
      <w:szCs w:val="28"/>
    </w:rPr>
  </w:style>
  <w:style w:type="paragraph" w:customStyle="1" w:styleId="2093">
    <w:name w:val="表蕊"/>
    <w:basedOn w:val="1"/>
    <w:qFormat/>
    <w:uiPriority w:val="0"/>
    <w:pPr>
      <w:adjustRightInd w:val="0"/>
      <w:spacing w:line="320" w:lineRule="atLeast"/>
      <w:jc w:val="left"/>
      <w:textAlignment w:val="baseline"/>
    </w:pPr>
    <w:rPr>
      <w:rFonts w:ascii="宋体" w:eastAsia="楷体_GB2312"/>
      <w:spacing w:val="-10"/>
      <w:kern w:val="0"/>
      <w:szCs w:val="20"/>
    </w:rPr>
  </w:style>
  <w:style w:type="paragraph" w:customStyle="1" w:styleId="2094">
    <w:name w:val="样式 标题 3标题 3 Char标题 3 Char Char Char Char Char Char Char Char C..."/>
    <w:basedOn w:val="9"/>
    <w:qFormat/>
    <w:uiPriority w:val="0"/>
    <w:pPr>
      <w:tabs>
        <w:tab w:val="left" w:pos="840"/>
      </w:tabs>
      <w:ind w:left="840" w:hanging="360"/>
    </w:pPr>
    <w:rPr>
      <w:b/>
      <w:bCs w:val="0"/>
      <w:sz w:val="24"/>
      <w:szCs w:val="20"/>
    </w:rPr>
  </w:style>
  <w:style w:type="paragraph" w:customStyle="1" w:styleId="2095">
    <w:name w:val="样式 Arial 居中 底端: (单实线 自动设置  0.75 磅 行宽)"/>
    <w:basedOn w:val="1"/>
    <w:qFormat/>
    <w:uiPriority w:val="0"/>
    <w:pPr>
      <w:jc w:val="center"/>
    </w:pPr>
    <w:rPr>
      <w:rFonts w:ascii="Arial" w:hAnsi="Arial" w:cs="宋体"/>
      <w:kern w:val="0"/>
      <w:szCs w:val="20"/>
    </w:rPr>
  </w:style>
  <w:style w:type="paragraph" w:customStyle="1" w:styleId="2096">
    <w:name w:val="样式 样式4 + 字距调整小四"/>
    <w:basedOn w:val="1"/>
    <w:qFormat/>
    <w:uiPriority w:val="0"/>
    <w:pPr>
      <w:spacing w:before="280"/>
    </w:pPr>
    <w:rPr>
      <w:rFonts w:ascii="Arial" w:hAnsi="Arial" w:eastAsia="楷体_GB2312" w:cs="Arial"/>
      <w:kern w:val="24"/>
      <w:sz w:val="34"/>
      <w:szCs w:val="20"/>
    </w:rPr>
  </w:style>
  <w:style w:type="paragraph" w:customStyle="1" w:styleId="2097">
    <w:name w:val="Char Char Char Char Char Char1 Char Char Char Char Char Char Char Char Char Char Char Char Char Char Char Char Char Char1 Char Char Char Char Char Char Char Char Char Char Char Char Char1"/>
    <w:basedOn w:val="1"/>
    <w:qFormat/>
    <w:uiPriority w:val="0"/>
    <w:rPr>
      <w:rFonts w:ascii="宋体"/>
      <w:kern w:val="0"/>
      <w:sz w:val="24"/>
      <w:szCs w:val="20"/>
    </w:rPr>
  </w:style>
  <w:style w:type="paragraph" w:customStyle="1" w:styleId="2098">
    <w:name w:val="table1"/>
    <w:basedOn w:val="1"/>
    <w:qFormat/>
    <w:uiPriority w:val="0"/>
    <w:pPr>
      <w:adjustRightInd w:val="0"/>
      <w:spacing w:line="240" w:lineRule="atLeast"/>
      <w:jc w:val="center"/>
      <w:textAlignment w:val="baseline"/>
    </w:pPr>
    <w:rPr>
      <w:rFonts w:ascii="宋体" w:eastAsia="黑体"/>
      <w:kern w:val="0"/>
      <w:sz w:val="34"/>
      <w:szCs w:val="20"/>
    </w:rPr>
  </w:style>
  <w:style w:type="paragraph" w:customStyle="1" w:styleId="2099">
    <w:name w:val="标题11"/>
    <w:basedOn w:val="1"/>
    <w:next w:val="1"/>
    <w:qFormat/>
    <w:uiPriority w:val="0"/>
    <w:pPr>
      <w:widowControl/>
      <w:tabs>
        <w:tab w:val="left" w:pos="425"/>
      </w:tabs>
      <w:ind w:left="425" w:hanging="425"/>
      <w:jc w:val="left"/>
    </w:pPr>
    <w:rPr>
      <w:rFonts w:ascii="宋体" w:hAnsi="宋体" w:cs="宋体"/>
      <w:kern w:val="0"/>
      <w:sz w:val="32"/>
      <w:szCs w:val="20"/>
    </w:rPr>
  </w:style>
  <w:style w:type="paragraph" w:customStyle="1" w:styleId="2100">
    <w:name w:val="五级条标题"/>
    <w:basedOn w:val="1856"/>
    <w:next w:val="1"/>
    <w:qFormat/>
    <w:uiPriority w:val="0"/>
    <w:pPr>
      <w:outlineLvl w:val="6"/>
    </w:pPr>
  </w:style>
  <w:style w:type="paragraph" w:customStyle="1" w:styleId="2101">
    <w:name w:val="样式 样式 样式 样式 标题 4 + 段前: 0.5 行 段后: 0.5 行 + 段前: 0.5 行 段后: 0.5 行6 + ..."/>
    <w:basedOn w:val="2035"/>
    <w:semiHidden/>
    <w:qFormat/>
    <w:uiPriority w:val="0"/>
  </w:style>
  <w:style w:type="paragraph" w:customStyle="1" w:styleId="2102">
    <w:name w:val="Char Char Char Char Char Char Char4"/>
    <w:basedOn w:val="1"/>
    <w:qFormat/>
    <w:uiPriority w:val="0"/>
    <w:pPr>
      <w:widowControl/>
      <w:spacing w:after="160" w:line="240" w:lineRule="exact"/>
      <w:jc w:val="left"/>
    </w:pPr>
    <w:rPr>
      <w:rFonts w:ascii="Verdana" w:hAnsi="Verdana"/>
      <w:kern w:val="0"/>
      <w:sz w:val="20"/>
      <w:szCs w:val="20"/>
      <w:lang w:eastAsia="en-US"/>
    </w:rPr>
  </w:style>
  <w:style w:type="paragraph" w:customStyle="1" w:styleId="2103">
    <w:name w:val="AAAAAAAAAAAA"/>
    <w:basedOn w:val="1"/>
    <w:qFormat/>
    <w:uiPriority w:val="0"/>
    <w:pPr>
      <w:jc w:val="center"/>
    </w:pPr>
    <w:rPr>
      <w:rFonts w:ascii="宋体" w:hAnsi="宋体"/>
      <w:kern w:val="0"/>
      <w:szCs w:val="20"/>
    </w:rPr>
  </w:style>
  <w:style w:type="paragraph" w:customStyle="1" w:styleId="2104">
    <w:name w:val="Char Char1 Char Char Char Char Char Char Char Char Char Char Char Char Char Char Char Char Char Char Char Char1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105">
    <w:name w:val="正文缩进5"/>
    <w:basedOn w:val="1"/>
    <w:qFormat/>
    <w:uiPriority w:val="0"/>
    <w:pPr>
      <w:ind w:firstLine="420" w:firstLineChars="200"/>
    </w:pPr>
    <w:rPr>
      <w:rFonts w:ascii="宋体"/>
      <w:kern w:val="0"/>
      <w:szCs w:val="20"/>
    </w:rPr>
  </w:style>
  <w:style w:type="paragraph" w:customStyle="1" w:styleId="2106">
    <w:name w:val="0表格格式"/>
    <w:basedOn w:val="1"/>
    <w:qFormat/>
    <w:uiPriority w:val="0"/>
    <w:pPr>
      <w:widowControl/>
      <w:jc w:val="center"/>
    </w:pPr>
    <w:rPr>
      <w:rFonts w:ascii="Calibri" w:hAnsi="Calibri"/>
      <w:kern w:val="0"/>
      <w:szCs w:val="21"/>
    </w:rPr>
  </w:style>
  <w:style w:type="paragraph" w:customStyle="1" w:styleId="2107">
    <w:name w:val="正文缩"/>
    <w:basedOn w:val="54"/>
    <w:qFormat/>
    <w:uiPriority w:val="0"/>
    <w:pPr>
      <w:widowControl w:val="0"/>
      <w:adjustRightInd w:val="0"/>
      <w:snapToGrid w:val="0"/>
      <w:spacing w:line="480" w:lineRule="atLeast"/>
      <w:ind w:left="0" w:firstLine="567" w:firstLineChars="0"/>
      <w:jc w:val="both"/>
    </w:pPr>
    <w:rPr>
      <w:rFonts w:hAnsi="Times New Roman" w:cs="Times New Roman"/>
      <w:snapToGrid w:val="0"/>
      <w:spacing w:val="6"/>
      <w:sz w:val="28"/>
      <w:szCs w:val="28"/>
    </w:rPr>
  </w:style>
  <w:style w:type="paragraph" w:customStyle="1" w:styleId="2108">
    <w:name w:val="Char3 Char Char Char2"/>
    <w:basedOn w:val="1"/>
    <w:qFormat/>
    <w:uiPriority w:val="0"/>
    <w:pPr>
      <w:spacing w:line="340" w:lineRule="exact"/>
      <w:ind w:firstLine="10" w:firstLineChars="4"/>
    </w:pPr>
    <w:rPr>
      <w:rFonts w:ascii="宋体"/>
      <w:kern w:val="0"/>
      <w:sz w:val="28"/>
      <w:szCs w:val="28"/>
    </w:rPr>
  </w:style>
  <w:style w:type="paragraph" w:customStyle="1" w:styleId="2109">
    <w:name w:val="标题 #6 (2)3"/>
    <w:basedOn w:val="1"/>
    <w:qFormat/>
    <w:uiPriority w:val="0"/>
    <w:pPr>
      <w:shd w:val="clear" w:color="auto" w:fill="FFFFFF"/>
      <w:adjustRightInd w:val="0"/>
      <w:snapToGrid w:val="0"/>
      <w:spacing w:line="499" w:lineRule="exact"/>
      <w:ind w:firstLine="200" w:firstLineChars="200"/>
      <w:outlineLvl w:val="5"/>
    </w:pPr>
    <w:rPr>
      <w:rFonts w:ascii="宋体" w:hAnsi="宋体" w:cs="宋体"/>
      <w:kern w:val="0"/>
      <w:sz w:val="22"/>
      <w:szCs w:val="22"/>
    </w:rPr>
  </w:style>
  <w:style w:type="paragraph" w:customStyle="1" w:styleId="2110">
    <w:name w:val="样式 标题 2标题 2 Char标题 2 Char Char Char节节标题 1.1H2（一）Underrubr...1"/>
    <w:basedOn w:val="8"/>
    <w:qFormat/>
    <w:uiPriority w:val="0"/>
    <w:pPr>
      <w:tabs>
        <w:tab w:val="left" w:pos="741"/>
      </w:tabs>
      <w:ind w:left="741"/>
    </w:pPr>
    <w:rPr>
      <w:rFonts w:ascii="Times New Roman" w:hAnsi="Times New Roman"/>
      <w:color w:val="000000"/>
      <w:szCs w:val="28"/>
    </w:rPr>
  </w:style>
  <w:style w:type="paragraph" w:customStyle="1" w:styleId="2111">
    <w:name w:val="默认段落字体 Para Char Char Char1 Char Char Char Char Char Char Char Char Char"/>
    <w:basedOn w:val="1"/>
    <w:qFormat/>
    <w:uiPriority w:val="0"/>
    <w:rPr>
      <w:rFonts w:ascii="宋体"/>
      <w:kern w:val="0"/>
      <w:sz w:val="34"/>
      <w:szCs w:val="20"/>
    </w:rPr>
  </w:style>
  <w:style w:type="paragraph" w:customStyle="1" w:styleId="2112">
    <w:name w:val="样式 正文首行缩进 + (符号) 宋体 四号 段后: 0 磅 行距: 1.5 倍行距"/>
    <w:basedOn w:val="43"/>
    <w:qFormat/>
    <w:uiPriority w:val="0"/>
    <w:pPr>
      <w:widowControl w:val="0"/>
      <w:spacing w:before="120" w:after="0" w:line="360" w:lineRule="auto"/>
      <w:ind w:left="578" w:firstLine="560" w:firstLineChars="200"/>
      <w:jc w:val="both"/>
    </w:pPr>
    <w:rPr>
      <w:kern w:val="2"/>
      <w:lang w:val="fr-FR"/>
    </w:rPr>
  </w:style>
  <w:style w:type="paragraph" w:customStyle="1" w:styleId="2113">
    <w:name w:val="附表文字"/>
    <w:basedOn w:val="2114"/>
    <w:qFormat/>
    <w:uiPriority w:val="0"/>
  </w:style>
  <w:style w:type="paragraph" w:customStyle="1" w:styleId="2114">
    <w:name w:val="目录文字（附表）"/>
    <w:basedOn w:val="1"/>
    <w:qFormat/>
    <w:uiPriority w:val="0"/>
    <w:pPr>
      <w:spacing w:line="300" w:lineRule="auto"/>
      <w:jc w:val="left"/>
    </w:pPr>
    <w:rPr>
      <w:rFonts w:ascii="宋体"/>
      <w:kern w:val="0"/>
      <w:sz w:val="34"/>
      <w:szCs w:val="20"/>
    </w:rPr>
  </w:style>
  <w:style w:type="paragraph" w:customStyle="1" w:styleId="2115">
    <w:name w:val="xl31"/>
    <w:basedOn w:val="1"/>
    <w:qFormat/>
    <w:uiPriority w:val="0"/>
    <w:pPr>
      <w:widowControl/>
      <w:spacing w:before="100" w:beforeAutospacing="1" w:after="100" w:afterAutospacing="1"/>
      <w:jc w:val="center"/>
    </w:pPr>
    <w:rPr>
      <w:rFonts w:ascii="宋体" w:hAnsi="宋体" w:eastAsia="Arial Unicode MS" w:cs="宋体"/>
      <w:kern w:val="0"/>
      <w:sz w:val="24"/>
    </w:rPr>
  </w:style>
  <w:style w:type="paragraph" w:customStyle="1" w:styleId="2116">
    <w:name w:val="样式 正文首行缩进 + 黑色"/>
    <w:basedOn w:val="43"/>
    <w:qFormat/>
    <w:uiPriority w:val="0"/>
    <w:pPr>
      <w:topLinePunct/>
      <w:snapToGrid w:val="0"/>
      <w:spacing w:before="120" w:after="0" w:line="420" w:lineRule="exact"/>
      <w:ind w:left="578" w:firstLine="480" w:firstLineChars="200"/>
    </w:pPr>
    <w:rPr>
      <w:rFonts w:ascii="Times New Roman" w:hAnsi="Times New Roman"/>
      <w:color w:val="000000"/>
      <w:sz w:val="21"/>
      <w:szCs w:val="21"/>
      <w:lang w:val="fr-FR"/>
    </w:rPr>
  </w:style>
  <w:style w:type="paragraph" w:customStyle="1" w:styleId="2117">
    <w:name w:val="样式 样式 样式 样式 正文 首行缩进 + 首行缩进:  2 字符 行距: 单倍行距 + 首行缩进:  2 字符 + 小四 首行...2"/>
    <w:basedOn w:val="856"/>
    <w:qFormat/>
    <w:uiPriority w:val="0"/>
    <w:pPr>
      <w:adjustRightInd w:val="0"/>
    </w:pPr>
  </w:style>
  <w:style w:type="paragraph" w:customStyle="1" w:styleId="2118">
    <w:name w:val="二级无标题条"/>
    <w:basedOn w:val="1"/>
    <w:qFormat/>
    <w:uiPriority w:val="0"/>
    <w:pPr>
      <w:widowControl/>
      <w:jc w:val="left"/>
    </w:pPr>
    <w:rPr>
      <w:rFonts w:ascii="宋体" w:hAnsi="宋体" w:cs="宋体"/>
      <w:kern w:val="0"/>
      <w:sz w:val="24"/>
    </w:rPr>
  </w:style>
  <w:style w:type="paragraph" w:customStyle="1" w:styleId="2119">
    <w:name w:val="样式 标题 2标题 2 Char标题 2 Char Char Char节节标题 1.1H2（一）Underrubr...2"/>
    <w:basedOn w:val="8"/>
    <w:qFormat/>
    <w:uiPriority w:val="0"/>
    <w:pPr>
      <w:tabs>
        <w:tab w:val="left" w:pos="741"/>
      </w:tabs>
      <w:ind w:left="741"/>
    </w:pPr>
    <w:rPr>
      <w:rFonts w:ascii="宋体" w:hAnsi="宋体"/>
      <w:bCs/>
      <w:color w:val="000000"/>
      <w:szCs w:val="28"/>
    </w:rPr>
  </w:style>
  <w:style w:type="paragraph" w:customStyle="1" w:styleId="2120">
    <w:name w:val="Aufzählung"/>
    <w:basedOn w:val="1"/>
    <w:semiHidden/>
    <w:qFormat/>
    <w:uiPriority w:val="0"/>
    <w:pPr>
      <w:widowControl/>
      <w:tabs>
        <w:tab w:val="left" w:pos="1353"/>
      </w:tabs>
      <w:adjustRightInd w:val="0"/>
      <w:snapToGrid w:val="0"/>
      <w:spacing w:before="120" w:after="120" w:line="360" w:lineRule="auto"/>
      <w:ind w:left="1353" w:hanging="360" w:firstLineChars="200"/>
    </w:pPr>
    <w:rPr>
      <w:rFonts w:ascii="宋体" w:eastAsia="Times"/>
      <w:kern w:val="0"/>
      <w:sz w:val="22"/>
      <w:szCs w:val="20"/>
    </w:rPr>
  </w:style>
  <w:style w:type="paragraph" w:customStyle="1" w:styleId="2121">
    <w:name w:val="表名图名"/>
    <w:basedOn w:val="1"/>
    <w:qFormat/>
    <w:uiPriority w:val="0"/>
    <w:pPr>
      <w:spacing w:beforeLines="50" w:afterLines="20"/>
      <w:jc w:val="center"/>
    </w:pPr>
    <w:rPr>
      <w:rFonts w:ascii="宋体"/>
      <w:b/>
      <w:bCs/>
      <w:kern w:val="0"/>
      <w:sz w:val="34"/>
      <w:szCs w:val="20"/>
    </w:rPr>
  </w:style>
  <w:style w:type="paragraph" w:customStyle="1" w:styleId="2122">
    <w:name w:val="Char1 Char Char Char Char Char Char2"/>
    <w:basedOn w:val="1"/>
    <w:qFormat/>
    <w:uiPriority w:val="0"/>
    <w:rPr>
      <w:rFonts w:ascii="宋体"/>
      <w:kern w:val="0"/>
      <w:sz w:val="34"/>
      <w:szCs w:val="20"/>
    </w:rPr>
  </w:style>
  <w:style w:type="paragraph" w:customStyle="1" w:styleId="2123">
    <w:name w:val="Char Char Char Char"/>
    <w:basedOn w:val="1"/>
    <w:qFormat/>
    <w:uiPriority w:val="0"/>
    <w:pPr>
      <w:widowControl/>
      <w:jc w:val="left"/>
    </w:pPr>
    <w:rPr>
      <w:rFonts w:ascii="宋体" w:hAnsi="宋体" w:cs="宋体"/>
      <w:kern w:val="0"/>
      <w:sz w:val="24"/>
    </w:rPr>
  </w:style>
  <w:style w:type="paragraph" w:customStyle="1" w:styleId="2124">
    <w:name w:val="CM113"/>
    <w:basedOn w:val="2"/>
    <w:next w:val="2"/>
    <w:semiHidden/>
    <w:qFormat/>
    <w:uiPriority w:val="0"/>
    <w:pPr>
      <w:adjustRightInd/>
    </w:pPr>
    <w:rPr>
      <w:rFonts w:hint="eastAsia" w:ascii="仿宋" w:hAnsi="仿宋" w:eastAsia="仿宋" w:cs="Times New Roman"/>
      <w:szCs w:val="20"/>
    </w:rPr>
  </w:style>
  <w:style w:type="paragraph" w:customStyle="1" w:styleId="2125">
    <w:name w:val="Char Char Char Char Char Char Char Char Char1 Char Char Char Char4"/>
    <w:basedOn w:val="1"/>
    <w:qFormat/>
    <w:uiPriority w:val="0"/>
    <w:rPr>
      <w:rFonts w:ascii="宋体"/>
      <w:kern w:val="0"/>
      <w:szCs w:val="21"/>
    </w:rPr>
  </w:style>
  <w:style w:type="paragraph" w:customStyle="1" w:styleId="2126">
    <w:name w:val="样式 样式8 + 段前: 0.5 行 段后: 0.5 行"/>
    <w:basedOn w:val="2000"/>
    <w:qFormat/>
    <w:uiPriority w:val="0"/>
    <w:pPr>
      <w:keepNext/>
      <w:keepLines/>
      <w:tabs>
        <w:tab w:val="left" w:pos="750"/>
      </w:tabs>
      <w:spacing w:line="312" w:lineRule="auto"/>
      <w:ind w:left="750" w:hanging="750"/>
      <w:outlineLvl w:val="1"/>
    </w:pPr>
    <w:rPr>
      <w:rFonts w:ascii="Arial" w:hAnsi="Arial" w:eastAsia="黑体" w:cs="宋体"/>
      <w:b/>
      <w:sz w:val="36"/>
    </w:rPr>
  </w:style>
  <w:style w:type="paragraph" w:customStyle="1" w:styleId="2127">
    <w:name w:val="p14_l"/>
    <w:basedOn w:val="1"/>
    <w:qFormat/>
    <w:uiPriority w:val="0"/>
    <w:pPr>
      <w:widowControl/>
      <w:spacing w:before="100" w:beforeAutospacing="1" w:after="100" w:afterAutospacing="1"/>
      <w:jc w:val="left"/>
    </w:pPr>
    <w:rPr>
      <w:rFonts w:ascii="宋体" w:hAnsi="宋体"/>
      <w:color w:val="484848"/>
      <w:kern w:val="0"/>
      <w:sz w:val="23"/>
      <w:szCs w:val="20"/>
    </w:rPr>
  </w:style>
  <w:style w:type="paragraph" w:customStyle="1" w:styleId="2128">
    <w:name w:val="样式 标题 4 + 宋体 加粗 左侧:  0 厘米 悬挂缩进: 8.64 字符"/>
    <w:basedOn w:val="10"/>
    <w:qFormat/>
    <w:uiPriority w:val="0"/>
    <w:pPr>
      <w:numPr>
        <w:ilvl w:val="0"/>
        <w:numId w:val="0"/>
      </w:numPr>
      <w:tabs>
        <w:tab w:val="left" w:pos="2484"/>
      </w:tabs>
      <w:ind w:left="864" w:hanging="864"/>
    </w:pPr>
    <w:rPr>
      <w:rFonts w:ascii="宋体" w:hAnsi="宋体"/>
      <w:b w:val="0"/>
      <w:szCs w:val="20"/>
    </w:rPr>
  </w:style>
  <w:style w:type="paragraph" w:customStyle="1" w:styleId="2129">
    <w:name w:val="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130">
    <w:name w:val="样式 标题 2标题 2 Char Char Char节节标题 1.1H2（一）Underrubrik1prop2..."/>
    <w:basedOn w:val="8"/>
    <w:qFormat/>
    <w:uiPriority w:val="0"/>
    <w:rPr>
      <w:rFonts w:ascii="Times New Roman" w:hAnsi="Times New Roman"/>
      <w:color w:val="000000"/>
      <w:sz w:val="28"/>
    </w:rPr>
  </w:style>
  <w:style w:type="paragraph" w:customStyle="1" w:styleId="2131">
    <w:name w:val="正文-1"/>
    <w:basedOn w:val="1"/>
    <w:qFormat/>
    <w:uiPriority w:val="0"/>
    <w:pPr>
      <w:adjustRightInd w:val="0"/>
      <w:spacing w:line="440" w:lineRule="exact"/>
      <w:ind w:firstLine="200" w:firstLineChars="200"/>
    </w:pPr>
    <w:rPr>
      <w:rFonts w:ascii="宋体"/>
      <w:kern w:val="0"/>
      <w:sz w:val="34"/>
      <w:szCs w:val="20"/>
    </w:rPr>
  </w:style>
  <w:style w:type="paragraph" w:customStyle="1" w:styleId="2132">
    <w:name w:val="节 Char Char Char Char"/>
    <w:basedOn w:val="1"/>
    <w:qFormat/>
    <w:uiPriority w:val="0"/>
    <w:pPr>
      <w:tabs>
        <w:tab w:val="left" w:pos="1440"/>
      </w:tabs>
      <w:spacing w:line="560" w:lineRule="atLeast"/>
      <w:outlineLvl w:val="1"/>
    </w:pPr>
    <w:rPr>
      <w:rFonts w:ascii="宋体" w:hAnsi="宋体"/>
      <w:b/>
      <w:kern w:val="0"/>
      <w:sz w:val="28"/>
      <w:szCs w:val="30"/>
    </w:rPr>
  </w:style>
  <w:style w:type="paragraph" w:customStyle="1" w:styleId="2133">
    <w:name w:val="样式 表题注 + 首行缩进:  2 字符"/>
    <w:basedOn w:val="1"/>
    <w:qFormat/>
    <w:uiPriority w:val="0"/>
    <w:pPr>
      <w:keepNext/>
      <w:spacing w:before="280" w:after="120"/>
      <w:jc w:val="center"/>
    </w:pPr>
    <w:rPr>
      <w:rFonts w:ascii="黑体" w:hAnsi="Arial" w:eastAsia="黑体"/>
      <w:kern w:val="0"/>
      <w:szCs w:val="20"/>
    </w:rPr>
  </w:style>
  <w:style w:type="paragraph" w:customStyle="1" w:styleId="2134">
    <w:name w:val="一级无标题条"/>
    <w:basedOn w:val="1"/>
    <w:qFormat/>
    <w:uiPriority w:val="0"/>
    <w:pPr>
      <w:widowControl/>
      <w:jc w:val="left"/>
    </w:pPr>
    <w:rPr>
      <w:rFonts w:ascii="宋体" w:hAnsi="宋体" w:cs="宋体"/>
      <w:kern w:val="0"/>
      <w:sz w:val="24"/>
    </w:rPr>
  </w:style>
  <w:style w:type="paragraph" w:customStyle="1" w:styleId="2135">
    <w:name w:val="Char2 Char Char1 Char Char Char"/>
    <w:basedOn w:val="1"/>
    <w:qFormat/>
    <w:uiPriority w:val="0"/>
    <w:rPr>
      <w:rFonts w:ascii="宋体"/>
      <w:kern w:val="0"/>
      <w:sz w:val="34"/>
      <w:szCs w:val="20"/>
    </w:rPr>
  </w:style>
  <w:style w:type="paragraph" w:customStyle="1" w:styleId="2136">
    <w:name w:val="l-2"/>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2137">
    <w:name w:val="标标题4.7"/>
    <w:basedOn w:val="1"/>
    <w:semiHidden/>
    <w:qFormat/>
    <w:uiPriority w:val="0"/>
    <w:pPr>
      <w:tabs>
        <w:tab w:val="center" w:pos="4060"/>
        <w:tab w:val="right" w:pos="8261"/>
      </w:tabs>
      <w:suppressAutoHyphens/>
      <w:adjustRightInd w:val="0"/>
      <w:snapToGrid w:val="0"/>
      <w:spacing w:before="120" w:after="120" w:line="360" w:lineRule="auto"/>
      <w:ind w:left="578" w:hanging="578"/>
      <w:jc w:val="center"/>
    </w:pPr>
    <w:rPr>
      <w:rFonts w:ascii="宋体"/>
      <w:spacing w:val="6"/>
      <w:kern w:val="0"/>
      <w:szCs w:val="26"/>
    </w:rPr>
  </w:style>
  <w:style w:type="paragraph" w:customStyle="1" w:styleId="2138">
    <w:name w:val="font7"/>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2139">
    <w:name w:val="正文格式71"/>
    <w:basedOn w:val="1"/>
    <w:qFormat/>
    <w:uiPriority w:val="0"/>
    <w:pPr>
      <w:spacing w:before="120" w:after="120" w:line="360" w:lineRule="auto"/>
      <w:ind w:left="578" w:firstLine="482"/>
    </w:pPr>
    <w:rPr>
      <w:rFonts w:ascii="宋体" w:hAnsi="宋体"/>
      <w:kern w:val="0"/>
      <w:sz w:val="34"/>
      <w:szCs w:val="20"/>
    </w:rPr>
  </w:style>
  <w:style w:type="paragraph" w:customStyle="1" w:styleId="2140">
    <w:name w:val="表中文字1"/>
    <w:qFormat/>
    <w:uiPriority w:val="0"/>
    <w:pPr>
      <w:widowControl w:val="0"/>
      <w:adjustRightInd w:val="0"/>
      <w:snapToGrid w:val="0"/>
      <w:jc w:val="center"/>
    </w:pPr>
    <w:rPr>
      <w:rFonts w:ascii="仿宋_GB2312" w:hAnsi="Times New Roman" w:eastAsia="仿宋_GB2312" w:cs="Times New Roman"/>
      <w:kern w:val="2"/>
      <w:sz w:val="24"/>
      <w:lang w:val="en-US" w:eastAsia="zh-CN" w:bidi="ar-SA"/>
    </w:rPr>
  </w:style>
  <w:style w:type="paragraph" w:customStyle="1" w:styleId="2141">
    <w:name w:val="样式 标题 3条标题1.1.13h33rd levelH3l3CT + 加粗"/>
    <w:basedOn w:val="9"/>
    <w:qFormat/>
    <w:uiPriority w:val="0"/>
    <w:pPr>
      <w:numPr>
        <w:ilvl w:val="0"/>
        <w:numId w:val="0"/>
      </w:numPr>
      <w:tabs>
        <w:tab w:val="left" w:pos="720"/>
      </w:tabs>
      <w:ind w:left="567" w:hanging="567"/>
    </w:pPr>
    <w:rPr>
      <w:rFonts w:ascii="Times New Roman" w:hAnsi="Times New Roman"/>
      <w:b/>
      <w:sz w:val="24"/>
    </w:rPr>
  </w:style>
  <w:style w:type="paragraph" w:customStyle="1" w:styleId="2142">
    <w:name w:val="样式 样式 普通文字 + 首行缩进:  0.85 厘米 + 首行缩进:  2 字符"/>
    <w:basedOn w:val="1"/>
    <w:qFormat/>
    <w:uiPriority w:val="0"/>
    <w:pPr>
      <w:spacing w:line="400" w:lineRule="exact"/>
      <w:ind w:firstLine="200" w:firstLineChars="200"/>
    </w:pPr>
    <w:rPr>
      <w:rFonts w:ascii="宋体" w:hAnsi="Courier New"/>
      <w:kern w:val="0"/>
      <w:sz w:val="34"/>
      <w:szCs w:val="20"/>
    </w:rPr>
  </w:style>
  <w:style w:type="paragraph" w:customStyle="1" w:styleId="2143">
    <w:name w:val="4"/>
    <w:basedOn w:val="1"/>
    <w:qFormat/>
    <w:uiPriority w:val="0"/>
    <w:pPr>
      <w:spacing w:line="360" w:lineRule="auto"/>
      <w:ind w:firstLine="360" w:firstLineChars="150"/>
    </w:pPr>
    <w:rPr>
      <w:rFonts w:ascii="宋体" w:cs="宋体"/>
      <w:kern w:val="0"/>
      <w:sz w:val="34"/>
      <w:szCs w:val="20"/>
    </w:rPr>
  </w:style>
  <w:style w:type="paragraph" w:customStyle="1" w:styleId="2144">
    <w:name w:val="样式 标题 4 + 加粗"/>
    <w:basedOn w:val="10"/>
    <w:qFormat/>
    <w:uiPriority w:val="0"/>
    <w:pPr>
      <w:numPr>
        <w:ilvl w:val="0"/>
        <w:numId w:val="0"/>
      </w:numPr>
      <w:tabs>
        <w:tab w:val="left" w:pos="864"/>
      </w:tabs>
      <w:ind w:left="864" w:hanging="864"/>
    </w:pPr>
    <w:rPr>
      <w:rFonts w:ascii="Times New Roman" w:hAnsi="Times New Roman"/>
      <w:b w:val="0"/>
    </w:rPr>
  </w:style>
  <w:style w:type="paragraph" w:customStyle="1" w:styleId="2145">
    <w:name w:val="Personal Info"/>
    <w:basedOn w:val="2051"/>
    <w:unhideWhenUsed/>
    <w:qFormat/>
    <w:uiPriority w:val="0"/>
    <w:pPr>
      <w:spacing w:before="220"/>
    </w:pPr>
  </w:style>
  <w:style w:type="paragraph" w:customStyle="1" w:styleId="2146">
    <w:name w:val="xl181"/>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147">
    <w:name w:val="标语"/>
    <w:basedOn w:val="1"/>
    <w:qFormat/>
    <w:uiPriority w:val="0"/>
    <w:pPr>
      <w:framePr w:w="2734" w:h="817" w:hRule="exact" w:hSpace="187" w:vSpace="187" w:wrap="around" w:vAnchor="page" w:hAnchor="page" w:x="987" w:y="14257" w:anchorLock="1"/>
      <w:widowControl/>
      <w:jc w:val="left"/>
    </w:pPr>
    <w:rPr>
      <w:rFonts w:ascii="Impact" w:hAnsi="Impact" w:eastAsia="黑体"/>
      <w:caps/>
      <w:color w:val="FFFFFF"/>
      <w:spacing w:val="20"/>
      <w:kern w:val="0"/>
      <w:position w:val="12"/>
      <w:sz w:val="84"/>
      <w:szCs w:val="20"/>
    </w:rPr>
  </w:style>
  <w:style w:type="paragraph" w:customStyle="1" w:styleId="2148">
    <w:name w:val="表标题4.2"/>
    <w:basedOn w:val="1"/>
    <w:qFormat/>
    <w:uiPriority w:val="0"/>
    <w:pPr>
      <w:spacing w:beforeLines="100" w:after="120" w:line="0" w:lineRule="atLeast"/>
      <w:ind w:left="578" w:hanging="578"/>
      <w:jc w:val="left"/>
    </w:pPr>
    <w:rPr>
      <w:rFonts w:ascii="宋体" w:eastAsia="黑体"/>
      <w:b/>
      <w:kern w:val="0"/>
      <w:sz w:val="34"/>
      <w:szCs w:val="20"/>
    </w:rPr>
  </w:style>
  <w:style w:type="paragraph" w:customStyle="1" w:styleId="2149">
    <w:name w:val="样式 表题 + (符号) 黑体"/>
    <w:basedOn w:val="363"/>
    <w:qFormat/>
    <w:uiPriority w:val="0"/>
    <w:pPr>
      <w:widowControl w:val="0"/>
      <w:spacing w:beforeLines="50" w:afterLines="50" w:line="400" w:lineRule="atLeast"/>
    </w:pPr>
    <w:rPr>
      <w:sz w:val="22"/>
    </w:rPr>
  </w:style>
  <w:style w:type="paragraph" w:customStyle="1" w:styleId="2150">
    <w:name w:val="xl38"/>
    <w:basedOn w:val="1"/>
    <w:qFormat/>
    <w:uiPriority w:val="0"/>
    <w:pPr>
      <w:widowControl/>
      <w:pBdr>
        <w:left w:val="single" w:color="000000" w:sz="8"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2151">
    <w:name w:val="Char2 Char Char1"/>
    <w:basedOn w:val="1"/>
    <w:qFormat/>
    <w:uiPriority w:val="0"/>
    <w:rPr>
      <w:rFonts w:ascii="宋体"/>
      <w:kern w:val="0"/>
      <w:sz w:val="34"/>
      <w:szCs w:val="20"/>
    </w:rPr>
  </w:style>
  <w:style w:type="paragraph" w:customStyle="1" w:styleId="2152">
    <w:name w:val="tj专题-标题2"/>
    <w:basedOn w:val="1"/>
    <w:next w:val="2153"/>
    <w:qFormat/>
    <w:uiPriority w:val="0"/>
    <w:pPr>
      <w:numPr>
        <w:ilvl w:val="2"/>
        <w:numId w:val="27"/>
      </w:numPr>
      <w:tabs>
        <w:tab w:val="left" w:pos="726"/>
        <w:tab w:val="clear" w:pos="1260"/>
      </w:tabs>
      <w:spacing w:line="360" w:lineRule="auto"/>
      <w:ind w:firstLine="567"/>
      <w:outlineLvl w:val="2"/>
    </w:pPr>
    <w:rPr>
      <w:rFonts w:ascii="黑体" w:hAnsi="黑体" w:eastAsia="黑体"/>
      <w:kern w:val="0"/>
      <w:sz w:val="34"/>
      <w:szCs w:val="20"/>
    </w:rPr>
  </w:style>
  <w:style w:type="paragraph" w:customStyle="1" w:styleId="2153">
    <w:name w:val="tj专题-标题3"/>
    <w:next w:val="1"/>
    <w:qFormat/>
    <w:uiPriority w:val="0"/>
    <w:pPr>
      <w:numPr>
        <w:ilvl w:val="3"/>
        <w:numId w:val="27"/>
      </w:numPr>
      <w:tabs>
        <w:tab w:val="left" w:pos="726"/>
        <w:tab w:val="clear" w:pos="1680"/>
      </w:tabs>
      <w:spacing w:line="360" w:lineRule="auto"/>
      <w:outlineLvl w:val="3"/>
    </w:pPr>
    <w:rPr>
      <w:rFonts w:ascii="宋体" w:hAnsi="宋体" w:eastAsia="宋体" w:cs="Times New Roman"/>
      <w:b/>
      <w:kern w:val="2"/>
      <w:sz w:val="21"/>
      <w:szCs w:val="24"/>
      <w:lang w:val="en-US" w:eastAsia="zh-CN" w:bidi="ar-SA"/>
    </w:rPr>
  </w:style>
  <w:style w:type="paragraph" w:customStyle="1" w:styleId="2154">
    <w:name w:val="可研正文"/>
    <w:basedOn w:val="1"/>
    <w:unhideWhenUsed/>
    <w:qFormat/>
    <w:uiPriority w:val="0"/>
    <w:pPr>
      <w:spacing w:before="120" w:after="120" w:line="360" w:lineRule="auto"/>
      <w:ind w:left="578" w:firstLine="482"/>
    </w:pPr>
    <w:rPr>
      <w:rFonts w:ascii="宋体"/>
      <w:kern w:val="0"/>
      <w:szCs w:val="21"/>
    </w:rPr>
  </w:style>
  <w:style w:type="paragraph" w:customStyle="1" w:styleId="2155">
    <w:name w:val="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156">
    <w:name w:val="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157">
    <w:name w:val="新正文样式"/>
    <w:basedOn w:val="1"/>
    <w:qFormat/>
    <w:uiPriority w:val="0"/>
    <w:pPr>
      <w:tabs>
        <w:tab w:val="left" w:pos="567"/>
      </w:tabs>
      <w:spacing w:line="360" w:lineRule="auto"/>
      <w:ind w:firstLine="567"/>
    </w:pPr>
    <w:rPr>
      <w:rFonts w:ascii="宋体"/>
      <w:spacing w:val="20"/>
      <w:kern w:val="0"/>
      <w:sz w:val="34"/>
      <w:szCs w:val="20"/>
    </w:rPr>
  </w:style>
  <w:style w:type="paragraph" w:customStyle="1" w:styleId="2158">
    <w:name w:val="表号"/>
    <w:basedOn w:val="1"/>
    <w:qFormat/>
    <w:uiPriority w:val="0"/>
    <w:pPr>
      <w:adjustRightInd w:val="0"/>
      <w:jc w:val="left"/>
      <w:textAlignment w:val="baseline"/>
    </w:pPr>
    <w:rPr>
      <w:rFonts w:ascii="宋体"/>
      <w:kern w:val="0"/>
      <w:szCs w:val="20"/>
    </w:rPr>
  </w:style>
  <w:style w:type="paragraph" w:customStyle="1" w:styleId="2159">
    <w:name w:val="大标题"/>
    <w:basedOn w:val="7"/>
    <w:qFormat/>
    <w:uiPriority w:val="0"/>
    <w:pPr>
      <w:keepLines/>
      <w:tabs>
        <w:tab w:val="left" w:pos="8640"/>
      </w:tabs>
      <w:overflowPunct/>
      <w:snapToGrid/>
      <w:spacing w:before="340" w:after="330" w:afterLines="100" w:line="480" w:lineRule="auto"/>
      <w:ind w:left="0" w:firstLine="200" w:firstLineChars="200"/>
      <w:jc w:val="center"/>
    </w:pPr>
    <w:rPr>
      <w:rFonts w:ascii="宋体" w:hAnsi="宋体" w:eastAsia="宋体"/>
      <w:sz w:val="44"/>
      <w:szCs w:val="44"/>
    </w:rPr>
  </w:style>
  <w:style w:type="paragraph" w:customStyle="1" w:styleId="2160">
    <w:name w:val="表格标题3"/>
    <w:basedOn w:val="38"/>
    <w:semiHidden/>
    <w:qFormat/>
    <w:uiPriority w:val="0"/>
    <w:pPr>
      <w:widowControl w:val="0"/>
      <w:pBdr>
        <w:top w:val="single" w:color="auto" w:sz="4" w:space="1"/>
      </w:pBdr>
      <w:adjustRightInd w:val="0"/>
      <w:spacing w:before="0" w:after="0"/>
      <w:ind w:left="0" w:firstLine="0"/>
      <w:jc w:val="center"/>
    </w:pPr>
    <w:rPr>
      <w:rFonts w:eastAsia="宋体"/>
      <w:b w:val="0"/>
      <w:sz w:val="24"/>
    </w:rPr>
  </w:style>
  <w:style w:type="paragraph" w:customStyle="1" w:styleId="2161">
    <w:name w:val="xl82"/>
    <w:basedOn w:val="1"/>
    <w:qFormat/>
    <w:uiPriority w:val="0"/>
    <w:pPr>
      <w:widowControl/>
      <w:pBdr>
        <w:top w:val="single" w:color="000000" w:sz="8" w:space="0"/>
        <w:left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162">
    <w:name w:val="节标"/>
    <w:basedOn w:val="1"/>
    <w:unhideWhenUsed/>
    <w:qFormat/>
    <w:uiPriority w:val="0"/>
    <w:pPr>
      <w:widowControl/>
      <w:autoSpaceDE w:val="0"/>
      <w:autoSpaceDN w:val="0"/>
      <w:adjustRightInd w:val="0"/>
      <w:spacing w:before="120" w:after="120" w:line="480" w:lineRule="exact"/>
      <w:ind w:left="578" w:firstLine="567"/>
      <w:jc w:val="center"/>
      <w:textAlignment w:val="bottom"/>
    </w:pPr>
    <w:rPr>
      <w:rFonts w:ascii="宋体"/>
      <w:b/>
      <w:kern w:val="0"/>
      <w:sz w:val="30"/>
      <w:szCs w:val="20"/>
    </w:rPr>
  </w:style>
  <w:style w:type="paragraph" w:customStyle="1" w:styleId="2163">
    <w:name w:val="样式 前沿 + 段前: 2 行 段后: 2 行"/>
    <w:basedOn w:val="2164"/>
    <w:semiHidden/>
    <w:qFormat/>
    <w:uiPriority w:val="0"/>
    <w:pPr>
      <w:spacing w:beforeLines="400" w:afterLines="200"/>
    </w:pPr>
    <w:rPr>
      <w:szCs w:val="20"/>
    </w:rPr>
  </w:style>
  <w:style w:type="paragraph" w:customStyle="1" w:styleId="2164">
    <w:name w:val="前沿"/>
    <w:basedOn w:val="87"/>
    <w:semiHidden/>
    <w:qFormat/>
    <w:uiPriority w:val="0"/>
    <w:pPr>
      <w:pBdr>
        <w:top w:val="single" w:color="auto" w:sz="4" w:space="1"/>
      </w:pBdr>
      <w:adjustRightInd w:val="0"/>
      <w:spacing w:before="360" w:after="240" w:line="360" w:lineRule="atLeast"/>
    </w:pPr>
    <w:rPr>
      <w:rFonts w:ascii="Arial" w:hAnsi="Arial" w:eastAsia="宋体" w:cs="宋体"/>
      <w:b/>
      <w:sz w:val="30"/>
      <w:szCs w:val="30"/>
    </w:rPr>
  </w:style>
  <w:style w:type="paragraph" w:customStyle="1" w:styleId="2165">
    <w:name w:val="数字项"/>
    <w:basedOn w:val="1"/>
    <w:unhideWhenUsed/>
    <w:qFormat/>
    <w:uiPriority w:val="0"/>
    <w:pPr>
      <w:widowControl/>
      <w:tabs>
        <w:tab w:val="left" w:pos="855"/>
      </w:tabs>
      <w:adjustRightInd w:val="0"/>
      <w:spacing w:before="120" w:after="120" w:line="440" w:lineRule="exact"/>
      <w:ind w:left="855" w:hanging="375"/>
      <w:jc w:val="left"/>
      <w:textAlignment w:val="baseline"/>
    </w:pPr>
    <w:rPr>
      <w:rFonts w:ascii="宋体"/>
      <w:kern w:val="0"/>
      <w:szCs w:val="20"/>
    </w:rPr>
  </w:style>
  <w:style w:type="paragraph" w:customStyle="1" w:styleId="2166">
    <w:name w:val="样式 标题 1 + 段后: 1 行"/>
    <w:basedOn w:val="7"/>
    <w:qFormat/>
    <w:uiPriority w:val="0"/>
    <w:pPr>
      <w:keepLines/>
      <w:tabs>
        <w:tab w:val="left" w:pos="454"/>
        <w:tab w:val="left" w:pos="900"/>
      </w:tabs>
      <w:overflowPunct/>
      <w:adjustRightInd w:val="0"/>
      <w:spacing w:before="340" w:beforeLines="50" w:after="330" w:afterLines="100" w:line="240" w:lineRule="auto"/>
      <w:ind w:left="454" w:hanging="454"/>
      <w:jc w:val="left"/>
      <w:textAlignment w:val="baseline"/>
    </w:pPr>
    <w:rPr>
      <w:rFonts w:ascii="黑体" w:hAnsi="宋体" w:cs="宋体"/>
      <w:b w:val="0"/>
      <w:color w:val="auto"/>
    </w:rPr>
  </w:style>
  <w:style w:type="paragraph" w:customStyle="1" w:styleId="2167">
    <w:name w:val="xl194"/>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168">
    <w:name w:val="Bullet"/>
    <w:basedOn w:val="1"/>
    <w:qFormat/>
    <w:uiPriority w:val="0"/>
    <w:pPr>
      <w:tabs>
        <w:tab w:val="left" w:pos="432"/>
      </w:tabs>
      <w:spacing w:before="60" w:after="60"/>
      <w:ind w:left="1080" w:hanging="432"/>
    </w:pPr>
    <w:rPr>
      <w:rFonts w:ascii="Arial" w:hAnsi="Arial"/>
      <w:kern w:val="0"/>
      <w:sz w:val="22"/>
      <w:szCs w:val="20"/>
    </w:rPr>
  </w:style>
  <w:style w:type="paragraph" w:customStyle="1" w:styleId="2169">
    <w:name w:val="7表格(治)"/>
    <w:semiHidden/>
    <w:qFormat/>
    <w:uiPriority w:val="0"/>
    <w:pPr>
      <w:widowControl w:val="0"/>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2170">
    <w:name w:val="样式 表7.4-1 + 段前: 1 行"/>
    <w:basedOn w:val="1"/>
    <w:qFormat/>
    <w:uiPriority w:val="0"/>
    <w:pPr>
      <w:numPr>
        <w:ilvl w:val="0"/>
        <w:numId w:val="28"/>
      </w:numPr>
      <w:tabs>
        <w:tab w:val="left" w:pos="4920"/>
      </w:tabs>
      <w:spacing w:beforeLines="100" w:after="120" w:line="0" w:lineRule="atLeast"/>
      <w:ind w:firstLine="567"/>
    </w:pPr>
    <w:rPr>
      <w:rFonts w:ascii="宋体" w:eastAsia="黑体" w:cs="宋体"/>
      <w:b/>
      <w:bCs/>
      <w:kern w:val="0"/>
      <w:szCs w:val="20"/>
    </w:rPr>
  </w:style>
  <w:style w:type="paragraph" w:customStyle="1" w:styleId="2171">
    <w:name w:val="xl87"/>
    <w:basedOn w:val="1"/>
    <w:qFormat/>
    <w:uiPriority w:val="0"/>
    <w:pPr>
      <w:widowControl/>
      <w:pBdr>
        <w:left w:val="single" w:color="000000"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2172">
    <w:name w:val="Char Char1 Char Char Char Char Char Char Char Char Char Char Char Char Char Char Char Char2"/>
    <w:basedOn w:val="1"/>
    <w:next w:val="1"/>
    <w:qFormat/>
    <w:uiPriority w:val="0"/>
    <w:pPr>
      <w:spacing w:line="360" w:lineRule="auto"/>
      <w:ind w:firstLine="200" w:firstLineChars="200"/>
    </w:pPr>
    <w:rPr>
      <w:rFonts w:ascii="宋体" w:hAnsi="宋体" w:cs="宋体"/>
      <w:kern w:val="0"/>
      <w:sz w:val="34"/>
      <w:szCs w:val="20"/>
    </w:rPr>
  </w:style>
  <w:style w:type="paragraph" w:customStyle="1" w:styleId="2173">
    <w:name w:val="附录四级条"/>
    <w:basedOn w:val="1671"/>
    <w:next w:val="10"/>
    <w:unhideWhenUsed/>
    <w:qFormat/>
    <w:uiPriority w:val="0"/>
    <w:pPr>
      <w:tabs>
        <w:tab w:val="left" w:pos="360"/>
        <w:tab w:val="left" w:pos="840"/>
        <w:tab w:val="clear" w:pos="425"/>
      </w:tabs>
      <w:ind w:left="360" w:hanging="360"/>
    </w:pPr>
  </w:style>
  <w:style w:type="paragraph" w:customStyle="1" w:styleId="2174">
    <w:name w:val="样式  + 行距: 1.5 倍行距 首行缩进:  2 字符"/>
    <w:basedOn w:val="1"/>
    <w:qFormat/>
    <w:uiPriority w:val="0"/>
    <w:pPr>
      <w:adjustRightInd w:val="0"/>
      <w:snapToGrid w:val="0"/>
      <w:spacing w:line="360" w:lineRule="auto"/>
      <w:ind w:firstLine="200" w:firstLineChars="200"/>
    </w:pPr>
    <w:rPr>
      <w:rFonts w:ascii="宋体" w:cs="宋体"/>
      <w:kern w:val="0"/>
      <w:sz w:val="34"/>
      <w:szCs w:val="20"/>
    </w:rPr>
  </w:style>
  <w:style w:type="paragraph" w:customStyle="1" w:styleId="2175">
    <w:name w:val="22"/>
    <w:basedOn w:val="1"/>
    <w:semiHidden/>
    <w:qFormat/>
    <w:uiPriority w:val="0"/>
    <w:pPr>
      <w:spacing w:before="100" w:beforeAutospacing="1" w:after="100" w:afterAutospacing="1"/>
    </w:pPr>
    <w:rPr>
      <w:rFonts w:ascii="宋体" w:eastAsia="黑体"/>
      <w:kern w:val="0"/>
      <w:sz w:val="34"/>
      <w:szCs w:val="21"/>
      <w:lang w:eastAsia="zh-TW"/>
    </w:rPr>
  </w:style>
  <w:style w:type="paragraph" w:customStyle="1" w:styleId="2176">
    <w:name w:val="图名"/>
    <w:basedOn w:val="2177"/>
    <w:qFormat/>
    <w:uiPriority w:val="0"/>
    <w:pPr>
      <w:tabs>
        <w:tab w:val="left" w:pos="432"/>
        <w:tab w:val="left" w:pos="726"/>
      </w:tabs>
      <w:spacing w:beforeLines="0" w:afterLines="0" w:line="240" w:lineRule="auto"/>
      <w:ind w:left="432" w:hanging="432"/>
      <w:jc w:val="both"/>
      <w:outlineLvl w:val="9"/>
    </w:pPr>
    <w:rPr>
      <w:rFonts w:ascii="Times New Roman" w:hAnsi="Times New Roman" w:cs="Times New Roman"/>
      <w:b w:val="0"/>
      <w:bCs w:val="0"/>
      <w:szCs w:val="24"/>
    </w:rPr>
  </w:style>
  <w:style w:type="paragraph" w:customStyle="1" w:styleId="2177">
    <w:name w:val="样式 样式 表头 + 段前: 0.5 行 段后: 0.5 行 + 段前: 0.5 行 段后: 0.5 行"/>
    <w:basedOn w:val="1"/>
    <w:qFormat/>
    <w:uiPriority w:val="0"/>
    <w:pPr>
      <w:spacing w:beforeLines="50" w:afterLines="50" w:line="300" w:lineRule="auto"/>
      <w:jc w:val="center"/>
      <w:outlineLvl w:val="3"/>
    </w:pPr>
    <w:rPr>
      <w:rFonts w:ascii="华文细黑" w:hAnsi="华文细黑" w:cs="宋体"/>
      <w:b/>
      <w:bCs/>
      <w:kern w:val="0"/>
      <w:szCs w:val="20"/>
    </w:rPr>
  </w:style>
  <w:style w:type="paragraph" w:customStyle="1" w:styleId="2178">
    <w:name w:val="PP 行"/>
    <w:basedOn w:val="61"/>
    <w:qFormat/>
    <w:uiPriority w:val="0"/>
  </w:style>
  <w:style w:type="paragraph" w:customStyle="1" w:styleId="2179">
    <w:name w:val="WW-纯文本"/>
    <w:basedOn w:val="1"/>
    <w:qFormat/>
    <w:uiPriority w:val="0"/>
    <w:pPr>
      <w:suppressAutoHyphens/>
      <w:spacing w:line="360" w:lineRule="auto"/>
    </w:pPr>
    <w:rPr>
      <w:rFonts w:ascii="宋体" w:hAnsi="宋体" w:cs="宋体"/>
      <w:kern w:val="1"/>
      <w:sz w:val="34"/>
      <w:szCs w:val="20"/>
      <w:lang w:eastAsia="ar-SA"/>
    </w:rPr>
  </w:style>
  <w:style w:type="paragraph" w:customStyle="1" w:styleId="2180">
    <w:name w:val="样式 表格1 + (符号) 宋体"/>
    <w:basedOn w:val="2181"/>
    <w:unhideWhenUsed/>
    <w:qFormat/>
    <w:uiPriority w:val="0"/>
    <w:pPr>
      <w:spacing w:before="100" w:beforeAutospacing="1" w:after="100" w:afterAutospacing="1" w:line="240" w:lineRule="auto"/>
      <w:ind w:left="578" w:hanging="578"/>
      <w:textAlignment w:val="baseline"/>
    </w:pPr>
    <w:rPr>
      <w:rFonts w:ascii="宋体"/>
      <w:sz w:val="24"/>
    </w:rPr>
  </w:style>
  <w:style w:type="paragraph" w:customStyle="1" w:styleId="2181">
    <w:name w:val="表格1"/>
    <w:basedOn w:val="1"/>
    <w:qFormat/>
    <w:uiPriority w:val="0"/>
    <w:pPr>
      <w:adjustRightInd w:val="0"/>
      <w:spacing w:line="20" w:lineRule="atLeast"/>
      <w:jc w:val="center"/>
      <w:textAlignment w:val="center"/>
    </w:pPr>
    <w:rPr>
      <w:rFonts w:ascii="CG Times (W1)"/>
      <w:kern w:val="0"/>
      <w:szCs w:val="20"/>
    </w:rPr>
  </w:style>
  <w:style w:type="paragraph" w:customStyle="1" w:styleId="2182">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183">
    <w:name w:val="xl173"/>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18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185">
    <w:name w:val="引言"/>
    <w:basedOn w:val="1"/>
    <w:next w:val="1"/>
    <w:qFormat/>
    <w:uiPriority w:val="0"/>
    <w:pPr>
      <w:snapToGrid w:val="0"/>
      <w:jc w:val="center"/>
    </w:pPr>
    <w:rPr>
      <w:rFonts w:ascii="仿宋_GB2312" w:eastAsia="仿宋_GB2312"/>
      <w:color w:val="000000"/>
      <w:kern w:val="0"/>
      <w:sz w:val="34"/>
      <w:szCs w:val="20"/>
    </w:rPr>
  </w:style>
  <w:style w:type="paragraph" w:customStyle="1" w:styleId="2186">
    <w:name w:val="样式 标题 3ReHead 3 WSAh3标题 3 Char Char Char标题 3 Char Char Char...1"/>
    <w:basedOn w:val="1"/>
    <w:qFormat/>
    <w:uiPriority w:val="0"/>
    <w:pPr>
      <w:numPr>
        <w:ilvl w:val="2"/>
        <w:numId w:val="29"/>
      </w:numPr>
      <w:tabs>
        <w:tab w:val="left" w:pos="726"/>
        <w:tab w:val="left" w:pos="909"/>
      </w:tabs>
      <w:ind w:firstLine="567"/>
    </w:pPr>
    <w:rPr>
      <w:rFonts w:ascii="宋体"/>
      <w:kern w:val="0"/>
      <w:szCs w:val="20"/>
    </w:rPr>
  </w:style>
  <w:style w:type="paragraph" w:customStyle="1" w:styleId="2187">
    <w:name w:val="表内-5-居中"/>
    <w:basedOn w:val="1"/>
    <w:qFormat/>
    <w:uiPriority w:val="0"/>
    <w:pPr>
      <w:autoSpaceDE w:val="0"/>
      <w:autoSpaceDN w:val="0"/>
      <w:snapToGrid w:val="0"/>
      <w:jc w:val="center"/>
    </w:pPr>
    <w:rPr>
      <w:rFonts w:ascii="宋体" w:cs="宋体"/>
      <w:kern w:val="0"/>
      <w:szCs w:val="20"/>
    </w:rPr>
  </w:style>
  <w:style w:type="paragraph" w:customStyle="1" w:styleId="2188">
    <w:name w:val="样式 题注 + 首行缩进:  2 字符1"/>
    <w:basedOn w:val="25"/>
    <w:qFormat/>
    <w:uiPriority w:val="0"/>
    <w:pPr>
      <w:keepNext/>
      <w:spacing w:before="152" w:after="160" w:line="360" w:lineRule="auto"/>
      <w:ind w:firstLine="200" w:firstLineChars="200"/>
      <w:jc w:val="both"/>
    </w:pPr>
    <w:rPr>
      <w:rFonts w:ascii="Arial" w:hAnsi="Arial" w:eastAsia="黑体"/>
      <w:b w:val="0"/>
      <w:sz w:val="21"/>
    </w:rPr>
  </w:style>
  <w:style w:type="paragraph" w:customStyle="1" w:styleId="2189">
    <w:name w:val="正文LA"/>
    <w:qFormat/>
    <w:uiPriority w:val="0"/>
    <w:pPr>
      <w:tabs>
        <w:tab w:val="left" w:pos="0"/>
      </w:tabs>
      <w:adjustRightInd w:val="0"/>
      <w:spacing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2190">
    <w:name w:val="CM60"/>
    <w:basedOn w:val="2"/>
    <w:next w:val="2"/>
    <w:qFormat/>
    <w:uiPriority w:val="0"/>
    <w:pPr>
      <w:spacing w:line="468" w:lineRule="atLeast"/>
    </w:pPr>
    <w:rPr>
      <w:rFonts w:cs="Times New Roman"/>
      <w:color w:val="auto"/>
    </w:rPr>
  </w:style>
  <w:style w:type="paragraph" w:customStyle="1" w:styleId="2191">
    <w:name w:val="表格内容自定"/>
    <w:basedOn w:val="1"/>
    <w:qFormat/>
    <w:uiPriority w:val="0"/>
    <w:pPr>
      <w:numPr>
        <w:ilvl w:val="0"/>
        <w:numId w:val="30"/>
      </w:numPr>
      <w:tabs>
        <w:tab w:val="left" w:pos="795"/>
      </w:tabs>
      <w:spacing w:line="280" w:lineRule="exact"/>
      <w:ind w:left="0" w:firstLine="0"/>
      <w:jc w:val="center"/>
    </w:pPr>
    <w:rPr>
      <w:rFonts w:ascii="宋体"/>
      <w:kern w:val="0"/>
      <w:sz w:val="18"/>
      <w:szCs w:val="21"/>
    </w:rPr>
  </w:style>
  <w:style w:type="paragraph" w:customStyle="1" w:styleId="2192">
    <w:name w:val="条款"/>
    <w:basedOn w:val="1"/>
    <w:qFormat/>
    <w:uiPriority w:val="0"/>
    <w:rPr>
      <w:rFonts w:ascii="宋体"/>
      <w:kern w:val="0"/>
      <w:szCs w:val="20"/>
    </w:rPr>
  </w:style>
  <w:style w:type="paragraph" w:customStyle="1" w:styleId="2193">
    <w:name w:val="xl97"/>
    <w:basedOn w:val="1"/>
    <w:qFormat/>
    <w:uiPriority w:val="0"/>
    <w:pPr>
      <w:widowControl/>
      <w:pBdr>
        <w:top w:val="single" w:color="auto" w:sz="4" w:space="0"/>
        <w:left w:val="single" w:color="auto" w:sz="8"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194">
    <w:name w:val="0-shiw-正文 小4号宋体"/>
    <w:qFormat/>
    <w:uiPriority w:val="0"/>
    <w:pPr>
      <w:widowControl w:val="0"/>
      <w:spacing w:line="360" w:lineRule="auto"/>
      <w:jc w:val="both"/>
    </w:pPr>
    <w:rPr>
      <w:rFonts w:ascii="宋体" w:hAnsi="宋体" w:eastAsia="宋体" w:cs="Times New Roman"/>
      <w:spacing w:val="-2"/>
      <w:kern w:val="2"/>
      <w:sz w:val="24"/>
      <w:szCs w:val="24"/>
      <w:lang w:val="en-US" w:eastAsia="zh-CN" w:bidi="ar-SA"/>
    </w:rPr>
  </w:style>
  <w:style w:type="paragraph" w:customStyle="1" w:styleId="2195">
    <w:name w:val="Cc List"/>
    <w:basedOn w:val="1"/>
    <w:unhideWhenUsed/>
    <w:qFormat/>
    <w:uiPriority w:val="0"/>
    <w:pPr>
      <w:widowControl/>
      <w:spacing w:before="120" w:after="120"/>
      <w:ind w:left="578" w:hanging="578"/>
    </w:pPr>
    <w:rPr>
      <w:rFonts w:ascii="Arial" w:hAnsi="Arial"/>
      <w:kern w:val="0"/>
      <w:sz w:val="22"/>
      <w:szCs w:val="20"/>
    </w:rPr>
  </w:style>
  <w:style w:type="paragraph" w:customStyle="1" w:styleId="2196">
    <w:name w:val="a0"/>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197">
    <w:name w:val="连云港正文"/>
    <w:basedOn w:val="1"/>
    <w:qFormat/>
    <w:uiPriority w:val="0"/>
    <w:pPr>
      <w:spacing w:line="360" w:lineRule="auto"/>
      <w:ind w:firstLine="200" w:firstLineChars="200"/>
    </w:pPr>
    <w:rPr>
      <w:rFonts w:ascii="宋体"/>
      <w:kern w:val="0"/>
      <w:sz w:val="34"/>
      <w:szCs w:val="20"/>
    </w:rPr>
  </w:style>
  <w:style w:type="paragraph" w:customStyle="1" w:styleId="2198">
    <w:name w:val="日期2"/>
    <w:basedOn w:val="1"/>
    <w:next w:val="1"/>
    <w:qFormat/>
    <w:uiPriority w:val="0"/>
    <w:pPr>
      <w:adjustRightInd w:val="0"/>
      <w:textAlignment w:val="baseline"/>
    </w:pPr>
    <w:rPr>
      <w:rFonts w:ascii="宋体"/>
      <w:kern w:val="0"/>
      <w:szCs w:val="20"/>
    </w:rPr>
  </w:style>
  <w:style w:type="paragraph" w:customStyle="1" w:styleId="2199">
    <w:name w:val="样式 标题 2标题 2 Char + 段前: 1 行 段后: 1 行"/>
    <w:basedOn w:val="8"/>
    <w:semiHidden/>
    <w:qFormat/>
    <w:uiPriority w:val="0"/>
    <w:pPr>
      <w:widowControl w:val="0"/>
      <w:numPr>
        <w:ilvl w:val="0"/>
        <w:numId w:val="0"/>
      </w:numPr>
      <w:tabs>
        <w:tab w:val="left" w:pos="315"/>
        <w:tab w:val="left" w:pos="768"/>
      </w:tabs>
      <w:adjustRightInd w:val="0"/>
      <w:spacing w:before="260" w:beforeLines="80" w:after="260" w:afterLines="80" w:line="520" w:lineRule="exact"/>
    </w:pPr>
    <w:rPr>
      <w:rFonts w:ascii="黑体" w:hAnsi="宋体" w:eastAsia="黑体"/>
      <w:b/>
      <w:bCs/>
      <w:sz w:val="28"/>
      <w:szCs w:val="20"/>
    </w:rPr>
  </w:style>
  <w:style w:type="paragraph" w:customStyle="1" w:styleId="2200">
    <w:name w:val="编号样式1"/>
    <w:basedOn w:val="785"/>
    <w:qFormat/>
    <w:uiPriority w:val="0"/>
    <w:pPr>
      <w:numPr>
        <w:ilvl w:val="0"/>
        <w:numId w:val="31"/>
      </w:numPr>
    </w:pPr>
  </w:style>
  <w:style w:type="paragraph" w:customStyle="1" w:styleId="2201">
    <w:name w:val="CM24"/>
    <w:basedOn w:val="2"/>
    <w:next w:val="2"/>
    <w:semiHidden/>
    <w:qFormat/>
    <w:uiPriority w:val="0"/>
    <w:pPr>
      <w:adjustRightInd/>
    </w:pPr>
    <w:rPr>
      <w:rFonts w:hint="eastAsia" w:ascii="仿宋" w:hAnsi="仿宋" w:eastAsia="仿宋" w:cs="Times New Roman"/>
      <w:szCs w:val="20"/>
    </w:rPr>
  </w:style>
  <w:style w:type="paragraph" w:customStyle="1" w:styleId="2202">
    <w:name w:val="Char1 Char Char Char Char Char"/>
    <w:basedOn w:val="1"/>
    <w:qFormat/>
    <w:uiPriority w:val="0"/>
    <w:rPr>
      <w:rFonts w:ascii="宋体"/>
      <w:kern w:val="0"/>
      <w:szCs w:val="20"/>
    </w:rPr>
  </w:style>
  <w:style w:type="paragraph" w:customStyle="1" w:styleId="2203">
    <w:name w:val="Sun"/>
    <w:basedOn w:val="1"/>
    <w:unhideWhenUsed/>
    <w:qFormat/>
    <w:uiPriority w:val="0"/>
    <w:pPr>
      <w:adjustRightInd w:val="0"/>
      <w:spacing w:before="120" w:after="120" w:line="360" w:lineRule="auto"/>
      <w:ind w:left="578" w:firstLine="567"/>
      <w:textAlignment w:val="baseline"/>
    </w:pPr>
    <w:rPr>
      <w:rFonts w:ascii="宋体"/>
      <w:kern w:val="28"/>
      <w:sz w:val="28"/>
      <w:szCs w:val="20"/>
    </w:rPr>
  </w:style>
  <w:style w:type="paragraph" w:customStyle="1" w:styleId="2204">
    <w:name w:val="正文表"/>
    <w:basedOn w:val="1"/>
    <w:unhideWhenUsed/>
    <w:qFormat/>
    <w:uiPriority w:val="0"/>
    <w:pPr>
      <w:tabs>
        <w:tab w:val="left" w:pos="2451"/>
        <w:tab w:val="left" w:pos="4614"/>
        <w:tab w:val="left" w:pos="6777"/>
        <w:tab w:val="left" w:pos="8940"/>
      </w:tabs>
      <w:autoSpaceDE w:val="0"/>
      <w:autoSpaceDN w:val="0"/>
      <w:adjustRightInd w:val="0"/>
      <w:spacing w:before="120" w:after="120"/>
      <w:ind w:left="578" w:hanging="578"/>
      <w:jc w:val="center"/>
      <w:textAlignment w:val="bottom"/>
    </w:pPr>
    <w:rPr>
      <w:rFonts w:ascii="宋体"/>
      <w:color w:val="000000"/>
      <w:kern w:val="0"/>
      <w:sz w:val="28"/>
      <w:szCs w:val="20"/>
    </w:rPr>
  </w:style>
  <w:style w:type="paragraph" w:customStyle="1" w:styleId="2205">
    <w:name w:val="正文楷体"/>
    <w:basedOn w:val="1"/>
    <w:qFormat/>
    <w:uiPriority w:val="0"/>
    <w:rPr>
      <w:rFonts w:ascii="宋体" w:eastAsia="楷体_GB2312"/>
      <w:kern w:val="0"/>
      <w:szCs w:val="20"/>
    </w:rPr>
  </w:style>
  <w:style w:type="paragraph" w:customStyle="1" w:styleId="2206">
    <w:name w:val="佛表"/>
    <w:basedOn w:val="69"/>
    <w:qFormat/>
    <w:uiPriority w:val="0"/>
    <w:pPr>
      <w:widowControl w:val="0"/>
      <w:spacing w:line="0" w:lineRule="atLeast"/>
    </w:pPr>
    <w:rPr>
      <w:rFonts w:ascii="宋体" w:hAnsi="Times New Roman" w:eastAsia="宋体"/>
      <w:kern w:val="0"/>
      <w:szCs w:val="24"/>
    </w:rPr>
  </w:style>
  <w:style w:type="paragraph" w:customStyle="1" w:styleId="2207">
    <w:name w:val="1.1.1湛江标题1"/>
    <w:basedOn w:val="9"/>
    <w:qFormat/>
    <w:uiPriority w:val="0"/>
    <w:pPr>
      <w:widowControl w:val="0"/>
      <w:numPr>
        <w:ilvl w:val="0"/>
        <w:numId w:val="0"/>
      </w:numPr>
      <w:tabs>
        <w:tab w:val="left" w:pos="482"/>
        <w:tab w:val="left" w:pos="1740"/>
      </w:tabs>
      <w:spacing w:after="120" w:line="240" w:lineRule="auto"/>
      <w:ind w:left="1740" w:firstLine="482"/>
      <w:jc w:val="both"/>
    </w:pPr>
    <w:rPr>
      <w:rFonts w:cs="Times New Roman"/>
      <w:bCs w:val="0"/>
      <w:color w:val="FF0000"/>
      <w:sz w:val="32"/>
    </w:rPr>
  </w:style>
  <w:style w:type="paragraph" w:customStyle="1" w:styleId="2208">
    <w:name w:val="样式 正文ybj +"/>
    <w:basedOn w:val="1"/>
    <w:qFormat/>
    <w:uiPriority w:val="0"/>
    <w:pPr>
      <w:adjustRightInd w:val="0"/>
      <w:snapToGrid w:val="0"/>
      <w:spacing w:line="560" w:lineRule="exact"/>
      <w:ind w:firstLine="200" w:firstLineChars="200"/>
    </w:pPr>
    <w:rPr>
      <w:rFonts w:ascii="宋体" w:cs="宋体"/>
      <w:snapToGrid w:val="0"/>
      <w:kern w:val="0"/>
      <w:sz w:val="28"/>
      <w:szCs w:val="20"/>
    </w:rPr>
  </w:style>
  <w:style w:type="paragraph" w:customStyle="1" w:styleId="2209">
    <w:name w:val="Bullet1"/>
    <w:basedOn w:val="1"/>
    <w:unhideWhenUsed/>
    <w:qFormat/>
    <w:uiPriority w:val="0"/>
    <w:pPr>
      <w:spacing w:before="120" w:after="120"/>
      <w:ind w:left="578" w:firstLine="482"/>
    </w:pPr>
    <w:rPr>
      <w:rFonts w:ascii="宋体"/>
      <w:kern w:val="0"/>
      <w:szCs w:val="21"/>
    </w:rPr>
  </w:style>
  <w:style w:type="paragraph" w:customStyle="1" w:styleId="2210">
    <w:name w:val="Char1 Char Char Char Char Char Char3"/>
    <w:basedOn w:val="1"/>
    <w:qFormat/>
    <w:uiPriority w:val="0"/>
    <w:rPr>
      <w:rFonts w:ascii="宋体"/>
      <w:kern w:val="0"/>
      <w:sz w:val="34"/>
      <w:szCs w:val="20"/>
    </w:rPr>
  </w:style>
  <w:style w:type="paragraph" w:customStyle="1" w:styleId="2211">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2212">
    <w:name w:val="Char Char1 Char Char Char Char Char Char Char Char Char Char Char Char Char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213">
    <w:name w:val="xl70"/>
    <w:basedOn w:val="1"/>
    <w:qFormat/>
    <w:uiPriority w:val="0"/>
    <w:pPr>
      <w:widowControl/>
      <w:pBdr>
        <w:left w:val="single" w:color="auto" w:sz="8" w:space="0"/>
      </w:pBdr>
      <w:spacing w:before="100" w:beforeAutospacing="1" w:after="100" w:afterAutospacing="1"/>
    </w:pPr>
    <w:rPr>
      <w:rFonts w:ascii="仿宋_GB2312" w:hAnsi="宋体" w:eastAsia="仿宋_GB2312" w:cs="宋体"/>
      <w:kern w:val="0"/>
      <w:szCs w:val="21"/>
    </w:rPr>
  </w:style>
  <w:style w:type="paragraph" w:customStyle="1" w:styleId="2214">
    <w:name w:val="bg编号和名称"/>
    <w:basedOn w:val="1697"/>
    <w:semiHidden/>
    <w:qFormat/>
    <w:uiPriority w:val="0"/>
    <w:pPr>
      <w:spacing w:line="240" w:lineRule="auto"/>
      <w:ind w:firstLine="0"/>
      <w:jc w:val="center"/>
    </w:pPr>
    <w:rPr>
      <w:rFonts w:eastAsia="黑体"/>
      <w:sz w:val="21"/>
    </w:rPr>
  </w:style>
  <w:style w:type="paragraph" w:customStyle="1" w:styleId="2215">
    <w:name w:val="样式 宋体 小四 加粗"/>
    <w:basedOn w:val="1"/>
    <w:qFormat/>
    <w:uiPriority w:val="0"/>
    <w:pPr>
      <w:pBdr>
        <w:top w:val="single" w:color="auto" w:sz="4" w:space="1"/>
      </w:pBdr>
      <w:spacing w:line="440" w:lineRule="exact"/>
      <w:jc w:val="left"/>
    </w:pPr>
    <w:rPr>
      <w:rFonts w:ascii="宋体" w:hAnsi="宋体"/>
      <w:kern w:val="0"/>
      <w:sz w:val="34"/>
      <w:szCs w:val="20"/>
    </w:rPr>
  </w:style>
  <w:style w:type="paragraph" w:customStyle="1" w:styleId="2216">
    <w:name w:val="样式 首行缩进:  1.01 厘米"/>
    <w:basedOn w:val="1"/>
    <w:qFormat/>
    <w:uiPriority w:val="0"/>
    <w:pPr>
      <w:spacing w:line="360" w:lineRule="auto"/>
      <w:ind w:firstLine="480" w:firstLineChars="200"/>
    </w:pPr>
    <w:rPr>
      <w:rFonts w:ascii="宋体"/>
      <w:kern w:val="0"/>
      <w:sz w:val="34"/>
      <w:szCs w:val="20"/>
    </w:rPr>
  </w:style>
  <w:style w:type="paragraph" w:customStyle="1" w:styleId="2217">
    <w:name w:val="?????¨¬???????¨¬?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2218">
    <w:name w:val="标题样式1"/>
    <w:basedOn w:val="37"/>
    <w:qFormat/>
    <w:uiPriority w:val="0"/>
    <w:pPr>
      <w:widowControl w:val="0"/>
      <w:snapToGrid/>
      <w:spacing w:before="120" w:after="0" w:line="0" w:lineRule="atLeast"/>
      <w:ind w:left="578" w:right="0" w:hanging="578"/>
      <w:jc w:val="center"/>
    </w:pPr>
    <w:rPr>
      <w:b/>
      <w:bCs/>
      <w:sz w:val="21"/>
    </w:rPr>
  </w:style>
  <w:style w:type="paragraph" w:customStyle="1" w:styleId="2219">
    <w:name w:val="样式 表格文字—五号 + (西文) Tahoma (中文) 华文中宋 段前: 2.4 磅 段后: 4.8 磅 行距: 最..."/>
    <w:basedOn w:val="957"/>
    <w:qFormat/>
    <w:uiPriority w:val="0"/>
    <w:pPr>
      <w:spacing w:before="48" w:after="96" w:line="0" w:lineRule="atLeast"/>
    </w:pPr>
    <w:rPr>
      <w:rFonts w:ascii="Tahoma" w:hAnsi="Tahoma" w:cs="宋体"/>
      <w:szCs w:val="20"/>
    </w:rPr>
  </w:style>
  <w:style w:type="paragraph" w:customStyle="1" w:styleId="2220">
    <w:name w:val="CM69"/>
    <w:basedOn w:val="2"/>
    <w:next w:val="2"/>
    <w:semiHidden/>
    <w:qFormat/>
    <w:uiPriority w:val="0"/>
    <w:pPr>
      <w:adjustRightInd/>
    </w:pPr>
    <w:rPr>
      <w:rFonts w:hint="eastAsia" w:ascii="仿宋" w:hAnsi="仿宋" w:eastAsia="仿宋" w:cs="Times New Roman"/>
      <w:szCs w:val="20"/>
    </w:rPr>
  </w:style>
  <w:style w:type="paragraph" w:customStyle="1" w:styleId="2221">
    <w:name w:val="码头正文"/>
    <w:basedOn w:val="6"/>
    <w:qFormat/>
    <w:uiPriority w:val="0"/>
    <w:pPr>
      <w:widowControl w:val="0"/>
      <w:spacing w:line="360" w:lineRule="auto"/>
      <w:ind w:firstLine="480"/>
      <w:jc w:val="both"/>
    </w:pPr>
    <w:rPr>
      <w:rFonts w:cs="Times New Roman"/>
      <w:sz w:val="20"/>
      <w:szCs w:val="20"/>
      <w:u w:color="000000"/>
    </w:rPr>
  </w:style>
  <w:style w:type="paragraph" w:customStyle="1" w:styleId="2222">
    <w:name w:val="xl19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223">
    <w:name w:val="港珠澳表格"/>
    <w:basedOn w:val="1"/>
    <w:qFormat/>
    <w:uiPriority w:val="0"/>
    <w:pPr>
      <w:keepNext/>
      <w:adjustRightInd w:val="0"/>
      <w:snapToGrid w:val="0"/>
      <w:spacing w:before="120" w:after="60" w:line="360" w:lineRule="auto"/>
      <w:ind w:left="578" w:hanging="578"/>
      <w:jc w:val="center"/>
    </w:pPr>
    <w:rPr>
      <w:rFonts w:ascii="宋体"/>
      <w:kern w:val="0"/>
      <w:sz w:val="34"/>
      <w:szCs w:val="20"/>
    </w:rPr>
  </w:style>
  <w:style w:type="paragraph" w:customStyle="1" w:styleId="2224">
    <w:name w:val="表格单位"/>
    <w:basedOn w:val="6"/>
    <w:qFormat/>
    <w:uiPriority w:val="0"/>
    <w:pPr>
      <w:widowControl w:val="0"/>
      <w:pBdr>
        <w:top w:val="single" w:color="auto" w:sz="4" w:space="1"/>
      </w:pBdr>
      <w:ind w:firstLine="0" w:firstLineChars="0"/>
      <w:jc w:val="right"/>
    </w:pPr>
    <w:rPr>
      <w:rFonts w:ascii="Times New Roman" w:hAnsi="Times New Roman" w:cs="Times New Roman"/>
      <w:sz w:val="21"/>
      <w:szCs w:val="20"/>
    </w:rPr>
  </w:style>
  <w:style w:type="paragraph" w:customStyle="1" w:styleId="2225">
    <w:name w:val="标题一"/>
    <w:basedOn w:val="1"/>
    <w:next w:val="7"/>
    <w:qFormat/>
    <w:uiPriority w:val="0"/>
    <w:pPr>
      <w:numPr>
        <w:ilvl w:val="0"/>
        <w:numId w:val="32"/>
      </w:numPr>
      <w:tabs>
        <w:tab w:val="left" w:pos="726"/>
      </w:tabs>
      <w:ind w:firstLine="567"/>
    </w:pPr>
    <w:rPr>
      <w:rFonts w:ascii="宋体"/>
      <w:kern w:val="0"/>
      <w:sz w:val="28"/>
      <w:szCs w:val="20"/>
    </w:rPr>
  </w:style>
  <w:style w:type="paragraph" w:customStyle="1" w:styleId="2226">
    <w:name w:val="表格王"/>
    <w:basedOn w:val="1"/>
    <w:qFormat/>
    <w:uiPriority w:val="0"/>
    <w:pPr>
      <w:adjustRightInd w:val="0"/>
      <w:snapToGrid w:val="0"/>
      <w:spacing w:before="120" w:after="120" w:line="360" w:lineRule="exact"/>
      <w:ind w:left="578" w:hanging="578"/>
      <w:jc w:val="center"/>
    </w:pPr>
    <w:rPr>
      <w:rFonts w:ascii="宋体"/>
      <w:kern w:val="0"/>
      <w:szCs w:val="18"/>
    </w:rPr>
  </w:style>
  <w:style w:type="paragraph" w:customStyle="1" w:styleId="2227">
    <w:name w:val="表、图名宋旭峰"/>
    <w:basedOn w:val="1"/>
    <w:qFormat/>
    <w:uiPriority w:val="0"/>
    <w:pPr>
      <w:snapToGrid w:val="0"/>
      <w:spacing w:beforeLines="50" w:line="360" w:lineRule="auto"/>
      <w:jc w:val="center"/>
    </w:pPr>
    <w:rPr>
      <w:rFonts w:ascii="宋体" w:hAnsi="宋体"/>
      <w:bCs/>
      <w:spacing w:val="-12"/>
      <w:kern w:val="0"/>
      <w:sz w:val="28"/>
      <w:szCs w:val="28"/>
    </w:rPr>
  </w:style>
  <w:style w:type="paragraph" w:customStyle="1" w:styleId="2228">
    <w:name w:val="标题12.2.6.1"/>
    <w:basedOn w:val="1"/>
    <w:qFormat/>
    <w:uiPriority w:val="0"/>
    <w:pPr>
      <w:keepNext/>
      <w:keepLines/>
      <w:tabs>
        <w:tab w:val="left" w:pos="2946"/>
      </w:tabs>
      <w:spacing w:before="120" w:afterLines="50" w:line="312" w:lineRule="auto"/>
      <w:ind w:left="1997" w:hanging="851"/>
      <w:jc w:val="left"/>
      <w:outlineLvl w:val="3"/>
    </w:pPr>
    <w:rPr>
      <w:rFonts w:ascii="宋体" w:hAnsi="宋体" w:eastAsia="黑体" w:cs="宋体"/>
      <w:b/>
      <w:kern w:val="0"/>
      <w:sz w:val="34"/>
      <w:szCs w:val="20"/>
    </w:rPr>
  </w:style>
  <w:style w:type="paragraph" w:customStyle="1" w:styleId="2229">
    <w:name w:val="表格（居中）"/>
    <w:basedOn w:val="1"/>
    <w:next w:val="1"/>
    <w:qFormat/>
    <w:uiPriority w:val="0"/>
    <w:pPr>
      <w:adjustRightInd w:val="0"/>
      <w:snapToGrid w:val="0"/>
      <w:spacing w:before="24" w:after="24" w:line="360" w:lineRule="auto"/>
      <w:jc w:val="center"/>
    </w:pPr>
    <w:rPr>
      <w:rFonts w:ascii="宋体"/>
      <w:kern w:val="0"/>
      <w:sz w:val="34"/>
      <w:szCs w:val="20"/>
    </w:rPr>
  </w:style>
  <w:style w:type="paragraph" w:customStyle="1" w:styleId="2230">
    <w:name w:val="Char2 Char Char Char2"/>
    <w:basedOn w:val="1"/>
    <w:qFormat/>
    <w:uiPriority w:val="0"/>
    <w:rPr>
      <w:rFonts w:ascii="宋体"/>
      <w:kern w:val="0"/>
      <w:sz w:val="34"/>
      <w:szCs w:val="20"/>
    </w:rPr>
  </w:style>
  <w:style w:type="paragraph" w:customStyle="1" w:styleId="2231">
    <w:name w:val="zwj1.1"/>
    <w:basedOn w:val="1"/>
    <w:qFormat/>
    <w:uiPriority w:val="0"/>
    <w:pPr>
      <w:numPr>
        <w:ilvl w:val="1"/>
        <w:numId w:val="9"/>
      </w:numPr>
      <w:tabs>
        <w:tab w:val="left" w:pos="360"/>
      </w:tabs>
      <w:snapToGrid w:val="0"/>
      <w:spacing w:line="360" w:lineRule="auto"/>
      <w:ind w:right="100" w:rightChars="100"/>
      <w:outlineLvl w:val="1"/>
    </w:pPr>
    <w:rPr>
      <w:rFonts w:ascii="宋体" w:hAnsi="宋体"/>
      <w:b/>
      <w:kern w:val="0"/>
      <w:sz w:val="34"/>
      <w:szCs w:val="20"/>
    </w:rPr>
  </w:style>
  <w:style w:type="paragraph" w:customStyle="1" w:styleId="2232">
    <w:name w:val="Char Char1 Char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233">
    <w:name w:val="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234">
    <w:name w:val="Char3 Char Char Char1"/>
    <w:basedOn w:val="1"/>
    <w:qFormat/>
    <w:uiPriority w:val="0"/>
    <w:pPr>
      <w:spacing w:line="340" w:lineRule="exact"/>
      <w:ind w:firstLine="10" w:firstLineChars="4"/>
    </w:pPr>
    <w:rPr>
      <w:rFonts w:ascii="宋体"/>
      <w:kern w:val="0"/>
      <w:sz w:val="28"/>
      <w:szCs w:val="28"/>
    </w:rPr>
  </w:style>
  <w:style w:type="paragraph" w:customStyle="1" w:styleId="2235">
    <w:name w:val="文本123-II"/>
    <w:basedOn w:val="10"/>
    <w:qFormat/>
    <w:uiPriority w:val="0"/>
    <w:pPr>
      <w:keepNext w:val="0"/>
      <w:keepLines w:val="0"/>
      <w:widowControl w:val="0"/>
      <w:numPr>
        <w:ilvl w:val="0"/>
        <w:numId w:val="0"/>
      </w:numPr>
      <w:spacing w:before="280" w:beforeLines="50" w:line="240" w:lineRule="auto"/>
      <w:ind w:left="106" w:firstLine="454"/>
      <w:jc w:val="both"/>
    </w:pPr>
    <w:rPr>
      <w:rFonts w:ascii="宋体" w:hAnsi="宋体" w:cs="Times New Roman"/>
      <w:b w:val="0"/>
      <w:bCs w:val="0"/>
      <w:sz w:val="20"/>
      <w:szCs w:val="20"/>
    </w:rPr>
  </w:style>
  <w:style w:type="paragraph" w:customStyle="1" w:styleId="2236">
    <w:name w:val="CM1"/>
    <w:basedOn w:val="2"/>
    <w:next w:val="2"/>
    <w:qFormat/>
    <w:uiPriority w:val="0"/>
    <w:pPr>
      <w:adjustRightInd/>
    </w:pPr>
    <w:rPr>
      <w:rFonts w:hint="eastAsia" w:ascii="仿宋" w:hAnsi="仿宋" w:eastAsia="仿宋" w:cs="Times New Roman"/>
      <w:szCs w:val="20"/>
    </w:rPr>
  </w:style>
  <w:style w:type="paragraph" w:customStyle="1" w:styleId="2237">
    <w:name w:val="标标题1.9"/>
    <w:basedOn w:val="1"/>
    <w:qFormat/>
    <w:uiPriority w:val="0"/>
    <w:pPr>
      <w:numPr>
        <w:ilvl w:val="0"/>
        <w:numId w:val="33"/>
      </w:numPr>
      <w:tabs>
        <w:tab w:val="center" w:pos="4060"/>
        <w:tab w:val="right" w:pos="8261"/>
        <w:tab w:val="clear" w:pos="726"/>
      </w:tabs>
      <w:suppressAutoHyphens/>
      <w:adjustRightInd w:val="0"/>
      <w:spacing w:before="240" w:after="120" w:line="0" w:lineRule="atLeast"/>
      <w:ind w:firstLine="567"/>
      <w:jc w:val="center"/>
    </w:pPr>
    <w:rPr>
      <w:rFonts w:ascii="黑体" w:eastAsia="黑体"/>
      <w:b/>
      <w:spacing w:val="6"/>
      <w:kern w:val="0"/>
      <w:sz w:val="26"/>
      <w:szCs w:val="26"/>
    </w:rPr>
  </w:style>
  <w:style w:type="paragraph" w:customStyle="1" w:styleId="2238">
    <w:name w:val="正文文字缩进 2"/>
    <w:basedOn w:val="1"/>
    <w:qFormat/>
    <w:uiPriority w:val="0"/>
    <w:pPr>
      <w:widowControl/>
      <w:spacing w:line="651" w:lineRule="atLeast"/>
      <w:ind w:firstLine="646"/>
      <w:textAlignment w:val="baseline"/>
    </w:pPr>
    <w:rPr>
      <w:rFonts w:ascii="宋体"/>
      <w:color w:val="000000"/>
      <w:kern w:val="0"/>
      <w:sz w:val="34"/>
      <w:szCs w:val="20"/>
      <w:u w:color="000000"/>
    </w:rPr>
  </w:style>
  <w:style w:type="paragraph" w:customStyle="1" w:styleId="2239">
    <w:name w:val="Char Char5 Char Char1"/>
    <w:basedOn w:val="1"/>
    <w:qFormat/>
    <w:uiPriority w:val="0"/>
    <w:pPr>
      <w:spacing w:line="360" w:lineRule="auto"/>
      <w:ind w:firstLine="200" w:firstLineChars="200"/>
    </w:pPr>
    <w:rPr>
      <w:rFonts w:ascii="宋体" w:hAnsi="宋体" w:cs="宋体"/>
      <w:kern w:val="0"/>
      <w:sz w:val="34"/>
      <w:szCs w:val="20"/>
    </w:rPr>
  </w:style>
  <w:style w:type="paragraph" w:customStyle="1" w:styleId="2240">
    <w:name w:val="样式 正文缩进 + 五号 Char Char Char Char Char Char Char Char Char Char Char Char Char Char Char Char Char Char Char Char Char Char Char Char Char Char Char Char Char Char Char Char Char Char Char Char Char Char Char Char Char Char"/>
    <w:basedOn w:val="6"/>
    <w:qFormat/>
    <w:uiPriority w:val="0"/>
    <w:pPr>
      <w:overflowPunct w:val="0"/>
      <w:autoSpaceDE w:val="0"/>
      <w:autoSpaceDN w:val="0"/>
      <w:adjustRightInd w:val="0"/>
      <w:ind w:firstLine="0" w:firstLineChars="0"/>
      <w:jc w:val="both"/>
    </w:pPr>
    <w:rPr>
      <w:rFonts w:ascii="Times New Roman" w:hAnsi="Times New Roman" w:cs="Times New Roman"/>
      <w:sz w:val="20"/>
      <w:szCs w:val="20"/>
    </w:rPr>
  </w:style>
  <w:style w:type="paragraph" w:customStyle="1" w:styleId="2241">
    <w:name w:val="表名"/>
    <w:basedOn w:val="1"/>
    <w:qFormat/>
    <w:uiPriority w:val="0"/>
    <w:pPr>
      <w:adjustRightInd w:val="0"/>
      <w:snapToGrid w:val="0"/>
      <w:spacing w:line="360" w:lineRule="auto"/>
      <w:jc w:val="center"/>
      <w:textAlignment w:val="baseline"/>
    </w:pPr>
    <w:rPr>
      <w:rFonts w:ascii="宋体" w:hAnsi="宋体"/>
      <w:kern w:val="0"/>
      <w:sz w:val="34"/>
      <w:szCs w:val="20"/>
    </w:rPr>
  </w:style>
  <w:style w:type="paragraph" w:customStyle="1" w:styleId="2242">
    <w:name w:val="文"/>
    <w:basedOn w:val="1"/>
    <w:qFormat/>
    <w:uiPriority w:val="0"/>
    <w:pPr>
      <w:adjustRightInd w:val="0"/>
      <w:spacing w:line="500" w:lineRule="atLeast"/>
      <w:ind w:firstLine="540"/>
      <w:textAlignment w:val="baseline"/>
    </w:pPr>
    <w:rPr>
      <w:rFonts w:ascii="宋体"/>
      <w:kern w:val="0"/>
      <w:sz w:val="28"/>
      <w:szCs w:val="20"/>
    </w:rPr>
  </w:style>
  <w:style w:type="paragraph" w:customStyle="1" w:styleId="2243">
    <w:name w:val="湛江标题1"/>
    <w:basedOn w:val="7"/>
    <w:qFormat/>
    <w:uiPriority w:val="0"/>
    <w:pPr>
      <w:keepLines/>
      <w:tabs>
        <w:tab w:val="left" w:pos="840"/>
      </w:tabs>
      <w:overflowPunct/>
      <w:snapToGrid/>
      <w:spacing w:before="0" w:after="0" w:line="240" w:lineRule="auto"/>
      <w:ind w:left="0" w:firstLine="482"/>
    </w:pPr>
    <w:rPr>
      <w:rFonts w:ascii="宋体" w:hAnsi="宋体"/>
      <w:color w:val="auto"/>
      <w:sz w:val="44"/>
      <w:szCs w:val="44"/>
    </w:rPr>
  </w:style>
  <w:style w:type="paragraph" w:customStyle="1" w:styleId="2244">
    <w:name w:val="0-shiw-封面公司名称"/>
    <w:qFormat/>
    <w:uiPriority w:val="0"/>
    <w:pPr>
      <w:spacing w:line="360" w:lineRule="auto"/>
      <w:jc w:val="center"/>
    </w:pPr>
    <w:rPr>
      <w:rFonts w:ascii="黑体" w:hAnsi="Times New Roman" w:eastAsia="黑体" w:cs="Times New Roman"/>
      <w:spacing w:val="30"/>
      <w:kern w:val="2"/>
      <w:sz w:val="36"/>
      <w:szCs w:val="36"/>
      <w:lang w:val="en-US" w:eastAsia="zh-CN" w:bidi="ar-SA"/>
    </w:rPr>
  </w:style>
  <w:style w:type="paragraph" w:customStyle="1" w:styleId="2245">
    <w:name w:val="Char Char Char1 Char Char Char Char Char Char Char Char Char Char Char Char Char Char Char Char Char Char Char Char Char Char2"/>
    <w:basedOn w:val="1"/>
    <w:qFormat/>
    <w:uiPriority w:val="0"/>
    <w:rPr>
      <w:rFonts w:ascii="宋体"/>
      <w:kern w:val="0"/>
      <w:szCs w:val="21"/>
    </w:rPr>
  </w:style>
  <w:style w:type="paragraph" w:customStyle="1" w:styleId="2246">
    <w:name w:val="项目符号1"/>
    <w:basedOn w:val="1"/>
    <w:qFormat/>
    <w:uiPriority w:val="0"/>
    <w:pPr>
      <w:tabs>
        <w:tab w:val="left" w:pos="420"/>
      </w:tabs>
      <w:overflowPunct w:val="0"/>
      <w:snapToGrid w:val="0"/>
      <w:spacing w:line="480" w:lineRule="exact"/>
      <w:ind w:left="435" w:hanging="285"/>
    </w:pPr>
    <w:rPr>
      <w:rFonts w:ascii="Arial" w:hAnsi="Arial" w:eastAsia="仿宋_GB2312"/>
      <w:kern w:val="0"/>
      <w:sz w:val="28"/>
      <w:szCs w:val="20"/>
    </w:rPr>
  </w:style>
  <w:style w:type="paragraph" w:customStyle="1" w:styleId="2247">
    <w:name w:val="样式 表中文字 + 两端对齐"/>
    <w:basedOn w:val="1"/>
    <w:semiHidden/>
    <w:qFormat/>
    <w:uiPriority w:val="0"/>
    <w:pPr>
      <w:shd w:val="clear" w:color="auto" w:fill="FFFFFF"/>
      <w:tabs>
        <w:tab w:val="left" w:pos="3286"/>
        <w:tab w:val="left" w:pos="8362"/>
      </w:tabs>
      <w:snapToGrid w:val="0"/>
      <w:spacing w:line="320" w:lineRule="exact"/>
    </w:pPr>
    <w:rPr>
      <w:rFonts w:ascii="Arial" w:hAnsi="Arial" w:eastAsia="楷体_GB2312" w:cs="宋体"/>
      <w:kern w:val="0"/>
      <w:szCs w:val="21"/>
    </w:rPr>
  </w:style>
  <w:style w:type="paragraph" w:customStyle="1" w:styleId="224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249">
    <w:name w:val="首行缩进 Char Char Char"/>
    <w:basedOn w:val="1"/>
    <w:qFormat/>
    <w:uiPriority w:val="0"/>
    <w:pPr>
      <w:snapToGrid w:val="0"/>
      <w:spacing w:line="360" w:lineRule="auto"/>
      <w:ind w:firstLine="499"/>
    </w:pPr>
    <w:rPr>
      <w:rFonts w:ascii="宋体"/>
      <w:kern w:val="0"/>
      <w:sz w:val="34"/>
      <w:szCs w:val="20"/>
    </w:rPr>
  </w:style>
  <w:style w:type="paragraph" w:customStyle="1" w:styleId="2250">
    <w:name w:val="样式 宋体 加粗 黑色 居中 首行缩进:  2 字符"/>
    <w:basedOn w:val="1"/>
    <w:qFormat/>
    <w:uiPriority w:val="0"/>
    <w:pPr>
      <w:tabs>
        <w:tab w:val="left" w:pos="632"/>
      </w:tabs>
      <w:spacing w:line="360" w:lineRule="auto"/>
      <w:jc w:val="center"/>
    </w:pPr>
    <w:rPr>
      <w:rFonts w:ascii="宋体" w:hAnsi="宋体" w:cs="宋体"/>
      <w:b/>
      <w:bCs/>
      <w:color w:val="000000"/>
      <w:kern w:val="0"/>
      <w:sz w:val="34"/>
      <w:szCs w:val="20"/>
    </w:rPr>
  </w:style>
  <w:style w:type="paragraph" w:customStyle="1" w:styleId="2251">
    <w:name w:val="样式 LNG－标题1 + 居中 段前: 0.5 行 段后: 0.5 行2"/>
    <w:basedOn w:val="1611"/>
    <w:qFormat/>
    <w:uiPriority w:val="0"/>
    <w:pPr>
      <w:tabs>
        <w:tab w:val="left" w:pos="425"/>
      </w:tabs>
      <w:spacing w:before="156" w:after="156"/>
      <w:ind w:left="425" w:hanging="425"/>
      <w:jc w:val="center"/>
    </w:pPr>
    <w:rPr>
      <w:rFonts w:cs="宋体"/>
      <w:bCs/>
      <w:szCs w:val="20"/>
    </w:rPr>
  </w:style>
  <w:style w:type="paragraph" w:customStyle="1" w:styleId="2252">
    <w:name w:val="font8"/>
    <w:basedOn w:val="1"/>
    <w:qFormat/>
    <w:uiPriority w:val="0"/>
    <w:pPr>
      <w:widowControl/>
      <w:spacing w:before="100" w:beforeAutospacing="1" w:after="100" w:afterAutospacing="1"/>
      <w:jc w:val="left"/>
    </w:pPr>
    <w:rPr>
      <w:rFonts w:ascii="宋体"/>
      <w:b/>
      <w:bCs/>
      <w:kern w:val="0"/>
      <w:szCs w:val="21"/>
    </w:rPr>
  </w:style>
  <w:style w:type="paragraph" w:customStyle="1" w:styleId="2253">
    <w:name w:val="样式 样式 标题 21.1标题 21.1标题2标题 2 Char1节_Heading 2标2二级标题1.1标题一... + Ti..."/>
    <w:basedOn w:val="1617"/>
    <w:qFormat/>
    <w:uiPriority w:val="0"/>
  </w:style>
  <w:style w:type="paragraph" w:customStyle="1" w:styleId="225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kern w:val="0"/>
      <w:sz w:val="34"/>
      <w:szCs w:val="20"/>
    </w:rPr>
  </w:style>
  <w:style w:type="paragraph" w:customStyle="1" w:styleId="2255">
    <w:name w:val="样式 标题3（杨） + 字距调整二号"/>
    <w:basedOn w:val="2256"/>
    <w:qFormat/>
    <w:uiPriority w:val="0"/>
  </w:style>
  <w:style w:type="paragraph" w:customStyle="1" w:styleId="2256">
    <w:name w:val="标题3（杨）"/>
    <w:basedOn w:val="1"/>
    <w:qFormat/>
    <w:uiPriority w:val="0"/>
    <w:pPr>
      <w:spacing w:before="120" w:after="120"/>
      <w:ind w:left="1725" w:hanging="420"/>
    </w:pPr>
    <w:rPr>
      <w:rFonts w:ascii="宋体" w:eastAsia="黑体"/>
      <w:b/>
      <w:kern w:val="0"/>
      <w:sz w:val="28"/>
      <w:szCs w:val="20"/>
    </w:rPr>
  </w:style>
  <w:style w:type="paragraph" w:customStyle="1" w:styleId="2257">
    <w:name w:val="表标题3.7"/>
    <w:basedOn w:val="1"/>
    <w:qFormat/>
    <w:uiPriority w:val="0"/>
    <w:pPr>
      <w:numPr>
        <w:ilvl w:val="0"/>
        <w:numId w:val="34"/>
      </w:numPr>
      <w:tabs>
        <w:tab w:val="left" w:pos="726"/>
        <w:tab w:val="center" w:pos="4060"/>
        <w:tab w:val="right" w:pos="8261"/>
      </w:tabs>
      <w:suppressAutoHyphens/>
      <w:adjustRightInd w:val="0"/>
      <w:spacing w:before="240" w:after="120" w:line="0" w:lineRule="atLeast"/>
    </w:pPr>
    <w:rPr>
      <w:rFonts w:ascii="黑体" w:eastAsia="黑体"/>
      <w:b/>
      <w:spacing w:val="6"/>
      <w:kern w:val="0"/>
      <w:sz w:val="26"/>
      <w:szCs w:val="26"/>
    </w:rPr>
  </w:style>
  <w:style w:type="paragraph" w:customStyle="1" w:styleId="2258">
    <w:name w:val="xl138"/>
    <w:basedOn w:val="1"/>
    <w:qFormat/>
    <w:uiPriority w:val="0"/>
    <w:pPr>
      <w:widowControl/>
      <w:pBdr>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259">
    <w:name w:val="Char8"/>
    <w:basedOn w:val="1"/>
    <w:qFormat/>
    <w:uiPriority w:val="0"/>
    <w:rPr>
      <w:rFonts w:ascii="宋体"/>
      <w:kern w:val="0"/>
      <w:sz w:val="34"/>
      <w:szCs w:val="20"/>
    </w:rPr>
  </w:style>
  <w:style w:type="paragraph" w:customStyle="1" w:styleId="2260">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261">
    <w:name w:val="CM96"/>
    <w:basedOn w:val="2"/>
    <w:next w:val="2"/>
    <w:semiHidden/>
    <w:qFormat/>
    <w:uiPriority w:val="0"/>
    <w:pPr>
      <w:adjustRightInd/>
    </w:pPr>
    <w:rPr>
      <w:rFonts w:hint="eastAsia" w:ascii="仿宋" w:hAnsi="仿宋" w:eastAsia="仿宋" w:cs="Times New Roman"/>
      <w:szCs w:val="20"/>
    </w:rPr>
  </w:style>
  <w:style w:type="paragraph" w:customStyle="1" w:styleId="2262">
    <w:name w:val="xl125"/>
    <w:basedOn w:val="1"/>
    <w:qFormat/>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263">
    <w:name w:val="CM72"/>
    <w:basedOn w:val="2"/>
    <w:next w:val="2"/>
    <w:semiHidden/>
    <w:qFormat/>
    <w:uiPriority w:val="0"/>
    <w:pPr>
      <w:adjustRightInd/>
    </w:pPr>
    <w:rPr>
      <w:rFonts w:hint="eastAsia" w:ascii="仿宋" w:hAnsi="仿宋" w:eastAsia="仿宋" w:cs="Times New Roman"/>
      <w:szCs w:val="20"/>
    </w:rPr>
  </w:style>
  <w:style w:type="paragraph" w:customStyle="1" w:styleId="2264">
    <w:name w:val="xl94"/>
    <w:basedOn w:val="1"/>
    <w:qFormat/>
    <w:uiPriority w:val="0"/>
    <w:pPr>
      <w:widowControl/>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265">
    <w:name w:val="样式 正文文本缩进 + (西文) 宋体 (中文) 宋体 小四 行距: 多倍行距 1.2 字行 首行缩进:  2.33 字符"/>
    <w:basedOn w:val="5"/>
    <w:qFormat/>
    <w:uiPriority w:val="0"/>
    <w:pPr>
      <w:spacing w:after="0" w:line="360" w:lineRule="auto"/>
      <w:ind w:left="0" w:leftChars="0" w:firstLine="233" w:firstLineChars="233"/>
    </w:pPr>
    <w:rPr>
      <w:rFonts w:ascii="宋体" w:hAnsi="宋体"/>
      <w:sz w:val="20"/>
    </w:rPr>
  </w:style>
  <w:style w:type="paragraph" w:customStyle="1" w:styleId="2266">
    <w:name w:val="正文格式42"/>
    <w:basedOn w:val="1"/>
    <w:qFormat/>
    <w:uiPriority w:val="0"/>
    <w:pPr>
      <w:spacing w:before="120" w:after="120" w:line="360" w:lineRule="auto"/>
      <w:ind w:left="578" w:firstLine="482"/>
    </w:pPr>
    <w:rPr>
      <w:rFonts w:ascii="宋体" w:hAnsi="宋体"/>
      <w:kern w:val="0"/>
      <w:sz w:val="34"/>
      <w:szCs w:val="20"/>
    </w:rPr>
  </w:style>
  <w:style w:type="paragraph" w:customStyle="1" w:styleId="2267">
    <w:name w:val="Char Char Char 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268">
    <w:name w:val="wtext"/>
    <w:basedOn w:val="1"/>
    <w:qFormat/>
    <w:uiPriority w:val="0"/>
    <w:pPr>
      <w:widowControl/>
      <w:spacing w:before="100" w:beforeAutospacing="1" w:after="100" w:afterAutospacing="1"/>
      <w:ind w:firstLine="480"/>
      <w:jc w:val="left"/>
    </w:pPr>
    <w:rPr>
      <w:rFonts w:ascii="宋体"/>
      <w:color w:val="000000"/>
      <w:kern w:val="0"/>
      <w:sz w:val="22"/>
      <w:szCs w:val="22"/>
    </w:rPr>
  </w:style>
  <w:style w:type="paragraph" w:customStyle="1" w:styleId="2269">
    <w:name w:val="zw"/>
    <w:basedOn w:val="1"/>
    <w:qFormat/>
    <w:uiPriority w:val="0"/>
    <w:pPr>
      <w:widowControl/>
      <w:spacing w:before="100" w:beforeAutospacing="1" w:after="100" w:afterAutospacing="1" w:line="260" w:lineRule="atLeast"/>
      <w:jc w:val="left"/>
    </w:pPr>
    <w:rPr>
      <w:rFonts w:ascii="宋体" w:hAnsi="宋体" w:cs="宋体"/>
      <w:kern w:val="0"/>
      <w:sz w:val="18"/>
      <w:szCs w:val="18"/>
    </w:rPr>
  </w:style>
  <w:style w:type="paragraph" w:customStyle="1" w:styleId="2270">
    <w:name w:val="Qzy样式2"/>
    <w:basedOn w:val="8"/>
    <w:qFormat/>
    <w:uiPriority w:val="0"/>
    <w:pPr>
      <w:keepNext w:val="0"/>
      <w:widowControl w:val="0"/>
      <w:numPr>
        <w:ilvl w:val="0"/>
        <w:numId w:val="0"/>
      </w:numPr>
      <w:spacing w:line="240" w:lineRule="auto"/>
      <w:jc w:val="center"/>
    </w:pPr>
    <w:rPr>
      <w:rFonts w:hAnsi="宋体" w:eastAsia="仿宋_GB2312" w:cs="Times New Roman"/>
      <w:sz w:val="21"/>
    </w:rPr>
  </w:style>
  <w:style w:type="paragraph" w:customStyle="1" w:styleId="2271">
    <w:name w:val="xl60"/>
    <w:basedOn w:val="1"/>
    <w:qFormat/>
    <w:uiPriority w:val="0"/>
    <w:pPr>
      <w:widowControl/>
      <w:pBdr>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272">
    <w:name w:val="项目"/>
    <w:basedOn w:val="6"/>
    <w:qFormat/>
    <w:uiPriority w:val="0"/>
    <w:pPr>
      <w:widowControl w:val="0"/>
      <w:numPr>
        <w:ilvl w:val="0"/>
        <w:numId w:val="35"/>
      </w:numPr>
      <w:pBdr>
        <w:top w:val="single" w:color="auto" w:sz="4" w:space="1"/>
      </w:pBdr>
      <w:tabs>
        <w:tab w:val="left" w:pos="900"/>
        <w:tab w:val="left" w:pos="1021"/>
      </w:tabs>
      <w:ind w:left="0" w:leftChars="500" w:firstLine="0" w:firstLineChars="0"/>
      <w:jc w:val="both"/>
    </w:pPr>
    <w:rPr>
      <w:rFonts w:ascii="Verdana" w:hAnsi="Verdana" w:eastAsia="PMingLiU" w:cs="Times New Roman"/>
      <w:sz w:val="28"/>
      <w:szCs w:val="28"/>
    </w:rPr>
  </w:style>
  <w:style w:type="paragraph" w:customStyle="1" w:styleId="2273">
    <w:name w:val="样式 标题 2标题2标题 2 Char Char Char Char节 CharH2标题 21 Char标题 21 ..."/>
    <w:basedOn w:val="8"/>
    <w:qFormat/>
    <w:uiPriority w:val="0"/>
    <w:pPr>
      <w:widowControl w:val="0"/>
      <w:numPr>
        <w:ilvl w:val="0"/>
        <w:numId w:val="0"/>
      </w:numPr>
      <w:adjustRightInd w:val="0"/>
      <w:snapToGrid w:val="0"/>
      <w:spacing w:before="360" w:after="120" w:line="300" w:lineRule="auto"/>
    </w:pPr>
    <w:rPr>
      <w:rFonts w:ascii="宋体" w:hAnsi="宋体" w:eastAsia="黑体" w:cs="Times New Roman"/>
      <w:sz w:val="28"/>
      <w:szCs w:val="32"/>
    </w:rPr>
  </w:style>
  <w:style w:type="paragraph" w:customStyle="1" w:styleId="2274">
    <w:name w:val="样式 宋体 四号 两端对齐 行距: 1.5 倍行距"/>
    <w:basedOn w:val="1"/>
    <w:qFormat/>
    <w:uiPriority w:val="0"/>
    <w:pPr>
      <w:spacing w:before="156" w:after="156" w:line="360" w:lineRule="auto"/>
      <w:ind w:firstLine="480" w:firstLineChars="200"/>
    </w:pPr>
    <w:rPr>
      <w:rFonts w:ascii="宋体" w:hAnsi="宋体" w:cs="宋体"/>
      <w:kern w:val="0"/>
      <w:sz w:val="34"/>
      <w:szCs w:val="20"/>
    </w:rPr>
  </w:style>
  <w:style w:type="paragraph" w:customStyle="1" w:styleId="2275">
    <w:name w:val="w"/>
    <w:basedOn w:val="1"/>
    <w:qFormat/>
    <w:uiPriority w:val="0"/>
    <w:pPr>
      <w:widowControl/>
      <w:spacing w:before="150" w:after="150" w:line="480" w:lineRule="auto"/>
      <w:ind w:left="75" w:right="75" w:firstLine="480"/>
      <w:jc w:val="left"/>
    </w:pPr>
    <w:rPr>
      <w:rFonts w:ascii="宋体" w:hAnsi="宋体" w:cs="宋体"/>
      <w:kern w:val="0"/>
      <w:sz w:val="34"/>
      <w:szCs w:val="20"/>
    </w:rPr>
  </w:style>
  <w:style w:type="paragraph" w:customStyle="1" w:styleId="2276">
    <w:name w:val="样式 样式 表格文字—五号 +2 + 行距: 多倍行距 1.3 字行2"/>
    <w:basedOn w:val="2063"/>
    <w:qFormat/>
    <w:uiPriority w:val="0"/>
  </w:style>
  <w:style w:type="paragraph" w:customStyle="1" w:styleId="2277">
    <w:name w:val="City/State"/>
    <w:basedOn w:val="37"/>
    <w:next w:val="37"/>
    <w:unhideWhenUsed/>
    <w:qFormat/>
    <w:uiPriority w:val="0"/>
    <w:pPr>
      <w:keepNext/>
      <w:snapToGrid/>
      <w:spacing w:before="120" w:after="220" w:line="220" w:lineRule="atLeast"/>
      <w:ind w:left="578" w:right="-360" w:hanging="578"/>
      <w:jc w:val="left"/>
    </w:pPr>
    <w:rPr>
      <w:sz w:val="20"/>
    </w:rPr>
  </w:style>
  <w:style w:type="paragraph" w:customStyle="1" w:styleId="2278">
    <w:name w:val="四"/>
    <w:basedOn w:val="1122"/>
    <w:qFormat/>
    <w:uiPriority w:val="0"/>
    <w:pPr>
      <w:widowControl w:val="0"/>
      <w:spacing w:line="240" w:lineRule="auto"/>
      <w:ind w:firstLine="480" w:firstLineChars="200"/>
      <w:jc w:val="both"/>
      <w:outlineLvl w:val="9"/>
    </w:pPr>
    <w:rPr>
      <w:rFonts w:ascii="Times New Roman" w:hAnsi="Times New Roman" w:cs="Times New Roman"/>
      <w:b w:val="0"/>
      <w:sz w:val="20"/>
      <w:szCs w:val="20"/>
    </w:rPr>
  </w:style>
  <w:style w:type="paragraph" w:customStyle="1" w:styleId="2279">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280">
    <w:name w:val="_a) énum. (1er niveau)"/>
    <w:unhideWhenUsed/>
    <w:qFormat/>
    <w:uiPriority w:val="0"/>
    <w:pPr>
      <w:spacing w:before="120" w:after="120" w:line="280" w:lineRule="atLeast"/>
      <w:ind w:left="993" w:hanging="426"/>
      <w:jc w:val="both"/>
    </w:pPr>
    <w:rPr>
      <w:rFonts w:ascii="Times New Roman" w:hAnsi="Times New Roman" w:eastAsia="宋体" w:cs="Times New Roman"/>
      <w:b/>
      <w:sz w:val="24"/>
      <w:lang w:val="en-US" w:eastAsia="zh-CN" w:bidi="ar-SA"/>
    </w:rPr>
  </w:style>
  <w:style w:type="paragraph" w:customStyle="1" w:styleId="2281">
    <w:name w:val="样式 加粗 首行缩进:  2 字符 段前: 0.5 行"/>
    <w:basedOn w:val="1"/>
    <w:qFormat/>
    <w:uiPriority w:val="0"/>
    <w:pPr>
      <w:snapToGrid w:val="0"/>
      <w:spacing w:beforeLines="50" w:line="360" w:lineRule="auto"/>
      <w:ind w:firstLine="480" w:firstLineChars="200"/>
    </w:pPr>
    <w:rPr>
      <w:rFonts w:ascii="宋体"/>
      <w:bCs/>
      <w:color w:val="000000"/>
      <w:kern w:val="0"/>
      <w:sz w:val="34"/>
      <w:szCs w:val="20"/>
    </w:rPr>
  </w:style>
  <w:style w:type="paragraph" w:customStyle="1" w:styleId="2282">
    <w:name w:val="表格001"/>
    <w:basedOn w:val="1"/>
    <w:qFormat/>
    <w:uiPriority w:val="0"/>
    <w:pPr>
      <w:jc w:val="center"/>
    </w:pPr>
    <w:rPr>
      <w:rFonts w:ascii="宋体"/>
      <w:kern w:val="0"/>
      <w:szCs w:val="20"/>
    </w:rPr>
  </w:style>
  <w:style w:type="paragraph" w:customStyle="1" w:styleId="2283">
    <w:name w:val="样式1）"/>
    <w:basedOn w:val="11"/>
    <w:qFormat/>
    <w:uiPriority w:val="0"/>
    <w:pPr>
      <w:widowControl w:val="0"/>
      <w:numPr>
        <w:ilvl w:val="0"/>
        <w:numId w:val="0"/>
      </w:numPr>
      <w:tabs>
        <w:tab w:val="left" w:pos="1226"/>
      </w:tabs>
      <w:spacing w:beforeLines="50" w:afterLines="50" w:line="400" w:lineRule="exact"/>
      <w:ind w:left="213" w:leftChars="213" w:hanging="374" w:hangingChars="156"/>
      <w:jc w:val="both"/>
    </w:pPr>
    <w:rPr>
      <w:rFonts w:cs="Times New Roman"/>
      <w:b w:val="0"/>
      <w:sz w:val="24"/>
    </w:rPr>
  </w:style>
  <w:style w:type="paragraph" w:customStyle="1" w:styleId="2284">
    <w:name w:val="+标题3"/>
    <w:basedOn w:val="9"/>
    <w:qFormat/>
    <w:uiPriority w:val="0"/>
    <w:pPr>
      <w:widowControl w:val="0"/>
      <w:numPr>
        <w:ilvl w:val="0"/>
        <w:numId w:val="0"/>
      </w:numPr>
      <w:spacing w:before="260" w:beforeLines="50" w:after="260" w:afterLines="50" w:line="500" w:lineRule="exact"/>
      <w:jc w:val="both"/>
    </w:pPr>
    <w:rPr>
      <w:rFonts w:cs="Times New Roman"/>
      <w:b/>
      <w:sz w:val="24"/>
      <w:szCs w:val="24"/>
    </w:rPr>
  </w:style>
  <w:style w:type="paragraph" w:customStyle="1" w:styleId="2285">
    <w:name w:val="样式 样式 标题 4 + 段前: 0.5 行 段后: 0.5 行 + 段前: 0.5 行 段后: 0.5 行"/>
    <w:basedOn w:val="1730"/>
    <w:semiHidden/>
    <w:qFormat/>
    <w:uiPriority w:val="0"/>
  </w:style>
  <w:style w:type="paragraph" w:customStyle="1" w:styleId="2286">
    <w:name w:val="项目符号2"/>
    <w:basedOn w:val="1"/>
    <w:qFormat/>
    <w:uiPriority w:val="0"/>
    <w:pPr>
      <w:tabs>
        <w:tab w:val="left" w:pos="625"/>
      </w:tabs>
      <w:overflowPunct w:val="0"/>
      <w:snapToGrid w:val="0"/>
      <w:spacing w:line="480" w:lineRule="exact"/>
      <w:ind w:left="625" w:hanging="425"/>
    </w:pPr>
    <w:rPr>
      <w:rFonts w:ascii="Arial" w:hAnsi="Arial" w:eastAsia="仿宋_GB2312"/>
      <w:kern w:val="0"/>
      <w:sz w:val="28"/>
      <w:szCs w:val="20"/>
    </w:rPr>
  </w:style>
  <w:style w:type="paragraph" w:customStyle="1" w:styleId="2287">
    <w:name w:val="批注主题1"/>
    <w:basedOn w:val="31"/>
    <w:next w:val="31"/>
    <w:qFormat/>
    <w:uiPriority w:val="0"/>
    <w:rPr>
      <w:rFonts w:ascii="Calibri" w:hAnsi="Calibri" w:eastAsia="仿宋"/>
      <w:b/>
      <w:bCs/>
      <w:sz w:val="20"/>
    </w:rPr>
  </w:style>
  <w:style w:type="paragraph" w:customStyle="1" w:styleId="2288">
    <w:name w:val="样式 表格标题 + 左侧:  0 厘米 首行缩进:  0 厘米 段后: 6 磅 行距: 单倍行距"/>
    <w:basedOn w:val="6"/>
    <w:qFormat/>
    <w:uiPriority w:val="0"/>
    <w:pPr>
      <w:widowControl w:val="0"/>
      <w:numPr>
        <w:ilvl w:val="0"/>
        <w:numId w:val="36"/>
      </w:numPr>
      <w:spacing w:beforeLines="50" w:afterLines="50"/>
      <w:ind w:firstLine="0" w:firstLineChars="0"/>
      <w:jc w:val="center"/>
    </w:pPr>
    <w:rPr>
      <w:rFonts w:ascii="Times New Roman" w:hAnsi="Times New Roman"/>
      <w:b/>
      <w:sz w:val="20"/>
      <w:szCs w:val="20"/>
    </w:rPr>
  </w:style>
  <w:style w:type="paragraph" w:customStyle="1" w:styleId="2289">
    <w:name w:val="连云港表格内文字"/>
    <w:basedOn w:val="1"/>
    <w:qFormat/>
    <w:uiPriority w:val="0"/>
    <w:pPr>
      <w:jc w:val="center"/>
    </w:pPr>
    <w:rPr>
      <w:rFonts w:ascii="宋体"/>
      <w:kern w:val="0"/>
      <w:szCs w:val="22"/>
    </w:rPr>
  </w:style>
  <w:style w:type="paragraph" w:customStyle="1" w:styleId="2290">
    <w:name w:val="MTDisplayEquation"/>
    <w:basedOn w:val="1"/>
    <w:next w:val="1"/>
    <w:qFormat/>
    <w:uiPriority w:val="0"/>
    <w:pPr>
      <w:widowControl/>
      <w:tabs>
        <w:tab w:val="center" w:pos="4160"/>
        <w:tab w:val="right" w:pos="8320"/>
      </w:tabs>
      <w:snapToGrid w:val="0"/>
      <w:spacing w:beforeLines="50"/>
      <w:ind w:firstLine="561"/>
    </w:pPr>
    <w:rPr>
      <w:rFonts w:ascii="宋体"/>
      <w:kern w:val="0"/>
      <w:sz w:val="34"/>
      <w:szCs w:val="20"/>
    </w:rPr>
  </w:style>
  <w:style w:type="paragraph" w:customStyle="1" w:styleId="2291">
    <w:name w:val="CM68"/>
    <w:basedOn w:val="2"/>
    <w:next w:val="2"/>
    <w:semiHidden/>
    <w:qFormat/>
    <w:uiPriority w:val="0"/>
    <w:pPr>
      <w:adjustRightInd/>
    </w:pPr>
    <w:rPr>
      <w:rFonts w:hint="eastAsia" w:ascii="仿宋" w:hAnsi="仿宋" w:eastAsia="仿宋" w:cs="Times New Roman"/>
      <w:szCs w:val="20"/>
    </w:rPr>
  </w:style>
  <w:style w:type="paragraph" w:customStyle="1" w:styleId="2292">
    <w:name w:val="Char Char Char2"/>
    <w:basedOn w:val="1"/>
    <w:unhideWhenUsed/>
    <w:qFormat/>
    <w:uiPriority w:val="0"/>
    <w:pPr>
      <w:spacing w:before="120" w:after="120"/>
      <w:ind w:left="578" w:hanging="578"/>
    </w:pPr>
    <w:rPr>
      <w:rFonts w:ascii="宋体"/>
      <w:kern w:val="0"/>
      <w:szCs w:val="20"/>
    </w:rPr>
  </w:style>
  <w:style w:type="paragraph" w:customStyle="1" w:styleId="2293">
    <w:name w:val="访问过的超链接1"/>
    <w:unhideWhenUsed/>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94">
    <w:name w:val="h"/>
    <w:basedOn w:val="1"/>
    <w:qFormat/>
    <w:uiPriority w:val="0"/>
    <w:pPr>
      <w:spacing w:before="60"/>
      <w:ind w:firstLine="482"/>
    </w:pPr>
    <w:rPr>
      <w:rFonts w:ascii="Arial" w:hAnsi="Arial" w:eastAsia="仿宋_GB2312"/>
      <w:kern w:val="0"/>
      <w:sz w:val="34"/>
      <w:szCs w:val="20"/>
    </w:rPr>
  </w:style>
  <w:style w:type="paragraph" w:customStyle="1" w:styleId="2295">
    <w:name w:val="样式 燕山正文 + 首行缩进:  3.5 字符1"/>
    <w:basedOn w:val="1484"/>
    <w:qFormat/>
    <w:uiPriority w:val="0"/>
    <w:pPr>
      <w:tabs>
        <w:tab w:val="clear" w:pos="4680"/>
      </w:tabs>
      <w:adjustRightInd/>
      <w:snapToGrid/>
      <w:spacing w:before="120" w:after="120" w:line="240" w:lineRule="auto"/>
      <w:ind w:left="578" w:firstLine="0" w:firstLineChars="0"/>
      <w:jc w:val="both"/>
    </w:pPr>
    <w:rPr>
      <w:rFonts w:hAnsi="Times New Roman"/>
      <w:color w:val="auto"/>
      <w:kern w:val="2"/>
      <w:sz w:val="21"/>
      <w:szCs w:val="21"/>
    </w:rPr>
  </w:style>
  <w:style w:type="paragraph" w:customStyle="1" w:styleId="2296">
    <w:name w:val="xl77"/>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2297">
    <w:name w:val="样式 标题 3条标2Char标题 3 Char2 + 黑色 段前: 自动 段后: 自动 行距: 2 倍行距"/>
    <w:basedOn w:val="9"/>
    <w:semiHidden/>
    <w:qFormat/>
    <w:uiPriority w:val="0"/>
    <w:pPr>
      <w:widowControl w:val="0"/>
      <w:numPr>
        <w:ilvl w:val="0"/>
        <w:numId w:val="0"/>
      </w:numPr>
      <w:tabs>
        <w:tab w:val="left" w:pos="709"/>
        <w:tab w:val="left" w:pos="889"/>
      </w:tabs>
      <w:spacing w:before="100" w:beforeAutospacing="1" w:after="100" w:afterAutospacing="1" w:line="480" w:lineRule="auto"/>
      <w:ind w:left="709" w:hanging="709"/>
      <w:jc w:val="both"/>
    </w:pPr>
    <w:rPr>
      <w:rFonts w:cs="Times New Roman"/>
      <w:b/>
      <w:color w:val="000000"/>
      <w:sz w:val="24"/>
      <w:szCs w:val="20"/>
    </w:rPr>
  </w:style>
  <w:style w:type="paragraph" w:customStyle="1" w:styleId="2298">
    <w:name w:val="样式 LNG－标题1 + 居中 段前: 0.5 行 段后: 0.5 行1"/>
    <w:qFormat/>
    <w:uiPriority w:val="0"/>
    <w:pPr>
      <w:tabs>
        <w:tab w:val="left" w:pos="425"/>
      </w:tabs>
      <w:spacing w:before="156" w:after="156"/>
      <w:ind w:left="425" w:hanging="425"/>
      <w:jc w:val="center"/>
    </w:pPr>
    <w:rPr>
      <w:rFonts w:ascii="Times New Roman" w:hAnsi="Times New Roman" w:eastAsia="宋体" w:cs="宋体"/>
      <w:b/>
      <w:bCs/>
      <w:sz w:val="32"/>
      <w:lang w:val="en-US" w:eastAsia="zh-CN" w:bidi="ar-SA"/>
    </w:rPr>
  </w:style>
  <w:style w:type="paragraph" w:customStyle="1" w:styleId="2299">
    <w:name w:val="淮安正文样式 小四 行距: 1.5 倍行距 首行缩进:  2 字符"/>
    <w:basedOn w:val="1"/>
    <w:qFormat/>
    <w:uiPriority w:val="0"/>
    <w:pPr>
      <w:adjustRightInd w:val="0"/>
      <w:snapToGrid w:val="0"/>
      <w:ind w:firstLine="480" w:firstLineChars="200"/>
    </w:pPr>
    <w:rPr>
      <w:rFonts w:ascii="宋体"/>
      <w:snapToGrid w:val="0"/>
      <w:color w:val="0000FF"/>
      <w:kern w:val="0"/>
      <w:sz w:val="34"/>
      <w:szCs w:val="28"/>
    </w:rPr>
  </w:style>
  <w:style w:type="paragraph" w:customStyle="1" w:styleId="2300">
    <w:name w:val="标题  2"/>
    <w:basedOn w:val="8"/>
    <w:qFormat/>
    <w:uiPriority w:val="0"/>
    <w:pPr>
      <w:widowControl w:val="0"/>
      <w:numPr>
        <w:ilvl w:val="0"/>
        <w:numId w:val="0"/>
      </w:numPr>
      <w:tabs>
        <w:tab w:val="left" w:pos="1440"/>
      </w:tabs>
      <w:adjustRightInd w:val="0"/>
      <w:snapToGrid w:val="0"/>
      <w:spacing w:before="100" w:beforeAutospacing="1" w:after="100" w:afterAutospacing="1" w:line="240" w:lineRule="auto"/>
      <w:ind w:left="1440" w:hanging="720"/>
      <w:jc w:val="both"/>
    </w:pPr>
    <w:rPr>
      <w:rFonts w:ascii="宋体" w:hAnsi="宋体" w:eastAsia="黑体"/>
      <w:b/>
      <w:sz w:val="36"/>
      <w:szCs w:val="20"/>
    </w:rPr>
  </w:style>
  <w:style w:type="paragraph" w:customStyle="1" w:styleId="2301">
    <w:name w:val="Objective"/>
    <w:basedOn w:val="1"/>
    <w:next w:val="37"/>
    <w:unhideWhenUsed/>
    <w:qFormat/>
    <w:uiPriority w:val="0"/>
    <w:pPr>
      <w:widowControl/>
      <w:spacing w:before="220" w:after="220" w:line="220" w:lineRule="atLeast"/>
      <w:ind w:left="578" w:hanging="578"/>
      <w:jc w:val="left"/>
    </w:pPr>
    <w:rPr>
      <w:rFonts w:ascii="宋体"/>
      <w:kern w:val="0"/>
      <w:sz w:val="20"/>
      <w:szCs w:val="20"/>
    </w:rPr>
  </w:style>
  <w:style w:type="paragraph" w:customStyle="1" w:styleId="2302">
    <w:name w:val="图注2"/>
    <w:qFormat/>
    <w:uiPriority w:val="0"/>
    <w:pPr>
      <w:adjustRightInd w:val="0"/>
      <w:jc w:val="center"/>
    </w:pPr>
    <w:rPr>
      <w:rFonts w:ascii="Times New Roman" w:hAnsi="Times New Roman" w:eastAsia="宋体" w:cs="Times New Roman"/>
      <w:kern w:val="18"/>
      <w:sz w:val="18"/>
      <w:szCs w:val="18"/>
      <w:lang w:val="en-US" w:eastAsia="zh-CN" w:bidi="ar-SA"/>
    </w:rPr>
  </w:style>
  <w:style w:type="paragraph" w:customStyle="1" w:styleId="2303">
    <w:name w:val="样式 正文段落 + 首行缩进:  2 字符"/>
    <w:basedOn w:val="1"/>
    <w:qFormat/>
    <w:uiPriority w:val="0"/>
    <w:pPr>
      <w:widowControl/>
      <w:tabs>
        <w:tab w:val="left" w:pos="227"/>
      </w:tabs>
      <w:overflowPunct w:val="0"/>
      <w:autoSpaceDE w:val="0"/>
      <w:autoSpaceDN w:val="0"/>
      <w:adjustRightInd w:val="0"/>
      <w:spacing w:before="100" w:beforeAutospacing="1" w:after="100" w:afterAutospacing="1"/>
      <w:ind w:left="578" w:firstLine="480" w:firstLineChars="200"/>
      <w:textAlignment w:val="baseline"/>
    </w:pPr>
    <w:rPr>
      <w:rFonts w:ascii="宋体" w:eastAsia="仿宋_GB2312" w:cs="宋体"/>
      <w:kern w:val="0"/>
      <w:szCs w:val="20"/>
    </w:rPr>
  </w:style>
  <w:style w:type="paragraph" w:customStyle="1" w:styleId="2304">
    <w:name w:val="样式 列表 2 + 宋体 居中 左侧:  2 字符 悬挂缩进: 2 字符"/>
    <w:basedOn w:val="39"/>
    <w:unhideWhenUsed/>
    <w:qFormat/>
    <w:uiPriority w:val="0"/>
    <w:pPr>
      <w:framePr w:hSpace="180" w:wrap="around" w:vAnchor="text" w:hAnchor="margin" w:y="496"/>
      <w:widowControl w:val="0"/>
      <w:adjustRightInd w:val="0"/>
      <w:spacing w:before="120" w:after="120" w:line="400" w:lineRule="exact"/>
      <w:ind w:left="0" w:leftChars="0" w:firstLine="0" w:firstLineChars="0"/>
      <w:jc w:val="center"/>
      <w:textAlignment w:val="baseline"/>
    </w:pPr>
    <w:rPr>
      <w:rFonts w:cs="Times New Roman"/>
      <w:snapToGrid w:val="0"/>
      <w:sz w:val="21"/>
      <w:szCs w:val="21"/>
    </w:rPr>
  </w:style>
  <w:style w:type="paragraph" w:customStyle="1" w:styleId="2305">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2306">
    <w:name w:val="1文章"/>
    <w:basedOn w:val="1"/>
    <w:qFormat/>
    <w:uiPriority w:val="0"/>
    <w:pPr>
      <w:snapToGrid w:val="0"/>
      <w:spacing w:line="360" w:lineRule="auto"/>
      <w:ind w:firstLine="454"/>
      <w:outlineLvl w:val="4"/>
    </w:pPr>
    <w:rPr>
      <w:rFonts w:ascii="宋体"/>
      <w:spacing w:val="4"/>
      <w:kern w:val="0"/>
      <w:sz w:val="34"/>
      <w:szCs w:val="20"/>
    </w:rPr>
  </w:style>
  <w:style w:type="paragraph" w:customStyle="1" w:styleId="2307">
    <w:name w:val="港口总体布局规划"/>
    <w:basedOn w:val="1"/>
    <w:qFormat/>
    <w:uiPriority w:val="0"/>
    <w:pPr>
      <w:snapToGrid w:val="0"/>
      <w:spacing w:line="312" w:lineRule="auto"/>
      <w:ind w:firstLine="567"/>
    </w:pPr>
    <w:rPr>
      <w:rFonts w:ascii="宋体"/>
      <w:spacing w:val="8"/>
      <w:kern w:val="0"/>
      <w:sz w:val="34"/>
      <w:szCs w:val="20"/>
    </w:rPr>
  </w:style>
  <w:style w:type="paragraph" w:customStyle="1" w:styleId="2308">
    <w:name w:val="CM3"/>
    <w:basedOn w:val="2"/>
    <w:next w:val="2"/>
    <w:qFormat/>
    <w:uiPriority w:val="0"/>
    <w:pPr>
      <w:adjustRightInd/>
    </w:pPr>
    <w:rPr>
      <w:rFonts w:hint="eastAsia" w:ascii="仿宋" w:hAnsi="仿宋" w:eastAsia="仿宋" w:cs="Times New Roman"/>
      <w:szCs w:val="20"/>
    </w:rPr>
  </w:style>
  <w:style w:type="paragraph" w:customStyle="1" w:styleId="2309">
    <w:name w:val="Source"/>
    <w:basedOn w:val="1"/>
    <w:qFormat/>
    <w:uiPriority w:val="0"/>
    <w:pPr>
      <w:tabs>
        <w:tab w:val="left" w:pos="1080"/>
        <w:tab w:val="left" w:pos="2160"/>
        <w:tab w:val="left" w:pos="3240"/>
        <w:tab w:val="left" w:pos="4320"/>
        <w:tab w:val="left" w:pos="5400"/>
        <w:tab w:val="left" w:pos="6480"/>
        <w:tab w:val="left" w:pos="7560"/>
      </w:tabs>
      <w:adjustRightInd w:val="0"/>
      <w:spacing w:line="260" w:lineRule="atLeast"/>
      <w:ind w:firstLine="200" w:firstLineChars="200"/>
      <w:jc w:val="left"/>
      <w:textAlignment w:val="baseline"/>
    </w:pPr>
    <w:rPr>
      <w:rFonts w:ascii="宋体"/>
      <w:kern w:val="0"/>
      <w:sz w:val="18"/>
      <w:szCs w:val="18"/>
    </w:rPr>
  </w:style>
  <w:style w:type="paragraph" w:customStyle="1" w:styleId="2310">
    <w:name w:val="bullet2"/>
    <w:unhideWhenUsed/>
    <w:qFormat/>
    <w:uiPriority w:val="0"/>
    <w:pPr>
      <w:tabs>
        <w:tab w:val="left" w:pos="855"/>
      </w:tabs>
      <w:spacing w:before="120" w:after="120"/>
      <w:ind w:left="855" w:hanging="375"/>
      <w:jc w:val="both"/>
    </w:pPr>
    <w:rPr>
      <w:rFonts w:ascii="Times New Roman" w:hAnsi="Times New Roman" w:eastAsia="宋体" w:cs="Times New Roman"/>
      <w:lang w:val="en-US" w:eastAsia="zh-CN" w:bidi="ar-SA"/>
    </w:rPr>
  </w:style>
  <w:style w:type="paragraph" w:customStyle="1" w:styleId="2311">
    <w:name w:val="二级段落"/>
    <w:basedOn w:val="1"/>
    <w:next w:val="1969"/>
    <w:qFormat/>
    <w:uiPriority w:val="0"/>
    <w:rPr>
      <w:rFonts w:ascii="宋体" w:eastAsia="黑体"/>
      <w:kern w:val="0"/>
      <w:sz w:val="30"/>
      <w:szCs w:val="20"/>
    </w:rPr>
  </w:style>
  <w:style w:type="paragraph" w:customStyle="1" w:styleId="2312">
    <w:name w:val="CM100"/>
    <w:basedOn w:val="2"/>
    <w:next w:val="2"/>
    <w:semiHidden/>
    <w:qFormat/>
    <w:uiPriority w:val="0"/>
    <w:pPr>
      <w:adjustRightInd/>
    </w:pPr>
    <w:rPr>
      <w:rFonts w:hint="eastAsia" w:ascii="仿宋" w:hAnsi="仿宋" w:eastAsia="仿宋" w:cs="Times New Roman"/>
      <w:szCs w:val="20"/>
    </w:rPr>
  </w:style>
  <w:style w:type="paragraph" w:customStyle="1" w:styleId="2313">
    <w:name w:val="宏福3"/>
    <w:basedOn w:val="9"/>
    <w:qFormat/>
    <w:uiPriority w:val="0"/>
    <w:pPr>
      <w:widowControl w:val="0"/>
      <w:numPr>
        <w:ilvl w:val="0"/>
        <w:numId w:val="0"/>
      </w:numPr>
      <w:tabs>
        <w:tab w:val="left" w:pos="1021"/>
      </w:tabs>
      <w:snapToGrid w:val="0"/>
      <w:spacing w:before="240" w:line="240" w:lineRule="auto"/>
      <w:jc w:val="both"/>
    </w:pPr>
    <w:rPr>
      <w:rFonts w:cs="Times New Roman"/>
      <w:bCs w:val="0"/>
      <w:szCs w:val="20"/>
    </w:rPr>
  </w:style>
  <w:style w:type="paragraph" w:customStyle="1" w:styleId="2314">
    <w:name w:val="样式 表格标题 + 段后: 0.5 行2"/>
    <w:basedOn w:val="1"/>
    <w:semiHidden/>
    <w:qFormat/>
    <w:uiPriority w:val="0"/>
    <w:pPr>
      <w:pBdr>
        <w:top w:val="single" w:color="auto" w:sz="4" w:space="1"/>
      </w:pBdr>
      <w:adjustRightInd w:val="0"/>
      <w:spacing w:line="324" w:lineRule="auto"/>
      <w:jc w:val="center"/>
    </w:pPr>
    <w:rPr>
      <w:rFonts w:ascii="宋体" w:eastAsia="黑体" w:cs="宋体"/>
      <w:b/>
      <w:bCs/>
      <w:kern w:val="0"/>
      <w:sz w:val="34"/>
      <w:szCs w:val="20"/>
    </w:rPr>
  </w:style>
  <w:style w:type="paragraph" w:customStyle="1" w:styleId="2315">
    <w:name w:val="CY节标题"/>
    <w:basedOn w:val="8"/>
    <w:next w:val="1"/>
    <w:qFormat/>
    <w:uiPriority w:val="0"/>
    <w:pPr>
      <w:widowControl w:val="0"/>
      <w:numPr>
        <w:ilvl w:val="0"/>
        <w:numId w:val="0"/>
      </w:numPr>
      <w:spacing w:before="120" w:after="120" w:line="240" w:lineRule="auto"/>
      <w:ind w:left="900" w:firstLine="482"/>
      <w:jc w:val="both"/>
    </w:pPr>
    <w:rPr>
      <w:rFonts w:ascii="宋体" w:hAnsi="宋体" w:eastAsia="黑体" w:cs="Times New Roman"/>
      <w:color w:val="008000"/>
      <w:sz w:val="32"/>
      <w:szCs w:val="32"/>
    </w:rPr>
  </w:style>
  <w:style w:type="paragraph" w:customStyle="1" w:styleId="2316">
    <w:name w:val="标题5"/>
    <w:basedOn w:val="11"/>
    <w:semiHidden/>
    <w:qFormat/>
    <w:uiPriority w:val="0"/>
    <w:pPr>
      <w:widowControl w:val="0"/>
      <w:numPr>
        <w:ilvl w:val="0"/>
        <w:numId w:val="0"/>
      </w:numPr>
      <w:tabs>
        <w:tab w:val="left" w:pos="360"/>
        <w:tab w:val="left" w:pos="1008"/>
      </w:tabs>
      <w:ind w:left="360" w:hanging="360" w:firstLineChars="200"/>
      <w:jc w:val="both"/>
    </w:pPr>
    <w:rPr>
      <w:rFonts w:cs="Times New Roman"/>
      <w:b w:val="0"/>
      <w:sz w:val="24"/>
    </w:rPr>
  </w:style>
  <w:style w:type="paragraph" w:customStyle="1" w:styleId="2317">
    <w:name w:val="首行缩进2字符"/>
    <w:basedOn w:val="1"/>
    <w:qFormat/>
    <w:uiPriority w:val="0"/>
    <w:pPr>
      <w:spacing w:line="460" w:lineRule="exact"/>
      <w:ind w:firstLine="200"/>
    </w:pPr>
    <w:rPr>
      <w:rFonts w:ascii="宋体"/>
      <w:kern w:val="0"/>
      <w:sz w:val="28"/>
      <w:szCs w:val="20"/>
    </w:rPr>
  </w:style>
  <w:style w:type="paragraph" w:customStyle="1" w:styleId="2318">
    <w:name w:val="正文报告"/>
    <w:basedOn w:val="1"/>
    <w:qFormat/>
    <w:uiPriority w:val="0"/>
    <w:pPr>
      <w:tabs>
        <w:tab w:val="left" w:pos="510"/>
      </w:tabs>
      <w:adjustRightInd w:val="0"/>
      <w:spacing w:line="460" w:lineRule="exact"/>
      <w:ind w:firstLine="482"/>
      <w:textAlignment w:val="baseline"/>
    </w:pPr>
    <w:rPr>
      <w:rFonts w:ascii="宋体"/>
      <w:kern w:val="0"/>
      <w:sz w:val="34"/>
      <w:szCs w:val="20"/>
    </w:rPr>
  </w:style>
  <w:style w:type="paragraph" w:customStyle="1" w:styleId="2319">
    <w:name w:val="样式 首行缩进:  0.99 厘米 行距: 固定值 25 磅"/>
    <w:basedOn w:val="1"/>
    <w:qFormat/>
    <w:uiPriority w:val="0"/>
    <w:pPr>
      <w:adjustRightInd w:val="0"/>
      <w:snapToGrid w:val="0"/>
      <w:spacing w:line="336" w:lineRule="auto"/>
      <w:ind w:firstLine="567"/>
    </w:pPr>
    <w:rPr>
      <w:rFonts w:ascii="宋体" w:cs="宋体"/>
      <w:kern w:val="0"/>
      <w:sz w:val="34"/>
      <w:szCs w:val="20"/>
    </w:rPr>
  </w:style>
  <w:style w:type="paragraph" w:customStyle="1" w:styleId="2320">
    <w:name w:val="CM4"/>
    <w:basedOn w:val="2"/>
    <w:next w:val="2"/>
    <w:semiHidden/>
    <w:qFormat/>
    <w:uiPriority w:val="0"/>
    <w:pPr>
      <w:adjustRightInd/>
    </w:pPr>
    <w:rPr>
      <w:rFonts w:hint="eastAsia" w:ascii="仿宋" w:hAnsi="仿宋" w:eastAsia="仿宋" w:cs="Times New Roman"/>
      <w:szCs w:val="20"/>
    </w:rPr>
  </w:style>
  <w:style w:type="paragraph" w:customStyle="1" w:styleId="2321">
    <w:name w:val="Char Char Char Char Char Char Char Char Char Char Char Char Char Char Char Char Char Char Char Char Char"/>
    <w:basedOn w:val="1"/>
    <w:qFormat/>
    <w:uiPriority w:val="0"/>
    <w:rPr>
      <w:rFonts w:ascii="宋体"/>
      <w:kern w:val="0"/>
      <w:szCs w:val="21"/>
    </w:rPr>
  </w:style>
  <w:style w:type="paragraph" w:customStyle="1" w:styleId="2322">
    <w:name w:val="正文—左齐"/>
    <w:basedOn w:val="1"/>
    <w:qFormat/>
    <w:uiPriority w:val="0"/>
    <w:pPr>
      <w:adjustRightInd w:val="0"/>
      <w:snapToGrid w:val="0"/>
      <w:spacing w:beforeLines="50" w:line="360" w:lineRule="auto"/>
      <w:jc w:val="left"/>
    </w:pPr>
    <w:rPr>
      <w:rFonts w:ascii="宋体"/>
      <w:kern w:val="0"/>
      <w:sz w:val="34"/>
      <w:szCs w:val="20"/>
    </w:rPr>
  </w:style>
  <w:style w:type="paragraph" w:customStyle="1" w:styleId="2323">
    <w:name w:val="样式 宋体 小四 黑色 首行缩进:  2字符 行距: 1.5 倍行距1"/>
    <w:basedOn w:val="1"/>
    <w:qFormat/>
    <w:uiPriority w:val="0"/>
    <w:pPr>
      <w:autoSpaceDE w:val="0"/>
      <w:autoSpaceDN w:val="0"/>
      <w:adjustRightInd w:val="0"/>
      <w:snapToGrid w:val="0"/>
      <w:spacing w:line="360" w:lineRule="auto"/>
      <w:ind w:firstLine="480" w:firstLineChars="200"/>
    </w:pPr>
    <w:rPr>
      <w:rFonts w:ascii="宋体" w:hAnsi="宋体"/>
      <w:color w:val="000000"/>
      <w:kern w:val="0"/>
      <w:sz w:val="34"/>
      <w:szCs w:val="20"/>
    </w:rPr>
  </w:style>
  <w:style w:type="paragraph" w:customStyle="1" w:styleId="2324">
    <w:name w:val="xl115"/>
    <w:basedOn w:val="1"/>
    <w:qFormat/>
    <w:uiPriority w:val="0"/>
    <w:pPr>
      <w:widowControl/>
      <w:spacing w:before="100" w:beforeAutospacing="1" w:after="100" w:afterAutospacing="1"/>
      <w:jc w:val="center"/>
    </w:pPr>
    <w:rPr>
      <w:rFonts w:ascii="宋体"/>
      <w:kern w:val="0"/>
      <w:sz w:val="34"/>
      <w:szCs w:val="20"/>
    </w:rPr>
  </w:style>
  <w:style w:type="paragraph" w:customStyle="1" w:styleId="2325">
    <w:name w:val="Char211"/>
    <w:basedOn w:val="1"/>
    <w:qFormat/>
    <w:uiPriority w:val="0"/>
    <w:pPr>
      <w:adjustRightInd w:val="0"/>
      <w:spacing w:line="360" w:lineRule="auto"/>
      <w:textAlignment w:val="baseline"/>
    </w:pPr>
    <w:rPr>
      <w:rFonts w:ascii="宋体"/>
      <w:kern w:val="0"/>
      <w:sz w:val="34"/>
      <w:szCs w:val="28"/>
    </w:rPr>
  </w:style>
  <w:style w:type="paragraph" w:customStyle="1" w:styleId="2326">
    <w:name w:val="0-shiw-项目编号"/>
    <w:qFormat/>
    <w:uiPriority w:val="0"/>
    <w:pPr>
      <w:spacing w:line="300" w:lineRule="exact"/>
      <w:jc w:val="right"/>
    </w:pPr>
    <w:rPr>
      <w:rFonts w:ascii="宋体" w:hAnsi="Times New Roman" w:eastAsia="宋体" w:cs="Times New Roman"/>
      <w:b/>
      <w:kern w:val="2"/>
      <w:sz w:val="28"/>
      <w:szCs w:val="28"/>
      <w:lang w:val="en-US" w:eastAsia="zh-CN" w:bidi="ar-SA"/>
    </w:rPr>
  </w:style>
  <w:style w:type="paragraph" w:customStyle="1" w:styleId="2327">
    <w:name w:val="表内5中8"/>
    <w:basedOn w:val="1"/>
    <w:qFormat/>
    <w:uiPriority w:val="0"/>
    <w:pPr>
      <w:framePr w:hSpace="180" w:wrap="around" w:vAnchor="text" w:hAnchor="margin" w:xAlign="center" w:y="243"/>
      <w:adjustRightInd w:val="0"/>
      <w:snapToGrid w:val="0"/>
      <w:spacing w:before="120" w:after="120"/>
      <w:ind w:left="578" w:hanging="578"/>
      <w:jc w:val="center"/>
    </w:pPr>
    <w:rPr>
      <w:rFonts w:ascii="宋体" w:hAnsi="宋体" w:cs="Arial"/>
      <w:snapToGrid w:val="0"/>
      <w:color w:val="000000"/>
      <w:kern w:val="0"/>
      <w:szCs w:val="21"/>
    </w:rPr>
  </w:style>
  <w:style w:type="paragraph" w:customStyle="1" w:styleId="2328">
    <w:name w:val="CM103"/>
    <w:basedOn w:val="2"/>
    <w:next w:val="2"/>
    <w:semiHidden/>
    <w:qFormat/>
    <w:uiPriority w:val="0"/>
    <w:pPr>
      <w:adjustRightInd/>
    </w:pPr>
    <w:rPr>
      <w:rFonts w:hint="eastAsia" w:ascii="仿宋" w:hAnsi="仿宋" w:eastAsia="仿宋" w:cs="Times New Roman"/>
      <w:szCs w:val="20"/>
    </w:rPr>
  </w:style>
  <w:style w:type="paragraph" w:customStyle="1" w:styleId="2329">
    <w:name w:val="样式 正文首行缩进 + 四号 首行缩进:  2 字符"/>
    <w:basedOn w:val="43"/>
    <w:qFormat/>
    <w:uiPriority w:val="0"/>
    <w:pPr>
      <w:widowControl w:val="0"/>
      <w:tabs>
        <w:tab w:val="left" w:pos="628"/>
        <w:tab w:val="left" w:pos="1727"/>
        <w:tab w:val="left" w:pos="1884"/>
        <w:tab w:val="left" w:pos="4900"/>
      </w:tabs>
      <w:autoSpaceDE w:val="0"/>
      <w:autoSpaceDN w:val="0"/>
      <w:adjustRightInd w:val="0"/>
      <w:snapToGrid w:val="0"/>
      <w:spacing w:before="120" w:after="0" w:line="360" w:lineRule="auto"/>
      <w:ind w:left="578" w:firstLine="0" w:firstLineChars="0"/>
    </w:pPr>
    <w:rPr>
      <w:rFonts w:hAnsi="Times New Roman"/>
      <w:color w:val="000000"/>
      <w:szCs w:val="28"/>
      <w:lang w:val="zh-CN"/>
    </w:rPr>
  </w:style>
  <w:style w:type="paragraph" w:customStyle="1" w:styleId="2330">
    <w:name w:val="样式 报告书正文 + 首行缩进:  2 字符"/>
    <w:basedOn w:val="1569"/>
    <w:qFormat/>
    <w:uiPriority w:val="0"/>
    <w:pPr>
      <w:ind w:firstLine="420" w:firstLineChars="0"/>
    </w:pPr>
    <w:rPr>
      <w:kern w:val="0"/>
      <w:szCs w:val="20"/>
    </w:rPr>
  </w:style>
  <w:style w:type="paragraph" w:customStyle="1" w:styleId="2331">
    <w:name w:val="List Paragraph11"/>
    <w:basedOn w:val="1"/>
    <w:qFormat/>
    <w:uiPriority w:val="0"/>
    <w:pPr>
      <w:ind w:firstLine="420" w:firstLineChars="200"/>
    </w:pPr>
    <w:rPr>
      <w:rFonts w:ascii="Calibri" w:hAnsi="Calibri" w:cs="黑体"/>
      <w:kern w:val="0"/>
      <w:szCs w:val="22"/>
    </w:rPr>
  </w:style>
  <w:style w:type="paragraph" w:customStyle="1" w:styleId="2332">
    <w:name w:val="白洋淀目录"/>
    <w:basedOn w:val="1"/>
    <w:next w:val="2333"/>
    <w:qFormat/>
    <w:uiPriority w:val="0"/>
    <w:pPr>
      <w:pBdr>
        <w:top w:val="single" w:color="auto" w:sz="4" w:space="1"/>
      </w:pBdr>
      <w:spacing w:line="360" w:lineRule="auto"/>
      <w:ind w:firstLine="200" w:firstLineChars="200"/>
    </w:pPr>
    <w:rPr>
      <w:rFonts w:ascii="宋体" w:cs="宋体"/>
      <w:kern w:val="0"/>
      <w:sz w:val="34"/>
      <w:szCs w:val="20"/>
    </w:rPr>
  </w:style>
  <w:style w:type="paragraph" w:customStyle="1" w:styleId="2333">
    <w:name w:val="目录"/>
    <w:qFormat/>
    <w:uiPriority w:val="0"/>
    <w:pPr>
      <w:adjustRightInd w:val="0"/>
      <w:snapToGrid w:val="0"/>
      <w:spacing w:line="360" w:lineRule="auto"/>
      <w:jc w:val="center"/>
    </w:pPr>
    <w:rPr>
      <w:rFonts w:ascii="Arial" w:hAnsi="Arial" w:eastAsia="宋体" w:cs="Arial"/>
      <w:b/>
      <w:bCs/>
      <w:kern w:val="2"/>
      <w:sz w:val="36"/>
      <w:szCs w:val="32"/>
      <w:lang w:val="en-US" w:eastAsia="zh-CN" w:bidi="ar-SA"/>
    </w:rPr>
  </w:style>
  <w:style w:type="paragraph" w:customStyle="1" w:styleId="2334">
    <w:name w:val="港珠澳正文"/>
    <w:basedOn w:val="1"/>
    <w:qFormat/>
    <w:uiPriority w:val="0"/>
    <w:pPr>
      <w:spacing w:beforeLines="100" w:afterLines="100" w:line="360" w:lineRule="auto"/>
      <w:ind w:firstLine="200" w:firstLineChars="200"/>
      <w:jc w:val="left"/>
    </w:pPr>
    <w:rPr>
      <w:rFonts w:ascii="宋体"/>
      <w:color w:val="000000"/>
      <w:kern w:val="0"/>
      <w:sz w:val="34"/>
      <w:szCs w:val="20"/>
    </w:rPr>
  </w:style>
  <w:style w:type="paragraph" w:customStyle="1" w:styleId="2335">
    <w:name w:val="样式 表标题3.10 + 段前: 1 行"/>
    <w:basedOn w:val="2336"/>
    <w:qFormat/>
    <w:uiPriority w:val="0"/>
    <w:pPr>
      <w:numPr>
        <w:ilvl w:val="0"/>
        <w:numId w:val="37"/>
      </w:numPr>
      <w:tabs>
        <w:tab w:val="center" w:pos="4060"/>
        <w:tab w:val="right" w:pos="8261"/>
      </w:tabs>
      <w:adjustRightInd/>
      <w:spacing w:beforeLines="0" w:line="240" w:lineRule="auto"/>
      <w:ind w:left="0" w:firstLine="0"/>
    </w:pPr>
    <w:rPr>
      <w:rFonts w:ascii="Times New Roman" w:eastAsia="宋体"/>
      <w:b w:val="0"/>
      <w:spacing w:val="0"/>
      <w:kern w:val="2"/>
      <w:sz w:val="21"/>
      <w:szCs w:val="21"/>
    </w:rPr>
  </w:style>
  <w:style w:type="paragraph" w:customStyle="1" w:styleId="2336">
    <w:name w:val="表标题3.10"/>
    <w:basedOn w:val="1936"/>
    <w:qFormat/>
    <w:uiPriority w:val="0"/>
  </w:style>
  <w:style w:type="paragraph" w:customStyle="1" w:styleId="2337">
    <w:name w:val="正文文本缩进11"/>
    <w:basedOn w:val="1"/>
    <w:qFormat/>
    <w:uiPriority w:val="0"/>
    <w:pPr>
      <w:adjustRightInd w:val="0"/>
      <w:snapToGrid w:val="0"/>
      <w:spacing w:line="360" w:lineRule="atLeast"/>
      <w:ind w:firstLine="482"/>
    </w:pPr>
    <w:rPr>
      <w:rFonts w:ascii="Arial Rounded MT Bold" w:hAnsi="Arial Rounded MT Bold" w:eastAsia="华文细黑"/>
      <w:kern w:val="0"/>
      <w:szCs w:val="21"/>
    </w:rPr>
  </w:style>
  <w:style w:type="paragraph" w:customStyle="1" w:styleId="2338">
    <w:name w:val="temp"/>
    <w:basedOn w:val="2339"/>
    <w:qFormat/>
    <w:uiPriority w:val="0"/>
    <w:pPr>
      <w:tabs>
        <w:tab w:val="left" w:pos="360"/>
      </w:tabs>
      <w:ind w:left="0" w:firstLine="0"/>
    </w:pPr>
  </w:style>
  <w:style w:type="paragraph" w:customStyle="1" w:styleId="2339">
    <w:name w:val="支"/>
    <w:basedOn w:val="1"/>
    <w:qFormat/>
    <w:uiPriority w:val="0"/>
    <w:pPr>
      <w:tabs>
        <w:tab w:val="left" w:pos="360"/>
      </w:tabs>
      <w:adjustRightInd w:val="0"/>
      <w:spacing w:line="460" w:lineRule="exact"/>
      <w:ind w:left="360" w:hanging="360"/>
      <w:jc w:val="left"/>
      <w:textAlignment w:val="baseline"/>
    </w:pPr>
    <w:rPr>
      <w:rFonts w:ascii="宋体"/>
      <w:kern w:val="0"/>
      <w:sz w:val="34"/>
      <w:szCs w:val="20"/>
    </w:rPr>
  </w:style>
  <w:style w:type="paragraph" w:customStyle="1" w:styleId="2340">
    <w:name w:val="表16.4-1"/>
    <w:basedOn w:val="1"/>
    <w:qFormat/>
    <w:uiPriority w:val="0"/>
    <w:pPr>
      <w:numPr>
        <w:ilvl w:val="0"/>
        <w:numId w:val="38"/>
      </w:numPr>
      <w:tabs>
        <w:tab w:val="center" w:pos="4060"/>
        <w:tab w:val="right" w:pos="8261"/>
      </w:tabs>
      <w:suppressAutoHyphens/>
      <w:adjustRightInd w:val="0"/>
      <w:spacing w:beforeLines="100" w:line="0" w:lineRule="atLeast"/>
      <w:ind w:firstLine="567"/>
      <w:jc w:val="center"/>
    </w:pPr>
    <w:rPr>
      <w:rFonts w:ascii="黑体" w:eastAsia="黑体" w:cs="宋体"/>
      <w:b/>
      <w:bCs/>
      <w:spacing w:val="6"/>
      <w:kern w:val="0"/>
      <w:sz w:val="34"/>
      <w:szCs w:val="20"/>
    </w:rPr>
  </w:style>
  <w:style w:type="paragraph" w:customStyle="1" w:styleId="2341">
    <w:name w:val="CM71"/>
    <w:basedOn w:val="2"/>
    <w:next w:val="2"/>
    <w:semiHidden/>
    <w:qFormat/>
    <w:uiPriority w:val="0"/>
    <w:pPr>
      <w:adjustRightInd/>
    </w:pPr>
    <w:rPr>
      <w:rFonts w:hint="eastAsia" w:ascii="仿宋" w:hAnsi="仿宋" w:eastAsia="仿宋" w:cs="Times New Roman"/>
      <w:szCs w:val="20"/>
    </w:rPr>
  </w:style>
  <w:style w:type="paragraph" w:customStyle="1" w:styleId="2342">
    <w:name w:val="Char1 Char Char Char1"/>
    <w:basedOn w:val="1"/>
    <w:qFormat/>
    <w:uiPriority w:val="0"/>
    <w:rPr>
      <w:rFonts w:ascii="宋体"/>
      <w:kern w:val="0"/>
      <w:sz w:val="34"/>
      <w:szCs w:val="20"/>
    </w:rPr>
  </w:style>
  <w:style w:type="paragraph" w:customStyle="1" w:styleId="2343">
    <w:name w:val="xl1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344">
    <w:name w:val="流程文字"/>
    <w:basedOn w:val="1"/>
    <w:qFormat/>
    <w:uiPriority w:val="0"/>
    <w:pPr>
      <w:tabs>
        <w:tab w:val="left" w:pos="6480"/>
      </w:tabs>
      <w:topLinePunct/>
      <w:adjustRightInd w:val="0"/>
      <w:snapToGrid w:val="0"/>
      <w:jc w:val="center"/>
    </w:pPr>
    <w:rPr>
      <w:rFonts w:ascii="宋体" w:eastAsia="仿宋_GB2312"/>
      <w:kern w:val="0"/>
      <w:szCs w:val="20"/>
    </w:rPr>
  </w:style>
  <w:style w:type="paragraph" w:customStyle="1" w:styleId="2345">
    <w:name w:val="郑州正文"/>
    <w:basedOn w:val="1"/>
    <w:qFormat/>
    <w:uiPriority w:val="0"/>
    <w:pPr>
      <w:spacing w:line="360" w:lineRule="auto"/>
      <w:ind w:firstLine="540" w:firstLineChars="225"/>
    </w:pPr>
    <w:rPr>
      <w:rFonts w:ascii="宋体"/>
      <w:kern w:val="0"/>
      <w:position w:val="-14"/>
      <w:sz w:val="34"/>
      <w:szCs w:val="20"/>
    </w:rPr>
  </w:style>
  <w:style w:type="paragraph" w:customStyle="1" w:styleId="2346">
    <w:name w:val="图片"/>
    <w:basedOn w:val="1"/>
    <w:qFormat/>
    <w:uiPriority w:val="0"/>
    <w:pPr>
      <w:spacing w:before="120" w:after="120"/>
      <w:ind w:firstLine="567"/>
    </w:pPr>
    <w:rPr>
      <w:rFonts w:ascii="宋体" w:eastAsia="黑体"/>
      <w:kern w:val="0"/>
      <w:szCs w:val="21"/>
    </w:rPr>
  </w:style>
  <w:style w:type="paragraph" w:customStyle="1" w:styleId="2347">
    <w:name w:val="词汇定义"/>
    <w:basedOn w:val="37"/>
    <w:qFormat/>
    <w:uiPriority w:val="0"/>
    <w:pPr>
      <w:widowControl w:val="0"/>
      <w:snapToGrid/>
      <w:spacing w:before="120" w:after="120" w:line="240" w:lineRule="auto"/>
      <w:ind w:right="0" w:firstLine="567"/>
    </w:pPr>
    <w:rPr>
      <w:sz w:val="28"/>
    </w:rPr>
  </w:style>
  <w:style w:type="paragraph" w:customStyle="1" w:styleId="2348">
    <w:name w:val="Char22"/>
    <w:basedOn w:val="1"/>
    <w:qFormat/>
    <w:uiPriority w:val="0"/>
    <w:pPr>
      <w:adjustRightInd w:val="0"/>
      <w:spacing w:line="360" w:lineRule="auto"/>
      <w:textAlignment w:val="baseline"/>
    </w:pPr>
    <w:rPr>
      <w:rFonts w:ascii="宋体"/>
      <w:kern w:val="0"/>
      <w:sz w:val="34"/>
      <w:szCs w:val="28"/>
    </w:rPr>
  </w:style>
  <w:style w:type="paragraph" w:customStyle="1" w:styleId="2349">
    <w:name w:val="六级标题王"/>
    <w:basedOn w:val="959"/>
    <w:semiHidden/>
    <w:qFormat/>
    <w:uiPriority w:val="0"/>
    <w:pPr>
      <w:widowControl w:val="0"/>
      <w:tabs>
        <w:tab w:val="clear" w:pos="747"/>
        <w:tab w:val="clear" w:pos="1740"/>
      </w:tabs>
      <w:outlineLvl w:val="5"/>
    </w:pPr>
    <w:rPr>
      <w:rFonts w:ascii="黑体" w:hAnsi="Times New Roman"/>
      <w:szCs w:val="28"/>
    </w:rPr>
  </w:style>
  <w:style w:type="paragraph" w:customStyle="1" w:styleId="2350">
    <w:name w:val="?¡§¡è?¡ìa?¡§¡è?¡ìo?¡ì?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2351">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szCs w:val="21"/>
    </w:rPr>
  </w:style>
  <w:style w:type="paragraph" w:customStyle="1" w:styleId="2352">
    <w:name w:val="caption1"/>
    <w:basedOn w:val="1"/>
    <w:next w:val="1"/>
    <w:qFormat/>
    <w:uiPriority w:val="0"/>
    <w:pPr>
      <w:adjustRightInd w:val="0"/>
      <w:spacing w:line="360" w:lineRule="atLeast"/>
      <w:jc w:val="center"/>
      <w:textAlignment w:val="baseline"/>
    </w:pPr>
    <w:rPr>
      <w:rFonts w:ascii="宋体"/>
      <w:kern w:val="0"/>
      <w:sz w:val="34"/>
      <w:szCs w:val="20"/>
    </w:rPr>
  </w:style>
  <w:style w:type="paragraph" w:customStyle="1" w:styleId="2353">
    <w:name w:val="样式 居中"/>
    <w:basedOn w:val="1"/>
    <w:unhideWhenUsed/>
    <w:qFormat/>
    <w:uiPriority w:val="0"/>
    <w:pPr>
      <w:spacing w:before="120" w:after="120" w:line="360" w:lineRule="auto"/>
      <w:ind w:left="578" w:hanging="578"/>
      <w:jc w:val="center"/>
    </w:pPr>
    <w:rPr>
      <w:rFonts w:ascii="宋体" w:cs="宋体"/>
      <w:kern w:val="0"/>
      <w:szCs w:val="20"/>
    </w:rPr>
  </w:style>
  <w:style w:type="paragraph" w:customStyle="1" w:styleId="2354">
    <w:name w:val="heading"/>
    <w:basedOn w:val="1"/>
    <w:next w:val="1"/>
    <w:qFormat/>
    <w:uiPriority w:val="0"/>
    <w:pPr>
      <w:keepNext/>
      <w:keepLines/>
      <w:spacing w:line="360" w:lineRule="auto"/>
      <w:outlineLvl w:val="1"/>
    </w:pPr>
    <w:rPr>
      <w:rFonts w:ascii="宋体" w:hAnsi="Arial Black"/>
      <w:kern w:val="0"/>
      <w:sz w:val="34"/>
      <w:szCs w:val="20"/>
    </w:rPr>
  </w:style>
  <w:style w:type="paragraph" w:customStyle="1" w:styleId="2355">
    <w:name w:val="正文2002"/>
    <w:basedOn w:val="1"/>
    <w:semiHidden/>
    <w:qFormat/>
    <w:uiPriority w:val="0"/>
    <w:pPr>
      <w:spacing w:after="48" w:line="300" w:lineRule="exact"/>
      <w:jc w:val="center"/>
    </w:pPr>
    <w:rPr>
      <w:rFonts w:ascii="宋体" w:hAnsi="宋体"/>
      <w:b/>
      <w:kern w:val="0"/>
      <w:szCs w:val="21"/>
    </w:rPr>
  </w:style>
  <w:style w:type="paragraph" w:customStyle="1" w:styleId="2356">
    <w:name w:val="正文11"/>
    <w:basedOn w:val="1"/>
    <w:unhideWhenUsed/>
    <w:qFormat/>
    <w:uiPriority w:val="0"/>
    <w:pPr>
      <w:adjustRightInd w:val="0"/>
      <w:spacing w:before="120" w:after="120" w:line="120" w:lineRule="atLeast"/>
      <w:ind w:left="578" w:firstLine="567"/>
      <w:textAlignment w:val="baseline"/>
    </w:pPr>
    <w:rPr>
      <w:rFonts w:ascii="宋体"/>
      <w:kern w:val="0"/>
      <w:sz w:val="28"/>
      <w:szCs w:val="28"/>
    </w:rPr>
  </w:style>
  <w:style w:type="paragraph" w:customStyle="1" w:styleId="2357">
    <w:name w:val="3"/>
    <w:basedOn w:val="1"/>
    <w:next w:val="34"/>
    <w:qFormat/>
    <w:uiPriority w:val="0"/>
    <w:pPr>
      <w:spacing w:line="360" w:lineRule="auto"/>
      <w:ind w:right="1"/>
    </w:pPr>
    <w:rPr>
      <w:rFonts w:ascii="宋体"/>
      <w:kern w:val="0"/>
      <w:sz w:val="34"/>
      <w:szCs w:val="20"/>
    </w:rPr>
  </w:style>
  <w:style w:type="paragraph" w:customStyle="1" w:styleId="2358">
    <w:name w:val="表格五中"/>
    <w:qFormat/>
    <w:uiPriority w:val="0"/>
    <w:pPr>
      <w:adjustRightInd w:val="0"/>
      <w:snapToGrid w:val="0"/>
      <w:jc w:val="center"/>
    </w:pPr>
    <w:rPr>
      <w:rFonts w:ascii="宋体" w:hAnsi="宋体" w:eastAsia="宋体" w:cs="Times New Roman"/>
      <w:color w:val="000000"/>
      <w:sz w:val="21"/>
      <w:lang w:val="en-US" w:eastAsia="zh-CN" w:bidi="ar-SA"/>
    </w:rPr>
  </w:style>
  <w:style w:type="paragraph" w:customStyle="1" w:styleId="2359">
    <w:name w:val="bgbt1章标题"/>
    <w:basedOn w:val="2360"/>
    <w:next w:val="2360"/>
    <w:semiHidden/>
    <w:qFormat/>
    <w:uiPriority w:val="0"/>
    <w:pPr>
      <w:spacing w:before="120" w:after="120"/>
      <w:outlineLvl w:val="0"/>
    </w:pPr>
    <w:rPr>
      <w:sz w:val="32"/>
    </w:rPr>
  </w:style>
  <w:style w:type="paragraph" w:customStyle="1" w:styleId="2360">
    <w:name w:val="bgbt2节标题"/>
    <w:basedOn w:val="2361"/>
    <w:next w:val="2361"/>
    <w:semiHidden/>
    <w:qFormat/>
    <w:uiPriority w:val="0"/>
    <w:pPr>
      <w:spacing w:before="300"/>
      <w:ind w:firstLine="0"/>
      <w:jc w:val="center"/>
      <w:outlineLvl w:val="1"/>
    </w:pPr>
    <w:rPr>
      <w:sz w:val="30"/>
    </w:rPr>
  </w:style>
  <w:style w:type="paragraph" w:customStyle="1" w:styleId="2361">
    <w:name w:val="bgbt3条标题"/>
    <w:basedOn w:val="1694"/>
    <w:next w:val="1697"/>
    <w:semiHidden/>
    <w:qFormat/>
    <w:uiPriority w:val="0"/>
    <w:pPr>
      <w:outlineLvl w:val="2"/>
    </w:pPr>
    <w:rPr>
      <w:sz w:val="28"/>
    </w:rPr>
  </w:style>
  <w:style w:type="paragraph" w:customStyle="1" w:styleId="2362">
    <w:name w:val="5"/>
    <w:basedOn w:val="1"/>
    <w:next w:val="48"/>
    <w:qFormat/>
    <w:uiPriority w:val="0"/>
    <w:rPr>
      <w:rFonts w:ascii="宋体" w:hAnsi="Courier New" w:cs="Courier New"/>
      <w:kern w:val="0"/>
      <w:szCs w:val="21"/>
    </w:rPr>
  </w:style>
  <w:style w:type="paragraph" w:customStyle="1" w:styleId="2363">
    <w:name w:val="【表格文字】"/>
    <w:qFormat/>
    <w:uiPriority w:val="0"/>
    <w:pPr>
      <w:jc w:val="center"/>
    </w:pPr>
    <w:rPr>
      <w:rFonts w:ascii="Times New Roman" w:hAnsi="Times New Roman" w:eastAsia="宋体" w:cs="宋体"/>
      <w:sz w:val="21"/>
      <w:lang w:val="en-US" w:eastAsia="zh-CN" w:bidi="ar-SA"/>
    </w:rPr>
  </w:style>
  <w:style w:type="paragraph" w:customStyle="1" w:styleId="2364">
    <w:name w:val="样式 表格文字 + 居中 行距: 固定值 15 磅"/>
    <w:basedOn w:val="11"/>
    <w:qFormat/>
    <w:uiPriority w:val="0"/>
    <w:pPr>
      <w:keepNext w:val="0"/>
      <w:keepLines w:val="0"/>
      <w:numPr>
        <w:ilvl w:val="0"/>
        <w:numId w:val="0"/>
      </w:numPr>
      <w:adjustRightInd w:val="0"/>
      <w:spacing w:before="120" w:after="0" w:line="300" w:lineRule="exact"/>
      <w:ind w:left="578" w:hanging="578"/>
      <w:jc w:val="center"/>
      <w:textAlignment w:val="baseline"/>
      <w:outlineLvl w:val="9"/>
    </w:pPr>
    <w:rPr>
      <w:b w:val="0"/>
      <w:bCs w:val="0"/>
      <w:sz w:val="21"/>
      <w:szCs w:val="20"/>
    </w:rPr>
  </w:style>
  <w:style w:type="paragraph" w:customStyle="1" w:styleId="2365">
    <w:name w:val="字元 字元1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366">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宋体"/>
      <w:spacing w:val="20"/>
      <w:kern w:val="0"/>
      <w:sz w:val="34"/>
      <w:szCs w:val="20"/>
    </w:rPr>
  </w:style>
  <w:style w:type="paragraph" w:customStyle="1" w:styleId="236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PMingLiU"/>
      <w:kern w:val="0"/>
      <w:sz w:val="20"/>
      <w:szCs w:val="20"/>
    </w:rPr>
  </w:style>
  <w:style w:type="paragraph" w:customStyle="1" w:styleId="2368">
    <w:name w:val="图表—名称"/>
    <w:basedOn w:val="1"/>
    <w:qFormat/>
    <w:uiPriority w:val="0"/>
    <w:pPr>
      <w:adjustRightInd w:val="0"/>
      <w:snapToGrid w:val="0"/>
      <w:spacing w:beforeLines="50" w:line="360" w:lineRule="auto"/>
      <w:jc w:val="center"/>
    </w:pPr>
    <w:rPr>
      <w:rFonts w:ascii="宋体" w:hAnsi="宋体"/>
      <w:kern w:val="0"/>
      <w:sz w:val="34"/>
      <w:szCs w:val="20"/>
    </w:rPr>
  </w:style>
  <w:style w:type="paragraph" w:customStyle="1" w:styleId="2369">
    <w:name w:val="Titre Instruction"/>
    <w:basedOn w:val="1"/>
    <w:unhideWhenUsed/>
    <w:qFormat/>
    <w:uiPriority w:val="0"/>
    <w:pPr>
      <w:widowControl/>
      <w:pBdr>
        <w:top w:val="double" w:color="auto" w:sz="6" w:space="1"/>
        <w:left w:val="double" w:color="auto" w:sz="6" w:space="1"/>
        <w:bottom w:val="double" w:color="auto" w:sz="6" w:space="1"/>
        <w:right w:val="double" w:color="auto" w:sz="6" w:space="1"/>
      </w:pBdr>
      <w:spacing w:before="120" w:after="1320"/>
      <w:ind w:left="851" w:right="851" w:hanging="578"/>
      <w:jc w:val="center"/>
    </w:pPr>
    <w:rPr>
      <w:rFonts w:ascii="宋体"/>
      <w:b/>
      <w:caps/>
      <w:kern w:val="0"/>
      <w:sz w:val="32"/>
      <w:szCs w:val="20"/>
    </w:rPr>
  </w:style>
  <w:style w:type="paragraph" w:customStyle="1" w:styleId="2370">
    <w:name w:val="款"/>
    <w:basedOn w:val="1"/>
    <w:qFormat/>
    <w:uiPriority w:val="0"/>
    <w:rPr>
      <w:rFonts w:ascii="宋体"/>
      <w:kern w:val="0"/>
      <w:szCs w:val="20"/>
    </w:rPr>
  </w:style>
  <w:style w:type="paragraph" w:customStyle="1" w:styleId="2371">
    <w:name w:val="程序"/>
    <w:basedOn w:val="1"/>
    <w:qFormat/>
    <w:uiPriority w:val="0"/>
    <w:pPr>
      <w:overflowPunct w:val="0"/>
      <w:autoSpaceDE w:val="0"/>
      <w:autoSpaceDN w:val="0"/>
      <w:adjustRightInd w:val="0"/>
      <w:snapToGrid w:val="0"/>
      <w:spacing w:line="240" w:lineRule="atLeast"/>
      <w:ind w:firstLine="539" w:firstLineChars="200"/>
      <w:textAlignment w:val="baseline"/>
    </w:pPr>
    <w:rPr>
      <w:rFonts w:ascii="Courier New" w:hAnsi="Courier New"/>
      <w:kern w:val="0"/>
      <w:sz w:val="26"/>
      <w:szCs w:val="20"/>
    </w:rPr>
  </w:style>
  <w:style w:type="paragraph" w:customStyle="1" w:styleId="2372">
    <w:name w:val="表格标题8"/>
    <w:basedOn w:val="85"/>
    <w:semiHidden/>
    <w:qFormat/>
    <w:uiPriority w:val="0"/>
    <w:pPr>
      <w:numPr>
        <w:ilvl w:val="0"/>
        <w:numId w:val="39"/>
      </w:numPr>
      <w:pBdr>
        <w:top w:val="single" w:color="auto" w:sz="4" w:space="1"/>
      </w:pBdr>
      <w:tabs>
        <w:tab w:val="left" w:pos="0"/>
      </w:tabs>
      <w:adjustRightInd w:val="0"/>
      <w:spacing w:after="0" w:line="360" w:lineRule="auto"/>
      <w:ind w:left="0" w:leftChars="0"/>
      <w:jc w:val="center"/>
    </w:pPr>
    <w:rPr>
      <w:b/>
      <w:sz w:val="24"/>
    </w:rPr>
  </w:style>
  <w:style w:type="paragraph" w:customStyle="1" w:styleId="2373">
    <w:name w:val="样式 正文首行缩进 2 + 宋体 小四 首行缩进:  2 字符 段后: 0 磅 行距: 1.5 倍行距"/>
    <w:basedOn w:val="4"/>
    <w:qFormat/>
    <w:uiPriority w:val="0"/>
    <w:pPr>
      <w:spacing w:after="0" w:line="360" w:lineRule="auto"/>
      <w:ind w:left="0" w:leftChars="0" w:firstLine="200"/>
    </w:pPr>
    <w:rPr>
      <w:rFonts w:ascii="宋体" w:hAnsi="宋体" w:cs="宋体"/>
      <w:sz w:val="34"/>
      <w:szCs w:val="20"/>
    </w:rPr>
  </w:style>
  <w:style w:type="paragraph" w:customStyle="1" w:styleId="2374">
    <w:name w:val="CM29"/>
    <w:basedOn w:val="2"/>
    <w:next w:val="2"/>
    <w:qFormat/>
    <w:uiPriority w:val="0"/>
    <w:pPr>
      <w:adjustRightInd/>
    </w:pPr>
    <w:rPr>
      <w:rFonts w:hint="eastAsia" w:ascii="仿宋" w:hAnsi="仿宋" w:eastAsia="仿宋" w:cs="Times New Roman"/>
      <w:szCs w:val="20"/>
    </w:rPr>
  </w:style>
  <w:style w:type="paragraph" w:customStyle="1" w:styleId="2375">
    <w:name w:val="页脚3"/>
    <w:basedOn w:val="1"/>
    <w:qFormat/>
    <w:uiPriority w:val="0"/>
    <w:pPr>
      <w:tabs>
        <w:tab w:val="center" w:pos="4153"/>
        <w:tab w:val="right" w:pos="8306"/>
      </w:tabs>
      <w:snapToGrid w:val="0"/>
      <w:jc w:val="left"/>
    </w:pPr>
    <w:rPr>
      <w:rFonts w:ascii="宋体"/>
      <w:kern w:val="0"/>
      <w:sz w:val="18"/>
      <w:szCs w:val="18"/>
    </w:rPr>
  </w:style>
  <w:style w:type="paragraph" w:customStyle="1" w:styleId="2376">
    <w:name w:val="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377">
    <w:name w:val="Char Char Char Char Char Char Char Char Char1 Char Char Char Char Char Char"/>
    <w:basedOn w:val="1"/>
    <w:qFormat/>
    <w:uiPriority w:val="0"/>
    <w:rPr>
      <w:rFonts w:ascii="宋体"/>
      <w:kern w:val="0"/>
      <w:szCs w:val="21"/>
    </w:rPr>
  </w:style>
  <w:style w:type="paragraph" w:customStyle="1" w:styleId="2378">
    <w:name w:val="样式 正文－1 + 首行缩进:  2 字符"/>
    <w:basedOn w:val="1"/>
    <w:qFormat/>
    <w:uiPriority w:val="0"/>
    <w:pPr>
      <w:spacing w:line="360" w:lineRule="auto"/>
      <w:ind w:firstLine="480" w:firstLineChars="200"/>
      <w:jc w:val="left"/>
    </w:pPr>
    <w:rPr>
      <w:rFonts w:ascii="宋体"/>
      <w:kern w:val="0"/>
      <w:sz w:val="34"/>
      <w:szCs w:val="20"/>
    </w:rPr>
  </w:style>
  <w:style w:type="paragraph" w:customStyle="1" w:styleId="2379">
    <w:name w:val="Char Char2 Char Char Char Char Char Char Char Char Char Char Char Char"/>
    <w:basedOn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380">
    <w:name w:val="标题 21"/>
    <w:basedOn w:val="1"/>
    <w:qFormat/>
    <w:uiPriority w:val="0"/>
    <w:pPr>
      <w:autoSpaceDE w:val="0"/>
      <w:autoSpaceDN w:val="0"/>
      <w:adjustRightInd w:val="0"/>
      <w:ind w:left="115"/>
      <w:jc w:val="left"/>
      <w:outlineLvl w:val="1"/>
    </w:pPr>
    <w:rPr>
      <w:rFonts w:ascii="宋体" w:cs="宋体"/>
      <w:kern w:val="0"/>
      <w:sz w:val="28"/>
      <w:szCs w:val="28"/>
    </w:rPr>
  </w:style>
  <w:style w:type="paragraph" w:customStyle="1" w:styleId="2381">
    <w:name w:val="HJN-ZZ"/>
    <w:basedOn w:val="1"/>
    <w:qFormat/>
    <w:uiPriority w:val="0"/>
    <w:pPr>
      <w:spacing w:line="360" w:lineRule="auto"/>
      <w:ind w:firstLine="482" w:firstLineChars="200"/>
      <w:jc w:val="left"/>
    </w:pPr>
    <w:rPr>
      <w:rFonts w:ascii="宋体" w:hAnsi="宋体"/>
      <w:kern w:val="21"/>
      <w:szCs w:val="20"/>
    </w:rPr>
  </w:style>
  <w:style w:type="paragraph" w:customStyle="1" w:styleId="2382">
    <w:name w:val="CM104"/>
    <w:basedOn w:val="2"/>
    <w:next w:val="2"/>
    <w:qFormat/>
    <w:uiPriority w:val="0"/>
    <w:pPr>
      <w:spacing w:after="1050"/>
    </w:pPr>
    <w:rPr>
      <w:rFonts w:ascii="Arial" w:hAnsi="Arial" w:cs="Times New Roman"/>
      <w:color w:val="auto"/>
    </w:rPr>
  </w:style>
  <w:style w:type="paragraph" w:customStyle="1" w:styleId="2383">
    <w:name w:val="Char Char Char1 Char Char Char Char Char Char Char Char Char Char11"/>
    <w:basedOn w:val="1"/>
    <w:qFormat/>
    <w:uiPriority w:val="0"/>
    <w:rPr>
      <w:rFonts w:ascii="宋体"/>
      <w:kern w:val="0"/>
      <w:szCs w:val="20"/>
    </w:rPr>
  </w:style>
  <w:style w:type="paragraph" w:customStyle="1" w:styleId="2384">
    <w:name w:val="样式 标题 51)项标5 Char标5标题 5 Char1) Char项 Char无序号，小四黑常规，空两字H...1"/>
    <w:basedOn w:val="11"/>
    <w:qFormat/>
    <w:uiPriority w:val="0"/>
    <w:pPr>
      <w:numPr>
        <w:ilvl w:val="0"/>
        <w:numId w:val="0"/>
      </w:numPr>
      <w:spacing w:before="120" w:beforeLines="50" w:after="120" w:afterLines="50" w:line="240" w:lineRule="auto"/>
    </w:pPr>
    <w:rPr>
      <w:rFonts w:eastAsia="黑体"/>
      <w:kern w:val="44"/>
      <w:sz w:val="24"/>
      <w:szCs w:val="20"/>
    </w:rPr>
  </w:style>
  <w:style w:type="paragraph" w:customStyle="1" w:styleId="2385">
    <w:name w:val="c14"/>
    <w:basedOn w:val="1"/>
    <w:next w:val="1"/>
    <w:qFormat/>
    <w:uiPriority w:val="0"/>
    <w:pPr>
      <w:autoSpaceDE w:val="0"/>
      <w:autoSpaceDN w:val="0"/>
      <w:adjustRightInd w:val="0"/>
      <w:spacing w:before="120" w:after="120" w:line="240" w:lineRule="atLeast"/>
      <w:ind w:left="578" w:hanging="578"/>
      <w:jc w:val="center"/>
    </w:pPr>
    <w:rPr>
      <w:rFonts w:ascii="宋体"/>
      <w:kern w:val="0"/>
      <w:sz w:val="34"/>
      <w:szCs w:val="20"/>
    </w:rPr>
  </w:style>
  <w:style w:type="paragraph" w:customStyle="1" w:styleId="2386">
    <w:name w:val="Char3 Char Char Char Char Char Char Char Char Char Char Char Char Char Char Char Char Char Char Char Char Char Char Char Char Char"/>
    <w:basedOn w:val="1"/>
    <w:qFormat/>
    <w:uiPriority w:val="0"/>
    <w:pPr>
      <w:spacing w:line="340" w:lineRule="exact"/>
      <w:ind w:firstLine="10" w:firstLineChars="4"/>
    </w:pPr>
    <w:rPr>
      <w:rFonts w:ascii="宋体"/>
      <w:kern w:val="0"/>
      <w:sz w:val="28"/>
      <w:szCs w:val="28"/>
    </w:rPr>
  </w:style>
  <w:style w:type="paragraph" w:customStyle="1" w:styleId="2387">
    <w:name w:val="列项·"/>
    <w:qFormat/>
    <w:uiPriority w:val="0"/>
    <w:pPr>
      <w:tabs>
        <w:tab w:val="left" w:pos="840"/>
        <w:tab w:val="left" w:pos="1640"/>
      </w:tabs>
      <w:ind w:left="840" w:leftChars="200" w:hanging="420" w:hangingChars="200"/>
      <w:jc w:val="both"/>
    </w:pPr>
    <w:rPr>
      <w:rFonts w:ascii="宋体" w:hAnsi="Times New Roman" w:eastAsia="宋体" w:cs="Times New Roman"/>
      <w:sz w:val="21"/>
      <w:lang w:val="en-US" w:eastAsia="zh-CN" w:bidi="ar-SA"/>
    </w:rPr>
  </w:style>
  <w:style w:type="paragraph" w:customStyle="1" w:styleId="2388">
    <w:name w:val="默认段落字体 Para Char Char Char Char Char Char Char Char Char Char Char Char Char1 Char"/>
    <w:basedOn w:val="29"/>
    <w:unhideWhenUsed/>
    <w:qFormat/>
    <w:uiPriority w:val="0"/>
    <w:pPr>
      <w:shd w:val="clear" w:color="auto" w:fill="000080"/>
      <w:spacing w:before="120" w:after="120"/>
      <w:ind w:left="578" w:hanging="578"/>
    </w:pPr>
    <w:rPr>
      <w:rFonts w:ascii="Tahoma" w:hAnsi="Tahoma"/>
      <w:kern w:val="0"/>
      <w:sz w:val="21"/>
      <w:szCs w:val="21"/>
    </w:rPr>
  </w:style>
  <w:style w:type="paragraph" w:customStyle="1" w:styleId="2389">
    <w:name w:val="Char Char1 Char Char Char3"/>
    <w:basedOn w:val="1"/>
    <w:next w:val="1"/>
    <w:qFormat/>
    <w:uiPriority w:val="0"/>
    <w:pPr>
      <w:spacing w:line="360" w:lineRule="auto"/>
      <w:ind w:firstLine="200" w:firstLineChars="200"/>
    </w:pPr>
    <w:rPr>
      <w:rFonts w:ascii="宋体" w:hAnsi="宋体" w:cs="宋体"/>
      <w:kern w:val="0"/>
      <w:sz w:val="34"/>
      <w:szCs w:val="20"/>
    </w:rPr>
  </w:style>
  <w:style w:type="paragraph" w:customStyle="1" w:styleId="2390">
    <w:name w:val="正文无缩进"/>
    <w:basedOn w:val="1"/>
    <w:semiHidden/>
    <w:qFormat/>
    <w:uiPriority w:val="0"/>
    <w:pPr>
      <w:spacing w:after="120"/>
      <w:ind w:left="420" w:leftChars="200"/>
    </w:pPr>
    <w:rPr>
      <w:rFonts w:ascii="宋体"/>
      <w:kern w:val="0"/>
      <w:sz w:val="16"/>
      <w:szCs w:val="16"/>
    </w:rPr>
  </w:style>
  <w:style w:type="paragraph" w:customStyle="1" w:styleId="2391">
    <w:name w:val="Char Char Char Char Char Char3"/>
    <w:basedOn w:val="1"/>
    <w:qFormat/>
    <w:uiPriority w:val="0"/>
    <w:rPr>
      <w:rFonts w:ascii="宋体"/>
      <w:kern w:val="0"/>
      <w:sz w:val="34"/>
      <w:szCs w:val="20"/>
    </w:rPr>
  </w:style>
  <w:style w:type="paragraph" w:customStyle="1" w:styleId="2392">
    <w:name w:val="xl127"/>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393">
    <w:name w:val="表格里"/>
    <w:basedOn w:val="1"/>
    <w:qFormat/>
    <w:uiPriority w:val="0"/>
    <w:pPr>
      <w:snapToGrid w:val="0"/>
      <w:spacing w:before="280"/>
      <w:jc w:val="center"/>
    </w:pPr>
    <w:rPr>
      <w:rFonts w:ascii="宋体" w:cs="宋体"/>
      <w:kern w:val="0"/>
      <w:szCs w:val="20"/>
    </w:rPr>
  </w:style>
  <w:style w:type="paragraph" w:customStyle="1" w:styleId="2394">
    <w:name w:val="文章"/>
    <w:basedOn w:val="6"/>
    <w:qFormat/>
    <w:uiPriority w:val="0"/>
    <w:pPr>
      <w:widowControl w:val="0"/>
      <w:adjustRightInd w:val="0"/>
      <w:snapToGrid w:val="0"/>
      <w:spacing w:beforeLines="20" w:afterLines="20" w:line="360" w:lineRule="auto"/>
      <w:ind w:firstLine="520"/>
      <w:jc w:val="both"/>
    </w:pPr>
    <w:rPr>
      <w:rFonts w:ascii="Garamond" w:hAnsi="Garamond" w:cs="Times New Roman"/>
      <w:sz w:val="26"/>
      <w:szCs w:val="20"/>
    </w:rPr>
  </w:style>
  <w:style w:type="paragraph" w:customStyle="1" w:styleId="2395">
    <w:name w:val="样式 样式 样式 样式 标题 4 + 段前: 0.5 行 段后: 0.5 行 + 段前: 0.5 行 段后: 0.5 行 + 段..."/>
    <w:basedOn w:val="2396"/>
    <w:semiHidden/>
    <w:qFormat/>
    <w:uiPriority w:val="0"/>
    <w:pPr>
      <w:adjustRightInd/>
    </w:pPr>
  </w:style>
  <w:style w:type="paragraph" w:customStyle="1" w:styleId="2396">
    <w:name w:val="样式 样式 样式 标题 4 + 段前: 0.5 行 段后: 0.5 行 + 段前: 0.5 行 段后: 0.5 行 + 段前: ..."/>
    <w:basedOn w:val="2285"/>
    <w:semiHidden/>
    <w:qFormat/>
    <w:uiPriority w:val="0"/>
    <w:pPr>
      <w:adjustRightInd w:val="0"/>
    </w:pPr>
  </w:style>
  <w:style w:type="paragraph" w:customStyle="1" w:styleId="2397">
    <w:name w:val="xl88"/>
    <w:basedOn w:val="1"/>
    <w:qFormat/>
    <w:uiPriority w:val="0"/>
    <w:pPr>
      <w:widowControl/>
      <w:pBdr>
        <w:top w:val="single" w:color="000000" w:sz="8" w:space="0"/>
        <w:left w:val="single" w:color="auto" w:sz="8" w:space="0"/>
        <w:bottom w:val="single" w:color="auto" w:sz="8" w:space="0"/>
      </w:pBdr>
      <w:spacing w:before="100" w:beforeAutospacing="1" w:after="100" w:afterAutospacing="1"/>
    </w:pPr>
    <w:rPr>
      <w:rFonts w:ascii="仿宋_GB2312" w:hAnsi="宋体" w:eastAsia="仿宋_GB2312" w:cs="宋体"/>
      <w:kern w:val="0"/>
      <w:szCs w:val="21"/>
    </w:rPr>
  </w:style>
  <w:style w:type="paragraph" w:customStyle="1" w:styleId="2398">
    <w:name w:val="报告书表格2"/>
    <w:basedOn w:val="1"/>
    <w:qFormat/>
    <w:uiPriority w:val="0"/>
    <w:pPr>
      <w:adjustRightInd w:val="0"/>
      <w:spacing w:after="120" w:line="240" w:lineRule="atLeast"/>
      <w:ind w:firstLine="567"/>
      <w:jc w:val="center"/>
      <w:textAlignment w:val="baseline"/>
    </w:pPr>
    <w:rPr>
      <w:rFonts w:ascii="宋体"/>
      <w:kern w:val="0"/>
      <w:sz w:val="28"/>
      <w:szCs w:val="20"/>
    </w:rPr>
  </w:style>
  <w:style w:type="paragraph" w:customStyle="1" w:styleId="2399">
    <w:name w:val="样式 样式2 + (符号) 宋体 两端对齐"/>
    <w:basedOn w:val="2018"/>
    <w:qFormat/>
    <w:uiPriority w:val="0"/>
    <w:pPr>
      <w:keepNext/>
      <w:keepLines/>
      <w:tabs>
        <w:tab w:val="left" w:pos="840"/>
        <w:tab w:val="left" w:pos="1080"/>
        <w:tab w:val="clear" w:pos="425"/>
      </w:tabs>
      <w:snapToGrid w:val="0"/>
      <w:spacing w:before="120" w:after="120" w:line="240" w:lineRule="auto"/>
      <w:ind w:left="578" w:hanging="578"/>
      <w:jc w:val="both"/>
    </w:pPr>
    <w:rPr>
      <w:rFonts w:ascii="Arial" w:eastAsia="宋体"/>
      <w:color w:val="FF0000"/>
      <w:szCs w:val="20"/>
    </w:rPr>
  </w:style>
  <w:style w:type="paragraph" w:customStyle="1" w:styleId="2400">
    <w:name w:val="Char Char Char1 Char Char Char Char Char Char"/>
    <w:basedOn w:val="1"/>
    <w:qFormat/>
    <w:uiPriority w:val="0"/>
    <w:rPr>
      <w:rFonts w:ascii="黑体" w:hAnsi="黑体" w:eastAsia="黑体"/>
      <w:b/>
      <w:spacing w:val="10"/>
      <w:kern w:val="0"/>
      <w:sz w:val="28"/>
      <w:szCs w:val="20"/>
    </w:rPr>
  </w:style>
  <w:style w:type="paragraph" w:customStyle="1" w:styleId="2401">
    <w:name w:val="Char Char Char Char Char Char Char Char Char Char Char Char Char"/>
    <w:basedOn w:val="1"/>
    <w:qFormat/>
    <w:uiPriority w:val="0"/>
    <w:pPr>
      <w:widowControl/>
      <w:adjustRightInd w:val="0"/>
      <w:snapToGrid w:val="0"/>
      <w:spacing w:beforeLines="50" w:line="360" w:lineRule="auto"/>
      <w:jc w:val="left"/>
    </w:pPr>
    <w:rPr>
      <w:rFonts w:ascii="黑体" w:hAnsi="Tahoma" w:eastAsia="黑体"/>
      <w:kern w:val="0"/>
      <w:sz w:val="32"/>
      <w:szCs w:val="32"/>
    </w:rPr>
  </w:style>
  <w:style w:type="paragraph" w:customStyle="1" w:styleId="2402">
    <w:name w:val="样式 表格文字 + 小四"/>
    <w:basedOn w:val="11"/>
    <w:semiHidden/>
    <w:qFormat/>
    <w:uiPriority w:val="0"/>
    <w:pPr>
      <w:keepNext w:val="0"/>
      <w:keepLines w:val="0"/>
      <w:widowControl w:val="0"/>
      <w:numPr>
        <w:ilvl w:val="0"/>
        <w:numId w:val="0"/>
      </w:numPr>
      <w:autoSpaceDE w:val="0"/>
      <w:autoSpaceDN w:val="0"/>
      <w:adjustRightInd w:val="0"/>
      <w:spacing w:before="0" w:after="0" w:line="240" w:lineRule="auto"/>
      <w:jc w:val="center"/>
      <w:outlineLvl w:val="9"/>
    </w:pPr>
    <w:rPr>
      <w:rFonts w:cs="Times New Roman"/>
      <w:b w:val="0"/>
      <w:bCs w:val="0"/>
      <w:color w:val="000000"/>
      <w:sz w:val="24"/>
      <w:szCs w:val="20"/>
    </w:rPr>
  </w:style>
  <w:style w:type="paragraph" w:customStyle="1" w:styleId="2403">
    <w:name w:val="【图题】"/>
    <w:next w:val="1451"/>
    <w:qFormat/>
    <w:uiPriority w:val="0"/>
    <w:pPr>
      <w:spacing w:beforeLines="50" w:afterLines="50"/>
      <w:jc w:val="center"/>
    </w:pPr>
    <w:rPr>
      <w:rFonts w:ascii="Times New Roman" w:hAnsi="Times New Roman" w:eastAsia="黑体" w:cs="宋体"/>
      <w:sz w:val="24"/>
      <w:szCs w:val="24"/>
      <w:lang w:val="en-US" w:eastAsia="zh-CN" w:bidi="ar-SA"/>
    </w:rPr>
  </w:style>
  <w:style w:type="paragraph" w:customStyle="1" w:styleId="2404">
    <w:name w:val="小四表文左齐"/>
    <w:basedOn w:val="1"/>
    <w:qFormat/>
    <w:uiPriority w:val="0"/>
    <w:pPr>
      <w:jc w:val="center"/>
    </w:pPr>
    <w:rPr>
      <w:rFonts w:ascii="仿宋_GB2312" w:hAnsi="宋体" w:eastAsia="仿宋_GB2312"/>
      <w:kern w:val="0"/>
      <w:sz w:val="34"/>
      <w:szCs w:val="20"/>
    </w:rPr>
  </w:style>
  <w:style w:type="paragraph" w:customStyle="1" w:styleId="2405">
    <w:name w:val="纯文本21"/>
    <w:basedOn w:val="1"/>
    <w:qFormat/>
    <w:uiPriority w:val="0"/>
    <w:pPr>
      <w:autoSpaceDE w:val="0"/>
      <w:autoSpaceDN w:val="0"/>
      <w:adjustRightInd w:val="0"/>
      <w:spacing w:line="440" w:lineRule="atLeast"/>
      <w:ind w:firstLine="425"/>
      <w:textAlignment w:val="baseline"/>
    </w:pPr>
    <w:rPr>
      <w:rFonts w:ascii="宋体" w:hAnsi="Tms Rmn" w:eastAsia="仿宋_GB2312"/>
      <w:snapToGrid w:val="0"/>
      <w:kern w:val="0"/>
      <w:sz w:val="28"/>
      <w:szCs w:val="20"/>
    </w:rPr>
  </w:style>
  <w:style w:type="paragraph" w:customStyle="1" w:styleId="2406">
    <w:name w:val="zxj-正文"/>
    <w:basedOn w:val="1"/>
    <w:next w:val="1"/>
    <w:unhideWhenUsed/>
    <w:qFormat/>
    <w:uiPriority w:val="0"/>
    <w:pPr>
      <w:tabs>
        <w:tab w:val="left" w:pos="1320"/>
      </w:tabs>
      <w:overflowPunct w:val="0"/>
      <w:snapToGrid w:val="0"/>
      <w:spacing w:before="120" w:after="120" w:line="360" w:lineRule="auto"/>
      <w:ind w:left="1320" w:hanging="420"/>
    </w:pPr>
    <w:rPr>
      <w:rFonts w:ascii="宋体" w:hAnsi="Arial" w:eastAsia="仿宋_GB2312"/>
      <w:kern w:val="0"/>
      <w:szCs w:val="20"/>
    </w:rPr>
  </w:style>
  <w:style w:type="paragraph" w:customStyle="1" w:styleId="2407">
    <w:name w:val="页号"/>
    <w:basedOn w:val="58"/>
    <w:unhideWhenUsed/>
    <w:qFormat/>
    <w:uiPriority w:val="0"/>
    <w:pPr>
      <w:tabs>
        <w:tab w:val="center" w:pos="4320"/>
        <w:tab w:val="right" w:pos="8640"/>
        <w:tab w:val="clear" w:pos="4153"/>
        <w:tab w:val="clear" w:pos="8306"/>
      </w:tabs>
      <w:adjustRightInd w:val="0"/>
      <w:snapToGrid/>
      <w:spacing w:before="120" w:after="120"/>
      <w:ind w:left="578" w:hanging="578"/>
      <w:jc w:val="center"/>
      <w:textAlignment w:val="baseline"/>
    </w:pPr>
    <w:rPr>
      <w:rFonts w:ascii="宋体" w:hAnsi="Arial"/>
      <w:spacing w:val="3"/>
      <w:kern w:val="24"/>
      <w:sz w:val="24"/>
    </w:rPr>
  </w:style>
  <w:style w:type="paragraph" w:customStyle="1" w:styleId="2408">
    <w:name w:val="xl51"/>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409">
    <w:name w:val="Char Char Char Char Char Char1"/>
    <w:basedOn w:val="1"/>
    <w:qFormat/>
    <w:uiPriority w:val="0"/>
    <w:rPr>
      <w:rFonts w:ascii="宋体"/>
      <w:kern w:val="0"/>
      <w:szCs w:val="21"/>
    </w:rPr>
  </w:style>
  <w:style w:type="paragraph" w:customStyle="1" w:styleId="2410">
    <w:name w:val="kk"/>
    <w:basedOn w:val="37"/>
    <w:unhideWhenUsed/>
    <w:qFormat/>
    <w:uiPriority w:val="0"/>
    <w:pPr>
      <w:widowControl w:val="0"/>
      <w:autoSpaceDE w:val="0"/>
      <w:autoSpaceDN w:val="0"/>
      <w:adjustRightInd w:val="0"/>
      <w:snapToGrid/>
      <w:spacing w:before="120" w:after="0" w:line="360" w:lineRule="auto"/>
      <w:ind w:left="578" w:right="0" w:hanging="578"/>
      <w:textAlignment w:val="baseline"/>
    </w:pPr>
    <w:rPr>
      <w:spacing w:val="10"/>
      <w:sz w:val="21"/>
    </w:rPr>
  </w:style>
  <w:style w:type="paragraph" w:customStyle="1" w:styleId="2411">
    <w:name w:val="item1.1.1"/>
    <w:basedOn w:val="1"/>
    <w:qFormat/>
    <w:uiPriority w:val="0"/>
    <w:pPr>
      <w:spacing w:line="360" w:lineRule="auto"/>
    </w:pPr>
    <w:rPr>
      <w:rFonts w:ascii="宋体"/>
      <w:kern w:val="0"/>
      <w:sz w:val="34"/>
      <w:szCs w:val="20"/>
    </w:rPr>
  </w:style>
  <w:style w:type="paragraph" w:customStyle="1" w:styleId="2412">
    <w:name w:val="封面—报告书"/>
    <w:basedOn w:val="1"/>
    <w:qFormat/>
    <w:uiPriority w:val="0"/>
    <w:pPr>
      <w:adjustRightInd w:val="0"/>
      <w:snapToGrid w:val="0"/>
      <w:spacing w:beforeLines="50" w:line="360" w:lineRule="auto"/>
      <w:jc w:val="center"/>
    </w:pPr>
    <w:rPr>
      <w:rFonts w:ascii="楷体_GB2312" w:eastAsia="楷体_GB2312"/>
      <w:b/>
      <w:kern w:val="0"/>
      <w:sz w:val="72"/>
      <w:szCs w:val="72"/>
    </w:rPr>
  </w:style>
  <w:style w:type="paragraph" w:customStyle="1" w:styleId="2413">
    <w:name w:val="标1"/>
    <w:basedOn w:val="1"/>
    <w:qFormat/>
    <w:uiPriority w:val="0"/>
    <w:pPr>
      <w:keepNext/>
      <w:widowControl/>
      <w:spacing w:before="600" w:after="360" w:line="360" w:lineRule="auto"/>
      <w:jc w:val="center"/>
      <w:outlineLvl w:val="0"/>
    </w:pPr>
    <w:rPr>
      <w:rFonts w:ascii="宋体" w:eastAsia="华文中宋"/>
      <w:b/>
      <w:w w:val="95"/>
      <w:kern w:val="44"/>
      <w:sz w:val="36"/>
      <w:szCs w:val="20"/>
    </w:rPr>
  </w:style>
  <w:style w:type="paragraph" w:customStyle="1" w:styleId="2414">
    <w:name w:val="Char Char Char Char1 Char Char Char2"/>
    <w:basedOn w:val="1"/>
    <w:qFormat/>
    <w:uiPriority w:val="0"/>
    <w:rPr>
      <w:rFonts w:ascii="宋体"/>
      <w:kern w:val="0"/>
      <w:sz w:val="34"/>
      <w:szCs w:val="20"/>
    </w:rPr>
  </w:style>
  <w:style w:type="paragraph" w:customStyle="1" w:styleId="2415">
    <w:name w:val="Char Char Char1 Char Char Char Char Char Char Char Char Char Char Char Char Char Char Char Char Char Char Char Char Char Char1"/>
    <w:basedOn w:val="1"/>
    <w:qFormat/>
    <w:uiPriority w:val="0"/>
    <w:rPr>
      <w:rFonts w:ascii="宋体"/>
      <w:kern w:val="0"/>
      <w:szCs w:val="21"/>
    </w:rPr>
  </w:style>
  <w:style w:type="paragraph" w:customStyle="1" w:styleId="2416">
    <w:name w:val="图编号"/>
    <w:basedOn w:val="11"/>
    <w:qFormat/>
    <w:uiPriority w:val="0"/>
    <w:pPr>
      <w:keepNext w:val="0"/>
      <w:keepLines w:val="0"/>
      <w:widowControl w:val="0"/>
      <w:numPr>
        <w:ilvl w:val="0"/>
        <w:numId w:val="0"/>
      </w:numPr>
      <w:tabs>
        <w:tab w:val="left" w:pos="1140"/>
      </w:tabs>
      <w:spacing w:before="300" w:after="300" w:line="360" w:lineRule="auto"/>
      <w:ind w:left="1140" w:hanging="600"/>
      <w:jc w:val="center"/>
      <w:outlineLvl w:val="9"/>
    </w:pPr>
    <w:rPr>
      <w:rFonts w:cs="Times New Roman"/>
      <w:b w:val="0"/>
      <w:bCs w:val="0"/>
      <w:sz w:val="24"/>
      <w:szCs w:val="20"/>
    </w:rPr>
  </w:style>
  <w:style w:type="paragraph" w:customStyle="1" w:styleId="2417">
    <w:name w:val="表16.3-1 + 段前: 1 行"/>
    <w:basedOn w:val="2340"/>
    <w:qFormat/>
    <w:uiPriority w:val="0"/>
    <w:pPr>
      <w:numPr>
        <w:ilvl w:val="0"/>
        <w:numId w:val="0"/>
      </w:numPr>
      <w:tabs>
        <w:tab w:val="left" w:pos="420"/>
        <w:tab w:val="clear" w:pos="4060"/>
        <w:tab w:val="clear" w:pos="8261"/>
      </w:tabs>
      <w:spacing w:before="240" w:after="120"/>
    </w:pPr>
  </w:style>
  <w:style w:type="paragraph" w:customStyle="1" w:styleId="2418">
    <w:name w:val="Heading Base"/>
    <w:basedOn w:val="37"/>
    <w:next w:val="37"/>
    <w:unhideWhenUsed/>
    <w:qFormat/>
    <w:uiPriority w:val="0"/>
    <w:pPr>
      <w:keepNext/>
      <w:keepLines/>
      <w:snapToGrid/>
      <w:spacing w:before="120" w:after="0" w:line="220" w:lineRule="atLeast"/>
      <w:ind w:left="578" w:right="-360" w:hanging="578"/>
      <w:jc w:val="left"/>
    </w:pPr>
    <w:rPr>
      <w:rFonts w:ascii="Arial" w:hAnsi="Arial"/>
      <w:spacing w:val="-4"/>
    </w:rPr>
  </w:style>
  <w:style w:type="paragraph" w:customStyle="1" w:styleId="2419">
    <w:name w:val="CM81"/>
    <w:basedOn w:val="2"/>
    <w:next w:val="2"/>
    <w:semiHidden/>
    <w:qFormat/>
    <w:uiPriority w:val="0"/>
    <w:pPr>
      <w:adjustRightInd/>
    </w:pPr>
    <w:rPr>
      <w:rFonts w:hint="eastAsia" w:ascii="仿宋" w:hAnsi="仿宋" w:eastAsia="仿宋" w:cs="Times New Roman"/>
      <w:szCs w:val="20"/>
    </w:rPr>
  </w:style>
  <w:style w:type="paragraph" w:customStyle="1" w:styleId="2420">
    <w:name w:val="样式 标题 31.1.1条标题 3 Char Char标题 3 Char三级标题，黑粗，四号，序号Heading 3...2"/>
    <w:basedOn w:val="9"/>
    <w:qFormat/>
    <w:uiPriority w:val="0"/>
    <w:pPr>
      <w:widowControl w:val="0"/>
      <w:numPr>
        <w:ilvl w:val="0"/>
        <w:numId w:val="0"/>
      </w:numPr>
      <w:tabs>
        <w:tab w:val="left" w:pos="1740"/>
        <w:tab w:val="left" w:pos="2160"/>
      </w:tabs>
      <w:spacing w:before="50" w:after="50" w:line="240" w:lineRule="auto"/>
      <w:ind w:left="2160" w:hanging="720"/>
      <w:jc w:val="both"/>
    </w:pPr>
    <w:rPr>
      <w:bCs w:val="0"/>
      <w:color w:val="FF0000"/>
      <w:sz w:val="32"/>
      <w:szCs w:val="20"/>
    </w:rPr>
  </w:style>
  <w:style w:type="paragraph" w:customStyle="1" w:styleId="2421">
    <w:name w:val="Char Char Char1 Char4"/>
    <w:basedOn w:val="1"/>
    <w:qFormat/>
    <w:uiPriority w:val="0"/>
    <w:rPr>
      <w:rFonts w:ascii="宋体"/>
      <w:kern w:val="0"/>
      <w:sz w:val="34"/>
      <w:szCs w:val="20"/>
    </w:rPr>
  </w:style>
  <w:style w:type="paragraph" w:customStyle="1" w:styleId="2422">
    <w:name w:val="0-shiw-项"/>
    <w:qFormat/>
    <w:uiPriority w:val="0"/>
    <w:pPr>
      <w:tabs>
        <w:tab w:val="left" w:pos="-97"/>
      </w:tabs>
      <w:ind w:left="1134"/>
    </w:pPr>
    <w:rPr>
      <w:rFonts w:ascii="Times New Roman" w:hAnsi="Times New Roman" w:eastAsia="宋体" w:cs="Times New Roman"/>
      <w:snapToGrid w:val="0"/>
      <w:sz w:val="28"/>
      <w:szCs w:val="28"/>
      <w:lang w:val="en-US" w:eastAsia="zh-CN" w:bidi="ar-SA"/>
    </w:rPr>
  </w:style>
  <w:style w:type="paragraph" w:customStyle="1" w:styleId="2423">
    <w:name w:val="表标题5.16"/>
    <w:basedOn w:val="1"/>
    <w:qFormat/>
    <w:uiPriority w:val="0"/>
    <w:pPr>
      <w:numPr>
        <w:ilvl w:val="0"/>
        <w:numId w:val="40"/>
      </w:numPr>
      <w:tabs>
        <w:tab w:val="left" w:pos="420"/>
      </w:tabs>
      <w:spacing w:beforeLines="100" w:after="120" w:line="0" w:lineRule="atLeast"/>
      <w:ind w:firstLine="567"/>
    </w:pPr>
    <w:rPr>
      <w:rFonts w:ascii="宋体" w:eastAsia="黑体"/>
      <w:b/>
      <w:kern w:val="0"/>
      <w:sz w:val="34"/>
      <w:szCs w:val="20"/>
    </w:rPr>
  </w:style>
  <w:style w:type="paragraph" w:customStyle="1" w:styleId="2424">
    <w:name w:val="Definition List"/>
    <w:basedOn w:val="1"/>
    <w:next w:val="2425"/>
    <w:qFormat/>
    <w:uiPriority w:val="0"/>
    <w:pPr>
      <w:autoSpaceDE w:val="0"/>
      <w:autoSpaceDN w:val="0"/>
      <w:adjustRightInd w:val="0"/>
      <w:ind w:left="360"/>
      <w:jc w:val="left"/>
    </w:pPr>
    <w:rPr>
      <w:rFonts w:ascii="宋体"/>
      <w:kern w:val="0"/>
      <w:sz w:val="34"/>
      <w:szCs w:val="20"/>
    </w:rPr>
  </w:style>
  <w:style w:type="paragraph" w:customStyle="1" w:styleId="2425">
    <w:name w:val="Definition Term"/>
    <w:basedOn w:val="1"/>
    <w:next w:val="2424"/>
    <w:qFormat/>
    <w:uiPriority w:val="0"/>
    <w:pPr>
      <w:autoSpaceDE w:val="0"/>
      <w:autoSpaceDN w:val="0"/>
      <w:adjustRightInd w:val="0"/>
      <w:jc w:val="left"/>
    </w:pPr>
    <w:rPr>
      <w:rFonts w:ascii="宋体"/>
      <w:kern w:val="0"/>
      <w:sz w:val="34"/>
      <w:szCs w:val="20"/>
    </w:rPr>
  </w:style>
  <w:style w:type="paragraph" w:customStyle="1" w:styleId="2426">
    <w:name w:val="xl146"/>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427">
    <w:name w:val="样式 (中文) 黑体 小四 首行缩进:  2 字符 行距: 固定值 22 磅"/>
    <w:basedOn w:val="1"/>
    <w:qFormat/>
    <w:uiPriority w:val="0"/>
    <w:pPr>
      <w:numPr>
        <w:ilvl w:val="0"/>
        <w:numId w:val="41"/>
      </w:numPr>
      <w:tabs>
        <w:tab w:val="left" w:pos="425"/>
        <w:tab w:val="left" w:pos="1200"/>
      </w:tabs>
      <w:spacing w:beforeLines="50" w:afterLines="50" w:line="440" w:lineRule="exact"/>
      <w:ind w:left="2586" w:firstLine="0"/>
    </w:pPr>
    <w:rPr>
      <w:rFonts w:ascii="黑体" w:hAnsi="宋体" w:eastAsia="黑体" w:cs="宋体"/>
      <w:b/>
      <w:kern w:val="0"/>
      <w:sz w:val="28"/>
      <w:szCs w:val="20"/>
    </w:rPr>
  </w:style>
  <w:style w:type="paragraph" w:customStyle="1" w:styleId="2428">
    <w:name w:val="评价样式1"/>
    <w:basedOn w:val="1"/>
    <w:next w:val="37"/>
    <w:qFormat/>
    <w:uiPriority w:val="0"/>
    <w:pPr>
      <w:spacing w:before="120" w:after="120" w:line="460" w:lineRule="atLeast"/>
      <w:ind w:left="578" w:hanging="578"/>
    </w:pPr>
    <w:rPr>
      <w:rFonts w:ascii="Times" w:hAnsi="Times"/>
      <w:bCs/>
      <w:kern w:val="0"/>
      <w:sz w:val="34"/>
      <w:szCs w:val="20"/>
    </w:rPr>
  </w:style>
  <w:style w:type="paragraph" w:customStyle="1" w:styleId="2429">
    <w:name w:val="yz"/>
    <w:basedOn w:val="37"/>
    <w:qFormat/>
    <w:uiPriority w:val="0"/>
    <w:pPr>
      <w:widowControl w:val="0"/>
      <w:tabs>
        <w:tab w:val="left" w:pos="900"/>
      </w:tabs>
      <w:adjustRightInd w:val="0"/>
      <w:snapToGrid/>
      <w:spacing w:before="0" w:after="0" w:line="240" w:lineRule="auto"/>
      <w:ind w:right="0" w:firstLine="200"/>
      <w:textAlignment w:val="baseline"/>
    </w:pPr>
    <w:rPr>
      <w:rFonts w:hint="eastAsia" w:hAnsi="宋体"/>
      <w:sz w:val="21"/>
    </w:rPr>
  </w:style>
  <w:style w:type="paragraph" w:customStyle="1" w:styleId="2430">
    <w:name w:val="五号表格"/>
    <w:basedOn w:val="1"/>
    <w:qFormat/>
    <w:uiPriority w:val="0"/>
    <w:pPr>
      <w:adjustRightInd w:val="0"/>
      <w:jc w:val="center"/>
      <w:textAlignment w:val="baseline"/>
    </w:pPr>
    <w:rPr>
      <w:rFonts w:ascii="宋体"/>
      <w:kern w:val="0"/>
      <w:szCs w:val="20"/>
    </w:rPr>
  </w:style>
  <w:style w:type="paragraph" w:customStyle="1" w:styleId="2431">
    <w:name w:val="样式 标题 3huibian_标题 3 + 华文细黑 小四 左侧:  0.38 厘米 段前: 0 磅 段后: 0 磅..."/>
    <w:basedOn w:val="9"/>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2432">
    <w:name w:val="默认段落字体 Para Char Char Char Char Char Char1 Char Char Char Char Char Char Char"/>
    <w:basedOn w:val="1"/>
    <w:qFormat/>
    <w:uiPriority w:val="0"/>
    <w:rPr>
      <w:rFonts w:ascii="宋体"/>
      <w:kern w:val="0"/>
      <w:sz w:val="34"/>
      <w:szCs w:val="20"/>
    </w:rPr>
  </w:style>
  <w:style w:type="paragraph" w:customStyle="1" w:styleId="2433">
    <w:name w:val="环评样式"/>
    <w:basedOn w:val="1"/>
    <w:qFormat/>
    <w:uiPriority w:val="0"/>
    <w:pPr>
      <w:adjustRightInd w:val="0"/>
      <w:snapToGrid w:val="0"/>
      <w:spacing w:line="360" w:lineRule="auto"/>
      <w:outlineLvl w:val="0"/>
    </w:pPr>
    <w:rPr>
      <w:rFonts w:ascii="仿宋_GB2312" w:hAnsi="Alaska" w:eastAsia="仿宋_GB2312"/>
      <w:kern w:val="0"/>
      <w:sz w:val="30"/>
      <w:szCs w:val="20"/>
    </w:rPr>
  </w:style>
  <w:style w:type="paragraph" w:customStyle="1" w:styleId="2434">
    <w:name w:val="xl89"/>
    <w:basedOn w:val="1"/>
    <w:qFormat/>
    <w:uiPriority w:val="0"/>
    <w:pPr>
      <w:widowControl/>
      <w:pBdr>
        <w:top w:val="single" w:color="000000" w:sz="8" w:space="0"/>
        <w:bottom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435">
    <w:name w:val="小四正文"/>
    <w:qFormat/>
    <w:uiPriority w:val="0"/>
    <w:pPr>
      <w:adjustRightInd w:val="0"/>
      <w:snapToGrid w:val="0"/>
      <w:spacing w:before="16" w:line="300" w:lineRule="auto"/>
      <w:ind w:firstLine="200" w:firstLineChars="200"/>
      <w:jc w:val="both"/>
    </w:pPr>
    <w:rPr>
      <w:rFonts w:ascii="Times New Roman" w:hAnsi="Times New Roman" w:eastAsia="仿宋_GB2312" w:cs="Times New Roman"/>
      <w:kern w:val="2"/>
      <w:sz w:val="30"/>
      <w:szCs w:val="24"/>
      <w:lang w:val="en-US" w:eastAsia="zh-CN" w:bidi="ar-SA"/>
    </w:rPr>
  </w:style>
  <w:style w:type="paragraph" w:customStyle="1" w:styleId="2436">
    <w:name w:val="样式 标题 4H4H41H42u4H43H411H421u41H44H412H422u42H45H4...1"/>
    <w:basedOn w:val="10"/>
    <w:qFormat/>
    <w:uiPriority w:val="0"/>
    <w:pPr>
      <w:widowControl w:val="0"/>
      <w:numPr>
        <w:ilvl w:val="0"/>
        <w:numId w:val="0"/>
      </w:numPr>
      <w:jc w:val="both"/>
    </w:pPr>
    <w:rPr>
      <w:rFonts w:ascii="宋体" w:hAnsi="宋体" w:eastAsia="Times New Roman"/>
      <w:b w:val="0"/>
      <w:bCs w:val="0"/>
      <w:i/>
      <w:sz w:val="20"/>
      <w:szCs w:val="20"/>
    </w:rPr>
  </w:style>
  <w:style w:type="paragraph" w:customStyle="1" w:styleId="2437">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20"/>
    </w:rPr>
  </w:style>
  <w:style w:type="paragraph" w:customStyle="1" w:styleId="2438">
    <w:name w:val="表格2"/>
    <w:basedOn w:val="1"/>
    <w:qFormat/>
    <w:uiPriority w:val="0"/>
    <w:pPr>
      <w:adjustRightInd w:val="0"/>
      <w:spacing w:before="280"/>
      <w:jc w:val="center"/>
      <w:textAlignment w:val="baseline"/>
    </w:pPr>
    <w:rPr>
      <w:rFonts w:ascii="宋体"/>
      <w:kern w:val="0"/>
      <w:szCs w:val="21"/>
    </w:rPr>
  </w:style>
  <w:style w:type="paragraph" w:customStyle="1" w:styleId="2439">
    <w:name w:val="样式 表格标题 + 段后: 0.5 行1"/>
    <w:basedOn w:val="1"/>
    <w:semiHidden/>
    <w:qFormat/>
    <w:uiPriority w:val="0"/>
    <w:pPr>
      <w:pBdr>
        <w:top w:val="single" w:color="auto" w:sz="4" w:space="1"/>
      </w:pBdr>
      <w:adjustRightInd w:val="0"/>
      <w:spacing w:afterLines="50" w:line="480" w:lineRule="exact"/>
      <w:jc w:val="center"/>
    </w:pPr>
    <w:rPr>
      <w:rFonts w:ascii="宋体" w:cs="宋体"/>
      <w:b/>
      <w:bCs/>
      <w:kern w:val="0"/>
      <w:sz w:val="34"/>
      <w:szCs w:val="20"/>
    </w:rPr>
  </w:style>
  <w:style w:type="paragraph" w:customStyle="1" w:styleId="2440">
    <w:name w:val="9点"/>
    <w:basedOn w:val="1"/>
    <w:qFormat/>
    <w:uiPriority w:val="0"/>
    <w:pPr>
      <w:spacing w:before="120" w:after="120" w:line="360" w:lineRule="exact"/>
      <w:ind w:left="578" w:hanging="578"/>
    </w:pPr>
    <w:rPr>
      <w:rFonts w:ascii="宋体"/>
      <w:kern w:val="0"/>
      <w:szCs w:val="20"/>
    </w:rPr>
  </w:style>
  <w:style w:type="paragraph" w:customStyle="1" w:styleId="2441">
    <w:name w:val="正文缩进3"/>
    <w:basedOn w:val="1"/>
    <w:qFormat/>
    <w:uiPriority w:val="0"/>
    <w:pPr>
      <w:ind w:firstLine="420" w:firstLineChars="200"/>
    </w:pPr>
    <w:rPr>
      <w:rFonts w:ascii="宋体"/>
      <w:kern w:val="0"/>
      <w:sz w:val="34"/>
      <w:szCs w:val="20"/>
    </w:rPr>
  </w:style>
  <w:style w:type="paragraph" w:customStyle="1" w:styleId="2442">
    <w:name w:val="char"/>
    <w:basedOn w:val="19"/>
    <w:semiHidden/>
    <w:qFormat/>
    <w:uiPriority w:val="0"/>
    <w:pPr>
      <w:ind w:left="0" w:leftChars="0"/>
    </w:pPr>
    <w:rPr>
      <w:rFonts w:hAnsi="宋体" w:eastAsia="黑体" w:cs="Courier New"/>
      <w:sz w:val="24"/>
      <w:szCs w:val="32"/>
    </w:rPr>
  </w:style>
  <w:style w:type="paragraph" w:customStyle="1" w:styleId="2443">
    <w:name w:val="CM46"/>
    <w:basedOn w:val="2"/>
    <w:next w:val="2"/>
    <w:semiHidden/>
    <w:qFormat/>
    <w:uiPriority w:val="0"/>
    <w:rPr>
      <w:rFonts w:ascii="Arial" w:hAnsi="Arial" w:cs="Times New Roman"/>
      <w:color w:val="auto"/>
    </w:rPr>
  </w:style>
  <w:style w:type="paragraph" w:customStyle="1" w:styleId="2444">
    <w:name w:val="报告正文文字"/>
    <w:basedOn w:val="1"/>
    <w:qFormat/>
    <w:uiPriority w:val="0"/>
    <w:pPr>
      <w:tabs>
        <w:tab w:val="left" w:pos="576"/>
      </w:tabs>
      <w:spacing w:line="360" w:lineRule="auto"/>
      <w:ind w:firstLine="560" w:firstLineChars="200"/>
    </w:pPr>
    <w:rPr>
      <w:rFonts w:ascii="宋体"/>
      <w:kern w:val="0"/>
      <w:sz w:val="28"/>
      <w:szCs w:val="20"/>
    </w:rPr>
  </w:style>
  <w:style w:type="paragraph" w:customStyle="1" w:styleId="2445">
    <w:name w:val="puce"/>
    <w:basedOn w:val="1"/>
    <w:qFormat/>
    <w:uiPriority w:val="0"/>
    <w:pPr>
      <w:widowControl/>
      <w:tabs>
        <w:tab w:val="left" w:pos="1319"/>
      </w:tabs>
      <w:adjustRightInd w:val="0"/>
      <w:snapToGrid w:val="0"/>
      <w:spacing w:before="120" w:line="300" w:lineRule="auto"/>
      <w:ind w:left="1319" w:hanging="360"/>
    </w:pPr>
    <w:rPr>
      <w:rFonts w:ascii="Arial" w:hAnsi="Arial"/>
      <w:kern w:val="0"/>
      <w:sz w:val="34"/>
      <w:szCs w:val="20"/>
    </w:rPr>
  </w:style>
  <w:style w:type="paragraph" w:customStyle="1" w:styleId="2446">
    <w:name w:val="表文小四"/>
    <w:basedOn w:val="1"/>
    <w:qFormat/>
    <w:uiPriority w:val="0"/>
    <w:pPr>
      <w:adjustRightInd w:val="0"/>
      <w:jc w:val="center"/>
      <w:textAlignment w:val="baseline"/>
    </w:pPr>
    <w:rPr>
      <w:rFonts w:ascii="宋体"/>
      <w:kern w:val="0"/>
      <w:sz w:val="34"/>
      <w:szCs w:val="20"/>
    </w:rPr>
  </w:style>
  <w:style w:type="paragraph" w:customStyle="1" w:styleId="2447">
    <w:name w:val="样式3 Char Char"/>
    <w:basedOn w:val="6"/>
    <w:qFormat/>
    <w:uiPriority w:val="0"/>
    <w:pPr>
      <w:overflowPunct w:val="0"/>
      <w:autoSpaceDE w:val="0"/>
      <w:autoSpaceDN w:val="0"/>
      <w:adjustRightInd w:val="0"/>
      <w:spacing w:line="360" w:lineRule="auto"/>
      <w:ind w:firstLine="491"/>
      <w:jc w:val="both"/>
      <w:textAlignment w:val="baseline"/>
    </w:pPr>
    <w:rPr>
      <w:rFonts w:ascii="Times New Roman" w:hAnsi="Times New Roman" w:cs="Times New Roman"/>
      <w:sz w:val="20"/>
      <w:szCs w:val="20"/>
    </w:rPr>
  </w:style>
  <w:style w:type="paragraph" w:customStyle="1" w:styleId="2448">
    <w:name w:val="Char71"/>
    <w:basedOn w:val="1"/>
    <w:qFormat/>
    <w:uiPriority w:val="0"/>
    <w:pPr>
      <w:tabs>
        <w:tab w:val="right" w:leader="middleDot" w:pos="600"/>
      </w:tabs>
    </w:pPr>
    <w:rPr>
      <w:rFonts w:ascii="仿宋_GB2312" w:eastAsia="仿宋_GB2312"/>
      <w:kern w:val="0"/>
      <w:sz w:val="30"/>
      <w:szCs w:val="30"/>
    </w:rPr>
  </w:style>
  <w:style w:type="paragraph" w:customStyle="1" w:styleId="2449">
    <w:name w:val="Char5 Char Char"/>
    <w:basedOn w:val="1"/>
    <w:qFormat/>
    <w:uiPriority w:val="0"/>
    <w:pPr>
      <w:spacing w:line="360" w:lineRule="auto"/>
      <w:ind w:firstLine="200" w:firstLineChars="200"/>
    </w:pPr>
    <w:rPr>
      <w:rFonts w:ascii="宋体" w:hAnsi="宋体" w:cs="宋体"/>
      <w:kern w:val="0"/>
      <w:sz w:val="34"/>
      <w:szCs w:val="20"/>
    </w:rPr>
  </w:style>
  <w:style w:type="paragraph" w:customStyle="1" w:styleId="2450">
    <w:name w:val="样式 标题 1 + Arial 行距: 多倍行距 1.25 字行"/>
    <w:basedOn w:val="7"/>
    <w:qFormat/>
    <w:uiPriority w:val="0"/>
    <w:pPr>
      <w:keepLines/>
      <w:pageBreakBefore/>
      <w:tabs>
        <w:tab w:val="left" w:pos="900"/>
      </w:tabs>
      <w:overflowPunct/>
      <w:snapToGrid/>
      <w:spacing w:before="0" w:after="0" w:line="240" w:lineRule="auto"/>
      <w:ind w:left="425" w:hanging="425"/>
      <w:jc w:val="left"/>
    </w:pPr>
    <w:rPr>
      <w:rFonts w:ascii="Arial" w:hAnsi="Arial" w:eastAsia="宋体" w:cs="宋体"/>
      <w:bCs w:val="0"/>
      <w:color w:val="auto"/>
      <w:sz w:val="28"/>
      <w:szCs w:val="20"/>
    </w:rPr>
  </w:style>
  <w:style w:type="paragraph" w:customStyle="1" w:styleId="2451">
    <w:name w:val="附录性质"/>
    <w:next w:val="1649"/>
    <w:unhideWhenUsed/>
    <w:qFormat/>
    <w:uiPriority w:val="0"/>
    <w:pPr>
      <w:adjustRightInd w:val="0"/>
      <w:spacing w:before="120" w:after="120" w:line="440" w:lineRule="exact"/>
      <w:ind w:left="578" w:hanging="578"/>
      <w:jc w:val="center"/>
      <w:textAlignment w:val="baseline"/>
    </w:pPr>
    <w:rPr>
      <w:rFonts w:ascii="宋体" w:hAnsi="Times New Roman" w:eastAsia="宋体" w:cs="Times New Roman"/>
      <w:sz w:val="24"/>
      <w:lang w:val="en-US" w:eastAsia="zh-CN" w:bidi="ar-SA"/>
    </w:rPr>
  </w:style>
  <w:style w:type="paragraph" w:customStyle="1" w:styleId="2452">
    <w:name w:val="港珠澳图"/>
    <w:basedOn w:val="1"/>
    <w:qFormat/>
    <w:uiPriority w:val="0"/>
    <w:pPr>
      <w:spacing w:before="60" w:line="360" w:lineRule="auto"/>
      <w:jc w:val="center"/>
    </w:pPr>
    <w:rPr>
      <w:rFonts w:ascii="宋体"/>
      <w:kern w:val="0"/>
      <w:sz w:val="34"/>
      <w:szCs w:val="20"/>
    </w:rPr>
  </w:style>
  <w:style w:type="paragraph" w:customStyle="1" w:styleId="2453">
    <w:name w:val="CM124"/>
    <w:basedOn w:val="2"/>
    <w:next w:val="2"/>
    <w:semiHidden/>
    <w:qFormat/>
    <w:uiPriority w:val="0"/>
    <w:pPr>
      <w:spacing w:after="355"/>
    </w:pPr>
    <w:rPr>
      <w:rFonts w:ascii="Arial" w:hAnsi="Arial" w:cs="Times New Roman"/>
      <w:color w:val="auto"/>
    </w:rPr>
  </w:style>
  <w:style w:type="paragraph" w:customStyle="1" w:styleId="2454">
    <w:name w:val="_Style 54"/>
    <w:basedOn w:val="1"/>
    <w:qFormat/>
    <w:uiPriority w:val="0"/>
    <w:pPr>
      <w:spacing w:line="360" w:lineRule="auto"/>
      <w:ind w:firstLine="200" w:firstLineChars="200"/>
    </w:pPr>
    <w:rPr>
      <w:rFonts w:ascii="宋体"/>
      <w:kern w:val="0"/>
      <w:szCs w:val="20"/>
    </w:rPr>
  </w:style>
  <w:style w:type="paragraph" w:customStyle="1" w:styleId="2455">
    <w:name w:val="批注主题2"/>
    <w:basedOn w:val="31"/>
    <w:next w:val="31"/>
    <w:qFormat/>
    <w:uiPriority w:val="0"/>
    <w:rPr>
      <w:rFonts w:ascii="Calibri" w:hAnsi="Calibri" w:eastAsia="仿宋"/>
      <w:b/>
      <w:bCs/>
      <w:sz w:val="20"/>
    </w:rPr>
  </w:style>
  <w:style w:type="paragraph" w:customStyle="1" w:styleId="2456">
    <w:name w:val="0-shiw-正文页码"/>
    <w:qFormat/>
    <w:uiPriority w:val="0"/>
    <w:pPr>
      <w:jc w:val="center"/>
    </w:pPr>
    <w:rPr>
      <w:rFonts w:ascii="Times New Roman" w:hAnsi="Times New Roman" w:eastAsia="宋体" w:cs="Times New Roman"/>
      <w:kern w:val="2"/>
      <w:sz w:val="24"/>
      <w:szCs w:val="24"/>
      <w:lang w:val="en-US" w:eastAsia="zh-CN" w:bidi="ar-SA"/>
    </w:rPr>
  </w:style>
  <w:style w:type="paragraph" w:customStyle="1" w:styleId="2457">
    <w:name w:val="日期1"/>
    <w:basedOn w:val="1"/>
    <w:next w:val="1"/>
    <w:qFormat/>
    <w:uiPriority w:val="0"/>
    <w:pPr>
      <w:adjustRightInd w:val="0"/>
      <w:spacing w:line="360" w:lineRule="atLeast"/>
      <w:ind w:firstLine="590"/>
      <w:textAlignment w:val="baseline"/>
    </w:pPr>
    <w:rPr>
      <w:rFonts w:ascii="宋体" w:eastAsia="楷体_GB2312"/>
      <w:b/>
      <w:kern w:val="0"/>
      <w:sz w:val="34"/>
      <w:szCs w:val="20"/>
    </w:rPr>
  </w:style>
  <w:style w:type="paragraph" w:customStyle="1" w:styleId="2458">
    <w:name w:val="日期3"/>
    <w:basedOn w:val="1"/>
    <w:next w:val="1"/>
    <w:qFormat/>
    <w:uiPriority w:val="0"/>
    <w:pPr>
      <w:adjustRightInd w:val="0"/>
      <w:textAlignment w:val="baseline"/>
    </w:pPr>
    <w:rPr>
      <w:rFonts w:ascii="宋体"/>
      <w:kern w:val="0"/>
      <w:szCs w:val="20"/>
    </w:rPr>
  </w:style>
  <w:style w:type="paragraph" w:customStyle="1" w:styleId="2459">
    <w:name w:val="表标题5.12"/>
    <w:basedOn w:val="1"/>
    <w:qFormat/>
    <w:uiPriority w:val="0"/>
    <w:pPr>
      <w:tabs>
        <w:tab w:val="center" w:pos="4060"/>
        <w:tab w:val="right" w:pos="8261"/>
      </w:tabs>
      <w:suppressAutoHyphens/>
      <w:adjustRightInd w:val="0"/>
      <w:spacing w:beforeLines="100" w:after="120" w:line="0" w:lineRule="atLeast"/>
      <w:ind w:left="578" w:hanging="578"/>
    </w:pPr>
    <w:rPr>
      <w:rFonts w:ascii="黑体" w:eastAsia="黑体"/>
      <w:b/>
      <w:spacing w:val="6"/>
      <w:kern w:val="0"/>
      <w:sz w:val="34"/>
      <w:szCs w:val="26"/>
    </w:rPr>
  </w:style>
  <w:style w:type="paragraph" w:customStyle="1" w:styleId="2460">
    <w:name w:val="xl141"/>
    <w:basedOn w:val="1"/>
    <w:qFormat/>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461">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462">
    <w:name w:val="xl191"/>
    <w:basedOn w:val="1"/>
    <w:qFormat/>
    <w:uiPriority w:val="0"/>
    <w:pPr>
      <w:widowControl/>
      <w:pBdr>
        <w:top w:val="single" w:color="auto" w:sz="4"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463">
    <w:name w:val="xl190"/>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464">
    <w:name w:val="1 Char"/>
    <w:basedOn w:val="1"/>
    <w:qFormat/>
    <w:uiPriority w:val="0"/>
    <w:rPr>
      <w:rFonts w:ascii="宋体"/>
      <w:kern w:val="0"/>
      <w:szCs w:val="21"/>
    </w:rPr>
  </w:style>
  <w:style w:type="paragraph" w:customStyle="1" w:styleId="2465">
    <w:name w:val="Char Char Char5"/>
    <w:basedOn w:val="1"/>
    <w:qFormat/>
    <w:uiPriority w:val="0"/>
    <w:rPr>
      <w:rFonts w:ascii="仿宋_GB2312" w:eastAsia="仿宋_GB2312"/>
      <w:kern w:val="0"/>
      <w:sz w:val="28"/>
      <w:szCs w:val="20"/>
    </w:rPr>
  </w:style>
  <w:style w:type="paragraph" w:customStyle="1" w:styleId="2466">
    <w:name w:val="样式 出版正文 + (中文) 宋体 四号 首行缩进:  1.5 字符 行距: 1.5 倍行距"/>
    <w:basedOn w:val="1"/>
    <w:qFormat/>
    <w:uiPriority w:val="0"/>
    <w:pPr>
      <w:numPr>
        <w:ilvl w:val="0"/>
        <w:numId w:val="42"/>
      </w:numPr>
      <w:tabs>
        <w:tab w:val="left" w:pos="726"/>
      </w:tabs>
    </w:pPr>
    <w:rPr>
      <w:rFonts w:ascii="宋体" w:hAnsi="宋体"/>
      <w:bCs/>
      <w:kern w:val="0"/>
      <w:szCs w:val="32"/>
    </w:rPr>
  </w:style>
  <w:style w:type="paragraph" w:customStyle="1" w:styleId="2467">
    <w:name w:val="样式 标题 2 + 小四 行距: 1.5 倍行距"/>
    <w:basedOn w:val="8"/>
    <w:qFormat/>
    <w:uiPriority w:val="0"/>
    <w:pPr>
      <w:widowControl w:val="0"/>
      <w:numPr>
        <w:ilvl w:val="0"/>
        <w:numId w:val="0"/>
      </w:numPr>
      <w:jc w:val="both"/>
    </w:pPr>
    <w:rPr>
      <w:rFonts w:ascii="宋体" w:hAnsi="宋体"/>
      <w:b/>
      <w:bCs/>
      <w:sz w:val="24"/>
    </w:rPr>
  </w:style>
  <w:style w:type="paragraph" w:customStyle="1" w:styleId="2468">
    <w:name w:val="0-shiw-表格注"/>
    <w:qFormat/>
    <w:uiPriority w:val="0"/>
    <w:pPr>
      <w:ind w:firstLine="480" w:firstLineChars="200"/>
    </w:pPr>
    <w:rPr>
      <w:rFonts w:ascii="Times New Roman" w:hAnsi="Times New Roman" w:eastAsia="宋体" w:cs="Times New Roman"/>
      <w:kern w:val="2"/>
      <w:sz w:val="24"/>
      <w:szCs w:val="24"/>
      <w:lang w:val="en-US" w:eastAsia="zh-CN" w:bidi="ar-SA"/>
    </w:rPr>
  </w:style>
  <w:style w:type="paragraph" w:customStyle="1" w:styleId="2469">
    <w:name w:val="样式 正文文本 2 + 宋体 小四 行距: 固定值 25 磅"/>
    <w:basedOn w:val="79"/>
    <w:qFormat/>
    <w:uiPriority w:val="0"/>
    <w:pPr>
      <w:widowControl w:val="0"/>
      <w:autoSpaceDE w:val="0"/>
      <w:autoSpaceDN w:val="0"/>
      <w:spacing w:line="360" w:lineRule="auto"/>
      <w:ind w:firstLine="480" w:firstLineChars="200"/>
      <w:jc w:val="both"/>
    </w:pPr>
    <w:rPr>
      <w:kern w:val="2"/>
      <w:szCs w:val="20"/>
    </w:rPr>
  </w:style>
  <w:style w:type="paragraph" w:customStyle="1" w:styleId="2470">
    <w:name w:val="Name"/>
    <w:basedOn w:val="1"/>
    <w:next w:val="1"/>
    <w:unhideWhenUsed/>
    <w:qFormat/>
    <w:uiPriority w:val="0"/>
    <w:pPr>
      <w:widowControl/>
      <w:spacing w:before="120" w:after="440" w:line="240" w:lineRule="atLeast"/>
      <w:ind w:left="2160" w:hanging="578"/>
      <w:jc w:val="left"/>
    </w:pPr>
    <w:rPr>
      <w:rFonts w:ascii="宋体"/>
      <w:spacing w:val="-20"/>
      <w:kern w:val="0"/>
      <w:sz w:val="48"/>
      <w:szCs w:val="20"/>
    </w:rPr>
  </w:style>
  <w:style w:type="paragraph" w:customStyle="1" w:styleId="2471">
    <w:name w:val="xl59"/>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472">
    <w:name w:val="CM50"/>
    <w:basedOn w:val="2"/>
    <w:next w:val="2"/>
    <w:semiHidden/>
    <w:qFormat/>
    <w:uiPriority w:val="0"/>
    <w:pPr>
      <w:adjustRightInd/>
    </w:pPr>
    <w:rPr>
      <w:rFonts w:hint="eastAsia" w:ascii="仿宋" w:hAnsi="仿宋" w:eastAsia="仿宋" w:cs="Times New Roman"/>
      <w:szCs w:val="20"/>
    </w:rPr>
  </w:style>
  <w:style w:type="paragraph" w:customStyle="1" w:styleId="2473">
    <w:name w:val="我的二级标题"/>
    <w:basedOn w:val="8"/>
    <w:qFormat/>
    <w:uiPriority w:val="0"/>
    <w:pPr>
      <w:widowControl w:val="0"/>
      <w:numPr>
        <w:ilvl w:val="0"/>
        <w:numId w:val="0"/>
      </w:numPr>
      <w:spacing w:line="480" w:lineRule="exact"/>
    </w:pPr>
    <w:rPr>
      <w:rFonts w:ascii="黑体" w:hAnsi="宋体" w:eastAsia="黑体" w:cs="Times New Roman"/>
      <w:sz w:val="28"/>
      <w:szCs w:val="28"/>
    </w:rPr>
  </w:style>
  <w:style w:type="paragraph" w:customStyle="1" w:styleId="2474">
    <w:name w:val="WW-正文缩进"/>
    <w:basedOn w:val="1"/>
    <w:qFormat/>
    <w:uiPriority w:val="0"/>
    <w:pPr>
      <w:suppressAutoHyphens/>
      <w:ind w:firstLine="420"/>
      <w:textAlignment w:val="baseline"/>
    </w:pPr>
    <w:rPr>
      <w:rFonts w:ascii="宋体"/>
      <w:kern w:val="1"/>
      <w:szCs w:val="20"/>
      <w:lang w:eastAsia="ar-SA"/>
    </w:rPr>
  </w:style>
  <w:style w:type="paragraph" w:customStyle="1" w:styleId="2475">
    <w:name w:val="中表格"/>
    <w:basedOn w:val="1"/>
    <w:qFormat/>
    <w:uiPriority w:val="0"/>
    <w:pPr>
      <w:spacing w:line="420" w:lineRule="exact"/>
      <w:jc w:val="center"/>
    </w:pPr>
    <w:rPr>
      <w:rFonts w:ascii="宋体" w:hAnsi="Arial"/>
      <w:kern w:val="0"/>
      <w:sz w:val="34"/>
      <w:szCs w:val="20"/>
    </w:rPr>
  </w:style>
  <w:style w:type="paragraph" w:customStyle="1" w:styleId="2476">
    <w:name w:val="一级标题王、"/>
    <w:basedOn w:val="1"/>
    <w:semiHidden/>
    <w:qFormat/>
    <w:uiPriority w:val="0"/>
    <w:pPr>
      <w:adjustRightInd w:val="0"/>
      <w:snapToGrid w:val="0"/>
      <w:spacing w:before="120" w:after="120" w:line="360" w:lineRule="auto"/>
      <w:ind w:left="578" w:hanging="578"/>
      <w:jc w:val="left"/>
      <w:outlineLvl w:val="0"/>
    </w:pPr>
    <w:rPr>
      <w:rFonts w:ascii="黑体" w:hAnsi="宋体" w:eastAsia="黑体"/>
      <w:b/>
      <w:bCs/>
      <w:w w:val="80"/>
      <w:kern w:val="0"/>
      <w:sz w:val="32"/>
      <w:szCs w:val="20"/>
    </w:rPr>
  </w:style>
  <w:style w:type="paragraph" w:customStyle="1" w:styleId="2477">
    <w:name w:val="我的表格"/>
    <w:basedOn w:val="198"/>
    <w:qFormat/>
    <w:uiPriority w:val="0"/>
    <w:pPr>
      <w:adjustRightInd/>
      <w:snapToGrid/>
      <w:spacing w:before="120" w:beforeLines="0" w:after="120" w:afterLines="0" w:line="240" w:lineRule="auto"/>
      <w:ind w:firstLine="567"/>
      <w:jc w:val="both"/>
    </w:pPr>
    <w:rPr>
      <w:rFonts w:ascii="Times New Roman" w:eastAsia="Times New Roman"/>
      <w:kern w:val="2"/>
      <w:sz w:val="28"/>
    </w:rPr>
  </w:style>
  <w:style w:type="paragraph" w:customStyle="1" w:styleId="2478">
    <w:name w:val="样式 列表编号 + 居中"/>
    <w:basedOn w:val="24"/>
    <w:qFormat/>
    <w:uiPriority w:val="0"/>
    <w:pPr>
      <w:widowControl w:val="0"/>
      <w:tabs>
        <w:tab w:val="left" w:pos="726"/>
        <w:tab w:val="clear" w:pos="360"/>
      </w:tabs>
      <w:spacing w:before="120" w:after="120" w:line="360" w:lineRule="auto"/>
      <w:ind w:left="0" w:firstLine="482"/>
      <w:jc w:val="center"/>
    </w:pPr>
    <w:rPr>
      <w:kern w:val="2"/>
      <w:sz w:val="21"/>
      <w:szCs w:val="28"/>
    </w:rPr>
  </w:style>
  <w:style w:type="paragraph" w:customStyle="1" w:styleId="2479">
    <w:name w:val="四级标题王1"/>
    <w:basedOn w:val="1"/>
    <w:semiHidden/>
    <w:qFormat/>
    <w:uiPriority w:val="0"/>
    <w:pPr>
      <w:adjustRightInd w:val="0"/>
      <w:snapToGrid w:val="0"/>
      <w:spacing w:before="120" w:after="120" w:line="360" w:lineRule="auto"/>
      <w:ind w:left="578" w:hanging="578"/>
      <w:textAlignment w:val="baseline"/>
      <w:outlineLvl w:val="3"/>
    </w:pPr>
    <w:rPr>
      <w:rFonts w:ascii="黑体" w:eastAsia="黑体"/>
      <w:kern w:val="0"/>
      <w:sz w:val="34"/>
      <w:szCs w:val="20"/>
    </w:rPr>
  </w:style>
  <w:style w:type="paragraph" w:customStyle="1" w:styleId="2480">
    <w:name w:val="Style1"/>
    <w:basedOn w:val="1"/>
    <w:unhideWhenUsed/>
    <w:qFormat/>
    <w:uiPriority w:val="0"/>
    <w:pPr>
      <w:widowControl/>
      <w:tabs>
        <w:tab w:val="left" w:pos="795"/>
        <w:tab w:val="left" w:pos="1440"/>
      </w:tabs>
      <w:spacing w:before="120" w:after="120"/>
      <w:ind w:left="90" w:hanging="375"/>
      <w:jc w:val="left"/>
    </w:pPr>
    <w:rPr>
      <w:rFonts w:ascii="Arial" w:hAnsi="Arial"/>
      <w:b/>
      <w:kern w:val="0"/>
      <w:sz w:val="20"/>
      <w:szCs w:val="20"/>
    </w:rPr>
  </w:style>
  <w:style w:type="paragraph" w:customStyle="1" w:styleId="2481">
    <w:name w:val="表格式"/>
    <w:basedOn w:val="1"/>
    <w:qFormat/>
    <w:uiPriority w:val="0"/>
    <w:pPr>
      <w:spacing w:before="60" w:after="60" w:line="320" w:lineRule="exact"/>
      <w:jc w:val="center"/>
    </w:pPr>
    <w:rPr>
      <w:rFonts w:ascii="宋体"/>
      <w:spacing w:val="6"/>
      <w:kern w:val="0"/>
      <w:szCs w:val="20"/>
    </w:rPr>
  </w:style>
  <w:style w:type="paragraph" w:customStyle="1" w:styleId="2482">
    <w:name w:val="LNG－文本框 Char"/>
    <w:basedOn w:val="1"/>
    <w:qFormat/>
    <w:uiPriority w:val="0"/>
    <w:pPr>
      <w:jc w:val="center"/>
    </w:pPr>
    <w:rPr>
      <w:rFonts w:ascii="宋体"/>
      <w:kern w:val="0"/>
      <w:szCs w:val="21"/>
    </w:rPr>
  </w:style>
  <w:style w:type="paragraph" w:customStyle="1" w:styleId="2483">
    <w:name w:val="CM31"/>
    <w:basedOn w:val="2"/>
    <w:next w:val="2"/>
    <w:semiHidden/>
    <w:qFormat/>
    <w:uiPriority w:val="0"/>
    <w:pPr>
      <w:adjustRightInd/>
    </w:pPr>
    <w:rPr>
      <w:rFonts w:hint="eastAsia" w:ascii="仿宋" w:hAnsi="仿宋" w:eastAsia="仿宋" w:cs="Times New Roman"/>
      <w:szCs w:val="20"/>
    </w:rPr>
  </w:style>
  <w:style w:type="paragraph" w:customStyle="1" w:styleId="2484">
    <w:name w:val="样式 样式 标题 3 + 左侧:  0 厘米 首行缩进:  0 厘米 + 左侧:  0 厘米 首行缩进:  0 厘米"/>
    <w:basedOn w:val="1"/>
    <w:qFormat/>
    <w:uiPriority w:val="0"/>
    <w:pPr>
      <w:keepNext/>
      <w:spacing w:before="120" w:after="120" w:line="360" w:lineRule="auto"/>
      <w:ind w:left="578" w:hanging="578"/>
      <w:textAlignment w:val="baseline"/>
      <w:outlineLvl w:val="2"/>
    </w:pPr>
    <w:rPr>
      <w:rFonts w:ascii="宋体" w:cs="宋体"/>
      <w:kern w:val="0"/>
      <w:sz w:val="34"/>
      <w:szCs w:val="20"/>
    </w:rPr>
  </w:style>
  <w:style w:type="paragraph" w:customStyle="1" w:styleId="2485">
    <w:name w:val="样式 样式 标题3（杨） + 字距调整二号 + 两端对齐 行距: 多倍行距 1.3 字行"/>
    <w:basedOn w:val="2255"/>
    <w:qFormat/>
    <w:uiPriority w:val="0"/>
    <w:pPr>
      <w:adjustRightInd w:val="0"/>
      <w:snapToGrid w:val="0"/>
      <w:spacing w:afterLines="20" w:line="312" w:lineRule="auto"/>
      <w:ind w:left="0" w:firstLine="0"/>
      <w:outlineLvl w:val="2"/>
    </w:pPr>
    <w:rPr>
      <w:rFonts w:ascii="黑体" w:cs="宋体"/>
      <w:sz w:val="24"/>
    </w:rPr>
  </w:style>
  <w:style w:type="paragraph" w:customStyle="1" w:styleId="2486">
    <w:name w:val="样式 目录 1 + 首行缩进:  2 字符1"/>
    <w:basedOn w:val="62"/>
    <w:qFormat/>
    <w:uiPriority w:val="0"/>
    <w:pPr>
      <w:widowControl w:val="0"/>
      <w:tabs>
        <w:tab w:val="right" w:leader="dot" w:pos="9061"/>
        <w:tab w:val="clear" w:pos="8778"/>
      </w:tabs>
      <w:spacing w:before="120" w:after="120"/>
      <w:ind w:left="578" w:hanging="578" w:firstLineChars="200"/>
    </w:pPr>
    <w:rPr>
      <w:rFonts w:ascii="Times New Roman" w:hAnsi="Times New Roman"/>
      <w:bCs/>
      <w:caps/>
      <w:kern w:val="2"/>
      <w:sz w:val="32"/>
      <w:szCs w:val="20"/>
      <w:lang w:val="fr-FR"/>
    </w:rPr>
  </w:style>
  <w:style w:type="paragraph" w:customStyle="1" w:styleId="2487">
    <w:name w:val="资料来源"/>
    <w:basedOn w:val="1"/>
    <w:next w:val="1279"/>
    <w:qFormat/>
    <w:uiPriority w:val="0"/>
    <w:pPr>
      <w:adjustRightInd w:val="0"/>
      <w:snapToGrid w:val="0"/>
      <w:spacing w:beforeLines="25"/>
    </w:pPr>
    <w:rPr>
      <w:rFonts w:ascii="宋体"/>
      <w:kern w:val="0"/>
      <w:sz w:val="20"/>
      <w:szCs w:val="20"/>
    </w:rPr>
  </w:style>
  <w:style w:type="paragraph" w:customStyle="1" w:styleId="2488">
    <w:name w:val="表格内容格式"/>
    <w:basedOn w:val="1"/>
    <w:qFormat/>
    <w:uiPriority w:val="0"/>
    <w:pPr>
      <w:adjustRightInd w:val="0"/>
      <w:spacing w:line="240" w:lineRule="atLeast"/>
      <w:ind w:firstLine="422" w:firstLineChars="200"/>
      <w:textAlignment w:val="baseline"/>
    </w:pPr>
    <w:rPr>
      <w:rFonts w:ascii="宋体" w:hAnsi="宋体"/>
      <w:b/>
      <w:snapToGrid w:val="0"/>
      <w:kern w:val="0"/>
      <w:szCs w:val="21"/>
    </w:rPr>
  </w:style>
  <w:style w:type="paragraph" w:customStyle="1" w:styleId="2489">
    <w:name w:val="样式 列表编号 + 居中2"/>
    <w:basedOn w:val="24"/>
    <w:qFormat/>
    <w:uiPriority w:val="0"/>
    <w:pPr>
      <w:widowControl w:val="0"/>
      <w:tabs>
        <w:tab w:val="left" w:pos="902"/>
        <w:tab w:val="clear" w:pos="360"/>
      </w:tabs>
      <w:spacing w:before="120" w:after="120" w:line="360" w:lineRule="auto"/>
      <w:ind w:left="480" w:hanging="480"/>
      <w:jc w:val="center"/>
    </w:pPr>
    <w:rPr>
      <w:rFonts w:cs="Times New Roman"/>
      <w:kern w:val="2"/>
      <w:sz w:val="21"/>
      <w:szCs w:val="28"/>
    </w:rPr>
  </w:style>
  <w:style w:type="paragraph" w:customStyle="1" w:styleId="2490">
    <w:name w:val="样式 样式 小四 段后: 6 磅 行距: 1.5 倍行距 + 首行缩进:  2 字符"/>
    <w:basedOn w:val="1"/>
    <w:qFormat/>
    <w:uiPriority w:val="0"/>
    <w:pPr>
      <w:keepNext/>
      <w:spacing w:before="120" w:after="120" w:line="360" w:lineRule="auto"/>
      <w:ind w:left="578" w:firstLine="200" w:firstLineChars="200"/>
      <w:jc w:val="left"/>
    </w:pPr>
    <w:rPr>
      <w:rFonts w:ascii="宋体" w:hAnsi="宋体" w:cs="宋体"/>
      <w:kern w:val="0"/>
      <w:sz w:val="28"/>
      <w:szCs w:val="20"/>
    </w:rPr>
  </w:style>
  <w:style w:type="paragraph" w:customStyle="1" w:styleId="2491">
    <w:name w:val="样式 正文缩进 + 首行缩进:  2 字符"/>
    <w:basedOn w:val="6"/>
    <w:unhideWhenUsed/>
    <w:qFormat/>
    <w:uiPriority w:val="0"/>
    <w:pPr>
      <w:widowControl w:val="0"/>
      <w:spacing w:before="120" w:after="120" w:line="360" w:lineRule="auto"/>
      <w:ind w:left="578" w:firstLine="560"/>
      <w:jc w:val="both"/>
    </w:pPr>
    <w:rPr>
      <w:rFonts w:ascii="Times New Roman" w:hAnsi="Times New Roman" w:cs="Times New Roman"/>
      <w:sz w:val="28"/>
      <w:szCs w:val="20"/>
    </w:rPr>
  </w:style>
  <w:style w:type="paragraph" w:customStyle="1" w:styleId="2492">
    <w:name w:val="样式 正文首行缩进 + 段后: 0 磅 行距: 固定值 26 磅"/>
    <w:basedOn w:val="43"/>
    <w:qFormat/>
    <w:uiPriority w:val="0"/>
    <w:pPr>
      <w:widowControl w:val="0"/>
      <w:spacing w:after="0" w:line="520" w:lineRule="exact"/>
      <w:ind w:firstLine="200" w:firstLineChars="200"/>
      <w:jc w:val="both"/>
    </w:pPr>
    <w:rPr>
      <w:rFonts w:ascii="Times New Roman" w:hAnsi="Times New Roman"/>
      <w:kern w:val="2"/>
      <w:sz w:val="24"/>
      <w:szCs w:val="24"/>
      <w:lang w:val="fr-FR"/>
    </w:rPr>
  </w:style>
  <w:style w:type="paragraph" w:customStyle="1" w:styleId="2493">
    <w:name w:val="xl152"/>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494">
    <w:name w:val="Titre Prem Page"/>
    <w:basedOn w:val="1"/>
    <w:unhideWhenUsed/>
    <w:qFormat/>
    <w:uiPriority w:val="0"/>
    <w:pPr>
      <w:widowControl/>
      <w:tabs>
        <w:tab w:val="center" w:pos="9923"/>
      </w:tabs>
      <w:spacing w:before="120" w:after="120"/>
      <w:ind w:left="578" w:hanging="578"/>
      <w:jc w:val="center"/>
    </w:pPr>
    <w:rPr>
      <w:rFonts w:ascii="Times" w:hAnsi="Times"/>
      <w:b/>
      <w:color w:val="000000"/>
      <w:kern w:val="0"/>
      <w:sz w:val="48"/>
      <w:szCs w:val="20"/>
    </w:rPr>
  </w:style>
  <w:style w:type="paragraph" w:customStyle="1" w:styleId="2495">
    <w:name w:val="正文文本缩进 211"/>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2496">
    <w:name w:val="样式 宋体 四号"/>
    <w:basedOn w:val="1"/>
    <w:qFormat/>
    <w:uiPriority w:val="0"/>
    <w:pPr>
      <w:ind w:firstLine="560" w:firstLineChars="200"/>
    </w:pPr>
    <w:rPr>
      <w:rFonts w:ascii="宋体" w:hAnsi="宋体" w:cs="宋体"/>
      <w:kern w:val="0"/>
      <w:sz w:val="34"/>
      <w:szCs w:val="20"/>
    </w:rPr>
  </w:style>
  <w:style w:type="paragraph" w:customStyle="1" w:styleId="2497">
    <w:name w:val="6"/>
    <w:basedOn w:val="1"/>
    <w:next w:val="6"/>
    <w:qFormat/>
    <w:uiPriority w:val="0"/>
    <w:pPr>
      <w:adjustRightInd w:val="0"/>
      <w:spacing w:line="312" w:lineRule="atLeast"/>
      <w:ind w:firstLine="420"/>
      <w:textAlignment w:val="baseline"/>
    </w:pPr>
    <w:rPr>
      <w:rFonts w:ascii="宋体"/>
      <w:kern w:val="0"/>
      <w:sz w:val="28"/>
      <w:szCs w:val="20"/>
    </w:rPr>
  </w:style>
  <w:style w:type="paragraph" w:customStyle="1" w:styleId="2498">
    <w:name w:val="白洋淀"/>
    <w:basedOn w:val="854"/>
    <w:semiHidden/>
    <w:qFormat/>
    <w:uiPriority w:val="0"/>
    <w:pPr>
      <w:spacing w:line="360" w:lineRule="auto"/>
      <w:ind w:firstLine="480"/>
      <w:jc w:val="left"/>
    </w:pPr>
    <w:rPr>
      <w:rFonts w:cs="宋体"/>
    </w:rPr>
  </w:style>
  <w:style w:type="paragraph" w:customStyle="1" w:styleId="2499">
    <w:name w:val="页眉1"/>
    <w:basedOn w:val="1"/>
    <w:qFormat/>
    <w:uiPriority w:val="0"/>
    <w:pPr>
      <w:pBdr>
        <w:bottom w:val="single" w:color="auto" w:sz="6" w:space="1"/>
      </w:pBdr>
      <w:tabs>
        <w:tab w:val="center" w:pos="4153"/>
        <w:tab w:val="right" w:pos="8306"/>
      </w:tabs>
      <w:snapToGrid w:val="0"/>
      <w:jc w:val="center"/>
    </w:pPr>
    <w:rPr>
      <w:rFonts w:ascii="宋体"/>
      <w:kern w:val="0"/>
      <w:sz w:val="18"/>
      <w:szCs w:val="18"/>
    </w:rPr>
  </w:style>
  <w:style w:type="paragraph" w:customStyle="1" w:styleId="2500">
    <w:name w:val="样式 样式 正文缩进正文（首行缩进两字）文本条款 + 段前: 0.4 行 + 非加粗"/>
    <w:basedOn w:val="1675"/>
    <w:qFormat/>
    <w:uiPriority w:val="0"/>
    <w:pPr>
      <w:ind w:left="-7" w:firstLine="567"/>
    </w:pPr>
    <w:rPr>
      <w:rFonts w:eastAsia="宋体"/>
      <w:b w:val="0"/>
      <w:sz w:val="24"/>
      <w:szCs w:val="24"/>
    </w:rPr>
  </w:style>
  <w:style w:type="paragraph" w:customStyle="1" w:styleId="2501">
    <w:name w:val="Char Char1 Char"/>
    <w:basedOn w:val="1"/>
    <w:qFormat/>
    <w:uiPriority w:val="0"/>
    <w:rPr>
      <w:rFonts w:ascii="宋体"/>
      <w:kern w:val="0"/>
      <w:sz w:val="34"/>
      <w:szCs w:val="20"/>
    </w:rPr>
  </w:style>
  <w:style w:type="paragraph" w:customStyle="1" w:styleId="2502">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503">
    <w:name w:val="chen表头"/>
    <w:basedOn w:val="1"/>
    <w:qFormat/>
    <w:uiPriority w:val="0"/>
    <w:pPr>
      <w:adjustRightInd w:val="0"/>
      <w:snapToGrid w:val="0"/>
      <w:spacing w:line="360" w:lineRule="auto"/>
      <w:jc w:val="center"/>
    </w:pPr>
    <w:rPr>
      <w:rFonts w:ascii="楷体_GB2312" w:eastAsia="楷体_GB2312"/>
      <w:b/>
      <w:bCs/>
      <w:kern w:val="0"/>
      <w:sz w:val="34"/>
      <w:szCs w:val="20"/>
    </w:rPr>
  </w:style>
  <w:style w:type="paragraph" w:customStyle="1" w:styleId="2504">
    <w:name w:val="燕正文"/>
    <w:basedOn w:val="5"/>
    <w:semiHidden/>
    <w:qFormat/>
    <w:uiPriority w:val="0"/>
    <w:pPr>
      <w:pBdr>
        <w:top w:val="single" w:color="auto" w:sz="4" w:space="1"/>
      </w:pBdr>
      <w:spacing w:after="0" w:line="480" w:lineRule="atLeast"/>
      <w:ind w:left="0" w:leftChars="0" w:firstLine="480" w:firstLineChars="200"/>
    </w:pPr>
    <w:rPr>
      <w:rFonts w:ascii="宋体" w:hAnsi="宋体" w:cs="宋体"/>
      <w:sz w:val="20"/>
    </w:rPr>
  </w:style>
  <w:style w:type="paragraph" w:customStyle="1" w:styleId="2505">
    <w:name w:val="表中文字5"/>
    <w:basedOn w:val="1"/>
    <w:semiHidden/>
    <w:qFormat/>
    <w:uiPriority w:val="0"/>
    <w:pPr>
      <w:snapToGrid w:val="0"/>
      <w:spacing w:before="120" w:after="120"/>
      <w:ind w:left="578" w:hanging="578"/>
    </w:pPr>
    <w:rPr>
      <w:rFonts w:ascii="宋体"/>
      <w:kern w:val="0"/>
      <w:szCs w:val="20"/>
    </w:rPr>
  </w:style>
  <w:style w:type="paragraph" w:customStyle="1" w:styleId="2506">
    <w:name w:val="ZHENGWEN"/>
    <w:basedOn w:val="1"/>
    <w:semiHidden/>
    <w:qFormat/>
    <w:uiPriority w:val="0"/>
    <w:pPr>
      <w:spacing w:line="360" w:lineRule="auto"/>
    </w:pPr>
    <w:rPr>
      <w:rFonts w:ascii="宋体"/>
      <w:kern w:val="0"/>
      <w:sz w:val="34"/>
      <w:szCs w:val="20"/>
    </w:rPr>
  </w:style>
  <w:style w:type="paragraph" w:customStyle="1" w:styleId="2507">
    <w:name w:val="样式 标题 2 + 段后: 1 行"/>
    <w:basedOn w:val="8"/>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2508">
    <w:name w:val="a"/>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509">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10">
    <w:name w:val="样式 样式 样式 标题 4 + 段前: 0.5 行 段后: 0.5 行 + 段前: 0.5 行 段后: 0.5 行5 + 段前:...1"/>
    <w:basedOn w:val="1729"/>
    <w:semiHidden/>
    <w:qFormat/>
    <w:uiPriority w:val="0"/>
    <w:pPr>
      <w:adjustRightInd w:val="0"/>
    </w:pPr>
  </w:style>
  <w:style w:type="paragraph" w:customStyle="1" w:styleId="2511">
    <w:name w:val="表题格式"/>
    <w:basedOn w:val="1"/>
    <w:qFormat/>
    <w:uiPriority w:val="0"/>
    <w:pPr>
      <w:spacing w:line="440" w:lineRule="exact"/>
      <w:ind w:firstLine="377" w:firstLineChars="377"/>
    </w:pPr>
    <w:rPr>
      <w:rFonts w:ascii="宋体" w:eastAsia="黑体"/>
      <w:kern w:val="0"/>
      <w:sz w:val="34"/>
      <w:szCs w:val="20"/>
    </w:rPr>
  </w:style>
  <w:style w:type="paragraph" w:customStyle="1" w:styleId="2512">
    <w:name w:val="xl63"/>
    <w:basedOn w:val="1"/>
    <w:qFormat/>
    <w:uiPriority w:val="0"/>
    <w:pPr>
      <w:widowControl/>
      <w:pBdr>
        <w:top w:val="single" w:color="000000" w:sz="8" w:space="0"/>
        <w:left w:val="single" w:color="auto" w:sz="8" w:space="0"/>
      </w:pBdr>
      <w:spacing w:before="100" w:beforeAutospacing="1" w:after="100" w:afterAutospacing="1"/>
    </w:pPr>
    <w:rPr>
      <w:rFonts w:ascii="仿宋_GB2312" w:hAnsi="宋体" w:eastAsia="仿宋_GB2312" w:cs="宋体"/>
      <w:kern w:val="0"/>
      <w:szCs w:val="21"/>
    </w:rPr>
  </w:style>
  <w:style w:type="paragraph" w:customStyle="1" w:styleId="2513">
    <w:name w:val="样式 样式 样式 标题 4 + 段前: 0.25 行 段后: 0.25 行 + 段前: 0.25 行 段后: 0.25 行 + ..."/>
    <w:basedOn w:val="1"/>
    <w:qFormat/>
    <w:uiPriority w:val="0"/>
    <w:pPr>
      <w:keepNext/>
      <w:keepLines/>
      <w:snapToGrid w:val="0"/>
      <w:spacing w:beforeLines="10" w:afterLines="10" w:line="360" w:lineRule="auto"/>
      <w:jc w:val="left"/>
      <w:outlineLvl w:val="3"/>
    </w:pPr>
    <w:rPr>
      <w:rFonts w:ascii="宋体" w:hAnsi="宋体"/>
      <w:b/>
      <w:bCs/>
      <w:kern w:val="0"/>
      <w:sz w:val="34"/>
      <w:szCs w:val="20"/>
    </w:rPr>
  </w:style>
  <w:style w:type="paragraph" w:customStyle="1" w:styleId="2514">
    <w:name w:val="表标题16.9"/>
    <w:basedOn w:val="1"/>
    <w:qFormat/>
    <w:uiPriority w:val="0"/>
    <w:pPr>
      <w:tabs>
        <w:tab w:val="left" w:pos="2444"/>
        <w:tab w:val="center" w:pos="4060"/>
        <w:tab w:val="right" w:pos="8261"/>
      </w:tabs>
      <w:suppressAutoHyphens/>
      <w:adjustRightInd w:val="0"/>
      <w:spacing w:before="240" w:after="120" w:line="0" w:lineRule="atLeast"/>
      <w:ind w:left="1720" w:firstLine="4"/>
    </w:pPr>
    <w:rPr>
      <w:rFonts w:ascii="黑体" w:eastAsia="黑体"/>
      <w:b/>
      <w:spacing w:val="6"/>
      <w:kern w:val="0"/>
      <w:sz w:val="26"/>
      <w:szCs w:val="26"/>
    </w:rPr>
  </w:style>
  <w:style w:type="paragraph" w:customStyle="1" w:styleId="2515">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516">
    <w:name w:val="xl1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17">
    <w:name w:val="表格下五号"/>
    <w:basedOn w:val="1"/>
    <w:qFormat/>
    <w:uiPriority w:val="0"/>
    <w:pPr>
      <w:adjustRightInd w:val="0"/>
      <w:snapToGrid w:val="0"/>
      <w:ind w:firstLine="444" w:firstLineChars="200"/>
    </w:pPr>
    <w:rPr>
      <w:rFonts w:ascii="Arial" w:hAnsi="Arial" w:cs="Arial"/>
      <w:spacing w:val="6"/>
      <w:kern w:val="0"/>
      <w:szCs w:val="20"/>
    </w:rPr>
  </w:style>
  <w:style w:type="paragraph" w:customStyle="1" w:styleId="2518">
    <w:name w:val="0-shiw-封面扉页阶段名"/>
    <w:qFormat/>
    <w:uiPriority w:val="0"/>
    <w:pPr>
      <w:jc w:val="center"/>
    </w:pPr>
    <w:rPr>
      <w:rFonts w:ascii="黑体" w:hAnsi="Times New Roman" w:eastAsia="黑体" w:cs="Times New Roman"/>
      <w:kern w:val="2"/>
      <w:sz w:val="44"/>
      <w:szCs w:val="44"/>
      <w:lang w:val="en-US" w:eastAsia="zh-CN" w:bidi="ar-SA"/>
    </w:rPr>
  </w:style>
  <w:style w:type="paragraph" w:customStyle="1" w:styleId="2519">
    <w:name w:val="xl17"/>
    <w:basedOn w:val="1"/>
    <w:qFormat/>
    <w:uiPriority w:val="0"/>
    <w:pPr>
      <w:widowControl/>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2520">
    <w:name w:val="样式 正文缩进 + 小四1"/>
    <w:basedOn w:val="6"/>
    <w:qFormat/>
    <w:uiPriority w:val="0"/>
    <w:pPr>
      <w:keepNext/>
      <w:widowControl w:val="0"/>
      <w:tabs>
        <w:tab w:val="left" w:pos="1727"/>
        <w:tab w:val="left" w:pos="1884"/>
      </w:tabs>
      <w:spacing w:before="120" w:after="120" w:line="360" w:lineRule="auto"/>
      <w:ind w:left="578" w:firstLine="480" w:firstLineChars="0"/>
      <w:outlineLvl w:val="0"/>
    </w:pPr>
    <w:rPr>
      <w:snapToGrid w:val="0"/>
      <w:color w:val="000000"/>
      <w:sz w:val="28"/>
      <w:szCs w:val="20"/>
    </w:rPr>
  </w:style>
  <w:style w:type="paragraph" w:customStyle="1" w:styleId="2521">
    <w:name w:val="标题 3 + 居中"/>
    <w:basedOn w:val="9"/>
    <w:next w:val="1"/>
    <w:qFormat/>
    <w:uiPriority w:val="0"/>
    <w:pPr>
      <w:widowControl w:val="0"/>
      <w:numPr>
        <w:ilvl w:val="0"/>
        <w:numId w:val="0"/>
      </w:numPr>
      <w:tabs>
        <w:tab w:val="left" w:pos="1740"/>
      </w:tabs>
      <w:spacing w:line="240" w:lineRule="auto"/>
      <w:ind w:left="1740" w:hanging="420"/>
      <w:jc w:val="center"/>
    </w:pPr>
    <w:rPr>
      <w:rFonts w:cs="Times New Roman"/>
      <w:b/>
      <w:color w:val="FF0000"/>
      <w:kern w:val="24"/>
      <w:sz w:val="24"/>
      <w:szCs w:val="24"/>
    </w:rPr>
  </w:style>
  <w:style w:type="paragraph" w:customStyle="1" w:styleId="2522">
    <w:name w:val="xl33"/>
    <w:basedOn w:val="1"/>
    <w:qFormat/>
    <w:uiPriority w:val="0"/>
    <w:pPr>
      <w:widowControl/>
      <w:pBdr>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523">
    <w:name w:val="样式 正文文字 + (符号) 宋体 居中 左侧:  6.77 厘米 行距: 1.5 倍行距"/>
    <w:basedOn w:val="37"/>
    <w:unhideWhenUsed/>
    <w:qFormat/>
    <w:uiPriority w:val="0"/>
    <w:pPr>
      <w:widowControl w:val="0"/>
      <w:autoSpaceDE w:val="0"/>
      <w:autoSpaceDN w:val="0"/>
      <w:adjustRightInd w:val="0"/>
      <w:spacing w:before="120" w:after="0" w:line="360" w:lineRule="exact"/>
      <w:ind w:left="578" w:right="0" w:hanging="578"/>
      <w:jc w:val="center"/>
    </w:pPr>
    <w:rPr>
      <w:rFonts w:ascii="宋体" w:hAnsi="宋体" w:cs="Arial"/>
      <w:spacing w:val="20"/>
      <w:sz w:val="21"/>
    </w:rPr>
  </w:style>
  <w:style w:type="paragraph" w:customStyle="1" w:styleId="2524">
    <w:name w:val="表名A"/>
    <w:basedOn w:val="1"/>
    <w:qFormat/>
    <w:uiPriority w:val="0"/>
    <w:pPr>
      <w:widowControl/>
      <w:tabs>
        <w:tab w:val="left" w:pos="0"/>
      </w:tabs>
      <w:adjustRightInd w:val="0"/>
      <w:snapToGrid w:val="0"/>
      <w:spacing w:beforeLines="80" w:afterLines="20"/>
      <w:jc w:val="center"/>
    </w:pPr>
    <w:rPr>
      <w:rFonts w:ascii="宋体"/>
      <w:b/>
      <w:snapToGrid w:val="0"/>
      <w:kern w:val="0"/>
      <w:szCs w:val="20"/>
    </w:rPr>
  </w:style>
  <w:style w:type="paragraph" w:customStyle="1" w:styleId="2525">
    <w:name w:val="样式 四号 段前: 7.8 磅 行距: 多倍行距 1.25 字行 首行缩进:  2 字符"/>
    <w:basedOn w:val="1"/>
    <w:qFormat/>
    <w:uiPriority w:val="0"/>
    <w:pPr>
      <w:spacing w:beforeLines="50" w:line="300" w:lineRule="auto"/>
      <w:ind w:firstLine="200" w:firstLineChars="200"/>
    </w:pPr>
    <w:rPr>
      <w:rFonts w:ascii="宋体" w:cs="宋体"/>
      <w:kern w:val="0"/>
      <w:sz w:val="28"/>
      <w:szCs w:val="20"/>
    </w:rPr>
  </w:style>
  <w:style w:type="paragraph" w:customStyle="1" w:styleId="2526">
    <w:name w:val="表格 3"/>
    <w:basedOn w:val="1"/>
    <w:qFormat/>
    <w:uiPriority w:val="0"/>
    <w:pPr>
      <w:autoSpaceDE w:val="0"/>
      <w:autoSpaceDN w:val="0"/>
      <w:adjustRightInd w:val="0"/>
      <w:spacing w:line="240" w:lineRule="atLeast"/>
      <w:ind w:right="120" w:firstLine="236" w:firstLineChars="200"/>
    </w:pPr>
    <w:rPr>
      <w:rFonts w:ascii="宋体" w:hAnsi="宋体"/>
      <w:color w:val="000000"/>
      <w:w w:val="66"/>
      <w:kern w:val="0"/>
      <w:szCs w:val="20"/>
    </w:rPr>
  </w:style>
  <w:style w:type="paragraph" w:customStyle="1" w:styleId="2527">
    <w:name w:val="字元 字元 字元1"/>
    <w:basedOn w:val="1"/>
    <w:semiHidden/>
    <w:qFormat/>
    <w:uiPriority w:val="0"/>
    <w:pPr>
      <w:spacing w:before="280" w:line="360" w:lineRule="auto"/>
      <w:ind w:firstLine="200" w:firstLineChars="200"/>
    </w:pPr>
    <w:rPr>
      <w:rFonts w:ascii="宋体" w:hAnsi="宋体" w:cs="宋体"/>
      <w:kern w:val="0"/>
      <w:sz w:val="34"/>
      <w:szCs w:val="20"/>
    </w:rPr>
  </w:style>
  <w:style w:type="paragraph" w:customStyle="1" w:styleId="2528">
    <w:name w:val="book1_1_1_1"/>
    <w:basedOn w:val="10"/>
    <w:qFormat/>
    <w:uiPriority w:val="0"/>
    <w:pPr>
      <w:keepNext w:val="0"/>
      <w:widowControl w:val="0"/>
      <w:numPr>
        <w:ilvl w:val="0"/>
        <w:numId w:val="0"/>
      </w:numPr>
      <w:tabs>
        <w:tab w:val="left" w:pos="360"/>
      </w:tabs>
      <w:spacing w:before="280" w:beforeLines="50" w:after="290" w:afterLines="50" w:line="400" w:lineRule="exact"/>
      <w:ind w:left="536" w:hanging="360" w:hangingChars="200"/>
      <w:jc w:val="both"/>
    </w:pPr>
    <w:rPr>
      <w:rFonts w:ascii="宋体" w:hAnsi="宋体" w:cs="Arial"/>
      <w:b w:val="0"/>
      <w:sz w:val="20"/>
    </w:rPr>
  </w:style>
  <w:style w:type="paragraph" w:customStyle="1" w:styleId="2529">
    <w:name w:val="Char Char1 Char Char Char11"/>
    <w:basedOn w:val="1"/>
    <w:next w:val="1"/>
    <w:qFormat/>
    <w:uiPriority w:val="0"/>
    <w:pPr>
      <w:spacing w:line="360" w:lineRule="auto"/>
      <w:ind w:firstLine="200" w:firstLineChars="200"/>
    </w:pPr>
    <w:rPr>
      <w:rFonts w:ascii="宋体" w:hAnsi="宋体" w:cs="宋体"/>
      <w:kern w:val="0"/>
      <w:sz w:val="34"/>
      <w:szCs w:val="20"/>
    </w:rPr>
  </w:style>
  <w:style w:type="paragraph" w:customStyle="1" w:styleId="2530">
    <w:name w:val="字元 字元 字元"/>
    <w:basedOn w:val="1"/>
    <w:semiHidden/>
    <w:qFormat/>
    <w:uiPriority w:val="0"/>
    <w:pPr>
      <w:spacing w:before="280" w:line="360" w:lineRule="auto"/>
      <w:ind w:firstLine="200" w:firstLineChars="200"/>
    </w:pPr>
    <w:rPr>
      <w:rFonts w:ascii="宋体" w:hAnsi="宋体" w:cs="宋体"/>
      <w:kern w:val="0"/>
      <w:sz w:val="34"/>
      <w:szCs w:val="20"/>
    </w:rPr>
  </w:style>
  <w:style w:type="paragraph" w:customStyle="1" w:styleId="2531">
    <w:name w:val="Char43"/>
    <w:basedOn w:val="1"/>
    <w:qFormat/>
    <w:uiPriority w:val="0"/>
    <w:rPr>
      <w:rFonts w:ascii="宋体"/>
      <w:kern w:val="0"/>
      <w:sz w:val="34"/>
      <w:szCs w:val="20"/>
    </w:rPr>
  </w:style>
  <w:style w:type="paragraph" w:customStyle="1" w:styleId="2532">
    <w:name w:val="批注框文本1"/>
    <w:basedOn w:val="1"/>
    <w:qFormat/>
    <w:uiPriority w:val="0"/>
    <w:rPr>
      <w:rFonts w:ascii="宋体"/>
      <w:kern w:val="0"/>
      <w:sz w:val="18"/>
      <w:szCs w:val="18"/>
    </w:rPr>
  </w:style>
  <w:style w:type="paragraph" w:customStyle="1" w:styleId="2533">
    <w:name w:val="修订2"/>
    <w:semiHidden/>
    <w:qFormat/>
    <w:uiPriority w:val="0"/>
    <w:rPr>
      <w:rFonts w:ascii="Times New Roman" w:hAnsi="Times New Roman" w:eastAsia="宋体" w:cs="Times New Roman"/>
      <w:kern w:val="2"/>
      <w:sz w:val="21"/>
      <w:szCs w:val="24"/>
      <w:lang w:val="en-US" w:eastAsia="zh-CN" w:bidi="ar-SA"/>
    </w:rPr>
  </w:style>
  <w:style w:type="paragraph" w:customStyle="1" w:styleId="2534">
    <w:name w:val="样式 标题 1 + 首行缩进:  2 字符"/>
    <w:basedOn w:val="7"/>
    <w:qFormat/>
    <w:uiPriority w:val="0"/>
    <w:pPr>
      <w:keepLines/>
      <w:overflowPunct/>
      <w:snapToGrid/>
      <w:spacing w:after="120" w:line="500" w:lineRule="atLeast"/>
      <w:ind w:left="3533" w:hanging="473"/>
      <w:jc w:val="center"/>
    </w:pPr>
    <w:rPr>
      <w:rFonts w:ascii="宋体" w:hAnsi="宋体" w:eastAsia="宋体" w:cs="宋体"/>
      <w:bCs w:val="0"/>
      <w:color w:val="auto"/>
      <w:kern w:val="2"/>
      <w:sz w:val="28"/>
      <w:szCs w:val="20"/>
    </w:rPr>
  </w:style>
  <w:style w:type="paragraph" w:customStyle="1" w:styleId="2535">
    <w:name w:val="标题  3"/>
    <w:basedOn w:val="2420"/>
    <w:qFormat/>
    <w:uiPriority w:val="0"/>
    <w:pPr>
      <w:spacing w:before="120" w:after="120"/>
    </w:pPr>
  </w:style>
  <w:style w:type="paragraph" w:customStyle="1" w:styleId="2536">
    <w:name w:val="16.7.3.1"/>
    <w:basedOn w:val="10"/>
    <w:qFormat/>
    <w:uiPriority w:val="0"/>
    <w:pPr>
      <w:widowControl w:val="0"/>
      <w:numPr>
        <w:numId w:val="43"/>
      </w:numPr>
      <w:tabs>
        <w:tab w:val="left" w:pos="1680"/>
        <w:tab w:val="left" w:pos="1800"/>
      </w:tabs>
      <w:spacing w:before="120" w:after="120" w:line="312" w:lineRule="auto"/>
      <w:jc w:val="both"/>
    </w:pPr>
    <w:rPr>
      <w:rFonts w:eastAsia="黑体" w:cs="Times New Roman"/>
      <w:sz w:val="20"/>
      <w:szCs w:val="20"/>
    </w:rPr>
  </w:style>
  <w:style w:type="paragraph" w:customStyle="1" w:styleId="2537">
    <w:name w:val="zwj1.1.1.1"/>
    <w:basedOn w:val="10"/>
    <w:qFormat/>
    <w:uiPriority w:val="0"/>
    <w:pPr>
      <w:widowControl w:val="0"/>
      <w:numPr>
        <w:numId w:val="44"/>
      </w:numPr>
      <w:tabs>
        <w:tab w:val="left" w:pos="864"/>
        <w:tab w:val="left" w:pos="1680"/>
      </w:tabs>
      <w:snapToGrid w:val="0"/>
      <w:spacing w:after="290" w:afterLines="50" w:line="240" w:lineRule="auto"/>
      <w:jc w:val="both"/>
    </w:pPr>
    <w:rPr>
      <w:rFonts w:ascii="仿宋_GB2312" w:cs="Times New Roman"/>
      <w:b w:val="0"/>
      <w:bCs w:val="0"/>
      <w:sz w:val="20"/>
    </w:rPr>
  </w:style>
  <w:style w:type="paragraph" w:customStyle="1" w:styleId="2538">
    <w:name w:val="表后空行"/>
    <w:basedOn w:val="1"/>
    <w:semiHidden/>
    <w:qFormat/>
    <w:uiPriority w:val="0"/>
    <w:pPr>
      <w:overflowPunct w:val="0"/>
      <w:adjustRightInd w:val="0"/>
      <w:textAlignment w:val="baseline"/>
    </w:pPr>
    <w:rPr>
      <w:rFonts w:ascii="宋体"/>
      <w:kern w:val="28"/>
      <w:sz w:val="10"/>
      <w:szCs w:val="20"/>
    </w:rPr>
  </w:style>
  <w:style w:type="paragraph" w:customStyle="1" w:styleId="2539">
    <w:name w:val="00正文"/>
    <w:basedOn w:val="1"/>
    <w:qFormat/>
    <w:uiPriority w:val="0"/>
    <w:pPr>
      <w:snapToGrid w:val="0"/>
      <w:spacing w:line="400" w:lineRule="exact"/>
      <w:ind w:firstLine="480"/>
      <w:jc w:val="center"/>
    </w:pPr>
    <w:rPr>
      <w:rFonts w:ascii="宋体"/>
      <w:kern w:val="0"/>
      <w:szCs w:val="20"/>
    </w:rPr>
  </w:style>
  <w:style w:type="paragraph" w:customStyle="1" w:styleId="2540">
    <w:name w:val="Char32"/>
    <w:basedOn w:val="1"/>
    <w:qFormat/>
    <w:uiPriority w:val="0"/>
    <w:pPr>
      <w:spacing w:line="360" w:lineRule="auto"/>
      <w:ind w:firstLine="200" w:firstLineChars="200"/>
    </w:pPr>
    <w:rPr>
      <w:rFonts w:ascii="宋体" w:hAnsi="宋体" w:cs="宋体"/>
      <w:kern w:val="0"/>
      <w:sz w:val="34"/>
      <w:szCs w:val="20"/>
    </w:rPr>
  </w:style>
  <w:style w:type="paragraph" w:customStyle="1" w:styleId="2541">
    <w:name w:val="图标题样式"/>
    <w:basedOn w:val="4"/>
    <w:qFormat/>
    <w:uiPriority w:val="0"/>
    <w:pPr>
      <w:spacing w:beforeLines="50" w:after="0" w:line="360" w:lineRule="auto"/>
      <w:ind w:left="0" w:leftChars="0" w:firstLine="0" w:firstLineChars="0"/>
      <w:jc w:val="center"/>
    </w:pPr>
    <w:rPr>
      <w:rFonts w:ascii="宋体"/>
      <w:b/>
      <w:szCs w:val="21"/>
    </w:rPr>
  </w:style>
  <w:style w:type="paragraph" w:customStyle="1" w:styleId="2542">
    <w:name w:val="Footnote"/>
    <w:basedOn w:val="70"/>
    <w:qFormat/>
    <w:uiPriority w:val="0"/>
    <w:pPr>
      <w:snapToGrid w:val="0"/>
      <w:spacing w:line="480" w:lineRule="auto"/>
      <w:jc w:val="left"/>
    </w:pPr>
    <w:rPr>
      <w:sz w:val="18"/>
      <w:szCs w:val="18"/>
    </w:rPr>
  </w:style>
  <w:style w:type="paragraph" w:customStyle="1" w:styleId="2543">
    <w:name w:val="样式 宋体 四号 黑色 行距: 1.5 倍行距"/>
    <w:basedOn w:val="1"/>
    <w:qFormat/>
    <w:uiPriority w:val="0"/>
    <w:pPr>
      <w:autoSpaceDE w:val="0"/>
      <w:autoSpaceDN w:val="0"/>
      <w:spacing w:before="120" w:after="120" w:line="360" w:lineRule="auto"/>
      <w:ind w:left="578" w:firstLine="200" w:firstLineChars="200"/>
    </w:pPr>
    <w:rPr>
      <w:rFonts w:ascii="宋体" w:hAnsi="宋体" w:cs="宋体"/>
      <w:color w:val="000000"/>
      <w:kern w:val="0"/>
      <w:sz w:val="28"/>
      <w:szCs w:val="20"/>
    </w:rPr>
  </w:style>
  <w:style w:type="paragraph" w:customStyle="1" w:styleId="2544">
    <w:name w:val="Char1 Char Char Char Char Char Char11"/>
    <w:basedOn w:val="1"/>
    <w:qFormat/>
    <w:uiPriority w:val="0"/>
    <w:rPr>
      <w:rFonts w:ascii="宋体"/>
      <w:kern w:val="0"/>
      <w:sz w:val="34"/>
      <w:szCs w:val="20"/>
    </w:rPr>
  </w:style>
  <w:style w:type="paragraph" w:customStyle="1" w:styleId="2545">
    <w:name w:val="缩正文"/>
    <w:basedOn w:val="1"/>
    <w:semiHidden/>
    <w:qFormat/>
    <w:uiPriority w:val="0"/>
    <w:pPr>
      <w:spacing w:line="360" w:lineRule="auto"/>
      <w:ind w:firstLine="480" w:firstLineChars="200"/>
    </w:pPr>
    <w:rPr>
      <w:rFonts w:ascii="宋体" w:cs="宋体"/>
      <w:kern w:val="0"/>
      <w:sz w:val="34"/>
      <w:szCs w:val="20"/>
    </w:rPr>
  </w:style>
  <w:style w:type="paragraph" w:customStyle="1" w:styleId="2546">
    <w:name w:val="封面三"/>
    <w:basedOn w:val="2547"/>
    <w:qFormat/>
    <w:uiPriority w:val="0"/>
    <w:pPr>
      <w:jc w:val="center"/>
    </w:pPr>
    <w:rPr>
      <w:rFonts w:eastAsia="宋体"/>
      <w:b/>
      <w:sz w:val="32"/>
    </w:rPr>
  </w:style>
  <w:style w:type="paragraph" w:customStyle="1" w:styleId="2547">
    <w:name w:val="封面"/>
    <w:basedOn w:val="1"/>
    <w:qFormat/>
    <w:uiPriority w:val="0"/>
    <w:pPr>
      <w:spacing w:line="500" w:lineRule="atLeast"/>
      <w:ind w:right="25" w:rightChars="9"/>
    </w:pPr>
    <w:rPr>
      <w:rFonts w:ascii="宋体" w:eastAsia="黑体"/>
      <w:kern w:val="0"/>
      <w:sz w:val="52"/>
      <w:szCs w:val="44"/>
    </w:rPr>
  </w:style>
  <w:style w:type="paragraph" w:customStyle="1" w:styleId="2548">
    <w:name w:val="技术响应2"/>
    <w:basedOn w:val="1"/>
    <w:qFormat/>
    <w:uiPriority w:val="0"/>
    <w:pPr>
      <w:tabs>
        <w:tab w:val="left" w:pos="420"/>
      </w:tabs>
      <w:ind w:left="420" w:hanging="420"/>
    </w:pPr>
    <w:rPr>
      <w:rFonts w:ascii="宋体" w:hAnsi="宋体"/>
      <w:b/>
      <w:bCs/>
      <w:kern w:val="0"/>
      <w:szCs w:val="20"/>
    </w:rPr>
  </w:style>
  <w:style w:type="paragraph" w:customStyle="1" w:styleId="2549">
    <w:name w:val="样式 条文 + 段前: 0.4 行"/>
    <w:basedOn w:val="1"/>
    <w:qFormat/>
    <w:uiPriority w:val="0"/>
    <w:pPr>
      <w:adjustRightInd w:val="0"/>
      <w:spacing w:beforeLines="50"/>
      <w:ind w:left="266" w:firstLine="454"/>
      <w:jc w:val="left"/>
      <w:outlineLvl w:val="4"/>
    </w:pPr>
    <w:rPr>
      <w:rFonts w:ascii="宋体" w:cs="宋体"/>
      <w:kern w:val="0"/>
      <w:sz w:val="34"/>
      <w:szCs w:val="20"/>
    </w:rPr>
  </w:style>
  <w:style w:type="paragraph" w:customStyle="1" w:styleId="2550">
    <w:name w:val="图注"/>
    <w:basedOn w:val="1"/>
    <w:next w:val="1"/>
    <w:qFormat/>
    <w:uiPriority w:val="0"/>
    <w:pPr>
      <w:tabs>
        <w:tab w:val="left" w:pos="2625"/>
        <w:tab w:val="left" w:pos="2835"/>
      </w:tabs>
      <w:spacing w:line="360" w:lineRule="auto"/>
      <w:jc w:val="center"/>
    </w:pPr>
    <w:rPr>
      <w:rFonts w:ascii="宋体" w:hAnsi="宋体"/>
      <w:color w:val="000000"/>
      <w:kern w:val="0"/>
      <w:sz w:val="34"/>
      <w:szCs w:val="20"/>
    </w:rPr>
  </w:style>
  <w:style w:type="paragraph" w:customStyle="1" w:styleId="2551">
    <w:name w:val="Char Char Char Char12"/>
    <w:basedOn w:val="1"/>
    <w:qFormat/>
    <w:uiPriority w:val="0"/>
    <w:rPr>
      <w:rFonts w:ascii="宋体"/>
      <w:kern w:val="0"/>
      <w:sz w:val="34"/>
      <w:szCs w:val="20"/>
    </w:rPr>
  </w:style>
  <w:style w:type="paragraph" w:customStyle="1" w:styleId="2552">
    <w:name w:val="xl69"/>
    <w:basedOn w:val="1"/>
    <w:qFormat/>
    <w:uiPriority w:val="0"/>
    <w:pPr>
      <w:widowControl/>
      <w:pBdr>
        <w:left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553">
    <w:name w:val="CM105"/>
    <w:basedOn w:val="2"/>
    <w:next w:val="2"/>
    <w:semiHidden/>
    <w:qFormat/>
    <w:uiPriority w:val="0"/>
    <w:pPr>
      <w:adjustRightInd/>
    </w:pPr>
    <w:rPr>
      <w:rFonts w:hint="eastAsia" w:ascii="仿宋" w:hAnsi="仿宋" w:eastAsia="仿宋" w:cs="Times New Roman"/>
      <w:szCs w:val="20"/>
    </w:rPr>
  </w:style>
  <w:style w:type="paragraph" w:customStyle="1" w:styleId="2554">
    <w:name w:val="Char Char Char Char Char Char Char Char Char1 Char Char Char Char Char Char Char1"/>
    <w:basedOn w:val="1"/>
    <w:qFormat/>
    <w:uiPriority w:val="0"/>
    <w:rPr>
      <w:rFonts w:ascii="宋体"/>
      <w:kern w:val="0"/>
      <w:szCs w:val="21"/>
    </w:rPr>
  </w:style>
  <w:style w:type="paragraph" w:customStyle="1" w:styleId="2555">
    <w:name w:val="xl86"/>
    <w:basedOn w:val="1"/>
    <w:qFormat/>
    <w:uiPriority w:val="0"/>
    <w:pPr>
      <w:widowControl/>
      <w:pBdr>
        <w:lef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556">
    <w:name w:val="正文（韶关规划）"/>
    <w:basedOn w:val="4"/>
    <w:qFormat/>
    <w:uiPriority w:val="0"/>
    <w:pPr>
      <w:tabs>
        <w:tab w:val="left" w:pos="7996"/>
      </w:tabs>
      <w:autoSpaceDE w:val="0"/>
      <w:autoSpaceDN w:val="0"/>
      <w:adjustRightInd w:val="0"/>
      <w:snapToGrid w:val="0"/>
      <w:spacing w:beforeLines="50" w:after="0" w:line="360" w:lineRule="auto"/>
      <w:ind w:left="0" w:leftChars="0" w:firstLine="480"/>
    </w:pPr>
    <w:rPr>
      <w:rFonts w:ascii="宋体" w:hAnsi="宋体" w:eastAsia="仿宋_GB2312"/>
      <w:color w:val="000000"/>
      <w:sz w:val="34"/>
      <w:szCs w:val="20"/>
    </w:rPr>
  </w:style>
  <w:style w:type="paragraph" w:customStyle="1" w:styleId="2557">
    <w:name w:val="Body Text Ind"/>
    <w:basedOn w:val="1"/>
    <w:unhideWhenUsed/>
    <w:qFormat/>
    <w:uiPriority w:val="0"/>
    <w:pPr>
      <w:adjustRightInd w:val="0"/>
      <w:spacing w:before="120" w:after="120" w:line="300" w:lineRule="auto"/>
      <w:ind w:left="578" w:firstLine="540"/>
      <w:jc w:val="left"/>
      <w:textAlignment w:val="baseline"/>
    </w:pPr>
    <w:rPr>
      <w:rFonts w:ascii="宋体"/>
      <w:snapToGrid w:val="0"/>
      <w:kern w:val="28"/>
      <w:sz w:val="28"/>
      <w:szCs w:val="28"/>
    </w:rPr>
  </w:style>
  <w:style w:type="paragraph" w:customStyle="1" w:styleId="2558">
    <w:name w:val="样式 标题 2 + 段前: 6 磅 段后: 6 磅 行距: 多倍行距 1.4 字行"/>
    <w:basedOn w:val="8"/>
    <w:qFormat/>
    <w:uiPriority w:val="0"/>
    <w:pPr>
      <w:widowControl w:val="0"/>
      <w:numPr>
        <w:ilvl w:val="0"/>
        <w:numId w:val="0"/>
      </w:numPr>
      <w:tabs>
        <w:tab w:val="left" w:pos="315"/>
      </w:tabs>
      <w:spacing w:before="260" w:after="260" w:line="336" w:lineRule="auto"/>
      <w:jc w:val="both"/>
    </w:pPr>
    <w:rPr>
      <w:rFonts w:ascii="宋体" w:hAnsi="宋体" w:eastAsia="黑体"/>
      <w:b/>
      <w:bCs/>
      <w:szCs w:val="20"/>
    </w:rPr>
  </w:style>
  <w:style w:type="paragraph" w:customStyle="1" w:styleId="2559">
    <w:name w:val="1-正文"/>
    <w:basedOn w:val="1"/>
    <w:qFormat/>
    <w:uiPriority w:val="0"/>
    <w:pPr>
      <w:spacing w:line="360" w:lineRule="auto"/>
      <w:ind w:firstLine="480" w:firstLineChars="200"/>
      <w:jc w:val="left"/>
    </w:pPr>
    <w:rPr>
      <w:rFonts w:ascii="宋体" w:hAnsi="宋体" w:cs="宋体"/>
      <w:kern w:val="0"/>
      <w:sz w:val="34"/>
      <w:szCs w:val="20"/>
    </w:rPr>
  </w:style>
  <w:style w:type="paragraph" w:customStyle="1" w:styleId="2560">
    <w:name w:val="xl19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61">
    <w:name w:val="样式 五号 居中"/>
    <w:basedOn w:val="1"/>
    <w:qFormat/>
    <w:uiPriority w:val="0"/>
    <w:pPr>
      <w:jc w:val="center"/>
    </w:pPr>
    <w:rPr>
      <w:rFonts w:ascii="宋体" w:hAnsi="宋体" w:cs="宋体"/>
      <w:snapToGrid w:val="0"/>
      <w:kern w:val="0"/>
      <w:szCs w:val="21"/>
    </w:rPr>
  </w:style>
  <w:style w:type="paragraph" w:customStyle="1" w:styleId="2562">
    <w:name w:val="正文001"/>
    <w:basedOn w:val="1"/>
    <w:qFormat/>
    <w:uiPriority w:val="0"/>
    <w:pPr>
      <w:spacing w:before="60" w:line="460" w:lineRule="exact"/>
      <w:ind w:firstLine="482"/>
    </w:pPr>
    <w:rPr>
      <w:rFonts w:ascii="Arial" w:hAnsi="Arial"/>
      <w:kern w:val="0"/>
      <w:sz w:val="34"/>
      <w:szCs w:val="20"/>
    </w:rPr>
  </w:style>
  <w:style w:type="paragraph" w:customStyle="1" w:styleId="2563">
    <w:name w:val="xl170"/>
    <w:basedOn w:val="1"/>
    <w:qFormat/>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564">
    <w:name w:val="样式 题注 + 居中 段前: 0 磅 段后: 0 磅 行距: 固定值 11 磅"/>
    <w:basedOn w:val="25"/>
    <w:next w:val="1"/>
    <w:qFormat/>
    <w:uiPriority w:val="0"/>
    <w:pPr>
      <w:ind w:firstLine="200" w:firstLineChars="200"/>
    </w:pPr>
    <w:rPr>
      <w:rFonts w:eastAsia="宋体"/>
      <w:b w:val="0"/>
      <w:sz w:val="20"/>
      <w:szCs w:val="24"/>
    </w:rPr>
  </w:style>
  <w:style w:type="paragraph" w:customStyle="1" w:styleId="2565">
    <w:name w:val="列出段落3"/>
    <w:basedOn w:val="1"/>
    <w:qFormat/>
    <w:uiPriority w:val="34"/>
    <w:pPr>
      <w:ind w:firstLine="200" w:firstLineChars="200"/>
    </w:pPr>
    <w:rPr>
      <w:rFonts w:ascii="Calibri" w:hAnsi="Calibri"/>
      <w:kern w:val="0"/>
      <w:szCs w:val="22"/>
    </w:rPr>
  </w:style>
  <w:style w:type="paragraph" w:customStyle="1" w:styleId="2566">
    <w:name w:val="奇数页页脚"/>
    <w:basedOn w:val="58"/>
    <w:qFormat/>
    <w:uiPriority w:val="0"/>
    <w:pPr>
      <w:tabs>
        <w:tab w:val="center" w:pos="4819"/>
        <w:tab w:val="right" w:pos="9071"/>
        <w:tab w:val="clear" w:pos="4153"/>
        <w:tab w:val="clear" w:pos="8306"/>
      </w:tabs>
      <w:overflowPunct w:val="0"/>
      <w:autoSpaceDE w:val="0"/>
      <w:autoSpaceDN w:val="0"/>
      <w:adjustRightInd w:val="0"/>
      <w:snapToGrid/>
      <w:spacing w:line="0" w:lineRule="atLeast"/>
      <w:jc w:val="right"/>
      <w:textAlignment w:val="baseline"/>
    </w:pPr>
    <w:rPr>
      <w:rFonts w:ascii="宋体"/>
      <w:b/>
      <w:sz w:val="28"/>
    </w:rPr>
  </w:style>
  <w:style w:type="paragraph" w:customStyle="1" w:styleId="2567">
    <w:name w:val="Char1 Char Char Char"/>
    <w:basedOn w:val="1"/>
    <w:qFormat/>
    <w:uiPriority w:val="0"/>
    <w:rPr>
      <w:rFonts w:ascii="宋体"/>
      <w:kern w:val="0"/>
      <w:szCs w:val="21"/>
    </w:rPr>
  </w:style>
  <w:style w:type="paragraph" w:customStyle="1" w:styleId="2568">
    <w:name w:val="CY章标题"/>
    <w:basedOn w:val="7"/>
    <w:next w:val="1"/>
    <w:qFormat/>
    <w:uiPriority w:val="0"/>
    <w:pPr>
      <w:keepLines/>
      <w:tabs>
        <w:tab w:val="left" w:pos="360"/>
      </w:tabs>
      <w:overflowPunct/>
      <w:adjustRightInd w:val="0"/>
      <w:spacing w:before="0" w:after="330" w:afterLines="200" w:line="240" w:lineRule="auto"/>
      <w:ind w:left="0" w:firstLine="0"/>
      <w:jc w:val="center"/>
    </w:pPr>
    <w:rPr>
      <w:rFonts w:ascii="宋体" w:hAnsi="宋体" w:eastAsia="宋体"/>
      <w:color w:val="0000FF"/>
      <w:sz w:val="44"/>
      <w:szCs w:val="44"/>
    </w:rPr>
  </w:style>
  <w:style w:type="paragraph" w:customStyle="1" w:styleId="2569">
    <w:name w:val="ghf1"/>
    <w:basedOn w:val="87"/>
    <w:next w:val="7"/>
    <w:qFormat/>
    <w:uiPriority w:val="0"/>
    <w:pPr>
      <w:spacing w:line="240" w:lineRule="auto"/>
    </w:pPr>
    <w:rPr>
      <w:rFonts w:ascii="黑体" w:hAnsi="黑体"/>
      <w:spacing w:val="10"/>
    </w:rPr>
  </w:style>
  <w:style w:type="paragraph" w:customStyle="1" w:styleId="2570">
    <w:name w:val="CM40"/>
    <w:basedOn w:val="2"/>
    <w:next w:val="2"/>
    <w:semiHidden/>
    <w:qFormat/>
    <w:uiPriority w:val="0"/>
    <w:pPr>
      <w:adjustRightInd/>
    </w:pPr>
    <w:rPr>
      <w:rFonts w:hint="eastAsia" w:ascii="仿宋" w:hAnsi="仿宋" w:eastAsia="仿宋" w:cs="Times New Roman"/>
      <w:szCs w:val="20"/>
    </w:rPr>
  </w:style>
  <w:style w:type="paragraph" w:customStyle="1" w:styleId="2571">
    <w:name w:val="样式 样式 标题 2Chapter Title节标题 1.1 + 首行缩进:  2 字符 + 段前: 1.5 行 段后: 1...."/>
    <w:basedOn w:val="2572"/>
    <w:qFormat/>
    <w:uiPriority w:val="0"/>
    <w:pPr>
      <w:tabs>
        <w:tab w:val="left" w:pos="567"/>
        <w:tab w:val="left" w:pos="576"/>
        <w:tab w:val="left" w:pos="1140"/>
      </w:tabs>
      <w:spacing w:beforeLines="0" w:afterLines="0"/>
      <w:ind w:left="567" w:hanging="567"/>
    </w:pPr>
    <w:rPr>
      <w:bCs/>
      <w:szCs w:val="20"/>
    </w:rPr>
  </w:style>
  <w:style w:type="paragraph" w:customStyle="1" w:styleId="2572">
    <w:name w:val="样式 标题 2Chapter Title节标题 1.1 + 首行缩进:  2 字符"/>
    <w:basedOn w:val="8"/>
    <w:qFormat/>
    <w:uiPriority w:val="0"/>
    <w:pPr>
      <w:widowControl w:val="0"/>
      <w:numPr>
        <w:ilvl w:val="0"/>
        <w:numId w:val="0"/>
      </w:numPr>
      <w:tabs>
        <w:tab w:val="left" w:pos="576"/>
        <w:tab w:val="left" w:pos="1140"/>
      </w:tabs>
      <w:adjustRightInd w:val="0"/>
      <w:spacing w:before="260" w:beforeLines="150" w:after="260" w:afterLines="150"/>
      <w:ind w:left="840" w:hanging="420"/>
    </w:pPr>
    <w:rPr>
      <w:rFonts w:ascii="宋体" w:hAnsi="Univers"/>
      <w:b/>
      <w:color w:val="000000"/>
      <w:kern w:val="28"/>
      <w:sz w:val="28"/>
      <w:szCs w:val="28"/>
    </w:rPr>
  </w:style>
  <w:style w:type="paragraph" w:customStyle="1" w:styleId="2573">
    <w:name w:val="样式"/>
    <w:qFormat/>
    <w:uiPriority w:val="0"/>
    <w:pPr>
      <w:widowControl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2574">
    <w:name w:val="CM12"/>
    <w:basedOn w:val="2"/>
    <w:next w:val="2"/>
    <w:qFormat/>
    <w:uiPriority w:val="0"/>
    <w:pPr>
      <w:adjustRightInd/>
    </w:pPr>
    <w:rPr>
      <w:rFonts w:hint="eastAsia" w:ascii="仿宋" w:hAnsi="仿宋" w:eastAsia="仿宋" w:cs="Times New Roman"/>
      <w:szCs w:val="20"/>
    </w:rPr>
  </w:style>
  <w:style w:type="paragraph" w:customStyle="1" w:styleId="2575">
    <w:name w:val="CM56"/>
    <w:basedOn w:val="2"/>
    <w:next w:val="2"/>
    <w:semiHidden/>
    <w:qFormat/>
    <w:uiPriority w:val="0"/>
    <w:pPr>
      <w:adjustRightInd/>
    </w:pPr>
    <w:rPr>
      <w:rFonts w:hint="eastAsia" w:ascii="仿宋" w:hAnsi="仿宋" w:eastAsia="仿宋" w:cs="Times New Roman"/>
      <w:szCs w:val="20"/>
    </w:rPr>
  </w:style>
  <w:style w:type="paragraph" w:customStyle="1" w:styleId="2576">
    <w:name w:val="CM89"/>
    <w:basedOn w:val="2"/>
    <w:next w:val="2"/>
    <w:semiHidden/>
    <w:qFormat/>
    <w:uiPriority w:val="0"/>
    <w:pPr>
      <w:adjustRightInd/>
    </w:pPr>
    <w:rPr>
      <w:rFonts w:hint="eastAsia" w:ascii="仿宋" w:hAnsi="仿宋" w:eastAsia="仿宋" w:cs="Times New Roman"/>
      <w:szCs w:val="20"/>
    </w:rPr>
  </w:style>
  <w:style w:type="paragraph" w:customStyle="1" w:styleId="2577">
    <w:name w:val="报告格式-正文"/>
    <w:basedOn w:val="1"/>
    <w:qFormat/>
    <w:uiPriority w:val="0"/>
    <w:pPr>
      <w:spacing w:line="360" w:lineRule="auto"/>
      <w:ind w:firstLine="200" w:firstLineChars="200"/>
    </w:pPr>
    <w:rPr>
      <w:rFonts w:ascii="宋体" w:eastAsia="楷体"/>
      <w:kern w:val="0"/>
      <w:sz w:val="28"/>
      <w:szCs w:val="36"/>
    </w:rPr>
  </w:style>
  <w:style w:type="paragraph" w:customStyle="1" w:styleId="2578">
    <w:name w:val="样式 宋体 加粗 黑色 居中 首行缩进:  2 字符1"/>
    <w:basedOn w:val="1"/>
    <w:qFormat/>
    <w:uiPriority w:val="0"/>
    <w:pPr>
      <w:spacing w:line="360" w:lineRule="auto"/>
      <w:jc w:val="center"/>
    </w:pPr>
    <w:rPr>
      <w:rFonts w:ascii="宋体" w:hAnsi="宋体" w:cs="宋体"/>
      <w:bCs/>
      <w:color w:val="000000"/>
      <w:kern w:val="0"/>
      <w:szCs w:val="21"/>
    </w:rPr>
  </w:style>
  <w:style w:type="paragraph" w:customStyle="1" w:styleId="2579">
    <w:name w:val="样式 样式 标题 41.1.1.1标题 4.1.1.1.1款四级标题，黑粗，小四，序号H4h4 sub sub headi......"/>
    <w:basedOn w:val="1267"/>
    <w:unhideWhenUsed/>
    <w:qFormat/>
    <w:uiPriority w:val="0"/>
    <w:rPr>
      <w:bCs/>
    </w:rPr>
  </w:style>
  <w:style w:type="paragraph" w:customStyle="1" w:styleId="2580">
    <w:name w:val="表格标题5"/>
    <w:basedOn w:val="68"/>
    <w:semiHidden/>
    <w:qFormat/>
    <w:uiPriority w:val="0"/>
    <w:pPr>
      <w:numPr>
        <w:numId w:val="0"/>
      </w:numPr>
      <w:pBdr>
        <w:top w:val="single" w:color="auto" w:sz="4" w:space="1"/>
      </w:pBdr>
      <w:tabs>
        <w:tab w:val="clear" w:pos="2040"/>
      </w:tabs>
      <w:adjustRightInd w:val="0"/>
      <w:spacing w:line="360" w:lineRule="auto"/>
      <w:jc w:val="center"/>
    </w:pPr>
    <w:rPr>
      <w:b/>
      <w:sz w:val="24"/>
    </w:rPr>
  </w:style>
  <w:style w:type="paragraph" w:customStyle="1" w:styleId="2581">
    <w:name w:val="居中正文"/>
    <w:basedOn w:val="43"/>
    <w:qFormat/>
    <w:uiPriority w:val="0"/>
    <w:pPr>
      <w:widowControl w:val="0"/>
      <w:adjustRightInd w:val="0"/>
      <w:spacing w:beforeLines="10" w:afterLines="10"/>
      <w:ind w:firstLine="0" w:firstLineChars="0"/>
      <w:jc w:val="center"/>
      <w:textAlignment w:val="baseline"/>
    </w:pPr>
    <w:rPr>
      <w:rFonts w:hAnsi="Times New Roman" w:cs="Times New Roman"/>
      <w:spacing w:val="20"/>
      <w:kern w:val="28"/>
      <w:sz w:val="21"/>
      <w:szCs w:val="24"/>
      <w:lang w:val="fr-FR"/>
    </w:rPr>
  </w:style>
  <w:style w:type="paragraph" w:customStyle="1" w:styleId="2582">
    <w:name w:val="图表文字G"/>
    <w:basedOn w:val="1"/>
    <w:qFormat/>
    <w:uiPriority w:val="0"/>
    <w:pPr>
      <w:spacing w:line="0" w:lineRule="atLeast"/>
      <w:ind w:firstLine="200" w:firstLineChars="200"/>
      <w:jc w:val="center"/>
    </w:pPr>
    <w:rPr>
      <w:rFonts w:ascii="宋体" w:eastAsia="仿宋"/>
      <w:kern w:val="0"/>
      <w:szCs w:val="18"/>
    </w:rPr>
  </w:style>
  <w:style w:type="paragraph" w:customStyle="1" w:styleId="2583">
    <w:name w:val="xl161"/>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84">
    <w:name w:val="A表头"/>
    <w:basedOn w:val="30"/>
    <w:qFormat/>
    <w:uiPriority w:val="0"/>
  </w:style>
  <w:style w:type="paragraph" w:customStyle="1" w:styleId="2585">
    <w:name w:val="表题2113"/>
    <w:basedOn w:val="1"/>
    <w:qFormat/>
    <w:uiPriority w:val="0"/>
    <w:pPr>
      <w:widowControl/>
      <w:adjustRightInd w:val="0"/>
      <w:snapToGrid w:val="0"/>
      <w:jc w:val="center"/>
    </w:pPr>
    <w:rPr>
      <w:rFonts w:ascii="黑体" w:hAnsi="宋体" w:eastAsia="黑体" w:cs="宋体"/>
      <w:kern w:val="0"/>
      <w:sz w:val="34"/>
      <w:szCs w:val="20"/>
    </w:rPr>
  </w:style>
  <w:style w:type="paragraph" w:customStyle="1" w:styleId="2586">
    <w:name w:val="样式 标题 2标题 121标题 21 + 段前: 1 行 段后: 1 行"/>
    <w:basedOn w:val="8"/>
    <w:unhideWhenUsed/>
    <w:qFormat/>
    <w:uiPriority w:val="0"/>
    <w:pPr>
      <w:widowControl w:val="0"/>
      <w:numPr>
        <w:ilvl w:val="0"/>
        <w:numId w:val="0"/>
      </w:numPr>
      <w:tabs>
        <w:tab w:val="left" w:pos="1322"/>
      </w:tabs>
      <w:adjustRightInd w:val="0"/>
      <w:snapToGrid w:val="0"/>
      <w:spacing w:before="260" w:beforeLines="100" w:after="260" w:afterLines="100" w:line="500" w:lineRule="exact"/>
      <w:ind w:left="1320" w:hanging="420"/>
    </w:pPr>
    <w:rPr>
      <w:rFonts w:ascii="Arial" w:eastAsia="黑体" w:cs="Times New Roman"/>
      <w:bCs/>
      <w:sz w:val="36"/>
      <w:szCs w:val="20"/>
    </w:rPr>
  </w:style>
  <w:style w:type="paragraph" w:customStyle="1" w:styleId="2587">
    <w:name w:val="Char Char Char Char Char Char Char3"/>
    <w:basedOn w:val="1"/>
    <w:qFormat/>
    <w:uiPriority w:val="0"/>
    <w:rPr>
      <w:rFonts w:ascii="宋体"/>
      <w:kern w:val="0"/>
      <w:szCs w:val="21"/>
    </w:rPr>
  </w:style>
  <w:style w:type="paragraph" w:customStyle="1" w:styleId="2588">
    <w:name w:val="样式 标题 2 + 行距: 最小值 12 磅"/>
    <w:basedOn w:val="8"/>
    <w:semiHidden/>
    <w:qFormat/>
    <w:uiPriority w:val="0"/>
    <w:pPr>
      <w:widowControl w:val="0"/>
      <w:numPr>
        <w:ilvl w:val="0"/>
        <w:numId w:val="0"/>
      </w:numPr>
      <w:tabs>
        <w:tab w:val="left" w:pos="315"/>
        <w:tab w:val="left" w:pos="768"/>
      </w:tabs>
      <w:adjustRightInd w:val="0"/>
      <w:spacing w:before="260" w:beforeLines="100" w:after="260" w:afterLines="100" w:line="240" w:lineRule="atLeast"/>
    </w:pPr>
    <w:rPr>
      <w:rFonts w:ascii="黑体" w:hAnsi="宋体" w:eastAsia="黑体"/>
      <w:b/>
      <w:sz w:val="28"/>
      <w:szCs w:val="28"/>
    </w:rPr>
  </w:style>
  <w:style w:type="paragraph" w:customStyle="1" w:styleId="2589">
    <w:name w:val="CM43"/>
    <w:basedOn w:val="2"/>
    <w:next w:val="2"/>
    <w:semiHidden/>
    <w:qFormat/>
    <w:uiPriority w:val="0"/>
    <w:pPr>
      <w:spacing w:line="548" w:lineRule="atLeast"/>
    </w:pPr>
    <w:rPr>
      <w:rFonts w:ascii="Arial" w:hAnsi="Arial" w:cs="Times New Roman"/>
      <w:color w:val="auto"/>
    </w:rPr>
  </w:style>
  <w:style w:type="paragraph" w:customStyle="1" w:styleId="2590">
    <w:name w:val="样式 样式 标题 2 + 首行缩进:  2 字符 + 首行缩进:  0 字符"/>
    <w:basedOn w:val="1"/>
    <w:qFormat/>
    <w:uiPriority w:val="0"/>
    <w:pPr>
      <w:keepNext/>
      <w:keepLines/>
      <w:spacing w:before="140" w:after="140" w:line="480" w:lineRule="auto"/>
      <w:ind w:left="578" w:hanging="578"/>
      <w:outlineLvl w:val="1"/>
    </w:pPr>
    <w:rPr>
      <w:rFonts w:ascii="Arial" w:hAnsi="Arial" w:cs="宋体"/>
      <w:b/>
      <w:bCs/>
      <w:kern w:val="0"/>
      <w:sz w:val="30"/>
      <w:szCs w:val="20"/>
    </w:rPr>
  </w:style>
  <w:style w:type="paragraph" w:customStyle="1" w:styleId="2591">
    <w:name w:val="LNG-标题3"/>
    <w:basedOn w:val="1"/>
    <w:qFormat/>
    <w:uiPriority w:val="0"/>
    <w:pPr>
      <w:tabs>
        <w:tab w:val="left" w:pos="0"/>
      </w:tabs>
      <w:spacing w:line="360" w:lineRule="auto"/>
      <w:outlineLvl w:val="2"/>
    </w:pPr>
    <w:rPr>
      <w:rFonts w:ascii="宋体"/>
      <w:b/>
      <w:kern w:val="0"/>
      <w:sz w:val="34"/>
      <w:szCs w:val="20"/>
    </w:rPr>
  </w:style>
  <w:style w:type="paragraph" w:customStyle="1" w:styleId="2592">
    <w:name w:val="款000"/>
    <w:basedOn w:val="2593"/>
    <w:qFormat/>
    <w:uiPriority w:val="0"/>
    <w:pPr>
      <w:ind w:firstLine="0" w:firstLineChars="0"/>
    </w:pPr>
  </w:style>
  <w:style w:type="paragraph" w:customStyle="1" w:styleId="2593">
    <w:name w:val="正文文字～行距: 固定值 26 磅 + 首行缩进:  2 字符"/>
    <w:basedOn w:val="1"/>
    <w:qFormat/>
    <w:uiPriority w:val="0"/>
    <w:pPr>
      <w:spacing w:line="520" w:lineRule="exact"/>
      <w:ind w:firstLine="560" w:firstLineChars="200"/>
    </w:pPr>
    <w:rPr>
      <w:rFonts w:ascii="宋体" w:cs="宋体"/>
      <w:kern w:val="0"/>
      <w:sz w:val="28"/>
      <w:szCs w:val="28"/>
    </w:rPr>
  </w:style>
  <w:style w:type="paragraph" w:customStyle="1" w:styleId="2594">
    <w:name w:val="headi"/>
    <w:basedOn w:val="1"/>
    <w:next w:val="1"/>
    <w:qFormat/>
    <w:uiPriority w:val="0"/>
    <w:pPr>
      <w:keepNext/>
      <w:keepLines/>
      <w:tabs>
        <w:tab w:val="left" w:pos="1200"/>
      </w:tabs>
      <w:adjustRightInd w:val="0"/>
      <w:spacing w:line="360" w:lineRule="auto"/>
      <w:ind w:left="1200" w:hanging="360"/>
      <w:textAlignment w:val="baseline"/>
    </w:pPr>
    <w:rPr>
      <w:rFonts w:ascii="宋体" w:hAnsi="Arial Black"/>
      <w:kern w:val="0"/>
      <w:sz w:val="34"/>
      <w:szCs w:val="20"/>
    </w:rPr>
  </w:style>
  <w:style w:type="paragraph" w:customStyle="1" w:styleId="2595">
    <w:name w:val="标题16.1.1.1"/>
    <w:basedOn w:val="10"/>
    <w:qFormat/>
    <w:uiPriority w:val="0"/>
    <w:pPr>
      <w:widowControl w:val="0"/>
      <w:numPr>
        <w:numId w:val="45"/>
      </w:numPr>
      <w:tabs>
        <w:tab w:val="left" w:pos="1680"/>
        <w:tab w:val="left" w:pos="1800"/>
      </w:tabs>
      <w:spacing w:before="120" w:after="120" w:line="312" w:lineRule="auto"/>
      <w:jc w:val="both"/>
    </w:pPr>
    <w:rPr>
      <w:rFonts w:eastAsia="黑体" w:cs="Times New Roman"/>
      <w:sz w:val="20"/>
      <w:szCs w:val="20"/>
    </w:rPr>
  </w:style>
  <w:style w:type="paragraph" w:customStyle="1" w:styleId="2596">
    <w:name w:val="样式 样式 样式 样式 样式 样式 样式 五号 居中 行距: 固定值 18 磅 + 首行缩进:  2 字符 + 小五 + 首行缩..."/>
    <w:basedOn w:val="2597"/>
    <w:unhideWhenUsed/>
    <w:qFormat/>
    <w:uiPriority w:val="0"/>
  </w:style>
  <w:style w:type="paragraph" w:customStyle="1" w:styleId="2597">
    <w:name w:val="样式 样式 样式 样式 样式 样式 五号 居中 行距: 固定值 18 磅 + 首行缩进:  2 字符 + 小五 + 首行缩进: ..."/>
    <w:basedOn w:val="1603"/>
    <w:unhideWhenUsed/>
    <w:qFormat/>
    <w:uiPriority w:val="0"/>
  </w:style>
  <w:style w:type="paragraph" w:customStyle="1" w:styleId="2598">
    <w:name w:val="Char Char Char1 Char Char Char1 Char Char Char1 Char Char Char Char1"/>
    <w:basedOn w:val="1"/>
    <w:qFormat/>
    <w:uiPriority w:val="0"/>
    <w:pPr>
      <w:spacing w:line="240" w:lineRule="exact"/>
      <w:ind w:firstLine="200" w:firstLineChars="200"/>
    </w:pPr>
    <w:rPr>
      <w:rFonts w:ascii="宋体"/>
      <w:kern w:val="0"/>
      <w:sz w:val="28"/>
      <w:szCs w:val="28"/>
    </w:rPr>
  </w:style>
  <w:style w:type="paragraph" w:customStyle="1" w:styleId="2599">
    <w:name w:val="nr"/>
    <w:basedOn w:val="1"/>
    <w:qFormat/>
    <w:uiPriority w:val="0"/>
    <w:pPr>
      <w:widowControl/>
      <w:spacing w:before="100" w:beforeAutospacing="1" w:after="100" w:afterAutospacing="1" w:line="320" w:lineRule="atLeast"/>
      <w:jc w:val="left"/>
    </w:pPr>
    <w:rPr>
      <w:rFonts w:hint="eastAsia" w:ascii="宋体" w:hAnsi="宋体"/>
      <w:color w:val="000000"/>
      <w:kern w:val="0"/>
      <w:sz w:val="22"/>
      <w:szCs w:val="22"/>
    </w:rPr>
  </w:style>
  <w:style w:type="paragraph" w:customStyle="1" w:styleId="2600">
    <w:name w:val="Char Char Char Char Char Char Char Char Char1 Char Char Char Char2"/>
    <w:basedOn w:val="1"/>
    <w:qFormat/>
    <w:uiPriority w:val="0"/>
    <w:rPr>
      <w:rFonts w:ascii="宋体"/>
      <w:kern w:val="0"/>
      <w:szCs w:val="21"/>
    </w:rPr>
  </w:style>
  <w:style w:type="paragraph" w:customStyle="1" w:styleId="2601">
    <w:name w:val="表格标题11"/>
    <w:basedOn w:val="63"/>
    <w:semiHidden/>
    <w:qFormat/>
    <w:uiPriority w:val="0"/>
    <w:pPr>
      <w:numPr>
        <w:ilvl w:val="0"/>
        <w:numId w:val="46"/>
      </w:numPr>
      <w:pBdr>
        <w:top w:val="single" w:color="auto" w:sz="4" w:space="1"/>
      </w:pBdr>
      <w:tabs>
        <w:tab w:val="left" w:pos="0"/>
      </w:tabs>
      <w:adjustRightInd w:val="0"/>
      <w:spacing w:after="0" w:line="240" w:lineRule="atLeast"/>
      <w:ind w:left="0" w:leftChars="0"/>
      <w:jc w:val="center"/>
    </w:pPr>
    <w:rPr>
      <w:b/>
      <w:sz w:val="24"/>
    </w:rPr>
  </w:style>
  <w:style w:type="paragraph" w:customStyle="1" w:styleId="2602">
    <w:name w:val="CM38"/>
    <w:basedOn w:val="2"/>
    <w:next w:val="2"/>
    <w:semiHidden/>
    <w:qFormat/>
    <w:uiPriority w:val="0"/>
    <w:pPr>
      <w:adjustRightInd/>
    </w:pPr>
    <w:rPr>
      <w:rFonts w:hint="eastAsia" w:ascii="仿宋" w:hAnsi="仿宋" w:eastAsia="仿宋" w:cs="Times New Roman"/>
      <w:szCs w:val="20"/>
    </w:rPr>
  </w:style>
  <w:style w:type="paragraph" w:customStyle="1" w:styleId="2603">
    <w:name w:val="注解"/>
    <w:qFormat/>
    <w:uiPriority w:val="0"/>
    <w:pPr>
      <w:widowControl w:val="0"/>
      <w:jc w:val="center"/>
    </w:pPr>
    <w:rPr>
      <w:rFonts w:ascii="宋体" w:hAnsi="Arial Black" w:eastAsia="宋体" w:cs="Times New Roman"/>
      <w:kern w:val="2"/>
      <w:sz w:val="21"/>
      <w:lang w:val="en-US" w:eastAsia="zh-CN" w:bidi="ar-SA"/>
    </w:rPr>
  </w:style>
  <w:style w:type="paragraph" w:customStyle="1" w:styleId="260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605">
    <w:name w:val="13"/>
    <w:basedOn w:val="1"/>
    <w:next w:val="54"/>
    <w:qFormat/>
    <w:uiPriority w:val="0"/>
    <w:pPr>
      <w:ind w:left="145" w:firstLine="280"/>
    </w:pPr>
    <w:rPr>
      <w:rFonts w:ascii="宋体"/>
      <w:kern w:val="0"/>
      <w:sz w:val="28"/>
      <w:szCs w:val="20"/>
    </w:rPr>
  </w:style>
  <w:style w:type="paragraph" w:customStyle="1" w:styleId="2606">
    <w:name w:val="CM65"/>
    <w:basedOn w:val="2"/>
    <w:next w:val="2"/>
    <w:semiHidden/>
    <w:qFormat/>
    <w:uiPriority w:val="0"/>
    <w:pPr>
      <w:adjustRightInd/>
    </w:pPr>
    <w:rPr>
      <w:rFonts w:hint="eastAsia" w:ascii="仿宋" w:hAnsi="仿宋" w:eastAsia="仿宋" w:cs="Times New Roman"/>
      <w:szCs w:val="20"/>
    </w:rPr>
  </w:style>
  <w:style w:type="paragraph" w:customStyle="1" w:styleId="2607">
    <w:name w:val="谏壁表头（chen）"/>
    <w:basedOn w:val="1"/>
    <w:qFormat/>
    <w:uiPriority w:val="0"/>
    <w:pPr>
      <w:spacing w:line="360" w:lineRule="auto"/>
      <w:jc w:val="center"/>
    </w:pPr>
    <w:rPr>
      <w:rFonts w:ascii="宋体"/>
      <w:b/>
      <w:bCs/>
      <w:kern w:val="0"/>
      <w:sz w:val="34"/>
      <w:szCs w:val="20"/>
    </w:rPr>
  </w:style>
  <w:style w:type="paragraph" w:customStyle="1" w:styleId="2608">
    <w:name w:val="样式 标题 2节标题 1.1b21.1标题2标题 1.1标题 yjm2第一章 标题 2Heading 2 Hidd..."/>
    <w:basedOn w:val="8"/>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2609">
    <w:name w:val="小4黑居中行1"/>
    <w:qFormat/>
    <w:uiPriority w:val="0"/>
    <w:pPr>
      <w:spacing w:line="360" w:lineRule="auto"/>
      <w:jc w:val="center"/>
    </w:pPr>
    <w:rPr>
      <w:rFonts w:ascii="Times New Roman" w:hAnsi="Times New Roman" w:eastAsia="宋体" w:cs="Times New Roman"/>
      <w:kern w:val="2"/>
      <w:sz w:val="21"/>
      <w:szCs w:val="21"/>
      <w:lang w:val="en-US" w:eastAsia="zh-CN" w:bidi="ar-SA"/>
    </w:rPr>
  </w:style>
  <w:style w:type="paragraph" w:customStyle="1" w:styleId="2610">
    <w:name w:val="Char Char1 Char Char Char Char Char Char"/>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2611">
    <w:name w:val="p0"/>
    <w:basedOn w:val="1"/>
    <w:qFormat/>
    <w:uiPriority w:val="0"/>
    <w:pPr>
      <w:widowControl/>
    </w:pPr>
    <w:rPr>
      <w:rFonts w:ascii="宋体"/>
      <w:kern w:val="0"/>
      <w:szCs w:val="21"/>
    </w:rPr>
  </w:style>
  <w:style w:type="paragraph" w:customStyle="1" w:styleId="2612">
    <w:name w:val="表格题目"/>
    <w:basedOn w:val="1"/>
    <w:qFormat/>
    <w:uiPriority w:val="0"/>
    <w:pPr>
      <w:shd w:val="clear" w:color="auto" w:fill="FFFFFF"/>
      <w:adjustRightInd w:val="0"/>
      <w:snapToGrid w:val="0"/>
      <w:spacing w:line="360" w:lineRule="auto"/>
      <w:jc w:val="center"/>
    </w:pPr>
    <w:rPr>
      <w:rFonts w:ascii="黑体" w:eastAsia="黑体"/>
      <w:b/>
      <w:color w:val="0000FF"/>
      <w:kern w:val="0"/>
      <w:sz w:val="34"/>
      <w:szCs w:val="20"/>
    </w:rPr>
  </w:style>
  <w:style w:type="paragraph" w:customStyle="1" w:styleId="2613">
    <w:name w:val="样式 样式1 + 首行缩进:  2 字符1"/>
    <w:basedOn w:val="1"/>
    <w:semiHidden/>
    <w:qFormat/>
    <w:uiPriority w:val="0"/>
    <w:pPr>
      <w:keepNext/>
      <w:keepLines/>
      <w:spacing w:line="360" w:lineRule="auto"/>
      <w:ind w:firstLine="480" w:firstLineChars="200"/>
    </w:pPr>
    <w:rPr>
      <w:rFonts w:cs="宋体"/>
      <w:kern w:val="0"/>
      <w:sz w:val="24"/>
      <w:szCs w:val="20"/>
    </w:rPr>
  </w:style>
  <w:style w:type="paragraph" w:customStyle="1" w:styleId="2614">
    <w:name w:val="表格1 Char"/>
    <w:basedOn w:val="1"/>
    <w:qFormat/>
    <w:uiPriority w:val="0"/>
    <w:pPr>
      <w:spacing w:before="280" w:after="60"/>
      <w:jc w:val="center"/>
    </w:pPr>
    <w:rPr>
      <w:rFonts w:ascii="宋体"/>
      <w:kern w:val="0"/>
      <w:sz w:val="34"/>
      <w:szCs w:val="20"/>
    </w:rPr>
  </w:style>
  <w:style w:type="paragraph" w:customStyle="1" w:styleId="2615">
    <w:name w:val="a3"/>
    <w:basedOn w:val="1"/>
    <w:semiHidden/>
    <w:qFormat/>
    <w:uiPriority w:val="0"/>
    <w:pPr>
      <w:widowControl/>
      <w:spacing w:before="100" w:beforeAutospacing="1" w:after="100" w:afterAutospacing="1"/>
      <w:jc w:val="left"/>
    </w:pPr>
    <w:rPr>
      <w:rFonts w:ascii="Arial Unicode MS" w:hAnsi="Arial Unicode MS" w:eastAsia="Arial Unicode MS" w:cs="Arial Unicode MS"/>
      <w:color w:val="000000"/>
      <w:kern w:val="0"/>
      <w:sz w:val="34"/>
      <w:szCs w:val="20"/>
    </w:rPr>
  </w:style>
  <w:style w:type="paragraph" w:customStyle="1" w:styleId="2616">
    <w:name w:val="Char5 Char Char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2617">
    <w:name w:val="样式 黑体 小三 左 行距: 固定值 26 磅"/>
    <w:basedOn w:val="7"/>
    <w:qFormat/>
    <w:uiPriority w:val="0"/>
    <w:pPr>
      <w:keepLines/>
      <w:overflowPunct/>
      <w:snapToGrid/>
      <w:spacing w:after="120" w:line="520" w:lineRule="exact"/>
      <w:jc w:val="left"/>
    </w:pPr>
    <w:rPr>
      <w:rFonts w:ascii="黑体" w:hAnsi="宋体" w:cs="宋体"/>
      <w:color w:val="auto"/>
      <w:szCs w:val="20"/>
    </w:rPr>
  </w:style>
  <w:style w:type="paragraph" w:customStyle="1" w:styleId="2618">
    <w:name w:val="CM110"/>
    <w:basedOn w:val="2"/>
    <w:next w:val="2"/>
    <w:qFormat/>
    <w:uiPriority w:val="0"/>
    <w:pPr>
      <w:spacing w:after="115"/>
    </w:pPr>
    <w:rPr>
      <w:rFonts w:ascii="黑体" w:eastAsia="黑体" w:cs="Times New Roman"/>
      <w:color w:val="auto"/>
    </w:rPr>
  </w:style>
  <w:style w:type="paragraph" w:customStyle="1" w:styleId="2619">
    <w:name w:val="肖丽"/>
    <w:basedOn w:val="2477"/>
    <w:semiHidden/>
    <w:qFormat/>
    <w:uiPriority w:val="0"/>
    <w:pPr>
      <w:autoSpaceDE w:val="0"/>
      <w:autoSpaceDN w:val="0"/>
      <w:adjustRightInd w:val="0"/>
      <w:spacing w:before="0" w:after="0"/>
      <w:ind w:firstLine="0"/>
      <w:jc w:val="center"/>
    </w:pPr>
    <w:rPr>
      <w:rFonts w:ascii="宋体" w:hAnsi="宋体"/>
      <w:kern w:val="0"/>
      <w:sz w:val="21"/>
      <w:szCs w:val="21"/>
    </w:rPr>
  </w:style>
  <w:style w:type="paragraph" w:customStyle="1" w:styleId="2620">
    <w:name w:val="Char Char Char Char1"/>
    <w:basedOn w:val="1"/>
    <w:qFormat/>
    <w:uiPriority w:val="0"/>
    <w:rPr>
      <w:rFonts w:ascii="宋体"/>
      <w:kern w:val="0"/>
      <w:sz w:val="34"/>
      <w:szCs w:val="20"/>
    </w:rPr>
  </w:style>
  <w:style w:type="paragraph" w:customStyle="1" w:styleId="2621">
    <w:name w:val="xl91"/>
    <w:basedOn w:val="1"/>
    <w:qFormat/>
    <w:uiPriority w:val="0"/>
    <w:pPr>
      <w:widowControl/>
      <w:pBdr>
        <w:top w:val="single" w:color="auto" w:sz="8" w:space="0"/>
        <w:bottom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622">
    <w:name w:val="样式 题注 + 首行缩进:  2 字符"/>
    <w:basedOn w:val="25"/>
    <w:qFormat/>
    <w:uiPriority w:val="0"/>
    <w:pPr>
      <w:spacing w:before="100" w:beforeAutospacing="1" w:after="160" w:line="360" w:lineRule="auto"/>
      <w:ind w:firstLine="400" w:firstLineChars="200"/>
      <w:jc w:val="both"/>
    </w:pPr>
    <w:rPr>
      <w:rFonts w:ascii="Arial" w:hAnsi="Arial" w:eastAsia="黑体" w:cs="宋体"/>
      <w:b w:val="0"/>
      <w:sz w:val="21"/>
    </w:rPr>
  </w:style>
  <w:style w:type="paragraph" w:customStyle="1" w:styleId="2623">
    <w:name w:val="样式 生物附录 + 小四 段前: 6 磅 段后: 6 磅 非加宽量 / 紧缩量  行距: 1.5 倍行距1"/>
    <w:basedOn w:val="1"/>
    <w:qFormat/>
    <w:uiPriority w:val="0"/>
    <w:pPr>
      <w:widowControl/>
      <w:spacing w:before="120" w:after="120" w:line="360" w:lineRule="auto"/>
    </w:pPr>
    <w:rPr>
      <w:rFonts w:ascii="宋体"/>
      <w:b/>
      <w:bCs/>
      <w:kern w:val="0"/>
      <w:sz w:val="34"/>
      <w:szCs w:val="20"/>
    </w:rPr>
  </w:style>
  <w:style w:type="paragraph" w:customStyle="1" w:styleId="2624">
    <w:name w:val="正方居中"/>
    <w:basedOn w:val="1"/>
    <w:qFormat/>
    <w:uiPriority w:val="0"/>
    <w:pPr>
      <w:spacing w:line="360" w:lineRule="auto"/>
      <w:ind w:firstLine="510"/>
      <w:jc w:val="center"/>
    </w:pPr>
    <w:rPr>
      <w:rFonts w:ascii="宋体"/>
      <w:kern w:val="0"/>
      <w:sz w:val="34"/>
      <w:szCs w:val="20"/>
    </w:rPr>
  </w:style>
  <w:style w:type="paragraph" w:customStyle="1" w:styleId="2625">
    <w:name w:val="Char Char Char Char Char Char Char Char Char Char2"/>
    <w:basedOn w:val="1"/>
    <w:qFormat/>
    <w:uiPriority w:val="0"/>
    <w:pPr>
      <w:tabs>
        <w:tab w:val="left" w:pos="1224"/>
      </w:tabs>
      <w:snapToGrid w:val="0"/>
      <w:spacing w:line="360" w:lineRule="auto"/>
      <w:ind w:left="1224" w:hanging="720"/>
    </w:pPr>
    <w:rPr>
      <w:rFonts w:ascii="宋体" w:eastAsia="仿宋_GB2312" w:cs="宋体"/>
      <w:kern w:val="0"/>
      <w:sz w:val="34"/>
      <w:szCs w:val="20"/>
    </w:rPr>
  </w:style>
  <w:style w:type="paragraph" w:customStyle="1" w:styleId="2626">
    <w:name w:val="样式 标题1 + 段前: 0.5 行 段后: 0.5 行1"/>
    <w:basedOn w:val="7"/>
    <w:semiHidden/>
    <w:qFormat/>
    <w:uiPriority w:val="0"/>
    <w:pPr>
      <w:keepLines/>
      <w:widowControl/>
      <w:overflowPunct/>
      <w:snapToGrid/>
      <w:spacing w:before="340" w:beforeLines="50" w:after="330" w:afterLines="50" w:line="240" w:lineRule="auto"/>
      <w:ind w:left="0" w:firstLine="482"/>
      <w:jc w:val="left"/>
    </w:pPr>
    <w:rPr>
      <w:rFonts w:ascii="宋体" w:hAnsi="宋体" w:cs="宋体"/>
      <w:color w:val="auto"/>
      <w:sz w:val="36"/>
      <w:szCs w:val="20"/>
    </w:rPr>
  </w:style>
  <w:style w:type="paragraph" w:customStyle="1" w:styleId="2627">
    <w:name w:val="TOC 标题5"/>
    <w:basedOn w:val="7"/>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2628">
    <w:name w:val="连云港标题3"/>
    <w:basedOn w:val="9"/>
    <w:qFormat/>
    <w:uiPriority w:val="0"/>
    <w:pPr>
      <w:widowControl w:val="0"/>
      <w:numPr>
        <w:ilvl w:val="0"/>
        <w:numId w:val="0"/>
      </w:numPr>
      <w:jc w:val="both"/>
    </w:pPr>
    <w:rPr>
      <w:rFonts w:cs="Times New Roman"/>
      <w:b/>
      <w:bCs w:val="0"/>
      <w:sz w:val="30"/>
      <w:szCs w:val="20"/>
    </w:rPr>
  </w:style>
  <w:style w:type="paragraph" w:customStyle="1" w:styleId="2629">
    <w:name w:val="样式 列表编号 + 居中4"/>
    <w:basedOn w:val="24"/>
    <w:qFormat/>
    <w:uiPriority w:val="0"/>
    <w:pPr>
      <w:widowControl w:val="0"/>
      <w:tabs>
        <w:tab w:val="left" w:pos="5000"/>
        <w:tab w:val="clear" w:pos="360"/>
      </w:tabs>
      <w:spacing w:before="120" w:after="120" w:line="360" w:lineRule="auto"/>
      <w:ind w:left="4280" w:firstLine="0"/>
      <w:jc w:val="center"/>
    </w:pPr>
    <w:rPr>
      <w:rFonts w:cs="Times New Roman"/>
      <w:kern w:val="2"/>
      <w:sz w:val="21"/>
      <w:szCs w:val="28"/>
    </w:rPr>
  </w:style>
  <w:style w:type="paragraph" w:customStyle="1" w:styleId="2630">
    <w:name w:val="附录表标题"/>
    <w:next w:val="213"/>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2631">
    <w:name w:val="16.5.2.1"/>
    <w:basedOn w:val="653"/>
    <w:qFormat/>
    <w:uiPriority w:val="0"/>
    <w:pPr>
      <w:numPr>
        <w:ilvl w:val="0"/>
        <w:numId w:val="47"/>
      </w:numPr>
      <w:tabs>
        <w:tab w:val="left" w:pos="360"/>
        <w:tab w:val="left" w:pos="2160"/>
        <w:tab w:val="left" w:pos="3147"/>
        <w:tab w:val="clear" w:pos="726"/>
        <w:tab w:val="clear" w:pos="1800"/>
      </w:tabs>
      <w:spacing w:after="0"/>
      <w:ind w:left="2160"/>
    </w:pPr>
    <w:rPr>
      <w:b w:val="0"/>
    </w:rPr>
  </w:style>
  <w:style w:type="paragraph" w:customStyle="1" w:styleId="2632">
    <w:name w:val="标题12.3.1"/>
    <w:basedOn w:val="9"/>
    <w:qFormat/>
    <w:uiPriority w:val="0"/>
    <w:pPr>
      <w:widowControl w:val="0"/>
      <w:numPr>
        <w:ilvl w:val="0"/>
        <w:numId w:val="0"/>
      </w:numPr>
      <w:tabs>
        <w:tab w:val="left" w:pos="709"/>
        <w:tab w:val="left" w:pos="1740"/>
      </w:tabs>
      <w:spacing w:after="120" w:line="324" w:lineRule="auto"/>
      <w:ind w:left="709" w:hanging="709"/>
      <w:jc w:val="both"/>
    </w:pPr>
    <w:rPr>
      <w:rFonts w:cs="Times New Roman"/>
      <w:color w:val="FF0000"/>
      <w:sz w:val="30"/>
      <w:szCs w:val="30"/>
    </w:rPr>
  </w:style>
  <w:style w:type="paragraph" w:customStyle="1" w:styleId="2633">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宋体"/>
      <w:i/>
      <w:spacing w:val="20"/>
      <w:kern w:val="0"/>
      <w:sz w:val="34"/>
      <w:szCs w:val="20"/>
    </w:rPr>
  </w:style>
  <w:style w:type="paragraph" w:customStyle="1" w:styleId="2634">
    <w:name w:val="文件编号"/>
    <w:basedOn w:val="1"/>
    <w:next w:val="1"/>
    <w:qFormat/>
    <w:uiPriority w:val="0"/>
    <w:pPr>
      <w:jc w:val="center"/>
    </w:pPr>
    <w:rPr>
      <w:rFonts w:ascii="黑体" w:eastAsia="黑体"/>
      <w:kern w:val="0"/>
      <w:sz w:val="44"/>
      <w:szCs w:val="44"/>
    </w:rPr>
  </w:style>
  <w:style w:type="paragraph" w:customStyle="1" w:styleId="2635">
    <w:name w:val="Char Char11"/>
    <w:basedOn w:val="1"/>
    <w:qFormat/>
    <w:uiPriority w:val="0"/>
    <w:rPr>
      <w:rFonts w:ascii="宋体"/>
      <w:kern w:val="0"/>
      <w:szCs w:val="20"/>
    </w:rPr>
  </w:style>
  <w:style w:type="paragraph" w:customStyle="1" w:styleId="2636">
    <w:name w:val="Char Char5 Char Char"/>
    <w:basedOn w:val="1"/>
    <w:qFormat/>
    <w:uiPriority w:val="0"/>
    <w:pPr>
      <w:spacing w:line="360" w:lineRule="auto"/>
      <w:ind w:firstLine="200" w:firstLineChars="200"/>
    </w:pPr>
    <w:rPr>
      <w:rFonts w:ascii="宋体" w:hAnsi="宋体" w:cs="宋体"/>
      <w:kern w:val="0"/>
      <w:sz w:val="34"/>
      <w:szCs w:val="20"/>
    </w:rPr>
  </w:style>
  <w:style w:type="paragraph" w:customStyle="1" w:styleId="2637">
    <w:name w:val="xl61"/>
    <w:basedOn w:val="1"/>
    <w:qFormat/>
    <w:uiPriority w:val="0"/>
    <w:pPr>
      <w:widowControl/>
      <w:pBdr>
        <w:top w:val="single" w:color="000000" w:sz="8" w:space="0"/>
        <w:left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638">
    <w:name w:val="样式 标题 2 + 段前: 0.25 行 段后: 0.25 行"/>
    <w:basedOn w:val="8"/>
    <w:qFormat/>
    <w:uiPriority w:val="0"/>
    <w:pPr>
      <w:widowControl w:val="0"/>
      <w:numPr>
        <w:ilvl w:val="0"/>
        <w:numId w:val="0"/>
      </w:numPr>
      <w:suppressLineNumbers/>
      <w:tabs>
        <w:tab w:val="left" w:pos="567"/>
      </w:tabs>
      <w:suppressAutoHyphens/>
      <w:adjustRightInd w:val="0"/>
      <w:snapToGrid w:val="0"/>
      <w:spacing w:before="260" w:beforeLines="25" w:after="260" w:afterLines="25"/>
      <w:jc w:val="both"/>
      <w:textAlignment w:val="baseline"/>
    </w:pPr>
    <w:rPr>
      <w:rFonts w:ascii="宋体" w:hAnsi="宋体" w:cs="Times New Roman"/>
      <w:snapToGrid w:val="0"/>
      <w:color w:val="000000"/>
      <w:sz w:val="21"/>
    </w:rPr>
  </w:style>
  <w:style w:type="paragraph" w:customStyle="1" w:styleId="2639">
    <w:name w:val="湛江标题4"/>
    <w:basedOn w:val="10"/>
    <w:qFormat/>
    <w:uiPriority w:val="0"/>
    <w:pPr>
      <w:widowControl w:val="0"/>
      <w:numPr>
        <w:ilvl w:val="0"/>
        <w:numId w:val="0"/>
      </w:numPr>
      <w:spacing w:line="240" w:lineRule="auto"/>
      <w:ind w:firstLine="482"/>
      <w:jc w:val="both"/>
    </w:pPr>
    <w:rPr>
      <w:rFonts w:ascii="宋体" w:hAnsi="宋体" w:eastAsia="黑体" w:cs="Times New Roman"/>
      <w:sz w:val="30"/>
    </w:rPr>
  </w:style>
  <w:style w:type="paragraph" w:customStyle="1" w:styleId="2640">
    <w:name w:val="Char Char Char1 Char2"/>
    <w:basedOn w:val="1"/>
    <w:qFormat/>
    <w:uiPriority w:val="0"/>
    <w:rPr>
      <w:rFonts w:ascii="宋体"/>
      <w:kern w:val="0"/>
      <w:sz w:val="34"/>
      <w:szCs w:val="20"/>
    </w:rPr>
  </w:style>
  <w:style w:type="paragraph" w:customStyle="1" w:styleId="2641">
    <w:name w:val="样式 表格标题 + 黑体"/>
    <w:basedOn w:val="11"/>
    <w:unhideWhenUsed/>
    <w:qFormat/>
    <w:uiPriority w:val="0"/>
    <w:pPr>
      <w:numPr>
        <w:ilvl w:val="0"/>
        <w:numId w:val="0"/>
      </w:numPr>
      <w:spacing w:before="120" w:beforeLines="50" w:after="120" w:afterLines="50" w:line="360" w:lineRule="auto"/>
      <w:jc w:val="center"/>
      <w:outlineLvl w:val="9"/>
    </w:pPr>
    <w:rPr>
      <w:rFonts w:ascii="黑体" w:hAnsi="黑体" w:eastAsia="黑体"/>
      <w:b w:val="0"/>
      <w:bCs w:val="0"/>
      <w:kern w:val="44"/>
    </w:rPr>
  </w:style>
  <w:style w:type="paragraph" w:customStyle="1" w:styleId="2642">
    <w:name w:val="w4"/>
    <w:basedOn w:val="1"/>
    <w:semiHidden/>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2643">
    <w:name w:val="表格标题—小四"/>
    <w:basedOn w:val="1"/>
    <w:unhideWhenUsed/>
    <w:qFormat/>
    <w:uiPriority w:val="0"/>
    <w:pPr>
      <w:spacing w:before="100" w:beforeAutospacing="1" w:after="100" w:afterAutospacing="1" w:line="312" w:lineRule="auto"/>
      <w:ind w:left="578" w:hanging="578"/>
      <w:jc w:val="center"/>
    </w:pPr>
    <w:rPr>
      <w:rFonts w:ascii="宋体"/>
      <w:b/>
      <w:kern w:val="0"/>
      <w:szCs w:val="21"/>
    </w:rPr>
  </w:style>
  <w:style w:type="paragraph" w:customStyle="1" w:styleId="2644">
    <w:name w:val="样式11"/>
    <w:basedOn w:val="1"/>
    <w:qFormat/>
    <w:uiPriority w:val="0"/>
    <w:pPr>
      <w:tabs>
        <w:tab w:val="left" w:pos="360"/>
        <w:tab w:val="left" w:pos="720"/>
      </w:tabs>
      <w:adjustRightInd w:val="0"/>
      <w:snapToGrid w:val="0"/>
      <w:spacing w:line="312" w:lineRule="auto"/>
      <w:ind w:left="360" w:hanging="360" w:hangingChars="200"/>
    </w:pPr>
    <w:rPr>
      <w:rFonts w:ascii="仿宋_GB2312" w:eastAsia="仿宋_GB2312"/>
      <w:kern w:val="0"/>
      <w:sz w:val="28"/>
      <w:szCs w:val="20"/>
    </w:rPr>
  </w:style>
  <w:style w:type="paragraph" w:customStyle="1" w:styleId="2645">
    <w:name w:val="CM23"/>
    <w:basedOn w:val="2"/>
    <w:next w:val="2"/>
    <w:semiHidden/>
    <w:qFormat/>
    <w:uiPriority w:val="0"/>
    <w:pPr>
      <w:adjustRightInd/>
    </w:pPr>
    <w:rPr>
      <w:rFonts w:hint="eastAsia" w:ascii="仿宋" w:hAnsi="仿宋" w:eastAsia="仿宋" w:cs="Times New Roman"/>
      <w:szCs w:val="20"/>
    </w:rPr>
  </w:style>
  <w:style w:type="paragraph" w:customStyle="1" w:styleId="2646">
    <w:name w:val="干"/>
    <w:basedOn w:val="1"/>
    <w:qFormat/>
    <w:uiPriority w:val="0"/>
    <w:pPr>
      <w:tabs>
        <w:tab w:val="left" w:pos="360"/>
        <w:tab w:val="left" w:pos="510"/>
        <w:tab w:val="left" w:pos="1080"/>
      </w:tabs>
      <w:adjustRightInd w:val="0"/>
      <w:spacing w:line="460" w:lineRule="exact"/>
      <w:ind w:left="360" w:hanging="360"/>
      <w:jc w:val="left"/>
      <w:textAlignment w:val="baseline"/>
    </w:pPr>
    <w:rPr>
      <w:rFonts w:ascii="宋体"/>
      <w:kern w:val="0"/>
      <w:sz w:val="34"/>
      <w:szCs w:val="20"/>
    </w:rPr>
  </w:style>
  <w:style w:type="paragraph" w:customStyle="1" w:styleId="2647">
    <w:name w:val="样式 标题 4 + 四号 段前: 1 行"/>
    <w:basedOn w:val="10"/>
    <w:qFormat/>
    <w:uiPriority w:val="0"/>
    <w:pPr>
      <w:numPr>
        <w:numId w:val="48"/>
      </w:numPr>
      <w:tabs>
        <w:tab w:val="left" w:pos="2880"/>
      </w:tabs>
      <w:spacing w:before="280" w:beforeLines="100" w:line="420" w:lineRule="exact"/>
      <w:ind w:left="560" w:firstLine="0"/>
      <w:jc w:val="both"/>
    </w:pPr>
    <w:rPr>
      <w:rFonts w:eastAsia="黑体" w:cs="Times New Roman"/>
      <w:b w:val="0"/>
      <w:bCs w:val="0"/>
      <w:sz w:val="28"/>
      <w:szCs w:val="20"/>
    </w:rPr>
  </w:style>
  <w:style w:type="paragraph" w:customStyle="1" w:styleId="2648">
    <w:name w:val="2"/>
    <w:basedOn w:val="1"/>
    <w:next w:val="6"/>
    <w:qFormat/>
    <w:uiPriority w:val="0"/>
    <w:pPr>
      <w:spacing w:line="360" w:lineRule="auto"/>
      <w:ind w:firstLine="480" w:firstLineChars="200"/>
    </w:pPr>
    <w:rPr>
      <w:rFonts w:ascii="宋体"/>
      <w:kern w:val="0"/>
      <w:sz w:val="34"/>
      <w:szCs w:val="20"/>
    </w:rPr>
  </w:style>
  <w:style w:type="paragraph" w:customStyle="1" w:styleId="2649">
    <w:name w:val="Char2 Char Char Char3"/>
    <w:basedOn w:val="1"/>
    <w:qFormat/>
    <w:uiPriority w:val="0"/>
    <w:pPr>
      <w:tabs>
        <w:tab w:val="left" w:pos="1360"/>
      </w:tabs>
      <w:ind w:left="1360" w:hanging="720"/>
    </w:pPr>
    <w:rPr>
      <w:rFonts w:ascii="宋体"/>
      <w:kern w:val="0"/>
      <w:szCs w:val="20"/>
    </w:rPr>
  </w:style>
  <w:style w:type="paragraph" w:customStyle="1" w:styleId="265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651">
    <w:name w:val="Char3 Char Char Char"/>
    <w:basedOn w:val="1"/>
    <w:qFormat/>
    <w:uiPriority w:val="0"/>
    <w:pPr>
      <w:spacing w:line="340" w:lineRule="exact"/>
      <w:ind w:firstLine="10" w:firstLineChars="4"/>
    </w:pPr>
    <w:rPr>
      <w:rFonts w:ascii="宋体"/>
      <w:kern w:val="0"/>
      <w:sz w:val="28"/>
      <w:szCs w:val="28"/>
    </w:rPr>
  </w:style>
  <w:style w:type="paragraph" w:customStyle="1" w:styleId="2652">
    <w:name w:val="样式 正文首行缩进 2 + 宋体 小四 首行缩进:  2 字符 段后: 0 磅 行距: 1.5 倍行距1"/>
    <w:basedOn w:val="4"/>
    <w:qFormat/>
    <w:uiPriority w:val="0"/>
    <w:pPr>
      <w:spacing w:after="0" w:line="360" w:lineRule="auto"/>
      <w:ind w:left="0" w:leftChars="0" w:firstLine="200"/>
    </w:pPr>
    <w:rPr>
      <w:rFonts w:ascii="宋体" w:hAnsi="宋体" w:cs="宋体"/>
      <w:sz w:val="34"/>
      <w:szCs w:val="20"/>
    </w:rPr>
  </w:style>
  <w:style w:type="paragraph" w:customStyle="1" w:styleId="2653">
    <w:name w:val="xl184"/>
    <w:basedOn w:val="1"/>
    <w:qFormat/>
    <w:uiPriority w:val="0"/>
    <w:pPr>
      <w:widowControl/>
      <w:pBdr>
        <w:top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654">
    <w:name w:val="Char Char Char Char Char Char Char Char Char Char Char Char Char Char Char Char"/>
    <w:basedOn w:val="1"/>
    <w:qFormat/>
    <w:uiPriority w:val="0"/>
    <w:rPr>
      <w:rFonts w:ascii="宋体"/>
      <w:kern w:val="0"/>
      <w:sz w:val="34"/>
      <w:szCs w:val="20"/>
    </w:rPr>
  </w:style>
  <w:style w:type="paragraph" w:customStyle="1" w:styleId="2655">
    <w:name w:val="report name"/>
    <w:basedOn w:val="1"/>
    <w:qFormat/>
    <w:uiPriority w:val="0"/>
    <w:pPr>
      <w:spacing w:line="360" w:lineRule="auto"/>
      <w:jc w:val="center"/>
    </w:pPr>
    <w:rPr>
      <w:rFonts w:ascii="宋体" w:eastAsia="仿宋_GB2312"/>
      <w:b/>
      <w:kern w:val="0"/>
      <w:sz w:val="72"/>
      <w:szCs w:val="20"/>
    </w:rPr>
  </w:style>
  <w:style w:type="paragraph" w:customStyle="1" w:styleId="2656">
    <w:name w:val="Char Char Char Char Char Char Char Char Char Char Char Char Char Char Char Char Char Char Char Char Char Char Char Char Char Char Char Char Char Char Char Char Char Char Char Char Char Char Char Char1"/>
    <w:basedOn w:val="1"/>
    <w:qFormat/>
    <w:uiPriority w:val="0"/>
    <w:rPr>
      <w:rFonts w:ascii="宋体"/>
      <w:kern w:val="0"/>
      <w:sz w:val="34"/>
      <w:szCs w:val="20"/>
    </w:rPr>
  </w:style>
  <w:style w:type="paragraph" w:customStyle="1" w:styleId="2657">
    <w:name w:val="标题正1"/>
    <w:basedOn w:val="1"/>
    <w:qFormat/>
    <w:uiPriority w:val="0"/>
    <w:pPr>
      <w:spacing w:line="400" w:lineRule="exact"/>
      <w:jc w:val="center"/>
    </w:pPr>
    <w:rPr>
      <w:rFonts w:ascii="黑体" w:eastAsia="黑体"/>
      <w:kern w:val="0"/>
      <w:sz w:val="32"/>
      <w:szCs w:val="28"/>
    </w:rPr>
  </w:style>
  <w:style w:type="paragraph" w:customStyle="1" w:styleId="2658">
    <w:name w:val="Char Char Char Char Char 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659">
    <w:name w:val="样式 样式 样式 样式 标题 2 + 段前: 0.25 行 段后: 0.25 行 + 段前: 0.25 行 段后: 0.25 行..."/>
    <w:basedOn w:val="1"/>
    <w:qFormat/>
    <w:uiPriority w:val="0"/>
    <w:pPr>
      <w:keepNext/>
      <w:keepLines/>
      <w:tabs>
        <w:tab w:val="left" w:pos="992"/>
      </w:tabs>
      <w:adjustRightInd w:val="0"/>
      <w:snapToGrid w:val="0"/>
      <w:spacing w:beforeLines="25" w:afterLines="25" w:line="360" w:lineRule="auto"/>
      <w:ind w:left="992" w:hanging="567"/>
      <w:jc w:val="left"/>
      <w:outlineLvl w:val="1"/>
    </w:pPr>
    <w:rPr>
      <w:rFonts w:ascii="宋体" w:cs="宋体"/>
      <w:b/>
      <w:bCs/>
      <w:kern w:val="0"/>
      <w:sz w:val="34"/>
      <w:szCs w:val="20"/>
    </w:rPr>
  </w:style>
  <w:style w:type="paragraph" w:customStyle="1" w:styleId="2660">
    <w:name w:val="text-jj"/>
    <w:basedOn w:val="1"/>
    <w:qFormat/>
    <w:uiPriority w:val="0"/>
    <w:pPr>
      <w:widowControl/>
      <w:spacing w:before="100" w:beforeAutospacing="1" w:after="100" w:afterAutospacing="1" w:line="480" w:lineRule="auto"/>
      <w:jc w:val="left"/>
    </w:pPr>
    <w:rPr>
      <w:rFonts w:ascii="Arial Unicode MS" w:hAnsi="Arial Unicode MS" w:eastAsia="Arial Unicode MS" w:cs="Arial Unicode MS"/>
      <w:kern w:val="0"/>
      <w:sz w:val="34"/>
      <w:szCs w:val="20"/>
    </w:rPr>
  </w:style>
  <w:style w:type="paragraph" w:customStyle="1" w:styleId="2661">
    <w:name w:val="TOC 标题11"/>
    <w:basedOn w:val="7"/>
    <w:next w:val="1"/>
    <w:unhideWhenUsed/>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662">
    <w:name w:val="_Style 47"/>
    <w:basedOn w:val="1"/>
    <w:qFormat/>
    <w:uiPriority w:val="0"/>
    <w:pPr>
      <w:spacing w:before="120" w:after="120"/>
      <w:ind w:firstLine="567"/>
    </w:pPr>
    <w:rPr>
      <w:rFonts w:ascii="宋体"/>
      <w:kern w:val="0"/>
      <w:sz w:val="28"/>
      <w:szCs w:val="21"/>
    </w:rPr>
  </w:style>
  <w:style w:type="paragraph" w:customStyle="1" w:styleId="2663">
    <w:name w:val="表头lcc"/>
    <w:basedOn w:val="1"/>
    <w:qFormat/>
    <w:uiPriority w:val="0"/>
    <w:pPr>
      <w:adjustRightInd w:val="0"/>
      <w:spacing w:line="360" w:lineRule="auto"/>
      <w:ind w:firstLine="720" w:firstLineChars="200"/>
      <w:jc w:val="center"/>
      <w:textAlignment w:val="baseline"/>
    </w:pPr>
    <w:rPr>
      <w:b/>
      <w:kern w:val="0"/>
      <w:sz w:val="24"/>
      <w:szCs w:val="21"/>
    </w:rPr>
  </w:style>
  <w:style w:type="paragraph" w:customStyle="1" w:styleId="2664">
    <w:name w:val="xl200"/>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665">
    <w:name w:val="表前文字"/>
    <w:basedOn w:val="1"/>
    <w:qFormat/>
    <w:uiPriority w:val="0"/>
    <w:pPr>
      <w:spacing w:line="336" w:lineRule="auto"/>
      <w:jc w:val="center"/>
    </w:pPr>
    <w:rPr>
      <w:rFonts w:ascii="宋体" w:hAnsi="宋体"/>
      <w:bCs/>
      <w:kern w:val="0"/>
      <w:sz w:val="34"/>
      <w:szCs w:val="20"/>
    </w:rPr>
  </w:style>
  <w:style w:type="paragraph" w:customStyle="1" w:styleId="2666">
    <w:name w:val="南沙标题1"/>
    <w:basedOn w:val="7"/>
    <w:qFormat/>
    <w:uiPriority w:val="0"/>
    <w:pPr>
      <w:keepLines/>
      <w:overflowPunct/>
      <w:snapToGrid/>
      <w:spacing w:before="340" w:beforeLines="50" w:after="330" w:afterLines="50" w:line="240" w:lineRule="auto"/>
      <w:ind w:left="200" w:leftChars="200" w:firstLine="0"/>
      <w:jc w:val="left"/>
    </w:pPr>
    <w:rPr>
      <w:rFonts w:ascii="宋体" w:hAnsi="宋体"/>
      <w:color w:val="auto"/>
      <w:sz w:val="36"/>
      <w:szCs w:val="36"/>
    </w:rPr>
  </w:style>
  <w:style w:type="paragraph" w:customStyle="1" w:styleId="2667">
    <w:name w:val="列出段落2"/>
    <w:basedOn w:val="1"/>
    <w:qFormat/>
    <w:uiPriority w:val="0"/>
    <w:pPr>
      <w:ind w:firstLine="200" w:firstLineChars="200"/>
    </w:pPr>
    <w:rPr>
      <w:rFonts w:ascii="Calibri" w:hAnsi="Calibri"/>
      <w:kern w:val="0"/>
      <w:szCs w:val="22"/>
    </w:rPr>
  </w:style>
  <w:style w:type="paragraph" w:customStyle="1" w:styleId="2668">
    <w:name w:val="样式 样式 样式 标题 3 + 段前: 0.5 行 段后: 0.5 行 + 段前: 0.5 行 段后: 0.5 行 + 段前: ..."/>
    <w:basedOn w:val="1"/>
    <w:qFormat/>
    <w:uiPriority w:val="0"/>
    <w:pPr>
      <w:keepNext/>
      <w:keepLines/>
      <w:numPr>
        <w:ilvl w:val="2"/>
        <w:numId w:val="3"/>
      </w:numPr>
      <w:tabs>
        <w:tab w:val="left" w:pos="601"/>
        <w:tab w:val="left" w:pos="726"/>
      </w:tabs>
      <w:adjustRightInd w:val="0"/>
      <w:spacing w:beforeLines="50" w:afterLines="50" w:line="520" w:lineRule="exact"/>
      <w:ind w:firstLine="567"/>
      <w:jc w:val="left"/>
      <w:outlineLvl w:val="2"/>
    </w:pPr>
    <w:rPr>
      <w:rFonts w:ascii="宋体" w:eastAsia="华文中宋" w:cs="宋体"/>
      <w:color w:val="000000"/>
      <w:spacing w:val="10"/>
      <w:kern w:val="0"/>
      <w:sz w:val="28"/>
      <w:szCs w:val="20"/>
    </w:rPr>
  </w:style>
  <w:style w:type="paragraph" w:customStyle="1" w:styleId="2669">
    <w:name w:val="样式 标题 21.1标题 21.1标题21节二级标题，黑粗，小三，序号HD2Heading 2 HiddenH..."/>
    <w:basedOn w:val="8"/>
    <w:qFormat/>
    <w:uiPriority w:val="0"/>
    <w:pPr>
      <w:widowControl w:val="0"/>
      <w:numPr>
        <w:ilvl w:val="0"/>
        <w:numId w:val="0"/>
      </w:numPr>
      <w:spacing w:before="120" w:after="120" w:line="312" w:lineRule="auto"/>
      <w:jc w:val="both"/>
    </w:pPr>
    <w:rPr>
      <w:rFonts w:ascii="Arial" w:eastAsia="黑体"/>
      <w:b/>
      <w:sz w:val="36"/>
      <w:szCs w:val="20"/>
    </w:rPr>
  </w:style>
  <w:style w:type="paragraph" w:customStyle="1" w:styleId="2670">
    <w:name w:val="Enclosure"/>
    <w:basedOn w:val="1"/>
    <w:unhideWhenUsed/>
    <w:qFormat/>
    <w:uiPriority w:val="0"/>
    <w:pPr>
      <w:widowControl/>
      <w:spacing w:before="120" w:after="120"/>
      <w:ind w:left="578" w:hanging="578"/>
    </w:pPr>
    <w:rPr>
      <w:rFonts w:ascii="Arial" w:hAnsi="Arial"/>
      <w:kern w:val="0"/>
      <w:sz w:val="22"/>
      <w:szCs w:val="20"/>
    </w:rPr>
  </w:style>
  <w:style w:type="paragraph" w:customStyle="1" w:styleId="2671">
    <w:name w:val="标标题13.1"/>
    <w:basedOn w:val="1"/>
    <w:semiHidden/>
    <w:qFormat/>
    <w:uiPriority w:val="0"/>
    <w:pPr>
      <w:tabs>
        <w:tab w:val="left" w:pos="726"/>
        <w:tab w:val="center" w:pos="4060"/>
        <w:tab w:val="right" w:pos="8261"/>
      </w:tabs>
      <w:suppressAutoHyphens/>
      <w:adjustRightInd w:val="0"/>
      <w:spacing w:before="240" w:after="120" w:line="0" w:lineRule="atLeast"/>
      <w:ind w:left="2" w:firstLine="4"/>
      <w:jc w:val="center"/>
    </w:pPr>
    <w:rPr>
      <w:rFonts w:ascii="黑体" w:eastAsia="黑体"/>
      <w:b/>
      <w:spacing w:val="6"/>
      <w:kern w:val="0"/>
      <w:szCs w:val="20"/>
    </w:rPr>
  </w:style>
  <w:style w:type="paragraph" w:customStyle="1" w:styleId="2672">
    <w:name w:val="表格-小四"/>
    <w:basedOn w:val="1"/>
    <w:qFormat/>
    <w:uiPriority w:val="0"/>
    <w:pPr>
      <w:adjustRightInd w:val="0"/>
      <w:spacing w:before="100" w:beforeAutospacing="1" w:after="100" w:afterAutospacing="1" w:line="312" w:lineRule="auto"/>
      <w:ind w:left="578" w:hanging="578"/>
      <w:jc w:val="center"/>
      <w:textAlignment w:val="baseline"/>
    </w:pPr>
    <w:rPr>
      <w:rFonts w:ascii="宋体"/>
      <w:kern w:val="0"/>
      <w:szCs w:val="21"/>
    </w:rPr>
  </w:style>
  <w:style w:type="paragraph" w:customStyle="1" w:styleId="2673">
    <w:name w:val="m3"/>
    <w:basedOn w:val="1"/>
    <w:semiHidden/>
    <w:qFormat/>
    <w:uiPriority w:val="0"/>
    <w:pPr>
      <w:pBdr>
        <w:top w:val="single" w:color="auto" w:sz="4" w:space="1"/>
      </w:pBdr>
      <w:adjustRightInd w:val="0"/>
      <w:spacing w:line="400" w:lineRule="atLeast"/>
      <w:jc w:val="center"/>
    </w:pPr>
    <w:rPr>
      <w:rFonts w:ascii="宋体" w:eastAsia="楷体"/>
      <w:kern w:val="0"/>
      <w:sz w:val="28"/>
      <w:szCs w:val="20"/>
    </w:rPr>
  </w:style>
  <w:style w:type="paragraph" w:customStyle="1" w:styleId="2674">
    <w:name w:val="CM111"/>
    <w:basedOn w:val="2"/>
    <w:next w:val="2"/>
    <w:semiHidden/>
    <w:qFormat/>
    <w:uiPriority w:val="0"/>
    <w:pPr>
      <w:spacing w:after="830"/>
    </w:pPr>
    <w:rPr>
      <w:rFonts w:ascii="Arial" w:hAnsi="Arial" w:cs="Times New Roman"/>
      <w:color w:val="auto"/>
    </w:rPr>
  </w:style>
  <w:style w:type="paragraph" w:customStyle="1" w:styleId="2675">
    <w:name w:val="yzp"/>
    <w:basedOn w:val="1"/>
    <w:qFormat/>
    <w:uiPriority w:val="0"/>
    <w:pPr>
      <w:spacing w:beforeLines="100" w:line="360" w:lineRule="auto"/>
      <w:jc w:val="left"/>
    </w:pPr>
    <w:rPr>
      <w:rFonts w:ascii="Calibri" w:hAnsi="Calibri" w:eastAsia="楷体"/>
      <w:b/>
      <w:kern w:val="0"/>
      <w:sz w:val="28"/>
      <w:szCs w:val="22"/>
    </w:rPr>
  </w:style>
  <w:style w:type="paragraph" w:customStyle="1" w:styleId="2676">
    <w:name w:val="CM77"/>
    <w:basedOn w:val="2"/>
    <w:next w:val="2"/>
    <w:semiHidden/>
    <w:qFormat/>
    <w:uiPriority w:val="0"/>
    <w:pPr>
      <w:adjustRightInd/>
    </w:pPr>
    <w:rPr>
      <w:rFonts w:hint="eastAsia" w:ascii="仿宋" w:hAnsi="仿宋" w:eastAsia="仿宋" w:cs="Times New Roman"/>
      <w:szCs w:val="20"/>
    </w:rPr>
  </w:style>
  <w:style w:type="paragraph" w:customStyle="1" w:styleId="2677">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2678">
    <w:name w:val="time"/>
    <w:basedOn w:val="1"/>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2679">
    <w:name w:val="xl192"/>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680">
    <w:name w:val="样式 标题 4 + 段前: 6 磅"/>
    <w:basedOn w:val="10"/>
    <w:unhideWhenUsed/>
    <w:qFormat/>
    <w:uiPriority w:val="0"/>
    <w:pPr>
      <w:widowControl w:val="0"/>
      <w:numPr>
        <w:ilvl w:val="0"/>
        <w:numId w:val="0"/>
      </w:numPr>
      <w:spacing w:before="60" w:after="60" w:afterLines="50" w:line="240" w:lineRule="auto"/>
      <w:jc w:val="both"/>
    </w:pPr>
    <w:rPr>
      <w:rFonts w:ascii="宋体" w:hAnsi="宋体" w:eastAsia="黑体"/>
      <w:sz w:val="30"/>
      <w:szCs w:val="20"/>
    </w:rPr>
  </w:style>
  <w:style w:type="paragraph" w:customStyle="1" w:styleId="2681">
    <w:name w:val="样式 正文（首行缩进两字） + 行距: 1.5 倍行距"/>
    <w:basedOn w:val="6"/>
    <w:qFormat/>
    <w:uiPriority w:val="0"/>
    <w:pPr>
      <w:widowControl w:val="0"/>
      <w:adjustRightInd w:val="0"/>
      <w:snapToGrid w:val="0"/>
      <w:spacing w:line="360" w:lineRule="auto"/>
      <w:ind w:firstLine="510" w:firstLineChars="0"/>
      <w:jc w:val="both"/>
    </w:pPr>
    <w:rPr>
      <w:rFonts w:ascii="Times New Roman" w:hAnsi="Times New Roman"/>
      <w:spacing w:val="4"/>
      <w:sz w:val="28"/>
      <w:szCs w:val="20"/>
    </w:rPr>
  </w:style>
  <w:style w:type="paragraph" w:customStyle="1" w:styleId="2682">
    <w:name w:val="xl39"/>
    <w:basedOn w:val="1"/>
    <w:qFormat/>
    <w:uiPriority w:val="0"/>
    <w:pPr>
      <w:widowControl/>
      <w:pBdr>
        <w:top w:val="single" w:color="000000" w:sz="8" w:space="0"/>
        <w:bottom w:val="single" w:color="auto" w:sz="8" w:space="0"/>
      </w:pBdr>
      <w:spacing w:before="100" w:beforeAutospacing="1" w:after="100" w:afterAutospacing="1"/>
      <w:jc w:val="center"/>
    </w:pPr>
    <w:rPr>
      <w:rFonts w:ascii="仿宋_GB2312" w:hAnsi="宋体" w:eastAsia="仿宋_GB2312" w:cs="宋体"/>
      <w:b/>
      <w:bCs/>
      <w:kern w:val="0"/>
      <w:szCs w:val="21"/>
    </w:rPr>
  </w:style>
  <w:style w:type="paragraph" w:customStyle="1" w:styleId="2683">
    <w:name w:val="Char Char Char6"/>
    <w:basedOn w:val="1"/>
    <w:qFormat/>
    <w:uiPriority w:val="0"/>
    <w:rPr>
      <w:rFonts w:ascii="仿宋_GB2312" w:eastAsia="仿宋_GB2312"/>
      <w:kern w:val="0"/>
      <w:sz w:val="28"/>
      <w:szCs w:val="20"/>
    </w:rPr>
  </w:style>
  <w:style w:type="paragraph" w:customStyle="1" w:styleId="2684">
    <w:name w:val="表格注"/>
    <w:basedOn w:val="1"/>
    <w:next w:val="1"/>
    <w:qFormat/>
    <w:uiPriority w:val="0"/>
    <w:pPr>
      <w:adjustRightInd w:val="0"/>
      <w:snapToGrid w:val="0"/>
      <w:spacing w:line="520" w:lineRule="exact"/>
      <w:ind w:firstLine="480" w:firstLineChars="200"/>
    </w:pPr>
    <w:rPr>
      <w:rFonts w:ascii="宋体"/>
      <w:kern w:val="0"/>
      <w:sz w:val="34"/>
      <w:szCs w:val="20"/>
    </w:rPr>
  </w:style>
  <w:style w:type="paragraph" w:customStyle="1" w:styleId="2685">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686">
    <w:name w:val="表头4"/>
    <w:basedOn w:val="2687"/>
    <w:qFormat/>
    <w:uiPriority w:val="0"/>
    <w:pPr>
      <w:tabs>
        <w:tab w:val="left" w:pos="360"/>
        <w:tab w:val="left" w:pos="625"/>
      </w:tabs>
      <w:ind w:left="0" w:firstLine="0"/>
    </w:pPr>
  </w:style>
  <w:style w:type="paragraph" w:customStyle="1" w:styleId="2687">
    <w:name w:val="表头5"/>
    <w:basedOn w:val="1"/>
    <w:qFormat/>
    <w:uiPriority w:val="0"/>
    <w:pPr>
      <w:tabs>
        <w:tab w:val="left" w:pos="625"/>
      </w:tabs>
      <w:adjustRightInd w:val="0"/>
      <w:snapToGrid w:val="0"/>
      <w:spacing w:beforeLines="100" w:afterLines="50" w:line="240" w:lineRule="atLeast"/>
      <w:ind w:left="950" w:leftChars="250" w:hanging="425"/>
    </w:pPr>
    <w:rPr>
      <w:rFonts w:ascii="宋体"/>
      <w:b/>
      <w:kern w:val="0"/>
      <w:sz w:val="34"/>
      <w:szCs w:val="20"/>
    </w:rPr>
  </w:style>
  <w:style w:type="paragraph" w:customStyle="1" w:styleId="2688">
    <w:name w:val="正文文本 24"/>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2689">
    <w:name w:val="样式 样式 正文文本缩进正文文字缩进 + 首行缩进:  2 字符 + 首行缩进:  2 字符"/>
    <w:basedOn w:val="1"/>
    <w:semiHidden/>
    <w:qFormat/>
    <w:uiPriority w:val="0"/>
    <w:pPr>
      <w:pBdr>
        <w:top w:val="single" w:color="auto" w:sz="4" w:space="1"/>
      </w:pBdr>
      <w:adjustRightInd w:val="0"/>
      <w:spacing w:line="360" w:lineRule="auto"/>
      <w:ind w:firstLine="480" w:firstLineChars="200"/>
    </w:pPr>
    <w:rPr>
      <w:rFonts w:ascii="宋体"/>
      <w:kern w:val="0"/>
      <w:sz w:val="28"/>
      <w:szCs w:val="20"/>
    </w:rPr>
  </w:style>
  <w:style w:type="paragraph" w:customStyle="1" w:styleId="2690">
    <w:name w:val="?¡§¡è?¡ìa?????¡§¡é??a??o?"/>
    <w:basedOn w:val="1"/>
    <w:unhideWhenUsed/>
    <w:qFormat/>
    <w:uiPriority w:val="0"/>
    <w:pPr>
      <w:spacing w:before="120" w:after="120"/>
      <w:ind w:left="578" w:hanging="578"/>
      <w:jc w:val="center"/>
    </w:pPr>
    <w:rPr>
      <w:rFonts w:ascii="宋体"/>
      <w:kern w:val="0"/>
      <w:szCs w:val="21"/>
    </w:rPr>
  </w:style>
  <w:style w:type="paragraph" w:customStyle="1" w:styleId="2691">
    <w:name w:val="1 Char Char Char Char Char Char Char Char Char Char Char Char Char"/>
    <w:basedOn w:val="1"/>
    <w:semiHidden/>
    <w:qFormat/>
    <w:uiPriority w:val="0"/>
    <w:pPr>
      <w:spacing w:before="120" w:after="120"/>
      <w:ind w:left="578" w:hanging="578"/>
    </w:pPr>
    <w:rPr>
      <w:rFonts w:ascii="宋体"/>
      <w:kern w:val="0"/>
      <w:szCs w:val="20"/>
    </w:rPr>
  </w:style>
  <w:style w:type="paragraph" w:customStyle="1" w:styleId="2692">
    <w:name w:val="南沙标题6"/>
    <w:basedOn w:val="12"/>
    <w:qFormat/>
    <w:uiPriority w:val="0"/>
    <w:pPr>
      <w:widowControl w:val="0"/>
      <w:numPr>
        <w:ilvl w:val="0"/>
        <w:numId w:val="0"/>
      </w:numPr>
      <w:spacing w:before="120" w:after="120" w:line="240" w:lineRule="auto"/>
      <w:ind w:left="-2100" w:firstLine="482"/>
      <w:jc w:val="both"/>
    </w:pPr>
    <w:rPr>
      <w:rFonts w:ascii="Times New Roman" w:hAnsi="Times New Roman" w:eastAsia="宋体" w:cs="Times New Roman"/>
      <w:b w:val="0"/>
      <w:kern w:val="2"/>
      <w:sz w:val="34"/>
    </w:rPr>
  </w:style>
  <w:style w:type="paragraph" w:customStyle="1" w:styleId="2693">
    <w:name w:val="Job Title"/>
    <w:next w:val="2051"/>
    <w:unhideWhenUsed/>
    <w:qFormat/>
    <w:uiPriority w:val="0"/>
    <w:pPr>
      <w:spacing w:before="120" w:after="40" w:line="220" w:lineRule="atLeast"/>
      <w:ind w:left="578" w:hanging="578"/>
      <w:jc w:val="both"/>
    </w:pPr>
    <w:rPr>
      <w:rFonts w:ascii="Arial" w:hAnsi="Arial" w:eastAsia="宋体" w:cs="Times New Roman"/>
      <w:b/>
      <w:spacing w:val="-10"/>
      <w:lang w:val="en-US" w:eastAsia="zh-CN" w:bidi="ar-SA"/>
    </w:rPr>
  </w:style>
  <w:style w:type="paragraph" w:customStyle="1" w:styleId="2694">
    <w:name w:val="Char Char Char Char Char Char Char Char"/>
    <w:basedOn w:val="1"/>
    <w:qFormat/>
    <w:uiPriority w:val="0"/>
    <w:rPr>
      <w:rFonts w:ascii="宋体" w:hAnsi="宋体" w:cs="宋体"/>
      <w:color w:val="000000"/>
      <w:kern w:val="0"/>
      <w:sz w:val="34"/>
      <w:szCs w:val="20"/>
    </w:rPr>
  </w:style>
  <w:style w:type="paragraph" w:customStyle="1" w:styleId="2695">
    <w:name w:val="样式 首行缩进:  0.85 厘米 行距: 固定值 23 磅"/>
    <w:basedOn w:val="1"/>
    <w:qFormat/>
    <w:uiPriority w:val="0"/>
    <w:pPr>
      <w:spacing w:line="480" w:lineRule="exact"/>
      <w:ind w:firstLine="560" w:firstLineChars="200"/>
    </w:pPr>
    <w:rPr>
      <w:rFonts w:ascii="宋体" w:eastAsia="仿宋_GB2312"/>
      <w:color w:val="000000"/>
      <w:kern w:val="0"/>
      <w:sz w:val="28"/>
      <w:szCs w:val="20"/>
    </w:rPr>
  </w:style>
  <w:style w:type="paragraph" w:customStyle="1" w:styleId="2696">
    <w:name w:val="_Style 1"/>
    <w:basedOn w:val="1"/>
    <w:next w:val="6"/>
    <w:qFormat/>
    <w:uiPriority w:val="0"/>
    <w:pPr>
      <w:adjustRightInd w:val="0"/>
      <w:spacing w:line="288" w:lineRule="auto"/>
      <w:ind w:firstLine="480"/>
      <w:textAlignment w:val="baseline"/>
    </w:pPr>
    <w:rPr>
      <w:rFonts w:ascii="宋体" w:hAnsi="宋体"/>
      <w:kern w:val="0"/>
      <w:sz w:val="34"/>
      <w:szCs w:val="20"/>
    </w:rPr>
  </w:style>
  <w:style w:type="paragraph" w:customStyle="1" w:styleId="2697">
    <w:name w:val="样式 样式 样式 标题 4 + 段前: 0.5 行 段后: 0.5 行 + 段前: 0.5 行 段后: 0.5 行5 + 段前:..."/>
    <w:basedOn w:val="1729"/>
    <w:semiHidden/>
    <w:qFormat/>
    <w:uiPriority w:val="0"/>
  </w:style>
  <w:style w:type="paragraph" w:customStyle="1" w:styleId="2698">
    <w:name w:val="列出段落8"/>
    <w:basedOn w:val="1"/>
    <w:qFormat/>
    <w:uiPriority w:val="0"/>
    <w:pPr>
      <w:ind w:firstLine="420" w:firstLineChars="200"/>
    </w:pPr>
    <w:rPr>
      <w:rFonts w:ascii="Calibri" w:hAnsi="Calibri" w:cs="黑体"/>
      <w:kern w:val="0"/>
      <w:szCs w:val="22"/>
    </w:rPr>
  </w:style>
  <w:style w:type="paragraph" w:customStyle="1" w:styleId="2699">
    <w:name w:val="xl18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00">
    <w:name w:val="王秀中"/>
    <w:basedOn w:val="1"/>
    <w:qFormat/>
    <w:uiPriority w:val="0"/>
    <w:pPr>
      <w:autoSpaceDE w:val="0"/>
      <w:autoSpaceDN w:val="0"/>
      <w:adjustRightInd w:val="0"/>
      <w:snapToGrid w:val="0"/>
      <w:spacing w:line="312" w:lineRule="auto"/>
      <w:ind w:firstLine="567"/>
    </w:pPr>
    <w:rPr>
      <w:rFonts w:ascii="宋体"/>
      <w:kern w:val="0"/>
      <w:sz w:val="28"/>
      <w:szCs w:val="20"/>
    </w:rPr>
  </w:style>
  <w:style w:type="paragraph" w:customStyle="1" w:styleId="2701">
    <w:name w:val="茅工页眉"/>
    <w:basedOn w:val="60"/>
    <w:unhideWhenUsed/>
    <w:qFormat/>
    <w:uiPriority w:val="0"/>
    <w:pPr>
      <w:tabs>
        <w:tab w:val="center" w:pos="4819"/>
        <w:tab w:val="right" w:pos="9071"/>
        <w:tab w:val="clear" w:pos="4153"/>
        <w:tab w:val="clear" w:pos="8306"/>
      </w:tabs>
      <w:adjustRightInd w:val="0"/>
      <w:snapToGrid/>
      <w:spacing w:before="120" w:after="120" w:line="240" w:lineRule="atLeast"/>
      <w:ind w:left="578" w:hanging="578"/>
      <w:jc w:val="both"/>
      <w:textAlignment w:val="baseline"/>
    </w:pPr>
    <w:rPr>
      <w:sz w:val="21"/>
    </w:rPr>
  </w:style>
  <w:style w:type="paragraph" w:customStyle="1" w:styleId="2702">
    <w:name w:val="正文表格5号"/>
    <w:basedOn w:val="1"/>
    <w:unhideWhenUsed/>
    <w:qFormat/>
    <w:uiPriority w:val="0"/>
    <w:pPr>
      <w:adjustRightInd w:val="0"/>
      <w:spacing w:before="120" w:after="120" w:line="460" w:lineRule="exact"/>
      <w:ind w:left="578" w:hanging="578"/>
      <w:textAlignment w:val="baseline"/>
    </w:pPr>
    <w:rPr>
      <w:rFonts w:ascii="宋体"/>
      <w:kern w:val="0"/>
      <w:szCs w:val="20"/>
    </w:rPr>
  </w:style>
  <w:style w:type="paragraph" w:customStyle="1" w:styleId="2703">
    <w:name w:val="CM11"/>
    <w:basedOn w:val="2"/>
    <w:next w:val="2"/>
    <w:qFormat/>
    <w:uiPriority w:val="0"/>
    <w:pPr>
      <w:spacing w:line="468" w:lineRule="atLeast"/>
    </w:pPr>
    <w:rPr>
      <w:rFonts w:cs="Times New Roman"/>
      <w:color w:val="auto"/>
    </w:rPr>
  </w:style>
  <w:style w:type="paragraph" w:customStyle="1" w:styleId="2704">
    <w:name w:val="环保篇"/>
    <w:basedOn w:val="1"/>
    <w:next w:val="1"/>
    <w:unhideWhenUsed/>
    <w:qFormat/>
    <w:uiPriority w:val="0"/>
    <w:pPr>
      <w:spacing w:before="120" w:after="120" w:line="360" w:lineRule="auto"/>
      <w:ind w:left="578" w:firstLine="200" w:firstLineChars="200"/>
    </w:pPr>
    <w:rPr>
      <w:rFonts w:ascii="宋体"/>
      <w:kern w:val="0"/>
      <w:sz w:val="28"/>
      <w:szCs w:val="28"/>
    </w:rPr>
  </w:style>
  <w:style w:type="paragraph" w:customStyle="1" w:styleId="2705">
    <w:name w:val="ST20_30"/>
    <w:basedOn w:val="1"/>
    <w:next w:val="1"/>
    <w:unhideWhenUsed/>
    <w:qFormat/>
    <w:uiPriority w:val="0"/>
    <w:pPr>
      <w:keepNext/>
      <w:keepLines/>
      <w:tabs>
        <w:tab w:val="left" w:pos="360"/>
      </w:tabs>
      <w:autoSpaceDE w:val="0"/>
      <w:autoSpaceDN w:val="0"/>
      <w:adjustRightInd w:val="0"/>
      <w:spacing w:before="120" w:after="120" w:line="360" w:lineRule="atLeast"/>
      <w:ind w:left="360" w:hanging="360"/>
      <w:jc w:val="left"/>
      <w:textAlignment w:val="baseline"/>
    </w:pPr>
    <w:rPr>
      <w:rFonts w:ascii="宋体" w:hAnsi="Tms Rmn"/>
      <w:kern w:val="0"/>
      <w:sz w:val="28"/>
      <w:szCs w:val="20"/>
    </w:rPr>
  </w:style>
  <w:style w:type="paragraph" w:customStyle="1" w:styleId="2706">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2707">
    <w:name w:val="正文文本缩进1"/>
    <w:basedOn w:val="1"/>
    <w:qFormat/>
    <w:uiPriority w:val="0"/>
    <w:pPr>
      <w:spacing w:after="120"/>
      <w:ind w:left="420" w:leftChars="200"/>
    </w:pPr>
    <w:rPr>
      <w:rFonts w:ascii="Calibri" w:hAnsi="Calibri" w:eastAsia="仿宋"/>
      <w:kern w:val="0"/>
      <w:sz w:val="34"/>
      <w:szCs w:val="20"/>
    </w:rPr>
  </w:style>
  <w:style w:type="paragraph" w:customStyle="1" w:styleId="2708">
    <w:name w:val="样式 公式 + 段前: 0.5 行 段后: 0.5 行"/>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2709">
    <w:name w:val="表标题5.9"/>
    <w:basedOn w:val="1"/>
    <w:qFormat/>
    <w:uiPriority w:val="0"/>
    <w:pPr>
      <w:numPr>
        <w:ilvl w:val="0"/>
        <w:numId w:val="49"/>
      </w:numPr>
      <w:tabs>
        <w:tab w:val="left" w:pos="1653"/>
      </w:tabs>
      <w:spacing w:beforeLines="100" w:after="120" w:line="0" w:lineRule="atLeast"/>
    </w:pPr>
    <w:rPr>
      <w:rFonts w:ascii="宋体" w:eastAsia="黑体"/>
      <w:b/>
      <w:kern w:val="0"/>
      <w:sz w:val="34"/>
      <w:szCs w:val="20"/>
    </w:rPr>
  </w:style>
  <w:style w:type="paragraph" w:customStyle="1" w:styleId="2710">
    <w:name w:val="myformat_content Char"/>
    <w:basedOn w:val="1"/>
    <w:qFormat/>
    <w:uiPriority w:val="0"/>
    <w:pPr>
      <w:spacing w:beforeLines="50" w:afterLines="50" w:line="360" w:lineRule="exact"/>
      <w:ind w:firstLine="480" w:firstLineChars="200"/>
    </w:pPr>
    <w:rPr>
      <w:rFonts w:ascii="宋体"/>
      <w:kern w:val="0"/>
      <w:sz w:val="34"/>
      <w:szCs w:val="20"/>
    </w:rPr>
  </w:style>
  <w:style w:type="paragraph" w:customStyle="1" w:styleId="2711">
    <w:name w:val="标题 82"/>
    <w:basedOn w:val="1"/>
    <w:next w:val="1"/>
    <w:qFormat/>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2712">
    <w:name w:val="谏壁标题4(chen)"/>
    <w:basedOn w:val="1"/>
    <w:qFormat/>
    <w:uiPriority w:val="0"/>
    <w:pPr>
      <w:snapToGrid w:val="0"/>
      <w:spacing w:beforeLines="50" w:line="360" w:lineRule="auto"/>
      <w:outlineLvl w:val="3"/>
    </w:pPr>
    <w:rPr>
      <w:rFonts w:ascii="宋体" w:eastAsia="楷体_GB2312"/>
      <w:kern w:val="0"/>
      <w:sz w:val="28"/>
      <w:szCs w:val="20"/>
    </w:rPr>
  </w:style>
  <w:style w:type="paragraph" w:customStyle="1" w:styleId="2713">
    <w:name w:val="Char Char1 Char Char Char Char Char Char Char Char Char Char Char Char Char Char Char Char Char Char Char Char Char Char Char Char Char Char1 Char Char Char Char Char 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714">
    <w:name w:val="Char Char Char Char Char Char Char Char Char Char Char Char Char Char Char Char Char Char Char Char Char Char2"/>
    <w:basedOn w:val="1"/>
    <w:qFormat/>
    <w:uiPriority w:val="0"/>
    <w:pPr>
      <w:spacing w:line="480" w:lineRule="exact"/>
    </w:pPr>
    <w:rPr>
      <w:rFonts w:ascii="宋体"/>
      <w:kern w:val="0"/>
      <w:szCs w:val="20"/>
    </w:rPr>
  </w:style>
  <w:style w:type="paragraph" w:customStyle="1" w:styleId="2715">
    <w:name w:val="style27"/>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716">
    <w:name w:val="目录页码"/>
    <w:basedOn w:val="58"/>
    <w:qFormat/>
    <w:uiPriority w:val="0"/>
    <w:pPr>
      <w:framePr w:wrap="around" w:vAnchor="text" w:hAnchor="margin" w:xAlign="center" w:y="1"/>
      <w:adjustRightInd w:val="0"/>
      <w:spacing w:line="240" w:lineRule="atLeast"/>
    </w:pPr>
    <w:rPr>
      <w:rFonts w:eastAsia="Times New Roman"/>
      <w:kern w:val="2"/>
      <w:sz w:val="24"/>
    </w:rPr>
  </w:style>
  <w:style w:type="paragraph" w:customStyle="1" w:styleId="2717">
    <w:name w:val="正文段落（缩进）"/>
    <w:basedOn w:val="1"/>
    <w:next w:val="48"/>
    <w:qFormat/>
    <w:uiPriority w:val="0"/>
    <w:pPr>
      <w:spacing w:before="120" w:after="120" w:line="360" w:lineRule="auto"/>
      <w:ind w:left="578" w:hanging="578"/>
      <w:jc w:val="left"/>
    </w:pPr>
    <w:rPr>
      <w:rFonts w:ascii="宋体"/>
      <w:kern w:val="0"/>
      <w:sz w:val="34"/>
      <w:szCs w:val="20"/>
    </w:rPr>
  </w:style>
  <w:style w:type="paragraph" w:customStyle="1" w:styleId="2718">
    <w:name w:val="备注"/>
    <w:basedOn w:val="43"/>
    <w:qFormat/>
    <w:uiPriority w:val="0"/>
    <w:pPr>
      <w:keepNext/>
      <w:tabs>
        <w:tab w:val="left" w:pos="628"/>
        <w:tab w:val="left" w:pos="1727"/>
        <w:tab w:val="left" w:pos="1884"/>
        <w:tab w:val="left" w:pos="4900"/>
      </w:tabs>
      <w:adjustRightInd w:val="0"/>
      <w:snapToGrid w:val="0"/>
      <w:spacing w:before="120" w:after="0" w:line="0" w:lineRule="atLeast"/>
      <w:ind w:left="578" w:firstLine="0" w:firstLineChars="0"/>
      <w:jc w:val="both"/>
    </w:pPr>
    <w:rPr>
      <w:rFonts w:cs="Arial"/>
      <w:sz w:val="18"/>
      <w:szCs w:val="18"/>
      <w:lang w:val="fr-FR"/>
    </w:rPr>
  </w:style>
  <w:style w:type="paragraph" w:customStyle="1" w:styleId="2719">
    <w:name w:val="样式 公式 + 左 段前: 0.5 行 段后: 0.5 行"/>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2720">
    <w:name w:val="1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721">
    <w:name w:val="样式 表格编号 + 首行缩进:  2 字符 段前: 0.25 行 段后: 1 行"/>
    <w:basedOn w:val="1"/>
    <w:qFormat/>
    <w:uiPriority w:val="0"/>
    <w:pPr>
      <w:spacing w:beforeLines="25" w:afterLines="25"/>
      <w:ind w:firstLine="200" w:firstLineChars="200"/>
    </w:pPr>
    <w:rPr>
      <w:rFonts w:ascii="宋体" w:cs="宋体"/>
      <w:kern w:val="0"/>
      <w:szCs w:val="20"/>
    </w:rPr>
  </w:style>
  <w:style w:type="paragraph" w:customStyle="1" w:styleId="2722">
    <w:name w:val="表标6.7"/>
    <w:basedOn w:val="1"/>
    <w:semiHidden/>
    <w:qFormat/>
    <w:uiPriority w:val="0"/>
    <w:pPr>
      <w:tabs>
        <w:tab w:val="left" w:pos="360"/>
      </w:tabs>
      <w:spacing w:beforeLines="100" w:after="120" w:line="0" w:lineRule="atLeast"/>
      <w:ind w:left="578" w:hanging="578"/>
    </w:pPr>
    <w:rPr>
      <w:rFonts w:ascii="宋体" w:eastAsia="黑体"/>
      <w:b/>
      <w:kern w:val="0"/>
      <w:sz w:val="34"/>
      <w:szCs w:val="20"/>
    </w:rPr>
  </w:style>
  <w:style w:type="paragraph" w:customStyle="1" w:styleId="2723">
    <w:name w:val="样式 表格文字中 + 居中"/>
    <w:basedOn w:val="1"/>
    <w:qFormat/>
    <w:uiPriority w:val="0"/>
    <w:pPr>
      <w:spacing w:line="400" w:lineRule="exact"/>
      <w:jc w:val="center"/>
      <w:textAlignment w:val="center"/>
    </w:pPr>
    <w:rPr>
      <w:rFonts w:ascii="宋体" w:eastAsia="仿宋_GB2312" w:cs="宋体"/>
      <w:kern w:val="0"/>
      <w:sz w:val="34"/>
      <w:szCs w:val="20"/>
    </w:rPr>
  </w:style>
  <w:style w:type="paragraph" w:customStyle="1" w:styleId="2724">
    <w:name w:val="条"/>
    <w:basedOn w:val="1"/>
    <w:qFormat/>
    <w:uiPriority w:val="0"/>
    <w:rPr>
      <w:rFonts w:ascii="宋体"/>
      <w:kern w:val="0"/>
      <w:szCs w:val="20"/>
    </w:rPr>
  </w:style>
  <w:style w:type="paragraph" w:customStyle="1" w:styleId="2725">
    <w:name w:val="默认段落字体 Para Char Char Char Char Char Char Char Char Char Char Char Char Char1"/>
    <w:basedOn w:val="1"/>
    <w:qFormat/>
    <w:uiPriority w:val="0"/>
    <w:rPr>
      <w:rFonts w:ascii="宋体"/>
      <w:kern w:val="0"/>
      <w:sz w:val="34"/>
      <w:szCs w:val="20"/>
    </w:rPr>
  </w:style>
  <w:style w:type="paragraph" w:customStyle="1" w:styleId="2726">
    <w:name w:val="表格文字左"/>
    <w:basedOn w:val="2727"/>
    <w:qFormat/>
    <w:uiPriority w:val="0"/>
    <w:pPr>
      <w:numPr>
        <w:numId w:val="0"/>
      </w:numPr>
      <w:tabs>
        <w:tab w:val="left" w:pos="1680"/>
      </w:tabs>
      <w:spacing w:before="120" w:after="120"/>
    </w:pPr>
    <w:rPr>
      <w:rFonts w:ascii="Times New Roman" w:hAnsi="Times New Roman" w:cs="Times New Roman"/>
      <w:bCs w:val="0"/>
      <w:color w:val="auto"/>
      <w:sz w:val="21"/>
      <w:szCs w:val="21"/>
    </w:rPr>
  </w:style>
  <w:style w:type="paragraph" w:customStyle="1" w:styleId="2727">
    <w:name w:val="表中居中文字"/>
    <w:basedOn w:val="1"/>
    <w:qFormat/>
    <w:uiPriority w:val="0"/>
    <w:pPr>
      <w:numPr>
        <w:ilvl w:val="3"/>
        <w:numId w:val="50"/>
      </w:numPr>
      <w:tabs>
        <w:tab w:val="left" w:pos="1680"/>
      </w:tabs>
      <w:ind w:left="0" w:firstLine="0"/>
    </w:pPr>
    <w:rPr>
      <w:rFonts w:ascii="宋体" w:hAnsi="宋体" w:cs="Arial"/>
      <w:bCs/>
      <w:color w:val="FF0000"/>
      <w:kern w:val="0"/>
      <w:sz w:val="34"/>
      <w:szCs w:val="18"/>
    </w:rPr>
  </w:style>
  <w:style w:type="paragraph" w:customStyle="1" w:styleId="2728">
    <w:name w:val="Char Char Char Char Char Char Char Char Char Char Char Char Char Char Char Char Char2"/>
    <w:basedOn w:val="1"/>
    <w:qFormat/>
    <w:uiPriority w:val="0"/>
    <w:rPr>
      <w:rFonts w:ascii="宋体"/>
      <w:kern w:val="0"/>
      <w:szCs w:val="21"/>
    </w:rPr>
  </w:style>
  <w:style w:type="paragraph" w:customStyle="1" w:styleId="2729">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730">
    <w:name w:val="Char Char Char Char1 Char Char Char1"/>
    <w:basedOn w:val="1"/>
    <w:qFormat/>
    <w:uiPriority w:val="0"/>
    <w:rPr>
      <w:rFonts w:ascii="宋体"/>
      <w:kern w:val="0"/>
      <w:sz w:val="34"/>
      <w:szCs w:val="20"/>
    </w:rPr>
  </w:style>
  <w:style w:type="paragraph" w:customStyle="1" w:styleId="2731">
    <w:name w:val="样式 题注 + 居中"/>
    <w:basedOn w:val="25"/>
    <w:qFormat/>
    <w:uiPriority w:val="0"/>
    <w:pPr>
      <w:spacing w:line="360" w:lineRule="auto"/>
      <w:ind w:firstLine="200" w:firstLineChars="200"/>
    </w:pPr>
    <w:rPr>
      <w:rFonts w:hAnsi="Arial" w:eastAsia="宋体"/>
      <w:b w:val="0"/>
      <w:sz w:val="20"/>
      <w:szCs w:val="24"/>
    </w:rPr>
  </w:style>
  <w:style w:type="paragraph" w:customStyle="1" w:styleId="2732">
    <w:name w:val="章"/>
    <w:basedOn w:val="1"/>
    <w:qFormat/>
    <w:uiPriority w:val="0"/>
    <w:rPr>
      <w:rFonts w:ascii="宋体"/>
      <w:kern w:val="0"/>
      <w:szCs w:val="20"/>
    </w:rPr>
  </w:style>
  <w:style w:type="paragraph" w:customStyle="1" w:styleId="2733">
    <w:name w:val="font10"/>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734">
    <w:name w:val="标题4."/>
    <w:basedOn w:val="10"/>
    <w:qFormat/>
    <w:uiPriority w:val="0"/>
    <w:pPr>
      <w:widowControl w:val="0"/>
      <w:numPr>
        <w:ilvl w:val="0"/>
        <w:numId w:val="0"/>
      </w:numPr>
      <w:tabs>
        <w:tab w:val="left" w:pos="0"/>
      </w:tabs>
      <w:spacing w:before="120" w:after="120" w:line="312" w:lineRule="auto"/>
      <w:ind w:left="851" w:hanging="851"/>
      <w:jc w:val="both"/>
    </w:pPr>
    <w:rPr>
      <w:rFonts w:ascii="宋体" w:hAnsi="宋体" w:eastAsia="黑体"/>
      <w:sz w:val="20"/>
      <w:szCs w:val="20"/>
    </w:rPr>
  </w:style>
  <w:style w:type="paragraph" w:customStyle="1" w:styleId="2735">
    <w:name w:val="正文缩进4"/>
    <w:basedOn w:val="1"/>
    <w:qFormat/>
    <w:uiPriority w:val="0"/>
    <w:pPr>
      <w:ind w:firstLine="420" w:firstLineChars="200"/>
    </w:pPr>
    <w:rPr>
      <w:rFonts w:ascii="宋体"/>
      <w:kern w:val="0"/>
      <w:szCs w:val="20"/>
    </w:rPr>
  </w:style>
  <w:style w:type="paragraph" w:customStyle="1" w:styleId="2736">
    <w:name w:val="z-h11"/>
    <w:basedOn w:val="1"/>
    <w:qFormat/>
    <w:uiPriority w:val="0"/>
    <w:pPr>
      <w:widowControl/>
      <w:spacing w:before="267" w:after="100" w:afterAutospacing="1" w:line="467" w:lineRule="atLeast"/>
      <w:jc w:val="center"/>
    </w:pPr>
    <w:rPr>
      <w:rFonts w:ascii="宋体" w:hAnsi="宋体" w:cs="宋体"/>
      <w:b/>
      <w:bCs/>
      <w:kern w:val="0"/>
      <w:sz w:val="33"/>
      <w:szCs w:val="33"/>
    </w:rPr>
  </w:style>
  <w:style w:type="paragraph" w:customStyle="1" w:styleId="2737">
    <w:name w:val="CM78"/>
    <w:basedOn w:val="2"/>
    <w:next w:val="2"/>
    <w:semiHidden/>
    <w:qFormat/>
    <w:uiPriority w:val="0"/>
    <w:pPr>
      <w:adjustRightInd/>
    </w:pPr>
    <w:rPr>
      <w:rFonts w:hint="eastAsia" w:ascii="仿宋" w:hAnsi="仿宋" w:eastAsia="仿宋" w:cs="Times New Roman"/>
      <w:szCs w:val="20"/>
    </w:rPr>
  </w:style>
  <w:style w:type="paragraph" w:customStyle="1" w:styleId="2738">
    <w:name w:val="Char Char2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739">
    <w:name w:val="1级标题"/>
    <w:basedOn w:val="1"/>
    <w:qFormat/>
    <w:uiPriority w:val="0"/>
    <w:pPr>
      <w:spacing w:before="60" w:line="460" w:lineRule="exact"/>
      <w:outlineLvl w:val="0"/>
    </w:pPr>
    <w:rPr>
      <w:rFonts w:ascii="Arial" w:hAnsi="Arial"/>
      <w:b/>
      <w:kern w:val="0"/>
      <w:sz w:val="32"/>
      <w:szCs w:val="20"/>
    </w:rPr>
  </w:style>
  <w:style w:type="paragraph" w:customStyle="1" w:styleId="2740">
    <w:name w:val="图名兰"/>
    <w:basedOn w:val="2741"/>
    <w:qFormat/>
    <w:uiPriority w:val="0"/>
  </w:style>
  <w:style w:type="paragraph" w:customStyle="1" w:styleId="2741">
    <w:name w:val="图兰"/>
    <w:basedOn w:val="1"/>
    <w:qFormat/>
    <w:uiPriority w:val="0"/>
    <w:pPr>
      <w:jc w:val="center"/>
    </w:pPr>
    <w:rPr>
      <w:rFonts w:ascii="Arial" w:hAnsi="Arial"/>
      <w:bCs/>
      <w:kern w:val="0"/>
      <w:szCs w:val="32"/>
    </w:rPr>
  </w:style>
  <w:style w:type="paragraph" w:customStyle="1" w:styleId="2742">
    <w:name w:val="密级编号"/>
    <w:basedOn w:val="1"/>
    <w:qFormat/>
    <w:uiPriority w:val="0"/>
    <w:pPr>
      <w:adjustRightInd w:val="0"/>
      <w:jc w:val="center"/>
      <w:textAlignment w:val="baseline"/>
    </w:pPr>
    <w:rPr>
      <w:rFonts w:ascii="仿宋_GB2312" w:eastAsia="仿宋_GB2312"/>
      <w:kern w:val="0"/>
      <w:sz w:val="34"/>
      <w:szCs w:val="20"/>
    </w:rPr>
  </w:style>
  <w:style w:type="paragraph" w:customStyle="1" w:styleId="2743">
    <w:name w:val="样式7.5.7.1"/>
    <w:basedOn w:val="1"/>
    <w:qFormat/>
    <w:uiPriority w:val="0"/>
    <w:pPr>
      <w:keepNext/>
      <w:keepLines/>
      <w:numPr>
        <w:ilvl w:val="3"/>
        <w:numId w:val="51"/>
      </w:numPr>
      <w:tabs>
        <w:tab w:val="left" w:pos="432"/>
        <w:tab w:val="left" w:pos="1571"/>
        <w:tab w:val="left" w:pos="1680"/>
      </w:tabs>
      <w:spacing w:before="120" w:after="120" w:line="312" w:lineRule="auto"/>
      <w:outlineLvl w:val="3"/>
    </w:pPr>
    <w:rPr>
      <w:rFonts w:ascii="Arial" w:hAnsi="Arial" w:eastAsia="黑体"/>
      <w:b/>
      <w:bCs/>
      <w:kern w:val="0"/>
      <w:sz w:val="34"/>
      <w:szCs w:val="20"/>
    </w:rPr>
  </w:style>
  <w:style w:type="paragraph" w:customStyle="1" w:styleId="2744">
    <w:name w:val="xl93"/>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2745">
    <w:name w:val="样式 标题 1 + 小四"/>
    <w:basedOn w:val="7"/>
    <w:qFormat/>
    <w:uiPriority w:val="0"/>
    <w:pPr>
      <w:keepLines/>
      <w:pageBreakBefore/>
      <w:overflowPunct/>
      <w:snapToGrid/>
      <w:spacing w:after="120" w:line="0" w:lineRule="atLeast"/>
      <w:ind w:left="420" w:hanging="420"/>
      <w:jc w:val="center"/>
    </w:pPr>
    <w:rPr>
      <w:rFonts w:ascii="ˎ̥" w:hAnsi="ˎ̥" w:eastAsia="宋体"/>
      <w:szCs w:val="20"/>
    </w:rPr>
  </w:style>
  <w:style w:type="paragraph" w:customStyle="1" w:styleId="2746">
    <w:name w:val="表wei"/>
    <w:basedOn w:val="1"/>
    <w:qFormat/>
    <w:uiPriority w:val="0"/>
    <w:pPr>
      <w:ind w:firstLine="480" w:firstLineChars="200"/>
    </w:pPr>
    <w:rPr>
      <w:rFonts w:ascii="宋体"/>
      <w:kern w:val="0"/>
      <w:sz w:val="34"/>
      <w:szCs w:val="20"/>
    </w:rPr>
  </w:style>
  <w:style w:type="paragraph" w:customStyle="1" w:styleId="2747">
    <w:name w:val="样式 样式 正文 首行缩进 + 首行缩进:  2 字符 + 小四 首行缩进:  2 字符 行距: 固定值 20 磅"/>
    <w:basedOn w:val="2748"/>
    <w:qFormat/>
    <w:uiPriority w:val="0"/>
    <w:pPr>
      <w:spacing w:line="400" w:lineRule="exact"/>
      <w:ind w:firstLine="480"/>
    </w:pPr>
    <w:rPr>
      <w:sz w:val="24"/>
    </w:rPr>
  </w:style>
  <w:style w:type="paragraph" w:customStyle="1" w:styleId="2748">
    <w:name w:val="样式 正文 首行缩进 + 首行缩进:  2 字符"/>
    <w:basedOn w:val="238"/>
    <w:unhideWhenUsed/>
    <w:qFormat/>
    <w:uiPriority w:val="0"/>
    <w:pPr>
      <w:adjustRightInd/>
      <w:snapToGrid/>
      <w:spacing w:before="120" w:after="120" w:line="240" w:lineRule="auto"/>
      <w:ind w:left="578" w:firstLine="200" w:firstLineChars="200"/>
      <w:jc w:val="both"/>
    </w:pPr>
    <w:rPr>
      <w:rFonts w:ascii="宋体" w:hAnsi="宋体" w:cs="宋体"/>
      <w:b w:val="0"/>
      <w:bCs w:val="0"/>
      <w:color w:val="auto"/>
      <w:sz w:val="21"/>
      <w:szCs w:val="20"/>
    </w:rPr>
  </w:style>
  <w:style w:type="paragraph" w:customStyle="1" w:styleId="2749">
    <w:name w:val="0-shiw-扉页说明内容"/>
    <w:qFormat/>
    <w:uiPriority w:val="0"/>
    <w:pPr>
      <w:numPr>
        <w:ilvl w:val="0"/>
        <w:numId w:val="52"/>
      </w:numPr>
      <w:tabs>
        <w:tab w:val="left" w:pos="357"/>
      </w:tabs>
      <w:jc w:val="both"/>
    </w:pPr>
    <w:rPr>
      <w:rFonts w:ascii="Times New Roman" w:hAnsi="Times New Roman" w:eastAsia="宋体" w:cs="Times New Roman"/>
      <w:kern w:val="2"/>
      <w:sz w:val="21"/>
      <w:szCs w:val="21"/>
      <w:lang w:val="en-US" w:eastAsia="zh-CN" w:bidi="ar-SA"/>
    </w:rPr>
  </w:style>
  <w:style w:type="paragraph" w:customStyle="1" w:styleId="2750">
    <w:name w:val="纯文本4"/>
    <w:basedOn w:val="1"/>
    <w:qFormat/>
    <w:uiPriority w:val="0"/>
    <w:pPr>
      <w:adjustRightInd w:val="0"/>
      <w:textAlignment w:val="baseline"/>
    </w:pPr>
    <w:rPr>
      <w:rFonts w:ascii="宋体" w:hAnsi="Courier New"/>
      <w:kern w:val="0"/>
      <w:szCs w:val="20"/>
    </w:rPr>
  </w:style>
  <w:style w:type="paragraph" w:customStyle="1" w:styleId="2751">
    <w:name w:val="表2"/>
    <w:basedOn w:val="1"/>
    <w:semiHidden/>
    <w:qFormat/>
    <w:uiPriority w:val="0"/>
    <w:pPr>
      <w:adjustRightInd w:val="0"/>
      <w:snapToGrid w:val="0"/>
      <w:spacing w:before="60" w:after="60"/>
      <w:jc w:val="center"/>
    </w:pPr>
    <w:rPr>
      <w:rFonts w:ascii="宋体" w:hAnsi="宋体"/>
      <w:kern w:val="0"/>
      <w:szCs w:val="28"/>
    </w:rPr>
  </w:style>
  <w:style w:type="paragraph" w:customStyle="1" w:styleId="2752">
    <w:name w:val="表格文字（韶关规划）"/>
    <w:basedOn w:val="1"/>
    <w:qFormat/>
    <w:uiPriority w:val="0"/>
    <w:pPr>
      <w:tabs>
        <w:tab w:val="left" w:pos="7996"/>
      </w:tabs>
      <w:autoSpaceDE w:val="0"/>
      <w:autoSpaceDN w:val="0"/>
      <w:adjustRightInd w:val="0"/>
      <w:snapToGrid w:val="0"/>
      <w:spacing w:line="264" w:lineRule="auto"/>
      <w:jc w:val="center"/>
    </w:pPr>
    <w:rPr>
      <w:rFonts w:ascii="宋体"/>
      <w:kern w:val="0"/>
      <w:szCs w:val="21"/>
      <w:lang w:val="zh-CN"/>
    </w:rPr>
  </w:style>
  <w:style w:type="paragraph" w:customStyle="1" w:styleId="2753">
    <w:name w:val="样式 2 + 左侧:  1 字符 右侧:  1 字符 段前: 0.5 行 段后: 0.5 行"/>
    <w:basedOn w:val="1"/>
    <w:qFormat/>
    <w:uiPriority w:val="0"/>
    <w:pPr>
      <w:spacing w:beforeLines="50" w:afterLines="50"/>
      <w:ind w:left="260" w:leftChars="100" w:right="100" w:rightChars="100"/>
      <w:jc w:val="left"/>
    </w:pPr>
    <w:rPr>
      <w:rFonts w:ascii="宋体" w:hAnsi="宋体"/>
      <w:b/>
      <w:kern w:val="0"/>
      <w:sz w:val="34"/>
      <w:szCs w:val="20"/>
    </w:rPr>
  </w:style>
  <w:style w:type="paragraph" w:customStyle="1" w:styleId="2754">
    <w:name w:val="样式 标题 21.1标题 21.1标题2标题 2 Char1节标2_Heading 2可研-标题 2节 Ch..."/>
    <w:basedOn w:val="8"/>
    <w:qFormat/>
    <w:uiPriority w:val="0"/>
    <w:pPr>
      <w:widowControl w:val="0"/>
      <w:numPr>
        <w:ilvl w:val="0"/>
        <w:numId w:val="0"/>
      </w:numPr>
      <w:tabs>
        <w:tab w:val="left" w:pos="960"/>
      </w:tabs>
      <w:spacing w:before="120" w:after="120" w:line="240" w:lineRule="auto"/>
      <w:ind w:left="240"/>
      <w:jc w:val="both"/>
    </w:pPr>
    <w:rPr>
      <w:rFonts w:ascii="Arial" w:eastAsia="黑体"/>
      <w:b/>
      <w:bCs/>
      <w:color w:val="000000"/>
      <w:sz w:val="24"/>
      <w:szCs w:val="20"/>
    </w:rPr>
  </w:style>
  <w:style w:type="paragraph" w:customStyle="1" w:styleId="2755">
    <w:name w:val="样式 样式 标题 1 + 华文中宋 居中 段前: 12 磅 段后: 12 磅 行距: 多倍行距 1.4 字行 + 首行缩进:  ..."/>
    <w:basedOn w:val="1747"/>
    <w:qFormat/>
    <w:uiPriority w:val="0"/>
    <w:pPr>
      <w:tabs>
        <w:tab w:val="left" w:pos="1155"/>
        <w:tab w:val="clear" w:pos="0"/>
      </w:tabs>
      <w:ind w:left="1155" w:hanging="432"/>
    </w:pPr>
  </w:style>
  <w:style w:type="paragraph" w:customStyle="1" w:styleId="2756">
    <w:name w:val="3xi1"/>
    <w:basedOn w:val="1"/>
    <w:qFormat/>
    <w:uiPriority w:val="0"/>
    <w:pPr>
      <w:widowControl/>
      <w:spacing w:before="100" w:beforeAutospacing="1" w:after="100" w:afterAutospacing="1"/>
      <w:jc w:val="left"/>
    </w:pPr>
    <w:rPr>
      <w:rFonts w:ascii="宋体" w:hAnsi="宋体"/>
      <w:kern w:val="0"/>
      <w:sz w:val="34"/>
      <w:szCs w:val="20"/>
    </w:rPr>
  </w:style>
  <w:style w:type="paragraph" w:customStyle="1" w:styleId="2757">
    <w:name w:val="Char Char Char Char1 Char Char Char Char Char Char Char"/>
    <w:basedOn w:val="1"/>
    <w:qFormat/>
    <w:uiPriority w:val="0"/>
    <w:pPr>
      <w:tabs>
        <w:tab w:val="left" w:pos="360"/>
      </w:tabs>
      <w:snapToGrid w:val="0"/>
      <w:spacing w:line="360" w:lineRule="auto"/>
    </w:pPr>
    <w:rPr>
      <w:rFonts w:ascii="宋体" w:eastAsia="仿宋_GB2312" w:cs="宋体"/>
      <w:kern w:val="0"/>
      <w:sz w:val="34"/>
      <w:szCs w:val="20"/>
    </w:rPr>
  </w:style>
  <w:style w:type="paragraph" w:customStyle="1" w:styleId="2758">
    <w:name w:val="默认段落字体 Para Char Char Char Char Char"/>
    <w:basedOn w:val="1"/>
    <w:qFormat/>
    <w:uiPriority w:val="0"/>
    <w:pPr>
      <w:spacing w:line="240" w:lineRule="atLeast"/>
      <w:ind w:left="420" w:firstLine="420"/>
    </w:pPr>
    <w:rPr>
      <w:rFonts w:ascii="宋体"/>
      <w:kern w:val="0"/>
      <w:szCs w:val="21"/>
    </w:rPr>
  </w:style>
  <w:style w:type="paragraph" w:customStyle="1" w:styleId="2759">
    <w:name w:val="目录1"/>
    <w:basedOn w:val="1"/>
    <w:next w:val="1"/>
    <w:qFormat/>
    <w:uiPriority w:val="0"/>
    <w:pPr>
      <w:adjustRightInd w:val="0"/>
      <w:snapToGrid w:val="0"/>
      <w:spacing w:before="120" w:after="120" w:line="420" w:lineRule="atLeast"/>
    </w:pPr>
    <w:rPr>
      <w:rFonts w:ascii="宋体"/>
      <w:b/>
      <w:kern w:val="0"/>
      <w:sz w:val="34"/>
      <w:szCs w:val="20"/>
    </w:rPr>
  </w:style>
  <w:style w:type="paragraph" w:customStyle="1" w:styleId="2760">
    <w:name w:val="条(四级)"/>
    <w:basedOn w:val="1983"/>
    <w:next w:val="10"/>
    <w:unhideWhenUsed/>
    <w:qFormat/>
    <w:uiPriority w:val="0"/>
    <w:pPr>
      <w:tabs>
        <w:tab w:val="left" w:pos="1246"/>
      </w:tabs>
      <w:snapToGrid/>
      <w:spacing w:beforeLines="0"/>
      <w:jc w:val="both"/>
    </w:pPr>
    <w:rPr>
      <w:rFonts w:hAnsi="Times New Roman"/>
      <w:spacing w:val="0"/>
      <w:kern w:val="0"/>
      <w:sz w:val="26"/>
    </w:rPr>
  </w:style>
  <w:style w:type="paragraph" w:customStyle="1" w:styleId="2761">
    <w:name w:val="表文5左"/>
    <w:basedOn w:val="1"/>
    <w:qFormat/>
    <w:uiPriority w:val="0"/>
    <w:pPr>
      <w:adjustRightInd w:val="0"/>
      <w:jc w:val="left"/>
      <w:textAlignment w:val="baseline"/>
    </w:pPr>
    <w:rPr>
      <w:rFonts w:ascii="宋体"/>
      <w:kern w:val="0"/>
      <w:szCs w:val="20"/>
    </w:rPr>
  </w:style>
  <w:style w:type="paragraph" w:customStyle="1" w:styleId="2762">
    <w:name w:val="正文终"/>
    <w:basedOn w:val="1"/>
    <w:qFormat/>
    <w:uiPriority w:val="0"/>
    <w:pPr>
      <w:spacing w:line="360" w:lineRule="auto"/>
      <w:ind w:firstLine="200" w:firstLineChars="200"/>
    </w:pPr>
    <w:rPr>
      <w:rFonts w:ascii="宋体" w:cs="宋体"/>
      <w:kern w:val="0"/>
      <w:sz w:val="34"/>
      <w:szCs w:val="20"/>
    </w:rPr>
  </w:style>
  <w:style w:type="paragraph" w:customStyle="1" w:styleId="2763">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276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765">
    <w:name w:val="xl19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66">
    <w:name w:val="样式 表格备注"/>
    <w:basedOn w:val="1"/>
    <w:qFormat/>
    <w:uiPriority w:val="0"/>
    <w:pPr>
      <w:keepNext/>
      <w:tabs>
        <w:tab w:val="left" w:pos="628"/>
        <w:tab w:val="left" w:pos="1727"/>
        <w:tab w:val="left" w:pos="1884"/>
        <w:tab w:val="left" w:pos="4680"/>
        <w:tab w:val="left" w:pos="4900"/>
      </w:tabs>
      <w:adjustRightInd w:val="0"/>
      <w:snapToGrid w:val="0"/>
      <w:spacing w:before="120" w:after="120" w:line="360" w:lineRule="auto"/>
      <w:ind w:left="578" w:firstLine="480" w:firstLineChars="200"/>
    </w:pPr>
    <w:rPr>
      <w:rFonts w:ascii="宋体" w:hAnsi="宋体" w:eastAsia="楷体_GB2312"/>
      <w:kern w:val="0"/>
      <w:sz w:val="34"/>
      <w:szCs w:val="20"/>
    </w:rPr>
  </w:style>
  <w:style w:type="paragraph" w:customStyle="1" w:styleId="2767">
    <w:name w:val="插图名称"/>
    <w:basedOn w:val="1"/>
    <w:qFormat/>
    <w:uiPriority w:val="0"/>
    <w:pPr>
      <w:spacing w:afterLines="50"/>
      <w:jc w:val="center"/>
      <w:textAlignment w:val="center"/>
    </w:pPr>
    <w:rPr>
      <w:rFonts w:ascii="黑体" w:hAnsi="Arial" w:eastAsia="黑体" w:cs="黑体"/>
      <w:kern w:val="0"/>
      <w:sz w:val="34"/>
      <w:szCs w:val="20"/>
    </w:rPr>
  </w:style>
  <w:style w:type="paragraph" w:customStyle="1" w:styleId="2768">
    <w:name w:val="样式1."/>
    <w:basedOn w:val="1"/>
    <w:qFormat/>
    <w:uiPriority w:val="0"/>
    <w:pPr>
      <w:adjustRightInd w:val="0"/>
      <w:snapToGrid w:val="0"/>
      <w:spacing w:before="120" w:after="120" w:line="460" w:lineRule="exact"/>
      <w:ind w:left="578" w:hanging="578"/>
    </w:pPr>
    <w:rPr>
      <w:rFonts w:ascii="黑体" w:eastAsia="黑体"/>
      <w:b/>
      <w:kern w:val="0"/>
      <w:sz w:val="30"/>
      <w:szCs w:val="20"/>
    </w:rPr>
  </w:style>
  <w:style w:type="paragraph" w:customStyle="1" w:styleId="2769">
    <w:name w:val="正文文本 22"/>
    <w:basedOn w:val="1"/>
    <w:qFormat/>
    <w:uiPriority w:val="0"/>
    <w:pPr>
      <w:adjustRightInd w:val="0"/>
      <w:spacing w:line="432" w:lineRule="auto"/>
      <w:ind w:firstLine="480"/>
      <w:textAlignment w:val="baseline"/>
    </w:pPr>
    <w:rPr>
      <w:rFonts w:ascii="宋体"/>
      <w:kern w:val="0"/>
      <w:sz w:val="34"/>
      <w:szCs w:val="20"/>
    </w:rPr>
  </w:style>
  <w:style w:type="paragraph" w:customStyle="1" w:styleId="2770">
    <w:name w:val="列出段落6"/>
    <w:basedOn w:val="1"/>
    <w:qFormat/>
    <w:uiPriority w:val="0"/>
    <w:pPr>
      <w:ind w:firstLine="420" w:firstLineChars="200"/>
    </w:pPr>
    <w:rPr>
      <w:rFonts w:ascii="Calibri" w:hAnsi="Calibri" w:cs="黑体"/>
      <w:kern w:val="0"/>
      <w:szCs w:val="22"/>
    </w:rPr>
  </w:style>
  <w:style w:type="paragraph" w:customStyle="1" w:styleId="2771">
    <w:name w:val="批注主题12"/>
    <w:basedOn w:val="31"/>
    <w:next w:val="31"/>
    <w:qFormat/>
    <w:uiPriority w:val="0"/>
    <w:rPr>
      <w:rFonts w:ascii="Calibri" w:hAnsi="Calibri" w:eastAsia="仿宋"/>
      <w:b/>
      <w:bCs/>
      <w:sz w:val="20"/>
    </w:rPr>
  </w:style>
  <w:style w:type="paragraph" w:customStyle="1" w:styleId="2772">
    <w:name w:val="样式 首行缩进:  0.85 厘米 行距: 多倍行距 1.4 字行"/>
    <w:basedOn w:val="1"/>
    <w:qFormat/>
    <w:uiPriority w:val="0"/>
    <w:pPr>
      <w:adjustRightInd w:val="0"/>
      <w:snapToGrid w:val="0"/>
      <w:spacing w:line="360" w:lineRule="auto"/>
      <w:ind w:firstLine="482"/>
    </w:pPr>
    <w:rPr>
      <w:rFonts w:ascii="宋体" w:cs="宋体"/>
      <w:kern w:val="0"/>
      <w:sz w:val="34"/>
      <w:szCs w:val="20"/>
    </w:rPr>
  </w:style>
  <w:style w:type="paragraph" w:customStyle="1" w:styleId="2773">
    <w:name w:val="目"/>
    <w:basedOn w:val="1"/>
    <w:qFormat/>
    <w:uiPriority w:val="0"/>
    <w:pPr>
      <w:tabs>
        <w:tab w:val="left" w:pos="360"/>
        <w:tab w:val="left" w:pos="510"/>
      </w:tabs>
      <w:adjustRightInd w:val="0"/>
      <w:spacing w:line="460" w:lineRule="exact"/>
      <w:ind w:left="360" w:hanging="360"/>
      <w:jc w:val="left"/>
      <w:textAlignment w:val="baseline"/>
    </w:pPr>
    <w:rPr>
      <w:rFonts w:ascii="宋体"/>
      <w:kern w:val="0"/>
      <w:sz w:val="34"/>
      <w:szCs w:val="20"/>
    </w:rPr>
  </w:style>
  <w:style w:type="paragraph" w:customStyle="1" w:styleId="2774">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2775">
    <w:name w:val="p16"/>
    <w:basedOn w:val="1"/>
    <w:qFormat/>
    <w:uiPriority w:val="0"/>
    <w:pPr>
      <w:widowControl/>
      <w:snapToGrid w:val="0"/>
      <w:spacing w:before="360" w:after="120" w:line="480" w:lineRule="atLeast"/>
      <w:jc w:val="center"/>
    </w:pPr>
    <w:rPr>
      <w:rFonts w:ascii="Arial" w:hAnsi="Arial" w:cs="Arial"/>
      <w:kern w:val="0"/>
      <w:sz w:val="34"/>
      <w:szCs w:val="20"/>
    </w:rPr>
  </w:style>
  <w:style w:type="paragraph" w:customStyle="1" w:styleId="2776">
    <w:name w:val="xl164"/>
    <w:basedOn w:val="1"/>
    <w:qFormat/>
    <w:uiPriority w:val="0"/>
    <w:pPr>
      <w:widowControl/>
      <w:pBdr>
        <w:top w:val="single" w:color="auto" w:sz="8"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777">
    <w:name w:val="样式 表题 + 10 磅"/>
    <w:basedOn w:val="363"/>
    <w:next w:val="363"/>
    <w:qFormat/>
    <w:uiPriority w:val="0"/>
    <w:pPr>
      <w:widowControl w:val="0"/>
      <w:spacing w:beforeLines="50" w:afterLines="50" w:line="400" w:lineRule="atLeast"/>
    </w:pPr>
    <w:rPr>
      <w:sz w:val="20"/>
      <w:szCs w:val="21"/>
    </w:rPr>
  </w:style>
  <w:style w:type="paragraph" w:customStyle="1" w:styleId="2778">
    <w:name w:val="Char5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2779">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80">
    <w:name w:val="高表内"/>
    <w:basedOn w:val="48"/>
    <w:unhideWhenUsed/>
    <w:qFormat/>
    <w:uiPriority w:val="0"/>
    <w:pPr>
      <w:widowControl w:val="0"/>
      <w:autoSpaceDE w:val="0"/>
      <w:adjustRightInd w:val="0"/>
      <w:snapToGrid w:val="0"/>
      <w:spacing w:before="60" w:after="60"/>
      <w:ind w:left="578" w:hanging="578"/>
      <w:textAlignment w:val="baseline"/>
    </w:pPr>
    <w:rPr>
      <w:rFonts w:ascii="Arial" w:hAnsi="Arial" w:cs="Times New Roman"/>
      <w:sz w:val="21"/>
      <w:szCs w:val="20"/>
    </w:rPr>
  </w:style>
  <w:style w:type="paragraph" w:customStyle="1" w:styleId="2781">
    <w:name w:val="Char111"/>
    <w:basedOn w:val="1"/>
    <w:qFormat/>
    <w:uiPriority w:val="0"/>
    <w:rPr>
      <w:rFonts w:ascii="宋体"/>
      <w:kern w:val="0"/>
      <w:sz w:val="34"/>
      <w:szCs w:val="20"/>
    </w:rPr>
  </w:style>
  <w:style w:type="paragraph" w:customStyle="1" w:styleId="2782">
    <w:name w:val="样式 标题 4 + 黑体 (符号) 宋体 四号"/>
    <w:basedOn w:val="10"/>
    <w:qFormat/>
    <w:uiPriority w:val="0"/>
    <w:pPr>
      <w:widowControl w:val="0"/>
      <w:numPr>
        <w:ilvl w:val="0"/>
        <w:numId w:val="0"/>
      </w:numPr>
      <w:spacing w:before="280" w:after="290" w:line="376" w:lineRule="auto"/>
      <w:jc w:val="both"/>
    </w:pPr>
    <w:rPr>
      <w:rFonts w:ascii="黑体" w:hAnsi="黑体" w:eastAsia="黑体" w:cs="Times New Roman"/>
      <w:sz w:val="28"/>
    </w:rPr>
  </w:style>
  <w:style w:type="paragraph" w:customStyle="1" w:styleId="2783">
    <w:name w:val="正文首行缩进2字符"/>
    <w:basedOn w:val="1"/>
    <w:qFormat/>
    <w:uiPriority w:val="0"/>
    <w:pPr>
      <w:autoSpaceDE w:val="0"/>
      <w:autoSpaceDN w:val="0"/>
      <w:spacing w:line="560" w:lineRule="exact"/>
      <w:ind w:firstLine="200" w:firstLineChars="200"/>
    </w:pPr>
    <w:rPr>
      <w:rFonts w:ascii="宋体"/>
      <w:kern w:val="0"/>
      <w:sz w:val="28"/>
      <w:szCs w:val="20"/>
    </w:rPr>
  </w:style>
  <w:style w:type="paragraph" w:customStyle="1" w:styleId="2784">
    <w:name w:val="表标题5.14"/>
    <w:basedOn w:val="1"/>
    <w:qFormat/>
    <w:uiPriority w:val="0"/>
    <w:pPr>
      <w:numPr>
        <w:ilvl w:val="0"/>
        <w:numId w:val="53"/>
      </w:numPr>
      <w:tabs>
        <w:tab w:val="left" w:pos="993"/>
      </w:tabs>
      <w:spacing w:beforeLines="100" w:after="120" w:line="0" w:lineRule="atLeast"/>
    </w:pPr>
    <w:rPr>
      <w:rFonts w:ascii="宋体" w:eastAsia="黑体"/>
      <w:b/>
      <w:kern w:val="0"/>
      <w:sz w:val="34"/>
      <w:szCs w:val="20"/>
    </w:rPr>
  </w:style>
  <w:style w:type="paragraph" w:customStyle="1" w:styleId="2785">
    <w:name w:val="图题兰1"/>
    <w:basedOn w:val="829"/>
    <w:qFormat/>
    <w:uiPriority w:val="0"/>
    <w:pPr>
      <w:adjustRightInd/>
      <w:snapToGrid/>
      <w:spacing w:beforeLines="50" w:after="156"/>
      <w:jc w:val="center"/>
    </w:pPr>
    <w:rPr>
      <w:rFonts w:ascii="Times New Roman" w:hAnsi="Times New Roman" w:cs="宋体"/>
      <w:b w:val="0"/>
      <w:bCs w:val="0"/>
      <w:kern w:val="2"/>
      <w:sz w:val="21"/>
      <w:szCs w:val="20"/>
    </w:rPr>
  </w:style>
  <w:style w:type="paragraph" w:customStyle="1" w:styleId="2786">
    <w:name w:val="样式 表标题5.3 + 居中 段前: 1 行"/>
    <w:basedOn w:val="2787"/>
    <w:qFormat/>
    <w:uiPriority w:val="0"/>
    <w:pPr>
      <w:widowControl/>
      <w:numPr>
        <w:ilvl w:val="0"/>
        <w:numId w:val="54"/>
      </w:numPr>
      <w:tabs>
        <w:tab w:val="decimal" w:pos="360"/>
        <w:tab w:val="clear" w:pos="726"/>
      </w:tabs>
      <w:spacing w:beforeLines="0" w:after="200" w:line="276" w:lineRule="auto"/>
      <w:ind w:left="0" w:firstLine="0"/>
      <w:jc w:val="left"/>
    </w:pPr>
    <w:rPr>
      <w:rFonts w:eastAsia="宋体"/>
      <w:b w:val="0"/>
      <w:sz w:val="22"/>
      <w:szCs w:val="21"/>
    </w:rPr>
  </w:style>
  <w:style w:type="paragraph" w:customStyle="1" w:styleId="2787">
    <w:name w:val="表标题5.3"/>
    <w:basedOn w:val="1"/>
    <w:qFormat/>
    <w:uiPriority w:val="0"/>
    <w:pPr>
      <w:spacing w:beforeLines="100" w:after="120" w:line="0" w:lineRule="atLeast"/>
      <w:ind w:left="578" w:hanging="578"/>
    </w:pPr>
    <w:rPr>
      <w:rFonts w:ascii="宋体" w:eastAsia="黑体"/>
      <w:b/>
      <w:kern w:val="0"/>
      <w:sz w:val="34"/>
      <w:szCs w:val="20"/>
    </w:rPr>
  </w:style>
  <w:style w:type="paragraph" w:customStyle="1" w:styleId="2788">
    <w:name w:val="正文文本缩进 32"/>
    <w:basedOn w:val="1"/>
    <w:qFormat/>
    <w:uiPriority w:val="0"/>
    <w:pPr>
      <w:adjustRightInd w:val="0"/>
      <w:spacing w:line="480" w:lineRule="exact"/>
      <w:ind w:firstLine="525"/>
      <w:textAlignment w:val="baseline"/>
    </w:pPr>
    <w:rPr>
      <w:rFonts w:ascii="宋体"/>
      <w:kern w:val="0"/>
      <w:sz w:val="28"/>
      <w:szCs w:val="20"/>
    </w:rPr>
  </w:style>
  <w:style w:type="paragraph" w:customStyle="1" w:styleId="2789">
    <w:name w:val="Char2 Char Char1 Char Char Char2"/>
    <w:basedOn w:val="1"/>
    <w:qFormat/>
    <w:uiPriority w:val="0"/>
    <w:rPr>
      <w:rFonts w:ascii="宋体"/>
      <w:kern w:val="0"/>
      <w:sz w:val="34"/>
      <w:szCs w:val="20"/>
    </w:rPr>
  </w:style>
  <w:style w:type="paragraph" w:customStyle="1" w:styleId="2790">
    <w:name w:val="Char Char Char Char Char Char Char Char Char Char Char Char Char Char Char Char Char1"/>
    <w:basedOn w:val="1"/>
    <w:qFormat/>
    <w:uiPriority w:val="0"/>
    <w:rPr>
      <w:rFonts w:ascii="宋体"/>
      <w:kern w:val="0"/>
      <w:szCs w:val="21"/>
    </w:rPr>
  </w:style>
  <w:style w:type="paragraph" w:customStyle="1" w:styleId="2791">
    <w:name w:val="批注主题3"/>
    <w:basedOn w:val="31"/>
    <w:next w:val="31"/>
    <w:qFormat/>
    <w:uiPriority w:val="0"/>
    <w:rPr>
      <w:rFonts w:ascii="Calibri" w:hAnsi="Calibri" w:eastAsia="仿宋"/>
      <w:b/>
      <w:bCs/>
      <w:sz w:val="20"/>
    </w:rPr>
  </w:style>
  <w:style w:type="paragraph" w:customStyle="1" w:styleId="2792">
    <w:name w:val="AZ"/>
    <w:basedOn w:val="1"/>
    <w:qFormat/>
    <w:uiPriority w:val="0"/>
    <w:pPr>
      <w:widowControl/>
      <w:tabs>
        <w:tab w:val="left" w:pos="851"/>
        <w:tab w:val="left" w:pos="1637"/>
      </w:tabs>
      <w:spacing w:before="60" w:after="120"/>
      <w:ind w:left="1637" w:hanging="737"/>
      <w:jc w:val="left"/>
    </w:pPr>
    <w:rPr>
      <w:rFonts w:ascii="Arial" w:hAnsi="Arial"/>
      <w:color w:val="000000"/>
      <w:kern w:val="0"/>
      <w:sz w:val="22"/>
      <w:szCs w:val="22"/>
      <w:lang w:val="de-DE" w:eastAsia="de-DE"/>
    </w:rPr>
  </w:style>
  <w:style w:type="paragraph" w:customStyle="1" w:styleId="2793">
    <w:name w:val="印发栏"/>
    <w:basedOn w:val="6"/>
    <w:qFormat/>
    <w:uiPriority w:val="0"/>
    <w:pPr>
      <w:widowControl w:val="0"/>
      <w:tabs>
        <w:tab w:val="right" w:pos="8465"/>
      </w:tabs>
      <w:autoSpaceDE w:val="0"/>
      <w:autoSpaceDN w:val="0"/>
      <w:adjustRightInd w:val="0"/>
      <w:spacing w:line="454" w:lineRule="atLeast"/>
      <w:ind w:left="357" w:right="357" w:firstLine="0" w:firstLineChars="0"/>
    </w:pPr>
    <w:rPr>
      <w:rFonts w:ascii="Times New Roman" w:hAnsi="Times New Roman" w:eastAsia="方正仿宋_GBK" w:cs="Times New Roman"/>
      <w:snapToGrid w:val="0"/>
      <w:sz w:val="32"/>
      <w:szCs w:val="20"/>
    </w:rPr>
  </w:style>
  <w:style w:type="paragraph" w:customStyle="1" w:styleId="2794">
    <w:name w:val="文档结构图1"/>
    <w:basedOn w:val="1"/>
    <w:qFormat/>
    <w:uiPriority w:val="0"/>
    <w:pPr>
      <w:shd w:val="clear" w:color="auto" w:fill="000080"/>
    </w:pPr>
    <w:rPr>
      <w:rFonts w:ascii="宋体"/>
      <w:kern w:val="0"/>
      <w:szCs w:val="20"/>
      <w:shd w:val="clear" w:color="auto" w:fill="000080"/>
    </w:rPr>
  </w:style>
  <w:style w:type="paragraph" w:customStyle="1" w:styleId="2795">
    <w:name w:val="编号正文"/>
    <w:basedOn w:val="6"/>
    <w:qFormat/>
    <w:uiPriority w:val="0"/>
    <w:pPr>
      <w:widowControl w:val="0"/>
      <w:ind w:firstLine="0" w:firstLineChars="0"/>
      <w:jc w:val="center"/>
    </w:pPr>
    <w:rPr>
      <w:rFonts w:ascii="Times New Roman" w:hAnsi="Times New Roman" w:cs="Times New Roman"/>
      <w:sz w:val="21"/>
      <w:szCs w:val="21"/>
    </w:rPr>
  </w:style>
  <w:style w:type="paragraph" w:customStyle="1" w:styleId="2796">
    <w:name w:val="三级标题王1"/>
    <w:basedOn w:val="1"/>
    <w:semiHidden/>
    <w:qFormat/>
    <w:uiPriority w:val="0"/>
    <w:pPr>
      <w:adjustRightInd w:val="0"/>
      <w:snapToGrid w:val="0"/>
      <w:spacing w:before="120" w:after="120" w:line="360" w:lineRule="auto"/>
      <w:ind w:left="578" w:hanging="578"/>
      <w:jc w:val="left"/>
      <w:textAlignment w:val="baseline"/>
      <w:outlineLvl w:val="2"/>
    </w:pPr>
    <w:rPr>
      <w:rFonts w:ascii="黑体" w:eastAsia="黑体"/>
      <w:b/>
      <w:kern w:val="0"/>
      <w:sz w:val="34"/>
      <w:szCs w:val="20"/>
    </w:rPr>
  </w:style>
  <w:style w:type="paragraph" w:customStyle="1" w:styleId="2797">
    <w:name w:val="附录二级条标题"/>
    <w:basedOn w:val="2798"/>
    <w:next w:val="1"/>
    <w:qFormat/>
    <w:uiPriority w:val="0"/>
    <w:pPr>
      <w:tabs>
        <w:tab w:val="left" w:pos="198"/>
        <w:tab w:val="left" w:pos="920"/>
      </w:tabs>
      <w:ind w:left="0" w:firstLine="198"/>
      <w:outlineLvl w:val="3"/>
    </w:pPr>
  </w:style>
  <w:style w:type="paragraph" w:customStyle="1" w:styleId="2798">
    <w:name w:val="附录一级条标题"/>
    <w:basedOn w:val="1650"/>
    <w:next w:val="1"/>
    <w:qFormat/>
    <w:uiPriority w:val="0"/>
    <w:pPr>
      <w:tabs>
        <w:tab w:val="left" w:pos="920"/>
        <w:tab w:val="clear" w:pos="776"/>
      </w:tabs>
      <w:autoSpaceDN w:val="0"/>
      <w:spacing w:beforeLines="0" w:afterLines="0"/>
      <w:ind w:left="920" w:hanging="720"/>
      <w:outlineLvl w:val="2"/>
    </w:pPr>
  </w:style>
  <w:style w:type="paragraph" w:customStyle="1" w:styleId="2799">
    <w:name w:val="样式 正文首行缩进 + 黑体 四号 黑色"/>
    <w:basedOn w:val="1"/>
    <w:next w:val="1"/>
    <w:qFormat/>
    <w:uiPriority w:val="0"/>
    <w:pPr>
      <w:numPr>
        <w:ilvl w:val="3"/>
        <w:numId w:val="55"/>
      </w:numPr>
      <w:tabs>
        <w:tab w:val="left" w:pos="726"/>
        <w:tab w:val="left" w:pos="2514"/>
        <w:tab w:val="clear" w:pos="1680"/>
      </w:tabs>
      <w:spacing w:before="120" w:after="120" w:line="360" w:lineRule="auto"/>
      <w:ind w:right="-132" w:rightChars="-47" w:firstLine="567"/>
      <w:outlineLvl w:val="3"/>
    </w:pPr>
    <w:rPr>
      <w:rFonts w:ascii="黑体" w:hAnsi="Arial" w:eastAsia="黑体" w:cs="宋体"/>
      <w:color w:val="000000"/>
      <w:kern w:val="0"/>
      <w:sz w:val="28"/>
      <w:szCs w:val="20"/>
    </w:rPr>
  </w:style>
  <w:style w:type="paragraph" w:customStyle="1" w:styleId="2800">
    <w:name w:val="样式 样式 连云样式4 + 首行缩进:  2 字符1 + 首行缩进:  2 字符 段前: 0.3 行"/>
    <w:basedOn w:val="1"/>
    <w:qFormat/>
    <w:uiPriority w:val="0"/>
    <w:pPr>
      <w:adjustRightInd w:val="0"/>
      <w:snapToGrid w:val="0"/>
      <w:spacing w:line="360" w:lineRule="auto"/>
      <w:ind w:firstLine="200" w:firstLineChars="200"/>
    </w:pPr>
    <w:rPr>
      <w:rFonts w:ascii="宋体" w:cs="宋体"/>
      <w:kern w:val="0"/>
      <w:sz w:val="34"/>
      <w:szCs w:val="20"/>
    </w:rPr>
  </w:style>
  <w:style w:type="paragraph" w:customStyle="1" w:styleId="2801">
    <w:name w:val="CM39"/>
    <w:basedOn w:val="2"/>
    <w:next w:val="2"/>
    <w:semiHidden/>
    <w:qFormat/>
    <w:uiPriority w:val="0"/>
    <w:pPr>
      <w:adjustRightInd/>
    </w:pPr>
    <w:rPr>
      <w:rFonts w:hint="eastAsia" w:ascii="仿宋" w:hAnsi="仿宋" w:eastAsia="仿宋" w:cs="Times New Roman"/>
      <w:szCs w:val="20"/>
    </w:rPr>
  </w:style>
  <w:style w:type="paragraph" w:customStyle="1" w:styleId="2802">
    <w:name w:val="_tiret (2e niveau)"/>
    <w:unhideWhenUsed/>
    <w:qFormat/>
    <w:uiPriority w:val="0"/>
    <w:pPr>
      <w:spacing w:before="120" w:after="120"/>
      <w:ind w:left="1134" w:hanging="284"/>
      <w:jc w:val="both"/>
    </w:pPr>
    <w:rPr>
      <w:rFonts w:ascii="Times New Roman" w:hAnsi="Times New Roman" w:eastAsia="宋体" w:cs="Times New Roman"/>
      <w:sz w:val="24"/>
      <w:lang w:val="en-US" w:eastAsia="zh-CN" w:bidi="ar-SA"/>
    </w:rPr>
  </w:style>
  <w:style w:type="paragraph" w:customStyle="1" w:styleId="2803">
    <w:name w:val="湛江5"/>
    <w:basedOn w:val="482"/>
    <w:qFormat/>
    <w:uiPriority w:val="0"/>
  </w:style>
  <w:style w:type="paragraph" w:customStyle="1" w:styleId="2804">
    <w:name w:val="图目"/>
    <w:basedOn w:val="1"/>
    <w:qFormat/>
    <w:uiPriority w:val="0"/>
    <w:pPr>
      <w:adjustRightInd w:val="0"/>
      <w:snapToGrid w:val="0"/>
      <w:spacing w:line="320" w:lineRule="exact"/>
      <w:jc w:val="center"/>
    </w:pPr>
    <w:rPr>
      <w:rFonts w:ascii="宋体"/>
      <w:kern w:val="0"/>
      <w:sz w:val="34"/>
      <w:szCs w:val="20"/>
    </w:rPr>
  </w:style>
  <w:style w:type="paragraph" w:customStyle="1" w:styleId="2805">
    <w:name w:val="新标题2"/>
    <w:basedOn w:val="1"/>
    <w:qFormat/>
    <w:uiPriority w:val="0"/>
    <w:pPr>
      <w:keepNext/>
      <w:autoSpaceDE w:val="0"/>
      <w:autoSpaceDN w:val="0"/>
      <w:adjustRightInd w:val="0"/>
      <w:spacing w:before="120" w:after="120" w:line="460" w:lineRule="exact"/>
      <w:outlineLvl w:val="1"/>
    </w:pPr>
    <w:rPr>
      <w:rFonts w:ascii="黑体" w:eastAsia="黑体" w:cs="宋体"/>
      <w:b/>
      <w:bCs/>
      <w:color w:val="000000"/>
      <w:kern w:val="0"/>
      <w:sz w:val="34"/>
      <w:szCs w:val="20"/>
      <w:lang w:val="zh-CN"/>
    </w:rPr>
  </w:style>
  <w:style w:type="paragraph" w:customStyle="1" w:styleId="2806">
    <w:name w:val="Char Char2 Char2"/>
    <w:basedOn w:val="1"/>
    <w:qFormat/>
    <w:uiPriority w:val="0"/>
    <w:rPr>
      <w:rFonts w:ascii="宋体"/>
      <w:kern w:val="0"/>
      <w:szCs w:val="21"/>
    </w:rPr>
  </w:style>
  <w:style w:type="paragraph" w:customStyle="1" w:styleId="2807">
    <w:name w:val="Char9"/>
    <w:basedOn w:val="1"/>
    <w:qFormat/>
    <w:uiPriority w:val="0"/>
    <w:pPr>
      <w:numPr>
        <w:ilvl w:val="0"/>
        <w:numId w:val="56"/>
      </w:numPr>
      <w:tabs>
        <w:tab w:val="left" w:pos="425"/>
      </w:tabs>
      <w:snapToGrid w:val="0"/>
      <w:spacing w:line="360" w:lineRule="auto"/>
    </w:pPr>
    <w:rPr>
      <w:rFonts w:ascii="宋体" w:eastAsia="仿宋_GB2312" w:cs="宋体"/>
      <w:kern w:val="0"/>
      <w:sz w:val="34"/>
      <w:szCs w:val="20"/>
    </w:rPr>
  </w:style>
  <w:style w:type="paragraph" w:customStyle="1" w:styleId="2808">
    <w:name w:val="CM109"/>
    <w:basedOn w:val="2"/>
    <w:next w:val="2"/>
    <w:semiHidden/>
    <w:qFormat/>
    <w:uiPriority w:val="0"/>
    <w:pPr>
      <w:spacing w:after="585"/>
    </w:pPr>
    <w:rPr>
      <w:rFonts w:ascii="Arial" w:hAnsi="Arial" w:cs="Times New Roman"/>
      <w:color w:val="auto"/>
    </w:rPr>
  </w:style>
  <w:style w:type="paragraph" w:customStyle="1" w:styleId="2809">
    <w:name w:val="中 文 论 文"/>
    <w:basedOn w:val="1"/>
    <w:qFormat/>
    <w:uiPriority w:val="0"/>
    <w:pPr>
      <w:adjustRightInd w:val="0"/>
      <w:spacing w:line="480" w:lineRule="atLeast"/>
      <w:ind w:firstLine="510"/>
      <w:jc w:val="left"/>
      <w:textAlignment w:val="baseline"/>
    </w:pPr>
    <w:rPr>
      <w:rFonts w:ascii="宋体" w:eastAsia="仿宋_GB2312"/>
      <w:kern w:val="0"/>
      <w:sz w:val="28"/>
      <w:szCs w:val="20"/>
    </w:rPr>
  </w:style>
  <w:style w:type="paragraph" w:customStyle="1" w:styleId="2810">
    <w:name w:val="首行 2 字符 1.3行距"/>
    <w:basedOn w:val="236"/>
    <w:qFormat/>
    <w:uiPriority w:val="0"/>
    <w:pPr>
      <w:spacing w:line="312" w:lineRule="auto"/>
      <w:ind w:firstLine="480"/>
    </w:pPr>
    <w:rPr>
      <w:sz w:val="24"/>
    </w:rPr>
  </w:style>
  <w:style w:type="paragraph" w:customStyle="1" w:styleId="2811">
    <w:name w:val="日期4"/>
    <w:basedOn w:val="1"/>
    <w:next w:val="1"/>
    <w:qFormat/>
    <w:uiPriority w:val="0"/>
    <w:pPr>
      <w:adjustRightInd w:val="0"/>
      <w:textAlignment w:val="baseline"/>
    </w:pPr>
    <w:rPr>
      <w:rFonts w:ascii="宋体"/>
      <w:kern w:val="0"/>
      <w:szCs w:val="20"/>
    </w:rPr>
  </w:style>
  <w:style w:type="paragraph" w:customStyle="1" w:styleId="2812">
    <w:name w:val="式样1"/>
    <w:basedOn w:val="1"/>
    <w:qFormat/>
    <w:uiPriority w:val="0"/>
    <w:pPr>
      <w:numPr>
        <w:ilvl w:val="0"/>
        <w:numId w:val="57"/>
      </w:numPr>
      <w:tabs>
        <w:tab w:val="left" w:pos="0"/>
        <w:tab w:val="left" w:pos="660"/>
      </w:tabs>
      <w:adjustRightInd w:val="0"/>
      <w:snapToGrid w:val="0"/>
      <w:spacing w:line="360" w:lineRule="auto"/>
      <w:ind w:firstLine="567"/>
    </w:pPr>
    <w:rPr>
      <w:rFonts w:ascii="宋体"/>
      <w:kern w:val="0"/>
      <w:sz w:val="34"/>
      <w:szCs w:val="20"/>
    </w:rPr>
  </w:style>
  <w:style w:type="paragraph" w:customStyle="1" w:styleId="2813">
    <w:name w:val="列出段落7"/>
    <w:basedOn w:val="1"/>
    <w:qFormat/>
    <w:uiPriority w:val="0"/>
    <w:pPr>
      <w:ind w:firstLine="420" w:firstLineChars="200"/>
    </w:pPr>
    <w:rPr>
      <w:rFonts w:ascii="Calibri" w:hAnsi="Calibri" w:cs="黑体"/>
      <w:kern w:val="0"/>
      <w:szCs w:val="22"/>
    </w:rPr>
  </w:style>
  <w:style w:type="paragraph" w:customStyle="1" w:styleId="2814">
    <w:name w:val="二级标题"/>
    <w:basedOn w:val="1"/>
    <w:qFormat/>
    <w:uiPriority w:val="0"/>
    <w:pPr>
      <w:spacing w:before="120" w:line="540" w:lineRule="exact"/>
      <w:ind w:firstLine="200" w:firstLineChars="200"/>
      <w:outlineLvl w:val="1"/>
    </w:pPr>
    <w:rPr>
      <w:rFonts w:ascii="宋体" w:eastAsia="仿宋_GB2312"/>
      <w:b/>
      <w:kern w:val="0"/>
      <w:sz w:val="28"/>
      <w:szCs w:val="20"/>
    </w:rPr>
  </w:style>
  <w:style w:type="paragraph" w:customStyle="1" w:styleId="2815">
    <w:name w:val="Char Char1 Char Char Char Char Char Char Char Char Char Char Char Char Char1"/>
    <w:basedOn w:val="1"/>
    <w:qFormat/>
    <w:uiPriority w:val="0"/>
    <w:pPr>
      <w:spacing w:line="360" w:lineRule="auto"/>
    </w:pPr>
    <w:rPr>
      <w:rFonts w:ascii="Tahoma" w:hAnsi="Tahoma"/>
      <w:kern w:val="0"/>
      <w:sz w:val="34"/>
      <w:szCs w:val="20"/>
    </w:rPr>
  </w:style>
  <w:style w:type="paragraph" w:customStyle="1" w:styleId="2816">
    <w:name w:val="Char2 Char Char11"/>
    <w:basedOn w:val="1"/>
    <w:qFormat/>
    <w:uiPriority w:val="0"/>
    <w:rPr>
      <w:rFonts w:ascii="宋体"/>
      <w:kern w:val="0"/>
      <w:sz w:val="34"/>
      <w:szCs w:val="20"/>
    </w:rPr>
  </w:style>
  <w:style w:type="paragraph" w:customStyle="1" w:styleId="2817">
    <w:name w:val="Char Char Char1 Char Char Char Char Char Char Char Char Char Char Char Char Char Char Char Char Char Char1 Char"/>
    <w:basedOn w:val="1"/>
    <w:qFormat/>
    <w:uiPriority w:val="0"/>
    <w:pPr>
      <w:spacing w:line="240" w:lineRule="exact"/>
      <w:ind w:firstLine="200" w:firstLineChars="200"/>
    </w:pPr>
    <w:rPr>
      <w:rFonts w:ascii="宋体"/>
      <w:kern w:val="0"/>
      <w:sz w:val="28"/>
      <w:szCs w:val="28"/>
    </w:rPr>
  </w:style>
  <w:style w:type="paragraph" w:customStyle="1" w:styleId="2818">
    <w:name w:val="样式 宋体 首行缩进:  0.99 厘米 行距: 固定值 24 磅"/>
    <w:basedOn w:val="1"/>
    <w:qFormat/>
    <w:uiPriority w:val="0"/>
    <w:pPr>
      <w:adjustRightInd w:val="0"/>
      <w:ind w:firstLine="560" w:firstLineChars="200"/>
    </w:pPr>
    <w:rPr>
      <w:rFonts w:ascii="宋体"/>
      <w:kern w:val="0"/>
      <w:szCs w:val="21"/>
    </w:rPr>
  </w:style>
  <w:style w:type="paragraph" w:customStyle="1" w:styleId="2819">
    <w:name w:val="样式 样式 标题 4 + 段前: 0.5 行 段后: 0.5 行 + 段前: 0.5 行 段后: 0.5 行3"/>
    <w:basedOn w:val="1730"/>
    <w:semiHidden/>
    <w:qFormat/>
    <w:uiPriority w:val="0"/>
    <w:pPr>
      <w:adjustRightInd w:val="0"/>
    </w:pPr>
  </w:style>
  <w:style w:type="paragraph" w:customStyle="1" w:styleId="2820">
    <w:name w:val="CM82"/>
    <w:basedOn w:val="2"/>
    <w:next w:val="2"/>
    <w:semiHidden/>
    <w:qFormat/>
    <w:uiPriority w:val="0"/>
    <w:pPr>
      <w:adjustRightInd/>
    </w:pPr>
    <w:rPr>
      <w:rFonts w:hint="eastAsia" w:ascii="仿宋" w:hAnsi="仿宋" w:eastAsia="仿宋" w:cs="Times New Roman"/>
      <w:szCs w:val="20"/>
    </w:rPr>
  </w:style>
  <w:style w:type="paragraph" w:customStyle="1" w:styleId="2821">
    <w:name w:val="密级"/>
    <w:basedOn w:val="1"/>
    <w:qFormat/>
    <w:uiPriority w:val="0"/>
    <w:pPr>
      <w:autoSpaceDE w:val="0"/>
      <w:autoSpaceDN w:val="0"/>
      <w:adjustRightInd w:val="0"/>
      <w:spacing w:line="425" w:lineRule="atLeast"/>
      <w:jc w:val="right"/>
    </w:pPr>
    <w:rPr>
      <w:rFonts w:ascii="黑体" w:eastAsia="黑体"/>
      <w:snapToGrid w:val="0"/>
      <w:kern w:val="0"/>
      <w:sz w:val="30"/>
      <w:szCs w:val="20"/>
    </w:rPr>
  </w:style>
  <w:style w:type="paragraph" w:customStyle="1" w:styleId="2822">
    <w:name w:val="编号1."/>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2823">
    <w:name w:val="Char Char Char Char Char Char Char Char Char"/>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2824">
    <w:name w:val="表标题5.7"/>
    <w:basedOn w:val="1"/>
    <w:qFormat/>
    <w:uiPriority w:val="0"/>
    <w:pPr>
      <w:numPr>
        <w:ilvl w:val="0"/>
        <w:numId w:val="58"/>
      </w:numPr>
      <w:tabs>
        <w:tab w:val="left" w:pos="1653"/>
        <w:tab w:val="clear" w:pos="726"/>
      </w:tabs>
      <w:spacing w:beforeLines="100" w:after="120" w:line="0" w:lineRule="atLeast"/>
      <w:ind w:firstLine="567"/>
      <w:jc w:val="center"/>
    </w:pPr>
    <w:rPr>
      <w:rFonts w:ascii="宋体" w:eastAsia="黑体"/>
      <w:b/>
      <w:kern w:val="0"/>
      <w:sz w:val="34"/>
      <w:szCs w:val="20"/>
    </w:rPr>
  </w:style>
  <w:style w:type="paragraph" w:customStyle="1" w:styleId="2825">
    <w:name w:val="Char31"/>
    <w:basedOn w:val="1"/>
    <w:qFormat/>
    <w:uiPriority w:val="0"/>
    <w:pPr>
      <w:spacing w:line="360" w:lineRule="auto"/>
      <w:ind w:firstLine="200" w:firstLineChars="200"/>
    </w:pPr>
    <w:rPr>
      <w:rFonts w:ascii="宋体" w:hAnsi="宋体" w:cs="宋体"/>
      <w:kern w:val="0"/>
      <w:sz w:val="34"/>
      <w:szCs w:val="20"/>
    </w:rPr>
  </w:style>
  <w:style w:type="paragraph" w:customStyle="1" w:styleId="2826">
    <w:name w:val="样式2－王鹏"/>
    <w:basedOn w:val="1"/>
    <w:qFormat/>
    <w:uiPriority w:val="0"/>
    <w:pPr>
      <w:pBdr>
        <w:top w:val="single" w:color="auto" w:sz="4" w:space="1"/>
      </w:pBdr>
      <w:autoSpaceDE w:val="0"/>
      <w:autoSpaceDN w:val="0"/>
      <w:adjustRightInd w:val="0"/>
      <w:snapToGrid w:val="0"/>
      <w:spacing w:line="300" w:lineRule="auto"/>
      <w:jc w:val="center"/>
    </w:pPr>
    <w:rPr>
      <w:rFonts w:ascii="宋体"/>
      <w:kern w:val="0"/>
      <w:szCs w:val="21"/>
    </w:rPr>
  </w:style>
  <w:style w:type="paragraph" w:customStyle="1" w:styleId="2827">
    <w:name w:val="样式19"/>
    <w:basedOn w:val="1"/>
    <w:qFormat/>
    <w:uiPriority w:val="0"/>
    <w:pPr>
      <w:suppressAutoHyphens/>
      <w:spacing w:line="360" w:lineRule="auto"/>
      <w:ind w:firstLine="480" w:firstLineChars="200"/>
    </w:pPr>
    <w:rPr>
      <w:rFonts w:ascii="宋体"/>
      <w:kern w:val="1"/>
      <w:sz w:val="34"/>
      <w:szCs w:val="21"/>
      <w:lang w:eastAsia="ar-SA"/>
    </w:rPr>
  </w:style>
  <w:style w:type="paragraph" w:customStyle="1" w:styleId="2828">
    <w:name w:val="样式 样式 首行缩进:  2 字符 行距: 固定值 24 磅 + 首行缩进:  2 字符"/>
    <w:basedOn w:val="1"/>
    <w:qFormat/>
    <w:uiPriority w:val="0"/>
    <w:pPr>
      <w:spacing w:line="324" w:lineRule="auto"/>
      <w:ind w:firstLine="200" w:firstLineChars="200"/>
    </w:pPr>
    <w:rPr>
      <w:rFonts w:ascii="宋体" w:hAnsi="宋体" w:cs="宋体"/>
      <w:spacing w:val="8"/>
      <w:kern w:val="0"/>
      <w:sz w:val="34"/>
      <w:szCs w:val="20"/>
    </w:rPr>
  </w:style>
  <w:style w:type="paragraph" w:customStyle="1" w:styleId="2829">
    <w:name w:val="公众调查表"/>
    <w:basedOn w:val="1"/>
    <w:qFormat/>
    <w:uiPriority w:val="0"/>
    <w:pPr>
      <w:adjustRightInd w:val="0"/>
      <w:snapToGrid w:val="0"/>
      <w:spacing w:line="360" w:lineRule="auto"/>
      <w:ind w:firstLine="480" w:firstLineChars="200"/>
      <w:jc w:val="left"/>
    </w:pPr>
    <w:rPr>
      <w:rFonts w:ascii="宋体"/>
      <w:kern w:val="0"/>
      <w:sz w:val="34"/>
      <w:szCs w:val="21"/>
    </w:rPr>
  </w:style>
  <w:style w:type="paragraph" w:customStyle="1" w:styleId="2830">
    <w:name w:val="Char Char Char1 Char Char Char Char Char Char Char Char Char Char Char Char Char Char Char1 Char Char Char Char Char Char Char Char Char"/>
    <w:basedOn w:val="1"/>
    <w:qFormat/>
    <w:uiPriority w:val="0"/>
    <w:rPr>
      <w:rFonts w:ascii="宋体"/>
      <w:kern w:val="0"/>
      <w:szCs w:val="21"/>
    </w:rPr>
  </w:style>
  <w:style w:type="paragraph" w:customStyle="1" w:styleId="2831">
    <w:name w:val="xl128"/>
    <w:basedOn w:val="1"/>
    <w:qFormat/>
    <w:uiPriority w:val="0"/>
    <w:pPr>
      <w:widowControl/>
      <w:pBdr>
        <w:top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32">
    <w:name w:val="样式 正文首行缩进 + 首行缩进:  1 字符2"/>
    <w:basedOn w:val="43"/>
    <w:qFormat/>
    <w:uiPriority w:val="0"/>
    <w:pPr>
      <w:widowControl w:val="0"/>
      <w:spacing w:line="500" w:lineRule="exact"/>
      <w:ind w:firstLine="200" w:firstLineChars="200"/>
      <w:jc w:val="both"/>
      <w:textAlignment w:val="center"/>
    </w:pPr>
    <w:rPr>
      <w:sz w:val="24"/>
      <w:szCs w:val="24"/>
      <w:lang w:val="fr-FR"/>
    </w:rPr>
  </w:style>
  <w:style w:type="paragraph" w:customStyle="1" w:styleId="2833">
    <w:name w:val="0-shiw-扉页参加人员标题"/>
    <w:qFormat/>
    <w:uiPriority w:val="0"/>
    <w:pPr>
      <w:spacing w:line="360" w:lineRule="auto"/>
      <w:jc w:val="center"/>
    </w:pPr>
    <w:rPr>
      <w:rFonts w:ascii="Times New Roman" w:hAnsi="Times New Roman" w:eastAsia="宋体" w:cs="Times New Roman"/>
      <w:b/>
      <w:kern w:val="2"/>
      <w:sz w:val="32"/>
      <w:szCs w:val="32"/>
      <w:lang w:val="en-US" w:eastAsia="zh-CN" w:bidi="ar-SA"/>
    </w:rPr>
  </w:style>
  <w:style w:type="paragraph" w:customStyle="1" w:styleId="2834">
    <w:name w:val="简单回函地址"/>
    <w:basedOn w:val="1"/>
    <w:qFormat/>
    <w:uiPriority w:val="0"/>
    <w:rPr>
      <w:rFonts w:ascii="宋体"/>
      <w:kern w:val="0"/>
      <w:szCs w:val="20"/>
    </w:rPr>
  </w:style>
  <w:style w:type="paragraph" w:customStyle="1" w:styleId="2835">
    <w:name w:val="Char10"/>
    <w:basedOn w:val="1"/>
    <w:qFormat/>
    <w:uiPriority w:val="0"/>
    <w:rPr>
      <w:rFonts w:ascii="宋体"/>
      <w:kern w:val="0"/>
      <w:sz w:val="34"/>
      <w:szCs w:val="20"/>
    </w:rPr>
  </w:style>
  <w:style w:type="paragraph" w:customStyle="1" w:styleId="2836">
    <w:name w:val="项"/>
    <w:basedOn w:val="1"/>
    <w:qFormat/>
    <w:uiPriority w:val="0"/>
    <w:pPr>
      <w:tabs>
        <w:tab w:val="left" w:pos="420"/>
        <w:tab w:val="left" w:pos="510"/>
        <w:tab w:val="left" w:pos="840"/>
      </w:tabs>
      <w:adjustRightInd w:val="0"/>
      <w:spacing w:line="460" w:lineRule="exact"/>
      <w:ind w:left="420" w:hanging="420"/>
      <w:jc w:val="left"/>
      <w:textAlignment w:val="baseline"/>
    </w:pPr>
    <w:rPr>
      <w:rFonts w:ascii="宋体"/>
      <w:kern w:val="0"/>
      <w:sz w:val="34"/>
      <w:szCs w:val="20"/>
    </w:rPr>
  </w:style>
  <w:style w:type="paragraph" w:customStyle="1" w:styleId="2837">
    <w:name w:val="小五表格"/>
    <w:basedOn w:val="1"/>
    <w:qFormat/>
    <w:uiPriority w:val="0"/>
    <w:pPr>
      <w:widowControl/>
      <w:adjustRightInd w:val="0"/>
      <w:spacing w:before="120" w:after="120"/>
      <w:ind w:left="578" w:hanging="578"/>
      <w:jc w:val="center"/>
      <w:textAlignment w:val="baseline"/>
    </w:pPr>
    <w:rPr>
      <w:rFonts w:ascii="宋体"/>
      <w:kern w:val="0"/>
      <w:sz w:val="18"/>
      <w:szCs w:val="20"/>
    </w:rPr>
  </w:style>
  <w:style w:type="paragraph" w:customStyle="1" w:styleId="2838">
    <w:name w:val="Char Char Char Char Char Char Char Char Char Char Char Char1 Char Char Char Char Char Char Char"/>
    <w:basedOn w:val="1"/>
    <w:semiHidden/>
    <w:qFormat/>
    <w:uiPriority w:val="0"/>
    <w:pPr>
      <w:spacing w:before="120" w:after="120" w:line="460" w:lineRule="exact"/>
      <w:ind w:left="578" w:firstLine="200" w:firstLineChars="200"/>
      <w:textAlignment w:val="center"/>
    </w:pPr>
    <w:rPr>
      <w:rFonts w:ascii="宋体" w:hAnsi="宋体" w:cs="宋体"/>
      <w:kern w:val="0"/>
      <w:sz w:val="34"/>
      <w:szCs w:val="20"/>
    </w:rPr>
  </w:style>
  <w:style w:type="paragraph" w:customStyle="1" w:styleId="2839">
    <w:name w:val="编号标题"/>
    <w:basedOn w:val="9"/>
    <w:qFormat/>
    <w:uiPriority w:val="0"/>
    <w:pPr>
      <w:widowControl w:val="0"/>
      <w:numPr>
        <w:ilvl w:val="0"/>
        <w:numId w:val="0"/>
      </w:numPr>
      <w:tabs>
        <w:tab w:val="left" w:pos="720"/>
      </w:tabs>
      <w:spacing w:before="160" w:line="460" w:lineRule="exact"/>
      <w:ind w:left="720" w:firstLine="420" w:firstLineChars="200"/>
      <w:jc w:val="both"/>
      <w:outlineLvl w:val="9"/>
    </w:pPr>
    <w:rPr>
      <w:rFonts w:cs="Times New Roman"/>
      <w:bCs w:val="0"/>
      <w:color w:val="000000"/>
      <w:sz w:val="21"/>
      <w:szCs w:val="24"/>
    </w:rPr>
  </w:style>
  <w:style w:type="paragraph" w:customStyle="1" w:styleId="2840">
    <w:name w:val="样式 报告正文 + (西文) 黑体 (中文) 黑体"/>
    <w:basedOn w:val="1311"/>
    <w:semiHidden/>
    <w:qFormat/>
    <w:uiPriority w:val="0"/>
    <w:pPr>
      <w:adjustRightInd w:val="0"/>
      <w:snapToGrid w:val="0"/>
      <w:spacing w:before="120" w:after="120"/>
      <w:ind w:left="578" w:firstLine="83" w:firstLineChars="83"/>
      <w:outlineLvl w:val="0"/>
    </w:pPr>
    <w:rPr>
      <w:rFonts w:ascii="宋体" w:hAnsi="宋体"/>
      <w:bCs w:val="0"/>
    </w:rPr>
  </w:style>
  <w:style w:type="paragraph" w:customStyle="1" w:styleId="2841">
    <w:name w:val="样式 小四 居中 首行缩进:  0 厘米 段前: 自动 段后: 自动 行距: 最小值 12 磅"/>
    <w:basedOn w:val="1"/>
    <w:unhideWhenUsed/>
    <w:qFormat/>
    <w:uiPriority w:val="0"/>
    <w:pPr>
      <w:spacing w:before="100" w:beforeAutospacing="1" w:after="100" w:afterAutospacing="1" w:line="240" w:lineRule="atLeast"/>
      <w:ind w:left="578" w:hanging="578"/>
      <w:jc w:val="center"/>
    </w:pPr>
    <w:rPr>
      <w:rFonts w:ascii="宋体" w:cs="宋体"/>
      <w:kern w:val="0"/>
      <w:szCs w:val="20"/>
    </w:rPr>
  </w:style>
  <w:style w:type="paragraph" w:customStyle="1" w:styleId="2842">
    <w:name w:val="样式 首行缩进:  0.80 厘米 段前: 7.8 磅"/>
    <w:basedOn w:val="1"/>
    <w:qFormat/>
    <w:uiPriority w:val="0"/>
    <w:pPr>
      <w:adjustRightInd w:val="0"/>
      <w:snapToGrid w:val="0"/>
      <w:spacing w:before="156" w:line="312" w:lineRule="auto"/>
      <w:ind w:firstLine="480"/>
    </w:pPr>
    <w:rPr>
      <w:rFonts w:ascii="宋体"/>
      <w:kern w:val="0"/>
      <w:sz w:val="34"/>
      <w:szCs w:val="20"/>
    </w:rPr>
  </w:style>
  <w:style w:type="paragraph" w:customStyle="1" w:styleId="2843">
    <w:name w:val="form_first"/>
    <w:basedOn w:val="1"/>
    <w:semiHidden/>
    <w:qFormat/>
    <w:uiPriority w:val="0"/>
    <w:pPr>
      <w:autoSpaceDE w:val="0"/>
      <w:autoSpaceDN w:val="0"/>
      <w:adjustRightInd w:val="0"/>
      <w:spacing w:line="360" w:lineRule="auto"/>
      <w:jc w:val="center"/>
    </w:pPr>
    <w:rPr>
      <w:rFonts w:ascii="宋体"/>
      <w:color w:val="000000"/>
      <w:kern w:val="0"/>
      <w:szCs w:val="20"/>
    </w:rPr>
  </w:style>
  <w:style w:type="paragraph" w:customStyle="1" w:styleId="2844">
    <w:name w:val="样式 首行缩进 行距: 1.3 倍行距 + 首行缩进:  2 字符 段前: 自动 段后: 自动"/>
    <w:basedOn w:val="2845"/>
    <w:unhideWhenUsed/>
    <w:qFormat/>
    <w:uiPriority w:val="0"/>
    <w:pPr>
      <w:spacing w:before="0" w:beforeAutospacing="0" w:after="0" w:afterAutospacing="0"/>
    </w:pPr>
  </w:style>
  <w:style w:type="paragraph" w:customStyle="1" w:styleId="2845">
    <w:name w:val="首行缩进 行距: 1.3 倍行距"/>
    <w:basedOn w:val="1"/>
    <w:unhideWhenUsed/>
    <w:qFormat/>
    <w:uiPriority w:val="0"/>
    <w:pPr>
      <w:spacing w:before="100" w:beforeAutospacing="1" w:after="100" w:afterAutospacing="1" w:line="312" w:lineRule="auto"/>
      <w:ind w:left="578" w:firstLine="200" w:firstLineChars="200"/>
    </w:pPr>
    <w:rPr>
      <w:rFonts w:ascii="宋体" w:cs="宋体"/>
      <w:kern w:val="0"/>
      <w:szCs w:val="20"/>
    </w:rPr>
  </w:style>
  <w:style w:type="paragraph" w:customStyle="1" w:styleId="2846">
    <w:name w:val="Char Char Char Char Char Char1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847">
    <w:name w:val="正文（表格）"/>
    <w:basedOn w:val="1"/>
    <w:qFormat/>
    <w:uiPriority w:val="0"/>
    <w:pPr>
      <w:ind w:firstLine="1166"/>
      <w:jc w:val="center"/>
    </w:pPr>
    <w:rPr>
      <w:rFonts w:ascii="宋体"/>
      <w:spacing w:val="6"/>
      <w:kern w:val="0"/>
      <w:sz w:val="34"/>
      <w:szCs w:val="20"/>
    </w:rPr>
  </w:style>
  <w:style w:type="paragraph" w:customStyle="1" w:styleId="2848">
    <w:name w:val="xl78"/>
    <w:basedOn w:val="1"/>
    <w:qFormat/>
    <w:uiPriority w:val="0"/>
    <w:pPr>
      <w:widowControl/>
      <w:pBdr>
        <w:top w:val="single" w:color="000000" w:sz="8" w:space="0"/>
        <w:bottom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849">
    <w:name w:val="L3"/>
    <w:basedOn w:val="1"/>
    <w:qFormat/>
    <w:uiPriority w:val="0"/>
    <w:pPr>
      <w:widowControl/>
      <w:tabs>
        <w:tab w:val="left" w:pos="540"/>
      </w:tabs>
      <w:autoSpaceDE w:val="0"/>
      <w:autoSpaceDN w:val="0"/>
      <w:spacing w:line="360" w:lineRule="auto"/>
      <w:jc w:val="left"/>
    </w:pPr>
    <w:rPr>
      <w:rFonts w:ascii="宋体" w:hAnsi="宋体" w:eastAsia="黑体"/>
      <w:kern w:val="0"/>
      <w:sz w:val="34"/>
      <w:szCs w:val="28"/>
    </w:rPr>
  </w:style>
  <w:style w:type="paragraph" w:customStyle="1" w:styleId="2850">
    <w:name w:val="表格-四号"/>
    <w:basedOn w:val="1"/>
    <w:unhideWhenUsed/>
    <w:qFormat/>
    <w:uiPriority w:val="0"/>
    <w:pPr>
      <w:spacing w:beforeLines="50" w:afterLines="50"/>
      <w:ind w:left="578" w:hanging="578"/>
      <w:jc w:val="center"/>
    </w:pPr>
    <w:rPr>
      <w:rFonts w:ascii="宋体"/>
      <w:kern w:val="0"/>
      <w:sz w:val="28"/>
      <w:szCs w:val="21"/>
    </w:rPr>
  </w:style>
  <w:style w:type="paragraph" w:customStyle="1" w:styleId="2851">
    <w:name w:val="参考文献-thesis"/>
    <w:basedOn w:val="1"/>
    <w:qFormat/>
    <w:uiPriority w:val="0"/>
    <w:pPr>
      <w:overflowPunct w:val="0"/>
      <w:autoSpaceDE w:val="0"/>
      <w:autoSpaceDN w:val="0"/>
      <w:adjustRightInd w:val="0"/>
      <w:snapToGrid w:val="0"/>
      <w:spacing w:after="220"/>
      <w:ind w:left="431" w:hanging="431"/>
      <w:textAlignment w:val="baseline"/>
    </w:pPr>
    <w:rPr>
      <w:rFonts w:ascii="宋体"/>
      <w:kern w:val="0"/>
      <w:sz w:val="22"/>
      <w:szCs w:val="22"/>
      <w:u w:color="000000"/>
    </w:rPr>
  </w:style>
  <w:style w:type="paragraph" w:customStyle="1" w:styleId="2852">
    <w:name w:val="样式 标题 1 + 段前: 0 磅 段后: 0 磅 行距: 1.5 倍行距"/>
    <w:basedOn w:val="7"/>
    <w:semiHidden/>
    <w:qFormat/>
    <w:uiPriority w:val="0"/>
    <w:pPr>
      <w:keepNext w:val="0"/>
      <w:keepLines/>
      <w:overflowPunct/>
      <w:snapToGrid/>
      <w:spacing w:before="0" w:after="0" w:line="324" w:lineRule="auto"/>
      <w:ind w:left="0" w:firstLine="0"/>
      <w:jc w:val="center"/>
    </w:pPr>
    <w:rPr>
      <w:rFonts w:ascii="宋体" w:hAnsi="宋体" w:eastAsia="宋体" w:cs="宋体"/>
      <w:b w:val="0"/>
      <w:color w:val="auto"/>
      <w:sz w:val="24"/>
      <w:szCs w:val="24"/>
    </w:rPr>
  </w:style>
  <w:style w:type="paragraph" w:customStyle="1" w:styleId="2853">
    <w:name w:val="表1"/>
    <w:basedOn w:val="1"/>
    <w:qFormat/>
    <w:uiPriority w:val="0"/>
    <w:pPr>
      <w:spacing w:before="40" w:line="0" w:lineRule="atLeast"/>
      <w:jc w:val="center"/>
    </w:pPr>
    <w:rPr>
      <w:rFonts w:ascii="宋体"/>
      <w:kern w:val="0"/>
      <w:szCs w:val="20"/>
    </w:rPr>
  </w:style>
  <w:style w:type="paragraph" w:customStyle="1" w:styleId="2854">
    <w:name w:val="Char Char Char Char Char Char Char Char Char Char Char Char Char Char Char Char Char Char Char Char Char Char Char Char Char Char Char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855">
    <w:name w:val="南沙表头1"/>
    <w:basedOn w:val="2856"/>
    <w:qFormat/>
    <w:uiPriority w:val="0"/>
    <w:pPr>
      <w:widowControl/>
      <w:adjustRightInd w:val="0"/>
      <w:spacing w:before="120" w:after="120"/>
      <w:ind w:left="578" w:hanging="578"/>
      <w:textAlignment w:val="baseline"/>
    </w:pPr>
    <w:rPr>
      <w:sz w:val="21"/>
      <w:szCs w:val="24"/>
    </w:rPr>
  </w:style>
  <w:style w:type="paragraph" w:customStyle="1" w:styleId="2856">
    <w:name w:val="表头文字"/>
    <w:basedOn w:val="1"/>
    <w:qFormat/>
    <w:uiPriority w:val="0"/>
    <w:pPr>
      <w:jc w:val="center"/>
    </w:pPr>
    <w:rPr>
      <w:rFonts w:ascii="宋体"/>
      <w:b/>
      <w:kern w:val="0"/>
      <w:sz w:val="28"/>
      <w:szCs w:val="28"/>
    </w:rPr>
  </w:style>
  <w:style w:type="paragraph" w:customStyle="1" w:styleId="2857">
    <w:name w:val="样式 表格 + 小五 底端: (单实线 自动设置  0.75 磅 行宽)"/>
    <w:basedOn w:val="1"/>
    <w:semiHidden/>
    <w:qFormat/>
    <w:uiPriority w:val="0"/>
    <w:pPr>
      <w:framePr w:wrap="around" w:vAnchor="text" w:hAnchor="text" w:y="1"/>
      <w:pBdr>
        <w:top w:val="thickThinSmallGap" w:color="auto" w:sz="12" w:space="0"/>
        <w:bottom w:val="double" w:color="auto" w:sz="4" w:space="0"/>
      </w:pBdr>
      <w:spacing w:before="120" w:after="120" w:line="0" w:lineRule="atLeast"/>
      <w:ind w:left="578" w:hanging="578"/>
    </w:pPr>
    <w:rPr>
      <w:rFonts w:ascii="宋体"/>
      <w:bCs/>
      <w:kern w:val="0"/>
      <w:sz w:val="18"/>
      <w:szCs w:val="18"/>
    </w:rPr>
  </w:style>
  <w:style w:type="paragraph" w:customStyle="1" w:styleId="2858">
    <w:name w:val="码头表"/>
    <w:basedOn w:val="2206"/>
    <w:qFormat/>
    <w:uiPriority w:val="0"/>
    <w:pPr>
      <w:spacing w:line="240" w:lineRule="auto"/>
    </w:pPr>
    <w:rPr>
      <w:sz w:val="18"/>
    </w:rPr>
  </w:style>
  <w:style w:type="paragraph" w:customStyle="1" w:styleId="2859">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2860">
    <w:name w:val="正文表标题"/>
    <w:next w:val="213"/>
    <w:qFormat/>
    <w:uiPriority w:val="0"/>
    <w:pPr>
      <w:numPr>
        <w:ilvl w:val="0"/>
        <w:numId w:val="59"/>
      </w:numPr>
      <w:tabs>
        <w:tab w:val="left" w:pos="726"/>
      </w:tabs>
      <w:jc w:val="center"/>
    </w:pPr>
    <w:rPr>
      <w:rFonts w:ascii="黑体" w:hAnsi="Times New Roman" w:eastAsia="黑体" w:cs="Times New Roman"/>
      <w:sz w:val="21"/>
      <w:lang w:val="en-US" w:eastAsia="zh-CN" w:bidi="ar-SA"/>
    </w:rPr>
  </w:style>
  <w:style w:type="paragraph" w:customStyle="1" w:styleId="2861">
    <w:name w:val="ldy正文"/>
    <w:basedOn w:val="1"/>
    <w:qFormat/>
    <w:uiPriority w:val="0"/>
    <w:pPr>
      <w:widowControl/>
      <w:spacing w:line="360" w:lineRule="auto"/>
      <w:ind w:firstLine="200" w:firstLineChars="200"/>
      <w:jc w:val="left"/>
    </w:pPr>
    <w:rPr>
      <w:rFonts w:ascii="宋体"/>
      <w:kern w:val="0"/>
      <w:sz w:val="34"/>
      <w:szCs w:val="20"/>
    </w:rPr>
  </w:style>
  <w:style w:type="paragraph" w:customStyle="1" w:styleId="2862">
    <w:name w:val="z3"/>
    <w:basedOn w:val="1"/>
    <w:qFormat/>
    <w:uiPriority w:val="0"/>
    <w:pPr>
      <w:spacing w:line="360" w:lineRule="auto"/>
      <w:outlineLvl w:val="2"/>
    </w:pPr>
    <w:rPr>
      <w:rFonts w:ascii="宋体"/>
      <w:kern w:val="0"/>
      <w:sz w:val="34"/>
      <w:szCs w:val="20"/>
    </w:rPr>
  </w:style>
  <w:style w:type="paragraph" w:customStyle="1" w:styleId="2863">
    <w:name w:val="样式 表标题2.4 + 居中 段前: 1 行"/>
    <w:basedOn w:val="1936"/>
    <w:qFormat/>
    <w:uiPriority w:val="0"/>
    <w:pPr>
      <w:spacing w:before="312"/>
      <w:jc w:val="center"/>
    </w:pPr>
    <w:rPr>
      <w:rFonts w:cs="宋体"/>
      <w:bCs/>
    </w:rPr>
  </w:style>
  <w:style w:type="paragraph" w:customStyle="1" w:styleId="2864">
    <w:name w:val="样式 标题 3条标2Char标题 3 Char2标题 3 Char Char Char标题 3 Char Char ..."/>
    <w:basedOn w:val="9"/>
    <w:semiHidden/>
    <w:qFormat/>
    <w:uiPriority w:val="0"/>
    <w:pPr>
      <w:widowControl w:val="0"/>
      <w:numPr>
        <w:numId w:val="60"/>
      </w:numPr>
      <w:tabs>
        <w:tab w:val="left" w:pos="726"/>
        <w:tab w:val="left" w:pos="1080"/>
        <w:tab w:val="left" w:pos="1260"/>
      </w:tabs>
      <w:spacing w:line="240" w:lineRule="auto"/>
      <w:ind w:left="720" w:hanging="432"/>
    </w:pPr>
    <w:rPr>
      <w:rFonts w:eastAsia="黑体" w:cs="Times New Roman"/>
      <w:bCs w:val="0"/>
      <w:color w:val="FF0000"/>
      <w:sz w:val="30"/>
      <w:szCs w:val="20"/>
    </w:rPr>
  </w:style>
  <w:style w:type="paragraph" w:customStyle="1" w:styleId="2865">
    <w:name w:val="PSPSPSPS"/>
    <w:basedOn w:val="1"/>
    <w:qFormat/>
    <w:uiPriority w:val="0"/>
    <w:pPr>
      <w:adjustRightInd w:val="0"/>
      <w:spacing w:line="600" w:lineRule="atLeast"/>
      <w:textAlignment w:val="baseline"/>
    </w:pPr>
    <w:rPr>
      <w:rFonts w:ascii="宋体"/>
      <w:kern w:val="0"/>
      <w:sz w:val="28"/>
      <w:szCs w:val="20"/>
    </w:rPr>
  </w:style>
  <w:style w:type="paragraph" w:customStyle="1" w:styleId="2866">
    <w:name w:val="样式 表头 + 段后: 0.2 行1"/>
    <w:basedOn w:val="973"/>
    <w:qFormat/>
    <w:uiPriority w:val="0"/>
    <w:pPr>
      <w:widowControl w:val="0"/>
      <w:adjustRightInd/>
      <w:snapToGrid w:val="0"/>
      <w:spacing w:before="120" w:after="62" w:line="240" w:lineRule="auto"/>
      <w:ind w:left="420" w:leftChars="200"/>
      <w:textAlignment w:val="auto"/>
    </w:pPr>
    <w:rPr>
      <w:rFonts w:ascii="Times New Roman" w:hAnsi="Times New Roman"/>
      <w:spacing w:val="0"/>
      <w:kern w:val="24"/>
      <w:szCs w:val="28"/>
    </w:rPr>
  </w:style>
  <w:style w:type="paragraph" w:customStyle="1" w:styleId="2867">
    <w:name w:val="样式5"/>
    <w:basedOn w:val="1122"/>
    <w:link w:val="2868"/>
    <w:qFormat/>
    <w:uiPriority w:val="0"/>
    <w:pPr>
      <w:widowControl w:val="0"/>
      <w:jc w:val="both"/>
      <w:outlineLvl w:val="9"/>
    </w:pPr>
    <w:rPr>
      <w:rFonts w:ascii="Times New Roman" w:hAnsi="Times New Roman" w:cs="Times New Roman"/>
      <w:b w:val="0"/>
      <w:sz w:val="20"/>
      <w:szCs w:val="20"/>
    </w:rPr>
  </w:style>
  <w:style w:type="character" w:customStyle="1" w:styleId="2868">
    <w:name w:val="样式5 Char"/>
    <w:link w:val="2867"/>
    <w:qFormat/>
    <w:uiPriority w:val="0"/>
  </w:style>
  <w:style w:type="paragraph" w:customStyle="1" w:styleId="2869">
    <w:name w:val="ztt"/>
    <w:basedOn w:val="1"/>
    <w:qFormat/>
    <w:uiPriority w:val="0"/>
    <w:pPr>
      <w:spacing w:beforeLines="50" w:afterLines="50"/>
      <w:jc w:val="center"/>
    </w:pPr>
    <w:rPr>
      <w:rFonts w:ascii="宋体" w:hAnsi="宋体"/>
      <w:b/>
      <w:bCs/>
      <w:kern w:val="0"/>
      <w:sz w:val="34"/>
      <w:szCs w:val="20"/>
    </w:rPr>
  </w:style>
  <w:style w:type="paragraph" w:customStyle="1" w:styleId="2870">
    <w:name w:val="Char Char Char Char Char Char Char Char Char Char4"/>
    <w:basedOn w:val="1"/>
    <w:qFormat/>
    <w:uiPriority w:val="0"/>
    <w:pPr>
      <w:adjustRightInd w:val="0"/>
      <w:snapToGrid w:val="0"/>
      <w:spacing w:line="360" w:lineRule="auto"/>
      <w:ind w:firstLine="200" w:firstLineChars="200"/>
    </w:pPr>
    <w:rPr>
      <w:rFonts w:ascii="宋体" w:eastAsia="仿宋_GB2312"/>
      <w:kern w:val="0"/>
      <w:sz w:val="30"/>
      <w:szCs w:val="20"/>
    </w:rPr>
  </w:style>
  <w:style w:type="paragraph" w:customStyle="1" w:styleId="2871">
    <w:name w:val="CM108"/>
    <w:basedOn w:val="2"/>
    <w:next w:val="2"/>
    <w:qFormat/>
    <w:uiPriority w:val="0"/>
    <w:pPr>
      <w:spacing w:after="180"/>
    </w:pPr>
    <w:rPr>
      <w:rFonts w:cs="Times New Roman"/>
      <w:color w:val="auto"/>
    </w:rPr>
  </w:style>
  <w:style w:type="paragraph" w:customStyle="1" w:styleId="2872">
    <w:name w:val="普通(网站)1"/>
    <w:basedOn w:val="1"/>
    <w:unhideWhenUsed/>
    <w:qFormat/>
    <w:uiPriority w:val="0"/>
    <w:pPr>
      <w:snapToGrid w:val="0"/>
      <w:spacing w:before="120" w:after="120" w:line="360" w:lineRule="exact"/>
      <w:ind w:left="578" w:hanging="578"/>
      <w:jc w:val="center"/>
    </w:pPr>
    <w:rPr>
      <w:rFonts w:ascii="Arial" w:hAnsi="宋体" w:cs="Arial"/>
      <w:kern w:val="0"/>
      <w:szCs w:val="21"/>
    </w:rPr>
  </w:style>
  <w:style w:type="paragraph" w:customStyle="1" w:styleId="2873">
    <w:name w:val="xl95"/>
    <w:basedOn w:val="1"/>
    <w:qFormat/>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874">
    <w:name w:val="xl171"/>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75">
    <w:name w:val="Char Char1 Char Char Char Char Char 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876">
    <w:name w:val="样式 正文首行缩进 + 首行缩进:  0.85 厘米"/>
    <w:basedOn w:val="43"/>
    <w:semiHidden/>
    <w:qFormat/>
    <w:uiPriority w:val="0"/>
    <w:pPr>
      <w:widowControl w:val="0"/>
      <w:spacing w:before="120" w:after="0" w:line="300" w:lineRule="auto"/>
      <w:ind w:left="578" w:firstLine="482" w:firstLineChars="0"/>
      <w:jc w:val="both"/>
    </w:pPr>
    <w:rPr>
      <w:rFonts w:ascii="Times New Roman" w:hAnsi="Times New Roman" w:cs="Times New Roman"/>
      <w:sz w:val="24"/>
      <w:lang w:val="fr-FR"/>
    </w:rPr>
  </w:style>
  <w:style w:type="paragraph" w:customStyle="1" w:styleId="2877">
    <w:name w:val="CM54"/>
    <w:basedOn w:val="2"/>
    <w:next w:val="2"/>
    <w:semiHidden/>
    <w:qFormat/>
    <w:uiPriority w:val="0"/>
    <w:pPr>
      <w:adjustRightInd/>
    </w:pPr>
    <w:rPr>
      <w:rFonts w:hint="eastAsia" w:ascii="仿宋" w:hAnsi="仿宋" w:eastAsia="仿宋" w:cs="Times New Roman"/>
      <w:szCs w:val="20"/>
    </w:rPr>
  </w:style>
  <w:style w:type="paragraph" w:customStyle="1" w:styleId="2878">
    <w:name w:val="Char4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879">
    <w:name w:val="表内式样"/>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2880">
    <w:name w:val="样式 小四 加粗 行距: 1.5 倍行距 首行缩进:  2 字符 Char"/>
    <w:basedOn w:val="1"/>
    <w:qFormat/>
    <w:uiPriority w:val="0"/>
    <w:pPr>
      <w:spacing w:line="360" w:lineRule="auto"/>
      <w:ind w:firstLine="200" w:firstLineChars="200"/>
    </w:pPr>
    <w:rPr>
      <w:rFonts w:ascii="宋体" w:cs="宋体"/>
      <w:bCs/>
      <w:kern w:val="0"/>
      <w:sz w:val="34"/>
      <w:szCs w:val="20"/>
    </w:rPr>
  </w:style>
  <w:style w:type="paragraph" w:customStyle="1" w:styleId="2881">
    <w:name w:val="条题"/>
    <w:basedOn w:val="1"/>
    <w:semiHidden/>
    <w:qFormat/>
    <w:uiPriority w:val="0"/>
    <w:pPr>
      <w:numPr>
        <w:ilvl w:val="0"/>
        <w:numId w:val="61"/>
      </w:numPr>
      <w:tabs>
        <w:tab w:val="left" w:pos="1640"/>
      </w:tabs>
      <w:spacing w:beforeLines="50" w:line="480" w:lineRule="exact"/>
    </w:pPr>
    <w:rPr>
      <w:rFonts w:ascii="宋体"/>
      <w:color w:val="000000"/>
      <w:kern w:val="0"/>
      <w:sz w:val="34"/>
      <w:szCs w:val="20"/>
    </w:rPr>
  </w:style>
  <w:style w:type="paragraph" w:customStyle="1" w:styleId="2882">
    <w:name w:val="CM57"/>
    <w:basedOn w:val="2"/>
    <w:next w:val="2"/>
    <w:semiHidden/>
    <w:qFormat/>
    <w:uiPriority w:val="0"/>
    <w:pPr>
      <w:adjustRightInd/>
    </w:pPr>
    <w:rPr>
      <w:rFonts w:hint="eastAsia" w:ascii="仿宋" w:hAnsi="仿宋" w:eastAsia="仿宋" w:cs="Times New Roman"/>
      <w:szCs w:val="20"/>
    </w:rPr>
  </w:style>
  <w:style w:type="paragraph" w:customStyle="1" w:styleId="2883">
    <w:name w:val="样式 样式 样式 四号 段前: 7.8 磅 行距: 多倍行距 1.25 字行 首行缩进:  2 字符 + 首行缩进:  2 字符...1"/>
    <w:basedOn w:val="1"/>
    <w:qFormat/>
    <w:uiPriority w:val="0"/>
    <w:pPr>
      <w:snapToGrid w:val="0"/>
      <w:spacing w:beforeLines="50" w:line="300" w:lineRule="auto"/>
      <w:ind w:firstLine="200" w:firstLineChars="200"/>
    </w:pPr>
    <w:rPr>
      <w:rFonts w:ascii="宋体" w:cs="宋体"/>
      <w:kern w:val="0"/>
      <w:sz w:val="28"/>
      <w:szCs w:val="20"/>
    </w:rPr>
  </w:style>
  <w:style w:type="paragraph" w:customStyle="1" w:styleId="2884">
    <w:name w:val="表格标题9"/>
    <w:basedOn w:val="85"/>
    <w:semiHidden/>
    <w:qFormat/>
    <w:uiPriority w:val="0"/>
    <w:pPr>
      <w:numPr>
        <w:ilvl w:val="0"/>
        <w:numId w:val="62"/>
      </w:numPr>
      <w:pBdr>
        <w:top w:val="single" w:color="auto" w:sz="4" w:space="1"/>
      </w:pBdr>
      <w:tabs>
        <w:tab w:val="left" w:pos="0"/>
      </w:tabs>
      <w:wordWrap w:val="0"/>
      <w:adjustRightInd w:val="0"/>
      <w:spacing w:after="0" w:line="240" w:lineRule="atLeast"/>
      <w:ind w:leftChars="0"/>
      <w:jc w:val="center"/>
    </w:pPr>
    <w:rPr>
      <w:b/>
      <w:sz w:val="24"/>
    </w:rPr>
  </w:style>
  <w:style w:type="paragraph" w:customStyle="1" w:styleId="2885">
    <w:name w:val="正文居中"/>
    <w:basedOn w:val="1007"/>
    <w:next w:val="1007"/>
    <w:qFormat/>
    <w:uiPriority w:val="0"/>
    <w:pPr>
      <w:snapToGrid/>
      <w:spacing w:beforeLines="0" w:afterLines="0" w:line="240" w:lineRule="auto"/>
      <w:ind w:left="578" w:firstLine="0"/>
      <w:jc w:val="center"/>
    </w:pPr>
    <w:rPr>
      <w:kern w:val="2"/>
      <w:sz w:val="21"/>
      <w:szCs w:val="21"/>
    </w:rPr>
  </w:style>
  <w:style w:type="paragraph" w:customStyle="1" w:styleId="2886">
    <w:name w:val="表内序号"/>
    <w:basedOn w:val="1"/>
    <w:unhideWhenUsed/>
    <w:qFormat/>
    <w:uiPriority w:val="0"/>
    <w:pPr>
      <w:spacing w:before="120" w:after="120"/>
      <w:ind w:left="578" w:hanging="578"/>
    </w:pPr>
    <w:rPr>
      <w:rFonts w:ascii="宋体" w:hAnsi="宋体"/>
      <w:color w:val="000000"/>
      <w:kern w:val="0"/>
      <w:szCs w:val="21"/>
    </w:rPr>
  </w:style>
  <w:style w:type="paragraph" w:customStyle="1" w:styleId="2887">
    <w:name w:val="BG1"/>
    <w:basedOn w:val="1"/>
    <w:qFormat/>
    <w:uiPriority w:val="0"/>
    <w:pPr>
      <w:pBdr>
        <w:top w:val="single" w:color="auto" w:sz="4" w:space="1"/>
      </w:pBdr>
      <w:adjustRightInd w:val="0"/>
      <w:ind w:left="-17" w:hanging="126"/>
      <w:jc w:val="center"/>
    </w:pPr>
    <w:rPr>
      <w:rFonts w:ascii="宋体"/>
      <w:kern w:val="0"/>
      <w:szCs w:val="21"/>
    </w:rPr>
  </w:style>
  <w:style w:type="paragraph" w:customStyle="1" w:styleId="2888">
    <w:name w:val="?¨´¨º?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2889">
    <w:name w:val="样式 正文首行缩进 + 首行缩进:  1 字符3"/>
    <w:basedOn w:val="43"/>
    <w:qFormat/>
    <w:uiPriority w:val="0"/>
    <w:pPr>
      <w:widowControl w:val="0"/>
      <w:spacing w:line="500" w:lineRule="exact"/>
      <w:ind w:firstLine="200" w:firstLineChars="200"/>
      <w:jc w:val="both"/>
      <w:textAlignment w:val="center"/>
    </w:pPr>
    <w:rPr>
      <w:sz w:val="24"/>
      <w:szCs w:val="24"/>
      <w:lang w:val="fr-FR"/>
    </w:rPr>
  </w:style>
  <w:style w:type="paragraph" w:customStyle="1" w:styleId="2890">
    <w:name w:val="样式 正文缩进文本条款表格标题正文缩进1 + 首行缩进:  2 字符"/>
    <w:basedOn w:val="6"/>
    <w:qFormat/>
    <w:uiPriority w:val="0"/>
    <w:pPr>
      <w:widowControl w:val="0"/>
      <w:spacing w:before="120" w:after="120"/>
      <w:ind w:left="578" w:firstLine="480" w:firstLineChars="0"/>
      <w:jc w:val="both"/>
    </w:pPr>
    <w:rPr>
      <w:rFonts w:ascii="Times New Roman" w:hAnsi="Times New Roman"/>
      <w:sz w:val="21"/>
      <w:szCs w:val="21"/>
    </w:rPr>
  </w:style>
  <w:style w:type="paragraph" w:customStyle="1" w:styleId="2891">
    <w:name w:val="宏福4"/>
    <w:basedOn w:val="1"/>
    <w:qFormat/>
    <w:uiPriority w:val="0"/>
    <w:pPr>
      <w:snapToGrid w:val="0"/>
      <w:spacing w:line="400" w:lineRule="atLeast"/>
      <w:ind w:firstLine="567"/>
    </w:pPr>
    <w:rPr>
      <w:rFonts w:ascii="宋体"/>
      <w:kern w:val="0"/>
      <w:sz w:val="28"/>
      <w:szCs w:val="20"/>
    </w:rPr>
  </w:style>
  <w:style w:type="paragraph" w:customStyle="1" w:styleId="2892">
    <w:name w:val="标准正文文字"/>
    <w:basedOn w:val="1"/>
    <w:qFormat/>
    <w:uiPriority w:val="0"/>
    <w:pPr>
      <w:tabs>
        <w:tab w:val="left" w:pos="0"/>
      </w:tabs>
      <w:spacing w:before="120" w:after="120"/>
      <w:ind w:left="578" w:hanging="578"/>
    </w:pPr>
    <w:rPr>
      <w:rFonts w:ascii="宋体" w:eastAsia="仿宋_GB2312"/>
      <w:color w:val="000000"/>
      <w:kern w:val="0"/>
      <w:sz w:val="28"/>
      <w:szCs w:val="28"/>
    </w:rPr>
  </w:style>
  <w:style w:type="paragraph" w:customStyle="1" w:styleId="2893">
    <w:name w:val="表格标题6"/>
    <w:basedOn w:val="40"/>
    <w:semiHidden/>
    <w:qFormat/>
    <w:uiPriority w:val="0"/>
    <w:pPr>
      <w:numPr>
        <w:ilvl w:val="0"/>
        <w:numId w:val="63"/>
      </w:numPr>
      <w:pBdr>
        <w:top w:val="single" w:color="auto" w:sz="4" w:space="1"/>
      </w:pBdr>
      <w:tabs>
        <w:tab w:val="left" w:pos="0"/>
      </w:tabs>
      <w:wordWrap w:val="0"/>
      <w:adjustRightInd w:val="0"/>
      <w:spacing w:after="0" w:line="360" w:lineRule="auto"/>
      <w:jc w:val="center"/>
    </w:pPr>
    <w:rPr>
      <w:rFonts w:eastAsia="宋体"/>
      <w:b/>
      <w:lang w:eastAsia="zh-CN"/>
    </w:rPr>
  </w:style>
  <w:style w:type="paragraph" w:customStyle="1" w:styleId="2894">
    <w:name w:val="Char Char Char Char1 Char Char Char Char Char Char Char1"/>
    <w:basedOn w:val="1"/>
    <w:qFormat/>
    <w:uiPriority w:val="0"/>
    <w:pPr>
      <w:tabs>
        <w:tab w:val="left" w:pos="360"/>
      </w:tabs>
      <w:snapToGrid w:val="0"/>
      <w:spacing w:line="360" w:lineRule="auto"/>
    </w:pPr>
    <w:rPr>
      <w:rFonts w:ascii="宋体" w:eastAsia="仿宋_GB2312" w:cs="宋体"/>
      <w:kern w:val="0"/>
      <w:sz w:val="34"/>
      <w:szCs w:val="20"/>
    </w:rPr>
  </w:style>
  <w:style w:type="paragraph" w:customStyle="1" w:styleId="2895">
    <w:name w:val="样式 正文文本 2 + 首行缩进:  2 字符"/>
    <w:basedOn w:val="79"/>
    <w:qFormat/>
    <w:uiPriority w:val="0"/>
    <w:pPr>
      <w:widowControl w:val="0"/>
      <w:autoSpaceDE w:val="0"/>
      <w:autoSpaceDN w:val="0"/>
      <w:spacing w:line="320" w:lineRule="atLeast"/>
    </w:pPr>
    <w:rPr>
      <w:rFonts w:ascii="Times New Roman" w:cs="Times New Roman"/>
      <w:spacing w:val="20"/>
      <w:position w:val="-20"/>
      <w:sz w:val="21"/>
      <w:szCs w:val="21"/>
    </w:rPr>
  </w:style>
  <w:style w:type="paragraph" w:customStyle="1" w:styleId="2896">
    <w:name w:val="样式 样式 表格文字—五号 +2 + 行距: 多倍行距 1.3 字行"/>
    <w:basedOn w:val="2063"/>
    <w:unhideWhenUsed/>
    <w:qFormat/>
    <w:uiPriority w:val="0"/>
  </w:style>
  <w:style w:type="paragraph" w:customStyle="1" w:styleId="2897">
    <w:name w:val="CM88"/>
    <w:basedOn w:val="2"/>
    <w:next w:val="2"/>
    <w:semiHidden/>
    <w:qFormat/>
    <w:uiPriority w:val="0"/>
    <w:pPr>
      <w:adjustRightInd/>
    </w:pPr>
    <w:rPr>
      <w:rFonts w:hint="eastAsia" w:ascii="仿宋" w:hAnsi="仿宋" w:eastAsia="仿宋" w:cs="Times New Roman"/>
      <w:szCs w:val="20"/>
    </w:rPr>
  </w:style>
  <w:style w:type="paragraph" w:customStyle="1" w:styleId="2898">
    <w:name w:val="样式 加粗 行距: 1.5 倍行距"/>
    <w:basedOn w:val="1"/>
    <w:semiHidden/>
    <w:qFormat/>
    <w:uiPriority w:val="0"/>
    <w:pPr>
      <w:pBdr>
        <w:top w:val="single" w:color="auto" w:sz="4" w:space="1"/>
        <w:bottom w:val="threeDEngrave" w:color="auto" w:sz="12" w:space="1"/>
      </w:pBdr>
      <w:adjustRightInd w:val="0"/>
      <w:spacing w:line="360" w:lineRule="auto"/>
      <w:ind w:firstLine="480" w:firstLineChars="200"/>
      <w:jc w:val="left"/>
    </w:pPr>
    <w:rPr>
      <w:rFonts w:ascii="宋体" w:cs="宋体"/>
      <w:b/>
      <w:bCs/>
      <w:kern w:val="0"/>
      <w:sz w:val="34"/>
      <w:szCs w:val="20"/>
    </w:rPr>
  </w:style>
  <w:style w:type="paragraph" w:customStyle="1" w:styleId="2899">
    <w:name w:val="xl14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00">
    <w:name w:val="标题四"/>
    <w:basedOn w:val="1"/>
    <w:semiHidden/>
    <w:qFormat/>
    <w:uiPriority w:val="0"/>
    <w:pPr>
      <w:adjustRightInd w:val="0"/>
      <w:snapToGrid w:val="0"/>
      <w:spacing w:before="120" w:after="120" w:line="360" w:lineRule="auto"/>
      <w:ind w:left="578" w:firstLine="200" w:firstLineChars="200"/>
      <w:jc w:val="left"/>
      <w:outlineLvl w:val="3"/>
    </w:pPr>
    <w:rPr>
      <w:rFonts w:ascii="黑体" w:hAnsi="宋体" w:eastAsia="黑体"/>
      <w:kern w:val="0"/>
      <w:sz w:val="34"/>
      <w:szCs w:val="20"/>
    </w:rPr>
  </w:style>
  <w:style w:type="paragraph" w:customStyle="1" w:styleId="2901">
    <w:name w:val="Document Label"/>
    <w:basedOn w:val="1"/>
    <w:next w:val="1"/>
    <w:unhideWhenUsed/>
    <w:qFormat/>
    <w:uiPriority w:val="0"/>
    <w:pPr>
      <w:widowControl/>
      <w:spacing w:before="120" w:after="220"/>
      <w:ind w:left="578" w:right="-360" w:hanging="578"/>
      <w:jc w:val="left"/>
    </w:pPr>
    <w:rPr>
      <w:rFonts w:ascii="宋体"/>
      <w:spacing w:val="-20"/>
      <w:kern w:val="0"/>
      <w:sz w:val="48"/>
      <w:szCs w:val="20"/>
    </w:rPr>
  </w:style>
  <w:style w:type="paragraph" w:customStyle="1" w:styleId="2902">
    <w:name w:val="xl1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03">
    <w:name w:val="样式 表格文字—五号 +"/>
    <w:basedOn w:val="957"/>
    <w:qFormat/>
    <w:uiPriority w:val="0"/>
    <w:rPr>
      <w:rFonts w:cs="宋体"/>
      <w:szCs w:val="20"/>
    </w:rPr>
  </w:style>
  <w:style w:type="paragraph" w:customStyle="1" w:styleId="2904">
    <w:name w:val="评价要点"/>
    <w:basedOn w:val="1279"/>
    <w:next w:val="1279"/>
    <w:qFormat/>
    <w:uiPriority w:val="0"/>
    <w:pPr>
      <w:keepNext/>
      <w:spacing w:after="50"/>
      <w:ind w:firstLine="200"/>
      <w:outlineLvl w:val="3"/>
    </w:pPr>
    <w:rPr>
      <w:rFonts w:eastAsia="黑体"/>
    </w:rPr>
  </w:style>
  <w:style w:type="paragraph" w:customStyle="1" w:styleId="2905">
    <w:name w:val="章(一级)"/>
    <w:basedOn w:val="7"/>
    <w:next w:val="1"/>
    <w:unhideWhenUsed/>
    <w:qFormat/>
    <w:uiPriority w:val="0"/>
    <w:pPr>
      <w:keepLines/>
      <w:widowControl/>
      <w:overflowPunct/>
      <w:snapToGrid/>
      <w:spacing w:before="0" w:after="0" w:line="400" w:lineRule="exact"/>
      <w:ind w:left="0" w:firstLine="240"/>
      <w:jc w:val="left"/>
    </w:pPr>
    <w:rPr>
      <w:rFonts w:ascii="黑体" w:hAnsi="宋体"/>
      <w:bCs w:val="0"/>
      <w:color w:val="auto"/>
      <w:kern w:val="0"/>
      <w:sz w:val="24"/>
      <w:szCs w:val="20"/>
    </w:rPr>
  </w:style>
  <w:style w:type="paragraph" w:customStyle="1" w:styleId="2906">
    <w:name w:val="正文格式＝"/>
    <w:basedOn w:val="593"/>
    <w:next w:val="593"/>
    <w:semiHidden/>
    <w:qFormat/>
    <w:uiPriority w:val="0"/>
    <w:pPr>
      <w:ind w:firstLine="482"/>
    </w:pPr>
    <w:rPr>
      <w:rFonts w:ascii="宋体" w:hAnsi="宋体" w:eastAsia="宋体"/>
      <w:sz w:val="24"/>
      <w:szCs w:val="24"/>
    </w:rPr>
  </w:style>
  <w:style w:type="paragraph" w:customStyle="1" w:styleId="2907">
    <w:name w:val="样式 条 + 首行缩进:  0 字符"/>
    <w:basedOn w:val="1"/>
    <w:qFormat/>
    <w:uiPriority w:val="0"/>
    <w:pPr>
      <w:keepNext/>
      <w:keepLines/>
      <w:topLinePunct/>
      <w:autoSpaceDE w:val="0"/>
      <w:autoSpaceDN w:val="0"/>
      <w:adjustRightInd w:val="0"/>
      <w:snapToGrid w:val="0"/>
      <w:spacing w:line="520" w:lineRule="exact"/>
      <w:outlineLvl w:val="2"/>
    </w:pPr>
    <w:rPr>
      <w:rFonts w:ascii="宋体" w:cs="宋体"/>
      <w:b/>
      <w:kern w:val="0"/>
      <w:sz w:val="28"/>
      <w:szCs w:val="20"/>
    </w:rPr>
  </w:style>
  <w:style w:type="paragraph" w:customStyle="1" w:styleId="2908">
    <w:name w:val="xl54"/>
    <w:basedOn w:val="1"/>
    <w:qFormat/>
    <w:uiPriority w:val="0"/>
    <w:pPr>
      <w:widowControl/>
      <w:pBdr>
        <w:top w:val="single" w:color="000000" w:sz="8" w:space="0"/>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909">
    <w:name w:val="样式 正文 首行缩进 2 字符 1.3行距 + 首行缩进:  2 字符"/>
    <w:basedOn w:val="1"/>
    <w:qFormat/>
    <w:uiPriority w:val="0"/>
    <w:pPr>
      <w:spacing w:before="120" w:after="120" w:line="312" w:lineRule="auto"/>
      <w:ind w:left="578" w:firstLine="480" w:firstLineChars="200"/>
    </w:pPr>
    <w:rPr>
      <w:rFonts w:ascii="宋体" w:cs="宋体"/>
      <w:kern w:val="0"/>
      <w:sz w:val="34"/>
      <w:szCs w:val="20"/>
    </w:rPr>
  </w:style>
  <w:style w:type="paragraph" w:customStyle="1" w:styleId="2910">
    <w:name w:val="reader-word-layer"/>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911">
    <w:name w:val="样式 正文文本缩进 + Arial 五号 加粗 居中 底端: (单实线 自动设置  0.75 磅 行宽) 行距: ..."/>
    <w:basedOn w:val="5"/>
    <w:qFormat/>
    <w:uiPriority w:val="0"/>
    <w:pPr>
      <w:topLinePunct/>
      <w:adjustRightInd w:val="0"/>
      <w:snapToGrid w:val="0"/>
      <w:spacing w:after="0"/>
      <w:ind w:left="0" w:leftChars="0"/>
      <w:jc w:val="center"/>
    </w:pPr>
    <w:rPr>
      <w:rFonts w:ascii="Arial" w:hAnsi="Arial" w:cs="宋体"/>
      <w:b/>
      <w:bCs/>
      <w:sz w:val="21"/>
    </w:rPr>
  </w:style>
  <w:style w:type="paragraph" w:customStyle="1" w:styleId="2912">
    <w:name w:val="样式 标题 3 + 字距调整四号"/>
    <w:basedOn w:val="9"/>
    <w:qFormat/>
    <w:uiPriority w:val="0"/>
    <w:pPr>
      <w:widowControl w:val="0"/>
      <w:numPr>
        <w:ilvl w:val="0"/>
        <w:numId w:val="0"/>
      </w:numPr>
      <w:tabs>
        <w:tab w:val="left" w:pos="632"/>
        <w:tab w:val="left" w:pos="720"/>
      </w:tabs>
      <w:ind w:left="720" w:hanging="720"/>
      <w:jc w:val="both"/>
    </w:pPr>
    <w:rPr>
      <w:rFonts w:cs="Times New Roman"/>
      <w:kern w:val="28"/>
      <w:sz w:val="24"/>
    </w:rPr>
  </w:style>
  <w:style w:type="paragraph" w:customStyle="1" w:styleId="2913">
    <w:name w:val="Char Char Char Char Char Char Char Char Char1"/>
    <w:basedOn w:val="1"/>
    <w:qFormat/>
    <w:uiPriority w:val="0"/>
    <w:rPr>
      <w:rFonts w:ascii="宋体"/>
      <w:kern w:val="0"/>
      <w:sz w:val="34"/>
      <w:szCs w:val="20"/>
    </w:rPr>
  </w:style>
  <w:style w:type="paragraph" w:customStyle="1" w:styleId="2914">
    <w:name w:val="脚注文本1"/>
    <w:basedOn w:val="1"/>
    <w:qFormat/>
    <w:uiPriority w:val="0"/>
    <w:pPr>
      <w:snapToGrid w:val="0"/>
      <w:jc w:val="left"/>
    </w:pPr>
    <w:rPr>
      <w:rFonts w:ascii="宋体"/>
      <w:kern w:val="0"/>
      <w:sz w:val="18"/>
      <w:szCs w:val="18"/>
    </w:rPr>
  </w:style>
  <w:style w:type="paragraph" w:customStyle="1" w:styleId="2915">
    <w:name w:val="Char Char Char Char Char Char Char Char Char Char Char Char Char Char Char Char Char"/>
    <w:basedOn w:val="1"/>
    <w:qFormat/>
    <w:uiPriority w:val="0"/>
    <w:rPr>
      <w:rFonts w:ascii="宋体"/>
      <w:kern w:val="0"/>
      <w:szCs w:val="21"/>
    </w:rPr>
  </w:style>
  <w:style w:type="paragraph" w:customStyle="1" w:styleId="2916">
    <w:name w:val="Char Char1 Char11"/>
    <w:basedOn w:val="1"/>
    <w:qFormat/>
    <w:uiPriority w:val="0"/>
    <w:rPr>
      <w:rFonts w:ascii="宋体"/>
      <w:kern w:val="0"/>
      <w:sz w:val="34"/>
      <w:szCs w:val="20"/>
    </w:rPr>
  </w:style>
  <w:style w:type="paragraph" w:customStyle="1" w:styleId="2917">
    <w:name w:val="Char53"/>
    <w:basedOn w:val="1"/>
    <w:semiHidden/>
    <w:qFormat/>
    <w:uiPriority w:val="0"/>
    <w:rPr>
      <w:rFonts w:ascii="宋体"/>
      <w:kern w:val="0"/>
      <w:szCs w:val="20"/>
    </w:rPr>
  </w:style>
  <w:style w:type="paragraph" w:customStyle="1" w:styleId="2918">
    <w:name w:val="湛江表内容"/>
    <w:basedOn w:val="1129"/>
    <w:qFormat/>
    <w:uiPriority w:val="0"/>
    <w:pPr>
      <w:spacing w:before="48" w:after="48"/>
    </w:pPr>
    <w:rPr>
      <w:color w:val="auto"/>
    </w:rPr>
  </w:style>
  <w:style w:type="paragraph" w:customStyle="1" w:styleId="2919">
    <w:name w:val="Char42"/>
    <w:basedOn w:val="1"/>
    <w:qFormat/>
    <w:uiPriority w:val="0"/>
    <w:rPr>
      <w:rFonts w:ascii="宋体" w:hAnsi="宋体" w:cs="宋体"/>
      <w:color w:val="000000"/>
      <w:kern w:val="0"/>
      <w:sz w:val="34"/>
      <w:szCs w:val="20"/>
    </w:rPr>
  </w:style>
  <w:style w:type="paragraph" w:customStyle="1" w:styleId="2920">
    <w:name w:val="紧急程度"/>
    <w:basedOn w:val="2821"/>
    <w:qFormat/>
    <w:uiPriority w:val="0"/>
    <w:pPr>
      <w:spacing w:line="397" w:lineRule="atLeast"/>
    </w:pPr>
    <w:rPr>
      <w:rFonts w:ascii="汉鼎简黑体" w:hAnsi="汉鼎简黑体" w:eastAsia="汉鼎简黑体"/>
      <w:sz w:val="32"/>
    </w:rPr>
  </w:style>
  <w:style w:type="paragraph" w:customStyle="1" w:styleId="2921">
    <w:name w:val="样式 段落 + 首行缩进:  2 字符"/>
    <w:basedOn w:val="2922"/>
    <w:qFormat/>
    <w:uiPriority w:val="0"/>
    <w:pPr>
      <w:keepNext/>
      <w:keepLines/>
      <w:spacing w:before="600" w:after="120" w:line="240" w:lineRule="auto"/>
      <w:ind w:left="992"/>
      <w:outlineLvl w:val="2"/>
    </w:pPr>
    <w:rPr>
      <w:rFonts w:ascii="黑体" w:eastAsia="黑体" w:cs="宋体"/>
      <w:szCs w:val="20"/>
    </w:rPr>
  </w:style>
  <w:style w:type="paragraph" w:customStyle="1" w:styleId="2922">
    <w:name w:val="段落"/>
    <w:basedOn w:val="1"/>
    <w:qFormat/>
    <w:uiPriority w:val="0"/>
    <w:pPr>
      <w:spacing w:line="580" w:lineRule="exact"/>
      <w:ind w:firstLine="200" w:firstLineChars="200"/>
    </w:pPr>
    <w:rPr>
      <w:rFonts w:ascii="宋体"/>
      <w:spacing w:val="6"/>
      <w:kern w:val="0"/>
      <w:sz w:val="28"/>
      <w:szCs w:val="28"/>
    </w:rPr>
  </w:style>
  <w:style w:type="paragraph" w:customStyle="1" w:styleId="2923">
    <w:name w:val="样式 正文首行缩进 2 + Times New Roman + 首行缩进:  2 字符1"/>
    <w:basedOn w:val="1"/>
    <w:semiHidden/>
    <w:qFormat/>
    <w:uiPriority w:val="0"/>
    <w:pPr>
      <w:tabs>
        <w:tab w:val="left" w:pos="0"/>
        <w:tab w:val="left" w:pos="870"/>
        <w:tab w:val="left" w:pos="3150"/>
      </w:tabs>
      <w:autoSpaceDE w:val="0"/>
      <w:autoSpaceDN w:val="0"/>
      <w:spacing w:before="120" w:after="120" w:line="312" w:lineRule="auto"/>
      <w:ind w:left="578" w:firstLine="200" w:firstLineChars="200"/>
      <w:jc w:val="left"/>
    </w:pPr>
    <w:rPr>
      <w:rFonts w:ascii="宋体"/>
      <w:kern w:val="0"/>
      <w:szCs w:val="21"/>
    </w:rPr>
  </w:style>
  <w:style w:type="paragraph" w:customStyle="1" w:styleId="2924">
    <w:name w:val="nilo_标题3"/>
    <w:basedOn w:val="1"/>
    <w:qFormat/>
    <w:uiPriority w:val="0"/>
    <w:pPr>
      <w:tabs>
        <w:tab w:val="left" w:pos="0"/>
      </w:tabs>
      <w:spacing w:line="360" w:lineRule="auto"/>
      <w:ind w:left="198"/>
      <w:jc w:val="left"/>
      <w:outlineLvl w:val="3"/>
    </w:pPr>
    <w:rPr>
      <w:rFonts w:ascii="Arial" w:hAnsi="Arial" w:eastAsia="华文细黑"/>
      <w:kern w:val="0"/>
      <w:sz w:val="34"/>
      <w:szCs w:val="20"/>
    </w:rPr>
  </w:style>
  <w:style w:type="paragraph" w:customStyle="1" w:styleId="2925">
    <w:name w:val="样式 标题1 + 段前: 0.5 行 段后: 0.5 行"/>
    <w:semiHidden/>
    <w:qFormat/>
    <w:uiPriority w:val="0"/>
    <w:pPr>
      <w:spacing w:before="120" w:after="120"/>
      <w:ind w:left="578" w:hanging="578"/>
      <w:jc w:val="both"/>
    </w:pPr>
    <w:rPr>
      <w:rFonts w:ascii="Times New Roman" w:hAnsi="Times New Roman" w:eastAsia="黑体" w:cs="宋体"/>
      <w:b/>
      <w:bCs/>
      <w:kern w:val="44"/>
      <w:sz w:val="36"/>
      <w:lang w:val="en-US" w:eastAsia="zh-CN" w:bidi="ar-SA"/>
    </w:rPr>
  </w:style>
  <w:style w:type="paragraph" w:customStyle="1" w:styleId="2926">
    <w:name w:val="题注图名"/>
    <w:basedOn w:val="1"/>
    <w:qFormat/>
    <w:uiPriority w:val="0"/>
    <w:pPr>
      <w:spacing w:before="120" w:after="120" w:line="300" w:lineRule="auto"/>
      <w:ind w:left="578" w:hanging="578"/>
      <w:jc w:val="center"/>
    </w:pPr>
    <w:rPr>
      <w:rFonts w:ascii="宋体"/>
      <w:b/>
      <w:bCs/>
      <w:kern w:val="0"/>
      <w:szCs w:val="20"/>
      <w:lang w:val="zh-CN"/>
    </w:rPr>
  </w:style>
  <w:style w:type="paragraph" w:customStyle="1" w:styleId="2927">
    <w:name w:val="Char Char Char Char Char Char Char Char Char1 Char1"/>
    <w:basedOn w:val="1"/>
    <w:qFormat/>
    <w:uiPriority w:val="0"/>
    <w:pPr>
      <w:spacing w:line="360" w:lineRule="auto"/>
      <w:ind w:firstLine="200" w:firstLineChars="200"/>
    </w:pPr>
    <w:rPr>
      <w:rFonts w:ascii="宋体" w:hAnsi="宋体" w:cs="宋体"/>
      <w:kern w:val="0"/>
      <w:sz w:val="34"/>
      <w:szCs w:val="20"/>
    </w:rPr>
  </w:style>
  <w:style w:type="paragraph" w:customStyle="1" w:styleId="2928">
    <w:name w:val="CM99"/>
    <w:basedOn w:val="2"/>
    <w:next w:val="2"/>
    <w:semiHidden/>
    <w:qFormat/>
    <w:uiPriority w:val="0"/>
    <w:pPr>
      <w:adjustRightInd/>
    </w:pPr>
    <w:rPr>
      <w:rFonts w:hint="eastAsia" w:ascii="仿宋" w:hAnsi="仿宋" w:eastAsia="仿宋" w:cs="Times New Roman"/>
      <w:szCs w:val="20"/>
    </w:rPr>
  </w:style>
  <w:style w:type="paragraph" w:customStyle="1" w:styleId="2929">
    <w:name w:val="样式 样式 首行缩进:  2 字符4 + 首行缩进:  2 字符"/>
    <w:basedOn w:val="2930"/>
    <w:qFormat/>
    <w:uiPriority w:val="0"/>
    <w:pPr>
      <w:ind w:right="3" w:rightChars="1"/>
    </w:pPr>
    <w:rPr>
      <w:spacing w:val="0"/>
    </w:rPr>
  </w:style>
  <w:style w:type="paragraph" w:customStyle="1" w:styleId="2930">
    <w:name w:val="样式 首行缩进:  2 字符4"/>
    <w:basedOn w:val="1"/>
    <w:qFormat/>
    <w:uiPriority w:val="0"/>
    <w:pPr>
      <w:adjustRightInd w:val="0"/>
      <w:snapToGrid w:val="0"/>
      <w:spacing w:line="360" w:lineRule="auto"/>
      <w:ind w:firstLine="480" w:firstLineChars="200"/>
    </w:pPr>
    <w:rPr>
      <w:rFonts w:ascii="宋体" w:cs="宋体"/>
      <w:spacing w:val="12"/>
      <w:kern w:val="0"/>
      <w:sz w:val="34"/>
      <w:szCs w:val="20"/>
    </w:rPr>
  </w:style>
  <w:style w:type="paragraph" w:customStyle="1" w:styleId="2931">
    <w:name w:val="【表格】"/>
    <w:next w:val="43"/>
    <w:qFormat/>
    <w:uiPriority w:val="0"/>
    <w:pPr>
      <w:spacing w:before="120" w:after="120"/>
      <w:jc w:val="center"/>
    </w:pPr>
    <w:rPr>
      <w:rFonts w:ascii="Times New Roman" w:hAnsi="Times New Roman" w:eastAsia="宋体" w:cs="Times New Roman"/>
      <w:sz w:val="21"/>
      <w:szCs w:val="24"/>
      <w:lang w:val="en-US" w:eastAsia="zh-CN" w:bidi="ar-SA"/>
    </w:rPr>
  </w:style>
  <w:style w:type="paragraph" w:customStyle="1" w:styleId="2932">
    <w:name w:val="Char Char Char1 Char1"/>
    <w:basedOn w:val="1"/>
    <w:qFormat/>
    <w:uiPriority w:val="0"/>
    <w:rPr>
      <w:rFonts w:ascii="宋体"/>
      <w:kern w:val="0"/>
      <w:szCs w:val="20"/>
    </w:rPr>
  </w:style>
  <w:style w:type="paragraph" w:customStyle="1" w:styleId="2933">
    <w:name w:val="Char Char Char Char Char Char Char51"/>
    <w:basedOn w:val="1"/>
    <w:qFormat/>
    <w:uiPriority w:val="0"/>
    <w:pPr>
      <w:widowControl/>
      <w:spacing w:after="160" w:line="240" w:lineRule="exact"/>
      <w:jc w:val="left"/>
    </w:pPr>
    <w:rPr>
      <w:rFonts w:ascii="Verdana" w:hAnsi="Verdana"/>
      <w:kern w:val="0"/>
      <w:sz w:val="20"/>
      <w:szCs w:val="20"/>
      <w:lang w:eastAsia="en-US"/>
    </w:rPr>
  </w:style>
  <w:style w:type="paragraph" w:customStyle="1" w:styleId="2934">
    <w:name w:val="样式 样式 LNG－标题1 + 段前: 0.5 行 段后: 0.5 行 + 段前: 0.5 行 段后: 0.5 行"/>
    <w:basedOn w:val="1736"/>
    <w:qFormat/>
    <w:uiPriority w:val="0"/>
    <w:pPr>
      <w:tabs>
        <w:tab w:val="left" w:pos="425"/>
      </w:tabs>
      <w:spacing w:before="156" w:after="156"/>
      <w:ind w:left="425" w:hanging="425"/>
    </w:pPr>
    <w:rPr>
      <w:szCs w:val="20"/>
    </w:rPr>
  </w:style>
  <w:style w:type="paragraph" w:customStyle="1" w:styleId="2935">
    <w:name w:val="CM22"/>
    <w:basedOn w:val="2"/>
    <w:next w:val="2"/>
    <w:semiHidden/>
    <w:qFormat/>
    <w:uiPriority w:val="0"/>
    <w:pPr>
      <w:adjustRightInd/>
    </w:pPr>
    <w:rPr>
      <w:rFonts w:hint="eastAsia" w:ascii="仿宋" w:hAnsi="仿宋" w:eastAsia="仿宋" w:cs="Times New Roman"/>
      <w:szCs w:val="20"/>
    </w:rPr>
  </w:style>
  <w:style w:type="paragraph" w:customStyle="1" w:styleId="2936">
    <w:name w:val="Char Char Char1 Char Char Char"/>
    <w:basedOn w:val="1"/>
    <w:qFormat/>
    <w:uiPriority w:val="0"/>
    <w:pPr>
      <w:spacing w:before="120" w:after="120"/>
      <w:ind w:left="578" w:hanging="578"/>
    </w:pPr>
    <w:rPr>
      <w:rFonts w:ascii="宋体"/>
      <w:kern w:val="0"/>
      <w:szCs w:val="20"/>
    </w:rPr>
  </w:style>
  <w:style w:type="paragraph" w:customStyle="1" w:styleId="2937">
    <w:name w:val="Char Char5 Char Char2"/>
    <w:basedOn w:val="1"/>
    <w:qFormat/>
    <w:uiPriority w:val="0"/>
    <w:pPr>
      <w:spacing w:line="360" w:lineRule="auto"/>
      <w:ind w:firstLine="200" w:firstLineChars="200"/>
    </w:pPr>
    <w:rPr>
      <w:rFonts w:ascii="宋体" w:hAnsi="宋体" w:cs="宋体"/>
      <w:kern w:val="0"/>
      <w:sz w:val="34"/>
      <w:szCs w:val="20"/>
    </w:rPr>
  </w:style>
  <w:style w:type="paragraph" w:customStyle="1" w:styleId="2938">
    <w:name w:val="无缩进居中"/>
    <w:basedOn w:val="1"/>
    <w:unhideWhenUsed/>
    <w:qFormat/>
    <w:uiPriority w:val="0"/>
    <w:pPr>
      <w:spacing w:before="120" w:after="120"/>
      <w:ind w:left="578" w:hanging="578"/>
      <w:jc w:val="center"/>
    </w:pPr>
    <w:rPr>
      <w:rFonts w:ascii="宋体" w:cs="宋体"/>
      <w:kern w:val="0"/>
      <w:szCs w:val="20"/>
    </w:rPr>
  </w:style>
  <w:style w:type="paragraph" w:customStyle="1" w:styleId="2939">
    <w:name w:val="单位名称"/>
    <w:basedOn w:val="1"/>
    <w:next w:val="1"/>
    <w:qFormat/>
    <w:uiPriority w:val="0"/>
    <w:pPr>
      <w:jc w:val="center"/>
    </w:pPr>
    <w:rPr>
      <w:rFonts w:ascii="宋体"/>
      <w:kern w:val="0"/>
      <w:sz w:val="44"/>
      <w:szCs w:val="44"/>
    </w:rPr>
  </w:style>
  <w:style w:type="paragraph" w:customStyle="1" w:styleId="2940">
    <w:name w:val="表头格式"/>
    <w:basedOn w:val="1"/>
    <w:qFormat/>
    <w:uiPriority w:val="0"/>
    <w:pPr>
      <w:adjustRightInd w:val="0"/>
      <w:snapToGrid w:val="0"/>
      <w:spacing w:beforeLines="50" w:line="360" w:lineRule="auto"/>
      <w:jc w:val="center"/>
    </w:pPr>
    <w:rPr>
      <w:rFonts w:ascii="方正黑体简体" w:eastAsia="方正黑体简体"/>
      <w:kern w:val="0"/>
      <w:sz w:val="34"/>
      <w:szCs w:val="20"/>
    </w:rPr>
  </w:style>
  <w:style w:type="paragraph" w:customStyle="1" w:styleId="2941">
    <w:name w:val="Char Char Char Char Char Char Char Char Char Char Char Char1 Char Char Char Char"/>
    <w:basedOn w:val="1"/>
    <w:next w:val="1"/>
    <w:semiHidden/>
    <w:qFormat/>
    <w:uiPriority w:val="0"/>
    <w:pPr>
      <w:spacing w:line="336" w:lineRule="auto"/>
      <w:ind w:firstLine="200" w:firstLineChars="200"/>
    </w:pPr>
    <w:rPr>
      <w:rFonts w:ascii="宋体" w:hAnsi="宋体" w:eastAsia="汉鼎简书宋" w:cs="宋体"/>
      <w:kern w:val="0"/>
      <w:sz w:val="34"/>
      <w:szCs w:val="20"/>
    </w:rPr>
  </w:style>
  <w:style w:type="paragraph" w:customStyle="1" w:styleId="2942">
    <w:name w:val="Char Char2 Char Char Char Char Char Char Char Char Char Char Char Char1"/>
    <w:basedOn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943">
    <w:name w:val="Char1 Char Char Char Char Char Char Char Char1 Char"/>
    <w:basedOn w:val="1"/>
    <w:qFormat/>
    <w:uiPriority w:val="0"/>
    <w:rPr>
      <w:rFonts w:ascii="宋体"/>
      <w:kern w:val="0"/>
      <w:szCs w:val="20"/>
    </w:rPr>
  </w:style>
  <w:style w:type="paragraph" w:customStyle="1" w:styleId="2944">
    <w:name w:val="附录三级条"/>
    <w:basedOn w:val="1671"/>
    <w:next w:val="10"/>
    <w:unhideWhenUsed/>
    <w:qFormat/>
    <w:uiPriority w:val="0"/>
    <w:pPr>
      <w:tabs>
        <w:tab w:val="left" w:pos="360"/>
        <w:tab w:val="left" w:pos="840"/>
        <w:tab w:val="clear" w:pos="425"/>
      </w:tabs>
      <w:ind w:left="360" w:hanging="360"/>
    </w:pPr>
  </w:style>
  <w:style w:type="paragraph" w:customStyle="1" w:styleId="2945">
    <w:name w:val="图表—居中"/>
    <w:basedOn w:val="1"/>
    <w:qFormat/>
    <w:uiPriority w:val="0"/>
    <w:pPr>
      <w:adjustRightInd w:val="0"/>
      <w:snapToGrid w:val="0"/>
      <w:spacing w:beforeLines="50" w:line="360" w:lineRule="auto"/>
      <w:ind w:firstLine="480" w:firstLineChars="200"/>
      <w:jc w:val="center"/>
    </w:pPr>
    <w:rPr>
      <w:rFonts w:ascii="宋体"/>
      <w:kern w:val="0"/>
      <w:sz w:val="34"/>
      <w:szCs w:val="20"/>
    </w:rPr>
  </w:style>
  <w:style w:type="paragraph" w:customStyle="1" w:styleId="2946">
    <w:name w:val="xl48"/>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947">
    <w:name w:val="CM112"/>
    <w:basedOn w:val="2"/>
    <w:next w:val="2"/>
    <w:semiHidden/>
    <w:qFormat/>
    <w:uiPriority w:val="0"/>
    <w:pPr>
      <w:adjustRightInd/>
    </w:pPr>
    <w:rPr>
      <w:rFonts w:hint="eastAsia" w:ascii="仿宋" w:hAnsi="仿宋" w:eastAsia="仿宋" w:cs="Times New Roman"/>
      <w:szCs w:val="20"/>
    </w:rPr>
  </w:style>
  <w:style w:type="paragraph" w:customStyle="1" w:styleId="2948">
    <w:name w:val="CM37"/>
    <w:basedOn w:val="2"/>
    <w:next w:val="2"/>
    <w:semiHidden/>
    <w:qFormat/>
    <w:uiPriority w:val="0"/>
    <w:pPr>
      <w:adjustRightInd/>
    </w:pPr>
    <w:rPr>
      <w:rFonts w:hint="eastAsia" w:ascii="仿宋" w:hAnsi="仿宋" w:eastAsia="仿宋" w:cs="Times New Roman"/>
      <w:szCs w:val="20"/>
    </w:rPr>
  </w:style>
  <w:style w:type="paragraph" w:customStyle="1" w:styleId="2949">
    <w:name w:val="样式 正文首行缩进 + 首行缩进:  2 字符1"/>
    <w:basedOn w:val="1"/>
    <w:qFormat/>
    <w:uiPriority w:val="0"/>
    <w:pPr>
      <w:spacing w:line="360" w:lineRule="auto"/>
      <w:ind w:firstLine="480" w:firstLineChars="200"/>
    </w:pPr>
    <w:rPr>
      <w:rFonts w:ascii="宋体"/>
      <w:kern w:val="0"/>
      <w:sz w:val="34"/>
      <w:szCs w:val="20"/>
    </w:rPr>
  </w:style>
  <w:style w:type="paragraph" w:customStyle="1" w:styleId="2950">
    <w:name w:val="样式 正文首行缩进 2 + 首行缩进:  2 字符"/>
    <w:basedOn w:val="4"/>
    <w:qFormat/>
    <w:uiPriority w:val="0"/>
    <w:pPr>
      <w:spacing w:after="0" w:line="360" w:lineRule="auto"/>
      <w:ind w:left="0" w:leftChars="0" w:firstLine="480"/>
    </w:pPr>
    <w:rPr>
      <w:rFonts w:ascii="宋体"/>
      <w:sz w:val="34"/>
      <w:szCs w:val="20"/>
    </w:rPr>
  </w:style>
  <w:style w:type="paragraph" w:customStyle="1" w:styleId="2951">
    <w:name w:val="Char Char Char Char4"/>
    <w:basedOn w:val="1"/>
    <w:qFormat/>
    <w:uiPriority w:val="0"/>
    <w:rPr>
      <w:rFonts w:ascii="宋体"/>
      <w:kern w:val="0"/>
      <w:sz w:val="34"/>
      <w:szCs w:val="20"/>
    </w:rPr>
  </w:style>
  <w:style w:type="paragraph" w:styleId="2952">
    <w:name w:val="No Spacing"/>
    <w:basedOn w:val="1"/>
    <w:next w:val="1"/>
    <w:qFormat/>
    <w:uiPriority w:val="0"/>
    <w:pPr>
      <w:spacing w:beforeLines="50" w:afterLines="50" w:line="300" w:lineRule="auto"/>
      <w:ind w:firstLine="480" w:firstLineChars="200"/>
    </w:pPr>
    <w:rPr>
      <w:rFonts w:ascii="Calibri" w:hAnsi="Calibri"/>
      <w:kern w:val="0"/>
      <w:sz w:val="34"/>
      <w:szCs w:val="22"/>
    </w:rPr>
  </w:style>
  <w:style w:type="paragraph" w:customStyle="1" w:styleId="2953">
    <w:name w:val="tj专题-标题1"/>
    <w:basedOn w:val="1"/>
    <w:next w:val="2152"/>
    <w:qFormat/>
    <w:uiPriority w:val="0"/>
    <w:pPr>
      <w:numPr>
        <w:ilvl w:val="1"/>
        <w:numId w:val="27"/>
      </w:numPr>
      <w:tabs>
        <w:tab w:val="left" w:pos="726"/>
        <w:tab w:val="clear" w:pos="840"/>
      </w:tabs>
      <w:spacing w:beforeLines="100" w:line="360" w:lineRule="auto"/>
      <w:ind w:firstLine="567"/>
      <w:outlineLvl w:val="1"/>
    </w:pPr>
    <w:rPr>
      <w:rFonts w:ascii="黑体" w:hAnsi="黑体" w:eastAsia="黑体"/>
      <w:kern w:val="0"/>
      <w:sz w:val="28"/>
      <w:szCs w:val="20"/>
    </w:rPr>
  </w:style>
  <w:style w:type="paragraph" w:customStyle="1" w:styleId="2954">
    <w:name w:val="Char3 Char Char Char3"/>
    <w:basedOn w:val="1"/>
    <w:qFormat/>
    <w:uiPriority w:val="0"/>
    <w:pPr>
      <w:spacing w:line="340" w:lineRule="exact"/>
      <w:ind w:firstLine="10" w:firstLineChars="4"/>
    </w:pPr>
    <w:rPr>
      <w:rFonts w:ascii="宋体"/>
      <w:kern w:val="0"/>
      <w:sz w:val="28"/>
      <w:szCs w:val="28"/>
    </w:rPr>
  </w:style>
  <w:style w:type="paragraph" w:customStyle="1" w:styleId="2955">
    <w:name w:val="我的表头"/>
    <w:basedOn w:val="1"/>
    <w:qFormat/>
    <w:uiPriority w:val="0"/>
    <w:pPr>
      <w:ind w:firstLine="2409" w:firstLineChars="1000"/>
    </w:pPr>
    <w:rPr>
      <w:rFonts w:ascii="宋体"/>
      <w:b/>
      <w:kern w:val="28"/>
      <w:sz w:val="34"/>
      <w:szCs w:val="20"/>
    </w:rPr>
  </w:style>
  <w:style w:type="paragraph" w:customStyle="1" w:styleId="2956">
    <w:name w:val="统一正文"/>
    <w:basedOn w:val="1"/>
    <w:semiHidden/>
    <w:qFormat/>
    <w:uiPriority w:val="0"/>
    <w:pPr>
      <w:pBdr>
        <w:top w:val="single" w:color="auto" w:sz="4" w:space="1"/>
      </w:pBdr>
      <w:adjustRightInd w:val="0"/>
      <w:spacing w:line="360" w:lineRule="auto"/>
      <w:ind w:firstLine="480" w:firstLineChars="200"/>
      <w:jc w:val="left"/>
    </w:pPr>
    <w:rPr>
      <w:rFonts w:ascii="宋体"/>
      <w:kern w:val="0"/>
      <w:sz w:val="34"/>
      <w:szCs w:val="20"/>
    </w:rPr>
  </w:style>
  <w:style w:type="paragraph" w:customStyle="1" w:styleId="2957">
    <w:name w:val="样式20"/>
    <w:basedOn w:val="1"/>
    <w:qFormat/>
    <w:uiPriority w:val="0"/>
    <w:pPr>
      <w:suppressAutoHyphens/>
      <w:spacing w:line="360" w:lineRule="auto"/>
      <w:ind w:firstLine="480" w:firstLineChars="200"/>
    </w:pPr>
    <w:rPr>
      <w:rFonts w:ascii="宋体" w:hAnsi="宋体"/>
      <w:kern w:val="1"/>
      <w:sz w:val="34"/>
      <w:szCs w:val="21"/>
      <w:lang w:eastAsia="ar-SA"/>
    </w:rPr>
  </w:style>
  <w:style w:type="paragraph" w:customStyle="1" w:styleId="2958">
    <w:name w:val="样式13"/>
    <w:basedOn w:val="1"/>
    <w:qFormat/>
    <w:uiPriority w:val="0"/>
    <w:pPr>
      <w:spacing w:line="360" w:lineRule="exact"/>
      <w:jc w:val="center"/>
    </w:pPr>
    <w:rPr>
      <w:rFonts w:ascii="宋体" w:eastAsia="仿宋_GB2312"/>
      <w:color w:val="FF0000"/>
      <w:kern w:val="0"/>
      <w:szCs w:val="20"/>
    </w:rPr>
  </w:style>
  <w:style w:type="paragraph" w:customStyle="1" w:styleId="2959">
    <w:name w:val="font11"/>
    <w:basedOn w:val="1"/>
    <w:qFormat/>
    <w:uiPriority w:val="0"/>
    <w:pPr>
      <w:widowControl/>
      <w:spacing w:before="100" w:beforeAutospacing="1" w:after="100" w:afterAutospacing="1"/>
      <w:jc w:val="left"/>
    </w:pPr>
    <w:rPr>
      <w:rFonts w:ascii="宋体"/>
      <w:kern w:val="0"/>
      <w:szCs w:val="21"/>
    </w:rPr>
  </w:style>
  <w:style w:type="paragraph" w:customStyle="1" w:styleId="2960">
    <w:name w:val="标题D"/>
    <w:qFormat/>
    <w:uiPriority w:val="0"/>
    <w:pPr>
      <w:adjustRightInd w:val="0"/>
      <w:jc w:val="center"/>
      <w:outlineLvl w:val="3"/>
    </w:pPr>
    <w:rPr>
      <w:rFonts w:ascii="Times New Roman" w:hAnsi="Times New Roman" w:eastAsia="黑体" w:cs="Plotter"/>
      <w:sz w:val="21"/>
      <w:lang w:val="en-US" w:eastAsia="zh-CN" w:bidi="ar-SA"/>
    </w:rPr>
  </w:style>
  <w:style w:type="paragraph" w:customStyle="1" w:styleId="2961">
    <w:name w:val="封面环评"/>
    <w:basedOn w:val="1"/>
    <w:qFormat/>
    <w:uiPriority w:val="0"/>
    <w:pPr>
      <w:adjustRightInd w:val="0"/>
      <w:snapToGrid w:val="0"/>
      <w:spacing w:line="360" w:lineRule="auto"/>
      <w:jc w:val="center"/>
    </w:pPr>
    <w:rPr>
      <w:rFonts w:ascii="楷体_GB2312" w:eastAsia="楷体_GB2312"/>
      <w:b/>
      <w:bCs/>
      <w:snapToGrid w:val="0"/>
      <w:kern w:val="0"/>
      <w:sz w:val="52"/>
      <w:szCs w:val="52"/>
    </w:rPr>
  </w:style>
  <w:style w:type="paragraph" w:customStyle="1" w:styleId="2962">
    <w:name w:val="xl85"/>
    <w:basedOn w:val="1"/>
    <w:qFormat/>
    <w:uiPriority w:val="0"/>
    <w:pPr>
      <w:widowControl/>
      <w:pBdr>
        <w:top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2963">
    <w:name w:val="样式 标题 1 + (中文) 黑体 行距: 固定值 25 磅"/>
    <w:basedOn w:val="7"/>
    <w:qFormat/>
    <w:uiPriority w:val="0"/>
    <w:pPr>
      <w:keepLines/>
      <w:tabs>
        <w:tab w:val="left" w:pos="900"/>
      </w:tabs>
      <w:overflowPunct/>
      <w:snapToGrid/>
      <w:spacing w:before="340" w:beforeLines="50" w:after="330" w:afterLines="50" w:line="360" w:lineRule="auto"/>
      <w:ind w:left="900" w:hanging="420"/>
      <w:jc w:val="left"/>
    </w:pPr>
    <w:rPr>
      <w:rFonts w:ascii="黑体" w:hAnsi="宋体"/>
      <w:b w:val="0"/>
      <w:bCs w:val="0"/>
      <w:color w:val="auto"/>
      <w:sz w:val="36"/>
      <w:szCs w:val="32"/>
    </w:rPr>
  </w:style>
  <w:style w:type="paragraph" w:customStyle="1" w:styleId="2964">
    <w:name w:val="样式 章号 + (中文) 宋体 段前: 0.5 行 段后: 0.5 行"/>
    <w:basedOn w:val="1"/>
    <w:qFormat/>
    <w:uiPriority w:val="0"/>
    <w:pPr>
      <w:tabs>
        <w:tab w:val="left" w:pos="840"/>
      </w:tabs>
      <w:topLinePunct/>
      <w:spacing w:beforeLines="50" w:afterLines="50" w:line="520" w:lineRule="exact"/>
      <w:ind w:left="840" w:hanging="420"/>
      <w:jc w:val="center"/>
      <w:outlineLvl w:val="0"/>
    </w:pPr>
    <w:rPr>
      <w:rFonts w:ascii="宋体" w:eastAsia="黑体" w:cs="宋体"/>
      <w:bCs/>
      <w:kern w:val="44"/>
      <w:sz w:val="32"/>
      <w:szCs w:val="20"/>
    </w:rPr>
  </w:style>
  <w:style w:type="paragraph" w:customStyle="1" w:styleId="2965">
    <w:name w:val="样式 标题 1标题 1 1章标题 1标题 1 Char + 黑体 三号 非加粗 居中 段前: 30 磅 段后: ..."/>
    <w:basedOn w:val="7"/>
    <w:qFormat/>
    <w:uiPriority w:val="0"/>
    <w:pPr>
      <w:keepLines/>
      <w:overflowPunct/>
      <w:snapToGrid/>
      <w:spacing w:after="120" w:line="520" w:lineRule="exact"/>
      <w:ind w:left="0" w:firstLine="0"/>
      <w:jc w:val="center"/>
    </w:pPr>
    <w:rPr>
      <w:rFonts w:ascii="黑体" w:hAnsi="Arial" w:cs="宋体"/>
      <w:b w:val="0"/>
      <w:bCs w:val="0"/>
      <w:color w:val="auto"/>
      <w:kern w:val="2"/>
      <w:sz w:val="32"/>
      <w:szCs w:val="20"/>
    </w:rPr>
  </w:style>
  <w:style w:type="paragraph" w:customStyle="1" w:styleId="2966">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967">
    <w:name w:val="样式 宋体 小四 首行缩进:  1.01 厘米 行距: 多倍行距 1.1 字行"/>
    <w:basedOn w:val="1"/>
    <w:qFormat/>
    <w:uiPriority w:val="0"/>
    <w:pPr>
      <w:widowControl/>
      <w:snapToGrid w:val="0"/>
      <w:spacing w:line="360" w:lineRule="auto"/>
      <w:ind w:firstLine="545" w:firstLineChars="219"/>
    </w:pPr>
    <w:rPr>
      <w:rFonts w:ascii="宋体" w:hAnsi="宋体" w:cs="宋体"/>
      <w:kern w:val="0"/>
      <w:sz w:val="34"/>
      <w:szCs w:val="20"/>
    </w:rPr>
  </w:style>
  <w:style w:type="paragraph" w:customStyle="1" w:styleId="2968">
    <w:name w:val="nilo_表头"/>
    <w:basedOn w:val="1"/>
    <w:qFormat/>
    <w:uiPriority w:val="0"/>
    <w:pPr>
      <w:spacing w:beforeLines="50" w:afterLines="50" w:line="300" w:lineRule="auto"/>
      <w:jc w:val="center"/>
      <w:outlineLvl w:val="4"/>
    </w:pPr>
    <w:rPr>
      <w:rFonts w:ascii="宋体"/>
      <w:kern w:val="0"/>
      <w:szCs w:val="21"/>
    </w:rPr>
  </w:style>
  <w:style w:type="paragraph" w:customStyle="1" w:styleId="2969">
    <w:name w:val="孙为军标题2"/>
    <w:basedOn w:val="1"/>
    <w:qFormat/>
    <w:uiPriority w:val="0"/>
    <w:pPr>
      <w:tabs>
        <w:tab w:val="left" w:pos="425"/>
      </w:tabs>
      <w:spacing w:line="360" w:lineRule="atLeast"/>
      <w:ind w:left="425" w:hanging="425"/>
    </w:pPr>
    <w:rPr>
      <w:rFonts w:ascii="宋体"/>
      <w:kern w:val="0"/>
      <w:szCs w:val="20"/>
    </w:rPr>
  </w:style>
  <w:style w:type="paragraph" w:customStyle="1" w:styleId="2970">
    <w:name w:val="Char Char Char1 Char3"/>
    <w:basedOn w:val="1"/>
    <w:qFormat/>
    <w:uiPriority w:val="0"/>
    <w:rPr>
      <w:rFonts w:ascii="宋体"/>
      <w:kern w:val="0"/>
      <w:sz w:val="34"/>
      <w:szCs w:val="20"/>
    </w:rPr>
  </w:style>
  <w:style w:type="paragraph" w:customStyle="1" w:styleId="2971">
    <w:name w:val="内容"/>
    <w:basedOn w:val="1"/>
    <w:qFormat/>
    <w:uiPriority w:val="0"/>
    <w:pPr>
      <w:spacing w:line="360" w:lineRule="auto"/>
      <w:ind w:firstLine="482"/>
    </w:pPr>
    <w:rPr>
      <w:rFonts w:ascii="宋体" w:hAnsi="宋体"/>
      <w:kern w:val="0"/>
      <w:sz w:val="34"/>
      <w:szCs w:val="20"/>
    </w:rPr>
  </w:style>
  <w:style w:type="paragraph" w:customStyle="1" w:styleId="2972">
    <w:name w:val="目次、标准名称标题"/>
    <w:basedOn w:val="1"/>
    <w:next w:val="213"/>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973">
    <w:name w:val="Char14"/>
    <w:basedOn w:val="1"/>
    <w:qFormat/>
    <w:uiPriority w:val="0"/>
    <w:pPr>
      <w:widowControl/>
      <w:spacing w:line="360" w:lineRule="auto"/>
      <w:ind w:firstLine="200" w:firstLineChars="200"/>
      <w:jc w:val="left"/>
    </w:pPr>
    <w:rPr>
      <w:rFonts w:ascii="宋体"/>
      <w:kern w:val="0"/>
      <w:sz w:val="34"/>
      <w:szCs w:val="20"/>
    </w:rPr>
  </w:style>
  <w:style w:type="paragraph" w:customStyle="1" w:styleId="2974">
    <w:name w:val="xl160"/>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975">
    <w:name w:val="样式 正文首行缩进 + 首行缩进:  1 字符 段前: 2 行"/>
    <w:basedOn w:val="43"/>
    <w:qFormat/>
    <w:uiPriority w:val="0"/>
    <w:pPr>
      <w:widowControl w:val="0"/>
      <w:autoSpaceDE w:val="0"/>
      <w:autoSpaceDN w:val="0"/>
      <w:spacing w:after="0" w:line="360" w:lineRule="auto"/>
      <w:ind w:firstLine="0" w:firstLineChars="0"/>
      <w:jc w:val="center"/>
      <w:textAlignment w:val="bottom"/>
    </w:pPr>
    <w:rPr>
      <w:rFonts w:eastAsia="幼圆"/>
      <w:kern w:val="2"/>
      <w:sz w:val="24"/>
      <w:szCs w:val="24"/>
      <w:lang w:val="fr-FR"/>
    </w:rPr>
  </w:style>
  <w:style w:type="paragraph" w:customStyle="1" w:styleId="2976">
    <w:name w:val="Print- From: To: Subject: Date:"/>
    <w:basedOn w:val="1"/>
    <w:qFormat/>
    <w:uiPriority w:val="0"/>
    <w:pPr>
      <w:pBdr>
        <w:top w:val="single" w:color="auto" w:sz="4" w:space="1"/>
        <w:left w:val="single" w:color="auto" w:sz="18" w:space="1"/>
      </w:pBdr>
      <w:adjustRightInd w:val="0"/>
      <w:spacing w:line="360" w:lineRule="atLeast"/>
      <w:jc w:val="left"/>
    </w:pPr>
    <w:rPr>
      <w:rFonts w:ascii="宋体" w:eastAsia="PMingLiU"/>
      <w:kern w:val="0"/>
      <w:sz w:val="34"/>
      <w:szCs w:val="20"/>
      <w:lang w:eastAsia="zh-TW"/>
    </w:rPr>
  </w:style>
  <w:style w:type="paragraph" w:customStyle="1" w:styleId="2977">
    <w:name w:val="xl80"/>
    <w:basedOn w:val="1"/>
    <w:qFormat/>
    <w:uiPriority w:val="0"/>
    <w:pPr>
      <w:widowControl/>
      <w:pBdr>
        <w:top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978">
    <w:name w:val="样式 图名 + 段前: 0.5 行 段后: 0.5 行"/>
    <w:basedOn w:val="2176"/>
    <w:qFormat/>
    <w:uiPriority w:val="0"/>
    <w:pPr>
      <w:spacing w:beforeLines="50" w:afterLines="50" w:line="300" w:lineRule="auto"/>
      <w:ind w:left="2121" w:hanging="420"/>
      <w:jc w:val="center"/>
      <w:outlineLvl w:val="4"/>
    </w:pPr>
    <w:rPr>
      <w:rFonts w:ascii="华文细黑" w:hAnsi="华文细黑" w:cs="宋体"/>
      <w:b/>
      <w:bCs/>
      <w:szCs w:val="20"/>
    </w:rPr>
  </w:style>
  <w:style w:type="paragraph" w:customStyle="1" w:styleId="2979">
    <w:name w:val="条题 Char Char Char Char Char Char Char Char Char Char Char Char Char Char Char"/>
    <w:basedOn w:val="6"/>
    <w:next w:val="6"/>
    <w:qFormat/>
    <w:uiPriority w:val="0"/>
    <w:pPr>
      <w:widowControl w:val="0"/>
      <w:tabs>
        <w:tab w:val="left" w:pos="902"/>
      </w:tabs>
      <w:spacing w:line="360" w:lineRule="auto"/>
      <w:ind w:left="902" w:hanging="420" w:firstLineChars="0"/>
      <w:jc w:val="both"/>
    </w:pPr>
    <w:rPr>
      <w:rFonts w:ascii="Times New Roman" w:hAnsi="Times New Roman" w:cs="Times New Roman"/>
      <w:bCs/>
      <w:sz w:val="20"/>
      <w:szCs w:val="20"/>
    </w:rPr>
  </w:style>
  <w:style w:type="paragraph" w:customStyle="1" w:styleId="2980">
    <w:name w:val="表内文字小"/>
    <w:basedOn w:val="1"/>
    <w:unhideWhenUsed/>
    <w:qFormat/>
    <w:uiPriority w:val="0"/>
    <w:pPr>
      <w:adjustRightInd w:val="0"/>
      <w:snapToGrid w:val="0"/>
      <w:spacing w:beforeLines="20" w:after="120"/>
      <w:ind w:left="578" w:hanging="578"/>
      <w:jc w:val="center"/>
    </w:pPr>
    <w:rPr>
      <w:rFonts w:ascii="宋体" w:hAnsi="Times"/>
      <w:kern w:val="0"/>
      <w:sz w:val="18"/>
      <w:szCs w:val="18"/>
    </w:rPr>
  </w:style>
  <w:style w:type="paragraph" w:customStyle="1" w:styleId="2981">
    <w:name w:val="标题 35"/>
    <w:basedOn w:val="1"/>
    <w:next w:val="1"/>
    <w:qFormat/>
    <w:uiPriority w:val="0"/>
    <w:pPr>
      <w:keepNext/>
      <w:keepLines/>
      <w:spacing w:before="260" w:after="260" w:line="415" w:lineRule="auto"/>
      <w:outlineLvl w:val="2"/>
    </w:pPr>
    <w:rPr>
      <w:rFonts w:hint="eastAsia" w:ascii="宋体"/>
      <w:b/>
      <w:kern w:val="0"/>
      <w:sz w:val="32"/>
      <w:szCs w:val="20"/>
    </w:rPr>
  </w:style>
  <w:style w:type="paragraph" w:customStyle="1" w:styleId="2982">
    <w:name w:val="CM20"/>
    <w:basedOn w:val="2"/>
    <w:next w:val="2"/>
    <w:semiHidden/>
    <w:qFormat/>
    <w:uiPriority w:val="0"/>
    <w:pPr>
      <w:adjustRightInd/>
    </w:pPr>
    <w:rPr>
      <w:rFonts w:hint="eastAsia" w:ascii="仿宋" w:hAnsi="仿宋" w:eastAsia="仿宋" w:cs="Times New Roman"/>
      <w:szCs w:val="20"/>
    </w:rPr>
  </w:style>
  <w:style w:type="paragraph" w:customStyle="1" w:styleId="2983">
    <w:name w:val="正文首行缩进1"/>
    <w:basedOn w:val="37"/>
    <w:qFormat/>
    <w:uiPriority w:val="0"/>
    <w:pPr>
      <w:widowControl w:val="0"/>
      <w:adjustRightInd w:val="0"/>
      <w:snapToGrid/>
      <w:spacing w:before="0" w:after="120" w:line="312" w:lineRule="atLeast"/>
      <w:ind w:right="0" w:firstLine="420"/>
      <w:textAlignment w:val="baseline"/>
    </w:pPr>
    <w:rPr>
      <w:sz w:val="27"/>
    </w:rPr>
  </w:style>
  <w:style w:type="paragraph" w:customStyle="1" w:styleId="2984">
    <w:name w:val="样式 (西文) Arial (中文) 黑体 二号 加粗 居中"/>
    <w:basedOn w:val="1"/>
    <w:unhideWhenUsed/>
    <w:qFormat/>
    <w:uiPriority w:val="0"/>
    <w:pPr>
      <w:spacing w:before="120" w:after="120"/>
      <w:ind w:left="578" w:hanging="578"/>
      <w:jc w:val="center"/>
    </w:pPr>
    <w:rPr>
      <w:rFonts w:ascii="黑体" w:hAnsi="Arial" w:eastAsia="黑体"/>
      <w:bCs/>
      <w:kern w:val="0"/>
      <w:sz w:val="28"/>
      <w:szCs w:val="28"/>
    </w:rPr>
  </w:style>
  <w:style w:type="paragraph" w:customStyle="1" w:styleId="2985">
    <w:name w:val="编号小标题"/>
    <w:basedOn w:val="1"/>
    <w:qFormat/>
    <w:uiPriority w:val="0"/>
    <w:pPr>
      <w:snapToGrid w:val="0"/>
      <w:spacing w:line="336" w:lineRule="auto"/>
      <w:ind w:firstLine="545" w:firstLineChars="227"/>
    </w:pPr>
    <w:rPr>
      <w:rFonts w:ascii="宋体" w:hAnsi="宋体"/>
      <w:kern w:val="0"/>
      <w:sz w:val="34"/>
      <w:szCs w:val="20"/>
    </w:rPr>
  </w:style>
  <w:style w:type="paragraph" w:customStyle="1" w:styleId="2986">
    <w:name w:val="节标题"/>
    <w:basedOn w:val="1"/>
    <w:qFormat/>
    <w:uiPriority w:val="0"/>
    <w:pPr>
      <w:adjustRightInd w:val="0"/>
      <w:spacing w:after="60" w:line="312" w:lineRule="atLeast"/>
      <w:ind w:firstLine="567"/>
      <w:jc w:val="center"/>
      <w:textAlignment w:val="baseline"/>
    </w:pPr>
    <w:rPr>
      <w:rFonts w:ascii="宋体" w:eastAsia="黑体"/>
      <w:color w:val="800000"/>
      <w:kern w:val="0"/>
      <w:sz w:val="34"/>
      <w:szCs w:val="20"/>
    </w:rPr>
  </w:style>
  <w:style w:type="paragraph" w:customStyle="1" w:styleId="2987">
    <w:name w:val="样式 LNG－标题1 + 居中 段前: 0.5 行 段后: 0.5 行"/>
    <w:basedOn w:val="1611"/>
    <w:qFormat/>
    <w:uiPriority w:val="0"/>
    <w:pPr>
      <w:numPr>
        <w:ilvl w:val="6"/>
        <w:numId w:val="3"/>
      </w:numPr>
      <w:tabs>
        <w:tab w:val="left" w:pos="425"/>
        <w:tab w:val="left" w:pos="726"/>
        <w:tab w:val="left" w:pos="1296"/>
      </w:tabs>
      <w:spacing w:before="156" w:after="156"/>
      <w:ind w:left="425" w:hanging="425"/>
      <w:jc w:val="center"/>
    </w:pPr>
    <w:rPr>
      <w:rFonts w:cs="宋体"/>
      <w:bCs/>
      <w:szCs w:val="20"/>
    </w:rPr>
  </w:style>
  <w:style w:type="paragraph" w:customStyle="1" w:styleId="2988">
    <w:name w:val="俺的题目三"/>
    <w:basedOn w:val="854"/>
    <w:next w:val="854"/>
    <w:semiHidden/>
    <w:qFormat/>
    <w:uiPriority w:val="0"/>
    <w:pPr>
      <w:outlineLvl w:val="2"/>
    </w:pPr>
    <w:rPr>
      <w:rFonts w:eastAsia="黑体"/>
      <w:b/>
      <w:bCs/>
    </w:rPr>
  </w:style>
  <w:style w:type="paragraph" w:customStyle="1" w:styleId="2989">
    <w:name w:val="Char2 Char Char"/>
    <w:basedOn w:val="1"/>
    <w:qFormat/>
    <w:uiPriority w:val="0"/>
    <w:rPr>
      <w:rFonts w:ascii="宋体"/>
      <w:kern w:val="0"/>
      <w:sz w:val="34"/>
      <w:szCs w:val="20"/>
    </w:rPr>
  </w:style>
  <w:style w:type="paragraph" w:customStyle="1" w:styleId="2990">
    <w:name w:val="xl133"/>
    <w:basedOn w:val="1"/>
    <w:qFormat/>
    <w:uiPriority w:val="0"/>
    <w:pPr>
      <w:widowControl/>
      <w:pBdr>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91">
    <w:name w:val="xl1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92">
    <w:name w:val="Char Char Char1 Char Char Char Char Char Char Char Char Char Char Char Char Char Char Char Char Char Char Char Char Char Char"/>
    <w:basedOn w:val="1"/>
    <w:qFormat/>
    <w:uiPriority w:val="0"/>
    <w:rPr>
      <w:rFonts w:ascii="宋体"/>
      <w:kern w:val="0"/>
      <w:szCs w:val="21"/>
    </w:rPr>
  </w:style>
  <w:style w:type="paragraph" w:customStyle="1" w:styleId="2993">
    <w:name w:val="表内五中"/>
    <w:qFormat/>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2994">
    <w:name w:val="谏壁标题2(chen）"/>
    <w:basedOn w:val="1"/>
    <w:qFormat/>
    <w:uiPriority w:val="0"/>
    <w:pPr>
      <w:keepNext/>
      <w:keepLines/>
      <w:spacing w:after="120" w:line="360" w:lineRule="auto"/>
      <w:outlineLvl w:val="1"/>
    </w:pPr>
    <w:rPr>
      <w:rFonts w:ascii="宋体" w:eastAsia="黑体"/>
      <w:kern w:val="0"/>
      <w:sz w:val="32"/>
      <w:szCs w:val="32"/>
    </w:rPr>
  </w:style>
  <w:style w:type="paragraph" w:customStyle="1" w:styleId="2995">
    <w:name w:val="标题2（杨）"/>
    <w:basedOn w:val="1"/>
    <w:qFormat/>
    <w:uiPriority w:val="0"/>
    <w:pPr>
      <w:spacing w:line="360" w:lineRule="auto"/>
      <w:ind w:left="1305" w:hanging="420"/>
      <w:jc w:val="left"/>
      <w:outlineLvl w:val="1"/>
    </w:pPr>
    <w:rPr>
      <w:rFonts w:ascii="宋体" w:eastAsia="黑体"/>
      <w:b/>
      <w:kern w:val="0"/>
      <w:sz w:val="28"/>
      <w:szCs w:val="20"/>
    </w:rPr>
  </w:style>
  <w:style w:type="paragraph" w:customStyle="1" w:styleId="2996">
    <w:name w:val="title1"/>
    <w:basedOn w:val="1"/>
    <w:qFormat/>
    <w:uiPriority w:val="0"/>
    <w:pPr>
      <w:widowControl/>
      <w:spacing w:before="100" w:beforeAutospacing="1" w:after="100" w:afterAutospacing="1"/>
      <w:jc w:val="left"/>
    </w:pPr>
    <w:rPr>
      <w:rFonts w:ascii="Verdana" w:hAnsi="Verdana"/>
      <w:b/>
      <w:bCs/>
      <w:color w:val="3F7BB3"/>
      <w:kern w:val="0"/>
      <w:sz w:val="22"/>
      <w:szCs w:val="22"/>
    </w:rPr>
  </w:style>
  <w:style w:type="paragraph" w:customStyle="1" w:styleId="2997">
    <w:name w:val="样式 标题 3 + 段前: 0.5 行 段后: 0.5 行"/>
    <w:basedOn w:val="9"/>
    <w:next w:val="1"/>
    <w:qFormat/>
    <w:uiPriority w:val="0"/>
    <w:pPr>
      <w:widowControl w:val="0"/>
      <w:numPr>
        <w:ilvl w:val="0"/>
        <w:numId w:val="0"/>
      </w:numPr>
      <w:tabs>
        <w:tab w:val="left" w:pos="720"/>
        <w:tab w:val="left" w:pos="1740"/>
      </w:tabs>
      <w:spacing w:before="260" w:beforeLines="50" w:after="260" w:afterLines="50" w:line="240" w:lineRule="auto"/>
      <w:ind w:left="720" w:hanging="720"/>
      <w:jc w:val="both"/>
    </w:pPr>
    <w:rPr>
      <w:bCs w:val="0"/>
      <w:color w:val="FF0000"/>
      <w:sz w:val="24"/>
      <w:szCs w:val="20"/>
    </w:rPr>
  </w:style>
  <w:style w:type="paragraph" w:customStyle="1" w:styleId="2998">
    <w:name w:val="正文999"/>
    <w:basedOn w:val="1"/>
    <w:qFormat/>
    <w:uiPriority w:val="0"/>
    <w:pPr>
      <w:spacing w:before="120" w:after="120" w:line="360" w:lineRule="auto"/>
      <w:ind w:left="578" w:firstLine="480" w:firstLineChars="200"/>
    </w:pPr>
    <w:rPr>
      <w:rFonts w:ascii="宋体" w:hAnsi="宋体"/>
      <w:kern w:val="0"/>
      <w:sz w:val="34"/>
      <w:szCs w:val="20"/>
    </w:rPr>
  </w:style>
  <w:style w:type="paragraph" w:customStyle="1" w:styleId="2999">
    <w:name w:val="列项——（一级）"/>
    <w:qFormat/>
    <w:uiPriority w:val="0"/>
    <w:pPr>
      <w:widowControl w:val="0"/>
      <w:numPr>
        <w:ilvl w:val="0"/>
        <w:numId w:val="64"/>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000">
    <w:name w:val="正文缩进G"/>
    <w:basedOn w:val="1"/>
    <w:qFormat/>
    <w:uiPriority w:val="0"/>
    <w:pPr>
      <w:spacing w:line="360" w:lineRule="auto"/>
      <w:ind w:firstLine="480" w:firstLineChars="200"/>
      <w:jc w:val="left"/>
    </w:pPr>
    <w:rPr>
      <w:rFonts w:ascii="宋体"/>
      <w:kern w:val="0"/>
      <w:sz w:val="34"/>
      <w:szCs w:val="20"/>
    </w:rPr>
  </w:style>
  <w:style w:type="paragraph" w:customStyle="1" w:styleId="3001">
    <w:name w:val="正文OK"/>
    <w:basedOn w:val="1"/>
    <w:qFormat/>
    <w:uiPriority w:val="0"/>
    <w:pPr>
      <w:spacing w:line="360" w:lineRule="auto"/>
      <w:ind w:firstLine="200" w:firstLineChars="200"/>
    </w:pPr>
    <w:rPr>
      <w:rFonts w:ascii="宋体"/>
      <w:kern w:val="0"/>
      <w:sz w:val="34"/>
      <w:szCs w:val="20"/>
    </w:rPr>
  </w:style>
  <w:style w:type="paragraph" w:customStyle="1" w:styleId="3002">
    <w:name w:val="图文字"/>
    <w:basedOn w:val="1"/>
    <w:qFormat/>
    <w:uiPriority w:val="0"/>
    <w:pPr>
      <w:spacing w:line="280" w:lineRule="exact"/>
      <w:jc w:val="center"/>
    </w:pPr>
    <w:rPr>
      <w:rFonts w:ascii="宋体" w:hAnsi="宋体"/>
      <w:kern w:val="0"/>
      <w:szCs w:val="20"/>
    </w:rPr>
  </w:style>
  <w:style w:type="paragraph" w:customStyle="1" w:styleId="3003">
    <w:name w:val="ListingStart"/>
    <w:basedOn w:val="1"/>
    <w:unhideWhenUsed/>
    <w:qFormat/>
    <w:uiPriority w:val="0"/>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before="120" w:after="120" w:line="277" w:lineRule="exact"/>
      <w:ind w:left="578" w:hanging="578"/>
      <w:textAlignment w:val="baseline"/>
    </w:pPr>
    <w:rPr>
      <w:rFonts w:ascii="宋体"/>
      <w:kern w:val="0"/>
      <w:szCs w:val="20"/>
      <w:lang w:eastAsia="ja-JP"/>
    </w:rPr>
  </w:style>
  <w:style w:type="paragraph" w:customStyle="1" w:styleId="3004">
    <w:name w:val="CM42"/>
    <w:basedOn w:val="2"/>
    <w:next w:val="2"/>
    <w:semiHidden/>
    <w:qFormat/>
    <w:uiPriority w:val="0"/>
    <w:pPr>
      <w:spacing w:line="548" w:lineRule="atLeast"/>
    </w:pPr>
    <w:rPr>
      <w:rFonts w:ascii="Arial" w:hAnsi="Arial" w:cs="Times New Roman"/>
      <w:color w:val="auto"/>
    </w:rPr>
  </w:style>
  <w:style w:type="paragraph" w:customStyle="1" w:styleId="3005">
    <w:name w:val="0-shiw-扉页参加人员名单"/>
    <w:qFormat/>
    <w:uiPriority w:val="0"/>
    <w:pPr>
      <w:adjustRightInd w:val="0"/>
      <w:snapToGrid w:val="0"/>
      <w:spacing w:line="520" w:lineRule="exact"/>
      <w:jc w:val="center"/>
    </w:pPr>
    <w:rPr>
      <w:rFonts w:ascii="Times New Roman" w:hAnsi="Times New Roman" w:eastAsia="宋体" w:cs="Times New Roman"/>
      <w:kern w:val="2"/>
      <w:sz w:val="28"/>
      <w:szCs w:val="28"/>
      <w:lang w:val="en-US" w:eastAsia="zh-CN" w:bidi="ar-SA"/>
    </w:rPr>
  </w:style>
  <w:style w:type="paragraph" w:customStyle="1" w:styleId="3006">
    <w:name w:val="表标题6.9"/>
    <w:basedOn w:val="1"/>
    <w:semiHidden/>
    <w:qFormat/>
    <w:uiPriority w:val="0"/>
    <w:pPr>
      <w:tabs>
        <w:tab w:val="left" w:pos="1619"/>
      </w:tabs>
      <w:spacing w:beforeLines="100" w:after="120" w:line="0" w:lineRule="atLeast"/>
      <w:ind w:left="539" w:hanging="578"/>
    </w:pPr>
    <w:rPr>
      <w:rFonts w:ascii="宋体" w:eastAsia="黑体"/>
      <w:b/>
      <w:kern w:val="0"/>
      <w:sz w:val="34"/>
      <w:szCs w:val="20"/>
    </w:rPr>
  </w:style>
  <w:style w:type="paragraph" w:customStyle="1" w:styleId="3007">
    <w:name w:val="首页脚注"/>
    <w:basedOn w:val="58"/>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sz w:val="28"/>
      <w:szCs w:val="28"/>
    </w:rPr>
  </w:style>
  <w:style w:type="paragraph" w:customStyle="1" w:styleId="3008">
    <w:name w:val="xl104"/>
    <w:basedOn w:val="1"/>
    <w:qFormat/>
    <w:uiPriority w:val="0"/>
    <w:pPr>
      <w:widowControl/>
      <w:pBdr>
        <w:top w:val="single" w:color="000000" w:sz="4" w:space="0"/>
        <w:right w:val="single" w:color="000000" w:sz="4" w:space="0"/>
      </w:pBdr>
      <w:spacing w:before="100" w:beforeAutospacing="1" w:after="100" w:afterAutospacing="1"/>
      <w:jc w:val="center"/>
    </w:pPr>
    <w:rPr>
      <w:rFonts w:ascii="宋体"/>
      <w:kern w:val="0"/>
      <w:sz w:val="34"/>
      <w:szCs w:val="20"/>
    </w:rPr>
  </w:style>
  <w:style w:type="paragraph" w:customStyle="1" w:styleId="3009">
    <w:name w:val="Char Char Char1 Char Char Char Char Char Char Char Char Char Char Char Char Char Char Char Char Char Char Char Char Char Char3"/>
    <w:basedOn w:val="1"/>
    <w:qFormat/>
    <w:uiPriority w:val="0"/>
    <w:rPr>
      <w:rFonts w:ascii="宋体"/>
      <w:kern w:val="0"/>
      <w:szCs w:val="21"/>
    </w:rPr>
  </w:style>
  <w:style w:type="paragraph" w:customStyle="1" w:styleId="3010">
    <w:name w:val="正文缩进2"/>
    <w:basedOn w:val="1"/>
    <w:qFormat/>
    <w:uiPriority w:val="0"/>
    <w:pPr>
      <w:ind w:firstLine="420" w:firstLineChars="200"/>
    </w:pPr>
    <w:rPr>
      <w:rFonts w:ascii="宋体"/>
      <w:kern w:val="0"/>
      <w:szCs w:val="20"/>
    </w:rPr>
  </w:style>
  <w:style w:type="paragraph" w:customStyle="1" w:styleId="3011">
    <w:name w:val="tj专题-标题0"/>
    <w:basedOn w:val="1"/>
    <w:next w:val="2953"/>
    <w:qFormat/>
    <w:uiPriority w:val="0"/>
    <w:pPr>
      <w:numPr>
        <w:ilvl w:val="0"/>
        <w:numId w:val="27"/>
      </w:numPr>
      <w:spacing w:beforeLines="200" w:afterLines="100" w:line="360" w:lineRule="auto"/>
      <w:ind w:firstLine="567"/>
      <w:jc w:val="center"/>
      <w:outlineLvl w:val="0"/>
    </w:pPr>
    <w:rPr>
      <w:rFonts w:ascii="黑体" w:hAnsi="黑体" w:eastAsia="黑体"/>
      <w:kern w:val="0"/>
      <w:sz w:val="32"/>
      <w:szCs w:val="20"/>
    </w:rPr>
  </w:style>
  <w:style w:type="paragraph" w:customStyle="1" w:styleId="3012">
    <w:name w:val="公文正文"/>
    <w:qFormat/>
    <w:uiPriority w:val="0"/>
    <w:pPr>
      <w:ind w:firstLine="632" w:firstLineChars="200"/>
    </w:pPr>
    <w:rPr>
      <w:rFonts w:ascii="Times New Roman" w:hAnsi="Times New Roman" w:eastAsia="仿宋_GB2312" w:cs="Times New Roman"/>
      <w:kern w:val="2"/>
      <w:sz w:val="32"/>
      <w:szCs w:val="24"/>
      <w:lang w:val="en-US" w:eastAsia="zh-CN" w:bidi="ar-SA"/>
    </w:rPr>
  </w:style>
  <w:style w:type="paragraph" w:customStyle="1" w:styleId="3013">
    <w:name w:val="1标题4级"/>
    <w:basedOn w:val="1731"/>
    <w:qFormat/>
    <w:uiPriority w:val="0"/>
  </w:style>
  <w:style w:type="paragraph" w:customStyle="1" w:styleId="3014">
    <w:name w:val="Char Char Char Char Char Char Char Char Char Char Char Char Char Char Char Char1"/>
    <w:basedOn w:val="1"/>
    <w:qFormat/>
    <w:uiPriority w:val="0"/>
    <w:rPr>
      <w:rFonts w:ascii="宋体"/>
      <w:kern w:val="0"/>
      <w:sz w:val="34"/>
      <w:szCs w:val="20"/>
    </w:rPr>
  </w:style>
  <w:style w:type="paragraph" w:customStyle="1" w:styleId="3015">
    <w:name w:val="小四"/>
    <w:basedOn w:val="1"/>
    <w:next w:val="1"/>
    <w:qFormat/>
    <w:uiPriority w:val="0"/>
    <w:pPr>
      <w:spacing w:line="360" w:lineRule="auto"/>
      <w:ind w:firstLine="414"/>
    </w:pPr>
    <w:rPr>
      <w:rFonts w:ascii="宋体" w:hAnsi="宋体" w:cs="宋体"/>
      <w:snapToGrid w:val="0"/>
      <w:spacing w:val="8"/>
      <w:kern w:val="0"/>
      <w:sz w:val="34"/>
      <w:szCs w:val="20"/>
    </w:rPr>
  </w:style>
  <w:style w:type="paragraph" w:customStyle="1" w:styleId="3016">
    <w:name w:val="样式 标题 2节 + 段前: 1 行 段后: 0.5 行1"/>
    <w:basedOn w:val="1"/>
    <w:qFormat/>
    <w:uiPriority w:val="0"/>
    <w:pPr>
      <w:tabs>
        <w:tab w:val="left" w:pos="720"/>
        <w:tab w:val="left" w:pos="840"/>
      </w:tabs>
      <w:ind w:left="840" w:hanging="420"/>
    </w:pPr>
    <w:rPr>
      <w:rFonts w:ascii="宋体"/>
      <w:kern w:val="0"/>
      <w:szCs w:val="20"/>
    </w:rPr>
  </w:style>
  <w:style w:type="paragraph" w:customStyle="1" w:styleId="3017">
    <w:name w:val="表名称1"/>
    <w:basedOn w:val="1"/>
    <w:qFormat/>
    <w:uiPriority w:val="0"/>
    <w:pPr>
      <w:widowControl/>
      <w:autoSpaceDE w:val="0"/>
      <w:autoSpaceDN w:val="0"/>
      <w:ind w:left="5250" w:right="45"/>
      <w:jc w:val="right"/>
    </w:pPr>
    <w:rPr>
      <w:rFonts w:ascii="宋体"/>
      <w:kern w:val="0"/>
      <w:sz w:val="34"/>
      <w:szCs w:val="20"/>
    </w:rPr>
  </w:style>
  <w:style w:type="paragraph" w:customStyle="1" w:styleId="3018">
    <w:name w:val="表格生物名"/>
    <w:basedOn w:val="1257"/>
    <w:qFormat/>
    <w:uiPriority w:val="0"/>
    <w:pPr>
      <w:adjustRightInd w:val="0"/>
      <w:snapToGrid w:val="0"/>
      <w:spacing w:line="240" w:lineRule="auto"/>
      <w:ind w:firstLine="0" w:firstLineChars="0"/>
    </w:pPr>
    <w:rPr>
      <w:i/>
      <w:sz w:val="21"/>
      <w:szCs w:val="18"/>
    </w:rPr>
  </w:style>
  <w:style w:type="paragraph" w:customStyle="1" w:styleId="3019">
    <w:name w:val="样式 标题 3 + 五号 非加粗 段前: 0 磅 段后: 0 磅 行距: 最小值 0 磅"/>
    <w:basedOn w:val="9"/>
    <w:qFormat/>
    <w:uiPriority w:val="0"/>
    <w:pPr>
      <w:numPr>
        <w:ilvl w:val="0"/>
        <w:numId w:val="0"/>
      </w:numPr>
      <w:tabs>
        <w:tab w:val="left" w:pos="1260"/>
        <w:tab w:val="left" w:pos="1740"/>
      </w:tabs>
      <w:spacing w:line="0" w:lineRule="atLeast"/>
      <w:ind w:left="1740" w:hanging="420"/>
      <w:jc w:val="center"/>
    </w:pPr>
    <w:rPr>
      <w:rFonts w:cs="Times New Roman"/>
      <w:b/>
      <w:snapToGrid w:val="0"/>
      <w:color w:val="FF0000"/>
      <w:sz w:val="21"/>
      <w:szCs w:val="20"/>
    </w:rPr>
  </w:style>
  <w:style w:type="paragraph" w:customStyle="1" w:styleId="3020">
    <w:name w:val="扉页"/>
    <w:basedOn w:val="1"/>
    <w:qFormat/>
    <w:uiPriority w:val="0"/>
    <w:pPr>
      <w:adjustRightInd w:val="0"/>
      <w:snapToGrid w:val="0"/>
      <w:spacing w:line="360" w:lineRule="auto"/>
    </w:pPr>
    <w:rPr>
      <w:rFonts w:ascii="宋体"/>
      <w:b/>
      <w:kern w:val="0"/>
      <w:sz w:val="28"/>
      <w:szCs w:val="20"/>
    </w:rPr>
  </w:style>
  <w:style w:type="paragraph" w:customStyle="1" w:styleId="3021">
    <w:name w:val="CM17"/>
    <w:basedOn w:val="2"/>
    <w:next w:val="2"/>
    <w:unhideWhenUsed/>
    <w:qFormat/>
    <w:uiPriority w:val="0"/>
    <w:pPr>
      <w:spacing w:line="546" w:lineRule="atLeast"/>
    </w:pPr>
    <w:rPr>
      <w:rFonts w:ascii="黑体" w:eastAsia="黑体" w:cs="黑体"/>
    </w:rPr>
  </w:style>
  <w:style w:type="paragraph" w:customStyle="1" w:styleId="3022">
    <w:name w:val="_Style 3021"/>
    <w:basedOn w:val="7"/>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023">
    <w:name w:val="Char Char Char Char Char Char Char Char Char Char Char Char Char Char Char Char Char3"/>
    <w:basedOn w:val="1"/>
    <w:qFormat/>
    <w:uiPriority w:val="0"/>
    <w:rPr>
      <w:rFonts w:ascii="宋体"/>
      <w:kern w:val="0"/>
      <w:szCs w:val="21"/>
    </w:rPr>
  </w:style>
  <w:style w:type="paragraph" w:customStyle="1" w:styleId="3024">
    <w:name w:val="Char2 Char Char3"/>
    <w:basedOn w:val="1"/>
    <w:qFormat/>
    <w:uiPriority w:val="0"/>
    <w:rPr>
      <w:rFonts w:ascii="宋体"/>
      <w:kern w:val="0"/>
      <w:sz w:val="34"/>
      <w:szCs w:val="20"/>
    </w:rPr>
  </w:style>
  <w:style w:type="paragraph" w:customStyle="1" w:styleId="3025">
    <w:name w:val="Char2 Char Char2"/>
    <w:basedOn w:val="1"/>
    <w:qFormat/>
    <w:uiPriority w:val="0"/>
    <w:rPr>
      <w:rFonts w:ascii="宋体"/>
      <w:kern w:val="0"/>
      <w:sz w:val="34"/>
      <w:szCs w:val="20"/>
    </w:rPr>
  </w:style>
  <w:style w:type="paragraph" w:customStyle="1" w:styleId="3026">
    <w:name w:val="16.6.3.1"/>
    <w:basedOn w:val="653"/>
    <w:qFormat/>
    <w:uiPriority w:val="0"/>
    <w:pPr>
      <w:numPr>
        <w:ilvl w:val="0"/>
        <w:numId w:val="65"/>
      </w:numPr>
      <w:tabs>
        <w:tab w:val="left" w:pos="360"/>
        <w:tab w:val="left" w:pos="425"/>
        <w:tab w:val="left" w:pos="2160"/>
        <w:tab w:val="clear" w:pos="726"/>
        <w:tab w:val="clear" w:pos="1800"/>
      </w:tabs>
      <w:spacing w:after="0"/>
      <w:ind w:left="2160"/>
    </w:pPr>
  </w:style>
  <w:style w:type="paragraph" w:customStyle="1" w:styleId="3027">
    <w:name w:val="CM102"/>
    <w:basedOn w:val="2"/>
    <w:next w:val="2"/>
    <w:semiHidden/>
    <w:qFormat/>
    <w:uiPriority w:val="0"/>
    <w:pPr>
      <w:adjustRightInd/>
    </w:pPr>
    <w:rPr>
      <w:rFonts w:hint="eastAsia" w:ascii="仿宋" w:hAnsi="仿宋" w:eastAsia="仿宋" w:cs="Times New Roman"/>
      <w:szCs w:val="20"/>
    </w:rPr>
  </w:style>
  <w:style w:type="paragraph" w:customStyle="1" w:styleId="3028">
    <w:name w:val="样式 燕山正文 + 首行缩进:  3.5 字符"/>
    <w:basedOn w:val="1"/>
    <w:semiHidden/>
    <w:qFormat/>
    <w:uiPriority w:val="0"/>
    <w:pPr>
      <w:tabs>
        <w:tab w:val="left" w:pos="4680"/>
      </w:tabs>
      <w:adjustRightInd w:val="0"/>
      <w:snapToGrid w:val="0"/>
      <w:spacing w:line="360" w:lineRule="auto"/>
      <w:ind w:firstLine="560" w:firstLineChars="200"/>
    </w:pPr>
    <w:rPr>
      <w:rFonts w:ascii="宋体" w:hAnsi="宋体" w:cs="宋体"/>
      <w:color w:val="000000"/>
      <w:kern w:val="0"/>
      <w:sz w:val="28"/>
      <w:szCs w:val="20"/>
    </w:rPr>
  </w:style>
  <w:style w:type="paragraph" w:customStyle="1" w:styleId="3029">
    <w:name w:val="table text"/>
    <w:basedOn w:val="1"/>
    <w:qFormat/>
    <w:uiPriority w:val="0"/>
    <w:pPr>
      <w:widowControl/>
      <w:spacing w:before="40" w:after="120" w:line="160" w:lineRule="exact"/>
      <w:ind w:left="578" w:hanging="578"/>
      <w:jc w:val="left"/>
    </w:pPr>
    <w:rPr>
      <w:rFonts w:ascii="Arial" w:hAnsi="Arial"/>
      <w:snapToGrid w:val="0"/>
      <w:color w:val="000000"/>
      <w:kern w:val="0"/>
      <w:sz w:val="16"/>
      <w:szCs w:val="20"/>
      <w:lang w:eastAsia="en-US"/>
    </w:rPr>
  </w:style>
  <w:style w:type="paragraph" w:customStyle="1" w:styleId="3030">
    <w:name w:val="表格1 + 四号"/>
    <w:basedOn w:val="1931"/>
    <w:qFormat/>
    <w:uiPriority w:val="0"/>
    <w:rPr>
      <w:sz w:val="28"/>
    </w:rPr>
  </w:style>
  <w:style w:type="paragraph" w:customStyle="1" w:styleId="3031">
    <w:name w:val="样式 正文首行缩进 + 首行缩进:  2 字符"/>
    <w:basedOn w:val="43"/>
    <w:semiHidden/>
    <w:qFormat/>
    <w:uiPriority w:val="0"/>
    <w:pPr>
      <w:widowControl w:val="0"/>
      <w:adjustRightInd w:val="0"/>
      <w:snapToGrid w:val="0"/>
      <w:spacing w:after="0" w:line="520" w:lineRule="atLeast"/>
      <w:ind w:firstLine="549" w:firstLineChars="200"/>
      <w:jc w:val="both"/>
    </w:pPr>
    <w:rPr>
      <w:rFonts w:ascii="Times New Roman" w:hAnsi="Times New Roman"/>
      <w:bCs/>
      <w:kern w:val="2"/>
      <w:lang w:val="fr-FR"/>
    </w:rPr>
  </w:style>
  <w:style w:type="paragraph" w:customStyle="1" w:styleId="3032">
    <w:name w:val="Char Char Char Char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033">
    <w:name w:val="±êÌâ1"/>
    <w:unhideWhenUsed/>
    <w:qFormat/>
    <w:uiPriority w:val="0"/>
    <w:pPr>
      <w:keepNext/>
      <w:keepLines/>
      <w:widowControl w:val="0"/>
      <w:adjustRightInd w:val="0"/>
      <w:spacing w:before="120" w:after="120" w:line="360" w:lineRule="auto"/>
      <w:ind w:left="578" w:hanging="578"/>
      <w:jc w:val="both"/>
      <w:textAlignment w:val="baseline"/>
      <w:outlineLvl w:val="0"/>
    </w:pPr>
    <w:rPr>
      <w:rFonts w:ascii="宋体" w:hAnsi="宋体" w:eastAsia="宋体" w:cs="Times New Roman"/>
      <w:b/>
      <w:bCs/>
      <w:snapToGrid w:val="0"/>
      <w:color w:val="FF00FF"/>
      <w:spacing w:val="10"/>
      <w:kern w:val="44"/>
      <w:sz w:val="24"/>
      <w:szCs w:val="24"/>
      <w:shd w:val="clear" w:color="auto" w:fill="FFFF00"/>
      <w:lang w:val="en-US" w:eastAsia="zh-CN" w:bidi="ar-SA"/>
    </w:rPr>
  </w:style>
  <w:style w:type="paragraph" w:customStyle="1" w:styleId="3034">
    <w:name w:val="Section Subtitle"/>
    <w:basedOn w:val="1779"/>
    <w:next w:val="1"/>
    <w:unhideWhenUsed/>
    <w:qFormat/>
    <w:uiPriority w:val="0"/>
    <w:pPr>
      <w:pBdr>
        <w:top w:val="none" w:color="auto" w:sz="0" w:space="0"/>
      </w:pBdr>
    </w:pPr>
    <w:rPr>
      <w:b w:val="0"/>
      <w:spacing w:val="0"/>
      <w:position w:val="6"/>
    </w:rPr>
  </w:style>
  <w:style w:type="paragraph" w:customStyle="1" w:styleId="3035">
    <w:name w:val="标题正4"/>
    <w:basedOn w:val="1"/>
    <w:qFormat/>
    <w:uiPriority w:val="0"/>
    <w:pPr>
      <w:spacing w:line="300" w:lineRule="exact"/>
      <w:jc w:val="center"/>
    </w:pPr>
    <w:rPr>
      <w:rFonts w:ascii="宋体" w:hAnsi="宋体"/>
      <w:color w:val="000000"/>
      <w:kern w:val="0"/>
      <w:szCs w:val="20"/>
    </w:rPr>
  </w:style>
  <w:style w:type="paragraph" w:customStyle="1" w:styleId="3036">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37">
    <w:name w:val="样式 样式 首行缩进:  2 字符 + 首行缩进:  2 字符"/>
    <w:basedOn w:val="428"/>
    <w:qFormat/>
    <w:uiPriority w:val="0"/>
    <w:pPr>
      <w:adjustRightInd w:val="0"/>
      <w:snapToGrid w:val="0"/>
      <w:spacing w:line="360" w:lineRule="auto"/>
      <w:ind w:firstLine="560"/>
    </w:pPr>
    <w:rPr>
      <w:rFonts w:cs="宋体"/>
      <w:spacing w:val="10"/>
      <w:kern w:val="0"/>
      <w:sz w:val="24"/>
      <w:szCs w:val="24"/>
    </w:rPr>
  </w:style>
  <w:style w:type="paragraph" w:customStyle="1" w:styleId="3038">
    <w:name w:val="zwj1"/>
    <w:basedOn w:val="1"/>
    <w:qFormat/>
    <w:uiPriority w:val="0"/>
    <w:pPr>
      <w:numPr>
        <w:ilvl w:val="0"/>
        <w:numId w:val="9"/>
      </w:numPr>
      <w:tabs>
        <w:tab w:val="left" w:pos="360"/>
      </w:tabs>
      <w:snapToGrid w:val="0"/>
      <w:spacing w:line="360" w:lineRule="auto"/>
      <w:outlineLvl w:val="0"/>
    </w:pPr>
    <w:rPr>
      <w:rFonts w:ascii="宋体" w:hAnsi="宋体"/>
      <w:b/>
      <w:kern w:val="0"/>
      <w:sz w:val="28"/>
      <w:szCs w:val="28"/>
    </w:rPr>
  </w:style>
  <w:style w:type="paragraph" w:customStyle="1" w:styleId="3039">
    <w:name w:val="样式 样式 标题 4 + 段前: 0.5 行 段后: 0.5 行 + 段前: 0.5 行 段后: 0.5 行2"/>
    <w:basedOn w:val="1730"/>
    <w:semiHidden/>
    <w:qFormat/>
    <w:uiPriority w:val="0"/>
  </w:style>
  <w:style w:type="paragraph" w:customStyle="1" w:styleId="304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041">
    <w:name w:val="CM33"/>
    <w:basedOn w:val="2"/>
    <w:next w:val="2"/>
    <w:semiHidden/>
    <w:qFormat/>
    <w:uiPriority w:val="0"/>
    <w:pPr>
      <w:adjustRightInd/>
    </w:pPr>
    <w:rPr>
      <w:rFonts w:hint="eastAsia" w:ascii="仿宋" w:hAnsi="仿宋" w:eastAsia="仿宋" w:cs="Times New Roman"/>
      <w:szCs w:val="20"/>
    </w:rPr>
  </w:style>
  <w:style w:type="paragraph" w:customStyle="1" w:styleId="3042">
    <w:name w:val="环标2"/>
    <w:basedOn w:val="8"/>
    <w:qFormat/>
    <w:uiPriority w:val="0"/>
    <w:pPr>
      <w:widowControl w:val="0"/>
      <w:numPr>
        <w:ilvl w:val="0"/>
        <w:numId w:val="0"/>
      </w:numPr>
      <w:tabs>
        <w:tab w:val="left" w:pos="840"/>
      </w:tabs>
      <w:snapToGrid w:val="0"/>
      <w:spacing w:before="240" w:after="260" w:afterLines="50"/>
      <w:ind w:left="840" w:hanging="420"/>
      <w:jc w:val="both"/>
    </w:pPr>
    <w:rPr>
      <w:rFonts w:ascii="黑体" w:eastAsia="仿宋_GB2312" w:cs="Times New Roman"/>
      <w:b/>
      <w:bCs/>
      <w:sz w:val="28"/>
      <w:szCs w:val="28"/>
    </w:rPr>
  </w:style>
  <w:style w:type="paragraph" w:customStyle="1" w:styleId="3043">
    <w:name w:val="Char Char Char1 Char Char Char Char Char Char Char Char Char Char Char Char Char Char Char Char Char Char1 Char1"/>
    <w:basedOn w:val="1"/>
    <w:qFormat/>
    <w:uiPriority w:val="0"/>
    <w:pPr>
      <w:spacing w:line="240" w:lineRule="exact"/>
      <w:ind w:firstLine="200" w:firstLineChars="200"/>
    </w:pPr>
    <w:rPr>
      <w:rFonts w:ascii="宋体"/>
      <w:kern w:val="0"/>
      <w:sz w:val="28"/>
      <w:szCs w:val="28"/>
    </w:rPr>
  </w:style>
  <w:style w:type="paragraph" w:customStyle="1" w:styleId="3044">
    <w:name w:val="cy程序首"/>
    <w:basedOn w:val="1786"/>
    <w:qFormat/>
    <w:uiPriority w:val="0"/>
    <w:pPr>
      <w:spacing w:beforeLines="50"/>
    </w:pPr>
  </w:style>
  <w:style w:type="paragraph" w:customStyle="1" w:styleId="3045">
    <w:name w:val="红线"/>
    <w:basedOn w:val="7"/>
    <w:qFormat/>
    <w:uiPriority w:val="0"/>
    <w:pPr>
      <w:keepLines/>
      <w:overflowPunct/>
      <w:autoSpaceDE w:val="0"/>
      <w:autoSpaceDN w:val="0"/>
      <w:adjustRightInd w:val="0"/>
      <w:snapToGrid/>
      <w:spacing w:before="0" w:after="851" w:line="227" w:lineRule="atLeast"/>
      <w:ind w:left="0" w:right="-142" w:firstLine="0"/>
      <w:jc w:val="center"/>
      <w:outlineLvl w:val="9"/>
    </w:pPr>
    <w:rPr>
      <w:rFonts w:ascii="宋体" w:hAnsi="宋体" w:eastAsia="宋体"/>
      <w:bCs w:val="0"/>
      <w:snapToGrid w:val="0"/>
      <w:color w:val="auto"/>
      <w:kern w:val="0"/>
      <w:sz w:val="10"/>
      <w:szCs w:val="20"/>
    </w:rPr>
  </w:style>
  <w:style w:type="paragraph" w:customStyle="1" w:styleId="3046">
    <w:name w:val="reader-word-layer reader-word-s1-8"/>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047">
    <w:name w:val="正文文本 (2)10"/>
    <w:basedOn w:val="1"/>
    <w:qFormat/>
    <w:uiPriority w:val="0"/>
    <w:pPr>
      <w:shd w:val="clear" w:color="auto" w:fill="FFFFFF"/>
      <w:adjustRightInd w:val="0"/>
      <w:snapToGrid w:val="0"/>
      <w:spacing w:line="418" w:lineRule="exact"/>
      <w:ind w:hanging="480" w:firstLineChars="200"/>
    </w:pPr>
    <w:rPr>
      <w:rFonts w:ascii="宋体" w:hAnsi="宋体" w:cs="宋体"/>
      <w:kern w:val="0"/>
      <w:sz w:val="22"/>
      <w:szCs w:val="22"/>
      <w:lang w:eastAsia="zh-TW"/>
    </w:rPr>
  </w:style>
  <w:style w:type="paragraph" w:customStyle="1" w:styleId="3048">
    <w:name w:val="样式 标题 2 + 宋体"/>
    <w:basedOn w:val="1"/>
    <w:unhideWhenUsed/>
    <w:qFormat/>
    <w:uiPriority w:val="0"/>
    <w:pPr>
      <w:spacing w:before="100" w:beforeAutospacing="1" w:after="100" w:afterAutospacing="1" w:line="312" w:lineRule="auto"/>
      <w:ind w:left="578" w:hanging="578"/>
    </w:pPr>
    <w:rPr>
      <w:rFonts w:ascii="宋体"/>
      <w:kern w:val="0"/>
      <w:sz w:val="28"/>
      <w:szCs w:val="20"/>
    </w:rPr>
  </w:style>
  <w:style w:type="paragraph" w:customStyle="1" w:styleId="3049">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50">
    <w:name w:val="我的样式（正文）"/>
    <w:basedOn w:val="1"/>
    <w:qFormat/>
    <w:uiPriority w:val="0"/>
    <w:pPr>
      <w:spacing w:line="440" w:lineRule="exact"/>
    </w:pPr>
    <w:rPr>
      <w:rFonts w:ascii="宋体"/>
      <w:kern w:val="0"/>
      <w:sz w:val="28"/>
      <w:szCs w:val="20"/>
    </w:rPr>
  </w:style>
  <w:style w:type="paragraph" w:customStyle="1" w:styleId="3051">
    <w:name w:val="Char1 Char Char Char3"/>
    <w:basedOn w:val="1"/>
    <w:qFormat/>
    <w:uiPriority w:val="0"/>
    <w:rPr>
      <w:rFonts w:ascii="宋体"/>
      <w:kern w:val="0"/>
      <w:szCs w:val="20"/>
    </w:rPr>
  </w:style>
  <w:style w:type="paragraph" w:customStyle="1" w:styleId="3052">
    <w:name w:val="样式 标题 2 + 段前: 0.5 行 段后: 0.5 行"/>
    <w:basedOn w:val="8"/>
    <w:qFormat/>
    <w:uiPriority w:val="0"/>
    <w:pPr>
      <w:widowControl w:val="0"/>
      <w:numPr>
        <w:ilvl w:val="0"/>
        <w:numId w:val="0"/>
      </w:numPr>
      <w:spacing w:before="260" w:beforeLines="50" w:after="260" w:afterLines="50" w:line="520" w:lineRule="exact"/>
      <w:ind w:left="1002" w:hanging="1002"/>
    </w:pPr>
    <w:rPr>
      <w:rFonts w:ascii="黑体" w:hAnsi="宋体" w:eastAsia="黑体"/>
      <w:szCs w:val="30"/>
    </w:rPr>
  </w:style>
  <w:style w:type="paragraph" w:customStyle="1" w:styleId="3053">
    <w:name w:val="文本框文字"/>
    <w:basedOn w:val="1"/>
    <w:unhideWhenUsed/>
    <w:qFormat/>
    <w:uiPriority w:val="0"/>
    <w:pPr>
      <w:spacing w:before="120" w:after="120"/>
      <w:ind w:left="578" w:hanging="578"/>
      <w:jc w:val="center"/>
    </w:pPr>
    <w:rPr>
      <w:rFonts w:ascii="宋体"/>
      <w:kern w:val="0"/>
      <w:szCs w:val="21"/>
    </w:rPr>
  </w:style>
  <w:style w:type="paragraph" w:customStyle="1" w:styleId="3054">
    <w:name w:val="CM114"/>
    <w:basedOn w:val="2"/>
    <w:next w:val="2"/>
    <w:semiHidden/>
    <w:qFormat/>
    <w:uiPriority w:val="0"/>
    <w:pPr>
      <w:adjustRightInd/>
    </w:pPr>
    <w:rPr>
      <w:rFonts w:hint="eastAsia" w:ascii="仿宋" w:hAnsi="仿宋" w:eastAsia="仿宋" w:cs="Times New Roman"/>
      <w:szCs w:val="20"/>
    </w:rPr>
  </w:style>
  <w:style w:type="paragraph" w:customStyle="1" w:styleId="3055">
    <w:name w:val="图表标题"/>
    <w:basedOn w:val="1"/>
    <w:next w:val="1972"/>
    <w:qFormat/>
    <w:uiPriority w:val="0"/>
    <w:pPr>
      <w:snapToGrid w:val="0"/>
      <w:jc w:val="right"/>
      <w:textAlignment w:val="baseline"/>
    </w:pPr>
    <w:rPr>
      <w:rFonts w:ascii="宋体" w:hAnsi="宋体"/>
      <w:b/>
      <w:kern w:val="0"/>
      <w:szCs w:val="20"/>
    </w:rPr>
  </w:style>
  <w:style w:type="paragraph" w:customStyle="1" w:styleId="3056">
    <w:name w:val="标题6（杨）"/>
    <w:basedOn w:val="1"/>
    <w:qFormat/>
    <w:uiPriority w:val="0"/>
    <w:pPr>
      <w:ind w:left="2985" w:hanging="420"/>
    </w:pPr>
    <w:rPr>
      <w:rFonts w:ascii="宋体"/>
      <w:kern w:val="0"/>
      <w:szCs w:val="20"/>
    </w:rPr>
  </w:style>
  <w:style w:type="paragraph" w:customStyle="1" w:styleId="3057">
    <w:name w:val="CM51"/>
    <w:basedOn w:val="2"/>
    <w:next w:val="2"/>
    <w:semiHidden/>
    <w:qFormat/>
    <w:uiPriority w:val="0"/>
    <w:pPr>
      <w:adjustRightInd/>
    </w:pPr>
    <w:rPr>
      <w:rFonts w:hint="eastAsia" w:ascii="仿宋" w:hAnsi="仿宋" w:eastAsia="仿宋" w:cs="Times New Roman"/>
      <w:szCs w:val="20"/>
    </w:rPr>
  </w:style>
  <w:style w:type="paragraph" w:customStyle="1" w:styleId="3058">
    <w:name w:val="列图"/>
    <w:basedOn w:val="69"/>
    <w:next w:val="1"/>
    <w:qFormat/>
    <w:uiPriority w:val="0"/>
    <w:pPr>
      <w:widowControl w:val="0"/>
      <w:tabs>
        <w:tab w:val="left" w:pos="3765"/>
      </w:tabs>
      <w:spacing w:beforeLines="50" w:line="360" w:lineRule="auto"/>
    </w:pPr>
    <w:rPr>
      <w:rFonts w:hAnsi="Times New Roman"/>
      <w:bCs/>
      <w:kern w:val="0"/>
      <w:sz w:val="24"/>
      <w:szCs w:val="24"/>
    </w:rPr>
  </w:style>
  <w:style w:type="paragraph" w:customStyle="1" w:styleId="3059">
    <w:name w:val="样式 样式 标题 41.1.1.1标题 4.1.1.1.1标题 4 Char款1.116.6.2.1"/>
    <w:basedOn w:val="653"/>
    <w:qFormat/>
    <w:uiPriority w:val="0"/>
    <w:pPr>
      <w:numPr>
        <w:ilvl w:val="0"/>
        <w:numId w:val="66"/>
      </w:numPr>
      <w:tabs>
        <w:tab w:val="left" w:pos="360"/>
        <w:tab w:val="left" w:pos="2160"/>
        <w:tab w:val="left" w:pos="3316"/>
        <w:tab w:val="clear" w:pos="726"/>
        <w:tab w:val="clear" w:pos="1800"/>
      </w:tabs>
      <w:spacing w:after="0"/>
      <w:ind w:left="2160"/>
    </w:pPr>
  </w:style>
  <w:style w:type="paragraph" w:customStyle="1" w:styleId="3060">
    <w:name w:val="???¡§?????¡§?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061">
    <w:name w:val="正文段落"/>
    <w:basedOn w:val="1"/>
    <w:qFormat/>
    <w:uiPriority w:val="0"/>
    <w:pPr>
      <w:spacing w:beforeLines="50" w:line="360" w:lineRule="auto"/>
      <w:ind w:firstLine="480" w:firstLineChars="200"/>
    </w:pPr>
    <w:rPr>
      <w:rFonts w:ascii="宋体" w:cs="宋体"/>
      <w:kern w:val="0"/>
      <w:sz w:val="34"/>
      <w:szCs w:val="20"/>
    </w:rPr>
  </w:style>
  <w:style w:type="paragraph" w:customStyle="1" w:styleId="3062">
    <w:name w:val="In Table"/>
    <w:basedOn w:val="1"/>
    <w:qFormat/>
    <w:uiPriority w:val="0"/>
    <w:pPr>
      <w:tabs>
        <w:tab w:val="left" w:pos="3960"/>
        <w:tab w:val="left" w:pos="5280"/>
      </w:tabs>
      <w:adjustRightInd w:val="0"/>
      <w:snapToGrid w:val="0"/>
      <w:spacing w:before="96" w:after="96" w:line="0" w:lineRule="atLeast"/>
      <w:jc w:val="center"/>
      <w:textAlignment w:val="baseline"/>
    </w:pPr>
    <w:rPr>
      <w:rFonts w:ascii="Tahoma" w:hAnsi="Tahoma" w:eastAsia="华文中宋"/>
      <w:kern w:val="0"/>
      <w:szCs w:val="20"/>
    </w:rPr>
  </w:style>
  <w:style w:type="paragraph" w:customStyle="1" w:styleId="3063">
    <w:name w:val="表格字体"/>
    <w:basedOn w:val="6"/>
    <w:qFormat/>
    <w:uiPriority w:val="0"/>
    <w:pPr>
      <w:widowControl w:val="0"/>
      <w:spacing w:line="360" w:lineRule="auto"/>
      <w:ind w:firstLine="0" w:firstLineChars="0"/>
      <w:jc w:val="center"/>
    </w:pPr>
    <w:rPr>
      <w:rFonts w:ascii="Times New Roman" w:hAnsi="Times New Roman" w:cs="Times New Roman"/>
      <w:sz w:val="20"/>
      <w:szCs w:val="20"/>
    </w:rPr>
  </w:style>
  <w:style w:type="paragraph" w:customStyle="1" w:styleId="3064">
    <w:name w:val="Char Char1 Char Char Char2"/>
    <w:basedOn w:val="1"/>
    <w:qFormat/>
    <w:uiPriority w:val="0"/>
    <w:pPr>
      <w:tabs>
        <w:tab w:val="left" w:pos="425"/>
      </w:tabs>
    </w:pPr>
    <w:rPr>
      <w:rFonts w:ascii="宋体"/>
      <w:kern w:val="0"/>
      <w:sz w:val="34"/>
      <w:szCs w:val="20"/>
    </w:rPr>
  </w:style>
  <w:style w:type="paragraph" w:customStyle="1" w:styleId="3065">
    <w:name w:val="缩絖"/>
    <w:basedOn w:val="37"/>
    <w:qFormat/>
    <w:uiPriority w:val="0"/>
    <w:pPr>
      <w:widowControl w:val="0"/>
      <w:adjustRightInd w:val="0"/>
      <w:snapToGrid/>
      <w:spacing w:before="0" w:after="120" w:line="312" w:lineRule="atLeast"/>
      <w:ind w:right="0" w:firstLine="420"/>
      <w:textAlignment w:val="baseline"/>
    </w:pPr>
    <w:rPr>
      <w:sz w:val="27"/>
    </w:rPr>
  </w:style>
  <w:style w:type="paragraph" w:customStyle="1" w:styleId="3066">
    <w:name w:val="Char Char Char1 Char Char Char Char Char Char1"/>
    <w:basedOn w:val="1"/>
    <w:qFormat/>
    <w:uiPriority w:val="0"/>
    <w:rPr>
      <w:rFonts w:ascii="黑体" w:hAnsi="黑体" w:eastAsia="黑体"/>
      <w:b/>
      <w:spacing w:val="10"/>
      <w:kern w:val="0"/>
      <w:sz w:val="28"/>
      <w:szCs w:val="20"/>
    </w:rPr>
  </w:style>
  <w:style w:type="paragraph" w:customStyle="1" w:styleId="3067">
    <w:name w:val="Bullet 5"/>
    <w:basedOn w:val="1"/>
    <w:next w:val="1"/>
    <w:unhideWhenUsed/>
    <w:qFormat/>
    <w:uiPriority w:val="0"/>
    <w:pPr>
      <w:widowControl/>
      <w:tabs>
        <w:tab w:val="left" w:pos="482"/>
        <w:tab w:val="left" w:pos="1440"/>
      </w:tabs>
      <w:spacing w:before="120" w:after="120"/>
      <w:ind w:left="5041" w:hanging="482"/>
      <w:jc w:val="left"/>
    </w:pPr>
    <w:rPr>
      <w:rFonts w:ascii="Arial" w:hAnsi="Arial"/>
      <w:kern w:val="0"/>
      <w:sz w:val="20"/>
      <w:szCs w:val="20"/>
    </w:rPr>
  </w:style>
  <w:style w:type="paragraph" w:customStyle="1" w:styleId="3068">
    <w:name w:val="xl174"/>
    <w:basedOn w:val="1"/>
    <w:qFormat/>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69">
    <w:name w:val="插图编号"/>
    <w:basedOn w:val="2856"/>
    <w:unhideWhenUsed/>
    <w:qFormat/>
    <w:uiPriority w:val="0"/>
    <w:pPr>
      <w:widowControl/>
      <w:adjustRightInd w:val="0"/>
      <w:spacing w:before="120" w:after="120"/>
      <w:ind w:left="578" w:hanging="578"/>
      <w:textAlignment w:val="baseline"/>
    </w:pPr>
    <w:rPr>
      <w:sz w:val="24"/>
      <w:szCs w:val="21"/>
    </w:rPr>
  </w:style>
  <w:style w:type="paragraph" w:customStyle="1" w:styleId="3070">
    <w:name w:val="表3.8-1"/>
    <w:basedOn w:val="2863"/>
    <w:qFormat/>
    <w:uiPriority w:val="0"/>
    <w:pPr>
      <w:numPr>
        <w:ilvl w:val="0"/>
        <w:numId w:val="67"/>
      </w:numPr>
      <w:tabs>
        <w:tab w:val="left" w:pos="420"/>
        <w:tab w:val="clear" w:pos="4060"/>
        <w:tab w:val="clear" w:pos="8261"/>
      </w:tabs>
    </w:pPr>
  </w:style>
  <w:style w:type="paragraph" w:customStyle="1" w:styleId="3071">
    <w:name w:val="CM26"/>
    <w:basedOn w:val="2"/>
    <w:next w:val="2"/>
    <w:semiHidden/>
    <w:qFormat/>
    <w:uiPriority w:val="0"/>
    <w:pPr>
      <w:adjustRightInd/>
    </w:pPr>
    <w:rPr>
      <w:rFonts w:hint="eastAsia" w:ascii="仿宋" w:hAnsi="仿宋" w:eastAsia="仿宋" w:cs="Times New Roman"/>
      <w:szCs w:val="20"/>
    </w:rPr>
  </w:style>
  <w:style w:type="paragraph" w:customStyle="1" w:styleId="3072">
    <w:name w:val="表格标题12"/>
    <w:basedOn w:val="56"/>
    <w:semiHidden/>
    <w:qFormat/>
    <w:uiPriority w:val="0"/>
    <w:pPr>
      <w:numPr>
        <w:ilvl w:val="0"/>
        <w:numId w:val="68"/>
      </w:numPr>
      <w:pBdr>
        <w:top w:val="single" w:color="auto" w:sz="4" w:space="1"/>
      </w:pBdr>
      <w:tabs>
        <w:tab w:val="left" w:pos="0"/>
      </w:tabs>
      <w:adjustRightInd w:val="0"/>
      <w:spacing w:after="0" w:line="360" w:lineRule="auto"/>
      <w:ind w:left="0" w:leftChars="0"/>
      <w:jc w:val="center"/>
    </w:pPr>
    <w:rPr>
      <w:b/>
      <w:sz w:val="24"/>
    </w:rPr>
  </w:style>
  <w:style w:type="paragraph" w:customStyle="1" w:styleId="3073">
    <w:name w:val="封面-1"/>
    <w:basedOn w:val="1"/>
    <w:qFormat/>
    <w:uiPriority w:val="0"/>
    <w:pPr>
      <w:adjustRightInd w:val="0"/>
      <w:snapToGrid w:val="0"/>
      <w:spacing w:line="360" w:lineRule="auto"/>
      <w:jc w:val="center"/>
    </w:pPr>
    <w:rPr>
      <w:rFonts w:ascii="宋体" w:eastAsia="隶书"/>
      <w:b/>
      <w:kern w:val="0"/>
      <w:sz w:val="44"/>
      <w:szCs w:val="20"/>
    </w:rPr>
  </w:style>
  <w:style w:type="paragraph" w:customStyle="1" w:styleId="3074">
    <w:name w:val="WW-表格"/>
    <w:basedOn w:val="1"/>
    <w:qFormat/>
    <w:uiPriority w:val="0"/>
    <w:pPr>
      <w:suppressAutoHyphens/>
      <w:snapToGrid w:val="0"/>
      <w:spacing w:before="20" w:after="20"/>
      <w:jc w:val="center"/>
    </w:pPr>
    <w:rPr>
      <w:rFonts w:ascii="宋体"/>
      <w:kern w:val="1"/>
      <w:szCs w:val="20"/>
      <w:lang w:eastAsia="ar-SA"/>
    </w:rPr>
  </w:style>
  <w:style w:type="paragraph" w:customStyle="1" w:styleId="3075">
    <w:name w:val="cccccccccc"/>
    <w:basedOn w:val="3076"/>
    <w:qFormat/>
    <w:uiPriority w:val="0"/>
    <w:pPr>
      <w:tabs>
        <w:tab w:val="left" w:pos="720"/>
      </w:tabs>
      <w:ind w:firstLine="470" w:firstLineChars="196"/>
      <w:outlineLvl w:val="9"/>
    </w:pPr>
    <w:rPr>
      <w:b w:val="0"/>
      <w:color w:val="000000"/>
    </w:rPr>
  </w:style>
  <w:style w:type="paragraph" w:customStyle="1" w:styleId="3076">
    <w:name w:val="花3"/>
    <w:basedOn w:val="1"/>
    <w:qFormat/>
    <w:uiPriority w:val="0"/>
    <w:pPr>
      <w:tabs>
        <w:tab w:val="left" w:pos="720"/>
      </w:tabs>
      <w:spacing w:line="360" w:lineRule="auto"/>
      <w:outlineLvl w:val="2"/>
    </w:pPr>
    <w:rPr>
      <w:rFonts w:ascii="宋体"/>
      <w:b/>
      <w:kern w:val="0"/>
      <w:sz w:val="34"/>
      <w:szCs w:val="20"/>
    </w:rPr>
  </w:style>
  <w:style w:type="paragraph" w:customStyle="1" w:styleId="3077">
    <w:name w:val="样式 报告书正文 + 首行缩进:  2 字符 段前: 0.3 行 段后: 0.3 行"/>
    <w:basedOn w:val="1"/>
    <w:qFormat/>
    <w:uiPriority w:val="0"/>
    <w:pPr>
      <w:spacing w:beforeLines="30" w:afterLines="30" w:line="360" w:lineRule="auto"/>
      <w:ind w:firstLine="200" w:firstLineChars="200"/>
    </w:pPr>
    <w:rPr>
      <w:rFonts w:ascii="宋体"/>
      <w:kern w:val="0"/>
      <w:sz w:val="34"/>
      <w:szCs w:val="21"/>
    </w:rPr>
  </w:style>
  <w:style w:type="paragraph" w:customStyle="1" w:styleId="3078">
    <w:name w:val="ST20_29"/>
    <w:basedOn w:val="1"/>
    <w:next w:val="1"/>
    <w:unhideWhenUsed/>
    <w:qFormat/>
    <w:uiPriority w:val="0"/>
    <w:pPr>
      <w:keepNext/>
      <w:autoSpaceDE w:val="0"/>
      <w:autoSpaceDN w:val="0"/>
      <w:adjustRightInd w:val="0"/>
      <w:spacing w:before="120" w:after="160" w:line="360" w:lineRule="atLeast"/>
      <w:ind w:left="578" w:hanging="578"/>
      <w:jc w:val="left"/>
      <w:textAlignment w:val="baseline"/>
    </w:pPr>
    <w:rPr>
      <w:rFonts w:ascii="宋体" w:hAnsi="Tms Rmn"/>
      <w:kern w:val="0"/>
      <w:sz w:val="28"/>
      <w:szCs w:val="20"/>
    </w:rPr>
  </w:style>
  <w:style w:type="paragraph" w:customStyle="1" w:styleId="3079">
    <w:name w:val="样式 标题 51)项标5标题 5 Char1) Char项 Char一级项 +"/>
    <w:basedOn w:val="11"/>
    <w:qFormat/>
    <w:uiPriority w:val="0"/>
    <w:pPr>
      <w:numPr>
        <w:ilvl w:val="0"/>
        <w:numId w:val="0"/>
      </w:numPr>
      <w:tabs>
        <w:tab w:val="left" w:pos="992"/>
      </w:tabs>
      <w:adjustRightInd w:val="0"/>
      <w:spacing w:before="120" w:beforeLines="50" w:after="120" w:afterLines="50" w:line="360" w:lineRule="auto"/>
      <w:ind w:hanging="992"/>
      <w:textAlignment w:val="baseline"/>
    </w:pPr>
    <w:rPr>
      <w:rFonts w:eastAsia="黑体"/>
      <w:b w:val="0"/>
      <w:bCs w:val="0"/>
      <w:color w:val="000000"/>
    </w:rPr>
  </w:style>
  <w:style w:type="paragraph" w:customStyle="1" w:styleId="3080">
    <w:name w:val="TOC 标题1"/>
    <w:basedOn w:val="7"/>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3081">
    <w:name w:val="正文谭亚1"/>
    <w:basedOn w:val="1"/>
    <w:next w:val="1"/>
    <w:qFormat/>
    <w:uiPriority w:val="0"/>
    <w:pPr>
      <w:spacing w:before="280" w:line="360" w:lineRule="exact"/>
      <w:ind w:firstLine="200" w:firstLineChars="200"/>
    </w:pPr>
    <w:rPr>
      <w:rFonts w:ascii="宋体" w:hAnsi="宋体"/>
      <w:kern w:val="0"/>
      <w:sz w:val="34"/>
      <w:szCs w:val="20"/>
    </w:rPr>
  </w:style>
  <w:style w:type="paragraph" w:customStyle="1" w:styleId="3082">
    <w:name w:val="参加人员名单"/>
    <w:basedOn w:val="1"/>
    <w:next w:val="1"/>
    <w:qFormat/>
    <w:uiPriority w:val="0"/>
    <w:pPr>
      <w:jc w:val="center"/>
      <w:outlineLvl w:val="0"/>
    </w:pPr>
    <w:rPr>
      <w:rFonts w:ascii="宋体"/>
      <w:kern w:val="0"/>
      <w:sz w:val="32"/>
      <w:szCs w:val="32"/>
    </w:rPr>
  </w:style>
  <w:style w:type="paragraph" w:customStyle="1" w:styleId="3083">
    <w:name w:val="nilo_标题4"/>
    <w:basedOn w:val="1"/>
    <w:qFormat/>
    <w:uiPriority w:val="0"/>
    <w:pPr>
      <w:tabs>
        <w:tab w:val="left" w:pos="210"/>
      </w:tabs>
      <w:spacing w:line="360" w:lineRule="auto"/>
      <w:ind w:left="-353" w:firstLine="200" w:firstLineChars="200"/>
      <w:outlineLvl w:val="4"/>
    </w:pPr>
    <w:rPr>
      <w:rFonts w:ascii="黑体" w:hAnsi="宋体" w:eastAsia="黑体"/>
      <w:b/>
      <w:kern w:val="0"/>
      <w:sz w:val="28"/>
      <w:szCs w:val="20"/>
    </w:rPr>
  </w:style>
  <w:style w:type="paragraph" w:customStyle="1" w:styleId="3084">
    <w:name w:val="样式 标题 3 + 段前: 0.3 行"/>
    <w:basedOn w:val="9"/>
    <w:qFormat/>
    <w:uiPriority w:val="0"/>
    <w:pPr>
      <w:widowControl w:val="0"/>
      <w:numPr>
        <w:ilvl w:val="0"/>
        <w:numId w:val="0"/>
      </w:numPr>
      <w:tabs>
        <w:tab w:val="left" w:pos="720"/>
      </w:tabs>
      <w:spacing w:before="260" w:beforeLines="50" w:after="120" w:line="440" w:lineRule="exact"/>
      <w:ind w:left="720" w:firstLine="493"/>
      <w:jc w:val="both"/>
    </w:pPr>
    <w:rPr>
      <w:rFonts w:ascii="Arial" w:hAnsi="Arial" w:eastAsia="黑体"/>
      <w:bCs w:val="0"/>
      <w:spacing w:val="16"/>
      <w:w w:val="95"/>
      <w:sz w:val="26"/>
      <w:szCs w:val="20"/>
    </w:rPr>
  </w:style>
  <w:style w:type="paragraph" w:customStyle="1" w:styleId="3085">
    <w:name w:val="样式 表格内容 + 段前: 0.2 行 段后: 0.2 行"/>
    <w:basedOn w:val="906"/>
    <w:qFormat/>
    <w:uiPriority w:val="0"/>
    <w:pPr>
      <w:overflowPunct/>
      <w:adjustRightInd/>
      <w:snapToGrid/>
      <w:spacing w:beforeLines="10" w:afterLines="10" w:line="240" w:lineRule="auto"/>
      <w:ind w:left="578" w:hanging="578"/>
      <w:textAlignment w:val="auto"/>
    </w:pPr>
    <w:rPr>
      <w:color w:val="auto"/>
      <w:kern w:val="2"/>
      <w:sz w:val="21"/>
      <w:szCs w:val="20"/>
      <w:lang w:val="en-US"/>
    </w:rPr>
  </w:style>
  <w:style w:type="paragraph" w:customStyle="1" w:styleId="3086">
    <w:name w:val="默认段落字体 Para Char Char Char1 Char Char Char"/>
    <w:basedOn w:val="1"/>
    <w:qFormat/>
    <w:uiPriority w:val="0"/>
    <w:rPr>
      <w:rFonts w:ascii="宋体"/>
      <w:kern w:val="0"/>
      <w:sz w:val="34"/>
      <w:szCs w:val="20"/>
    </w:rPr>
  </w:style>
  <w:style w:type="paragraph" w:customStyle="1" w:styleId="3087">
    <w:name w:val="编号括号数字"/>
    <w:basedOn w:val="1"/>
    <w:qFormat/>
    <w:uiPriority w:val="0"/>
    <w:pPr>
      <w:tabs>
        <w:tab w:val="left" w:pos="625"/>
      </w:tabs>
      <w:spacing w:line="360" w:lineRule="auto"/>
      <w:ind w:left="625" w:hanging="425"/>
      <w:outlineLvl w:val="4"/>
    </w:pPr>
    <w:rPr>
      <w:rFonts w:ascii="宋体"/>
      <w:kern w:val="0"/>
      <w:sz w:val="34"/>
      <w:szCs w:val="20"/>
    </w:rPr>
  </w:style>
  <w:style w:type="paragraph" w:customStyle="1" w:styleId="3088">
    <w:name w:val="燕儿正文"/>
    <w:basedOn w:val="1"/>
    <w:semiHidden/>
    <w:qFormat/>
    <w:uiPriority w:val="0"/>
    <w:pPr>
      <w:pBdr>
        <w:top w:val="single" w:color="auto" w:sz="4" w:space="1"/>
      </w:pBdr>
      <w:adjustRightInd w:val="0"/>
      <w:spacing w:line="480" w:lineRule="exact"/>
      <w:ind w:firstLine="480" w:firstLineChars="200"/>
      <w:jc w:val="left"/>
    </w:pPr>
    <w:rPr>
      <w:rFonts w:ascii="宋体"/>
      <w:kern w:val="0"/>
      <w:sz w:val="34"/>
      <w:szCs w:val="20"/>
    </w:rPr>
  </w:style>
  <w:style w:type="paragraph" w:customStyle="1" w:styleId="3089">
    <w:name w:val="¡À¨º¨¬a1"/>
    <w:unhideWhenUsed/>
    <w:qFormat/>
    <w:uiPriority w:val="0"/>
    <w:pPr>
      <w:keepNext/>
      <w:keepLines/>
      <w:widowControl w:val="0"/>
      <w:adjustRightInd w:val="0"/>
      <w:spacing w:before="120" w:after="120"/>
      <w:ind w:left="578" w:hanging="578"/>
      <w:jc w:val="both"/>
      <w:textAlignment w:val="baseline"/>
      <w:outlineLvl w:val="0"/>
    </w:pPr>
    <w:rPr>
      <w:rFonts w:ascii="Arial" w:hAnsi="Arial" w:eastAsia="宋体" w:cs="Arial"/>
      <w:b/>
      <w:color w:val="0000FF"/>
      <w:spacing w:val="10"/>
      <w:kern w:val="2"/>
      <w:sz w:val="22"/>
      <w:szCs w:val="22"/>
      <w:lang w:val="en-US" w:eastAsia="zh-CN" w:bidi="ar-SA"/>
    </w:rPr>
  </w:style>
  <w:style w:type="paragraph" w:customStyle="1" w:styleId="3090">
    <w:name w:val="Char Char2 Char Char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091">
    <w:name w:val="xl1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92">
    <w:name w:val="1正文段落"/>
    <w:basedOn w:val="1"/>
    <w:qFormat/>
    <w:uiPriority w:val="0"/>
    <w:pPr>
      <w:spacing w:line="360" w:lineRule="auto"/>
      <w:ind w:firstLine="480" w:firstLineChars="200"/>
      <w:jc w:val="left"/>
    </w:pPr>
    <w:rPr>
      <w:rFonts w:ascii="宋体"/>
      <w:snapToGrid w:val="0"/>
      <w:kern w:val="0"/>
      <w:sz w:val="34"/>
      <w:szCs w:val="20"/>
    </w:rPr>
  </w:style>
  <w:style w:type="paragraph" w:customStyle="1" w:styleId="3093">
    <w:name w:val="表格03"/>
    <w:basedOn w:val="1"/>
    <w:qFormat/>
    <w:uiPriority w:val="0"/>
    <w:pPr>
      <w:snapToGrid w:val="0"/>
      <w:spacing w:line="400" w:lineRule="exact"/>
      <w:jc w:val="center"/>
    </w:pPr>
    <w:rPr>
      <w:rFonts w:ascii="宋体"/>
      <w:kern w:val="0"/>
      <w:szCs w:val="21"/>
    </w:rPr>
  </w:style>
  <w:style w:type="paragraph" w:customStyle="1" w:styleId="3094">
    <w:name w:val="工程院正文"/>
    <w:basedOn w:val="1"/>
    <w:qFormat/>
    <w:uiPriority w:val="0"/>
    <w:pPr>
      <w:widowControl/>
      <w:spacing w:line="360" w:lineRule="auto"/>
      <w:ind w:firstLine="200" w:firstLineChars="200"/>
    </w:pPr>
    <w:rPr>
      <w:rFonts w:ascii="宋体"/>
      <w:kern w:val="0"/>
      <w:sz w:val="34"/>
      <w:szCs w:val="20"/>
    </w:rPr>
  </w:style>
  <w:style w:type="paragraph" w:customStyle="1" w:styleId="3095">
    <w:name w:val="默认段落字体 Para"/>
    <w:basedOn w:val="1"/>
    <w:qFormat/>
    <w:uiPriority w:val="0"/>
    <w:rPr>
      <w:rFonts w:ascii="宋体"/>
      <w:kern w:val="0"/>
      <w:sz w:val="34"/>
      <w:szCs w:val="20"/>
    </w:rPr>
  </w:style>
  <w:style w:type="paragraph" w:customStyle="1" w:styleId="3096">
    <w:name w:val="表标题2"/>
    <w:basedOn w:val="1"/>
    <w:next w:val="1"/>
    <w:semiHidden/>
    <w:qFormat/>
    <w:uiPriority w:val="0"/>
    <w:pPr>
      <w:spacing w:beforeLines="50" w:after="120" w:line="312" w:lineRule="auto"/>
      <w:jc w:val="center"/>
    </w:pPr>
    <w:rPr>
      <w:rFonts w:ascii="宋体"/>
      <w:kern w:val="0"/>
      <w:szCs w:val="20"/>
    </w:rPr>
  </w:style>
  <w:style w:type="paragraph" w:customStyle="1" w:styleId="3097">
    <w:name w:val="样式 正文缩进文本条款表格标题正文（首行缩进两字） Char Char Char Char Char Char Char ..."/>
    <w:basedOn w:val="6"/>
    <w:qFormat/>
    <w:uiPriority w:val="0"/>
    <w:pPr>
      <w:widowControl w:val="0"/>
      <w:adjustRightInd w:val="0"/>
      <w:snapToGrid w:val="0"/>
      <w:spacing w:line="500" w:lineRule="atLeast"/>
      <w:ind w:firstLine="567"/>
      <w:jc w:val="both"/>
    </w:pPr>
    <w:rPr>
      <w:rFonts w:ascii="Times New Roman" w:hAnsi="Times New Roman" w:eastAsia="仿宋_GB2312" w:cs="Times New Roman"/>
      <w:sz w:val="28"/>
      <w:szCs w:val="20"/>
    </w:rPr>
  </w:style>
  <w:style w:type="paragraph" w:customStyle="1" w:styleId="3098">
    <w:name w:val="环评登记号"/>
    <w:basedOn w:val="1"/>
    <w:qFormat/>
    <w:uiPriority w:val="0"/>
    <w:pPr>
      <w:adjustRightInd w:val="0"/>
      <w:snapToGrid w:val="0"/>
      <w:spacing w:line="360" w:lineRule="auto"/>
      <w:ind w:firstLine="600" w:firstLineChars="200"/>
    </w:pPr>
    <w:rPr>
      <w:rFonts w:ascii="宋体"/>
      <w:bCs/>
      <w:spacing w:val="10"/>
      <w:kern w:val="0"/>
      <w:sz w:val="34"/>
      <w:szCs w:val="32"/>
    </w:rPr>
  </w:style>
  <w:style w:type="paragraph" w:customStyle="1" w:styleId="3099">
    <w:name w:val="p9"/>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100">
    <w:name w:val="报告正文朱"/>
    <w:basedOn w:val="1311"/>
    <w:qFormat/>
    <w:uiPriority w:val="0"/>
    <w:pPr>
      <w:widowControl/>
      <w:adjustRightInd w:val="0"/>
      <w:snapToGrid w:val="0"/>
      <w:jc w:val="left"/>
    </w:pPr>
    <w:rPr>
      <w:rFonts w:ascii="Calibri" w:hAnsi="Calibri"/>
      <w:bCs w:val="0"/>
      <w:snapToGrid w:val="0"/>
      <w:color w:val="FF0000"/>
      <w:kern w:val="0"/>
      <w:szCs w:val="20"/>
      <w:lang w:val="zh-CN"/>
    </w:rPr>
  </w:style>
  <w:style w:type="paragraph" w:customStyle="1" w:styleId="3101">
    <w:name w:val="?????¡ì???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3102">
    <w:name w:val="0正式"/>
    <w:basedOn w:val="1"/>
    <w:qFormat/>
    <w:uiPriority w:val="0"/>
    <w:pPr>
      <w:spacing w:line="360" w:lineRule="auto"/>
      <w:ind w:firstLine="200" w:firstLineChars="200"/>
      <w:jc w:val="left"/>
    </w:pPr>
    <w:rPr>
      <w:rFonts w:ascii="宋体"/>
      <w:kern w:val="0"/>
      <w:sz w:val="34"/>
      <w:szCs w:val="20"/>
    </w:rPr>
  </w:style>
  <w:style w:type="paragraph" w:customStyle="1" w:styleId="3103">
    <w:name w:val="Char1 Char Char Char2"/>
    <w:basedOn w:val="1"/>
    <w:qFormat/>
    <w:uiPriority w:val="0"/>
    <w:rPr>
      <w:rFonts w:ascii="宋体"/>
      <w:kern w:val="0"/>
      <w:szCs w:val="20"/>
    </w:rPr>
  </w:style>
  <w:style w:type="paragraph" w:customStyle="1" w:styleId="3104">
    <w:name w:val="南沙表内容"/>
    <w:basedOn w:val="1572"/>
    <w:qFormat/>
    <w:uiPriority w:val="0"/>
    <w:rPr>
      <w:szCs w:val="24"/>
    </w:rPr>
  </w:style>
  <w:style w:type="paragraph" w:customStyle="1" w:styleId="3105">
    <w:name w:val="表标题5"/>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106">
    <w:name w:val="Char Char Char Char Char Char Char Char Char1 Char Char Char Char Char Char11"/>
    <w:basedOn w:val="1"/>
    <w:qFormat/>
    <w:uiPriority w:val="0"/>
    <w:rPr>
      <w:rFonts w:ascii="宋体"/>
      <w:kern w:val="0"/>
      <w:szCs w:val="21"/>
    </w:rPr>
  </w:style>
  <w:style w:type="paragraph" w:customStyle="1" w:styleId="3107">
    <w:name w:val="nilo_标题0"/>
    <w:basedOn w:val="1"/>
    <w:qFormat/>
    <w:uiPriority w:val="0"/>
    <w:pPr>
      <w:tabs>
        <w:tab w:val="left" w:pos="567"/>
      </w:tabs>
      <w:spacing w:line="300" w:lineRule="auto"/>
      <w:ind w:left="567" w:hanging="367" w:firstLineChars="200"/>
      <w:jc w:val="center"/>
      <w:outlineLvl w:val="0"/>
    </w:pPr>
    <w:rPr>
      <w:rFonts w:ascii="黑体" w:hAnsi="宋体" w:eastAsia="黑体"/>
      <w:kern w:val="0"/>
      <w:sz w:val="32"/>
      <w:szCs w:val="21"/>
    </w:rPr>
  </w:style>
  <w:style w:type="paragraph" w:customStyle="1" w:styleId="3108">
    <w:name w:val="样式 小四 行距: 固定值 24 磅 首行缩进:  2 字符"/>
    <w:basedOn w:val="1"/>
    <w:qFormat/>
    <w:uiPriority w:val="0"/>
    <w:pPr>
      <w:spacing w:line="440" w:lineRule="exact"/>
      <w:ind w:firstLine="200" w:firstLineChars="200"/>
    </w:pPr>
    <w:rPr>
      <w:rFonts w:ascii="宋体"/>
      <w:kern w:val="0"/>
      <w:sz w:val="34"/>
      <w:szCs w:val="20"/>
    </w:rPr>
  </w:style>
  <w:style w:type="paragraph" w:customStyle="1" w:styleId="3109">
    <w:name w:val="项目名称"/>
    <w:basedOn w:val="1"/>
    <w:next w:val="1"/>
    <w:qFormat/>
    <w:uiPriority w:val="0"/>
    <w:pPr>
      <w:spacing w:line="800" w:lineRule="atLeast"/>
      <w:jc w:val="center"/>
      <w:outlineLvl w:val="0"/>
    </w:pPr>
    <w:rPr>
      <w:rFonts w:ascii="黑体" w:eastAsia="黑体"/>
      <w:kern w:val="0"/>
      <w:sz w:val="52"/>
      <w:szCs w:val="52"/>
    </w:rPr>
  </w:style>
  <w:style w:type="paragraph" w:customStyle="1" w:styleId="3110">
    <w:name w:val="xl180"/>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11">
    <w:name w:val="样式 注释标题 + 首行缩进:  2 字符"/>
    <w:basedOn w:val="20"/>
    <w:qFormat/>
    <w:uiPriority w:val="0"/>
    <w:pPr>
      <w:adjustRightInd w:val="0"/>
      <w:snapToGrid w:val="0"/>
    </w:pPr>
    <w:rPr>
      <w:rFonts w:eastAsia="黑体" w:cs="宋体"/>
      <w:spacing w:val="20"/>
      <w:kern w:val="0"/>
      <w:sz w:val="24"/>
      <w:szCs w:val="24"/>
    </w:rPr>
  </w:style>
  <w:style w:type="paragraph" w:customStyle="1" w:styleId="3112">
    <w:name w:val="0-shiw-表格标题"/>
    <w:qFormat/>
    <w:uiPriority w:val="0"/>
    <w:pPr>
      <w:jc w:val="center"/>
    </w:pPr>
    <w:rPr>
      <w:rFonts w:ascii="Times New Roman" w:hAnsi="Times New Roman" w:eastAsia="宋体" w:cs="Times New Roman"/>
      <w:kern w:val="2"/>
      <w:sz w:val="24"/>
      <w:szCs w:val="24"/>
      <w:lang w:val="en-US" w:eastAsia="zh-CN" w:bidi="ar-SA"/>
    </w:rPr>
  </w:style>
  <w:style w:type="paragraph" w:customStyle="1" w:styleId="3113">
    <w:name w:val="A标题"/>
    <w:basedOn w:val="10"/>
    <w:qFormat/>
    <w:uiPriority w:val="0"/>
    <w:pPr>
      <w:widowControl w:val="0"/>
      <w:numPr>
        <w:ilvl w:val="0"/>
        <w:numId w:val="0"/>
      </w:numPr>
      <w:tabs>
        <w:tab w:val="left" w:pos="-120"/>
        <w:tab w:val="left" w:pos="198"/>
        <w:tab w:val="left" w:pos="625"/>
        <w:tab w:val="left" w:pos="864"/>
      </w:tabs>
      <w:spacing w:before="60" w:after="60" w:line="264" w:lineRule="auto"/>
      <w:ind w:left="625" w:hanging="425"/>
    </w:pPr>
    <w:rPr>
      <w:rFonts w:ascii="宋体" w:hAnsi="宋体" w:eastAsia="黑体" w:cs="Times New Roman"/>
      <w:b w:val="0"/>
      <w:spacing w:val="20"/>
      <w:sz w:val="20"/>
      <w:szCs w:val="20"/>
    </w:rPr>
  </w:style>
  <w:style w:type="paragraph" w:customStyle="1" w:styleId="3114">
    <w:name w:val="样式 左侧:  -0.16 厘米1"/>
    <w:basedOn w:val="1"/>
    <w:qFormat/>
    <w:uiPriority w:val="0"/>
    <w:pPr>
      <w:ind w:left="-90"/>
    </w:pPr>
    <w:rPr>
      <w:rFonts w:ascii="宋体" w:hAnsi="宋体" w:cs="宋体"/>
      <w:snapToGrid w:val="0"/>
      <w:kern w:val="0"/>
      <w:sz w:val="34"/>
      <w:szCs w:val="20"/>
    </w:rPr>
  </w:style>
  <w:style w:type="paragraph" w:customStyle="1" w:styleId="3115">
    <w:name w:val="湛江图表题"/>
    <w:basedOn w:val="6"/>
    <w:qFormat/>
    <w:uiPriority w:val="0"/>
    <w:pPr>
      <w:widowControl w:val="0"/>
      <w:spacing w:beforeLines="50" w:afterLines="50"/>
      <w:ind w:left="578" w:firstLine="400" w:firstLineChars="0"/>
      <w:jc w:val="center"/>
    </w:pPr>
    <w:rPr>
      <w:rFonts w:ascii="Times New Roman" w:hAnsi="Times New Roman" w:cs="Times New Roman"/>
      <w:b/>
      <w:bCs/>
      <w:sz w:val="20"/>
      <w:szCs w:val="20"/>
    </w:rPr>
  </w:style>
  <w:style w:type="paragraph" w:customStyle="1" w:styleId="3116">
    <w:name w:val="Char Char1 Char Char Char Char Char Char Char Char Char Char Char Char Char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3117">
    <w:name w:val="pic-info"/>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118">
    <w:name w:val="ZW"/>
    <w:basedOn w:val="1"/>
    <w:qFormat/>
    <w:uiPriority w:val="0"/>
    <w:pPr>
      <w:tabs>
        <w:tab w:val="left" w:pos="0"/>
        <w:tab w:val="right" w:pos="8400"/>
      </w:tabs>
      <w:adjustRightInd w:val="0"/>
      <w:snapToGrid w:val="0"/>
      <w:spacing w:before="120" w:after="120" w:line="336" w:lineRule="auto"/>
      <w:ind w:left="578" w:firstLine="200" w:firstLineChars="200"/>
      <w:jc w:val="left"/>
    </w:pPr>
    <w:rPr>
      <w:rFonts w:ascii="宋体"/>
      <w:kern w:val="0"/>
      <w:sz w:val="34"/>
      <w:szCs w:val="18"/>
    </w:rPr>
  </w:style>
  <w:style w:type="paragraph" w:customStyle="1" w:styleId="3119">
    <w:name w:val="文3"/>
    <w:basedOn w:val="1"/>
    <w:qFormat/>
    <w:uiPriority w:val="0"/>
    <w:pPr>
      <w:tabs>
        <w:tab w:val="left" w:pos="425"/>
      </w:tabs>
      <w:adjustRightInd w:val="0"/>
      <w:spacing w:line="500" w:lineRule="atLeast"/>
      <w:ind w:left="425" w:hanging="425"/>
      <w:textAlignment w:val="baseline"/>
    </w:pPr>
    <w:rPr>
      <w:rFonts w:ascii="宋体"/>
      <w:kern w:val="0"/>
      <w:sz w:val="28"/>
      <w:szCs w:val="20"/>
    </w:rPr>
  </w:style>
  <w:style w:type="paragraph" w:customStyle="1" w:styleId="3120">
    <w:name w:val="Char Char Char1 Char Char Char Char Char Char Char Char Char Char Char Char Char Char Char Char Char Char Char"/>
    <w:basedOn w:val="1"/>
    <w:qFormat/>
    <w:uiPriority w:val="0"/>
    <w:rPr>
      <w:rFonts w:ascii="宋体"/>
      <w:kern w:val="0"/>
      <w:szCs w:val="20"/>
    </w:rPr>
  </w:style>
  <w:style w:type="paragraph" w:customStyle="1" w:styleId="3121">
    <w:name w:val="表内五号居中前后0.1行"/>
    <w:basedOn w:val="1"/>
    <w:semiHidden/>
    <w:qFormat/>
    <w:uiPriority w:val="0"/>
    <w:pPr>
      <w:spacing w:before="31" w:after="31"/>
      <w:ind w:left="578" w:hanging="578"/>
      <w:jc w:val="center"/>
    </w:pPr>
    <w:rPr>
      <w:rFonts w:ascii="宋体" w:cs="宋体"/>
      <w:kern w:val="0"/>
      <w:szCs w:val="20"/>
    </w:rPr>
  </w:style>
  <w:style w:type="paragraph" w:customStyle="1" w:styleId="3122">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123">
    <w:name w:val="样式21"/>
    <w:basedOn w:val="1"/>
    <w:qFormat/>
    <w:uiPriority w:val="0"/>
    <w:pPr>
      <w:suppressAutoHyphens/>
      <w:spacing w:line="360" w:lineRule="auto"/>
      <w:ind w:left="540"/>
    </w:pPr>
    <w:rPr>
      <w:rFonts w:ascii="宋体"/>
      <w:kern w:val="1"/>
      <w:sz w:val="34"/>
      <w:szCs w:val="21"/>
      <w:lang w:eastAsia="ar-SA"/>
    </w:rPr>
  </w:style>
  <w:style w:type="paragraph" w:customStyle="1" w:styleId="3124">
    <w:name w:val="xl96"/>
    <w:basedOn w:val="1"/>
    <w:qFormat/>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125">
    <w:name w:val="支下"/>
    <w:basedOn w:val="1"/>
    <w:qFormat/>
    <w:uiPriority w:val="0"/>
    <w:pPr>
      <w:tabs>
        <w:tab w:val="left" w:pos="420"/>
        <w:tab w:val="left" w:pos="510"/>
      </w:tabs>
      <w:adjustRightInd w:val="0"/>
      <w:spacing w:line="460" w:lineRule="exact"/>
      <w:ind w:left="420" w:hanging="420"/>
      <w:jc w:val="left"/>
      <w:textAlignment w:val="baseline"/>
    </w:pPr>
    <w:rPr>
      <w:rFonts w:ascii="宋体"/>
      <w:kern w:val="0"/>
      <w:sz w:val="34"/>
      <w:szCs w:val="20"/>
    </w:rPr>
  </w:style>
  <w:style w:type="paragraph" w:customStyle="1" w:styleId="3126">
    <w:name w:val="表样式"/>
    <w:basedOn w:val="1"/>
    <w:qFormat/>
    <w:uiPriority w:val="0"/>
    <w:pPr>
      <w:adjustRightInd w:val="0"/>
      <w:snapToGrid w:val="0"/>
      <w:spacing w:before="280"/>
      <w:jc w:val="center"/>
    </w:pPr>
    <w:rPr>
      <w:rFonts w:ascii="宋体" w:cs="宋体"/>
      <w:snapToGrid w:val="0"/>
      <w:color w:val="000000"/>
      <w:kern w:val="21"/>
      <w:szCs w:val="21"/>
    </w:rPr>
  </w:style>
  <w:style w:type="paragraph" w:customStyle="1" w:styleId="3127">
    <w:name w:val="样式 表格-五号 + 首行缩进:  2 字符1"/>
    <w:basedOn w:val="1"/>
    <w:qFormat/>
    <w:uiPriority w:val="0"/>
    <w:pPr>
      <w:adjustRightInd w:val="0"/>
      <w:spacing w:before="120" w:after="120"/>
      <w:ind w:left="578" w:hanging="578"/>
      <w:jc w:val="center"/>
      <w:textAlignment w:val="baseline"/>
    </w:pPr>
    <w:rPr>
      <w:rFonts w:ascii="宋体" w:cs="宋体"/>
      <w:kern w:val="0"/>
      <w:szCs w:val="20"/>
    </w:rPr>
  </w:style>
  <w:style w:type="paragraph" w:customStyle="1" w:styleId="3128">
    <w:name w:val="表格标题2"/>
    <w:basedOn w:val="18"/>
    <w:semiHidden/>
    <w:qFormat/>
    <w:uiPriority w:val="0"/>
    <w:pPr>
      <w:widowControl w:val="0"/>
      <w:pBdr>
        <w:top w:val="single" w:color="auto" w:sz="4" w:space="1"/>
      </w:pBdr>
      <w:tabs>
        <w:tab w:val="clear" w:pos="720"/>
        <w:tab w:val="clear" w:pos="726"/>
      </w:tabs>
      <w:adjustRightInd w:val="0"/>
      <w:spacing w:before="0" w:after="0" w:line="360" w:lineRule="atLeast"/>
      <w:ind w:left="0" w:firstLine="0"/>
      <w:jc w:val="center"/>
    </w:pPr>
    <w:rPr>
      <w:rFonts w:eastAsia="宋体"/>
      <w:sz w:val="24"/>
    </w:rPr>
  </w:style>
  <w:style w:type="paragraph" w:customStyle="1" w:styleId="3129">
    <w:name w:val="正文4"/>
    <w:basedOn w:val="1"/>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3130">
    <w:name w:val="小四表格"/>
    <w:basedOn w:val="1"/>
    <w:qFormat/>
    <w:uiPriority w:val="0"/>
    <w:pPr>
      <w:spacing w:line="360" w:lineRule="auto"/>
      <w:jc w:val="center"/>
    </w:pPr>
    <w:rPr>
      <w:rFonts w:ascii="宋体"/>
      <w:kern w:val="0"/>
      <w:sz w:val="34"/>
      <w:szCs w:val="20"/>
    </w:rPr>
  </w:style>
  <w:style w:type="paragraph" w:customStyle="1" w:styleId="3131">
    <w:name w:val="正文文本 211"/>
    <w:basedOn w:val="1"/>
    <w:qFormat/>
    <w:uiPriority w:val="0"/>
    <w:pPr>
      <w:adjustRightInd w:val="0"/>
      <w:spacing w:line="432" w:lineRule="auto"/>
      <w:ind w:firstLine="480"/>
      <w:textAlignment w:val="baseline"/>
    </w:pPr>
    <w:rPr>
      <w:rFonts w:ascii="宋体"/>
      <w:kern w:val="0"/>
      <w:sz w:val="34"/>
      <w:szCs w:val="20"/>
    </w:rPr>
  </w:style>
  <w:style w:type="paragraph" w:customStyle="1" w:styleId="3132">
    <w:name w:val="样式 样式 环评正文 + 首行缩进:  2 字符 + 首行缩进:  2 字符"/>
    <w:basedOn w:val="1"/>
    <w:qFormat/>
    <w:uiPriority w:val="0"/>
    <w:pPr>
      <w:spacing w:line="360" w:lineRule="auto"/>
      <w:ind w:firstLine="512" w:firstLineChars="200"/>
    </w:pPr>
    <w:rPr>
      <w:rFonts w:ascii="宋体"/>
      <w:spacing w:val="8"/>
      <w:kern w:val="0"/>
      <w:sz w:val="34"/>
      <w:szCs w:val="20"/>
    </w:rPr>
  </w:style>
  <w:style w:type="paragraph" w:customStyle="1" w:styleId="3133">
    <w:name w:val="表格文字－四号"/>
    <w:basedOn w:val="1"/>
    <w:unhideWhenUsed/>
    <w:qFormat/>
    <w:uiPriority w:val="0"/>
    <w:pPr>
      <w:adjustRightInd w:val="0"/>
      <w:snapToGrid w:val="0"/>
      <w:spacing w:before="120" w:after="120"/>
      <w:ind w:left="578" w:hanging="578"/>
    </w:pPr>
    <w:rPr>
      <w:rFonts w:ascii="宋体"/>
      <w:kern w:val="0"/>
      <w:sz w:val="28"/>
      <w:szCs w:val="21"/>
    </w:rPr>
  </w:style>
  <w:style w:type="paragraph" w:customStyle="1" w:styleId="3134">
    <w:name w:val="nilo_标题2"/>
    <w:basedOn w:val="1"/>
    <w:qFormat/>
    <w:uiPriority w:val="0"/>
    <w:pPr>
      <w:spacing w:line="360" w:lineRule="auto"/>
      <w:jc w:val="left"/>
      <w:outlineLvl w:val="2"/>
    </w:pPr>
    <w:rPr>
      <w:rFonts w:ascii="Arial" w:hAnsi="Arial" w:eastAsia="黑体"/>
      <w:kern w:val="0"/>
      <w:sz w:val="28"/>
      <w:szCs w:val="20"/>
    </w:rPr>
  </w:style>
  <w:style w:type="paragraph" w:customStyle="1" w:styleId="3135">
    <w:name w:val="CM45"/>
    <w:basedOn w:val="2"/>
    <w:next w:val="2"/>
    <w:semiHidden/>
    <w:qFormat/>
    <w:uiPriority w:val="0"/>
    <w:pPr>
      <w:spacing w:line="456" w:lineRule="atLeast"/>
    </w:pPr>
    <w:rPr>
      <w:rFonts w:ascii="Arial" w:hAnsi="Arial" w:cs="Times New Roman"/>
      <w:color w:val="auto"/>
    </w:rPr>
  </w:style>
  <w:style w:type="paragraph" w:customStyle="1" w:styleId="3136">
    <w:name w:val="样式 表标题4.5 + 居中"/>
    <w:basedOn w:val="1714"/>
    <w:qFormat/>
    <w:uiPriority w:val="0"/>
    <w:pPr>
      <w:numPr>
        <w:ilvl w:val="0"/>
        <w:numId w:val="69"/>
      </w:numPr>
      <w:tabs>
        <w:tab w:val="left" w:pos="425"/>
        <w:tab w:val="left" w:pos="726"/>
        <w:tab w:val="clear" w:pos="4060"/>
        <w:tab w:val="clear" w:pos="8261"/>
      </w:tabs>
      <w:adjustRightInd/>
      <w:spacing w:before="0" w:line="360" w:lineRule="auto"/>
      <w:ind w:left="0" w:firstLine="480" w:firstLineChars="200"/>
    </w:pPr>
    <w:rPr>
      <w:rFonts w:ascii="Times New Roman" w:eastAsia="宋体"/>
      <w:b w:val="0"/>
      <w:spacing w:val="0"/>
      <w:kern w:val="2"/>
      <w:sz w:val="21"/>
      <w:szCs w:val="21"/>
    </w:rPr>
  </w:style>
  <w:style w:type="paragraph" w:customStyle="1" w:styleId="3137">
    <w:name w:val="编号汉字数字"/>
    <w:basedOn w:val="3087"/>
    <w:next w:val="1"/>
    <w:qFormat/>
    <w:uiPriority w:val="0"/>
    <w:pPr>
      <w:tabs>
        <w:tab w:val="left" w:pos="0"/>
        <w:tab w:val="clear" w:pos="625"/>
      </w:tabs>
      <w:ind w:left="0" w:firstLine="822"/>
      <w:outlineLvl w:val="9"/>
    </w:pPr>
  </w:style>
  <w:style w:type="paragraph" w:customStyle="1" w:styleId="3138">
    <w:name w:val="批注文字2"/>
    <w:basedOn w:val="1"/>
    <w:unhideWhenUsed/>
    <w:qFormat/>
    <w:uiPriority w:val="0"/>
    <w:pPr>
      <w:adjustRightInd w:val="0"/>
      <w:spacing w:before="120" w:after="120" w:line="360" w:lineRule="atLeast"/>
      <w:ind w:left="578" w:hanging="578"/>
      <w:textAlignment w:val="baseline"/>
    </w:pPr>
    <w:rPr>
      <w:rFonts w:ascii="宋体"/>
      <w:kern w:val="0"/>
      <w:szCs w:val="20"/>
    </w:rPr>
  </w:style>
  <w:style w:type="paragraph" w:customStyle="1" w:styleId="3139">
    <w:name w:val="风险评价正文"/>
    <w:basedOn w:val="1"/>
    <w:qFormat/>
    <w:uiPriority w:val="0"/>
    <w:pPr>
      <w:spacing w:line="324" w:lineRule="auto"/>
      <w:ind w:firstLine="512" w:firstLineChars="200"/>
    </w:pPr>
    <w:rPr>
      <w:rFonts w:ascii="宋体"/>
      <w:color w:val="000000"/>
      <w:spacing w:val="8"/>
      <w:kern w:val="0"/>
      <w:sz w:val="34"/>
      <w:szCs w:val="20"/>
    </w:rPr>
  </w:style>
  <w:style w:type="paragraph" w:customStyle="1" w:styleId="3140">
    <w:name w:val="表内文字"/>
    <w:basedOn w:val="1"/>
    <w:qFormat/>
    <w:uiPriority w:val="0"/>
    <w:pPr>
      <w:widowControl/>
      <w:snapToGrid w:val="0"/>
      <w:spacing w:line="400" w:lineRule="exact"/>
      <w:jc w:val="center"/>
    </w:pPr>
    <w:rPr>
      <w:rFonts w:ascii="宋体" w:eastAsia="仿宋_GB2312"/>
      <w:kern w:val="0"/>
      <w:sz w:val="34"/>
      <w:szCs w:val="20"/>
    </w:rPr>
  </w:style>
  <w:style w:type="paragraph" w:customStyle="1" w:styleId="3141">
    <w:name w:val="样式 图名（报告书正文 + 首行缩进:  2 字符"/>
    <w:basedOn w:val="1"/>
    <w:semiHidden/>
    <w:qFormat/>
    <w:uiPriority w:val="0"/>
    <w:pPr>
      <w:spacing w:line="300" w:lineRule="auto"/>
      <w:ind w:right="-922" w:rightChars="-439"/>
      <w:jc w:val="center"/>
    </w:pPr>
    <w:rPr>
      <w:rFonts w:ascii="隶书"/>
      <w:b/>
      <w:color w:val="000000"/>
      <w:kern w:val="0"/>
      <w:sz w:val="34"/>
      <w:szCs w:val="30"/>
    </w:rPr>
  </w:style>
  <w:style w:type="paragraph" w:customStyle="1" w:styleId="3142">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143">
    <w:name w:val="Char Char Char1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144">
    <w:name w:val="标题2tt"/>
    <w:basedOn w:val="1"/>
    <w:qFormat/>
    <w:uiPriority w:val="0"/>
    <w:pPr>
      <w:spacing w:line="360" w:lineRule="auto"/>
      <w:jc w:val="left"/>
    </w:pPr>
    <w:rPr>
      <w:rFonts w:ascii="宋体"/>
      <w:b/>
      <w:kern w:val="0"/>
      <w:sz w:val="28"/>
      <w:szCs w:val="28"/>
    </w:rPr>
  </w:style>
  <w:style w:type="paragraph" w:customStyle="1" w:styleId="3145">
    <w:name w:val="Subhead"/>
    <w:semiHidden/>
    <w:qFormat/>
    <w:uiPriority w:val="0"/>
    <w:pPr>
      <w:widowControl w:val="0"/>
      <w:autoSpaceDE w:val="0"/>
      <w:autoSpaceDN w:val="0"/>
      <w:adjustRightInd w:val="0"/>
      <w:spacing w:before="72" w:after="72"/>
    </w:pPr>
    <w:rPr>
      <w:rFonts w:ascii="宋体" w:hAnsi="Times New Roman" w:eastAsia="宋体" w:cs="Times New Roman"/>
      <w:b/>
      <w:i/>
      <w:color w:val="000000"/>
      <w:sz w:val="24"/>
      <w:lang w:val="en-US" w:eastAsia="zh-CN" w:bidi="ar-SA"/>
    </w:rPr>
  </w:style>
  <w:style w:type="paragraph" w:customStyle="1" w:styleId="3146">
    <w:name w:val="样式 标题 2 + 五号 非加粗 段前: 0 磅 段后: 0 磅 行距: 最小值 0 磅"/>
    <w:basedOn w:val="8"/>
    <w:semiHidden/>
    <w:qFormat/>
    <w:uiPriority w:val="0"/>
    <w:pPr>
      <w:widowControl w:val="0"/>
      <w:numPr>
        <w:ilvl w:val="0"/>
        <w:numId w:val="0"/>
      </w:numPr>
      <w:tabs>
        <w:tab w:val="left" w:pos="780"/>
      </w:tabs>
      <w:spacing w:line="0" w:lineRule="atLeast"/>
      <w:ind w:left="780" w:hanging="360" w:firstLineChars="200"/>
      <w:jc w:val="both"/>
    </w:pPr>
    <w:rPr>
      <w:rFonts w:ascii="宋体" w:hAnsi="宋体" w:eastAsia="黑体" w:cs="Times New Roman"/>
      <w:sz w:val="21"/>
      <w:szCs w:val="20"/>
    </w:rPr>
  </w:style>
  <w:style w:type="paragraph" w:customStyle="1" w:styleId="3147">
    <w:name w:val="样式10"/>
    <w:basedOn w:val="2001"/>
    <w:qFormat/>
    <w:uiPriority w:val="0"/>
    <w:pPr>
      <w:pBdr>
        <w:bottom w:val="thickThinLargeGap" w:color="auto" w:sz="8" w:space="1"/>
      </w:pBdr>
    </w:pPr>
  </w:style>
  <w:style w:type="paragraph" w:customStyle="1" w:styleId="3148">
    <w:name w:val="谏壁chen表格内文字"/>
    <w:basedOn w:val="1"/>
    <w:qFormat/>
    <w:uiPriority w:val="0"/>
    <w:pPr>
      <w:spacing w:line="0" w:lineRule="atLeast"/>
      <w:jc w:val="center"/>
    </w:pPr>
    <w:rPr>
      <w:rFonts w:ascii="宋体"/>
      <w:kern w:val="0"/>
      <w:szCs w:val="21"/>
    </w:rPr>
  </w:style>
  <w:style w:type="paragraph" w:customStyle="1" w:styleId="3149">
    <w:name w:val="样式 (西文) Arial 五号 居中 首行缩进:  2 字符"/>
    <w:basedOn w:val="1"/>
    <w:qFormat/>
    <w:uiPriority w:val="0"/>
    <w:pPr>
      <w:snapToGrid w:val="0"/>
      <w:spacing w:line="400" w:lineRule="exact"/>
      <w:ind w:firstLine="460" w:firstLineChars="200"/>
      <w:jc w:val="center"/>
    </w:pPr>
    <w:rPr>
      <w:rFonts w:ascii="宋体"/>
      <w:snapToGrid w:val="0"/>
      <w:spacing w:val="10"/>
      <w:kern w:val="24"/>
      <w:szCs w:val="21"/>
    </w:rPr>
  </w:style>
  <w:style w:type="paragraph" w:customStyle="1" w:styleId="3150">
    <w:name w:val="表格用字 +  六号 Char"/>
    <w:basedOn w:val="3151"/>
    <w:qFormat/>
    <w:uiPriority w:val="0"/>
    <w:pPr>
      <w:ind w:firstLine="338"/>
    </w:pPr>
    <w:rPr>
      <w:rFonts w:hAnsi="黑体"/>
      <w:kern w:val="0"/>
      <w:sz w:val="21"/>
      <w:szCs w:val="21"/>
    </w:rPr>
  </w:style>
  <w:style w:type="paragraph" w:customStyle="1" w:styleId="3151">
    <w:name w:val="表格用字 Char"/>
    <w:basedOn w:val="79"/>
    <w:qFormat/>
    <w:uiPriority w:val="0"/>
    <w:pPr>
      <w:widowControl w:val="0"/>
      <w:autoSpaceDE w:val="0"/>
      <w:autoSpaceDN w:val="0"/>
      <w:spacing w:line="240" w:lineRule="atLeast"/>
      <w:jc w:val="both"/>
    </w:pPr>
    <w:rPr>
      <w:rFonts w:eastAsia="仿宋_GB2312"/>
      <w:kern w:val="2"/>
    </w:rPr>
  </w:style>
  <w:style w:type="paragraph" w:customStyle="1" w:styleId="3152">
    <w:name w:val="样式 首行缩进:  2 字符 段后: 0.5 行"/>
    <w:basedOn w:val="1"/>
    <w:qFormat/>
    <w:uiPriority w:val="0"/>
    <w:pPr>
      <w:adjustRightInd w:val="0"/>
      <w:snapToGrid w:val="0"/>
      <w:spacing w:afterLines="30" w:line="300" w:lineRule="auto"/>
      <w:ind w:firstLine="200" w:firstLineChars="200"/>
    </w:pPr>
    <w:rPr>
      <w:rFonts w:ascii="宋体" w:cs="宋体"/>
      <w:kern w:val="0"/>
      <w:sz w:val="28"/>
      <w:szCs w:val="20"/>
    </w:rPr>
  </w:style>
  <w:style w:type="paragraph" w:customStyle="1" w:styleId="3153">
    <w:name w:val="样式 标题 11.标题 1H1Chapter Headline章chap + 四号 段前: 0 磅 段后: 0 磅..."/>
    <w:basedOn w:val="7"/>
    <w:semiHidden/>
    <w:qFormat/>
    <w:uiPriority w:val="0"/>
    <w:pPr>
      <w:keepLines/>
      <w:tabs>
        <w:tab w:val="left" w:pos="900"/>
      </w:tabs>
      <w:overflowPunct/>
      <w:snapToGrid/>
      <w:spacing w:before="340" w:beforeLines="50" w:after="330" w:afterLines="50" w:line="360" w:lineRule="auto"/>
      <w:ind w:left="900" w:hanging="420"/>
      <w:jc w:val="left"/>
    </w:pPr>
    <w:rPr>
      <w:rFonts w:ascii="黑体" w:hAnsi="宋体"/>
      <w:b w:val="0"/>
      <w:bCs w:val="0"/>
      <w:color w:val="auto"/>
      <w:sz w:val="36"/>
      <w:szCs w:val="32"/>
    </w:rPr>
  </w:style>
  <w:style w:type="paragraph" w:customStyle="1" w:styleId="3154">
    <w:name w:val="z-窗体顶端2"/>
    <w:basedOn w:val="1"/>
    <w:next w:val="1"/>
    <w:qFormat/>
    <w:uiPriority w:val="0"/>
    <w:pPr>
      <w:widowControl/>
      <w:pBdr>
        <w:bottom w:val="single" w:color="auto" w:sz="6" w:space="1"/>
      </w:pBdr>
      <w:adjustRightInd w:val="0"/>
      <w:snapToGrid w:val="0"/>
      <w:jc w:val="center"/>
    </w:pPr>
    <w:rPr>
      <w:rFonts w:ascii="Arial" w:hAnsi="Arial" w:eastAsia="Arial Unicode MS" w:cs="Arial"/>
      <w:vanish/>
      <w:kern w:val="0"/>
      <w:sz w:val="16"/>
      <w:szCs w:val="16"/>
      <w:lang w:val="zh-CN"/>
    </w:rPr>
  </w:style>
  <w:style w:type="paragraph" w:customStyle="1" w:styleId="3155">
    <w:name w:val="总题"/>
    <w:next w:val="87"/>
    <w:qFormat/>
    <w:uiPriority w:val="0"/>
    <w:pPr>
      <w:spacing w:before="100" w:beforeAutospacing="1" w:after="100" w:afterAutospacing="1" w:line="480" w:lineRule="auto"/>
      <w:jc w:val="center"/>
    </w:pPr>
    <w:rPr>
      <w:rFonts w:ascii="Times New Roman" w:hAnsi="Times New Roman" w:eastAsia="黑体" w:cs="Times New Roman"/>
      <w:b/>
      <w:spacing w:val="20"/>
      <w:sz w:val="44"/>
      <w:lang w:val="en-US" w:eastAsia="zh-CN" w:bidi="ar-SA"/>
    </w:rPr>
  </w:style>
  <w:style w:type="paragraph" w:customStyle="1" w:styleId="3156">
    <w:name w:val="样式 样式 标题 1标题 1 Char标1章 + 段前: 0.5 行 段后: 0.5 行 + 段前: 0.5 行 段后: 0...."/>
    <w:basedOn w:val="1"/>
    <w:qFormat/>
    <w:uiPriority w:val="0"/>
    <w:pPr>
      <w:keepNext/>
      <w:widowControl/>
      <w:numPr>
        <w:ilvl w:val="0"/>
        <w:numId w:val="55"/>
      </w:numPr>
      <w:tabs>
        <w:tab w:val="left" w:pos="0"/>
        <w:tab w:val="clear" w:pos="726"/>
      </w:tabs>
      <w:spacing w:beforeLines="50" w:afterLines="50"/>
      <w:ind w:firstLine="567"/>
      <w:outlineLvl w:val="0"/>
    </w:pPr>
    <w:rPr>
      <w:rFonts w:ascii="黑体" w:hAnsi="Arial" w:eastAsia="黑体" w:cs="宋体"/>
      <w:color w:val="000000"/>
      <w:kern w:val="24"/>
      <w:sz w:val="28"/>
      <w:szCs w:val="20"/>
      <w:lang w:val="zh-CN"/>
    </w:rPr>
  </w:style>
  <w:style w:type="paragraph" w:customStyle="1" w:styleId="3157">
    <w:name w:val="样式 标题2 + (中文) 宋体"/>
    <w:basedOn w:val="1"/>
    <w:next w:val="1"/>
    <w:qFormat/>
    <w:uiPriority w:val="0"/>
    <w:pPr>
      <w:adjustRightInd w:val="0"/>
      <w:snapToGrid w:val="0"/>
      <w:spacing w:before="120" w:after="240" w:line="360" w:lineRule="auto"/>
    </w:pPr>
    <w:rPr>
      <w:rFonts w:ascii="宋体" w:eastAsia="黑体"/>
      <w:spacing w:val="10"/>
      <w:kern w:val="0"/>
      <w:sz w:val="32"/>
      <w:szCs w:val="20"/>
    </w:rPr>
  </w:style>
  <w:style w:type="paragraph" w:customStyle="1" w:styleId="3158">
    <w:name w:val="样式 正文报告 +"/>
    <w:basedOn w:val="2318"/>
    <w:qFormat/>
    <w:uiPriority w:val="0"/>
    <w:pPr>
      <w:spacing w:line="500" w:lineRule="atLeast"/>
    </w:pPr>
    <w:rPr>
      <w:kern w:val="2"/>
    </w:rPr>
  </w:style>
  <w:style w:type="paragraph" w:customStyle="1" w:styleId="3159">
    <w:name w:val="Char Char Char Char Char Char Char Char Char Char Char Char Char Char Char Char Char Char Char Char Char Char Char Char Char Char Char Char Char Char Char Char Char Char Char Char Char Char Char Char3"/>
    <w:basedOn w:val="1"/>
    <w:qFormat/>
    <w:uiPriority w:val="0"/>
    <w:rPr>
      <w:rFonts w:ascii="宋体"/>
      <w:kern w:val="0"/>
      <w:sz w:val="34"/>
      <w:szCs w:val="20"/>
    </w:rPr>
  </w:style>
  <w:style w:type="paragraph" w:customStyle="1" w:styleId="3160">
    <w:name w:val="表5.12-1"/>
    <w:basedOn w:val="1"/>
    <w:semiHidden/>
    <w:qFormat/>
    <w:uiPriority w:val="0"/>
    <w:pPr>
      <w:spacing w:beforeLines="100" w:after="120" w:line="0" w:lineRule="atLeast"/>
      <w:ind w:left="578" w:hanging="578"/>
    </w:pPr>
    <w:rPr>
      <w:rFonts w:ascii="宋体" w:eastAsia="黑体"/>
      <w:kern w:val="0"/>
      <w:szCs w:val="20"/>
    </w:rPr>
  </w:style>
  <w:style w:type="paragraph" w:customStyle="1" w:styleId="3161">
    <w:name w:val="样式 标题 3 + 段前: 6 磅 段后: 3 磅 行距: 固定值 24 磅"/>
    <w:basedOn w:val="9"/>
    <w:semiHidden/>
    <w:qFormat/>
    <w:uiPriority w:val="0"/>
    <w:pPr>
      <w:widowControl w:val="0"/>
      <w:numPr>
        <w:ilvl w:val="0"/>
        <w:numId w:val="0"/>
      </w:numPr>
      <w:tabs>
        <w:tab w:val="left" w:pos="900"/>
      </w:tabs>
      <w:spacing w:before="120" w:after="120" w:line="324" w:lineRule="auto"/>
      <w:jc w:val="both"/>
    </w:pPr>
    <w:rPr>
      <w:b/>
      <w:bCs w:val="0"/>
      <w:color w:val="000000"/>
      <w:szCs w:val="30"/>
    </w:rPr>
  </w:style>
  <w:style w:type="paragraph" w:customStyle="1" w:styleId="3162">
    <w:name w:val="xl124"/>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63">
    <w:name w:val="Char Char2 Char"/>
    <w:basedOn w:val="1"/>
    <w:qFormat/>
    <w:uiPriority w:val="0"/>
    <w:rPr>
      <w:rFonts w:ascii="宋体"/>
      <w:kern w:val="0"/>
      <w:szCs w:val="21"/>
    </w:rPr>
  </w:style>
  <w:style w:type="paragraph" w:customStyle="1" w:styleId="3164">
    <w:name w:val="样式 样式 样式 正文首行缩进 2 + 首行缩进:  2 字符 + 首行缩进:  2 字符 + 首行缩进:  2 字符"/>
    <w:basedOn w:val="1"/>
    <w:qFormat/>
    <w:uiPriority w:val="0"/>
    <w:pPr>
      <w:spacing w:line="440" w:lineRule="exact"/>
      <w:ind w:firstLine="200" w:firstLineChars="200"/>
    </w:pPr>
    <w:rPr>
      <w:rFonts w:ascii="宋体" w:cs="宋体"/>
      <w:kern w:val="0"/>
      <w:sz w:val="34"/>
      <w:szCs w:val="20"/>
    </w:rPr>
  </w:style>
  <w:style w:type="paragraph" w:customStyle="1" w:styleId="3165">
    <w:name w:val="Char Char2 Char Char Char Char Char Char2"/>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166">
    <w:name w:val="引用文章"/>
    <w:basedOn w:val="1"/>
    <w:qFormat/>
    <w:uiPriority w:val="0"/>
    <w:pPr>
      <w:spacing w:line="360" w:lineRule="auto"/>
      <w:ind w:firstLine="420" w:firstLineChars="200"/>
    </w:pPr>
    <w:rPr>
      <w:rFonts w:ascii="宋体" w:eastAsia="楷体_GB2312" w:cs="宋体"/>
      <w:kern w:val="0"/>
      <w:sz w:val="34"/>
      <w:szCs w:val="20"/>
    </w:rPr>
  </w:style>
  <w:style w:type="paragraph" w:customStyle="1" w:styleId="3167">
    <w:name w:val="Char Char Char Char Char Char Char Char Char1 Char"/>
    <w:basedOn w:val="1"/>
    <w:qFormat/>
    <w:uiPriority w:val="0"/>
    <w:pPr>
      <w:spacing w:line="360" w:lineRule="auto"/>
      <w:ind w:firstLine="200" w:firstLineChars="200"/>
    </w:pPr>
    <w:rPr>
      <w:rFonts w:ascii="宋体" w:hAnsi="宋体" w:cs="宋体"/>
      <w:kern w:val="0"/>
      <w:sz w:val="34"/>
      <w:szCs w:val="20"/>
    </w:rPr>
  </w:style>
  <w:style w:type="paragraph" w:customStyle="1" w:styleId="3168">
    <w:name w:val="样式 标题 3 + 段后: 0.5 行"/>
    <w:basedOn w:val="9"/>
    <w:qFormat/>
    <w:uiPriority w:val="0"/>
    <w:pPr>
      <w:widowControl w:val="0"/>
      <w:numPr>
        <w:ilvl w:val="0"/>
        <w:numId w:val="0"/>
      </w:numPr>
      <w:tabs>
        <w:tab w:val="left" w:pos="720"/>
      </w:tabs>
      <w:spacing w:before="120" w:after="260" w:afterLines="50" w:line="400" w:lineRule="exact"/>
      <w:ind w:left="720" w:hanging="720"/>
      <w:jc w:val="both"/>
    </w:pPr>
    <w:rPr>
      <w:rFonts w:ascii="Arial" w:hAnsi="Arial" w:eastAsia="黑体"/>
      <w:bCs w:val="0"/>
      <w:sz w:val="26"/>
      <w:szCs w:val="20"/>
    </w:rPr>
  </w:style>
  <w:style w:type="paragraph" w:customStyle="1" w:styleId="3169">
    <w:name w:val="责任表文"/>
    <w:basedOn w:val="1"/>
    <w:qFormat/>
    <w:uiPriority w:val="0"/>
    <w:pPr>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3170">
    <w:name w:val="封面2"/>
    <w:basedOn w:val="2547"/>
    <w:qFormat/>
    <w:uiPriority w:val="0"/>
    <w:rPr>
      <w:sz w:val="44"/>
    </w:rPr>
  </w:style>
  <w:style w:type="paragraph" w:customStyle="1" w:styleId="3171">
    <w:name w:val="样式 表格标题 + 段后: 0.5 行"/>
    <w:basedOn w:val="1"/>
    <w:semiHidden/>
    <w:qFormat/>
    <w:uiPriority w:val="0"/>
    <w:pPr>
      <w:pBdr>
        <w:top w:val="single" w:color="auto" w:sz="4" w:space="1"/>
      </w:pBdr>
      <w:adjustRightInd w:val="0"/>
      <w:spacing w:line="324" w:lineRule="auto"/>
      <w:jc w:val="center"/>
    </w:pPr>
    <w:rPr>
      <w:rFonts w:ascii="宋体" w:eastAsia="黑体" w:cs="宋体"/>
      <w:b/>
      <w:bCs/>
      <w:kern w:val="0"/>
      <w:sz w:val="34"/>
      <w:szCs w:val="20"/>
    </w:rPr>
  </w:style>
  <w:style w:type="paragraph" w:customStyle="1" w:styleId="3172">
    <w:name w:val="xl98"/>
    <w:basedOn w:val="1"/>
    <w:qFormat/>
    <w:uiPriority w:val="0"/>
    <w:pPr>
      <w:widowControl/>
      <w:pBdr>
        <w:top w:val="single" w:color="auto" w:sz="4" w:space="0"/>
        <w:left w:val="single" w:color="auto" w:sz="4" w:space="0"/>
        <w:righ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173">
    <w:name w:val="主要条文"/>
    <w:basedOn w:val="1"/>
    <w:qFormat/>
    <w:uiPriority w:val="0"/>
    <w:pPr>
      <w:numPr>
        <w:ilvl w:val="0"/>
        <w:numId w:val="70"/>
      </w:numPr>
      <w:tabs>
        <w:tab w:val="left" w:pos="1260"/>
      </w:tabs>
    </w:pPr>
    <w:rPr>
      <w:rFonts w:ascii="宋体"/>
      <w:kern w:val="0"/>
      <w:sz w:val="34"/>
      <w:szCs w:val="20"/>
    </w:rPr>
  </w:style>
  <w:style w:type="paragraph" w:customStyle="1" w:styleId="3174">
    <w:name w:val="正文 + 宋体"/>
    <w:basedOn w:val="53"/>
    <w:qFormat/>
    <w:uiPriority w:val="0"/>
    <w:pPr>
      <w:tabs>
        <w:tab w:val="left" w:pos="420"/>
        <w:tab w:val="left" w:pos="1200"/>
      </w:tabs>
      <w:spacing w:line="360" w:lineRule="auto"/>
      <w:ind w:left="1200" w:leftChars="0" w:hanging="60" w:hangingChars="200"/>
    </w:pPr>
    <w:rPr>
      <w:rFonts w:ascii="宋体" w:hAnsi="宋体"/>
      <w:kern w:val="2"/>
    </w:rPr>
  </w:style>
  <w:style w:type="paragraph" w:customStyle="1" w:styleId="3175">
    <w:name w:val="CM85"/>
    <w:basedOn w:val="2"/>
    <w:next w:val="2"/>
    <w:semiHidden/>
    <w:qFormat/>
    <w:uiPriority w:val="0"/>
    <w:pPr>
      <w:adjustRightInd/>
    </w:pPr>
    <w:rPr>
      <w:rFonts w:hint="eastAsia" w:ascii="仿宋" w:hAnsi="仿宋" w:eastAsia="仿宋" w:cs="Times New Roman"/>
      <w:szCs w:val="20"/>
    </w:rPr>
  </w:style>
  <w:style w:type="paragraph" w:customStyle="1" w:styleId="3176">
    <w:name w:val="块项目"/>
    <w:next w:val="1"/>
    <w:qFormat/>
    <w:uiPriority w:val="0"/>
    <w:pPr>
      <w:tabs>
        <w:tab w:val="left" w:pos="840"/>
      </w:tabs>
      <w:spacing w:before="120" w:after="120"/>
      <w:ind w:firstLine="420"/>
    </w:pPr>
    <w:rPr>
      <w:rFonts w:ascii="黑体" w:hAnsi="Times New Roman" w:eastAsia="黑体" w:cs="Times New Roman"/>
      <w:b/>
      <w:spacing w:val="20"/>
      <w:sz w:val="24"/>
      <w:lang w:val="en-US" w:eastAsia="zh-CN" w:bidi="ar-SA"/>
    </w:rPr>
  </w:style>
  <w:style w:type="paragraph" w:customStyle="1" w:styleId="3177">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3178">
    <w:name w:val="公式1"/>
    <w:basedOn w:val="1"/>
    <w:qFormat/>
    <w:uiPriority w:val="0"/>
    <w:pPr>
      <w:spacing w:before="50" w:beforeLines="50" w:line="400" w:lineRule="exact"/>
      <w:ind w:firstLine="480" w:firstLineChars="200"/>
    </w:pPr>
    <w:rPr>
      <w:rFonts w:ascii="Century Gothic" w:hAnsi="Century Gothic"/>
      <w:kern w:val="0"/>
      <w:sz w:val="34"/>
      <w:szCs w:val="20"/>
    </w:rPr>
  </w:style>
  <w:style w:type="paragraph" w:customStyle="1" w:styleId="3179">
    <w:name w:val="样式 标题 2 + 字距调整八号"/>
    <w:basedOn w:val="8"/>
    <w:qFormat/>
    <w:uiPriority w:val="0"/>
    <w:pPr>
      <w:widowControl w:val="0"/>
      <w:numPr>
        <w:ilvl w:val="0"/>
        <w:numId w:val="0"/>
      </w:numPr>
      <w:jc w:val="both"/>
    </w:pPr>
    <w:rPr>
      <w:rFonts w:ascii="宋体" w:hAnsi="宋体" w:cs="Times New Roman"/>
      <w:b/>
      <w:bCs/>
      <w:kern w:val="10"/>
      <w:sz w:val="32"/>
      <w:szCs w:val="32"/>
    </w:rPr>
  </w:style>
  <w:style w:type="paragraph" w:customStyle="1" w:styleId="3180">
    <w:name w:val="目录 1 Char Char"/>
    <w:basedOn w:val="1"/>
    <w:next w:val="1"/>
    <w:qFormat/>
    <w:uiPriority w:val="0"/>
    <w:pPr>
      <w:widowControl/>
      <w:tabs>
        <w:tab w:val="left" w:leader="dot" w:pos="8010"/>
      </w:tabs>
      <w:snapToGrid w:val="0"/>
      <w:spacing w:line="300" w:lineRule="auto"/>
      <w:jc w:val="left"/>
      <w:textAlignment w:val="baseline"/>
    </w:pPr>
    <w:rPr>
      <w:rFonts w:ascii="黑体" w:hAnsi="宋体" w:eastAsia="黑体" w:cs="宋体"/>
      <w:color w:val="000000"/>
      <w:kern w:val="0"/>
      <w:sz w:val="28"/>
      <w:szCs w:val="44"/>
      <w:u w:color="000000"/>
    </w:rPr>
  </w:style>
  <w:style w:type="paragraph" w:customStyle="1" w:styleId="3181">
    <w:name w:val="样式 题目 + 左侧:  1 字符 右侧:  1 字符"/>
    <w:basedOn w:val="7"/>
    <w:qFormat/>
    <w:uiPriority w:val="0"/>
    <w:pPr>
      <w:keepLines/>
      <w:overflowPunct/>
      <w:adjustRightInd w:val="0"/>
      <w:spacing w:before="100" w:beforeAutospacing="1" w:after="100" w:afterAutospacing="1" w:line="360" w:lineRule="auto"/>
      <w:ind w:right="238"/>
      <w:jc w:val="center"/>
    </w:pPr>
    <w:rPr>
      <w:rFonts w:ascii="宋体" w:hAnsi="宋体"/>
      <w:snapToGrid w:val="0"/>
      <w:color w:val="auto"/>
      <w:kern w:val="0"/>
      <w:sz w:val="24"/>
      <w:szCs w:val="20"/>
    </w:rPr>
  </w:style>
  <w:style w:type="paragraph" w:customStyle="1" w:styleId="3182">
    <w:name w:val="Char33"/>
    <w:basedOn w:val="1"/>
    <w:qFormat/>
    <w:uiPriority w:val="0"/>
    <w:pPr>
      <w:spacing w:line="240" w:lineRule="exact"/>
      <w:ind w:firstLine="200" w:firstLineChars="200"/>
    </w:pPr>
    <w:rPr>
      <w:rFonts w:ascii="宋体"/>
      <w:kern w:val="0"/>
      <w:sz w:val="28"/>
      <w:szCs w:val="28"/>
    </w:rPr>
  </w:style>
  <w:style w:type="paragraph" w:customStyle="1" w:styleId="3183">
    <w:name w:val="抄送栏"/>
    <w:basedOn w:val="1"/>
    <w:qFormat/>
    <w:uiPriority w:val="0"/>
    <w:pPr>
      <w:autoSpaceDE w:val="0"/>
      <w:autoSpaceDN w:val="0"/>
      <w:adjustRightInd w:val="0"/>
      <w:spacing w:line="454" w:lineRule="atLeast"/>
      <w:ind w:left="1310" w:right="357" w:hanging="953"/>
    </w:pPr>
    <w:rPr>
      <w:rFonts w:ascii="宋体" w:eastAsia="方正仿宋_GBK"/>
      <w:snapToGrid w:val="0"/>
      <w:kern w:val="0"/>
      <w:sz w:val="32"/>
      <w:szCs w:val="20"/>
    </w:rPr>
  </w:style>
  <w:style w:type="paragraph" w:customStyle="1" w:styleId="3184">
    <w:name w:val="Table-I"/>
    <w:basedOn w:val="1"/>
    <w:unhideWhenUsed/>
    <w:qFormat/>
    <w:uiPriority w:val="0"/>
    <w:pPr>
      <w:tabs>
        <w:tab w:val="left" w:pos="2160"/>
        <w:tab w:val="left" w:pos="3840"/>
        <w:tab w:val="left" w:pos="5280"/>
      </w:tabs>
      <w:spacing w:beforeLines="10" w:afterLines="30" w:line="240" w:lineRule="atLeast"/>
      <w:ind w:left="578" w:hanging="578"/>
      <w:jc w:val="center"/>
    </w:pPr>
    <w:rPr>
      <w:rFonts w:ascii="Tahoma" w:hAnsi="Tahoma" w:eastAsia="华文中宋" w:cs="Tahoma"/>
      <w:kern w:val="0"/>
      <w:sz w:val="22"/>
      <w:szCs w:val="22"/>
    </w:rPr>
  </w:style>
  <w:style w:type="paragraph" w:customStyle="1" w:styleId="3185">
    <w:name w:val="Char Char Char Char Char Char Char Char Char Char Char Char Char Char Char Char Char Char Char1"/>
    <w:basedOn w:val="1"/>
    <w:qFormat/>
    <w:uiPriority w:val="0"/>
    <w:rPr>
      <w:rFonts w:ascii="宋体"/>
      <w:kern w:val="0"/>
      <w:sz w:val="34"/>
      <w:szCs w:val="20"/>
    </w:rPr>
  </w:style>
  <w:style w:type="paragraph" w:customStyle="1" w:styleId="3186">
    <w:name w:val="xl13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87">
    <w:name w:val="样式a"/>
    <w:basedOn w:val="1"/>
    <w:qFormat/>
    <w:uiPriority w:val="0"/>
    <w:pPr>
      <w:adjustRightInd w:val="0"/>
      <w:snapToGrid w:val="0"/>
      <w:spacing w:line="420" w:lineRule="exact"/>
      <w:ind w:firstLine="200" w:firstLineChars="200"/>
      <w:textAlignment w:val="baseline"/>
    </w:pPr>
    <w:rPr>
      <w:rFonts w:ascii="宋体"/>
      <w:kern w:val="0"/>
      <w:sz w:val="34"/>
      <w:szCs w:val="20"/>
    </w:rPr>
  </w:style>
  <w:style w:type="paragraph" w:customStyle="1" w:styleId="3188">
    <w:name w:val="CM28"/>
    <w:basedOn w:val="2"/>
    <w:next w:val="2"/>
    <w:qFormat/>
    <w:uiPriority w:val="0"/>
    <w:pPr>
      <w:spacing w:line="468" w:lineRule="atLeast"/>
    </w:pPr>
    <w:rPr>
      <w:rFonts w:ascii="黑体" w:eastAsia="黑体" w:cs="Times New Roman"/>
      <w:color w:val="auto"/>
    </w:rPr>
  </w:style>
  <w:style w:type="paragraph" w:customStyle="1" w:styleId="3189">
    <w:name w:val="标题41"/>
    <w:basedOn w:val="10"/>
    <w:qFormat/>
    <w:uiPriority w:val="0"/>
    <w:pPr>
      <w:widowControl w:val="0"/>
      <w:numPr>
        <w:ilvl w:val="0"/>
        <w:numId w:val="0"/>
      </w:numPr>
      <w:spacing w:before="280" w:after="290" w:line="372" w:lineRule="auto"/>
      <w:jc w:val="both"/>
    </w:pPr>
    <w:rPr>
      <w:rFonts w:ascii="宋体" w:hAnsi="宋体" w:eastAsia="黑体" w:cs="Times New Roman"/>
      <w:bCs w:val="0"/>
      <w:sz w:val="28"/>
      <w:szCs w:val="20"/>
    </w:rPr>
  </w:style>
  <w:style w:type="paragraph" w:customStyle="1" w:styleId="3190">
    <w:name w:val="样式 题注 + 居中 加宽量  0.6 磅"/>
    <w:basedOn w:val="25"/>
    <w:qFormat/>
    <w:uiPriority w:val="0"/>
    <w:pPr>
      <w:spacing w:before="152" w:after="160" w:line="360" w:lineRule="auto"/>
      <w:ind w:firstLine="200" w:firstLineChars="200"/>
    </w:pPr>
    <w:rPr>
      <w:rFonts w:ascii="Arial" w:hAnsi="Arial" w:eastAsia="宋体" w:cs="宋体"/>
      <w:b w:val="0"/>
      <w:spacing w:val="12"/>
      <w:kern w:val="0"/>
      <w:sz w:val="20"/>
      <w:szCs w:val="24"/>
    </w:rPr>
  </w:style>
  <w:style w:type="paragraph" w:customStyle="1" w:styleId="3191">
    <w:name w:val="样式 正文－大吉　仿宋_GB2312 四号 黑色 行距: 固定值 25 磅 首行缩进:  2 字符 + 首行缩进:  2 字符 ..."/>
    <w:basedOn w:val="1"/>
    <w:qFormat/>
    <w:uiPriority w:val="0"/>
    <w:pPr>
      <w:tabs>
        <w:tab w:val="left" w:pos="0"/>
      </w:tabs>
      <w:spacing w:line="400" w:lineRule="exact"/>
      <w:ind w:firstLine="480" w:firstLineChars="200"/>
    </w:pPr>
    <w:rPr>
      <w:rFonts w:ascii="仿宋_GB2312" w:eastAsia="仿宋_GB2312"/>
      <w:color w:val="000000"/>
      <w:kern w:val="0"/>
      <w:sz w:val="34"/>
      <w:szCs w:val="20"/>
    </w:rPr>
  </w:style>
  <w:style w:type="paragraph" w:customStyle="1" w:styleId="3192">
    <w:name w:val="4级标题"/>
    <w:basedOn w:val="3092"/>
    <w:qFormat/>
    <w:uiPriority w:val="0"/>
    <w:pPr>
      <w:ind w:firstLine="0" w:firstLineChars="0"/>
    </w:pPr>
    <w:rPr>
      <w:b/>
    </w:rPr>
  </w:style>
  <w:style w:type="paragraph" w:customStyle="1" w:styleId="3193">
    <w:name w:val="表内4号居中"/>
    <w:qFormat/>
    <w:uiPriority w:val="0"/>
    <w:pPr>
      <w:keepNext/>
      <w:adjustRightInd w:val="0"/>
      <w:snapToGrid w:val="0"/>
      <w:jc w:val="center"/>
    </w:pPr>
    <w:rPr>
      <w:rFonts w:ascii="黑体" w:hAnsi="Arial" w:eastAsia="黑体" w:cs="Times New Roman"/>
      <w:spacing w:val="20"/>
      <w:sz w:val="28"/>
      <w:szCs w:val="28"/>
      <w:lang w:val="en-US" w:eastAsia="zh-CN" w:bidi="ar-SA"/>
    </w:rPr>
  </w:style>
  <w:style w:type="paragraph" w:customStyle="1" w:styleId="3194">
    <w:name w:val="样式 正文文本缩进 + 宋体 五号 居中 底端: (单实线 自动设置  0.75 磅 行宽) 行距: 单倍行距"/>
    <w:basedOn w:val="5"/>
    <w:qFormat/>
    <w:uiPriority w:val="0"/>
    <w:pPr>
      <w:topLinePunct/>
      <w:adjustRightInd w:val="0"/>
      <w:snapToGrid w:val="0"/>
      <w:spacing w:after="0"/>
      <w:ind w:left="0" w:leftChars="0"/>
      <w:jc w:val="center"/>
    </w:pPr>
    <w:rPr>
      <w:rFonts w:ascii="宋体" w:hAnsi="宋体" w:cs="宋体"/>
      <w:sz w:val="21"/>
    </w:rPr>
  </w:style>
  <w:style w:type="paragraph" w:customStyle="1" w:styleId="3195">
    <w:name w:val="附录四级条标题"/>
    <w:basedOn w:val="3196"/>
    <w:next w:val="1"/>
    <w:qFormat/>
    <w:uiPriority w:val="0"/>
    <w:pPr>
      <w:tabs>
        <w:tab w:val="left" w:pos="920"/>
        <w:tab w:val="left" w:pos="1208"/>
        <w:tab w:val="left" w:pos="1352"/>
      </w:tabs>
      <w:ind w:left="1352" w:hanging="1152"/>
      <w:outlineLvl w:val="5"/>
    </w:pPr>
  </w:style>
  <w:style w:type="paragraph" w:customStyle="1" w:styleId="3196">
    <w:name w:val="附录三级条标题"/>
    <w:basedOn w:val="2797"/>
    <w:next w:val="1"/>
    <w:qFormat/>
    <w:uiPriority w:val="0"/>
    <w:pPr>
      <w:tabs>
        <w:tab w:val="left" w:pos="1208"/>
        <w:tab w:val="clear" w:pos="198"/>
      </w:tabs>
      <w:ind w:left="1208" w:hanging="1008"/>
      <w:outlineLvl w:val="4"/>
    </w:pPr>
  </w:style>
  <w:style w:type="paragraph" w:customStyle="1" w:styleId="3197">
    <w:name w:val="表头居右"/>
    <w:basedOn w:val="973"/>
    <w:qFormat/>
    <w:uiPriority w:val="0"/>
    <w:pPr>
      <w:adjustRightInd/>
      <w:spacing w:after="120" w:line="240" w:lineRule="auto"/>
      <w:ind w:left="420" w:leftChars="200" w:right="144" w:rightChars="60" w:firstLine="240" w:firstLineChars="100"/>
      <w:textAlignment w:val="auto"/>
    </w:pPr>
    <w:rPr>
      <w:rFonts w:ascii="Times New Roman" w:hAnsi="Times New Roman" w:eastAsia="宋体" w:cs="Times New Roman"/>
      <w:b/>
      <w:spacing w:val="0"/>
    </w:rPr>
  </w:style>
  <w:style w:type="paragraph" w:customStyle="1" w:styleId="3198">
    <w:name w:val="附表标题"/>
    <w:basedOn w:val="1"/>
    <w:next w:val="69"/>
    <w:qFormat/>
    <w:uiPriority w:val="0"/>
    <w:pPr>
      <w:keepNext/>
      <w:tabs>
        <w:tab w:val="left" w:pos="480"/>
      </w:tabs>
      <w:adjustRightInd w:val="0"/>
      <w:spacing w:beforeLines="100" w:line="360" w:lineRule="auto"/>
      <w:jc w:val="center"/>
      <w:textAlignment w:val="baseline"/>
    </w:pPr>
    <w:rPr>
      <w:rFonts w:ascii="宋体"/>
      <w:b/>
      <w:kern w:val="0"/>
      <w:sz w:val="28"/>
      <w:szCs w:val="20"/>
    </w:rPr>
  </w:style>
  <w:style w:type="paragraph" w:customStyle="1" w:styleId="3199">
    <w:name w:val="TOC 标题2"/>
    <w:basedOn w:val="7"/>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3200">
    <w:name w:val="xl12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201">
    <w:name w:val="二级标题新"/>
    <w:basedOn w:val="8"/>
    <w:qFormat/>
    <w:uiPriority w:val="0"/>
    <w:pPr>
      <w:widowControl w:val="0"/>
      <w:numPr>
        <w:numId w:val="71"/>
      </w:numPr>
      <w:tabs>
        <w:tab w:val="left" w:pos="1440"/>
      </w:tabs>
      <w:adjustRightInd w:val="0"/>
      <w:snapToGrid w:val="0"/>
      <w:jc w:val="both"/>
    </w:pPr>
    <w:rPr>
      <w:rFonts w:ascii="宋体" w:hAnsi="宋体" w:cs="Times New Roman"/>
      <w:b/>
      <w:bCs/>
      <w:szCs w:val="30"/>
      <w:lang w:eastAsia="zh-TW"/>
    </w:rPr>
  </w:style>
  <w:style w:type="paragraph" w:customStyle="1" w:styleId="3202">
    <w:name w:val="文本123"/>
    <w:basedOn w:val="6"/>
    <w:qFormat/>
    <w:uiPriority w:val="0"/>
    <w:pPr>
      <w:widowControl w:val="0"/>
      <w:snapToGrid w:val="0"/>
      <w:spacing w:beforeLines="20" w:line="480" w:lineRule="exact"/>
      <w:ind w:left="-1570" w:firstLine="624" w:firstLineChars="0"/>
      <w:jc w:val="both"/>
      <w:outlineLvl w:val="7"/>
    </w:pPr>
    <w:rPr>
      <w:rFonts w:ascii="Times New Roman" w:hAnsi="Times New Roman" w:cs="Times New Roman"/>
      <w:sz w:val="20"/>
      <w:szCs w:val="20"/>
    </w:rPr>
  </w:style>
  <w:style w:type="paragraph" w:customStyle="1" w:styleId="3203">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204">
    <w:name w:val="文章正文格式"/>
    <w:basedOn w:val="1"/>
    <w:qFormat/>
    <w:uiPriority w:val="0"/>
    <w:pPr>
      <w:snapToGrid w:val="0"/>
      <w:spacing w:line="360" w:lineRule="auto"/>
      <w:ind w:firstLine="200" w:firstLineChars="200"/>
    </w:pPr>
    <w:rPr>
      <w:rFonts w:ascii="宋体" w:cs="宋体"/>
      <w:spacing w:val="8"/>
      <w:kern w:val="0"/>
      <w:sz w:val="34"/>
      <w:szCs w:val="28"/>
    </w:rPr>
  </w:style>
  <w:style w:type="paragraph" w:customStyle="1" w:styleId="3205">
    <w:name w:val="表标题4"/>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206">
    <w:name w:val="正文文本缩进 33"/>
    <w:basedOn w:val="1"/>
    <w:qFormat/>
    <w:uiPriority w:val="0"/>
    <w:pPr>
      <w:adjustRightInd w:val="0"/>
      <w:spacing w:line="480" w:lineRule="exact"/>
      <w:ind w:firstLine="525"/>
      <w:textAlignment w:val="baseline"/>
    </w:pPr>
    <w:rPr>
      <w:rFonts w:ascii="宋体"/>
      <w:kern w:val="0"/>
      <w:sz w:val="28"/>
      <w:szCs w:val="20"/>
    </w:rPr>
  </w:style>
  <w:style w:type="paragraph" w:customStyle="1" w:styleId="3207">
    <w:name w:val="样式 表名 + 段前: 0.5 行"/>
    <w:basedOn w:val="1"/>
    <w:semiHidden/>
    <w:qFormat/>
    <w:uiPriority w:val="0"/>
    <w:pPr>
      <w:autoSpaceDE w:val="0"/>
      <w:autoSpaceDN w:val="0"/>
      <w:adjustRightInd w:val="0"/>
      <w:snapToGrid w:val="0"/>
      <w:spacing w:beforeLines="50"/>
      <w:jc w:val="center"/>
      <w:textAlignment w:val="baseline"/>
    </w:pPr>
    <w:rPr>
      <w:rFonts w:ascii="Arial" w:hAnsi="Arial" w:eastAsia="黑体"/>
      <w:kern w:val="0"/>
      <w:szCs w:val="20"/>
    </w:rPr>
  </w:style>
  <w:style w:type="paragraph" w:customStyle="1" w:styleId="3208">
    <w:name w:val="正文条目a"/>
    <w:basedOn w:val="1"/>
    <w:qFormat/>
    <w:uiPriority w:val="0"/>
    <w:pPr>
      <w:ind w:left="400" w:leftChars="300" w:hanging="100" w:hangingChars="100"/>
    </w:pPr>
    <w:rPr>
      <w:rFonts w:ascii="宋体"/>
      <w:kern w:val="0"/>
      <w:sz w:val="34"/>
      <w:szCs w:val="20"/>
    </w:rPr>
  </w:style>
  <w:style w:type="paragraph" w:customStyle="1" w:styleId="3209">
    <w:name w:val="xl1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210">
    <w:name w:val="表X"/>
    <w:basedOn w:val="48"/>
    <w:qFormat/>
    <w:uiPriority w:val="0"/>
    <w:pPr>
      <w:keepNext/>
      <w:widowControl w:val="0"/>
      <w:tabs>
        <w:tab w:val="left" w:pos="2177"/>
      </w:tabs>
      <w:adjustRightInd w:val="0"/>
      <w:spacing w:before="240"/>
      <w:ind w:firstLine="737"/>
      <w:outlineLvl w:val="8"/>
    </w:pPr>
    <w:rPr>
      <w:rFonts w:ascii="Courier New" w:cs="Times New Roman"/>
      <w:sz w:val="28"/>
      <w:szCs w:val="20"/>
    </w:rPr>
  </w:style>
  <w:style w:type="paragraph" w:customStyle="1" w:styleId="3211">
    <w:name w:val="表标题1.7－2"/>
    <w:basedOn w:val="1"/>
    <w:qFormat/>
    <w:uiPriority w:val="0"/>
    <w:pPr>
      <w:numPr>
        <w:ilvl w:val="0"/>
        <w:numId w:val="72"/>
      </w:numPr>
      <w:tabs>
        <w:tab w:val="left" w:pos="1931"/>
      </w:tabs>
      <w:spacing w:beforeLines="100" w:after="120" w:line="0" w:lineRule="atLeast"/>
      <w:ind w:firstLine="250" w:firstLineChars="250"/>
    </w:pPr>
    <w:rPr>
      <w:rFonts w:ascii="宋体"/>
      <w:color w:val="000000"/>
      <w:kern w:val="0"/>
      <w:sz w:val="34"/>
      <w:szCs w:val="20"/>
    </w:rPr>
  </w:style>
  <w:style w:type="paragraph" w:customStyle="1" w:styleId="3212">
    <w:name w:val="xl73"/>
    <w:basedOn w:val="1"/>
    <w:qFormat/>
    <w:uiPriority w:val="0"/>
    <w:pPr>
      <w:widowControl/>
      <w:pBdr>
        <w:left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3213">
    <w:name w:val="样式 列表 + 左侧:  0 厘米 悬挂缩进: 2 字符"/>
    <w:basedOn w:val="69"/>
    <w:qFormat/>
    <w:uiPriority w:val="0"/>
    <w:pPr>
      <w:widowControl w:val="0"/>
      <w:tabs>
        <w:tab w:val="center" w:pos="4153"/>
        <w:tab w:val="right" w:pos="8306"/>
      </w:tabs>
      <w:snapToGrid w:val="0"/>
      <w:spacing w:line="240" w:lineRule="exact"/>
    </w:pPr>
    <w:rPr>
      <w:rFonts w:hAnsi="Times New Roman"/>
      <w:kern w:val="0"/>
      <w:szCs w:val="20"/>
    </w:rPr>
  </w:style>
  <w:style w:type="paragraph" w:customStyle="1" w:styleId="3214">
    <w:name w:val="CM119"/>
    <w:basedOn w:val="2"/>
    <w:next w:val="2"/>
    <w:semiHidden/>
    <w:qFormat/>
    <w:uiPriority w:val="0"/>
    <w:pPr>
      <w:spacing w:after="432"/>
    </w:pPr>
    <w:rPr>
      <w:rFonts w:ascii="Arial" w:hAnsi="Arial" w:cs="Times New Roman"/>
      <w:color w:val="auto"/>
    </w:rPr>
  </w:style>
  <w:style w:type="paragraph" w:customStyle="1" w:styleId="3215">
    <w:name w:val="湛江表头"/>
    <w:basedOn w:val="2856"/>
    <w:qFormat/>
    <w:uiPriority w:val="0"/>
    <w:pPr>
      <w:widowControl/>
      <w:adjustRightInd w:val="0"/>
      <w:spacing w:before="120" w:after="120"/>
      <w:ind w:left="578" w:hanging="578"/>
      <w:textAlignment w:val="baseline"/>
    </w:pPr>
    <w:rPr>
      <w:sz w:val="21"/>
      <w:szCs w:val="21"/>
    </w:rPr>
  </w:style>
  <w:style w:type="paragraph" w:customStyle="1" w:styleId="3216">
    <w:name w:val="Char Char Char Char Char Char Char Char Char Char Char Char Char Char Char Char Char Char Char Char Char Char Char Char Char Char Char Char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217">
    <w:name w:val="正文-第几条"/>
    <w:basedOn w:val="1"/>
    <w:qFormat/>
    <w:uiPriority w:val="0"/>
    <w:pPr>
      <w:numPr>
        <w:ilvl w:val="0"/>
        <w:numId w:val="73"/>
      </w:numPr>
      <w:tabs>
        <w:tab w:val="left" w:pos="1441"/>
      </w:tabs>
      <w:spacing w:before="100" w:after="100" w:line="312" w:lineRule="auto"/>
      <w:ind w:firstLine="567"/>
    </w:pPr>
    <w:rPr>
      <w:rFonts w:ascii="宋体"/>
      <w:b/>
      <w:bCs/>
      <w:kern w:val="0"/>
      <w:sz w:val="34"/>
      <w:szCs w:val="20"/>
    </w:rPr>
  </w:style>
  <w:style w:type="paragraph" w:customStyle="1" w:styleId="3218">
    <w:name w:val="样式 图表标题 + 段后: 0.5 行"/>
    <w:basedOn w:val="6"/>
    <w:semiHidden/>
    <w:qFormat/>
    <w:uiPriority w:val="0"/>
    <w:pPr>
      <w:widowControl w:val="0"/>
      <w:pBdr>
        <w:top w:val="single" w:color="auto" w:sz="4" w:space="1"/>
      </w:pBdr>
      <w:spacing w:afterLines="50" w:line="480" w:lineRule="exact"/>
      <w:ind w:firstLine="0" w:firstLineChars="0"/>
      <w:jc w:val="center"/>
    </w:pPr>
    <w:rPr>
      <w:rFonts w:ascii="黑体" w:eastAsia="黑体"/>
      <w:b/>
      <w:bCs/>
      <w:sz w:val="20"/>
      <w:szCs w:val="20"/>
    </w:rPr>
  </w:style>
  <w:style w:type="paragraph" w:customStyle="1" w:styleId="3219">
    <w:name w:val="表内5"/>
    <w:basedOn w:val="11"/>
    <w:qFormat/>
    <w:uiPriority w:val="0"/>
    <w:pPr>
      <w:widowControl w:val="0"/>
      <w:numPr>
        <w:ilvl w:val="0"/>
        <w:numId w:val="0"/>
      </w:numPr>
      <w:tabs>
        <w:tab w:val="left" w:pos="4305"/>
      </w:tabs>
      <w:adjustRightInd w:val="0"/>
      <w:snapToGrid w:val="0"/>
      <w:spacing w:before="0" w:after="0" w:line="240" w:lineRule="auto"/>
      <w:jc w:val="center"/>
      <w:outlineLvl w:val="9"/>
    </w:pPr>
    <w:rPr>
      <w:rFonts w:cs="Times New Roman"/>
      <w:b w:val="0"/>
      <w:bCs w:val="0"/>
      <w:color w:val="000000"/>
      <w:sz w:val="21"/>
      <w:szCs w:val="21"/>
    </w:rPr>
  </w:style>
  <w:style w:type="paragraph" w:customStyle="1" w:styleId="3220">
    <w:name w:val="xl58"/>
    <w:basedOn w:val="1"/>
    <w:qFormat/>
    <w:uiPriority w:val="0"/>
    <w:pPr>
      <w:widowControl/>
      <w:pBdr>
        <w:top w:val="single" w:color="000000" w:sz="8" w:space="0"/>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221">
    <w:name w:val="晓丹"/>
    <w:basedOn w:val="43"/>
    <w:qFormat/>
    <w:uiPriority w:val="0"/>
    <w:pPr>
      <w:widowControl w:val="0"/>
      <w:adjustRightInd w:val="0"/>
      <w:snapToGrid w:val="0"/>
      <w:spacing w:after="0" w:line="360" w:lineRule="auto"/>
      <w:ind w:firstLine="200" w:firstLineChars="200"/>
      <w:jc w:val="both"/>
      <w:textAlignment w:val="baseline"/>
    </w:pPr>
    <w:rPr>
      <w:rFonts w:cs="Times New Roman"/>
      <w:color w:val="000000"/>
      <w:spacing w:val="6"/>
      <w:sz w:val="24"/>
      <w:szCs w:val="24"/>
      <w:lang w:val="fr-FR"/>
    </w:rPr>
  </w:style>
  <w:style w:type="paragraph" w:customStyle="1" w:styleId="3222">
    <w:name w:val="前言正文"/>
    <w:basedOn w:val="2498"/>
    <w:qFormat/>
    <w:uiPriority w:val="0"/>
    <w:pPr>
      <w:adjustRightInd w:val="0"/>
      <w:spacing w:before="156"/>
      <w:jc w:val="both"/>
    </w:pPr>
    <w:rPr>
      <w:rFonts w:eastAsia="楷体_GB2312"/>
      <w:kern w:val="0"/>
      <w:szCs w:val="20"/>
    </w:rPr>
  </w:style>
  <w:style w:type="paragraph" w:customStyle="1" w:styleId="3223">
    <w:name w:val="L正文"/>
    <w:basedOn w:val="5"/>
    <w:qFormat/>
    <w:uiPriority w:val="0"/>
    <w:pPr>
      <w:tabs>
        <w:tab w:val="left" w:pos="360"/>
      </w:tabs>
      <w:adjustRightInd w:val="0"/>
      <w:snapToGrid w:val="0"/>
      <w:spacing w:before="120" w:line="460" w:lineRule="exact"/>
      <w:ind w:left="0" w:leftChars="0" w:firstLine="200"/>
    </w:pPr>
    <w:rPr>
      <w:sz w:val="20"/>
    </w:rPr>
  </w:style>
  <w:style w:type="paragraph" w:customStyle="1" w:styleId="3224">
    <w:name w:val="样式 左  0 字符"/>
    <w:basedOn w:val="1"/>
    <w:qFormat/>
    <w:uiPriority w:val="0"/>
    <w:pPr>
      <w:spacing w:line="600" w:lineRule="exact"/>
      <w:ind w:firstLine="200" w:firstLineChars="200"/>
    </w:pPr>
    <w:rPr>
      <w:rFonts w:ascii="宋体" w:cs="宋体"/>
      <w:kern w:val="0"/>
      <w:sz w:val="34"/>
      <w:szCs w:val="20"/>
    </w:rPr>
  </w:style>
  <w:style w:type="paragraph" w:customStyle="1" w:styleId="3225">
    <w:name w:val="样式 标题 21.1标题 21.1标题21节二级标题，黑粗，小三，序号HD2Heading 2 HiddenH...2"/>
    <w:basedOn w:val="8"/>
    <w:qFormat/>
    <w:uiPriority w:val="0"/>
    <w:pPr>
      <w:widowControl w:val="0"/>
      <w:numPr>
        <w:ilvl w:val="0"/>
        <w:numId w:val="0"/>
      </w:numPr>
      <w:spacing w:before="260" w:after="260" w:line="312" w:lineRule="auto"/>
      <w:jc w:val="both"/>
    </w:pPr>
    <w:rPr>
      <w:rFonts w:ascii="Arial" w:eastAsia="黑体"/>
      <w:b/>
      <w:sz w:val="36"/>
      <w:szCs w:val="20"/>
    </w:rPr>
  </w:style>
  <w:style w:type="paragraph" w:customStyle="1" w:styleId="3226">
    <w:name w:val="标题 11"/>
    <w:basedOn w:val="1"/>
    <w:qFormat/>
    <w:uiPriority w:val="0"/>
    <w:pPr>
      <w:autoSpaceDE w:val="0"/>
      <w:autoSpaceDN w:val="0"/>
      <w:adjustRightInd w:val="0"/>
      <w:ind w:left="115"/>
      <w:jc w:val="left"/>
      <w:outlineLvl w:val="0"/>
    </w:pPr>
    <w:rPr>
      <w:rFonts w:ascii="宋体" w:cs="宋体"/>
      <w:kern w:val="0"/>
      <w:sz w:val="32"/>
      <w:szCs w:val="32"/>
    </w:rPr>
  </w:style>
  <w:style w:type="paragraph" w:customStyle="1" w:styleId="3227">
    <w:name w:val="CM41"/>
    <w:basedOn w:val="2"/>
    <w:next w:val="2"/>
    <w:qFormat/>
    <w:uiPriority w:val="0"/>
    <w:rPr>
      <w:rFonts w:ascii="黑体" w:eastAsia="黑体" w:cs="Times New Roman"/>
      <w:color w:val="auto"/>
    </w:rPr>
  </w:style>
  <w:style w:type="paragraph" w:customStyle="1" w:styleId="3228">
    <w:name w:val="表格中段落"/>
    <w:basedOn w:val="1"/>
    <w:semiHidden/>
    <w:qFormat/>
    <w:uiPriority w:val="0"/>
    <w:pPr>
      <w:ind w:firstLine="420" w:firstLineChars="200"/>
    </w:pPr>
    <w:rPr>
      <w:rFonts w:ascii="宋体" w:cs="宋体"/>
      <w:kern w:val="0"/>
      <w:szCs w:val="20"/>
    </w:rPr>
  </w:style>
  <w:style w:type="paragraph" w:customStyle="1" w:styleId="3229">
    <w:name w:val="表标题2.1"/>
    <w:basedOn w:val="2020"/>
    <w:qFormat/>
    <w:uiPriority w:val="0"/>
    <w:pPr>
      <w:widowControl w:val="0"/>
      <w:tabs>
        <w:tab w:val="clear" w:pos="720"/>
        <w:tab w:val="clear" w:pos="8207"/>
      </w:tabs>
      <w:adjustRightInd/>
      <w:snapToGrid/>
      <w:spacing w:before="0" w:line="240" w:lineRule="auto"/>
      <w:ind w:left="0" w:firstLine="0"/>
      <w:jc w:val="both"/>
      <w:textAlignment w:val="auto"/>
    </w:pPr>
    <w:rPr>
      <w:rFonts w:eastAsia="宋体"/>
      <w:b w:val="0"/>
      <w:color w:val="auto"/>
      <w:sz w:val="21"/>
      <w:szCs w:val="21"/>
    </w:rPr>
  </w:style>
  <w:style w:type="paragraph" w:customStyle="1" w:styleId="3230">
    <w:name w:val="Char Char Char Char Char Char Char Char Char Char Char Char Char Char Char Char Char Char Char Char Char Char Char Char Char Char Char Char Char Char Char Char Char Char Char Char Char Char Char Char2"/>
    <w:basedOn w:val="1"/>
    <w:qFormat/>
    <w:uiPriority w:val="0"/>
    <w:rPr>
      <w:rFonts w:ascii="宋体"/>
      <w:kern w:val="0"/>
      <w:sz w:val="34"/>
      <w:szCs w:val="20"/>
    </w:rPr>
  </w:style>
  <w:style w:type="paragraph" w:customStyle="1" w:styleId="3231">
    <w:name w:val="xl189"/>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232">
    <w:name w:val="中文报告书"/>
    <w:basedOn w:val="1"/>
    <w:qFormat/>
    <w:uiPriority w:val="0"/>
    <w:pPr>
      <w:adjustRightInd w:val="0"/>
      <w:spacing w:after="80" w:line="420" w:lineRule="atLeast"/>
      <w:jc w:val="left"/>
      <w:textAlignment w:val="baseline"/>
    </w:pPr>
    <w:rPr>
      <w:rFonts w:ascii="宋体"/>
      <w:kern w:val="0"/>
      <w:sz w:val="34"/>
      <w:szCs w:val="20"/>
    </w:rPr>
  </w:style>
  <w:style w:type="paragraph" w:customStyle="1" w:styleId="3233">
    <w:name w:val="样式 正文缩进 + 小四 首行缩进:  2 字符1"/>
    <w:basedOn w:val="6"/>
    <w:qFormat/>
    <w:uiPriority w:val="0"/>
    <w:pPr>
      <w:keepNext/>
      <w:widowControl w:val="0"/>
      <w:tabs>
        <w:tab w:val="left" w:pos="1727"/>
        <w:tab w:val="left" w:pos="1884"/>
      </w:tabs>
      <w:spacing w:before="120" w:after="120" w:line="360" w:lineRule="auto"/>
      <w:ind w:left="578" w:firstLine="480"/>
      <w:outlineLvl w:val="0"/>
    </w:pPr>
    <w:rPr>
      <w:snapToGrid w:val="0"/>
      <w:color w:val="000000"/>
      <w:sz w:val="28"/>
      <w:szCs w:val="20"/>
    </w:rPr>
  </w:style>
  <w:style w:type="paragraph" w:customStyle="1" w:styleId="3234">
    <w:name w:val="p1"/>
    <w:basedOn w:val="67"/>
    <w:qFormat/>
    <w:uiPriority w:val="0"/>
    <w:pPr>
      <w:widowControl w:val="0"/>
      <w:adjustRightInd/>
      <w:snapToGrid/>
      <w:spacing w:line="312" w:lineRule="auto"/>
    </w:pPr>
    <w:rPr>
      <w:rFonts w:ascii="Arial" w:eastAsia="宋体" w:cs="Arial"/>
      <w:bCs/>
      <w:sz w:val="32"/>
      <w:szCs w:val="32"/>
    </w:rPr>
  </w:style>
  <w:style w:type="paragraph" w:customStyle="1" w:styleId="3235">
    <w:name w:val="样式 样式 样式 样式 样式 正文 首行缩进 + 首行缩进:  2 字符 行距: 单倍行距 + 首行缩进:  2 字符 + 小四..."/>
    <w:basedOn w:val="2117"/>
    <w:qFormat/>
    <w:uiPriority w:val="0"/>
    <w:pPr>
      <w:ind w:firstLine="480"/>
    </w:pPr>
  </w:style>
  <w:style w:type="paragraph" w:customStyle="1" w:styleId="3236">
    <w:name w:val="xl90"/>
    <w:basedOn w:val="1"/>
    <w:qFormat/>
    <w:uiPriority w:val="0"/>
    <w:pPr>
      <w:widowControl/>
      <w:pBdr>
        <w:top w:val="single" w:color="auto" w:sz="8" w:space="0"/>
        <w:left w:val="single" w:color="auto" w:sz="8" w:space="0"/>
        <w:bottom w:val="single" w:color="auto" w:sz="8" w:space="0"/>
      </w:pBdr>
      <w:spacing w:before="100" w:beforeAutospacing="1" w:after="100" w:afterAutospacing="1"/>
    </w:pPr>
    <w:rPr>
      <w:rFonts w:ascii="仿宋_GB2312" w:hAnsi="宋体" w:eastAsia="仿宋_GB2312" w:cs="宋体"/>
      <w:kern w:val="0"/>
      <w:szCs w:val="21"/>
    </w:rPr>
  </w:style>
  <w:style w:type="paragraph" w:customStyle="1" w:styleId="3237">
    <w:name w:val="表内5中"/>
    <w:basedOn w:val="1"/>
    <w:qFormat/>
    <w:uiPriority w:val="0"/>
    <w:pPr>
      <w:autoSpaceDE w:val="0"/>
      <w:snapToGrid w:val="0"/>
      <w:jc w:val="center"/>
    </w:pPr>
    <w:rPr>
      <w:rFonts w:ascii="宋体" w:hAnsi="宋体"/>
      <w:color w:val="000000"/>
      <w:kern w:val="1"/>
      <w:sz w:val="34"/>
      <w:szCs w:val="20"/>
      <w:lang w:eastAsia="ar-SA"/>
    </w:rPr>
  </w:style>
  <w:style w:type="paragraph" w:customStyle="1" w:styleId="3238">
    <w:name w:val="Char Char Char Char Char Char1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3239">
    <w:name w:val="Char11"/>
    <w:basedOn w:val="1"/>
    <w:qFormat/>
    <w:uiPriority w:val="0"/>
    <w:pPr>
      <w:widowControl/>
      <w:spacing w:line="360" w:lineRule="auto"/>
      <w:ind w:firstLine="200" w:firstLineChars="200"/>
      <w:jc w:val="left"/>
    </w:pPr>
    <w:rPr>
      <w:rFonts w:ascii="宋体"/>
      <w:kern w:val="0"/>
      <w:sz w:val="34"/>
      <w:szCs w:val="20"/>
    </w:rPr>
  </w:style>
  <w:style w:type="paragraph" w:customStyle="1" w:styleId="3240">
    <w:name w:val="CM16"/>
    <w:basedOn w:val="2"/>
    <w:next w:val="2"/>
    <w:qFormat/>
    <w:uiPriority w:val="0"/>
    <w:pPr>
      <w:spacing w:line="468" w:lineRule="atLeast"/>
    </w:pPr>
    <w:rPr>
      <w:rFonts w:cs="Times New Roman"/>
      <w:color w:val="auto"/>
    </w:rPr>
  </w:style>
  <w:style w:type="paragraph" w:customStyle="1" w:styleId="3241">
    <w:name w:val="图的格式"/>
    <w:basedOn w:val="1"/>
    <w:next w:val="2785"/>
    <w:qFormat/>
    <w:uiPriority w:val="0"/>
    <w:pPr>
      <w:adjustRightInd w:val="0"/>
      <w:snapToGrid w:val="0"/>
      <w:spacing w:beforeLines="50"/>
      <w:jc w:val="center"/>
    </w:pPr>
    <w:rPr>
      <w:rFonts w:ascii="宋体"/>
      <w:kern w:val="0"/>
      <w:sz w:val="34"/>
      <w:szCs w:val="20"/>
    </w:rPr>
  </w:style>
  <w:style w:type="paragraph" w:customStyle="1" w:styleId="3242">
    <w:name w:val="其 它 文 件"/>
    <w:basedOn w:val="1"/>
    <w:qFormat/>
    <w:uiPriority w:val="0"/>
    <w:pPr>
      <w:adjustRightInd w:val="0"/>
      <w:spacing w:after="80" w:line="440" w:lineRule="atLeast"/>
      <w:jc w:val="left"/>
      <w:textAlignment w:val="baseline"/>
    </w:pPr>
    <w:rPr>
      <w:rFonts w:ascii="宋体" w:eastAsia="楷体"/>
      <w:kern w:val="0"/>
      <w:sz w:val="28"/>
      <w:szCs w:val="20"/>
    </w:rPr>
  </w:style>
  <w:style w:type="paragraph" w:customStyle="1" w:styleId="3243">
    <w:name w:val="表标题6.11"/>
    <w:basedOn w:val="1"/>
    <w:semiHidden/>
    <w:qFormat/>
    <w:uiPriority w:val="0"/>
    <w:pPr>
      <w:tabs>
        <w:tab w:val="left" w:pos="1619"/>
      </w:tabs>
      <w:spacing w:beforeLines="100" w:after="120" w:line="0" w:lineRule="atLeast"/>
      <w:ind w:left="539" w:hanging="578"/>
    </w:pPr>
    <w:rPr>
      <w:rFonts w:ascii="宋体" w:eastAsia="黑体"/>
      <w:b/>
      <w:kern w:val="0"/>
      <w:sz w:val="34"/>
      <w:szCs w:val="20"/>
    </w:rPr>
  </w:style>
  <w:style w:type="paragraph" w:customStyle="1" w:styleId="3244">
    <w:name w:val="样式 样式 题注 + (西文) 宋体 + 段后: 1 行"/>
    <w:basedOn w:val="1"/>
    <w:qFormat/>
    <w:uiPriority w:val="0"/>
    <w:pPr>
      <w:keepNext/>
      <w:spacing w:before="120" w:after="120" w:line="360" w:lineRule="auto"/>
      <w:ind w:left="578" w:firstLine="200" w:firstLineChars="200"/>
      <w:jc w:val="left"/>
    </w:pPr>
    <w:rPr>
      <w:rFonts w:ascii="宋体" w:hAnsi="宋体" w:cs="宋体"/>
      <w:color w:val="000000"/>
      <w:kern w:val="0"/>
      <w:sz w:val="28"/>
      <w:szCs w:val="20"/>
    </w:rPr>
  </w:style>
  <w:style w:type="paragraph" w:customStyle="1" w:styleId="3245">
    <w:name w:val="my1"/>
    <w:basedOn w:val="62"/>
    <w:qFormat/>
    <w:uiPriority w:val="0"/>
    <w:pPr>
      <w:widowControl w:val="0"/>
      <w:tabs>
        <w:tab w:val="left" w:pos="360"/>
        <w:tab w:val="clear" w:pos="8778"/>
      </w:tabs>
      <w:spacing w:before="120" w:after="120" w:line="300" w:lineRule="auto"/>
      <w:ind w:left="360" w:hanging="360" w:hangingChars="200"/>
    </w:pPr>
    <w:rPr>
      <w:rFonts w:ascii="Times New Roman" w:hAnsi="Times New Roman" w:cs="Times New Roman"/>
      <w:b w:val="0"/>
      <w:bCs/>
      <w:kern w:val="2"/>
      <w:sz w:val="20"/>
      <w:szCs w:val="20"/>
      <w:lang w:val="fr-FR"/>
    </w:rPr>
  </w:style>
  <w:style w:type="paragraph" w:customStyle="1" w:styleId="3246">
    <w:name w:val="附录标识"/>
    <w:basedOn w:val="1"/>
    <w:qFormat/>
    <w:uiPriority w:val="0"/>
    <w:pPr>
      <w:widowControl/>
      <w:shd w:val="clear" w:color="FFFFFF" w:fill="FFFFFF"/>
      <w:tabs>
        <w:tab w:val="left" w:pos="632"/>
        <w:tab w:val="left" w:pos="6405"/>
      </w:tabs>
      <w:spacing w:before="640" w:after="200"/>
      <w:ind w:left="632" w:hanging="432"/>
      <w:jc w:val="center"/>
      <w:outlineLvl w:val="0"/>
    </w:pPr>
    <w:rPr>
      <w:rFonts w:ascii="黑体" w:eastAsia="黑体"/>
      <w:kern w:val="0"/>
      <w:szCs w:val="20"/>
    </w:rPr>
  </w:style>
  <w:style w:type="paragraph" w:customStyle="1" w:styleId="3247">
    <w:name w:val="样式 标题 1标题 1 Char一级标题，黑粗，三号，序号OG Heading 1. (1.0)PartH1H11..."/>
    <w:basedOn w:val="7"/>
    <w:qFormat/>
    <w:uiPriority w:val="0"/>
    <w:pPr>
      <w:keepLines/>
      <w:overflowPunct/>
      <w:snapToGrid/>
      <w:spacing w:before="340" w:beforeLines="50" w:after="330" w:afterLines="50" w:line="240" w:lineRule="auto"/>
      <w:ind w:left="0" w:firstLine="482"/>
    </w:pPr>
    <w:rPr>
      <w:rFonts w:ascii="宋体" w:hAnsi="宋体" w:cs="宋体"/>
      <w:b w:val="0"/>
      <w:color w:val="auto"/>
      <w:szCs w:val="20"/>
    </w:rPr>
  </w:style>
  <w:style w:type="paragraph" w:customStyle="1" w:styleId="3248">
    <w:name w:val="Char Char2 Char3"/>
    <w:basedOn w:val="1"/>
    <w:qFormat/>
    <w:uiPriority w:val="0"/>
    <w:rPr>
      <w:rFonts w:ascii="宋体"/>
      <w:kern w:val="0"/>
      <w:szCs w:val="21"/>
    </w:rPr>
  </w:style>
  <w:style w:type="paragraph" w:customStyle="1" w:styleId="3249">
    <w:name w:val="方程式"/>
    <w:basedOn w:val="198"/>
    <w:qFormat/>
    <w:uiPriority w:val="0"/>
    <w:pPr>
      <w:adjustRightInd/>
      <w:snapToGrid/>
      <w:spacing w:before="120" w:beforeLines="0" w:after="120" w:afterLines="0" w:line="240" w:lineRule="auto"/>
      <w:ind w:firstLine="567"/>
      <w:jc w:val="both"/>
    </w:pPr>
    <w:rPr>
      <w:rFonts w:ascii="Times New Roman" w:eastAsia="Times New Roman"/>
      <w:kern w:val="2"/>
      <w:sz w:val="28"/>
    </w:rPr>
  </w:style>
  <w:style w:type="paragraph" w:customStyle="1" w:styleId="3250">
    <w:name w:val="CM59"/>
    <w:basedOn w:val="2"/>
    <w:next w:val="2"/>
    <w:qFormat/>
    <w:uiPriority w:val="0"/>
    <w:rPr>
      <w:rFonts w:cs="Times New Roman"/>
      <w:color w:val="auto"/>
    </w:rPr>
  </w:style>
  <w:style w:type="paragraph" w:customStyle="1" w:styleId="3251">
    <w:name w:val="样式 表格2 + Times New Roman"/>
    <w:basedOn w:val="1"/>
    <w:qFormat/>
    <w:uiPriority w:val="0"/>
    <w:pPr>
      <w:spacing w:beforeLines="5"/>
      <w:jc w:val="center"/>
    </w:pPr>
    <w:rPr>
      <w:rFonts w:ascii="宋体" w:eastAsia="Times New Roman" w:cs="宋体"/>
      <w:kern w:val="0"/>
      <w:szCs w:val="20"/>
      <w:lang w:val="zh-CN"/>
    </w:rPr>
  </w:style>
  <w:style w:type="paragraph" w:customStyle="1" w:styleId="3252">
    <w:name w:val="样式 样式1 + 五号 黑色 段前: 4 磅 段后: 4 磅 行距: 单倍行距"/>
    <w:basedOn w:val="1"/>
    <w:qFormat/>
    <w:uiPriority w:val="0"/>
    <w:pPr>
      <w:pBdr>
        <w:top w:val="single" w:color="auto" w:sz="4" w:space="1"/>
      </w:pBdr>
      <w:spacing w:before="80" w:after="80"/>
    </w:pPr>
    <w:rPr>
      <w:rFonts w:ascii="宋体"/>
      <w:kern w:val="0"/>
      <w:szCs w:val="21"/>
    </w:rPr>
  </w:style>
  <w:style w:type="paragraph" w:customStyle="1" w:styleId="3253">
    <w:name w:val="注释"/>
    <w:basedOn w:val="1"/>
    <w:qFormat/>
    <w:uiPriority w:val="0"/>
    <w:pPr>
      <w:spacing w:before="60" w:line="360" w:lineRule="exact"/>
      <w:ind w:firstLine="200" w:firstLineChars="200"/>
    </w:pPr>
    <w:rPr>
      <w:rFonts w:ascii="宋体"/>
      <w:kern w:val="0"/>
      <w:szCs w:val="21"/>
    </w:rPr>
  </w:style>
  <w:style w:type="paragraph" w:customStyle="1" w:styleId="3254">
    <w:name w:val="Char Char1 Char Char Char Char Char Char Char Char 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255">
    <w:name w:val="Char Char Char Char Char Char Char Char Char1 Char Char Char1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256">
    <w:name w:val="样式 首行缩进:  0.77 厘米 行距: 固定值 20 磅4"/>
    <w:basedOn w:val="1"/>
    <w:semiHidden/>
    <w:qFormat/>
    <w:uiPriority w:val="0"/>
    <w:pPr>
      <w:spacing w:before="120" w:after="120" w:line="360" w:lineRule="auto"/>
      <w:ind w:left="578" w:firstLine="435"/>
    </w:pPr>
    <w:rPr>
      <w:rFonts w:ascii="宋体"/>
      <w:kern w:val="0"/>
      <w:szCs w:val="20"/>
    </w:rPr>
  </w:style>
  <w:style w:type="paragraph" w:customStyle="1" w:styleId="3257">
    <w:name w:val="目次"/>
    <w:unhideWhenUsed/>
    <w:qFormat/>
    <w:uiPriority w:val="0"/>
    <w:pPr>
      <w:tabs>
        <w:tab w:val="left" w:pos="425"/>
      </w:tabs>
      <w:adjustRightInd w:val="0"/>
      <w:spacing w:before="200" w:after="100"/>
      <w:ind w:left="578" w:hanging="425"/>
      <w:jc w:val="center"/>
      <w:textAlignment w:val="baseline"/>
    </w:pPr>
    <w:rPr>
      <w:rFonts w:ascii="黑体" w:hAnsi="Times New Roman" w:eastAsia="黑体" w:cs="Times New Roman"/>
      <w:sz w:val="24"/>
      <w:lang w:val="en-US" w:eastAsia="zh-CN" w:bidi="ar-SA"/>
    </w:rPr>
  </w:style>
  <w:style w:type="paragraph" w:customStyle="1" w:styleId="3258">
    <w:name w:val="CM97"/>
    <w:basedOn w:val="2"/>
    <w:next w:val="2"/>
    <w:semiHidden/>
    <w:qFormat/>
    <w:uiPriority w:val="0"/>
    <w:pPr>
      <w:adjustRightInd/>
    </w:pPr>
    <w:rPr>
      <w:rFonts w:hint="eastAsia" w:ascii="仿宋" w:hAnsi="仿宋" w:eastAsia="仿宋" w:cs="Times New Roman"/>
      <w:szCs w:val="20"/>
    </w:rPr>
  </w:style>
  <w:style w:type="paragraph" w:customStyle="1" w:styleId="3259">
    <w:name w:val="??¡ì???¡ì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260">
    <w:name w:val="报告"/>
    <w:basedOn w:val="1"/>
    <w:qFormat/>
    <w:uiPriority w:val="0"/>
    <w:pPr>
      <w:overflowPunct w:val="0"/>
      <w:autoSpaceDE w:val="0"/>
      <w:autoSpaceDN w:val="0"/>
      <w:adjustRightInd w:val="0"/>
      <w:spacing w:beforeLines="20" w:afterLines="20" w:line="360" w:lineRule="atLeast"/>
      <w:ind w:firstLine="200" w:firstLineChars="200"/>
      <w:jc w:val="left"/>
      <w:textAlignment w:val="baseline"/>
    </w:pPr>
    <w:rPr>
      <w:rFonts w:ascii="宋体"/>
      <w:color w:val="000000"/>
      <w:spacing w:val="8"/>
      <w:kern w:val="0"/>
      <w:sz w:val="34"/>
      <w:szCs w:val="28"/>
    </w:rPr>
  </w:style>
  <w:style w:type="paragraph" w:customStyle="1" w:styleId="3261">
    <w:name w:val="南通表格"/>
    <w:basedOn w:val="1"/>
    <w:next w:val="1"/>
    <w:qFormat/>
    <w:uiPriority w:val="0"/>
    <w:pPr>
      <w:framePr w:wrap="around" w:vAnchor="text" w:hAnchor="text" w:y="1"/>
      <w:jc w:val="center"/>
    </w:pPr>
    <w:rPr>
      <w:rFonts w:ascii="宋体"/>
      <w:kern w:val="0"/>
      <w:szCs w:val="20"/>
    </w:rPr>
  </w:style>
  <w:style w:type="paragraph" w:customStyle="1" w:styleId="3262">
    <w:name w:val="In Table (II)"/>
    <w:basedOn w:val="3062"/>
    <w:unhideWhenUsed/>
    <w:qFormat/>
    <w:uiPriority w:val="0"/>
    <w:pPr>
      <w:tabs>
        <w:tab w:val="left" w:pos="2200"/>
        <w:tab w:val="clear" w:pos="3960"/>
        <w:tab w:val="clear" w:pos="5280"/>
      </w:tabs>
      <w:adjustRightInd/>
      <w:snapToGrid/>
      <w:spacing w:before="120" w:after="0"/>
      <w:ind w:left="48" w:leftChars="20" w:firstLine="567"/>
      <w:jc w:val="left"/>
      <w:textAlignment w:val="auto"/>
    </w:pPr>
    <w:rPr>
      <w:rFonts w:cs="Arial"/>
      <w:bCs/>
      <w:kern w:val="2"/>
      <w:sz w:val="28"/>
      <w:szCs w:val="21"/>
    </w:rPr>
  </w:style>
  <w:style w:type="paragraph" w:customStyle="1" w:styleId="3263">
    <w:name w:val="默认段落字体 Para Char Char Char Char Char Char1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264">
    <w:name w:val="振标题2"/>
    <w:basedOn w:val="8"/>
    <w:qFormat/>
    <w:uiPriority w:val="0"/>
    <w:pPr>
      <w:widowControl w:val="0"/>
      <w:numPr>
        <w:ilvl w:val="0"/>
        <w:numId w:val="0"/>
      </w:numPr>
      <w:spacing w:before="160" w:after="160" w:line="413" w:lineRule="auto"/>
    </w:pPr>
    <w:rPr>
      <w:rFonts w:ascii="宋体" w:hAnsi="宋体" w:eastAsia="仿宋_GB2312" w:cs="Times New Roman"/>
      <w:bCs/>
      <w:szCs w:val="28"/>
    </w:rPr>
  </w:style>
  <w:style w:type="paragraph" w:customStyle="1" w:styleId="3265">
    <w:name w:val="样式 正文文本缩进 + Arial 五号 加粗 居中 底端: (单实线 自动设置  0.75 磅 行宽) 行距: ...1"/>
    <w:basedOn w:val="5"/>
    <w:qFormat/>
    <w:uiPriority w:val="0"/>
    <w:pPr>
      <w:topLinePunct/>
      <w:adjustRightInd w:val="0"/>
      <w:snapToGrid w:val="0"/>
      <w:spacing w:after="0"/>
      <w:ind w:left="0" w:leftChars="0"/>
      <w:jc w:val="center"/>
    </w:pPr>
    <w:rPr>
      <w:rFonts w:ascii="Arial" w:hAnsi="Arial" w:cs="宋体"/>
      <w:b/>
      <w:bCs/>
      <w:sz w:val="21"/>
    </w:rPr>
  </w:style>
  <w:style w:type="paragraph" w:customStyle="1" w:styleId="3266">
    <w:name w:val="样式 首行缩进:  0 字符"/>
    <w:basedOn w:val="3247"/>
    <w:qFormat/>
    <w:uiPriority w:val="0"/>
    <w:pPr>
      <w:tabs>
        <w:tab w:val="left" w:pos="720"/>
        <w:tab w:val="left" w:pos="900"/>
      </w:tabs>
      <w:spacing w:beforeLines="0" w:afterLines="0"/>
      <w:ind w:firstLine="0"/>
    </w:pPr>
    <w:rPr>
      <w:b/>
      <w:sz w:val="44"/>
    </w:rPr>
  </w:style>
  <w:style w:type="paragraph" w:customStyle="1" w:styleId="3267">
    <w:name w:val="正文 + 宋体 小四"/>
    <w:basedOn w:val="1"/>
    <w:qFormat/>
    <w:uiPriority w:val="0"/>
    <w:pPr>
      <w:adjustRightInd w:val="0"/>
      <w:snapToGrid w:val="0"/>
      <w:spacing w:line="360" w:lineRule="auto"/>
      <w:ind w:firstLine="200" w:firstLineChars="200"/>
      <w:textAlignment w:val="baseline"/>
    </w:pPr>
    <w:rPr>
      <w:rFonts w:ascii="宋体" w:hAnsi="宋体" w:eastAsia="仿宋_GB2312" w:cs="黑体"/>
      <w:snapToGrid w:val="0"/>
      <w:kern w:val="0"/>
      <w:sz w:val="28"/>
      <w:szCs w:val="20"/>
    </w:rPr>
  </w:style>
  <w:style w:type="paragraph" w:customStyle="1" w:styleId="3268">
    <w:name w:val="样式 表格文字五号"/>
    <w:basedOn w:val="3269"/>
    <w:unhideWhenUsed/>
    <w:qFormat/>
    <w:uiPriority w:val="0"/>
    <w:pPr>
      <w:spacing w:before="48" w:line="0" w:lineRule="atLeast"/>
    </w:pPr>
    <w:rPr>
      <w:rFonts w:cs="宋体"/>
      <w:szCs w:val="20"/>
    </w:rPr>
  </w:style>
  <w:style w:type="paragraph" w:customStyle="1" w:styleId="3269">
    <w:name w:val="表格文字五号"/>
    <w:basedOn w:val="37"/>
    <w:unhideWhenUsed/>
    <w:qFormat/>
    <w:uiPriority w:val="0"/>
    <w:pPr>
      <w:widowControl w:val="0"/>
      <w:snapToGrid/>
      <w:spacing w:before="100" w:beforeAutospacing="1" w:after="100" w:afterAutospacing="1" w:line="240" w:lineRule="auto"/>
      <w:ind w:left="578" w:right="0" w:hanging="578"/>
      <w:jc w:val="center"/>
    </w:pPr>
    <w:rPr>
      <w:rFonts w:ascii="Times" w:hAnsi="Times"/>
      <w:sz w:val="21"/>
      <w:szCs w:val="28"/>
    </w:rPr>
  </w:style>
  <w:style w:type="paragraph" w:customStyle="1" w:styleId="3270">
    <w:name w:val="表3"/>
    <w:basedOn w:val="1"/>
    <w:qFormat/>
    <w:uiPriority w:val="0"/>
    <w:pPr>
      <w:adjustRightInd w:val="0"/>
      <w:spacing w:before="100" w:after="20" w:line="312" w:lineRule="atLeast"/>
      <w:ind w:left="578" w:hanging="578"/>
      <w:jc w:val="center"/>
      <w:textAlignment w:val="baseline"/>
    </w:pPr>
    <w:rPr>
      <w:rFonts w:ascii="宋体"/>
      <w:kern w:val="0"/>
      <w:sz w:val="34"/>
      <w:szCs w:val="20"/>
    </w:rPr>
  </w:style>
  <w:style w:type="paragraph" w:customStyle="1" w:styleId="3271">
    <w:name w:val="¡À¨ª¡À¨º¨¬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3272">
    <w:name w:val="样式 标题 31.1.1条标题 3 Char Char标题 3 Char三级标题，黑粗，四号，序号Heading 3...1"/>
    <w:basedOn w:val="9"/>
    <w:qFormat/>
    <w:uiPriority w:val="0"/>
    <w:pPr>
      <w:widowControl w:val="0"/>
      <w:numPr>
        <w:ilvl w:val="0"/>
        <w:numId w:val="0"/>
      </w:numPr>
      <w:tabs>
        <w:tab w:val="left" w:pos="1740"/>
      </w:tabs>
      <w:spacing w:line="240" w:lineRule="auto"/>
      <w:ind w:left="1740" w:hanging="420"/>
      <w:jc w:val="both"/>
    </w:pPr>
    <w:rPr>
      <w:bCs w:val="0"/>
      <w:color w:val="FF0000"/>
      <w:sz w:val="32"/>
      <w:szCs w:val="20"/>
    </w:rPr>
  </w:style>
  <w:style w:type="paragraph" w:customStyle="1" w:styleId="3273">
    <w:name w:val="样式 标题 3ReHead 3 WSAh3标题 3 Char Char Char标题 3 Char Char Char..."/>
    <w:basedOn w:val="9"/>
    <w:qFormat/>
    <w:uiPriority w:val="0"/>
    <w:pPr>
      <w:widowControl w:val="0"/>
      <w:numPr>
        <w:ilvl w:val="0"/>
        <w:numId w:val="0"/>
      </w:numPr>
      <w:tabs>
        <w:tab w:val="left" w:pos="1740"/>
      </w:tabs>
      <w:spacing w:before="100" w:after="156" w:line="460" w:lineRule="exact"/>
      <w:ind w:left="709" w:hanging="709"/>
      <w:jc w:val="both"/>
    </w:pPr>
    <w:rPr>
      <w:rFonts w:cs="Times New Roman"/>
      <w:bCs w:val="0"/>
      <w:color w:val="FF0000"/>
      <w:sz w:val="32"/>
      <w:szCs w:val="20"/>
    </w:rPr>
  </w:style>
  <w:style w:type="paragraph" w:customStyle="1" w:styleId="3274">
    <w:name w:val="WW-正文文字缩进 2"/>
    <w:basedOn w:val="1"/>
    <w:qFormat/>
    <w:uiPriority w:val="0"/>
    <w:pPr>
      <w:suppressAutoHyphens/>
      <w:spacing w:line="360" w:lineRule="auto"/>
      <w:ind w:left="570" w:firstLine="200" w:firstLineChars="200"/>
    </w:pPr>
    <w:rPr>
      <w:rFonts w:ascii="宋体" w:hAnsi="宋体"/>
      <w:kern w:val="1"/>
      <w:sz w:val="28"/>
      <w:szCs w:val="20"/>
    </w:rPr>
  </w:style>
  <w:style w:type="paragraph" w:customStyle="1" w:styleId="3275">
    <w:name w:val="样式 宋体 三号 居中 行距: 1.5 倍行距"/>
    <w:basedOn w:val="1"/>
    <w:qFormat/>
    <w:uiPriority w:val="0"/>
    <w:pPr>
      <w:spacing w:line="360" w:lineRule="auto"/>
      <w:jc w:val="center"/>
    </w:pPr>
    <w:rPr>
      <w:rFonts w:ascii="宋体" w:hAnsi="宋体" w:cs="宋体"/>
      <w:spacing w:val="20"/>
      <w:kern w:val="0"/>
      <w:sz w:val="32"/>
      <w:szCs w:val="20"/>
    </w:rPr>
  </w:style>
  <w:style w:type="paragraph" w:customStyle="1" w:styleId="3276">
    <w:name w:val="图表文字 Char Char"/>
    <w:basedOn w:val="1"/>
    <w:qFormat/>
    <w:uiPriority w:val="0"/>
    <w:pPr>
      <w:spacing w:line="0" w:lineRule="atLeast"/>
      <w:jc w:val="center"/>
    </w:pPr>
    <w:rPr>
      <w:rFonts w:ascii="楷体_GB2312" w:eastAsia="楷体_GB2312"/>
      <w:kern w:val="0"/>
      <w:szCs w:val="21"/>
    </w:rPr>
  </w:style>
  <w:style w:type="paragraph" w:customStyle="1" w:styleId="3277">
    <w:name w:val="xl162"/>
    <w:basedOn w:val="1"/>
    <w:qFormat/>
    <w:uiPriority w:val="0"/>
    <w:pPr>
      <w:widowControl/>
      <w:pBdr>
        <w:top w:val="single" w:color="auto" w:sz="8"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278">
    <w:name w:val="表格标题居中"/>
    <w:basedOn w:val="1"/>
    <w:qFormat/>
    <w:uiPriority w:val="0"/>
    <w:pPr>
      <w:tabs>
        <w:tab w:val="left" w:pos="180"/>
        <w:tab w:val="center" w:pos="279"/>
      </w:tabs>
      <w:jc w:val="center"/>
    </w:pPr>
    <w:rPr>
      <w:rFonts w:hint="eastAsia" w:ascii="宋体" w:hAnsi="宋体" w:eastAsia="黑体"/>
      <w:kern w:val="0"/>
      <w:szCs w:val="21"/>
    </w:rPr>
  </w:style>
  <w:style w:type="paragraph" w:customStyle="1" w:styleId="3279">
    <w:name w:val="样式 样式 标题 1 + 两端对齐 + 两端对齐"/>
    <w:basedOn w:val="1"/>
    <w:qFormat/>
    <w:uiPriority w:val="0"/>
    <w:pPr>
      <w:keepNext/>
      <w:keepLines/>
      <w:adjustRightInd w:val="0"/>
      <w:spacing w:line="360" w:lineRule="auto"/>
      <w:ind w:firstLine="881" w:firstLineChars="200"/>
      <w:textAlignment w:val="baseline"/>
      <w:outlineLvl w:val="0"/>
    </w:pPr>
    <w:rPr>
      <w:rFonts w:ascii="宋体"/>
      <w:b/>
      <w:bCs/>
      <w:kern w:val="44"/>
      <w:sz w:val="44"/>
      <w:szCs w:val="20"/>
    </w:rPr>
  </w:style>
  <w:style w:type="paragraph" w:customStyle="1" w:styleId="3280">
    <w:name w:val="样式 标题 3 + 首行缩进:  2 字符"/>
    <w:basedOn w:val="9"/>
    <w:qFormat/>
    <w:uiPriority w:val="0"/>
    <w:pPr>
      <w:widowControl w:val="0"/>
      <w:numPr>
        <w:ilvl w:val="0"/>
        <w:numId w:val="0"/>
      </w:numPr>
      <w:spacing w:line="300" w:lineRule="auto"/>
      <w:ind w:firstLine="200" w:firstLineChars="200"/>
    </w:pPr>
    <w:rPr>
      <w:b/>
      <w:sz w:val="24"/>
      <w:szCs w:val="20"/>
    </w:rPr>
  </w:style>
  <w:style w:type="paragraph" w:customStyle="1" w:styleId="3281">
    <w:name w:val="T表格"/>
    <w:qFormat/>
    <w:uiPriority w:val="0"/>
    <w:pPr>
      <w:jc w:val="center"/>
    </w:pPr>
    <w:rPr>
      <w:rFonts w:ascii="Times New Roman" w:hAnsi="Times New Roman" w:eastAsia="宋体" w:cs="Times New Roman"/>
      <w:sz w:val="21"/>
      <w:lang w:val="en-US" w:eastAsia="zh-CN" w:bidi="ar-SA"/>
    </w:rPr>
  </w:style>
  <w:style w:type="paragraph" w:customStyle="1" w:styleId="3282">
    <w:name w:val="样式 样式 表格文字—五号 + 宋体 行距: 最小值 0 磅 + (中文) 华文中宋 段前: 2.4 磅 段后: 4.8 磅1"/>
    <w:basedOn w:val="2015"/>
    <w:qFormat/>
    <w:uiPriority w:val="0"/>
    <w:pPr>
      <w:spacing w:before="48" w:after="96"/>
    </w:pPr>
  </w:style>
  <w:style w:type="paragraph" w:customStyle="1" w:styleId="3283">
    <w:name w:val="gb1"/>
    <w:basedOn w:val="1"/>
    <w:qFormat/>
    <w:uiPriority w:val="0"/>
    <w:pPr>
      <w:widowControl/>
      <w:tabs>
        <w:tab w:val="left" w:pos="227"/>
      </w:tabs>
      <w:overflowPunct w:val="0"/>
      <w:autoSpaceDE w:val="0"/>
      <w:autoSpaceDN w:val="0"/>
      <w:adjustRightInd w:val="0"/>
      <w:spacing w:before="120" w:after="120" w:line="360" w:lineRule="auto"/>
      <w:ind w:left="578" w:hanging="578"/>
      <w:jc w:val="left"/>
      <w:textAlignment w:val="baseline"/>
    </w:pPr>
    <w:rPr>
      <w:rFonts w:ascii="Arial" w:hAnsi="Arial" w:eastAsia="仿宋体" w:cs="Arial"/>
      <w:kern w:val="0"/>
      <w:szCs w:val="21"/>
    </w:rPr>
  </w:style>
  <w:style w:type="paragraph" w:customStyle="1" w:styleId="3284">
    <w:name w:val="样式 首行缩进:  0.85 厘米"/>
    <w:basedOn w:val="1"/>
    <w:qFormat/>
    <w:uiPriority w:val="0"/>
    <w:pPr>
      <w:ind w:firstLine="480"/>
    </w:pPr>
    <w:rPr>
      <w:rFonts w:ascii="楷体_GB2312" w:hAnsi="方正粗宋简体" w:eastAsia="楷体_GB2312" w:cs="楷体_GB2312"/>
      <w:kern w:val="0"/>
      <w:sz w:val="34"/>
      <w:szCs w:val="20"/>
    </w:rPr>
  </w:style>
  <w:style w:type="paragraph" w:customStyle="1" w:styleId="3285">
    <w:name w:val="样式 小四 行距: 1.5 倍行距"/>
    <w:basedOn w:val="1"/>
    <w:qFormat/>
    <w:uiPriority w:val="0"/>
    <w:pPr>
      <w:spacing w:line="360" w:lineRule="auto"/>
      <w:ind w:firstLine="480" w:firstLineChars="200"/>
    </w:pPr>
    <w:rPr>
      <w:rFonts w:ascii="宋体" w:cs="宋体"/>
      <w:kern w:val="0"/>
      <w:sz w:val="28"/>
      <w:szCs w:val="20"/>
    </w:rPr>
  </w:style>
  <w:style w:type="paragraph" w:customStyle="1" w:styleId="3286">
    <w:name w:val="正文文本缩进 311"/>
    <w:basedOn w:val="1"/>
    <w:qFormat/>
    <w:uiPriority w:val="0"/>
    <w:pPr>
      <w:adjustRightInd w:val="0"/>
      <w:spacing w:line="480" w:lineRule="exact"/>
      <w:ind w:firstLine="525"/>
      <w:textAlignment w:val="baseline"/>
    </w:pPr>
    <w:rPr>
      <w:rFonts w:ascii="宋体"/>
      <w:kern w:val="0"/>
      <w:sz w:val="28"/>
      <w:szCs w:val="20"/>
    </w:rPr>
  </w:style>
  <w:style w:type="paragraph" w:customStyle="1" w:styleId="3287">
    <w:name w:val="表体宋旭峰"/>
    <w:basedOn w:val="1"/>
    <w:qFormat/>
    <w:uiPriority w:val="0"/>
    <w:pPr>
      <w:overflowPunct w:val="0"/>
      <w:snapToGrid w:val="0"/>
      <w:jc w:val="center"/>
    </w:pPr>
    <w:rPr>
      <w:rFonts w:ascii="宋体" w:hAnsi="宋体" w:cs="Courier New"/>
      <w:color w:val="000000"/>
      <w:spacing w:val="-20"/>
      <w:kern w:val="0"/>
      <w:szCs w:val="21"/>
    </w:rPr>
  </w:style>
  <w:style w:type="paragraph" w:customStyle="1" w:styleId="3288">
    <w:name w:val="标题000 Char Char Char Char Char Char"/>
    <w:basedOn w:val="1"/>
    <w:qFormat/>
    <w:uiPriority w:val="0"/>
    <w:rPr>
      <w:rFonts w:ascii="宋体"/>
      <w:kern w:val="0"/>
      <w:szCs w:val="21"/>
    </w:rPr>
  </w:style>
  <w:style w:type="paragraph" w:customStyle="1" w:styleId="328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290">
    <w:name w:val="样式 LNG-正文 + 首行缩进:  2 字符"/>
    <w:basedOn w:val="3291"/>
    <w:qFormat/>
    <w:uiPriority w:val="0"/>
    <w:pPr>
      <w:ind w:firstLine="480"/>
    </w:pPr>
    <w:rPr>
      <w:rFonts w:cs="宋体"/>
    </w:rPr>
  </w:style>
  <w:style w:type="paragraph" w:customStyle="1" w:styleId="3291">
    <w:name w:val="LNG-正文"/>
    <w:basedOn w:val="1782"/>
    <w:qFormat/>
    <w:uiPriority w:val="0"/>
    <w:pPr>
      <w:ind w:firstLine="200" w:firstLineChars="200"/>
    </w:pPr>
    <w:rPr>
      <w:rFonts w:hAnsi="宋体"/>
    </w:rPr>
  </w:style>
  <w:style w:type="paragraph" w:customStyle="1" w:styleId="3292">
    <w:name w:val="列出段落11"/>
    <w:basedOn w:val="1"/>
    <w:qFormat/>
    <w:uiPriority w:val="0"/>
    <w:pPr>
      <w:ind w:firstLine="420" w:firstLineChars="200"/>
    </w:pPr>
    <w:rPr>
      <w:rFonts w:ascii="宋体"/>
      <w:kern w:val="0"/>
      <w:szCs w:val="20"/>
    </w:rPr>
  </w:style>
  <w:style w:type="paragraph" w:customStyle="1" w:styleId="3293">
    <w:name w:val="正文文本缩进5"/>
    <w:basedOn w:val="1"/>
    <w:qFormat/>
    <w:uiPriority w:val="0"/>
    <w:pPr>
      <w:spacing w:after="120"/>
      <w:ind w:left="420" w:leftChars="200"/>
    </w:pPr>
    <w:rPr>
      <w:rFonts w:ascii="Calibri" w:hAnsi="Calibri" w:eastAsia="仿宋"/>
      <w:kern w:val="0"/>
      <w:sz w:val="34"/>
      <w:szCs w:val="20"/>
    </w:rPr>
  </w:style>
  <w:style w:type="paragraph" w:customStyle="1" w:styleId="3294">
    <w:name w:val="Char Char Char1 Char Char Char1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295">
    <w:name w:val="样式 (中文) 楷体_GB2312 四号 行距: 1.5 倍行距"/>
    <w:basedOn w:val="1"/>
    <w:semiHidden/>
    <w:qFormat/>
    <w:uiPriority w:val="0"/>
    <w:pPr>
      <w:spacing w:before="120" w:after="120" w:line="560" w:lineRule="exact"/>
      <w:ind w:left="578" w:firstLine="560" w:firstLineChars="200"/>
    </w:pPr>
    <w:rPr>
      <w:rFonts w:ascii="宋体" w:eastAsia="仿宋_GB2312"/>
      <w:kern w:val="28"/>
      <w:sz w:val="28"/>
      <w:szCs w:val="28"/>
    </w:rPr>
  </w:style>
  <w:style w:type="paragraph" w:customStyle="1" w:styleId="3296">
    <w:name w:val="标题 34"/>
    <w:basedOn w:val="1"/>
    <w:next w:val="1"/>
    <w:qFormat/>
    <w:uiPriority w:val="0"/>
    <w:pPr>
      <w:keepNext/>
      <w:keepLines/>
      <w:spacing w:before="260" w:after="260" w:line="415" w:lineRule="auto"/>
      <w:outlineLvl w:val="2"/>
    </w:pPr>
    <w:rPr>
      <w:rFonts w:hint="eastAsia" w:ascii="宋体"/>
      <w:b/>
      <w:kern w:val="0"/>
      <w:sz w:val="32"/>
      <w:szCs w:val="20"/>
    </w:rPr>
  </w:style>
  <w:style w:type="paragraph" w:customStyle="1" w:styleId="3297">
    <w:name w:val="节"/>
    <w:basedOn w:val="1"/>
    <w:qFormat/>
    <w:uiPriority w:val="0"/>
    <w:pPr>
      <w:tabs>
        <w:tab w:val="left" w:pos="5205"/>
      </w:tabs>
      <w:adjustRightInd w:val="0"/>
      <w:snapToGrid w:val="0"/>
      <w:spacing w:line="300" w:lineRule="auto"/>
    </w:pPr>
    <w:rPr>
      <w:rFonts w:ascii="黑体" w:hAnsi="黑体" w:eastAsia="黑体"/>
      <w:kern w:val="0"/>
      <w:sz w:val="28"/>
      <w:szCs w:val="28"/>
    </w:rPr>
  </w:style>
  <w:style w:type="paragraph" w:customStyle="1" w:styleId="3298">
    <w:name w:val="Char15"/>
    <w:basedOn w:val="1"/>
    <w:qFormat/>
    <w:uiPriority w:val="0"/>
    <w:rPr>
      <w:rFonts w:ascii="宋体"/>
      <w:kern w:val="0"/>
      <w:sz w:val="34"/>
      <w:szCs w:val="20"/>
    </w:rPr>
  </w:style>
  <w:style w:type="paragraph" w:customStyle="1" w:styleId="3299">
    <w:name w:val="xl151"/>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00">
    <w:name w:val="样式 表格文字居中 + 红色"/>
    <w:basedOn w:val="945"/>
    <w:semiHidden/>
    <w:qFormat/>
    <w:uiPriority w:val="0"/>
    <w:pPr>
      <w:adjustRightInd w:val="0"/>
      <w:snapToGrid w:val="0"/>
      <w:spacing w:before="0" w:after="0" w:line="288" w:lineRule="auto"/>
      <w:ind w:left="578" w:firstLine="0" w:firstLineChars="0"/>
    </w:pPr>
    <w:rPr>
      <w:rFonts w:ascii="宋体" w:eastAsia="宋体" w:cs="宋体"/>
      <w:kern w:val="0"/>
      <w:sz w:val="24"/>
      <w:lang w:val="zh-CN"/>
    </w:rPr>
  </w:style>
  <w:style w:type="paragraph" w:customStyle="1" w:styleId="3301">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rFonts w:ascii="宋体"/>
      <w:i/>
      <w:spacing w:val="20"/>
      <w:kern w:val="0"/>
      <w:sz w:val="34"/>
      <w:szCs w:val="20"/>
    </w:rPr>
  </w:style>
  <w:style w:type="paragraph" w:customStyle="1" w:styleId="3302">
    <w:name w:val="Bullet 3"/>
    <w:basedOn w:val="1"/>
    <w:next w:val="1"/>
    <w:unhideWhenUsed/>
    <w:qFormat/>
    <w:uiPriority w:val="0"/>
    <w:pPr>
      <w:widowControl/>
      <w:tabs>
        <w:tab w:val="left" w:pos="840"/>
        <w:tab w:val="left" w:pos="1440"/>
      </w:tabs>
      <w:spacing w:before="120" w:after="120"/>
      <w:ind w:left="3600" w:hanging="360"/>
      <w:jc w:val="left"/>
    </w:pPr>
    <w:rPr>
      <w:rFonts w:ascii="Arial" w:hAnsi="Arial"/>
      <w:kern w:val="0"/>
      <w:sz w:val="20"/>
      <w:szCs w:val="20"/>
    </w:rPr>
  </w:style>
  <w:style w:type="paragraph" w:customStyle="1" w:styleId="3303">
    <w:name w:val="样式 标题1（杨） + 段后: 0.2 行"/>
    <w:basedOn w:val="1"/>
    <w:qFormat/>
    <w:uiPriority w:val="0"/>
    <w:pPr>
      <w:keepNext/>
      <w:keepLines/>
      <w:widowControl/>
      <w:tabs>
        <w:tab w:val="left" w:pos="425"/>
      </w:tabs>
      <w:adjustRightInd w:val="0"/>
      <w:snapToGrid w:val="0"/>
      <w:spacing w:beforeLines="200" w:afterLines="200" w:line="312" w:lineRule="auto"/>
      <w:ind w:left="425" w:hanging="425"/>
      <w:jc w:val="center"/>
      <w:outlineLvl w:val="0"/>
    </w:pPr>
    <w:rPr>
      <w:rFonts w:ascii="宋体" w:eastAsia="黑体" w:cs="宋体"/>
      <w:b/>
      <w:bCs/>
      <w:color w:val="000000"/>
      <w:kern w:val="44"/>
      <w:sz w:val="32"/>
      <w:szCs w:val="20"/>
    </w:rPr>
  </w:style>
  <w:style w:type="paragraph" w:customStyle="1" w:styleId="3304">
    <w:name w:val="表标题1"/>
    <w:basedOn w:val="1"/>
    <w:next w:val="1"/>
    <w:qFormat/>
    <w:uiPriority w:val="0"/>
    <w:pPr>
      <w:spacing w:beforeLines="50" w:after="120" w:line="300" w:lineRule="auto"/>
      <w:jc w:val="center"/>
    </w:pPr>
    <w:rPr>
      <w:rFonts w:ascii="宋体"/>
      <w:kern w:val="0"/>
      <w:sz w:val="34"/>
      <w:szCs w:val="20"/>
    </w:rPr>
  </w:style>
  <w:style w:type="paragraph" w:customStyle="1" w:styleId="3305">
    <w:name w:val="TOC Heading1"/>
    <w:basedOn w:val="7"/>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306">
    <w:name w:val="样式 小四 + 首行缩进:  2 字符"/>
    <w:basedOn w:val="3015"/>
    <w:qFormat/>
    <w:uiPriority w:val="0"/>
  </w:style>
  <w:style w:type="paragraph" w:customStyle="1" w:styleId="3307">
    <w:name w:val="标题二"/>
    <w:basedOn w:val="1"/>
    <w:semiHidden/>
    <w:qFormat/>
    <w:uiPriority w:val="0"/>
    <w:pPr>
      <w:adjustRightInd w:val="0"/>
      <w:snapToGrid w:val="0"/>
      <w:spacing w:before="120" w:after="120" w:line="360" w:lineRule="auto"/>
      <w:ind w:left="578" w:firstLine="200" w:firstLineChars="200"/>
      <w:jc w:val="left"/>
      <w:outlineLvl w:val="1"/>
    </w:pPr>
    <w:rPr>
      <w:rFonts w:ascii="黑体" w:hAnsi="宋体" w:eastAsia="黑体"/>
      <w:b/>
      <w:bCs/>
      <w:kern w:val="0"/>
      <w:sz w:val="34"/>
      <w:szCs w:val="20"/>
    </w:rPr>
  </w:style>
  <w:style w:type="paragraph" w:customStyle="1" w:styleId="3308">
    <w:name w:val="xl121"/>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3309">
    <w:name w:val="CM107"/>
    <w:basedOn w:val="1"/>
    <w:next w:val="1"/>
    <w:qFormat/>
    <w:uiPriority w:val="0"/>
    <w:pPr>
      <w:autoSpaceDE w:val="0"/>
      <w:autoSpaceDN w:val="0"/>
      <w:adjustRightInd w:val="0"/>
      <w:spacing w:after="413"/>
      <w:jc w:val="left"/>
    </w:pPr>
    <w:rPr>
      <w:rFonts w:ascii="宋体"/>
      <w:kern w:val="0"/>
      <w:sz w:val="34"/>
      <w:szCs w:val="20"/>
    </w:rPr>
  </w:style>
  <w:style w:type="paragraph" w:customStyle="1" w:styleId="3310">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3311">
    <w:name w:val="Char Char Char1 Char Char Char1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3312">
    <w:name w:val="正文首行缩进2"/>
    <w:basedOn w:val="37"/>
    <w:qFormat/>
    <w:uiPriority w:val="0"/>
    <w:pPr>
      <w:widowControl w:val="0"/>
      <w:adjustRightInd w:val="0"/>
      <w:snapToGrid/>
      <w:spacing w:before="0" w:after="120" w:line="312" w:lineRule="atLeast"/>
      <w:ind w:right="0" w:firstLine="420"/>
      <w:textAlignment w:val="baseline"/>
    </w:pPr>
    <w:rPr>
      <w:sz w:val="27"/>
    </w:rPr>
  </w:style>
  <w:style w:type="paragraph" w:customStyle="1" w:styleId="3313">
    <w:name w:val="样式 样式 标题 2 + 左侧:  2 字符1 + 左侧:  2 字符"/>
    <w:basedOn w:val="1"/>
    <w:qFormat/>
    <w:uiPriority w:val="0"/>
    <w:pPr>
      <w:keepNext/>
      <w:keepLines/>
      <w:numPr>
        <w:ilvl w:val="1"/>
        <w:numId w:val="74"/>
      </w:numPr>
      <w:tabs>
        <w:tab w:val="left" w:pos="840"/>
      </w:tabs>
      <w:spacing w:beforeLines="50" w:afterLines="50"/>
      <w:ind w:left="210" w:right="210" w:rightChars="100" w:firstLine="0"/>
      <w:outlineLvl w:val="1"/>
    </w:pPr>
    <w:rPr>
      <w:rFonts w:ascii="黑体" w:hAnsi="Arial" w:eastAsia="黑体"/>
      <w:kern w:val="0"/>
      <w:sz w:val="52"/>
      <w:szCs w:val="20"/>
    </w:rPr>
  </w:style>
  <w:style w:type="paragraph" w:customStyle="1" w:styleId="3314">
    <w:name w:val="xl134"/>
    <w:basedOn w:val="1"/>
    <w:qFormat/>
    <w:uiPriority w:val="0"/>
    <w:pPr>
      <w:widowControl/>
      <w:pBdr>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315">
    <w:name w:val="??¡ì???¡ì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316">
    <w:name w:val="Char Char2 Char Char Char Char"/>
    <w:basedOn w:val="1"/>
    <w:qFormat/>
    <w:uiPriority w:val="0"/>
    <w:rPr>
      <w:rFonts w:ascii="宋体"/>
      <w:kern w:val="0"/>
      <w:sz w:val="30"/>
      <w:szCs w:val="30"/>
    </w:rPr>
  </w:style>
  <w:style w:type="paragraph" w:customStyle="1" w:styleId="3317">
    <w:name w:val="表题居中"/>
    <w:qFormat/>
    <w:uiPriority w:val="0"/>
    <w:pPr>
      <w:spacing w:beforeLines="50" w:afterLines="20"/>
      <w:jc w:val="center"/>
    </w:pPr>
    <w:rPr>
      <w:rFonts w:ascii="Times New Roman" w:hAnsi="Times New Roman" w:eastAsia="黑体" w:cs="Times New Roman"/>
      <w:kern w:val="20"/>
      <w:sz w:val="21"/>
      <w:szCs w:val="21"/>
      <w:lang w:val="en-US" w:eastAsia="zh-CN" w:bidi="ar-SA"/>
    </w:rPr>
  </w:style>
  <w:style w:type="paragraph" w:customStyle="1" w:styleId="3318">
    <w:name w:val="xl55"/>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3319">
    <w:name w:val="LNG－表格"/>
    <w:basedOn w:val="1"/>
    <w:qFormat/>
    <w:uiPriority w:val="0"/>
    <w:pPr>
      <w:spacing w:line="360" w:lineRule="auto"/>
      <w:jc w:val="center"/>
    </w:pPr>
    <w:rPr>
      <w:rFonts w:ascii="宋体"/>
      <w:kern w:val="0"/>
      <w:szCs w:val="21"/>
    </w:rPr>
  </w:style>
  <w:style w:type="paragraph" w:customStyle="1" w:styleId="3320">
    <w:name w:val="表字"/>
    <w:basedOn w:val="1"/>
    <w:next w:val="1"/>
    <w:qFormat/>
    <w:uiPriority w:val="0"/>
    <w:pPr>
      <w:keepNext/>
      <w:spacing w:line="360" w:lineRule="atLeast"/>
      <w:jc w:val="center"/>
    </w:pPr>
    <w:rPr>
      <w:rFonts w:ascii="Arial" w:hAnsi="Arial"/>
      <w:kern w:val="0"/>
      <w:szCs w:val="20"/>
    </w:rPr>
  </w:style>
  <w:style w:type="paragraph" w:customStyle="1" w:styleId="3321">
    <w:name w:val="样式 标题 6无节标题8标题6，6级标题，小四中宋粗，无序号标6二级项标题1.1.1.1.1.1H6H61标题..."/>
    <w:basedOn w:val="12"/>
    <w:unhideWhenUsed/>
    <w:qFormat/>
    <w:uiPriority w:val="0"/>
    <w:pPr>
      <w:widowControl w:val="0"/>
      <w:numPr>
        <w:ilvl w:val="0"/>
        <w:numId w:val="0"/>
      </w:numPr>
      <w:spacing w:before="120" w:after="120" w:line="360" w:lineRule="auto"/>
    </w:pPr>
    <w:rPr>
      <w:rFonts w:ascii="Times New Roman" w:hAnsi="Times New Roman" w:eastAsia="宋体"/>
      <w:bCs w:val="0"/>
      <w:kern w:val="2"/>
      <w:sz w:val="34"/>
      <w:szCs w:val="20"/>
    </w:rPr>
  </w:style>
  <w:style w:type="paragraph" w:customStyle="1" w:styleId="3322">
    <w:name w:val="样式 （一）标题 + 段前: 0.5 行"/>
    <w:basedOn w:val="1"/>
    <w:semiHidden/>
    <w:qFormat/>
    <w:uiPriority w:val="0"/>
    <w:pPr>
      <w:pBdr>
        <w:top w:val="single" w:color="auto" w:sz="4" w:space="1"/>
      </w:pBdr>
      <w:adjustRightInd w:val="0"/>
      <w:spacing w:line="360" w:lineRule="auto"/>
      <w:jc w:val="left"/>
    </w:pPr>
    <w:rPr>
      <w:rFonts w:ascii="宋体" w:cs="宋体"/>
      <w:b/>
      <w:bCs/>
      <w:kern w:val="0"/>
      <w:sz w:val="34"/>
      <w:szCs w:val="20"/>
    </w:rPr>
  </w:style>
  <w:style w:type="paragraph" w:customStyle="1" w:styleId="3323">
    <w:name w:val="T正文"/>
    <w:unhideWhenUsed/>
    <w:qFormat/>
    <w:uiPriority w:val="0"/>
    <w:pPr>
      <w:widowControl w:val="0"/>
      <w:adjustRightInd w:val="0"/>
      <w:snapToGrid w:val="0"/>
      <w:spacing w:before="120" w:after="120" w:line="360" w:lineRule="auto"/>
      <w:ind w:left="578" w:firstLine="200" w:firstLineChars="200"/>
      <w:jc w:val="both"/>
    </w:pPr>
    <w:rPr>
      <w:rFonts w:ascii="Times New Roman" w:hAnsi="Times New Roman" w:eastAsia="宋体" w:cs="Times New Roman"/>
      <w:sz w:val="24"/>
      <w:lang w:val="en-US" w:eastAsia="zh-CN" w:bidi="ar-SA"/>
    </w:rPr>
  </w:style>
  <w:style w:type="paragraph" w:customStyle="1" w:styleId="3324">
    <w:name w:val="样式 标题 2标题 1.1一级条Majorsect_Heading 2标题2标题 2 Char + 宋体 四号...1"/>
    <w:basedOn w:val="8"/>
    <w:semiHidden/>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3325">
    <w:name w:val="reader-word-layer reader-word-s1-6"/>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326">
    <w:name w:val="Char2 Char Char Char Char Char Char1"/>
    <w:basedOn w:val="1"/>
    <w:qFormat/>
    <w:uiPriority w:val="0"/>
    <w:rPr>
      <w:rFonts w:ascii="宋体"/>
      <w:kern w:val="0"/>
      <w:sz w:val="34"/>
      <w:szCs w:val="20"/>
    </w:rPr>
  </w:style>
  <w:style w:type="paragraph" w:customStyle="1" w:styleId="3327">
    <w:name w:val="CM66"/>
    <w:basedOn w:val="2"/>
    <w:next w:val="2"/>
    <w:semiHidden/>
    <w:qFormat/>
    <w:uiPriority w:val="0"/>
    <w:pPr>
      <w:adjustRightInd/>
    </w:pPr>
    <w:rPr>
      <w:rFonts w:hint="eastAsia" w:ascii="仿宋" w:hAnsi="仿宋" w:eastAsia="仿宋" w:cs="Times New Roman"/>
      <w:szCs w:val="20"/>
    </w:rPr>
  </w:style>
  <w:style w:type="paragraph" w:customStyle="1" w:styleId="3328">
    <w:name w:val="aaa"/>
    <w:basedOn w:val="1"/>
    <w:qFormat/>
    <w:uiPriority w:val="0"/>
    <w:pPr>
      <w:spacing w:line="360" w:lineRule="auto"/>
      <w:ind w:firstLine="200" w:firstLineChars="200"/>
    </w:pPr>
    <w:rPr>
      <w:rFonts w:ascii="宋体" w:hAnsi="宋体"/>
      <w:kern w:val="0"/>
      <w:sz w:val="34"/>
      <w:szCs w:val="20"/>
    </w:rPr>
  </w:style>
  <w:style w:type="paragraph" w:customStyle="1" w:styleId="3329">
    <w:name w:val="正文S"/>
    <w:qFormat/>
    <w:uiPriority w:val="0"/>
    <w:pPr>
      <w:ind w:firstLine="482"/>
      <w:jc w:val="center"/>
    </w:pPr>
    <w:rPr>
      <w:rFonts w:ascii="宋体" w:hAnsi="宋体" w:eastAsia="宋体" w:cs="Times New Roman"/>
      <w:kern w:val="2"/>
      <w:sz w:val="24"/>
      <w:szCs w:val="24"/>
      <w:lang w:val="en-US" w:eastAsia="zh-CN" w:bidi="ar-SA"/>
    </w:rPr>
  </w:style>
  <w:style w:type="paragraph" w:customStyle="1" w:styleId="3330">
    <w:name w:val="基准页眉样式"/>
    <w:basedOn w:val="37"/>
    <w:qFormat/>
    <w:uiPriority w:val="0"/>
    <w:pPr>
      <w:widowControl w:val="0"/>
      <w:snapToGrid/>
      <w:spacing w:before="120" w:after="120" w:line="240" w:lineRule="auto"/>
      <w:ind w:right="0" w:firstLine="567"/>
    </w:pPr>
    <w:rPr>
      <w:sz w:val="28"/>
    </w:rPr>
  </w:style>
  <w:style w:type="paragraph" w:customStyle="1" w:styleId="3331">
    <w:name w:val="样式 样式 标题 2 + 首行缩进:  2 字符 + 首行缩进:  2 字符 段前: 7.8 磅"/>
    <w:basedOn w:val="1"/>
    <w:qFormat/>
    <w:uiPriority w:val="0"/>
    <w:pPr>
      <w:keepNext/>
      <w:keepLines/>
      <w:adjustRightInd w:val="0"/>
      <w:snapToGrid w:val="0"/>
      <w:spacing w:before="156" w:after="240"/>
      <w:jc w:val="left"/>
      <w:outlineLvl w:val="1"/>
    </w:pPr>
    <w:rPr>
      <w:rFonts w:ascii="Arial" w:hAnsi="Arial"/>
      <w:b/>
      <w:bCs/>
      <w:kern w:val="0"/>
      <w:sz w:val="30"/>
      <w:szCs w:val="20"/>
    </w:rPr>
  </w:style>
  <w:style w:type="paragraph" w:customStyle="1" w:styleId="3332">
    <w:name w:val="Char1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3333">
    <w:name w:val="样式 大纲正文 + 宋体"/>
    <w:basedOn w:val="1279"/>
    <w:qFormat/>
    <w:uiPriority w:val="0"/>
    <w:pPr>
      <w:spacing w:beforeLines="50" w:after="50"/>
      <w:ind w:firstLine="200"/>
    </w:pPr>
    <w:rPr>
      <w:rFonts w:ascii="宋体" w:hAnsi="宋体"/>
      <w:color w:val="000000"/>
    </w:rPr>
  </w:style>
  <w:style w:type="paragraph" w:customStyle="1" w:styleId="3334">
    <w:name w:val="正文文本缩进 21"/>
    <w:basedOn w:val="1"/>
    <w:semiHidden/>
    <w:qFormat/>
    <w:uiPriority w:val="0"/>
    <w:pPr>
      <w:adjustRightInd w:val="0"/>
      <w:spacing w:line="360" w:lineRule="auto"/>
      <w:ind w:firstLine="580"/>
      <w:textAlignment w:val="baseline"/>
    </w:pPr>
    <w:rPr>
      <w:rFonts w:ascii="Garamond" w:hAnsi="Garamond"/>
      <w:kern w:val="0"/>
      <w:sz w:val="28"/>
      <w:szCs w:val="20"/>
    </w:rPr>
  </w:style>
  <w:style w:type="paragraph" w:customStyle="1" w:styleId="3335">
    <w:name w:val="线型"/>
    <w:basedOn w:val="3183"/>
    <w:qFormat/>
    <w:uiPriority w:val="0"/>
    <w:pPr>
      <w:spacing w:line="240" w:lineRule="auto"/>
      <w:ind w:left="0" w:firstLine="0"/>
      <w:jc w:val="center"/>
    </w:pPr>
    <w:rPr>
      <w:sz w:val="21"/>
    </w:rPr>
  </w:style>
  <w:style w:type="paragraph" w:customStyle="1" w:styleId="3336">
    <w:name w:val="样式 标题 3 + 左侧:  -0.13 厘米 悬挂缩进: 0.98 字符"/>
    <w:basedOn w:val="9"/>
    <w:qFormat/>
    <w:uiPriority w:val="0"/>
    <w:pPr>
      <w:widowControl w:val="0"/>
      <w:numPr>
        <w:ilvl w:val="0"/>
        <w:numId w:val="0"/>
      </w:numPr>
      <w:tabs>
        <w:tab w:val="left" w:pos="1260"/>
      </w:tabs>
      <w:adjustRightInd w:val="0"/>
      <w:snapToGrid w:val="0"/>
      <w:spacing w:before="260" w:beforeLines="30" w:after="260" w:afterLines="30"/>
      <w:ind w:left="1260" w:hanging="420"/>
      <w:jc w:val="both"/>
    </w:pPr>
    <w:rPr>
      <w:rFonts w:cs="Times New Roman"/>
      <w:b/>
      <w:sz w:val="24"/>
      <w:szCs w:val="20"/>
    </w:rPr>
  </w:style>
  <w:style w:type="paragraph" w:customStyle="1" w:styleId="3337">
    <w:name w:val="Char Char Char Char Char Char Char Char Char1 Char2"/>
    <w:basedOn w:val="1"/>
    <w:qFormat/>
    <w:uiPriority w:val="0"/>
    <w:pPr>
      <w:spacing w:line="360" w:lineRule="auto"/>
      <w:ind w:firstLine="200" w:firstLineChars="200"/>
    </w:pPr>
    <w:rPr>
      <w:rFonts w:ascii="宋体" w:hAnsi="宋体" w:cs="宋体"/>
      <w:kern w:val="0"/>
      <w:sz w:val="34"/>
      <w:szCs w:val="20"/>
    </w:rPr>
  </w:style>
  <w:style w:type="paragraph" w:customStyle="1" w:styleId="3338">
    <w:name w:val="1)正文"/>
    <w:basedOn w:val="1"/>
    <w:qFormat/>
    <w:uiPriority w:val="0"/>
    <w:pPr>
      <w:ind w:firstLine="150" w:firstLineChars="150"/>
    </w:pPr>
    <w:rPr>
      <w:rFonts w:ascii="宋体" w:cs="Arial"/>
      <w:b/>
      <w:kern w:val="0"/>
      <w:sz w:val="34"/>
      <w:szCs w:val="20"/>
    </w:rPr>
  </w:style>
  <w:style w:type="paragraph" w:customStyle="1" w:styleId="3339">
    <w:name w:val="样式 标题 4 + 五号 非加粗 段后: 0 磅 行距: 最小值 0 磅"/>
    <w:basedOn w:val="10"/>
    <w:qFormat/>
    <w:uiPriority w:val="0"/>
    <w:pPr>
      <w:keepNext w:val="0"/>
      <w:widowControl w:val="0"/>
      <w:numPr>
        <w:ilvl w:val="0"/>
        <w:numId w:val="0"/>
      </w:numPr>
      <w:tabs>
        <w:tab w:val="left" w:pos="1080"/>
      </w:tabs>
      <w:spacing w:line="0" w:lineRule="atLeast"/>
      <w:ind w:left="1080" w:hanging="1080"/>
    </w:pPr>
    <w:rPr>
      <w:rFonts w:ascii="宋体" w:hAnsi="宋体" w:eastAsia="黑体" w:cs="Times New Roman"/>
      <w:b w:val="0"/>
      <w:bCs w:val="0"/>
      <w:sz w:val="21"/>
      <w:szCs w:val="20"/>
    </w:rPr>
  </w:style>
  <w:style w:type="paragraph" w:customStyle="1" w:styleId="3340">
    <w:name w:val="Table Title"/>
    <w:basedOn w:val="48"/>
    <w:qFormat/>
    <w:uiPriority w:val="0"/>
    <w:pPr>
      <w:widowControl w:val="0"/>
      <w:spacing w:before="120" w:after="120"/>
      <w:ind w:firstLine="567"/>
      <w:jc w:val="both"/>
    </w:pPr>
    <w:rPr>
      <w:rFonts w:ascii="Times New Roman" w:hAnsi="Times New Roman" w:cs="Times New Roman"/>
      <w:sz w:val="28"/>
      <w:szCs w:val="20"/>
    </w:rPr>
  </w:style>
  <w:style w:type="paragraph" w:customStyle="1" w:styleId="3341">
    <w:name w:val="Char Char Char Char Char Char Char Char Char Char Char Char1 Char Char Char Char Char Char Char Char Char Char Char Char Char Char Char Char Char1"/>
    <w:basedOn w:val="1"/>
    <w:qFormat/>
    <w:uiPriority w:val="0"/>
    <w:pPr>
      <w:spacing w:before="120" w:after="120"/>
      <w:ind w:left="578" w:hanging="578"/>
    </w:pPr>
    <w:rPr>
      <w:rFonts w:ascii="宋体"/>
      <w:kern w:val="0"/>
      <w:szCs w:val="21"/>
    </w:rPr>
  </w:style>
  <w:style w:type="paragraph" w:customStyle="1" w:styleId="3342">
    <w:name w:val="标准文本 首行缩进:2 字符 行距1倍"/>
    <w:basedOn w:val="1"/>
    <w:qFormat/>
    <w:uiPriority w:val="0"/>
    <w:pPr>
      <w:adjustRightInd w:val="0"/>
      <w:snapToGrid w:val="0"/>
      <w:spacing w:line="480" w:lineRule="exact"/>
      <w:ind w:firstLine="540" w:firstLineChars="225"/>
      <w:textAlignment w:val="center"/>
    </w:pPr>
    <w:rPr>
      <w:rFonts w:ascii="宋体" w:cs="宋体"/>
      <w:color w:val="00FF00"/>
      <w:kern w:val="0"/>
      <w:sz w:val="34"/>
      <w:szCs w:val="20"/>
    </w:rPr>
  </w:style>
  <w:style w:type="paragraph" w:customStyle="1" w:styleId="3343">
    <w:name w:val="ST20_6"/>
    <w:basedOn w:val="1"/>
    <w:qFormat/>
    <w:uiPriority w:val="0"/>
    <w:pPr>
      <w:keepNext/>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3344">
    <w:name w:val="【表头】"/>
    <w:basedOn w:val="1"/>
    <w:qFormat/>
    <w:uiPriority w:val="0"/>
    <w:pPr>
      <w:spacing w:before="120"/>
      <w:jc w:val="center"/>
    </w:pPr>
    <w:rPr>
      <w:rFonts w:ascii="宋体" w:eastAsia="黑体" w:cs="Arial"/>
      <w:kern w:val="0"/>
      <w:sz w:val="34"/>
      <w:szCs w:val="20"/>
    </w:rPr>
  </w:style>
  <w:style w:type="paragraph" w:customStyle="1" w:styleId="3345">
    <w:name w:val="xl19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46">
    <w:name w:val="默认段落字体 Para Char Char Char Char Char Char Char Char Char Char Char Char1 Char"/>
    <w:basedOn w:val="1"/>
    <w:qFormat/>
    <w:uiPriority w:val="0"/>
    <w:rPr>
      <w:rFonts w:ascii="宋体"/>
      <w:kern w:val="0"/>
      <w:sz w:val="34"/>
      <w:szCs w:val="20"/>
    </w:rPr>
  </w:style>
  <w:style w:type="paragraph" w:customStyle="1" w:styleId="3347">
    <w:name w:val="项目编号文字"/>
    <w:basedOn w:val="1"/>
    <w:next w:val="6"/>
    <w:qFormat/>
    <w:uiPriority w:val="0"/>
    <w:pPr>
      <w:spacing w:before="120" w:after="120" w:line="360" w:lineRule="auto"/>
      <w:ind w:left="1077"/>
    </w:pPr>
    <w:rPr>
      <w:rFonts w:ascii="宋体"/>
      <w:kern w:val="0"/>
      <w:sz w:val="34"/>
      <w:szCs w:val="20"/>
    </w:rPr>
  </w:style>
  <w:style w:type="paragraph" w:customStyle="1" w:styleId="3348">
    <w:name w:val="标题6"/>
    <w:basedOn w:val="6"/>
    <w:qFormat/>
    <w:uiPriority w:val="0"/>
    <w:pPr>
      <w:widowControl w:val="0"/>
      <w:numPr>
        <w:ilvl w:val="0"/>
        <w:numId w:val="75"/>
      </w:numPr>
      <w:tabs>
        <w:tab w:val="left" w:pos="360"/>
        <w:tab w:val="left" w:pos="840"/>
      </w:tabs>
      <w:autoSpaceDE w:val="0"/>
      <w:autoSpaceDN w:val="0"/>
      <w:adjustRightInd w:val="0"/>
      <w:snapToGrid w:val="0"/>
      <w:spacing w:line="520" w:lineRule="exact"/>
      <w:ind w:firstLine="0" w:firstLineChars="0"/>
    </w:pPr>
    <w:rPr>
      <w:rFonts w:hAnsi="Times New Roman" w:cs="Times New Roman"/>
      <w:spacing w:val="1"/>
      <w:sz w:val="28"/>
      <w:szCs w:val="20"/>
    </w:rPr>
  </w:style>
  <w:style w:type="paragraph" w:customStyle="1" w:styleId="3349">
    <w:name w:val="样式 标题1"/>
    <w:basedOn w:val="7"/>
    <w:semiHidden/>
    <w:qFormat/>
    <w:uiPriority w:val="0"/>
    <w:pPr>
      <w:keepLines/>
      <w:widowControl/>
      <w:overflowPunct/>
      <w:snapToGrid/>
      <w:spacing w:before="340" w:beforeLines="50" w:after="330" w:afterLines="50" w:line="240" w:lineRule="auto"/>
      <w:ind w:left="0" w:firstLine="482"/>
      <w:jc w:val="left"/>
      <w:outlineLvl w:val="9"/>
    </w:pPr>
    <w:rPr>
      <w:rFonts w:ascii="宋体" w:hAnsi="宋体" w:cs="宋体"/>
      <w:color w:val="auto"/>
      <w:sz w:val="36"/>
      <w:szCs w:val="20"/>
    </w:rPr>
  </w:style>
  <w:style w:type="paragraph" w:customStyle="1" w:styleId="3350">
    <w:name w:val="样式 标题 2Chapter Title节标题 1.1 + (符号) 宋体 小四 加粗 段前: 1.55 磅 段后:..."/>
    <w:basedOn w:val="8"/>
    <w:qFormat/>
    <w:uiPriority w:val="0"/>
    <w:pPr>
      <w:widowControl w:val="0"/>
      <w:numPr>
        <w:ilvl w:val="0"/>
        <w:numId w:val="0"/>
      </w:numPr>
      <w:tabs>
        <w:tab w:val="left" w:pos="576"/>
        <w:tab w:val="left" w:pos="1140"/>
      </w:tabs>
      <w:adjustRightInd w:val="0"/>
      <w:spacing w:before="30" w:after="30"/>
      <w:ind w:left="840" w:hanging="420"/>
    </w:pPr>
    <w:rPr>
      <w:rFonts w:ascii="宋体" w:hAnsi="宋体"/>
      <w:b/>
      <w:bCs/>
      <w:color w:val="000000"/>
      <w:sz w:val="28"/>
      <w:szCs w:val="20"/>
    </w:rPr>
  </w:style>
  <w:style w:type="paragraph" w:customStyle="1" w:styleId="3351">
    <w:name w:val="33标题 3"/>
    <w:basedOn w:val="1"/>
    <w:qFormat/>
    <w:uiPriority w:val="0"/>
    <w:pPr>
      <w:tabs>
        <w:tab w:val="left" w:pos="1260"/>
      </w:tabs>
      <w:spacing w:line="520" w:lineRule="exact"/>
      <w:ind w:left="1260" w:hanging="420"/>
    </w:pPr>
    <w:rPr>
      <w:rFonts w:ascii="宋体"/>
      <w:kern w:val="0"/>
      <w:sz w:val="28"/>
      <w:szCs w:val="20"/>
    </w:rPr>
  </w:style>
  <w:style w:type="paragraph" w:customStyle="1" w:styleId="3352">
    <w:name w:val="表标题3"/>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353">
    <w:name w:val="标准正文"/>
    <w:basedOn w:val="1"/>
    <w:qFormat/>
    <w:uiPriority w:val="0"/>
    <w:pPr>
      <w:pBdr>
        <w:top w:val="single" w:color="auto" w:sz="4" w:space="1"/>
      </w:pBdr>
      <w:spacing w:line="540" w:lineRule="exact"/>
      <w:ind w:firstLine="480" w:firstLineChars="200"/>
    </w:pPr>
    <w:rPr>
      <w:rFonts w:ascii="宋体"/>
      <w:bCs/>
      <w:kern w:val="0"/>
      <w:sz w:val="34"/>
      <w:szCs w:val="20"/>
    </w:rPr>
  </w:style>
  <w:style w:type="paragraph" w:customStyle="1" w:styleId="3354">
    <w:name w:val="9 Char"/>
    <w:basedOn w:val="1"/>
    <w:qFormat/>
    <w:uiPriority w:val="0"/>
    <w:pPr>
      <w:spacing w:line="240" w:lineRule="exact"/>
      <w:ind w:firstLine="200" w:firstLineChars="200"/>
    </w:pPr>
    <w:rPr>
      <w:rFonts w:ascii="宋体"/>
      <w:kern w:val="0"/>
      <w:sz w:val="28"/>
      <w:szCs w:val="28"/>
    </w:rPr>
  </w:style>
  <w:style w:type="paragraph" w:customStyle="1" w:styleId="3355">
    <w:name w:val="样式 标题 3 + 加粗"/>
    <w:basedOn w:val="9"/>
    <w:qFormat/>
    <w:uiPriority w:val="0"/>
    <w:pPr>
      <w:widowControl w:val="0"/>
      <w:numPr>
        <w:ilvl w:val="0"/>
        <w:numId w:val="0"/>
      </w:numPr>
      <w:tabs>
        <w:tab w:val="left" w:pos="1740"/>
      </w:tabs>
      <w:autoSpaceDE w:val="0"/>
      <w:autoSpaceDN w:val="0"/>
      <w:spacing w:line="240" w:lineRule="auto"/>
      <w:ind w:left="1740" w:hanging="420"/>
      <w:jc w:val="both"/>
      <w:textAlignment w:val="baseline"/>
    </w:pPr>
    <w:rPr>
      <w:rFonts w:cs="Times New Roman"/>
      <w:b/>
      <w:bCs w:val="0"/>
      <w:color w:val="FF0000"/>
      <w:sz w:val="24"/>
      <w:szCs w:val="24"/>
    </w:rPr>
  </w:style>
  <w:style w:type="paragraph" w:customStyle="1" w:styleId="3356">
    <w:name w:val="表内字新"/>
    <w:next w:val="1"/>
    <w:qFormat/>
    <w:uiPriority w:val="0"/>
    <w:pPr>
      <w:suppressAutoHyphens/>
      <w:adjustRightInd w:val="0"/>
      <w:spacing w:before="120" w:after="120" w:line="0" w:lineRule="atLeast"/>
      <w:ind w:left="578" w:hanging="578"/>
      <w:jc w:val="center"/>
    </w:pPr>
    <w:rPr>
      <w:rFonts w:ascii="Times New Roman" w:hAnsi="Times New Roman" w:eastAsia="宋体" w:cs="Times New Roman"/>
      <w:sz w:val="21"/>
      <w:lang w:val="en-US" w:eastAsia="zh-CN" w:bidi="ar-SA"/>
    </w:rPr>
  </w:style>
  <w:style w:type="paragraph" w:customStyle="1" w:styleId="3357">
    <w:name w:val="Char Char1 Char Char Char4"/>
    <w:basedOn w:val="1"/>
    <w:next w:val="1"/>
    <w:qFormat/>
    <w:uiPriority w:val="0"/>
    <w:pPr>
      <w:spacing w:line="360" w:lineRule="auto"/>
      <w:ind w:firstLine="200" w:firstLineChars="200"/>
    </w:pPr>
    <w:rPr>
      <w:rFonts w:ascii="宋体" w:hAnsi="宋体" w:cs="宋体"/>
      <w:kern w:val="0"/>
      <w:sz w:val="34"/>
      <w:szCs w:val="20"/>
    </w:rPr>
  </w:style>
  <w:style w:type="paragraph" w:customStyle="1" w:styleId="3358">
    <w:name w:val="标题2（张）"/>
    <w:basedOn w:val="8"/>
    <w:qFormat/>
    <w:uiPriority w:val="0"/>
    <w:pPr>
      <w:widowControl w:val="0"/>
      <w:numPr>
        <w:ilvl w:val="0"/>
        <w:numId w:val="0"/>
      </w:numPr>
      <w:tabs>
        <w:tab w:val="left" w:pos="576"/>
      </w:tabs>
      <w:adjustRightInd w:val="0"/>
      <w:snapToGrid w:val="0"/>
      <w:spacing w:before="120" w:after="120"/>
      <w:ind w:left="576" w:hanging="576"/>
    </w:pPr>
    <w:rPr>
      <w:rFonts w:ascii="Arial" w:cs="Times New Roman"/>
      <w:b/>
      <w:bCs/>
      <w:kern w:val="30"/>
      <w:sz w:val="32"/>
      <w:szCs w:val="32"/>
    </w:rPr>
  </w:style>
  <w:style w:type="paragraph" w:customStyle="1" w:styleId="3359">
    <w:name w:val="xl75"/>
    <w:basedOn w:val="1"/>
    <w:qFormat/>
    <w:uiPriority w:val="0"/>
    <w:pPr>
      <w:widowControl/>
      <w:pBdr>
        <w:top w:val="single" w:color="000000" w:sz="8" w:space="0"/>
        <w:left w:val="single" w:color="000000"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360">
    <w:name w:val="CM92"/>
    <w:basedOn w:val="2"/>
    <w:next w:val="2"/>
    <w:semiHidden/>
    <w:qFormat/>
    <w:uiPriority w:val="0"/>
    <w:pPr>
      <w:adjustRightInd/>
    </w:pPr>
    <w:rPr>
      <w:rFonts w:hint="eastAsia" w:ascii="仿宋" w:hAnsi="仿宋" w:eastAsia="仿宋" w:cs="Times New Roman"/>
      <w:szCs w:val="20"/>
    </w:rPr>
  </w:style>
  <w:style w:type="paragraph" w:customStyle="1" w:styleId="3361">
    <w:name w:val="样式 黑色 首行缩进:  2 字符"/>
    <w:basedOn w:val="1"/>
    <w:semiHidden/>
    <w:qFormat/>
    <w:uiPriority w:val="0"/>
    <w:pPr>
      <w:pBdr>
        <w:top w:val="single" w:color="auto" w:sz="4" w:space="1"/>
      </w:pBdr>
      <w:spacing w:line="500" w:lineRule="atLeast"/>
      <w:ind w:firstLine="200" w:firstLineChars="200"/>
    </w:pPr>
    <w:rPr>
      <w:rFonts w:ascii="宋体" w:cs="宋体"/>
      <w:color w:val="000000"/>
      <w:kern w:val="0"/>
      <w:sz w:val="28"/>
      <w:szCs w:val="20"/>
    </w:rPr>
  </w:style>
  <w:style w:type="paragraph" w:customStyle="1" w:styleId="3362">
    <w:name w:val="标题 二"/>
    <w:basedOn w:val="8"/>
    <w:qFormat/>
    <w:uiPriority w:val="0"/>
    <w:pPr>
      <w:widowControl w:val="0"/>
      <w:numPr>
        <w:numId w:val="76"/>
      </w:numPr>
      <w:tabs>
        <w:tab w:val="left" w:pos="315"/>
        <w:tab w:val="left" w:pos="840"/>
      </w:tabs>
      <w:spacing w:before="240" w:after="260" w:line="520" w:lineRule="exact"/>
      <w:jc w:val="both"/>
    </w:pPr>
    <w:rPr>
      <w:rFonts w:ascii="宋体" w:hAnsi="华文中宋" w:eastAsia="华文中宋"/>
      <w:b/>
      <w:bCs/>
      <w:sz w:val="28"/>
      <w:szCs w:val="28"/>
    </w:rPr>
  </w:style>
  <w:style w:type="paragraph" w:customStyle="1" w:styleId="3363">
    <w:name w:val="【图片】"/>
    <w:next w:val="43"/>
    <w:qFormat/>
    <w:uiPriority w:val="0"/>
    <w:pPr>
      <w:jc w:val="center"/>
    </w:pPr>
    <w:rPr>
      <w:rFonts w:ascii="宋体" w:hAnsi="宋体" w:eastAsia="宋体" w:cs="宋体"/>
      <w:sz w:val="24"/>
      <w:szCs w:val="24"/>
      <w:lang w:val="en-US" w:eastAsia="zh-CN" w:bidi="ar-SA"/>
    </w:rPr>
  </w:style>
  <w:style w:type="paragraph" w:customStyle="1" w:styleId="3364">
    <w:name w:val="默认段落字体 Para Char Char Char1 Char Char Char Char"/>
    <w:basedOn w:val="1"/>
    <w:qFormat/>
    <w:uiPriority w:val="0"/>
    <w:rPr>
      <w:rFonts w:ascii="宋体"/>
      <w:kern w:val="0"/>
      <w:sz w:val="34"/>
      <w:szCs w:val="20"/>
    </w:rPr>
  </w:style>
  <w:style w:type="paragraph" w:customStyle="1" w:styleId="3365">
    <w:name w:val="一级标题"/>
    <w:basedOn w:val="7"/>
    <w:qFormat/>
    <w:uiPriority w:val="0"/>
    <w:pPr>
      <w:keepLines/>
      <w:numPr>
        <w:ilvl w:val="0"/>
        <w:numId w:val="71"/>
      </w:numPr>
      <w:overflowPunct/>
      <w:snapToGrid/>
      <w:spacing w:before="340" w:after="330" w:line="27" w:lineRule="atLeast"/>
      <w:jc w:val="center"/>
    </w:pPr>
    <w:rPr>
      <w:rFonts w:ascii="宋体" w:hAnsi="宋体" w:eastAsia="宋体"/>
      <w:bCs w:val="0"/>
      <w:color w:val="auto"/>
      <w:sz w:val="44"/>
      <w:szCs w:val="44"/>
      <w:lang w:eastAsia="zh-TW"/>
    </w:rPr>
  </w:style>
  <w:style w:type="paragraph" w:customStyle="1" w:styleId="3366">
    <w:name w:val="xl159"/>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67">
    <w:name w:val="样式 标题 3 + 黑色 段前: 0行 段后: 0 行"/>
    <w:basedOn w:val="9"/>
    <w:qFormat/>
    <w:uiPriority w:val="0"/>
    <w:pPr>
      <w:widowControl w:val="0"/>
      <w:numPr>
        <w:ilvl w:val="0"/>
        <w:numId w:val="0"/>
      </w:numPr>
      <w:tabs>
        <w:tab w:val="left" w:pos="426"/>
      </w:tabs>
      <w:adjustRightInd w:val="0"/>
      <w:snapToGrid w:val="0"/>
      <w:spacing w:before="120" w:line="324" w:lineRule="auto"/>
      <w:jc w:val="both"/>
    </w:pPr>
    <w:rPr>
      <w:rFonts w:ascii="仿宋_GB2312" w:eastAsia="仿宋_GB2312" w:cs="Times New Roman"/>
      <w:bCs w:val="0"/>
      <w:color w:val="000000"/>
      <w:szCs w:val="20"/>
    </w:rPr>
  </w:style>
  <w:style w:type="paragraph" w:customStyle="1" w:styleId="3368">
    <w:name w:val="CM98"/>
    <w:basedOn w:val="2"/>
    <w:next w:val="2"/>
    <w:semiHidden/>
    <w:qFormat/>
    <w:uiPriority w:val="0"/>
    <w:pPr>
      <w:adjustRightInd/>
    </w:pPr>
    <w:rPr>
      <w:rFonts w:hint="eastAsia" w:ascii="仿宋" w:hAnsi="仿宋" w:eastAsia="仿宋" w:cs="Times New Roman"/>
      <w:szCs w:val="20"/>
    </w:rPr>
  </w:style>
  <w:style w:type="paragraph" w:customStyle="1" w:styleId="3369">
    <w:name w:val="正文样式"/>
    <w:basedOn w:val="1"/>
    <w:qFormat/>
    <w:uiPriority w:val="0"/>
    <w:pPr>
      <w:spacing w:beforeLines="50"/>
      <w:ind w:firstLine="420" w:firstLineChars="200"/>
    </w:pPr>
    <w:rPr>
      <w:rFonts w:ascii="宋体"/>
      <w:kern w:val="0"/>
      <w:szCs w:val="20"/>
    </w:rPr>
  </w:style>
  <w:style w:type="paragraph" w:customStyle="1" w:styleId="3370">
    <w:name w:val="样式 小四 加粗 行距: 1.5 倍行距 首行缩进:  2 字符"/>
    <w:basedOn w:val="1"/>
    <w:qFormat/>
    <w:uiPriority w:val="0"/>
    <w:pPr>
      <w:spacing w:line="360" w:lineRule="auto"/>
      <w:ind w:firstLine="200" w:firstLineChars="200"/>
    </w:pPr>
    <w:rPr>
      <w:rFonts w:ascii="宋体" w:cs="宋体"/>
      <w:bCs/>
      <w:kern w:val="0"/>
      <w:sz w:val="34"/>
      <w:szCs w:val="20"/>
    </w:rPr>
  </w:style>
  <w:style w:type="paragraph" w:customStyle="1" w:styleId="3371">
    <w:name w:val="Char Char Char1 Char Char Char1 Char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3372">
    <w:name w:val="CM94"/>
    <w:basedOn w:val="2"/>
    <w:next w:val="2"/>
    <w:semiHidden/>
    <w:qFormat/>
    <w:uiPriority w:val="0"/>
    <w:pPr>
      <w:adjustRightInd/>
    </w:pPr>
    <w:rPr>
      <w:rFonts w:hint="eastAsia" w:ascii="仿宋" w:hAnsi="仿宋" w:eastAsia="仿宋" w:cs="Times New Roman"/>
      <w:szCs w:val="20"/>
    </w:rPr>
  </w:style>
  <w:style w:type="paragraph" w:customStyle="1" w:styleId="3373">
    <w:name w:val="样式 表头 + 段后: 0.2 行"/>
    <w:basedOn w:val="973"/>
    <w:qFormat/>
    <w:uiPriority w:val="0"/>
    <w:pPr>
      <w:widowControl w:val="0"/>
      <w:adjustRightInd/>
      <w:snapToGrid w:val="0"/>
      <w:spacing w:before="240" w:after="62" w:line="240" w:lineRule="auto"/>
      <w:ind w:left="420" w:leftChars="200"/>
      <w:textAlignment w:val="auto"/>
    </w:pPr>
    <w:rPr>
      <w:rFonts w:ascii="Times New Roman" w:hAnsi="Times New Roman"/>
      <w:spacing w:val="0"/>
      <w:kern w:val="24"/>
      <w:szCs w:val="28"/>
    </w:rPr>
  </w:style>
  <w:style w:type="paragraph" w:customStyle="1" w:styleId="3374">
    <w:name w:val="ETI-Absatz"/>
    <w:basedOn w:val="1"/>
    <w:qFormat/>
    <w:uiPriority w:val="0"/>
    <w:pPr>
      <w:widowControl/>
      <w:tabs>
        <w:tab w:val="center" w:pos="-2127"/>
      </w:tabs>
      <w:spacing w:before="120" w:line="380" w:lineRule="atLeast"/>
    </w:pPr>
    <w:rPr>
      <w:rFonts w:ascii="Arial" w:hAnsi="Arial"/>
      <w:kern w:val="0"/>
      <w:sz w:val="34"/>
      <w:szCs w:val="20"/>
    </w:rPr>
  </w:style>
  <w:style w:type="paragraph" w:customStyle="1" w:styleId="3375">
    <w:name w:val="纯文本22"/>
    <w:basedOn w:val="1"/>
    <w:qFormat/>
    <w:uiPriority w:val="0"/>
    <w:pPr>
      <w:adjustRightInd w:val="0"/>
      <w:textAlignment w:val="baseline"/>
    </w:pPr>
    <w:rPr>
      <w:rFonts w:ascii="宋体" w:hAnsi="Courier New"/>
      <w:kern w:val="0"/>
      <w:szCs w:val="20"/>
    </w:rPr>
  </w:style>
  <w:style w:type="paragraph" w:customStyle="1" w:styleId="3376">
    <w:name w:val="目录3"/>
    <w:basedOn w:val="1"/>
    <w:next w:val="1"/>
    <w:qFormat/>
    <w:uiPriority w:val="0"/>
    <w:pPr>
      <w:adjustRightInd w:val="0"/>
      <w:snapToGrid w:val="0"/>
      <w:spacing w:line="420" w:lineRule="atLeast"/>
    </w:pPr>
    <w:rPr>
      <w:rFonts w:ascii="宋体"/>
      <w:i/>
      <w:kern w:val="0"/>
      <w:sz w:val="28"/>
      <w:szCs w:val="20"/>
    </w:rPr>
  </w:style>
  <w:style w:type="paragraph" w:customStyle="1" w:styleId="3377">
    <w:name w:val="CM91"/>
    <w:basedOn w:val="2"/>
    <w:next w:val="2"/>
    <w:semiHidden/>
    <w:qFormat/>
    <w:uiPriority w:val="0"/>
    <w:pPr>
      <w:adjustRightInd/>
    </w:pPr>
    <w:rPr>
      <w:rFonts w:hint="eastAsia" w:ascii="仿宋" w:hAnsi="仿宋" w:eastAsia="仿宋" w:cs="Times New Roman"/>
      <w:szCs w:val="20"/>
    </w:rPr>
  </w:style>
  <w:style w:type="paragraph" w:customStyle="1" w:styleId="3378">
    <w:name w:val="样式 首行缩进 Char + 首行缩进:  2.57 字符"/>
    <w:basedOn w:val="1"/>
    <w:qFormat/>
    <w:uiPriority w:val="0"/>
    <w:pPr>
      <w:spacing w:line="360" w:lineRule="auto"/>
      <w:ind w:firstLine="540" w:firstLineChars="225"/>
    </w:pPr>
    <w:rPr>
      <w:rFonts w:ascii="宋体" w:hAnsi="宋体"/>
      <w:color w:val="000000"/>
      <w:kern w:val="0"/>
      <w:sz w:val="34"/>
      <w:szCs w:val="20"/>
    </w:rPr>
  </w:style>
  <w:style w:type="paragraph" w:customStyle="1" w:styleId="3379">
    <w:name w:val="11"/>
    <w:basedOn w:val="1"/>
    <w:qFormat/>
    <w:uiPriority w:val="0"/>
    <w:pPr>
      <w:widowControl/>
      <w:spacing w:before="100" w:beforeAutospacing="1" w:after="100" w:afterAutospacing="1"/>
      <w:jc w:val="left"/>
    </w:pPr>
    <w:rPr>
      <w:rFonts w:ascii="宋体" w:hAnsi="宋体" w:eastAsia="仿宋_GB2312"/>
      <w:snapToGrid w:val="0"/>
      <w:color w:val="000000"/>
      <w:kern w:val="0"/>
      <w:sz w:val="34"/>
      <w:szCs w:val="20"/>
    </w:rPr>
  </w:style>
  <w:style w:type="paragraph" w:customStyle="1" w:styleId="3380">
    <w:name w:val="表内字体"/>
    <w:basedOn w:val="1"/>
    <w:qFormat/>
    <w:uiPriority w:val="0"/>
    <w:pPr>
      <w:spacing w:before="120" w:after="120"/>
      <w:ind w:firstLine="567"/>
      <w:jc w:val="center"/>
    </w:pPr>
    <w:rPr>
      <w:rFonts w:ascii="宋体" w:hAnsi="宋体" w:eastAsia="华文中宋"/>
      <w:kern w:val="0"/>
      <w:sz w:val="28"/>
      <w:szCs w:val="28"/>
    </w:rPr>
  </w:style>
  <w:style w:type="paragraph" w:customStyle="1" w:styleId="3381">
    <w:name w:val="Bullet 4"/>
    <w:basedOn w:val="1"/>
    <w:next w:val="1"/>
    <w:unhideWhenUsed/>
    <w:qFormat/>
    <w:uiPriority w:val="0"/>
    <w:pPr>
      <w:widowControl/>
      <w:tabs>
        <w:tab w:val="left" w:pos="482"/>
        <w:tab w:val="left" w:pos="1440"/>
      </w:tabs>
      <w:spacing w:before="120" w:after="120"/>
      <w:ind w:left="4320" w:hanging="482"/>
      <w:jc w:val="left"/>
    </w:pPr>
    <w:rPr>
      <w:rFonts w:ascii="Arial" w:hAnsi="Arial"/>
      <w:kern w:val="0"/>
      <w:sz w:val="20"/>
      <w:szCs w:val="20"/>
    </w:rPr>
  </w:style>
  <w:style w:type="paragraph" w:customStyle="1" w:styleId="3382">
    <w:name w:val="表头右"/>
    <w:basedOn w:val="1"/>
    <w:qFormat/>
    <w:uiPriority w:val="0"/>
    <w:pPr>
      <w:spacing w:line="360" w:lineRule="auto"/>
      <w:ind w:firstLine="448" w:firstLineChars="200"/>
      <w:jc w:val="right"/>
    </w:pPr>
    <w:rPr>
      <w:rFonts w:ascii="宋体"/>
      <w:kern w:val="0"/>
      <w:szCs w:val="20"/>
    </w:rPr>
  </w:style>
  <w:style w:type="paragraph" w:customStyle="1" w:styleId="3383">
    <w:name w:val="样式 宋体 加宽量  1 磅 首行缩进:  6 字符"/>
    <w:basedOn w:val="1"/>
    <w:qFormat/>
    <w:uiPriority w:val="0"/>
    <w:pPr>
      <w:tabs>
        <w:tab w:val="left" w:pos="840"/>
      </w:tabs>
      <w:spacing w:line="360" w:lineRule="auto"/>
      <w:ind w:left="840" w:firstLine="1680" w:firstLineChars="600"/>
    </w:pPr>
    <w:rPr>
      <w:rFonts w:ascii="宋体" w:hAnsi="宋体" w:cs="宋体"/>
      <w:kern w:val="0"/>
      <w:sz w:val="34"/>
      <w:szCs w:val="20"/>
    </w:rPr>
  </w:style>
  <w:style w:type="paragraph" w:customStyle="1" w:styleId="3384">
    <w:name w:val="EIR段落"/>
    <w:basedOn w:val="1"/>
    <w:qFormat/>
    <w:uiPriority w:val="0"/>
    <w:pPr>
      <w:spacing w:before="120" w:after="120" w:line="460" w:lineRule="exact"/>
      <w:ind w:left="578" w:firstLine="200" w:firstLineChars="200"/>
    </w:pPr>
    <w:rPr>
      <w:rFonts w:ascii="宋体"/>
      <w:kern w:val="0"/>
      <w:sz w:val="34"/>
      <w:szCs w:val="20"/>
    </w:rPr>
  </w:style>
  <w:style w:type="paragraph" w:customStyle="1" w:styleId="3385">
    <w:name w:val="样式 表标题4.9 + 居中"/>
    <w:basedOn w:val="1841"/>
    <w:qFormat/>
    <w:uiPriority w:val="0"/>
    <w:pPr>
      <w:numPr>
        <w:ilvl w:val="0"/>
        <w:numId w:val="77"/>
      </w:numPr>
      <w:tabs>
        <w:tab w:val="left" w:pos="726"/>
        <w:tab w:val="clear" w:pos="4060"/>
        <w:tab w:val="clear" w:pos="8261"/>
      </w:tabs>
      <w:adjustRightInd/>
      <w:spacing w:before="0" w:line="240" w:lineRule="auto"/>
      <w:ind w:left="0" w:firstLine="0"/>
    </w:pPr>
    <w:rPr>
      <w:rFonts w:ascii="Times New Roman" w:eastAsia="宋体"/>
      <w:b w:val="0"/>
      <w:spacing w:val="0"/>
      <w:kern w:val="2"/>
      <w:sz w:val="21"/>
      <w:szCs w:val="21"/>
    </w:rPr>
  </w:style>
  <w:style w:type="paragraph" w:customStyle="1" w:styleId="3386">
    <w:name w:val="xl106"/>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cs="宋体"/>
      <w:kern w:val="0"/>
      <w:sz w:val="32"/>
      <w:szCs w:val="32"/>
    </w:rPr>
  </w:style>
  <w:style w:type="paragraph" w:customStyle="1" w:styleId="3387">
    <w:name w:val="¡À¨ª????¡Á??a??o?"/>
    <w:basedOn w:val="1"/>
    <w:unhideWhenUsed/>
    <w:qFormat/>
    <w:uiPriority w:val="0"/>
    <w:pPr>
      <w:spacing w:before="120" w:after="120"/>
      <w:ind w:left="578" w:hanging="578"/>
      <w:jc w:val="center"/>
    </w:pPr>
    <w:rPr>
      <w:rFonts w:ascii="宋体"/>
      <w:kern w:val="0"/>
      <w:szCs w:val="21"/>
    </w:rPr>
  </w:style>
  <w:style w:type="paragraph" w:customStyle="1" w:styleId="3388">
    <w:name w:val="Char Char Char Char Char Char Char Char Char1 Char Char Char Char1"/>
    <w:basedOn w:val="1"/>
    <w:qFormat/>
    <w:uiPriority w:val="0"/>
    <w:rPr>
      <w:rFonts w:ascii="宋体"/>
      <w:kern w:val="0"/>
      <w:szCs w:val="21"/>
    </w:rPr>
  </w:style>
  <w:style w:type="paragraph" w:customStyle="1" w:styleId="3389">
    <w:name w:val="样式 左侧:  -0.16 厘米"/>
    <w:basedOn w:val="1"/>
    <w:qFormat/>
    <w:uiPriority w:val="0"/>
    <w:pPr>
      <w:ind w:left="-90"/>
    </w:pPr>
    <w:rPr>
      <w:rFonts w:ascii="宋体" w:hAnsi="宋体" w:cs="宋体"/>
      <w:snapToGrid w:val="0"/>
      <w:kern w:val="0"/>
      <w:sz w:val="34"/>
      <w:szCs w:val="20"/>
    </w:rPr>
  </w:style>
  <w:style w:type="paragraph" w:customStyle="1" w:styleId="3390">
    <w:name w:val="Char1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391">
    <w:name w:val="样式 标题 3标题 3 Char CharH3h33rd level标题3 + 段前: 0.5 行"/>
    <w:basedOn w:val="9"/>
    <w:qFormat/>
    <w:uiPriority w:val="0"/>
    <w:pPr>
      <w:keepNext w:val="0"/>
      <w:keepLines w:val="0"/>
      <w:numPr>
        <w:ilvl w:val="0"/>
        <w:numId w:val="0"/>
      </w:numPr>
      <w:ind w:firstLine="480" w:firstLineChars="200"/>
      <w:jc w:val="both"/>
      <w:outlineLvl w:val="9"/>
    </w:pPr>
    <w:rPr>
      <w:rFonts w:cs="Times New Roman"/>
      <w:bCs w:val="0"/>
      <w:color w:val="FF00FF"/>
      <w:sz w:val="24"/>
      <w:szCs w:val="24"/>
    </w:rPr>
  </w:style>
  <w:style w:type="paragraph" w:customStyle="1" w:styleId="3392">
    <w:name w:val="正文文本 21"/>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393">
    <w:name w:val="CM90"/>
    <w:basedOn w:val="2"/>
    <w:next w:val="2"/>
    <w:semiHidden/>
    <w:qFormat/>
    <w:uiPriority w:val="0"/>
    <w:pPr>
      <w:adjustRightInd/>
    </w:pPr>
    <w:rPr>
      <w:rFonts w:hint="eastAsia" w:ascii="仿宋" w:hAnsi="仿宋" w:eastAsia="仿宋" w:cs="Times New Roman"/>
      <w:szCs w:val="20"/>
    </w:rPr>
  </w:style>
  <w:style w:type="paragraph" w:customStyle="1" w:styleId="3394">
    <w:name w:val="表标题16.7.1.1"/>
    <w:basedOn w:val="10"/>
    <w:qFormat/>
    <w:uiPriority w:val="0"/>
    <w:pPr>
      <w:widowControl w:val="0"/>
      <w:numPr>
        <w:numId w:val="78"/>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395">
    <w:name w:val="Char Char12 Zchn Zchn Char Char"/>
    <w:basedOn w:val="1"/>
    <w:qFormat/>
    <w:uiPriority w:val="0"/>
    <w:rPr>
      <w:rFonts w:ascii="宋体"/>
      <w:kern w:val="0"/>
      <w:sz w:val="34"/>
      <w:szCs w:val="20"/>
    </w:rPr>
  </w:style>
  <w:style w:type="paragraph" w:customStyle="1" w:styleId="3396">
    <w:name w:val="样式 标题 1 + 小四 行距: 1.5 倍行距"/>
    <w:basedOn w:val="7"/>
    <w:qFormat/>
    <w:uiPriority w:val="0"/>
    <w:pPr>
      <w:keepLines/>
      <w:overflowPunct/>
      <w:snapToGrid/>
      <w:spacing w:after="120" w:line="360" w:lineRule="auto"/>
      <w:ind w:left="0" w:firstLine="0"/>
    </w:pPr>
    <w:rPr>
      <w:rFonts w:ascii="黑体" w:hAnsi="宋体"/>
      <w:color w:val="auto"/>
      <w:kern w:val="2"/>
      <w:sz w:val="28"/>
      <w:szCs w:val="28"/>
    </w:rPr>
  </w:style>
  <w:style w:type="paragraph" w:customStyle="1" w:styleId="3397">
    <w:name w:val="xl65"/>
    <w:basedOn w:val="1"/>
    <w:qFormat/>
    <w:uiPriority w:val="0"/>
    <w:pPr>
      <w:widowControl/>
      <w:pBdr>
        <w:left w:val="single" w:color="auto"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398">
    <w:name w:val="样式 标题 3标题3标题 3 Char Char Char Char标题 31 Char标题 32标题 3 Char ..."/>
    <w:basedOn w:val="9"/>
    <w:qFormat/>
    <w:uiPriority w:val="0"/>
    <w:pPr>
      <w:widowControl w:val="0"/>
      <w:numPr>
        <w:ilvl w:val="0"/>
        <w:numId w:val="0"/>
      </w:numPr>
      <w:adjustRightInd w:val="0"/>
      <w:snapToGrid w:val="0"/>
      <w:spacing w:before="156" w:line="300" w:lineRule="auto"/>
    </w:pPr>
    <w:rPr>
      <w:rFonts w:eastAsia="黑体"/>
      <w:bCs w:val="0"/>
      <w:sz w:val="26"/>
      <w:szCs w:val="20"/>
    </w:rPr>
  </w:style>
  <w:style w:type="paragraph" w:customStyle="1" w:styleId="3399">
    <w:name w:val="默认段落字体 Para Char Char Char Char Char Char Char Char Char Char Char Char Char Char Char Char Char Char Char Char Char Char Char Char Char Char Char Char1 Char Char Char Char Char"/>
    <w:basedOn w:val="1"/>
    <w:qFormat/>
    <w:uiPriority w:val="0"/>
    <w:rPr>
      <w:rFonts w:ascii="宋体"/>
      <w:kern w:val="0"/>
      <w:sz w:val="34"/>
      <w:szCs w:val="20"/>
    </w:rPr>
  </w:style>
  <w:style w:type="paragraph" w:customStyle="1" w:styleId="3400">
    <w:name w:val="表头10"/>
    <w:basedOn w:val="3401"/>
    <w:qFormat/>
    <w:uiPriority w:val="0"/>
    <w:pPr>
      <w:tabs>
        <w:tab w:val="left" w:pos="843"/>
        <w:tab w:val="left" w:pos="903"/>
        <w:tab w:val="left" w:pos="1728"/>
        <w:tab w:val="left" w:pos="1774"/>
        <w:tab w:val="left" w:pos="2345"/>
      </w:tabs>
      <w:spacing w:before="240"/>
      <w:ind w:left="1330" w:hanging="425"/>
      <w:jc w:val="center"/>
    </w:pPr>
    <w:rPr>
      <w:bCs/>
    </w:rPr>
  </w:style>
  <w:style w:type="paragraph" w:customStyle="1" w:styleId="3401">
    <w:name w:val="表头8"/>
    <w:basedOn w:val="3402"/>
    <w:qFormat/>
    <w:uiPriority w:val="0"/>
    <w:pPr>
      <w:tabs>
        <w:tab w:val="left" w:pos="843"/>
        <w:tab w:val="left" w:pos="903"/>
        <w:tab w:val="left" w:pos="1728"/>
        <w:tab w:val="left" w:pos="1774"/>
      </w:tabs>
      <w:ind w:left="845"/>
    </w:pPr>
  </w:style>
  <w:style w:type="paragraph" w:customStyle="1" w:styleId="3402">
    <w:name w:val="表头6"/>
    <w:basedOn w:val="2687"/>
    <w:qFormat/>
    <w:uiPriority w:val="0"/>
    <w:pPr>
      <w:tabs>
        <w:tab w:val="left" w:pos="843"/>
        <w:tab w:val="left" w:pos="1774"/>
        <w:tab w:val="clear" w:pos="625"/>
      </w:tabs>
      <w:ind w:left="992" w:leftChars="0" w:hanging="363"/>
    </w:pPr>
  </w:style>
  <w:style w:type="paragraph" w:customStyle="1" w:styleId="3403">
    <w:name w:val="大纲封面"/>
    <w:basedOn w:val="1"/>
    <w:qFormat/>
    <w:uiPriority w:val="0"/>
    <w:pPr>
      <w:spacing w:line="360" w:lineRule="auto"/>
      <w:jc w:val="center"/>
    </w:pPr>
    <w:rPr>
      <w:rFonts w:ascii="宋体" w:hAnsi="Arial Black" w:eastAsia="楷体_GB2312"/>
      <w:b/>
      <w:spacing w:val="100"/>
      <w:kern w:val="44"/>
      <w:sz w:val="72"/>
      <w:szCs w:val="20"/>
    </w:rPr>
  </w:style>
  <w:style w:type="paragraph" w:customStyle="1" w:styleId="3404">
    <w:name w:val="pvc1.1"/>
    <w:basedOn w:val="8"/>
    <w:next w:val="8"/>
    <w:semiHidden/>
    <w:qFormat/>
    <w:uiPriority w:val="0"/>
    <w:pPr>
      <w:widowControl w:val="0"/>
      <w:numPr>
        <w:ilvl w:val="0"/>
        <w:numId w:val="0"/>
      </w:numPr>
      <w:tabs>
        <w:tab w:val="left" w:pos="315"/>
        <w:tab w:val="left" w:pos="576"/>
        <w:tab w:val="left" w:pos="768"/>
      </w:tabs>
      <w:adjustRightInd w:val="0"/>
      <w:spacing w:before="260" w:beforeLines="100" w:after="260" w:afterLines="100" w:line="324" w:lineRule="auto"/>
      <w:ind w:left="576" w:hanging="576"/>
      <w:jc w:val="both"/>
    </w:pPr>
    <w:rPr>
      <w:rFonts w:ascii="黑体" w:hAnsi="宋体" w:eastAsia="华文中宋"/>
      <w:sz w:val="44"/>
      <w:szCs w:val="44"/>
    </w:rPr>
  </w:style>
  <w:style w:type="paragraph" w:customStyle="1" w:styleId="3405">
    <w:name w:val="Reference Initials"/>
    <w:basedOn w:val="1"/>
    <w:unhideWhenUsed/>
    <w:qFormat/>
    <w:uiPriority w:val="0"/>
    <w:pPr>
      <w:widowControl/>
      <w:spacing w:before="120" w:after="120"/>
      <w:ind w:left="578" w:hanging="578"/>
    </w:pPr>
    <w:rPr>
      <w:rFonts w:ascii="Arial" w:hAnsi="Arial"/>
      <w:kern w:val="0"/>
      <w:sz w:val="22"/>
      <w:szCs w:val="20"/>
    </w:rPr>
  </w:style>
  <w:style w:type="paragraph" w:customStyle="1" w:styleId="3406">
    <w:name w:val="Body Single"/>
    <w:semiHidden/>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407">
    <w:name w:val="yzp-章"/>
    <w:basedOn w:val="618"/>
    <w:qFormat/>
    <w:uiPriority w:val="0"/>
    <w:pPr>
      <w:widowControl w:val="0"/>
      <w:numPr>
        <w:ilvl w:val="0"/>
        <w:numId w:val="79"/>
      </w:numPr>
      <w:tabs>
        <w:tab w:val="left" w:pos="726"/>
      </w:tabs>
      <w:spacing w:beforeLines="100" w:afterLines="100" w:line="360" w:lineRule="auto"/>
      <w:ind w:left="200" w:leftChars="200" w:firstLine="0" w:firstLineChars="0"/>
      <w:jc w:val="center"/>
      <w:outlineLvl w:val="0"/>
    </w:pPr>
    <w:rPr>
      <w:rFonts w:ascii="华文宋体" w:hAnsi="华文宋体" w:eastAsia="黑体" w:cs="Times New Roman"/>
      <w:b/>
      <w:sz w:val="32"/>
    </w:rPr>
  </w:style>
  <w:style w:type="paragraph" w:customStyle="1" w:styleId="3408">
    <w:name w:val="xl109"/>
    <w:basedOn w:val="1"/>
    <w:qFormat/>
    <w:uiPriority w:val="0"/>
    <w:pPr>
      <w:widowControl/>
      <w:pBdr>
        <w:left w:val="single" w:color="000000" w:sz="4" w:space="0"/>
        <w:right w:val="single" w:color="000000" w:sz="4" w:space="0"/>
      </w:pBdr>
      <w:spacing w:before="100" w:beforeAutospacing="1" w:after="100" w:afterAutospacing="1"/>
      <w:jc w:val="center"/>
    </w:pPr>
    <w:rPr>
      <w:rFonts w:ascii="宋体"/>
      <w:kern w:val="0"/>
      <w:sz w:val="34"/>
      <w:szCs w:val="20"/>
    </w:rPr>
  </w:style>
  <w:style w:type="paragraph" w:customStyle="1" w:styleId="3409">
    <w:name w:val="正文首行缩进11"/>
    <w:basedOn w:val="37"/>
    <w:qFormat/>
    <w:uiPriority w:val="0"/>
    <w:pPr>
      <w:widowControl w:val="0"/>
      <w:adjustRightInd w:val="0"/>
      <w:snapToGrid/>
      <w:spacing w:before="0" w:after="120" w:line="312" w:lineRule="atLeast"/>
      <w:ind w:right="0" w:firstLine="420"/>
      <w:textAlignment w:val="baseline"/>
    </w:pPr>
    <w:rPr>
      <w:sz w:val="27"/>
    </w:rPr>
  </w:style>
  <w:style w:type="paragraph" w:customStyle="1" w:styleId="3410">
    <w:name w:val="Char Char Char1 Char Char Char1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411">
    <w:name w:val="正文文本缩进12"/>
    <w:basedOn w:val="1"/>
    <w:qFormat/>
    <w:uiPriority w:val="0"/>
    <w:pPr>
      <w:spacing w:after="120"/>
      <w:ind w:left="420" w:leftChars="200"/>
    </w:pPr>
    <w:rPr>
      <w:rFonts w:ascii="Calibri" w:hAnsi="Calibri" w:eastAsia="仿宋"/>
      <w:kern w:val="0"/>
      <w:sz w:val="34"/>
      <w:szCs w:val="20"/>
    </w:rPr>
  </w:style>
  <w:style w:type="paragraph" w:customStyle="1" w:styleId="3412">
    <w:name w:val="南沙标题2"/>
    <w:basedOn w:val="8"/>
    <w:qFormat/>
    <w:uiPriority w:val="0"/>
    <w:pPr>
      <w:widowControl w:val="0"/>
      <w:numPr>
        <w:ilvl w:val="0"/>
        <w:numId w:val="0"/>
      </w:numPr>
      <w:spacing w:before="260" w:beforeLines="50" w:after="260" w:afterLines="50" w:line="240" w:lineRule="auto"/>
      <w:ind w:firstLine="482"/>
      <w:jc w:val="both"/>
    </w:pPr>
    <w:rPr>
      <w:rFonts w:ascii="宋体" w:hAnsi="宋体" w:eastAsia="黑体" w:cs="Times New Roman"/>
      <w:b/>
      <w:sz w:val="32"/>
      <w:szCs w:val="32"/>
    </w:rPr>
  </w:style>
  <w:style w:type="paragraph" w:customStyle="1" w:styleId="3413">
    <w:name w:val="标题 83"/>
    <w:basedOn w:val="1"/>
    <w:next w:val="1"/>
    <w:qFormat/>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3414">
    <w:name w:val="附录五级条标题"/>
    <w:basedOn w:val="3195"/>
    <w:next w:val="1"/>
    <w:qFormat/>
    <w:uiPriority w:val="0"/>
    <w:pPr>
      <w:tabs>
        <w:tab w:val="left" w:pos="1496"/>
        <w:tab w:val="clear" w:pos="1352"/>
      </w:tabs>
      <w:ind w:left="1496" w:hanging="1296"/>
      <w:outlineLvl w:val="6"/>
    </w:pPr>
  </w:style>
  <w:style w:type="paragraph" w:customStyle="1" w:styleId="3415">
    <w:name w:val="图文框"/>
    <w:basedOn w:val="1"/>
    <w:qFormat/>
    <w:uiPriority w:val="0"/>
    <w:pPr>
      <w:jc w:val="center"/>
    </w:pPr>
    <w:rPr>
      <w:rFonts w:ascii="宋体" w:hAnsi="宋体"/>
      <w:kern w:val="0"/>
      <w:szCs w:val="21"/>
    </w:rPr>
  </w:style>
  <w:style w:type="paragraph" w:customStyle="1" w:styleId="3416">
    <w:name w:val="Char Char1 Char Char Char Char2"/>
    <w:basedOn w:val="1"/>
    <w:next w:val="1"/>
    <w:qFormat/>
    <w:uiPriority w:val="0"/>
    <w:pPr>
      <w:spacing w:line="360" w:lineRule="auto"/>
      <w:ind w:firstLine="200" w:firstLineChars="200"/>
    </w:pPr>
    <w:rPr>
      <w:rFonts w:ascii="宋体" w:hAnsi="宋体" w:cs="宋体"/>
      <w:kern w:val="0"/>
      <w:sz w:val="34"/>
      <w:szCs w:val="20"/>
    </w:rPr>
  </w:style>
  <w:style w:type="paragraph" w:customStyle="1" w:styleId="3417">
    <w:name w:val="样式 标题 1 + 居中"/>
    <w:basedOn w:val="7"/>
    <w:qFormat/>
    <w:uiPriority w:val="0"/>
    <w:pPr>
      <w:keepLines/>
      <w:pageBreakBefore/>
      <w:overflowPunct/>
      <w:adjustRightInd w:val="0"/>
      <w:snapToGrid/>
      <w:spacing w:before="340" w:beforeLines="50" w:after="120" w:line="360" w:lineRule="auto"/>
      <w:jc w:val="center"/>
      <w:textAlignment w:val="baseline"/>
    </w:pPr>
    <w:rPr>
      <w:rFonts w:ascii="仿宋_GB2312" w:hAnsi="宋体" w:eastAsia="仿宋_GB2312"/>
      <w:sz w:val="44"/>
      <w:szCs w:val="20"/>
    </w:rPr>
  </w:style>
  <w:style w:type="paragraph" w:customStyle="1" w:styleId="3418">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419">
    <w:name w:val="Char12"/>
    <w:basedOn w:val="1"/>
    <w:qFormat/>
    <w:uiPriority w:val="0"/>
    <w:pPr>
      <w:widowControl/>
      <w:spacing w:line="360" w:lineRule="auto"/>
      <w:ind w:firstLine="200" w:firstLineChars="200"/>
      <w:jc w:val="left"/>
    </w:pPr>
    <w:rPr>
      <w:rFonts w:ascii="宋体"/>
      <w:kern w:val="0"/>
      <w:sz w:val="34"/>
      <w:szCs w:val="20"/>
    </w:rPr>
  </w:style>
  <w:style w:type="paragraph" w:customStyle="1" w:styleId="3420">
    <w:name w:val="表格新"/>
    <w:basedOn w:val="1"/>
    <w:qFormat/>
    <w:uiPriority w:val="0"/>
    <w:pPr>
      <w:adjustRightInd w:val="0"/>
      <w:snapToGrid w:val="0"/>
      <w:spacing w:before="60" w:after="60"/>
      <w:jc w:val="center"/>
      <w:textAlignment w:val="baseline"/>
    </w:pPr>
    <w:rPr>
      <w:rFonts w:ascii="宋体" w:hAnsi="宋体"/>
      <w:kern w:val="0"/>
      <w:sz w:val="34"/>
      <w:szCs w:val="20"/>
    </w:rPr>
  </w:style>
  <w:style w:type="paragraph" w:customStyle="1" w:styleId="3421">
    <w:name w:val="CM76"/>
    <w:basedOn w:val="2"/>
    <w:next w:val="2"/>
    <w:semiHidden/>
    <w:qFormat/>
    <w:uiPriority w:val="0"/>
    <w:pPr>
      <w:adjustRightInd/>
    </w:pPr>
    <w:rPr>
      <w:rFonts w:hint="eastAsia" w:ascii="仿宋" w:hAnsi="仿宋" w:eastAsia="仿宋" w:cs="Times New Roman"/>
      <w:szCs w:val="20"/>
    </w:rPr>
  </w:style>
  <w:style w:type="paragraph" w:customStyle="1" w:styleId="3422">
    <w:name w:val="Char Char Char Char Char Char Char Char Char Char Char Char Char Char Char Char Char Char Char Char Char Char Char Char"/>
    <w:basedOn w:val="1"/>
    <w:qFormat/>
    <w:uiPriority w:val="0"/>
    <w:rPr>
      <w:rFonts w:ascii="宋体"/>
      <w:kern w:val="0"/>
      <w:szCs w:val="20"/>
    </w:rPr>
  </w:style>
  <w:style w:type="paragraph" w:customStyle="1" w:styleId="3423">
    <w:name w:val="封里2"/>
    <w:basedOn w:val="1702"/>
    <w:qFormat/>
    <w:uiPriority w:val="0"/>
    <w:pPr>
      <w:ind w:firstLine="200" w:firstLineChars="200"/>
      <w:jc w:val="both"/>
    </w:pPr>
    <w:rPr>
      <w:rFonts w:ascii="Times New Roman" w:eastAsia="宋体"/>
      <w:bCs w:val="0"/>
      <w:kern w:val="2"/>
      <w:sz w:val="28"/>
    </w:rPr>
  </w:style>
  <w:style w:type="paragraph" w:customStyle="1" w:styleId="3424">
    <w:name w:val="标题44"/>
    <w:basedOn w:val="10"/>
    <w:next w:val="1"/>
    <w:qFormat/>
    <w:uiPriority w:val="0"/>
    <w:pPr>
      <w:widowControl w:val="0"/>
      <w:numPr>
        <w:ilvl w:val="0"/>
        <w:numId w:val="0"/>
      </w:numPr>
      <w:spacing w:before="60" w:after="60" w:line="240" w:lineRule="auto"/>
      <w:jc w:val="both"/>
    </w:pPr>
    <w:rPr>
      <w:rFonts w:ascii="宋体" w:hAnsi="宋体" w:eastAsia="楷体_GB2312" w:cs="Times New Roman"/>
      <w:sz w:val="20"/>
      <w:szCs w:val="20"/>
    </w:rPr>
  </w:style>
  <w:style w:type="paragraph" w:customStyle="1" w:styleId="3425">
    <w:name w:val="题目"/>
    <w:basedOn w:val="7"/>
    <w:next w:val="1"/>
    <w:qFormat/>
    <w:uiPriority w:val="0"/>
    <w:pPr>
      <w:keepLines/>
      <w:overflowPunct/>
      <w:snapToGrid/>
      <w:spacing w:before="100" w:beforeAutospacing="1" w:after="100" w:afterAutospacing="1" w:line="240" w:lineRule="auto"/>
      <w:ind w:left="100" w:leftChars="100" w:right="100" w:rightChars="100"/>
      <w:jc w:val="center"/>
    </w:pPr>
    <w:rPr>
      <w:rFonts w:ascii="宋体" w:hAnsi="宋体"/>
      <w:color w:val="auto"/>
    </w:rPr>
  </w:style>
  <w:style w:type="paragraph" w:customStyle="1" w:styleId="3426">
    <w:name w:val="标题123"/>
    <w:basedOn w:val="1"/>
    <w:next w:val="1"/>
    <w:qFormat/>
    <w:uiPriority w:val="0"/>
    <w:pPr>
      <w:adjustRightInd w:val="0"/>
      <w:spacing w:before="120" w:after="120"/>
      <w:ind w:left="578" w:hanging="578"/>
      <w:jc w:val="center"/>
      <w:textAlignment w:val="baseline"/>
    </w:pPr>
    <w:rPr>
      <w:rFonts w:ascii="宋体"/>
      <w:kern w:val="0"/>
      <w:szCs w:val="20"/>
    </w:rPr>
  </w:style>
  <w:style w:type="paragraph" w:customStyle="1" w:styleId="3427">
    <w:name w:val="表居中（中文）"/>
    <w:basedOn w:val="1"/>
    <w:qFormat/>
    <w:uiPriority w:val="0"/>
    <w:pPr>
      <w:adjustRightInd w:val="0"/>
      <w:spacing w:line="380" w:lineRule="atLeast"/>
      <w:jc w:val="center"/>
      <w:textAlignment w:val="baseline"/>
    </w:pPr>
    <w:rPr>
      <w:rFonts w:ascii="宋体" w:eastAsia="楷体_GB2312"/>
      <w:kern w:val="0"/>
      <w:sz w:val="34"/>
      <w:szCs w:val="20"/>
    </w:rPr>
  </w:style>
  <w:style w:type="paragraph" w:customStyle="1" w:styleId="3428">
    <w:name w:val="Char3 Char Char Char Char Char Char Char Char Char Char Char Char Char Char Char Char Char Char Char Char Char Char Char Char Char1"/>
    <w:basedOn w:val="1"/>
    <w:qFormat/>
    <w:uiPriority w:val="0"/>
    <w:pPr>
      <w:spacing w:line="340" w:lineRule="exact"/>
      <w:ind w:firstLine="10" w:firstLineChars="4"/>
    </w:pPr>
    <w:rPr>
      <w:rFonts w:ascii="宋体"/>
      <w:kern w:val="0"/>
      <w:sz w:val="28"/>
      <w:szCs w:val="28"/>
    </w:rPr>
  </w:style>
  <w:style w:type="paragraph" w:customStyle="1" w:styleId="3429">
    <w:name w:val="中文报告书样式"/>
    <w:basedOn w:val="1"/>
    <w:qFormat/>
    <w:uiPriority w:val="0"/>
    <w:pPr>
      <w:adjustRightInd w:val="0"/>
      <w:spacing w:line="480" w:lineRule="atLeast"/>
      <w:ind w:firstLine="482"/>
      <w:textAlignment w:val="baseline"/>
    </w:pPr>
    <w:rPr>
      <w:rFonts w:ascii="宋体"/>
      <w:kern w:val="24"/>
      <w:sz w:val="34"/>
      <w:szCs w:val="20"/>
    </w:rPr>
  </w:style>
  <w:style w:type="paragraph" w:customStyle="1" w:styleId="3430">
    <w:name w:val="小三 无缩进居中"/>
    <w:basedOn w:val="1"/>
    <w:unhideWhenUsed/>
    <w:qFormat/>
    <w:uiPriority w:val="0"/>
    <w:pPr>
      <w:spacing w:before="120" w:after="120"/>
      <w:ind w:left="578" w:hanging="578"/>
      <w:jc w:val="center"/>
    </w:pPr>
    <w:rPr>
      <w:rFonts w:ascii="宋体" w:cs="宋体"/>
      <w:b/>
      <w:bCs/>
      <w:kern w:val="0"/>
      <w:sz w:val="30"/>
      <w:szCs w:val="20"/>
    </w:rPr>
  </w:style>
  <w:style w:type="paragraph" w:customStyle="1" w:styleId="3431">
    <w:name w:val="xl84"/>
    <w:basedOn w:val="1"/>
    <w:qFormat/>
    <w:uiPriority w:val="0"/>
    <w:pPr>
      <w:widowControl/>
      <w:pBdr>
        <w:top w:val="single" w:color="000000" w:sz="8" w:space="0"/>
        <w:left w:val="single" w:color="000000" w:sz="8" w:space="0"/>
      </w:pBdr>
      <w:spacing w:before="100" w:beforeAutospacing="1" w:after="100" w:afterAutospacing="1"/>
    </w:pPr>
    <w:rPr>
      <w:rFonts w:ascii="仿宋_GB2312" w:hAnsi="宋体" w:eastAsia="仿宋_GB2312" w:cs="宋体"/>
      <w:kern w:val="0"/>
      <w:szCs w:val="21"/>
    </w:rPr>
  </w:style>
  <w:style w:type="paragraph" w:customStyle="1" w:styleId="3432">
    <w:name w:val="Char Char Char Char Char Char Char Char Char Char Char1 Char Char Char Char Char Char Char Char Char Char Char Char Char Char Char Char"/>
    <w:basedOn w:val="1"/>
    <w:qFormat/>
    <w:uiPriority w:val="0"/>
    <w:rPr>
      <w:rFonts w:ascii="宋体"/>
      <w:kern w:val="0"/>
      <w:sz w:val="34"/>
      <w:szCs w:val="20"/>
    </w:rPr>
  </w:style>
  <w:style w:type="paragraph" w:customStyle="1" w:styleId="3433">
    <w:name w:val="Char4"/>
    <w:basedOn w:val="1"/>
    <w:qFormat/>
    <w:uiPriority w:val="0"/>
    <w:rPr>
      <w:rFonts w:ascii="宋体"/>
      <w:kern w:val="0"/>
      <w:szCs w:val="21"/>
    </w:rPr>
  </w:style>
  <w:style w:type="paragraph" w:customStyle="1" w:styleId="3434">
    <w:name w:val="Titre 1 sans SP"/>
    <w:basedOn w:val="7"/>
    <w:unhideWhenUsed/>
    <w:qFormat/>
    <w:uiPriority w:val="0"/>
    <w:pPr>
      <w:keepLines/>
      <w:widowControl/>
      <w:tabs>
        <w:tab w:val="left" w:pos="432"/>
      </w:tabs>
      <w:overflowPunct/>
      <w:snapToGrid/>
      <w:spacing w:before="0" w:after="0" w:line="280" w:lineRule="atLeast"/>
      <w:jc w:val="left"/>
    </w:pPr>
    <w:rPr>
      <w:rFonts w:ascii="宋体" w:hAnsi="宋体" w:eastAsia="宋体"/>
      <w:b w:val="0"/>
      <w:bCs w:val="0"/>
      <w:caps/>
      <w:color w:val="auto"/>
      <w:kern w:val="0"/>
      <w:sz w:val="32"/>
      <w:szCs w:val="20"/>
    </w:rPr>
  </w:style>
  <w:style w:type="paragraph" w:customStyle="1" w:styleId="3435">
    <w:name w:val="图表脚注"/>
    <w:next w:val="213"/>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436">
    <w:name w:val="Lara"/>
    <w:basedOn w:val="7"/>
    <w:unhideWhenUsed/>
    <w:qFormat/>
    <w:uiPriority w:val="0"/>
    <w:pPr>
      <w:keepLines/>
      <w:widowControl/>
      <w:overflowPunct/>
      <w:snapToGrid/>
      <w:spacing w:before="0" w:after="0" w:line="480" w:lineRule="atLeast"/>
      <w:ind w:left="0" w:firstLine="0"/>
    </w:pPr>
    <w:rPr>
      <w:rFonts w:ascii="Arial" w:hAnsi="Arial" w:eastAsia="宋体"/>
      <w:bCs w:val="0"/>
      <w:color w:val="auto"/>
      <w:kern w:val="24"/>
      <w:sz w:val="22"/>
      <w:szCs w:val="20"/>
      <w:u w:val="words"/>
    </w:rPr>
  </w:style>
  <w:style w:type="paragraph" w:customStyle="1" w:styleId="3437">
    <w:name w:val="文本框1"/>
    <w:basedOn w:val="1970"/>
    <w:qFormat/>
    <w:uiPriority w:val="0"/>
    <w:pPr>
      <w:widowControl w:val="0"/>
      <w:pBdr>
        <w:bottom w:val="none" w:color="auto" w:sz="0" w:space="0"/>
        <w:right w:val="none" w:color="auto" w:sz="0" w:space="0"/>
      </w:pBdr>
      <w:spacing w:before="0" w:beforeAutospacing="0" w:afterLines="50" w:afterAutospacing="0" w:line="260" w:lineRule="exact"/>
    </w:pPr>
    <w:rPr>
      <w:rFonts w:hAnsi="Times New Roman" w:eastAsia="宋体" w:cs="Times New Roman"/>
      <w:color w:val="auto"/>
      <w:kern w:val="2"/>
      <w:sz w:val="21"/>
      <w:szCs w:val="20"/>
    </w:rPr>
  </w:style>
  <w:style w:type="paragraph" w:customStyle="1" w:styleId="3438">
    <w:name w:val="00"/>
    <w:basedOn w:val="1"/>
    <w:qFormat/>
    <w:uiPriority w:val="0"/>
    <w:pPr>
      <w:spacing w:line="520" w:lineRule="exact"/>
      <w:ind w:firstLine="437"/>
    </w:pPr>
    <w:rPr>
      <w:rFonts w:ascii="宋体"/>
      <w:kern w:val="0"/>
      <w:sz w:val="34"/>
      <w:szCs w:val="20"/>
    </w:rPr>
  </w:style>
  <w:style w:type="paragraph" w:customStyle="1" w:styleId="3439">
    <w:name w:val="样式 样式 样式 样式 样式 标题 4 + 段前: 0.5 行 段后: 0.5 行 + 段前: 0.5 行 段后: 0.5 行5..."/>
    <w:basedOn w:val="3440"/>
    <w:semiHidden/>
    <w:qFormat/>
    <w:uiPriority w:val="0"/>
    <w:pPr>
      <w:adjustRightInd/>
    </w:pPr>
  </w:style>
  <w:style w:type="paragraph" w:customStyle="1" w:styleId="3440">
    <w:name w:val="样式 样式 样式 样式 标题 4 + 段前: 0.5 行 段后: 0.5 行 + 段前: 0.5 行 段后: 0.5 行5 + ..."/>
    <w:basedOn w:val="2510"/>
    <w:semiHidden/>
    <w:qFormat/>
    <w:uiPriority w:val="0"/>
  </w:style>
  <w:style w:type="paragraph" w:customStyle="1" w:styleId="3441">
    <w:name w:val="表13.4-1"/>
    <w:basedOn w:val="1"/>
    <w:next w:val="1"/>
    <w:qFormat/>
    <w:uiPriority w:val="0"/>
    <w:pPr>
      <w:numPr>
        <w:ilvl w:val="0"/>
        <w:numId w:val="80"/>
      </w:numPr>
      <w:tabs>
        <w:tab w:val="left" w:pos="3732"/>
      </w:tabs>
      <w:spacing w:before="120" w:after="120" w:line="312" w:lineRule="auto"/>
      <w:ind w:firstLine="567"/>
    </w:pPr>
    <w:rPr>
      <w:rFonts w:ascii="黑体" w:hAnsi="宋体" w:eastAsia="黑体" w:cs="宋体"/>
      <w:b/>
      <w:kern w:val="0"/>
      <w:sz w:val="34"/>
      <w:szCs w:val="20"/>
    </w:rPr>
  </w:style>
  <w:style w:type="paragraph" w:customStyle="1" w:styleId="3442">
    <w:name w:val="样式 正文缩进正文（首行缩进两字）正文（首行缩进两字） Char Char Char Char Char Char Char..."/>
    <w:basedOn w:val="6"/>
    <w:qFormat/>
    <w:uiPriority w:val="0"/>
    <w:pPr>
      <w:widowControl w:val="0"/>
      <w:tabs>
        <w:tab w:val="left" w:pos="3360"/>
      </w:tabs>
      <w:adjustRightInd w:val="0"/>
      <w:snapToGrid w:val="0"/>
      <w:spacing w:before="120" w:after="120" w:line="360" w:lineRule="auto"/>
      <w:ind w:left="578" w:firstLine="0" w:firstLineChars="0"/>
      <w:jc w:val="both"/>
      <w:textAlignment w:val="baseline"/>
    </w:pPr>
    <w:rPr>
      <w:rFonts w:ascii="Times New Roman" w:cs="Times New Roman"/>
      <w:sz w:val="20"/>
      <w:szCs w:val="20"/>
    </w:rPr>
  </w:style>
  <w:style w:type="paragraph" w:customStyle="1" w:styleId="3443">
    <w:name w:val="列出段落4"/>
    <w:basedOn w:val="1"/>
    <w:qFormat/>
    <w:uiPriority w:val="0"/>
    <w:pPr>
      <w:ind w:firstLine="420" w:firstLineChars="200"/>
    </w:pPr>
    <w:rPr>
      <w:rFonts w:ascii="Calibri" w:hAnsi="Calibri" w:cs="黑体"/>
      <w:kern w:val="0"/>
      <w:szCs w:val="22"/>
    </w:rPr>
  </w:style>
  <w:style w:type="paragraph" w:customStyle="1" w:styleId="3444">
    <w:name w:val="正文（杨）"/>
    <w:basedOn w:val="1"/>
    <w:qFormat/>
    <w:uiPriority w:val="0"/>
    <w:pPr>
      <w:adjustRightInd w:val="0"/>
      <w:snapToGrid w:val="0"/>
      <w:spacing w:line="360" w:lineRule="auto"/>
      <w:ind w:firstLine="480" w:firstLineChars="200"/>
      <w:jc w:val="left"/>
    </w:pPr>
    <w:rPr>
      <w:rFonts w:ascii="宋体"/>
      <w:kern w:val="0"/>
      <w:sz w:val="34"/>
      <w:szCs w:val="20"/>
    </w:rPr>
  </w:style>
  <w:style w:type="paragraph" w:customStyle="1" w:styleId="3445">
    <w:name w:val="Char Char Char1 Char Char Char Char Char Char Char Char Char Char1"/>
    <w:basedOn w:val="1"/>
    <w:qFormat/>
    <w:uiPriority w:val="0"/>
    <w:rPr>
      <w:rFonts w:ascii="宋体"/>
      <w:kern w:val="0"/>
      <w:szCs w:val="20"/>
    </w:rPr>
  </w:style>
  <w:style w:type="paragraph" w:customStyle="1" w:styleId="3446">
    <w:name w:val="0"/>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447">
    <w:name w:val="标题4（chen）"/>
    <w:basedOn w:val="3424"/>
    <w:qFormat/>
    <w:uiPriority w:val="0"/>
  </w:style>
  <w:style w:type="paragraph" w:customStyle="1" w:styleId="3448">
    <w:name w:val="附录2级"/>
    <w:basedOn w:val="1"/>
    <w:qFormat/>
    <w:uiPriority w:val="0"/>
    <w:pPr>
      <w:shd w:val="clear" w:color="auto" w:fill="FFFFFF"/>
      <w:spacing w:line="360" w:lineRule="auto"/>
      <w:ind w:firstLine="480"/>
    </w:pPr>
    <w:rPr>
      <w:rFonts w:ascii="宋体"/>
      <w:kern w:val="0"/>
      <w:sz w:val="34"/>
      <w:szCs w:val="20"/>
    </w:rPr>
  </w:style>
  <w:style w:type="paragraph" w:customStyle="1" w:styleId="3449">
    <w:name w:val="font9"/>
    <w:basedOn w:val="1"/>
    <w:qFormat/>
    <w:uiPriority w:val="0"/>
    <w:pPr>
      <w:widowControl/>
      <w:spacing w:before="100" w:beforeAutospacing="1" w:after="100" w:afterAutospacing="1"/>
      <w:jc w:val="left"/>
    </w:pPr>
    <w:rPr>
      <w:rFonts w:ascii="仿宋_GB2312" w:hAnsi="宋体" w:eastAsia="仿宋_GB2312" w:cs="宋体"/>
      <w:kern w:val="0"/>
      <w:szCs w:val="21"/>
    </w:rPr>
  </w:style>
  <w:style w:type="paragraph" w:customStyle="1" w:styleId="3450">
    <w:name w:val="1标2"/>
    <w:basedOn w:val="1"/>
    <w:semiHidden/>
    <w:qFormat/>
    <w:uiPriority w:val="0"/>
    <w:pPr>
      <w:keepNext/>
      <w:keepLines/>
      <w:pBdr>
        <w:top w:val="single" w:color="auto" w:sz="4" w:space="1"/>
      </w:pBdr>
      <w:adjustRightInd w:val="0"/>
      <w:spacing w:before="240" w:after="120" w:line="480" w:lineRule="exact"/>
      <w:jc w:val="left"/>
      <w:outlineLvl w:val="1"/>
    </w:pPr>
    <w:rPr>
      <w:rFonts w:ascii="宋体" w:eastAsia="黑体"/>
      <w:b/>
      <w:kern w:val="0"/>
      <w:sz w:val="32"/>
      <w:szCs w:val="32"/>
    </w:rPr>
  </w:style>
  <w:style w:type="paragraph" w:customStyle="1" w:styleId="3451">
    <w:name w:val="标题 2新"/>
    <w:basedOn w:val="8"/>
    <w:qFormat/>
    <w:uiPriority w:val="0"/>
    <w:pPr>
      <w:widowControl w:val="0"/>
      <w:numPr>
        <w:ilvl w:val="0"/>
        <w:numId w:val="0"/>
      </w:numPr>
      <w:tabs>
        <w:tab w:val="left" w:pos="315"/>
        <w:tab w:val="left" w:pos="576"/>
      </w:tabs>
      <w:adjustRightInd w:val="0"/>
      <w:spacing w:before="240" w:after="260" w:line="324" w:lineRule="auto"/>
      <w:ind w:left="576" w:hanging="576"/>
      <w:jc w:val="both"/>
    </w:pPr>
    <w:rPr>
      <w:rFonts w:ascii="宋体" w:hAnsi="宋体" w:eastAsia="黑体"/>
      <w:b/>
      <w:bCs/>
      <w:sz w:val="28"/>
      <w:szCs w:val="28"/>
    </w:rPr>
  </w:style>
  <w:style w:type="paragraph" w:customStyle="1" w:styleId="3452">
    <w:name w:val="湛江沥青表"/>
    <w:basedOn w:val="1"/>
    <w:qFormat/>
    <w:uiPriority w:val="0"/>
    <w:pPr>
      <w:autoSpaceDE w:val="0"/>
      <w:autoSpaceDN w:val="0"/>
      <w:spacing w:before="100" w:line="0" w:lineRule="atLeast"/>
      <w:ind w:left="102" w:hanging="102"/>
    </w:pPr>
    <w:rPr>
      <w:rFonts w:ascii="宋体"/>
      <w:kern w:val="0"/>
      <w:szCs w:val="21"/>
    </w:rPr>
  </w:style>
  <w:style w:type="paragraph" w:customStyle="1" w:styleId="3453">
    <w:name w:val="样式 正文首行缩进 + 四号 段后: 0 磅 行距: 1.5 倍行距"/>
    <w:basedOn w:val="43"/>
    <w:qFormat/>
    <w:uiPriority w:val="0"/>
    <w:pPr>
      <w:widowControl w:val="0"/>
      <w:spacing w:before="120" w:after="0" w:line="360" w:lineRule="auto"/>
      <w:ind w:left="578" w:firstLine="560" w:firstLineChars="200"/>
      <w:jc w:val="both"/>
    </w:pPr>
    <w:rPr>
      <w:rFonts w:hAnsi="Times New Roman"/>
      <w:kern w:val="2"/>
      <w:lang w:val="fr-FR"/>
    </w:rPr>
  </w:style>
  <w:style w:type="paragraph" w:customStyle="1" w:styleId="3454">
    <w:name w:val="xl66"/>
    <w:basedOn w:val="1"/>
    <w:qFormat/>
    <w:uiPriority w:val="0"/>
    <w:pPr>
      <w:widowControl/>
      <w:pBdr>
        <w:top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455">
    <w:name w:val="样式 标题 3 + 黑体 四号"/>
    <w:basedOn w:val="9"/>
    <w:qFormat/>
    <w:uiPriority w:val="0"/>
    <w:pPr>
      <w:widowControl w:val="0"/>
      <w:numPr>
        <w:numId w:val="0"/>
      </w:numPr>
      <w:tabs>
        <w:tab w:val="left" w:pos="720"/>
      </w:tabs>
      <w:spacing w:before="160" w:after="160"/>
      <w:ind w:left="-60" w:firstLine="60"/>
      <w:jc w:val="both"/>
    </w:pPr>
    <w:rPr>
      <w:rFonts w:ascii="黑体" w:hAnsi="黑体" w:eastAsia="黑体" w:cs="Times New Roman"/>
      <w:b/>
      <w:bCs w:val="0"/>
      <w:szCs w:val="20"/>
    </w:rPr>
  </w:style>
  <w:style w:type="paragraph" w:customStyle="1" w:styleId="3456">
    <w:name w:val="xl1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457">
    <w:name w:val="16.9.5.1"/>
    <w:basedOn w:val="10"/>
    <w:qFormat/>
    <w:uiPriority w:val="0"/>
    <w:pPr>
      <w:widowControl w:val="0"/>
      <w:numPr>
        <w:numId w:val="23"/>
      </w:numPr>
      <w:tabs>
        <w:tab w:val="left" w:pos="726"/>
        <w:tab w:val="left" w:pos="1680"/>
        <w:tab w:val="left" w:pos="1740"/>
        <w:tab w:val="left" w:pos="1800"/>
      </w:tabs>
      <w:spacing w:before="120" w:after="120" w:line="312" w:lineRule="auto"/>
      <w:ind w:left="1790" w:hanging="425"/>
      <w:jc w:val="both"/>
    </w:pPr>
    <w:rPr>
      <w:rFonts w:eastAsia="黑体" w:cs="Times New Roman"/>
      <w:sz w:val="20"/>
      <w:szCs w:val="20"/>
    </w:rPr>
  </w:style>
  <w:style w:type="paragraph" w:customStyle="1" w:styleId="3458">
    <w:name w:val="xl163"/>
    <w:basedOn w:val="1"/>
    <w:qFormat/>
    <w:uiPriority w:val="0"/>
    <w:pPr>
      <w:widowControl/>
      <w:pBdr>
        <w:top w:val="single" w:color="auto" w:sz="8"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459">
    <w:name w:val="¡À¨ª¨ª¡¤"/>
    <w:unhideWhenUsed/>
    <w:qFormat/>
    <w:uiPriority w:val="0"/>
    <w:pPr>
      <w:widowControl w:val="0"/>
      <w:spacing w:before="60" w:after="60"/>
      <w:ind w:left="578" w:hanging="578"/>
      <w:jc w:val="center"/>
      <w:textAlignment w:val="center"/>
    </w:pPr>
    <w:rPr>
      <w:rFonts w:ascii="Arial" w:hAnsi="Arial" w:eastAsia="黑体" w:cs="Arial"/>
      <w:kern w:val="24"/>
      <w:sz w:val="21"/>
      <w:szCs w:val="21"/>
      <w:lang w:val="en-US" w:eastAsia="zh-CN" w:bidi="ar-SA"/>
    </w:rPr>
  </w:style>
  <w:style w:type="paragraph" w:customStyle="1" w:styleId="3460">
    <w:name w:val="8--"/>
    <w:basedOn w:val="1"/>
    <w:semiHidden/>
    <w:qFormat/>
    <w:uiPriority w:val="0"/>
    <w:pPr>
      <w:pBdr>
        <w:top w:val="single" w:color="auto" w:sz="4" w:space="1"/>
      </w:pBdr>
      <w:adjustRightInd w:val="0"/>
      <w:spacing w:line="360" w:lineRule="atLeast"/>
      <w:jc w:val="left"/>
    </w:pPr>
    <w:rPr>
      <w:rFonts w:ascii="宋体"/>
      <w:kern w:val="0"/>
      <w:sz w:val="34"/>
      <w:szCs w:val="20"/>
    </w:rPr>
  </w:style>
  <w:style w:type="paragraph" w:customStyle="1" w:styleId="3461">
    <w:name w:val="xl18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462">
    <w:name w:val="16.8.1.1"/>
    <w:basedOn w:val="10"/>
    <w:qFormat/>
    <w:uiPriority w:val="0"/>
    <w:pPr>
      <w:widowControl w:val="0"/>
      <w:numPr>
        <w:numId w:val="81"/>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463">
    <w:name w:val="纯文本5"/>
    <w:basedOn w:val="1"/>
    <w:qFormat/>
    <w:uiPriority w:val="0"/>
    <w:pPr>
      <w:adjustRightInd w:val="0"/>
      <w:textAlignment w:val="baseline"/>
    </w:pPr>
    <w:rPr>
      <w:rFonts w:ascii="宋体" w:hAnsi="Courier New"/>
      <w:kern w:val="0"/>
      <w:szCs w:val="20"/>
    </w:rPr>
  </w:style>
  <w:style w:type="paragraph" w:customStyle="1" w:styleId="3464">
    <w:name w:val="封面单位"/>
    <w:basedOn w:val="1"/>
    <w:qFormat/>
    <w:uiPriority w:val="0"/>
    <w:pPr>
      <w:adjustRightInd w:val="0"/>
      <w:snapToGrid w:val="0"/>
      <w:spacing w:line="360" w:lineRule="auto"/>
      <w:jc w:val="center"/>
    </w:pPr>
    <w:rPr>
      <w:rFonts w:ascii="宋体"/>
      <w:b/>
      <w:bCs/>
      <w:color w:val="FF0000"/>
      <w:kern w:val="0"/>
      <w:sz w:val="44"/>
      <w:szCs w:val="20"/>
    </w:rPr>
  </w:style>
  <w:style w:type="paragraph" w:customStyle="1" w:styleId="3465">
    <w:name w:val="_Style 2"/>
    <w:basedOn w:val="1"/>
    <w:next w:val="73"/>
    <w:qFormat/>
    <w:uiPriority w:val="0"/>
    <w:pPr>
      <w:adjustRightInd w:val="0"/>
      <w:ind w:firstLine="576"/>
      <w:textAlignment w:val="baseline"/>
    </w:pPr>
    <w:rPr>
      <w:rFonts w:ascii="宋体" w:hAnsi="宋体"/>
      <w:kern w:val="0"/>
      <w:sz w:val="34"/>
      <w:szCs w:val="20"/>
    </w:rPr>
  </w:style>
  <w:style w:type="paragraph" w:customStyle="1" w:styleId="3466">
    <w:name w:val="表格-六号"/>
    <w:basedOn w:val="3467"/>
    <w:unhideWhenUsed/>
    <w:qFormat/>
    <w:uiPriority w:val="0"/>
    <w:rPr>
      <w:sz w:val="15"/>
    </w:rPr>
  </w:style>
  <w:style w:type="paragraph" w:customStyle="1" w:styleId="3467">
    <w:name w:val="表格-五号"/>
    <w:basedOn w:val="1"/>
    <w:unhideWhenUsed/>
    <w:qFormat/>
    <w:uiPriority w:val="0"/>
    <w:pPr>
      <w:adjustRightInd w:val="0"/>
      <w:spacing w:before="120" w:after="120"/>
      <w:ind w:left="578" w:hanging="578"/>
      <w:jc w:val="center"/>
      <w:textAlignment w:val="baseline"/>
    </w:pPr>
    <w:rPr>
      <w:rFonts w:ascii="宋体"/>
      <w:kern w:val="0"/>
      <w:szCs w:val="21"/>
    </w:rPr>
  </w:style>
  <w:style w:type="paragraph" w:customStyle="1" w:styleId="3468">
    <w:name w:val="生物名"/>
    <w:basedOn w:val="11"/>
    <w:qFormat/>
    <w:uiPriority w:val="0"/>
    <w:pPr>
      <w:keepNext w:val="0"/>
      <w:keepLines w:val="0"/>
      <w:widowControl w:val="0"/>
      <w:numPr>
        <w:ilvl w:val="0"/>
        <w:numId w:val="0"/>
      </w:numPr>
      <w:adjustRightInd w:val="0"/>
      <w:snapToGrid w:val="0"/>
      <w:spacing w:before="0" w:after="0" w:line="240" w:lineRule="auto"/>
      <w:jc w:val="center"/>
      <w:outlineLvl w:val="9"/>
    </w:pPr>
    <w:rPr>
      <w:rFonts w:cs="Times New Roman"/>
      <w:b w:val="0"/>
      <w:bCs w:val="0"/>
      <w:i/>
      <w:w w:val="94"/>
      <w:sz w:val="21"/>
      <w:szCs w:val="21"/>
    </w:rPr>
  </w:style>
  <w:style w:type="paragraph" w:customStyle="1" w:styleId="3469">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rFonts w:ascii="宋体"/>
      <w:b/>
      <w:spacing w:val="20"/>
      <w:kern w:val="0"/>
      <w:sz w:val="34"/>
      <w:szCs w:val="20"/>
    </w:rPr>
  </w:style>
  <w:style w:type="paragraph" w:customStyle="1" w:styleId="3470">
    <w:name w:val="小5"/>
    <w:basedOn w:val="1"/>
    <w:qFormat/>
    <w:uiPriority w:val="0"/>
    <w:pPr>
      <w:widowControl/>
      <w:adjustRightInd w:val="0"/>
      <w:snapToGrid w:val="0"/>
      <w:jc w:val="center"/>
    </w:pPr>
    <w:rPr>
      <w:rFonts w:ascii="宋体" w:hAnsi="宋体" w:cs="宋体"/>
      <w:kern w:val="0"/>
      <w:sz w:val="18"/>
      <w:szCs w:val="18"/>
    </w:rPr>
  </w:style>
  <w:style w:type="paragraph" w:customStyle="1" w:styleId="3471">
    <w:name w:val="p17"/>
    <w:basedOn w:val="1"/>
    <w:qFormat/>
    <w:uiPriority w:val="0"/>
    <w:pPr>
      <w:widowControl/>
    </w:pPr>
    <w:rPr>
      <w:rFonts w:ascii="宋体" w:hAnsi="宋体" w:cs="宋体"/>
      <w:kern w:val="0"/>
      <w:szCs w:val="21"/>
    </w:rPr>
  </w:style>
  <w:style w:type="paragraph" w:customStyle="1" w:styleId="3472">
    <w:name w:val="Char2 Char Char Char Char Char Char"/>
    <w:basedOn w:val="1"/>
    <w:qFormat/>
    <w:uiPriority w:val="0"/>
    <w:rPr>
      <w:rFonts w:ascii="宋体"/>
      <w:kern w:val="0"/>
      <w:sz w:val="34"/>
      <w:szCs w:val="20"/>
    </w:rPr>
  </w:style>
  <w:style w:type="paragraph" w:customStyle="1" w:styleId="3473">
    <w:name w:val="样式 表格居中 +"/>
    <w:basedOn w:val="1141"/>
    <w:qFormat/>
    <w:uiPriority w:val="0"/>
    <w:pPr>
      <w:spacing w:before="0" w:after="0" w:line="400" w:lineRule="atLeast"/>
      <w:ind w:right="3" w:rightChars="1" w:firstLine="0"/>
      <w:jc w:val="center"/>
    </w:pPr>
    <w:rPr>
      <w:rFonts w:ascii="宋体" w:hAnsi="宋体"/>
      <w:kern w:val="0"/>
      <w:sz w:val="24"/>
      <w:szCs w:val="21"/>
    </w:rPr>
  </w:style>
  <w:style w:type="paragraph" w:customStyle="1" w:styleId="3474">
    <w:name w:val="样式 标题 31.1.1条标题 3 Char Char标题 3 Char三级标题，黑粗，四号，序号Heading 3..."/>
    <w:basedOn w:val="9"/>
    <w:qFormat/>
    <w:uiPriority w:val="0"/>
    <w:pPr>
      <w:widowControl w:val="0"/>
      <w:numPr>
        <w:ilvl w:val="0"/>
        <w:numId w:val="0"/>
      </w:numPr>
      <w:tabs>
        <w:tab w:val="left" w:pos="1740"/>
      </w:tabs>
      <w:spacing w:line="240" w:lineRule="auto"/>
      <w:ind w:left="1740" w:hanging="420"/>
      <w:jc w:val="both"/>
    </w:pPr>
    <w:rPr>
      <w:bCs w:val="0"/>
      <w:color w:val="FF0000"/>
      <w:sz w:val="32"/>
      <w:szCs w:val="20"/>
    </w:rPr>
  </w:style>
  <w:style w:type="paragraph" w:customStyle="1" w:styleId="3475">
    <w:name w:val="13.5.7.1"/>
    <w:basedOn w:val="10"/>
    <w:qFormat/>
    <w:uiPriority w:val="0"/>
    <w:pPr>
      <w:widowControl w:val="0"/>
      <w:numPr>
        <w:numId w:val="80"/>
      </w:numPr>
      <w:tabs>
        <w:tab w:val="left" w:pos="726"/>
        <w:tab w:val="left" w:pos="1680"/>
        <w:tab w:val="left" w:pos="3876"/>
      </w:tabs>
      <w:spacing w:before="120" w:after="120" w:line="312" w:lineRule="auto"/>
      <w:ind w:left="1790" w:hanging="425"/>
      <w:jc w:val="both"/>
    </w:pPr>
    <w:rPr>
      <w:rFonts w:eastAsia="黑体" w:cs="Times New Roman"/>
      <w:sz w:val="20"/>
      <w:szCs w:val="20"/>
    </w:rPr>
  </w:style>
  <w:style w:type="paragraph" w:customStyle="1" w:styleId="3476">
    <w:name w:val="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477">
    <w:name w:val="纯文本3"/>
    <w:basedOn w:val="1"/>
    <w:qFormat/>
    <w:uiPriority w:val="0"/>
    <w:pPr>
      <w:adjustRightInd w:val="0"/>
      <w:textAlignment w:val="baseline"/>
    </w:pPr>
    <w:rPr>
      <w:rFonts w:ascii="宋体" w:hAnsi="Courier New"/>
      <w:kern w:val="0"/>
      <w:szCs w:val="20"/>
    </w:rPr>
  </w:style>
  <w:style w:type="paragraph" w:customStyle="1" w:styleId="3478">
    <w:name w:val="Char1 Char Char Char Char Char Char4"/>
    <w:basedOn w:val="1"/>
    <w:qFormat/>
    <w:uiPriority w:val="0"/>
    <w:rPr>
      <w:rFonts w:ascii="宋体"/>
      <w:kern w:val="0"/>
      <w:sz w:val="34"/>
      <w:szCs w:val="20"/>
    </w:rPr>
  </w:style>
  <w:style w:type="paragraph" w:customStyle="1" w:styleId="3479">
    <w:name w:val="样式 标题 1章标题 1b1标题 1霍1 + 宋体 小二 黑色"/>
    <w:basedOn w:val="7"/>
    <w:qFormat/>
    <w:uiPriority w:val="0"/>
    <w:pPr>
      <w:keepLines/>
      <w:pageBreakBefore/>
      <w:overflowPunct/>
      <w:snapToGrid/>
      <w:spacing w:after="120" w:line="520" w:lineRule="exact"/>
    </w:pPr>
    <w:rPr>
      <w:rFonts w:ascii="宋体" w:hAnsi="宋体" w:eastAsia="宋体"/>
      <w:sz w:val="36"/>
      <w:szCs w:val="28"/>
    </w:rPr>
  </w:style>
  <w:style w:type="paragraph" w:customStyle="1" w:styleId="3480">
    <w:name w:val="Char2 Char Char Char Char Char Char Char Char Char"/>
    <w:basedOn w:val="1"/>
    <w:qFormat/>
    <w:uiPriority w:val="0"/>
    <w:rPr>
      <w:rFonts w:ascii="宋体"/>
      <w:kern w:val="0"/>
      <w:sz w:val="34"/>
      <w:szCs w:val="20"/>
    </w:rPr>
  </w:style>
  <w:style w:type="paragraph" w:customStyle="1" w:styleId="3481">
    <w:name w:val="表内表"/>
    <w:basedOn w:val="1"/>
    <w:qFormat/>
    <w:uiPriority w:val="0"/>
    <w:pPr>
      <w:jc w:val="center"/>
    </w:pPr>
    <w:rPr>
      <w:rFonts w:ascii="宋体" w:eastAsia="仿宋_GB2312" w:cs="宋体"/>
      <w:kern w:val="0"/>
      <w:szCs w:val="20"/>
    </w:rPr>
  </w:style>
  <w:style w:type="paragraph" w:customStyle="1" w:styleId="3482">
    <w:name w:val="样式 (西文) Arial (中文) 仿宋_GB2312 四号 段前: 6 磅 段后: 6 磅"/>
    <w:basedOn w:val="1"/>
    <w:unhideWhenUsed/>
    <w:qFormat/>
    <w:uiPriority w:val="0"/>
    <w:pPr>
      <w:spacing w:before="120" w:after="120"/>
      <w:ind w:left="578" w:firstLine="482"/>
    </w:pPr>
    <w:rPr>
      <w:rFonts w:ascii="Arial" w:hAnsi="Arial" w:eastAsia="仿宋_GB2312" w:cs="宋体"/>
      <w:kern w:val="0"/>
      <w:sz w:val="28"/>
      <w:szCs w:val="20"/>
    </w:rPr>
  </w:style>
  <w:style w:type="paragraph" w:customStyle="1" w:styleId="3483">
    <w:name w:val="批注文字1"/>
    <w:basedOn w:val="1"/>
    <w:qFormat/>
    <w:uiPriority w:val="0"/>
    <w:pPr>
      <w:adjustRightInd w:val="0"/>
      <w:spacing w:line="360" w:lineRule="atLeast"/>
      <w:textAlignment w:val="baseline"/>
    </w:pPr>
    <w:rPr>
      <w:rFonts w:ascii="宋体"/>
      <w:kern w:val="0"/>
      <w:szCs w:val="20"/>
    </w:rPr>
  </w:style>
  <w:style w:type="paragraph" w:customStyle="1" w:styleId="3484">
    <w:name w:val="16.7.2.1"/>
    <w:basedOn w:val="10"/>
    <w:qFormat/>
    <w:uiPriority w:val="0"/>
    <w:pPr>
      <w:widowControl w:val="0"/>
      <w:numPr>
        <w:numId w:val="82"/>
      </w:numPr>
      <w:tabs>
        <w:tab w:val="left" w:pos="726"/>
        <w:tab w:val="left" w:pos="1800"/>
        <w:tab w:val="left" w:pos="2880"/>
      </w:tabs>
      <w:spacing w:before="120" w:after="120" w:line="312" w:lineRule="auto"/>
      <w:ind w:left="1790" w:hanging="425"/>
      <w:jc w:val="both"/>
    </w:pPr>
    <w:rPr>
      <w:rFonts w:eastAsia="黑体" w:cs="Times New Roman"/>
      <w:sz w:val="20"/>
      <w:szCs w:val="20"/>
    </w:rPr>
  </w:style>
  <w:style w:type="paragraph" w:customStyle="1" w:styleId="3485">
    <w:name w:val="样式 宋体 五号 居中 行距: 单倍行距"/>
    <w:basedOn w:val="1"/>
    <w:unhideWhenUsed/>
    <w:qFormat/>
    <w:uiPriority w:val="0"/>
    <w:pPr>
      <w:spacing w:before="120" w:after="120"/>
      <w:ind w:left="578" w:hanging="578"/>
      <w:jc w:val="center"/>
    </w:pPr>
    <w:rPr>
      <w:rFonts w:ascii="宋体"/>
      <w:kern w:val="0"/>
      <w:szCs w:val="21"/>
    </w:rPr>
  </w:style>
  <w:style w:type="paragraph" w:customStyle="1" w:styleId="3486">
    <w:name w:val="1表格"/>
    <w:basedOn w:val="1"/>
    <w:qFormat/>
    <w:uiPriority w:val="0"/>
    <w:pPr>
      <w:tabs>
        <w:tab w:val="left" w:pos="7433"/>
      </w:tabs>
      <w:adjustRightInd w:val="0"/>
      <w:snapToGrid w:val="0"/>
      <w:spacing w:before="60" w:after="60" w:line="360" w:lineRule="auto"/>
      <w:ind w:left="480" w:firstLine="480" w:firstLineChars="200"/>
      <w:jc w:val="center"/>
    </w:pPr>
    <w:rPr>
      <w:rFonts w:ascii="宋体" w:hAnsi="宋体"/>
      <w:spacing w:val="6"/>
      <w:kern w:val="0"/>
      <w:sz w:val="34"/>
      <w:szCs w:val="20"/>
    </w:rPr>
  </w:style>
  <w:style w:type="paragraph" w:customStyle="1" w:styleId="3487">
    <w:name w:val="样式 正文文本 + (西文) 宋体 左侧:  0.42 厘米 右侧:  0.42 厘米"/>
    <w:basedOn w:val="37"/>
    <w:qFormat/>
    <w:uiPriority w:val="0"/>
    <w:pPr>
      <w:widowControl w:val="0"/>
      <w:autoSpaceDE w:val="0"/>
      <w:autoSpaceDN w:val="0"/>
      <w:snapToGrid/>
      <w:spacing w:before="0" w:after="0" w:line="240" w:lineRule="auto"/>
      <w:ind w:right="0"/>
      <w:jc w:val="center"/>
      <w:textAlignment w:val="bottom"/>
    </w:pPr>
    <w:rPr>
      <w:rFonts w:ascii="宋体" w:hAnsi="宋体" w:cs="宋体"/>
      <w:sz w:val="20"/>
    </w:rPr>
  </w:style>
  <w:style w:type="paragraph" w:customStyle="1" w:styleId="3488">
    <w:name w:val="Table Text"/>
    <w:basedOn w:val="1"/>
    <w:qFormat/>
    <w:uiPriority w:val="0"/>
    <w:pPr>
      <w:spacing w:before="30" w:after="30"/>
    </w:pPr>
    <w:rPr>
      <w:rFonts w:ascii="Arial" w:hAnsi="Arial"/>
      <w:snapToGrid w:val="0"/>
      <w:kern w:val="0"/>
      <w:sz w:val="16"/>
      <w:szCs w:val="20"/>
      <w:lang w:eastAsia="en-US"/>
    </w:rPr>
  </w:style>
  <w:style w:type="paragraph" w:customStyle="1" w:styleId="3489">
    <w:name w:val="表名LA"/>
    <w:basedOn w:val="1"/>
    <w:qFormat/>
    <w:uiPriority w:val="0"/>
    <w:pPr>
      <w:widowControl/>
      <w:tabs>
        <w:tab w:val="left" w:pos="0"/>
      </w:tabs>
      <w:adjustRightInd w:val="0"/>
      <w:snapToGrid w:val="0"/>
      <w:spacing w:beforeLines="80" w:afterLines="20"/>
      <w:jc w:val="center"/>
    </w:pPr>
    <w:rPr>
      <w:rFonts w:ascii="宋体"/>
      <w:b/>
      <w:snapToGrid w:val="0"/>
      <w:kern w:val="0"/>
      <w:szCs w:val="20"/>
    </w:rPr>
  </w:style>
  <w:style w:type="paragraph" w:customStyle="1" w:styleId="3490">
    <w:name w:val="바탕글"/>
    <w:qFormat/>
    <w:uiPriority w:val="0"/>
    <w:pPr>
      <w:widowControl w:val="0"/>
      <w:numPr>
        <w:ilvl w:val="0"/>
        <w:numId w:val="83"/>
      </w:num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0" w:firstLine="0"/>
      <w:jc w:val="both"/>
    </w:pPr>
    <w:rPr>
      <w:rFonts w:ascii="Batang" w:hAnsi="Times New Roman" w:eastAsia="Batang" w:cs="Times New Roman"/>
      <w:color w:val="000000"/>
      <w:lang w:val="en-US" w:eastAsia="ko-KR" w:bidi="ar-SA"/>
    </w:rPr>
  </w:style>
  <w:style w:type="paragraph" w:customStyle="1" w:styleId="3491">
    <w:name w:val="样式 宋体 四号 首行缩进:  1 厘米 行距: 多倍行距 1.25 字行"/>
    <w:basedOn w:val="1"/>
    <w:qFormat/>
    <w:uiPriority w:val="0"/>
    <w:pPr>
      <w:spacing w:line="300" w:lineRule="auto"/>
      <w:ind w:firstLine="567"/>
    </w:pPr>
    <w:rPr>
      <w:rFonts w:ascii="宋体"/>
      <w:spacing w:val="6"/>
      <w:kern w:val="0"/>
      <w:sz w:val="34"/>
      <w:szCs w:val="20"/>
    </w:rPr>
  </w:style>
  <w:style w:type="paragraph" w:customStyle="1" w:styleId="3492">
    <w:name w:val="正文小四"/>
    <w:basedOn w:val="1"/>
    <w:qFormat/>
    <w:uiPriority w:val="0"/>
    <w:pPr>
      <w:spacing w:line="360" w:lineRule="auto"/>
      <w:ind w:firstLine="540" w:firstLineChars="225"/>
      <w:jc w:val="left"/>
    </w:pPr>
    <w:rPr>
      <w:rFonts w:hint="eastAsia" w:ascii="宋体" w:hAnsi="宋体"/>
      <w:color w:val="000000"/>
      <w:kern w:val="0"/>
      <w:sz w:val="34"/>
      <w:szCs w:val="20"/>
    </w:rPr>
  </w:style>
  <w:style w:type="paragraph" w:customStyle="1" w:styleId="3493">
    <w:name w:val="Char Char Char Char Char Char Char Char Char1 Char Char Char Char31"/>
    <w:basedOn w:val="1"/>
    <w:qFormat/>
    <w:uiPriority w:val="0"/>
    <w:rPr>
      <w:rFonts w:ascii="宋体"/>
      <w:kern w:val="0"/>
      <w:szCs w:val="21"/>
    </w:rPr>
  </w:style>
  <w:style w:type="paragraph" w:customStyle="1" w:styleId="3494">
    <w:name w:val="Char Char2 Char Char Char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495">
    <w:name w:val="样式 大纲正文 + 蓝色"/>
    <w:basedOn w:val="1279"/>
    <w:qFormat/>
    <w:uiPriority w:val="0"/>
    <w:pPr>
      <w:spacing w:beforeLines="50"/>
    </w:pPr>
  </w:style>
  <w:style w:type="paragraph" w:customStyle="1" w:styleId="3496">
    <w:name w:val="表标题11"/>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497">
    <w:name w:val="CM47"/>
    <w:basedOn w:val="2"/>
    <w:next w:val="2"/>
    <w:semiHidden/>
    <w:qFormat/>
    <w:uiPriority w:val="0"/>
    <w:pPr>
      <w:adjustRightInd/>
    </w:pPr>
    <w:rPr>
      <w:rFonts w:hint="eastAsia" w:ascii="仿宋" w:hAnsi="仿宋" w:eastAsia="仿宋" w:cs="Times New Roman"/>
      <w:szCs w:val="20"/>
    </w:rPr>
  </w:style>
  <w:style w:type="paragraph" w:customStyle="1" w:styleId="3498">
    <w:name w:val="CM8"/>
    <w:basedOn w:val="1"/>
    <w:next w:val="1"/>
    <w:qFormat/>
    <w:uiPriority w:val="0"/>
    <w:pPr>
      <w:autoSpaceDE w:val="0"/>
      <w:autoSpaceDN w:val="0"/>
      <w:adjustRightInd w:val="0"/>
      <w:spacing w:line="500" w:lineRule="atLeast"/>
      <w:jc w:val="left"/>
    </w:pPr>
    <w:rPr>
      <w:rFonts w:ascii="华文中宋" w:eastAsia="华文中宋"/>
      <w:kern w:val="0"/>
      <w:sz w:val="34"/>
      <w:szCs w:val="20"/>
    </w:rPr>
  </w:style>
  <w:style w:type="paragraph" w:customStyle="1" w:styleId="3499">
    <w:name w:val="CM44"/>
    <w:basedOn w:val="2"/>
    <w:next w:val="2"/>
    <w:semiHidden/>
    <w:qFormat/>
    <w:uiPriority w:val="0"/>
    <w:pPr>
      <w:spacing w:line="548" w:lineRule="atLeast"/>
    </w:pPr>
    <w:rPr>
      <w:rFonts w:ascii="Arial" w:hAnsi="Arial" w:cs="Times New Roman"/>
      <w:color w:val="auto"/>
    </w:rPr>
  </w:style>
  <w:style w:type="paragraph" w:customStyle="1" w:styleId="3500">
    <w:name w:val="样式 小四 首行缩进:  2 字符"/>
    <w:basedOn w:val="1"/>
    <w:qFormat/>
    <w:uiPriority w:val="0"/>
    <w:pPr>
      <w:spacing w:line="400" w:lineRule="exact"/>
      <w:ind w:firstLine="200" w:firstLineChars="200"/>
    </w:pPr>
    <w:rPr>
      <w:rFonts w:ascii="宋体" w:cs="宋体"/>
      <w:kern w:val="0"/>
      <w:sz w:val="34"/>
      <w:szCs w:val="20"/>
    </w:rPr>
  </w:style>
  <w:style w:type="paragraph" w:customStyle="1" w:styleId="3501">
    <w:name w:val="Char5 Char Char1"/>
    <w:basedOn w:val="1"/>
    <w:qFormat/>
    <w:uiPriority w:val="0"/>
    <w:pPr>
      <w:spacing w:line="360" w:lineRule="auto"/>
      <w:ind w:firstLine="200" w:firstLineChars="200"/>
    </w:pPr>
    <w:rPr>
      <w:rFonts w:ascii="宋体" w:hAnsi="宋体" w:cs="宋体"/>
      <w:kern w:val="0"/>
      <w:sz w:val="34"/>
      <w:szCs w:val="20"/>
    </w:rPr>
  </w:style>
  <w:style w:type="paragraph" w:customStyle="1" w:styleId="3502">
    <w:name w:val="签署页"/>
    <w:basedOn w:val="1"/>
    <w:qFormat/>
    <w:uiPriority w:val="0"/>
    <w:pPr>
      <w:adjustRightInd w:val="0"/>
      <w:snapToGrid w:val="0"/>
      <w:jc w:val="center"/>
    </w:pPr>
    <w:rPr>
      <w:rFonts w:ascii="宋体" w:hAnsi="宋体"/>
      <w:bCs/>
      <w:spacing w:val="10"/>
      <w:kern w:val="0"/>
      <w:sz w:val="28"/>
      <w:szCs w:val="20"/>
    </w:rPr>
  </w:style>
  <w:style w:type="paragraph" w:customStyle="1" w:styleId="3503">
    <w:name w:val="???¡ì??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3504">
    <w:name w:val="表格下方正文"/>
    <w:basedOn w:val="1"/>
    <w:qFormat/>
    <w:uiPriority w:val="0"/>
    <w:pPr>
      <w:spacing w:before="260" w:line="460" w:lineRule="exact"/>
      <w:ind w:firstLine="200" w:firstLineChars="200"/>
    </w:pPr>
    <w:rPr>
      <w:rFonts w:ascii="宋体"/>
      <w:kern w:val="0"/>
      <w:sz w:val="34"/>
      <w:szCs w:val="20"/>
    </w:rPr>
  </w:style>
  <w:style w:type="paragraph" w:customStyle="1" w:styleId="3505">
    <w:name w:val="0-shiw-目录"/>
    <w:qFormat/>
    <w:uiPriority w:val="0"/>
    <w:pPr>
      <w:jc w:val="center"/>
    </w:pPr>
    <w:rPr>
      <w:rFonts w:ascii="Times New Roman" w:hAnsi="Times New Roman" w:eastAsia="宋体" w:cs="Times New Roman"/>
      <w:b/>
      <w:kern w:val="2"/>
      <w:sz w:val="44"/>
      <w:szCs w:val="44"/>
      <w:lang w:val="en-US" w:eastAsia="zh-CN" w:bidi="ar-SA"/>
    </w:rPr>
  </w:style>
  <w:style w:type="paragraph" w:customStyle="1" w:styleId="3506">
    <w:name w:val="表格题头"/>
    <w:basedOn w:val="1"/>
    <w:semiHidden/>
    <w:qFormat/>
    <w:uiPriority w:val="0"/>
    <w:pPr>
      <w:spacing w:beforeLines="50" w:after="120" w:line="360" w:lineRule="auto"/>
      <w:jc w:val="center"/>
    </w:pPr>
    <w:rPr>
      <w:rFonts w:ascii="宋体" w:eastAsia="黑体"/>
      <w:b/>
      <w:kern w:val="0"/>
      <w:sz w:val="34"/>
      <w:szCs w:val="20"/>
    </w:rPr>
  </w:style>
  <w:style w:type="paragraph" w:customStyle="1" w:styleId="3507">
    <w:name w:val="正文文本 23"/>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508">
    <w:name w:val="图名称 Char Char Char Char Char Char Char Char Char Char"/>
    <w:basedOn w:val="1"/>
    <w:qFormat/>
    <w:uiPriority w:val="0"/>
    <w:pPr>
      <w:tabs>
        <w:tab w:val="left" w:pos="-120"/>
      </w:tabs>
      <w:adjustRightInd w:val="0"/>
      <w:snapToGrid w:val="0"/>
      <w:spacing w:beforeLines="50" w:line="360" w:lineRule="auto"/>
    </w:pPr>
    <w:rPr>
      <w:rFonts w:ascii="宋体"/>
      <w:color w:val="000000"/>
      <w:kern w:val="0"/>
      <w:sz w:val="34"/>
      <w:szCs w:val="20"/>
    </w:rPr>
  </w:style>
  <w:style w:type="paragraph" w:customStyle="1" w:styleId="3509">
    <w:name w:val="WW-批注框文本"/>
    <w:basedOn w:val="1"/>
    <w:qFormat/>
    <w:uiPriority w:val="0"/>
    <w:pPr>
      <w:suppressAutoHyphens/>
      <w:spacing w:line="360" w:lineRule="auto"/>
    </w:pPr>
    <w:rPr>
      <w:rFonts w:ascii="Arial" w:hAnsi="Arial" w:cs="Arial"/>
      <w:kern w:val="1"/>
      <w:sz w:val="18"/>
      <w:szCs w:val="18"/>
      <w:lang w:eastAsia="ar-SA"/>
    </w:rPr>
  </w:style>
  <w:style w:type="paragraph" w:customStyle="1" w:styleId="3510">
    <w:name w:val="样式 标题 1 + 宋体 四号"/>
    <w:basedOn w:val="7"/>
    <w:qFormat/>
    <w:uiPriority w:val="0"/>
    <w:pPr>
      <w:keepLines/>
      <w:overflowPunct/>
      <w:snapToGrid/>
      <w:spacing w:after="0" w:line="360" w:lineRule="auto"/>
      <w:ind w:left="100" w:leftChars="100" w:right="100" w:rightChars="100" w:firstLine="0"/>
      <w:jc w:val="left"/>
    </w:pPr>
    <w:rPr>
      <w:rFonts w:ascii="宋体" w:hAnsi="宋体" w:eastAsia="宋体"/>
      <w:color w:val="auto"/>
      <w:kern w:val="0"/>
      <w:sz w:val="32"/>
      <w:szCs w:val="44"/>
    </w:rPr>
  </w:style>
  <w:style w:type="paragraph" w:customStyle="1" w:styleId="3511">
    <w:name w:val="CM48"/>
    <w:basedOn w:val="2"/>
    <w:next w:val="2"/>
    <w:semiHidden/>
    <w:qFormat/>
    <w:uiPriority w:val="0"/>
    <w:pPr>
      <w:adjustRightInd/>
    </w:pPr>
    <w:rPr>
      <w:rFonts w:hint="eastAsia" w:ascii="仿宋" w:hAnsi="仿宋" w:eastAsia="仿宋" w:cs="Times New Roman"/>
      <w:szCs w:val="20"/>
    </w:rPr>
  </w:style>
  <w:style w:type="paragraph" w:customStyle="1" w:styleId="3512">
    <w:name w:val="xl2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513">
    <w:name w:val="CM116"/>
    <w:basedOn w:val="2"/>
    <w:next w:val="2"/>
    <w:semiHidden/>
    <w:qFormat/>
    <w:uiPriority w:val="0"/>
    <w:pPr>
      <w:adjustRightInd/>
    </w:pPr>
    <w:rPr>
      <w:rFonts w:hint="eastAsia" w:ascii="仿宋" w:hAnsi="仿宋" w:eastAsia="仿宋" w:cs="Times New Roman"/>
      <w:szCs w:val="20"/>
    </w:rPr>
  </w:style>
  <w:style w:type="paragraph" w:customStyle="1" w:styleId="3514">
    <w:name w:val="正文(黑体)"/>
    <w:basedOn w:val="1"/>
    <w:qFormat/>
    <w:uiPriority w:val="0"/>
    <w:pPr>
      <w:autoSpaceDE w:val="0"/>
      <w:autoSpaceDN w:val="0"/>
      <w:adjustRightInd w:val="0"/>
      <w:spacing w:line="288" w:lineRule="auto"/>
      <w:ind w:firstLine="482"/>
      <w:textAlignment w:val="baseline"/>
    </w:pPr>
    <w:rPr>
      <w:rFonts w:ascii="黑体"/>
      <w:kern w:val="0"/>
      <w:sz w:val="34"/>
      <w:szCs w:val="20"/>
    </w:rPr>
  </w:style>
  <w:style w:type="paragraph" w:customStyle="1" w:styleId="3515">
    <w:name w:val="xl52"/>
    <w:basedOn w:val="1"/>
    <w:qFormat/>
    <w:uiPriority w:val="0"/>
    <w:pPr>
      <w:widowControl/>
      <w:pBdr>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516">
    <w:name w:val="正文兰"/>
    <w:basedOn w:val="1"/>
    <w:qFormat/>
    <w:uiPriority w:val="0"/>
    <w:pPr>
      <w:spacing w:line="360" w:lineRule="auto"/>
      <w:ind w:firstLine="200" w:firstLineChars="200"/>
    </w:pPr>
    <w:rPr>
      <w:rFonts w:ascii="宋体"/>
      <w:kern w:val="0"/>
      <w:sz w:val="34"/>
      <w:szCs w:val="20"/>
    </w:rPr>
  </w:style>
  <w:style w:type="paragraph" w:customStyle="1" w:styleId="3517">
    <w:name w:val="CM27"/>
    <w:basedOn w:val="2"/>
    <w:next w:val="2"/>
    <w:qFormat/>
    <w:uiPriority w:val="0"/>
    <w:pPr>
      <w:adjustRightInd/>
    </w:pPr>
    <w:rPr>
      <w:rFonts w:hint="eastAsia" w:ascii="仿宋" w:hAnsi="仿宋" w:eastAsia="仿宋" w:cs="Times New Roman"/>
      <w:szCs w:val="20"/>
    </w:rPr>
  </w:style>
  <w:style w:type="paragraph" w:customStyle="1" w:styleId="3518">
    <w:name w:val="样式 表内宋5中 + 五号2"/>
    <w:basedOn w:val="1"/>
    <w:qFormat/>
    <w:uiPriority w:val="0"/>
    <w:pPr>
      <w:adjustRightInd w:val="0"/>
      <w:snapToGrid w:val="0"/>
      <w:spacing w:before="120" w:after="120"/>
      <w:ind w:left="578" w:hanging="578"/>
      <w:jc w:val="center"/>
      <w:textAlignment w:val="baseline"/>
    </w:pPr>
    <w:rPr>
      <w:rFonts w:ascii="宋体" w:hAnsi="宋体"/>
      <w:kern w:val="0"/>
      <w:sz w:val="34"/>
      <w:szCs w:val="20"/>
    </w:rPr>
  </w:style>
  <w:style w:type="paragraph" w:customStyle="1" w:styleId="3519">
    <w:name w:val="样式6"/>
    <w:basedOn w:val="1"/>
    <w:qFormat/>
    <w:uiPriority w:val="0"/>
    <w:pPr>
      <w:suppressAutoHyphens/>
      <w:spacing w:line="360" w:lineRule="auto"/>
      <w:ind w:firstLine="540" w:firstLineChars="225"/>
    </w:pPr>
    <w:rPr>
      <w:rFonts w:ascii="宋体"/>
      <w:kern w:val="1"/>
      <w:sz w:val="34"/>
      <w:szCs w:val="21"/>
      <w:lang w:eastAsia="ar-SA"/>
    </w:rPr>
  </w:style>
  <w:style w:type="paragraph" w:customStyle="1" w:styleId="3520">
    <w:name w:val="无间隔3"/>
    <w:basedOn w:val="1"/>
    <w:next w:val="1"/>
    <w:qFormat/>
    <w:uiPriority w:val="0"/>
    <w:pPr>
      <w:spacing w:beforeLines="50" w:afterLines="50" w:line="300" w:lineRule="auto"/>
      <w:ind w:firstLine="480" w:firstLineChars="200"/>
    </w:pPr>
    <w:rPr>
      <w:rFonts w:ascii="宋体"/>
      <w:kern w:val="0"/>
      <w:szCs w:val="21"/>
    </w:rPr>
  </w:style>
  <w:style w:type="paragraph" w:customStyle="1" w:styleId="3521">
    <w:name w:val="xl165"/>
    <w:basedOn w:val="1"/>
    <w:qFormat/>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522">
    <w:name w:val="样式 标题 2节标题 1.1_Heading 2标题 2 Char节标题 1.1 Char节标题 Char节标题 +..."/>
    <w:basedOn w:val="8"/>
    <w:qFormat/>
    <w:uiPriority w:val="0"/>
    <w:pPr>
      <w:widowControl w:val="0"/>
      <w:numPr>
        <w:ilvl w:val="0"/>
        <w:numId w:val="0"/>
      </w:numPr>
      <w:spacing w:before="260" w:beforeLines="50" w:after="260" w:afterLines="50" w:line="480" w:lineRule="exact"/>
    </w:pPr>
    <w:rPr>
      <w:rFonts w:ascii="宋体" w:hAnsi="宋体" w:cs="Times New Roman"/>
      <w:b/>
      <w:bCs/>
      <w:sz w:val="28"/>
      <w:szCs w:val="20"/>
    </w:rPr>
  </w:style>
  <w:style w:type="paragraph" w:customStyle="1" w:styleId="3523">
    <w:name w:val="16.2.1.1"/>
    <w:basedOn w:val="10"/>
    <w:qFormat/>
    <w:uiPriority w:val="0"/>
    <w:pPr>
      <w:widowControl w:val="0"/>
      <w:numPr>
        <w:numId w:val="84"/>
      </w:numPr>
      <w:tabs>
        <w:tab w:val="left" w:pos="726"/>
        <w:tab w:val="left" w:pos="1680"/>
      </w:tabs>
      <w:spacing w:before="120" w:after="120" w:line="312" w:lineRule="auto"/>
      <w:ind w:left="1790" w:hanging="425"/>
      <w:jc w:val="both"/>
    </w:pPr>
    <w:rPr>
      <w:rFonts w:eastAsia="黑体"/>
      <w:sz w:val="20"/>
      <w:szCs w:val="20"/>
    </w:rPr>
  </w:style>
  <w:style w:type="paragraph" w:customStyle="1" w:styleId="3524">
    <w:name w:val="Address 2"/>
    <w:basedOn w:val="1"/>
    <w:unhideWhenUsed/>
    <w:qFormat/>
    <w:uiPriority w:val="0"/>
    <w:pPr>
      <w:framePr w:w="2405" w:wrap="notBeside" w:vAnchor="page" w:hAnchor="page" w:x="5761" w:y="1009" w:anchorLock="1"/>
      <w:widowControl/>
      <w:spacing w:before="120" w:after="120" w:line="200" w:lineRule="atLeast"/>
      <w:ind w:left="578" w:hanging="578"/>
      <w:jc w:val="left"/>
    </w:pPr>
    <w:rPr>
      <w:rFonts w:ascii="宋体"/>
      <w:kern w:val="0"/>
      <w:sz w:val="16"/>
      <w:szCs w:val="20"/>
    </w:rPr>
  </w:style>
  <w:style w:type="paragraph" w:customStyle="1" w:styleId="3525">
    <w:name w:val="样式 正文（首行缩进两字） + 行距: 固定值 20 磅"/>
    <w:basedOn w:val="6"/>
    <w:qFormat/>
    <w:uiPriority w:val="0"/>
    <w:pPr>
      <w:widowControl w:val="0"/>
      <w:spacing w:afterLines="20" w:line="400" w:lineRule="exact"/>
      <w:ind w:firstLine="480"/>
      <w:jc w:val="both"/>
    </w:pPr>
    <w:rPr>
      <w:rFonts w:ascii="Times New Roman" w:hAnsi="Times New Roman" w:cs="Times New Roman"/>
      <w:sz w:val="20"/>
      <w:szCs w:val="20"/>
    </w:rPr>
  </w:style>
  <w:style w:type="paragraph" w:customStyle="1" w:styleId="3526">
    <w:name w:val="Date1"/>
    <w:basedOn w:val="1"/>
    <w:next w:val="1"/>
    <w:qFormat/>
    <w:uiPriority w:val="0"/>
    <w:pPr>
      <w:adjustRightInd w:val="0"/>
      <w:textAlignment w:val="baseline"/>
    </w:pPr>
    <w:rPr>
      <w:rFonts w:ascii="宋体"/>
      <w:kern w:val="0"/>
      <w:szCs w:val="20"/>
    </w:rPr>
  </w:style>
  <w:style w:type="paragraph" w:customStyle="1" w:styleId="3527">
    <w:name w:val="8.2.1.1 标题 31.1.1条标题 3 Char Char标题 3 Char标3§1.1.1.. (1.1.1)- ...1"/>
    <w:basedOn w:val="1"/>
    <w:qFormat/>
    <w:uiPriority w:val="0"/>
    <w:pPr>
      <w:tabs>
        <w:tab w:val="left" w:pos="720"/>
      </w:tabs>
      <w:spacing w:line="312" w:lineRule="auto"/>
      <w:ind w:left="720" w:hanging="720"/>
    </w:pPr>
    <w:rPr>
      <w:rFonts w:ascii="宋体"/>
      <w:kern w:val="0"/>
      <w:sz w:val="34"/>
      <w:szCs w:val="20"/>
    </w:rPr>
  </w:style>
  <w:style w:type="paragraph" w:customStyle="1" w:styleId="3528">
    <w:name w:val="样式 Char Char Char Char Char Char Char Char Char Char Char Char Char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529">
    <w:name w:val="封—单位名称"/>
    <w:basedOn w:val="1"/>
    <w:qFormat/>
    <w:uiPriority w:val="0"/>
    <w:pPr>
      <w:adjustRightInd w:val="0"/>
      <w:snapToGrid w:val="0"/>
      <w:spacing w:beforeLines="50" w:line="360" w:lineRule="auto"/>
      <w:ind w:firstLine="480" w:firstLineChars="200"/>
      <w:jc w:val="center"/>
    </w:pPr>
    <w:rPr>
      <w:rFonts w:ascii="宋体"/>
      <w:kern w:val="0"/>
      <w:sz w:val="32"/>
      <w:szCs w:val="32"/>
    </w:rPr>
  </w:style>
  <w:style w:type="paragraph" w:customStyle="1" w:styleId="3530">
    <w:name w:val="正文标题"/>
    <w:basedOn w:val="1"/>
    <w:qFormat/>
    <w:uiPriority w:val="0"/>
    <w:pPr>
      <w:spacing w:line="324" w:lineRule="auto"/>
      <w:jc w:val="center"/>
    </w:pPr>
    <w:rPr>
      <w:rFonts w:ascii="宋体"/>
      <w:b/>
      <w:kern w:val="0"/>
      <w:sz w:val="34"/>
      <w:szCs w:val="20"/>
      <w:u w:color="000000"/>
    </w:rPr>
  </w:style>
  <w:style w:type="paragraph" w:customStyle="1" w:styleId="3531">
    <w:name w:val="CM138"/>
    <w:basedOn w:val="1"/>
    <w:next w:val="1"/>
    <w:qFormat/>
    <w:uiPriority w:val="0"/>
    <w:pPr>
      <w:autoSpaceDE w:val="0"/>
      <w:autoSpaceDN w:val="0"/>
      <w:adjustRightInd w:val="0"/>
      <w:spacing w:before="120" w:after="130"/>
      <w:ind w:left="578" w:hanging="578"/>
      <w:jc w:val="left"/>
    </w:pPr>
    <w:rPr>
      <w:rFonts w:ascii="宋体" w:cs="宋体"/>
      <w:kern w:val="0"/>
      <w:sz w:val="34"/>
      <w:szCs w:val="20"/>
    </w:rPr>
  </w:style>
  <w:style w:type="paragraph" w:customStyle="1" w:styleId="3532">
    <w:name w:val="标题 81"/>
    <w:basedOn w:val="1"/>
    <w:next w:val="1"/>
    <w:qFormat/>
    <w:uiPriority w:val="0"/>
    <w:pPr>
      <w:keepNext/>
      <w:keepLines/>
      <w:adjustRightInd w:val="0"/>
      <w:spacing w:before="240" w:after="64" w:line="320" w:lineRule="atLeast"/>
      <w:textAlignment w:val="baseline"/>
    </w:pPr>
    <w:rPr>
      <w:rFonts w:ascii="宋体"/>
      <w:kern w:val="0"/>
      <w:sz w:val="34"/>
      <w:szCs w:val="20"/>
    </w:rPr>
  </w:style>
  <w:style w:type="paragraph" w:customStyle="1" w:styleId="3533">
    <w:name w:val="Char2 Char Char1 Char Char Char1"/>
    <w:basedOn w:val="1"/>
    <w:qFormat/>
    <w:uiPriority w:val="0"/>
    <w:rPr>
      <w:rFonts w:ascii="宋体"/>
      <w:kern w:val="0"/>
      <w:sz w:val="34"/>
      <w:szCs w:val="20"/>
    </w:rPr>
  </w:style>
  <w:style w:type="paragraph" w:customStyle="1" w:styleId="3534">
    <w:name w:val="bg表内容"/>
    <w:basedOn w:val="1696"/>
    <w:next w:val="1697"/>
    <w:semiHidden/>
    <w:qFormat/>
    <w:uiPriority w:val="0"/>
    <w:pPr>
      <w:ind w:left="-113" w:right="-113"/>
      <w:jc w:val="center"/>
    </w:pPr>
    <w:rPr>
      <w:sz w:val="18"/>
    </w:rPr>
  </w:style>
  <w:style w:type="paragraph" w:customStyle="1" w:styleId="3535">
    <w:name w:val="图题兰"/>
    <w:basedOn w:val="829"/>
    <w:qFormat/>
    <w:uiPriority w:val="0"/>
    <w:pPr>
      <w:adjustRightInd/>
      <w:snapToGrid/>
      <w:spacing w:after="100" w:afterAutospacing="1"/>
      <w:jc w:val="center"/>
    </w:pPr>
    <w:rPr>
      <w:rFonts w:ascii="黑体" w:hAnsi="Times New Roman" w:eastAsia="黑体" w:cs="宋体"/>
      <w:b w:val="0"/>
      <w:bCs w:val="0"/>
      <w:sz w:val="20"/>
      <w:szCs w:val="20"/>
    </w:rPr>
  </w:style>
  <w:style w:type="paragraph" w:customStyle="1" w:styleId="3536">
    <w:name w:val="三"/>
    <w:basedOn w:val="1122"/>
    <w:qFormat/>
    <w:uiPriority w:val="0"/>
    <w:pPr>
      <w:widowControl w:val="0"/>
      <w:jc w:val="both"/>
      <w:outlineLvl w:val="2"/>
    </w:pPr>
    <w:rPr>
      <w:rFonts w:ascii="Times New Roman" w:hAnsi="Times New Roman" w:cs="Times New Roman"/>
      <w:sz w:val="20"/>
      <w:szCs w:val="20"/>
    </w:rPr>
  </w:style>
  <w:style w:type="paragraph" w:customStyle="1" w:styleId="3537">
    <w:name w:val="样式3 Char Char Char Char Char Char Char Char Char Char Char Char Char Char"/>
    <w:basedOn w:val="6"/>
    <w:qFormat/>
    <w:uiPriority w:val="0"/>
    <w:pPr>
      <w:overflowPunct w:val="0"/>
      <w:autoSpaceDE w:val="0"/>
      <w:autoSpaceDN w:val="0"/>
      <w:adjustRightInd w:val="0"/>
      <w:spacing w:line="360" w:lineRule="auto"/>
      <w:ind w:firstLine="491"/>
      <w:jc w:val="both"/>
      <w:textAlignment w:val="baseline"/>
    </w:pPr>
    <w:rPr>
      <w:rFonts w:ascii="Times New Roman" w:hAnsi="Times New Roman" w:cs="Times New Roman"/>
      <w:sz w:val="20"/>
      <w:szCs w:val="20"/>
    </w:rPr>
  </w:style>
  <w:style w:type="paragraph" w:customStyle="1" w:styleId="3538">
    <w:name w:val="CM95"/>
    <w:basedOn w:val="2"/>
    <w:next w:val="2"/>
    <w:semiHidden/>
    <w:qFormat/>
    <w:uiPriority w:val="0"/>
    <w:pPr>
      <w:adjustRightInd/>
    </w:pPr>
    <w:rPr>
      <w:rFonts w:hint="eastAsia" w:ascii="仿宋" w:hAnsi="仿宋" w:eastAsia="仿宋" w:cs="Times New Roman"/>
      <w:szCs w:val="20"/>
    </w:rPr>
  </w:style>
  <w:style w:type="paragraph" w:customStyle="1" w:styleId="3539">
    <w:name w:val="表头字"/>
    <w:basedOn w:val="1"/>
    <w:qFormat/>
    <w:uiPriority w:val="0"/>
    <w:pPr>
      <w:adjustRightInd w:val="0"/>
      <w:snapToGrid w:val="0"/>
      <w:spacing w:beforeLines="50" w:line="480" w:lineRule="exact"/>
      <w:jc w:val="center"/>
    </w:pPr>
    <w:rPr>
      <w:rFonts w:ascii="宋体"/>
      <w:color w:val="000000"/>
      <w:kern w:val="0"/>
      <w:sz w:val="34"/>
      <w:szCs w:val="20"/>
    </w:rPr>
  </w:style>
  <w:style w:type="paragraph" w:customStyle="1" w:styleId="3540">
    <w:name w:val="2级标题"/>
    <w:basedOn w:val="1"/>
    <w:qFormat/>
    <w:uiPriority w:val="0"/>
    <w:pPr>
      <w:spacing w:before="60" w:line="460" w:lineRule="exact"/>
      <w:outlineLvl w:val="1"/>
    </w:pPr>
    <w:rPr>
      <w:rFonts w:ascii="Arial" w:hAnsi="Arial"/>
      <w:b/>
      <w:kern w:val="0"/>
      <w:sz w:val="28"/>
      <w:szCs w:val="20"/>
    </w:rPr>
  </w:style>
  <w:style w:type="paragraph" w:customStyle="1" w:styleId="3541">
    <w:name w:val="xl13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542">
    <w:name w:val="样式 文本123 + 段前: 0.2 行1"/>
    <w:basedOn w:val="3202"/>
    <w:qFormat/>
    <w:uiPriority w:val="0"/>
    <w:pPr>
      <w:ind w:left="0" w:firstLine="510"/>
    </w:pPr>
  </w:style>
  <w:style w:type="paragraph" w:customStyle="1" w:styleId="3543">
    <w:name w:val="Char Char1 Char1"/>
    <w:basedOn w:val="1"/>
    <w:qFormat/>
    <w:uiPriority w:val="0"/>
    <w:rPr>
      <w:rFonts w:ascii="宋体"/>
      <w:kern w:val="0"/>
      <w:sz w:val="34"/>
      <w:szCs w:val="20"/>
    </w:rPr>
  </w:style>
  <w:style w:type="paragraph" w:customStyle="1" w:styleId="3544">
    <w:name w:val="图题居中"/>
    <w:basedOn w:val="1"/>
    <w:qFormat/>
    <w:uiPriority w:val="0"/>
    <w:pPr>
      <w:spacing w:afterLines="50"/>
      <w:jc w:val="center"/>
    </w:pPr>
    <w:rPr>
      <w:rFonts w:ascii="宋体" w:eastAsia="黑体"/>
      <w:kern w:val="21"/>
      <w:szCs w:val="20"/>
    </w:rPr>
  </w:style>
  <w:style w:type="paragraph" w:customStyle="1" w:styleId="3545">
    <w:name w:val="表内文字前后0.1行"/>
    <w:basedOn w:val="1"/>
    <w:semiHidden/>
    <w:qFormat/>
    <w:uiPriority w:val="0"/>
    <w:pPr>
      <w:spacing w:before="31" w:after="31"/>
      <w:ind w:left="578" w:hanging="578"/>
      <w:jc w:val="center"/>
    </w:pPr>
    <w:rPr>
      <w:rFonts w:ascii="宋体" w:cs="宋体"/>
      <w:kern w:val="0"/>
      <w:szCs w:val="20"/>
    </w:rPr>
  </w:style>
  <w:style w:type="paragraph" w:customStyle="1" w:styleId="3546">
    <w:name w:val="标3"/>
    <w:basedOn w:val="1"/>
    <w:qFormat/>
    <w:uiPriority w:val="0"/>
    <w:pPr>
      <w:keepNext/>
      <w:autoSpaceDE w:val="0"/>
      <w:autoSpaceDN w:val="0"/>
      <w:adjustRightInd w:val="0"/>
      <w:snapToGrid w:val="0"/>
      <w:spacing w:beforeLines="100" w:afterLines="50" w:line="360" w:lineRule="auto"/>
      <w:outlineLvl w:val="2"/>
    </w:pPr>
    <w:rPr>
      <w:rFonts w:ascii="宋体" w:eastAsia="楷体_GB2312"/>
      <w:b/>
      <w:kern w:val="0"/>
      <w:sz w:val="30"/>
      <w:szCs w:val="30"/>
    </w:rPr>
  </w:style>
  <w:style w:type="paragraph" w:customStyle="1" w:styleId="3547">
    <w:name w:val="CY小节标题"/>
    <w:basedOn w:val="9"/>
    <w:next w:val="6"/>
    <w:qFormat/>
    <w:uiPriority w:val="0"/>
    <w:pPr>
      <w:widowControl w:val="0"/>
      <w:numPr>
        <w:ilvl w:val="0"/>
        <w:numId w:val="0"/>
      </w:numPr>
      <w:tabs>
        <w:tab w:val="left" w:pos="1740"/>
      </w:tabs>
      <w:spacing w:before="60" w:after="60" w:line="240" w:lineRule="auto"/>
      <w:ind w:left="400" w:leftChars="200" w:hanging="420"/>
      <w:jc w:val="both"/>
    </w:pPr>
    <w:rPr>
      <w:rFonts w:cs="Times New Roman"/>
      <w:bCs w:val="0"/>
      <w:color w:val="FF99CC"/>
    </w:rPr>
  </w:style>
  <w:style w:type="paragraph" w:customStyle="1" w:styleId="3548">
    <w:name w:val="表8.1-1"/>
    <w:basedOn w:val="1"/>
    <w:qFormat/>
    <w:uiPriority w:val="0"/>
    <w:pPr>
      <w:numPr>
        <w:ilvl w:val="0"/>
        <w:numId w:val="85"/>
      </w:numPr>
      <w:tabs>
        <w:tab w:val="left" w:pos="726"/>
        <w:tab w:val="left" w:pos="1680"/>
      </w:tabs>
      <w:adjustRightInd w:val="0"/>
      <w:snapToGrid w:val="0"/>
      <w:spacing w:beforeLines="100" w:after="120" w:line="0" w:lineRule="atLeast"/>
      <w:jc w:val="center"/>
    </w:pPr>
    <w:rPr>
      <w:rFonts w:ascii="黑体" w:eastAsia="黑体"/>
      <w:b/>
      <w:kern w:val="0"/>
      <w:sz w:val="34"/>
      <w:szCs w:val="20"/>
    </w:rPr>
  </w:style>
  <w:style w:type="paragraph" w:customStyle="1" w:styleId="3549">
    <w:name w:val="样式 标题 2 + Times New Roman 段前: 12 磅"/>
    <w:basedOn w:val="8"/>
    <w:qFormat/>
    <w:uiPriority w:val="0"/>
    <w:pPr>
      <w:widowControl w:val="0"/>
      <w:numPr>
        <w:ilvl w:val="0"/>
        <w:numId w:val="0"/>
      </w:numPr>
      <w:spacing w:before="280" w:after="120" w:line="240" w:lineRule="auto"/>
      <w:jc w:val="both"/>
    </w:pPr>
    <w:rPr>
      <w:rFonts w:ascii="黑体" w:hAnsi="宋体" w:eastAsia="黑体"/>
      <w:b/>
      <w:bCs/>
      <w:sz w:val="28"/>
      <w:szCs w:val="28"/>
    </w:rPr>
  </w:style>
  <w:style w:type="paragraph" w:customStyle="1" w:styleId="3550">
    <w:name w:val="Inside"/>
    <w:basedOn w:val="3551"/>
    <w:unhideWhenUsed/>
    <w:qFormat/>
    <w:uiPriority w:val="0"/>
    <w:pPr>
      <w:tabs>
        <w:tab w:val="left" w:pos="1365"/>
        <w:tab w:val="left" w:pos="4620"/>
        <w:tab w:val="left" w:pos="5880"/>
      </w:tabs>
      <w:adjustRightInd w:val="0"/>
      <w:spacing w:afterLines="80" w:line="320" w:lineRule="atLeast"/>
      <w:ind w:left="1361" w:leftChars="348" w:hanging="526" w:hangingChars="219"/>
      <w:textAlignment w:val="baseline"/>
    </w:pPr>
  </w:style>
  <w:style w:type="paragraph" w:customStyle="1" w:styleId="3551">
    <w:name w:val="宋体1"/>
    <w:basedOn w:val="1"/>
    <w:unhideWhenUsed/>
    <w:qFormat/>
    <w:uiPriority w:val="0"/>
    <w:pPr>
      <w:tabs>
        <w:tab w:val="left" w:pos="4620"/>
        <w:tab w:val="left" w:pos="5880"/>
      </w:tabs>
      <w:spacing w:before="120" w:after="120" w:line="360" w:lineRule="auto"/>
      <w:ind w:left="578" w:firstLine="744" w:firstLineChars="310"/>
    </w:pPr>
    <w:rPr>
      <w:rFonts w:ascii="Arial" w:hAnsi="Arial" w:cs="宋体"/>
      <w:kern w:val="0"/>
      <w:szCs w:val="20"/>
    </w:rPr>
  </w:style>
  <w:style w:type="paragraph" w:customStyle="1" w:styleId="3552">
    <w:name w:val="style1"/>
    <w:basedOn w:val="1"/>
    <w:qFormat/>
    <w:uiPriority w:val="0"/>
    <w:pPr>
      <w:widowControl/>
      <w:spacing w:before="100" w:beforeAutospacing="1" w:after="100" w:afterAutospacing="1"/>
      <w:jc w:val="left"/>
    </w:pPr>
    <w:rPr>
      <w:rFonts w:ascii="宋体" w:hAnsi="宋体" w:cs="宋体"/>
      <w:color w:val="FF0000"/>
      <w:kern w:val="0"/>
      <w:sz w:val="48"/>
      <w:szCs w:val="48"/>
    </w:rPr>
  </w:style>
  <w:style w:type="paragraph" w:customStyle="1" w:styleId="3553">
    <w:name w:val="样式 Char Char Char Char Char Char Char Char Char Char Char Char Char Char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554">
    <w:name w:val="样式 正文文字缩进 + 行距: 1.5 倍行距 首行缩进:  1.98 字符"/>
    <w:basedOn w:val="5"/>
    <w:semiHidden/>
    <w:qFormat/>
    <w:uiPriority w:val="0"/>
    <w:pPr>
      <w:spacing w:after="0" w:line="360" w:lineRule="auto"/>
      <w:ind w:left="0" w:leftChars="0" w:firstLine="554" w:firstLineChars="198"/>
    </w:pPr>
    <w:rPr>
      <w:sz w:val="20"/>
    </w:rPr>
  </w:style>
  <w:style w:type="paragraph" w:customStyle="1" w:styleId="3555">
    <w:name w:val="内部地址姓名"/>
    <w:basedOn w:val="1"/>
    <w:qFormat/>
    <w:uiPriority w:val="0"/>
    <w:rPr>
      <w:rFonts w:ascii="宋体"/>
      <w:kern w:val="0"/>
      <w:szCs w:val="20"/>
    </w:rPr>
  </w:style>
  <w:style w:type="paragraph" w:customStyle="1" w:styleId="3556">
    <w:name w:val="列项——"/>
    <w:qFormat/>
    <w:uiPriority w:val="0"/>
    <w:pPr>
      <w:widowControl w:val="0"/>
      <w:tabs>
        <w:tab w:val="left" w:pos="425"/>
        <w:tab w:val="left" w:pos="854"/>
      </w:tabs>
      <w:ind w:left="425" w:leftChars="200" w:hanging="425" w:hangingChars="200"/>
      <w:jc w:val="both"/>
    </w:pPr>
    <w:rPr>
      <w:rFonts w:ascii="宋体" w:hAnsi="Times New Roman" w:eastAsia="宋体" w:cs="Times New Roman"/>
      <w:sz w:val="21"/>
      <w:lang w:val="en-US" w:eastAsia="zh-CN" w:bidi="ar-SA"/>
    </w:rPr>
  </w:style>
  <w:style w:type="paragraph" w:customStyle="1" w:styleId="3557">
    <w:name w:val="正文五号仿宋"/>
    <w:basedOn w:val="3558"/>
    <w:qFormat/>
    <w:uiPriority w:val="0"/>
    <w:rPr>
      <w:rFonts w:ascii="仿宋_GB2312" w:eastAsia="仿宋_GB2312"/>
    </w:rPr>
  </w:style>
  <w:style w:type="paragraph" w:customStyle="1" w:styleId="3558">
    <w:name w:val="正文样式3"/>
    <w:basedOn w:val="1"/>
    <w:qFormat/>
    <w:uiPriority w:val="0"/>
    <w:pPr>
      <w:spacing w:before="120" w:after="120"/>
      <w:ind w:left="578" w:firstLine="200" w:firstLineChars="200"/>
    </w:pPr>
    <w:rPr>
      <w:rFonts w:ascii="宋体"/>
      <w:kern w:val="0"/>
      <w:szCs w:val="20"/>
    </w:rPr>
  </w:style>
  <w:style w:type="paragraph" w:customStyle="1" w:styleId="3559">
    <w:name w:val="表格文字中"/>
    <w:basedOn w:val="1"/>
    <w:qFormat/>
    <w:uiPriority w:val="0"/>
    <w:pPr>
      <w:tabs>
        <w:tab w:val="left" w:pos="1727"/>
        <w:tab w:val="left" w:pos="1884"/>
      </w:tabs>
      <w:adjustRightInd w:val="0"/>
      <w:snapToGrid w:val="0"/>
      <w:spacing w:before="120" w:after="120"/>
      <w:ind w:left="578" w:hanging="578"/>
      <w:jc w:val="center"/>
    </w:pPr>
    <w:rPr>
      <w:rFonts w:ascii="宋体" w:hAnsi="宋体"/>
      <w:color w:val="000000"/>
      <w:kern w:val="0"/>
      <w:sz w:val="34"/>
      <w:szCs w:val="20"/>
    </w:rPr>
  </w:style>
  <w:style w:type="paragraph" w:customStyle="1" w:styleId="3560">
    <w:name w:val="表格文字小四"/>
    <w:basedOn w:val="1"/>
    <w:qFormat/>
    <w:uiPriority w:val="0"/>
    <w:pPr>
      <w:adjustRightInd w:val="0"/>
      <w:snapToGrid w:val="0"/>
      <w:spacing w:beforeLines="10" w:afterLines="10"/>
      <w:jc w:val="center"/>
    </w:pPr>
    <w:rPr>
      <w:rFonts w:ascii="Arial" w:hAnsi="Arial" w:cs="Arial"/>
      <w:snapToGrid w:val="0"/>
      <w:kern w:val="0"/>
      <w:sz w:val="34"/>
      <w:szCs w:val="20"/>
    </w:rPr>
  </w:style>
  <w:style w:type="paragraph" w:customStyle="1" w:styleId="3561">
    <w:name w:val="批注主题5"/>
    <w:basedOn w:val="31"/>
    <w:next w:val="31"/>
    <w:qFormat/>
    <w:uiPriority w:val="0"/>
    <w:rPr>
      <w:rFonts w:ascii="Calibri" w:hAnsi="Calibri" w:eastAsia="仿宋"/>
      <w:b/>
      <w:bCs/>
      <w:sz w:val="20"/>
    </w:rPr>
  </w:style>
  <w:style w:type="paragraph" w:customStyle="1" w:styleId="3562">
    <w:name w:val="小3仿"/>
    <w:basedOn w:val="37"/>
    <w:qFormat/>
    <w:uiPriority w:val="0"/>
    <w:pPr>
      <w:widowControl w:val="0"/>
      <w:snapToGrid/>
      <w:spacing w:before="0" w:after="120" w:line="360" w:lineRule="auto"/>
      <w:ind w:right="0"/>
    </w:pPr>
    <w:rPr>
      <w:rFonts w:ascii="宋体" w:hAnsi="宋体"/>
      <w:sz w:val="20"/>
    </w:rPr>
  </w:style>
  <w:style w:type="paragraph" w:customStyle="1" w:styleId="3563">
    <w:name w:val="List Paragraph1"/>
    <w:basedOn w:val="1"/>
    <w:qFormat/>
    <w:uiPriority w:val="0"/>
    <w:pPr>
      <w:ind w:firstLine="420" w:firstLineChars="200"/>
    </w:pPr>
    <w:rPr>
      <w:rFonts w:ascii="Calibri" w:hAnsi="Calibri" w:cs="黑体"/>
      <w:kern w:val="0"/>
      <w:szCs w:val="22"/>
    </w:rPr>
  </w:style>
  <w:style w:type="paragraph" w:customStyle="1" w:styleId="3564">
    <w:name w:val="样式 题注 + 居中 段前: 0 磅 段后: 0 磅"/>
    <w:basedOn w:val="25"/>
    <w:qFormat/>
    <w:uiPriority w:val="0"/>
    <w:pPr>
      <w:spacing w:line="360" w:lineRule="auto"/>
      <w:ind w:firstLine="200" w:firstLineChars="200"/>
    </w:pPr>
    <w:rPr>
      <w:rFonts w:eastAsia="宋体" w:cs="宋体"/>
      <w:b w:val="0"/>
      <w:sz w:val="20"/>
    </w:rPr>
  </w:style>
  <w:style w:type="paragraph" w:customStyle="1" w:styleId="3565">
    <w:name w:val="项目编号"/>
    <w:basedOn w:val="1"/>
    <w:next w:val="1"/>
    <w:qFormat/>
    <w:uiPriority w:val="0"/>
    <w:pPr>
      <w:spacing w:before="120" w:after="120" w:line="360" w:lineRule="auto"/>
    </w:pPr>
    <w:rPr>
      <w:rFonts w:ascii="宋体"/>
      <w:kern w:val="0"/>
      <w:sz w:val="34"/>
      <w:szCs w:val="20"/>
    </w:rPr>
  </w:style>
  <w:style w:type="paragraph" w:customStyle="1" w:styleId="3566">
    <w:name w:val="Char Char Char Char Char Char Char Char Char Char Char Char"/>
    <w:basedOn w:val="29"/>
    <w:qFormat/>
    <w:uiPriority w:val="0"/>
    <w:rPr>
      <w:rFonts w:ascii="宋体" w:hAnsi="宋体"/>
      <w:kern w:val="0"/>
      <w:sz w:val="21"/>
      <w:szCs w:val="20"/>
    </w:rPr>
  </w:style>
  <w:style w:type="paragraph" w:customStyle="1" w:styleId="3567">
    <w:name w:val="Char Char2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568">
    <w:name w:val="xl99"/>
    <w:basedOn w:val="1"/>
    <w:qFormat/>
    <w:uiPriority w:val="0"/>
    <w:pPr>
      <w:widowControl/>
      <w:pBdr>
        <w:top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569">
    <w:name w:val="Char Char Char Char Char Char Char Char Char Char Char Char Char Char Char Char Char Char Char Char Char3"/>
    <w:basedOn w:val="1"/>
    <w:qFormat/>
    <w:uiPriority w:val="0"/>
    <w:rPr>
      <w:rFonts w:ascii="宋体"/>
      <w:kern w:val="0"/>
      <w:szCs w:val="21"/>
    </w:rPr>
  </w:style>
  <w:style w:type="paragraph" w:customStyle="1" w:styleId="3570">
    <w:name w:val="CM79"/>
    <w:basedOn w:val="2"/>
    <w:next w:val="2"/>
    <w:semiHidden/>
    <w:qFormat/>
    <w:uiPriority w:val="0"/>
    <w:pPr>
      <w:adjustRightInd/>
    </w:pPr>
    <w:rPr>
      <w:rFonts w:hint="eastAsia" w:ascii="仿宋" w:hAnsi="仿宋" w:eastAsia="仿宋" w:cs="Times New Roman"/>
      <w:szCs w:val="20"/>
    </w:rPr>
  </w:style>
  <w:style w:type="paragraph" w:customStyle="1" w:styleId="3571">
    <w:name w:val="样式 正文首行缩进 + 左侧:  -0.1 字符"/>
    <w:basedOn w:val="43"/>
    <w:qFormat/>
    <w:uiPriority w:val="0"/>
    <w:pPr>
      <w:keepNext/>
      <w:widowControl w:val="0"/>
      <w:tabs>
        <w:tab w:val="left" w:pos="628"/>
        <w:tab w:val="left" w:pos="1727"/>
        <w:tab w:val="left" w:pos="1884"/>
        <w:tab w:val="left" w:pos="4900"/>
      </w:tabs>
      <w:autoSpaceDE w:val="0"/>
      <w:autoSpaceDN w:val="0"/>
      <w:adjustRightInd w:val="0"/>
      <w:snapToGrid w:val="0"/>
      <w:spacing w:before="120" w:after="0" w:line="360" w:lineRule="auto"/>
      <w:ind w:left="578" w:firstLine="200" w:firstLineChars="200"/>
    </w:pPr>
    <w:rPr>
      <w:rFonts w:hAnsi="Times New Roman"/>
      <w:lang w:val="zh-CN"/>
    </w:rPr>
  </w:style>
  <w:style w:type="paragraph" w:customStyle="1" w:styleId="3572">
    <w:name w:val="样式 大纲正文 + (符号) 宋体"/>
    <w:basedOn w:val="1279"/>
    <w:next w:val="1279"/>
    <w:qFormat/>
    <w:uiPriority w:val="0"/>
    <w:pPr>
      <w:spacing w:beforeLines="50"/>
    </w:pPr>
    <w:rPr>
      <w:color w:val="000000"/>
    </w:rPr>
  </w:style>
  <w:style w:type="paragraph" w:customStyle="1" w:styleId="3573">
    <w:name w:val="Char Char Char Char Char Char Char Char Char1 Char Char Char Char3"/>
    <w:basedOn w:val="1"/>
    <w:qFormat/>
    <w:uiPriority w:val="0"/>
    <w:rPr>
      <w:rFonts w:ascii="宋体"/>
      <w:kern w:val="0"/>
      <w:szCs w:val="21"/>
    </w:rPr>
  </w:style>
  <w:style w:type="paragraph" w:customStyle="1" w:styleId="3574">
    <w:name w:val="正文（首行缩进）"/>
    <w:basedOn w:val="1"/>
    <w:qFormat/>
    <w:uiPriority w:val="0"/>
    <w:pPr>
      <w:adjustRightInd w:val="0"/>
      <w:snapToGrid w:val="0"/>
      <w:spacing w:line="360" w:lineRule="auto"/>
      <w:ind w:firstLine="200" w:firstLineChars="200"/>
    </w:pPr>
    <w:rPr>
      <w:rFonts w:ascii="宋体"/>
      <w:snapToGrid w:val="0"/>
      <w:kern w:val="0"/>
      <w:sz w:val="34"/>
      <w:szCs w:val="20"/>
    </w:rPr>
  </w:style>
  <w:style w:type="paragraph" w:customStyle="1" w:styleId="3575">
    <w:name w:val="样式 标题 3 + 段前: 1 行 段后: 1 行"/>
    <w:basedOn w:val="9"/>
    <w:semiHidden/>
    <w:qFormat/>
    <w:uiPriority w:val="0"/>
    <w:pPr>
      <w:widowControl w:val="0"/>
      <w:numPr>
        <w:ilvl w:val="0"/>
        <w:numId w:val="0"/>
      </w:numPr>
      <w:tabs>
        <w:tab w:val="left" w:pos="900"/>
      </w:tabs>
      <w:spacing w:before="260" w:beforeLines="80" w:after="260" w:afterLines="80" w:line="324" w:lineRule="auto"/>
      <w:jc w:val="both"/>
    </w:pPr>
    <w:rPr>
      <w:b/>
      <w:bCs w:val="0"/>
      <w:color w:val="000000"/>
      <w:szCs w:val="20"/>
    </w:rPr>
  </w:style>
  <w:style w:type="paragraph" w:customStyle="1" w:styleId="3576">
    <w:name w:val="正文文本缩进 22"/>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3577">
    <w:name w:val="xl22"/>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578">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kern w:val="0"/>
      <w:szCs w:val="20"/>
    </w:rPr>
  </w:style>
  <w:style w:type="paragraph" w:customStyle="1" w:styleId="3579">
    <w:name w:val="样式 标题 3h33rd levelH33Head 3level_3PIM 3Level 3 Head二级节名..."/>
    <w:basedOn w:val="9"/>
    <w:qFormat/>
    <w:uiPriority w:val="0"/>
    <w:pPr>
      <w:widowControl w:val="0"/>
      <w:numPr>
        <w:ilvl w:val="0"/>
        <w:numId w:val="0"/>
      </w:numPr>
      <w:tabs>
        <w:tab w:val="left" w:pos="754"/>
      </w:tabs>
      <w:spacing w:before="260" w:after="260" w:line="400" w:lineRule="exact"/>
    </w:pPr>
    <w:rPr>
      <w:b/>
      <w:color w:val="000000"/>
      <w:sz w:val="30"/>
      <w:szCs w:val="20"/>
    </w:rPr>
  </w:style>
  <w:style w:type="paragraph" w:customStyle="1" w:styleId="3580">
    <w:name w:val="xl182"/>
    <w:basedOn w:val="1"/>
    <w:qFormat/>
    <w:uiPriority w:val="0"/>
    <w:pPr>
      <w:widowControl/>
      <w:pBdr>
        <w:top w:val="single" w:color="auto" w:sz="4" w:space="0"/>
        <w:left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581">
    <w:name w:val="y表格"/>
    <w:basedOn w:val="37"/>
    <w:qFormat/>
    <w:uiPriority w:val="0"/>
    <w:pPr>
      <w:adjustRightInd w:val="0"/>
      <w:spacing w:before="0" w:after="0" w:line="240" w:lineRule="auto"/>
      <w:ind w:right="0"/>
      <w:jc w:val="center"/>
      <w:textAlignment w:val="baseline"/>
    </w:pPr>
    <w:rPr>
      <w:rFonts w:hint="eastAsia" w:hAnsi="宋体"/>
      <w:sz w:val="21"/>
    </w:rPr>
  </w:style>
  <w:style w:type="paragraph" w:customStyle="1" w:styleId="3582">
    <w:name w:val="8"/>
    <w:basedOn w:val="1"/>
    <w:next w:val="73"/>
    <w:qFormat/>
    <w:uiPriority w:val="0"/>
    <w:pPr>
      <w:ind w:firstLine="556"/>
      <w:jc w:val="left"/>
    </w:pPr>
    <w:rPr>
      <w:rFonts w:ascii="仿宋_GB2312" w:hAnsi="宋体" w:eastAsia="仿宋_GB2312"/>
      <w:kern w:val="0"/>
      <w:sz w:val="28"/>
      <w:szCs w:val="20"/>
    </w:rPr>
  </w:style>
  <w:style w:type="paragraph" w:customStyle="1" w:styleId="3583">
    <w:name w:val="标题4.3.3.1"/>
    <w:basedOn w:val="1"/>
    <w:next w:val="1"/>
    <w:unhideWhenUsed/>
    <w:qFormat/>
    <w:uiPriority w:val="0"/>
    <w:pPr>
      <w:tabs>
        <w:tab w:val="left" w:pos="-426"/>
      </w:tabs>
      <w:spacing w:beforeLines="50" w:afterLines="50" w:line="360" w:lineRule="auto"/>
      <w:ind w:left="-426" w:hanging="425" w:firstLineChars="200"/>
    </w:pPr>
    <w:rPr>
      <w:rFonts w:ascii="宋体"/>
      <w:b/>
      <w:kern w:val="0"/>
      <w:szCs w:val="21"/>
    </w:rPr>
  </w:style>
  <w:style w:type="paragraph" w:customStyle="1" w:styleId="3584">
    <w:name w:val="燕山正文 Char Char"/>
    <w:basedOn w:val="1"/>
    <w:semiHidden/>
    <w:qFormat/>
    <w:uiPriority w:val="0"/>
    <w:pPr>
      <w:tabs>
        <w:tab w:val="left" w:pos="4680"/>
      </w:tabs>
      <w:adjustRightInd w:val="0"/>
      <w:snapToGrid w:val="0"/>
      <w:spacing w:before="120" w:after="120" w:line="360" w:lineRule="auto"/>
      <w:ind w:left="578" w:firstLine="480" w:firstLineChars="200"/>
    </w:pPr>
    <w:rPr>
      <w:rFonts w:ascii="宋体"/>
      <w:snapToGrid w:val="0"/>
      <w:kern w:val="0"/>
      <w:szCs w:val="20"/>
    </w:rPr>
  </w:style>
  <w:style w:type="paragraph" w:customStyle="1" w:styleId="3585">
    <w:name w:val="???¡§?????¡§?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586">
    <w:name w:val="样式 标题 3 + 华文中宋 小三 段前: 6 磅 段后: 6 磅 行距: 多倍行距 1.4 字行"/>
    <w:basedOn w:val="9"/>
    <w:qFormat/>
    <w:uiPriority w:val="0"/>
    <w:pPr>
      <w:keepLines w:val="0"/>
      <w:widowControl w:val="0"/>
      <w:numPr>
        <w:ilvl w:val="0"/>
        <w:numId w:val="0"/>
      </w:numPr>
      <w:tabs>
        <w:tab w:val="left" w:pos="861"/>
        <w:tab w:val="left" w:pos="916"/>
        <w:tab w:val="left" w:pos="1756"/>
      </w:tabs>
      <w:snapToGrid w:val="0"/>
      <w:spacing w:line="480" w:lineRule="exact"/>
      <w:jc w:val="both"/>
      <w:outlineLvl w:val="9"/>
    </w:pPr>
    <w:rPr>
      <w:rFonts w:cs="Times New Roman"/>
      <w:bCs w:val="0"/>
      <w:color w:val="000000"/>
      <w:sz w:val="24"/>
      <w:szCs w:val="24"/>
    </w:rPr>
  </w:style>
  <w:style w:type="paragraph" w:customStyle="1" w:styleId="3587">
    <w:name w:val="宋体正文小四蓝色"/>
    <w:qFormat/>
    <w:uiPriority w:val="0"/>
    <w:pPr>
      <w:spacing w:line="500" w:lineRule="exact"/>
      <w:ind w:firstLine="480" w:firstLineChars="200"/>
    </w:pPr>
    <w:rPr>
      <w:rFonts w:ascii="Times New Roman" w:hAnsi="宋体" w:eastAsia="宋体" w:cs="Times New Roman"/>
      <w:color w:val="0000FF"/>
      <w:kern w:val="2"/>
      <w:sz w:val="24"/>
      <w:szCs w:val="24"/>
      <w:lang w:val="en-US" w:eastAsia="zh-CN" w:bidi="ar-SA"/>
    </w:rPr>
  </w:style>
  <w:style w:type="paragraph" w:customStyle="1" w:styleId="3588">
    <w:name w:val="样式 样式 首行缩进:  2 字符1 + 首行缩进:  2 字符 段前: 0.2 行"/>
    <w:basedOn w:val="1"/>
    <w:qFormat/>
    <w:uiPriority w:val="0"/>
    <w:pPr>
      <w:spacing w:line="440" w:lineRule="exact"/>
      <w:ind w:firstLine="200" w:firstLineChars="200"/>
    </w:pPr>
    <w:rPr>
      <w:rFonts w:ascii="宋体"/>
      <w:kern w:val="0"/>
      <w:sz w:val="34"/>
      <w:szCs w:val="20"/>
    </w:rPr>
  </w:style>
  <w:style w:type="paragraph" w:customStyle="1" w:styleId="3589">
    <w:name w:val="湛江计算结果表"/>
    <w:basedOn w:val="691"/>
    <w:qFormat/>
    <w:uiPriority w:val="0"/>
    <w:pPr>
      <w:spacing w:before="50" w:after="50"/>
      <w:outlineLvl w:val="5"/>
    </w:pPr>
  </w:style>
  <w:style w:type="paragraph" w:customStyle="1" w:styleId="3590">
    <w:name w:val="xl167"/>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3591">
    <w:name w:val="表头文字 Char Char Char"/>
    <w:basedOn w:val="1"/>
    <w:qFormat/>
    <w:uiPriority w:val="0"/>
    <w:pPr>
      <w:spacing w:before="120" w:after="120" w:line="360" w:lineRule="auto"/>
      <w:ind w:firstLine="567"/>
      <w:jc w:val="center"/>
    </w:pPr>
    <w:rPr>
      <w:rFonts w:ascii="宋体" w:eastAsia="华文中宋"/>
      <w:b/>
      <w:kern w:val="0"/>
      <w:sz w:val="28"/>
      <w:szCs w:val="20"/>
    </w:rPr>
  </w:style>
  <w:style w:type="paragraph" w:customStyle="1" w:styleId="3592">
    <w:name w:val="WXD"/>
    <w:basedOn w:val="1"/>
    <w:qFormat/>
    <w:uiPriority w:val="0"/>
    <w:pPr>
      <w:spacing w:line="360" w:lineRule="auto"/>
      <w:ind w:firstLine="200" w:firstLineChars="200"/>
    </w:pPr>
    <w:rPr>
      <w:rFonts w:ascii="宋体" w:hAnsi="宋体"/>
      <w:kern w:val="0"/>
      <w:sz w:val="34"/>
      <w:szCs w:val="20"/>
    </w:rPr>
  </w:style>
  <w:style w:type="paragraph" w:customStyle="1" w:styleId="3593">
    <w:name w:val="正文缩进6"/>
    <w:basedOn w:val="1"/>
    <w:qFormat/>
    <w:uiPriority w:val="0"/>
    <w:pPr>
      <w:ind w:firstLine="420" w:firstLineChars="200"/>
    </w:pPr>
    <w:rPr>
      <w:rFonts w:ascii="宋体"/>
      <w:kern w:val="0"/>
      <w:szCs w:val="20"/>
    </w:rPr>
  </w:style>
  <w:style w:type="paragraph" w:customStyle="1" w:styleId="3594">
    <w:name w:val="样式 正文首行缩进 2 + Times New Roman + 加粗"/>
    <w:basedOn w:val="1205"/>
    <w:semiHidden/>
    <w:qFormat/>
    <w:uiPriority w:val="0"/>
    <w:pPr>
      <w:ind w:firstLine="528"/>
      <w:jc w:val="both"/>
    </w:pPr>
    <w:rPr>
      <w:b/>
      <w:bCs/>
      <w:snapToGrid w:val="0"/>
      <w:color w:val="000000"/>
      <w:spacing w:val="12"/>
      <w:kern w:val="0"/>
    </w:rPr>
  </w:style>
  <w:style w:type="paragraph" w:customStyle="1" w:styleId="3595">
    <w:name w:val="样式 样式 正文首行缩进正文首行缩进 Char + 首行缩进:  2 字符 + 首行缩进:  2 字符2"/>
    <w:basedOn w:val="1"/>
    <w:qFormat/>
    <w:uiPriority w:val="0"/>
    <w:pPr>
      <w:tabs>
        <w:tab w:val="left" w:pos="180"/>
      </w:tabs>
      <w:adjustRightInd w:val="0"/>
      <w:snapToGrid w:val="0"/>
      <w:spacing w:before="120" w:after="120" w:line="312" w:lineRule="auto"/>
      <w:ind w:left="578" w:firstLine="480" w:firstLineChars="200"/>
      <w:textAlignment w:val="baseline"/>
    </w:pPr>
    <w:rPr>
      <w:rFonts w:ascii="宋体" w:cs="宋体"/>
      <w:color w:val="000000"/>
      <w:kern w:val="0"/>
      <w:sz w:val="34"/>
      <w:szCs w:val="20"/>
      <w:lang w:val="zh-CN"/>
    </w:rPr>
  </w:style>
  <w:style w:type="paragraph" w:customStyle="1" w:styleId="3596">
    <w:name w:val="1"/>
    <w:basedOn w:val="1"/>
    <w:qFormat/>
    <w:uiPriority w:val="0"/>
    <w:pPr>
      <w:spacing w:line="360" w:lineRule="auto"/>
      <w:ind w:firstLine="200" w:firstLineChars="200"/>
    </w:pPr>
    <w:rPr>
      <w:rFonts w:ascii="宋体" w:hAnsi="宋体" w:cs="宋体"/>
      <w:kern w:val="0"/>
      <w:sz w:val="34"/>
      <w:szCs w:val="20"/>
    </w:rPr>
  </w:style>
  <w:style w:type="paragraph" w:customStyle="1" w:styleId="3597">
    <w:name w:val="表头2"/>
    <w:basedOn w:val="1"/>
    <w:next w:val="25"/>
    <w:qFormat/>
    <w:uiPriority w:val="0"/>
    <w:pPr>
      <w:adjustRightInd w:val="0"/>
      <w:snapToGrid w:val="0"/>
      <w:spacing w:beforeLines="50"/>
      <w:jc w:val="center"/>
    </w:pPr>
    <w:rPr>
      <w:rFonts w:ascii="楷体_GB2312" w:hAnsi="宋体" w:eastAsia="楷体_GB2312"/>
      <w:b/>
      <w:spacing w:val="10"/>
      <w:kern w:val="0"/>
      <w:sz w:val="34"/>
      <w:szCs w:val="20"/>
    </w:rPr>
  </w:style>
  <w:style w:type="paragraph" w:customStyle="1" w:styleId="3598">
    <w:name w:val="样式 图表目录"/>
    <w:basedOn w:val="76"/>
    <w:qFormat/>
    <w:uiPriority w:val="0"/>
    <w:pPr>
      <w:widowControl w:val="0"/>
      <w:tabs>
        <w:tab w:val="right" w:leader="dot" w:pos="8820"/>
        <w:tab w:val="right" w:leader="dot" w:pos="8889"/>
      </w:tabs>
      <w:spacing w:before="120" w:after="120" w:line="360" w:lineRule="auto"/>
      <w:ind w:left="0" w:leftChars="0" w:firstLine="0" w:firstLineChars="0"/>
    </w:pPr>
    <w:rPr>
      <w:rFonts w:hAnsi="Times New Roman"/>
      <w:sz w:val="21"/>
      <w:szCs w:val="20"/>
    </w:rPr>
  </w:style>
  <w:style w:type="paragraph" w:customStyle="1" w:styleId="3599">
    <w:name w:val="xl41"/>
    <w:basedOn w:val="1"/>
    <w:qFormat/>
    <w:uiPriority w:val="0"/>
    <w:pPr>
      <w:widowControl/>
      <w:pBdr>
        <w:top w:val="single" w:color="000000" w:sz="8" w:space="0"/>
        <w:bottom w:val="single" w:color="auto"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600">
    <w:name w:val="xl143"/>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601">
    <w:name w:val="_puce (1er niveau)"/>
    <w:unhideWhenUsed/>
    <w:qFormat/>
    <w:uiPriority w:val="0"/>
    <w:pPr>
      <w:spacing w:before="120" w:after="120" w:line="280" w:lineRule="atLeast"/>
      <w:ind w:left="851" w:hanging="284"/>
      <w:jc w:val="both"/>
    </w:pPr>
    <w:rPr>
      <w:rFonts w:ascii="Times New Roman" w:hAnsi="Times New Roman" w:eastAsia="宋体" w:cs="Times New Roman"/>
      <w:sz w:val="24"/>
      <w:lang w:val="en-US" w:eastAsia="zh-CN" w:bidi="ar-SA"/>
    </w:rPr>
  </w:style>
  <w:style w:type="paragraph" w:customStyle="1" w:styleId="3602">
    <w:name w:val="Decimal Aligned"/>
    <w:basedOn w:val="1"/>
    <w:unhideWhenUsed/>
    <w:qFormat/>
    <w:uiPriority w:val="0"/>
    <w:pPr>
      <w:widowControl/>
      <w:tabs>
        <w:tab w:val="decimal" w:pos="360"/>
      </w:tabs>
      <w:spacing w:before="120" w:after="200" w:line="276" w:lineRule="auto"/>
      <w:ind w:left="578" w:hanging="578"/>
      <w:jc w:val="left"/>
    </w:pPr>
    <w:rPr>
      <w:rFonts w:ascii="宋体"/>
      <w:kern w:val="0"/>
      <w:sz w:val="22"/>
      <w:szCs w:val="21"/>
    </w:rPr>
  </w:style>
  <w:style w:type="paragraph" w:customStyle="1" w:styleId="3603">
    <w:name w:val="6级标题"/>
    <w:next w:val="206"/>
    <w:qFormat/>
    <w:uiPriority w:val="0"/>
    <w:pPr>
      <w:numPr>
        <w:ilvl w:val="5"/>
        <w:numId w:val="86"/>
      </w:numPr>
      <w:tabs>
        <w:tab w:val="left" w:pos="726"/>
      </w:tabs>
      <w:adjustRightInd w:val="0"/>
      <w:snapToGrid w:val="0"/>
      <w:spacing w:line="360" w:lineRule="auto"/>
      <w:jc w:val="both"/>
    </w:pPr>
    <w:rPr>
      <w:rFonts w:ascii="Times New Roman" w:hAnsi="Times New Roman" w:eastAsia="宋体" w:cs="Times New Roman"/>
      <w:snapToGrid w:val="0"/>
      <w:color w:val="0070C0"/>
      <w:sz w:val="24"/>
      <w:szCs w:val="28"/>
      <w:lang w:val="en-US" w:eastAsia="zh-CN" w:bidi="ar-SA"/>
    </w:rPr>
  </w:style>
  <w:style w:type="paragraph" w:customStyle="1" w:styleId="3604">
    <w:name w:val="cauc-0 Char"/>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3605">
    <w:name w:val="样式 目录 2 + 左侧:  2 字符"/>
    <w:basedOn w:val="77"/>
    <w:qFormat/>
    <w:uiPriority w:val="0"/>
    <w:pPr>
      <w:widowControl w:val="0"/>
      <w:tabs>
        <w:tab w:val="clear" w:pos="8800"/>
      </w:tabs>
      <w:spacing w:before="120" w:after="120"/>
      <w:ind w:left="0" w:leftChars="0" w:right="0" w:firstLine="567" w:firstLineChars="200"/>
      <w:jc w:val="both"/>
    </w:pPr>
    <w:rPr>
      <w:rFonts w:hAnsi="Times New Roman" w:cs="Times New Roman"/>
      <w:b w:val="0"/>
      <w:bCs w:val="0"/>
      <w:sz w:val="28"/>
      <w:szCs w:val="20"/>
    </w:rPr>
  </w:style>
  <w:style w:type="paragraph" w:customStyle="1" w:styleId="3606">
    <w:name w:val="样式 (中文) 仿宋_GB2312 四号 首行缩进:  0.98 厘米 行距: 固定值 25 磅"/>
    <w:basedOn w:val="1"/>
    <w:qFormat/>
    <w:uiPriority w:val="0"/>
    <w:pPr>
      <w:spacing w:line="360" w:lineRule="auto"/>
      <w:ind w:firstLine="556"/>
    </w:pPr>
    <w:rPr>
      <w:rFonts w:ascii="宋体" w:cs="宋体"/>
      <w:kern w:val="0"/>
      <w:sz w:val="34"/>
      <w:szCs w:val="20"/>
    </w:rPr>
  </w:style>
  <w:style w:type="paragraph" w:customStyle="1" w:styleId="3607">
    <w:name w:val="3级标题"/>
    <w:basedOn w:val="1"/>
    <w:qFormat/>
    <w:uiPriority w:val="0"/>
    <w:pPr>
      <w:spacing w:before="300" w:line="460" w:lineRule="exact"/>
      <w:outlineLvl w:val="2"/>
    </w:pPr>
    <w:rPr>
      <w:rFonts w:ascii="Arial" w:hAnsi="Arial"/>
      <w:b/>
      <w:kern w:val="0"/>
      <w:sz w:val="34"/>
      <w:szCs w:val="20"/>
    </w:rPr>
  </w:style>
  <w:style w:type="paragraph" w:customStyle="1" w:styleId="3608">
    <w:name w:val="样式 样式 样式 正文首行缩进 + 黑体 四号 黑色 + 右侧:  -0.47 字符 + 左侧:  1.52 厘米 首行缩进:..."/>
    <w:basedOn w:val="10"/>
    <w:next w:val="10"/>
    <w:qFormat/>
    <w:uiPriority w:val="0"/>
    <w:pPr>
      <w:widowControl w:val="0"/>
      <w:numPr>
        <w:numId w:val="87"/>
      </w:numPr>
      <w:tabs>
        <w:tab w:val="left" w:pos="0"/>
        <w:tab w:val="left" w:pos="1680"/>
      </w:tabs>
      <w:jc w:val="both"/>
    </w:pPr>
    <w:rPr>
      <w:rFonts w:ascii="宋体" w:eastAsia="黑体" w:cs="Times New Roman"/>
      <w:b w:val="0"/>
      <w:sz w:val="28"/>
      <w:szCs w:val="20"/>
    </w:rPr>
  </w:style>
  <w:style w:type="paragraph" w:customStyle="1" w:styleId="3609">
    <w:name w:val="－列表"/>
    <w:basedOn w:val="69"/>
    <w:qFormat/>
    <w:uiPriority w:val="0"/>
    <w:pPr>
      <w:widowControl w:val="0"/>
      <w:adjustRightInd w:val="0"/>
      <w:snapToGrid w:val="0"/>
      <w:spacing w:line="360" w:lineRule="atLeast"/>
      <w:textAlignment w:val="baseline"/>
    </w:pPr>
    <w:rPr>
      <w:rFonts w:ascii="宋体" w:hAnsi="宋体" w:eastAsia="宋体"/>
      <w:snapToGrid w:val="0"/>
      <w:kern w:val="0"/>
      <w:sz w:val="22"/>
    </w:rPr>
  </w:style>
  <w:style w:type="paragraph" w:customStyle="1" w:styleId="3610">
    <w:name w:val="bgbt6插图标题"/>
    <w:basedOn w:val="3611"/>
    <w:next w:val="1697"/>
    <w:semiHidden/>
    <w:qFormat/>
    <w:uiPriority w:val="0"/>
    <w:pPr>
      <w:spacing w:before="0" w:after="60"/>
      <w:outlineLvl w:val="5"/>
    </w:pPr>
  </w:style>
  <w:style w:type="paragraph" w:customStyle="1" w:styleId="3611">
    <w:name w:val="bgbt5附表标题"/>
    <w:basedOn w:val="1694"/>
    <w:next w:val="1697"/>
    <w:semiHidden/>
    <w:qFormat/>
    <w:uiPriority w:val="0"/>
    <w:pPr>
      <w:spacing w:before="60" w:after="0"/>
      <w:ind w:firstLine="0"/>
      <w:jc w:val="center"/>
      <w:outlineLvl w:val="4"/>
    </w:pPr>
    <w:rPr>
      <w:sz w:val="21"/>
    </w:rPr>
  </w:style>
  <w:style w:type="paragraph" w:customStyle="1" w:styleId="3612">
    <w:name w:val="样式1.1.1"/>
    <w:basedOn w:val="1"/>
    <w:qFormat/>
    <w:uiPriority w:val="0"/>
    <w:pPr>
      <w:spacing w:before="120" w:after="120" w:line="460" w:lineRule="exact"/>
      <w:ind w:left="578" w:hanging="578"/>
    </w:pPr>
    <w:rPr>
      <w:rFonts w:ascii="宋体"/>
      <w:b/>
      <w:kern w:val="0"/>
      <w:sz w:val="28"/>
      <w:szCs w:val="20"/>
    </w:rPr>
  </w:style>
  <w:style w:type="paragraph" w:customStyle="1" w:styleId="3613">
    <w:name w:val="首缩"/>
    <w:basedOn w:val="1"/>
    <w:qFormat/>
    <w:uiPriority w:val="0"/>
    <w:pPr>
      <w:adjustRightInd w:val="0"/>
      <w:snapToGrid w:val="0"/>
      <w:spacing w:line="500" w:lineRule="exact"/>
      <w:ind w:firstLine="200"/>
    </w:pPr>
    <w:rPr>
      <w:rFonts w:ascii="宋体" w:eastAsia="仿宋_GB2312"/>
      <w:snapToGrid w:val="0"/>
      <w:kern w:val="0"/>
      <w:sz w:val="28"/>
      <w:szCs w:val="20"/>
    </w:rPr>
  </w:style>
  <w:style w:type="paragraph" w:customStyle="1" w:styleId="3614">
    <w:name w:val="样式 标题 41.1.1.1 南陵标题 4标题 4 CharH4H41标题 4 Char CharL4Minor ..."/>
    <w:basedOn w:val="10"/>
    <w:qFormat/>
    <w:uiPriority w:val="0"/>
    <w:pPr>
      <w:widowControl w:val="0"/>
      <w:numPr>
        <w:ilvl w:val="0"/>
        <w:numId w:val="0"/>
      </w:numPr>
      <w:tabs>
        <w:tab w:val="left" w:pos="1330"/>
      </w:tabs>
      <w:spacing w:before="120" w:after="120"/>
      <w:ind w:left="1330" w:hanging="864"/>
    </w:pPr>
    <w:rPr>
      <w:rFonts w:ascii="宋体" w:hAnsi="宋体" w:eastAsia="黑体"/>
      <w:smallCaps/>
      <w:sz w:val="20"/>
      <w:szCs w:val="20"/>
    </w:rPr>
  </w:style>
  <w:style w:type="paragraph" w:customStyle="1" w:styleId="3615">
    <w:name w:val="CM53"/>
    <w:basedOn w:val="2"/>
    <w:next w:val="2"/>
    <w:semiHidden/>
    <w:qFormat/>
    <w:uiPriority w:val="0"/>
    <w:pPr>
      <w:adjustRightInd/>
    </w:pPr>
    <w:rPr>
      <w:rFonts w:hint="eastAsia" w:ascii="仿宋" w:hAnsi="仿宋" w:eastAsia="仿宋" w:cs="Times New Roman"/>
      <w:szCs w:val="20"/>
    </w:rPr>
  </w:style>
  <w:style w:type="paragraph" w:customStyle="1" w:styleId="3616">
    <w:name w:val="表标题8.1"/>
    <w:basedOn w:val="1546"/>
    <w:qFormat/>
    <w:uiPriority w:val="0"/>
    <w:pPr>
      <w:tabs>
        <w:tab w:val="center" w:pos="4060"/>
        <w:tab w:val="right" w:pos="8261"/>
      </w:tabs>
      <w:suppressAutoHyphens/>
      <w:adjustRightInd w:val="0"/>
      <w:spacing w:beforeLines="100" w:line="0" w:lineRule="atLeast"/>
      <w:ind w:left="578" w:hanging="578"/>
    </w:pPr>
    <w:rPr>
      <w:rFonts w:ascii="黑体" w:eastAsia="黑体" w:cs="宋体"/>
      <w:bCs/>
      <w:spacing w:val="6"/>
      <w:szCs w:val="24"/>
    </w:rPr>
  </w:style>
  <w:style w:type="paragraph" w:customStyle="1" w:styleId="3617">
    <w:name w:val="Char Char1 Char Char Char Char Char Char Char"/>
    <w:basedOn w:val="1"/>
    <w:qFormat/>
    <w:uiPriority w:val="0"/>
    <w:rPr>
      <w:rFonts w:ascii="宋体"/>
      <w:kern w:val="0"/>
      <w:sz w:val="34"/>
      <w:szCs w:val="20"/>
    </w:rPr>
  </w:style>
  <w:style w:type="paragraph" w:customStyle="1" w:styleId="3618">
    <w:name w:val="标题（一）"/>
    <w:basedOn w:val="7"/>
    <w:qFormat/>
    <w:uiPriority w:val="0"/>
    <w:pPr>
      <w:keepNext w:val="0"/>
      <w:keepLines/>
      <w:tabs>
        <w:tab w:val="left" w:pos="480"/>
      </w:tabs>
      <w:overflowPunct/>
      <w:adjustRightInd w:val="0"/>
      <w:snapToGrid/>
      <w:spacing w:before="360" w:after="240" w:line="360" w:lineRule="auto"/>
      <w:ind w:left="0" w:firstLine="0"/>
      <w:jc w:val="center"/>
    </w:pPr>
    <w:rPr>
      <w:rFonts w:ascii="黑体" w:hAnsi="宋体" w:cs="宋体"/>
      <w:color w:val="auto"/>
    </w:rPr>
  </w:style>
  <w:style w:type="paragraph" w:customStyle="1" w:styleId="3619">
    <w:name w:val="样式 俺的正文 + 首行缩进:  2 字符"/>
    <w:basedOn w:val="1"/>
    <w:qFormat/>
    <w:uiPriority w:val="0"/>
    <w:pPr>
      <w:numPr>
        <w:ilvl w:val="0"/>
        <w:numId w:val="88"/>
      </w:numPr>
      <w:pBdr>
        <w:top w:val="single" w:color="auto" w:sz="4" w:space="1"/>
      </w:pBdr>
      <w:tabs>
        <w:tab w:val="left" w:pos="480"/>
      </w:tabs>
      <w:spacing w:line="360" w:lineRule="auto"/>
    </w:pPr>
    <w:rPr>
      <w:rFonts w:ascii="宋体"/>
      <w:kern w:val="0"/>
      <w:sz w:val="34"/>
      <w:szCs w:val="20"/>
    </w:rPr>
  </w:style>
  <w:style w:type="paragraph" w:customStyle="1" w:styleId="3620">
    <w:name w:val="印数"/>
    <w:basedOn w:val="2793"/>
    <w:qFormat/>
    <w:uiPriority w:val="0"/>
    <w:pPr>
      <w:spacing w:line="400" w:lineRule="atLeast"/>
      <w:ind w:left="0" w:right="0"/>
      <w:jc w:val="right"/>
    </w:pPr>
  </w:style>
  <w:style w:type="paragraph" w:customStyle="1" w:styleId="3621">
    <w:name w:val="样式 表格文字居中 + 右侧:  -0.06 字符1"/>
    <w:basedOn w:val="945"/>
    <w:qFormat/>
    <w:uiPriority w:val="0"/>
    <w:pPr>
      <w:keepNext/>
      <w:spacing w:before="0" w:after="0" w:line="0" w:lineRule="atLeast"/>
      <w:ind w:left="-6" w:leftChars="-50" w:firstLine="0" w:firstLineChars="0"/>
      <w:jc w:val="center"/>
    </w:pPr>
    <w:rPr>
      <w:rFonts w:eastAsia="宋体" w:cs="宋体"/>
      <w:sz w:val="18"/>
      <w:szCs w:val="20"/>
    </w:rPr>
  </w:style>
  <w:style w:type="paragraph" w:customStyle="1" w:styleId="3622">
    <w:name w:val="点项目"/>
    <w:qFormat/>
    <w:uiPriority w:val="0"/>
    <w:pPr>
      <w:tabs>
        <w:tab w:val="left" w:pos="550"/>
        <w:tab w:val="left" w:pos="874"/>
      </w:tabs>
      <w:adjustRightInd w:val="0"/>
      <w:snapToGrid w:val="0"/>
      <w:spacing w:before="240" w:line="240" w:lineRule="atLeast"/>
      <w:ind w:left="874" w:hanging="420"/>
      <w:jc w:val="both"/>
    </w:pPr>
    <w:rPr>
      <w:rFonts w:ascii="Times New Roman" w:hAnsi="Times New Roman" w:eastAsia="宋体" w:cs="Times New Roman"/>
      <w:b/>
      <w:spacing w:val="12"/>
      <w:sz w:val="24"/>
      <w:lang w:val="en-US" w:eastAsia="zh-CN" w:bidi="ar-SA"/>
    </w:rPr>
  </w:style>
  <w:style w:type="paragraph" w:customStyle="1" w:styleId="3623">
    <w:name w:val="公式样式1"/>
    <w:basedOn w:val="1"/>
    <w:qFormat/>
    <w:uiPriority w:val="0"/>
    <w:pPr>
      <w:adjustRightInd w:val="0"/>
      <w:snapToGrid w:val="0"/>
      <w:jc w:val="center"/>
    </w:pPr>
    <w:rPr>
      <w:rFonts w:ascii="仿宋_GB2312" w:eastAsia="仿宋_GB2312"/>
      <w:b/>
      <w:kern w:val="0"/>
      <w:szCs w:val="20"/>
    </w:rPr>
  </w:style>
  <w:style w:type="paragraph" w:customStyle="1" w:styleId="3624">
    <w:name w:val="Char Char1 Char Char Char Char Char Char Char Char Char Char Char Char Char Char Char Char3"/>
    <w:basedOn w:val="1"/>
    <w:next w:val="1"/>
    <w:qFormat/>
    <w:uiPriority w:val="0"/>
    <w:pPr>
      <w:spacing w:line="360" w:lineRule="auto"/>
      <w:ind w:firstLine="200" w:firstLineChars="200"/>
    </w:pPr>
    <w:rPr>
      <w:rFonts w:ascii="宋体" w:hAnsi="宋体" w:cs="宋体"/>
      <w:kern w:val="0"/>
      <w:sz w:val="34"/>
      <w:szCs w:val="20"/>
    </w:rPr>
  </w:style>
  <w:style w:type="paragraph" w:customStyle="1" w:styleId="3625">
    <w:name w:val="样式 样式 标题 3条标2Char标题 3 Char2 + 黑色 + 两端对齐"/>
    <w:basedOn w:val="406"/>
    <w:semiHidden/>
    <w:qFormat/>
    <w:uiPriority w:val="0"/>
    <w:pPr>
      <w:ind w:left="57" w:hanging="25"/>
      <w:jc w:val="both"/>
    </w:pPr>
    <w:rPr>
      <w:rFonts w:cs="宋体"/>
      <w:szCs w:val="20"/>
    </w:rPr>
  </w:style>
  <w:style w:type="paragraph" w:customStyle="1" w:styleId="3626">
    <w:name w:val="xl142"/>
    <w:basedOn w:val="1"/>
    <w:qFormat/>
    <w:uiPriority w:val="0"/>
    <w:pPr>
      <w:widowControl/>
      <w:pBdr>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627">
    <w:name w:val="公式注释2"/>
    <w:basedOn w:val="5"/>
    <w:qFormat/>
    <w:uiPriority w:val="0"/>
    <w:pPr>
      <w:adjustRightInd w:val="0"/>
      <w:snapToGrid w:val="0"/>
      <w:spacing w:after="0" w:line="360" w:lineRule="auto"/>
      <w:ind w:left="0" w:leftChars="0" w:firstLine="600" w:firstLineChars="600"/>
      <w:jc w:val="left"/>
    </w:pPr>
    <w:rPr>
      <w:rFonts w:ascii="宋体" w:hAnsi="宋体"/>
      <w:color w:val="000000"/>
      <w:sz w:val="20"/>
    </w:rPr>
  </w:style>
  <w:style w:type="paragraph" w:customStyle="1" w:styleId="3628">
    <w:name w:val="样式2 Char Char Char"/>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629">
    <w:name w:val="CM115"/>
    <w:basedOn w:val="2"/>
    <w:next w:val="2"/>
    <w:qFormat/>
    <w:uiPriority w:val="0"/>
    <w:pPr>
      <w:spacing w:after="300"/>
    </w:pPr>
    <w:rPr>
      <w:rFonts w:cs="Times New Roman"/>
      <w:color w:val="auto"/>
    </w:rPr>
  </w:style>
  <w:style w:type="paragraph" w:customStyle="1" w:styleId="3630">
    <w:name w:val="样式（大表格）"/>
    <w:basedOn w:val="1"/>
    <w:qFormat/>
    <w:uiPriority w:val="0"/>
    <w:pPr>
      <w:tabs>
        <w:tab w:val="left" w:pos="606"/>
      </w:tabs>
      <w:adjustRightInd w:val="0"/>
      <w:snapToGrid w:val="0"/>
      <w:spacing w:line="360" w:lineRule="auto"/>
      <w:ind w:left="606" w:hanging="576"/>
    </w:pPr>
    <w:rPr>
      <w:rFonts w:ascii="宋体"/>
      <w:b/>
      <w:color w:val="FF0000"/>
      <w:kern w:val="0"/>
      <w:sz w:val="34"/>
      <w:szCs w:val="20"/>
    </w:rPr>
  </w:style>
  <w:style w:type="paragraph" w:customStyle="1" w:styleId="3631">
    <w:name w:val="注1"/>
    <w:basedOn w:val="1"/>
    <w:qFormat/>
    <w:uiPriority w:val="0"/>
    <w:pPr>
      <w:overflowPunct w:val="0"/>
      <w:topLinePunct/>
      <w:jc w:val="center"/>
    </w:pPr>
    <w:rPr>
      <w:rFonts w:ascii="宋体"/>
      <w:b/>
      <w:kern w:val="0"/>
      <w:szCs w:val="21"/>
    </w:rPr>
  </w:style>
  <w:style w:type="paragraph" w:customStyle="1" w:styleId="3632">
    <w:name w:val="方块标志"/>
    <w:basedOn w:val="1969"/>
    <w:qFormat/>
    <w:uiPriority w:val="0"/>
    <w:pPr>
      <w:widowControl/>
      <w:numPr>
        <w:ilvl w:val="0"/>
        <w:numId w:val="89"/>
      </w:numPr>
      <w:tabs>
        <w:tab w:val="left" w:pos="902"/>
      </w:tabs>
      <w:adjustRightInd/>
      <w:snapToGrid/>
      <w:spacing w:line="240" w:lineRule="auto"/>
      <w:ind w:firstLine="0" w:firstLineChars="0"/>
      <w:jc w:val="left"/>
    </w:pPr>
    <w:rPr>
      <w:kern w:val="2"/>
      <w:sz w:val="24"/>
    </w:rPr>
  </w:style>
  <w:style w:type="paragraph" w:customStyle="1" w:styleId="3633">
    <w:name w:val="样式 燕山正文 + 首行缩进:  3.5 字符2"/>
    <w:basedOn w:val="1484"/>
    <w:qFormat/>
    <w:uiPriority w:val="0"/>
    <w:pPr>
      <w:ind w:firstLine="200"/>
      <w:jc w:val="both"/>
    </w:pPr>
    <w:rPr>
      <w:rFonts w:ascii="宋体" w:cs="宋体"/>
      <w:kern w:val="2"/>
      <w:sz w:val="28"/>
      <w:szCs w:val="20"/>
    </w:rPr>
  </w:style>
  <w:style w:type="paragraph" w:customStyle="1" w:styleId="3634">
    <w:name w:val="正文41"/>
    <w:basedOn w:val="1"/>
    <w:qFormat/>
    <w:uiPriority w:val="0"/>
    <w:pPr>
      <w:widowControl/>
      <w:overflowPunct w:val="0"/>
      <w:autoSpaceDE w:val="0"/>
      <w:autoSpaceDN w:val="0"/>
      <w:adjustRightInd w:val="0"/>
      <w:textAlignment w:val="baseline"/>
    </w:pPr>
    <w:rPr>
      <w:rFonts w:ascii="宋体"/>
      <w:kern w:val="0"/>
      <w:szCs w:val="20"/>
    </w:rPr>
  </w:style>
  <w:style w:type="paragraph" w:customStyle="1" w:styleId="3635">
    <w:name w:val="默认段落字体 Para Char Char Char Char Char Char"/>
    <w:basedOn w:val="1"/>
    <w:qFormat/>
    <w:uiPriority w:val="0"/>
    <w:rPr>
      <w:rFonts w:ascii="宋体"/>
      <w:kern w:val="0"/>
      <w:sz w:val="34"/>
      <w:szCs w:val="20"/>
    </w:rPr>
  </w:style>
  <w:style w:type="paragraph" w:customStyle="1" w:styleId="3636">
    <w:name w:val="样式表头"/>
    <w:basedOn w:val="1"/>
    <w:qFormat/>
    <w:uiPriority w:val="0"/>
    <w:pPr>
      <w:snapToGrid w:val="0"/>
      <w:spacing w:line="312" w:lineRule="auto"/>
      <w:jc w:val="center"/>
    </w:pPr>
    <w:rPr>
      <w:rFonts w:ascii="黑体" w:hAnsi="宋体" w:eastAsia="黑体"/>
      <w:b/>
      <w:bCs/>
      <w:spacing w:val="6"/>
      <w:kern w:val="0"/>
      <w:sz w:val="32"/>
      <w:szCs w:val="32"/>
    </w:rPr>
  </w:style>
  <w:style w:type="paragraph" w:customStyle="1" w:styleId="3637">
    <w:name w:val="Char Char Char Char1 Char Char Char"/>
    <w:basedOn w:val="1"/>
    <w:qFormat/>
    <w:uiPriority w:val="0"/>
    <w:rPr>
      <w:rFonts w:ascii="宋体"/>
      <w:kern w:val="0"/>
      <w:sz w:val="34"/>
      <w:szCs w:val="20"/>
    </w:rPr>
  </w:style>
  <w:style w:type="paragraph" w:customStyle="1" w:styleId="3638">
    <w:name w:val="样式 正文首行缩进 + 首行缩进:  0.56 厘米"/>
    <w:next w:val="48"/>
    <w:qFormat/>
    <w:uiPriority w:val="0"/>
    <w:pPr>
      <w:adjustRightInd w:val="0"/>
      <w:snapToGrid w:val="0"/>
      <w:spacing w:line="360" w:lineRule="auto"/>
      <w:ind w:hanging="900"/>
    </w:pPr>
    <w:rPr>
      <w:rFonts w:ascii="Times New Roman" w:hAnsi="宋体" w:eastAsia="宋体" w:cs="宋体"/>
      <w:b/>
      <w:kern w:val="28"/>
      <w:sz w:val="28"/>
      <w:szCs w:val="28"/>
      <w:lang w:val="en-US" w:eastAsia="zh-CN" w:bidi="ar-SA"/>
    </w:rPr>
  </w:style>
  <w:style w:type="paragraph" w:customStyle="1" w:styleId="3639">
    <w:name w:val="样式 俺的题目三 + 首行缩进:  2 字符"/>
    <w:basedOn w:val="2988"/>
    <w:semiHidden/>
    <w:qFormat/>
    <w:uiPriority w:val="0"/>
    <w:pPr>
      <w:spacing w:line="520" w:lineRule="exact"/>
      <w:ind w:firstLine="0" w:firstLineChars="0"/>
      <w:jc w:val="center"/>
    </w:pPr>
    <w:rPr>
      <w:rFonts w:cs="宋体"/>
      <w:sz w:val="30"/>
      <w:szCs w:val="30"/>
    </w:rPr>
  </w:style>
  <w:style w:type="paragraph" w:customStyle="1" w:styleId="3640">
    <w:name w:val="表内五号"/>
    <w:basedOn w:val="906"/>
    <w:semiHidden/>
    <w:qFormat/>
    <w:uiPriority w:val="0"/>
    <w:pPr>
      <w:overflowPunct/>
      <w:adjustRightInd/>
      <w:snapToGrid/>
      <w:spacing w:beforeLines="10" w:afterLines="10" w:line="240" w:lineRule="auto"/>
      <w:ind w:left="578" w:hanging="578"/>
      <w:textAlignment w:val="auto"/>
    </w:pPr>
    <w:rPr>
      <w:color w:val="auto"/>
      <w:kern w:val="2"/>
      <w:sz w:val="21"/>
      <w:szCs w:val="20"/>
      <w:lang w:val="en-US"/>
    </w:rPr>
  </w:style>
  <w:style w:type="paragraph" w:customStyle="1" w:styleId="3641">
    <w:name w:val="Char21"/>
    <w:basedOn w:val="1"/>
    <w:qFormat/>
    <w:uiPriority w:val="0"/>
    <w:pPr>
      <w:adjustRightInd w:val="0"/>
      <w:spacing w:line="360" w:lineRule="auto"/>
      <w:textAlignment w:val="baseline"/>
    </w:pPr>
    <w:rPr>
      <w:rFonts w:ascii="宋体"/>
      <w:kern w:val="0"/>
      <w:sz w:val="34"/>
      <w:szCs w:val="28"/>
    </w:rPr>
  </w:style>
  <w:style w:type="paragraph" w:customStyle="1" w:styleId="3642">
    <w:name w:val="xl56"/>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3643">
    <w:name w:val="CM58"/>
    <w:basedOn w:val="2"/>
    <w:next w:val="2"/>
    <w:semiHidden/>
    <w:qFormat/>
    <w:uiPriority w:val="0"/>
    <w:pPr>
      <w:adjustRightInd/>
    </w:pPr>
    <w:rPr>
      <w:rFonts w:hint="eastAsia" w:ascii="仿宋" w:hAnsi="仿宋" w:eastAsia="仿宋" w:cs="Times New Roman"/>
      <w:szCs w:val="20"/>
    </w:rPr>
  </w:style>
  <w:style w:type="paragraph" w:customStyle="1" w:styleId="3644">
    <w:name w:val="样式 nilo_正文 + 首行缩进:  0.74 厘米"/>
    <w:basedOn w:val="726"/>
    <w:qFormat/>
    <w:uiPriority w:val="0"/>
    <w:pPr>
      <w:spacing w:line="420" w:lineRule="exact"/>
      <w:ind w:firstLine="420"/>
    </w:pPr>
    <w:rPr>
      <w:rFonts w:cs="宋体"/>
      <w:sz w:val="24"/>
      <w:szCs w:val="24"/>
    </w:rPr>
  </w:style>
  <w:style w:type="paragraph" w:customStyle="1" w:styleId="3645">
    <w:name w:val="样式 封—单位名称 + 首行缩进:  2 字符"/>
    <w:basedOn w:val="3529"/>
    <w:qFormat/>
    <w:uiPriority w:val="0"/>
    <w:pPr>
      <w:ind w:firstLine="0" w:firstLineChars="0"/>
    </w:pPr>
    <w:rPr>
      <w:rFonts w:ascii="楷体_GB2312" w:hAnsi="华文仿宋" w:eastAsia="楷体_GB2312"/>
      <w:b/>
      <w:sz w:val="48"/>
      <w:szCs w:val="48"/>
    </w:rPr>
  </w:style>
  <w:style w:type="paragraph" w:customStyle="1" w:styleId="3646">
    <w:name w:val="16.9.4.1"/>
    <w:basedOn w:val="10"/>
    <w:qFormat/>
    <w:uiPriority w:val="0"/>
    <w:pPr>
      <w:widowControl w:val="0"/>
      <w:numPr>
        <w:numId w:val="90"/>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647">
    <w:name w:val="xl68"/>
    <w:basedOn w:val="1"/>
    <w:qFormat/>
    <w:uiPriority w:val="0"/>
    <w:pPr>
      <w:widowControl/>
      <w:pBdr>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648">
    <w:name w:val="zxl行距: 1.5 倍行距 首行缩进:  2 字符"/>
    <w:basedOn w:val="1"/>
    <w:next w:val="1"/>
    <w:qFormat/>
    <w:uiPriority w:val="0"/>
    <w:pPr>
      <w:spacing w:before="120" w:after="120" w:line="360" w:lineRule="auto"/>
      <w:ind w:left="578" w:firstLine="700" w:firstLineChars="250"/>
      <w:jc w:val="left"/>
    </w:pPr>
    <w:rPr>
      <w:rFonts w:ascii="宋体" w:hAnsi="宋体"/>
      <w:color w:val="000000"/>
      <w:kern w:val="0"/>
      <w:sz w:val="28"/>
      <w:szCs w:val="28"/>
    </w:rPr>
  </w:style>
  <w:style w:type="paragraph" w:customStyle="1" w:styleId="3649">
    <w:name w:val="10"/>
    <w:basedOn w:val="1"/>
    <w:qFormat/>
    <w:uiPriority w:val="0"/>
    <w:rPr>
      <w:rFonts w:ascii="宋体" w:hAnsi="Courier New"/>
      <w:kern w:val="0"/>
      <w:szCs w:val="20"/>
    </w:rPr>
  </w:style>
  <w:style w:type="paragraph" w:customStyle="1" w:styleId="3650">
    <w:name w:val="Char221"/>
    <w:basedOn w:val="1"/>
    <w:qFormat/>
    <w:uiPriority w:val="0"/>
    <w:pPr>
      <w:adjustRightInd w:val="0"/>
      <w:spacing w:line="360" w:lineRule="auto"/>
      <w:textAlignment w:val="baseline"/>
    </w:pPr>
    <w:rPr>
      <w:rFonts w:ascii="宋体"/>
      <w:kern w:val="0"/>
      <w:sz w:val="34"/>
      <w:szCs w:val="28"/>
    </w:rPr>
  </w:style>
  <w:style w:type="paragraph" w:customStyle="1" w:styleId="3651">
    <w:name w:val="样式 首行缩进:  0.77 厘米 行距: 1.5 倍行距"/>
    <w:basedOn w:val="1"/>
    <w:qFormat/>
    <w:uiPriority w:val="0"/>
    <w:pPr>
      <w:spacing w:line="360" w:lineRule="auto"/>
      <w:ind w:firstLine="435"/>
    </w:pPr>
    <w:rPr>
      <w:rFonts w:ascii="宋体" w:hAnsi="宋体" w:cs="宋体"/>
      <w:snapToGrid w:val="0"/>
      <w:kern w:val="0"/>
      <w:sz w:val="34"/>
      <w:szCs w:val="20"/>
    </w:rPr>
  </w:style>
  <w:style w:type="paragraph" w:customStyle="1" w:styleId="3652">
    <w:name w:val="样式 标题 11.标题 1H1Chapter Headline章chap + 黑体 三号 行距: 单倍行距"/>
    <w:basedOn w:val="7"/>
    <w:semiHidden/>
    <w:qFormat/>
    <w:uiPriority w:val="0"/>
    <w:pPr>
      <w:keepLines/>
      <w:numPr>
        <w:ilvl w:val="0"/>
        <w:numId w:val="91"/>
      </w:numPr>
      <w:tabs>
        <w:tab w:val="left" w:pos="425"/>
      </w:tabs>
      <w:overflowPunct/>
      <w:snapToGrid/>
      <w:spacing w:before="340" w:beforeLines="50" w:after="330" w:afterLines="50" w:line="360" w:lineRule="auto"/>
      <w:ind w:left="0" w:firstLine="0"/>
      <w:jc w:val="left"/>
    </w:pPr>
    <w:rPr>
      <w:rFonts w:ascii="黑体" w:hAnsi="宋体"/>
      <w:b w:val="0"/>
      <w:bCs w:val="0"/>
      <w:color w:val="auto"/>
      <w:sz w:val="36"/>
      <w:szCs w:val="32"/>
    </w:rPr>
  </w:style>
  <w:style w:type="paragraph" w:customStyle="1" w:styleId="3653">
    <w:name w:val="标记文字"/>
    <w:basedOn w:val="25"/>
    <w:qFormat/>
    <w:uiPriority w:val="0"/>
    <w:pPr>
      <w:ind w:left="200" w:hanging="200" w:hangingChars="200"/>
      <w:jc w:val="both"/>
    </w:pPr>
    <w:rPr>
      <w:rFonts w:ascii="Arial" w:hAnsi="Arial" w:eastAsia="黑体"/>
      <w:b w:val="0"/>
      <w:sz w:val="21"/>
    </w:rPr>
  </w:style>
  <w:style w:type="paragraph" w:customStyle="1" w:styleId="3654">
    <w:name w:val="CM32"/>
    <w:basedOn w:val="2"/>
    <w:next w:val="2"/>
    <w:semiHidden/>
    <w:qFormat/>
    <w:uiPriority w:val="0"/>
    <w:pPr>
      <w:adjustRightInd/>
    </w:pPr>
    <w:rPr>
      <w:rFonts w:hint="eastAsia" w:ascii="仿宋" w:hAnsi="仿宋" w:eastAsia="仿宋" w:cs="Times New Roman"/>
      <w:szCs w:val="20"/>
    </w:rPr>
  </w:style>
  <w:style w:type="paragraph" w:customStyle="1" w:styleId="3655">
    <w:name w:val="yzp-2级"/>
    <w:basedOn w:val="1"/>
    <w:qFormat/>
    <w:uiPriority w:val="0"/>
    <w:pPr>
      <w:numPr>
        <w:ilvl w:val="0"/>
        <w:numId w:val="92"/>
      </w:numPr>
      <w:tabs>
        <w:tab w:val="left" w:pos="0"/>
        <w:tab w:val="left" w:pos="726"/>
      </w:tabs>
      <w:spacing w:beforeLines="100" w:line="360" w:lineRule="auto"/>
      <w:jc w:val="left"/>
    </w:pPr>
    <w:rPr>
      <w:rFonts w:ascii="Calibri" w:hAnsi="Calibri" w:eastAsia="楷体"/>
      <w:b/>
      <w:kern w:val="0"/>
      <w:sz w:val="28"/>
      <w:szCs w:val="22"/>
    </w:rPr>
  </w:style>
  <w:style w:type="paragraph" w:customStyle="1" w:styleId="3656">
    <w:name w:val="样式 样式 样式 标题 2 + 段前: 0.5 行 段后: 0.5 行 + 段前: 0.5 行 段后: 0.5 行 + 段前: ..."/>
    <w:basedOn w:val="1"/>
    <w:qFormat/>
    <w:uiPriority w:val="0"/>
    <w:pPr>
      <w:keepNext/>
      <w:keepLines/>
      <w:adjustRightInd w:val="0"/>
      <w:snapToGrid w:val="0"/>
      <w:spacing w:beforeLines="50" w:afterLines="50" w:line="520" w:lineRule="exact"/>
      <w:jc w:val="left"/>
      <w:outlineLvl w:val="1"/>
    </w:pPr>
    <w:rPr>
      <w:rFonts w:ascii="宋体" w:eastAsia="黑体" w:cs="宋体"/>
      <w:spacing w:val="4"/>
      <w:kern w:val="0"/>
      <w:sz w:val="30"/>
      <w:szCs w:val="30"/>
    </w:rPr>
  </w:style>
  <w:style w:type="paragraph" w:customStyle="1" w:styleId="3657">
    <w:name w:val="Char Char1 Char Char Char Char"/>
    <w:basedOn w:val="1"/>
    <w:qFormat/>
    <w:uiPriority w:val="0"/>
    <w:pPr>
      <w:jc w:val="center"/>
    </w:pPr>
    <w:rPr>
      <w:rFonts w:ascii="宋体" w:hAnsi="宋体"/>
      <w:kern w:val="0"/>
      <w:sz w:val="18"/>
      <w:szCs w:val="20"/>
    </w:rPr>
  </w:style>
  <w:style w:type="paragraph" w:customStyle="1" w:styleId="3658">
    <w:name w:val="0-shiw-表格"/>
    <w:qFormat/>
    <w:uiPriority w:val="0"/>
    <w:pPr>
      <w:spacing w:line="300" w:lineRule="exact"/>
    </w:pPr>
    <w:rPr>
      <w:rFonts w:ascii="Times New Roman" w:hAnsi="Times New Roman" w:eastAsia="宋体" w:cs="Times New Roman"/>
      <w:kern w:val="2"/>
      <w:sz w:val="24"/>
      <w:szCs w:val="24"/>
      <w:lang w:val="en-US" w:eastAsia="zh-CN" w:bidi="ar-SA"/>
    </w:rPr>
  </w:style>
  <w:style w:type="paragraph" w:customStyle="1" w:styleId="3659">
    <w:name w:val="xl62"/>
    <w:basedOn w:val="1"/>
    <w:qFormat/>
    <w:uiPriority w:val="0"/>
    <w:pPr>
      <w:widowControl/>
      <w:pBdr>
        <w:left w:val="single" w:color="000000" w:sz="8" w:space="0"/>
        <w:bottom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3660">
    <w:name w:val="拉丁名"/>
    <w:basedOn w:val="1"/>
    <w:qFormat/>
    <w:uiPriority w:val="0"/>
    <w:pPr>
      <w:spacing w:line="360" w:lineRule="auto"/>
    </w:pPr>
    <w:rPr>
      <w:rFonts w:ascii="宋体"/>
      <w:i/>
      <w:iCs/>
      <w:kern w:val="0"/>
      <w:sz w:val="34"/>
      <w:szCs w:val="20"/>
    </w:rPr>
  </w:style>
  <w:style w:type="paragraph" w:customStyle="1" w:styleId="3661">
    <w:name w:val="WW-表格1"/>
    <w:basedOn w:val="1"/>
    <w:semiHidden/>
    <w:qFormat/>
    <w:uiPriority w:val="0"/>
    <w:pPr>
      <w:suppressAutoHyphens/>
      <w:snapToGrid w:val="0"/>
      <w:spacing w:before="20" w:after="20"/>
      <w:jc w:val="center"/>
    </w:pPr>
    <w:rPr>
      <w:rFonts w:ascii="宋体"/>
      <w:kern w:val="1"/>
      <w:szCs w:val="20"/>
      <w:lang w:eastAsia="ar-SA"/>
    </w:rPr>
  </w:style>
  <w:style w:type="paragraph" w:customStyle="1" w:styleId="3662">
    <w:name w:val="xl45"/>
    <w:basedOn w:val="1"/>
    <w:qFormat/>
    <w:uiPriority w:val="0"/>
    <w:pPr>
      <w:widowControl/>
      <w:pBdr>
        <w:top w:val="single" w:color="auto" w:sz="8" w:space="0"/>
        <w:left w:val="single" w:color="auto" w:sz="8"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663">
    <w:name w:val="表头居左"/>
    <w:basedOn w:val="3197"/>
    <w:qFormat/>
    <w:uiPriority w:val="0"/>
    <w:pPr>
      <w:spacing w:before="326" w:line="260" w:lineRule="exact"/>
      <w:ind w:firstLine="254"/>
      <w:jc w:val="both"/>
    </w:pPr>
  </w:style>
  <w:style w:type="paragraph" w:customStyle="1" w:styleId="3664">
    <w:name w:val="样式 样式 样式 正文首行缩进 + 首行缩进:  2 字符 + 首行缩进:  2 字符 + 首行缩进:  2 字符"/>
    <w:basedOn w:val="1"/>
    <w:semiHidden/>
    <w:qFormat/>
    <w:uiPriority w:val="0"/>
    <w:pPr>
      <w:widowControl/>
      <w:tabs>
        <w:tab w:val="left" w:pos="628"/>
        <w:tab w:val="left" w:pos="1727"/>
        <w:tab w:val="left" w:pos="1884"/>
        <w:tab w:val="left" w:pos="2660"/>
        <w:tab w:val="left" w:pos="5460"/>
      </w:tabs>
      <w:autoSpaceDE w:val="0"/>
      <w:snapToGrid w:val="0"/>
      <w:spacing w:before="120" w:after="120" w:line="360" w:lineRule="auto"/>
      <w:ind w:left="578" w:firstLine="200" w:firstLineChars="200"/>
      <w:jc w:val="left"/>
    </w:pPr>
    <w:rPr>
      <w:rFonts w:ascii="宋体" w:cs="宋体"/>
      <w:snapToGrid w:val="0"/>
      <w:color w:val="000000"/>
      <w:kern w:val="0"/>
      <w:sz w:val="28"/>
      <w:szCs w:val="20"/>
    </w:rPr>
  </w:style>
  <w:style w:type="paragraph" w:customStyle="1" w:styleId="3665">
    <w:name w:val="样式 标题 2 + 左侧:  -0.13 厘米 悬挂缩进: 0.84 字符 段前: 7.8 磅"/>
    <w:basedOn w:val="8"/>
    <w:qFormat/>
    <w:uiPriority w:val="0"/>
    <w:pPr>
      <w:widowControl w:val="0"/>
      <w:numPr>
        <w:ilvl w:val="0"/>
        <w:numId w:val="0"/>
      </w:numPr>
      <w:tabs>
        <w:tab w:val="left" w:pos="5355"/>
      </w:tabs>
      <w:adjustRightInd w:val="0"/>
      <w:snapToGrid w:val="0"/>
      <w:spacing w:before="260" w:beforeLines="50" w:after="260" w:afterLines="50"/>
      <w:jc w:val="both"/>
    </w:pPr>
    <w:rPr>
      <w:rFonts w:ascii="宋体" w:hAnsi="宋体" w:cs="Times New Roman"/>
      <w:b/>
      <w:bCs/>
      <w:sz w:val="24"/>
      <w:szCs w:val="20"/>
    </w:rPr>
  </w:style>
  <w:style w:type="paragraph" w:customStyle="1" w:styleId="3666">
    <w:name w:val="样式 表标题5.12 + 居中 段前: 1 行"/>
    <w:basedOn w:val="2459"/>
    <w:qFormat/>
    <w:uiPriority w:val="0"/>
    <w:pPr>
      <w:numPr>
        <w:ilvl w:val="0"/>
        <w:numId w:val="93"/>
      </w:numPr>
      <w:tabs>
        <w:tab w:val="clear" w:pos="4060"/>
        <w:tab w:val="clear" w:pos="8261"/>
      </w:tabs>
      <w:adjustRightInd/>
      <w:spacing w:beforeLines="0" w:line="240" w:lineRule="auto"/>
      <w:ind w:left="0" w:firstLine="0"/>
    </w:pPr>
    <w:rPr>
      <w:rFonts w:ascii="Times New Roman" w:eastAsia="宋体"/>
      <w:b w:val="0"/>
      <w:spacing w:val="0"/>
      <w:kern w:val="2"/>
      <w:sz w:val="21"/>
      <w:szCs w:val="21"/>
    </w:rPr>
  </w:style>
  <w:style w:type="paragraph" w:customStyle="1" w:styleId="3667">
    <w:name w:val="TOC 标题6"/>
    <w:basedOn w:val="7"/>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3668">
    <w:name w:val="列出段落9"/>
    <w:basedOn w:val="1"/>
    <w:qFormat/>
    <w:uiPriority w:val="34"/>
    <w:pPr>
      <w:adjustRightInd w:val="0"/>
      <w:snapToGrid w:val="0"/>
      <w:spacing w:line="360" w:lineRule="auto"/>
      <w:ind w:firstLine="420" w:firstLineChars="200"/>
    </w:pPr>
    <w:rPr>
      <w:sz w:val="24"/>
      <w:szCs w:val="22"/>
      <w:lang w:val="zh-CN"/>
    </w:rPr>
  </w:style>
  <w:style w:type="paragraph" w:customStyle="1" w:styleId="3669">
    <w:name w:val="5 Char"/>
    <w:basedOn w:val="1"/>
    <w:qFormat/>
    <w:uiPriority w:val="0"/>
    <w:rPr>
      <w:rFonts w:ascii="Tahoma" w:hAnsi="Tahoma"/>
      <w:kern w:val="0"/>
      <w:sz w:val="34"/>
      <w:szCs w:val="20"/>
    </w:rPr>
  </w:style>
  <w:style w:type="paragraph" w:customStyle="1" w:styleId="3670">
    <w:name w:val="样式 标题 2mystyle2style2 + 四号 非加粗 居中 行距: 多倍行距 1.73 字行"/>
    <w:basedOn w:val="8"/>
    <w:qFormat/>
    <w:uiPriority w:val="0"/>
    <w:pPr>
      <w:widowControl w:val="0"/>
      <w:numPr>
        <w:ilvl w:val="0"/>
        <w:numId w:val="0"/>
      </w:numPr>
      <w:spacing w:before="260" w:after="260" w:line="415" w:lineRule="auto"/>
      <w:jc w:val="center"/>
    </w:pPr>
    <w:rPr>
      <w:rFonts w:ascii="Arial" w:eastAsia="黑体" w:cs="Times New Roman"/>
      <w:sz w:val="28"/>
      <w:szCs w:val="20"/>
    </w:rPr>
  </w:style>
  <w:style w:type="paragraph" w:customStyle="1" w:styleId="3671">
    <w:name w:val="表格下注示"/>
    <w:basedOn w:val="1"/>
    <w:semiHidden/>
    <w:qFormat/>
    <w:uiPriority w:val="0"/>
    <w:pPr>
      <w:overflowPunct w:val="0"/>
      <w:adjustRightInd w:val="0"/>
      <w:spacing w:line="0" w:lineRule="atLeast"/>
      <w:textAlignment w:val="baseline"/>
    </w:pPr>
    <w:rPr>
      <w:rFonts w:ascii="宋体" w:cs="宋体"/>
      <w:color w:val="000000"/>
      <w:kern w:val="24"/>
      <w:sz w:val="18"/>
      <w:szCs w:val="20"/>
    </w:rPr>
  </w:style>
  <w:style w:type="paragraph" w:customStyle="1" w:styleId="3672">
    <w:name w:val="Char Char Char Char Char Char Char Char1 Char"/>
    <w:basedOn w:val="1"/>
    <w:qFormat/>
    <w:uiPriority w:val="0"/>
    <w:rPr>
      <w:rFonts w:ascii="宋体"/>
      <w:kern w:val="0"/>
      <w:szCs w:val="21"/>
    </w:rPr>
  </w:style>
  <w:style w:type="paragraph" w:customStyle="1" w:styleId="3673">
    <w:name w:val="样式2－表格"/>
    <w:basedOn w:val="1"/>
    <w:next w:val="1"/>
    <w:qFormat/>
    <w:uiPriority w:val="0"/>
    <w:pPr>
      <w:tabs>
        <w:tab w:val="left" w:pos="427"/>
      </w:tabs>
      <w:spacing w:line="360" w:lineRule="exact"/>
      <w:jc w:val="center"/>
      <w:textAlignment w:val="center"/>
    </w:pPr>
    <w:rPr>
      <w:rFonts w:ascii="宋体"/>
      <w:kern w:val="28"/>
      <w:szCs w:val="20"/>
    </w:rPr>
  </w:style>
  <w:style w:type="paragraph" w:customStyle="1" w:styleId="3674">
    <w:name w:val="样式 四号 首行缩进:  0.74 厘米 行距: 固定值 26 磅"/>
    <w:basedOn w:val="1"/>
    <w:qFormat/>
    <w:uiPriority w:val="0"/>
    <w:pPr>
      <w:spacing w:line="500" w:lineRule="exact"/>
      <w:ind w:firstLine="560" w:firstLineChars="200"/>
    </w:pPr>
    <w:rPr>
      <w:rFonts w:ascii="宋体" w:cs="宋体"/>
      <w:kern w:val="0"/>
      <w:sz w:val="28"/>
      <w:szCs w:val="20"/>
    </w:rPr>
  </w:style>
  <w:style w:type="paragraph" w:customStyle="1" w:styleId="3675">
    <w:name w:val="正文文本缩进6"/>
    <w:basedOn w:val="1"/>
    <w:qFormat/>
    <w:uiPriority w:val="0"/>
    <w:pPr>
      <w:spacing w:after="120"/>
      <w:ind w:left="420" w:leftChars="200"/>
    </w:pPr>
    <w:rPr>
      <w:rFonts w:ascii="Calibri" w:hAnsi="Calibri" w:eastAsia="仿宋"/>
      <w:kern w:val="0"/>
      <w:sz w:val="34"/>
      <w:szCs w:val="20"/>
    </w:rPr>
  </w:style>
  <w:style w:type="paragraph" w:customStyle="1" w:styleId="3676">
    <w:name w:val="表头文字—五号"/>
    <w:basedOn w:val="1572"/>
    <w:unhideWhenUsed/>
    <w:qFormat/>
    <w:uiPriority w:val="0"/>
    <w:rPr>
      <w:b/>
    </w:rPr>
  </w:style>
  <w:style w:type="paragraph" w:customStyle="1" w:styleId="3677">
    <w:name w:val="1节号"/>
    <w:basedOn w:val="8"/>
    <w:qFormat/>
    <w:uiPriority w:val="0"/>
    <w:pPr>
      <w:widowControl w:val="0"/>
      <w:numPr>
        <w:ilvl w:val="0"/>
        <w:numId w:val="0"/>
      </w:numPr>
      <w:topLinePunct/>
      <w:spacing w:before="260" w:beforeLines="50" w:line="520" w:lineRule="exact"/>
      <w:jc w:val="both"/>
      <w:textAlignment w:val="top"/>
    </w:pPr>
    <w:rPr>
      <w:rFonts w:ascii="宋体" w:hAnsi="宋体" w:cs="Times New Roman"/>
      <w:bCs/>
      <w:sz w:val="24"/>
    </w:rPr>
  </w:style>
  <w:style w:type="paragraph" w:customStyle="1" w:styleId="3678">
    <w:name w:val="总规-标题四"/>
    <w:basedOn w:val="1"/>
    <w:qFormat/>
    <w:uiPriority w:val="0"/>
    <w:pPr>
      <w:spacing w:line="360" w:lineRule="auto"/>
      <w:ind w:left="472"/>
      <w:jc w:val="left"/>
    </w:pPr>
    <w:rPr>
      <w:rFonts w:ascii="宋体" w:hAnsi="宋体" w:cs="宋体"/>
      <w:b/>
      <w:bCs/>
      <w:kern w:val="0"/>
      <w:sz w:val="34"/>
      <w:szCs w:val="20"/>
    </w:rPr>
  </w:style>
  <w:style w:type="paragraph" w:customStyle="1" w:styleId="3679">
    <w:name w:val="中文报告书样式2"/>
    <w:basedOn w:val="1"/>
    <w:qFormat/>
    <w:uiPriority w:val="0"/>
    <w:pPr>
      <w:adjustRightInd w:val="0"/>
      <w:snapToGrid w:val="0"/>
      <w:spacing w:before="60" w:after="120" w:line="480" w:lineRule="atLeast"/>
      <w:ind w:firstLine="567"/>
      <w:textAlignment w:val="baseline"/>
    </w:pPr>
    <w:rPr>
      <w:rFonts w:ascii="宋体"/>
      <w:kern w:val="24"/>
      <w:sz w:val="28"/>
      <w:szCs w:val="20"/>
    </w:rPr>
  </w:style>
  <w:style w:type="paragraph" w:customStyle="1" w:styleId="3680">
    <w:name w:val="正文（张）"/>
    <w:basedOn w:val="6"/>
    <w:next w:val="1"/>
    <w:qFormat/>
    <w:uiPriority w:val="0"/>
    <w:pPr>
      <w:widowControl w:val="0"/>
      <w:spacing w:line="360" w:lineRule="auto"/>
      <w:ind w:firstLine="200"/>
      <w:jc w:val="both"/>
    </w:pPr>
    <w:rPr>
      <w:rFonts w:ascii="Times New Roman" w:hAnsi="Times New Roman" w:cs="Times New Roman"/>
      <w:sz w:val="28"/>
      <w:szCs w:val="28"/>
    </w:rPr>
  </w:style>
  <w:style w:type="paragraph" w:customStyle="1" w:styleId="3681">
    <w:name w:val="Char Char Char Char Char Char Char Char Char2"/>
    <w:basedOn w:val="1"/>
    <w:qFormat/>
    <w:uiPriority w:val="0"/>
    <w:rPr>
      <w:rFonts w:ascii="宋体"/>
      <w:kern w:val="0"/>
      <w:sz w:val="34"/>
      <w:szCs w:val="20"/>
    </w:rPr>
  </w:style>
  <w:style w:type="paragraph" w:customStyle="1" w:styleId="3682">
    <w:name w:val="Char2 Char Char Char Char Char Char Char Char Char Char Char Char Char Char Char"/>
    <w:basedOn w:val="1"/>
    <w:qFormat/>
    <w:uiPriority w:val="0"/>
    <w:rPr>
      <w:rFonts w:ascii="宋体"/>
      <w:kern w:val="0"/>
      <w:sz w:val="34"/>
      <w:szCs w:val="20"/>
    </w:rPr>
  </w:style>
  <w:style w:type="paragraph" w:customStyle="1" w:styleId="368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684">
    <w:name w:val="正式文字"/>
    <w:basedOn w:val="48"/>
    <w:qFormat/>
    <w:uiPriority w:val="0"/>
    <w:pPr>
      <w:widowControl w:val="0"/>
      <w:spacing w:before="120" w:after="120"/>
      <w:ind w:firstLine="567"/>
      <w:jc w:val="both"/>
    </w:pPr>
    <w:rPr>
      <w:rFonts w:ascii="Times New Roman" w:hAnsi="Times New Roman" w:cs="Times New Roman"/>
      <w:sz w:val="28"/>
      <w:szCs w:val="20"/>
    </w:rPr>
  </w:style>
  <w:style w:type="paragraph" w:customStyle="1" w:styleId="3685">
    <w:name w:val="样式 样式 Times New Roman 小四 行距: 1.5 倍行距 + 左侧:  0 厘米 首行缩进:  0 厘米"/>
    <w:basedOn w:val="1"/>
    <w:qFormat/>
    <w:uiPriority w:val="0"/>
    <w:pPr>
      <w:pBdr>
        <w:top w:val="single" w:color="auto" w:sz="4" w:space="1"/>
      </w:pBdr>
      <w:spacing w:line="324" w:lineRule="auto"/>
      <w:ind w:firstLine="480" w:firstLineChars="200"/>
    </w:pPr>
    <w:rPr>
      <w:rFonts w:ascii="宋体"/>
      <w:kern w:val="0"/>
      <w:sz w:val="34"/>
      <w:szCs w:val="20"/>
    </w:rPr>
  </w:style>
  <w:style w:type="paragraph" w:customStyle="1" w:styleId="3686">
    <w:name w:val="Char Char Char Char Char Char Char Char Char1 Char Char Char Char Char Char1"/>
    <w:basedOn w:val="1"/>
    <w:qFormat/>
    <w:uiPriority w:val="0"/>
    <w:rPr>
      <w:rFonts w:ascii="宋体"/>
      <w:kern w:val="0"/>
      <w:szCs w:val="21"/>
    </w:rPr>
  </w:style>
  <w:style w:type="paragraph" w:customStyle="1" w:styleId="3687">
    <w:name w:val="编号(1)"/>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3688">
    <w:name w:val="样式 样式 标题 3标题 3 Char1标题 3 Char Char标题 3 Char + (符号) Times New Rom..."/>
    <w:basedOn w:val="1"/>
    <w:qFormat/>
    <w:uiPriority w:val="0"/>
    <w:pPr>
      <w:keepNext/>
      <w:keepLines/>
      <w:adjustRightInd w:val="0"/>
      <w:snapToGrid w:val="0"/>
      <w:spacing w:beforeLines="40" w:afterLines="40" w:line="360" w:lineRule="auto"/>
      <w:ind w:firstLine="200" w:firstLineChars="200"/>
      <w:outlineLvl w:val="2"/>
    </w:pPr>
    <w:rPr>
      <w:rFonts w:ascii="宋体" w:eastAsia="黑体" w:cs="宋体"/>
      <w:b/>
      <w:bCs/>
      <w:kern w:val="0"/>
      <w:sz w:val="34"/>
      <w:szCs w:val="20"/>
    </w:rPr>
  </w:style>
  <w:style w:type="paragraph" w:customStyle="1" w:styleId="3689">
    <w:name w:val="表内宋5中8"/>
    <w:basedOn w:val="1"/>
    <w:qFormat/>
    <w:uiPriority w:val="0"/>
    <w:pPr>
      <w:tabs>
        <w:tab w:val="left" w:pos="4680"/>
      </w:tabs>
      <w:adjustRightInd w:val="0"/>
      <w:snapToGrid w:val="0"/>
      <w:spacing w:before="100" w:beforeAutospacing="1" w:after="100" w:afterAutospacing="1"/>
      <w:ind w:left="578" w:hanging="578"/>
      <w:jc w:val="center"/>
    </w:pPr>
    <w:rPr>
      <w:rFonts w:ascii="宋体" w:hAnsi="宋体" w:cs="宋体"/>
      <w:color w:val="000000"/>
      <w:kern w:val="0"/>
      <w:szCs w:val="21"/>
    </w:rPr>
  </w:style>
  <w:style w:type="paragraph" w:customStyle="1" w:styleId="3690">
    <w:name w:val="Char3 Char Char Char Char Char Char Char Char Char Char Char Char Char Char Char Char Char Char Char Char Char Char Char Char Char2"/>
    <w:basedOn w:val="1"/>
    <w:qFormat/>
    <w:uiPriority w:val="0"/>
    <w:pPr>
      <w:spacing w:line="340" w:lineRule="exact"/>
      <w:ind w:firstLine="10" w:firstLineChars="4"/>
    </w:pPr>
    <w:rPr>
      <w:rFonts w:ascii="宋体"/>
      <w:kern w:val="0"/>
      <w:sz w:val="28"/>
      <w:szCs w:val="28"/>
    </w:rPr>
  </w:style>
  <w:style w:type="paragraph" w:customStyle="1" w:styleId="3691">
    <w:name w:val="环评正文"/>
    <w:basedOn w:val="1"/>
    <w:qFormat/>
    <w:uiPriority w:val="0"/>
    <w:pPr>
      <w:spacing w:before="60" w:after="60" w:line="400" w:lineRule="exact"/>
      <w:ind w:firstLine="200" w:firstLineChars="200"/>
    </w:pPr>
    <w:rPr>
      <w:rFonts w:ascii="宋体" w:eastAsia="仿宋_GB2312"/>
      <w:kern w:val="0"/>
      <w:sz w:val="34"/>
      <w:szCs w:val="20"/>
    </w:rPr>
  </w:style>
  <w:style w:type="paragraph" w:customStyle="1" w:styleId="3692">
    <w:name w:val="正文文本缩进4"/>
    <w:basedOn w:val="1"/>
    <w:qFormat/>
    <w:uiPriority w:val="0"/>
    <w:pPr>
      <w:spacing w:after="120"/>
      <w:ind w:left="420" w:leftChars="200"/>
    </w:pPr>
    <w:rPr>
      <w:rFonts w:ascii="Calibri" w:hAnsi="Calibri" w:eastAsia="仿宋"/>
      <w:kern w:val="0"/>
      <w:sz w:val="34"/>
      <w:szCs w:val="20"/>
    </w:rPr>
  </w:style>
  <w:style w:type="paragraph" w:customStyle="1" w:styleId="3693">
    <w:name w:val="Titre Instr. 2"/>
    <w:basedOn w:val="2369"/>
    <w:unhideWhenUsed/>
    <w:qFormat/>
    <w:uiPriority w:val="0"/>
    <w:pPr>
      <w:pBdr>
        <w:top w:val="none" w:color="auto" w:sz="0" w:space="0"/>
        <w:left w:val="none" w:color="auto" w:sz="0" w:space="0"/>
        <w:bottom w:val="none" w:color="auto" w:sz="0" w:space="0"/>
        <w:right w:val="none" w:color="auto" w:sz="0" w:space="0"/>
      </w:pBdr>
    </w:pPr>
  </w:style>
  <w:style w:type="paragraph" w:customStyle="1" w:styleId="3694">
    <w:name w:val="Char Char Char Char Char Char Char Char Char Char Char Char1 Char Char Char Char Char Char Char Char Char Char Char Char Char Char Char Char Char"/>
    <w:basedOn w:val="1"/>
    <w:qFormat/>
    <w:uiPriority w:val="0"/>
    <w:pPr>
      <w:spacing w:before="120" w:after="120"/>
      <w:ind w:left="578" w:hanging="578"/>
    </w:pPr>
    <w:rPr>
      <w:rFonts w:ascii="宋体"/>
      <w:kern w:val="0"/>
      <w:szCs w:val="20"/>
    </w:rPr>
  </w:style>
  <w:style w:type="paragraph" w:customStyle="1" w:styleId="3695">
    <w:name w:val="样式 首行缩进:  0.77 厘米 行距: 固定值 20 磅7"/>
    <w:basedOn w:val="1"/>
    <w:qFormat/>
    <w:uiPriority w:val="0"/>
    <w:pPr>
      <w:spacing w:line="360" w:lineRule="auto"/>
      <w:ind w:firstLine="480" w:firstLineChars="200"/>
    </w:pPr>
    <w:rPr>
      <w:rFonts w:ascii="宋体"/>
      <w:kern w:val="0"/>
      <w:sz w:val="34"/>
      <w:szCs w:val="20"/>
    </w:rPr>
  </w:style>
  <w:style w:type="paragraph" w:customStyle="1" w:styleId="3696">
    <w:name w:val="样式1 + 四号 居中"/>
    <w:basedOn w:val="1"/>
    <w:qFormat/>
    <w:uiPriority w:val="0"/>
    <w:pPr>
      <w:spacing w:line="336" w:lineRule="auto"/>
      <w:jc w:val="center"/>
    </w:pPr>
    <w:rPr>
      <w:rFonts w:ascii="宋体"/>
      <w:kern w:val="0"/>
      <w:sz w:val="28"/>
      <w:szCs w:val="20"/>
    </w:rPr>
  </w:style>
  <w:style w:type="paragraph" w:customStyle="1" w:styleId="3697">
    <w:name w:val="??¡ì???¡ì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3698">
    <w:name w:val="流程图"/>
    <w:basedOn w:val="37"/>
    <w:qFormat/>
    <w:uiPriority w:val="0"/>
    <w:pPr>
      <w:widowControl w:val="0"/>
      <w:snapToGrid/>
      <w:spacing w:before="120" w:after="120" w:line="240" w:lineRule="auto"/>
      <w:ind w:right="0" w:firstLine="567"/>
    </w:pPr>
    <w:rPr>
      <w:sz w:val="28"/>
    </w:rPr>
  </w:style>
  <w:style w:type="paragraph" w:customStyle="1" w:styleId="3699">
    <w:name w:val="标题3+居中"/>
    <w:basedOn w:val="9"/>
    <w:qFormat/>
    <w:uiPriority w:val="0"/>
    <w:pPr>
      <w:widowControl w:val="0"/>
      <w:numPr>
        <w:ilvl w:val="0"/>
        <w:numId w:val="0"/>
      </w:numPr>
      <w:tabs>
        <w:tab w:val="left" w:pos="1740"/>
      </w:tabs>
      <w:spacing w:line="240" w:lineRule="auto"/>
      <w:ind w:left="1740" w:hanging="420"/>
      <w:jc w:val="center"/>
      <w:textAlignment w:val="baseline"/>
    </w:pPr>
    <w:rPr>
      <w:rFonts w:cs="Times New Roman"/>
      <w:b/>
      <w:color w:val="FF0000"/>
      <w:sz w:val="24"/>
      <w:szCs w:val="24"/>
    </w:rPr>
  </w:style>
  <w:style w:type="paragraph" w:customStyle="1" w:styleId="3700">
    <w:name w:val="样式 列表 + 左侧:  0 厘米 悬挂缩进: 5.85 字符"/>
    <w:basedOn w:val="69"/>
    <w:qFormat/>
    <w:uiPriority w:val="0"/>
    <w:pPr>
      <w:widowControl w:val="0"/>
      <w:autoSpaceDE w:val="0"/>
      <w:autoSpaceDN w:val="0"/>
      <w:adjustRightInd w:val="0"/>
      <w:snapToGrid w:val="0"/>
      <w:spacing w:line="240" w:lineRule="auto"/>
      <w:ind w:left="-2" w:leftChars="-8" w:hanging="17" w:hangingChars="8"/>
      <w:contextualSpacing/>
    </w:pPr>
    <w:rPr>
      <w:rFonts w:ascii="宋体" w:hAnsi="宋体" w:eastAsia="宋体" w:cs="宋体"/>
      <w:szCs w:val="21"/>
      <w:lang w:val="zh-CN"/>
    </w:rPr>
  </w:style>
  <w:style w:type="paragraph" w:customStyle="1" w:styleId="3701">
    <w:name w:val="0-shiw-扉页编制单位和日期"/>
    <w:qFormat/>
    <w:uiPriority w:val="0"/>
    <w:pPr>
      <w:spacing w:line="480" w:lineRule="auto"/>
      <w:ind w:firstLine="840" w:firstLineChars="233"/>
    </w:pPr>
    <w:rPr>
      <w:rFonts w:ascii="宋体" w:hAnsi="Times New Roman" w:eastAsia="宋体" w:cs="Times New Roman"/>
      <w:b/>
      <w:kern w:val="2"/>
      <w:sz w:val="32"/>
      <w:szCs w:val="32"/>
      <w:lang w:val="en-US" w:eastAsia="zh-CN" w:bidi="ar-SA"/>
    </w:rPr>
  </w:style>
  <w:style w:type="paragraph" w:customStyle="1" w:styleId="3702">
    <w:name w:val="表内容"/>
    <w:basedOn w:val="1"/>
    <w:unhideWhenUsed/>
    <w:qFormat/>
    <w:uiPriority w:val="0"/>
    <w:pPr>
      <w:adjustRightInd w:val="0"/>
      <w:spacing w:before="60" w:after="60" w:line="312" w:lineRule="auto"/>
      <w:ind w:left="578" w:hanging="578"/>
      <w:jc w:val="center"/>
      <w:textAlignment w:val="baseline"/>
    </w:pPr>
    <w:rPr>
      <w:rFonts w:ascii="宋体"/>
      <w:kern w:val="0"/>
      <w:szCs w:val="20"/>
    </w:rPr>
  </w:style>
  <w:style w:type="paragraph" w:customStyle="1" w:styleId="3703">
    <w:name w:val="样式 目录 1 + 首行缩进:  2 字符"/>
    <w:basedOn w:val="62"/>
    <w:qFormat/>
    <w:uiPriority w:val="0"/>
    <w:pPr>
      <w:widowControl w:val="0"/>
      <w:tabs>
        <w:tab w:val="right" w:leader="dot" w:pos="9061"/>
        <w:tab w:val="clear" w:pos="8778"/>
      </w:tabs>
      <w:spacing w:before="120" w:after="120"/>
      <w:ind w:left="578" w:hanging="578" w:firstLineChars="200"/>
    </w:pPr>
    <w:rPr>
      <w:rFonts w:ascii="Times New Roman" w:hAnsi="Times New Roman"/>
      <w:bCs/>
      <w:caps/>
      <w:kern w:val="2"/>
      <w:sz w:val="32"/>
      <w:szCs w:val="20"/>
      <w:lang w:val="fr-FR"/>
    </w:rPr>
  </w:style>
  <w:style w:type="paragraph" w:customStyle="1" w:styleId="3704">
    <w:name w:val="表尾"/>
    <w:basedOn w:val="1"/>
    <w:qFormat/>
    <w:uiPriority w:val="0"/>
    <w:pPr>
      <w:tabs>
        <w:tab w:val="left" w:pos="1021"/>
      </w:tabs>
      <w:spacing w:line="160" w:lineRule="exact"/>
    </w:pPr>
    <w:rPr>
      <w:rFonts w:ascii="宋体"/>
      <w:kern w:val="0"/>
      <w:sz w:val="10"/>
      <w:szCs w:val="20"/>
    </w:rPr>
  </w:style>
  <w:style w:type="paragraph" w:customStyle="1" w:styleId="3705">
    <w:name w:val="Bullet 2"/>
    <w:basedOn w:val="1"/>
    <w:next w:val="1"/>
    <w:unhideWhenUsed/>
    <w:qFormat/>
    <w:uiPriority w:val="0"/>
    <w:pPr>
      <w:widowControl/>
      <w:tabs>
        <w:tab w:val="left" w:pos="855"/>
        <w:tab w:val="left" w:pos="1440"/>
      </w:tabs>
      <w:spacing w:before="120" w:after="120"/>
      <w:ind w:left="2880" w:hanging="375"/>
      <w:jc w:val="left"/>
    </w:pPr>
    <w:rPr>
      <w:rFonts w:ascii="Arial" w:hAnsi="Arial"/>
      <w:kern w:val="0"/>
      <w:sz w:val="20"/>
      <w:szCs w:val="20"/>
    </w:rPr>
  </w:style>
  <w:style w:type="paragraph" w:customStyle="1" w:styleId="3706">
    <w:name w:val="样式 样式 样式 样式 正文 首行缩进 + 首行缩进:  2 字符 行距: 单倍行距 + 首行缩进:  2 字符 + 小四 首行...3"/>
    <w:basedOn w:val="721"/>
    <w:unhideWhenUsed/>
    <w:qFormat/>
    <w:uiPriority w:val="0"/>
    <w:pPr>
      <w:ind w:firstLine="480"/>
    </w:pPr>
    <w:rPr>
      <w:color w:val="000000"/>
    </w:rPr>
  </w:style>
  <w:style w:type="paragraph" w:customStyle="1" w:styleId="3707">
    <w:name w:val="CM73"/>
    <w:basedOn w:val="2"/>
    <w:next w:val="2"/>
    <w:semiHidden/>
    <w:qFormat/>
    <w:uiPriority w:val="0"/>
    <w:pPr>
      <w:adjustRightInd/>
    </w:pPr>
    <w:rPr>
      <w:rFonts w:hint="eastAsia" w:ascii="仿宋" w:hAnsi="仿宋" w:eastAsia="仿宋" w:cs="Times New Roman"/>
      <w:szCs w:val="20"/>
    </w:rPr>
  </w:style>
  <w:style w:type="paragraph" w:customStyle="1" w:styleId="3708">
    <w:name w:val="font13"/>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709">
    <w:name w:val="样式 正文缩进 + 五号"/>
    <w:basedOn w:val="6"/>
    <w:qFormat/>
    <w:uiPriority w:val="0"/>
    <w:pPr>
      <w:overflowPunct w:val="0"/>
      <w:autoSpaceDE w:val="0"/>
      <w:autoSpaceDN w:val="0"/>
      <w:adjustRightInd w:val="0"/>
      <w:ind w:firstLine="0" w:firstLineChars="0"/>
      <w:textAlignment w:val="baseline"/>
    </w:pPr>
    <w:rPr>
      <w:rFonts w:ascii="Times New Roman" w:hAnsi="Times New Roman" w:cs="Times New Roman"/>
      <w:sz w:val="20"/>
      <w:szCs w:val="20"/>
    </w:rPr>
  </w:style>
  <w:style w:type="paragraph" w:customStyle="1" w:styleId="3710">
    <w:name w:val="默认段落字体 Para Char Char Char Char Char Char Char"/>
    <w:basedOn w:val="1"/>
    <w:qFormat/>
    <w:uiPriority w:val="0"/>
    <w:pPr>
      <w:adjustRightInd w:val="0"/>
      <w:spacing w:line="360" w:lineRule="auto"/>
      <w:textAlignment w:val="baseline"/>
    </w:pPr>
    <w:rPr>
      <w:rFonts w:ascii="宋体"/>
      <w:kern w:val="0"/>
      <w:sz w:val="34"/>
      <w:szCs w:val="20"/>
    </w:rPr>
  </w:style>
  <w:style w:type="paragraph" w:customStyle="1" w:styleId="3711">
    <w:name w:val="表小5"/>
    <w:basedOn w:val="1"/>
    <w:qFormat/>
    <w:uiPriority w:val="0"/>
    <w:pPr>
      <w:adjustRightInd w:val="0"/>
      <w:snapToGrid w:val="0"/>
      <w:jc w:val="center"/>
    </w:pPr>
    <w:rPr>
      <w:rFonts w:ascii="宋体"/>
      <w:kern w:val="0"/>
      <w:sz w:val="18"/>
      <w:szCs w:val="18"/>
    </w:rPr>
  </w:style>
  <w:style w:type="paragraph" w:customStyle="1" w:styleId="3712">
    <w:name w:val="样式 连云港标题2 + 首行缩进:  2 字符"/>
    <w:basedOn w:val="2023"/>
    <w:qFormat/>
    <w:uiPriority w:val="0"/>
    <w:pPr>
      <w:ind w:firstLine="643"/>
    </w:pPr>
    <w:rPr>
      <w:rFonts w:cs="宋体"/>
      <w:bCs/>
      <w:kern w:val="10"/>
    </w:rPr>
  </w:style>
  <w:style w:type="paragraph" w:customStyle="1" w:styleId="3713">
    <w:name w:val="5号表文"/>
    <w:qFormat/>
    <w:uiPriority w:val="0"/>
    <w:pPr>
      <w:kinsoku w:val="0"/>
      <w:jc w:val="both"/>
    </w:pPr>
    <w:rPr>
      <w:rFonts w:ascii="Times New Roman" w:hAnsi="Times New Roman" w:eastAsia="宋体" w:cs="Times New Roman"/>
      <w:snapToGrid w:val="0"/>
      <w:sz w:val="18"/>
      <w:szCs w:val="18"/>
      <w:lang w:val="en-US" w:eastAsia="zh-CN" w:bidi="ar-SA"/>
    </w:rPr>
  </w:style>
  <w:style w:type="paragraph" w:customStyle="1" w:styleId="3714">
    <w:name w:val="样式 正文文本 2 + 宋体 小四 黑色"/>
    <w:basedOn w:val="79"/>
    <w:qFormat/>
    <w:uiPriority w:val="0"/>
    <w:pPr>
      <w:widowControl w:val="0"/>
      <w:autoSpaceDE w:val="0"/>
      <w:autoSpaceDN w:val="0"/>
      <w:spacing w:line="312" w:lineRule="auto"/>
      <w:ind w:firstLine="420"/>
      <w:jc w:val="both"/>
    </w:pPr>
    <w:rPr>
      <w:rFonts w:cs="Times New Roman"/>
      <w:color w:val="000000"/>
      <w:szCs w:val="20"/>
    </w:rPr>
  </w:style>
  <w:style w:type="paragraph" w:customStyle="1" w:styleId="3715">
    <w:name w:val="正文二级"/>
    <w:basedOn w:val="1"/>
    <w:qFormat/>
    <w:uiPriority w:val="0"/>
    <w:pPr>
      <w:numPr>
        <w:ilvl w:val="0"/>
        <w:numId w:val="94"/>
      </w:numPr>
      <w:adjustRightInd w:val="0"/>
      <w:snapToGrid w:val="0"/>
      <w:spacing w:line="360" w:lineRule="auto"/>
      <w:ind w:firstLine="200" w:firstLineChars="200"/>
    </w:pPr>
    <w:rPr>
      <w:rFonts w:ascii="Calibri" w:hAnsi="Calibri"/>
      <w:kern w:val="0"/>
      <w:sz w:val="28"/>
      <w:szCs w:val="28"/>
      <w:lang w:val="zh-CN"/>
    </w:rPr>
  </w:style>
  <w:style w:type="paragraph" w:customStyle="1" w:styleId="3716">
    <w:name w:val="bg附录1标题"/>
    <w:basedOn w:val="1"/>
    <w:next w:val="1697"/>
    <w:qFormat/>
    <w:uiPriority w:val="0"/>
    <w:pPr>
      <w:pBdr>
        <w:top w:val="single" w:color="auto" w:sz="4" w:space="1"/>
      </w:pBdr>
      <w:spacing w:before="120"/>
      <w:ind w:firstLine="482"/>
      <w:outlineLvl w:val="2"/>
    </w:pPr>
    <w:rPr>
      <w:rFonts w:ascii="宋体" w:eastAsia="黑体"/>
      <w:kern w:val="0"/>
      <w:sz w:val="28"/>
      <w:szCs w:val="20"/>
    </w:rPr>
  </w:style>
  <w:style w:type="paragraph" w:customStyle="1" w:styleId="3717">
    <w:name w:val="字元 字元1"/>
    <w:basedOn w:val="1"/>
    <w:qFormat/>
    <w:uiPriority w:val="0"/>
    <w:pPr>
      <w:spacing w:before="280"/>
    </w:pPr>
    <w:rPr>
      <w:rFonts w:ascii="宋体"/>
      <w:kern w:val="0"/>
      <w:szCs w:val="20"/>
    </w:rPr>
  </w:style>
  <w:style w:type="paragraph" w:customStyle="1" w:styleId="3718">
    <w:name w:val="Style Heading 3 + Before:  0.5 line"/>
    <w:basedOn w:val="9"/>
    <w:qFormat/>
    <w:uiPriority w:val="0"/>
    <w:pPr>
      <w:keepNext w:val="0"/>
      <w:numPr>
        <w:numId w:val="0"/>
      </w:numPr>
      <w:spacing w:before="260" w:beforeLines="50" w:line="240" w:lineRule="auto"/>
    </w:pPr>
    <w:rPr>
      <w:bCs w:val="0"/>
      <w:sz w:val="24"/>
      <w:szCs w:val="20"/>
    </w:rPr>
  </w:style>
  <w:style w:type="paragraph" w:customStyle="1" w:styleId="3719">
    <w:name w:val="列出段落5"/>
    <w:basedOn w:val="1"/>
    <w:qFormat/>
    <w:uiPriority w:val="0"/>
    <w:pPr>
      <w:ind w:firstLine="420" w:firstLineChars="200"/>
    </w:pPr>
    <w:rPr>
      <w:rFonts w:ascii="Calibri" w:hAnsi="Calibri" w:cs="黑体"/>
      <w:kern w:val="0"/>
      <w:szCs w:val="22"/>
    </w:rPr>
  </w:style>
  <w:style w:type="paragraph" w:customStyle="1" w:styleId="3720">
    <w:name w:val="Char Char Char Char Char Char Char Char Char3"/>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3721">
    <w:name w:val="条文1"/>
    <w:basedOn w:val="10"/>
    <w:unhideWhenUsed/>
    <w:qFormat/>
    <w:uiPriority w:val="0"/>
    <w:pPr>
      <w:widowControl w:val="0"/>
      <w:numPr>
        <w:ilvl w:val="0"/>
        <w:numId w:val="0"/>
      </w:numPr>
      <w:adjustRightInd w:val="0"/>
      <w:spacing w:before="120" w:after="120" w:line="460" w:lineRule="exact"/>
      <w:ind w:left="907" w:hanging="425"/>
      <w:textAlignment w:val="baseline"/>
      <w:outlineLvl w:val="9"/>
    </w:pPr>
    <w:rPr>
      <w:rFonts w:ascii="宋体" w:hAnsi="宋体" w:eastAsia="黑体" w:cs="Times New Roman"/>
      <w:b w:val="0"/>
      <w:bCs w:val="0"/>
      <w:spacing w:val="3"/>
      <w:kern w:val="24"/>
      <w:sz w:val="20"/>
      <w:szCs w:val="20"/>
    </w:rPr>
  </w:style>
  <w:style w:type="paragraph" w:customStyle="1" w:styleId="3722">
    <w:name w:val="中心文件"/>
    <w:basedOn w:val="3232"/>
    <w:qFormat/>
    <w:uiPriority w:val="0"/>
    <w:pPr>
      <w:adjustRightInd/>
      <w:spacing w:before="120" w:after="120" w:line="240" w:lineRule="auto"/>
      <w:ind w:firstLine="567"/>
      <w:jc w:val="both"/>
      <w:textAlignment w:val="auto"/>
    </w:pPr>
    <w:rPr>
      <w:kern w:val="2"/>
      <w:sz w:val="28"/>
    </w:rPr>
  </w:style>
  <w:style w:type="paragraph" w:customStyle="1" w:styleId="3723">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3724">
    <w:name w:val="Char Char Char3"/>
    <w:basedOn w:val="1"/>
    <w:qFormat/>
    <w:uiPriority w:val="0"/>
    <w:rPr>
      <w:rFonts w:ascii="宋体"/>
      <w:kern w:val="0"/>
      <w:sz w:val="34"/>
      <w:szCs w:val="20"/>
    </w:rPr>
  </w:style>
  <w:style w:type="paragraph" w:customStyle="1" w:styleId="3725">
    <w:name w:val="样式 宋体 首行缩进:  2 字符 行距: 1.5 倍行距"/>
    <w:basedOn w:val="1"/>
    <w:qFormat/>
    <w:uiPriority w:val="0"/>
    <w:pPr>
      <w:spacing w:line="360" w:lineRule="auto"/>
      <w:ind w:firstLine="480" w:firstLineChars="200"/>
    </w:pPr>
    <w:rPr>
      <w:rFonts w:ascii="宋体"/>
      <w:kern w:val="0"/>
      <w:sz w:val="34"/>
      <w:szCs w:val="20"/>
    </w:rPr>
  </w:style>
  <w:style w:type="paragraph" w:customStyle="1" w:styleId="3726">
    <w:name w:val="注："/>
    <w:next w:val="213"/>
    <w:qFormat/>
    <w:uiPriority w:val="0"/>
    <w:pPr>
      <w:widowControl w:val="0"/>
      <w:numPr>
        <w:ilvl w:val="0"/>
        <w:numId w:val="95"/>
      </w:numPr>
      <w:tabs>
        <w:tab w:val="left" w:pos="1140"/>
      </w:tabs>
      <w:autoSpaceDE w:val="0"/>
      <w:autoSpaceDN w:val="0"/>
      <w:jc w:val="both"/>
    </w:pPr>
    <w:rPr>
      <w:rFonts w:ascii="宋体" w:hAnsi="Times New Roman" w:eastAsia="宋体" w:cs="Times New Roman"/>
      <w:sz w:val="18"/>
      <w:lang w:val="en-US" w:eastAsia="zh-CN" w:bidi="ar-SA"/>
    </w:rPr>
  </w:style>
  <w:style w:type="paragraph" w:customStyle="1" w:styleId="3727">
    <w:name w:val="表格 32"/>
    <w:basedOn w:val="1"/>
    <w:semiHidden/>
    <w:qFormat/>
    <w:uiPriority w:val="0"/>
    <w:pPr>
      <w:pBdr>
        <w:top w:val="single" w:color="auto" w:sz="4" w:space="1"/>
      </w:pBdr>
      <w:autoSpaceDE w:val="0"/>
      <w:autoSpaceDN w:val="0"/>
      <w:adjustRightInd w:val="0"/>
      <w:snapToGrid w:val="0"/>
      <w:jc w:val="center"/>
    </w:pPr>
    <w:rPr>
      <w:rFonts w:ascii="宋体" w:hAnsi="宋体"/>
      <w:bCs/>
      <w:kern w:val="0"/>
      <w:szCs w:val="20"/>
      <w:lang w:val="en-GB"/>
    </w:rPr>
  </w:style>
  <w:style w:type="paragraph" w:customStyle="1" w:styleId="3728">
    <w:name w:val="xl35"/>
    <w:basedOn w:val="1"/>
    <w:qFormat/>
    <w:uiPriority w:val="0"/>
    <w:pPr>
      <w:widowControl/>
      <w:pBdr>
        <w:bottom w:val="single" w:color="auto"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3729">
    <w:name w:val="样式 宋体 小四 行距: 1.5 倍行距"/>
    <w:basedOn w:val="1"/>
    <w:qFormat/>
    <w:uiPriority w:val="0"/>
    <w:pPr>
      <w:spacing w:line="360" w:lineRule="auto"/>
      <w:ind w:left="1" w:firstLine="478" w:firstLineChars="199"/>
    </w:pPr>
    <w:rPr>
      <w:rFonts w:ascii="宋体" w:hAnsi="宋体"/>
      <w:kern w:val="0"/>
      <w:sz w:val="34"/>
      <w:szCs w:val="20"/>
    </w:rPr>
  </w:style>
  <w:style w:type="paragraph" w:customStyle="1" w:styleId="3730">
    <w:name w:val="表格-小五"/>
    <w:basedOn w:val="3467"/>
    <w:unhideWhenUsed/>
    <w:qFormat/>
    <w:uiPriority w:val="0"/>
    <w:rPr>
      <w:sz w:val="18"/>
      <w:szCs w:val="18"/>
    </w:rPr>
  </w:style>
  <w:style w:type="paragraph" w:customStyle="1" w:styleId="3731">
    <w:name w:val="y表头"/>
    <w:basedOn w:val="37"/>
    <w:qFormat/>
    <w:uiPriority w:val="0"/>
    <w:pPr>
      <w:widowControl w:val="0"/>
      <w:tabs>
        <w:tab w:val="left" w:pos="900"/>
      </w:tabs>
      <w:adjustRightInd w:val="0"/>
      <w:snapToGrid/>
      <w:spacing w:before="0" w:after="0" w:line="240" w:lineRule="auto"/>
      <w:ind w:right="0"/>
      <w:jc w:val="center"/>
    </w:pPr>
    <w:rPr>
      <w:rFonts w:hAnsi="宋体" w:eastAsia="楷体_GB2312"/>
      <w:b/>
      <w:sz w:val="21"/>
    </w:rPr>
  </w:style>
  <w:style w:type="paragraph" w:customStyle="1" w:styleId="3732">
    <w:name w:val="图标标题"/>
    <w:basedOn w:val="1"/>
    <w:qFormat/>
    <w:uiPriority w:val="0"/>
    <w:pPr>
      <w:spacing w:beforeLines="20" w:afterLines="20" w:line="360" w:lineRule="auto"/>
      <w:ind w:firstLine="567"/>
      <w:jc w:val="center"/>
    </w:pPr>
    <w:rPr>
      <w:rFonts w:ascii="宋体"/>
      <w:b/>
      <w:kern w:val="0"/>
      <w:sz w:val="34"/>
      <w:szCs w:val="20"/>
    </w:rPr>
  </w:style>
  <w:style w:type="paragraph" w:customStyle="1" w:styleId="3733">
    <w:name w:val="样式 样式 宋体 小四 行距: 1.5 倍行距 + 首行缩进:  2 字符"/>
    <w:basedOn w:val="3729"/>
    <w:qFormat/>
    <w:uiPriority w:val="0"/>
    <w:pPr>
      <w:ind w:left="0" w:firstLine="480" w:firstLineChars="0"/>
    </w:pPr>
  </w:style>
  <w:style w:type="paragraph" w:customStyle="1" w:styleId="3734">
    <w:name w:val="???¡§?????¡§?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3735">
    <w:name w:val="样式 表格内文字 + 左侧:  -0.05 字符 首行缩进:  0.05 字符"/>
    <w:basedOn w:val="381"/>
    <w:semiHidden/>
    <w:qFormat/>
    <w:uiPriority w:val="0"/>
    <w:pPr>
      <w:pBdr>
        <w:top w:val="single" w:color="auto" w:sz="4" w:space="1"/>
      </w:pBdr>
      <w:kinsoku/>
      <w:wordWrap/>
      <w:overflowPunct/>
      <w:adjustRightInd w:val="0"/>
      <w:spacing w:line="240" w:lineRule="atLeast"/>
    </w:pPr>
    <w:rPr>
      <w:rFonts w:cs="宋体"/>
      <w:snapToGrid/>
      <w:spacing w:val="6"/>
      <w:sz w:val="21"/>
      <w:szCs w:val="21"/>
    </w:rPr>
  </w:style>
  <w:style w:type="paragraph" w:customStyle="1" w:styleId="3736">
    <w:name w:val="表 头"/>
    <w:basedOn w:val="1"/>
    <w:qFormat/>
    <w:uiPriority w:val="0"/>
    <w:pPr>
      <w:adjustRightInd w:val="0"/>
      <w:spacing w:before="120" w:after="120" w:line="360" w:lineRule="atLeast"/>
      <w:jc w:val="center"/>
    </w:pPr>
    <w:rPr>
      <w:rFonts w:ascii="宋体" w:eastAsia="黑体"/>
      <w:spacing w:val="10"/>
      <w:kern w:val="0"/>
      <w:sz w:val="34"/>
      <w:szCs w:val="20"/>
    </w:rPr>
  </w:style>
  <w:style w:type="paragraph" w:customStyle="1" w:styleId="3737">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738">
    <w:name w:val="xl119"/>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3739">
    <w:name w:val="ËÎÌå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3740">
    <w:name w:val="表内5S"/>
    <w:basedOn w:val="1"/>
    <w:qFormat/>
    <w:uiPriority w:val="0"/>
    <w:pPr>
      <w:pBdr>
        <w:top w:val="single" w:color="auto" w:sz="4" w:space="1"/>
      </w:pBdr>
      <w:spacing w:line="300" w:lineRule="atLeast"/>
      <w:jc w:val="center"/>
    </w:pPr>
    <w:rPr>
      <w:rFonts w:ascii="宋体" w:eastAsia="方正宋三简体"/>
      <w:kern w:val="0"/>
      <w:szCs w:val="20"/>
    </w:rPr>
  </w:style>
  <w:style w:type="paragraph" w:customStyle="1" w:styleId="3741">
    <w:name w:val="湛江结果表"/>
    <w:basedOn w:val="691"/>
    <w:qFormat/>
    <w:uiPriority w:val="0"/>
    <w:pPr>
      <w:spacing w:before="50" w:after="50"/>
      <w:outlineLvl w:val="4"/>
    </w:pPr>
  </w:style>
  <w:style w:type="paragraph" w:customStyle="1" w:styleId="3742">
    <w:name w:val="正文正"/>
    <w:basedOn w:val="1"/>
    <w:qFormat/>
    <w:uiPriority w:val="0"/>
    <w:pPr>
      <w:ind w:firstLine="560" w:firstLineChars="200"/>
    </w:pPr>
    <w:rPr>
      <w:rFonts w:ascii="宋体"/>
      <w:kern w:val="0"/>
      <w:sz w:val="34"/>
      <w:szCs w:val="20"/>
    </w:rPr>
  </w:style>
  <w:style w:type="paragraph" w:customStyle="1" w:styleId="3743">
    <w:name w:val="样式 行距: 1.5 倍行距"/>
    <w:basedOn w:val="1"/>
    <w:qFormat/>
    <w:uiPriority w:val="0"/>
    <w:pPr>
      <w:adjustRightInd w:val="0"/>
      <w:spacing w:before="120" w:after="120" w:line="360" w:lineRule="auto"/>
      <w:ind w:left="578" w:firstLine="200" w:firstLineChars="200"/>
      <w:textAlignment w:val="baseline"/>
    </w:pPr>
    <w:rPr>
      <w:rFonts w:ascii="宋体" w:cs="宋体"/>
      <w:kern w:val="0"/>
      <w:szCs w:val="20"/>
    </w:rPr>
  </w:style>
  <w:style w:type="paragraph" w:customStyle="1" w:styleId="3744">
    <w:name w:val="正文 + 小四"/>
    <w:basedOn w:val="1"/>
    <w:qFormat/>
    <w:uiPriority w:val="0"/>
    <w:pPr>
      <w:jc w:val="center"/>
    </w:pPr>
    <w:rPr>
      <w:rFonts w:ascii="宋体"/>
      <w:kern w:val="0"/>
      <w:sz w:val="34"/>
      <w:szCs w:val="20"/>
    </w:rPr>
  </w:style>
  <w:style w:type="paragraph" w:customStyle="1" w:styleId="3745">
    <w:name w:val="CM15"/>
    <w:basedOn w:val="2"/>
    <w:next w:val="2"/>
    <w:qFormat/>
    <w:uiPriority w:val="0"/>
    <w:pPr>
      <w:adjustRightInd/>
    </w:pPr>
    <w:rPr>
      <w:rFonts w:hint="eastAsia" w:ascii="仿宋" w:hAnsi="仿宋" w:eastAsia="仿宋" w:cs="Times New Roman"/>
      <w:szCs w:val="20"/>
    </w:rPr>
  </w:style>
  <w:style w:type="paragraph" w:customStyle="1" w:styleId="3746">
    <w:name w:val="样式 首行缩进:  1.06 厘米 行距: 固定值 30 磅"/>
    <w:basedOn w:val="1"/>
    <w:qFormat/>
    <w:uiPriority w:val="0"/>
    <w:pPr>
      <w:spacing w:line="520" w:lineRule="exact"/>
      <w:ind w:firstLine="601"/>
    </w:pPr>
    <w:rPr>
      <w:rFonts w:ascii="宋体" w:cs="宋体"/>
      <w:kern w:val="0"/>
      <w:sz w:val="28"/>
      <w:szCs w:val="20"/>
    </w:rPr>
  </w:style>
  <w:style w:type="paragraph" w:customStyle="1" w:styleId="3747">
    <w:name w:val="Char2 Char Char Char Char Char Char Char Char Char Char Char Char Char Char Char1"/>
    <w:basedOn w:val="1"/>
    <w:qFormat/>
    <w:uiPriority w:val="0"/>
    <w:rPr>
      <w:rFonts w:ascii="宋体"/>
      <w:kern w:val="0"/>
      <w:sz w:val="34"/>
      <w:szCs w:val="20"/>
    </w:rPr>
  </w:style>
  <w:style w:type="paragraph" w:customStyle="1" w:styleId="3748">
    <w:name w:val="编号圆圈数字"/>
    <w:basedOn w:val="1"/>
    <w:qFormat/>
    <w:uiPriority w:val="0"/>
    <w:pPr>
      <w:tabs>
        <w:tab w:val="left" w:pos="567"/>
      </w:tabs>
      <w:spacing w:line="360" w:lineRule="auto"/>
      <w:ind w:left="567" w:hanging="567"/>
    </w:pPr>
    <w:rPr>
      <w:rFonts w:ascii="宋体"/>
      <w:kern w:val="0"/>
      <w:sz w:val="34"/>
      <w:szCs w:val="20"/>
    </w:rPr>
  </w:style>
  <w:style w:type="paragraph" w:customStyle="1" w:styleId="3749">
    <w:name w:val="little"/>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750">
    <w:name w:val="样式 标题 51)项标5 Char标5标题 5 Char1) Char项 Char无序号，小四黑常规，空两字H..."/>
    <w:basedOn w:val="11"/>
    <w:qFormat/>
    <w:uiPriority w:val="0"/>
    <w:pPr>
      <w:numPr>
        <w:ilvl w:val="0"/>
        <w:numId w:val="0"/>
      </w:numPr>
      <w:spacing w:before="120" w:beforeLines="50" w:after="120" w:afterLines="50" w:line="360" w:lineRule="auto"/>
    </w:pPr>
    <w:rPr>
      <w:rFonts w:eastAsia="黑体"/>
      <w:kern w:val="44"/>
      <w:szCs w:val="20"/>
    </w:rPr>
  </w:style>
  <w:style w:type="paragraph" w:customStyle="1" w:styleId="3751">
    <w:name w:val="Char63"/>
    <w:basedOn w:val="1"/>
    <w:qFormat/>
    <w:uiPriority w:val="0"/>
    <w:rPr>
      <w:rFonts w:ascii="宋体"/>
      <w:kern w:val="0"/>
      <w:szCs w:val="21"/>
    </w:rPr>
  </w:style>
  <w:style w:type="paragraph" w:customStyle="1" w:styleId="3752">
    <w:name w:val="0-shiw-扉页主管"/>
    <w:qFormat/>
    <w:uiPriority w:val="0"/>
    <w:pPr>
      <w:tabs>
        <w:tab w:val="left" w:pos="5600"/>
      </w:tabs>
      <w:adjustRightInd w:val="0"/>
      <w:snapToGrid w:val="0"/>
      <w:spacing w:line="360" w:lineRule="auto"/>
      <w:ind w:left="800" w:leftChars="800"/>
      <w:jc w:val="both"/>
    </w:pPr>
    <w:rPr>
      <w:rFonts w:ascii="Times New Roman" w:hAnsi="Times New Roman" w:eastAsia="宋体" w:cs="Times New Roman"/>
      <w:kern w:val="2"/>
      <w:sz w:val="32"/>
      <w:szCs w:val="32"/>
      <w:lang w:val="en-US" w:eastAsia="zh-CN" w:bidi="ar-SA"/>
    </w:rPr>
  </w:style>
  <w:style w:type="paragraph" w:customStyle="1" w:styleId="3753">
    <w:name w:val="样式 标题 1 + 行距: 最小值 12 磅"/>
    <w:basedOn w:val="7"/>
    <w:semiHidden/>
    <w:qFormat/>
    <w:uiPriority w:val="0"/>
    <w:pPr>
      <w:keepNext w:val="0"/>
      <w:keepLines/>
      <w:overflowPunct/>
      <w:snapToGrid/>
      <w:spacing w:before="360" w:after="240" w:line="240" w:lineRule="atLeast"/>
      <w:ind w:left="0" w:firstLine="0"/>
      <w:jc w:val="center"/>
    </w:pPr>
    <w:rPr>
      <w:rFonts w:ascii="宋体" w:hAnsi="宋体" w:eastAsia="宋体" w:cs="宋体"/>
      <w:color w:val="auto"/>
      <w:sz w:val="32"/>
      <w:szCs w:val="32"/>
    </w:rPr>
  </w:style>
  <w:style w:type="paragraph" w:customStyle="1" w:styleId="3754">
    <w:name w:val="连云港标题4"/>
    <w:basedOn w:val="9"/>
    <w:qFormat/>
    <w:uiPriority w:val="0"/>
    <w:pPr>
      <w:widowControl w:val="0"/>
      <w:numPr>
        <w:ilvl w:val="0"/>
        <w:numId w:val="0"/>
      </w:numPr>
      <w:adjustRightInd w:val="0"/>
      <w:snapToGrid w:val="0"/>
      <w:jc w:val="both"/>
      <w:outlineLvl w:val="3"/>
    </w:pPr>
    <w:rPr>
      <w:rFonts w:cs="Times New Roman"/>
      <w:b/>
      <w:bCs w:val="0"/>
      <w:szCs w:val="20"/>
    </w:rPr>
  </w:style>
  <w:style w:type="paragraph" w:customStyle="1" w:styleId="3755">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3756">
    <w:name w:val="正式节"/>
    <w:basedOn w:val="48"/>
    <w:qFormat/>
    <w:uiPriority w:val="0"/>
    <w:pPr>
      <w:widowControl w:val="0"/>
      <w:spacing w:before="120" w:after="120"/>
      <w:ind w:firstLine="567"/>
      <w:jc w:val="both"/>
    </w:pPr>
    <w:rPr>
      <w:rFonts w:ascii="Times New Roman" w:hAnsi="Times New Roman" w:cs="Times New Roman"/>
      <w:sz w:val="28"/>
      <w:szCs w:val="20"/>
    </w:rPr>
  </w:style>
  <w:style w:type="paragraph" w:customStyle="1" w:styleId="3757">
    <w:name w:val="xl183"/>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758">
    <w:name w:val="纯文本6"/>
    <w:basedOn w:val="1"/>
    <w:qFormat/>
    <w:uiPriority w:val="0"/>
    <w:pPr>
      <w:autoSpaceDE w:val="0"/>
      <w:autoSpaceDN w:val="0"/>
      <w:adjustRightInd w:val="0"/>
      <w:spacing w:line="440" w:lineRule="atLeast"/>
      <w:ind w:firstLine="425"/>
      <w:textAlignment w:val="baseline"/>
    </w:pPr>
    <w:rPr>
      <w:rFonts w:ascii="宋体" w:hAnsi="Tms Rmn" w:eastAsia="仿宋_GB2312"/>
      <w:snapToGrid w:val="0"/>
      <w:kern w:val="0"/>
      <w:sz w:val="28"/>
      <w:szCs w:val="20"/>
    </w:rPr>
  </w:style>
  <w:style w:type="paragraph" w:customStyle="1" w:styleId="3759">
    <w:name w:val="新表头"/>
    <w:basedOn w:val="1"/>
    <w:qFormat/>
    <w:uiPriority w:val="0"/>
    <w:pPr>
      <w:adjustRightInd w:val="0"/>
      <w:snapToGrid w:val="0"/>
      <w:spacing w:before="240" w:line="312" w:lineRule="auto"/>
      <w:jc w:val="center"/>
    </w:pPr>
    <w:rPr>
      <w:rFonts w:ascii="黑体" w:hAnsi="宋体" w:eastAsia="黑体"/>
      <w:b/>
      <w:bCs/>
      <w:spacing w:val="6"/>
      <w:kern w:val="0"/>
      <w:sz w:val="32"/>
      <w:szCs w:val="20"/>
    </w:rPr>
  </w:style>
  <w:style w:type="paragraph" w:customStyle="1" w:styleId="3760">
    <w:name w:val="Char Char Char Char Char Char Char Char Char Char Char Char Char Char Char Char Char Char Char Char Char Char Char Char Char Char Char Char Char Char Char Char Char Char1"/>
    <w:basedOn w:val="1"/>
    <w:qFormat/>
    <w:uiPriority w:val="0"/>
    <w:rPr>
      <w:rFonts w:ascii="宋体"/>
      <w:kern w:val="0"/>
      <w:sz w:val="34"/>
      <w:szCs w:val="20"/>
    </w:rPr>
  </w:style>
  <w:style w:type="paragraph" w:customStyle="1" w:styleId="3761">
    <w:name w:val="Char Char Char Char5"/>
    <w:basedOn w:val="29"/>
    <w:qFormat/>
    <w:uiPriority w:val="0"/>
    <w:pPr>
      <w:widowControl/>
      <w:shd w:val="clear" w:color="auto" w:fill="000080"/>
      <w:adjustRightInd w:val="0"/>
      <w:snapToGrid w:val="0"/>
      <w:spacing w:line="360" w:lineRule="auto"/>
      <w:jc w:val="left"/>
    </w:pPr>
    <w:rPr>
      <w:rFonts w:ascii="Tahoma" w:hAnsi="Tahoma" w:cs="宋体"/>
      <w:kern w:val="0"/>
      <w:sz w:val="20"/>
      <w:szCs w:val="20"/>
    </w:rPr>
  </w:style>
  <w:style w:type="paragraph" w:customStyle="1" w:styleId="3762">
    <w:name w:val="表中正文"/>
    <w:basedOn w:val="1"/>
    <w:qFormat/>
    <w:uiPriority w:val="0"/>
    <w:pPr>
      <w:overflowPunct w:val="0"/>
      <w:autoSpaceDE w:val="0"/>
      <w:autoSpaceDN w:val="0"/>
      <w:adjustRightInd w:val="0"/>
      <w:snapToGrid w:val="0"/>
      <w:spacing w:line="300" w:lineRule="atLeast"/>
      <w:ind w:firstLine="200" w:firstLineChars="200"/>
    </w:pPr>
    <w:rPr>
      <w:rFonts w:ascii="宋体"/>
      <w:kern w:val="0"/>
      <w:sz w:val="26"/>
      <w:szCs w:val="20"/>
    </w:rPr>
  </w:style>
  <w:style w:type="paragraph" w:customStyle="1" w:styleId="3763">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6"/>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764">
    <w:name w:val="UserStyle_12"/>
    <w:basedOn w:val="1"/>
    <w:qFormat/>
    <w:uiPriority w:val="0"/>
    <w:pPr>
      <w:textAlignment w:val="baseline"/>
    </w:pPr>
    <w:rPr>
      <w:sz w:val="24"/>
    </w:rPr>
  </w:style>
  <w:style w:type="paragraph" w:customStyle="1" w:styleId="3765">
    <w:name w:val="样式 样式 样式 样式 样式 样式 样式 (中文) 黑体 小四 首行缩进:  2 字符 行距: 固定值 22 磅 + 段前: 0...2"/>
    <w:basedOn w:val="1"/>
    <w:qFormat/>
    <w:uiPriority w:val="0"/>
    <w:pPr>
      <w:numPr>
        <w:ilvl w:val="0"/>
        <w:numId w:val="14"/>
      </w:numPr>
      <w:spacing w:beforeLines="50" w:afterLines="50" w:line="440" w:lineRule="exact"/>
      <w:ind w:firstLine="567"/>
    </w:pPr>
    <w:rPr>
      <w:rFonts w:ascii="黑体" w:hAnsi="宋体" w:eastAsia="黑体" w:cs="宋体"/>
      <w:b/>
      <w:bCs/>
      <w:kern w:val="0"/>
      <w:sz w:val="28"/>
      <w:szCs w:val="20"/>
    </w:rPr>
  </w:style>
  <w:style w:type="paragraph" w:customStyle="1" w:styleId="3766">
    <w:name w:val="封面工程名"/>
    <w:basedOn w:val="1"/>
    <w:qFormat/>
    <w:uiPriority w:val="0"/>
    <w:pPr>
      <w:adjustRightInd w:val="0"/>
      <w:snapToGrid w:val="0"/>
      <w:spacing w:line="360" w:lineRule="auto"/>
      <w:jc w:val="center"/>
    </w:pPr>
    <w:rPr>
      <w:rFonts w:ascii="宋体"/>
      <w:b/>
      <w:bCs/>
      <w:snapToGrid w:val="0"/>
      <w:kern w:val="0"/>
      <w:sz w:val="44"/>
      <w:szCs w:val="20"/>
    </w:rPr>
  </w:style>
  <w:style w:type="paragraph" w:customStyle="1" w:styleId="3767">
    <w:name w:val="LNG－标题2"/>
    <w:basedOn w:val="1"/>
    <w:qFormat/>
    <w:uiPriority w:val="0"/>
    <w:pPr>
      <w:numPr>
        <w:ilvl w:val="1"/>
        <w:numId w:val="96"/>
      </w:numPr>
      <w:tabs>
        <w:tab w:val="left" w:pos="726"/>
        <w:tab w:val="left" w:pos="747"/>
      </w:tabs>
      <w:spacing w:line="360" w:lineRule="auto"/>
      <w:ind w:firstLine="567"/>
    </w:pPr>
    <w:rPr>
      <w:rFonts w:ascii="宋体"/>
      <w:b/>
      <w:kern w:val="0"/>
      <w:sz w:val="28"/>
      <w:szCs w:val="28"/>
    </w:rPr>
  </w:style>
  <w:style w:type="paragraph" w:customStyle="1" w:styleId="3768">
    <w:name w:val="样式 楷体_GB2312 居中"/>
    <w:basedOn w:val="1"/>
    <w:qFormat/>
    <w:uiPriority w:val="0"/>
    <w:pPr>
      <w:spacing w:line="360" w:lineRule="auto"/>
      <w:jc w:val="center"/>
    </w:pPr>
    <w:rPr>
      <w:rFonts w:ascii="楷体_GB2312" w:eastAsia="楷体_GB2312"/>
      <w:kern w:val="0"/>
      <w:szCs w:val="20"/>
    </w:rPr>
  </w:style>
  <w:style w:type="paragraph" w:customStyle="1" w:styleId="3769">
    <w:name w:val="表格中"/>
    <w:basedOn w:val="69"/>
    <w:qFormat/>
    <w:uiPriority w:val="0"/>
    <w:pPr>
      <w:widowControl w:val="0"/>
      <w:spacing w:beforeLines="50" w:after="120" w:line="240" w:lineRule="auto"/>
      <w:ind w:left="578" w:hanging="578"/>
      <w:outlineLvl w:val="5"/>
    </w:pPr>
    <w:rPr>
      <w:rFonts w:hint="eastAsia" w:ascii="黑体" w:hAnsi="Times New Roman" w:eastAsia="黑体"/>
      <w:kern w:val="0"/>
      <w:sz w:val="24"/>
      <w:szCs w:val="24"/>
    </w:rPr>
  </w:style>
  <w:style w:type="paragraph" w:customStyle="1" w:styleId="3770">
    <w:name w:val="样式 样式 样式 样式 标题 21.1标题 21.1标题2标题 2 Char1节标2_Heading 2一级条二级标题，黑粗，...."/>
    <w:basedOn w:val="1"/>
    <w:qFormat/>
    <w:uiPriority w:val="0"/>
    <w:pPr>
      <w:keepNext/>
      <w:widowControl/>
      <w:numPr>
        <w:ilvl w:val="1"/>
        <w:numId w:val="20"/>
      </w:numPr>
      <w:tabs>
        <w:tab w:val="left" w:pos="576"/>
        <w:tab w:val="left" w:pos="726"/>
      </w:tabs>
      <w:snapToGrid w:val="0"/>
      <w:spacing w:beforeLines="50" w:afterLines="50"/>
      <w:ind w:firstLine="567"/>
      <w:outlineLvl w:val="1"/>
    </w:pPr>
    <w:rPr>
      <w:rFonts w:ascii="黑体" w:hAnsi="Arial" w:eastAsia="黑体" w:cs="宋体"/>
      <w:color w:val="000000"/>
      <w:kern w:val="24"/>
      <w:sz w:val="28"/>
      <w:szCs w:val="20"/>
      <w:lang w:val="zh-CN"/>
    </w:rPr>
  </w:style>
  <w:style w:type="paragraph" w:customStyle="1" w:styleId="3771">
    <w:name w:val="样式 正文首行缩进 + 段后: 0 磅 行距: 固定值 24 磅"/>
    <w:basedOn w:val="43"/>
    <w:qFormat/>
    <w:uiPriority w:val="0"/>
    <w:pPr>
      <w:widowControl w:val="0"/>
      <w:spacing w:after="0" w:line="324" w:lineRule="auto"/>
      <w:ind w:firstLine="194" w:firstLineChars="194"/>
      <w:jc w:val="both"/>
    </w:pPr>
    <w:rPr>
      <w:rFonts w:ascii="Times New Roman" w:cs="Times New Roman"/>
      <w:spacing w:val="8"/>
      <w:kern w:val="2"/>
      <w:sz w:val="21"/>
      <w:lang w:val="fr-FR"/>
    </w:rPr>
  </w:style>
  <w:style w:type="paragraph" w:customStyle="1" w:styleId="3772">
    <w:name w:val="样式 样式 样式 标题 3 + 首行缩进:  2 字符 + 首行缩进:  2 字符 + 首行缩进:  2 字符"/>
    <w:basedOn w:val="1"/>
    <w:qFormat/>
    <w:uiPriority w:val="0"/>
    <w:pPr>
      <w:keepNext/>
      <w:keepLines/>
      <w:spacing w:before="120" w:after="120" w:line="360" w:lineRule="auto"/>
      <w:ind w:left="578" w:hanging="578"/>
      <w:outlineLvl w:val="2"/>
    </w:pPr>
    <w:rPr>
      <w:rFonts w:ascii="宋体"/>
      <w:kern w:val="0"/>
      <w:sz w:val="34"/>
      <w:szCs w:val="20"/>
    </w:rPr>
  </w:style>
  <w:style w:type="paragraph" w:customStyle="1" w:styleId="3773">
    <w:name w:val="Char Char16"/>
    <w:basedOn w:val="1"/>
    <w:next w:val="1"/>
    <w:qFormat/>
    <w:uiPriority w:val="0"/>
    <w:pPr>
      <w:spacing w:line="360" w:lineRule="auto"/>
      <w:ind w:firstLine="200" w:firstLineChars="200"/>
    </w:pPr>
    <w:rPr>
      <w:rFonts w:ascii="宋体"/>
      <w:kern w:val="0"/>
      <w:szCs w:val="20"/>
    </w:rPr>
  </w:style>
  <w:style w:type="paragraph" w:customStyle="1" w:styleId="3774">
    <w:name w:val="表格两端对齐"/>
    <w:basedOn w:val="1141"/>
    <w:qFormat/>
    <w:uiPriority w:val="0"/>
    <w:pPr>
      <w:spacing w:before="0" w:after="0"/>
      <w:ind w:firstLine="0"/>
    </w:pPr>
    <w:rPr>
      <w:rFonts w:ascii="宋体" w:hAnsi="宋体"/>
      <w:bCs/>
      <w:sz w:val="21"/>
      <w:szCs w:val="21"/>
    </w:rPr>
  </w:style>
  <w:style w:type="paragraph" w:customStyle="1" w:styleId="3775">
    <w:name w:val="_point"/>
    <w:unhideWhenUsed/>
    <w:qFormat/>
    <w:uiPriority w:val="0"/>
    <w:pPr>
      <w:spacing w:before="120" w:after="120"/>
      <w:ind w:left="1418" w:hanging="284"/>
      <w:jc w:val="both"/>
    </w:pPr>
    <w:rPr>
      <w:rFonts w:ascii="Times New Roman" w:hAnsi="Times New Roman" w:eastAsia="宋体" w:cs="Times New Roman"/>
      <w:sz w:val="24"/>
      <w:lang w:val="en-US" w:eastAsia="zh-CN" w:bidi="ar-SA"/>
    </w:rPr>
  </w:style>
  <w:style w:type="paragraph" w:customStyle="1" w:styleId="3776">
    <w:name w:val="条文"/>
    <w:basedOn w:val="11"/>
    <w:next w:val="1"/>
    <w:qFormat/>
    <w:uiPriority w:val="0"/>
    <w:pPr>
      <w:keepNext w:val="0"/>
      <w:keepLines w:val="0"/>
      <w:widowControl w:val="0"/>
      <w:numPr>
        <w:ilvl w:val="0"/>
        <w:numId w:val="0"/>
      </w:numPr>
      <w:spacing w:before="0" w:after="0" w:line="377" w:lineRule="auto"/>
      <w:ind w:firstLine="454"/>
    </w:pPr>
    <w:rPr>
      <w:rFonts w:cs="Times New Roman"/>
      <w:b w:val="0"/>
      <w:bCs w:val="0"/>
      <w:sz w:val="24"/>
      <w:szCs w:val="20"/>
    </w:rPr>
  </w:style>
  <w:style w:type="paragraph" w:customStyle="1" w:styleId="3777">
    <w:name w:val="样式 正文首行缩进 + 首行缩进:  1 字符"/>
    <w:basedOn w:val="43"/>
    <w:qFormat/>
    <w:uiPriority w:val="0"/>
    <w:pPr>
      <w:widowControl w:val="0"/>
      <w:spacing w:before="120" w:line="500" w:lineRule="exact"/>
      <w:ind w:left="578" w:firstLine="200" w:firstLineChars="200"/>
      <w:jc w:val="both"/>
    </w:pPr>
    <w:rPr>
      <w:rFonts w:ascii="Times New Roman" w:hAnsi="Times New Roman" w:cs="Times New Roman"/>
      <w:kern w:val="2"/>
      <w:sz w:val="21"/>
      <w:lang w:val="fr-FR"/>
    </w:rPr>
  </w:style>
  <w:style w:type="paragraph" w:customStyle="1" w:styleId="377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779">
    <w:name w:val="二级标题1"/>
    <w:basedOn w:val="1620"/>
    <w:qFormat/>
    <w:uiPriority w:val="0"/>
    <w:pPr>
      <w:spacing w:before="15" w:after="15"/>
      <w:ind w:firstLine="482"/>
      <w:jc w:val="both"/>
    </w:pPr>
    <w:rPr>
      <w:rFonts w:ascii="Times New Roman" w:eastAsia="宋体"/>
      <w:b/>
    </w:rPr>
  </w:style>
  <w:style w:type="paragraph" w:customStyle="1" w:styleId="3780">
    <w:name w:val="Char Char19 Char Char1"/>
    <w:basedOn w:val="1"/>
    <w:qFormat/>
    <w:uiPriority w:val="0"/>
    <w:pPr>
      <w:spacing w:line="360" w:lineRule="auto"/>
      <w:ind w:firstLine="200" w:firstLineChars="200"/>
    </w:pPr>
    <w:rPr>
      <w:rFonts w:ascii="宋体"/>
      <w:kern w:val="0"/>
      <w:szCs w:val="21"/>
    </w:rPr>
  </w:style>
  <w:style w:type="paragraph" w:customStyle="1" w:styleId="3781">
    <w:name w:val="xl178"/>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782">
    <w:name w:val="CM34"/>
    <w:basedOn w:val="2"/>
    <w:next w:val="2"/>
    <w:semiHidden/>
    <w:qFormat/>
    <w:uiPriority w:val="0"/>
    <w:pPr>
      <w:adjustRightInd/>
    </w:pPr>
    <w:rPr>
      <w:rFonts w:hint="eastAsia" w:ascii="仿宋" w:hAnsi="仿宋" w:eastAsia="仿宋" w:cs="Times New Roman"/>
      <w:szCs w:val="20"/>
    </w:rPr>
  </w:style>
  <w:style w:type="paragraph" w:customStyle="1" w:styleId="3783">
    <w:name w:val="xl37"/>
    <w:basedOn w:val="1"/>
    <w:qFormat/>
    <w:uiPriority w:val="0"/>
    <w:pPr>
      <w:widowControl/>
      <w:pBdr>
        <w:top w:val="single" w:color="000000" w:sz="8" w:space="0"/>
        <w:lef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784">
    <w:name w:val="默认段落字体 Para Char"/>
    <w:basedOn w:val="1"/>
    <w:qFormat/>
    <w:uiPriority w:val="0"/>
    <w:rPr>
      <w:rFonts w:ascii="宋体"/>
      <w:kern w:val="0"/>
      <w:sz w:val="34"/>
      <w:szCs w:val="20"/>
    </w:rPr>
  </w:style>
  <w:style w:type="paragraph" w:customStyle="1" w:styleId="3785">
    <w:name w:val="xl83"/>
    <w:basedOn w:val="1"/>
    <w:qFormat/>
    <w:uiPriority w:val="0"/>
    <w:pPr>
      <w:widowControl/>
      <w:pBdr>
        <w:left w:val="single" w:color="auto" w:sz="8" w:space="0"/>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3786">
    <w:name w:val="Char2 Char Char12"/>
    <w:basedOn w:val="1"/>
    <w:qFormat/>
    <w:uiPriority w:val="0"/>
    <w:rPr>
      <w:rFonts w:ascii="宋体"/>
      <w:kern w:val="0"/>
      <w:sz w:val="34"/>
      <w:szCs w:val="20"/>
    </w:rPr>
  </w:style>
  <w:style w:type="paragraph" w:customStyle="1" w:styleId="3787">
    <w:name w:val="列表1"/>
    <w:basedOn w:val="1"/>
    <w:qFormat/>
    <w:uiPriority w:val="0"/>
    <w:pPr>
      <w:spacing w:line="360" w:lineRule="exact"/>
      <w:jc w:val="center"/>
    </w:pPr>
    <w:rPr>
      <w:rFonts w:ascii="仿宋_GB2312" w:eastAsia="仿宋_GB2312"/>
      <w:kern w:val="0"/>
      <w:sz w:val="34"/>
      <w:szCs w:val="20"/>
    </w:rPr>
  </w:style>
  <w:style w:type="paragraph" w:customStyle="1" w:styleId="3788">
    <w:name w:val="样式 标题 51)项标5 Char标5标题 5 Char1) Char项 Char无序号，小四黑常规，空两字H...2"/>
    <w:basedOn w:val="11"/>
    <w:qFormat/>
    <w:uiPriority w:val="0"/>
    <w:pPr>
      <w:numPr>
        <w:ilvl w:val="0"/>
        <w:numId w:val="0"/>
      </w:numPr>
      <w:spacing w:before="120" w:beforeLines="50" w:after="120" w:afterLines="50" w:line="240" w:lineRule="auto"/>
    </w:pPr>
    <w:rPr>
      <w:rFonts w:eastAsia="黑体"/>
    </w:rPr>
  </w:style>
  <w:style w:type="paragraph" w:customStyle="1" w:styleId="3789">
    <w:name w:val="CM13"/>
    <w:basedOn w:val="2"/>
    <w:next w:val="2"/>
    <w:semiHidden/>
    <w:qFormat/>
    <w:uiPriority w:val="0"/>
    <w:pPr>
      <w:adjustRightInd/>
    </w:pPr>
    <w:rPr>
      <w:rFonts w:hint="eastAsia" w:ascii="仿宋" w:hAnsi="仿宋" w:eastAsia="仿宋" w:cs="Times New Roman"/>
      <w:szCs w:val="20"/>
    </w:rPr>
  </w:style>
  <w:style w:type="paragraph" w:customStyle="1" w:styleId="3790">
    <w:name w:val="z-窗体底端2"/>
    <w:basedOn w:val="1"/>
    <w:next w:val="1"/>
    <w:qFormat/>
    <w:uiPriority w:val="0"/>
    <w:pPr>
      <w:widowControl/>
      <w:pBdr>
        <w:top w:val="single" w:color="auto" w:sz="6" w:space="1"/>
      </w:pBdr>
      <w:adjustRightInd w:val="0"/>
      <w:snapToGrid w:val="0"/>
      <w:jc w:val="center"/>
    </w:pPr>
    <w:rPr>
      <w:rFonts w:ascii="Arial" w:hAnsi="Arial" w:eastAsia="Arial Unicode MS" w:cs="Arial"/>
      <w:vanish/>
      <w:kern w:val="0"/>
      <w:sz w:val="16"/>
      <w:szCs w:val="16"/>
      <w:lang w:val="zh-CN"/>
    </w:rPr>
  </w:style>
  <w:style w:type="paragraph" w:customStyle="1" w:styleId="3791">
    <w:name w:val="首行缩进 Char Char"/>
    <w:basedOn w:val="1"/>
    <w:qFormat/>
    <w:uiPriority w:val="0"/>
    <w:pPr>
      <w:snapToGrid w:val="0"/>
      <w:spacing w:line="360" w:lineRule="auto"/>
      <w:ind w:firstLine="499"/>
    </w:pPr>
    <w:rPr>
      <w:rFonts w:ascii="宋体"/>
      <w:kern w:val="0"/>
      <w:sz w:val="34"/>
      <w:szCs w:val="20"/>
    </w:rPr>
  </w:style>
  <w:style w:type="paragraph" w:customStyle="1" w:styleId="3792">
    <w:name w:val="Char Char1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3793">
    <w:name w:val="CM36"/>
    <w:basedOn w:val="2"/>
    <w:next w:val="2"/>
    <w:semiHidden/>
    <w:qFormat/>
    <w:uiPriority w:val="0"/>
    <w:pPr>
      <w:adjustRightInd/>
    </w:pPr>
    <w:rPr>
      <w:rFonts w:hint="eastAsia" w:ascii="仿宋" w:hAnsi="仿宋" w:eastAsia="仿宋" w:cs="Times New Roman"/>
      <w:szCs w:val="20"/>
    </w:rPr>
  </w:style>
  <w:style w:type="paragraph" w:customStyle="1" w:styleId="3794">
    <w:name w:val="1表格头"/>
    <w:basedOn w:val="3486"/>
    <w:qFormat/>
    <w:uiPriority w:val="0"/>
    <w:pPr>
      <w:adjustRightInd/>
      <w:spacing w:before="0" w:after="0" w:line="240" w:lineRule="auto"/>
      <w:ind w:left="0" w:firstLine="0" w:firstLineChars="0"/>
      <w:outlineLvl w:val="4"/>
    </w:pPr>
    <w:rPr>
      <w:rFonts w:hAnsi="Times New Roman"/>
      <w:spacing w:val="4"/>
      <w:kern w:val="2"/>
      <w:sz w:val="21"/>
      <w:szCs w:val="24"/>
    </w:rPr>
  </w:style>
  <w:style w:type="paragraph" w:customStyle="1" w:styleId="3795">
    <w:name w:val="标题3改"/>
    <w:basedOn w:val="9"/>
    <w:qFormat/>
    <w:uiPriority w:val="0"/>
    <w:pPr>
      <w:widowControl w:val="0"/>
      <w:numPr>
        <w:ilvl w:val="0"/>
        <w:numId w:val="0"/>
      </w:numPr>
      <w:spacing w:before="260" w:after="260" w:line="416" w:lineRule="auto"/>
      <w:jc w:val="both"/>
    </w:pPr>
    <w:rPr>
      <w:rFonts w:cs="Times New Roman"/>
      <w:b/>
    </w:rPr>
  </w:style>
  <w:style w:type="paragraph" w:customStyle="1" w:styleId="3796">
    <w:name w:val="编号A."/>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3797">
    <w:name w:val="标题  5"/>
    <w:basedOn w:val="11"/>
    <w:qFormat/>
    <w:uiPriority w:val="0"/>
    <w:pPr>
      <w:numPr>
        <w:ilvl w:val="0"/>
        <w:numId w:val="0"/>
      </w:numPr>
      <w:tabs>
        <w:tab w:val="left" w:pos="3600"/>
      </w:tabs>
      <w:adjustRightInd w:val="0"/>
      <w:snapToGrid w:val="0"/>
      <w:spacing w:before="120" w:beforeLines="50" w:after="120" w:afterLines="50" w:line="240" w:lineRule="auto"/>
      <w:ind w:left="3600" w:hanging="720"/>
    </w:pPr>
    <w:rPr>
      <w:rFonts w:eastAsia="黑体"/>
      <w:kern w:val="44"/>
      <w:szCs w:val="20"/>
    </w:rPr>
  </w:style>
  <w:style w:type="paragraph" w:customStyle="1" w:styleId="3798">
    <w:name w:val="样式 首行缩进:  2 字符1"/>
    <w:basedOn w:val="1"/>
    <w:qFormat/>
    <w:uiPriority w:val="0"/>
    <w:pPr>
      <w:spacing w:line="460" w:lineRule="exact"/>
      <w:ind w:firstLine="200" w:firstLineChars="200"/>
    </w:pPr>
    <w:rPr>
      <w:rFonts w:ascii="宋体" w:eastAsia="仿宋_GB2312" w:cs="宋体"/>
      <w:kern w:val="0"/>
      <w:sz w:val="28"/>
      <w:szCs w:val="20"/>
    </w:rPr>
  </w:style>
  <w:style w:type="paragraph" w:customStyle="1" w:styleId="3799">
    <w:name w:val="bg表头"/>
    <w:basedOn w:val="3534"/>
    <w:next w:val="1697"/>
    <w:semiHidden/>
    <w:qFormat/>
    <w:uiPriority w:val="0"/>
    <w:rPr>
      <w:rFonts w:eastAsia="黑体"/>
    </w:rPr>
  </w:style>
  <w:style w:type="paragraph" w:customStyle="1" w:styleId="3800">
    <w:name w:val="Char Char1 Char3"/>
    <w:basedOn w:val="1"/>
    <w:qFormat/>
    <w:uiPriority w:val="0"/>
    <w:rPr>
      <w:rFonts w:ascii="宋体"/>
      <w:kern w:val="0"/>
      <w:sz w:val="34"/>
      <w:szCs w:val="20"/>
    </w:rPr>
  </w:style>
  <w:style w:type="paragraph" w:customStyle="1" w:styleId="3801">
    <w:name w:val="xl15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02">
    <w:name w:val="样式 标题 2_Heading 2节标题 1.11.1标题2b2 + 段前: 0.5 行 段后: 0.5 行"/>
    <w:basedOn w:val="8"/>
    <w:next w:val="4"/>
    <w:unhideWhenUsed/>
    <w:qFormat/>
    <w:uiPriority w:val="0"/>
    <w:pPr>
      <w:widowControl w:val="0"/>
      <w:numPr>
        <w:ilvl w:val="0"/>
        <w:numId w:val="0"/>
      </w:numPr>
      <w:tabs>
        <w:tab w:val="left" w:pos="525"/>
      </w:tabs>
      <w:spacing w:before="156" w:after="156" w:line="240" w:lineRule="auto"/>
      <w:jc w:val="both"/>
    </w:pPr>
    <w:rPr>
      <w:rFonts w:ascii="宋体" w:hAnsi="宋体" w:eastAsia="黑体"/>
      <w:b/>
      <w:szCs w:val="20"/>
    </w:rPr>
  </w:style>
  <w:style w:type="paragraph" w:customStyle="1" w:styleId="3803">
    <w:name w:val="正文文本 231"/>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804">
    <w:name w:val="表格备注"/>
    <w:basedOn w:val="13"/>
    <w:next w:val="43"/>
    <w:unhideWhenUsed/>
    <w:qFormat/>
    <w:uiPriority w:val="0"/>
    <w:pPr>
      <w:widowControl w:val="0"/>
      <w:numPr>
        <w:ilvl w:val="0"/>
        <w:numId w:val="0"/>
      </w:numPr>
      <w:tabs>
        <w:tab w:val="left" w:pos="560"/>
      </w:tabs>
      <w:spacing w:before="120" w:after="120" w:line="336" w:lineRule="auto"/>
      <w:jc w:val="center"/>
    </w:pPr>
    <w:rPr>
      <w:rFonts w:ascii="黑体" w:hAnsi="Times New Roman" w:cs="Times New Roman"/>
      <w:kern w:val="2"/>
      <w:sz w:val="21"/>
      <w:szCs w:val="21"/>
    </w:rPr>
  </w:style>
  <w:style w:type="paragraph" w:customStyle="1" w:styleId="3805">
    <w:name w:val="样式 标题 1 + (西文) Arial (中文) 黑体 三号 两端对齐 首行缩进:  0.87 厘米 段前: 6 磅..."/>
    <w:basedOn w:val="7"/>
    <w:qFormat/>
    <w:uiPriority w:val="0"/>
    <w:pPr>
      <w:keepLines/>
      <w:pageBreakBefore/>
      <w:widowControl/>
      <w:overflowPunct/>
      <w:snapToGrid/>
      <w:spacing w:after="120" w:line="500" w:lineRule="exact"/>
      <w:ind w:firstLine="493"/>
    </w:pPr>
    <w:rPr>
      <w:rFonts w:ascii="Arial" w:hAnsi="Arial" w:cs="宋体"/>
      <w:b w:val="0"/>
      <w:bCs w:val="0"/>
      <w:color w:val="auto"/>
      <w:spacing w:val="16"/>
      <w:w w:val="90"/>
      <w:kern w:val="32"/>
      <w:sz w:val="32"/>
      <w:szCs w:val="32"/>
    </w:rPr>
  </w:style>
  <w:style w:type="paragraph" w:customStyle="1" w:styleId="3806">
    <w:name w:val="c13"/>
    <w:basedOn w:val="1"/>
    <w:next w:val="1"/>
    <w:qFormat/>
    <w:uiPriority w:val="0"/>
    <w:pPr>
      <w:autoSpaceDE w:val="0"/>
      <w:autoSpaceDN w:val="0"/>
      <w:adjustRightInd w:val="0"/>
      <w:spacing w:before="120" w:after="120" w:line="240" w:lineRule="atLeast"/>
      <w:ind w:left="578" w:hanging="578"/>
      <w:jc w:val="center"/>
    </w:pPr>
    <w:rPr>
      <w:rFonts w:ascii="宋体"/>
      <w:kern w:val="0"/>
      <w:sz w:val="34"/>
      <w:szCs w:val="20"/>
    </w:rPr>
  </w:style>
  <w:style w:type="paragraph" w:customStyle="1" w:styleId="3807">
    <w:name w:val="表格标题10"/>
    <w:basedOn w:val="81"/>
    <w:semiHidden/>
    <w:qFormat/>
    <w:uiPriority w:val="0"/>
    <w:pPr>
      <w:numPr>
        <w:ilvl w:val="0"/>
        <w:numId w:val="97"/>
      </w:numPr>
      <w:pBdr>
        <w:top w:val="single" w:color="auto" w:sz="4" w:space="1"/>
      </w:pBdr>
      <w:tabs>
        <w:tab w:val="left" w:pos="0"/>
      </w:tabs>
      <w:adjustRightInd w:val="0"/>
      <w:spacing w:after="0" w:line="360" w:lineRule="auto"/>
      <w:ind w:left="0" w:leftChars="0"/>
      <w:jc w:val="center"/>
    </w:pPr>
    <w:rPr>
      <w:b/>
      <w:sz w:val="24"/>
    </w:rPr>
  </w:style>
  <w:style w:type="paragraph" w:customStyle="1" w:styleId="3808">
    <w:name w:val="p15"/>
    <w:basedOn w:val="1"/>
    <w:qFormat/>
    <w:uiPriority w:val="0"/>
    <w:pPr>
      <w:widowControl/>
      <w:snapToGrid w:val="0"/>
      <w:spacing w:before="40" w:after="60" w:line="240" w:lineRule="atLeast"/>
    </w:pPr>
    <w:rPr>
      <w:rFonts w:ascii="Arial" w:hAnsi="Arial" w:cs="Arial"/>
      <w:kern w:val="0"/>
      <w:sz w:val="34"/>
      <w:szCs w:val="20"/>
    </w:rPr>
  </w:style>
  <w:style w:type="paragraph" w:customStyle="1" w:styleId="3809">
    <w:name w:val="文头"/>
    <w:basedOn w:val="1"/>
    <w:qFormat/>
    <w:uiPriority w:val="0"/>
    <w:pPr>
      <w:tabs>
        <w:tab w:val="left" w:pos="6663"/>
      </w:tabs>
      <w:autoSpaceDE w:val="0"/>
      <w:autoSpaceDN w:val="0"/>
      <w:snapToGrid w:val="0"/>
      <w:spacing w:after="800" w:line="1500" w:lineRule="atLeast"/>
      <w:ind w:left="511" w:right="227" w:hanging="284"/>
      <w:jc w:val="distribute"/>
    </w:pPr>
    <w:rPr>
      <w:rFonts w:ascii="汉鼎简大宋" w:eastAsia="汉鼎简大宋"/>
      <w:b/>
      <w:snapToGrid w:val="0"/>
      <w:color w:val="FF0000"/>
      <w:w w:val="62"/>
      <w:kern w:val="0"/>
      <w:sz w:val="140"/>
      <w:szCs w:val="20"/>
    </w:rPr>
  </w:style>
  <w:style w:type="paragraph" w:customStyle="1" w:styleId="3810">
    <w:name w:val="Char16"/>
    <w:basedOn w:val="1"/>
    <w:qFormat/>
    <w:uiPriority w:val="0"/>
    <w:rPr>
      <w:rFonts w:ascii="宋体"/>
      <w:kern w:val="0"/>
      <w:sz w:val="34"/>
      <w:szCs w:val="20"/>
    </w:rPr>
  </w:style>
  <w:style w:type="paragraph" w:customStyle="1" w:styleId="3811">
    <w:name w:val="样式 标题 31.1.1条标题 3 Char Char标题 3 Char三级标题，黑粗，四号，序号Heading 3...3"/>
    <w:basedOn w:val="9"/>
    <w:qFormat/>
    <w:uiPriority w:val="0"/>
    <w:pPr>
      <w:widowControl w:val="0"/>
      <w:numPr>
        <w:ilvl w:val="0"/>
        <w:numId w:val="0"/>
      </w:numPr>
      <w:tabs>
        <w:tab w:val="left" w:pos="1740"/>
        <w:tab w:val="left" w:pos="2160"/>
      </w:tabs>
      <w:spacing w:before="50" w:after="50" w:line="240" w:lineRule="auto"/>
      <w:ind w:left="2160" w:hanging="720"/>
      <w:jc w:val="both"/>
    </w:pPr>
    <w:rPr>
      <w:bCs w:val="0"/>
      <w:color w:val="000000"/>
      <w:sz w:val="32"/>
      <w:szCs w:val="20"/>
    </w:rPr>
  </w:style>
  <w:style w:type="paragraph" w:customStyle="1" w:styleId="3812">
    <w:name w:val="xl19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13">
    <w:name w:val="公式注释1"/>
    <w:basedOn w:val="5"/>
    <w:qFormat/>
    <w:uiPriority w:val="0"/>
    <w:pPr>
      <w:adjustRightInd w:val="0"/>
      <w:snapToGrid w:val="0"/>
      <w:spacing w:after="0" w:line="360" w:lineRule="auto"/>
      <w:ind w:left="0" w:leftChars="0" w:firstLine="200" w:firstLineChars="200"/>
      <w:jc w:val="left"/>
    </w:pPr>
    <w:rPr>
      <w:rFonts w:ascii="宋体" w:hAnsi="宋体"/>
      <w:color w:val="000000"/>
      <w:sz w:val="20"/>
    </w:rPr>
  </w:style>
  <w:style w:type="paragraph" w:customStyle="1" w:styleId="3814">
    <w:name w:val="样式 行距: 多倍行距 1.3 字行"/>
    <w:basedOn w:val="1"/>
    <w:qFormat/>
    <w:uiPriority w:val="0"/>
    <w:pPr>
      <w:spacing w:before="120" w:after="120" w:line="312" w:lineRule="auto"/>
      <w:ind w:left="578" w:firstLine="480" w:firstLineChars="200"/>
    </w:pPr>
    <w:rPr>
      <w:rFonts w:ascii="宋体" w:cs="宋体"/>
      <w:kern w:val="0"/>
      <w:szCs w:val="20"/>
    </w:rPr>
  </w:style>
  <w:style w:type="paragraph" w:customStyle="1" w:styleId="3815">
    <w:name w:val="_Style 3814"/>
    <w:semiHidden/>
    <w:qFormat/>
    <w:uiPriority w:val="0"/>
    <w:rPr>
      <w:rFonts w:ascii="Times New Roman" w:hAnsi="Times New Roman" w:eastAsia="宋体" w:cs="Times New Roman"/>
      <w:kern w:val="2"/>
      <w:sz w:val="21"/>
      <w:szCs w:val="24"/>
      <w:lang w:val="en-US" w:eastAsia="zh-CN" w:bidi="ar-SA"/>
    </w:rPr>
  </w:style>
  <w:style w:type="paragraph" w:customStyle="1" w:styleId="3816">
    <w:name w:val="4级编号"/>
    <w:basedOn w:val="10"/>
    <w:qFormat/>
    <w:uiPriority w:val="0"/>
    <w:pPr>
      <w:widowControl w:val="0"/>
      <w:numPr>
        <w:ilvl w:val="0"/>
        <w:numId w:val="98"/>
      </w:numPr>
      <w:tabs>
        <w:tab w:val="left" w:pos="726"/>
      </w:tabs>
      <w:adjustRightInd w:val="0"/>
      <w:snapToGrid w:val="0"/>
      <w:spacing w:before="120" w:after="120" w:line="520" w:lineRule="exact"/>
      <w:ind w:left="1790"/>
      <w:jc w:val="both"/>
    </w:pPr>
    <w:rPr>
      <w:rFonts w:ascii="宋体" w:hAnsi="宋体" w:cs="Times New Roman"/>
      <w:b w:val="0"/>
      <w:bCs w:val="0"/>
      <w:sz w:val="28"/>
    </w:rPr>
  </w:style>
  <w:style w:type="paragraph" w:customStyle="1" w:styleId="3817">
    <w:name w:val="0-shiw-封面扉页项目名称"/>
    <w:qFormat/>
    <w:uiPriority w:val="0"/>
    <w:pPr>
      <w:spacing w:line="360" w:lineRule="auto"/>
      <w:jc w:val="center"/>
    </w:pPr>
    <w:rPr>
      <w:rFonts w:ascii="黑体" w:hAnsi="Times New Roman" w:eastAsia="黑体" w:cs="Times New Roman"/>
      <w:kern w:val="2"/>
      <w:sz w:val="48"/>
      <w:szCs w:val="48"/>
      <w:lang w:val="en-US" w:eastAsia="zh-CN" w:bidi="ar-SA"/>
    </w:rPr>
  </w:style>
  <w:style w:type="paragraph" w:customStyle="1" w:styleId="3818">
    <w:name w:val="style7 style9"/>
    <w:basedOn w:val="1"/>
    <w:qFormat/>
    <w:uiPriority w:val="0"/>
    <w:pPr>
      <w:widowControl/>
      <w:spacing w:before="100" w:beforeAutospacing="1" w:after="100" w:afterAutospacing="1"/>
      <w:jc w:val="left"/>
    </w:pPr>
    <w:rPr>
      <w:rFonts w:ascii="Arial Unicode MS" w:hAnsi="Arial Unicode MS"/>
      <w:kern w:val="0"/>
      <w:sz w:val="34"/>
      <w:szCs w:val="20"/>
    </w:rPr>
  </w:style>
  <w:style w:type="paragraph" w:customStyle="1" w:styleId="3819">
    <w:name w:val="样式 表格标题 + 首行缩进:  2 字符"/>
    <w:basedOn w:val="6"/>
    <w:qFormat/>
    <w:uiPriority w:val="0"/>
    <w:pPr>
      <w:widowControl w:val="0"/>
      <w:adjustRightInd w:val="0"/>
      <w:spacing w:before="120" w:line="360" w:lineRule="auto"/>
      <w:ind w:firstLine="480"/>
      <w:jc w:val="center"/>
      <w:textAlignment w:val="baseline"/>
    </w:pPr>
    <w:rPr>
      <w:rFonts w:ascii="Times New Roman" w:hAnsi="Times New Roman" w:eastAsia="汉鼎简特宋"/>
      <w:sz w:val="20"/>
      <w:szCs w:val="20"/>
    </w:rPr>
  </w:style>
  <w:style w:type="paragraph" w:customStyle="1" w:styleId="3820">
    <w:name w:val="xl92"/>
    <w:basedOn w:val="1"/>
    <w:qFormat/>
    <w:uiPriority w:val="0"/>
    <w:pPr>
      <w:widowControl/>
      <w:pBdr>
        <w:top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3821">
    <w:name w:val="振正文"/>
    <w:basedOn w:val="1"/>
    <w:qFormat/>
    <w:uiPriority w:val="0"/>
    <w:pPr>
      <w:spacing w:line="500" w:lineRule="exact"/>
      <w:ind w:firstLine="200" w:firstLineChars="200"/>
    </w:pPr>
    <w:rPr>
      <w:rFonts w:ascii="宋体" w:eastAsia="仿宋_GB2312"/>
      <w:kern w:val="0"/>
      <w:sz w:val="28"/>
      <w:szCs w:val="28"/>
    </w:rPr>
  </w:style>
  <w:style w:type="paragraph" w:customStyle="1" w:styleId="3822">
    <w:name w:val="封面标题2"/>
    <w:basedOn w:val="1"/>
    <w:qFormat/>
    <w:uiPriority w:val="0"/>
    <w:pPr>
      <w:spacing w:line="360" w:lineRule="auto"/>
      <w:jc w:val="center"/>
    </w:pPr>
    <w:rPr>
      <w:rFonts w:ascii="宋体"/>
      <w:b/>
      <w:kern w:val="0"/>
      <w:sz w:val="44"/>
      <w:szCs w:val="20"/>
    </w:rPr>
  </w:style>
  <w:style w:type="paragraph" w:customStyle="1" w:styleId="3823">
    <w:name w:val="正文缩进1"/>
    <w:basedOn w:val="1"/>
    <w:qFormat/>
    <w:uiPriority w:val="0"/>
    <w:pPr>
      <w:ind w:firstLine="420" w:firstLineChars="200"/>
    </w:pPr>
    <w:rPr>
      <w:rFonts w:ascii="宋体"/>
      <w:kern w:val="0"/>
      <w:szCs w:val="20"/>
    </w:rPr>
  </w:style>
  <w:style w:type="paragraph" w:customStyle="1" w:styleId="3824">
    <w:name w:val="水5"/>
    <w:basedOn w:val="1"/>
    <w:semiHidden/>
    <w:qFormat/>
    <w:uiPriority w:val="0"/>
    <w:pPr>
      <w:keepNext/>
      <w:keepLines/>
      <w:tabs>
        <w:tab w:val="left" w:pos="98"/>
        <w:tab w:val="left" w:pos="567"/>
        <w:tab w:val="center" w:pos="4156"/>
      </w:tabs>
      <w:spacing w:line="360" w:lineRule="auto"/>
      <w:ind w:left="567" w:firstLine="200" w:firstLineChars="200"/>
      <w:jc w:val="left"/>
      <w:outlineLvl w:val="0"/>
    </w:pPr>
    <w:rPr>
      <w:rFonts w:ascii="宋体"/>
      <w:bCs/>
      <w:color w:val="FF00FF"/>
      <w:kern w:val="44"/>
      <w:sz w:val="30"/>
      <w:szCs w:val="20"/>
    </w:rPr>
  </w:style>
  <w:style w:type="paragraph" w:customStyle="1" w:styleId="3825">
    <w:name w:val="Table-II"/>
    <w:basedOn w:val="3184"/>
    <w:unhideWhenUsed/>
    <w:qFormat/>
    <w:uiPriority w:val="0"/>
    <w:pPr>
      <w:ind w:left="48" w:leftChars="20"/>
      <w:jc w:val="left"/>
    </w:pPr>
  </w:style>
  <w:style w:type="paragraph" w:customStyle="1" w:styleId="3826">
    <w:name w:val="样式 样式 tt + 段前: 0.3 行 + 段前: 0.5 行"/>
    <w:basedOn w:val="1865"/>
    <w:qFormat/>
    <w:uiPriority w:val="0"/>
    <w:pPr>
      <w:spacing w:beforeLines="0"/>
      <w:ind w:firstLine="200" w:firstLineChars="200"/>
    </w:pPr>
  </w:style>
  <w:style w:type="paragraph" w:customStyle="1" w:styleId="3827">
    <w:name w:val="样式 表头 + 段前: 0.5 行"/>
    <w:basedOn w:val="973"/>
    <w:qFormat/>
    <w:uiPriority w:val="0"/>
    <w:pPr>
      <w:widowControl w:val="0"/>
      <w:spacing w:beforeLines="50" w:after="120" w:line="360" w:lineRule="auto"/>
      <w:ind w:left="420" w:leftChars="200"/>
      <w:textAlignment w:val="bottom"/>
    </w:pPr>
    <w:rPr>
      <w:rFonts w:ascii="Times New Roman" w:hAnsi="Times New Roman" w:eastAsia="宋体"/>
      <w:b/>
      <w:bCs/>
      <w:spacing w:val="2"/>
    </w:rPr>
  </w:style>
  <w:style w:type="paragraph" w:customStyle="1" w:styleId="3828">
    <w:name w:val="样式 样式 表格文字—五号 + 宋体 行距: 最小值 0 磅 + (中文) 华文中宋 段前: 2.4 磅 段后: 4.8 磅"/>
    <w:basedOn w:val="2015"/>
    <w:qFormat/>
    <w:uiPriority w:val="0"/>
    <w:pPr>
      <w:spacing w:before="48" w:after="96"/>
    </w:pPr>
  </w:style>
  <w:style w:type="paragraph" w:customStyle="1" w:styleId="3829">
    <w:name w:val="样式 样式 表标题2.4 + 居中 段前: 1 行 + 两端对齐"/>
    <w:basedOn w:val="2863"/>
    <w:qFormat/>
    <w:uiPriority w:val="0"/>
    <w:pPr>
      <w:numPr>
        <w:ilvl w:val="0"/>
        <w:numId w:val="99"/>
      </w:numPr>
      <w:tabs>
        <w:tab w:val="left" w:pos="420"/>
        <w:tab w:val="clear" w:pos="4060"/>
        <w:tab w:val="clear" w:pos="8261"/>
      </w:tabs>
      <w:jc w:val="both"/>
    </w:pPr>
  </w:style>
  <w:style w:type="paragraph" w:customStyle="1" w:styleId="3830">
    <w:name w:val="Char Char3 Char Char Char Char"/>
    <w:basedOn w:val="1"/>
    <w:qFormat/>
    <w:uiPriority w:val="0"/>
    <w:pPr>
      <w:widowControl/>
      <w:tabs>
        <w:tab w:val="left" w:pos="540"/>
        <w:tab w:val="left" w:pos="1260"/>
        <w:tab w:val="left" w:pos="1800"/>
      </w:tabs>
      <w:suppressAutoHyphens/>
      <w:spacing w:before="120" w:after="240" w:line="360" w:lineRule="auto"/>
      <w:ind w:firstLine="480" w:firstLineChars="200"/>
    </w:pPr>
    <w:rPr>
      <w:rFonts w:ascii="宋体"/>
      <w:kern w:val="0"/>
      <w:szCs w:val="20"/>
    </w:rPr>
  </w:style>
  <w:style w:type="paragraph" w:customStyle="1" w:styleId="3831">
    <w:name w:val="样式 正文文本 + 首行缩进:  0.85 厘米 段前: 6 磅 行距: 固定值 22 磅"/>
    <w:basedOn w:val="37"/>
    <w:qFormat/>
    <w:uiPriority w:val="0"/>
    <w:pPr>
      <w:widowControl w:val="0"/>
      <w:snapToGrid/>
      <w:spacing w:before="120" w:after="120" w:line="440" w:lineRule="exact"/>
      <w:ind w:right="0" w:firstLine="482"/>
    </w:pPr>
    <w:rPr>
      <w:rFonts w:cs="宋体"/>
      <w:sz w:val="20"/>
    </w:rPr>
  </w:style>
  <w:style w:type="paragraph" w:customStyle="1" w:styleId="3832">
    <w:name w:val="样式 标题 + 非加粗 黑色"/>
    <w:basedOn w:val="87"/>
    <w:semiHidden/>
    <w:qFormat/>
    <w:uiPriority w:val="0"/>
    <w:pPr>
      <w:pBdr>
        <w:top w:val="single" w:color="auto" w:sz="4" w:space="1"/>
      </w:pBdr>
      <w:adjustRightInd w:val="0"/>
      <w:spacing w:line="360" w:lineRule="atLeast"/>
    </w:pPr>
    <w:rPr>
      <w:rFonts w:ascii="Arial" w:hAnsi="Arial" w:eastAsia="宋体" w:cs="Arial"/>
      <w:b/>
      <w:bCs w:val="0"/>
    </w:rPr>
  </w:style>
  <w:style w:type="paragraph" w:customStyle="1" w:styleId="3833">
    <w:name w:val="正文7"/>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3834">
    <w:name w:val="图表—注解"/>
    <w:basedOn w:val="1"/>
    <w:qFormat/>
    <w:uiPriority w:val="0"/>
    <w:pPr>
      <w:snapToGrid w:val="0"/>
      <w:spacing w:beforeLines="20" w:line="280" w:lineRule="exact"/>
      <w:ind w:firstLine="525" w:firstLineChars="250"/>
      <w:jc w:val="left"/>
    </w:pPr>
    <w:rPr>
      <w:rFonts w:ascii="宋体"/>
      <w:kern w:val="0"/>
      <w:sz w:val="18"/>
      <w:szCs w:val="18"/>
    </w:rPr>
  </w:style>
  <w:style w:type="paragraph" w:customStyle="1" w:styleId="3835">
    <w:name w:val="TECHNICAL INFO"/>
    <w:basedOn w:val="1"/>
    <w:qFormat/>
    <w:uiPriority w:val="0"/>
    <w:pPr>
      <w:widowControl/>
      <w:spacing w:before="120" w:after="120"/>
      <w:ind w:left="578" w:hanging="578"/>
    </w:pPr>
    <w:rPr>
      <w:rFonts w:ascii="宋体"/>
      <w:kern w:val="0"/>
      <w:szCs w:val="20"/>
      <w:lang w:eastAsia="en-US"/>
    </w:rPr>
  </w:style>
  <w:style w:type="paragraph" w:customStyle="1" w:styleId="3836">
    <w:name w:val="样式 公式 + 首行缩进:  2 字符"/>
    <w:basedOn w:val="1"/>
    <w:qFormat/>
    <w:uiPriority w:val="0"/>
    <w:pPr>
      <w:widowControl/>
      <w:tabs>
        <w:tab w:val="left" w:pos="227"/>
      </w:tabs>
      <w:overflowPunct w:val="0"/>
      <w:autoSpaceDE w:val="0"/>
      <w:autoSpaceDN w:val="0"/>
      <w:adjustRightInd w:val="0"/>
      <w:spacing w:before="100" w:beforeAutospacing="1" w:after="100" w:afterAutospacing="1"/>
      <w:ind w:left="578" w:hanging="578"/>
      <w:jc w:val="center"/>
      <w:textAlignment w:val="baseline"/>
    </w:pPr>
    <w:rPr>
      <w:rFonts w:ascii="仿宋_GB2312" w:eastAsia="仿宋_GB2312" w:cs="宋体"/>
      <w:b/>
      <w:kern w:val="0"/>
      <w:szCs w:val="21"/>
    </w:rPr>
  </w:style>
  <w:style w:type="paragraph" w:customStyle="1" w:styleId="3837">
    <w:name w:val="xl1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38">
    <w:name w:val="修订1"/>
    <w:semiHidden/>
    <w:qFormat/>
    <w:uiPriority w:val="0"/>
    <w:rPr>
      <w:rFonts w:ascii="Times New Roman" w:hAnsi="Times New Roman" w:eastAsia="宋体" w:cs="Times New Roman"/>
      <w:szCs w:val="24"/>
      <w:lang w:val="en-US" w:eastAsia="zh-CN" w:bidi="ar-SA"/>
    </w:rPr>
  </w:style>
  <w:style w:type="paragraph" w:customStyle="1" w:styleId="3839">
    <w:name w:val="杠式表格"/>
    <w:basedOn w:val="1"/>
    <w:qFormat/>
    <w:uiPriority w:val="0"/>
    <w:pPr>
      <w:adjustRightInd w:val="0"/>
      <w:spacing w:after="60" w:line="312" w:lineRule="atLeast"/>
      <w:jc w:val="center"/>
      <w:textAlignment w:val="baseline"/>
    </w:pPr>
    <w:rPr>
      <w:rFonts w:ascii="宋体"/>
      <w:kern w:val="0"/>
      <w:szCs w:val="20"/>
    </w:rPr>
  </w:style>
  <w:style w:type="paragraph" w:customStyle="1" w:styleId="3840">
    <w:name w:val="xl4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841">
    <w:name w:val="正文22"/>
    <w:basedOn w:val="1"/>
    <w:qFormat/>
    <w:uiPriority w:val="0"/>
    <w:pPr>
      <w:adjustRightInd w:val="0"/>
      <w:snapToGrid w:val="0"/>
      <w:spacing w:line="440" w:lineRule="atLeast"/>
      <w:ind w:firstLine="567"/>
    </w:pPr>
    <w:rPr>
      <w:rFonts w:ascii="宋体"/>
      <w:kern w:val="0"/>
      <w:sz w:val="34"/>
      <w:szCs w:val="20"/>
    </w:rPr>
  </w:style>
  <w:style w:type="paragraph" w:customStyle="1" w:styleId="3842">
    <w:name w:val="三级编号"/>
    <w:basedOn w:val="1969"/>
    <w:qFormat/>
    <w:uiPriority w:val="0"/>
    <w:pPr>
      <w:numPr>
        <w:ilvl w:val="3"/>
        <w:numId w:val="100"/>
      </w:numPr>
      <w:tabs>
        <w:tab w:val="left" w:pos="726"/>
        <w:tab w:val="clear" w:pos="1680"/>
      </w:tabs>
      <w:ind w:firstLine="0" w:firstLineChars="0"/>
    </w:pPr>
  </w:style>
  <w:style w:type="paragraph" w:customStyle="1" w:styleId="3843">
    <w:name w:val="报告名"/>
    <w:basedOn w:val="1"/>
    <w:qFormat/>
    <w:uiPriority w:val="0"/>
    <w:pPr>
      <w:tabs>
        <w:tab w:val="left" w:pos="1727"/>
        <w:tab w:val="left" w:pos="1884"/>
      </w:tabs>
      <w:adjustRightInd w:val="0"/>
      <w:spacing w:before="120" w:after="120" w:line="312" w:lineRule="auto"/>
      <w:ind w:left="578" w:hanging="578"/>
      <w:outlineLvl w:val="0"/>
    </w:pPr>
    <w:rPr>
      <w:rFonts w:ascii="宋体"/>
      <w:b/>
      <w:kern w:val="0"/>
      <w:sz w:val="34"/>
      <w:szCs w:val="20"/>
    </w:rPr>
  </w:style>
  <w:style w:type="paragraph" w:customStyle="1" w:styleId="3844">
    <w:name w:val="CM87"/>
    <w:basedOn w:val="2"/>
    <w:next w:val="2"/>
    <w:semiHidden/>
    <w:qFormat/>
    <w:uiPriority w:val="0"/>
    <w:pPr>
      <w:adjustRightInd/>
    </w:pPr>
    <w:rPr>
      <w:rFonts w:hint="eastAsia" w:ascii="仿宋" w:hAnsi="仿宋" w:eastAsia="仿宋" w:cs="Times New Roman"/>
      <w:szCs w:val="20"/>
    </w:rPr>
  </w:style>
  <w:style w:type="paragraph" w:customStyle="1" w:styleId="3845">
    <w:name w:val="Char Char1 Char Char Char Char3"/>
    <w:basedOn w:val="1"/>
    <w:qFormat/>
    <w:uiPriority w:val="0"/>
    <w:pPr>
      <w:jc w:val="center"/>
    </w:pPr>
    <w:rPr>
      <w:rFonts w:ascii="宋体" w:hAnsi="宋体"/>
      <w:kern w:val="0"/>
      <w:sz w:val="18"/>
      <w:szCs w:val="20"/>
    </w:rPr>
  </w:style>
  <w:style w:type="paragraph" w:customStyle="1" w:styleId="3846">
    <w:name w:val="xl81"/>
    <w:basedOn w:val="1"/>
    <w:qFormat/>
    <w:uiPriority w:val="0"/>
    <w:pPr>
      <w:widowControl/>
      <w:pBdr>
        <w:left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3847">
    <w:name w:val="CM2"/>
    <w:basedOn w:val="2"/>
    <w:next w:val="2"/>
    <w:semiHidden/>
    <w:qFormat/>
    <w:uiPriority w:val="0"/>
    <w:pPr>
      <w:adjustRightInd/>
    </w:pPr>
    <w:rPr>
      <w:rFonts w:hint="eastAsia" w:ascii="仿宋" w:hAnsi="仿宋" w:eastAsia="仿宋" w:cs="Times New Roman"/>
      <w:szCs w:val="20"/>
    </w:rPr>
  </w:style>
  <w:style w:type="paragraph" w:customStyle="1" w:styleId="3848">
    <w:name w:val="表标题6"/>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849">
    <w:name w:val="普通 (Web)"/>
    <w:basedOn w:val="2"/>
    <w:next w:val="2"/>
    <w:qFormat/>
    <w:uiPriority w:val="0"/>
    <w:pPr>
      <w:spacing w:before="100" w:after="100"/>
    </w:pPr>
    <w:rPr>
      <w:rFonts w:cs="Times New Roman"/>
      <w:color w:val="auto"/>
    </w:rPr>
  </w:style>
  <w:style w:type="paragraph" w:customStyle="1" w:styleId="3850">
    <w:name w:val="文件册号"/>
    <w:basedOn w:val="1"/>
    <w:next w:val="1"/>
    <w:qFormat/>
    <w:uiPriority w:val="0"/>
    <w:pPr>
      <w:spacing w:line="800" w:lineRule="atLeast"/>
      <w:jc w:val="center"/>
    </w:pPr>
    <w:rPr>
      <w:rFonts w:ascii="宋体"/>
      <w:kern w:val="0"/>
      <w:sz w:val="52"/>
      <w:szCs w:val="52"/>
    </w:rPr>
  </w:style>
  <w:style w:type="paragraph" w:customStyle="1" w:styleId="3851">
    <w:name w:val="一级标题王"/>
    <w:basedOn w:val="8"/>
    <w:semiHidden/>
    <w:qFormat/>
    <w:uiPriority w:val="0"/>
    <w:pPr>
      <w:numPr>
        <w:ilvl w:val="0"/>
        <w:numId w:val="0"/>
      </w:numPr>
      <w:tabs>
        <w:tab w:val="left" w:pos="576"/>
        <w:tab w:val="left" w:pos="1320"/>
      </w:tabs>
      <w:autoSpaceDE w:val="0"/>
      <w:autoSpaceDN w:val="0"/>
      <w:adjustRightInd w:val="0"/>
      <w:snapToGrid w:val="0"/>
      <w:ind w:left="1320" w:hanging="420"/>
      <w:outlineLvl w:val="0"/>
    </w:pPr>
    <w:rPr>
      <w:rFonts w:ascii="黑体" w:hAnsi="宋体" w:eastAsia="黑体" w:cs="Times New Roman"/>
      <w:b/>
      <w:sz w:val="24"/>
    </w:rPr>
  </w:style>
  <w:style w:type="paragraph" w:customStyle="1" w:styleId="3852">
    <w:name w:val="样式 小四 首行缩进:  0.74 厘米 行距: 固定值 20 磅"/>
    <w:basedOn w:val="1"/>
    <w:qFormat/>
    <w:uiPriority w:val="0"/>
    <w:pPr>
      <w:spacing w:line="440" w:lineRule="exact"/>
      <w:ind w:firstLine="454"/>
    </w:pPr>
    <w:rPr>
      <w:rFonts w:ascii="宋体"/>
      <w:kern w:val="0"/>
      <w:sz w:val="34"/>
      <w:szCs w:val="20"/>
    </w:rPr>
  </w:style>
  <w:style w:type="paragraph" w:customStyle="1" w:styleId="3853">
    <w:name w:val="封面—工程名称"/>
    <w:basedOn w:val="1"/>
    <w:qFormat/>
    <w:uiPriority w:val="0"/>
    <w:pPr>
      <w:spacing w:beforeLines="50" w:line="360" w:lineRule="auto"/>
      <w:ind w:firstLine="200" w:firstLineChars="200"/>
      <w:jc w:val="center"/>
    </w:pPr>
    <w:rPr>
      <w:rFonts w:ascii="宋体" w:eastAsia="楷体_GB2312"/>
      <w:kern w:val="0"/>
      <w:sz w:val="32"/>
      <w:szCs w:val="32"/>
    </w:rPr>
  </w:style>
  <w:style w:type="table" w:customStyle="1" w:styleId="3854">
    <w:name w:val="yp格式"/>
    <w:basedOn w:val="89"/>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single" w:color="000000" w:sz="2" w:space="0"/>
          <w:bottom w:val="nil"/>
          <w:right w:val="nil"/>
          <w:insideH w:val="nil"/>
          <w:insideV w:val="single" w:sz="2" w:space="0"/>
          <w:tl2br w:val="nil"/>
          <w:tr2bl w:val="nil"/>
        </w:tcBorders>
      </w:tcPr>
    </w:tblStylePr>
  </w:style>
  <w:style w:type="table" w:customStyle="1" w:styleId="3855">
    <w:name w:val="网格型4"/>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6">
    <w:name w:val="网格型1"/>
    <w:basedOn w:val="89"/>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b/>
        <w:sz w:val="21"/>
      </w:rPr>
      <w:tcPr>
        <w:tcBorders>
          <w:top w:val="nil"/>
          <w:left w:val="nil"/>
          <w:bottom w:val="nil"/>
          <w:right w:val="nil"/>
          <w:insideH w:val="nil"/>
          <w:insideV w:val="nil"/>
          <w:tl2br w:val="nil"/>
          <w:tr2bl w:val="nil"/>
        </w:tcBorders>
      </w:tcPr>
    </w:tblStylePr>
  </w:style>
  <w:style w:type="table" w:customStyle="1" w:styleId="3857">
    <w:name w:val="浅色底纹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58">
    <w:name w:val="网格型 11"/>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9">
    <w:name w:val="网格型3"/>
    <w:basedOn w:val="89"/>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60">
    <w:name w:val="浅色底纹4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1">
    <w:name w:val="浅色列表1"/>
    <w:basedOn w:val="89"/>
    <w:qFormat/>
    <w:uiPriority w:val="61"/>
    <w:rPr>
      <w:rFonts w:eastAsia="等线"/>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C7EDCC"/>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862">
    <w:name w:val="浅色底纹2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3">
    <w:name w:val="网格型 76"/>
    <w:basedOn w:val="89"/>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4">
    <w:name w:val="赵英杰5"/>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65">
    <w:name w:val="浅色底纹 - 强调文字颜色 54"/>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866">
    <w:name w:val="浅色底纹3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7">
    <w:name w:val="赵英杰"/>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68">
    <w:name w:val="三线1"/>
    <w:basedOn w:val="89"/>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9">
    <w:name w:val="表格样式11"/>
    <w:basedOn w:val="90"/>
    <w:qFormat/>
    <w:uiPriority w:val="0"/>
    <w:pPr>
      <w:widowControl w:val="0"/>
      <w:jc w:val="both"/>
    </w:pPr>
    <w:rPr>
      <w:kern w:val="2"/>
      <w:sz w:val="21"/>
      <w:szCs w:val="21"/>
    </w:rPr>
  </w:style>
  <w:style w:type="table" w:customStyle="1" w:styleId="3870">
    <w:name w:val="我的样式2"/>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871">
    <w:name w:val="列表型 31"/>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72">
    <w:name w:val="报告书样式"/>
    <w:basedOn w:val="90"/>
    <w:qFormat/>
    <w:uiPriority w:val="0"/>
    <w:pPr>
      <w:widowControl w:val="0"/>
      <w:spacing w:line="360" w:lineRule="auto"/>
      <w:jc w:val="center"/>
    </w:pPr>
    <w:rPr>
      <w:kern w:val="2"/>
      <w:sz w:val="21"/>
      <w:szCs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3873">
    <w:name w:val="浅色底纹3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74">
    <w:name w:val="浅色底纹8"/>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75">
    <w:name w:val="网格型 14"/>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6">
    <w:name w:val="列表型 34"/>
    <w:basedOn w:val="89"/>
    <w:semiHidden/>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77">
    <w:name w:val="表格 14"/>
    <w:basedOn w:val="89"/>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78">
    <w:name w:val="网页型 22"/>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79">
    <w:name w:val="浅色底纹 - 强调文字颜色 121"/>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880">
    <w:name w:val="网格型 72"/>
    <w:basedOn w:val="8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81">
    <w:name w:val="表格 12"/>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82">
    <w:name w:val="浅色底纹 - 强调文字颜色 51"/>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883">
    <w:name w:val="浅色底纹6"/>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84">
    <w:name w:val="浅色底纹6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85">
    <w:name w:val="中等深浅列表 2 - 强调文字颜色 41"/>
    <w:basedOn w:val="89"/>
    <w:qFormat/>
    <w:uiPriority w:val="0"/>
    <w:rPr>
      <w:rFonts w:ascii="Cambria" w:hAnsi="Cambria"/>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cPr>
        <w:tcBorders>
          <w:top w:val="nil"/>
          <w:left w:val="single" w:color="8064A2" w:sz="24" w:space="0"/>
          <w:bottom w:val="nil"/>
          <w:right w:val="nil"/>
          <w:insideH w:val="nil"/>
          <w:insideV w:val="nil"/>
          <w:tl2br w:val="nil"/>
          <w:tr2bl w:val="nil"/>
        </w:tcBorders>
        <w:shd w:val="clear" w:color="auto" w:fill="FFFFFF"/>
      </w:tcPr>
    </w:tblStylePr>
    <w:tblStylePr w:type="lastRow">
      <w:tcPr>
        <w:tcBorders>
          <w:top w:val="single" w:color="8064A2"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8064A2" w:sz="8" w:space="0"/>
          <w:insideH w:val="nil"/>
          <w:insideV w:val="nil"/>
          <w:tl2br w:val="nil"/>
          <w:tr2bl w:val="nil"/>
        </w:tcBorders>
        <w:shd w:val="clear" w:color="auto" w:fill="FFFFFF"/>
      </w:tcPr>
    </w:tblStylePr>
    <w:tblStylePr w:type="lastCol">
      <w:tcPr>
        <w:tcBorders>
          <w:top w:val="nil"/>
          <w:left w:val="nil"/>
          <w:bottom w:val="single" w:color="8064A2" w:sz="8" w:space="0"/>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886">
    <w:name w:val="浅色底纹 - 强调文字颜色 113"/>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887">
    <w:name w:val="赵英杰3"/>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88">
    <w:name w:val="典雅型1"/>
    <w:basedOn w:val="8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889">
    <w:name w:val="浅色底纹7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0">
    <w:name w:val="网格型 74"/>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1">
    <w:name w:val="浅色底纹9"/>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2">
    <w:name w:val="表格 11"/>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3">
    <w:name w:val="浅色底纹6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4">
    <w:name w:val="网格型刘2"/>
    <w:basedOn w:val="89"/>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895">
    <w:name w:val="表格 13"/>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6">
    <w:name w:val="浅色底纹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7">
    <w:name w:val="表格类型1"/>
    <w:basedOn w:val="89"/>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898">
    <w:name w:val="网页型 24"/>
    <w:basedOn w:val="89"/>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99">
    <w:name w:val="浅色底纹4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0">
    <w:name w:val="浅色底纹7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1">
    <w:name w:val="网格型 54"/>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02">
    <w:name w:val="列表型 33"/>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03">
    <w:name w:val="浅色底纹4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4">
    <w:name w:val="中等深浅列表 1 - 强调文字颜色 13"/>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05">
    <w:name w:val="表格主题7"/>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6">
    <w:name w:val="浅色底纹7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7">
    <w:name w:val="中等深浅列表 1 - 强调文字颜色 17"/>
    <w:basedOn w:val="89"/>
    <w:qFormat/>
    <w:uiPriority w:val="0"/>
    <w:rPr>
      <w:rFonts w:ascii="Calibri" w:hAnsi="Calibri"/>
      <w:color w:val="000000"/>
    </w:rPr>
    <w:tblPr>
      <w:tblBorders>
        <w:top w:val="single" w:color="4F81BD" w:sz="8" w:space="0"/>
        <w:bottom w:val="single" w:color="4F81BD" w:sz="8" w:space="0"/>
      </w:tblBorders>
    </w:tblPr>
    <w:tblStylePr w:type="firstRow">
      <w:rPr>
        <w:rFonts w:eastAsia="华文楷体"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08">
    <w:name w:val="我的样式11"/>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09">
    <w:name w:val="浅色底纹 - 强调文字颜色 11"/>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10">
    <w:name w:val="古典型 11"/>
    <w:basedOn w:val="89"/>
    <w:qFormat/>
    <w:uiPriority w:val="0"/>
    <w:pPr>
      <w:widowControl w:val="0"/>
      <w:adjustRightInd w:val="0"/>
      <w:snapToGrid w:val="0"/>
      <w:spacing w:line="312"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11">
    <w:name w:val="浅色底纹1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12">
    <w:name w:val="网格型 16"/>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3">
    <w:name w:val="简明型 15"/>
    <w:basedOn w:val="89"/>
    <w:unhideWhenUsed/>
    <w:qFormat/>
    <w:uiPriority w:val="0"/>
    <w:pPr>
      <w:widowControl w:val="0"/>
      <w:jc w:val="both"/>
    </w:pPr>
    <w:tblPr>
      <w:tblBorders>
        <w:top w:val="single" w:color="008000" w:sz="12" w:space="0"/>
        <w:bottom w:val="single" w:color="008000" w:sz="12" w:space="0"/>
      </w:tblBorders>
    </w:tbl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14">
    <w:name w:val="浅色底纹1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15">
    <w:name w:val="网格型 53"/>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6">
    <w:name w:val="简明型 13"/>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17">
    <w:name w:val="专业网格1"/>
    <w:basedOn w:val="89"/>
    <w:qFormat/>
    <w:uiPriority w:val="0"/>
    <w:pPr>
      <w:widowControl w:val="0"/>
      <w:jc w:val="both"/>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8">
    <w:name w:val="网页型 21"/>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19">
    <w:name w:val="表格主题2"/>
    <w:basedOn w:val="91"/>
    <w:qFormat/>
    <w:uiPriority w:val="0"/>
    <w:pPr>
      <w:spacing w:line="360" w:lineRule="auto"/>
    </w:pPr>
  </w:style>
  <w:style w:type="table" w:customStyle="1" w:styleId="3920">
    <w:name w:val="表格主题1"/>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1">
    <w:name w:val="表格样式12"/>
    <w:basedOn w:val="90"/>
    <w:qFormat/>
    <w:uiPriority w:val="0"/>
    <w:pPr>
      <w:widowControl w:val="0"/>
      <w:jc w:val="both"/>
    </w:pPr>
    <w:rPr>
      <w:kern w:val="2"/>
      <w:sz w:val="21"/>
      <w:szCs w:val="21"/>
    </w:rPr>
  </w:style>
  <w:style w:type="table" w:customStyle="1" w:styleId="3922">
    <w:name w:val="浅色底纹 - 强调文字颜色 123"/>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23">
    <w:name w:val="我的样式"/>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24">
    <w:name w:val="网页型 23"/>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25">
    <w:name w:val="网格型 71"/>
    <w:basedOn w:val="8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6">
    <w:name w:val="浅色底纹5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27">
    <w:name w:val="浅色底纹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28">
    <w:name w:val="浅色底纹 - 强调文字颜色 12"/>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29">
    <w:name w:val="办公室表格样式"/>
    <w:basedOn w:val="89"/>
    <w:qFormat/>
    <w:uiPriority w:val="0"/>
    <w:pPr>
      <w:adjustRightInd w:val="0"/>
      <w:snapToGrid w:val="0"/>
    </w:pPr>
    <w:rPr>
      <w:sz w:val="21"/>
    </w:rPr>
    <w:tblPr>
      <w:tblBorders>
        <w:top w:val="single" w:color="auto" w:sz="12" w:space="0"/>
        <w:bottom w:val="single" w:color="auto" w:sz="12" w:space="0"/>
        <w:insideH w:val="single" w:color="auto" w:sz="6" w:space="0"/>
        <w:insideV w:val="single" w:color="auto" w:sz="6" w:space="0"/>
      </w:tblBorders>
    </w:tblPr>
  </w:style>
  <w:style w:type="table" w:customStyle="1" w:styleId="3930">
    <w:name w:val="浅色底纹 - 强调文字颜色 122"/>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31">
    <w:name w:val="浅色底纹2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2">
    <w:name w:val="表格主题3"/>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3">
    <w:name w:val="浅色底纹1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4">
    <w:name w:val="浅色底纹 - 强调文字颜色 42"/>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35">
    <w:name w:val="表格主题6"/>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6">
    <w:name w:val="网格型-中对齐1"/>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7">
    <w:name w:val="浅色底纹1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8">
    <w:name w:val="网格型刘1"/>
    <w:basedOn w:val="89"/>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9">
    <w:name w:val="表格五号居中"/>
    <w:basedOn w:val="89"/>
    <w:qFormat/>
    <w:uiPriority w:val="0"/>
    <w:pPr>
      <w:jc w:val="center"/>
    </w:pPr>
    <w:rPr>
      <w:sz w:val="21"/>
      <w:szCs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940">
    <w:name w:val="网格型 51"/>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1">
    <w:name w:val="网格型 55"/>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2">
    <w:name w:val="列表型 32"/>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43">
    <w:name w:val="浅色底纹3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44">
    <w:name w:val="网页型 25"/>
    <w:basedOn w:val="89"/>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945">
    <w:name w:val="网格型 81"/>
    <w:basedOn w:val="89"/>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946">
    <w:name w:val="表格小五2"/>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47">
    <w:name w:val="中等深浅列表 1 - 强调文字颜色 12"/>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48">
    <w:name w:val="表格小五1"/>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49">
    <w:name w:val="浅色底纹 - 强调文字颜色 511"/>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50">
    <w:name w:val="表格小五"/>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51">
    <w:name w:val="浅色底纹7"/>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2">
    <w:name w:val="网格型 57"/>
    <w:basedOn w:val="89"/>
    <w:unhideWhenUsed/>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3">
    <w:name w:val="表格虚线1"/>
    <w:basedOn w:val="89"/>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4">
    <w:name w:val="浅色底纹 - 强调文字颜色 5111"/>
    <w:basedOn w:val="89"/>
    <w:unhideWhenUsed/>
    <w:qFormat/>
    <w:uiPriority w:val="0"/>
    <w:rPr>
      <w:rFonts w:ascii="Calibri" w:hAnsi="Calibri"/>
      <w:color w:val="2F5496"/>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single" w:color="4472C4"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472C4" w:sz="8" w:space="0"/>
          <w:left w:val="single" w:color="4472C4"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0DBF0"/>
      </w:tcPr>
    </w:tblStylePr>
    <w:tblStylePr w:type="band1Horz">
      <w:tcPr>
        <w:tcBorders>
          <w:top w:val="nil"/>
          <w:left w:val="nil"/>
          <w:bottom w:val="nil"/>
          <w:right w:val="nil"/>
          <w:insideH w:val="nil"/>
          <w:insideV w:val="nil"/>
          <w:tl2br w:val="nil"/>
          <w:tr2bl w:val="nil"/>
        </w:tcBorders>
        <w:shd w:val="clear" w:color="auto" w:fill="D0DBF0"/>
      </w:tcPr>
    </w:tblStylePr>
  </w:style>
  <w:style w:type="table" w:customStyle="1" w:styleId="3955">
    <w:name w:val="浅色底纹2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6">
    <w:name w:val="粗框表格"/>
    <w:basedOn w:val="89"/>
    <w:qFormat/>
    <w:uiPriority w:val="0"/>
    <w:pPr>
      <w:spacing w:beforeLines="10" w:afterLines="10"/>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rPr>
      <w:jc w:val="center"/>
    </w:trPr>
    <w:tcPr>
      <w:vAlign w:val="center"/>
    </w:tcPr>
  </w:style>
  <w:style w:type="table" w:customStyle="1" w:styleId="3957">
    <w:name w:val="网格型 56"/>
    <w:basedOn w:val="89"/>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8">
    <w:name w:val="浅色底纹2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9">
    <w:name w:val="中等深浅列表 1 - 强调文字颜色 16"/>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60">
    <w:name w:val="网格型 75"/>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1">
    <w:name w:val="简明型 14"/>
    <w:basedOn w:val="89"/>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62">
    <w:name w:val="我的样式1"/>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63">
    <w:name w:val="浅色底纹6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4">
    <w:name w:val="浅色底纹3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5">
    <w:name w:val="浅色底纹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6">
    <w:name w:val="表格样式1"/>
    <w:basedOn w:val="90"/>
    <w:qFormat/>
    <w:uiPriority w:val="0"/>
    <w:pPr>
      <w:widowControl w:val="0"/>
      <w:jc w:val="both"/>
    </w:pPr>
    <w:rPr>
      <w:kern w:val="2"/>
      <w:sz w:val="21"/>
      <w:szCs w:val="21"/>
    </w:rPr>
  </w:style>
  <w:style w:type="table" w:customStyle="1" w:styleId="3967">
    <w:name w:val="网格型 15"/>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8">
    <w:name w:val="表格主题4"/>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9">
    <w:name w:val="网格型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0">
    <w:name w:val="浅色底纹 - 强调文字颜色 112"/>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71">
    <w:name w:val="浅色底纹 - 强调文字颜色 52"/>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72">
    <w:name w:val="中等深浅列表 1 - 强调文字颜色 14"/>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3">
    <w:name w:val="赵英杰2"/>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74">
    <w:name w:val="中等深浅列表 1 - 强调文字颜色 15"/>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5">
    <w:name w:val="网格型 52"/>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6">
    <w:name w:val="浅色底纹 - 强调文字颜色 411"/>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77">
    <w:name w:val="中等深浅列表 1 - 强调文字颜色 11"/>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8">
    <w:name w:val="网格型 13"/>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9">
    <w:name w:val="浅色底纹5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0">
    <w:name w:val="毛的表格"/>
    <w:basedOn w:val="89"/>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3981">
    <w:name w:val="赵英杰6"/>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3982">
    <w:name w:val="浅色底纹5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3">
    <w:name w:val="赵英杰1"/>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84">
    <w:name w:val="网格型 12"/>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5">
    <w:name w:val="浅色底纹 - 强调文字颜色 53"/>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86">
    <w:name w:val="中等深浅列表 2 - 强调文字颜色 411"/>
    <w:basedOn w:val="89"/>
    <w:unhideWhenUsed/>
    <w:qFormat/>
    <w:uiPriority w:val="0"/>
    <w:rPr>
      <w:rFonts w:ascii="Calibri Light" w:hAnsi="Calibri Light"/>
      <w:color w:val="000000"/>
    </w:rPr>
    <w:tblPr>
      <w:tblBorders>
        <w:top w:val="single" w:color="FFC000" w:sz="8" w:space="0"/>
        <w:left w:val="single" w:color="FFC000" w:sz="8" w:space="0"/>
        <w:bottom w:val="single" w:color="FFC000" w:sz="8" w:space="0"/>
        <w:right w:val="single" w:color="FFC000" w:sz="8" w:space="0"/>
      </w:tblBorders>
    </w:tblPr>
    <w:tblStylePr w:type="firstRow">
      <w:rPr>
        <w:sz w:val="24"/>
        <w:szCs w:val="24"/>
      </w:rPr>
      <w:tcPr>
        <w:tcBorders>
          <w:top w:val="nil"/>
          <w:left w:val="single" w:color="FFC000" w:sz="24" w:space="0"/>
          <w:bottom w:val="nil"/>
          <w:right w:val="nil"/>
          <w:insideH w:val="nil"/>
          <w:insideV w:val="nil"/>
          <w:tl2br w:val="nil"/>
          <w:tr2bl w:val="nil"/>
        </w:tcBorders>
        <w:shd w:val="clear" w:color="auto" w:fill="FFFFFF"/>
      </w:tcPr>
    </w:tblStylePr>
    <w:tblStylePr w:type="lastRow">
      <w:tcPr>
        <w:tcBorders>
          <w:top w:val="single" w:color="FFC000"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FFC000" w:sz="8" w:space="0"/>
          <w:insideH w:val="nil"/>
          <w:insideV w:val="nil"/>
          <w:tl2br w:val="nil"/>
          <w:tr2bl w:val="nil"/>
        </w:tcBorders>
        <w:shd w:val="clear" w:color="auto" w:fill="FFFFFF"/>
      </w:tcPr>
    </w:tblStylePr>
    <w:tblStylePr w:type="lastCol">
      <w:tcPr>
        <w:tcBorders>
          <w:top w:val="nil"/>
          <w:left w:val="nil"/>
          <w:bottom w:val="single" w:color="FFC000" w:sz="8" w:space="0"/>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FFEFC0"/>
      </w:tcPr>
    </w:tblStylePr>
    <w:tblStylePr w:type="band1Horz">
      <w:tcPr>
        <w:tcBorders>
          <w:top w:val="nil"/>
          <w:left w:val="nil"/>
          <w:bottom w:val="nil"/>
          <w:right w:val="nil"/>
          <w:insideH w:val="nil"/>
          <w:insideV w:val="nil"/>
          <w:tl2br w:val="nil"/>
          <w:tr2bl w:val="nil"/>
        </w:tcBorders>
        <w:shd w:val="clear" w:color="auto" w:fill="FFEFC0"/>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987">
    <w:name w:val="浅色底纹5"/>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8">
    <w:name w:val="表格小五3"/>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89">
    <w:name w:val="简明型 11"/>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0">
    <w:name w:val="网格型 73"/>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1">
    <w:name w:val="浅色底纹 - 强调文字颜色 43"/>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92">
    <w:name w:val="简明型 12"/>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3">
    <w:name w:val="浅色底纹 - 强调文字颜色 41"/>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94">
    <w:name w:val="网格型 77"/>
    <w:basedOn w:val="89"/>
    <w:unhideWhenUsed/>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5">
    <w:name w:val="赵英杰4"/>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96">
    <w:name w:val="列表型 35"/>
    <w:basedOn w:val="89"/>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97">
    <w:name w:val="浅色底纹 - 强调文字颜色 111"/>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98">
    <w:name w:val="网格型 17"/>
    <w:basedOn w:val="89"/>
    <w:unhideWhenUsed/>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9">
    <w:name w:val="表格主题24"/>
    <w:basedOn w:val="89"/>
    <w:qFormat/>
    <w:uiPriority w:val="0"/>
    <w:pPr>
      <w:widowControl w:val="0"/>
      <w:jc w:val="center"/>
    </w:pPr>
    <w:rPr>
      <w:sz w:val="21"/>
      <w:szCs w:val="21"/>
    </w:rPr>
    <w:tblPr>
      <w:tblBorders>
        <w:top w:val="single" w:color="auto" w:sz="12" w:space="0"/>
        <w:bottom w:val="single" w:color="auto" w:sz="12" w:space="0"/>
        <w:insideH w:val="single" w:color="auto" w:sz="6" w:space="0"/>
        <w:insideV w:val="single" w:color="auto" w:sz="6" w:space="0"/>
      </w:tblBorders>
    </w:tblPr>
    <w:tcPr>
      <w:tcMar>
        <w:left w:w="57" w:type="dxa"/>
        <w:right w:w="57" w:type="dxa"/>
      </w:tcMar>
      <w:vAlign w:val="center"/>
    </w:tcPr>
  </w:style>
  <w:style w:type="table" w:customStyle="1" w:styleId="4000">
    <w:name w:val="表格主题5"/>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1">
    <w:name w:val="浅色底纹 - 强调文字颜色 412"/>
    <w:basedOn w:val="89"/>
    <w:unhideWhenUsed/>
    <w:qFormat/>
    <w:uiPriority w:val="0"/>
    <w:rPr>
      <w:rFonts w:ascii="Calibri" w:hAnsi="Calibri"/>
      <w:color w:val="BF8F00"/>
    </w:rPr>
    <w:tblPr>
      <w:tblBorders>
        <w:top w:val="single" w:color="FFC000" w:sz="8" w:space="0"/>
        <w:bottom w:val="single" w:color="FFC000" w:sz="8" w:space="0"/>
      </w:tblBorders>
    </w:tblPr>
    <w:tblStylePr w:type="firstRow">
      <w:pPr>
        <w:spacing w:before="0" w:after="0" w:line="240" w:lineRule="auto"/>
      </w:pPr>
      <w:rPr>
        <w:b/>
        <w:bCs/>
      </w:rPr>
      <w:tcPr>
        <w:tcBorders>
          <w:top w:val="single" w:color="FFC000" w:sz="8" w:space="0"/>
          <w:left w:val="single" w:color="FFC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FFC000" w:sz="8" w:space="0"/>
          <w:left w:val="single" w:color="FFC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FEFC0"/>
      </w:tcPr>
    </w:tblStylePr>
    <w:tblStylePr w:type="band1Horz">
      <w:tcPr>
        <w:tcBorders>
          <w:top w:val="nil"/>
          <w:left w:val="nil"/>
          <w:bottom w:val="nil"/>
          <w:right w:val="nil"/>
          <w:insideH w:val="nil"/>
          <w:insideV w:val="nil"/>
          <w:tl2br w:val="nil"/>
          <w:tr2bl w:val="nil"/>
        </w:tcBorders>
        <w:shd w:val="clear" w:color="auto" w:fill="FFEFC0"/>
      </w:tcPr>
    </w:tblStylePr>
  </w:style>
  <w:style w:type="character" w:customStyle="1" w:styleId="4002">
    <w:name w:val="批注文字 字符"/>
    <w:qFormat/>
    <w:uiPriority w:val="0"/>
  </w:style>
  <w:style w:type="paragraph" w:customStyle="1" w:styleId="4003">
    <w:name w:val="正文 首行缩进:  2 字符"/>
    <w:basedOn w:val="1"/>
    <w:qFormat/>
    <w:uiPriority w:val="0"/>
    <w:pPr>
      <w:adjustRightInd w:val="0"/>
      <w:snapToGrid w:val="0"/>
      <w:ind w:firstLine="579" w:firstLineChars="200"/>
    </w:pPr>
    <w:rPr>
      <w:rFonts w:cs="宋体"/>
      <w:sz w:val="28"/>
      <w:szCs w:val="20"/>
    </w:rPr>
  </w:style>
  <w:style w:type="character" w:customStyle="1" w:styleId="4004">
    <w:name w:val="样式16 Char"/>
    <w:link w:val="4005"/>
    <w:qFormat/>
    <w:uiPriority w:val="0"/>
    <w:rPr>
      <w:rFonts w:eastAsia="仿宋_GB2312"/>
      <w:sz w:val="28"/>
      <w:szCs w:val="28"/>
    </w:rPr>
  </w:style>
  <w:style w:type="paragraph" w:customStyle="1" w:styleId="4005">
    <w:name w:val="样式16"/>
    <w:basedOn w:val="1"/>
    <w:link w:val="4004"/>
    <w:qFormat/>
    <w:uiPriority w:val="0"/>
    <w:pPr>
      <w:adjustRightInd w:val="0"/>
      <w:snapToGrid w:val="0"/>
      <w:spacing w:line="360" w:lineRule="auto"/>
      <w:ind w:firstLine="200" w:firstLineChars="200"/>
    </w:pPr>
    <w:rPr>
      <w:rFonts w:eastAsia="仿宋_GB2312"/>
      <w:kern w:val="0"/>
      <w:sz w:val="28"/>
      <w:szCs w:val="28"/>
    </w:rPr>
  </w:style>
  <w:style w:type="paragraph" w:customStyle="1" w:styleId="4006">
    <w:name w:val="报告表 表内标题"/>
    <w:basedOn w:val="1"/>
    <w:qFormat/>
    <w:uiPriority w:val="0"/>
    <w:pPr>
      <w:keepNext/>
      <w:spacing w:beforeLines="50" w:afterLines="50"/>
    </w:pPr>
    <w:rPr>
      <w:rFonts w:eastAsia="仿宋_GB2312"/>
      <w:b/>
      <w:sz w:val="24"/>
    </w:rPr>
  </w:style>
  <w:style w:type="table" w:customStyle="1" w:styleId="4007">
    <w:name w:val="Table Normal"/>
    <w:unhideWhenUsed/>
    <w:qFormat/>
    <w:uiPriority w:val="0"/>
    <w:tblPr>
      <w:tblCellMar>
        <w:top w:w="0" w:type="dxa"/>
        <w:left w:w="0" w:type="dxa"/>
        <w:bottom w:w="0" w:type="dxa"/>
        <w:right w:w="0" w:type="dxa"/>
      </w:tblCellMar>
    </w:tblPr>
  </w:style>
  <w:style w:type="paragraph" w:customStyle="1" w:styleId="4008">
    <w:name w:val="TB"/>
    <w:basedOn w:val="1"/>
    <w:autoRedefine/>
    <w:qFormat/>
    <w:uiPriority w:val="0"/>
    <w:pPr>
      <w:widowControl/>
      <w:spacing w:line="400" w:lineRule="exact"/>
      <w:jc w:val="center"/>
    </w:pPr>
    <w:rPr>
      <w:color w:val="000000"/>
      <w:kern w:val="0"/>
      <w:szCs w:val="21"/>
      <w:lang w:val="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image" Target="media/image19.wmf"/><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emf"/><Relationship Id="rId26" Type="http://schemas.openxmlformats.org/officeDocument/2006/relationships/oleObject" Target="embeddings/oleObject5.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4.bin"/><Relationship Id="rId17" Type="http://schemas.openxmlformats.org/officeDocument/2006/relationships/image" Target="media/image6.emf"/><Relationship Id="rId16" Type="http://schemas.openxmlformats.org/officeDocument/2006/relationships/oleObject" Target="embeddings/oleObject3.bin"/><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"/>
    </extobj>
    <extobj name="ECB019B1-382A-4266-B25C-5B523AA43C14-2">
      <extobjdata type="ECB019B1-382A-4266-B25C-5B523AA43C14" data="ewoJIkZpbGVJZCIgOiAiMzcyNDE2NTgwMjg1IiwKCSJHcm91cElkIiA6ICIxMTU3NDA2MzUiLAoJIkltYWdlIiA6ICJpVkJPUncwS0dnb0FBQUFOU1VoRVVnQUFBMndBQUFlaUNBWUFBQUQ0d1hDR0FBQUFBWE5TUjBJQXJzNGM2UUFBSUFCSlJFRlVlSnpzM1hsNEZGWGU5dkg3ZEhjV2xrQlFKQUZCa0Iwa2tBQ0s2UEE0S3Jnd3JxRGdnNGlLQXU2SzRxdXl1QUdpNHdQSzZpQ0tnRE9NNG9pS0RpNHpnd3ZpVGhJQ0pHeENBSVd3aDRTbFF6cDkzajlDZWhLeXI5MXB2cC9yNHFLNzZweXFYMGVwMU4xVmRZNE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zVUL0gwZFNjUXExY3d4UkFBQUFBRWxGVGtTdVFtQ0MiLAoJIlRoZW1lIiA6ICIiLAoJIlR5cGUiIDogImZsb3ciLAoJIlVzZXJJZCIgOiAiMjI4MDM3MTc0IiwKCSJWZXJzaW9uIiA6ICIxODgiCn0K"/>
    </extobj>
    <extobj name="ECB019B1-382A-4266-B25C-5B523AA43C14-3">
      <extobjdata type="ECB019B1-382A-4266-B25C-5B523AA43C14" data="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"/>
    </extobj>
    <extobj name="ECB019B1-382A-4266-B25C-5B523AA43C14-4">
      <extobjdata type="ECB019B1-382A-4266-B25C-5B523AA43C14" data="ewoJIkZpbGVJZCIgOiAiMzcyNDUxNjc1MjI5IiwKCSJHcm91cElkIiA6ICIxMTU3NDA2MzUiLAoJIkltYWdlIiA6ICJpVkJPUncwS0dnb0FBQUFOU1VoRVVnQUFCU3NBQUFjdkNBWUFBQURPUEtFYUFBQUFBWE5TUjBJQXJzNGM2UUFBSUFCSlJFRlVlSnpzM1hsOFhGWFpCL0RmYys0a21iYTBrSllXWGlrUUlOb1Ftc2s5ZDBCRlJGUVFBVGRrRWRrVUFWbFZWRlJRd1ZkVUJBVTNjQU5aQlFFVkYxNWNrTVVGQzRveTk5NU1RbWcxU29DaVFLR0ZMbW1XbWZPOGYrUk9tVTRtVzF1YXRQbDlQNTk4a3JsbnVjOE45TFR6ekZrQ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ZlIvd0d6M0tlWWFOMFZEZ0FBQUFCSlJVNUVya0pnZ2c9PSIsCgkiVGhlbWUiIDogIiIsCgkiVHlwZSIgOiAiZmxvdyIsCgkiVXNlcklkIiA6ICIyMjgwMzcxNzQiLAoJIlZlcnNpb24iIDogIjIxMCIKfQo="/>
    </extobj>
    <extobj name="ECB019B1-382A-4266-B25C-5B523AA43C14-5">
      <extobjdata type="ECB019B1-382A-4266-B25C-5B523AA43C14" data="ewoJIkZpbGVJZCIgOiAiMzczMzg2NjI1NTI1IiwKCSJHcm91cElkIiA6ICIxMTU3NDA2MzUiLAoJIkltYWdlIiA6ICJpVkJPUncwS0dnb0FBQUFOU1VoRVVnQUFCSFFBQUFaN0NBWUFBQUIyeGVKS0FBQUFBWE5TUjBJQXJzNGM2UUFBSUFCSlJFRlVlSnpzM1hsNFhHWFpQL0R2L1p4Sk1rbExTcGRBZ1lJQm9pMXBPblBPR2NxK3lhcUFiTDdzc2lQSUpydUlpQzhncnZDS0ZmenhJc29xSUFnS0w0c2dJcUN5TStmTVRFcWdXQ0F0QlVwbEtWMlR6TXk1ZjMva1RKaW1NOW1hTkUzNi9WeFhycG56bkdlNVQ2NDB5OTFuQV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lU5eC9xQytuQkxLVFFPQUFBQUFCSlJVNUVya0pnZ2c9PSIsCgkiVGhlbWUiIDogIiIsCgkiVHlwZSIgOiAiZmxvdyIsCgkiVXNlcklkIiA6ICIiLAoJIlZlcnNpb24iIDogIjkwIgp9Cg=="/>
    </extobj>
    <extobj name="ECB019B1-382A-4266-B25C-5B523AA43C14-6">
      <extobjdata type="ECB019B1-382A-4266-B25C-5B523AA43C14" data="ewoJIkZpbGVJZCIgOiAiMzEzMzgyNDA2MzIxIiwKCSJHcm91cElkIiA6ICIxMTU3NDA2MzUiLAoJIkltYWdlIiA6ICJpVkJPUncwS0dnb0FBQUFOU1VoRVVnQUFBellBQUFEY0NBWUFBQUNpZURRNEFBQUFBWE5TUjBJQXJzNGM2UUFBSUFCSlJFRlVlSnpzM1hsNFUxWDZCL0R2ZTVQU0ZzclNsbFdxVmxtRVF0UGNHeEZ4RjNkR1pRU0hZY1lCRjF4US9NbUFqaktLdUNEcWpJamdndUtDNHE2RHlLSzRNTUtnZ2dzME4wMEIyUlNVZ29nc0JWcTZKZmY4L3NoaTBxWWJVdHJBOS9NOFBEVG5ubnZ2U1pvbTk3M25uUGN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199</Pages>
  <Words>235</Words>
  <Characters>278</Characters>
  <Lines>1057</Lines>
  <Paragraphs>297</Paragraphs>
  <TotalTime>28</TotalTime>
  <ScaleCrop>false</ScaleCrop>
  <LinksUpToDate>false</LinksUpToDate>
  <CharactersWithSpaces>287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2023-02-23T08:17:00Z</dcterms:created>
  <dc:creator>lhj</dc:creator>
  <cp:lastModifiedBy>a moon</cp:lastModifiedBy>
  <cp:lastPrinted>2025-03-19T00:50:00Z</cp:lastPrinted>
  <dcterms:modified xsi:type="dcterms:W3CDTF">2025-05-14T06:54:14Z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4C4CCD240B6645F9806674247B97496F_13</vt:lpwstr>
  </property>
  <property fmtid="{D5CDD505-2E9C-101B-9397-08002B2CF9AE}" pid="4" name="KSOTemplateDocerSaveRecord">
    <vt:lpwstr>eyJoZGlkIjoiOWIwOTc1N2ZjYTgzNTU1ZjhhMzEzZTEwYjExMzIyNmIiLCJ1c2VySWQiOiIyNjEyMzM3ODAifQ==</vt:lpwstr>
  </property>
</Properties>
</file>